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30A8BB1D" wp14:editId="541F1B6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89701F">
            <w:pPr>
              <w:jc w:val="right"/>
              <w:rPr>
                <w:rFonts w:ascii="Arial Black" w:hAnsi="Arial Black"/>
                <w:caps/>
                <w:sz w:val="15"/>
              </w:rPr>
            </w:pPr>
            <w:r>
              <w:rPr>
                <w:rFonts w:ascii="Arial Black" w:hAnsi="Arial Black"/>
                <w:caps/>
                <w:sz w:val="15"/>
              </w:rPr>
              <w:t>WO/PBC/22/</w:t>
            </w:r>
            <w:bookmarkStart w:id="0" w:name="Code"/>
            <w:bookmarkEnd w:id="0"/>
            <w:r w:rsidR="0089701F">
              <w:rPr>
                <w:rFonts w:ascii="Arial Black" w:hAnsi="Arial Black"/>
                <w:caps/>
                <w:sz w:val="15"/>
              </w:rPr>
              <w:t>27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F47C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485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F47C3">
              <w:rPr>
                <w:rFonts w:ascii="Arial Black" w:hAnsi="Arial Black"/>
                <w:caps/>
                <w:sz w:val="15"/>
              </w:rPr>
              <w:t xml:space="preserve">July </w:t>
            </w:r>
            <w:r w:rsidR="00BD4855">
              <w:rPr>
                <w:rFonts w:ascii="Arial Black" w:hAnsi="Arial Black"/>
                <w:caps/>
                <w:sz w:val="15"/>
              </w:rPr>
              <w:t>25</w:t>
            </w:r>
            <w:r w:rsidR="002F47C3">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F47C3" w:rsidP="008B2CC1">
      <w:pPr>
        <w:rPr>
          <w:caps/>
          <w:sz w:val="24"/>
        </w:rPr>
      </w:pPr>
      <w:bookmarkStart w:id="3" w:name="TitleOfDoc"/>
      <w:bookmarkEnd w:id="3"/>
      <w:r w:rsidRPr="002F47C3">
        <w:rPr>
          <w:caps/>
          <w:szCs w:val="22"/>
        </w:rPr>
        <w:t>Proposal to reform and enhance program per</w:t>
      </w:r>
      <w:r>
        <w:rPr>
          <w:caps/>
          <w:szCs w:val="22"/>
        </w:rPr>
        <w:t>formance and financial</w:t>
      </w:r>
      <w:r w:rsidR="00676EB6">
        <w:rPr>
          <w:caps/>
          <w:szCs w:val="22"/>
        </w:rPr>
        <w:t> </w:t>
      </w:r>
      <w:r>
        <w:rPr>
          <w:caps/>
          <w:szCs w:val="22"/>
        </w:rPr>
        <w:t>reportinG</w:t>
      </w:r>
    </w:p>
    <w:p w:rsidR="008B2CC1" w:rsidRPr="008B2CC1" w:rsidRDefault="008B2CC1" w:rsidP="008B2CC1"/>
    <w:p w:rsidR="002F47C3" w:rsidRPr="008B2CC1" w:rsidRDefault="002F47C3" w:rsidP="002F47C3">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0F328A" w:rsidRDefault="000F328A" w:rsidP="0053057A">
      <w:pPr>
        <w:rPr>
          <w:b/>
          <w:bCs/>
        </w:rPr>
      </w:pPr>
      <w:r>
        <w:rPr>
          <w:b/>
          <w:bCs/>
        </w:rPr>
        <w:t>I.</w:t>
      </w:r>
      <w:r>
        <w:rPr>
          <w:b/>
          <w:bCs/>
        </w:rPr>
        <w:tab/>
      </w:r>
      <w:r w:rsidRPr="00990531">
        <w:rPr>
          <w:b/>
          <w:bCs/>
        </w:rPr>
        <w:t>INTRODUCTION</w:t>
      </w:r>
    </w:p>
    <w:p w:rsidR="000F328A" w:rsidRDefault="000F328A" w:rsidP="0053057A"/>
    <w:p w:rsidR="002928D3" w:rsidRDefault="000F328A">
      <w:r>
        <w:fldChar w:fldCharType="begin"/>
      </w:r>
      <w:r>
        <w:instrText xml:space="preserve"> AUTONUM  </w:instrText>
      </w:r>
      <w:r>
        <w:fldChar w:fldCharType="end"/>
      </w:r>
      <w:r>
        <w:tab/>
      </w:r>
      <w:r w:rsidR="001E7535">
        <w:t xml:space="preserve">The Secretariat is continually looking for opportunities to improve the </w:t>
      </w:r>
      <w:r w:rsidR="00E41133">
        <w:t>quality</w:t>
      </w:r>
      <w:r w:rsidR="003A61EF">
        <w:t xml:space="preserve">, </w:t>
      </w:r>
      <w:r w:rsidR="0032632C">
        <w:t>transparency, comprehensiveness</w:t>
      </w:r>
      <w:r w:rsidR="003A61EF">
        <w:t xml:space="preserve"> </w:t>
      </w:r>
      <w:r w:rsidR="00E41133">
        <w:t>and readability of information and report</w:t>
      </w:r>
      <w:r w:rsidR="005558A8">
        <w:t>s that it provides</w:t>
      </w:r>
      <w:r w:rsidR="00E41133">
        <w:t xml:space="preserve"> </w:t>
      </w:r>
      <w:r w:rsidR="001E7535">
        <w:t>to its stakeholders and Member States.</w:t>
      </w:r>
    </w:p>
    <w:p w:rsidR="001E7535" w:rsidRDefault="001E7535"/>
    <w:p w:rsidR="001E7535" w:rsidRDefault="000F328A">
      <w:r>
        <w:fldChar w:fldCharType="begin"/>
      </w:r>
      <w:r>
        <w:instrText xml:space="preserve"> AUTONUM  </w:instrText>
      </w:r>
      <w:r>
        <w:fldChar w:fldCharType="end"/>
      </w:r>
      <w:r>
        <w:tab/>
      </w:r>
      <w:r w:rsidR="001E7535">
        <w:t xml:space="preserve">In this </w:t>
      </w:r>
      <w:r w:rsidR="00AE1710">
        <w:t>regard</w:t>
      </w:r>
      <w:r w:rsidR="001E7535">
        <w:t xml:space="preserve">, the </w:t>
      </w:r>
      <w:r w:rsidR="00E41133">
        <w:t xml:space="preserve">financial and performance reporting by the </w:t>
      </w:r>
      <w:r w:rsidR="001E7535">
        <w:t>Secretariat</w:t>
      </w:r>
      <w:r w:rsidR="00E41133">
        <w:t xml:space="preserve"> constitute significant element</w:t>
      </w:r>
      <w:r w:rsidR="00B256D2">
        <w:t>s</w:t>
      </w:r>
      <w:r w:rsidR="00E41133">
        <w:t xml:space="preserve"> of both annual and biennial reporting. A number of incremental improvements have been implemented over the last few years</w:t>
      </w:r>
      <w:r w:rsidR="002D3B4F">
        <w:t>, both</w:t>
      </w:r>
      <w:r w:rsidR="00E41133">
        <w:t xml:space="preserve"> in response to Member States’ requests </w:t>
      </w:r>
      <w:r w:rsidR="002D3B4F">
        <w:t xml:space="preserve">and </w:t>
      </w:r>
      <w:r w:rsidR="00E41133">
        <w:t xml:space="preserve">based on </w:t>
      </w:r>
      <w:r w:rsidR="00B256D2">
        <w:t xml:space="preserve">the Secretariat’s </w:t>
      </w:r>
      <w:r w:rsidR="00E41133">
        <w:t xml:space="preserve">own experience of the performance dialog during the </w:t>
      </w:r>
      <w:r w:rsidR="002D3B4F">
        <w:t>P</w:t>
      </w:r>
      <w:r w:rsidR="00E41133">
        <w:t>rogram and Budget Committee</w:t>
      </w:r>
      <w:r w:rsidR="00B256D2">
        <w:t xml:space="preserve"> (PBC)</w:t>
      </w:r>
      <w:r w:rsidR="00E41133">
        <w:t xml:space="preserve"> meetings.</w:t>
      </w:r>
      <w:r w:rsidR="00927312">
        <w:t xml:space="preserve"> </w:t>
      </w:r>
      <w:r w:rsidR="00E41133">
        <w:t xml:space="preserve"> In line with </w:t>
      </w:r>
      <w:r w:rsidR="00B256D2">
        <w:t>its</w:t>
      </w:r>
      <w:r w:rsidR="00E41133">
        <w:t xml:space="preserve"> continuous improvement approach </w:t>
      </w:r>
      <w:r w:rsidR="00617896">
        <w:t>and with a view to improving the quality and efficiency of the reporting process with no loss of disclosure in the information provided, the Secretariat has reviewed the content and format of the different financial and performance reports for the biennium 2012/13, prepared for this session of the PBC, and has examined ways in which they could be streamlined.</w:t>
      </w:r>
    </w:p>
    <w:p w:rsidR="001E7535" w:rsidRDefault="001E7535"/>
    <w:p w:rsidR="00437281" w:rsidRDefault="000F328A">
      <w:r>
        <w:fldChar w:fldCharType="begin"/>
      </w:r>
      <w:r>
        <w:instrText xml:space="preserve"> AUTONUM  </w:instrText>
      </w:r>
      <w:r>
        <w:fldChar w:fldCharType="end"/>
      </w:r>
      <w:r>
        <w:tab/>
      </w:r>
      <w:r w:rsidR="008F419B">
        <w:t>The results of the review were shared with the</w:t>
      </w:r>
      <w:r w:rsidR="009F5D6E">
        <w:t xml:space="preserve"> Independent Advisory Oversight Committee</w:t>
      </w:r>
      <w:r w:rsidR="008F419B">
        <w:t xml:space="preserve"> </w:t>
      </w:r>
      <w:r w:rsidR="002C7BDF">
        <w:t>(</w:t>
      </w:r>
      <w:r w:rsidR="008F419B">
        <w:t>IAOC</w:t>
      </w:r>
      <w:r w:rsidR="002C7BDF">
        <w:t>)</w:t>
      </w:r>
      <w:r w:rsidR="008F419B">
        <w:t xml:space="preserve"> at the initiative of the Secretariat through a brief high-level</w:t>
      </w:r>
      <w:r w:rsidR="00437281">
        <w:t xml:space="preserve"> presentation</w:t>
      </w:r>
      <w:r w:rsidR="008F419B">
        <w:t>.</w:t>
      </w:r>
      <w:r w:rsidR="00437281">
        <w:t xml:space="preserve"> </w:t>
      </w:r>
      <w:r w:rsidR="00F37106">
        <w:t xml:space="preserve"> </w:t>
      </w:r>
      <w:r w:rsidR="008F419B">
        <w:t>T</w:t>
      </w:r>
      <w:r w:rsidR="00437281">
        <w:t>he IAOC welcomed th</w:t>
      </w:r>
      <w:r w:rsidR="008F419B">
        <w:t>e</w:t>
      </w:r>
      <w:r w:rsidR="00437281">
        <w:t xml:space="preserve"> initiative</w:t>
      </w:r>
      <w:r w:rsidR="00FF7002">
        <w:rPr>
          <w:szCs w:val="22"/>
        </w:rPr>
        <w:t xml:space="preserve"> to improve Secretariat reporting and agreed with Management that such a proposal should be developed.</w:t>
      </w:r>
    </w:p>
    <w:p w:rsidR="002D3B4F" w:rsidRDefault="002D3B4F"/>
    <w:p w:rsidR="002D3B4F" w:rsidRDefault="00F37106">
      <w:r>
        <w:fldChar w:fldCharType="begin"/>
      </w:r>
      <w:r>
        <w:instrText xml:space="preserve"> AUTONUM  </w:instrText>
      </w:r>
      <w:r>
        <w:fldChar w:fldCharType="end"/>
      </w:r>
      <w:r>
        <w:tab/>
      </w:r>
      <w:r w:rsidR="002D3B4F">
        <w:t>Th</w:t>
      </w:r>
      <w:r w:rsidR="00852561">
        <w:t>e</w:t>
      </w:r>
      <w:r w:rsidR="002D3B4F">
        <w:t xml:space="preserve"> present document has been prepared with a view to presenting the opportunity for improvement</w:t>
      </w:r>
      <w:r w:rsidR="00852561">
        <w:t>s in respect of program performance and financial reporting</w:t>
      </w:r>
      <w:r w:rsidR="002D3B4F">
        <w:t xml:space="preserve"> to the PBC and obtaining </w:t>
      </w:r>
      <w:r w:rsidR="00536E63">
        <w:t>its</w:t>
      </w:r>
      <w:r w:rsidR="002D3B4F">
        <w:t xml:space="preserve"> inputs that will guide the preparation of a more detailed proposal.</w:t>
      </w:r>
    </w:p>
    <w:p w:rsidR="000F328A" w:rsidRDefault="000F328A">
      <w:bookmarkStart w:id="5" w:name="_GoBack"/>
      <w:bookmarkEnd w:id="5"/>
    </w:p>
    <w:p w:rsidR="000F328A" w:rsidRDefault="000F328A">
      <w:pPr>
        <w:rPr>
          <w:b/>
          <w:bCs/>
        </w:rPr>
      </w:pPr>
      <w:r w:rsidRPr="000F328A">
        <w:rPr>
          <w:b/>
          <w:bCs/>
        </w:rPr>
        <w:lastRenderedPageBreak/>
        <w:t>II.</w:t>
      </w:r>
      <w:r w:rsidRPr="000F328A">
        <w:rPr>
          <w:b/>
          <w:bCs/>
        </w:rPr>
        <w:tab/>
      </w:r>
      <w:r>
        <w:rPr>
          <w:b/>
          <w:bCs/>
        </w:rPr>
        <w:t>PERFORMANCE AND FINANCIAL REPORTING</w:t>
      </w:r>
      <w:r w:rsidR="005558A8">
        <w:rPr>
          <w:b/>
          <w:bCs/>
        </w:rPr>
        <w:t xml:space="preserve"> FRAMEWORK</w:t>
      </w:r>
    </w:p>
    <w:p w:rsidR="000F328A" w:rsidRDefault="000F328A">
      <w:pPr>
        <w:rPr>
          <w:b/>
          <w:bCs/>
        </w:rPr>
      </w:pPr>
    </w:p>
    <w:p w:rsidR="00350B30" w:rsidRDefault="00F37106">
      <w:pPr>
        <w:rPr>
          <w:bCs/>
        </w:rPr>
      </w:pPr>
      <w:r>
        <w:rPr>
          <w:bCs/>
        </w:rPr>
        <w:fldChar w:fldCharType="begin"/>
      </w:r>
      <w:r>
        <w:rPr>
          <w:bCs/>
        </w:rPr>
        <w:instrText xml:space="preserve"> AUTONUM  </w:instrText>
      </w:r>
      <w:r>
        <w:rPr>
          <w:bCs/>
        </w:rPr>
        <w:fldChar w:fldCharType="end"/>
      </w:r>
      <w:r>
        <w:rPr>
          <w:bCs/>
        </w:rPr>
        <w:tab/>
      </w:r>
      <w:r w:rsidR="005558A8">
        <w:rPr>
          <w:bCs/>
        </w:rPr>
        <w:t>The</w:t>
      </w:r>
      <w:r w:rsidR="00350B30">
        <w:rPr>
          <w:bCs/>
        </w:rPr>
        <w:t xml:space="preserve"> Organization’s </w:t>
      </w:r>
      <w:r w:rsidR="005558A8">
        <w:rPr>
          <w:bCs/>
        </w:rPr>
        <w:t xml:space="preserve">current performance and financial </w:t>
      </w:r>
      <w:r w:rsidR="00350B30">
        <w:rPr>
          <w:bCs/>
        </w:rPr>
        <w:t xml:space="preserve">reporting framework </w:t>
      </w:r>
      <w:r w:rsidR="00617896">
        <w:rPr>
          <w:bCs/>
        </w:rPr>
        <w:t xml:space="preserve">in a biennium </w:t>
      </w:r>
      <w:r w:rsidR="00323FFE">
        <w:rPr>
          <w:bCs/>
        </w:rPr>
        <w:t>consists of</w:t>
      </w:r>
      <w:r w:rsidR="00350B30">
        <w:rPr>
          <w:bCs/>
        </w:rPr>
        <w:t xml:space="preserve"> a number of documents, as follows:</w:t>
      </w:r>
    </w:p>
    <w:p w:rsidR="00350B30" w:rsidRDefault="00350B30">
      <w:pPr>
        <w:rPr>
          <w:bCs/>
        </w:rPr>
      </w:pPr>
    </w:p>
    <w:p w:rsidR="002D3B4F" w:rsidRPr="00827E8D" w:rsidRDefault="002D3B4F">
      <w:pPr>
        <w:rPr>
          <w:bCs/>
          <w:i/>
        </w:rPr>
      </w:pPr>
      <w:r>
        <w:rPr>
          <w:bCs/>
        </w:rPr>
        <w:tab/>
      </w:r>
      <w:r w:rsidRPr="00827E8D">
        <w:rPr>
          <w:bCs/>
          <w:i/>
        </w:rPr>
        <w:t>Planning</w:t>
      </w:r>
    </w:p>
    <w:p w:rsidR="002D3B4F" w:rsidRDefault="002D3B4F">
      <w:pPr>
        <w:rPr>
          <w:bCs/>
        </w:rPr>
      </w:pPr>
    </w:p>
    <w:p w:rsidR="00C92A83" w:rsidRDefault="00C92A83" w:rsidP="00323FFE">
      <w:pPr>
        <w:pStyle w:val="ListParagraph"/>
        <w:numPr>
          <w:ilvl w:val="1"/>
          <w:numId w:val="5"/>
        </w:numPr>
        <w:rPr>
          <w:bCs/>
        </w:rPr>
      </w:pPr>
      <w:r w:rsidRPr="00323FFE">
        <w:rPr>
          <w:bCs/>
          <w:u w:val="single"/>
        </w:rPr>
        <w:t>The Program and Budget</w:t>
      </w:r>
      <w:r w:rsidRPr="00323FFE">
        <w:rPr>
          <w:bCs/>
        </w:rPr>
        <w:t>, submitted to the Member States</w:t>
      </w:r>
      <w:r w:rsidR="00323FFE">
        <w:rPr>
          <w:bCs/>
        </w:rPr>
        <w:t xml:space="preserve"> for approval</w:t>
      </w:r>
      <w:r w:rsidRPr="00323FFE">
        <w:rPr>
          <w:bCs/>
        </w:rPr>
        <w:t xml:space="preserve"> each biennium, </w:t>
      </w:r>
      <w:r w:rsidR="00566C1B" w:rsidRPr="00323FFE">
        <w:rPr>
          <w:bCs/>
        </w:rPr>
        <w:t>provides</w:t>
      </w:r>
      <w:r w:rsidRPr="00323FFE">
        <w:rPr>
          <w:bCs/>
        </w:rPr>
        <w:t xml:space="preserve"> the </w:t>
      </w:r>
      <w:r w:rsidR="00617896" w:rsidRPr="00323FFE">
        <w:rPr>
          <w:bCs/>
        </w:rPr>
        <w:t xml:space="preserve">programmatic </w:t>
      </w:r>
      <w:r w:rsidR="00617896">
        <w:rPr>
          <w:bCs/>
        </w:rPr>
        <w:t xml:space="preserve">and </w:t>
      </w:r>
      <w:r w:rsidRPr="00323FFE">
        <w:rPr>
          <w:bCs/>
        </w:rPr>
        <w:t xml:space="preserve">budgetary framework for the </w:t>
      </w:r>
      <w:r w:rsidR="00617896">
        <w:rPr>
          <w:bCs/>
        </w:rPr>
        <w:t>implementation</w:t>
      </w:r>
      <w:r w:rsidR="00617896" w:rsidRPr="00323FFE">
        <w:rPr>
          <w:bCs/>
        </w:rPr>
        <w:t xml:space="preserve"> </w:t>
      </w:r>
      <w:r w:rsidRPr="00323FFE">
        <w:rPr>
          <w:bCs/>
        </w:rPr>
        <w:t>of WIPO’s activities</w:t>
      </w:r>
      <w:r w:rsidR="00617896">
        <w:rPr>
          <w:bCs/>
        </w:rPr>
        <w:t xml:space="preserve"> and achievement of Expected Results</w:t>
      </w:r>
      <w:r w:rsidRPr="00323FFE">
        <w:rPr>
          <w:bCs/>
        </w:rPr>
        <w:t>, in accordance with Chapter 2 of the Financial Regulations and Rules</w:t>
      </w:r>
      <w:r w:rsidR="00617896">
        <w:rPr>
          <w:bCs/>
        </w:rPr>
        <w:t xml:space="preserve"> (FRR)</w:t>
      </w:r>
      <w:r w:rsidR="00350B30" w:rsidRPr="00323FFE">
        <w:rPr>
          <w:bCs/>
        </w:rPr>
        <w:t xml:space="preserve">.  </w:t>
      </w:r>
      <w:r w:rsidR="00323FFE">
        <w:rPr>
          <w:bCs/>
        </w:rPr>
        <w:t>This is a “planning” document and establishes the basis for all subsequent performance and financial reporting.</w:t>
      </w:r>
    </w:p>
    <w:p w:rsidR="00C30473" w:rsidRDefault="00C30473" w:rsidP="00C30473">
      <w:pPr>
        <w:pStyle w:val="ListParagraph"/>
        <w:rPr>
          <w:bCs/>
        </w:rPr>
      </w:pPr>
    </w:p>
    <w:p w:rsidR="002D3B4F" w:rsidRPr="00827E8D" w:rsidRDefault="002D3B4F" w:rsidP="002D3B4F">
      <w:pPr>
        <w:ind w:firstLine="567"/>
        <w:rPr>
          <w:bCs/>
          <w:i/>
        </w:rPr>
      </w:pPr>
      <w:r w:rsidRPr="00827E8D">
        <w:rPr>
          <w:bCs/>
          <w:i/>
        </w:rPr>
        <w:t>Reporting</w:t>
      </w:r>
    </w:p>
    <w:p w:rsidR="002D3B4F" w:rsidRPr="002D3B4F" w:rsidRDefault="002D3B4F" w:rsidP="002D3B4F">
      <w:pPr>
        <w:ind w:firstLine="567"/>
        <w:rPr>
          <w:bCs/>
        </w:rPr>
      </w:pPr>
    </w:p>
    <w:p w:rsidR="00C30473" w:rsidRPr="00323FFE" w:rsidRDefault="00C30473" w:rsidP="00350B30">
      <w:pPr>
        <w:pStyle w:val="ListParagraph"/>
        <w:numPr>
          <w:ilvl w:val="1"/>
          <w:numId w:val="5"/>
        </w:numPr>
        <w:rPr>
          <w:bCs/>
          <w:u w:val="single"/>
        </w:rPr>
      </w:pPr>
      <w:r w:rsidRPr="00C30473">
        <w:rPr>
          <w:bCs/>
          <w:u w:val="single"/>
        </w:rPr>
        <w:t>The Program Performance Report</w:t>
      </w:r>
      <w:r w:rsidR="0021448F">
        <w:rPr>
          <w:bCs/>
          <w:u w:val="single"/>
        </w:rPr>
        <w:t xml:space="preserve"> (PPR)</w:t>
      </w:r>
      <w:r w:rsidR="00D77F85">
        <w:rPr>
          <w:bCs/>
        </w:rPr>
        <w:t xml:space="preserve"> </w:t>
      </w:r>
      <w:r w:rsidR="00D77F85" w:rsidRPr="00A6340D">
        <w:rPr>
          <w:szCs w:val="22"/>
        </w:rPr>
        <w:t xml:space="preserve">is </w:t>
      </w:r>
      <w:r w:rsidR="00C92A83">
        <w:rPr>
          <w:szCs w:val="22"/>
        </w:rPr>
        <w:t xml:space="preserve">an end-biennium report which assesses the achievement of the Expected Results with the resources approved in the Program and </w:t>
      </w:r>
      <w:r w:rsidR="00D77F85" w:rsidRPr="00A6340D">
        <w:rPr>
          <w:szCs w:val="22"/>
        </w:rPr>
        <w:t>Budget</w:t>
      </w:r>
      <w:r w:rsidR="00C92A83">
        <w:rPr>
          <w:szCs w:val="22"/>
        </w:rPr>
        <w:t xml:space="preserve"> by means of Performance Indicators</w:t>
      </w:r>
      <w:r w:rsidR="00B1716C">
        <w:rPr>
          <w:szCs w:val="22"/>
        </w:rPr>
        <w:t>, in accordance with Regulation </w:t>
      </w:r>
      <w:r w:rsidR="00C92A83">
        <w:rPr>
          <w:szCs w:val="22"/>
        </w:rPr>
        <w:t>2.14 of the FRR</w:t>
      </w:r>
      <w:r w:rsidR="003F493C">
        <w:rPr>
          <w:szCs w:val="22"/>
        </w:rPr>
        <w:t>.</w:t>
      </w:r>
      <w:r w:rsidR="00F37106">
        <w:rPr>
          <w:szCs w:val="22"/>
        </w:rPr>
        <w:t xml:space="preserve"> </w:t>
      </w:r>
      <w:r w:rsidR="00323FFE">
        <w:rPr>
          <w:szCs w:val="22"/>
        </w:rPr>
        <w:t xml:space="preserve"> The annual PPR reports on progress towards the achievement of the Expected Results at the end of the first year of implementation.</w:t>
      </w:r>
    </w:p>
    <w:p w:rsidR="00323FFE" w:rsidRPr="00323FFE" w:rsidRDefault="00323FFE" w:rsidP="00323FFE">
      <w:pPr>
        <w:pStyle w:val="ListParagraph"/>
        <w:rPr>
          <w:bCs/>
          <w:u w:val="single"/>
        </w:rPr>
      </w:pPr>
    </w:p>
    <w:p w:rsidR="001D39C7" w:rsidRPr="008F1C87" w:rsidRDefault="005B0A3E" w:rsidP="00350B30">
      <w:pPr>
        <w:pStyle w:val="ListParagraph"/>
        <w:numPr>
          <w:ilvl w:val="1"/>
          <w:numId w:val="5"/>
        </w:numPr>
        <w:rPr>
          <w:bCs/>
          <w:u w:val="single"/>
        </w:rPr>
      </w:pPr>
      <w:r>
        <w:rPr>
          <w:bCs/>
          <w:u w:val="single"/>
        </w:rPr>
        <w:t>The Financial Statements</w:t>
      </w:r>
      <w:r w:rsidR="00FA2419">
        <w:rPr>
          <w:bCs/>
          <w:u w:val="single"/>
        </w:rPr>
        <w:t xml:space="preserve"> (FS)</w:t>
      </w:r>
      <w:r w:rsidR="008F1C87">
        <w:rPr>
          <w:bCs/>
        </w:rPr>
        <w:t xml:space="preserve"> are prepared on an annual basis, in compliance with the accounting standards applicable</w:t>
      </w:r>
      <w:r w:rsidR="00323FFE">
        <w:rPr>
          <w:bCs/>
        </w:rPr>
        <w:t xml:space="preserve"> </w:t>
      </w:r>
      <w:r w:rsidR="008F1C87">
        <w:rPr>
          <w:bCs/>
        </w:rPr>
        <w:t xml:space="preserve">to the United Nations System </w:t>
      </w:r>
      <w:r w:rsidR="00A27D5E">
        <w:rPr>
          <w:bCs/>
        </w:rPr>
        <w:t xml:space="preserve">(IPSAS since 2010) </w:t>
      </w:r>
      <w:r w:rsidR="00B1716C">
        <w:rPr>
          <w:bCs/>
        </w:rPr>
        <w:t xml:space="preserve">and in line with </w:t>
      </w:r>
      <w:r w:rsidR="008F1C87">
        <w:rPr>
          <w:bCs/>
        </w:rPr>
        <w:t xml:space="preserve">Rule 106.3 of the </w:t>
      </w:r>
      <w:r w:rsidR="00B1716C">
        <w:rPr>
          <w:bCs/>
        </w:rPr>
        <w:t>FRR</w:t>
      </w:r>
      <w:r w:rsidR="008F1C87">
        <w:rPr>
          <w:bCs/>
        </w:rPr>
        <w:t>.</w:t>
      </w:r>
    </w:p>
    <w:p w:rsidR="008F1C87" w:rsidRPr="008F1C87" w:rsidRDefault="008F1C87" w:rsidP="008F1C87">
      <w:pPr>
        <w:pStyle w:val="ListParagraph"/>
        <w:rPr>
          <w:bCs/>
          <w:u w:val="single"/>
        </w:rPr>
      </w:pPr>
    </w:p>
    <w:p w:rsidR="008F1C87" w:rsidRPr="00B65A9D" w:rsidRDefault="008F1C87" w:rsidP="00350B30">
      <w:pPr>
        <w:pStyle w:val="ListParagraph"/>
        <w:numPr>
          <w:ilvl w:val="1"/>
          <w:numId w:val="5"/>
        </w:numPr>
        <w:rPr>
          <w:bCs/>
          <w:u w:val="single"/>
        </w:rPr>
      </w:pPr>
      <w:r>
        <w:rPr>
          <w:bCs/>
          <w:u w:val="single"/>
        </w:rPr>
        <w:t xml:space="preserve">The </w:t>
      </w:r>
      <w:r w:rsidR="00AC178D">
        <w:rPr>
          <w:bCs/>
          <w:u w:val="single"/>
        </w:rPr>
        <w:t>Financial Management Report (FMR)</w:t>
      </w:r>
      <w:r w:rsidR="00AC178D">
        <w:rPr>
          <w:bCs/>
        </w:rPr>
        <w:t xml:space="preserve"> is transmitted to the PBC i</w:t>
      </w:r>
      <w:r w:rsidR="00AC178D" w:rsidRPr="00AC178D">
        <w:rPr>
          <w:bCs/>
        </w:rPr>
        <w:t>n accordance with Regulation 6.</w:t>
      </w:r>
      <w:r w:rsidR="00B256D2">
        <w:rPr>
          <w:bCs/>
        </w:rPr>
        <w:t>6</w:t>
      </w:r>
      <w:r w:rsidR="00AC178D" w:rsidRPr="00AC178D">
        <w:rPr>
          <w:bCs/>
        </w:rPr>
        <w:t xml:space="preserve"> of the FRR</w:t>
      </w:r>
      <w:r w:rsidR="00AC178D">
        <w:rPr>
          <w:bCs/>
        </w:rPr>
        <w:t xml:space="preserve">.  </w:t>
      </w:r>
      <w:r w:rsidR="00A27D5E">
        <w:rPr>
          <w:bCs/>
        </w:rPr>
        <w:t xml:space="preserve">It provides an overview of </w:t>
      </w:r>
      <w:r w:rsidR="00AC178D" w:rsidRPr="00AC178D">
        <w:rPr>
          <w:bCs/>
        </w:rPr>
        <w:t>the</w:t>
      </w:r>
      <w:r w:rsidR="00AC178D">
        <w:rPr>
          <w:bCs/>
        </w:rPr>
        <w:t xml:space="preserve"> Organization’s </w:t>
      </w:r>
      <w:r w:rsidR="00A27D5E">
        <w:rPr>
          <w:bCs/>
        </w:rPr>
        <w:t xml:space="preserve">biennial financial </w:t>
      </w:r>
      <w:r w:rsidR="00AC178D">
        <w:rPr>
          <w:bCs/>
        </w:rPr>
        <w:t xml:space="preserve">results </w:t>
      </w:r>
      <w:r w:rsidR="00A27D5E">
        <w:rPr>
          <w:bCs/>
        </w:rPr>
        <w:t>compared to</w:t>
      </w:r>
      <w:r w:rsidR="00AC178D">
        <w:rPr>
          <w:bCs/>
        </w:rPr>
        <w:t xml:space="preserve"> the </w:t>
      </w:r>
      <w:r w:rsidR="00A27D5E">
        <w:rPr>
          <w:bCs/>
        </w:rPr>
        <w:t xml:space="preserve">biennial </w:t>
      </w:r>
      <w:r w:rsidR="00AC178D">
        <w:rPr>
          <w:bCs/>
        </w:rPr>
        <w:t>budget</w:t>
      </w:r>
      <w:r w:rsidR="00B256D2">
        <w:rPr>
          <w:bCs/>
        </w:rPr>
        <w:t xml:space="preserve"> </w:t>
      </w:r>
      <w:r w:rsidR="00A27D5E">
        <w:rPr>
          <w:bCs/>
        </w:rPr>
        <w:t>(</w:t>
      </w:r>
      <w:r w:rsidR="00B256D2">
        <w:rPr>
          <w:bCs/>
        </w:rPr>
        <w:t>on a budgetary basis</w:t>
      </w:r>
      <w:r w:rsidR="00A27D5E">
        <w:rPr>
          <w:bCs/>
        </w:rPr>
        <w:t>).</w:t>
      </w:r>
      <w:r w:rsidR="00DA5472">
        <w:rPr>
          <w:bCs/>
        </w:rPr>
        <w:t xml:space="preserve"> </w:t>
      </w:r>
      <w:r w:rsidR="00B256D2">
        <w:rPr>
          <w:bCs/>
        </w:rPr>
        <w:t xml:space="preserve"> </w:t>
      </w:r>
      <w:r w:rsidR="00A27D5E">
        <w:rPr>
          <w:bCs/>
        </w:rPr>
        <w:t xml:space="preserve">It </w:t>
      </w:r>
      <w:r w:rsidR="00B256D2">
        <w:rPr>
          <w:bCs/>
        </w:rPr>
        <w:t xml:space="preserve">also </w:t>
      </w:r>
      <w:r w:rsidR="00AC178D">
        <w:rPr>
          <w:bCs/>
        </w:rPr>
        <w:t xml:space="preserve">provides details of the Organization’s financial performance and </w:t>
      </w:r>
      <w:r w:rsidR="002054F2">
        <w:rPr>
          <w:bCs/>
        </w:rPr>
        <w:t xml:space="preserve">financial </w:t>
      </w:r>
      <w:r w:rsidR="00AC178D">
        <w:rPr>
          <w:bCs/>
        </w:rPr>
        <w:t xml:space="preserve">position at the end of </w:t>
      </w:r>
      <w:r w:rsidR="00852561">
        <w:rPr>
          <w:bCs/>
        </w:rPr>
        <w:t>each</w:t>
      </w:r>
      <w:r w:rsidR="00A27D5E">
        <w:rPr>
          <w:bCs/>
        </w:rPr>
        <w:t xml:space="preserve"> biennium</w:t>
      </w:r>
      <w:r w:rsidR="00AC178D">
        <w:rPr>
          <w:bCs/>
        </w:rPr>
        <w:t>.</w:t>
      </w:r>
    </w:p>
    <w:p w:rsidR="00B65A9D" w:rsidRPr="00B65A9D" w:rsidRDefault="00B65A9D" w:rsidP="00B65A9D">
      <w:pPr>
        <w:pStyle w:val="ListParagraph"/>
        <w:rPr>
          <w:bCs/>
          <w:u w:val="single"/>
        </w:rPr>
      </w:pPr>
    </w:p>
    <w:p w:rsidR="00B65A9D" w:rsidRPr="00C317B6" w:rsidRDefault="00B65A9D" w:rsidP="00350B30">
      <w:pPr>
        <w:pStyle w:val="ListParagraph"/>
        <w:numPr>
          <w:ilvl w:val="1"/>
          <w:numId w:val="5"/>
        </w:numPr>
        <w:rPr>
          <w:bCs/>
          <w:u w:val="single"/>
        </w:rPr>
      </w:pPr>
      <w:r>
        <w:rPr>
          <w:bCs/>
          <w:u w:val="single"/>
        </w:rPr>
        <w:t>Other related documents</w:t>
      </w:r>
      <w:r w:rsidRPr="00B65A9D">
        <w:rPr>
          <w:bCs/>
        </w:rPr>
        <w:t>:  In addition to the above, a number</w:t>
      </w:r>
      <w:r>
        <w:rPr>
          <w:bCs/>
        </w:rPr>
        <w:t xml:space="preserve"> of other</w:t>
      </w:r>
      <w:r w:rsidR="004C4E68">
        <w:rPr>
          <w:bCs/>
        </w:rPr>
        <w:t xml:space="preserve"> </w:t>
      </w:r>
      <w:r w:rsidR="00D26815">
        <w:rPr>
          <w:bCs/>
        </w:rPr>
        <w:t xml:space="preserve">reports are submitted </w:t>
      </w:r>
      <w:r w:rsidR="002540C6">
        <w:rPr>
          <w:bCs/>
        </w:rPr>
        <w:t xml:space="preserve">on a regular basis </w:t>
      </w:r>
      <w:r w:rsidR="00D26815">
        <w:rPr>
          <w:bCs/>
        </w:rPr>
        <w:t>to Member States</w:t>
      </w:r>
      <w:r w:rsidR="004C4E68">
        <w:rPr>
          <w:bCs/>
        </w:rPr>
        <w:t xml:space="preserve">, </w:t>
      </w:r>
      <w:r w:rsidR="00D26815">
        <w:rPr>
          <w:bCs/>
        </w:rPr>
        <w:t>including report</w:t>
      </w:r>
      <w:r w:rsidR="002540C6">
        <w:rPr>
          <w:bCs/>
        </w:rPr>
        <w:t>s</w:t>
      </w:r>
      <w:r w:rsidR="004C4E68">
        <w:rPr>
          <w:bCs/>
        </w:rPr>
        <w:t xml:space="preserve"> </w:t>
      </w:r>
      <w:r w:rsidR="002540C6">
        <w:rPr>
          <w:bCs/>
        </w:rPr>
        <w:t xml:space="preserve">on </w:t>
      </w:r>
      <w:r w:rsidR="004C4E68">
        <w:rPr>
          <w:bCs/>
        </w:rPr>
        <w:t xml:space="preserve">the use of the Organization’s reserves </w:t>
      </w:r>
      <w:r w:rsidR="002540C6">
        <w:rPr>
          <w:bCs/>
        </w:rPr>
        <w:t xml:space="preserve">and </w:t>
      </w:r>
      <w:r w:rsidR="00415DE0">
        <w:rPr>
          <w:bCs/>
        </w:rPr>
        <w:t>cost efficiencies</w:t>
      </w:r>
      <w:r w:rsidR="002540C6">
        <w:rPr>
          <w:bCs/>
        </w:rPr>
        <w:t>.</w:t>
      </w:r>
      <w:r w:rsidR="00D75E61">
        <w:rPr>
          <w:bCs/>
        </w:rPr>
        <w:t xml:space="preserve"> </w:t>
      </w:r>
      <w:r w:rsidR="002540C6">
        <w:rPr>
          <w:bCs/>
        </w:rPr>
        <w:t xml:space="preserve"> </w:t>
      </w:r>
      <w:r w:rsidR="00D75E61">
        <w:rPr>
          <w:bCs/>
        </w:rPr>
        <w:t>For the present session</w:t>
      </w:r>
      <w:r w:rsidR="002540C6">
        <w:rPr>
          <w:bCs/>
        </w:rPr>
        <w:t xml:space="preserve"> of the PBC</w:t>
      </w:r>
      <w:r w:rsidR="00D75E61">
        <w:rPr>
          <w:bCs/>
        </w:rPr>
        <w:t xml:space="preserve">, </w:t>
      </w:r>
      <w:r w:rsidR="002540C6">
        <w:rPr>
          <w:bCs/>
        </w:rPr>
        <w:t xml:space="preserve">the reporting on </w:t>
      </w:r>
      <w:r w:rsidR="00D75E61">
        <w:rPr>
          <w:bCs/>
        </w:rPr>
        <w:t xml:space="preserve">cost efficiencies </w:t>
      </w:r>
      <w:r w:rsidR="002540C6">
        <w:rPr>
          <w:bCs/>
        </w:rPr>
        <w:t xml:space="preserve">has been included in the PPR 2012/13 as </w:t>
      </w:r>
      <w:r w:rsidR="00D75E61">
        <w:rPr>
          <w:bCs/>
        </w:rPr>
        <w:t xml:space="preserve">an integral part of </w:t>
      </w:r>
      <w:r w:rsidR="00536E63">
        <w:rPr>
          <w:bCs/>
        </w:rPr>
        <w:t>p</w:t>
      </w:r>
      <w:r w:rsidR="00D75E61">
        <w:rPr>
          <w:bCs/>
        </w:rPr>
        <w:t xml:space="preserve">rogram </w:t>
      </w:r>
      <w:r w:rsidR="002540C6">
        <w:rPr>
          <w:bCs/>
        </w:rPr>
        <w:t xml:space="preserve">implementation and </w:t>
      </w:r>
      <w:r w:rsidR="002D3B4F">
        <w:rPr>
          <w:bCs/>
        </w:rPr>
        <w:t>performance</w:t>
      </w:r>
      <w:r w:rsidR="00D75E61">
        <w:rPr>
          <w:bCs/>
        </w:rPr>
        <w:t xml:space="preserve"> </w:t>
      </w:r>
      <w:r w:rsidR="002540C6">
        <w:rPr>
          <w:bCs/>
        </w:rPr>
        <w:t>assessment.  Equally, the reporting</w:t>
      </w:r>
      <w:r w:rsidR="00D75E61">
        <w:rPr>
          <w:bCs/>
        </w:rPr>
        <w:t xml:space="preserve"> </w:t>
      </w:r>
      <w:r w:rsidR="002540C6">
        <w:rPr>
          <w:bCs/>
        </w:rPr>
        <w:t xml:space="preserve">on </w:t>
      </w:r>
      <w:r w:rsidR="00D75E61">
        <w:rPr>
          <w:bCs/>
        </w:rPr>
        <w:t>reserves utilization</w:t>
      </w:r>
      <w:r w:rsidR="002540C6" w:rsidRPr="002540C6">
        <w:rPr>
          <w:bCs/>
        </w:rPr>
        <w:t xml:space="preserve"> </w:t>
      </w:r>
      <w:r w:rsidR="002540C6">
        <w:rPr>
          <w:bCs/>
        </w:rPr>
        <w:t>has been included in the FMR as</w:t>
      </w:r>
      <w:r w:rsidR="00D75E61">
        <w:rPr>
          <w:bCs/>
        </w:rPr>
        <w:t xml:space="preserve"> an integral part of </w:t>
      </w:r>
      <w:r w:rsidR="00536E63">
        <w:rPr>
          <w:bCs/>
        </w:rPr>
        <w:t>f</w:t>
      </w:r>
      <w:r w:rsidR="00D75E61">
        <w:rPr>
          <w:bCs/>
        </w:rPr>
        <w:t xml:space="preserve">inancial </w:t>
      </w:r>
      <w:r w:rsidR="00536E63">
        <w:rPr>
          <w:bCs/>
        </w:rPr>
        <w:t>m</w:t>
      </w:r>
      <w:r w:rsidR="00D75E61">
        <w:rPr>
          <w:bCs/>
        </w:rPr>
        <w:t>anagement</w:t>
      </w:r>
      <w:r w:rsidR="002540C6">
        <w:rPr>
          <w:bCs/>
        </w:rPr>
        <w:t xml:space="preserve"> reporting</w:t>
      </w:r>
      <w:r w:rsidR="00D75E61">
        <w:rPr>
          <w:bCs/>
        </w:rPr>
        <w:t>.</w:t>
      </w:r>
    </w:p>
    <w:p w:rsidR="00AA0C07" w:rsidRDefault="00AA0C07" w:rsidP="00AA0C07">
      <w:pPr>
        <w:pStyle w:val="Heading1"/>
        <w:keepNext w:val="0"/>
        <w:spacing w:after="220"/>
      </w:pPr>
      <w:r>
        <w:t>III.</w:t>
      </w:r>
      <w:r>
        <w:tab/>
        <w:t>KEY ISSUES</w:t>
      </w:r>
    </w:p>
    <w:p w:rsidR="00040F8F" w:rsidRDefault="00F37106" w:rsidP="00040F8F">
      <w:pPr>
        <w:pStyle w:val="ONUME"/>
        <w:numPr>
          <w:ilvl w:val="0"/>
          <w:numId w:val="0"/>
        </w:numPr>
      </w:pPr>
      <w:r>
        <w:fldChar w:fldCharType="begin"/>
      </w:r>
      <w:r>
        <w:instrText xml:space="preserve"> AUTONUM  </w:instrText>
      </w:r>
      <w:r>
        <w:fldChar w:fldCharType="end"/>
      </w:r>
      <w:r>
        <w:tab/>
      </w:r>
      <w:r w:rsidR="00AF5CBB">
        <w:t xml:space="preserve">The </w:t>
      </w:r>
      <w:r w:rsidR="0021448F">
        <w:t xml:space="preserve">analysis </w:t>
      </w:r>
      <w:r w:rsidR="00807FB5">
        <w:t xml:space="preserve">conducted by the Secretariat </w:t>
      </w:r>
      <w:r w:rsidR="0021448F">
        <w:t xml:space="preserve">of the </w:t>
      </w:r>
      <w:r w:rsidR="002D3B4F">
        <w:t>content of</w:t>
      </w:r>
      <w:r w:rsidR="0021448F">
        <w:t xml:space="preserve"> the above report</w:t>
      </w:r>
      <w:r w:rsidR="00AF5CBB">
        <w:t>s</w:t>
      </w:r>
      <w:r w:rsidR="0021448F">
        <w:t xml:space="preserve"> </w:t>
      </w:r>
      <w:r w:rsidR="002D3B4F">
        <w:t>highlight</w:t>
      </w:r>
      <w:r w:rsidR="00AF5CBB">
        <w:t>ed</w:t>
      </w:r>
      <w:r w:rsidR="002D3B4F">
        <w:t xml:space="preserve"> </w:t>
      </w:r>
      <w:r w:rsidR="00807FB5">
        <w:t>some</w:t>
      </w:r>
      <w:r w:rsidR="00FA2419">
        <w:t xml:space="preserve"> </w:t>
      </w:r>
      <w:r w:rsidR="0021448F">
        <w:t xml:space="preserve">duplication </w:t>
      </w:r>
      <w:r w:rsidR="00FA2419">
        <w:t xml:space="preserve">and overlap </w:t>
      </w:r>
      <w:r w:rsidR="0021448F">
        <w:t xml:space="preserve">in the information </w:t>
      </w:r>
      <w:r w:rsidR="00281AD1">
        <w:t>disclosed</w:t>
      </w:r>
      <w:r w:rsidR="00807FB5">
        <w:t xml:space="preserve"> in </w:t>
      </w:r>
      <w:r w:rsidR="0021448F">
        <w:t>the FMR and the PPR</w:t>
      </w:r>
      <w:r w:rsidR="00FA2419">
        <w:t xml:space="preserve"> and </w:t>
      </w:r>
      <w:r w:rsidR="00040F8F">
        <w:t xml:space="preserve">a </w:t>
      </w:r>
      <w:r w:rsidR="00852561">
        <w:t>considerable</w:t>
      </w:r>
      <w:r w:rsidR="00807FB5">
        <w:t xml:space="preserve"> overlap and duplication </w:t>
      </w:r>
      <w:r w:rsidR="00FA2419">
        <w:t>between the FMR and the FS</w:t>
      </w:r>
      <w:r w:rsidR="00E94630">
        <w:t xml:space="preserve">. </w:t>
      </w:r>
    </w:p>
    <w:p w:rsidR="00AA0C07" w:rsidRDefault="00F37106" w:rsidP="00F37106">
      <w:pPr>
        <w:pStyle w:val="ONUME"/>
        <w:numPr>
          <w:ilvl w:val="0"/>
          <w:numId w:val="0"/>
        </w:numPr>
      </w:pPr>
      <w:r>
        <w:fldChar w:fldCharType="begin"/>
      </w:r>
      <w:r>
        <w:instrText xml:space="preserve"> AUTONUM  </w:instrText>
      </w:r>
      <w:r>
        <w:fldChar w:fldCharType="end"/>
      </w:r>
      <w:r>
        <w:tab/>
      </w:r>
      <w:r w:rsidR="00E94630">
        <w:t>Th</w:t>
      </w:r>
      <w:r w:rsidR="00FA2419">
        <w:t>e detailed</w:t>
      </w:r>
      <w:r w:rsidR="00E94630">
        <w:t xml:space="preserve"> analysis</w:t>
      </w:r>
      <w:r w:rsidR="00FA2419">
        <w:t xml:space="preserve"> of the content of these documents</w:t>
      </w:r>
      <w:r w:rsidR="00E94630">
        <w:t xml:space="preserve"> is set out in </w:t>
      </w:r>
      <w:r w:rsidR="001303CA">
        <w:t xml:space="preserve">the </w:t>
      </w:r>
      <w:r w:rsidR="00E94630">
        <w:t xml:space="preserve">Annex. </w:t>
      </w:r>
      <w:r>
        <w:t xml:space="preserve"> </w:t>
      </w:r>
      <w:r w:rsidR="00E94630">
        <w:t xml:space="preserve">The duplication and overlap results in an </w:t>
      </w:r>
      <w:r w:rsidR="005D0E0E">
        <w:t xml:space="preserve">information </w:t>
      </w:r>
      <w:r w:rsidR="00E94630">
        <w:t xml:space="preserve">overload on the users of </w:t>
      </w:r>
      <w:r w:rsidR="00B256D2">
        <w:t xml:space="preserve">these </w:t>
      </w:r>
      <w:r w:rsidR="00E94630">
        <w:t xml:space="preserve">reports, a higher level of effort </w:t>
      </w:r>
      <w:r w:rsidR="005D0E0E">
        <w:t>to coordinate the drafting of the documents</w:t>
      </w:r>
      <w:r w:rsidR="00E94630">
        <w:t xml:space="preserve"> and a higher level of effort and cost of translation and publication.</w:t>
      </w:r>
    </w:p>
    <w:p w:rsidR="001078E4" w:rsidRDefault="001078E4">
      <w:pPr>
        <w:rPr>
          <w:b/>
          <w:i/>
          <w:highlight w:val="yellow"/>
        </w:rPr>
      </w:pPr>
    </w:p>
    <w:p w:rsidR="001078E4" w:rsidRDefault="001078E4">
      <w:pPr>
        <w:rPr>
          <w:b/>
          <w:i/>
          <w:highlight w:val="yellow"/>
        </w:rPr>
      </w:pPr>
    </w:p>
    <w:p w:rsidR="001078E4" w:rsidRDefault="001078E4">
      <w:pPr>
        <w:rPr>
          <w:b/>
          <w:i/>
          <w:highlight w:val="yellow"/>
        </w:rPr>
      </w:pPr>
    </w:p>
    <w:p w:rsidR="001078E4" w:rsidRDefault="001078E4">
      <w:pPr>
        <w:rPr>
          <w:b/>
          <w:i/>
          <w:highlight w:val="yellow"/>
        </w:rPr>
      </w:pPr>
    </w:p>
    <w:p w:rsidR="001078E4" w:rsidRDefault="001078E4">
      <w:pPr>
        <w:rPr>
          <w:b/>
          <w:i/>
          <w:highlight w:val="yellow"/>
        </w:rPr>
      </w:pPr>
    </w:p>
    <w:p w:rsidR="001078E4" w:rsidRDefault="001078E4">
      <w:pPr>
        <w:rPr>
          <w:b/>
          <w:i/>
          <w:highlight w:val="yellow"/>
        </w:rPr>
      </w:pPr>
    </w:p>
    <w:p w:rsidR="001078E4" w:rsidRDefault="001078E4">
      <w:pPr>
        <w:rPr>
          <w:b/>
          <w:i/>
          <w:highlight w:val="yellow"/>
        </w:rPr>
      </w:pPr>
    </w:p>
    <w:p w:rsidR="001303CA" w:rsidRDefault="001303CA">
      <w:pPr>
        <w:rPr>
          <w:b/>
          <w:i/>
          <w:highlight w:val="yellow"/>
        </w:rPr>
      </w:pPr>
    </w:p>
    <w:p w:rsidR="006323BD" w:rsidRDefault="00787D03">
      <w:pPr>
        <w:rPr>
          <w:b/>
          <w:i/>
          <w:highlight w:val="yellow"/>
        </w:rPr>
      </w:pPr>
      <w:r>
        <w:rPr>
          <w:b/>
          <w:i/>
          <w:noProof/>
          <w:lang w:eastAsia="en-US"/>
        </w:rPr>
        <w:lastRenderedPageBreak/>
        <w:drawing>
          <wp:anchor distT="0" distB="0" distL="114300" distR="114300" simplePos="0" relativeHeight="251658240" behindDoc="1" locked="0" layoutInCell="1" allowOverlap="1" wp14:anchorId="43CD122C" wp14:editId="2D3F0A70">
            <wp:simplePos x="0" y="0"/>
            <wp:positionH relativeFrom="column">
              <wp:posOffset>133713</wp:posOffset>
            </wp:positionH>
            <wp:positionV relativeFrom="paragraph">
              <wp:posOffset>-109128</wp:posOffset>
            </wp:positionV>
            <wp:extent cx="5747657" cy="2416628"/>
            <wp:effectExtent l="0" t="0" r="571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7657" cy="24166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Default="00787D03">
      <w:pPr>
        <w:rPr>
          <w:b/>
          <w:i/>
          <w:highlight w:val="yellow"/>
        </w:rPr>
      </w:pPr>
    </w:p>
    <w:p w:rsidR="00787D03" w:rsidRPr="00787D03" w:rsidRDefault="00787D03">
      <w:pPr>
        <w:rPr>
          <w:b/>
          <w:i/>
        </w:rPr>
      </w:pPr>
    </w:p>
    <w:p w:rsidR="00787D03" w:rsidRDefault="00787D03">
      <w:pPr>
        <w:rPr>
          <w:b/>
          <w:i/>
          <w:highlight w:val="yellow"/>
        </w:rPr>
      </w:pPr>
      <w:r w:rsidRPr="00787D03">
        <w:rPr>
          <w:b/>
          <w:i/>
          <w:noProof/>
          <w:highlight w:val="yellow"/>
          <w:lang w:eastAsia="en-US"/>
        </w:rPr>
        <mc:AlternateContent>
          <mc:Choice Requires="wps">
            <w:drawing>
              <wp:anchor distT="0" distB="0" distL="114300" distR="114300" simplePos="0" relativeHeight="251660288" behindDoc="0" locked="0" layoutInCell="1" allowOverlap="1" wp14:anchorId="6680261B" wp14:editId="5D42B538">
                <wp:simplePos x="0" y="0"/>
                <wp:positionH relativeFrom="column">
                  <wp:posOffset>4637496</wp:posOffset>
                </wp:positionH>
                <wp:positionV relativeFrom="paragraph">
                  <wp:posOffset>62411</wp:posOffset>
                </wp:positionV>
                <wp:extent cx="1730375" cy="1403985"/>
                <wp:effectExtent l="0" t="0" r="317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403985"/>
                        </a:xfrm>
                        <a:prstGeom prst="rect">
                          <a:avLst/>
                        </a:prstGeom>
                        <a:solidFill>
                          <a:srgbClr val="FFFFFF"/>
                        </a:solidFill>
                        <a:ln w="9525">
                          <a:noFill/>
                          <a:miter lim="800000"/>
                          <a:headEnd/>
                          <a:tailEnd/>
                        </a:ln>
                      </wps:spPr>
                      <wps:txbx>
                        <w:txbxContent>
                          <w:p w:rsidR="00787D03" w:rsidRPr="00787D03" w:rsidRDefault="00787D03">
                            <w:pPr>
                              <w:rPr>
                                <w:i/>
                                <w:sz w:val="16"/>
                                <w:szCs w:val="16"/>
                              </w:rPr>
                            </w:pPr>
                            <w:r w:rsidRPr="00787D03">
                              <w:rPr>
                                <w:i/>
                                <w:sz w:val="16"/>
                                <w:szCs w:val="16"/>
                              </w:rPr>
                              <w:t xml:space="preserve">The annual PPR will be </w:t>
                            </w:r>
                            <w:r>
                              <w:rPr>
                                <w:i/>
                                <w:sz w:val="16"/>
                                <w:szCs w:val="16"/>
                              </w:rPr>
                              <w:br/>
                            </w:r>
                            <w:r w:rsidRPr="00787D03">
                              <w:rPr>
                                <w:i/>
                                <w:sz w:val="16"/>
                                <w:szCs w:val="16"/>
                              </w:rPr>
                              <w:t>retained as a progress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5.15pt;margin-top:4.9pt;width:13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" stroked="f">
                <v:textbox style="mso-fit-shape-to-text:t">
                  <w:txbxContent>
                    <w:p w:rsidR="00787D03" w:rsidRPr="00787D03" w:rsidRDefault="00787D03">
                      <w:pPr>
                        <w:rPr>
                          <w:i/>
                          <w:sz w:val="16"/>
                          <w:szCs w:val="16"/>
                        </w:rPr>
                      </w:pPr>
                      <w:r w:rsidRPr="00787D03">
                        <w:rPr>
                          <w:i/>
                          <w:sz w:val="16"/>
                          <w:szCs w:val="16"/>
                        </w:rPr>
                        <w:t xml:space="preserve">The annual PPR will be </w:t>
                      </w:r>
                      <w:r>
                        <w:rPr>
                          <w:i/>
                          <w:sz w:val="16"/>
                          <w:szCs w:val="16"/>
                        </w:rPr>
                        <w:br/>
                      </w:r>
                      <w:r w:rsidRPr="00787D03">
                        <w:rPr>
                          <w:i/>
                          <w:sz w:val="16"/>
                          <w:szCs w:val="16"/>
                        </w:rPr>
                        <w:t>retained as a progress report</w:t>
                      </w:r>
                    </w:p>
                  </w:txbxContent>
                </v:textbox>
              </v:shape>
            </w:pict>
          </mc:Fallback>
        </mc:AlternateContent>
      </w:r>
    </w:p>
    <w:p w:rsidR="00787D03" w:rsidRDefault="00787D03">
      <w:pPr>
        <w:rPr>
          <w:b/>
          <w:i/>
          <w:highlight w:val="yellow"/>
        </w:rPr>
      </w:pPr>
    </w:p>
    <w:p w:rsidR="00787D03" w:rsidRDefault="00787D03">
      <w:pPr>
        <w:rPr>
          <w:b/>
          <w:i/>
          <w:highlight w:val="yellow"/>
        </w:rPr>
      </w:pPr>
    </w:p>
    <w:p w:rsidR="001078E4" w:rsidRPr="00583BD4" w:rsidRDefault="001078E4">
      <w:pPr>
        <w:rPr>
          <w:b/>
          <w:i/>
          <w:sz w:val="4"/>
          <w:szCs w:val="4"/>
          <w:highlight w:val="yellow"/>
        </w:rPr>
      </w:pPr>
    </w:p>
    <w:p w:rsidR="005D0E0E" w:rsidRDefault="00AA0C07" w:rsidP="00AA0C07">
      <w:pPr>
        <w:pStyle w:val="ONUME"/>
        <w:numPr>
          <w:ilvl w:val="0"/>
          <w:numId w:val="0"/>
        </w:numPr>
      </w:pPr>
      <w:r>
        <w:fldChar w:fldCharType="begin"/>
      </w:r>
      <w:r>
        <w:instrText xml:space="preserve"> AUTONUM  </w:instrText>
      </w:r>
      <w:r>
        <w:fldChar w:fldCharType="end"/>
      </w:r>
      <w:r>
        <w:tab/>
      </w:r>
      <w:r w:rsidR="005D0E0E">
        <w:t xml:space="preserve">The </w:t>
      </w:r>
      <w:r w:rsidR="00FA2419">
        <w:t>main</w:t>
      </w:r>
      <w:r w:rsidR="005D0E0E">
        <w:t xml:space="preserve"> reasons for this situation are:</w:t>
      </w:r>
    </w:p>
    <w:p w:rsidR="00AA0C07" w:rsidRDefault="00040F8F" w:rsidP="00C317B6">
      <w:pPr>
        <w:pStyle w:val="ONUME"/>
        <w:numPr>
          <w:ilvl w:val="0"/>
          <w:numId w:val="7"/>
        </w:numPr>
      </w:pPr>
      <w:r>
        <w:t>In an effort to provide more</w:t>
      </w:r>
      <w:r w:rsidR="00786997">
        <w:t xml:space="preserve"> comprehensive </w:t>
      </w:r>
      <w:r w:rsidR="00FA2419">
        <w:t>report</w:t>
      </w:r>
      <w:r w:rsidR="00324C5A">
        <w:t>ing</w:t>
      </w:r>
      <w:r>
        <w:t xml:space="preserve"> to Member States</w:t>
      </w:r>
      <w:r w:rsidR="00FA2419">
        <w:t xml:space="preserve"> </w:t>
      </w:r>
      <w:r>
        <w:t>enabl</w:t>
      </w:r>
      <w:r w:rsidR="00536E63">
        <w:t>ing</w:t>
      </w:r>
      <w:r>
        <w:t xml:space="preserve"> </w:t>
      </w:r>
      <w:r w:rsidR="00324C5A">
        <w:t xml:space="preserve">a </w:t>
      </w:r>
      <w:r w:rsidR="00FA2419">
        <w:t>meaning</w:t>
      </w:r>
      <w:r w:rsidR="004F1B55">
        <w:t>ful</w:t>
      </w:r>
      <w:r w:rsidR="00FA2419">
        <w:t xml:space="preserve"> assess</w:t>
      </w:r>
      <w:r w:rsidR="00324C5A">
        <w:t>ment of</w:t>
      </w:r>
      <w:r w:rsidR="00FA2419">
        <w:t xml:space="preserve"> program performance</w:t>
      </w:r>
      <w:r>
        <w:t xml:space="preserve">, </w:t>
      </w:r>
      <w:r w:rsidR="00B256D2">
        <w:t>the Secretariat has</w:t>
      </w:r>
      <w:r>
        <w:t xml:space="preserve"> increasingly integrated both programmatic and budgetary information within the PPR.</w:t>
      </w:r>
      <w:r w:rsidR="00786997">
        <w:t xml:space="preserve"> </w:t>
      </w:r>
      <w:r w:rsidR="00C317B6">
        <w:t xml:space="preserve"> </w:t>
      </w:r>
      <w:r w:rsidR="00FA2419">
        <w:t>Such integration was</w:t>
      </w:r>
      <w:r w:rsidR="00761291">
        <w:t xml:space="preserve"> also recommended by the previous Audit Committee in the context of strengthening Results Based Management.</w:t>
      </w:r>
      <w:r w:rsidR="00F37106">
        <w:t xml:space="preserve"> </w:t>
      </w:r>
      <w:r w:rsidR="00761291">
        <w:t xml:space="preserve"> This has resulted in the </w:t>
      </w:r>
      <w:r w:rsidR="00324C5A">
        <w:t xml:space="preserve">biennial </w:t>
      </w:r>
      <w:r w:rsidR="00761291">
        <w:t xml:space="preserve">PPR being expanded to include information and analysis on budget utilization </w:t>
      </w:r>
      <w:r w:rsidR="00FA2419">
        <w:t xml:space="preserve">by program (and result) </w:t>
      </w:r>
      <w:r w:rsidR="00761291">
        <w:t>which overlaps with the FMR</w:t>
      </w:r>
      <w:r w:rsidR="00F37106">
        <w:t>.</w:t>
      </w:r>
    </w:p>
    <w:p w:rsidR="00040F8F" w:rsidRDefault="00761291" w:rsidP="00C317B6">
      <w:pPr>
        <w:pStyle w:val="ONUME"/>
        <w:numPr>
          <w:ilvl w:val="0"/>
          <w:numId w:val="7"/>
        </w:numPr>
      </w:pPr>
      <w:r>
        <w:t>In complying with IPSAS and the July 2013 pronouncement of</w:t>
      </w:r>
      <w:r w:rsidR="00AA2E79">
        <w:t xml:space="preserve"> the International Public Sector Accounting Standards Board (</w:t>
      </w:r>
      <w:r w:rsidR="00AA0C07">
        <w:t>IPSAS</w:t>
      </w:r>
      <w:r w:rsidR="00AA2E79">
        <w:t>B)</w:t>
      </w:r>
      <w:r>
        <w:t xml:space="preserve"> that</w:t>
      </w:r>
      <w:r w:rsidR="00AA2E79">
        <w:t xml:space="preserve"> recommended </w:t>
      </w:r>
      <w:r w:rsidR="00F46CC8">
        <w:t>that “information in financial statement discussion and analysis should meet with the qualitative characteristics of financial reporting taking into account the constraints on information included in general purpose financial reports</w:t>
      </w:r>
      <w:r w:rsidR="00040F8F">
        <w:t>”</w:t>
      </w:r>
      <w:r>
        <w:t xml:space="preserve">, the Financial Statements, which under UNSAS were limited to financial reports and tables, have </w:t>
      </w:r>
      <w:r w:rsidR="00B256D2">
        <w:t xml:space="preserve">been </w:t>
      </w:r>
      <w:r>
        <w:t xml:space="preserve">expanded to include analysis of income and expenditure. </w:t>
      </w:r>
      <w:r w:rsidR="00F37106">
        <w:t xml:space="preserve"> </w:t>
      </w:r>
      <w:r w:rsidR="00852561">
        <w:t>While the analysis in the FS is on an IPSAS basis and that in the FMR is on a budgetary basis, there is duplication of content from a user’s perspective between the FS and FMR</w:t>
      </w:r>
      <w:r w:rsidR="00F37106">
        <w:t>.</w:t>
      </w:r>
    </w:p>
    <w:p w:rsidR="00C317B6" w:rsidRDefault="00F37106" w:rsidP="00C317B6">
      <w:pPr>
        <w:pStyle w:val="ONUME"/>
        <w:numPr>
          <w:ilvl w:val="0"/>
          <w:numId w:val="0"/>
        </w:numPr>
        <w:spacing w:after="0"/>
        <w:ind w:left="567" w:hanging="567"/>
      </w:pPr>
      <w:r>
        <w:fldChar w:fldCharType="begin"/>
      </w:r>
      <w:r>
        <w:instrText xml:space="preserve"> AUTONUM  </w:instrText>
      </w:r>
      <w:r>
        <w:fldChar w:fldCharType="end"/>
      </w:r>
      <w:r>
        <w:tab/>
      </w:r>
      <w:r w:rsidR="00FA2419">
        <w:t xml:space="preserve">The total number of pages across these documents </w:t>
      </w:r>
      <w:r w:rsidR="00F56C83">
        <w:t xml:space="preserve">and in all languages </w:t>
      </w:r>
      <w:r w:rsidR="000E7754">
        <w:t xml:space="preserve">was </w:t>
      </w:r>
      <w:r w:rsidR="005B0159">
        <w:t xml:space="preserve">2,115 pages in the 2010/11 biennium </w:t>
      </w:r>
      <w:r w:rsidR="00F56C83">
        <w:t xml:space="preserve">and </w:t>
      </w:r>
      <w:r w:rsidR="002F093D">
        <w:t xml:space="preserve">approximately </w:t>
      </w:r>
      <w:r w:rsidR="00E95A7A">
        <w:t>2,758</w:t>
      </w:r>
      <w:r w:rsidR="005B0159">
        <w:t xml:space="preserve"> pages in </w:t>
      </w:r>
      <w:r w:rsidR="00F56C83">
        <w:t>2012/13 biennia</w:t>
      </w:r>
      <w:r w:rsidR="005B0159">
        <w:t>.</w:t>
      </w:r>
      <w:r w:rsidR="00F56C83">
        <w:t xml:space="preserve"> </w:t>
      </w:r>
      <w:r w:rsidR="00C317B6">
        <w:t xml:space="preserve"> </w:t>
      </w:r>
      <w:r w:rsidR="00B256D2">
        <w:t xml:space="preserve">The </w:t>
      </w:r>
      <w:r w:rsidR="005B0159">
        <w:t>initial estimate of duplicated content is in the range of 20-30 percent.</w:t>
      </w:r>
    </w:p>
    <w:p w:rsidR="00C317B6" w:rsidRDefault="00C317B6" w:rsidP="00C317B6">
      <w:pPr>
        <w:pStyle w:val="ONUME"/>
        <w:numPr>
          <w:ilvl w:val="0"/>
          <w:numId w:val="0"/>
        </w:numPr>
        <w:spacing w:after="0"/>
        <w:ind w:left="567" w:hanging="567"/>
      </w:pPr>
    </w:p>
    <w:p w:rsidR="00AA0C07" w:rsidRDefault="00623030" w:rsidP="00C317B6">
      <w:pPr>
        <w:pStyle w:val="ONUME"/>
        <w:numPr>
          <w:ilvl w:val="0"/>
          <w:numId w:val="0"/>
        </w:numPr>
        <w:ind w:left="567" w:hanging="567"/>
      </w:pPr>
      <w:r w:rsidRPr="004C5E9B">
        <w:rPr>
          <w:b/>
          <w:bCs/>
          <w:caps/>
          <w:kern w:val="32"/>
          <w:szCs w:val="32"/>
        </w:rPr>
        <w:t>IV.</w:t>
      </w:r>
      <w:r w:rsidRPr="004C5E9B">
        <w:rPr>
          <w:b/>
          <w:bCs/>
          <w:caps/>
          <w:kern w:val="32"/>
          <w:szCs w:val="32"/>
        </w:rPr>
        <w:tab/>
      </w:r>
      <w:r w:rsidR="004328E8">
        <w:rPr>
          <w:b/>
          <w:bCs/>
          <w:caps/>
          <w:kern w:val="32"/>
          <w:szCs w:val="32"/>
        </w:rPr>
        <w:t>enhanced reporting opportunity</w:t>
      </w:r>
    </w:p>
    <w:p w:rsidR="005B0159" w:rsidRDefault="00F37106" w:rsidP="005B0159">
      <w:pPr>
        <w:pStyle w:val="ONUME"/>
        <w:numPr>
          <w:ilvl w:val="0"/>
          <w:numId w:val="0"/>
        </w:numPr>
      </w:pPr>
      <w:r>
        <w:fldChar w:fldCharType="begin"/>
      </w:r>
      <w:r>
        <w:instrText xml:space="preserve"> AUTONUM  </w:instrText>
      </w:r>
      <w:r>
        <w:fldChar w:fldCharType="end"/>
      </w:r>
      <w:r>
        <w:tab/>
      </w:r>
      <w:r w:rsidR="00623030">
        <w:t xml:space="preserve">The aforementioned </w:t>
      </w:r>
      <w:r w:rsidR="00F56C83">
        <w:t>analysi</w:t>
      </w:r>
      <w:r w:rsidR="004813A2">
        <w:t>s highlights a clear opportunity to</w:t>
      </w:r>
      <w:r w:rsidR="00623030">
        <w:t xml:space="preserve"> enhance </w:t>
      </w:r>
      <w:r w:rsidR="00F56C83">
        <w:t xml:space="preserve">the current </w:t>
      </w:r>
      <w:r w:rsidR="004E61B8">
        <w:t xml:space="preserve">biennial </w:t>
      </w:r>
      <w:r w:rsidR="00F56C83">
        <w:t>reporting to Member States,</w:t>
      </w:r>
      <w:r w:rsidR="004813A2">
        <w:t xml:space="preserve"> through</w:t>
      </w:r>
      <w:r w:rsidR="004C35D4">
        <w:t xml:space="preserve"> the issuance of a comprehensive </w:t>
      </w:r>
      <w:r w:rsidR="0024170B">
        <w:t>Biennial Performance Report</w:t>
      </w:r>
      <w:r w:rsidR="00B256D2">
        <w:t>,</w:t>
      </w:r>
      <w:r w:rsidR="00F72A01">
        <w:t xml:space="preserve"> which</w:t>
      </w:r>
      <w:r w:rsidR="00852561">
        <w:t xml:space="preserve"> would</w:t>
      </w:r>
      <w:r w:rsidR="00F72A01">
        <w:t xml:space="preserve"> </w:t>
      </w:r>
      <w:r w:rsidR="00852561">
        <w:t>bring</w:t>
      </w:r>
      <w:r w:rsidR="00F72A01">
        <w:t xml:space="preserve"> together information that is </w:t>
      </w:r>
      <w:r w:rsidR="00324C5A">
        <w:t xml:space="preserve">currently </w:t>
      </w:r>
      <w:r w:rsidR="00F72A01">
        <w:t xml:space="preserve">split across the </w:t>
      </w:r>
      <w:r w:rsidR="00324C5A">
        <w:t xml:space="preserve">biennial </w:t>
      </w:r>
      <w:r w:rsidR="00F72A01">
        <w:t xml:space="preserve">PPR and the FMR in a </w:t>
      </w:r>
      <w:r w:rsidR="005B0159">
        <w:t>single report</w:t>
      </w:r>
      <w:r w:rsidR="00B256D2">
        <w:t>,</w:t>
      </w:r>
      <w:r w:rsidR="005B0159">
        <w:t xml:space="preserve"> with a </w:t>
      </w:r>
      <w:r w:rsidR="00F72A01">
        <w:t xml:space="preserve">format and presentation that </w:t>
      </w:r>
      <w:r w:rsidR="00852561">
        <w:t>would be</w:t>
      </w:r>
      <w:r w:rsidR="00F72A01">
        <w:t xml:space="preserve"> more user</w:t>
      </w:r>
      <w:r w:rsidR="00852561">
        <w:noBreakHyphen/>
      </w:r>
      <w:r w:rsidR="00F72A01">
        <w:t xml:space="preserve">friendly and accessible.  The key principles that would guide the Secretariat in developing the proposal for such a report would include </w:t>
      </w:r>
      <w:r w:rsidR="00F56C83">
        <w:t>maintaining</w:t>
      </w:r>
      <w:r w:rsidR="00F72A01">
        <w:t xml:space="preserve"> or enhancing</w:t>
      </w:r>
      <w:r w:rsidR="00F56C83">
        <w:t xml:space="preserve"> the level of disclosure</w:t>
      </w:r>
      <w:r w:rsidR="00F72A01">
        <w:t xml:space="preserve">, </w:t>
      </w:r>
      <w:r w:rsidR="00F56C83">
        <w:t>full compliance with</w:t>
      </w:r>
      <w:r w:rsidR="00695787">
        <w:t xml:space="preserve"> the regulatory framework (FRR)</w:t>
      </w:r>
      <w:r w:rsidR="00F72A01">
        <w:t xml:space="preserve"> and minimizing duplication</w:t>
      </w:r>
      <w:r w:rsidR="00695787">
        <w:t>.</w:t>
      </w:r>
      <w:r w:rsidR="00F72A01">
        <w:t xml:space="preserve"> </w:t>
      </w:r>
      <w:r>
        <w:t xml:space="preserve"> </w:t>
      </w:r>
    </w:p>
    <w:p w:rsidR="000218DD" w:rsidRDefault="005B0159" w:rsidP="005B0159">
      <w:pPr>
        <w:pStyle w:val="ONUME"/>
        <w:numPr>
          <w:ilvl w:val="0"/>
          <w:numId w:val="0"/>
        </w:numPr>
      </w:pPr>
      <w:r>
        <w:fldChar w:fldCharType="begin"/>
      </w:r>
      <w:r>
        <w:instrText xml:space="preserve"> AUTONUM  </w:instrText>
      </w:r>
      <w:r>
        <w:fldChar w:fldCharType="end"/>
      </w:r>
      <w:r>
        <w:tab/>
      </w:r>
      <w:r w:rsidR="000218DD">
        <w:t>The Annual Financial Statements produced at the end of each year of the biennium, which form the basis of the External Auditors</w:t>
      </w:r>
      <w:r w:rsidR="00536E63">
        <w:t>’</w:t>
      </w:r>
      <w:r w:rsidR="000218DD">
        <w:t xml:space="preserve"> Audit of Financial Statements, must continue to be produced in accordance with IPSAS.  </w:t>
      </w:r>
      <w:r>
        <w:t>Changes</w:t>
      </w:r>
      <w:r w:rsidR="004E61B8">
        <w:t xml:space="preserve"> and improvements</w:t>
      </w:r>
      <w:r>
        <w:t xml:space="preserve"> to the</w:t>
      </w:r>
      <w:r w:rsidR="000218DD">
        <w:t>se</w:t>
      </w:r>
      <w:r>
        <w:t xml:space="preserve"> </w:t>
      </w:r>
      <w:r w:rsidR="00F72A01">
        <w:t>Annual</w:t>
      </w:r>
      <w:r>
        <w:t xml:space="preserve"> Financial Statements, if any, would be proposed after consul</w:t>
      </w:r>
      <w:r w:rsidR="004E61B8">
        <w:t xml:space="preserve">tation with the External Auditors.  </w:t>
      </w:r>
    </w:p>
    <w:p w:rsidR="00F72A01" w:rsidRDefault="000218DD" w:rsidP="005B0159">
      <w:pPr>
        <w:pStyle w:val="ONUME"/>
        <w:numPr>
          <w:ilvl w:val="0"/>
          <w:numId w:val="0"/>
        </w:numPr>
      </w:pPr>
      <w:r>
        <w:fldChar w:fldCharType="begin"/>
      </w:r>
      <w:r>
        <w:instrText xml:space="preserve"> AUTONUM  </w:instrText>
      </w:r>
      <w:r>
        <w:fldChar w:fldCharType="end"/>
      </w:r>
      <w:r>
        <w:tab/>
      </w:r>
      <w:r w:rsidR="004E61B8">
        <w:t>The</w:t>
      </w:r>
      <w:r w:rsidR="00F72A01">
        <w:t xml:space="preserve"> </w:t>
      </w:r>
      <w:r w:rsidR="004E61B8">
        <w:t xml:space="preserve">PPR </w:t>
      </w:r>
      <w:r w:rsidR="00B256D2">
        <w:t>submitted</w:t>
      </w:r>
      <w:r w:rsidR="005B0159">
        <w:t xml:space="preserve"> at the end of the first year of the biennium,</w:t>
      </w:r>
      <w:r w:rsidR="00F72A01">
        <w:t xml:space="preserve"> </w:t>
      </w:r>
      <w:r w:rsidR="00B256D2">
        <w:t xml:space="preserve">which reports on progress </w:t>
      </w:r>
      <w:r w:rsidR="005B0159">
        <w:t xml:space="preserve">towards the achievement of </w:t>
      </w:r>
      <w:r w:rsidR="00324C5A">
        <w:t>Expected Results</w:t>
      </w:r>
      <w:r w:rsidR="00B256D2">
        <w:t>,</w:t>
      </w:r>
      <w:r w:rsidR="005B0159">
        <w:t xml:space="preserve"> will </w:t>
      </w:r>
      <w:r w:rsidR="004E61B8">
        <w:t>be maintained with changes being limited to those required to ensure coherence and consistency with the proposed Biennial Performance Report</w:t>
      </w:r>
      <w:r w:rsidR="00B256D2">
        <w:t>.</w:t>
      </w:r>
    </w:p>
    <w:p w:rsidR="00695787" w:rsidRDefault="00F37106" w:rsidP="00F37106">
      <w:pPr>
        <w:pStyle w:val="ONUME"/>
        <w:numPr>
          <w:ilvl w:val="0"/>
          <w:numId w:val="0"/>
        </w:numPr>
      </w:pPr>
      <w:r>
        <w:lastRenderedPageBreak/>
        <w:fldChar w:fldCharType="begin"/>
      </w:r>
      <w:r>
        <w:instrText xml:space="preserve"> AUTONUM  </w:instrText>
      </w:r>
      <w:r>
        <w:fldChar w:fldCharType="end"/>
      </w:r>
      <w:r>
        <w:tab/>
      </w:r>
      <w:r w:rsidR="00B256D2">
        <w:t xml:space="preserve">The </w:t>
      </w:r>
      <w:r w:rsidR="002E1F4F">
        <w:t>approach</w:t>
      </w:r>
      <w:r w:rsidR="00695787">
        <w:t xml:space="preserve"> to </w:t>
      </w:r>
      <w:r w:rsidR="0024170B">
        <w:t xml:space="preserve">achieve </w:t>
      </w:r>
      <w:r w:rsidR="00695787">
        <w:t xml:space="preserve">this </w:t>
      </w:r>
      <w:r w:rsidR="004813A2">
        <w:t xml:space="preserve">objective </w:t>
      </w:r>
      <w:r w:rsidR="00695787">
        <w:t>would consist of the following</w:t>
      </w:r>
      <w:r w:rsidR="00F72A01">
        <w:t xml:space="preserve"> steps</w:t>
      </w:r>
      <w:r w:rsidR="00695787">
        <w:t>:</w:t>
      </w:r>
    </w:p>
    <w:p w:rsidR="004813A2" w:rsidRDefault="0024170B" w:rsidP="007C2719">
      <w:pPr>
        <w:pStyle w:val="ONUME"/>
        <w:numPr>
          <w:ilvl w:val="0"/>
          <w:numId w:val="26"/>
        </w:numPr>
        <w:spacing w:after="120"/>
      </w:pPr>
      <w:r>
        <w:t xml:space="preserve">Conduct a questionnaire survey among </w:t>
      </w:r>
      <w:r w:rsidR="004813A2">
        <w:t>Member States to obtain feedback on the</w:t>
      </w:r>
      <w:r w:rsidR="004E61B8">
        <w:t xml:space="preserve"> </w:t>
      </w:r>
      <w:r w:rsidR="00391D4A">
        <w:t>content,</w:t>
      </w:r>
      <w:r w:rsidR="00391D4A" w:rsidDel="00785567">
        <w:t xml:space="preserve"> </w:t>
      </w:r>
      <w:r w:rsidR="00785567">
        <w:t>usability</w:t>
      </w:r>
      <w:r w:rsidR="004E61B8">
        <w:t xml:space="preserve"> and presentation of </w:t>
      </w:r>
      <w:r w:rsidR="00391D4A">
        <w:t>information in existing</w:t>
      </w:r>
      <w:r w:rsidR="004813A2">
        <w:t xml:space="preserve"> reports</w:t>
      </w:r>
      <w:r w:rsidR="00391D4A">
        <w:t>;</w:t>
      </w:r>
    </w:p>
    <w:p w:rsidR="00695787" w:rsidRDefault="00391D4A" w:rsidP="007C2719">
      <w:pPr>
        <w:pStyle w:val="ONUME"/>
        <w:numPr>
          <w:ilvl w:val="0"/>
          <w:numId w:val="26"/>
        </w:numPr>
        <w:spacing w:after="120"/>
      </w:pPr>
      <w:r>
        <w:t>C</w:t>
      </w:r>
      <w:r w:rsidR="004813A2">
        <w:t xml:space="preserve">omplete </w:t>
      </w:r>
      <w:r w:rsidR="00AC6915">
        <w:t xml:space="preserve">the </w:t>
      </w:r>
      <w:r w:rsidR="004813A2">
        <w:t>in-depth analysis of the content, format and presentation of financial and performance information across all reports provided to the Member States</w:t>
      </w:r>
      <w:r>
        <w:t>;</w:t>
      </w:r>
    </w:p>
    <w:p w:rsidR="004813A2" w:rsidRDefault="004813A2" w:rsidP="007C2719">
      <w:pPr>
        <w:pStyle w:val="ONUME"/>
        <w:numPr>
          <w:ilvl w:val="0"/>
          <w:numId w:val="26"/>
        </w:numPr>
        <w:spacing w:after="120"/>
      </w:pPr>
      <w:r>
        <w:t xml:space="preserve">Based on feedback </w:t>
      </w:r>
      <w:r w:rsidR="00AC6915">
        <w:t xml:space="preserve">received </w:t>
      </w:r>
      <w:r>
        <w:t xml:space="preserve">from Member States and the analysis carried out, develop a detailed proposal for </w:t>
      </w:r>
      <w:r w:rsidR="004C35D4">
        <w:t xml:space="preserve">an improved consolidated </w:t>
      </w:r>
      <w:r w:rsidR="00076CB7">
        <w:t xml:space="preserve">Biennial Performance Report </w:t>
      </w:r>
      <w:r w:rsidR="004C35D4">
        <w:t>that would include programmatic, budgetary and financial information</w:t>
      </w:r>
      <w:proofErr w:type="gramStart"/>
      <w:r w:rsidR="004C35D4">
        <w:t xml:space="preserve">; </w:t>
      </w:r>
      <w:r>
        <w:t xml:space="preserve"> </w:t>
      </w:r>
      <w:r w:rsidR="004C35D4">
        <w:t>this</w:t>
      </w:r>
      <w:proofErr w:type="gramEnd"/>
      <w:r w:rsidR="004C35D4">
        <w:t xml:space="preserve"> proposal would include</w:t>
      </w:r>
      <w:r>
        <w:t xml:space="preserve"> a </w:t>
      </w:r>
      <w:r w:rsidR="004C35D4">
        <w:t xml:space="preserve">detailed </w:t>
      </w:r>
      <w:r>
        <w:t>table of contents and a mock-up</w:t>
      </w:r>
      <w:r w:rsidR="004C35D4">
        <w:t xml:space="preserve"> of the report that</w:t>
      </w:r>
      <w:r>
        <w:t xml:space="preserve"> will </w:t>
      </w:r>
      <w:r w:rsidR="004C35D4">
        <w:t xml:space="preserve">enable Member States to assess its look and feel as well </w:t>
      </w:r>
      <w:r w:rsidR="00536E63">
        <w:t xml:space="preserve">as </w:t>
      </w:r>
      <w:r w:rsidR="004C35D4">
        <w:t>the content.</w:t>
      </w:r>
    </w:p>
    <w:p w:rsidR="004813A2" w:rsidRDefault="004813A2" w:rsidP="001303CA">
      <w:pPr>
        <w:pStyle w:val="ONUME"/>
        <w:numPr>
          <w:ilvl w:val="0"/>
          <w:numId w:val="26"/>
        </w:numPr>
      </w:pPr>
      <w:r>
        <w:t xml:space="preserve">Present the proposal for the consideration by Member States </w:t>
      </w:r>
      <w:r w:rsidR="00B256D2">
        <w:t>at the next session</w:t>
      </w:r>
      <w:r w:rsidR="00076CB7">
        <w:t xml:space="preserve"> of the PBC</w:t>
      </w:r>
      <w:r w:rsidR="00F37106">
        <w:t>.</w:t>
      </w:r>
    </w:p>
    <w:p w:rsidR="000E0A7E" w:rsidRPr="000E0A7E" w:rsidRDefault="000E0A7E" w:rsidP="000E0A7E">
      <w:pPr>
        <w:pStyle w:val="ONUME"/>
        <w:numPr>
          <w:ilvl w:val="0"/>
          <w:numId w:val="0"/>
        </w:numPr>
        <w:rPr>
          <w:b/>
          <w:bCs/>
          <w:caps/>
          <w:kern w:val="32"/>
          <w:szCs w:val="32"/>
        </w:rPr>
      </w:pPr>
      <w:r w:rsidRPr="000E0A7E">
        <w:rPr>
          <w:b/>
          <w:bCs/>
          <w:caps/>
          <w:kern w:val="32"/>
          <w:szCs w:val="32"/>
        </w:rPr>
        <w:t>V.</w:t>
      </w:r>
      <w:r w:rsidRPr="000E0A7E">
        <w:rPr>
          <w:b/>
          <w:bCs/>
          <w:caps/>
          <w:kern w:val="32"/>
          <w:szCs w:val="32"/>
        </w:rPr>
        <w:tab/>
      </w:r>
      <w:r>
        <w:rPr>
          <w:b/>
          <w:bCs/>
          <w:caps/>
          <w:kern w:val="32"/>
          <w:szCs w:val="32"/>
        </w:rPr>
        <w:t xml:space="preserve">BENEFITS </w:t>
      </w:r>
    </w:p>
    <w:p w:rsidR="00C31D29" w:rsidRPr="001303CA" w:rsidRDefault="00F00343" w:rsidP="001303CA">
      <w:pPr>
        <w:pStyle w:val="ONUME"/>
        <w:numPr>
          <w:ilvl w:val="0"/>
          <w:numId w:val="24"/>
        </w:numPr>
      </w:pPr>
      <w:r w:rsidRPr="001303CA">
        <w:t xml:space="preserve">The integration of </w:t>
      </w:r>
      <w:r w:rsidR="004C35D4" w:rsidRPr="001303CA">
        <w:t xml:space="preserve">programmatic, budgetary and </w:t>
      </w:r>
      <w:r w:rsidR="00F72A01" w:rsidRPr="001303CA">
        <w:t xml:space="preserve">relevant </w:t>
      </w:r>
      <w:r w:rsidR="004C35D4" w:rsidRPr="001303CA">
        <w:t xml:space="preserve">financial information in a comprehensive </w:t>
      </w:r>
      <w:r w:rsidR="00076CB7" w:rsidRPr="001303CA">
        <w:t xml:space="preserve">Biennial Performance Report </w:t>
      </w:r>
      <w:r w:rsidR="00F72A01" w:rsidRPr="001303CA">
        <w:t xml:space="preserve">will enable Member States to review </w:t>
      </w:r>
      <w:r w:rsidR="00076CB7" w:rsidRPr="001303CA">
        <w:t xml:space="preserve">the Organization’s biennial </w:t>
      </w:r>
      <w:r w:rsidR="00F72A01" w:rsidRPr="001303CA">
        <w:t>performance in a holistic manner thus</w:t>
      </w:r>
      <w:r w:rsidR="004328E8" w:rsidRPr="001303CA">
        <w:t xml:space="preserve"> further</w:t>
      </w:r>
      <w:r w:rsidR="00F72A01" w:rsidRPr="001303CA">
        <w:t xml:space="preserve"> strengthening Results Based Management</w:t>
      </w:r>
      <w:r w:rsidR="004328E8" w:rsidRPr="001303CA">
        <w:t xml:space="preserve"> and the performance dialog.</w:t>
      </w:r>
    </w:p>
    <w:p w:rsidR="00076CB7" w:rsidRPr="001303CA" w:rsidRDefault="004328E8" w:rsidP="001303CA">
      <w:pPr>
        <w:pStyle w:val="ONUME"/>
      </w:pPr>
      <w:r w:rsidRPr="001303CA">
        <w:t>Present</w:t>
      </w:r>
      <w:r w:rsidR="00ED0657" w:rsidRPr="001303CA">
        <w:t>ation</w:t>
      </w:r>
      <w:r w:rsidRPr="001303CA">
        <w:t xml:space="preserve"> and format of the reports </w:t>
      </w:r>
      <w:r w:rsidR="00ED0657" w:rsidRPr="001303CA">
        <w:t>would be enhanced based on Member States’ feedback through the survey.</w:t>
      </w:r>
    </w:p>
    <w:p w:rsidR="00032A99" w:rsidRPr="001303CA" w:rsidRDefault="002E1F4F" w:rsidP="001303CA">
      <w:pPr>
        <w:pStyle w:val="ONUME"/>
      </w:pPr>
      <w:r w:rsidRPr="001303CA">
        <w:t>Elimination of duplication and reduction of the total number of publications will enable savings</w:t>
      </w:r>
      <w:r w:rsidR="00B65A9D" w:rsidRPr="001303CA">
        <w:t xml:space="preserve"> </w:t>
      </w:r>
      <w:r w:rsidR="008E3822" w:rsidRPr="001303CA">
        <w:t xml:space="preserve">in </w:t>
      </w:r>
      <w:r w:rsidR="00B65A9D" w:rsidRPr="001303CA">
        <w:t xml:space="preserve">translation </w:t>
      </w:r>
      <w:r w:rsidRPr="001303CA">
        <w:t xml:space="preserve">and production </w:t>
      </w:r>
      <w:r w:rsidR="00B65A9D" w:rsidRPr="001303CA">
        <w:t>costs.</w:t>
      </w:r>
    </w:p>
    <w:p w:rsidR="00076CB7" w:rsidRPr="001303CA" w:rsidRDefault="002E1F4F" w:rsidP="001303CA">
      <w:pPr>
        <w:pStyle w:val="ONUME"/>
      </w:pPr>
      <w:r w:rsidRPr="001303CA">
        <w:t>Potential benefits could accrue from a more streamlined agenda for the Program and Budget Committee as a consequence of moving to more comprehensive and integrated reporting</w:t>
      </w:r>
      <w:r w:rsidR="00076CB7" w:rsidRPr="001303CA">
        <w:t>.</w:t>
      </w:r>
    </w:p>
    <w:p w:rsidR="00076CB7" w:rsidRPr="001303CA" w:rsidRDefault="00076CB7" w:rsidP="001303CA">
      <w:pPr>
        <w:pStyle w:val="ONUME"/>
      </w:pPr>
      <w:r w:rsidRPr="001303CA">
        <w:t>The level of effort required by the Secretariat to develop the reports will be reduced.</w:t>
      </w:r>
    </w:p>
    <w:p w:rsidR="00676EB6" w:rsidRPr="001303CA" w:rsidRDefault="00676EB6" w:rsidP="001303CA">
      <w:pPr>
        <w:pStyle w:val="ONUME"/>
      </w:pPr>
      <w:r w:rsidRPr="001303CA">
        <w:t>The following decision paragraph is proposed.</w:t>
      </w:r>
    </w:p>
    <w:p w:rsidR="002E1F4F" w:rsidRDefault="00F02E00" w:rsidP="007C2719">
      <w:pPr>
        <w:pStyle w:val="ONUME"/>
        <w:tabs>
          <w:tab w:val="left" w:pos="6096"/>
        </w:tabs>
        <w:ind w:left="5533"/>
        <w:rPr>
          <w:i/>
        </w:rPr>
      </w:pPr>
      <w:r>
        <w:rPr>
          <w:i/>
        </w:rPr>
        <w:t xml:space="preserve">The Program and Budget </w:t>
      </w:r>
      <w:r w:rsidR="00ED0657">
        <w:rPr>
          <w:i/>
        </w:rPr>
        <w:t>Committee</w:t>
      </w:r>
      <w:r w:rsidR="005E5262">
        <w:rPr>
          <w:i/>
        </w:rPr>
        <w:t>, having reviewed document WO/PBC/22/27</w:t>
      </w:r>
      <w:r w:rsidR="00676EB6">
        <w:rPr>
          <w:i/>
        </w:rPr>
        <w:t xml:space="preserve">: </w:t>
      </w:r>
    </w:p>
    <w:p w:rsidR="008208E6" w:rsidRPr="008208E6" w:rsidRDefault="002E1F4F" w:rsidP="007C2719">
      <w:pPr>
        <w:pStyle w:val="ONUME"/>
        <w:numPr>
          <w:ilvl w:val="0"/>
          <w:numId w:val="17"/>
        </w:numPr>
        <w:tabs>
          <w:tab w:val="left" w:pos="6521"/>
        </w:tabs>
        <w:ind w:left="5954" w:firstLine="142"/>
      </w:pPr>
      <w:r>
        <w:rPr>
          <w:i/>
        </w:rPr>
        <w:t>recognized the opportunity to improve</w:t>
      </w:r>
      <w:r w:rsidR="00434807">
        <w:rPr>
          <w:i/>
        </w:rPr>
        <w:t xml:space="preserve"> biennial</w:t>
      </w:r>
      <w:r>
        <w:rPr>
          <w:i/>
        </w:rPr>
        <w:t xml:space="preserve"> performance and financial reporting</w:t>
      </w:r>
      <w:r w:rsidR="008208E6">
        <w:rPr>
          <w:i/>
        </w:rPr>
        <w:t>;</w:t>
      </w:r>
      <w:r>
        <w:rPr>
          <w:i/>
        </w:rPr>
        <w:t xml:space="preserve"> </w:t>
      </w:r>
    </w:p>
    <w:p w:rsidR="00F37106" w:rsidRPr="00F37106" w:rsidRDefault="002E1F4F" w:rsidP="007C2719">
      <w:pPr>
        <w:pStyle w:val="ONUME"/>
        <w:numPr>
          <w:ilvl w:val="0"/>
          <w:numId w:val="17"/>
        </w:numPr>
        <w:tabs>
          <w:tab w:val="left" w:pos="6521"/>
        </w:tabs>
        <w:ind w:left="5954" w:firstLine="142"/>
      </w:pPr>
      <w:r>
        <w:rPr>
          <w:i/>
        </w:rPr>
        <w:t>welcomed the Secretariat’s proposal to move to a comprehensive and integrated</w:t>
      </w:r>
      <w:r w:rsidR="00674DCC">
        <w:rPr>
          <w:i/>
        </w:rPr>
        <w:t xml:space="preserve"> Biennial Performance Report</w:t>
      </w:r>
      <w:r w:rsidR="006D637A">
        <w:rPr>
          <w:i/>
        </w:rPr>
        <w:t xml:space="preserve">; </w:t>
      </w:r>
      <w:r>
        <w:rPr>
          <w:i/>
        </w:rPr>
        <w:t xml:space="preserve"> and</w:t>
      </w:r>
    </w:p>
    <w:p w:rsidR="002E1F4F" w:rsidRPr="00F37106" w:rsidRDefault="00F37106" w:rsidP="007C2719">
      <w:pPr>
        <w:pStyle w:val="ONUME"/>
        <w:numPr>
          <w:ilvl w:val="0"/>
          <w:numId w:val="17"/>
        </w:numPr>
        <w:tabs>
          <w:tab w:val="left" w:pos="6521"/>
        </w:tabs>
        <w:ind w:left="5954" w:firstLine="142"/>
      </w:pPr>
      <w:proofErr w:type="gramStart"/>
      <w:r>
        <w:rPr>
          <w:i/>
        </w:rPr>
        <w:t>requested</w:t>
      </w:r>
      <w:proofErr w:type="gramEnd"/>
      <w:r>
        <w:rPr>
          <w:i/>
        </w:rPr>
        <w:t xml:space="preserve"> the Secretariat to submit a detailed proposal on the </w:t>
      </w:r>
      <w:r w:rsidR="004F0CC4">
        <w:rPr>
          <w:i/>
        </w:rPr>
        <w:t>f</w:t>
      </w:r>
      <w:r w:rsidR="000218DD">
        <w:rPr>
          <w:i/>
        </w:rPr>
        <w:t xml:space="preserve">ormat and content of such a </w:t>
      </w:r>
      <w:r>
        <w:rPr>
          <w:i/>
        </w:rPr>
        <w:t>report at its next session, taking into account Member States</w:t>
      </w:r>
      <w:r w:rsidR="002767B7">
        <w:rPr>
          <w:i/>
        </w:rPr>
        <w:t>’</w:t>
      </w:r>
      <w:r>
        <w:rPr>
          <w:i/>
        </w:rPr>
        <w:t xml:space="preserve"> feedback  through a structured survey.</w:t>
      </w:r>
    </w:p>
    <w:p w:rsidR="002B7D28" w:rsidRDefault="00F37106" w:rsidP="00F37106">
      <w:pPr>
        <w:pStyle w:val="ONUME"/>
        <w:numPr>
          <w:ilvl w:val="0"/>
          <w:numId w:val="0"/>
        </w:numPr>
        <w:ind w:left="5533"/>
      </w:pPr>
      <w:r>
        <w:t>[Annex follows]</w:t>
      </w:r>
    </w:p>
    <w:p w:rsidR="002B7D28" w:rsidRDefault="002B7D28" w:rsidP="00F37106">
      <w:pPr>
        <w:pStyle w:val="ONUME"/>
        <w:numPr>
          <w:ilvl w:val="0"/>
          <w:numId w:val="0"/>
        </w:numPr>
        <w:ind w:left="5533"/>
        <w:rPr>
          <w:i/>
        </w:rPr>
        <w:sectPr w:rsidR="002B7D28" w:rsidSect="00F37106">
          <w:headerReference w:type="default" r:id="rId11"/>
          <w:headerReference w:type="first" r:id="rId12"/>
          <w:endnotePr>
            <w:numFmt w:val="decimal"/>
          </w:endnotePr>
          <w:pgSz w:w="11907" w:h="16840" w:code="9"/>
          <w:pgMar w:top="567" w:right="1134" w:bottom="851" w:left="1418" w:header="510" w:footer="1021" w:gutter="0"/>
          <w:cols w:space="720"/>
          <w:titlePg/>
          <w:docGrid w:linePitch="299"/>
        </w:sectPr>
      </w:pPr>
    </w:p>
    <w:p w:rsidR="002B7D28" w:rsidRPr="007C2719" w:rsidRDefault="002B7D28" w:rsidP="002B7D28">
      <w:pPr>
        <w:tabs>
          <w:tab w:val="left" w:pos="3085"/>
          <w:tab w:val="left" w:pos="5989"/>
          <w:tab w:val="left" w:pos="7616"/>
        </w:tabs>
        <w:autoSpaceDE w:val="0"/>
        <w:autoSpaceDN w:val="0"/>
        <w:adjustRightInd w:val="0"/>
        <w:jc w:val="center"/>
        <w:rPr>
          <w:rFonts w:eastAsia="Times New Roman"/>
          <w:b/>
          <w:bCs/>
          <w:color w:val="000000"/>
          <w:szCs w:val="22"/>
          <w:lang w:eastAsia="en-US"/>
        </w:rPr>
      </w:pPr>
      <w:r w:rsidRPr="007C2719">
        <w:rPr>
          <w:rFonts w:eastAsia="Times New Roman"/>
          <w:b/>
          <w:bCs/>
          <w:color w:val="000000"/>
          <w:szCs w:val="22"/>
          <w:lang w:eastAsia="en-US"/>
        </w:rPr>
        <w:lastRenderedPageBreak/>
        <w:t xml:space="preserve">Mapping of Information in FMR, FS, PPR </w:t>
      </w:r>
      <w:r w:rsidRPr="007C2719">
        <w:rPr>
          <w:rFonts w:eastAsia="Times New Roman"/>
          <w:b/>
          <w:bCs/>
          <w:color w:val="000000"/>
          <w:szCs w:val="22"/>
          <w:lang w:eastAsia="en-US"/>
        </w:rPr>
        <w:br/>
        <w:t>and FMR Information Overlaps</w:t>
      </w:r>
    </w:p>
    <w:p w:rsidR="002B7D28" w:rsidRPr="00882C58" w:rsidRDefault="002B7D28" w:rsidP="002B7D28">
      <w:pPr>
        <w:tabs>
          <w:tab w:val="left" w:pos="6925"/>
        </w:tabs>
        <w:autoSpaceDE w:val="0"/>
        <w:autoSpaceDN w:val="0"/>
        <w:adjustRightInd w:val="0"/>
        <w:spacing w:before="60" w:after="60"/>
        <w:rPr>
          <w:rFonts w:eastAsia="Times New Roman"/>
          <w:bCs/>
          <w:color w:val="000000"/>
          <w:sz w:val="16"/>
          <w:szCs w:val="16"/>
          <w:lang w:eastAsia="en-US"/>
        </w:rPr>
      </w:pPr>
      <w:r w:rsidRPr="00882C58">
        <w:rPr>
          <w:rFonts w:eastAsia="Times New Roman"/>
          <w:bCs/>
          <w:color w:val="000000"/>
          <w:sz w:val="16"/>
          <w:szCs w:val="16"/>
          <w:lang w:eastAsia="en-US"/>
        </w:rPr>
        <w:tab/>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00" w:firstRow="0" w:lastRow="0" w:firstColumn="0" w:lastColumn="0" w:noHBand="0" w:noVBand="0"/>
      </w:tblPr>
      <w:tblGrid>
        <w:gridCol w:w="3559"/>
        <w:gridCol w:w="1655"/>
        <w:gridCol w:w="2605"/>
        <w:gridCol w:w="3872"/>
        <w:gridCol w:w="2192"/>
        <w:gridCol w:w="1755"/>
      </w:tblGrid>
      <w:tr w:rsidR="002B7D28" w:rsidRPr="004407AF" w:rsidTr="008869A0">
        <w:trPr>
          <w:tblHeader/>
        </w:trPr>
        <w:tc>
          <w:tcPr>
            <w:tcW w:w="1138" w:type="pct"/>
            <w:tcBorders>
              <w:top w:val="single" w:sz="4" w:space="0" w:color="808080" w:themeColor="background1" w:themeShade="80"/>
              <w:left w:val="nil"/>
              <w:bottom w:val="single" w:sz="4" w:space="0" w:color="808080" w:themeColor="background1" w:themeShade="80"/>
            </w:tcBorders>
          </w:tcPr>
          <w:p w:rsidR="002B7D28" w:rsidRPr="004407AF" w:rsidRDefault="002B7D28" w:rsidP="00415299">
            <w:pPr>
              <w:autoSpaceDE w:val="0"/>
              <w:autoSpaceDN w:val="0"/>
              <w:adjustRightInd w:val="0"/>
              <w:spacing w:before="120" w:after="120"/>
              <w:rPr>
                <w:rFonts w:eastAsia="Times New Roman"/>
                <w:bCs/>
                <w:color w:val="000000"/>
                <w:sz w:val="16"/>
                <w:szCs w:val="16"/>
                <w:lang w:eastAsia="en-US"/>
              </w:rPr>
            </w:pPr>
            <w:r w:rsidRPr="004407AF">
              <w:rPr>
                <w:rFonts w:eastAsia="Times New Roman"/>
                <w:bCs/>
                <w:color w:val="000000"/>
                <w:sz w:val="16"/>
                <w:szCs w:val="16"/>
                <w:lang w:eastAsia="en-US"/>
              </w:rPr>
              <w:t>Information in FMR only</w:t>
            </w:r>
          </w:p>
        </w:tc>
        <w:tc>
          <w:tcPr>
            <w:tcW w:w="529" w:type="pct"/>
            <w:tcBorders>
              <w:top w:val="single" w:sz="4" w:space="0" w:color="808080" w:themeColor="background1" w:themeShade="80"/>
              <w:bottom w:val="single" w:sz="4" w:space="0" w:color="808080" w:themeColor="background1" w:themeShade="80"/>
            </w:tcBorders>
            <w:shd w:val="clear" w:color="auto" w:fill="FFFFFF"/>
          </w:tcPr>
          <w:p w:rsidR="002B7D28" w:rsidRPr="004407AF" w:rsidRDefault="002B7D28" w:rsidP="00415299">
            <w:pPr>
              <w:autoSpaceDE w:val="0"/>
              <w:autoSpaceDN w:val="0"/>
              <w:adjustRightInd w:val="0"/>
              <w:spacing w:before="120"/>
              <w:rPr>
                <w:rFonts w:eastAsia="Times New Roman"/>
                <w:bCs/>
                <w:color w:val="000000"/>
                <w:sz w:val="16"/>
                <w:szCs w:val="16"/>
                <w:lang w:eastAsia="en-US"/>
              </w:rPr>
            </w:pPr>
            <w:r w:rsidRPr="004407AF">
              <w:rPr>
                <w:rFonts w:eastAsia="Times New Roman"/>
                <w:bCs/>
                <w:color w:val="000000"/>
                <w:sz w:val="16"/>
                <w:szCs w:val="16"/>
                <w:lang w:eastAsia="en-US"/>
              </w:rPr>
              <w:t>Information in</w:t>
            </w:r>
          </w:p>
          <w:p w:rsidR="002B7D28" w:rsidRPr="004407AF" w:rsidRDefault="002B7D28" w:rsidP="00415299">
            <w:pPr>
              <w:autoSpaceDE w:val="0"/>
              <w:autoSpaceDN w:val="0"/>
              <w:adjustRightInd w:val="0"/>
              <w:spacing w:after="120"/>
              <w:rPr>
                <w:rFonts w:eastAsia="Times New Roman"/>
                <w:bCs/>
                <w:color w:val="000000"/>
                <w:sz w:val="16"/>
                <w:szCs w:val="16"/>
                <w:lang w:eastAsia="en-US"/>
              </w:rPr>
            </w:pPr>
            <w:r w:rsidRPr="004407AF">
              <w:rPr>
                <w:rFonts w:eastAsia="Times New Roman"/>
                <w:bCs/>
                <w:color w:val="000000"/>
                <w:sz w:val="16"/>
                <w:szCs w:val="16"/>
                <w:lang w:eastAsia="en-US"/>
              </w:rPr>
              <w:t>FS only</w:t>
            </w:r>
          </w:p>
        </w:tc>
        <w:tc>
          <w:tcPr>
            <w:tcW w:w="833" w:type="pct"/>
            <w:tcBorders>
              <w:top w:val="single" w:sz="4" w:space="0" w:color="808080" w:themeColor="background1" w:themeShade="80"/>
              <w:bottom w:val="single" w:sz="4" w:space="0" w:color="808080" w:themeColor="background1" w:themeShade="80"/>
            </w:tcBorders>
            <w:shd w:val="clear" w:color="auto" w:fill="FFFFFF"/>
          </w:tcPr>
          <w:p w:rsidR="002B7D28" w:rsidRPr="004407AF" w:rsidRDefault="002B7D28" w:rsidP="00415299">
            <w:pPr>
              <w:autoSpaceDE w:val="0"/>
              <w:autoSpaceDN w:val="0"/>
              <w:adjustRightInd w:val="0"/>
              <w:spacing w:before="120"/>
              <w:rPr>
                <w:rFonts w:eastAsia="Times New Roman"/>
                <w:bCs/>
                <w:color w:val="000000"/>
                <w:sz w:val="16"/>
                <w:szCs w:val="16"/>
                <w:lang w:eastAsia="en-US"/>
              </w:rPr>
            </w:pPr>
            <w:r w:rsidRPr="004407AF">
              <w:rPr>
                <w:rFonts w:eastAsia="Times New Roman"/>
                <w:bCs/>
                <w:color w:val="000000"/>
                <w:sz w:val="16"/>
                <w:szCs w:val="16"/>
                <w:lang w:eastAsia="en-US"/>
              </w:rPr>
              <w:t xml:space="preserve">Information in </w:t>
            </w:r>
          </w:p>
          <w:p w:rsidR="002B7D28" w:rsidRPr="004407AF" w:rsidRDefault="002B7D28" w:rsidP="00415299">
            <w:pPr>
              <w:autoSpaceDE w:val="0"/>
              <w:autoSpaceDN w:val="0"/>
              <w:adjustRightInd w:val="0"/>
              <w:spacing w:after="120"/>
              <w:rPr>
                <w:rFonts w:eastAsia="Times New Roman"/>
                <w:bCs/>
                <w:color w:val="000000"/>
                <w:sz w:val="16"/>
                <w:szCs w:val="16"/>
                <w:lang w:eastAsia="en-US"/>
              </w:rPr>
            </w:pPr>
            <w:r w:rsidRPr="004407AF">
              <w:rPr>
                <w:rFonts w:eastAsia="Times New Roman"/>
                <w:bCs/>
                <w:color w:val="000000"/>
                <w:sz w:val="16"/>
                <w:szCs w:val="16"/>
                <w:lang w:eastAsia="en-US"/>
              </w:rPr>
              <w:t>PPR only</w:t>
            </w:r>
          </w:p>
        </w:tc>
        <w:tc>
          <w:tcPr>
            <w:tcW w:w="1238" w:type="pct"/>
            <w:tcBorders>
              <w:top w:val="single" w:sz="4" w:space="0" w:color="808080" w:themeColor="background1" w:themeShade="80"/>
              <w:bottom w:val="single" w:sz="4" w:space="0" w:color="808080" w:themeColor="background1" w:themeShade="80"/>
            </w:tcBorders>
            <w:shd w:val="clear" w:color="auto" w:fill="B6DDE8" w:themeFill="accent5" w:themeFillTint="66"/>
          </w:tcPr>
          <w:p w:rsidR="002B7D28" w:rsidRPr="004407AF" w:rsidRDefault="002B7D28" w:rsidP="002B7D28">
            <w:pPr>
              <w:autoSpaceDE w:val="0"/>
              <w:autoSpaceDN w:val="0"/>
              <w:adjustRightInd w:val="0"/>
              <w:spacing w:before="120" w:after="120"/>
              <w:rPr>
                <w:rFonts w:eastAsia="Times New Roman"/>
                <w:bCs/>
                <w:color w:val="000000"/>
                <w:sz w:val="16"/>
                <w:szCs w:val="16"/>
                <w:lang w:eastAsia="en-US"/>
              </w:rPr>
            </w:pPr>
            <w:r w:rsidRPr="004407AF">
              <w:rPr>
                <w:rFonts w:eastAsia="Times New Roman"/>
                <w:bCs/>
                <w:color w:val="000000"/>
                <w:sz w:val="16"/>
                <w:szCs w:val="16"/>
                <w:lang w:eastAsia="en-US"/>
              </w:rPr>
              <w:t>Information overlap FMR and FS</w:t>
            </w:r>
            <w:r w:rsidR="000C6327">
              <w:rPr>
                <w:rStyle w:val="FootnoteReference"/>
                <w:rFonts w:eastAsia="Times New Roman"/>
                <w:bCs/>
                <w:color w:val="000000"/>
                <w:sz w:val="16"/>
                <w:szCs w:val="16"/>
                <w:lang w:eastAsia="en-US"/>
              </w:rPr>
              <w:footnoteReference w:id="2"/>
            </w:r>
          </w:p>
        </w:tc>
        <w:tc>
          <w:tcPr>
            <w:tcW w:w="701" w:type="pct"/>
            <w:tcBorders>
              <w:top w:val="single" w:sz="4" w:space="0" w:color="808080" w:themeColor="background1" w:themeShade="80"/>
              <w:bottom w:val="single" w:sz="4" w:space="0" w:color="808080" w:themeColor="background1" w:themeShade="80"/>
            </w:tcBorders>
            <w:shd w:val="clear" w:color="auto" w:fill="FDE9D9" w:themeFill="accent6" w:themeFillTint="33"/>
          </w:tcPr>
          <w:p w:rsidR="002B7D28" w:rsidRPr="004407AF" w:rsidRDefault="002B7D28" w:rsidP="00415299">
            <w:pPr>
              <w:autoSpaceDE w:val="0"/>
              <w:autoSpaceDN w:val="0"/>
              <w:adjustRightInd w:val="0"/>
              <w:spacing w:before="120" w:after="120"/>
              <w:jc w:val="both"/>
              <w:rPr>
                <w:rFonts w:eastAsia="Times New Roman"/>
                <w:bCs/>
                <w:color w:val="000000"/>
                <w:spacing w:val="-2"/>
                <w:sz w:val="16"/>
                <w:szCs w:val="16"/>
                <w:lang w:eastAsia="en-US"/>
              </w:rPr>
            </w:pPr>
            <w:r w:rsidRPr="004407AF">
              <w:rPr>
                <w:rFonts w:eastAsia="Times New Roman"/>
                <w:bCs/>
                <w:color w:val="000000"/>
                <w:spacing w:val="-2"/>
                <w:sz w:val="16"/>
                <w:szCs w:val="16"/>
                <w:lang w:eastAsia="en-US"/>
              </w:rPr>
              <w:t>Information overlap FMR and other documents</w:t>
            </w:r>
          </w:p>
        </w:tc>
        <w:tc>
          <w:tcPr>
            <w:tcW w:w="561" w:type="pct"/>
            <w:tcBorders>
              <w:top w:val="single" w:sz="4" w:space="0" w:color="808080" w:themeColor="background1" w:themeShade="80"/>
              <w:bottom w:val="single" w:sz="4" w:space="0" w:color="808080" w:themeColor="background1" w:themeShade="80"/>
              <w:right w:val="nil"/>
            </w:tcBorders>
            <w:shd w:val="clear" w:color="auto" w:fill="FFFFCC"/>
          </w:tcPr>
          <w:p w:rsidR="002B7D28" w:rsidRPr="004407AF" w:rsidRDefault="002B7D28" w:rsidP="00415299">
            <w:pPr>
              <w:autoSpaceDE w:val="0"/>
              <w:autoSpaceDN w:val="0"/>
              <w:adjustRightInd w:val="0"/>
              <w:spacing w:before="120" w:after="120"/>
              <w:rPr>
                <w:rFonts w:eastAsia="Times New Roman"/>
                <w:bCs/>
                <w:color w:val="000000"/>
                <w:sz w:val="16"/>
                <w:szCs w:val="16"/>
                <w:lang w:eastAsia="en-US"/>
              </w:rPr>
            </w:pPr>
            <w:r w:rsidRPr="004407AF">
              <w:rPr>
                <w:rFonts w:eastAsia="Times New Roman"/>
                <w:bCs/>
                <w:color w:val="000000"/>
                <w:sz w:val="16"/>
                <w:szCs w:val="16"/>
                <w:lang w:eastAsia="en-US"/>
              </w:rPr>
              <w:t>Information overlap FMR and PPR</w:t>
            </w:r>
          </w:p>
        </w:tc>
      </w:tr>
      <w:tr w:rsidR="002B7D28" w:rsidRPr="004407AF" w:rsidTr="003A017F">
        <w:tc>
          <w:tcPr>
            <w:tcW w:w="1138" w:type="pct"/>
            <w:tcBorders>
              <w:top w:val="single" w:sz="4" w:space="0" w:color="808080" w:themeColor="background1" w:themeShade="80"/>
              <w:left w:val="nil"/>
            </w:tcBorders>
          </w:tcPr>
          <w:p w:rsidR="002B7D28" w:rsidRPr="007C2719" w:rsidRDefault="002B7D28" w:rsidP="00415299">
            <w:pPr>
              <w:autoSpaceDE w:val="0"/>
              <w:autoSpaceDN w:val="0"/>
              <w:adjustRightInd w:val="0"/>
              <w:spacing w:before="120"/>
              <w:rPr>
                <w:rFonts w:eastAsia="Times New Roman"/>
                <w:b/>
                <w:bCs/>
                <w:color w:val="000000"/>
                <w:sz w:val="16"/>
                <w:szCs w:val="16"/>
                <w:u w:val="single"/>
                <w:lang w:eastAsia="en-US"/>
              </w:rPr>
            </w:pPr>
            <w:r w:rsidRPr="007C2719">
              <w:rPr>
                <w:rFonts w:eastAsia="Times New Roman"/>
                <w:b/>
                <w:bCs/>
                <w:color w:val="000000"/>
                <w:sz w:val="16"/>
                <w:szCs w:val="16"/>
                <w:u w:val="single"/>
                <w:lang w:eastAsia="en-US"/>
              </w:rPr>
              <w:t>Summary of Results by Union</w:t>
            </w:r>
          </w:p>
        </w:tc>
        <w:tc>
          <w:tcPr>
            <w:tcW w:w="529" w:type="pct"/>
            <w:tcBorders>
              <w:top w:val="single" w:sz="4" w:space="0" w:color="808080" w:themeColor="background1" w:themeShade="80"/>
            </w:tcBorders>
            <w:shd w:val="clear" w:color="auto" w:fill="FFFFFF"/>
          </w:tcPr>
          <w:p w:rsidR="002B7D28" w:rsidRPr="004407AF" w:rsidRDefault="002B7D28" w:rsidP="00415299">
            <w:pPr>
              <w:autoSpaceDE w:val="0"/>
              <w:autoSpaceDN w:val="0"/>
              <w:adjustRightInd w:val="0"/>
              <w:spacing w:before="120"/>
              <w:rPr>
                <w:rFonts w:eastAsia="Times New Roman"/>
                <w:bCs/>
                <w:color w:val="000000"/>
                <w:sz w:val="16"/>
                <w:szCs w:val="16"/>
                <w:lang w:eastAsia="en-US"/>
              </w:rPr>
            </w:pPr>
          </w:p>
        </w:tc>
        <w:tc>
          <w:tcPr>
            <w:tcW w:w="833" w:type="pct"/>
            <w:tcBorders>
              <w:top w:val="single" w:sz="4" w:space="0" w:color="808080" w:themeColor="background1" w:themeShade="80"/>
            </w:tcBorders>
            <w:shd w:val="clear" w:color="auto" w:fill="FFFFFF"/>
          </w:tcPr>
          <w:p w:rsidR="002B7D28" w:rsidRPr="004407AF" w:rsidRDefault="002B7D28" w:rsidP="00415299">
            <w:pPr>
              <w:autoSpaceDE w:val="0"/>
              <w:autoSpaceDN w:val="0"/>
              <w:adjustRightInd w:val="0"/>
              <w:spacing w:before="120"/>
              <w:rPr>
                <w:rFonts w:eastAsia="Times New Roman"/>
                <w:bCs/>
                <w:color w:val="000000"/>
                <w:sz w:val="16"/>
                <w:szCs w:val="16"/>
                <w:lang w:eastAsia="en-US"/>
              </w:rPr>
            </w:pPr>
          </w:p>
        </w:tc>
        <w:tc>
          <w:tcPr>
            <w:tcW w:w="1238" w:type="pct"/>
            <w:tcBorders>
              <w:top w:val="single" w:sz="4" w:space="0" w:color="808080" w:themeColor="background1" w:themeShade="80"/>
            </w:tcBorders>
            <w:shd w:val="clear" w:color="auto" w:fill="B6DDE8" w:themeFill="accent5" w:themeFillTint="66"/>
          </w:tcPr>
          <w:p w:rsidR="002B7D28" w:rsidRPr="004407AF" w:rsidRDefault="008869A0" w:rsidP="00415299">
            <w:pPr>
              <w:autoSpaceDE w:val="0"/>
              <w:autoSpaceDN w:val="0"/>
              <w:adjustRightInd w:val="0"/>
              <w:spacing w:before="120"/>
              <w:rPr>
                <w:rFonts w:eastAsia="Times New Roman"/>
                <w:bCs/>
                <w:color w:val="000000"/>
                <w:sz w:val="16"/>
                <w:szCs w:val="16"/>
                <w:lang w:eastAsia="en-US"/>
              </w:rPr>
            </w:pPr>
            <w:r w:rsidRPr="004407AF">
              <w:rPr>
                <w:rFonts w:eastAsia="Times New Roman"/>
                <w:bCs/>
                <w:color w:val="000000"/>
                <w:sz w:val="16"/>
                <w:szCs w:val="16"/>
                <w:lang w:eastAsia="en-US"/>
              </w:rPr>
              <w:t>Results by Union</w:t>
            </w:r>
          </w:p>
        </w:tc>
        <w:tc>
          <w:tcPr>
            <w:tcW w:w="701" w:type="pct"/>
            <w:tcBorders>
              <w:top w:val="single" w:sz="4" w:space="0" w:color="808080" w:themeColor="background1" w:themeShade="80"/>
            </w:tcBorders>
            <w:shd w:val="clear" w:color="auto" w:fill="FDE9D9" w:themeFill="accent6" w:themeFillTint="33"/>
          </w:tcPr>
          <w:p w:rsidR="002B7D28" w:rsidRPr="004407AF" w:rsidRDefault="002B7D28" w:rsidP="00415299">
            <w:pPr>
              <w:autoSpaceDE w:val="0"/>
              <w:autoSpaceDN w:val="0"/>
              <w:adjustRightInd w:val="0"/>
              <w:spacing w:before="120"/>
              <w:rPr>
                <w:rFonts w:eastAsia="Times New Roman"/>
                <w:bCs/>
                <w:color w:val="000000"/>
                <w:sz w:val="16"/>
                <w:szCs w:val="16"/>
                <w:lang w:eastAsia="en-US"/>
              </w:rPr>
            </w:pPr>
          </w:p>
        </w:tc>
        <w:tc>
          <w:tcPr>
            <w:tcW w:w="561" w:type="pct"/>
            <w:tcBorders>
              <w:top w:val="single" w:sz="4" w:space="0" w:color="808080" w:themeColor="background1" w:themeShade="80"/>
              <w:right w:val="nil"/>
            </w:tcBorders>
            <w:shd w:val="clear" w:color="auto" w:fill="FFFFCC"/>
          </w:tcPr>
          <w:p w:rsidR="002B7D28" w:rsidRPr="004407AF" w:rsidRDefault="002B7D28" w:rsidP="00415299">
            <w:pPr>
              <w:autoSpaceDE w:val="0"/>
              <w:autoSpaceDN w:val="0"/>
              <w:adjustRightInd w:val="0"/>
              <w:spacing w:before="12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jc w:val="right"/>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8869A0"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Reserve and Working Capital Funds by Union for end of year</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jc w:val="right"/>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8869A0"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Income and Expenditure by Union – end biennium (budgetary basis)</w:t>
            </w:r>
          </w:p>
        </w:tc>
        <w:tc>
          <w:tcPr>
            <w:tcW w:w="701" w:type="pct"/>
            <w:shd w:val="clear" w:color="auto" w:fill="FDE9D9" w:themeFill="accent6" w:themeFillTint="33"/>
          </w:tcPr>
          <w:p w:rsidR="002B7D28" w:rsidRPr="004407AF" w:rsidRDefault="008869A0"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Reserve Appropriations</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
                <w:bCs/>
                <w:color w:val="000000"/>
                <w:sz w:val="16"/>
                <w:szCs w:val="16"/>
                <w:u w:val="single"/>
                <w:lang w:eastAsia="en-US"/>
              </w:rPr>
            </w:pPr>
            <w:r w:rsidRPr="007C2719">
              <w:rPr>
                <w:rFonts w:eastAsia="Times New Roman"/>
                <w:b/>
                <w:bCs/>
                <w:color w:val="000000"/>
                <w:sz w:val="16"/>
                <w:szCs w:val="16"/>
                <w:u w:val="single"/>
                <w:lang w:eastAsia="en-US"/>
              </w:rPr>
              <w:t>Budget</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Post and Headcount Report by Program –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Approved Budget and Transfers by Program – biennium</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77BAA">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Post and Headcount Report for Funds in Trust and  Reserve-Funded Projects –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F30125" w:rsidP="00415299">
            <w:pPr>
              <w:autoSpaceDE w:val="0"/>
              <w:autoSpaceDN w:val="0"/>
              <w:adjustRightInd w:val="0"/>
              <w:spacing w:before="60"/>
              <w:rPr>
                <w:rFonts w:eastAsia="Times New Roman"/>
                <w:b/>
                <w:bCs/>
                <w:color w:val="000000"/>
                <w:sz w:val="16"/>
                <w:szCs w:val="16"/>
                <w:u w:val="single"/>
                <w:lang w:eastAsia="en-US"/>
              </w:rPr>
            </w:pPr>
            <w:r w:rsidRPr="007C2719">
              <w:rPr>
                <w:rFonts w:eastAsia="Times New Roman"/>
                <w:b/>
                <w:bCs/>
                <w:color w:val="000000"/>
                <w:sz w:val="16"/>
                <w:szCs w:val="16"/>
                <w:u w:val="single"/>
                <w:lang w:eastAsia="en-US"/>
              </w:rPr>
              <w:t>Expenditure</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by Object of Expenditure – biennium</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1E6694"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Budget and Expenditure Report by Program – biennium</w:t>
            </w: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Cs/>
                <w:color w:val="000000"/>
                <w:sz w:val="16"/>
                <w:szCs w:val="16"/>
                <w:u w:val="single"/>
                <w:lang w:eastAsia="en-US"/>
              </w:rPr>
            </w:pPr>
            <w:r w:rsidRPr="007C2719">
              <w:rPr>
                <w:rFonts w:eastAsia="Times New Roman"/>
                <w:bCs/>
                <w:color w:val="000000"/>
                <w:sz w:val="16"/>
                <w:szCs w:val="16"/>
                <w:u w:val="single"/>
                <w:lang w:eastAsia="en-US"/>
              </w:rPr>
              <w:t>Personnel Resources</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Evolution by Year</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against Budget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Cs/>
                <w:color w:val="000000"/>
                <w:sz w:val="16"/>
                <w:szCs w:val="16"/>
                <w:u w:val="single"/>
                <w:lang w:eastAsia="en-US"/>
              </w:rPr>
            </w:pPr>
            <w:r w:rsidRPr="007C2719">
              <w:rPr>
                <w:rFonts w:eastAsia="Times New Roman"/>
                <w:bCs/>
                <w:color w:val="000000"/>
                <w:sz w:val="16"/>
                <w:szCs w:val="16"/>
                <w:u w:val="single"/>
                <w:lang w:eastAsia="en-US"/>
              </w:rPr>
              <w:t>Travel and Fellowships</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Evolution by Year</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against Budget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Cs/>
                <w:color w:val="000000"/>
                <w:sz w:val="16"/>
                <w:szCs w:val="16"/>
                <w:u w:val="single"/>
                <w:lang w:eastAsia="en-US"/>
              </w:rPr>
            </w:pPr>
            <w:r w:rsidRPr="007C2719">
              <w:rPr>
                <w:rFonts w:eastAsia="Times New Roman"/>
                <w:bCs/>
                <w:color w:val="000000"/>
                <w:sz w:val="16"/>
                <w:szCs w:val="16"/>
                <w:u w:val="single"/>
                <w:lang w:eastAsia="en-US"/>
              </w:rPr>
              <w:t>Contractual Services</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Evolution by Year</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against Budget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Cs/>
                <w:color w:val="000000"/>
                <w:sz w:val="16"/>
                <w:szCs w:val="16"/>
                <w:u w:val="single"/>
                <w:lang w:eastAsia="en-US"/>
              </w:rPr>
            </w:pPr>
            <w:r w:rsidRPr="007C2719">
              <w:rPr>
                <w:rFonts w:eastAsia="Times New Roman"/>
                <w:bCs/>
                <w:color w:val="000000"/>
                <w:sz w:val="16"/>
                <w:szCs w:val="16"/>
                <w:u w:val="single"/>
                <w:lang w:eastAsia="en-US"/>
              </w:rPr>
              <w:t>Operating Expenses</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Evolution by Year</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against Budget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Cs/>
                <w:color w:val="000000"/>
                <w:sz w:val="16"/>
                <w:szCs w:val="16"/>
                <w:u w:val="single"/>
                <w:lang w:eastAsia="en-US"/>
              </w:rPr>
            </w:pPr>
            <w:r w:rsidRPr="007C2719">
              <w:rPr>
                <w:rFonts w:eastAsia="Times New Roman"/>
                <w:bCs/>
                <w:color w:val="000000"/>
                <w:sz w:val="16"/>
                <w:szCs w:val="16"/>
                <w:u w:val="single"/>
                <w:lang w:eastAsia="en-US"/>
              </w:rPr>
              <w:t>Equipment and Supplies</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477BAA"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Evolution by Year</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Expenditure against Budget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7C2719" w:rsidRDefault="002B7D28" w:rsidP="00415299">
            <w:pPr>
              <w:autoSpaceDE w:val="0"/>
              <w:autoSpaceDN w:val="0"/>
              <w:adjustRightInd w:val="0"/>
              <w:spacing w:before="60"/>
              <w:rPr>
                <w:rFonts w:eastAsia="Times New Roman"/>
                <w:b/>
                <w:bCs/>
                <w:color w:val="000000"/>
                <w:sz w:val="16"/>
                <w:szCs w:val="16"/>
                <w:u w:val="single"/>
                <w:lang w:eastAsia="en-US"/>
              </w:rPr>
            </w:pPr>
            <w:r w:rsidRPr="007C2719">
              <w:rPr>
                <w:rFonts w:eastAsia="Times New Roman"/>
                <w:b/>
                <w:bCs/>
                <w:color w:val="000000"/>
                <w:sz w:val="16"/>
                <w:szCs w:val="16"/>
                <w:u w:val="single"/>
                <w:lang w:eastAsia="en-US"/>
              </w:rPr>
              <w:lastRenderedPageBreak/>
              <w:t>Income</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 xml:space="preserve">Income </w:t>
            </w:r>
          </w:p>
        </w:tc>
        <w:tc>
          <w:tcPr>
            <w:tcW w:w="701" w:type="pct"/>
            <w:shd w:val="clear" w:color="auto" w:fill="FDE9D9" w:themeFill="accent6" w:themeFillTint="33"/>
          </w:tcPr>
          <w:p w:rsidR="002B7D28" w:rsidRPr="004407AF" w:rsidRDefault="001E6694"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Use of Reserves</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Default="002B7D28" w:rsidP="00415299">
            <w:pPr>
              <w:autoSpaceDE w:val="0"/>
              <w:autoSpaceDN w:val="0"/>
              <w:adjustRightInd w:val="0"/>
              <w:spacing w:before="60"/>
              <w:rPr>
                <w:rFonts w:eastAsia="Times New Roman"/>
                <w:bCs/>
                <w:color w:val="000000"/>
                <w:sz w:val="16"/>
                <w:szCs w:val="16"/>
                <w:lang w:eastAsia="en-US"/>
              </w:rPr>
            </w:pPr>
          </w:p>
          <w:p w:rsidR="00477BAA" w:rsidRPr="004407AF" w:rsidRDefault="001E6694"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Financial Risks</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1E6694" w:rsidRDefault="001E6694" w:rsidP="001E6694">
            <w:pPr>
              <w:autoSpaceDE w:val="0"/>
              <w:autoSpaceDN w:val="0"/>
              <w:adjustRightInd w:val="0"/>
              <w:spacing w:before="60"/>
              <w:rPr>
                <w:rFonts w:eastAsia="Times New Roman"/>
                <w:bCs/>
                <w:color w:val="000000"/>
                <w:sz w:val="16"/>
                <w:szCs w:val="16"/>
                <w:lang w:eastAsia="en-US"/>
              </w:rPr>
            </w:pPr>
          </w:p>
          <w:p w:rsidR="00477BAA" w:rsidRPr="004407AF" w:rsidRDefault="001E6694" w:rsidP="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Investments for the biennium</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477BAA" w:rsidRDefault="00477BAA" w:rsidP="001E6694">
            <w:pPr>
              <w:autoSpaceDE w:val="0"/>
              <w:autoSpaceDN w:val="0"/>
              <w:adjustRightInd w:val="0"/>
              <w:spacing w:before="60"/>
              <w:rPr>
                <w:rFonts w:eastAsia="Times New Roman"/>
                <w:bCs/>
                <w:color w:val="000000"/>
                <w:sz w:val="16"/>
                <w:szCs w:val="16"/>
                <w:lang w:eastAsia="en-US"/>
              </w:rPr>
            </w:pPr>
          </w:p>
          <w:p w:rsidR="001E6694" w:rsidRPr="004407AF" w:rsidRDefault="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Investments (in each year of the biennium under review)</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Position</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Performance</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Changes in Net Assets</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Cash Flow</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Comparison of Budget and Actual Amounts – Revenue</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Comparison of Budget and Actual Amounts – Expense</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Analysis of Statement of Financial Position</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Analysis of Statement of Financial Performance</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Position by Business Unit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Performance by Business Unit</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1E6694" w:rsidRPr="004407AF" w:rsidRDefault="002B7D28" w:rsidP="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Contributions and Working Capital Funds</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1E6694" w:rsidRPr="004407AF" w:rsidRDefault="002B7D28" w:rsidP="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Contributions according to the unitary contribution system</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1E6694" w:rsidRPr="004407AF" w:rsidRDefault="002B7D28" w:rsidP="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Outstanding Contributions as at December 31 (end biennium) and arrears in contributions of the least developed countries (LDCs) having a special (frozen) account</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1E6694" w:rsidRPr="004407AF" w:rsidRDefault="002B7D28" w:rsidP="001E6694">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Contributions received in advance</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Working Capital Funds as at December 31 (end biennium)</w:t>
            </w: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and Hague Distributions</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Supplementary fees - first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Complementary fees – first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Total of fees - first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Supplementary fees - second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Complementary fees – second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Total of fees - second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Protocol relating to the Madrid Agreement – Individual fees – first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Protocol relating to the Madrid Agreement – Individual fees – second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Union – Payment made in accordance with Rule 39 of the Common Regulations under the Madrid Agreement and Protocol</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Hague Union – State and designation fees - first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Hague Union – State and designation fees – second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and Hague Unions – Distribution first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and Hague Unions – Distribution second year of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Madrid and Hague Unions – Recapitulation (biennium)</w:t>
            </w: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Trust Funds</w:t>
            </w: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Summary of achievements in biennium</w:t>
            </w: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Program Performance by program for the biennium</w:t>
            </w: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Report on Expenditures Related to Development Activities</w:t>
            </w: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Implementation of Funds-in-Trust (end biennium)</w:t>
            </w: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keepNext/>
              <w:keepLines/>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keepNext/>
              <w:keepLines/>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Financial Statement Discussion and Analysis</w:t>
            </w:r>
          </w:p>
        </w:tc>
        <w:tc>
          <w:tcPr>
            <w:tcW w:w="833" w:type="pct"/>
            <w:shd w:val="clear" w:color="auto" w:fill="FFFFFF"/>
          </w:tcPr>
          <w:p w:rsidR="002B7D28" w:rsidRPr="004407AF" w:rsidRDefault="002B7D28" w:rsidP="00415299">
            <w:pPr>
              <w:keepNext/>
              <w:keepLines/>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keepNext/>
              <w:keepLines/>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keepNext/>
              <w:keepLines/>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keepNext/>
              <w:keepLines/>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Position</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Performance</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Changes in Net Assets</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Cash Flow</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Comparison of Budget and Actual Amounts – Revenue</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Comparison of Budget and Actual Amounts – Expense</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Position by Business Unit</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Statement of Financial Performance by Business Unit</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Special Accounts by Donor Contributions</w:t>
            </w:r>
          </w:p>
        </w:tc>
        <w:tc>
          <w:tcPr>
            <w:tcW w:w="833" w:type="pct"/>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r w:rsidR="002B7D28" w:rsidRPr="004407AF" w:rsidTr="003A017F">
        <w:tc>
          <w:tcPr>
            <w:tcW w:w="1138" w:type="pct"/>
            <w:tcBorders>
              <w:left w:val="nil"/>
              <w:bottom w:val="single" w:sz="4" w:space="0" w:color="808080" w:themeColor="background1" w:themeShade="80"/>
            </w:tcBorders>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29" w:type="pct"/>
            <w:tcBorders>
              <w:bottom w:val="single" w:sz="4" w:space="0" w:color="808080" w:themeColor="background1" w:themeShade="80"/>
            </w:tcBorders>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r w:rsidRPr="004407AF">
              <w:rPr>
                <w:rFonts w:eastAsia="Times New Roman"/>
                <w:bCs/>
                <w:color w:val="000000"/>
                <w:sz w:val="16"/>
                <w:szCs w:val="16"/>
                <w:lang w:eastAsia="en-US"/>
              </w:rPr>
              <w:t>Notes to the Financial Statements</w:t>
            </w:r>
          </w:p>
        </w:tc>
        <w:tc>
          <w:tcPr>
            <w:tcW w:w="833" w:type="pct"/>
            <w:tcBorders>
              <w:bottom w:val="single" w:sz="4" w:space="0" w:color="808080" w:themeColor="background1" w:themeShade="80"/>
            </w:tcBorders>
            <w:shd w:val="clear" w:color="auto" w:fill="FFFFFF"/>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1238" w:type="pct"/>
            <w:tcBorders>
              <w:bottom w:val="single" w:sz="4" w:space="0" w:color="808080" w:themeColor="background1" w:themeShade="80"/>
            </w:tcBorders>
            <w:shd w:val="clear" w:color="auto" w:fill="B6DDE8" w:themeFill="accent5" w:themeFillTint="66"/>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701" w:type="pct"/>
            <w:tcBorders>
              <w:bottom w:val="single" w:sz="4" w:space="0" w:color="808080" w:themeColor="background1" w:themeShade="80"/>
            </w:tcBorders>
            <w:shd w:val="clear" w:color="auto" w:fill="FDE9D9" w:themeFill="accent6" w:themeFillTint="33"/>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c>
          <w:tcPr>
            <w:tcW w:w="561" w:type="pct"/>
            <w:tcBorders>
              <w:bottom w:val="single" w:sz="4" w:space="0" w:color="808080" w:themeColor="background1" w:themeShade="80"/>
              <w:right w:val="nil"/>
            </w:tcBorders>
            <w:shd w:val="clear" w:color="auto" w:fill="FFFFCC"/>
          </w:tcPr>
          <w:p w:rsidR="002B7D28" w:rsidRPr="004407AF" w:rsidRDefault="002B7D28" w:rsidP="00415299">
            <w:pPr>
              <w:autoSpaceDE w:val="0"/>
              <w:autoSpaceDN w:val="0"/>
              <w:adjustRightInd w:val="0"/>
              <w:spacing w:before="60"/>
              <w:rPr>
                <w:rFonts w:eastAsia="Times New Roman"/>
                <w:bCs/>
                <w:color w:val="000000"/>
                <w:sz w:val="16"/>
                <w:szCs w:val="16"/>
                <w:lang w:eastAsia="en-US"/>
              </w:rPr>
            </w:pPr>
          </w:p>
        </w:tc>
      </w:tr>
    </w:tbl>
    <w:p w:rsidR="002B7D28" w:rsidRDefault="002B7D28" w:rsidP="002B7D28">
      <w:pPr>
        <w:tabs>
          <w:tab w:val="left" w:pos="5233"/>
          <w:tab w:val="left" w:pos="9464"/>
        </w:tabs>
        <w:autoSpaceDE w:val="0"/>
        <w:autoSpaceDN w:val="0"/>
        <w:adjustRightInd w:val="0"/>
        <w:ind w:left="78"/>
        <w:jc w:val="right"/>
      </w:pPr>
    </w:p>
    <w:p w:rsidR="00676EB6" w:rsidRDefault="002B7D28" w:rsidP="002B7D28">
      <w:pPr>
        <w:tabs>
          <w:tab w:val="left" w:pos="8931"/>
        </w:tabs>
        <w:autoSpaceDE w:val="0"/>
        <w:autoSpaceDN w:val="0"/>
        <w:adjustRightInd w:val="0"/>
        <w:ind w:left="78"/>
      </w:pPr>
      <w:r>
        <w:tab/>
      </w:r>
    </w:p>
    <w:p w:rsidR="00F37106" w:rsidRPr="00032A99" w:rsidRDefault="00676EB6" w:rsidP="007C2719">
      <w:pPr>
        <w:tabs>
          <w:tab w:val="left" w:pos="8931"/>
        </w:tabs>
        <w:autoSpaceDE w:val="0"/>
        <w:autoSpaceDN w:val="0"/>
        <w:adjustRightInd w:val="0"/>
        <w:ind w:left="78"/>
      </w:pPr>
      <w:r>
        <w:tab/>
      </w:r>
      <w:r w:rsidR="002B7D28">
        <w:t>[End of Annex and of document]</w:t>
      </w:r>
    </w:p>
    <w:sectPr w:rsidR="00F37106" w:rsidRPr="00032A99" w:rsidSect="00676EB6">
      <w:headerReference w:type="default" r:id="rId13"/>
      <w:headerReference w:type="first" r:id="rId14"/>
      <w:endnotePr>
        <w:numFmt w:val="decimal"/>
      </w:endnotePr>
      <w:pgSz w:w="16840" w:h="11907" w:orient="landscape" w:code="9"/>
      <w:pgMar w:top="1418" w:right="567" w:bottom="1134" w:left="851"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7BE" w:rsidRDefault="000E37BE">
      <w:r>
        <w:separator/>
      </w:r>
    </w:p>
  </w:endnote>
  <w:endnote w:type="continuationSeparator" w:id="0">
    <w:p w:rsidR="000E37BE" w:rsidRDefault="000E37BE" w:rsidP="003B38C1">
      <w:r>
        <w:separator/>
      </w:r>
    </w:p>
    <w:p w:rsidR="000E37BE" w:rsidRPr="003B38C1" w:rsidRDefault="000E37BE" w:rsidP="003B38C1">
      <w:pPr>
        <w:spacing w:after="60"/>
        <w:rPr>
          <w:sz w:val="17"/>
        </w:rPr>
      </w:pPr>
      <w:r>
        <w:rPr>
          <w:sz w:val="17"/>
        </w:rPr>
        <w:t>[Endnote continued from previous page]</w:t>
      </w:r>
    </w:p>
  </w:endnote>
  <w:endnote w:type="continuationNotice" w:id="1">
    <w:p w:rsidR="000E37BE" w:rsidRPr="003B38C1" w:rsidRDefault="000E37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7BE" w:rsidRDefault="000E37BE">
      <w:r>
        <w:separator/>
      </w:r>
    </w:p>
  </w:footnote>
  <w:footnote w:type="continuationSeparator" w:id="0">
    <w:p w:rsidR="000E37BE" w:rsidRDefault="000E37BE" w:rsidP="008B60B2">
      <w:r>
        <w:separator/>
      </w:r>
    </w:p>
    <w:p w:rsidR="000E37BE" w:rsidRPr="00ED77FB" w:rsidRDefault="000E37BE" w:rsidP="008B60B2">
      <w:pPr>
        <w:spacing w:after="60"/>
        <w:rPr>
          <w:sz w:val="17"/>
          <w:szCs w:val="17"/>
        </w:rPr>
      </w:pPr>
      <w:r w:rsidRPr="00ED77FB">
        <w:rPr>
          <w:sz w:val="17"/>
          <w:szCs w:val="17"/>
        </w:rPr>
        <w:t>[Footnote continued from previous page]</w:t>
      </w:r>
    </w:p>
  </w:footnote>
  <w:footnote w:type="continuationNotice" w:id="1">
    <w:p w:rsidR="000E37BE" w:rsidRPr="00ED77FB" w:rsidRDefault="000E37BE" w:rsidP="008B60B2">
      <w:pPr>
        <w:spacing w:before="60"/>
        <w:jc w:val="right"/>
        <w:rPr>
          <w:sz w:val="17"/>
          <w:szCs w:val="17"/>
        </w:rPr>
      </w:pPr>
      <w:r w:rsidRPr="00ED77FB">
        <w:rPr>
          <w:sz w:val="17"/>
          <w:szCs w:val="17"/>
        </w:rPr>
        <w:t>[Footnote continued on next page]</w:t>
      </w:r>
    </w:p>
  </w:footnote>
  <w:footnote w:id="2">
    <w:p w:rsidR="000C6327" w:rsidRPr="000C6327" w:rsidRDefault="000C6327">
      <w:pPr>
        <w:pStyle w:val="FootnoteText"/>
        <w:rPr>
          <w:sz w:val="16"/>
          <w:szCs w:val="16"/>
        </w:rPr>
      </w:pPr>
      <w:r>
        <w:rPr>
          <w:rStyle w:val="FootnoteReference"/>
        </w:rPr>
        <w:footnoteRef/>
      </w:r>
      <w:r>
        <w:t xml:space="preserve"> </w:t>
      </w:r>
      <w:r w:rsidRPr="000C6327">
        <w:t xml:space="preserve"> </w:t>
      </w:r>
      <w:r w:rsidRPr="00787D03">
        <w:rPr>
          <w:sz w:val="16"/>
          <w:szCs w:val="16"/>
        </w:rPr>
        <w:t>Discussions and analysis in FS are on an IPSAS basis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B5" w:rsidRDefault="00807FB5" w:rsidP="00477D6B">
    <w:pPr>
      <w:jc w:val="right"/>
    </w:pPr>
    <w:bookmarkStart w:id="6" w:name="Code2"/>
    <w:bookmarkEnd w:id="6"/>
    <w:r>
      <w:t>WO/PBC/22/</w:t>
    </w:r>
    <w:r w:rsidR="0089701F">
      <w:t>27</w:t>
    </w:r>
  </w:p>
  <w:p w:rsidR="00807FB5" w:rsidRDefault="00807FB5" w:rsidP="00477D6B">
    <w:pPr>
      <w:jc w:val="right"/>
    </w:pPr>
    <w:proofErr w:type="gramStart"/>
    <w:r>
      <w:t>page</w:t>
    </w:r>
    <w:proofErr w:type="gramEnd"/>
    <w:r>
      <w:t xml:space="preserve"> </w:t>
    </w:r>
    <w:r>
      <w:fldChar w:fldCharType="begin"/>
    </w:r>
    <w:r>
      <w:instrText xml:space="preserve"> PAGE  \* MERGEFORMAT </w:instrText>
    </w:r>
    <w:r>
      <w:fldChar w:fldCharType="separate"/>
    </w:r>
    <w:r w:rsidR="008A6210">
      <w:rPr>
        <w:noProof/>
      </w:rPr>
      <w:t>2</w:t>
    </w:r>
    <w:r>
      <w:fldChar w:fldCharType="end"/>
    </w:r>
  </w:p>
  <w:p w:rsidR="00807FB5" w:rsidRDefault="00807FB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B6" w:rsidRDefault="00676EB6" w:rsidP="00676EB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7A" w:rsidRDefault="006D637A" w:rsidP="00477D6B">
    <w:pPr>
      <w:jc w:val="right"/>
    </w:pPr>
    <w:r>
      <w:t>WO/PBC/22/27</w:t>
    </w:r>
  </w:p>
  <w:p w:rsidR="006D637A" w:rsidRDefault="006D637A" w:rsidP="00477D6B">
    <w:pPr>
      <w:jc w:val="right"/>
    </w:pPr>
    <w:r>
      <w:t xml:space="preserve">Annex, page </w:t>
    </w:r>
    <w:r>
      <w:fldChar w:fldCharType="begin"/>
    </w:r>
    <w:r>
      <w:instrText xml:space="preserve"> PAGE  \* MERGEFORMAT </w:instrText>
    </w:r>
    <w:r>
      <w:fldChar w:fldCharType="separate"/>
    </w:r>
    <w:r w:rsidR="008A6210">
      <w:rPr>
        <w:noProof/>
      </w:rPr>
      <w:t>4</w:t>
    </w:r>
    <w:r>
      <w:fldChar w:fldCharType="end"/>
    </w:r>
  </w:p>
  <w:p w:rsidR="006D637A" w:rsidRDefault="006D637A"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7A" w:rsidRDefault="006D637A" w:rsidP="00676EB6">
    <w:pPr>
      <w:pStyle w:val="Header"/>
      <w:jc w:val="right"/>
    </w:pPr>
    <w:r>
      <w:t>WO/PBC/22/27</w:t>
    </w:r>
  </w:p>
  <w:p w:rsidR="006D637A" w:rsidRDefault="006D637A" w:rsidP="00676EB6">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0C6C4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B22C3"/>
    <w:multiLevelType w:val="hybridMultilevel"/>
    <w:tmpl w:val="7B6C5B52"/>
    <w:lvl w:ilvl="0" w:tplc="9C027A1C">
      <w:start w:val="1"/>
      <w:numFmt w:val="lowerRoman"/>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C86636"/>
    <w:multiLevelType w:val="hybridMultilevel"/>
    <w:tmpl w:val="3168BB38"/>
    <w:lvl w:ilvl="0" w:tplc="EAB26EE8">
      <w:start w:val="1"/>
      <w:numFmt w:val="lowerRoman"/>
      <w:lvlText w:val="(%1)"/>
      <w:lvlJc w:val="right"/>
      <w:pPr>
        <w:ind w:left="6253" w:hanging="720"/>
      </w:pPr>
      <w:rPr>
        <w:rFonts w:hint="default"/>
        <w:b w:val="0"/>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5211963"/>
    <w:multiLevelType w:val="hybridMultilevel"/>
    <w:tmpl w:val="1F16E12A"/>
    <w:lvl w:ilvl="0" w:tplc="9C027A1C">
      <w:start w:val="1"/>
      <w:numFmt w:val="lowerRoman"/>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7">
    <w:nsid w:val="35066E09"/>
    <w:multiLevelType w:val="hybridMultilevel"/>
    <w:tmpl w:val="3F841C4A"/>
    <w:lvl w:ilvl="0" w:tplc="9C027A1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40338"/>
    <w:multiLevelType w:val="hybridMultilevel"/>
    <w:tmpl w:val="4CF6E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592251"/>
    <w:multiLevelType w:val="multilevel"/>
    <w:tmpl w:val="4A5E8396"/>
    <w:lvl w:ilvl="0">
      <w:start w:val="1"/>
      <w:numFmt w:val="lowerRoman"/>
      <w:lvlText w:val="%1)"/>
      <w:lvlJc w:val="left"/>
      <w:pPr>
        <w:ind w:left="720" w:hanging="72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F027F0"/>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AD268CD"/>
    <w:multiLevelType w:val="hybridMultilevel"/>
    <w:tmpl w:val="BA1AEFB6"/>
    <w:lvl w:ilvl="0" w:tplc="0A467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2774AD6"/>
    <w:multiLevelType w:val="hybridMultilevel"/>
    <w:tmpl w:val="8C087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24054"/>
    <w:multiLevelType w:val="hybridMultilevel"/>
    <w:tmpl w:val="7A5CB848"/>
    <w:lvl w:ilvl="0" w:tplc="18D4F94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1CC6BBA"/>
    <w:multiLevelType w:val="hybridMultilevel"/>
    <w:tmpl w:val="070C9CA6"/>
    <w:lvl w:ilvl="0" w:tplc="9C027A1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1"/>
  </w:num>
  <w:num w:numId="5">
    <w:abstractNumId w:val="1"/>
  </w:num>
  <w:num w:numId="6">
    <w:abstractNumId w:val="5"/>
  </w:num>
  <w:num w:numId="7">
    <w:abstractNumId w:val="12"/>
  </w:num>
  <w:num w:numId="8">
    <w:abstractNumId w:val="2"/>
  </w:num>
  <w:num w:numId="9">
    <w:abstractNumId w:val="6"/>
  </w:num>
  <w:num w:numId="10">
    <w:abstractNumId w:val="7"/>
  </w:num>
  <w:num w:numId="11">
    <w:abstractNumId w:val="16"/>
  </w:num>
  <w:num w:numId="12">
    <w:abstractNumId w:val="15"/>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8"/>
    </w:lvlOverride>
  </w:num>
  <w:num w:numId="17">
    <w:abstractNumId w:val="4"/>
  </w:num>
  <w:num w:numId="18">
    <w:abstractNumId w:val="9"/>
  </w:num>
  <w:num w:numId="19">
    <w:abstractNumId w:val="1"/>
    <w:lvlOverride w:ilvl="0">
      <w:startOverride w:val="6"/>
    </w:lvlOverride>
  </w:num>
  <w:num w:numId="20">
    <w:abstractNumId w:val="8"/>
  </w:num>
  <w:num w:numId="21">
    <w:abstractNumId w:val="14"/>
  </w:num>
  <w:num w:numId="22">
    <w:abstractNumId w:val="1"/>
  </w:num>
  <w:num w:numId="23">
    <w:abstractNumId w:val="1"/>
  </w:num>
  <w:num w:numId="2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C3"/>
    <w:rsid w:val="000218DD"/>
    <w:rsid w:val="00032A99"/>
    <w:rsid w:val="00040F8F"/>
    <w:rsid w:val="00043CAA"/>
    <w:rsid w:val="00075432"/>
    <w:rsid w:val="00076CB7"/>
    <w:rsid w:val="000968ED"/>
    <w:rsid w:val="000C6327"/>
    <w:rsid w:val="000D4A6C"/>
    <w:rsid w:val="000E0A7E"/>
    <w:rsid w:val="000E37BE"/>
    <w:rsid w:val="000E7754"/>
    <w:rsid w:val="000F328A"/>
    <w:rsid w:val="000F5E56"/>
    <w:rsid w:val="001078E4"/>
    <w:rsid w:val="00122E44"/>
    <w:rsid w:val="001303CA"/>
    <w:rsid w:val="001362EE"/>
    <w:rsid w:val="001832A6"/>
    <w:rsid w:val="001D39C7"/>
    <w:rsid w:val="001E0B20"/>
    <w:rsid w:val="001E6694"/>
    <w:rsid w:val="001E7535"/>
    <w:rsid w:val="002054F2"/>
    <w:rsid w:val="0021423C"/>
    <w:rsid w:val="0021448F"/>
    <w:rsid w:val="0021479B"/>
    <w:rsid w:val="00215664"/>
    <w:rsid w:val="0024170B"/>
    <w:rsid w:val="00244145"/>
    <w:rsid w:val="002540C6"/>
    <w:rsid w:val="00256100"/>
    <w:rsid w:val="002634C4"/>
    <w:rsid w:val="002767B7"/>
    <w:rsid w:val="00281AD1"/>
    <w:rsid w:val="002928D3"/>
    <w:rsid w:val="002A2A93"/>
    <w:rsid w:val="002B7D28"/>
    <w:rsid w:val="002C586D"/>
    <w:rsid w:val="002C7BDF"/>
    <w:rsid w:val="002D3B4F"/>
    <w:rsid w:val="002E1F4F"/>
    <w:rsid w:val="002F093D"/>
    <w:rsid w:val="002F1FE6"/>
    <w:rsid w:val="002F47C3"/>
    <w:rsid w:val="002F4E68"/>
    <w:rsid w:val="00312F7F"/>
    <w:rsid w:val="00323FFE"/>
    <w:rsid w:val="00324C5A"/>
    <w:rsid w:val="0032632C"/>
    <w:rsid w:val="00350B30"/>
    <w:rsid w:val="00361450"/>
    <w:rsid w:val="003673CF"/>
    <w:rsid w:val="003845C1"/>
    <w:rsid w:val="00391D4A"/>
    <w:rsid w:val="003A017F"/>
    <w:rsid w:val="003A0550"/>
    <w:rsid w:val="003A61EF"/>
    <w:rsid w:val="003A6F89"/>
    <w:rsid w:val="003B38C1"/>
    <w:rsid w:val="003D3F50"/>
    <w:rsid w:val="003F493C"/>
    <w:rsid w:val="00415DE0"/>
    <w:rsid w:val="00423E3E"/>
    <w:rsid w:val="00427AF4"/>
    <w:rsid w:val="004328E8"/>
    <w:rsid w:val="00434807"/>
    <w:rsid w:val="00437281"/>
    <w:rsid w:val="00460DF0"/>
    <w:rsid w:val="004647DA"/>
    <w:rsid w:val="00474062"/>
    <w:rsid w:val="00477BAA"/>
    <w:rsid w:val="00477D6B"/>
    <w:rsid w:val="004813A2"/>
    <w:rsid w:val="004C1906"/>
    <w:rsid w:val="004C35D4"/>
    <w:rsid w:val="004C4E68"/>
    <w:rsid w:val="004E61B8"/>
    <w:rsid w:val="004F0CC4"/>
    <w:rsid w:val="004F1B55"/>
    <w:rsid w:val="005019FF"/>
    <w:rsid w:val="0051239D"/>
    <w:rsid w:val="00527A33"/>
    <w:rsid w:val="0053057A"/>
    <w:rsid w:val="00534924"/>
    <w:rsid w:val="00535323"/>
    <w:rsid w:val="00536E63"/>
    <w:rsid w:val="0054370F"/>
    <w:rsid w:val="00546D99"/>
    <w:rsid w:val="00551070"/>
    <w:rsid w:val="005558A8"/>
    <w:rsid w:val="00560A29"/>
    <w:rsid w:val="00566C1B"/>
    <w:rsid w:val="00583BD4"/>
    <w:rsid w:val="00591CA6"/>
    <w:rsid w:val="005B0159"/>
    <w:rsid w:val="005B0A3E"/>
    <w:rsid w:val="005C6649"/>
    <w:rsid w:val="005D0E0E"/>
    <w:rsid w:val="005E5262"/>
    <w:rsid w:val="005F2D2C"/>
    <w:rsid w:val="00605827"/>
    <w:rsid w:val="00617896"/>
    <w:rsid w:val="00623030"/>
    <w:rsid w:val="006323BD"/>
    <w:rsid w:val="0064109B"/>
    <w:rsid w:val="00646050"/>
    <w:rsid w:val="006713CA"/>
    <w:rsid w:val="00674DCC"/>
    <w:rsid w:val="00676C5C"/>
    <w:rsid w:val="00676EB6"/>
    <w:rsid w:val="00695787"/>
    <w:rsid w:val="006A25EE"/>
    <w:rsid w:val="006D4357"/>
    <w:rsid w:val="006D637A"/>
    <w:rsid w:val="00732D92"/>
    <w:rsid w:val="00747698"/>
    <w:rsid w:val="00761291"/>
    <w:rsid w:val="00785567"/>
    <w:rsid w:val="00786997"/>
    <w:rsid w:val="00787D03"/>
    <w:rsid w:val="00791C49"/>
    <w:rsid w:val="007C2719"/>
    <w:rsid w:val="007D1613"/>
    <w:rsid w:val="007D75CA"/>
    <w:rsid w:val="00807FB5"/>
    <w:rsid w:val="008208E6"/>
    <w:rsid w:val="00827E8D"/>
    <w:rsid w:val="008504D4"/>
    <w:rsid w:val="00852561"/>
    <w:rsid w:val="008869A0"/>
    <w:rsid w:val="0089701F"/>
    <w:rsid w:val="008A6210"/>
    <w:rsid w:val="008B2CC1"/>
    <w:rsid w:val="008B60B2"/>
    <w:rsid w:val="008E2AA6"/>
    <w:rsid w:val="008E3822"/>
    <w:rsid w:val="008E5EC2"/>
    <w:rsid w:val="008F1C87"/>
    <w:rsid w:val="008F419B"/>
    <w:rsid w:val="008F4779"/>
    <w:rsid w:val="0090731E"/>
    <w:rsid w:val="00916EE2"/>
    <w:rsid w:val="00925AD3"/>
    <w:rsid w:val="00927312"/>
    <w:rsid w:val="00951989"/>
    <w:rsid w:val="00966A22"/>
    <w:rsid w:val="0096722F"/>
    <w:rsid w:val="00980843"/>
    <w:rsid w:val="009A6759"/>
    <w:rsid w:val="009B1C89"/>
    <w:rsid w:val="009C4662"/>
    <w:rsid w:val="009C7BB3"/>
    <w:rsid w:val="009E2791"/>
    <w:rsid w:val="009E3F6F"/>
    <w:rsid w:val="009F499F"/>
    <w:rsid w:val="009F5925"/>
    <w:rsid w:val="009F5D6E"/>
    <w:rsid w:val="00A27D5E"/>
    <w:rsid w:val="00A40716"/>
    <w:rsid w:val="00A42DAF"/>
    <w:rsid w:val="00A45BD8"/>
    <w:rsid w:val="00A869B7"/>
    <w:rsid w:val="00AA0C07"/>
    <w:rsid w:val="00AA2E79"/>
    <w:rsid w:val="00AC178D"/>
    <w:rsid w:val="00AC205C"/>
    <w:rsid w:val="00AC6915"/>
    <w:rsid w:val="00AE1710"/>
    <w:rsid w:val="00AF0A6B"/>
    <w:rsid w:val="00AF5CBB"/>
    <w:rsid w:val="00B05A69"/>
    <w:rsid w:val="00B1716C"/>
    <w:rsid w:val="00B228FA"/>
    <w:rsid w:val="00B256D2"/>
    <w:rsid w:val="00B30859"/>
    <w:rsid w:val="00B32ACB"/>
    <w:rsid w:val="00B554FA"/>
    <w:rsid w:val="00B6226E"/>
    <w:rsid w:val="00B65A9D"/>
    <w:rsid w:val="00B7636F"/>
    <w:rsid w:val="00B92F1B"/>
    <w:rsid w:val="00B9734B"/>
    <w:rsid w:val="00BD4855"/>
    <w:rsid w:val="00C11BFE"/>
    <w:rsid w:val="00C30473"/>
    <w:rsid w:val="00C317B6"/>
    <w:rsid w:val="00C31D29"/>
    <w:rsid w:val="00C4430C"/>
    <w:rsid w:val="00C92A83"/>
    <w:rsid w:val="00CE5A06"/>
    <w:rsid w:val="00CF301B"/>
    <w:rsid w:val="00D26815"/>
    <w:rsid w:val="00D377E9"/>
    <w:rsid w:val="00D40225"/>
    <w:rsid w:val="00D45252"/>
    <w:rsid w:val="00D57246"/>
    <w:rsid w:val="00D67007"/>
    <w:rsid w:val="00D71B4D"/>
    <w:rsid w:val="00D75E61"/>
    <w:rsid w:val="00D77F85"/>
    <w:rsid w:val="00D84218"/>
    <w:rsid w:val="00D93D55"/>
    <w:rsid w:val="00DA5472"/>
    <w:rsid w:val="00DD2446"/>
    <w:rsid w:val="00DE0A31"/>
    <w:rsid w:val="00E335FE"/>
    <w:rsid w:val="00E40CBA"/>
    <w:rsid w:val="00E41133"/>
    <w:rsid w:val="00E94630"/>
    <w:rsid w:val="00E95A7A"/>
    <w:rsid w:val="00EB33C7"/>
    <w:rsid w:val="00EC4E49"/>
    <w:rsid w:val="00EC7D07"/>
    <w:rsid w:val="00ED0657"/>
    <w:rsid w:val="00ED77FB"/>
    <w:rsid w:val="00EE45FA"/>
    <w:rsid w:val="00F00343"/>
    <w:rsid w:val="00F02E00"/>
    <w:rsid w:val="00F1123B"/>
    <w:rsid w:val="00F30125"/>
    <w:rsid w:val="00F37106"/>
    <w:rsid w:val="00F46CC8"/>
    <w:rsid w:val="00F56C83"/>
    <w:rsid w:val="00F66152"/>
    <w:rsid w:val="00F72A01"/>
    <w:rsid w:val="00FA2419"/>
    <w:rsid w:val="00FE0D70"/>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F47C3"/>
    <w:rPr>
      <w:rFonts w:ascii="Tahoma" w:hAnsi="Tahoma" w:cs="Tahoma"/>
      <w:sz w:val="16"/>
      <w:szCs w:val="16"/>
    </w:rPr>
  </w:style>
  <w:style w:type="character" w:customStyle="1" w:styleId="BalloonTextChar">
    <w:name w:val="Balloon Text Char"/>
    <w:basedOn w:val="DefaultParagraphFont"/>
    <w:link w:val="BalloonText"/>
    <w:rsid w:val="002F47C3"/>
    <w:rPr>
      <w:rFonts w:ascii="Tahoma" w:eastAsia="SimSun" w:hAnsi="Tahoma" w:cs="Tahoma"/>
      <w:sz w:val="16"/>
      <w:szCs w:val="16"/>
      <w:lang w:eastAsia="zh-CN"/>
    </w:rPr>
  </w:style>
  <w:style w:type="paragraph" w:styleId="ListParagraph">
    <w:name w:val="List Paragraph"/>
    <w:basedOn w:val="Normal"/>
    <w:uiPriority w:val="34"/>
    <w:qFormat/>
    <w:rsid w:val="000F328A"/>
    <w:pPr>
      <w:ind w:left="720"/>
      <w:contextualSpacing/>
    </w:pPr>
  </w:style>
  <w:style w:type="character" w:styleId="CommentReference">
    <w:name w:val="annotation reference"/>
    <w:basedOn w:val="DefaultParagraphFont"/>
    <w:rsid w:val="009F5D6E"/>
    <w:rPr>
      <w:sz w:val="16"/>
      <w:szCs w:val="16"/>
    </w:rPr>
  </w:style>
  <w:style w:type="paragraph" w:styleId="CommentSubject">
    <w:name w:val="annotation subject"/>
    <w:basedOn w:val="CommentText"/>
    <w:next w:val="CommentText"/>
    <w:link w:val="CommentSubjectChar"/>
    <w:rsid w:val="009F5D6E"/>
    <w:rPr>
      <w:b/>
      <w:bCs/>
      <w:sz w:val="20"/>
    </w:rPr>
  </w:style>
  <w:style w:type="character" w:customStyle="1" w:styleId="CommentTextChar">
    <w:name w:val="Comment Text Char"/>
    <w:basedOn w:val="DefaultParagraphFont"/>
    <w:link w:val="CommentText"/>
    <w:semiHidden/>
    <w:rsid w:val="009F5D6E"/>
    <w:rPr>
      <w:rFonts w:ascii="Arial" w:eastAsia="SimSun" w:hAnsi="Arial" w:cs="Arial"/>
      <w:sz w:val="18"/>
      <w:lang w:eastAsia="zh-CN"/>
    </w:rPr>
  </w:style>
  <w:style w:type="character" w:customStyle="1" w:styleId="CommentSubjectChar">
    <w:name w:val="Comment Subject Char"/>
    <w:basedOn w:val="CommentTextChar"/>
    <w:link w:val="CommentSubject"/>
    <w:rsid w:val="009F5D6E"/>
    <w:rPr>
      <w:rFonts w:ascii="Arial" w:eastAsia="SimSun" w:hAnsi="Arial" w:cs="Arial"/>
      <w:b/>
      <w:bCs/>
      <w:sz w:val="18"/>
      <w:lang w:eastAsia="zh-CN"/>
    </w:rPr>
  </w:style>
  <w:style w:type="character" w:styleId="FootnoteReference">
    <w:name w:val="footnote reference"/>
    <w:basedOn w:val="DefaultParagraphFont"/>
    <w:rsid w:val="000C6327"/>
    <w:rPr>
      <w:vertAlign w:val="superscript"/>
    </w:rPr>
  </w:style>
  <w:style w:type="paragraph" w:styleId="NormalWeb">
    <w:name w:val="Normal (Web)"/>
    <w:basedOn w:val="Normal"/>
    <w:uiPriority w:val="99"/>
    <w:unhideWhenUsed/>
    <w:rsid w:val="001078E4"/>
    <w:pPr>
      <w:spacing w:before="100" w:beforeAutospacing="1" w:after="100" w:afterAutospacing="1"/>
    </w:pPr>
    <w:rPr>
      <w:rFonts w:ascii="Times New Roman" w:eastAsiaTheme="minorEastAsia" w:hAnsi="Times New Roman" w:cs="Times New Roman"/>
      <w:sz w:val="24"/>
      <w:szCs w:val="24"/>
      <w:lang w:eastAsia="en-US"/>
    </w:rPr>
  </w:style>
  <w:style w:type="table" w:styleId="TableGrid">
    <w:name w:val="Table Grid"/>
    <w:basedOn w:val="TableNormal"/>
    <w:rsid w:val="006A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F47C3"/>
    <w:rPr>
      <w:rFonts w:ascii="Tahoma" w:hAnsi="Tahoma" w:cs="Tahoma"/>
      <w:sz w:val="16"/>
      <w:szCs w:val="16"/>
    </w:rPr>
  </w:style>
  <w:style w:type="character" w:customStyle="1" w:styleId="BalloonTextChar">
    <w:name w:val="Balloon Text Char"/>
    <w:basedOn w:val="DefaultParagraphFont"/>
    <w:link w:val="BalloonText"/>
    <w:rsid w:val="002F47C3"/>
    <w:rPr>
      <w:rFonts w:ascii="Tahoma" w:eastAsia="SimSun" w:hAnsi="Tahoma" w:cs="Tahoma"/>
      <w:sz w:val="16"/>
      <w:szCs w:val="16"/>
      <w:lang w:eastAsia="zh-CN"/>
    </w:rPr>
  </w:style>
  <w:style w:type="paragraph" w:styleId="ListParagraph">
    <w:name w:val="List Paragraph"/>
    <w:basedOn w:val="Normal"/>
    <w:uiPriority w:val="34"/>
    <w:qFormat/>
    <w:rsid w:val="000F328A"/>
    <w:pPr>
      <w:ind w:left="720"/>
      <w:contextualSpacing/>
    </w:pPr>
  </w:style>
  <w:style w:type="character" w:styleId="CommentReference">
    <w:name w:val="annotation reference"/>
    <w:basedOn w:val="DefaultParagraphFont"/>
    <w:rsid w:val="009F5D6E"/>
    <w:rPr>
      <w:sz w:val="16"/>
      <w:szCs w:val="16"/>
    </w:rPr>
  </w:style>
  <w:style w:type="paragraph" w:styleId="CommentSubject">
    <w:name w:val="annotation subject"/>
    <w:basedOn w:val="CommentText"/>
    <w:next w:val="CommentText"/>
    <w:link w:val="CommentSubjectChar"/>
    <w:rsid w:val="009F5D6E"/>
    <w:rPr>
      <w:b/>
      <w:bCs/>
      <w:sz w:val="20"/>
    </w:rPr>
  </w:style>
  <w:style w:type="character" w:customStyle="1" w:styleId="CommentTextChar">
    <w:name w:val="Comment Text Char"/>
    <w:basedOn w:val="DefaultParagraphFont"/>
    <w:link w:val="CommentText"/>
    <w:semiHidden/>
    <w:rsid w:val="009F5D6E"/>
    <w:rPr>
      <w:rFonts w:ascii="Arial" w:eastAsia="SimSun" w:hAnsi="Arial" w:cs="Arial"/>
      <w:sz w:val="18"/>
      <w:lang w:eastAsia="zh-CN"/>
    </w:rPr>
  </w:style>
  <w:style w:type="character" w:customStyle="1" w:styleId="CommentSubjectChar">
    <w:name w:val="Comment Subject Char"/>
    <w:basedOn w:val="CommentTextChar"/>
    <w:link w:val="CommentSubject"/>
    <w:rsid w:val="009F5D6E"/>
    <w:rPr>
      <w:rFonts w:ascii="Arial" w:eastAsia="SimSun" w:hAnsi="Arial" w:cs="Arial"/>
      <w:b/>
      <w:bCs/>
      <w:sz w:val="18"/>
      <w:lang w:eastAsia="zh-CN"/>
    </w:rPr>
  </w:style>
  <w:style w:type="character" w:styleId="FootnoteReference">
    <w:name w:val="footnote reference"/>
    <w:basedOn w:val="DefaultParagraphFont"/>
    <w:rsid w:val="000C6327"/>
    <w:rPr>
      <w:vertAlign w:val="superscript"/>
    </w:rPr>
  </w:style>
  <w:style w:type="paragraph" w:styleId="NormalWeb">
    <w:name w:val="Normal (Web)"/>
    <w:basedOn w:val="Normal"/>
    <w:uiPriority w:val="99"/>
    <w:unhideWhenUsed/>
    <w:rsid w:val="001078E4"/>
    <w:pPr>
      <w:spacing w:before="100" w:beforeAutospacing="1" w:after="100" w:afterAutospacing="1"/>
    </w:pPr>
    <w:rPr>
      <w:rFonts w:ascii="Times New Roman" w:eastAsiaTheme="minorEastAsia" w:hAnsi="Times New Roman" w:cs="Times New Roman"/>
      <w:sz w:val="24"/>
      <w:szCs w:val="24"/>
      <w:lang w:eastAsia="en-US"/>
    </w:rPr>
  </w:style>
  <w:style w:type="table" w:styleId="TableGrid">
    <w:name w:val="Table Grid"/>
    <w:basedOn w:val="TableNormal"/>
    <w:rsid w:val="006A2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B6BB-2E6B-4DC4-990D-77712BD2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2002</Words>
  <Characters>11996</Characters>
  <Application>Microsoft Office Word</Application>
  <DocSecurity>0</DocSecurity>
  <Lines>272</Lines>
  <Paragraphs>65</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HOWARD Emily</dc:creator>
  <cp:lastModifiedBy>NETTER Iza</cp:lastModifiedBy>
  <cp:revision>12</cp:revision>
  <cp:lastPrinted>2014-08-01T12:20:00Z</cp:lastPrinted>
  <dcterms:created xsi:type="dcterms:W3CDTF">2014-07-25T13:55:00Z</dcterms:created>
  <dcterms:modified xsi:type="dcterms:W3CDTF">2014-08-04T09:24:00Z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