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0B3FAB">
            <w:pPr>
              <w:jc w:val="right"/>
              <w:rPr>
                <w:rFonts w:ascii="Arial Black" w:hAnsi="Arial Black"/>
                <w:caps/>
                <w:sz w:val="15"/>
              </w:rPr>
            </w:pPr>
            <w:r>
              <w:rPr>
                <w:rFonts w:ascii="Arial Black" w:hAnsi="Arial Black"/>
                <w:caps/>
                <w:sz w:val="15"/>
              </w:rPr>
              <w:t>WO/PBC/22/</w:t>
            </w:r>
            <w:bookmarkStart w:id="0" w:name="Code"/>
            <w:bookmarkEnd w:id="0"/>
            <w:r w:rsidR="008C7173">
              <w:rPr>
                <w:rFonts w:ascii="Arial Black" w:hAnsi="Arial Black"/>
                <w:caps/>
                <w:sz w:val="15"/>
              </w:rPr>
              <w:t>2</w:t>
            </w:r>
            <w:r w:rsidR="000B3FAB">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C0D2F">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bookmarkStart w:id="1" w:name="Original"/>
            <w:bookmarkEnd w:id="1"/>
            <w:r w:rsidR="00CC0D2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2336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B3FAB" w:rsidRPr="0062336F">
              <w:rPr>
                <w:rFonts w:ascii="Arial Black" w:hAnsi="Arial Black"/>
                <w:caps/>
                <w:sz w:val="15"/>
              </w:rPr>
              <w:t>AUGUST</w:t>
            </w:r>
            <w:r w:rsidR="00502C3B" w:rsidRPr="0062336F">
              <w:rPr>
                <w:rFonts w:ascii="Arial Black" w:hAnsi="Arial Black"/>
                <w:caps/>
                <w:sz w:val="15"/>
              </w:rPr>
              <w:t xml:space="preserve"> </w:t>
            </w:r>
            <w:r w:rsidR="0062336F">
              <w:rPr>
                <w:rFonts w:ascii="Arial Black" w:hAnsi="Arial Black"/>
                <w:caps/>
                <w:sz w:val="15"/>
              </w:rPr>
              <w:t>12</w:t>
            </w:r>
            <w:r w:rsidR="008C7173">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2133B0" w:rsidRDefault="008B2CC1" w:rsidP="008B2CC1">
      <w:pPr>
        <w:rPr>
          <w:sz w:val="24"/>
          <w:szCs w:val="24"/>
        </w:rPr>
      </w:pPr>
    </w:p>
    <w:p w:rsidR="002133B0" w:rsidRPr="002133B0" w:rsidRDefault="002133B0" w:rsidP="002133B0">
      <w:pPr>
        <w:pStyle w:val="Default"/>
        <w:spacing w:after="60"/>
        <w:rPr>
          <w:lang w:val="en-GB"/>
        </w:rPr>
      </w:pPr>
      <w:bookmarkStart w:id="3" w:name="TitleOfDoc"/>
      <w:bookmarkEnd w:id="3"/>
      <w:r w:rsidRPr="002133B0">
        <w:rPr>
          <w:lang w:val="en-GB"/>
        </w:rPr>
        <w:t xml:space="preserve">PARTICIPATION OF REPRESENTATIVES OF ACCREDITED INDIGENOUS AND LOCAL COMMUNITIES IN THE WORK OF THE INTERGOVERNMENTAL COMMITTEE ON INTELLECTUAL PROPERTY AND GENETIC RESOURCES, TRADITIONAL KNOWLEDGE AND FOLKLORE (IGC):  PROPOSAL FOR SUBSIDIARY FUNDING FROM THE REGULAR BUDGET OF WIPO </w:t>
      </w:r>
    </w:p>
    <w:p w:rsidR="008C7173" w:rsidRPr="002133B0" w:rsidRDefault="008C7173" w:rsidP="002133B0">
      <w:pPr>
        <w:pStyle w:val="Default"/>
        <w:rPr>
          <w:rFonts w:eastAsia="Times New Roman"/>
          <w:sz w:val="22"/>
          <w:szCs w:val="22"/>
          <w:lang w:eastAsia="en-US"/>
        </w:rPr>
      </w:pPr>
    </w:p>
    <w:p w:rsidR="008C7173" w:rsidRPr="002133B0" w:rsidRDefault="008C7173" w:rsidP="002133B0">
      <w:pPr>
        <w:pStyle w:val="Default"/>
        <w:numPr>
          <w:ilvl w:val="0"/>
          <w:numId w:val="10"/>
        </w:numPr>
        <w:ind w:left="0" w:firstLine="0"/>
        <w:rPr>
          <w:rFonts w:eastAsia="Times New Roman"/>
          <w:sz w:val="22"/>
          <w:szCs w:val="22"/>
          <w:lang w:eastAsia="en-US"/>
        </w:rPr>
      </w:pPr>
      <w:r w:rsidRPr="002133B0">
        <w:rPr>
          <w:rFonts w:eastAsia="Times New Roman"/>
          <w:sz w:val="22"/>
          <w:szCs w:val="22"/>
          <w:lang w:eastAsia="en-US"/>
        </w:rPr>
        <w:t xml:space="preserve">The Delegations of </w:t>
      </w:r>
      <w:r w:rsidR="00A95135" w:rsidRPr="002133B0">
        <w:rPr>
          <w:rFonts w:eastAsia="Times New Roman"/>
          <w:sz w:val="22"/>
          <w:szCs w:val="22"/>
          <w:lang w:eastAsia="en-US"/>
        </w:rPr>
        <w:t xml:space="preserve">Australia, Finland, </w:t>
      </w:r>
      <w:r w:rsidR="0062336F" w:rsidRPr="002133B0">
        <w:rPr>
          <w:rFonts w:eastAsia="Times New Roman"/>
          <w:sz w:val="22"/>
          <w:szCs w:val="22"/>
          <w:lang w:eastAsia="en-US"/>
        </w:rPr>
        <w:t>Holy Se</w:t>
      </w:r>
      <w:r w:rsidR="00646C7D">
        <w:rPr>
          <w:rFonts w:eastAsia="Times New Roman"/>
          <w:sz w:val="22"/>
          <w:szCs w:val="22"/>
          <w:lang w:eastAsia="en-US"/>
        </w:rPr>
        <w:t>e</w:t>
      </w:r>
      <w:bookmarkStart w:id="4" w:name="_GoBack"/>
      <w:bookmarkEnd w:id="4"/>
      <w:r w:rsidR="0062336F" w:rsidRPr="002133B0">
        <w:rPr>
          <w:rFonts w:eastAsia="Times New Roman"/>
          <w:sz w:val="22"/>
          <w:szCs w:val="22"/>
          <w:lang w:eastAsia="en-US"/>
        </w:rPr>
        <w:t xml:space="preserve">, </w:t>
      </w:r>
      <w:r w:rsidR="00A95135" w:rsidRPr="002133B0">
        <w:rPr>
          <w:rFonts w:eastAsia="Times New Roman"/>
          <w:sz w:val="22"/>
          <w:szCs w:val="22"/>
          <w:lang w:eastAsia="en-US"/>
        </w:rPr>
        <w:t>New Zealand and Switzerland</w:t>
      </w:r>
      <w:r w:rsidRPr="002133B0">
        <w:rPr>
          <w:rFonts w:eastAsia="Times New Roman"/>
          <w:sz w:val="22"/>
          <w:szCs w:val="22"/>
          <w:lang w:eastAsia="en-US"/>
        </w:rPr>
        <w:t xml:space="preserve"> have submitted </w:t>
      </w:r>
      <w:r w:rsidR="00CC0D2F" w:rsidRPr="002133B0">
        <w:rPr>
          <w:rFonts w:eastAsia="Times New Roman"/>
          <w:sz w:val="22"/>
          <w:szCs w:val="22"/>
          <w:lang w:eastAsia="en-US"/>
        </w:rPr>
        <w:t>the attached</w:t>
      </w:r>
      <w:r w:rsidRPr="002133B0">
        <w:rPr>
          <w:rFonts w:eastAsia="Times New Roman"/>
          <w:sz w:val="22"/>
          <w:szCs w:val="22"/>
          <w:lang w:eastAsia="en-US"/>
        </w:rPr>
        <w:t xml:space="preserve"> proposal, with the request that it be issued as an official document of the twenty</w:t>
      </w:r>
      <w:r w:rsidR="00A95135" w:rsidRPr="002133B0">
        <w:rPr>
          <w:rFonts w:eastAsia="Times New Roman"/>
          <w:sz w:val="22"/>
          <w:szCs w:val="22"/>
          <w:lang w:eastAsia="en-US"/>
        </w:rPr>
        <w:noBreakHyphen/>
      </w:r>
      <w:r w:rsidR="00502C3B" w:rsidRPr="002133B0">
        <w:rPr>
          <w:rFonts w:eastAsia="Times New Roman"/>
          <w:sz w:val="22"/>
          <w:szCs w:val="22"/>
          <w:lang w:eastAsia="en-US"/>
        </w:rPr>
        <w:t>second</w:t>
      </w:r>
      <w:r w:rsidRPr="002133B0">
        <w:rPr>
          <w:rFonts w:eastAsia="Times New Roman"/>
          <w:sz w:val="22"/>
          <w:szCs w:val="22"/>
          <w:lang w:eastAsia="en-US"/>
        </w:rPr>
        <w:t xml:space="preserve"> session of the Program and Budget Committee (PBC)</w:t>
      </w:r>
      <w:r w:rsidR="00A95135" w:rsidRPr="002133B0">
        <w:rPr>
          <w:rFonts w:eastAsia="Times New Roman"/>
          <w:sz w:val="22"/>
          <w:szCs w:val="22"/>
          <w:lang w:eastAsia="en-US"/>
        </w:rPr>
        <w:t xml:space="preserve">.  </w:t>
      </w:r>
    </w:p>
    <w:p w:rsidR="008C7173" w:rsidRDefault="008C7173" w:rsidP="008C7173"/>
    <w:p w:rsidR="008B2CC1" w:rsidRPr="008B2CC1" w:rsidRDefault="008B2CC1" w:rsidP="008B2CC1">
      <w:pPr>
        <w:rPr>
          <w:i/>
        </w:rPr>
      </w:pPr>
      <w:bookmarkStart w:id="5" w:name="Prepared"/>
      <w:bookmarkEnd w:id="5"/>
    </w:p>
    <w:p w:rsidR="00AC205C" w:rsidRDefault="00AC205C"/>
    <w:p w:rsidR="000F5E56" w:rsidRDefault="008C7173" w:rsidP="008C7173">
      <w:pPr>
        <w:pStyle w:val="Endofdocument-Annex"/>
      </w:pPr>
      <w:r w:rsidRPr="0062336F">
        <w:t xml:space="preserve">[Proposal by the Delegations of </w:t>
      </w:r>
      <w:r w:rsidR="00A95135" w:rsidRPr="0062336F">
        <w:t xml:space="preserve">Australia, Finland, </w:t>
      </w:r>
      <w:r w:rsidR="0062336F" w:rsidRPr="0062336F">
        <w:t>Holy Se</w:t>
      </w:r>
      <w:r w:rsidR="00646C7D">
        <w:t>e</w:t>
      </w:r>
      <w:r w:rsidR="0062336F" w:rsidRPr="0062336F">
        <w:t xml:space="preserve">, </w:t>
      </w:r>
      <w:r w:rsidR="00A95135" w:rsidRPr="0062336F">
        <w:t>New</w:t>
      </w:r>
      <w:r w:rsidR="0062336F" w:rsidRPr="0062336F">
        <w:t> </w:t>
      </w:r>
      <w:r w:rsidR="00A95135" w:rsidRPr="0062336F">
        <w:t>Zealand and Switzerland</w:t>
      </w:r>
      <w:r w:rsidRPr="0062336F">
        <w:t xml:space="preserve"> follows]</w:t>
      </w:r>
    </w:p>
    <w:p w:rsidR="002928D3" w:rsidRDefault="002928D3"/>
    <w:p w:rsidR="002928D3" w:rsidRDefault="002928D3" w:rsidP="0053057A"/>
    <w:p w:rsidR="00A95135" w:rsidRDefault="00A95135" w:rsidP="0053057A"/>
    <w:p w:rsidR="00CC0D2F" w:rsidRDefault="00CC0D2F">
      <w:r>
        <w:br w:type="page"/>
      </w:r>
    </w:p>
    <w:p w:rsidR="00B34316" w:rsidRPr="00CC0D2F" w:rsidRDefault="00B34316" w:rsidP="00B34316">
      <w:pPr>
        <w:jc w:val="right"/>
        <w:rPr>
          <w:rStyle w:val="hps"/>
        </w:rPr>
      </w:pPr>
      <w:r w:rsidRPr="00CC0D2F">
        <w:rPr>
          <w:rStyle w:val="hps"/>
        </w:rPr>
        <w:lastRenderedPageBreak/>
        <w:t xml:space="preserve">[ORIGINAL:  </w:t>
      </w:r>
      <w:r>
        <w:rPr>
          <w:rStyle w:val="hps"/>
        </w:rPr>
        <w:t>ENGLISH</w:t>
      </w:r>
      <w:r w:rsidRPr="00CC0D2F">
        <w:rPr>
          <w:rStyle w:val="hps"/>
        </w:rPr>
        <w:t>]</w:t>
      </w:r>
    </w:p>
    <w:p w:rsidR="00B34316" w:rsidRDefault="00B34316" w:rsidP="002133B0">
      <w:pPr>
        <w:pStyle w:val="Default"/>
        <w:spacing w:after="60"/>
        <w:jc w:val="center"/>
        <w:rPr>
          <w:b/>
          <w:sz w:val="22"/>
          <w:szCs w:val="22"/>
          <w:lang w:val="en-GB"/>
        </w:rPr>
      </w:pPr>
    </w:p>
    <w:p w:rsidR="00B34316" w:rsidRDefault="00B34316" w:rsidP="002133B0">
      <w:pPr>
        <w:pStyle w:val="Default"/>
        <w:spacing w:after="60"/>
        <w:jc w:val="center"/>
        <w:rPr>
          <w:b/>
          <w:sz w:val="22"/>
          <w:szCs w:val="22"/>
          <w:lang w:val="en-GB"/>
        </w:rPr>
      </w:pPr>
    </w:p>
    <w:p w:rsidR="0062336F" w:rsidRPr="0062336F" w:rsidRDefault="0062336F" w:rsidP="00B34316">
      <w:pPr>
        <w:pStyle w:val="Default"/>
        <w:jc w:val="center"/>
        <w:rPr>
          <w:b/>
          <w:sz w:val="22"/>
          <w:szCs w:val="22"/>
          <w:lang w:val="en-GB"/>
        </w:rPr>
      </w:pPr>
      <w:r w:rsidRPr="0062336F">
        <w:rPr>
          <w:b/>
          <w:sz w:val="22"/>
          <w:szCs w:val="22"/>
          <w:lang w:val="en-GB"/>
        </w:rPr>
        <w:t xml:space="preserve">PARTICIPATION OF REPRESENTATIVES OF ACCREDITED INDIGENOUS AND LOCAL COMMUNITIES IN THE WORK OF THE INTERGOVERNMENTAL COMMITTEE ON INTELLECTUAL PROPERTY AND GENETIC RESOURCES, TRADITIONAL KNOWLEDGE AND FOLKLORE (IGC): </w:t>
      </w:r>
      <w:r>
        <w:rPr>
          <w:b/>
          <w:sz w:val="22"/>
          <w:szCs w:val="22"/>
          <w:lang w:val="en-GB"/>
        </w:rPr>
        <w:t xml:space="preserve"> </w:t>
      </w:r>
      <w:r w:rsidRPr="0062336F">
        <w:rPr>
          <w:b/>
          <w:sz w:val="22"/>
          <w:szCs w:val="22"/>
          <w:lang w:val="en-GB"/>
        </w:rPr>
        <w:t>PROPOSAL FOR SUBSIDIARY FUNDING FROM THE REGULAR BUDGET OF WIPO</w:t>
      </w:r>
    </w:p>
    <w:p w:rsidR="0062336F" w:rsidRPr="00772816" w:rsidRDefault="0062336F" w:rsidP="00B34316">
      <w:pPr>
        <w:pStyle w:val="Default"/>
        <w:jc w:val="center"/>
        <w:rPr>
          <w:iCs/>
          <w:sz w:val="22"/>
          <w:szCs w:val="22"/>
          <w:lang w:val="en-GB"/>
        </w:rPr>
      </w:pPr>
    </w:p>
    <w:p w:rsidR="0062336F" w:rsidRPr="00772816" w:rsidRDefault="0062336F" w:rsidP="00B34316">
      <w:pPr>
        <w:pStyle w:val="Default"/>
        <w:jc w:val="both"/>
        <w:rPr>
          <w:iCs/>
          <w:sz w:val="22"/>
          <w:szCs w:val="22"/>
          <w:lang w:val="en-GB"/>
        </w:rPr>
      </w:pPr>
    </w:p>
    <w:p w:rsidR="0062336F" w:rsidRPr="00772816" w:rsidRDefault="00B34316" w:rsidP="00B34316">
      <w:pPr>
        <w:pStyle w:val="Default"/>
        <w:tabs>
          <w:tab w:val="left" w:pos="567"/>
        </w:tabs>
        <w:rPr>
          <w:sz w:val="22"/>
          <w:szCs w:val="22"/>
          <w:lang w:val="en-GB"/>
        </w:rPr>
      </w:pPr>
      <w:r>
        <w:rPr>
          <w:sz w:val="22"/>
          <w:szCs w:val="22"/>
          <w:lang w:val="en-GB"/>
        </w:rPr>
        <w:t>1.</w:t>
      </w:r>
      <w:r w:rsidR="0062336F" w:rsidRPr="00772816">
        <w:rPr>
          <w:sz w:val="22"/>
          <w:szCs w:val="22"/>
          <w:lang w:val="en-GB"/>
        </w:rPr>
        <w:tab/>
        <w:t>Since its creation in 2005, the WIPO Voluntary Fund for Accredited Indigenous and Local Communities (“the Voluntary Fund”)</w:t>
      </w:r>
      <w:r w:rsidR="0062336F" w:rsidRPr="00772816">
        <w:rPr>
          <w:rStyle w:val="FootnoteReference"/>
          <w:sz w:val="22"/>
          <w:szCs w:val="22"/>
          <w:lang w:val="en-GB"/>
        </w:rPr>
        <w:footnoteReference w:id="2"/>
      </w:r>
      <w:r w:rsidR="0062336F" w:rsidRPr="00772816">
        <w:rPr>
          <w:sz w:val="22"/>
          <w:szCs w:val="22"/>
          <w:lang w:val="en-GB"/>
        </w:rPr>
        <w:t xml:space="preserve"> has benefited from a range of contributions from (in chronological order) the Swedish International Biodiversity Programme (</w:t>
      </w:r>
      <w:proofErr w:type="spellStart"/>
      <w:r w:rsidR="0062336F" w:rsidRPr="00772816">
        <w:rPr>
          <w:sz w:val="22"/>
          <w:szCs w:val="22"/>
          <w:lang w:val="en-GB"/>
        </w:rPr>
        <w:t>SwedBio</w:t>
      </w:r>
      <w:proofErr w:type="spellEnd"/>
      <w:r w:rsidR="0062336F" w:rsidRPr="00772816">
        <w:rPr>
          <w:sz w:val="22"/>
          <w:szCs w:val="22"/>
          <w:lang w:val="en-GB"/>
        </w:rPr>
        <w:t>/CBM)</w:t>
      </w:r>
      <w:r w:rsidR="0062336F">
        <w:rPr>
          <w:sz w:val="22"/>
          <w:szCs w:val="22"/>
          <w:lang w:val="en-GB"/>
        </w:rPr>
        <w:t>,</w:t>
      </w:r>
      <w:r w:rsidR="0062336F" w:rsidRPr="00772816">
        <w:rPr>
          <w:sz w:val="22"/>
          <w:szCs w:val="22"/>
          <w:lang w:val="en-GB"/>
        </w:rPr>
        <w:t xml:space="preserve"> France</w:t>
      </w:r>
      <w:r w:rsidR="0062336F">
        <w:rPr>
          <w:sz w:val="22"/>
          <w:szCs w:val="22"/>
          <w:lang w:val="en-GB"/>
        </w:rPr>
        <w:t>,</w:t>
      </w:r>
      <w:r w:rsidR="0062336F" w:rsidRPr="00772816">
        <w:rPr>
          <w:sz w:val="22"/>
          <w:szCs w:val="22"/>
          <w:lang w:val="en-GB"/>
        </w:rPr>
        <w:t xml:space="preserve"> the Christensen Fund</w:t>
      </w:r>
      <w:r w:rsidR="0062336F">
        <w:rPr>
          <w:sz w:val="22"/>
          <w:szCs w:val="22"/>
          <w:lang w:val="en-GB"/>
        </w:rPr>
        <w:t>,</w:t>
      </w:r>
      <w:r w:rsidR="0062336F" w:rsidRPr="00772816">
        <w:rPr>
          <w:sz w:val="22"/>
          <w:szCs w:val="22"/>
          <w:lang w:val="en-GB"/>
        </w:rPr>
        <w:t xml:space="preserve"> Switzerland (the Swiss Federal Institute of Intellectual Property)</w:t>
      </w:r>
      <w:r w:rsidR="0062336F">
        <w:rPr>
          <w:sz w:val="22"/>
          <w:szCs w:val="22"/>
          <w:lang w:val="en-GB"/>
        </w:rPr>
        <w:t>,</w:t>
      </w:r>
      <w:r w:rsidR="0062336F" w:rsidRPr="00772816">
        <w:rPr>
          <w:sz w:val="22"/>
          <w:szCs w:val="22"/>
          <w:lang w:val="en-GB"/>
        </w:rPr>
        <w:t xml:space="preserve"> South Africa</w:t>
      </w:r>
      <w:r w:rsidR="0062336F">
        <w:rPr>
          <w:sz w:val="22"/>
          <w:szCs w:val="22"/>
          <w:lang w:val="en-GB"/>
        </w:rPr>
        <w:t>,</w:t>
      </w:r>
      <w:r w:rsidR="0062336F" w:rsidRPr="00772816">
        <w:rPr>
          <w:sz w:val="22"/>
          <w:szCs w:val="22"/>
          <w:lang w:val="en-GB"/>
        </w:rPr>
        <w:t xml:space="preserve"> Norway</w:t>
      </w:r>
      <w:r w:rsidR="0062336F">
        <w:rPr>
          <w:sz w:val="22"/>
          <w:szCs w:val="22"/>
          <w:lang w:val="en-GB"/>
        </w:rPr>
        <w:t>,</w:t>
      </w:r>
      <w:r w:rsidR="0062336F" w:rsidRPr="00772816">
        <w:rPr>
          <w:sz w:val="22"/>
          <w:szCs w:val="22"/>
          <w:lang w:val="en-GB"/>
        </w:rPr>
        <w:t xml:space="preserve"> </w:t>
      </w:r>
      <w:r w:rsidR="0062336F">
        <w:rPr>
          <w:sz w:val="22"/>
          <w:szCs w:val="22"/>
          <w:lang w:val="en-GB"/>
        </w:rPr>
        <w:t>a</w:t>
      </w:r>
      <w:r w:rsidR="0062336F" w:rsidRPr="00772816">
        <w:rPr>
          <w:sz w:val="22"/>
          <w:szCs w:val="22"/>
          <w:lang w:val="en-GB"/>
        </w:rPr>
        <w:t>nonymous donor</w:t>
      </w:r>
      <w:r w:rsidR="0062336F">
        <w:rPr>
          <w:sz w:val="22"/>
          <w:szCs w:val="22"/>
          <w:lang w:val="en-GB"/>
        </w:rPr>
        <w:t>,</w:t>
      </w:r>
      <w:r w:rsidR="0062336F" w:rsidRPr="00772816">
        <w:rPr>
          <w:sz w:val="22"/>
          <w:szCs w:val="22"/>
          <w:lang w:val="en-GB"/>
        </w:rPr>
        <w:t xml:space="preserve"> </w:t>
      </w:r>
      <w:r w:rsidR="0062336F" w:rsidRPr="0053145C">
        <w:rPr>
          <w:sz w:val="22"/>
          <w:szCs w:val="22"/>
          <w:lang w:val="en-GB"/>
        </w:rPr>
        <w:t>Australia</w:t>
      </w:r>
      <w:r w:rsidR="0062336F">
        <w:rPr>
          <w:sz w:val="22"/>
          <w:szCs w:val="22"/>
          <w:lang w:val="en-GB"/>
        </w:rPr>
        <w:t xml:space="preserve"> (2)</w:t>
      </w:r>
      <w:r w:rsidR="0062336F" w:rsidRPr="00772816">
        <w:rPr>
          <w:sz w:val="22"/>
          <w:szCs w:val="22"/>
          <w:lang w:val="en-GB"/>
        </w:rPr>
        <w:t xml:space="preserve"> and New Zealand. </w:t>
      </w:r>
      <w:r>
        <w:rPr>
          <w:sz w:val="22"/>
          <w:szCs w:val="22"/>
          <w:lang w:val="en-GB"/>
        </w:rPr>
        <w:t xml:space="preserve"> </w:t>
      </w:r>
      <w:r w:rsidR="0062336F" w:rsidRPr="00772816">
        <w:rPr>
          <w:sz w:val="22"/>
          <w:szCs w:val="22"/>
          <w:lang w:val="en-GB"/>
        </w:rPr>
        <w:t xml:space="preserve">The contributions enabled the Voluntary Fund to finance the participation of representatives of accredited indigenous and local communities up to the Twenty-Sixth Session of the Intergovernmental Committee on Intellectual Property and Genetic Resources, Traditional Knowledge and Folklore (IGC). </w:t>
      </w:r>
    </w:p>
    <w:p w:rsidR="0062336F" w:rsidRPr="00772816" w:rsidRDefault="0062336F" w:rsidP="00B34316">
      <w:pPr>
        <w:pStyle w:val="Default"/>
        <w:tabs>
          <w:tab w:val="left" w:pos="567"/>
        </w:tabs>
        <w:rPr>
          <w:sz w:val="22"/>
          <w:szCs w:val="22"/>
          <w:lang w:val="en-GB"/>
        </w:rPr>
      </w:pPr>
    </w:p>
    <w:p w:rsidR="0062336F" w:rsidRPr="00772816" w:rsidRDefault="0062336F" w:rsidP="00B34316">
      <w:pPr>
        <w:pStyle w:val="Default"/>
        <w:tabs>
          <w:tab w:val="left" w:pos="567"/>
        </w:tabs>
        <w:rPr>
          <w:sz w:val="22"/>
          <w:szCs w:val="22"/>
          <w:lang w:val="en-GB"/>
        </w:rPr>
      </w:pPr>
      <w:r w:rsidRPr="00772816">
        <w:rPr>
          <w:sz w:val="22"/>
          <w:szCs w:val="22"/>
          <w:lang w:val="en-GB"/>
        </w:rPr>
        <w:t xml:space="preserve">2. </w:t>
      </w:r>
      <w:r w:rsidRPr="00772816">
        <w:rPr>
          <w:sz w:val="22"/>
          <w:szCs w:val="22"/>
          <w:lang w:val="en-GB"/>
        </w:rPr>
        <w:tab/>
        <w:t>As indicated in document WIPO/GRTKF/IC/28/3 para</w:t>
      </w:r>
      <w:r w:rsidR="00B34316">
        <w:rPr>
          <w:sz w:val="22"/>
          <w:szCs w:val="22"/>
          <w:lang w:val="en-GB"/>
        </w:rPr>
        <w:t xml:space="preserve">graph </w:t>
      </w:r>
      <w:r w:rsidRPr="00772816">
        <w:rPr>
          <w:sz w:val="22"/>
          <w:szCs w:val="22"/>
          <w:lang w:val="en-GB"/>
        </w:rPr>
        <w:t xml:space="preserve">1, the amount available in the account of the Voluntary Fund was 803.20 Swiss francs on May 28, 2014, and remains unchanged at the current date, save for slight adjustments due to banking fees and interest, notwithstanding repeated appeals by </w:t>
      </w:r>
      <w:r>
        <w:rPr>
          <w:sz w:val="22"/>
          <w:szCs w:val="22"/>
          <w:lang w:val="en-GB"/>
        </w:rPr>
        <w:t xml:space="preserve">the WIPO Director General and </w:t>
      </w:r>
      <w:r w:rsidRPr="00772816">
        <w:rPr>
          <w:sz w:val="22"/>
          <w:szCs w:val="22"/>
          <w:lang w:val="en-GB"/>
        </w:rPr>
        <w:t>the Chair of the IGC</w:t>
      </w:r>
      <w:r>
        <w:rPr>
          <w:sz w:val="22"/>
          <w:szCs w:val="22"/>
          <w:lang w:val="en-GB"/>
        </w:rPr>
        <w:t xml:space="preserve"> for Member States to contribute funding</w:t>
      </w:r>
      <w:r w:rsidRPr="00772816">
        <w:rPr>
          <w:sz w:val="22"/>
          <w:szCs w:val="22"/>
          <w:lang w:val="en-GB"/>
        </w:rPr>
        <w:t xml:space="preserve">. </w:t>
      </w:r>
      <w:r w:rsidR="00B34316">
        <w:rPr>
          <w:sz w:val="22"/>
          <w:szCs w:val="22"/>
          <w:lang w:val="en-GB"/>
        </w:rPr>
        <w:t xml:space="preserve"> </w:t>
      </w:r>
      <w:r w:rsidRPr="00772816">
        <w:rPr>
          <w:sz w:val="22"/>
          <w:szCs w:val="22"/>
          <w:lang w:val="en-GB"/>
        </w:rPr>
        <w:t xml:space="preserve">Unless the Voluntary Fund is complemented by additional voluntary contributions in the near future, the Voluntary Fund will continue to be unable to </w:t>
      </w:r>
      <w:r>
        <w:rPr>
          <w:sz w:val="22"/>
          <w:szCs w:val="22"/>
          <w:lang w:val="en-GB"/>
        </w:rPr>
        <w:t>finance the participation in the IGC of representatives of accredited indigenous and local communities</w:t>
      </w:r>
      <w:r w:rsidRPr="00772816">
        <w:rPr>
          <w:sz w:val="22"/>
          <w:szCs w:val="22"/>
          <w:lang w:val="en-GB"/>
        </w:rPr>
        <w:t xml:space="preserve"> that might be </w:t>
      </w:r>
      <w:r>
        <w:rPr>
          <w:sz w:val="22"/>
          <w:szCs w:val="22"/>
          <w:lang w:val="en-GB"/>
        </w:rPr>
        <w:t>selected</w:t>
      </w:r>
      <w:r w:rsidRPr="00772816">
        <w:rPr>
          <w:sz w:val="22"/>
          <w:szCs w:val="22"/>
          <w:lang w:val="en-GB"/>
        </w:rPr>
        <w:t xml:space="preserve"> by the Advisory Board of the Voluntary Fund. </w:t>
      </w:r>
      <w:r w:rsidR="00B34316">
        <w:rPr>
          <w:sz w:val="22"/>
          <w:szCs w:val="22"/>
          <w:lang w:val="en-GB"/>
        </w:rPr>
        <w:t xml:space="preserve"> </w:t>
      </w:r>
      <w:r w:rsidRPr="00772816">
        <w:rPr>
          <w:sz w:val="22"/>
          <w:szCs w:val="22"/>
          <w:lang w:val="en-GB"/>
        </w:rPr>
        <w:t>This situation is unfortunate due to the important contribution that representatives of indigenous and local communities have made to the IGC negotiations</w:t>
      </w:r>
      <w:r>
        <w:rPr>
          <w:sz w:val="22"/>
          <w:szCs w:val="22"/>
          <w:lang w:val="en-GB"/>
        </w:rPr>
        <w:t xml:space="preserve">. </w:t>
      </w:r>
      <w:r w:rsidR="00B34316">
        <w:rPr>
          <w:sz w:val="22"/>
          <w:szCs w:val="22"/>
          <w:lang w:val="en-GB"/>
        </w:rPr>
        <w:t xml:space="preserve"> </w:t>
      </w:r>
      <w:r>
        <w:rPr>
          <w:sz w:val="22"/>
          <w:szCs w:val="22"/>
          <w:lang w:val="en-GB"/>
        </w:rPr>
        <w:t>Their active participation has informed and enriched the work of the Committee and increased the transparency and credibility of the IGC process</w:t>
      </w:r>
      <w:r w:rsidRPr="00772816">
        <w:rPr>
          <w:sz w:val="22"/>
          <w:szCs w:val="22"/>
          <w:lang w:val="en-GB"/>
        </w:rPr>
        <w:t xml:space="preserve">. </w:t>
      </w:r>
    </w:p>
    <w:p w:rsidR="0062336F" w:rsidRPr="00772816" w:rsidRDefault="0062336F" w:rsidP="00B34316">
      <w:pPr>
        <w:pStyle w:val="Default"/>
        <w:tabs>
          <w:tab w:val="left" w:pos="567"/>
        </w:tabs>
        <w:rPr>
          <w:sz w:val="22"/>
          <w:szCs w:val="22"/>
          <w:lang w:val="en-GB"/>
        </w:rPr>
      </w:pPr>
    </w:p>
    <w:p w:rsidR="0062336F" w:rsidRPr="00772816" w:rsidRDefault="0062336F" w:rsidP="00B34316">
      <w:pPr>
        <w:pStyle w:val="Default"/>
        <w:tabs>
          <w:tab w:val="left" w:pos="567"/>
        </w:tabs>
        <w:rPr>
          <w:sz w:val="22"/>
          <w:szCs w:val="22"/>
          <w:lang w:val="en-GB"/>
        </w:rPr>
      </w:pPr>
      <w:r w:rsidRPr="00772816">
        <w:rPr>
          <w:sz w:val="22"/>
          <w:szCs w:val="22"/>
          <w:lang w:val="en-GB"/>
        </w:rPr>
        <w:t>3.</w:t>
      </w:r>
      <w:r w:rsidRPr="00772816">
        <w:rPr>
          <w:sz w:val="22"/>
          <w:szCs w:val="22"/>
          <w:lang w:val="en-GB"/>
        </w:rPr>
        <w:tab/>
        <w:t xml:space="preserve">The complexity and length of the negotiations combined with the discretionary and irregular nature of voluntary contributions has </w:t>
      </w:r>
      <w:r w:rsidRPr="00772816">
        <w:rPr>
          <w:color w:val="auto"/>
          <w:sz w:val="22"/>
          <w:szCs w:val="22"/>
          <w:lang w:val="en-GB"/>
        </w:rPr>
        <w:t xml:space="preserve">made it difficult for potential donors to maintain an adequate level of financial resources in the Voluntary Fund and to sustain the Voluntary Fund at a consistent level. </w:t>
      </w:r>
    </w:p>
    <w:p w:rsidR="0062336F" w:rsidRPr="00772816" w:rsidRDefault="0062336F" w:rsidP="00B34316">
      <w:pPr>
        <w:pStyle w:val="Default"/>
        <w:tabs>
          <w:tab w:val="left" w:pos="567"/>
        </w:tabs>
        <w:rPr>
          <w:sz w:val="22"/>
          <w:szCs w:val="22"/>
          <w:lang w:val="en-GB"/>
        </w:rPr>
      </w:pPr>
    </w:p>
    <w:p w:rsidR="0062336F" w:rsidRPr="00772816" w:rsidRDefault="0062336F" w:rsidP="00B34316">
      <w:pPr>
        <w:pStyle w:val="Default"/>
        <w:tabs>
          <w:tab w:val="left" w:pos="567"/>
        </w:tabs>
        <w:rPr>
          <w:color w:val="auto"/>
          <w:sz w:val="22"/>
          <w:szCs w:val="22"/>
          <w:lang w:val="en-GB"/>
        </w:rPr>
      </w:pPr>
      <w:r w:rsidRPr="00772816">
        <w:rPr>
          <w:color w:val="auto"/>
          <w:sz w:val="22"/>
          <w:szCs w:val="22"/>
          <w:lang w:val="en-GB"/>
        </w:rPr>
        <w:t>4.</w:t>
      </w:r>
      <w:r w:rsidRPr="00772816">
        <w:rPr>
          <w:color w:val="auto"/>
          <w:sz w:val="22"/>
          <w:szCs w:val="22"/>
          <w:lang w:val="en-GB"/>
        </w:rPr>
        <w:tab/>
        <w:t xml:space="preserve">Based on the current financial situation of the Voluntary Fund and due to the importance of facilitating the continued participation of representatives of indigenous and local communities in the negotiations so as </w:t>
      </w:r>
      <w:r>
        <w:rPr>
          <w:color w:val="auto"/>
          <w:sz w:val="22"/>
          <w:szCs w:val="22"/>
          <w:lang w:val="en-GB"/>
        </w:rPr>
        <w:t>to contribute to the results framework of Program 4 (</w:t>
      </w:r>
      <w:r w:rsidRPr="00D118A8">
        <w:rPr>
          <w:i/>
          <w:color w:val="auto"/>
          <w:sz w:val="22"/>
          <w:szCs w:val="22"/>
          <w:lang w:val="en-GB"/>
        </w:rPr>
        <w:t>Traditional Knowledge, Traditional Cultural Expressions and Genetic Resources)</w:t>
      </w:r>
      <w:r>
        <w:rPr>
          <w:i/>
          <w:color w:val="auto"/>
          <w:sz w:val="22"/>
          <w:szCs w:val="22"/>
          <w:lang w:val="en-GB"/>
        </w:rPr>
        <w:t xml:space="preserve"> </w:t>
      </w:r>
      <w:r w:rsidRPr="00AB018E">
        <w:rPr>
          <w:color w:val="auto"/>
          <w:sz w:val="22"/>
          <w:szCs w:val="22"/>
          <w:lang w:val="en-GB"/>
        </w:rPr>
        <w:t>of the</w:t>
      </w:r>
      <w:r>
        <w:rPr>
          <w:i/>
          <w:color w:val="auto"/>
          <w:sz w:val="22"/>
          <w:szCs w:val="22"/>
          <w:lang w:val="en-GB"/>
        </w:rPr>
        <w:t xml:space="preserve"> </w:t>
      </w:r>
      <w:r w:rsidRPr="009D0E74">
        <w:rPr>
          <w:color w:val="auto"/>
          <w:sz w:val="22"/>
          <w:szCs w:val="22"/>
          <w:lang w:val="en-GB"/>
        </w:rPr>
        <w:t>approved Program and Budget for the 2014/15 biennium</w:t>
      </w:r>
      <w:r>
        <w:rPr>
          <w:rStyle w:val="FootnoteReference"/>
          <w:color w:val="auto"/>
          <w:sz w:val="22"/>
          <w:szCs w:val="22"/>
          <w:lang w:val="en-GB"/>
        </w:rPr>
        <w:footnoteReference w:id="3"/>
      </w:r>
      <w:r w:rsidRPr="009D0E74">
        <w:rPr>
          <w:color w:val="auto"/>
          <w:sz w:val="22"/>
          <w:szCs w:val="22"/>
          <w:lang w:val="en-GB"/>
        </w:rPr>
        <w:t xml:space="preserve"> </w:t>
      </w:r>
      <w:r>
        <w:rPr>
          <w:color w:val="auto"/>
          <w:sz w:val="22"/>
          <w:szCs w:val="22"/>
          <w:lang w:val="en-GB"/>
        </w:rPr>
        <w:t xml:space="preserve">and </w:t>
      </w:r>
      <w:r w:rsidRPr="00772816">
        <w:rPr>
          <w:color w:val="auto"/>
          <w:sz w:val="22"/>
          <w:szCs w:val="22"/>
          <w:lang w:val="en-GB"/>
        </w:rPr>
        <w:t xml:space="preserve">to maintain the credibility and relevance of the IGC </w:t>
      </w:r>
      <w:r w:rsidRPr="00653A69">
        <w:rPr>
          <w:color w:val="auto"/>
          <w:sz w:val="22"/>
          <w:szCs w:val="22"/>
          <w:lang w:val="en-GB"/>
        </w:rPr>
        <w:t>process, the Delegations of Australia, Finland, Holy See, New Zealand and Switzerland propose,</w:t>
      </w:r>
      <w:r w:rsidRPr="00772816">
        <w:rPr>
          <w:color w:val="auto"/>
          <w:sz w:val="22"/>
          <w:szCs w:val="22"/>
          <w:lang w:val="en-GB"/>
        </w:rPr>
        <w:t xml:space="preserve"> for the consideration of the Program and Budget Committee, to recommend to the Assemblies of the Member States of WIPO in September 2014 that the approved Program and Budget for the 2014/15 biennium, as governed by the WIPO Financial Regulations and Rules, should accommodate, within existing resources, expenses related to the participation of representatives of accredited indigenous and local communities in the work of the IGC in 2015 </w:t>
      </w:r>
      <w:r w:rsidRPr="00772816">
        <w:rPr>
          <w:color w:val="auto"/>
          <w:sz w:val="22"/>
          <w:szCs w:val="22"/>
          <w:lang w:val="en-GB"/>
        </w:rPr>
        <w:lastRenderedPageBreak/>
        <w:t xml:space="preserve">up to a maximum amount of 60’000 Swiss francs. </w:t>
      </w:r>
      <w:r w:rsidR="00B34316">
        <w:rPr>
          <w:color w:val="auto"/>
          <w:sz w:val="22"/>
          <w:szCs w:val="22"/>
          <w:lang w:val="en-GB"/>
        </w:rPr>
        <w:t xml:space="preserve"> </w:t>
      </w:r>
      <w:r>
        <w:rPr>
          <w:color w:val="auto"/>
          <w:sz w:val="22"/>
          <w:szCs w:val="22"/>
          <w:lang w:val="en-GB"/>
        </w:rPr>
        <w:t>The allocat</w:t>
      </w:r>
      <w:r w:rsidR="00B34316">
        <w:rPr>
          <w:color w:val="auto"/>
          <w:sz w:val="22"/>
          <w:szCs w:val="22"/>
          <w:lang w:val="en-GB"/>
        </w:rPr>
        <w:t>ion would be drawn from Program </w:t>
      </w:r>
      <w:r>
        <w:rPr>
          <w:color w:val="auto"/>
          <w:sz w:val="22"/>
          <w:szCs w:val="22"/>
          <w:lang w:val="en-GB"/>
        </w:rPr>
        <w:t>4</w:t>
      </w:r>
      <w:r w:rsidRPr="00A91EAF">
        <w:rPr>
          <w:color w:val="auto"/>
          <w:sz w:val="22"/>
          <w:szCs w:val="22"/>
          <w:lang w:val="en-GB"/>
        </w:rPr>
        <w:t>,</w:t>
      </w:r>
      <w:r>
        <w:rPr>
          <w:color w:val="auto"/>
          <w:sz w:val="22"/>
          <w:szCs w:val="22"/>
          <w:lang w:val="en-GB"/>
        </w:rPr>
        <w:t xml:space="preserve"> without an increase in the existing budget and, where</w:t>
      </w:r>
      <w:r w:rsidR="00B34316">
        <w:rPr>
          <w:color w:val="auto"/>
          <w:sz w:val="22"/>
          <w:szCs w:val="22"/>
          <w:lang w:val="en-GB"/>
        </w:rPr>
        <w:t xml:space="preserve"> possible, from identified cost </w:t>
      </w:r>
      <w:r>
        <w:rPr>
          <w:color w:val="auto"/>
          <w:sz w:val="22"/>
          <w:szCs w:val="22"/>
          <w:lang w:val="en-GB"/>
        </w:rPr>
        <w:t>savings or efficiencies.</w:t>
      </w:r>
    </w:p>
    <w:p w:rsidR="0062336F" w:rsidRPr="00772816" w:rsidRDefault="0062336F" w:rsidP="00B34316">
      <w:pPr>
        <w:pStyle w:val="Default"/>
        <w:tabs>
          <w:tab w:val="left" w:pos="284"/>
        </w:tabs>
        <w:rPr>
          <w:color w:val="auto"/>
          <w:sz w:val="22"/>
          <w:szCs w:val="22"/>
          <w:lang w:val="en-GB"/>
        </w:rPr>
      </w:pPr>
    </w:p>
    <w:p w:rsidR="0062336F" w:rsidRDefault="0062336F" w:rsidP="00B34316">
      <w:pPr>
        <w:pStyle w:val="Default"/>
        <w:tabs>
          <w:tab w:val="left" w:pos="567"/>
        </w:tabs>
        <w:rPr>
          <w:color w:val="auto"/>
          <w:sz w:val="22"/>
          <w:szCs w:val="22"/>
          <w:lang w:val="en-GB"/>
        </w:rPr>
      </w:pPr>
      <w:r w:rsidRPr="00772816">
        <w:rPr>
          <w:color w:val="auto"/>
          <w:sz w:val="22"/>
          <w:szCs w:val="22"/>
          <w:lang w:val="en-GB"/>
        </w:rPr>
        <w:t>5.</w:t>
      </w:r>
      <w:r w:rsidRPr="00772816">
        <w:rPr>
          <w:color w:val="auto"/>
          <w:sz w:val="22"/>
          <w:szCs w:val="22"/>
          <w:lang w:val="en-GB"/>
        </w:rPr>
        <w:tab/>
        <w:t>Due to the subsidiary nature of the funding from the re</w:t>
      </w:r>
      <w:r w:rsidR="00B34316">
        <w:rPr>
          <w:color w:val="auto"/>
          <w:sz w:val="22"/>
          <w:szCs w:val="22"/>
          <w:lang w:val="en-GB"/>
        </w:rPr>
        <w:t>gular budget of WIPO, the above</w:t>
      </w:r>
      <w:r w:rsidR="00B34316">
        <w:rPr>
          <w:color w:val="auto"/>
          <w:sz w:val="22"/>
          <w:szCs w:val="22"/>
          <w:lang w:val="en-GB"/>
        </w:rPr>
        <w:noBreakHyphen/>
      </w:r>
      <w:r w:rsidRPr="00772816">
        <w:rPr>
          <w:color w:val="auto"/>
          <w:sz w:val="22"/>
          <w:szCs w:val="22"/>
          <w:lang w:val="en-GB"/>
        </w:rPr>
        <w:t>mentioned amount will be used by the Director General to finance the participation of representatives of accredited indigenous and local communities, under the following conditions:</w:t>
      </w:r>
    </w:p>
    <w:p w:rsidR="00B34316" w:rsidRPr="00772816" w:rsidRDefault="00B34316" w:rsidP="00B34316">
      <w:pPr>
        <w:pStyle w:val="Default"/>
        <w:tabs>
          <w:tab w:val="left" w:pos="567"/>
        </w:tabs>
        <w:rPr>
          <w:color w:val="auto"/>
          <w:sz w:val="22"/>
          <w:szCs w:val="22"/>
          <w:lang w:val="en-GB"/>
        </w:rPr>
      </w:pPr>
    </w:p>
    <w:p w:rsidR="0062336F" w:rsidRDefault="00B34316" w:rsidP="00B34316">
      <w:pPr>
        <w:pStyle w:val="Default"/>
        <w:tabs>
          <w:tab w:val="left" w:pos="1134"/>
        </w:tabs>
        <w:ind w:left="567"/>
        <w:rPr>
          <w:color w:val="auto"/>
          <w:sz w:val="22"/>
          <w:szCs w:val="22"/>
          <w:lang w:val="en-GB"/>
        </w:rPr>
      </w:pPr>
      <w:r>
        <w:rPr>
          <w:color w:val="auto"/>
          <w:sz w:val="22"/>
          <w:szCs w:val="22"/>
          <w:lang w:val="en-GB"/>
        </w:rPr>
        <w:t>(a)</w:t>
      </w:r>
      <w:r w:rsidR="0062336F" w:rsidRPr="00772816">
        <w:rPr>
          <w:color w:val="auto"/>
          <w:sz w:val="22"/>
          <w:szCs w:val="22"/>
          <w:lang w:val="en-GB"/>
        </w:rPr>
        <w:tab/>
        <w:t xml:space="preserve">only in situations where the resources in the Voluntary Fund are unable to finance the participation of any recommended applicant in a particular session of the IGC at least 30 days before such session; and </w:t>
      </w:r>
    </w:p>
    <w:p w:rsidR="00B34316" w:rsidRPr="00772816" w:rsidRDefault="00B34316" w:rsidP="00B34316">
      <w:pPr>
        <w:pStyle w:val="Default"/>
        <w:tabs>
          <w:tab w:val="left" w:pos="1134"/>
        </w:tabs>
        <w:ind w:left="567"/>
        <w:rPr>
          <w:color w:val="auto"/>
          <w:sz w:val="22"/>
          <w:szCs w:val="22"/>
          <w:lang w:val="en-GB"/>
        </w:rPr>
      </w:pPr>
    </w:p>
    <w:p w:rsidR="0062336F" w:rsidRPr="00772816" w:rsidRDefault="0062336F" w:rsidP="00B34316">
      <w:pPr>
        <w:pStyle w:val="Default"/>
        <w:tabs>
          <w:tab w:val="left" w:pos="1134"/>
        </w:tabs>
        <w:ind w:left="567"/>
        <w:rPr>
          <w:color w:val="auto"/>
          <w:sz w:val="22"/>
          <w:szCs w:val="22"/>
          <w:lang w:val="en-GB"/>
        </w:rPr>
      </w:pPr>
      <w:r w:rsidRPr="00772816">
        <w:rPr>
          <w:color w:val="auto"/>
          <w:sz w:val="22"/>
          <w:szCs w:val="22"/>
          <w:lang w:val="en-GB"/>
        </w:rPr>
        <w:t>(b)</w:t>
      </w:r>
      <w:r w:rsidRPr="00772816">
        <w:rPr>
          <w:color w:val="auto"/>
          <w:sz w:val="22"/>
          <w:szCs w:val="22"/>
          <w:lang w:val="en-GB"/>
        </w:rPr>
        <w:tab/>
      </w:r>
      <w:proofErr w:type="gramStart"/>
      <w:r w:rsidRPr="00772816">
        <w:rPr>
          <w:color w:val="auto"/>
          <w:sz w:val="22"/>
          <w:szCs w:val="22"/>
          <w:lang w:val="en-GB"/>
        </w:rPr>
        <w:t>only</w:t>
      </w:r>
      <w:proofErr w:type="gramEnd"/>
      <w:r w:rsidRPr="00772816">
        <w:rPr>
          <w:color w:val="auto"/>
          <w:sz w:val="22"/>
          <w:szCs w:val="22"/>
          <w:lang w:val="en-GB"/>
        </w:rPr>
        <w:t xml:space="preserve"> for the purpose of implementing the binding recommendation for funding that the Advisory Board will adopt, in accordance with the Rules of the Voluntary Fund, in view of such session of the IGC.</w:t>
      </w:r>
    </w:p>
    <w:p w:rsidR="0062336F" w:rsidRPr="00772816" w:rsidRDefault="0062336F" w:rsidP="00B34316">
      <w:pPr>
        <w:pStyle w:val="Default"/>
        <w:tabs>
          <w:tab w:val="left" w:pos="284"/>
        </w:tabs>
        <w:rPr>
          <w:color w:val="auto"/>
          <w:sz w:val="22"/>
          <w:szCs w:val="22"/>
          <w:lang w:val="en-GB"/>
        </w:rPr>
      </w:pPr>
    </w:p>
    <w:p w:rsidR="0062336F" w:rsidRPr="00772816" w:rsidRDefault="0062336F" w:rsidP="00B34316">
      <w:pPr>
        <w:pStyle w:val="Default"/>
        <w:tabs>
          <w:tab w:val="left" w:pos="567"/>
        </w:tabs>
        <w:rPr>
          <w:color w:val="auto"/>
          <w:sz w:val="22"/>
          <w:szCs w:val="22"/>
          <w:lang w:val="en-GB"/>
        </w:rPr>
      </w:pPr>
      <w:r w:rsidRPr="00772816">
        <w:rPr>
          <w:color w:val="auto"/>
          <w:sz w:val="22"/>
          <w:szCs w:val="22"/>
          <w:lang w:val="en-GB"/>
        </w:rPr>
        <w:t>6.</w:t>
      </w:r>
      <w:r w:rsidRPr="00772816">
        <w:rPr>
          <w:color w:val="auto"/>
          <w:sz w:val="22"/>
          <w:szCs w:val="22"/>
          <w:lang w:val="en-GB"/>
        </w:rPr>
        <w:tab/>
        <w:t xml:space="preserve">It is understood that the present proposal </w:t>
      </w:r>
      <w:r>
        <w:rPr>
          <w:color w:val="auto"/>
          <w:sz w:val="22"/>
          <w:szCs w:val="22"/>
          <w:lang w:val="en-GB"/>
        </w:rPr>
        <w:t>will</w:t>
      </w:r>
      <w:r w:rsidRPr="00772816">
        <w:rPr>
          <w:color w:val="auto"/>
          <w:sz w:val="22"/>
          <w:szCs w:val="22"/>
          <w:lang w:val="en-GB"/>
        </w:rPr>
        <w:t xml:space="preserve"> not creat</w:t>
      </w:r>
      <w:r>
        <w:rPr>
          <w:color w:val="auto"/>
          <w:sz w:val="22"/>
          <w:szCs w:val="22"/>
          <w:lang w:val="en-GB"/>
        </w:rPr>
        <w:t>e</w:t>
      </w:r>
      <w:r w:rsidRPr="00772816">
        <w:rPr>
          <w:color w:val="auto"/>
          <w:sz w:val="22"/>
          <w:szCs w:val="22"/>
          <w:lang w:val="en-GB"/>
        </w:rPr>
        <w:t xml:space="preserve"> a precedent since the </w:t>
      </w:r>
      <w:r>
        <w:rPr>
          <w:color w:val="auto"/>
          <w:sz w:val="22"/>
          <w:szCs w:val="22"/>
          <w:lang w:val="en-GB"/>
        </w:rPr>
        <w:t>expenses accommodated within the existing resources of the regular budget</w:t>
      </w:r>
      <w:r w:rsidRPr="00772816">
        <w:rPr>
          <w:color w:val="auto"/>
          <w:sz w:val="22"/>
          <w:szCs w:val="22"/>
          <w:lang w:val="en-GB"/>
        </w:rPr>
        <w:t xml:space="preserve"> will be used exclusively </w:t>
      </w:r>
      <w:r>
        <w:rPr>
          <w:color w:val="auto"/>
          <w:sz w:val="22"/>
          <w:szCs w:val="22"/>
          <w:lang w:val="en-GB"/>
        </w:rPr>
        <w:t>in accordance with</w:t>
      </w:r>
      <w:r w:rsidRPr="00772816">
        <w:rPr>
          <w:color w:val="auto"/>
          <w:sz w:val="22"/>
          <w:szCs w:val="22"/>
          <w:lang w:val="en-GB"/>
        </w:rPr>
        <w:t xml:space="preserve"> the binding recommendation</w:t>
      </w:r>
      <w:r>
        <w:rPr>
          <w:color w:val="auto"/>
          <w:sz w:val="22"/>
          <w:szCs w:val="22"/>
          <w:lang w:val="en-GB"/>
        </w:rPr>
        <w:t>s</w:t>
      </w:r>
      <w:r w:rsidRPr="00772816">
        <w:rPr>
          <w:color w:val="auto"/>
          <w:sz w:val="22"/>
          <w:szCs w:val="22"/>
          <w:lang w:val="en-GB"/>
        </w:rPr>
        <w:t xml:space="preserve"> of the Advisory Board of the Voluntary Fund, which was established in relation to the specific nature of the IGC and its mandate</w:t>
      </w:r>
      <w:r>
        <w:rPr>
          <w:color w:val="auto"/>
          <w:sz w:val="22"/>
          <w:szCs w:val="22"/>
          <w:lang w:val="en-GB"/>
        </w:rPr>
        <w:t xml:space="preserve"> and</w:t>
      </w:r>
      <w:r w:rsidRPr="00772816">
        <w:rPr>
          <w:color w:val="auto"/>
          <w:sz w:val="22"/>
          <w:szCs w:val="22"/>
          <w:lang w:val="en-GB"/>
        </w:rPr>
        <w:t xml:space="preserve"> the specific vocation of the Voluntary Fund and its Rules.</w:t>
      </w:r>
      <w:r w:rsidR="00B34316">
        <w:rPr>
          <w:color w:val="auto"/>
          <w:sz w:val="22"/>
          <w:szCs w:val="22"/>
          <w:lang w:val="en-GB"/>
        </w:rPr>
        <w:t xml:space="preserve"> </w:t>
      </w:r>
      <w:r w:rsidRPr="00772816">
        <w:rPr>
          <w:color w:val="auto"/>
          <w:sz w:val="22"/>
          <w:szCs w:val="22"/>
          <w:lang w:val="en-GB"/>
        </w:rPr>
        <w:t xml:space="preserve"> </w:t>
      </w:r>
      <w:r>
        <w:rPr>
          <w:color w:val="auto"/>
          <w:sz w:val="22"/>
          <w:szCs w:val="22"/>
          <w:lang w:val="en-GB"/>
        </w:rPr>
        <w:t>In order to be selected for funding, representatives of accredited indigenous and local communities have to meet a set of criteria</w:t>
      </w:r>
      <w:r w:rsidRPr="00772816">
        <w:rPr>
          <w:rStyle w:val="FootnoteReference"/>
          <w:sz w:val="22"/>
          <w:szCs w:val="22"/>
          <w:lang w:val="en-GB"/>
        </w:rPr>
        <w:footnoteReference w:id="4"/>
      </w:r>
      <w:r>
        <w:rPr>
          <w:color w:val="auto"/>
          <w:sz w:val="22"/>
          <w:szCs w:val="22"/>
          <w:lang w:val="en-GB"/>
        </w:rPr>
        <w:t xml:space="preserve">, as applied by the Advisory Board of the Voluntary Fund, in accordance with the Rules of the Fund. </w:t>
      </w:r>
    </w:p>
    <w:p w:rsidR="0062336F" w:rsidRPr="00772816" w:rsidRDefault="0062336F" w:rsidP="00B34316">
      <w:pPr>
        <w:pStyle w:val="Default"/>
        <w:tabs>
          <w:tab w:val="left" w:pos="567"/>
        </w:tabs>
        <w:rPr>
          <w:color w:val="auto"/>
          <w:sz w:val="22"/>
          <w:szCs w:val="22"/>
          <w:lang w:val="en-GB"/>
        </w:rPr>
      </w:pPr>
    </w:p>
    <w:p w:rsidR="0062336F" w:rsidRDefault="0062336F" w:rsidP="00B34316">
      <w:pPr>
        <w:pStyle w:val="Default"/>
        <w:tabs>
          <w:tab w:val="left" w:pos="567"/>
        </w:tabs>
        <w:rPr>
          <w:color w:val="auto"/>
          <w:sz w:val="22"/>
          <w:szCs w:val="22"/>
          <w:lang w:val="en-GB"/>
        </w:rPr>
      </w:pPr>
      <w:r w:rsidRPr="00772816">
        <w:rPr>
          <w:color w:val="auto"/>
          <w:sz w:val="22"/>
          <w:szCs w:val="22"/>
          <w:lang w:val="en-GB"/>
        </w:rPr>
        <w:t>7.</w:t>
      </w:r>
      <w:r w:rsidRPr="00772816">
        <w:rPr>
          <w:color w:val="auto"/>
          <w:sz w:val="22"/>
          <w:szCs w:val="22"/>
          <w:lang w:val="en-GB"/>
        </w:rPr>
        <w:tab/>
      </w:r>
      <w:r>
        <w:rPr>
          <w:color w:val="auto"/>
          <w:sz w:val="22"/>
          <w:szCs w:val="22"/>
          <w:lang w:val="en-GB"/>
        </w:rPr>
        <w:t>The proposed allocation of funding for the Voluntary Fund would be subject to the reporting requirements for the Program and Budget which would ensure transparency, comprising</w:t>
      </w:r>
      <w:r w:rsidRPr="00772816">
        <w:rPr>
          <w:color w:val="auto"/>
          <w:sz w:val="22"/>
          <w:szCs w:val="22"/>
          <w:lang w:val="en-GB"/>
        </w:rPr>
        <w:t xml:space="preserve"> its explicit </w:t>
      </w:r>
      <w:r>
        <w:rPr>
          <w:color w:val="auto"/>
          <w:sz w:val="22"/>
          <w:szCs w:val="22"/>
          <w:lang w:val="en-GB"/>
        </w:rPr>
        <w:t>inclusion</w:t>
      </w:r>
      <w:r w:rsidRPr="00772816">
        <w:rPr>
          <w:color w:val="auto"/>
          <w:sz w:val="22"/>
          <w:szCs w:val="22"/>
          <w:lang w:val="en-GB"/>
        </w:rPr>
        <w:t xml:space="preserve"> in the </w:t>
      </w:r>
      <w:r>
        <w:rPr>
          <w:color w:val="auto"/>
          <w:sz w:val="22"/>
          <w:szCs w:val="22"/>
          <w:lang w:val="en-GB"/>
        </w:rPr>
        <w:t>Program Performance Report</w:t>
      </w:r>
      <w:r w:rsidRPr="00772816">
        <w:rPr>
          <w:color w:val="auto"/>
          <w:sz w:val="22"/>
          <w:szCs w:val="22"/>
          <w:lang w:val="en-GB"/>
        </w:rPr>
        <w:t xml:space="preserve"> of the Organization</w:t>
      </w:r>
      <w:r>
        <w:rPr>
          <w:color w:val="auto"/>
          <w:sz w:val="22"/>
          <w:szCs w:val="22"/>
          <w:lang w:val="en-GB"/>
        </w:rPr>
        <w:t>,</w:t>
      </w:r>
      <w:r w:rsidRPr="00772816">
        <w:rPr>
          <w:color w:val="auto"/>
          <w:sz w:val="22"/>
          <w:szCs w:val="22"/>
          <w:lang w:val="en-GB"/>
        </w:rPr>
        <w:t xml:space="preserve"> according to the Financial Regulations and Rules</w:t>
      </w:r>
      <w:r>
        <w:rPr>
          <w:color w:val="auto"/>
          <w:sz w:val="22"/>
          <w:szCs w:val="22"/>
          <w:lang w:val="en-GB"/>
        </w:rPr>
        <w:t xml:space="preserve">. </w:t>
      </w:r>
      <w:r w:rsidR="00B34316">
        <w:rPr>
          <w:color w:val="auto"/>
          <w:sz w:val="22"/>
          <w:szCs w:val="22"/>
          <w:lang w:val="en-GB"/>
        </w:rPr>
        <w:t xml:space="preserve"> </w:t>
      </w:r>
      <w:r>
        <w:rPr>
          <w:color w:val="auto"/>
          <w:sz w:val="22"/>
          <w:szCs w:val="22"/>
          <w:lang w:val="en-GB"/>
        </w:rPr>
        <w:t xml:space="preserve">In addition, it is expected </w:t>
      </w:r>
      <w:r>
        <w:rPr>
          <w:sz w:val="22"/>
          <w:szCs w:val="22"/>
          <w:lang w:val="en-GB"/>
        </w:rPr>
        <w:t xml:space="preserve">that </w:t>
      </w:r>
      <w:r>
        <w:rPr>
          <w:color w:val="auto"/>
          <w:sz w:val="22"/>
          <w:szCs w:val="22"/>
          <w:lang w:val="en-GB"/>
        </w:rPr>
        <w:t xml:space="preserve">the Director General </w:t>
      </w:r>
      <w:r>
        <w:rPr>
          <w:sz w:val="22"/>
          <w:szCs w:val="22"/>
          <w:lang w:val="en-GB"/>
        </w:rPr>
        <w:t xml:space="preserve">will advise any </w:t>
      </w:r>
      <w:r>
        <w:rPr>
          <w:color w:val="auto"/>
          <w:sz w:val="22"/>
          <w:szCs w:val="22"/>
          <w:lang w:val="en-GB"/>
        </w:rPr>
        <w:t xml:space="preserve">use of subsidiary funding from the regular budget in the regular information notes to the IGC required </w:t>
      </w:r>
      <w:r w:rsidRPr="00AE7604">
        <w:rPr>
          <w:color w:val="auto"/>
          <w:sz w:val="22"/>
          <w:szCs w:val="22"/>
          <w:lang w:val="en-GB"/>
        </w:rPr>
        <w:t xml:space="preserve">under </w:t>
      </w:r>
      <w:r>
        <w:rPr>
          <w:color w:val="auto"/>
          <w:sz w:val="22"/>
          <w:szCs w:val="22"/>
          <w:lang w:val="en-GB"/>
        </w:rPr>
        <w:t>the Rules of the Voluntary Fund and in accordance with the binding recommendations made by the Advisory Board of the Fund</w:t>
      </w:r>
      <w:r w:rsidRPr="00772816">
        <w:rPr>
          <w:color w:val="auto"/>
          <w:sz w:val="22"/>
          <w:szCs w:val="22"/>
          <w:lang w:val="en-GB"/>
        </w:rPr>
        <w:t xml:space="preserve">. </w:t>
      </w:r>
    </w:p>
    <w:p w:rsidR="0062336F" w:rsidRDefault="0062336F" w:rsidP="00F9185C">
      <w:pPr>
        <w:pStyle w:val="Default"/>
        <w:tabs>
          <w:tab w:val="left" w:pos="567"/>
        </w:tabs>
        <w:jc w:val="both"/>
        <w:rPr>
          <w:color w:val="auto"/>
          <w:sz w:val="22"/>
          <w:szCs w:val="22"/>
          <w:lang w:val="en-GB"/>
        </w:rPr>
      </w:pPr>
    </w:p>
    <w:p w:rsidR="0062336F" w:rsidRDefault="0062336F" w:rsidP="00F9185C">
      <w:pPr>
        <w:pStyle w:val="Default"/>
        <w:tabs>
          <w:tab w:val="left" w:pos="567"/>
        </w:tabs>
        <w:jc w:val="both"/>
        <w:rPr>
          <w:color w:val="auto"/>
          <w:sz w:val="22"/>
          <w:szCs w:val="22"/>
          <w:lang w:val="en-GB"/>
        </w:rPr>
      </w:pPr>
      <w:r>
        <w:rPr>
          <w:color w:val="auto"/>
          <w:sz w:val="22"/>
          <w:szCs w:val="22"/>
          <w:lang w:val="en-GB"/>
        </w:rPr>
        <w:t>8.</w:t>
      </w:r>
      <w:r>
        <w:rPr>
          <w:color w:val="auto"/>
          <w:sz w:val="22"/>
          <w:szCs w:val="22"/>
          <w:lang w:val="en-GB"/>
        </w:rPr>
        <w:tab/>
        <w:t>The following decision paragraph is proposed.</w:t>
      </w:r>
    </w:p>
    <w:p w:rsidR="00625918" w:rsidRPr="00772816" w:rsidRDefault="00625918" w:rsidP="00F9185C">
      <w:pPr>
        <w:pStyle w:val="Default"/>
        <w:tabs>
          <w:tab w:val="left" w:pos="567"/>
        </w:tabs>
        <w:jc w:val="both"/>
        <w:rPr>
          <w:color w:val="auto"/>
          <w:sz w:val="22"/>
          <w:szCs w:val="22"/>
          <w:lang w:val="en-GB"/>
        </w:rPr>
      </w:pPr>
    </w:p>
    <w:p w:rsidR="0062336F" w:rsidRPr="009E4770" w:rsidRDefault="0062336F" w:rsidP="009E4770">
      <w:pPr>
        <w:pStyle w:val="ONUME"/>
        <w:numPr>
          <w:ilvl w:val="0"/>
          <w:numId w:val="0"/>
        </w:numPr>
        <w:ind w:left="5103"/>
        <w:rPr>
          <w:i/>
        </w:rPr>
      </w:pPr>
      <w:r w:rsidRPr="009E4770">
        <w:rPr>
          <w:i/>
          <w:lang w:val="en-GB"/>
        </w:rPr>
        <w:t>9.</w:t>
      </w:r>
      <w:r w:rsidRPr="009E4770">
        <w:rPr>
          <w:i/>
          <w:lang w:val="en-GB"/>
        </w:rPr>
        <w:tab/>
        <w:t>The Program and Budget Committee considered the proposal in paragraphs 4 and 5 above and recommended their approval by the Assemblies of the Member States of WIPO and of the Unions, each as far as it is concerned.</w:t>
      </w:r>
    </w:p>
    <w:p w:rsidR="0062336F" w:rsidRDefault="0062336F" w:rsidP="00F9185C"/>
    <w:p w:rsidR="00CC0D2F" w:rsidRPr="009E4770" w:rsidRDefault="00CC0D2F" w:rsidP="009E4770">
      <w:pPr>
        <w:pStyle w:val="Endofdocument-Annex"/>
        <w:ind w:left="4536" w:firstLine="567"/>
      </w:pPr>
      <w:r w:rsidRPr="009E4770">
        <w:t>[End of document]</w:t>
      </w:r>
    </w:p>
    <w:sectPr w:rsidR="00CC0D2F" w:rsidRPr="009E4770" w:rsidSect="008C717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73" w:rsidRDefault="008C7173">
      <w:r>
        <w:separator/>
      </w:r>
    </w:p>
  </w:endnote>
  <w:endnote w:type="continuationSeparator" w:id="0">
    <w:p w:rsidR="008C7173" w:rsidRDefault="008C7173" w:rsidP="003B38C1">
      <w:r>
        <w:separator/>
      </w:r>
    </w:p>
    <w:p w:rsidR="008C7173" w:rsidRPr="003B38C1" w:rsidRDefault="008C7173" w:rsidP="003B38C1">
      <w:pPr>
        <w:spacing w:after="60"/>
        <w:rPr>
          <w:sz w:val="17"/>
        </w:rPr>
      </w:pPr>
      <w:r>
        <w:rPr>
          <w:sz w:val="17"/>
        </w:rPr>
        <w:t>[Endnote continued from previous page]</w:t>
      </w:r>
    </w:p>
  </w:endnote>
  <w:endnote w:type="continuationNotice" w:id="1">
    <w:p w:rsidR="008C7173" w:rsidRPr="003B38C1" w:rsidRDefault="008C71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73" w:rsidRDefault="008C7173">
      <w:r>
        <w:separator/>
      </w:r>
    </w:p>
  </w:footnote>
  <w:footnote w:type="continuationSeparator" w:id="0">
    <w:p w:rsidR="008C7173" w:rsidRDefault="008C7173" w:rsidP="008B60B2">
      <w:r>
        <w:separator/>
      </w:r>
    </w:p>
    <w:p w:rsidR="008C7173" w:rsidRPr="00ED77FB" w:rsidRDefault="008C7173" w:rsidP="008B60B2">
      <w:pPr>
        <w:spacing w:after="60"/>
        <w:rPr>
          <w:sz w:val="17"/>
          <w:szCs w:val="17"/>
        </w:rPr>
      </w:pPr>
      <w:r w:rsidRPr="00ED77FB">
        <w:rPr>
          <w:sz w:val="17"/>
          <w:szCs w:val="17"/>
        </w:rPr>
        <w:t>[Footnote continued from previous page]</w:t>
      </w:r>
    </w:p>
  </w:footnote>
  <w:footnote w:type="continuationNotice" w:id="1">
    <w:p w:rsidR="008C7173" w:rsidRPr="00ED77FB" w:rsidRDefault="008C7173" w:rsidP="008B60B2">
      <w:pPr>
        <w:spacing w:before="60"/>
        <w:jc w:val="right"/>
        <w:rPr>
          <w:sz w:val="17"/>
          <w:szCs w:val="17"/>
        </w:rPr>
      </w:pPr>
      <w:r w:rsidRPr="00ED77FB">
        <w:rPr>
          <w:sz w:val="17"/>
          <w:szCs w:val="17"/>
        </w:rPr>
        <w:t>[Footnote continued on next page]</w:t>
      </w:r>
    </w:p>
  </w:footnote>
  <w:footnote w:id="2">
    <w:p w:rsidR="0062336F" w:rsidRPr="003C3497" w:rsidRDefault="0062336F" w:rsidP="0023713C">
      <w:pPr>
        <w:pStyle w:val="FootnoteText"/>
        <w:ind w:left="142" w:hanging="142"/>
        <w:rPr>
          <w:szCs w:val="18"/>
        </w:rPr>
      </w:pPr>
      <w:r w:rsidRPr="003C3497">
        <w:rPr>
          <w:rStyle w:val="FootnoteReference"/>
          <w:szCs w:val="18"/>
        </w:rPr>
        <w:footnoteRef/>
      </w:r>
      <w:r w:rsidRPr="003C3497">
        <w:rPr>
          <w:szCs w:val="18"/>
        </w:rPr>
        <w:t xml:space="preserve"> </w:t>
      </w:r>
      <w:r>
        <w:rPr>
          <w:szCs w:val="18"/>
        </w:rPr>
        <w:tab/>
      </w:r>
      <w:r w:rsidRPr="003C3497">
        <w:rPr>
          <w:szCs w:val="18"/>
        </w:rPr>
        <w:t>See</w:t>
      </w:r>
      <w:r>
        <w:rPr>
          <w:szCs w:val="18"/>
        </w:rPr>
        <w:t xml:space="preserve"> </w:t>
      </w:r>
      <w:r w:rsidRPr="00C27ED8">
        <w:rPr>
          <w:szCs w:val="18"/>
        </w:rPr>
        <w:t xml:space="preserve">the Rules of the </w:t>
      </w:r>
      <w:r>
        <w:rPr>
          <w:szCs w:val="18"/>
        </w:rPr>
        <w:t xml:space="preserve">Voluntary </w:t>
      </w:r>
      <w:r w:rsidRPr="00C27ED8">
        <w:rPr>
          <w:szCs w:val="18"/>
        </w:rPr>
        <w:t>Fund, as approved by the WIPO General Assembly at its 32nd  session and subsequently amended by WIPO General Assembly at its 39th  session (documents WO/GA/32/6 and WO/GA/39/11</w:t>
      </w:r>
      <w:r>
        <w:rPr>
          <w:szCs w:val="18"/>
        </w:rPr>
        <w:t>);</w:t>
      </w:r>
      <w:r w:rsidR="0023713C">
        <w:rPr>
          <w:szCs w:val="18"/>
        </w:rPr>
        <w:t xml:space="preserve">  </w:t>
      </w:r>
      <w:hyperlink r:id="rId1" w:history="1">
        <w:r w:rsidRPr="00C27ED8">
          <w:rPr>
            <w:rStyle w:val="Hyperlink"/>
            <w:szCs w:val="18"/>
          </w:rPr>
          <w:t>http://www.wipo.int/tk/en/igc/participation.html</w:t>
        </w:r>
      </w:hyperlink>
      <w:r>
        <w:rPr>
          <w:szCs w:val="18"/>
        </w:rPr>
        <w:t>.</w:t>
      </w:r>
    </w:p>
  </w:footnote>
  <w:footnote w:id="3">
    <w:p w:rsidR="0062336F" w:rsidRPr="004250FA" w:rsidRDefault="0062336F" w:rsidP="00F9185C">
      <w:pPr>
        <w:pStyle w:val="FootnoteText"/>
        <w:ind w:left="142" w:hanging="142"/>
        <w:rPr>
          <w:szCs w:val="18"/>
          <w:lang w:val="it-CH"/>
        </w:rPr>
      </w:pPr>
      <w:r w:rsidRPr="00C27ED8">
        <w:rPr>
          <w:rStyle w:val="FootnoteReference"/>
          <w:szCs w:val="18"/>
        </w:rPr>
        <w:footnoteRef/>
      </w:r>
      <w:r w:rsidRPr="00C27ED8">
        <w:rPr>
          <w:szCs w:val="18"/>
          <w:lang w:val="it-CH"/>
        </w:rPr>
        <w:t xml:space="preserve"> </w:t>
      </w:r>
      <w:r w:rsidRPr="00C27ED8">
        <w:rPr>
          <w:szCs w:val="18"/>
          <w:lang w:val="it-CH"/>
        </w:rPr>
        <w:tab/>
      </w:r>
      <w:r w:rsidRPr="004250FA">
        <w:rPr>
          <w:szCs w:val="18"/>
          <w:lang w:val="it-CH"/>
        </w:rPr>
        <w:t>WIPO Publication No. 360E/PB14/15.</w:t>
      </w:r>
    </w:p>
  </w:footnote>
  <w:footnote w:id="4">
    <w:p w:rsidR="0062336F" w:rsidRPr="003C3497" w:rsidRDefault="0062336F" w:rsidP="00F9185C">
      <w:pPr>
        <w:pStyle w:val="FootnoteText"/>
        <w:ind w:left="142" w:hanging="142"/>
        <w:jc w:val="both"/>
        <w:rPr>
          <w:szCs w:val="18"/>
        </w:rPr>
      </w:pPr>
      <w:r w:rsidRPr="004250FA">
        <w:rPr>
          <w:rStyle w:val="FootnoteReference"/>
          <w:szCs w:val="18"/>
        </w:rPr>
        <w:footnoteRef/>
      </w:r>
      <w:r w:rsidRPr="004250FA">
        <w:rPr>
          <w:szCs w:val="18"/>
        </w:rPr>
        <w:t xml:space="preserve"> </w:t>
      </w:r>
      <w:r w:rsidRPr="004250FA">
        <w:rPr>
          <w:szCs w:val="18"/>
        </w:rPr>
        <w:tab/>
        <w:t>See paragraph 5 of the Rules of the Voluntary Fund.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C7173" w:rsidP="00477D6B">
    <w:pPr>
      <w:jc w:val="right"/>
    </w:pPr>
    <w:bookmarkStart w:id="6" w:name="Code2"/>
    <w:bookmarkEnd w:id="6"/>
    <w:r>
      <w:t>WO/PBC/22/2</w:t>
    </w:r>
    <w:r w:rsidR="00A95135">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21AD1">
      <w:rPr>
        <w:noProof/>
      </w:rPr>
      <w:t>3</w:t>
    </w:r>
    <w:r>
      <w:fldChar w:fldCharType="end"/>
    </w:r>
  </w:p>
  <w:p w:rsidR="00EC4E49" w:rsidRDefault="00EC4E49" w:rsidP="00477D6B">
    <w:pPr>
      <w:jc w:val="right"/>
    </w:pPr>
  </w:p>
  <w:p w:rsidR="00CC0D2F" w:rsidRDefault="00CC0D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3763F2"/>
    <w:multiLevelType w:val="hybridMultilevel"/>
    <w:tmpl w:val="090C78A8"/>
    <w:lvl w:ilvl="0" w:tplc="21340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322815"/>
    <w:multiLevelType w:val="hybridMultilevel"/>
    <w:tmpl w:val="DA90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BA25F0A"/>
    <w:multiLevelType w:val="hybridMultilevel"/>
    <w:tmpl w:val="5B24E2C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B953076"/>
    <w:multiLevelType w:val="hybridMultilevel"/>
    <w:tmpl w:val="91CE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0"/>
  </w:num>
  <w:num w:numId="4">
    <w:abstractNumId w:val="9"/>
  </w:num>
  <w:num w:numId="5">
    <w:abstractNumId w:val="2"/>
  </w:num>
  <w:num w:numId="6">
    <w:abstractNumId w:val="6"/>
  </w:num>
  <w:num w:numId="7">
    <w:abstractNumId w:val="1"/>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73"/>
    <w:rsid w:val="00043CAA"/>
    <w:rsid w:val="00075432"/>
    <w:rsid w:val="000968ED"/>
    <w:rsid w:val="000B3FAB"/>
    <w:rsid w:val="000F5E56"/>
    <w:rsid w:val="001362EE"/>
    <w:rsid w:val="001832A6"/>
    <w:rsid w:val="002133B0"/>
    <w:rsid w:val="0023713C"/>
    <w:rsid w:val="002634C4"/>
    <w:rsid w:val="002928D3"/>
    <w:rsid w:val="002F1FE6"/>
    <w:rsid w:val="002F4E68"/>
    <w:rsid w:val="00312F7F"/>
    <w:rsid w:val="00361450"/>
    <w:rsid w:val="003673CF"/>
    <w:rsid w:val="003845C1"/>
    <w:rsid w:val="003A6F89"/>
    <w:rsid w:val="003B38C1"/>
    <w:rsid w:val="00423E3E"/>
    <w:rsid w:val="00427AF4"/>
    <w:rsid w:val="00445EC6"/>
    <w:rsid w:val="004647DA"/>
    <w:rsid w:val="00474062"/>
    <w:rsid w:val="00477D6B"/>
    <w:rsid w:val="004A5CA5"/>
    <w:rsid w:val="005019FF"/>
    <w:rsid w:val="00502C3B"/>
    <w:rsid w:val="00521AD1"/>
    <w:rsid w:val="0053057A"/>
    <w:rsid w:val="00560A29"/>
    <w:rsid w:val="005801B2"/>
    <w:rsid w:val="005C6649"/>
    <w:rsid w:val="00605827"/>
    <w:rsid w:val="0062336F"/>
    <w:rsid w:val="00625918"/>
    <w:rsid w:val="00646050"/>
    <w:rsid w:val="00646C7D"/>
    <w:rsid w:val="006713CA"/>
    <w:rsid w:val="00676C5C"/>
    <w:rsid w:val="007177D3"/>
    <w:rsid w:val="00790ECF"/>
    <w:rsid w:val="007D1613"/>
    <w:rsid w:val="008B2CC1"/>
    <w:rsid w:val="008B60B2"/>
    <w:rsid w:val="008C7173"/>
    <w:rsid w:val="0090731E"/>
    <w:rsid w:val="00916EE2"/>
    <w:rsid w:val="00966A22"/>
    <w:rsid w:val="0096722F"/>
    <w:rsid w:val="00980843"/>
    <w:rsid w:val="009C4662"/>
    <w:rsid w:val="009E2791"/>
    <w:rsid w:val="009E3F6F"/>
    <w:rsid w:val="009E4770"/>
    <w:rsid w:val="009F499F"/>
    <w:rsid w:val="00A40716"/>
    <w:rsid w:val="00A42DAF"/>
    <w:rsid w:val="00A45BD8"/>
    <w:rsid w:val="00A869B7"/>
    <w:rsid w:val="00A95135"/>
    <w:rsid w:val="00AC205C"/>
    <w:rsid w:val="00AF0A6B"/>
    <w:rsid w:val="00B05A69"/>
    <w:rsid w:val="00B34316"/>
    <w:rsid w:val="00B9734B"/>
    <w:rsid w:val="00BE3994"/>
    <w:rsid w:val="00C11BFE"/>
    <w:rsid w:val="00C2783C"/>
    <w:rsid w:val="00CC0D2F"/>
    <w:rsid w:val="00D45252"/>
    <w:rsid w:val="00D71B4D"/>
    <w:rsid w:val="00D93D55"/>
    <w:rsid w:val="00E335FE"/>
    <w:rsid w:val="00E768CC"/>
    <w:rsid w:val="00EB4E4C"/>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rsid w:val="00CC0D2F"/>
  </w:style>
  <w:style w:type="paragraph" w:styleId="ListParagraph">
    <w:name w:val="List Paragraph"/>
    <w:basedOn w:val="Normal"/>
    <w:uiPriority w:val="34"/>
    <w:qFormat/>
    <w:rsid w:val="00CC0D2F"/>
    <w:pPr>
      <w:spacing w:after="200" w:line="276" w:lineRule="auto"/>
      <w:ind w:left="720"/>
      <w:contextualSpacing/>
    </w:pPr>
    <w:rPr>
      <w:rFonts w:ascii="Calibri" w:eastAsia="Calibri" w:hAnsi="Calibri" w:cs="Times New Roman"/>
      <w:szCs w:val="22"/>
      <w:lang w:val="es-ES" w:eastAsia="en-US"/>
    </w:rPr>
  </w:style>
  <w:style w:type="paragraph" w:styleId="BalloonText">
    <w:name w:val="Balloon Text"/>
    <w:basedOn w:val="Normal"/>
    <w:link w:val="BalloonTextChar"/>
    <w:rsid w:val="0062336F"/>
    <w:rPr>
      <w:rFonts w:ascii="Tahoma" w:hAnsi="Tahoma" w:cs="Tahoma"/>
      <w:sz w:val="16"/>
      <w:szCs w:val="16"/>
    </w:rPr>
  </w:style>
  <w:style w:type="character" w:customStyle="1" w:styleId="BalloonTextChar">
    <w:name w:val="Balloon Text Char"/>
    <w:basedOn w:val="DefaultParagraphFont"/>
    <w:link w:val="BalloonText"/>
    <w:rsid w:val="0062336F"/>
    <w:rPr>
      <w:rFonts w:ascii="Tahoma" w:eastAsia="SimSun" w:hAnsi="Tahoma" w:cs="Tahoma"/>
      <w:sz w:val="16"/>
      <w:szCs w:val="16"/>
      <w:lang w:eastAsia="zh-CN"/>
    </w:rPr>
  </w:style>
  <w:style w:type="paragraph" w:customStyle="1" w:styleId="Default">
    <w:name w:val="Default"/>
    <w:rsid w:val="0062336F"/>
    <w:pPr>
      <w:autoSpaceDE w:val="0"/>
      <w:autoSpaceDN w:val="0"/>
      <w:adjustRightInd w:val="0"/>
    </w:pPr>
    <w:rPr>
      <w:rFonts w:ascii="Arial" w:eastAsiaTheme="minorEastAsia" w:hAnsi="Arial" w:cs="Arial"/>
      <w:color w:val="000000"/>
      <w:sz w:val="24"/>
      <w:szCs w:val="24"/>
      <w:lang w:eastAsia="zh-CN"/>
    </w:rPr>
  </w:style>
  <w:style w:type="character" w:customStyle="1" w:styleId="FootnoteTextChar">
    <w:name w:val="Footnote Text Char"/>
    <w:basedOn w:val="DefaultParagraphFont"/>
    <w:link w:val="FootnoteText"/>
    <w:uiPriority w:val="99"/>
    <w:semiHidden/>
    <w:rsid w:val="0062336F"/>
    <w:rPr>
      <w:rFonts w:ascii="Arial" w:eastAsia="SimSun" w:hAnsi="Arial" w:cs="Arial"/>
      <w:sz w:val="18"/>
      <w:lang w:eastAsia="zh-CN"/>
    </w:rPr>
  </w:style>
  <w:style w:type="character" w:styleId="FootnoteReference">
    <w:name w:val="footnote reference"/>
    <w:basedOn w:val="DefaultParagraphFont"/>
    <w:uiPriority w:val="99"/>
    <w:unhideWhenUsed/>
    <w:rsid w:val="0062336F"/>
    <w:rPr>
      <w:vertAlign w:val="superscript"/>
    </w:rPr>
  </w:style>
  <w:style w:type="character" w:styleId="Hyperlink">
    <w:name w:val="Hyperlink"/>
    <w:basedOn w:val="DefaultParagraphFont"/>
    <w:uiPriority w:val="99"/>
    <w:unhideWhenUsed/>
    <w:rsid w:val="006233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rsid w:val="00CC0D2F"/>
  </w:style>
  <w:style w:type="paragraph" w:styleId="ListParagraph">
    <w:name w:val="List Paragraph"/>
    <w:basedOn w:val="Normal"/>
    <w:uiPriority w:val="34"/>
    <w:qFormat/>
    <w:rsid w:val="00CC0D2F"/>
    <w:pPr>
      <w:spacing w:after="200" w:line="276" w:lineRule="auto"/>
      <w:ind w:left="720"/>
      <w:contextualSpacing/>
    </w:pPr>
    <w:rPr>
      <w:rFonts w:ascii="Calibri" w:eastAsia="Calibri" w:hAnsi="Calibri" w:cs="Times New Roman"/>
      <w:szCs w:val="22"/>
      <w:lang w:val="es-ES" w:eastAsia="en-US"/>
    </w:rPr>
  </w:style>
  <w:style w:type="paragraph" w:styleId="BalloonText">
    <w:name w:val="Balloon Text"/>
    <w:basedOn w:val="Normal"/>
    <w:link w:val="BalloonTextChar"/>
    <w:rsid w:val="0062336F"/>
    <w:rPr>
      <w:rFonts w:ascii="Tahoma" w:hAnsi="Tahoma" w:cs="Tahoma"/>
      <w:sz w:val="16"/>
      <w:szCs w:val="16"/>
    </w:rPr>
  </w:style>
  <w:style w:type="character" w:customStyle="1" w:styleId="BalloonTextChar">
    <w:name w:val="Balloon Text Char"/>
    <w:basedOn w:val="DefaultParagraphFont"/>
    <w:link w:val="BalloonText"/>
    <w:rsid w:val="0062336F"/>
    <w:rPr>
      <w:rFonts w:ascii="Tahoma" w:eastAsia="SimSun" w:hAnsi="Tahoma" w:cs="Tahoma"/>
      <w:sz w:val="16"/>
      <w:szCs w:val="16"/>
      <w:lang w:eastAsia="zh-CN"/>
    </w:rPr>
  </w:style>
  <w:style w:type="paragraph" w:customStyle="1" w:styleId="Default">
    <w:name w:val="Default"/>
    <w:rsid w:val="0062336F"/>
    <w:pPr>
      <w:autoSpaceDE w:val="0"/>
      <w:autoSpaceDN w:val="0"/>
      <w:adjustRightInd w:val="0"/>
    </w:pPr>
    <w:rPr>
      <w:rFonts w:ascii="Arial" w:eastAsiaTheme="minorEastAsia" w:hAnsi="Arial" w:cs="Arial"/>
      <w:color w:val="000000"/>
      <w:sz w:val="24"/>
      <w:szCs w:val="24"/>
      <w:lang w:eastAsia="zh-CN"/>
    </w:rPr>
  </w:style>
  <w:style w:type="character" w:customStyle="1" w:styleId="FootnoteTextChar">
    <w:name w:val="Footnote Text Char"/>
    <w:basedOn w:val="DefaultParagraphFont"/>
    <w:link w:val="FootnoteText"/>
    <w:uiPriority w:val="99"/>
    <w:semiHidden/>
    <w:rsid w:val="0062336F"/>
    <w:rPr>
      <w:rFonts w:ascii="Arial" w:eastAsia="SimSun" w:hAnsi="Arial" w:cs="Arial"/>
      <w:sz w:val="18"/>
      <w:lang w:eastAsia="zh-CN"/>
    </w:rPr>
  </w:style>
  <w:style w:type="character" w:styleId="FootnoteReference">
    <w:name w:val="footnote reference"/>
    <w:basedOn w:val="DefaultParagraphFont"/>
    <w:uiPriority w:val="99"/>
    <w:unhideWhenUsed/>
    <w:rsid w:val="0062336F"/>
    <w:rPr>
      <w:vertAlign w:val="superscript"/>
    </w:rPr>
  </w:style>
  <w:style w:type="character" w:styleId="Hyperlink">
    <w:name w:val="Hyperlink"/>
    <w:basedOn w:val="DefaultParagraphFont"/>
    <w:uiPriority w:val="99"/>
    <w:unhideWhenUsed/>
    <w:rsid w:val="006233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tk/en/igc/particip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E073-59D2-4FF7-87C4-B3835C5D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(E).dotm</Template>
  <TotalTime>43</TotalTime>
  <Pages>3</Pages>
  <Words>998</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HOWARD Emily</cp:lastModifiedBy>
  <cp:revision>11</cp:revision>
  <cp:lastPrinted>2014-08-12T12:01:00Z</cp:lastPrinted>
  <dcterms:created xsi:type="dcterms:W3CDTF">2014-08-06T09:44:00Z</dcterms:created>
  <dcterms:modified xsi:type="dcterms:W3CDTF">2014-08-12T12:03:00Z</dcterms:modified>
</cp:coreProperties>
</file>