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40716" w:rsidP="00916EE2">
            <w:r>
              <w:rPr>
                <w:noProof/>
                <w:lang w:eastAsia="en-US"/>
              </w:rPr>
              <w:drawing>
                <wp:inline distT="0" distB="0" distL="0" distR="0" wp14:anchorId="75CDC3E6" wp14:editId="71E13F6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0716" w:rsidP="00916EE2">
            <w:pPr>
              <w:jc w:val="right"/>
              <w:rPr>
                <w:rFonts w:ascii="Arial Black" w:hAnsi="Arial Black"/>
                <w:caps/>
                <w:sz w:val="15"/>
              </w:rPr>
            </w:pPr>
            <w:r>
              <w:rPr>
                <w:rFonts w:ascii="Arial Black" w:hAnsi="Arial Black"/>
                <w:caps/>
                <w:sz w:val="15"/>
              </w:rPr>
              <w:t>WO/PBC/22/</w:t>
            </w:r>
            <w:bookmarkStart w:id="1" w:name="Code"/>
            <w:bookmarkEnd w:id="1"/>
            <w:r w:rsidR="00CB33B1">
              <w:rPr>
                <w:rFonts w:ascii="Arial Black" w:hAnsi="Arial Black"/>
                <w:caps/>
                <w:sz w:val="15"/>
              </w:rPr>
              <w:t>23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CB33B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D3C45">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CB33B1">
              <w:rPr>
                <w:rFonts w:ascii="Arial Black" w:hAnsi="Arial Black"/>
                <w:caps/>
                <w:sz w:val="15"/>
              </w:rPr>
              <w:t xml:space="preserve">JULY </w:t>
            </w:r>
            <w:r w:rsidR="00FE0614">
              <w:rPr>
                <w:rFonts w:ascii="Arial Black" w:hAnsi="Arial Black"/>
                <w:caps/>
                <w:sz w:val="15"/>
              </w:rPr>
              <w:t>14</w:t>
            </w:r>
            <w:r w:rsidR="00CB33B1">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40716" w:rsidRPr="003845C1" w:rsidRDefault="00A40716" w:rsidP="00A40716">
      <w:pPr>
        <w:rPr>
          <w:b/>
          <w:sz w:val="28"/>
          <w:szCs w:val="28"/>
        </w:rPr>
      </w:pPr>
      <w:r>
        <w:rPr>
          <w:b/>
          <w:sz w:val="28"/>
          <w:szCs w:val="28"/>
        </w:rPr>
        <w:t>Program and Budget Committee</w:t>
      </w:r>
    </w:p>
    <w:p w:rsidR="003845C1" w:rsidRDefault="003845C1" w:rsidP="003845C1"/>
    <w:p w:rsidR="003845C1" w:rsidRDefault="003845C1" w:rsidP="003845C1"/>
    <w:p w:rsidR="00A40716" w:rsidRPr="003845C1" w:rsidRDefault="00A40716" w:rsidP="00A40716">
      <w:pPr>
        <w:rPr>
          <w:b/>
          <w:sz w:val="24"/>
          <w:szCs w:val="24"/>
        </w:rPr>
      </w:pPr>
      <w:r>
        <w:rPr>
          <w:b/>
          <w:sz w:val="24"/>
          <w:szCs w:val="24"/>
        </w:rPr>
        <w:t>Twenty-Second Session</w:t>
      </w:r>
    </w:p>
    <w:p w:rsidR="00A40716" w:rsidRPr="003845C1" w:rsidRDefault="00A40716" w:rsidP="00A40716">
      <w:pPr>
        <w:rPr>
          <w:b/>
          <w:sz w:val="24"/>
          <w:szCs w:val="24"/>
        </w:rPr>
      </w:pPr>
      <w:r w:rsidRPr="00B479F1">
        <w:rPr>
          <w:b/>
          <w:sz w:val="24"/>
          <w:szCs w:val="24"/>
        </w:rPr>
        <w:t xml:space="preserve">Geneva, September </w:t>
      </w:r>
      <w:r>
        <w:rPr>
          <w:b/>
          <w:sz w:val="24"/>
          <w:szCs w:val="24"/>
        </w:rPr>
        <w:t>1</w:t>
      </w:r>
      <w:r w:rsidRPr="00B479F1">
        <w:rPr>
          <w:b/>
          <w:sz w:val="24"/>
          <w:szCs w:val="24"/>
        </w:rPr>
        <w:t xml:space="preserve"> to </w:t>
      </w:r>
      <w:r>
        <w:rPr>
          <w:b/>
          <w:sz w:val="24"/>
          <w:szCs w:val="24"/>
        </w:rPr>
        <w:t>5, 2014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CB33B1" w:rsidP="008B2CC1">
      <w:pPr>
        <w:rPr>
          <w:caps/>
          <w:sz w:val="24"/>
        </w:rPr>
      </w:pPr>
      <w:bookmarkStart w:id="4" w:name="TitleOfDoc"/>
      <w:bookmarkEnd w:id="4"/>
      <w:r>
        <w:rPr>
          <w:caps/>
          <w:sz w:val="24"/>
        </w:rPr>
        <w:t>REPORT ON THE IMPLEMENTATION OF THE JOINT INSPECTION UNIT (JIU) RECOMMENDATIONS</w:t>
      </w:r>
      <w:r w:rsidR="002361BA">
        <w:rPr>
          <w:caps/>
          <w:sz w:val="24"/>
        </w:rPr>
        <w:t xml:space="preserve"> FOR THE REVIEW OF wIPO LEGISLATIVE BODIES</w:t>
      </w:r>
    </w:p>
    <w:p w:rsidR="008B2CC1" w:rsidRPr="008B2CC1" w:rsidRDefault="008B2CC1" w:rsidP="008B2CC1"/>
    <w:p w:rsidR="008B2CC1" w:rsidRPr="008B2CC1" w:rsidRDefault="00CB33B1" w:rsidP="008B2CC1">
      <w:pPr>
        <w:rPr>
          <w:i/>
        </w:rPr>
      </w:pPr>
      <w:bookmarkStart w:id="5" w:name="Prepared"/>
      <w:bookmarkEnd w:id="5"/>
      <w:r>
        <w:rPr>
          <w:i/>
        </w:rPr>
        <w:t>prepared by the Secretariat</w:t>
      </w:r>
    </w:p>
    <w:p w:rsidR="00AC205C" w:rsidRDefault="00AC205C"/>
    <w:p w:rsidR="000F5E56" w:rsidRDefault="000F5E56"/>
    <w:p w:rsidR="002928D3" w:rsidRDefault="002928D3"/>
    <w:p w:rsidR="00CB33B1" w:rsidRDefault="00CB33B1" w:rsidP="00CB33B1">
      <w:pPr>
        <w:rPr>
          <w:i/>
        </w:rPr>
      </w:pPr>
    </w:p>
    <w:p w:rsidR="00CB33B1" w:rsidRDefault="00CB33B1" w:rsidP="00CB33B1">
      <w:pPr>
        <w:pStyle w:val="ListParagraph"/>
        <w:numPr>
          <w:ilvl w:val="0"/>
          <w:numId w:val="7"/>
        </w:numPr>
        <w:tabs>
          <w:tab w:val="left" w:pos="0"/>
        </w:tabs>
        <w:ind w:left="0" w:firstLine="0"/>
      </w:pPr>
      <w:r>
        <w:t xml:space="preserve">This document provides an overview of the status of implementation of the recommendations </w:t>
      </w:r>
      <w:r w:rsidR="001F18C2">
        <w:t xml:space="preserve">to the WIPO legislative bodies </w:t>
      </w:r>
      <w:r>
        <w:t>resulting from the reviews of the Joint Inspection Unit (JIU) during the period of 2010 to 2013</w:t>
      </w:r>
      <w:r w:rsidR="001F18C2">
        <w:t>,</w:t>
      </w:r>
      <w:r w:rsidR="002361BA">
        <w:t xml:space="preserve"> and includes the recommendation</w:t>
      </w:r>
      <w:r w:rsidR="001F18C2">
        <w:t>s</w:t>
      </w:r>
      <w:r w:rsidR="002361BA">
        <w:t xml:space="preserve"> addressed to the WIPO </w:t>
      </w:r>
      <w:r w:rsidR="001F18C2">
        <w:t>l</w:t>
      </w:r>
      <w:r w:rsidR="002361BA">
        <w:t xml:space="preserve">egislative </w:t>
      </w:r>
      <w:r w:rsidR="001F18C2">
        <w:t>b</w:t>
      </w:r>
      <w:r w:rsidR="002361BA">
        <w:t>odies resulting from the Joint Inspection Unit Review of Management and Administration in WIPO</w:t>
      </w:r>
      <w:r>
        <w:t xml:space="preserve">.  </w:t>
      </w:r>
      <w:r w:rsidR="002361BA">
        <w:t xml:space="preserve">The Secretariat’s </w:t>
      </w:r>
      <w:r w:rsidR="001F18C2">
        <w:t xml:space="preserve">full </w:t>
      </w:r>
      <w:r w:rsidR="002361BA">
        <w:t>response to the Joint Inspection Unit Report on this Review</w:t>
      </w:r>
      <w:r>
        <w:t xml:space="preserve"> (JIU/REP/2014/2) </w:t>
      </w:r>
      <w:r w:rsidR="002361BA">
        <w:t xml:space="preserve">is presented </w:t>
      </w:r>
      <w:r>
        <w:t xml:space="preserve">separately </w:t>
      </w:r>
      <w:r w:rsidR="002361BA">
        <w:t xml:space="preserve">to the Program and Budget Committee and can be found </w:t>
      </w:r>
      <w:r>
        <w:t xml:space="preserve">in document WO/PBC/22/20. </w:t>
      </w:r>
    </w:p>
    <w:p w:rsidR="00CB33B1" w:rsidRDefault="00CB33B1" w:rsidP="00CB33B1">
      <w:pPr>
        <w:ind w:firstLine="567"/>
      </w:pPr>
    </w:p>
    <w:p w:rsidR="00CB33B1" w:rsidRDefault="00CB33B1" w:rsidP="00CB33B1">
      <w:pPr>
        <w:pStyle w:val="ListParagraph"/>
        <w:numPr>
          <w:ilvl w:val="0"/>
          <w:numId w:val="7"/>
        </w:numPr>
        <w:ind w:left="0" w:firstLine="0"/>
      </w:pPr>
      <w:r>
        <w:t xml:space="preserve">The </w:t>
      </w:r>
      <w:r w:rsidR="00237761">
        <w:t xml:space="preserve">Annex to the </w:t>
      </w:r>
      <w:r>
        <w:t xml:space="preserve">present document </w:t>
      </w:r>
      <w:r w:rsidR="00237761">
        <w:t>contains</w:t>
      </w:r>
      <w:r>
        <w:t xml:space="preserve"> </w:t>
      </w:r>
      <w:r w:rsidR="00237761">
        <w:t xml:space="preserve">recommendations addressed to the legislative bodies of United Nations system organizations, along with the current status of acceptance/implementation of the said recommendations.  Recommendations outstanding as at the date of the current report, as </w:t>
      </w:r>
      <w:r>
        <w:t>well as those implemented since the last Report on the Implementation of the Joint Inspection Unit Recommendations (WO/PBC/21/16)</w:t>
      </w:r>
      <w:r w:rsidR="00D252C2">
        <w:t xml:space="preserve"> are presented in </w:t>
      </w:r>
      <w:r w:rsidR="00237761">
        <w:t>Annex</w:t>
      </w:r>
      <w:r>
        <w:t>.</w:t>
      </w:r>
    </w:p>
    <w:p w:rsidR="00237761" w:rsidRDefault="00237761" w:rsidP="00237761"/>
    <w:p w:rsidR="00237761" w:rsidRPr="00FE0614" w:rsidRDefault="00237761" w:rsidP="00CB33B1">
      <w:pPr>
        <w:pStyle w:val="ListParagraph"/>
        <w:numPr>
          <w:ilvl w:val="0"/>
          <w:numId w:val="7"/>
        </w:numPr>
        <w:ind w:left="0" w:firstLine="0"/>
      </w:pPr>
      <w:r w:rsidRPr="00FE0614">
        <w:t xml:space="preserve">The last report included </w:t>
      </w:r>
      <w:r w:rsidR="00911B2D" w:rsidRPr="00FE0614">
        <w:t>24</w:t>
      </w:r>
      <w:r w:rsidRPr="00FE0614">
        <w:t xml:space="preserve"> recommendations to WIPO’s legislative bodies which were reported on as completed</w:t>
      </w:r>
      <w:r w:rsidR="00164B91" w:rsidRPr="00FE0614">
        <w:t xml:space="preserve"> or not relevant</w:t>
      </w:r>
      <w:r w:rsidRPr="00FE0614">
        <w:t xml:space="preserve">, and therefore no longer appear in the current report. </w:t>
      </w:r>
      <w:r w:rsidR="00164B91" w:rsidRPr="00FE0614">
        <w:t xml:space="preserve"> </w:t>
      </w:r>
      <w:r w:rsidR="00D252C2" w:rsidRPr="00FE0614">
        <w:t xml:space="preserve">Four </w:t>
      </w:r>
      <w:r w:rsidRPr="00FE0614">
        <w:t xml:space="preserve">new recommendations have been incorporated into the report, bringing the total number of recommendations in the annex to </w:t>
      </w:r>
      <w:r w:rsidR="00D252C2" w:rsidRPr="00FE0614">
        <w:t>24</w:t>
      </w:r>
      <w:r w:rsidRPr="00FE0614">
        <w:t xml:space="preserve">, of which </w:t>
      </w:r>
    </w:p>
    <w:p w:rsidR="00164B91" w:rsidRPr="00FE0614" w:rsidRDefault="00164B91" w:rsidP="00164B91"/>
    <w:p w:rsidR="00237761" w:rsidRPr="00FE0614" w:rsidRDefault="00FE0614" w:rsidP="00911B2D">
      <w:pPr>
        <w:pStyle w:val="ListParagraph"/>
        <w:numPr>
          <w:ilvl w:val="1"/>
          <w:numId w:val="7"/>
        </w:numPr>
        <w:tabs>
          <w:tab w:val="left" w:pos="1620"/>
        </w:tabs>
        <w:ind w:left="1620" w:hanging="540"/>
      </w:pPr>
      <w:r w:rsidRPr="00FE0614">
        <w:t>Twelve</w:t>
      </w:r>
      <w:r w:rsidR="00911B2D" w:rsidRPr="00FE0614">
        <w:t xml:space="preserve"> ha</w:t>
      </w:r>
      <w:r w:rsidR="00241913" w:rsidRPr="00FE0614">
        <w:t>ve</w:t>
      </w:r>
      <w:r w:rsidR="00911B2D" w:rsidRPr="00FE0614">
        <w:t xml:space="preserve"> </w:t>
      </w:r>
      <w:r w:rsidR="00237761" w:rsidRPr="00FE0614">
        <w:t>been accepted and implemented;</w:t>
      </w:r>
    </w:p>
    <w:p w:rsidR="00164B91" w:rsidRPr="00FE0614" w:rsidRDefault="00164B91" w:rsidP="00164B91"/>
    <w:p w:rsidR="00237761" w:rsidRPr="00FE0614" w:rsidRDefault="00FE0614" w:rsidP="00911B2D">
      <w:pPr>
        <w:pStyle w:val="ListParagraph"/>
        <w:numPr>
          <w:ilvl w:val="1"/>
          <w:numId w:val="7"/>
        </w:numPr>
        <w:ind w:left="1620" w:hanging="540"/>
      </w:pPr>
      <w:r w:rsidRPr="00FE0614">
        <w:t>Two</w:t>
      </w:r>
      <w:r w:rsidR="00911B2D" w:rsidRPr="00FE0614">
        <w:t xml:space="preserve"> </w:t>
      </w:r>
      <w:r w:rsidR="00237761" w:rsidRPr="00FE0614">
        <w:t>have been accepted and are under implementation;</w:t>
      </w:r>
    </w:p>
    <w:p w:rsidR="00164B91" w:rsidRPr="00FE0614" w:rsidRDefault="00164B91" w:rsidP="00164B91"/>
    <w:p w:rsidR="00237761" w:rsidRPr="00FE0614" w:rsidRDefault="00241913" w:rsidP="00911B2D">
      <w:pPr>
        <w:pStyle w:val="ListParagraph"/>
        <w:numPr>
          <w:ilvl w:val="1"/>
          <w:numId w:val="7"/>
        </w:numPr>
        <w:ind w:left="1620" w:hanging="540"/>
      </w:pPr>
      <w:r w:rsidRPr="00FE0614">
        <w:t xml:space="preserve"> </w:t>
      </w:r>
      <w:r w:rsidR="00FE0614" w:rsidRPr="00FE0614">
        <w:t>Ten</w:t>
      </w:r>
      <w:r w:rsidR="00911B2D" w:rsidRPr="00FE0614">
        <w:t xml:space="preserve"> are under consideration</w:t>
      </w:r>
    </w:p>
    <w:p w:rsidR="00237761" w:rsidRPr="00FE0614" w:rsidRDefault="00237761" w:rsidP="00237761">
      <w:pPr>
        <w:keepNext/>
        <w:keepLines/>
      </w:pPr>
    </w:p>
    <w:p w:rsidR="00CB33B1" w:rsidRPr="00FE0614" w:rsidRDefault="00CB33B1" w:rsidP="00CB33B1">
      <w:pPr>
        <w:pStyle w:val="ListParagraph"/>
        <w:keepNext/>
        <w:keepLines/>
        <w:numPr>
          <w:ilvl w:val="0"/>
          <w:numId w:val="7"/>
        </w:numPr>
        <w:ind w:left="0" w:firstLine="0"/>
      </w:pPr>
      <w:r w:rsidRPr="00FE0614">
        <w:t>The following decision paragraph is proposed.</w:t>
      </w:r>
    </w:p>
    <w:p w:rsidR="00CB33B1" w:rsidRPr="00FE0614" w:rsidRDefault="00CB33B1" w:rsidP="00CB33B1">
      <w:pPr>
        <w:keepNext/>
        <w:keepLines/>
      </w:pPr>
    </w:p>
    <w:p w:rsidR="00CB33B1" w:rsidRDefault="00164B91" w:rsidP="00CB33B1">
      <w:pPr>
        <w:keepNext/>
        <w:keepLines/>
        <w:ind w:left="5103"/>
        <w:rPr>
          <w:i/>
        </w:rPr>
      </w:pPr>
      <w:r w:rsidRPr="00FE0614">
        <w:t>5</w:t>
      </w:r>
      <w:r w:rsidR="00CB33B1" w:rsidRPr="00FE0614">
        <w:t>.</w:t>
      </w:r>
      <w:r w:rsidR="00CB33B1" w:rsidRPr="00FE0614">
        <w:tab/>
      </w:r>
      <w:r w:rsidR="00CB33B1" w:rsidRPr="00FE0614">
        <w:rPr>
          <w:i/>
        </w:rPr>
        <w:t xml:space="preserve">The Program and Budget Committee took note of the </w:t>
      </w:r>
      <w:r w:rsidR="00360432" w:rsidRPr="00FE0614">
        <w:rPr>
          <w:i/>
        </w:rPr>
        <w:t xml:space="preserve">status of </w:t>
      </w:r>
      <w:r w:rsidR="00CB33B1" w:rsidRPr="00FE0614">
        <w:rPr>
          <w:i/>
        </w:rPr>
        <w:t xml:space="preserve">Implementation of the Joint Inspection Unit </w:t>
      </w:r>
      <w:r w:rsidR="002B1FF8" w:rsidRPr="00FE0614">
        <w:rPr>
          <w:i/>
        </w:rPr>
        <w:t xml:space="preserve">(JIU) </w:t>
      </w:r>
      <w:r w:rsidR="00CB33B1" w:rsidRPr="00FE0614">
        <w:rPr>
          <w:i/>
        </w:rPr>
        <w:t xml:space="preserve">Recommendations </w:t>
      </w:r>
      <w:r w:rsidR="00D252C2" w:rsidRPr="00FE0614">
        <w:rPr>
          <w:i/>
        </w:rPr>
        <w:t xml:space="preserve">addressed to the Legislative Bodies of WIPO </w:t>
      </w:r>
      <w:r w:rsidR="00360432" w:rsidRPr="00FE0614">
        <w:rPr>
          <w:i/>
        </w:rPr>
        <w:t xml:space="preserve">and noted that </w:t>
      </w:r>
      <w:r w:rsidR="00FE0614" w:rsidRPr="00FE0614">
        <w:rPr>
          <w:i/>
        </w:rPr>
        <w:t>twelve</w:t>
      </w:r>
      <w:r w:rsidR="00241913" w:rsidRPr="00FE0614">
        <w:rPr>
          <w:i/>
        </w:rPr>
        <w:t xml:space="preserve"> </w:t>
      </w:r>
      <w:r w:rsidR="00360432" w:rsidRPr="00FE0614">
        <w:rPr>
          <w:i/>
        </w:rPr>
        <w:t>recommendation</w:t>
      </w:r>
      <w:r w:rsidR="00241913" w:rsidRPr="00FE0614">
        <w:rPr>
          <w:i/>
        </w:rPr>
        <w:t>s</w:t>
      </w:r>
      <w:r w:rsidR="00360432" w:rsidRPr="00FE0614">
        <w:rPr>
          <w:i/>
        </w:rPr>
        <w:t xml:space="preserve"> ha</w:t>
      </w:r>
      <w:r w:rsidR="00241913" w:rsidRPr="00FE0614">
        <w:rPr>
          <w:i/>
        </w:rPr>
        <w:t>ve been implemented</w:t>
      </w:r>
      <w:r w:rsidR="00FE0614">
        <w:rPr>
          <w:i/>
        </w:rPr>
        <w:t>, two have been accepted and are under implementation, and ten remain under consideration</w:t>
      </w:r>
      <w:r w:rsidR="00FD1545">
        <w:rPr>
          <w:i/>
        </w:rPr>
        <w:t xml:space="preserve"> (document WO/PBC/22/23)</w:t>
      </w:r>
      <w:r w:rsidR="00CB33B1" w:rsidRPr="00FE0614">
        <w:rPr>
          <w:i/>
        </w:rPr>
        <w:t>.</w:t>
      </w:r>
    </w:p>
    <w:p w:rsidR="00CB33B1" w:rsidRDefault="00CB33B1" w:rsidP="00CB33B1">
      <w:pPr>
        <w:keepNext/>
        <w:keepLines/>
        <w:ind w:left="5103"/>
        <w:rPr>
          <w:i/>
        </w:rPr>
      </w:pPr>
    </w:p>
    <w:p w:rsidR="00CB33B1" w:rsidRDefault="00CB33B1" w:rsidP="00CB33B1">
      <w:pPr>
        <w:keepNext/>
        <w:keepLines/>
        <w:ind w:left="5103"/>
        <w:rPr>
          <w:i/>
        </w:rPr>
      </w:pPr>
    </w:p>
    <w:p w:rsidR="00CB33B1" w:rsidRDefault="00CB33B1" w:rsidP="00CB33B1">
      <w:pPr>
        <w:keepNext/>
        <w:keepLines/>
        <w:ind w:left="5103"/>
        <w:rPr>
          <w:i/>
        </w:rPr>
      </w:pPr>
    </w:p>
    <w:p w:rsidR="00CB33B1" w:rsidRDefault="00CB33B1" w:rsidP="00CB33B1">
      <w:pPr>
        <w:keepNext/>
        <w:keepLines/>
        <w:ind w:left="5103"/>
      </w:pPr>
      <w:r w:rsidRPr="00981E2D">
        <w:t>[Annex</w:t>
      </w:r>
      <w:r>
        <w:t xml:space="preserve"> follow</w:t>
      </w:r>
      <w:r w:rsidR="00237761">
        <w:t>s</w:t>
      </w:r>
      <w:r>
        <w:t>]</w:t>
      </w:r>
    </w:p>
    <w:p w:rsidR="002B1FF8" w:rsidRDefault="002B1FF8">
      <w:pPr>
        <w:sectPr w:rsidR="002B1FF8" w:rsidSect="00CB33B1">
          <w:headerReference w:type="default" r:id="rId10"/>
          <w:endnotePr>
            <w:numFmt w:val="decimal"/>
          </w:endnotePr>
          <w:pgSz w:w="11907" w:h="16840" w:code="9"/>
          <w:pgMar w:top="567" w:right="1134" w:bottom="1418" w:left="1418" w:header="510" w:footer="1021" w:gutter="0"/>
          <w:cols w:space="720"/>
          <w:titlePg/>
          <w:docGrid w:linePitch="299"/>
        </w:sectPr>
      </w:pPr>
    </w:p>
    <w:p w:rsidR="00D252C2" w:rsidRPr="00FE409B" w:rsidRDefault="00D252C2" w:rsidP="00103705">
      <w:pPr>
        <w:jc w:val="center"/>
        <w:rPr>
          <w:sz w:val="16"/>
          <w:szCs w:val="16"/>
        </w:rPr>
      </w:pPr>
    </w:p>
    <w:p w:rsidR="00D252C2" w:rsidRPr="00FE409B" w:rsidRDefault="00D252C2" w:rsidP="00AD0BC5">
      <w:pPr>
        <w:jc w:val="center"/>
      </w:pPr>
      <w:r w:rsidRPr="00FE409B">
        <w:t>JIU RECOMMENDATIONS ADDRESSED TO THE WIPO LEGISLATIVE BODIES</w:t>
      </w:r>
    </w:p>
    <w:p w:rsidR="00D252C2" w:rsidRPr="00FE409B" w:rsidRDefault="00D252C2">
      <w:pPr>
        <w:rPr>
          <w:sz w:val="16"/>
          <w:szCs w:val="16"/>
        </w:rPr>
      </w:pPr>
    </w:p>
    <w:tbl>
      <w:tblPr>
        <w:tblStyle w:val="TableGrid"/>
        <w:tblW w:w="0" w:type="auto"/>
        <w:tblLayout w:type="fixed"/>
        <w:tblLook w:val="04A0" w:firstRow="1" w:lastRow="0" w:firstColumn="1" w:lastColumn="0" w:noHBand="0" w:noVBand="1"/>
      </w:tblPr>
      <w:tblGrid>
        <w:gridCol w:w="2628"/>
        <w:gridCol w:w="1350"/>
        <w:gridCol w:w="1350"/>
        <w:gridCol w:w="1620"/>
        <w:gridCol w:w="2628"/>
      </w:tblGrid>
      <w:tr w:rsidR="00D252C2" w:rsidRPr="00BE2EB0" w:rsidTr="00B60433">
        <w:trPr>
          <w:tblHeader/>
        </w:trPr>
        <w:tc>
          <w:tcPr>
            <w:tcW w:w="2628" w:type="dxa"/>
            <w:shd w:val="clear" w:color="auto" w:fill="B6DDE8" w:themeFill="accent5" w:themeFillTint="66"/>
          </w:tcPr>
          <w:p w:rsidR="00D252C2" w:rsidRDefault="00D252C2">
            <w:pPr>
              <w:rPr>
                <w:b/>
                <w:sz w:val="18"/>
                <w:szCs w:val="18"/>
              </w:rPr>
            </w:pPr>
          </w:p>
          <w:p w:rsidR="00D252C2" w:rsidRDefault="00D252C2">
            <w:pPr>
              <w:rPr>
                <w:b/>
                <w:sz w:val="18"/>
                <w:szCs w:val="18"/>
              </w:rPr>
            </w:pPr>
            <w:r w:rsidRPr="006D7D80">
              <w:rPr>
                <w:b/>
                <w:sz w:val="18"/>
                <w:szCs w:val="18"/>
              </w:rPr>
              <w:t>Recommendation</w:t>
            </w:r>
          </w:p>
          <w:p w:rsidR="00D252C2" w:rsidRPr="006D7D80" w:rsidRDefault="00D252C2">
            <w:pPr>
              <w:rPr>
                <w:b/>
                <w:sz w:val="18"/>
                <w:szCs w:val="18"/>
              </w:rPr>
            </w:pPr>
          </w:p>
        </w:tc>
        <w:tc>
          <w:tcPr>
            <w:tcW w:w="1350" w:type="dxa"/>
            <w:shd w:val="clear" w:color="auto" w:fill="B6DDE8" w:themeFill="accent5" w:themeFillTint="66"/>
          </w:tcPr>
          <w:p w:rsidR="00D252C2" w:rsidRDefault="00D252C2" w:rsidP="00103705">
            <w:pPr>
              <w:rPr>
                <w:b/>
                <w:sz w:val="18"/>
                <w:szCs w:val="18"/>
              </w:rPr>
            </w:pPr>
          </w:p>
          <w:p w:rsidR="00D252C2" w:rsidRDefault="00D252C2" w:rsidP="00103705">
            <w:pPr>
              <w:rPr>
                <w:b/>
                <w:sz w:val="18"/>
                <w:szCs w:val="18"/>
              </w:rPr>
            </w:pPr>
            <w:r w:rsidRPr="006D7D80">
              <w:rPr>
                <w:b/>
                <w:sz w:val="18"/>
                <w:szCs w:val="18"/>
              </w:rPr>
              <w:t xml:space="preserve">Responsible Officer  </w:t>
            </w:r>
          </w:p>
          <w:p w:rsidR="00D252C2" w:rsidRPr="006D7D80" w:rsidRDefault="00D252C2" w:rsidP="00103705">
            <w:pPr>
              <w:rPr>
                <w:b/>
                <w:sz w:val="18"/>
                <w:szCs w:val="18"/>
              </w:rPr>
            </w:pPr>
          </w:p>
        </w:tc>
        <w:tc>
          <w:tcPr>
            <w:tcW w:w="1350" w:type="dxa"/>
            <w:shd w:val="clear" w:color="auto" w:fill="B6DDE8" w:themeFill="accent5" w:themeFillTint="66"/>
          </w:tcPr>
          <w:p w:rsidR="00D252C2" w:rsidRDefault="00D252C2">
            <w:pPr>
              <w:rPr>
                <w:b/>
                <w:sz w:val="18"/>
                <w:szCs w:val="18"/>
              </w:rPr>
            </w:pPr>
          </w:p>
          <w:p w:rsidR="00D252C2" w:rsidRPr="006D7D80" w:rsidRDefault="00D252C2">
            <w:pPr>
              <w:rPr>
                <w:b/>
                <w:sz w:val="18"/>
                <w:szCs w:val="18"/>
              </w:rPr>
            </w:pPr>
            <w:r w:rsidRPr="006D7D80">
              <w:rPr>
                <w:b/>
                <w:sz w:val="18"/>
                <w:szCs w:val="18"/>
              </w:rPr>
              <w:t xml:space="preserve">Acceptance </w:t>
            </w:r>
          </w:p>
        </w:tc>
        <w:tc>
          <w:tcPr>
            <w:tcW w:w="1620" w:type="dxa"/>
            <w:shd w:val="clear" w:color="auto" w:fill="B6DDE8" w:themeFill="accent5" w:themeFillTint="66"/>
          </w:tcPr>
          <w:p w:rsidR="00D252C2" w:rsidRDefault="00D252C2">
            <w:pPr>
              <w:rPr>
                <w:b/>
                <w:sz w:val="18"/>
                <w:szCs w:val="18"/>
              </w:rPr>
            </w:pPr>
          </w:p>
          <w:p w:rsidR="00D252C2" w:rsidRPr="006D7D80" w:rsidRDefault="00D252C2">
            <w:pPr>
              <w:rPr>
                <w:b/>
                <w:sz w:val="18"/>
                <w:szCs w:val="18"/>
              </w:rPr>
            </w:pPr>
            <w:r>
              <w:rPr>
                <w:b/>
                <w:sz w:val="18"/>
                <w:szCs w:val="18"/>
              </w:rPr>
              <w:t>Implementation</w:t>
            </w:r>
          </w:p>
        </w:tc>
        <w:tc>
          <w:tcPr>
            <w:tcW w:w="2628" w:type="dxa"/>
            <w:shd w:val="clear" w:color="auto" w:fill="B6DDE8" w:themeFill="accent5" w:themeFillTint="66"/>
          </w:tcPr>
          <w:p w:rsidR="00D252C2" w:rsidRDefault="00D252C2" w:rsidP="00103705">
            <w:pPr>
              <w:rPr>
                <w:b/>
                <w:sz w:val="18"/>
                <w:szCs w:val="18"/>
              </w:rPr>
            </w:pPr>
          </w:p>
          <w:p w:rsidR="00D252C2" w:rsidRPr="006D7D80" w:rsidRDefault="00D252C2" w:rsidP="00103705">
            <w:pPr>
              <w:rPr>
                <w:b/>
                <w:sz w:val="18"/>
                <w:szCs w:val="18"/>
              </w:rPr>
            </w:pPr>
            <w:r w:rsidRPr="006D7D80">
              <w:rPr>
                <w:b/>
                <w:sz w:val="18"/>
                <w:szCs w:val="18"/>
              </w:rPr>
              <w:t xml:space="preserve">Management/Focal Point Assessment </w:t>
            </w:r>
          </w:p>
        </w:tc>
      </w:tr>
      <w:tr w:rsidR="00D252C2" w:rsidRPr="00BE2EB0" w:rsidTr="00D20D7D">
        <w:trPr>
          <w:trHeight w:val="521"/>
        </w:trPr>
        <w:tc>
          <w:tcPr>
            <w:tcW w:w="9576" w:type="dxa"/>
            <w:gridSpan w:val="5"/>
            <w:shd w:val="clear" w:color="auto" w:fill="auto"/>
            <w:vAlign w:val="center"/>
          </w:tcPr>
          <w:p w:rsidR="00D252C2" w:rsidRPr="00E50D3C" w:rsidRDefault="00D252C2" w:rsidP="00BE2EB0">
            <w:pPr>
              <w:jc w:val="center"/>
              <w:rPr>
                <w:b/>
              </w:rPr>
            </w:pPr>
            <w:r>
              <w:rPr>
                <w:b/>
              </w:rPr>
              <w:t>Recommendations from JIU Reviews held in 2014</w:t>
            </w:r>
          </w:p>
        </w:tc>
      </w:tr>
      <w:tr w:rsidR="00D252C2" w:rsidRPr="00BE2EB0" w:rsidTr="009B357E">
        <w:trPr>
          <w:trHeight w:val="189"/>
        </w:trPr>
        <w:tc>
          <w:tcPr>
            <w:tcW w:w="9576" w:type="dxa"/>
            <w:gridSpan w:val="5"/>
            <w:shd w:val="clear" w:color="auto" w:fill="auto"/>
            <w:vAlign w:val="center"/>
          </w:tcPr>
          <w:p w:rsidR="00D252C2" w:rsidRDefault="00D252C2" w:rsidP="0067232E">
            <w:pPr>
              <w:jc w:val="center"/>
              <w:rPr>
                <w:b/>
                <w:sz w:val="18"/>
                <w:szCs w:val="18"/>
              </w:rPr>
            </w:pPr>
          </w:p>
          <w:p w:rsidR="00D252C2" w:rsidRDefault="00D252C2" w:rsidP="0067232E">
            <w:pPr>
              <w:jc w:val="center"/>
              <w:rPr>
                <w:b/>
                <w:sz w:val="18"/>
                <w:szCs w:val="18"/>
              </w:rPr>
            </w:pPr>
            <w:r w:rsidRPr="0067232E">
              <w:rPr>
                <w:b/>
                <w:sz w:val="18"/>
                <w:szCs w:val="18"/>
              </w:rPr>
              <w:t>JIU/REP/2014/2</w:t>
            </w:r>
            <w:r>
              <w:rPr>
                <w:b/>
                <w:sz w:val="18"/>
                <w:szCs w:val="18"/>
              </w:rPr>
              <w:t xml:space="preserve"> “Review of Management and Administration</w:t>
            </w:r>
          </w:p>
          <w:p w:rsidR="00D252C2" w:rsidRDefault="00D252C2" w:rsidP="0067232E">
            <w:pPr>
              <w:jc w:val="center"/>
              <w:rPr>
                <w:b/>
                <w:sz w:val="18"/>
                <w:szCs w:val="18"/>
              </w:rPr>
            </w:pPr>
            <w:r>
              <w:rPr>
                <w:b/>
                <w:sz w:val="18"/>
                <w:szCs w:val="18"/>
              </w:rPr>
              <w:t xml:space="preserve"> in the </w:t>
            </w:r>
            <w:r w:rsidRPr="0067232E">
              <w:rPr>
                <w:b/>
                <w:sz w:val="18"/>
                <w:szCs w:val="18"/>
              </w:rPr>
              <w:t>World Intellectual Property Organization</w:t>
            </w:r>
            <w:r>
              <w:rPr>
                <w:b/>
                <w:sz w:val="18"/>
                <w:szCs w:val="18"/>
              </w:rPr>
              <w:t xml:space="preserve"> (WIPO)</w:t>
            </w:r>
          </w:p>
          <w:p w:rsidR="00D252C2" w:rsidRPr="0067232E" w:rsidRDefault="00D252C2" w:rsidP="0067232E">
            <w:pPr>
              <w:jc w:val="center"/>
              <w:rPr>
                <w:b/>
                <w:sz w:val="18"/>
                <w:szCs w:val="18"/>
              </w:rPr>
            </w:pPr>
          </w:p>
        </w:tc>
      </w:tr>
      <w:tr w:rsidR="00D252C2" w:rsidRPr="00BE2EB0" w:rsidTr="0067232E">
        <w:trPr>
          <w:trHeight w:val="189"/>
        </w:trPr>
        <w:tc>
          <w:tcPr>
            <w:tcW w:w="2628" w:type="dxa"/>
            <w:shd w:val="clear" w:color="auto" w:fill="auto"/>
            <w:vAlign w:val="center"/>
          </w:tcPr>
          <w:p w:rsidR="00D252C2" w:rsidRPr="0067232E" w:rsidRDefault="00D252C2" w:rsidP="0067232E">
            <w:r w:rsidRPr="0067232E">
              <w:rPr>
                <w:bCs/>
                <w:sz w:val="18"/>
                <w:szCs w:val="18"/>
                <w:lang w:eastAsia="en-GB"/>
              </w:rPr>
              <w:t xml:space="preserve">Rec. 1.  </w:t>
            </w:r>
            <w:r w:rsidRPr="0067232E">
              <w:rPr>
                <w:sz w:val="18"/>
                <w:szCs w:val="18"/>
              </w:rPr>
              <w:t>The WIPO General Assembly should review the WIPO governance framework as well as current practices with a view to strengthen the capacity of the governing bodies to guide and monitor the work of the organization. In doing so, Member States may wish to consider in their deliberations the options suggested in this report</w:t>
            </w:r>
          </w:p>
        </w:tc>
        <w:tc>
          <w:tcPr>
            <w:tcW w:w="1350" w:type="dxa"/>
            <w:shd w:val="clear" w:color="auto" w:fill="auto"/>
            <w:vAlign w:val="center"/>
          </w:tcPr>
          <w:p w:rsidR="00D252C2" w:rsidRDefault="00DD3C45" w:rsidP="0067232E">
            <w:pPr>
              <w:rPr>
                <w:sz w:val="18"/>
                <w:szCs w:val="18"/>
              </w:rPr>
            </w:pPr>
            <w:r w:rsidRPr="00850569">
              <w:rPr>
                <w:sz w:val="18"/>
                <w:szCs w:val="18"/>
              </w:rPr>
              <w:t>Chief of Staff</w:t>
            </w:r>
          </w:p>
          <w:p w:rsidR="00850569" w:rsidRDefault="00850569" w:rsidP="0067232E">
            <w:pPr>
              <w:rPr>
                <w:sz w:val="18"/>
                <w:szCs w:val="18"/>
              </w:rPr>
            </w:pPr>
          </w:p>
          <w:p w:rsidR="00850569" w:rsidRDefault="00850569" w:rsidP="0067232E">
            <w:pPr>
              <w:rPr>
                <w:sz w:val="18"/>
                <w:szCs w:val="18"/>
              </w:rPr>
            </w:pPr>
          </w:p>
          <w:p w:rsidR="00850569" w:rsidRDefault="00850569" w:rsidP="0067232E">
            <w:pPr>
              <w:rPr>
                <w:sz w:val="18"/>
                <w:szCs w:val="18"/>
              </w:rPr>
            </w:pPr>
          </w:p>
          <w:p w:rsidR="00850569" w:rsidRDefault="00850569" w:rsidP="0067232E">
            <w:pPr>
              <w:rPr>
                <w:sz w:val="18"/>
                <w:szCs w:val="18"/>
              </w:rPr>
            </w:pPr>
          </w:p>
          <w:p w:rsidR="00850569" w:rsidRDefault="00850569" w:rsidP="0067232E">
            <w:pPr>
              <w:rPr>
                <w:sz w:val="18"/>
                <w:szCs w:val="18"/>
              </w:rPr>
            </w:pPr>
          </w:p>
          <w:p w:rsidR="00850569" w:rsidRDefault="00850569" w:rsidP="0067232E">
            <w:pPr>
              <w:rPr>
                <w:sz w:val="18"/>
                <w:szCs w:val="18"/>
              </w:rPr>
            </w:pPr>
          </w:p>
          <w:p w:rsidR="00850569" w:rsidRDefault="00850569" w:rsidP="0067232E">
            <w:pPr>
              <w:rPr>
                <w:sz w:val="18"/>
                <w:szCs w:val="18"/>
              </w:rPr>
            </w:pPr>
          </w:p>
          <w:p w:rsidR="00850569" w:rsidRDefault="00850569" w:rsidP="0067232E">
            <w:pPr>
              <w:rPr>
                <w:sz w:val="18"/>
                <w:szCs w:val="18"/>
              </w:rPr>
            </w:pPr>
          </w:p>
          <w:p w:rsidR="00850569" w:rsidRPr="00850569" w:rsidRDefault="00850569" w:rsidP="0067232E">
            <w:pPr>
              <w:rPr>
                <w:sz w:val="18"/>
                <w:szCs w:val="18"/>
              </w:rPr>
            </w:pPr>
          </w:p>
        </w:tc>
        <w:tc>
          <w:tcPr>
            <w:tcW w:w="1350" w:type="dxa"/>
            <w:shd w:val="clear" w:color="auto" w:fill="auto"/>
            <w:vAlign w:val="center"/>
          </w:tcPr>
          <w:p w:rsidR="00850569" w:rsidRDefault="00850569" w:rsidP="0067232E">
            <w:pPr>
              <w:rPr>
                <w:sz w:val="18"/>
                <w:szCs w:val="18"/>
              </w:rPr>
            </w:pPr>
          </w:p>
          <w:p w:rsidR="00D252C2" w:rsidRDefault="00D252C2" w:rsidP="0067232E">
            <w:pPr>
              <w:rPr>
                <w:sz w:val="18"/>
                <w:szCs w:val="18"/>
              </w:rPr>
            </w:pPr>
            <w:r w:rsidRPr="0067232E">
              <w:rPr>
                <w:sz w:val="18"/>
                <w:szCs w:val="18"/>
              </w:rPr>
              <w:t>Under consideration</w:t>
            </w:r>
          </w:p>
          <w:p w:rsidR="00D252C2" w:rsidRDefault="00D252C2" w:rsidP="0067232E">
            <w:pPr>
              <w:rPr>
                <w:sz w:val="18"/>
                <w:szCs w:val="18"/>
              </w:rPr>
            </w:pPr>
          </w:p>
          <w:p w:rsidR="00D252C2" w:rsidRDefault="00D252C2" w:rsidP="0067232E">
            <w:pPr>
              <w:rPr>
                <w:sz w:val="18"/>
                <w:szCs w:val="18"/>
              </w:rPr>
            </w:pPr>
          </w:p>
          <w:p w:rsidR="00D252C2" w:rsidRDefault="00D252C2" w:rsidP="0067232E">
            <w:pPr>
              <w:rPr>
                <w:sz w:val="18"/>
                <w:szCs w:val="18"/>
              </w:rPr>
            </w:pPr>
          </w:p>
          <w:p w:rsidR="00D252C2" w:rsidRDefault="00D252C2" w:rsidP="0067232E">
            <w:pPr>
              <w:rPr>
                <w:sz w:val="18"/>
                <w:szCs w:val="18"/>
              </w:rPr>
            </w:pPr>
          </w:p>
          <w:p w:rsidR="00D252C2" w:rsidRDefault="00D252C2" w:rsidP="0067232E">
            <w:pPr>
              <w:rPr>
                <w:sz w:val="18"/>
                <w:szCs w:val="18"/>
              </w:rPr>
            </w:pPr>
          </w:p>
          <w:p w:rsidR="00D252C2" w:rsidRDefault="00D252C2" w:rsidP="0067232E">
            <w:pPr>
              <w:rPr>
                <w:sz w:val="18"/>
                <w:szCs w:val="18"/>
              </w:rPr>
            </w:pPr>
          </w:p>
          <w:p w:rsidR="00D252C2" w:rsidRDefault="00D252C2" w:rsidP="0067232E">
            <w:pPr>
              <w:rPr>
                <w:sz w:val="18"/>
                <w:szCs w:val="18"/>
              </w:rPr>
            </w:pPr>
          </w:p>
          <w:p w:rsidR="00D252C2" w:rsidRDefault="00D252C2" w:rsidP="0067232E">
            <w:pPr>
              <w:rPr>
                <w:sz w:val="18"/>
                <w:szCs w:val="18"/>
              </w:rPr>
            </w:pPr>
          </w:p>
          <w:p w:rsidR="00D252C2" w:rsidRDefault="00D252C2" w:rsidP="0067232E">
            <w:pPr>
              <w:rPr>
                <w:sz w:val="18"/>
                <w:szCs w:val="18"/>
              </w:rPr>
            </w:pPr>
          </w:p>
          <w:p w:rsidR="00D252C2" w:rsidRPr="0067232E" w:rsidRDefault="00D252C2" w:rsidP="0067232E">
            <w:pPr>
              <w:rPr>
                <w:sz w:val="18"/>
                <w:szCs w:val="18"/>
              </w:rPr>
            </w:pPr>
          </w:p>
        </w:tc>
        <w:tc>
          <w:tcPr>
            <w:tcW w:w="1620" w:type="dxa"/>
            <w:shd w:val="clear" w:color="auto" w:fill="auto"/>
            <w:vAlign w:val="center"/>
          </w:tcPr>
          <w:p w:rsidR="00D252C2" w:rsidRPr="0067232E" w:rsidRDefault="00D252C2" w:rsidP="0067232E"/>
        </w:tc>
        <w:tc>
          <w:tcPr>
            <w:tcW w:w="2628" w:type="dxa"/>
            <w:shd w:val="clear" w:color="auto" w:fill="auto"/>
            <w:vAlign w:val="center"/>
          </w:tcPr>
          <w:p w:rsidR="00D252C2" w:rsidRPr="00F86F84" w:rsidRDefault="00D252C2" w:rsidP="0067232E">
            <w:pPr>
              <w:rPr>
                <w:sz w:val="18"/>
                <w:szCs w:val="18"/>
              </w:rPr>
            </w:pPr>
            <w:r w:rsidRPr="006B73E8">
              <w:rPr>
                <w:sz w:val="18"/>
                <w:szCs w:val="18"/>
              </w:rPr>
              <w:t>A letter was sent on May 30, 2014, from the Director General of WIPO to the Chair of the WIPO General Assembly, drawing the Chair’s attention to this recommendation</w:t>
            </w:r>
            <w:r w:rsidR="001F18C2">
              <w:rPr>
                <w:sz w:val="18"/>
                <w:szCs w:val="18"/>
              </w:rPr>
              <w:t>.</w:t>
            </w:r>
          </w:p>
          <w:p w:rsidR="00D252C2" w:rsidRDefault="00D252C2" w:rsidP="0067232E"/>
          <w:p w:rsidR="00D252C2" w:rsidRDefault="00D252C2" w:rsidP="0067232E"/>
          <w:p w:rsidR="00D252C2" w:rsidRDefault="00D252C2" w:rsidP="0067232E"/>
          <w:p w:rsidR="00D252C2" w:rsidRPr="0067232E" w:rsidRDefault="00D252C2" w:rsidP="0067232E"/>
        </w:tc>
      </w:tr>
      <w:tr w:rsidR="00D252C2" w:rsidRPr="00BE2EB0" w:rsidTr="0067232E">
        <w:trPr>
          <w:trHeight w:val="187"/>
        </w:trPr>
        <w:tc>
          <w:tcPr>
            <w:tcW w:w="2628" w:type="dxa"/>
            <w:shd w:val="clear" w:color="auto" w:fill="auto"/>
            <w:vAlign w:val="center"/>
          </w:tcPr>
          <w:p w:rsidR="00D252C2" w:rsidRPr="0067232E" w:rsidRDefault="00D252C2" w:rsidP="0067232E">
            <w:pPr>
              <w:pStyle w:val="Bodydrafting"/>
              <w:jc w:val="left"/>
              <w:rPr>
                <w:rFonts w:ascii="Arial" w:hAnsi="Arial" w:cs="Arial"/>
                <w:bCs/>
                <w:sz w:val="18"/>
                <w:szCs w:val="18"/>
                <w:lang w:eastAsia="en-GB"/>
              </w:rPr>
            </w:pPr>
            <w:r w:rsidRPr="0067232E">
              <w:rPr>
                <w:rFonts w:ascii="Arial" w:hAnsi="Arial" w:cs="Arial"/>
                <w:bCs/>
                <w:sz w:val="18"/>
                <w:szCs w:val="18"/>
                <w:lang w:eastAsia="en-GB"/>
              </w:rPr>
              <w:t xml:space="preserve">Rec. 6.  </w:t>
            </w:r>
            <w:r w:rsidRPr="0067232E">
              <w:rPr>
                <w:rFonts w:ascii="Arial" w:hAnsi="Arial" w:cs="Arial"/>
                <w:sz w:val="18"/>
                <w:szCs w:val="18"/>
              </w:rPr>
              <w:t>The Coordination Committee should revisit the present principles concerning geographical distribution in order to ensure broader geographical diversity within the WIPO professional workforce.</w:t>
            </w:r>
          </w:p>
          <w:p w:rsidR="00D252C2" w:rsidRPr="0067232E" w:rsidRDefault="00D252C2" w:rsidP="0067232E"/>
        </w:tc>
        <w:tc>
          <w:tcPr>
            <w:tcW w:w="1350" w:type="dxa"/>
            <w:shd w:val="clear" w:color="auto" w:fill="auto"/>
            <w:vAlign w:val="center"/>
          </w:tcPr>
          <w:p w:rsidR="00850569" w:rsidRDefault="00F31144" w:rsidP="0067232E">
            <w:pPr>
              <w:rPr>
                <w:sz w:val="18"/>
                <w:szCs w:val="18"/>
              </w:rPr>
            </w:pPr>
            <w:r w:rsidRPr="00F31144">
              <w:rPr>
                <w:sz w:val="18"/>
                <w:szCs w:val="18"/>
              </w:rPr>
              <w:t>Director, Human Resources Management Department (HRMD)</w:t>
            </w:r>
          </w:p>
          <w:p w:rsidR="00F31144" w:rsidRDefault="00F31144" w:rsidP="0067232E">
            <w:pPr>
              <w:rPr>
                <w:sz w:val="18"/>
                <w:szCs w:val="18"/>
              </w:rPr>
            </w:pPr>
          </w:p>
          <w:p w:rsidR="00F31144" w:rsidRDefault="00F31144" w:rsidP="0067232E">
            <w:pPr>
              <w:rPr>
                <w:sz w:val="18"/>
                <w:szCs w:val="18"/>
              </w:rPr>
            </w:pPr>
          </w:p>
          <w:p w:rsidR="00F31144" w:rsidRDefault="00F31144" w:rsidP="0067232E">
            <w:pPr>
              <w:rPr>
                <w:sz w:val="18"/>
                <w:szCs w:val="18"/>
              </w:rPr>
            </w:pPr>
          </w:p>
          <w:p w:rsidR="00F31144" w:rsidRPr="00850569" w:rsidRDefault="00F31144" w:rsidP="0067232E">
            <w:pPr>
              <w:rPr>
                <w:sz w:val="18"/>
                <w:szCs w:val="18"/>
              </w:rPr>
            </w:pPr>
          </w:p>
        </w:tc>
        <w:tc>
          <w:tcPr>
            <w:tcW w:w="1350" w:type="dxa"/>
            <w:shd w:val="clear" w:color="auto" w:fill="auto"/>
            <w:vAlign w:val="center"/>
          </w:tcPr>
          <w:p w:rsidR="00D252C2" w:rsidRDefault="00D252C2" w:rsidP="0067232E">
            <w:pPr>
              <w:rPr>
                <w:sz w:val="18"/>
                <w:szCs w:val="18"/>
              </w:rPr>
            </w:pPr>
          </w:p>
          <w:p w:rsidR="00D252C2" w:rsidRDefault="00D252C2" w:rsidP="0067232E">
            <w:pPr>
              <w:rPr>
                <w:sz w:val="18"/>
                <w:szCs w:val="18"/>
              </w:rPr>
            </w:pPr>
            <w:r w:rsidRPr="0067232E">
              <w:rPr>
                <w:sz w:val="18"/>
                <w:szCs w:val="18"/>
              </w:rPr>
              <w:t>Under consideration</w:t>
            </w:r>
          </w:p>
          <w:p w:rsidR="00D252C2" w:rsidRDefault="00D252C2" w:rsidP="0067232E">
            <w:pPr>
              <w:rPr>
                <w:sz w:val="18"/>
                <w:szCs w:val="18"/>
              </w:rPr>
            </w:pPr>
          </w:p>
          <w:p w:rsidR="00D252C2" w:rsidRDefault="00D252C2" w:rsidP="0067232E">
            <w:pPr>
              <w:rPr>
                <w:sz w:val="18"/>
                <w:szCs w:val="18"/>
              </w:rPr>
            </w:pPr>
          </w:p>
          <w:p w:rsidR="00D252C2" w:rsidRDefault="00D252C2" w:rsidP="0067232E">
            <w:pPr>
              <w:rPr>
                <w:sz w:val="18"/>
                <w:szCs w:val="18"/>
              </w:rPr>
            </w:pPr>
          </w:p>
          <w:p w:rsidR="00D252C2" w:rsidRDefault="00D252C2" w:rsidP="0067232E">
            <w:pPr>
              <w:rPr>
                <w:sz w:val="18"/>
                <w:szCs w:val="18"/>
              </w:rPr>
            </w:pPr>
          </w:p>
          <w:p w:rsidR="00D252C2" w:rsidRDefault="00D252C2" w:rsidP="0067232E">
            <w:pPr>
              <w:rPr>
                <w:sz w:val="18"/>
                <w:szCs w:val="18"/>
              </w:rPr>
            </w:pPr>
          </w:p>
          <w:p w:rsidR="00D252C2" w:rsidRDefault="00D252C2" w:rsidP="0067232E">
            <w:pPr>
              <w:rPr>
                <w:sz w:val="18"/>
                <w:szCs w:val="18"/>
              </w:rPr>
            </w:pPr>
          </w:p>
          <w:p w:rsidR="00D252C2" w:rsidRDefault="00D252C2" w:rsidP="0067232E">
            <w:pPr>
              <w:rPr>
                <w:sz w:val="18"/>
                <w:szCs w:val="18"/>
              </w:rPr>
            </w:pPr>
          </w:p>
          <w:p w:rsidR="00D252C2" w:rsidRDefault="00D252C2" w:rsidP="0067232E">
            <w:pPr>
              <w:rPr>
                <w:sz w:val="18"/>
                <w:szCs w:val="18"/>
              </w:rPr>
            </w:pPr>
          </w:p>
          <w:p w:rsidR="00D252C2" w:rsidRPr="0067232E" w:rsidRDefault="00D252C2" w:rsidP="0067232E">
            <w:pPr>
              <w:rPr>
                <w:sz w:val="18"/>
                <w:szCs w:val="18"/>
              </w:rPr>
            </w:pPr>
          </w:p>
        </w:tc>
        <w:tc>
          <w:tcPr>
            <w:tcW w:w="1620" w:type="dxa"/>
            <w:shd w:val="clear" w:color="auto" w:fill="auto"/>
            <w:vAlign w:val="center"/>
          </w:tcPr>
          <w:p w:rsidR="00D252C2" w:rsidRPr="0067232E" w:rsidRDefault="00D252C2" w:rsidP="0067232E"/>
        </w:tc>
        <w:tc>
          <w:tcPr>
            <w:tcW w:w="2628" w:type="dxa"/>
            <w:shd w:val="clear" w:color="auto" w:fill="auto"/>
            <w:vAlign w:val="center"/>
          </w:tcPr>
          <w:p w:rsidR="00D252C2" w:rsidRPr="00F86F84" w:rsidRDefault="00D252C2" w:rsidP="0067232E">
            <w:pPr>
              <w:rPr>
                <w:sz w:val="18"/>
                <w:szCs w:val="18"/>
              </w:rPr>
            </w:pPr>
            <w:r w:rsidRPr="00F86F84">
              <w:rPr>
                <w:sz w:val="18"/>
                <w:szCs w:val="18"/>
              </w:rPr>
              <w:t>A letter was sent on May 30, 2014, from the Director General of WIPO to the Chair of the WIPO Coordination Committee, drawing the Chair’s attention to this recommendation</w:t>
            </w:r>
            <w:r w:rsidR="001F18C2">
              <w:rPr>
                <w:sz w:val="18"/>
                <w:szCs w:val="18"/>
              </w:rPr>
              <w:t>.</w:t>
            </w:r>
          </w:p>
          <w:p w:rsidR="00D252C2" w:rsidRDefault="00D252C2" w:rsidP="0067232E"/>
          <w:p w:rsidR="00D252C2" w:rsidRDefault="00D252C2" w:rsidP="0067232E"/>
          <w:p w:rsidR="00D252C2" w:rsidRPr="0067232E" w:rsidRDefault="00D252C2" w:rsidP="0067232E"/>
        </w:tc>
      </w:tr>
      <w:tr w:rsidR="00D252C2" w:rsidRPr="00BE2EB0" w:rsidTr="00D20D7D">
        <w:trPr>
          <w:trHeight w:val="521"/>
        </w:trPr>
        <w:tc>
          <w:tcPr>
            <w:tcW w:w="9576" w:type="dxa"/>
            <w:gridSpan w:val="5"/>
            <w:shd w:val="clear" w:color="auto" w:fill="auto"/>
            <w:vAlign w:val="center"/>
          </w:tcPr>
          <w:p w:rsidR="00D252C2" w:rsidRDefault="00D252C2" w:rsidP="00BE2EB0">
            <w:pPr>
              <w:jc w:val="center"/>
              <w:rPr>
                <w:b/>
              </w:rPr>
            </w:pPr>
            <w:r>
              <w:rPr>
                <w:b/>
              </w:rPr>
              <w:t>Recommendations from JIU Reviews held in 2013</w:t>
            </w:r>
          </w:p>
        </w:tc>
      </w:tr>
      <w:tr w:rsidR="00D252C2" w:rsidRPr="00BE2EB0" w:rsidTr="009B29E9">
        <w:trPr>
          <w:trHeight w:val="521"/>
        </w:trPr>
        <w:tc>
          <w:tcPr>
            <w:tcW w:w="9576" w:type="dxa"/>
            <w:gridSpan w:val="5"/>
            <w:shd w:val="clear" w:color="auto" w:fill="DAEEF3" w:themeFill="accent5" w:themeFillTint="33"/>
            <w:vAlign w:val="center"/>
          </w:tcPr>
          <w:p w:rsidR="00D252C2" w:rsidRDefault="00D252C2" w:rsidP="00BE2EB0">
            <w:pPr>
              <w:jc w:val="center"/>
              <w:rPr>
                <w:b/>
                <w:sz w:val="18"/>
                <w:szCs w:val="18"/>
              </w:rPr>
            </w:pPr>
          </w:p>
          <w:p w:rsidR="00D252C2" w:rsidRDefault="00D252C2" w:rsidP="009B29E9">
            <w:pPr>
              <w:shd w:val="clear" w:color="auto" w:fill="DAEEF3" w:themeFill="accent5" w:themeFillTint="33"/>
              <w:jc w:val="center"/>
              <w:rPr>
                <w:b/>
                <w:sz w:val="18"/>
                <w:szCs w:val="18"/>
              </w:rPr>
            </w:pPr>
            <w:r>
              <w:rPr>
                <w:b/>
                <w:sz w:val="18"/>
                <w:szCs w:val="18"/>
              </w:rPr>
              <w:t>JIU/REP/2013/1 “Long-Term Agreements in Procurement”</w:t>
            </w:r>
          </w:p>
          <w:p w:rsidR="00D252C2" w:rsidRPr="002E39FB" w:rsidRDefault="00D252C2" w:rsidP="00BE2EB0">
            <w:pPr>
              <w:jc w:val="center"/>
              <w:rPr>
                <w:b/>
                <w:sz w:val="18"/>
                <w:szCs w:val="18"/>
              </w:rPr>
            </w:pPr>
          </w:p>
        </w:tc>
      </w:tr>
      <w:tr w:rsidR="00D252C2" w:rsidRPr="00BE2EB0" w:rsidTr="005F5425">
        <w:trPr>
          <w:trHeight w:val="521"/>
        </w:trPr>
        <w:tc>
          <w:tcPr>
            <w:tcW w:w="2628" w:type="dxa"/>
            <w:shd w:val="clear" w:color="auto" w:fill="auto"/>
          </w:tcPr>
          <w:p w:rsidR="00D252C2" w:rsidRDefault="00D252C2" w:rsidP="00CD626D">
            <w:pPr>
              <w:rPr>
                <w:sz w:val="18"/>
                <w:szCs w:val="18"/>
              </w:rPr>
            </w:pPr>
            <w:r>
              <w:rPr>
                <w:sz w:val="18"/>
                <w:szCs w:val="18"/>
              </w:rPr>
              <w:t xml:space="preserve">Rec. 5.  </w:t>
            </w:r>
            <w:r w:rsidRPr="00964D00">
              <w:rPr>
                <w:sz w:val="18"/>
                <w:szCs w:val="18"/>
              </w:rPr>
              <w:t>The legislative/governing bodies should exercise their oversight role on the procurement function and procurement activities with a view to ensuring that the procurement function adequately fulfils its strategic role and that procurement activities, including LTAs, are carried out based on sound procurement plans and strategies.</w:t>
            </w:r>
          </w:p>
        </w:tc>
        <w:tc>
          <w:tcPr>
            <w:tcW w:w="1350" w:type="dxa"/>
            <w:shd w:val="clear" w:color="auto" w:fill="auto"/>
          </w:tcPr>
          <w:p w:rsidR="00241913" w:rsidRDefault="00241913" w:rsidP="00CD626D">
            <w:pPr>
              <w:rPr>
                <w:sz w:val="18"/>
                <w:szCs w:val="18"/>
              </w:rPr>
            </w:pPr>
          </w:p>
          <w:p w:rsidR="00D252C2" w:rsidRDefault="00D252C2" w:rsidP="00CD626D">
            <w:pPr>
              <w:rPr>
                <w:sz w:val="18"/>
                <w:szCs w:val="18"/>
              </w:rPr>
            </w:pPr>
            <w:r>
              <w:rPr>
                <w:sz w:val="18"/>
                <w:szCs w:val="18"/>
              </w:rPr>
              <w:t>Director,</w:t>
            </w:r>
          </w:p>
          <w:p w:rsidR="00D252C2" w:rsidRPr="0002233A" w:rsidRDefault="00D252C2" w:rsidP="00CD626D">
            <w:pPr>
              <w:rPr>
                <w:sz w:val="18"/>
                <w:szCs w:val="18"/>
              </w:rPr>
            </w:pPr>
            <w:r>
              <w:rPr>
                <w:sz w:val="18"/>
                <w:szCs w:val="18"/>
              </w:rPr>
              <w:t>Procurement and Travel Division</w:t>
            </w:r>
            <w:r w:rsidR="00850569">
              <w:rPr>
                <w:sz w:val="18"/>
                <w:szCs w:val="18"/>
              </w:rPr>
              <w:t xml:space="preserve"> (PTD)</w:t>
            </w:r>
          </w:p>
        </w:tc>
        <w:tc>
          <w:tcPr>
            <w:tcW w:w="1350" w:type="dxa"/>
            <w:shd w:val="clear" w:color="auto" w:fill="auto"/>
            <w:vAlign w:val="center"/>
          </w:tcPr>
          <w:p w:rsidR="00D252C2" w:rsidRDefault="00241913" w:rsidP="00AB3A23">
            <w:pPr>
              <w:rPr>
                <w:sz w:val="18"/>
                <w:szCs w:val="18"/>
              </w:rPr>
            </w:pPr>
            <w:r>
              <w:rPr>
                <w:sz w:val="18"/>
                <w:szCs w:val="18"/>
              </w:rPr>
              <w:t xml:space="preserve">Accepted </w:t>
            </w:r>
          </w:p>
          <w:p w:rsidR="00850569" w:rsidRDefault="00850569" w:rsidP="00AB3A23">
            <w:pPr>
              <w:rPr>
                <w:sz w:val="18"/>
                <w:szCs w:val="18"/>
              </w:rPr>
            </w:pPr>
          </w:p>
          <w:p w:rsidR="00850569" w:rsidRDefault="00850569" w:rsidP="00AB3A23">
            <w:pPr>
              <w:rPr>
                <w:sz w:val="18"/>
                <w:szCs w:val="18"/>
              </w:rPr>
            </w:pPr>
          </w:p>
          <w:p w:rsidR="00850569" w:rsidRDefault="00850569" w:rsidP="00AB3A23">
            <w:pPr>
              <w:rPr>
                <w:sz w:val="18"/>
                <w:szCs w:val="18"/>
              </w:rPr>
            </w:pPr>
          </w:p>
          <w:p w:rsidR="00850569" w:rsidRDefault="00850569" w:rsidP="00AB3A23">
            <w:pPr>
              <w:rPr>
                <w:sz w:val="18"/>
                <w:szCs w:val="18"/>
              </w:rPr>
            </w:pPr>
          </w:p>
          <w:p w:rsidR="00850569" w:rsidRDefault="00850569" w:rsidP="00AB3A23">
            <w:pPr>
              <w:rPr>
                <w:sz w:val="18"/>
                <w:szCs w:val="18"/>
              </w:rPr>
            </w:pPr>
          </w:p>
          <w:p w:rsidR="00850569" w:rsidRDefault="00850569" w:rsidP="00AB3A23">
            <w:pPr>
              <w:rPr>
                <w:sz w:val="18"/>
                <w:szCs w:val="18"/>
              </w:rPr>
            </w:pPr>
          </w:p>
          <w:p w:rsidR="00850569" w:rsidRDefault="00850569" w:rsidP="00AB3A23">
            <w:pPr>
              <w:rPr>
                <w:sz w:val="18"/>
                <w:szCs w:val="18"/>
              </w:rPr>
            </w:pPr>
          </w:p>
          <w:p w:rsidR="00850569" w:rsidRDefault="00850569" w:rsidP="00AB3A23">
            <w:pPr>
              <w:rPr>
                <w:sz w:val="18"/>
                <w:szCs w:val="18"/>
              </w:rPr>
            </w:pPr>
          </w:p>
          <w:p w:rsidR="001F18C2" w:rsidRDefault="001F18C2" w:rsidP="00AB3A23">
            <w:pPr>
              <w:rPr>
                <w:sz w:val="18"/>
                <w:szCs w:val="18"/>
              </w:rPr>
            </w:pPr>
          </w:p>
          <w:p w:rsidR="00D252C2" w:rsidRDefault="00D252C2" w:rsidP="00AB3A23">
            <w:pPr>
              <w:rPr>
                <w:sz w:val="18"/>
                <w:szCs w:val="18"/>
              </w:rPr>
            </w:pPr>
          </w:p>
          <w:p w:rsidR="00D252C2" w:rsidRDefault="00D252C2" w:rsidP="00AB3A23">
            <w:pPr>
              <w:rPr>
                <w:sz w:val="18"/>
                <w:szCs w:val="18"/>
              </w:rPr>
            </w:pPr>
          </w:p>
          <w:p w:rsidR="00D252C2" w:rsidRDefault="00D252C2" w:rsidP="00AB3A23">
            <w:pPr>
              <w:rPr>
                <w:sz w:val="18"/>
                <w:szCs w:val="18"/>
              </w:rPr>
            </w:pPr>
          </w:p>
          <w:p w:rsidR="00D252C2" w:rsidRDefault="00D252C2" w:rsidP="00AB3A23">
            <w:pPr>
              <w:rPr>
                <w:sz w:val="18"/>
                <w:szCs w:val="18"/>
              </w:rPr>
            </w:pPr>
          </w:p>
          <w:p w:rsidR="00D252C2" w:rsidRDefault="00D252C2" w:rsidP="00AB3A23">
            <w:pPr>
              <w:rPr>
                <w:sz w:val="18"/>
                <w:szCs w:val="18"/>
              </w:rPr>
            </w:pPr>
          </w:p>
          <w:p w:rsidR="00D252C2" w:rsidRDefault="00D252C2" w:rsidP="00AB3A23">
            <w:pPr>
              <w:rPr>
                <w:sz w:val="18"/>
                <w:szCs w:val="18"/>
              </w:rPr>
            </w:pPr>
          </w:p>
          <w:p w:rsidR="00D252C2" w:rsidRDefault="00D252C2" w:rsidP="00AB3A23">
            <w:pPr>
              <w:rPr>
                <w:sz w:val="18"/>
                <w:szCs w:val="18"/>
              </w:rPr>
            </w:pPr>
          </w:p>
          <w:p w:rsidR="00D252C2" w:rsidRDefault="00D252C2" w:rsidP="00AB3A23">
            <w:pPr>
              <w:rPr>
                <w:sz w:val="18"/>
                <w:szCs w:val="18"/>
              </w:rPr>
            </w:pPr>
          </w:p>
          <w:p w:rsidR="00D252C2" w:rsidRDefault="00D252C2" w:rsidP="00AB3A23">
            <w:pPr>
              <w:rPr>
                <w:sz w:val="18"/>
                <w:szCs w:val="18"/>
              </w:rPr>
            </w:pPr>
          </w:p>
          <w:p w:rsidR="00D252C2" w:rsidRDefault="00D252C2" w:rsidP="00AB3A23">
            <w:pPr>
              <w:rPr>
                <w:sz w:val="18"/>
                <w:szCs w:val="18"/>
              </w:rPr>
            </w:pPr>
          </w:p>
          <w:p w:rsidR="00D252C2" w:rsidRPr="00E50D3C" w:rsidRDefault="00D252C2" w:rsidP="00BE2EB0">
            <w:pPr>
              <w:jc w:val="center"/>
              <w:rPr>
                <w:b/>
              </w:rPr>
            </w:pPr>
          </w:p>
        </w:tc>
        <w:tc>
          <w:tcPr>
            <w:tcW w:w="1620" w:type="dxa"/>
            <w:shd w:val="clear" w:color="auto" w:fill="auto"/>
            <w:vAlign w:val="center"/>
          </w:tcPr>
          <w:p w:rsidR="00241913" w:rsidRDefault="00241913" w:rsidP="00BE2EB0">
            <w:pPr>
              <w:jc w:val="center"/>
              <w:rPr>
                <w:sz w:val="18"/>
                <w:szCs w:val="18"/>
              </w:rPr>
            </w:pPr>
          </w:p>
          <w:p w:rsidR="00D252C2" w:rsidRDefault="00241913" w:rsidP="00BE2EB0">
            <w:pPr>
              <w:jc w:val="center"/>
              <w:rPr>
                <w:sz w:val="18"/>
                <w:szCs w:val="18"/>
              </w:rPr>
            </w:pPr>
            <w:r w:rsidRPr="00241913">
              <w:rPr>
                <w:sz w:val="18"/>
                <w:szCs w:val="18"/>
              </w:rPr>
              <w:t>Implemented</w:t>
            </w:r>
          </w:p>
          <w:p w:rsidR="00850569" w:rsidRDefault="00850569" w:rsidP="00BE2EB0">
            <w:pPr>
              <w:jc w:val="center"/>
              <w:rPr>
                <w:sz w:val="18"/>
                <w:szCs w:val="18"/>
              </w:rPr>
            </w:pPr>
          </w:p>
          <w:p w:rsidR="00850569" w:rsidRDefault="00850569" w:rsidP="00BE2EB0">
            <w:pPr>
              <w:jc w:val="center"/>
              <w:rPr>
                <w:sz w:val="18"/>
                <w:szCs w:val="18"/>
              </w:rPr>
            </w:pPr>
          </w:p>
          <w:p w:rsidR="00850569" w:rsidRDefault="00850569" w:rsidP="00BE2EB0">
            <w:pPr>
              <w:jc w:val="center"/>
              <w:rPr>
                <w:sz w:val="18"/>
                <w:szCs w:val="18"/>
              </w:rPr>
            </w:pPr>
          </w:p>
          <w:p w:rsidR="00850569" w:rsidRDefault="00850569" w:rsidP="00BE2EB0">
            <w:pPr>
              <w:jc w:val="center"/>
              <w:rPr>
                <w:sz w:val="18"/>
                <w:szCs w:val="18"/>
              </w:rPr>
            </w:pPr>
          </w:p>
          <w:p w:rsidR="00850569" w:rsidRDefault="00850569" w:rsidP="00BE2EB0">
            <w:pPr>
              <w:jc w:val="center"/>
              <w:rPr>
                <w:sz w:val="18"/>
                <w:szCs w:val="18"/>
              </w:rPr>
            </w:pPr>
          </w:p>
          <w:p w:rsidR="00850569" w:rsidRDefault="00850569" w:rsidP="00BE2EB0">
            <w:pPr>
              <w:jc w:val="center"/>
              <w:rPr>
                <w:sz w:val="18"/>
                <w:szCs w:val="18"/>
              </w:rPr>
            </w:pPr>
          </w:p>
          <w:p w:rsidR="00850569" w:rsidRDefault="00850569" w:rsidP="00BE2EB0">
            <w:pPr>
              <w:jc w:val="center"/>
              <w:rPr>
                <w:sz w:val="18"/>
                <w:szCs w:val="18"/>
              </w:rPr>
            </w:pPr>
          </w:p>
          <w:p w:rsidR="00850569" w:rsidRDefault="00850569" w:rsidP="00BE2EB0">
            <w:pPr>
              <w:jc w:val="center"/>
              <w:rPr>
                <w:sz w:val="18"/>
                <w:szCs w:val="18"/>
              </w:rPr>
            </w:pPr>
          </w:p>
          <w:p w:rsidR="00241913" w:rsidRDefault="00241913" w:rsidP="00BE2EB0">
            <w:pPr>
              <w:jc w:val="center"/>
              <w:rPr>
                <w:sz w:val="18"/>
                <w:szCs w:val="18"/>
              </w:rPr>
            </w:pPr>
          </w:p>
          <w:p w:rsidR="00241913" w:rsidRDefault="00241913" w:rsidP="00BE2EB0">
            <w:pPr>
              <w:jc w:val="center"/>
              <w:rPr>
                <w:sz w:val="18"/>
                <w:szCs w:val="18"/>
              </w:rPr>
            </w:pPr>
          </w:p>
          <w:p w:rsidR="00241913" w:rsidRDefault="00241913" w:rsidP="00BE2EB0">
            <w:pPr>
              <w:jc w:val="center"/>
              <w:rPr>
                <w:sz w:val="18"/>
                <w:szCs w:val="18"/>
              </w:rPr>
            </w:pPr>
          </w:p>
          <w:p w:rsidR="00241913" w:rsidRDefault="00241913" w:rsidP="00BE2EB0">
            <w:pPr>
              <w:jc w:val="center"/>
              <w:rPr>
                <w:sz w:val="18"/>
                <w:szCs w:val="18"/>
              </w:rPr>
            </w:pPr>
          </w:p>
          <w:p w:rsidR="00241913" w:rsidRDefault="00241913" w:rsidP="00BE2EB0">
            <w:pPr>
              <w:jc w:val="center"/>
              <w:rPr>
                <w:sz w:val="18"/>
                <w:szCs w:val="18"/>
              </w:rPr>
            </w:pPr>
          </w:p>
          <w:p w:rsidR="00241913" w:rsidRDefault="00241913" w:rsidP="00BE2EB0">
            <w:pPr>
              <w:jc w:val="center"/>
              <w:rPr>
                <w:sz w:val="18"/>
                <w:szCs w:val="18"/>
              </w:rPr>
            </w:pPr>
          </w:p>
          <w:p w:rsidR="00241913" w:rsidRDefault="00241913" w:rsidP="00BE2EB0">
            <w:pPr>
              <w:jc w:val="center"/>
              <w:rPr>
                <w:sz w:val="18"/>
                <w:szCs w:val="18"/>
              </w:rPr>
            </w:pPr>
          </w:p>
          <w:p w:rsidR="00241913" w:rsidRDefault="00241913" w:rsidP="00BE2EB0">
            <w:pPr>
              <w:jc w:val="center"/>
              <w:rPr>
                <w:sz w:val="18"/>
                <w:szCs w:val="18"/>
              </w:rPr>
            </w:pPr>
          </w:p>
          <w:p w:rsidR="00241913" w:rsidRDefault="00241913" w:rsidP="00BE2EB0">
            <w:pPr>
              <w:jc w:val="center"/>
              <w:rPr>
                <w:sz w:val="18"/>
                <w:szCs w:val="18"/>
              </w:rPr>
            </w:pPr>
          </w:p>
          <w:p w:rsidR="00241913" w:rsidRDefault="00241913" w:rsidP="00BE2EB0">
            <w:pPr>
              <w:jc w:val="center"/>
              <w:rPr>
                <w:sz w:val="18"/>
                <w:szCs w:val="18"/>
              </w:rPr>
            </w:pPr>
          </w:p>
          <w:p w:rsidR="00241913" w:rsidRDefault="00241913" w:rsidP="00BE2EB0">
            <w:pPr>
              <w:jc w:val="center"/>
              <w:rPr>
                <w:sz w:val="18"/>
                <w:szCs w:val="18"/>
              </w:rPr>
            </w:pPr>
          </w:p>
          <w:p w:rsidR="00241913" w:rsidRPr="00241913" w:rsidRDefault="00241913" w:rsidP="00BE2EB0">
            <w:pPr>
              <w:jc w:val="center"/>
              <w:rPr>
                <w:sz w:val="18"/>
                <w:szCs w:val="18"/>
              </w:rPr>
            </w:pPr>
          </w:p>
        </w:tc>
        <w:tc>
          <w:tcPr>
            <w:tcW w:w="2628" w:type="dxa"/>
            <w:shd w:val="clear" w:color="auto" w:fill="auto"/>
            <w:vAlign w:val="center"/>
          </w:tcPr>
          <w:p w:rsidR="00241913" w:rsidRDefault="00241913" w:rsidP="00BC3D77">
            <w:pPr>
              <w:rPr>
                <w:sz w:val="18"/>
                <w:szCs w:val="18"/>
              </w:rPr>
            </w:pPr>
          </w:p>
          <w:p w:rsidR="00D252C2" w:rsidRDefault="00241913" w:rsidP="00BC3D77">
            <w:pPr>
              <w:rPr>
                <w:sz w:val="18"/>
                <w:szCs w:val="18"/>
              </w:rPr>
            </w:pPr>
            <w:r>
              <w:rPr>
                <w:sz w:val="18"/>
                <w:szCs w:val="18"/>
              </w:rPr>
              <w:t xml:space="preserve">WIPO </w:t>
            </w:r>
            <w:r w:rsidR="00DD3C45">
              <w:rPr>
                <w:sz w:val="18"/>
                <w:szCs w:val="18"/>
              </w:rPr>
              <w:t xml:space="preserve">reports on its </w:t>
            </w:r>
            <w:r w:rsidR="001F18C2">
              <w:rPr>
                <w:sz w:val="18"/>
                <w:szCs w:val="18"/>
              </w:rPr>
              <w:t xml:space="preserve">procurement </w:t>
            </w:r>
            <w:r w:rsidR="00DD3C45">
              <w:rPr>
                <w:sz w:val="18"/>
                <w:szCs w:val="18"/>
              </w:rPr>
              <w:t>activities and the achievement of expected results through the Program Performance Report to Member States and</w:t>
            </w:r>
            <w:r>
              <w:rPr>
                <w:sz w:val="18"/>
                <w:szCs w:val="18"/>
              </w:rPr>
              <w:t xml:space="preserve"> is regularly audited by internal audit, external audit, and regularly reports to IAOC on </w:t>
            </w:r>
            <w:r w:rsidR="001F18C2">
              <w:rPr>
                <w:sz w:val="18"/>
                <w:szCs w:val="18"/>
              </w:rPr>
              <w:t>progress in the implementation of the recommendations of the auditors</w:t>
            </w:r>
            <w:r w:rsidRPr="001F18C2">
              <w:rPr>
                <w:sz w:val="18"/>
                <w:szCs w:val="18"/>
              </w:rPr>
              <w:t>.</w:t>
            </w:r>
          </w:p>
          <w:p w:rsidR="00241913" w:rsidRDefault="00241913" w:rsidP="00BC3D77">
            <w:pPr>
              <w:rPr>
                <w:sz w:val="18"/>
                <w:szCs w:val="18"/>
              </w:rPr>
            </w:pPr>
          </w:p>
          <w:p w:rsidR="00241913" w:rsidRDefault="00241913" w:rsidP="00BC3D77">
            <w:pPr>
              <w:rPr>
                <w:sz w:val="18"/>
                <w:szCs w:val="18"/>
              </w:rPr>
            </w:pPr>
          </w:p>
          <w:p w:rsidR="00241913" w:rsidRDefault="00241913" w:rsidP="00BC3D77">
            <w:pPr>
              <w:rPr>
                <w:sz w:val="18"/>
                <w:szCs w:val="18"/>
              </w:rPr>
            </w:pPr>
          </w:p>
          <w:p w:rsidR="00241913" w:rsidRDefault="00241913" w:rsidP="00BC3D77">
            <w:pPr>
              <w:rPr>
                <w:sz w:val="18"/>
                <w:szCs w:val="18"/>
              </w:rPr>
            </w:pPr>
          </w:p>
          <w:p w:rsidR="00241913" w:rsidRDefault="00241913" w:rsidP="00BC3D77">
            <w:pPr>
              <w:rPr>
                <w:sz w:val="18"/>
                <w:szCs w:val="18"/>
              </w:rPr>
            </w:pPr>
          </w:p>
          <w:p w:rsidR="00241913" w:rsidRDefault="00241913" w:rsidP="00BC3D77">
            <w:pPr>
              <w:rPr>
                <w:sz w:val="18"/>
                <w:szCs w:val="18"/>
              </w:rPr>
            </w:pPr>
          </w:p>
          <w:p w:rsidR="00241913" w:rsidRDefault="00241913" w:rsidP="00BC3D77">
            <w:pPr>
              <w:rPr>
                <w:sz w:val="18"/>
                <w:szCs w:val="18"/>
              </w:rPr>
            </w:pPr>
          </w:p>
          <w:p w:rsidR="00241913" w:rsidRPr="00E50D3C" w:rsidRDefault="00241913" w:rsidP="00BC3D77">
            <w:pPr>
              <w:rPr>
                <w:b/>
              </w:rPr>
            </w:pPr>
          </w:p>
        </w:tc>
      </w:tr>
      <w:tr w:rsidR="00D252C2" w:rsidRPr="00BE2EB0" w:rsidTr="00D20D7D">
        <w:trPr>
          <w:trHeight w:val="521"/>
        </w:trPr>
        <w:tc>
          <w:tcPr>
            <w:tcW w:w="9576" w:type="dxa"/>
            <w:gridSpan w:val="5"/>
            <w:shd w:val="clear" w:color="auto" w:fill="auto"/>
            <w:vAlign w:val="center"/>
          </w:tcPr>
          <w:p w:rsidR="00D252C2" w:rsidRPr="00E50D3C" w:rsidRDefault="00D252C2" w:rsidP="00BE2EB0">
            <w:pPr>
              <w:jc w:val="center"/>
              <w:rPr>
                <w:b/>
              </w:rPr>
            </w:pPr>
            <w:r w:rsidRPr="00E50D3C">
              <w:rPr>
                <w:b/>
              </w:rPr>
              <w:lastRenderedPageBreak/>
              <w:t>Recommendations from JIU Reviews held in 2012</w:t>
            </w:r>
          </w:p>
        </w:tc>
      </w:tr>
      <w:tr w:rsidR="00D252C2" w:rsidRPr="00BE2EB0" w:rsidTr="009F2CDC">
        <w:tc>
          <w:tcPr>
            <w:tcW w:w="9576" w:type="dxa"/>
            <w:gridSpan w:val="5"/>
            <w:shd w:val="clear" w:color="auto" w:fill="DAEEF3" w:themeFill="accent5" w:themeFillTint="33"/>
          </w:tcPr>
          <w:p w:rsidR="00D252C2" w:rsidRDefault="00D252C2" w:rsidP="00103705">
            <w:pPr>
              <w:jc w:val="center"/>
              <w:rPr>
                <w:b/>
                <w:sz w:val="18"/>
                <w:szCs w:val="18"/>
              </w:rPr>
            </w:pPr>
          </w:p>
          <w:p w:rsidR="00D252C2" w:rsidRDefault="00D252C2" w:rsidP="00103705">
            <w:pPr>
              <w:jc w:val="center"/>
              <w:rPr>
                <w:b/>
                <w:sz w:val="18"/>
                <w:szCs w:val="18"/>
              </w:rPr>
            </w:pPr>
            <w:r w:rsidRPr="00BE2EB0">
              <w:rPr>
                <w:b/>
                <w:sz w:val="18"/>
                <w:szCs w:val="18"/>
              </w:rPr>
              <w:t xml:space="preserve">JIU/REP/2012/2, </w:t>
            </w:r>
            <w:r>
              <w:rPr>
                <w:b/>
                <w:sz w:val="18"/>
                <w:szCs w:val="18"/>
              </w:rPr>
              <w:t>“</w:t>
            </w:r>
            <w:r w:rsidRPr="00BE2EB0">
              <w:rPr>
                <w:b/>
                <w:sz w:val="18"/>
                <w:szCs w:val="18"/>
              </w:rPr>
              <w:t>The Management of Sick Leave in the United Nations System</w:t>
            </w:r>
            <w:r>
              <w:rPr>
                <w:b/>
                <w:sz w:val="18"/>
                <w:szCs w:val="18"/>
              </w:rPr>
              <w:t>”</w:t>
            </w:r>
          </w:p>
          <w:p w:rsidR="00D252C2" w:rsidRPr="00BE2EB0" w:rsidRDefault="00D252C2" w:rsidP="00103705">
            <w:pPr>
              <w:jc w:val="center"/>
              <w:rPr>
                <w:b/>
                <w:sz w:val="18"/>
                <w:szCs w:val="18"/>
              </w:rPr>
            </w:pPr>
          </w:p>
        </w:tc>
      </w:tr>
      <w:tr w:rsidR="00D252C2" w:rsidRPr="00BE2EB0" w:rsidTr="00B60433">
        <w:tc>
          <w:tcPr>
            <w:tcW w:w="2628" w:type="dxa"/>
          </w:tcPr>
          <w:p w:rsidR="00D252C2" w:rsidRPr="00BE2EB0" w:rsidRDefault="00D252C2">
            <w:pPr>
              <w:rPr>
                <w:sz w:val="18"/>
                <w:szCs w:val="18"/>
              </w:rPr>
            </w:pPr>
            <w:r w:rsidRPr="00BE2EB0">
              <w:rPr>
                <w:sz w:val="18"/>
                <w:szCs w:val="18"/>
              </w:rPr>
              <w:t>Rec. 5. The legislative bodies of United Nations system organizations should require executive heads to provide them with comprehensive annual or biennial reports on sick leave, including statistical and cost data, and measures taken by the organization to reduce sick leave absenteeism</w:t>
            </w:r>
            <w:r>
              <w:rPr>
                <w:sz w:val="18"/>
                <w:szCs w:val="18"/>
              </w:rPr>
              <w:t>.</w:t>
            </w:r>
          </w:p>
        </w:tc>
        <w:tc>
          <w:tcPr>
            <w:tcW w:w="1350" w:type="dxa"/>
          </w:tcPr>
          <w:p w:rsidR="00850569" w:rsidRDefault="00850569">
            <w:pPr>
              <w:rPr>
                <w:sz w:val="18"/>
                <w:szCs w:val="18"/>
              </w:rPr>
            </w:pPr>
          </w:p>
          <w:p w:rsidR="00D252C2" w:rsidRPr="00BE2EB0" w:rsidRDefault="00D252C2" w:rsidP="00F31144">
            <w:pPr>
              <w:rPr>
                <w:sz w:val="18"/>
                <w:szCs w:val="18"/>
              </w:rPr>
            </w:pPr>
            <w:r w:rsidRPr="00BE2EB0">
              <w:rPr>
                <w:sz w:val="18"/>
                <w:szCs w:val="18"/>
              </w:rPr>
              <w:t xml:space="preserve">Director, </w:t>
            </w:r>
            <w:r w:rsidR="00850569">
              <w:rPr>
                <w:sz w:val="18"/>
                <w:szCs w:val="18"/>
              </w:rPr>
              <w:t>HR</w:t>
            </w:r>
            <w:r w:rsidRPr="00BE2EB0">
              <w:rPr>
                <w:sz w:val="18"/>
                <w:szCs w:val="18"/>
              </w:rPr>
              <w:t>MD</w:t>
            </w:r>
          </w:p>
        </w:tc>
        <w:tc>
          <w:tcPr>
            <w:tcW w:w="1350" w:type="dxa"/>
          </w:tcPr>
          <w:p w:rsidR="00850569" w:rsidRDefault="00850569" w:rsidP="00E12316">
            <w:pPr>
              <w:rPr>
                <w:sz w:val="18"/>
                <w:szCs w:val="18"/>
              </w:rPr>
            </w:pPr>
          </w:p>
          <w:p w:rsidR="00D252C2" w:rsidRPr="00BE2EB0" w:rsidRDefault="00D252C2" w:rsidP="00E12316">
            <w:pPr>
              <w:rPr>
                <w:sz w:val="18"/>
                <w:szCs w:val="18"/>
              </w:rPr>
            </w:pPr>
            <w:r>
              <w:rPr>
                <w:sz w:val="18"/>
                <w:szCs w:val="18"/>
              </w:rPr>
              <w:t xml:space="preserve">Accepted </w:t>
            </w:r>
          </w:p>
        </w:tc>
        <w:tc>
          <w:tcPr>
            <w:tcW w:w="1620" w:type="dxa"/>
          </w:tcPr>
          <w:p w:rsidR="00850569" w:rsidRDefault="00850569" w:rsidP="00C64D0E">
            <w:pPr>
              <w:rPr>
                <w:sz w:val="18"/>
                <w:szCs w:val="18"/>
              </w:rPr>
            </w:pPr>
          </w:p>
          <w:p w:rsidR="00D252C2" w:rsidRPr="00BE2EB0" w:rsidRDefault="00C64D0E" w:rsidP="00C64D0E">
            <w:pPr>
              <w:rPr>
                <w:sz w:val="18"/>
                <w:szCs w:val="18"/>
              </w:rPr>
            </w:pPr>
            <w:r>
              <w:rPr>
                <w:sz w:val="18"/>
                <w:szCs w:val="18"/>
              </w:rPr>
              <w:t>Implemented</w:t>
            </w:r>
          </w:p>
        </w:tc>
        <w:tc>
          <w:tcPr>
            <w:tcW w:w="2628" w:type="dxa"/>
          </w:tcPr>
          <w:p w:rsidR="00850569" w:rsidRDefault="00850569">
            <w:pPr>
              <w:rPr>
                <w:sz w:val="18"/>
                <w:szCs w:val="18"/>
              </w:rPr>
            </w:pPr>
          </w:p>
          <w:p w:rsidR="00D252C2" w:rsidRPr="00BE2EB0" w:rsidRDefault="00C64D0E">
            <w:pPr>
              <w:rPr>
                <w:sz w:val="18"/>
                <w:szCs w:val="18"/>
              </w:rPr>
            </w:pPr>
            <w:r>
              <w:rPr>
                <w:sz w:val="18"/>
                <w:szCs w:val="18"/>
              </w:rPr>
              <w:t>WIPO provides statistical data on sick leave and absenteeism to Member States through its Annual HR Report.</w:t>
            </w:r>
          </w:p>
        </w:tc>
      </w:tr>
      <w:tr w:rsidR="00D252C2" w:rsidRPr="00BE2EB0" w:rsidTr="00544965">
        <w:tc>
          <w:tcPr>
            <w:tcW w:w="9576" w:type="dxa"/>
            <w:gridSpan w:val="5"/>
            <w:shd w:val="clear" w:color="auto" w:fill="DAEEF3" w:themeFill="accent5" w:themeFillTint="33"/>
          </w:tcPr>
          <w:p w:rsidR="00D252C2" w:rsidRDefault="00D252C2" w:rsidP="00544965">
            <w:pPr>
              <w:jc w:val="center"/>
              <w:rPr>
                <w:b/>
                <w:sz w:val="18"/>
                <w:szCs w:val="18"/>
              </w:rPr>
            </w:pPr>
          </w:p>
          <w:p w:rsidR="00D252C2" w:rsidRDefault="00D252C2" w:rsidP="00544965">
            <w:pPr>
              <w:jc w:val="center"/>
              <w:rPr>
                <w:b/>
                <w:sz w:val="18"/>
                <w:szCs w:val="18"/>
              </w:rPr>
            </w:pPr>
            <w:r w:rsidRPr="00544965">
              <w:rPr>
                <w:b/>
                <w:sz w:val="18"/>
                <w:szCs w:val="18"/>
              </w:rPr>
              <w:t>JIU/REP/2012/8 “</w:t>
            </w:r>
            <w:r w:rsidRPr="00D92190">
              <w:rPr>
                <w:b/>
                <w:sz w:val="18"/>
                <w:szCs w:val="18"/>
              </w:rPr>
              <w:t>Review of enterprise resource planning (ERP) systems in United Nations organizations</w:t>
            </w:r>
            <w:r>
              <w:rPr>
                <w:b/>
                <w:sz w:val="18"/>
                <w:szCs w:val="18"/>
              </w:rPr>
              <w:t xml:space="preserve">” </w:t>
            </w:r>
          </w:p>
          <w:p w:rsidR="00D252C2" w:rsidRPr="00544965" w:rsidRDefault="00D252C2" w:rsidP="00544965">
            <w:pPr>
              <w:jc w:val="center"/>
              <w:rPr>
                <w:b/>
                <w:sz w:val="18"/>
                <w:szCs w:val="18"/>
              </w:rPr>
            </w:pPr>
          </w:p>
        </w:tc>
      </w:tr>
      <w:tr w:rsidR="00D252C2" w:rsidRPr="00BE2EB0" w:rsidTr="00B60433">
        <w:tc>
          <w:tcPr>
            <w:tcW w:w="2628" w:type="dxa"/>
          </w:tcPr>
          <w:p w:rsidR="00D252C2" w:rsidRDefault="00D252C2" w:rsidP="00C71FCD">
            <w:pPr>
              <w:rPr>
                <w:sz w:val="18"/>
                <w:szCs w:val="18"/>
              </w:rPr>
            </w:pPr>
            <w:r>
              <w:rPr>
                <w:sz w:val="18"/>
                <w:szCs w:val="18"/>
              </w:rPr>
              <w:t xml:space="preserve">Rec. 2.  </w:t>
            </w:r>
            <w:r w:rsidRPr="00C71FCD">
              <w:rPr>
                <w:sz w:val="18"/>
                <w:szCs w:val="18"/>
              </w:rPr>
              <w:t>The legislative/governing bodies of United Nations system organizations should exercise their monitoring and oversight role on their respective ERP projects on an ongoing basis, including implementation, maintenance and upgrade policy, cost-efficiency and achievements of the overall objectives of the projects.</w:t>
            </w:r>
          </w:p>
        </w:tc>
        <w:tc>
          <w:tcPr>
            <w:tcW w:w="1350" w:type="dxa"/>
          </w:tcPr>
          <w:p w:rsidR="00850569" w:rsidRDefault="00850569">
            <w:pPr>
              <w:rPr>
                <w:sz w:val="18"/>
                <w:szCs w:val="18"/>
              </w:rPr>
            </w:pPr>
          </w:p>
          <w:p w:rsidR="00D252C2" w:rsidRDefault="00D252C2">
            <w:pPr>
              <w:rPr>
                <w:sz w:val="18"/>
                <w:szCs w:val="18"/>
              </w:rPr>
            </w:pPr>
            <w:r>
              <w:rPr>
                <w:sz w:val="18"/>
                <w:szCs w:val="18"/>
              </w:rPr>
              <w:t xml:space="preserve">Director, </w:t>
            </w:r>
          </w:p>
          <w:p w:rsidR="00D252C2" w:rsidRPr="00CF102C" w:rsidRDefault="00D252C2">
            <w:pPr>
              <w:rPr>
                <w:sz w:val="18"/>
                <w:szCs w:val="18"/>
              </w:rPr>
            </w:pPr>
            <w:r>
              <w:rPr>
                <w:sz w:val="18"/>
                <w:szCs w:val="18"/>
              </w:rPr>
              <w:t>Department of Program Planning and Finance</w:t>
            </w:r>
            <w:r w:rsidR="00850569">
              <w:rPr>
                <w:sz w:val="18"/>
                <w:szCs w:val="18"/>
              </w:rPr>
              <w:t xml:space="preserve"> (DPPF)</w:t>
            </w:r>
          </w:p>
        </w:tc>
        <w:tc>
          <w:tcPr>
            <w:tcW w:w="1350" w:type="dxa"/>
          </w:tcPr>
          <w:p w:rsidR="00850569" w:rsidRDefault="00850569" w:rsidP="00047BB7">
            <w:pPr>
              <w:rPr>
                <w:sz w:val="18"/>
                <w:szCs w:val="18"/>
              </w:rPr>
            </w:pPr>
          </w:p>
          <w:p w:rsidR="00D252C2" w:rsidRPr="00CF102C" w:rsidRDefault="00D252C2" w:rsidP="00047BB7">
            <w:pPr>
              <w:rPr>
                <w:sz w:val="18"/>
                <w:szCs w:val="18"/>
              </w:rPr>
            </w:pPr>
            <w:r>
              <w:rPr>
                <w:sz w:val="18"/>
                <w:szCs w:val="18"/>
              </w:rPr>
              <w:t>Accepted</w:t>
            </w:r>
          </w:p>
        </w:tc>
        <w:tc>
          <w:tcPr>
            <w:tcW w:w="1620" w:type="dxa"/>
          </w:tcPr>
          <w:p w:rsidR="00850569" w:rsidRDefault="00850569" w:rsidP="00047BB7">
            <w:pPr>
              <w:rPr>
                <w:sz w:val="18"/>
                <w:szCs w:val="18"/>
              </w:rPr>
            </w:pPr>
          </w:p>
          <w:p w:rsidR="00D252C2" w:rsidRPr="00CF102C" w:rsidRDefault="00D252C2" w:rsidP="00047BB7">
            <w:pPr>
              <w:rPr>
                <w:sz w:val="18"/>
                <w:szCs w:val="18"/>
              </w:rPr>
            </w:pPr>
            <w:r>
              <w:rPr>
                <w:sz w:val="18"/>
                <w:szCs w:val="18"/>
              </w:rPr>
              <w:t>Implemented</w:t>
            </w:r>
          </w:p>
        </w:tc>
        <w:tc>
          <w:tcPr>
            <w:tcW w:w="2628" w:type="dxa"/>
          </w:tcPr>
          <w:p w:rsidR="00850569" w:rsidRDefault="00850569" w:rsidP="00047BB7">
            <w:pPr>
              <w:rPr>
                <w:sz w:val="18"/>
                <w:szCs w:val="18"/>
              </w:rPr>
            </w:pPr>
          </w:p>
          <w:p w:rsidR="00D252C2" w:rsidRPr="00CF102C" w:rsidRDefault="00D252C2" w:rsidP="00047BB7">
            <w:pPr>
              <w:rPr>
                <w:sz w:val="18"/>
                <w:szCs w:val="18"/>
              </w:rPr>
            </w:pPr>
            <w:r>
              <w:rPr>
                <w:sz w:val="18"/>
                <w:szCs w:val="18"/>
              </w:rPr>
              <w:t xml:space="preserve">The Program and Budget Committee oversees the </w:t>
            </w:r>
            <w:r w:rsidR="00850569">
              <w:rPr>
                <w:sz w:val="18"/>
                <w:szCs w:val="18"/>
              </w:rPr>
              <w:t xml:space="preserve">implementation of </w:t>
            </w:r>
            <w:r>
              <w:rPr>
                <w:sz w:val="18"/>
                <w:szCs w:val="18"/>
              </w:rPr>
              <w:t>ERP portfolio</w:t>
            </w:r>
            <w:r w:rsidR="00850569">
              <w:rPr>
                <w:sz w:val="18"/>
                <w:szCs w:val="18"/>
              </w:rPr>
              <w:t xml:space="preserve"> of projects</w:t>
            </w:r>
            <w:r>
              <w:rPr>
                <w:sz w:val="18"/>
                <w:szCs w:val="18"/>
              </w:rPr>
              <w:t>.</w:t>
            </w:r>
          </w:p>
        </w:tc>
      </w:tr>
      <w:tr w:rsidR="00D252C2" w:rsidRPr="00BE2EB0" w:rsidTr="0008093C">
        <w:tc>
          <w:tcPr>
            <w:tcW w:w="9576" w:type="dxa"/>
            <w:gridSpan w:val="5"/>
            <w:shd w:val="clear" w:color="auto" w:fill="DAEEF3" w:themeFill="accent5" w:themeFillTint="33"/>
          </w:tcPr>
          <w:p w:rsidR="00D252C2" w:rsidRPr="00544965" w:rsidRDefault="00D252C2" w:rsidP="00544965">
            <w:pPr>
              <w:jc w:val="center"/>
              <w:rPr>
                <w:b/>
                <w:sz w:val="18"/>
                <w:szCs w:val="18"/>
              </w:rPr>
            </w:pPr>
          </w:p>
          <w:p w:rsidR="00D252C2" w:rsidRDefault="00D252C2" w:rsidP="00544965">
            <w:pPr>
              <w:jc w:val="center"/>
              <w:rPr>
                <w:b/>
                <w:sz w:val="18"/>
                <w:szCs w:val="18"/>
              </w:rPr>
            </w:pPr>
            <w:r>
              <w:rPr>
                <w:b/>
                <w:sz w:val="18"/>
                <w:szCs w:val="18"/>
              </w:rPr>
              <w:t>JIU/REP/2012</w:t>
            </w:r>
            <w:r w:rsidRPr="00544965">
              <w:rPr>
                <w:b/>
                <w:sz w:val="18"/>
                <w:szCs w:val="18"/>
              </w:rPr>
              <w:t>/9</w:t>
            </w:r>
            <w:r>
              <w:rPr>
                <w:b/>
                <w:sz w:val="18"/>
                <w:szCs w:val="18"/>
              </w:rPr>
              <w:t xml:space="preserve"> “</w:t>
            </w:r>
            <w:r w:rsidRPr="00093BE8">
              <w:rPr>
                <w:b/>
                <w:sz w:val="18"/>
                <w:szCs w:val="18"/>
              </w:rPr>
              <w:t>Lump-sum payments in lieu of entitlements”</w:t>
            </w:r>
          </w:p>
          <w:p w:rsidR="00D252C2" w:rsidRPr="00544965" w:rsidRDefault="00D252C2" w:rsidP="00544965">
            <w:pPr>
              <w:jc w:val="center"/>
              <w:rPr>
                <w:b/>
                <w:sz w:val="18"/>
                <w:szCs w:val="18"/>
              </w:rPr>
            </w:pPr>
          </w:p>
        </w:tc>
      </w:tr>
      <w:tr w:rsidR="00D252C2" w:rsidRPr="00BE2EB0" w:rsidTr="00B60433">
        <w:tc>
          <w:tcPr>
            <w:tcW w:w="2628" w:type="dxa"/>
          </w:tcPr>
          <w:p w:rsidR="00D252C2" w:rsidRPr="00CF102C" w:rsidRDefault="00D252C2" w:rsidP="0057361E">
            <w:pPr>
              <w:rPr>
                <w:sz w:val="18"/>
                <w:szCs w:val="18"/>
              </w:rPr>
            </w:pPr>
            <w:r>
              <w:rPr>
                <w:sz w:val="18"/>
                <w:szCs w:val="18"/>
              </w:rPr>
              <w:t>R</w:t>
            </w:r>
            <w:r w:rsidRPr="00CF102C">
              <w:rPr>
                <w:sz w:val="18"/>
                <w:szCs w:val="18"/>
              </w:rPr>
              <w:t xml:space="preserve">ec. 1. The legislative/governing bodies of United Nations system organizations should request their respective executive heads to prepare a report on the usage of the lump-sum option for home leave travel which, </w:t>
            </w:r>
            <w:r w:rsidRPr="008C7FF6">
              <w:rPr>
                <w:i/>
                <w:sz w:val="18"/>
                <w:szCs w:val="18"/>
              </w:rPr>
              <w:t>inter alia</w:t>
            </w:r>
            <w:r w:rsidRPr="00CF102C">
              <w:rPr>
                <w:sz w:val="18"/>
                <w:szCs w:val="18"/>
              </w:rPr>
              <w:t>, would compare the costs for providing the lump-sum option with those of organizing the travel for the eligible headquarter-based staff members for a period of two years. Upon consideration of the report, the legislative/governing body should decide in 2015 whether to take any action deemed appropriate.</w:t>
            </w:r>
          </w:p>
        </w:tc>
        <w:tc>
          <w:tcPr>
            <w:tcW w:w="1350" w:type="dxa"/>
          </w:tcPr>
          <w:p w:rsidR="00850569" w:rsidRDefault="00850569">
            <w:pPr>
              <w:rPr>
                <w:sz w:val="18"/>
                <w:szCs w:val="18"/>
              </w:rPr>
            </w:pPr>
          </w:p>
          <w:p w:rsidR="00D252C2" w:rsidRPr="00CF102C" w:rsidRDefault="00D252C2">
            <w:pPr>
              <w:rPr>
                <w:sz w:val="18"/>
                <w:szCs w:val="18"/>
              </w:rPr>
            </w:pPr>
            <w:r w:rsidRPr="00CF102C">
              <w:rPr>
                <w:sz w:val="18"/>
                <w:szCs w:val="18"/>
              </w:rPr>
              <w:t>Director, PTD</w:t>
            </w:r>
          </w:p>
        </w:tc>
        <w:tc>
          <w:tcPr>
            <w:tcW w:w="1350" w:type="dxa"/>
          </w:tcPr>
          <w:p w:rsidR="00850569" w:rsidRDefault="00850569">
            <w:pPr>
              <w:rPr>
                <w:sz w:val="18"/>
                <w:szCs w:val="18"/>
              </w:rPr>
            </w:pPr>
          </w:p>
          <w:p w:rsidR="00D252C2" w:rsidRPr="00CF102C" w:rsidRDefault="00D252C2">
            <w:pPr>
              <w:rPr>
                <w:sz w:val="18"/>
                <w:szCs w:val="18"/>
              </w:rPr>
            </w:pPr>
            <w:r w:rsidRPr="00CF102C">
              <w:rPr>
                <w:sz w:val="18"/>
                <w:szCs w:val="18"/>
              </w:rPr>
              <w:t>Accepted</w:t>
            </w:r>
          </w:p>
        </w:tc>
        <w:tc>
          <w:tcPr>
            <w:tcW w:w="1620" w:type="dxa"/>
          </w:tcPr>
          <w:p w:rsidR="00850569" w:rsidRDefault="00850569">
            <w:pPr>
              <w:rPr>
                <w:sz w:val="18"/>
                <w:szCs w:val="18"/>
              </w:rPr>
            </w:pPr>
          </w:p>
          <w:p w:rsidR="00D252C2" w:rsidRPr="00CF102C" w:rsidRDefault="00850569">
            <w:pPr>
              <w:rPr>
                <w:sz w:val="18"/>
                <w:szCs w:val="18"/>
              </w:rPr>
            </w:pPr>
            <w:r>
              <w:rPr>
                <w:sz w:val="18"/>
                <w:szCs w:val="18"/>
              </w:rPr>
              <w:t>Implemented</w:t>
            </w:r>
          </w:p>
        </w:tc>
        <w:tc>
          <w:tcPr>
            <w:tcW w:w="2628" w:type="dxa"/>
          </w:tcPr>
          <w:p w:rsidR="00850569" w:rsidRDefault="00850569" w:rsidP="00144196">
            <w:pPr>
              <w:rPr>
                <w:sz w:val="18"/>
                <w:szCs w:val="18"/>
              </w:rPr>
            </w:pPr>
          </w:p>
          <w:p w:rsidR="00850569" w:rsidRDefault="00DD3C45" w:rsidP="00850569">
            <w:pPr>
              <w:rPr>
                <w:sz w:val="18"/>
                <w:szCs w:val="18"/>
              </w:rPr>
            </w:pPr>
            <w:r>
              <w:rPr>
                <w:sz w:val="18"/>
                <w:szCs w:val="18"/>
              </w:rPr>
              <w:t>WIPO has assessed the option of lump sum for home leave travel</w:t>
            </w:r>
            <w:r w:rsidR="00850569">
              <w:rPr>
                <w:sz w:val="18"/>
                <w:szCs w:val="18"/>
              </w:rPr>
              <w:t>, as also reviewed by the Internal Audit and Oversight Division in their 2012 report on WIPO’s travel policies</w:t>
            </w:r>
            <w:r>
              <w:rPr>
                <w:sz w:val="18"/>
                <w:szCs w:val="18"/>
              </w:rPr>
              <w:t xml:space="preserve">.  WIPO’s policy on home leave </w:t>
            </w:r>
            <w:r w:rsidR="00850569">
              <w:rPr>
                <w:sz w:val="18"/>
                <w:szCs w:val="18"/>
              </w:rPr>
              <w:t xml:space="preserve">already </w:t>
            </w:r>
            <w:r>
              <w:rPr>
                <w:sz w:val="18"/>
                <w:szCs w:val="18"/>
              </w:rPr>
              <w:t xml:space="preserve">provides </w:t>
            </w:r>
            <w:r w:rsidR="00850569">
              <w:rPr>
                <w:sz w:val="18"/>
                <w:szCs w:val="18"/>
              </w:rPr>
              <w:t>lump sum</w:t>
            </w:r>
            <w:r>
              <w:rPr>
                <w:sz w:val="18"/>
                <w:szCs w:val="18"/>
              </w:rPr>
              <w:t xml:space="preserve"> as an option to staff.</w:t>
            </w:r>
            <w:r w:rsidR="00850569">
              <w:rPr>
                <w:sz w:val="18"/>
                <w:szCs w:val="18"/>
              </w:rPr>
              <w:t xml:space="preserve">  Member States, at their Assemblies in  2013, have “requested the Secretariat to target further savings under the regular budget, through inter alia, the full implementation of IAOD’s recommendations on travel policy.  The revised policy on home leave has been issued in 2014.</w:t>
            </w:r>
          </w:p>
          <w:p w:rsidR="00850569" w:rsidRPr="00CF102C" w:rsidRDefault="00850569" w:rsidP="00850569">
            <w:pPr>
              <w:rPr>
                <w:sz w:val="18"/>
                <w:szCs w:val="18"/>
              </w:rPr>
            </w:pPr>
          </w:p>
        </w:tc>
      </w:tr>
      <w:tr w:rsidR="00D252C2" w:rsidRPr="00BE2EB0" w:rsidTr="00B60433">
        <w:tc>
          <w:tcPr>
            <w:tcW w:w="2628" w:type="dxa"/>
          </w:tcPr>
          <w:p w:rsidR="00D252C2" w:rsidRPr="00CF102C" w:rsidRDefault="00D252C2" w:rsidP="0057361E">
            <w:pPr>
              <w:rPr>
                <w:sz w:val="18"/>
                <w:szCs w:val="18"/>
              </w:rPr>
            </w:pPr>
            <w:r w:rsidRPr="00CF102C">
              <w:rPr>
                <w:sz w:val="18"/>
                <w:szCs w:val="18"/>
              </w:rPr>
              <w:t xml:space="preserve">Rec. 3. The legislative/governing bodies of United Nations system organizations should request their respective executive heads to suspend, if not </w:t>
            </w:r>
            <w:r w:rsidRPr="00CF102C">
              <w:rPr>
                <w:sz w:val="18"/>
                <w:szCs w:val="18"/>
              </w:rPr>
              <w:lastRenderedPageBreak/>
              <w:t>already the case, the payment of additional DSA (15 or 40 per cent), to those officials travelling on organizational budgets.</w:t>
            </w:r>
          </w:p>
        </w:tc>
        <w:tc>
          <w:tcPr>
            <w:tcW w:w="1350" w:type="dxa"/>
          </w:tcPr>
          <w:p w:rsidR="00450047" w:rsidRDefault="00450047">
            <w:pPr>
              <w:rPr>
                <w:sz w:val="18"/>
                <w:szCs w:val="18"/>
              </w:rPr>
            </w:pPr>
          </w:p>
          <w:p w:rsidR="00D252C2" w:rsidRPr="00CF102C" w:rsidRDefault="00D252C2">
            <w:pPr>
              <w:rPr>
                <w:sz w:val="18"/>
                <w:szCs w:val="18"/>
              </w:rPr>
            </w:pPr>
            <w:r w:rsidRPr="00CF102C">
              <w:rPr>
                <w:sz w:val="18"/>
                <w:szCs w:val="18"/>
              </w:rPr>
              <w:t>Director, PTD</w:t>
            </w:r>
          </w:p>
        </w:tc>
        <w:tc>
          <w:tcPr>
            <w:tcW w:w="1350" w:type="dxa"/>
          </w:tcPr>
          <w:p w:rsidR="00450047" w:rsidRDefault="00450047">
            <w:pPr>
              <w:rPr>
                <w:sz w:val="18"/>
                <w:szCs w:val="18"/>
              </w:rPr>
            </w:pPr>
          </w:p>
          <w:p w:rsidR="00D252C2" w:rsidRPr="00CF102C" w:rsidRDefault="00D252C2">
            <w:pPr>
              <w:rPr>
                <w:sz w:val="18"/>
                <w:szCs w:val="18"/>
              </w:rPr>
            </w:pPr>
            <w:r w:rsidRPr="00CF102C">
              <w:rPr>
                <w:sz w:val="18"/>
                <w:szCs w:val="18"/>
              </w:rPr>
              <w:t>Under consideration</w:t>
            </w:r>
          </w:p>
        </w:tc>
        <w:tc>
          <w:tcPr>
            <w:tcW w:w="1620" w:type="dxa"/>
          </w:tcPr>
          <w:p w:rsidR="00D252C2" w:rsidRPr="00CF102C" w:rsidRDefault="00D252C2">
            <w:pPr>
              <w:rPr>
                <w:sz w:val="18"/>
                <w:szCs w:val="18"/>
              </w:rPr>
            </w:pPr>
          </w:p>
        </w:tc>
        <w:tc>
          <w:tcPr>
            <w:tcW w:w="2628" w:type="dxa"/>
          </w:tcPr>
          <w:p w:rsidR="00450047" w:rsidRDefault="00450047" w:rsidP="00E12316">
            <w:pPr>
              <w:rPr>
                <w:sz w:val="18"/>
                <w:szCs w:val="18"/>
              </w:rPr>
            </w:pPr>
          </w:p>
          <w:p w:rsidR="00D252C2" w:rsidRPr="00CF102C" w:rsidRDefault="00D252C2" w:rsidP="00E12316">
            <w:pPr>
              <w:rPr>
                <w:sz w:val="18"/>
                <w:szCs w:val="18"/>
              </w:rPr>
            </w:pPr>
            <w:r w:rsidRPr="00CF102C">
              <w:rPr>
                <w:sz w:val="18"/>
                <w:szCs w:val="18"/>
              </w:rPr>
              <w:t>DSA calculation has just been reviewed regarding overnight trips</w:t>
            </w:r>
            <w:r>
              <w:rPr>
                <w:sz w:val="18"/>
                <w:szCs w:val="18"/>
              </w:rPr>
              <w:t xml:space="preserve"> and adjusted downward</w:t>
            </w:r>
            <w:r w:rsidRPr="00CF102C">
              <w:rPr>
                <w:sz w:val="18"/>
                <w:szCs w:val="18"/>
              </w:rPr>
              <w:t xml:space="preserve">. The additional DSA </w:t>
            </w:r>
            <w:r>
              <w:rPr>
                <w:sz w:val="18"/>
                <w:szCs w:val="18"/>
              </w:rPr>
              <w:t xml:space="preserve">is under study. </w:t>
            </w:r>
          </w:p>
        </w:tc>
      </w:tr>
      <w:tr w:rsidR="00D252C2" w:rsidRPr="00BE2EB0" w:rsidTr="009F2CDC">
        <w:tc>
          <w:tcPr>
            <w:tcW w:w="9576" w:type="dxa"/>
            <w:gridSpan w:val="5"/>
            <w:shd w:val="clear" w:color="auto" w:fill="DAEEF3" w:themeFill="accent5" w:themeFillTint="33"/>
            <w:vAlign w:val="center"/>
          </w:tcPr>
          <w:p w:rsidR="00D252C2" w:rsidRPr="00CF102C" w:rsidRDefault="00D252C2" w:rsidP="00E34FBC">
            <w:pPr>
              <w:jc w:val="center"/>
              <w:rPr>
                <w:b/>
                <w:sz w:val="18"/>
                <w:szCs w:val="18"/>
              </w:rPr>
            </w:pPr>
          </w:p>
          <w:p w:rsidR="00D252C2" w:rsidRPr="00CF102C" w:rsidRDefault="00D252C2" w:rsidP="00E34FBC">
            <w:pPr>
              <w:jc w:val="center"/>
              <w:rPr>
                <w:b/>
                <w:sz w:val="18"/>
                <w:szCs w:val="18"/>
              </w:rPr>
            </w:pPr>
            <w:r>
              <w:rPr>
                <w:b/>
                <w:sz w:val="18"/>
                <w:szCs w:val="18"/>
              </w:rPr>
              <w:t>JIU/REP/2012/10</w:t>
            </w:r>
            <w:r w:rsidRPr="00CF102C">
              <w:rPr>
                <w:b/>
                <w:sz w:val="18"/>
                <w:szCs w:val="18"/>
              </w:rPr>
              <w:t xml:space="preserve">, </w:t>
            </w:r>
            <w:r>
              <w:rPr>
                <w:b/>
                <w:sz w:val="18"/>
                <w:szCs w:val="18"/>
              </w:rPr>
              <w:t>“</w:t>
            </w:r>
            <w:r w:rsidRPr="00CF102C">
              <w:rPr>
                <w:b/>
                <w:sz w:val="18"/>
                <w:szCs w:val="18"/>
              </w:rPr>
              <w:t>Staff–Management relations in the United Nations specialized agencies and common system</w:t>
            </w:r>
            <w:r>
              <w:rPr>
                <w:b/>
                <w:sz w:val="18"/>
                <w:szCs w:val="18"/>
              </w:rPr>
              <w:t>”</w:t>
            </w:r>
          </w:p>
          <w:p w:rsidR="00D252C2" w:rsidRPr="00CF102C" w:rsidRDefault="00D252C2" w:rsidP="00E34FBC">
            <w:pPr>
              <w:jc w:val="center"/>
              <w:rPr>
                <w:b/>
                <w:sz w:val="18"/>
                <w:szCs w:val="18"/>
              </w:rPr>
            </w:pPr>
          </w:p>
        </w:tc>
      </w:tr>
      <w:tr w:rsidR="00D252C2" w:rsidRPr="0002233A" w:rsidTr="00B60433">
        <w:tc>
          <w:tcPr>
            <w:tcW w:w="2628" w:type="dxa"/>
          </w:tcPr>
          <w:p w:rsidR="00D252C2" w:rsidRPr="0002233A" w:rsidRDefault="00D252C2" w:rsidP="00E34FBC">
            <w:pPr>
              <w:rPr>
                <w:sz w:val="18"/>
                <w:szCs w:val="18"/>
              </w:rPr>
            </w:pPr>
            <w:r w:rsidRPr="0002233A">
              <w:rPr>
                <w:sz w:val="18"/>
                <w:szCs w:val="18"/>
              </w:rPr>
              <w:t>Rec. 5. The Governing Bodies of the organizations under review which have a field presence should mandate their Executive Heads to ensure that when reporting on human resources issues, challenges faced by staff in the field are specifically detailed.</w:t>
            </w:r>
          </w:p>
        </w:tc>
        <w:tc>
          <w:tcPr>
            <w:tcW w:w="1350" w:type="dxa"/>
          </w:tcPr>
          <w:p w:rsidR="00450047" w:rsidRDefault="00450047" w:rsidP="00E34FBC">
            <w:pPr>
              <w:rPr>
                <w:sz w:val="18"/>
                <w:szCs w:val="18"/>
              </w:rPr>
            </w:pPr>
          </w:p>
          <w:p w:rsidR="00D252C2" w:rsidRPr="0002233A" w:rsidRDefault="00D252C2" w:rsidP="00E34FBC">
            <w:pPr>
              <w:rPr>
                <w:sz w:val="18"/>
                <w:szCs w:val="18"/>
              </w:rPr>
            </w:pPr>
            <w:r w:rsidRPr="0002233A">
              <w:rPr>
                <w:sz w:val="18"/>
                <w:szCs w:val="18"/>
              </w:rPr>
              <w:t>Director, HRMD</w:t>
            </w:r>
          </w:p>
        </w:tc>
        <w:tc>
          <w:tcPr>
            <w:tcW w:w="1350" w:type="dxa"/>
          </w:tcPr>
          <w:p w:rsidR="00450047" w:rsidRDefault="00450047" w:rsidP="00E34FBC">
            <w:pPr>
              <w:rPr>
                <w:sz w:val="18"/>
                <w:szCs w:val="18"/>
              </w:rPr>
            </w:pPr>
          </w:p>
          <w:p w:rsidR="00D252C2" w:rsidRPr="0002233A" w:rsidRDefault="00D252C2" w:rsidP="00E34FBC">
            <w:pPr>
              <w:rPr>
                <w:sz w:val="18"/>
                <w:szCs w:val="18"/>
              </w:rPr>
            </w:pPr>
            <w:r>
              <w:rPr>
                <w:sz w:val="18"/>
                <w:szCs w:val="18"/>
              </w:rPr>
              <w:t>Accepted</w:t>
            </w:r>
          </w:p>
        </w:tc>
        <w:tc>
          <w:tcPr>
            <w:tcW w:w="1620" w:type="dxa"/>
          </w:tcPr>
          <w:p w:rsidR="00450047" w:rsidRDefault="00450047" w:rsidP="00E34FBC">
            <w:pPr>
              <w:rPr>
                <w:sz w:val="18"/>
                <w:szCs w:val="18"/>
              </w:rPr>
            </w:pPr>
          </w:p>
          <w:p w:rsidR="00D252C2" w:rsidRPr="0002233A" w:rsidRDefault="00C64D0E" w:rsidP="00E34FBC">
            <w:pPr>
              <w:rPr>
                <w:sz w:val="18"/>
                <w:szCs w:val="18"/>
              </w:rPr>
            </w:pPr>
            <w:r>
              <w:rPr>
                <w:sz w:val="18"/>
                <w:szCs w:val="18"/>
              </w:rPr>
              <w:t>Implemented</w:t>
            </w:r>
          </w:p>
        </w:tc>
        <w:tc>
          <w:tcPr>
            <w:tcW w:w="2628" w:type="dxa"/>
          </w:tcPr>
          <w:p w:rsidR="00450047" w:rsidRDefault="00450047" w:rsidP="00290A3F">
            <w:pPr>
              <w:rPr>
                <w:sz w:val="18"/>
                <w:szCs w:val="18"/>
              </w:rPr>
            </w:pPr>
          </w:p>
          <w:p w:rsidR="00D252C2" w:rsidRDefault="00241913" w:rsidP="00290A3F">
            <w:pPr>
              <w:rPr>
                <w:sz w:val="18"/>
                <w:szCs w:val="18"/>
              </w:rPr>
            </w:pPr>
            <w:r>
              <w:rPr>
                <w:sz w:val="18"/>
                <w:szCs w:val="18"/>
              </w:rPr>
              <w:t>WIPO currently has a very small number of staff (10) in offices away from Geneva. Duty stations are New York, Tokyo, Singapore and Rio de Janeiro. Offices in Moscow and Be</w:t>
            </w:r>
            <w:r w:rsidR="007132D7">
              <w:rPr>
                <w:sz w:val="18"/>
                <w:szCs w:val="18"/>
              </w:rPr>
              <w:t>i</w:t>
            </w:r>
            <w:r>
              <w:rPr>
                <w:sz w:val="18"/>
                <w:szCs w:val="18"/>
              </w:rPr>
              <w:t>jing will be opened in the second half of 2014.</w:t>
            </w:r>
            <w:r w:rsidR="00C64D0E">
              <w:rPr>
                <w:sz w:val="18"/>
                <w:szCs w:val="18"/>
              </w:rPr>
              <w:t xml:space="preserve"> </w:t>
            </w:r>
            <w:r w:rsidR="007132D7">
              <w:rPr>
                <w:sz w:val="18"/>
                <w:szCs w:val="18"/>
              </w:rPr>
              <w:t xml:space="preserve">  </w:t>
            </w:r>
            <w:r w:rsidR="00C64D0E">
              <w:rPr>
                <w:sz w:val="18"/>
                <w:szCs w:val="18"/>
              </w:rPr>
              <w:t>Any challenges faced by staff specifically in the field will be detailed in the Annual HR Report</w:t>
            </w:r>
            <w:r w:rsidR="00450047">
              <w:rPr>
                <w:sz w:val="18"/>
                <w:szCs w:val="18"/>
              </w:rPr>
              <w:t>.</w:t>
            </w:r>
          </w:p>
          <w:p w:rsidR="00450047" w:rsidRPr="0002233A" w:rsidRDefault="00450047" w:rsidP="00290A3F">
            <w:pPr>
              <w:rPr>
                <w:sz w:val="18"/>
                <w:szCs w:val="18"/>
              </w:rPr>
            </w:pPr>
          </w:p>
        </w:tc>
      </w:tr>
      <w:tr w:rsidR="00D252C2" w:rsidRPr="0002233A" w:rsidTr="00B60433">
        <w:trPr>
          <w:cantSplit/>
        </w:trPr>
        <w:tc>
          <w:tcPr>
            <w:tcW w:w="2628" w:type="dxa"/>
          </w:tcPr>
          <w:p w:rsidR="00D252C2" w:rsidRPr="0002233A" w:rsidRDefault="00D252C2" w:rsidP="009D1FD9">
            <w:pPr>
              <w:rPr>
                <w:sz w:val="18"/>
                <w:szCs w:val="18"/>
              </w:rPr>
            </w:pPr>
            <w:r w:rsidRPr="0002233A">
              <w:rPr>
                <w:sz w:val="18"/>
                <w:szCs w:val="18"/>
              </w:rPr>
              <w:t>Rec. 8. The legislative or Governing Bodies of the organizations under review should mandate their Executive Heads to prioritize the development of a burden-sharing formula and agreement with regard to financing all costs associated with the representational function of officials of staff federations that are recognized in the ICSC statutes and rules of procedures.</w:t>
            </w:r>
          </w:p>
        </w:tc>
        <w:tc>
          <w:tcPr>
            <w:tcW w:w="1350" w:type="dxa"/>
          </w:tcPr>
          <w:p w:rsidR="00450047" w:rsidRDefault="00450047" w:rsidP="00E34FBC">
            <w:pPr>
              <w:rPr>
                <w:sz w:val="18"/>
                <w:szCs w:val="18"/>
              </w:rPr>
            </w:pPr>
          </w:p>
          <w:p w:rsidR="00D252C2" w:rsidRPr="0002233A" w:rsidRDefault="00D252C2" w:rsidP="00E34FBC">
            <w:pPr>
              <w:rPr>
                <w:sz w:val="18"/>
                <w:szCs w:val="18"/>
              </w:rPr>
            </w:pPr>
            <w:r w:rsidRPr="0002233A">
              <w:rPr>
                <w:sz w:val="18"/>
                <w:szCs w:val="18"/>
              </w:rPr>
              <w:t>Director, HRMD</w:t>
            </w:r>
          </w:p>
        </w:tc>
        <w:tc>
          <w:tcPr>
            <w:tcW w:w="1350" w:type="dxa"/>
          </w:tcPr>
          <w:p w:rsidR="00450047" w:rsidRDefault="00450047" w:rsidP="00E34FBC">
            <w:pPr>
              <w:rPr>
                <w:sz w:val="18"/>
                <w:szCs w:val="18"/>
              </w:rPr>
            </w:pPr>
          </w:p>
          <w:p w:rsidR="00D252C2" w:rsidRPr="0002233A" w:rsidRDefault="00D252C2" w:rsidP="00E34FBC">
            <w:pPr>
              <w:rPr>
                <w:sz w:val="18"/>
                <w:szCs w:val="18"/>
              </w:rPr>
            </w:pPr>
            <w:r w:rsidRPr="0002233A">
              <w:rPr>
                <w:sz w:val="18"/>
                <w:szCs w:val="18"/>
              </w:rPr>
              <w:t>Under consideration</w:t>
            </w:r>
          </w:p>
        </w:tc>
        <w:tc>
          <w:tcPr>
            <w:tcW w:w="1620" w:type="dxa"/>
          </w:tcPr>
          <w:p w:rsidR="00D252C2" w:rsidRPr="0002233A" w:rsidRDefault="00D252C2" w:rsidP="00E34FBC">
            <w:pPr>
              <w:rPr>
                <w:sz w:val="18"/>
                <w:szCs w:val="18"/>
              </w:rPr>
            </w:pPr>
          </w:p>
        </w:tc>
        <w:tc>
          <w:tcPr>
            <w:tcW w:w="2628" w:type="dxa"/>
          </w:tcPr>
          <w:p w:rsidR="00450047" w:rsidRDefault="00450047" w:rsidP="00241913">
            <w:pPr>
              <w:spacing w:after="200" w:line="276" w:lineRule="auto"/>
              <w:rPr>
                <w:rFonts w:eastAsiaTheme="minorHAnsi"/>
                <w:sz w:val="18"/>
                <w:szCs w:val="18"/>
                <w:lang w:eastAsia="en-US"/>
              </w:rPr>
            </w:pPr>
          </w:p>
          <w:p w:rsidR="00241913" w:rsidRPr="00241913" w:rsidRDefault="00241913" w:rsidP="00241913">
            <w:pPr>
              <w:spacing w:after="200" w:line="276" w:lineRule="auto"/>
              <w:rPr>
                <w:rFonts w:eastAsiaTheme="minorHAnsi"/>
                <w:sz w:val="18"/>
                <w:szCs w:val="18"/>
                <w:lang w:eastAsia="en-US"/>
              </w:rPr>
            </w:pPr>
            <w:r w:rsidRPr="00241913">
              <w:rPr>
                <w:rFonts w:eastAsiaTheme="minorHAnsi"/>
                <w:sz w:val="18"/>
                <w:szCs w:val="18"/>
                <w:lang w:eastAsia="en-US"/>
              </w:rPr>
              <w:t>This recommendation is under consideration in WIPO.</w:t>
            </w:r>
          </w:p>
          <w:p w:rsidR="00D252C2" w:rsidRDefault="00241913" w:rsidP="00241913">
            <w:pPr>
              <w:rPr>
                <w:sz w:val="18"/>
                <w:szCs w:val="18"/>
              </w:rPr>
            </w:pPr>
            <w:r w:rsidRPr="00241913">
              <w:rPr>
                <w:rFonts w:eastAsiaTheme="minorHAnsi"/>
                <w:sz w:val="18"/>
                <w:szCs w:val="18"/>
                <w:lang w:eastAsia="en-US"/>
              </w:rPr>
              <w:t>WIPO currently funds the  General Secretary of FICSA who is a WIPO staff member on full-time release to FICSA until February 2015.</w:t>
            </w:r>
          </w:p>
          <w:p w:rsidR="00241913" w:rsidRDefault="00241913" w:rsidP="00E34FBC">
            <w:pPr>
              <w:rPr>
                <w:sz w:val="18"/>
                <w:szCs w:val="18"/>
              </w:rPr>
            </w:pPr>
          </w:p>
          <w:p w:rsidR="00241913" w:rsidRPr="0002233A" w:rsidRDefault="00241913" w:rsidP="00E34FBC">
            <w:pPr>
              <w:rPr>
                <w:sz w:val="18"/>
                <w:szCs w:val="18"/>
              </w:rPr>
            </w:pPr>
          </w:p>
        </w:tc>
      </w:tr>
      <w:tr w:rsidR="00D252C2" w:rsidRPr="0002233A" w:rsidTr="009F2CDC">
        <w:tc>
          <w:tcPr>
            <w:tcW w:w="9576" w:type="dxa"/>
            <w:gridSpan w:val="5"/>
            <w:shd w:val="clear" w:color="auto" w:fill="DAEEF3" w:themeFill="accent5" w:themeFillTint="33"/>
            <w:vAlign w:val="center"/>
          </w:tcPr>
          <w:p w:rsidR="00D252C2" w:rsidRDefault="00D252C2" w:rsidP="0057361E">
            <w:pPr>
              <w:jc w:val="center"/>
              <w:rPr>
                <w:b/>
                <w:sz w:val="18"/>
                <w:szCs w:val="18"/>
              </w:rPr>
            </w:pPr>
          </w:p>
          <w:p w:rsidR="00D252C2" w:rsidRDefault="00D252C2" w:rsidP="0057361E">
            <w:pPr>
              <w:jc w:val="center"/>
              <w:rPr>
                <w:b/>
                <w:sz w:val="18"/>
                <w:szCs w:val="18"/>
              </w:rPr>
            </w:pPr>
            <w:r w:rsidRPr="0002233A">
              <w:rPr>
                <w:b/>
                <w:sz w:val="18"/>
                <w:szCs w:val="18"/>
              </w:rPr>
              <w:t>JIU/REP/2012</w:t>
            </w:r>
            <w:r>
              <w:rPr>
                <w:b/>
                <w:sz w:val="18"/>
                <w:szCs w:val="18"/>
              </w:rPr>
              <w:t>/12</w:t>
            </w:r>
            <w:r w:rsidRPr="0002233A">
              <w:rPr>
                <w:b/>
                <w:sz w:val="18"/>
                <w:szCs w:val="18"/>
              </w:rPr>
              <w:t xml:space="preserve">, </w:t>
            </w:r>
            <w:r>
              <w:rPr>
                <w:b/>
                <w:sz w:val="18"/>
                <w:szCs w:val="18"/>
              </w:rPr>
              <w:t>“</w:t>
            </w:r>
            <w:r w:rsidRPr="0002233A">
              <w:rPr>
                <w:b/>
                <w:sz w:val="18"/>
                <w:szCs w:val="18"/>
              </w:rPr>
              <w:t>Strategic planning in the United Nations system</w:t>
            </w:r>
            <w:r>
              <w:rPr>
                <w:b/>
                <w:sz w:val="18"/>
                <w:szCs w:val="18"/>
              </w:rPr>
              <w:t>”</w:t>
            </w:r>
          </w:p>
          <w:p w:rsidR="00D252C2" w:rsidRPr="0002233A" w:rsidRDefault="00D252C2" w:rsidP="0057361E">
            <w:pPr>
              <w:jc w:val="center"/>
              <w:rPr>
                <w:sz w:val="18"/>
                <w:szCs w:val="18"/>
              </w:rPr>
            </w:pPr>
          </w:p>
        </w:tc>
      </w:tr>
      <w:tr w:rsidR="00D252C2" w:rsidRPr="0002233A" w:rsidTr="00B60433">
        <w:tc>
          <w:tcPr>
            <w:tcW w:w="2628" w:type="dxa"/>
          </w:tcPr>
          <w:p w:rsidR="00D252C2" w:rsidRPr="0002233A" w:rsidRDefault="00D252C2" w:rsidP="00A83674">
            <w:pPr>
              <w:rPr>
                <w:sz w:val="18"/>
                <w:szCs w:val="18"/>
              </w:rPr>
            </w:pPr>
            <w:r w:rsidRPr="0002233A">
              <w:rPr>
                <w:sz w:val="18"/>
                <w:szCs w:val="18"/>
              </w:rPr>
              <w:t>Rec. 4. The legislative bodies of the United Nations system organizations should formulate and define relevant system-wide sector</w:t>
            </w:r>
            <w:r>
              <w:rPr>
                <w:sz w:val="18"/>
                <w:szCs w:val="18"/>
              </w:rPr>
              <w:t>i</w:t>
            </w:r>
            <w:r w:rsidRPr="0002233A">
              <w:rPr>
                <w:sz w:val="18"/>
                <w:szCs w:val="18"/>
              </w:rPr>
              <w:t>al strategic frameworks through the Economic and Social Council to address the long</w:t>
            </w:r>
            <w:r>
              <w:rPr>
                <w:sz w:val="18"/>
                <w:szCs w:val="18"/>
              </w:rPr>
              <w:noBreakHyphen/>
            </w:r>
            <w:r w:rsidRPr="0002233A">
              <w:rPr>
                <w:sz w:val="18"/>
                <w:szCs w:val="18"/>
              </w:rPr>
              <w:t>term goals established by the 2005 World Summit Outcome, adopted by the General Assembly in resolution 60/1, as well as those established by the missions and mandates of the system organizations as a result of global conferences.</w:t>
            </w:r>
          </w:p>
        </w:tc>
        <w:tc>
          <w:tcPr>
            <w:tcW w:w="1350" w:type="dxa"/>
          </w:tcPr>
          <w:p w:rsidR="00450047" w:rsidRDefault="00450047">
            <w:pPr>
              <w:rPr>
                <w:sz w:val="18"/>
                <w:szCs w:val="18"/>
              </w:rPr>
            </w:pPr>
          </w:p>
          <w:p w:rsidR="00D252C2" w:rsidRDefault="00D252C2">
            <w:pPr>
              <w:rPr>
                <w:sz w:val="18"/>
                <w:szCs w:val="18"/>
              </w:rPr>
            </w:pPr>
            <w:r>
              <w:rPr>
                <w:sz w:val="18"/>
                <w:szCs w:val="18"/>
              </w:rPr>
              <w:t xml:space="preserve">Director, </w:t>
            </w:r>
            <w:r w:rsidR="00450047">
              <w:rPr>
                <w:sz w:val="18"/>
                <w:szCs w:val="18"/>
              </w:rPr>
              <w:t>DPPF</w:t>
            </w:r>
          </w:p>
          <w:p w:rsidR="00D252C2" w:rsidRDefault="00D252C2">
            <w:pPr>
              <w:rPr>
                <w:sz w:val="18"/>
                <w:szCs w:val="18"/>
              </w:rPr>
            </w:pPr>
            <w:r>
              <w:rPr>
                <w:sz w:val="18"/>
                <w:szCs w:val="18"/>
              </w:rPr>
              <w:t>(Controller)</w:t>
            </w:r>
          </w:p>
          <w:p w:rsidR="00D252C2" w:rsidRPr="0002233A" w:rsidRDefault="00D252C2">
            <w:pPr>
              <w:rPr>
                <w:sz w:val="18"/>
                <w:szCs w:val="18"/>
              </w:rPr>
            </w:pPr>
          </w:p>
        </w:tc>
        <w:tc>
          <w:tcPr>
            <w:tcW w:w="1350" w:type="dxa"/>
          </w:tcPr>
          <w:p w:rsidR="00450047" w:rsidRDefault="00450047">
            <w:pPr>
              <w:rPr>
                <w:sz w:val="18"/>
                <w:szCs w:val="18"/>
              </w:rPr>
            </w:pPr>
          </w:p>
          <w:p w:rsidR="00D252C2" w:rsidRPr="0002233A" w:rsidRDefault="00D252C2">
            <w:pPr>
              <w:rPr>
                <w:sz w:val="18"/>
                <w:szCs w:val="18"/>
              </w:rPr>
            </w:pPr>
            <w:r w:rsidRPr="0002233A">
              <w:rPr>
                <w:sz w:val="18"/>
                <w:szCs w:val="18"/>
              </w:rPr>
              <w:t>Under consideration</w:t>
            </w:r>
          </w:p>
        </w:tc>
        <w:tc>
          <w:tcPr>
            <w:tcW w:w="1620" w:type="dxa"/>
          </w:tcPr>
          <w:p w:rsidR="00D252C2" w:rsidRPr="0002233A" w:rsidRDefault="00D252C2">
            <w:pPr>
              <w:rPr>
                <w:sz w:val="18"/>
                <w:szCs w:val="18"/>
              </w:rPr>
            </w:pPr>
          </w:p>
        </w:tc>
        <w:tc>
          <w:tcPr>
            <w:tcW w:w="2628" w:type="dxa"/>
          </w:tcPr>
          <w:p w:rsidR="00450047" w:rsidRDefault="00450047" w:rsidP="00130EFE">
            <w:pPr>
              <w:rPr>
                <w:sz w:val="18"/>
                <w:szCs w:val="18"/>
              </w:rPr>
            </w:pPr>
          </w:p>
          <w:p w:rsidR="00D252C2" w:rsidRDefault="00D252C2" w:rsidP="00130EFE">
            <w:pPr>
              <w:rPr>
                <w:sz w:val="18"/>
                <w:szCs w:val="18"/>
              </w:rPr>
            </w:pPr>
            <w:r w:rsidRPr="005E2761">
              <w:rPr>
                <w:sz w:val="18"/>
                <w:szCs w:val="18"/>
              </w:rPr>
              <w:t>WIPO’s current medium term strategic plan (MTSP) covers the 2010</w:t>
            </w:r>
            <w:r>
              <w:rPr>
                <w:sz w:val="18"/>
                <w:szCs w:val="18"/>
              </w:rPr>
              <w:t>-</w:t>
            </w:r>
            <w:r w:rsidRPr="005E2761">
              <w:rPr>
                <w:sz w:val="18"/>
                <w:szCs w:val="18"/>
              </w:rPr>
              <w:t>15</w:t>
            </w:r>
            <w:r>
              <w:rPr>
                <w:sz w:val="18"/>
                <w:szCs w:val="18"/>
              </w:rPr>
              <w:t xml:space="preserve"> time frame</w:t>
            </w:r>
            <w:r w:rsidRPr="005E2761">
              <w:rPr>
                <w:sz w:val="18"/>
                <w:szCs w:val="18"/>
              </w:rPr>
              <w:t xml:space="preserve"> and the WIPO Results Framework is developed on a biennial basis. Given the technical and specialized nature of WIPO’s work neither of these strategic planning tools are formulated or defined through the UN Economic and Social Council. WIPO remains focused on playing its part in helping to realize the MDGs.</w:t>
            </w:r>
            <w:r>
              <w:rPr>
                <w:sz w:val="18"/>
                <w:szCs w:val="18"/>
              </w:rPr>
              <w:t xml:space="preserve"> </w:t>
            </w:r>
            <w:r w:rsidRPr="005E2761">
              <w:rPr>
                <w:sz w:val="18"/>
                <w:szCs w:val="18"/>
              </w:rPr>
              <w:t xml:space="preserve"> Our </w:t>
            </w:r>
            <w:r>
              <w:rPr>
                <w:sz w:val="18"/>
                <w:szCs w:val="18"/>
              </w:rPr>
              <w:t>D</w:t>
            </w:r>
            <w:r w:rsidRPr="005E2761">
              <w:rPr>
                <w:sz w:val="18"/>
                <w:szCs w:val="18"/>
              </w:rPr>
              <w:t>evelopment</w:t>
            </w:r>
            <w:r>
              <w:rPr>
                <w:sz w:val="18"/>
                <w:szCs w:val="18"/>
              </w:rPr>
              <w:t xml:space="preserve"> Agenda</w:t>
            </w:r>
            <w:r w:rsidRPr="005E2761">
              <w:rPr>
                <w:sz w:val="18"/>
                <w:szCs w:val="18"/>
              </w:rPr>
              <w:t xml:space="preserve"> related activities underline our commitment to assist Member States benefit from the use of the intellectual property system for economic, social and cultural development. </w:t>
            </w:r>
            <w:r w:rsidRPr="005E2761">
              <w:rPr>
                <w:sz w:val="18"/>
                <w:szCs w:val="18"/>
              </w:rPr>
              <w:lastRenderedPageBreak/>
              <w:t>While WIPO does undertake important work in this regard, given the nature of our support, it can be difficult to directly plan and attribute this to the achievement of MDGs.</w:t>
            </w:r>
          </w:p>
          <w:p w:rsidR="00D252C2" w:rsidRPr="0002233A" w:rsidRDefault="00D252C2" w:rsidP="00130EFE">
            <w:pPr>
              <w:rPr>
                <w:sz w:val="18"/>
                <w:szCs w:val="18"/>
              </w:rPr>
            </w:pPr>
          </w:p>
        </w:tc>
      </w:tr>
      <w:tr w:rsidR="00D252C2" w:rsidRPr="0002233A" w:rsidTr="00B60433">
        <w:tc>
          <w:tcPr>
            <w:tcW w:w="2628" w:type="dxa"/>
          </w:tcPr>
          <w:p w:rsidR="00D252C2" w:rsidRPr="0002233A" w:rsidRDefault="00D252C2" w:rsidP="0057361E">
            <w:pPr>
              <w:rPr>
                <w:sz w:val="18"/>
                <w:szCs w:val="18"/>
              </w:rPr>
            </w:pPr>
            <w:r w:rsidRPr="0002233A">
              <w:rPr>
                <w:sz w:val="18"/>
                <w:szCs w:val="18"/>
              </w:rPr>
              <w:lastRenderedPageBreak/>
              <w:t>Rec. 5. The legislative bodies of the United Nations system organizations should instruct their respective secretariats to adopt the necessary measures by the end of 2015 to harmonize and/or align the planning cycles of their strategic plans so that all the organizations are ready to start a new harmonized reporting cycle to Member States in 2016.</w:t>
            </w:r>
          </w:p>
        </w:tc>
        <w:tc>
          <w:tcPr>
            <w:tcW w:w="1350" w:type="dxa"/>
          </w:tcPr>
          <w:p w:rsidR="00450047" w:rsidRDefault="00450047" w:rsidP="00D757DD">
            <w:pPr>
              <w:rPr>
                <w:sz w:val="18"/>
                <w:szCs w:val="18"/>
              </w:rPr>
            </w:pPr>
          </w:p>
          <w:p w:rsidR="00D252C2" w:rsidRDefault="00D252C2" w:rsidP="00D757DD">
            <w:pPr>
              <w:rPr>
                <w:sz w:val="18"/>
                <w:szCs w:val="18"/>
              </w:rPr>
            </w:pPr>
            <w:r>
              <w:rPr>
                <w:sz w:val="18"/>
                <w:szCs w:val="18"/>
              </w:rPr>
              <w:t xml:space="preserve">Director, </w:t>
            </w:r>
            <w:r w:rsidR="00450047">
              <w:rPr>
                <w:sz w:val="18"/>
                <w:szCs w:val="18"/>
              </w:rPr>
              <w:t>DPPF</w:t>
            </w:r>
            <w:r>
              <w:rPr>
                <w:sz w:val="18"/>
                <w:szCs w:val="18"/>
              </w:rPr>
              <w:t xml:space="preserve"> </w:t>
            </w:r>
          </w:p>
          <w:p w:rsidR="00D252C2" w:rsidRDefault="00D252C2" w:rsidP="00D757DD">
            <w:pPr>
              <w:rPr>
                <w:sz w:val="18"/>
                <w:szCs w:val="18"/>
              </w:rPr>
            </w:pPr>
            <w:r>
              <w:rPr>
                <w:sz w:val="18"/>
                <w:szCs w:val="18"/>
              </w:rPr>
              <w:t>(Controller)</w:t>
            </w:r>
          </w:p>
          <w:p w:rsidR="00D252C2" w:rsidRPr="0002233A" w:rsidRDefault="00D252C2" w:rsidP="00D757DD">
            <w:pPr>
              <w:rPr>
                <w:sz w:val="18"/>
                <w:szCs w:val="18"/>
              </w:rPr>
            </w:pPr>
          </w:p>
        </w:tc>
        <w:tc>
          <w:tcPr>
            <w:tcW w:w="1350" w:type="dxa"/>
          </w:tcPr>
          <w:p w:rsidR="00450047" w:rsidRDefault="00450047">
            <w:pPr>
              <w:rPr>
                <w:sz w:val="18"/>
                <w:szCs w:val="18"/>
              </w:rPr>
            </w:pPr>
          </w:p>
          <w:p w:rsidR="00D252C2" w:rsidRPr="0002233A" w:rsidRDefault="00450047">
            <w:pPr>
              <w:rPr>
                <w:sz w:val="18"/>
                <w:szCs w:val="18"/>
              </w:rPr>
            </w:pPr>
            <w:r>
              <w:rPr>
                <w:sz w:val="18"/>
                <w:szCs w:val="18"/>
              </w:rPr>
              <w:t>Accepted</w:t>
            </w:r>
          </w:p>
        </w:tc>
        <w:tc>
          <w:tcPr>
            <w:tcW w:w="1620" w:type="dxa"/>
          </w:tcPr>
          <w:p w:rsidR="00450047" w:rsidRDefault="00450047">
            <w:pPr>
              <w:rPr>
                <w:sz w:val="18"/>
                <w:szCs w:val="18"/>
              </w:rPr>
            </w:pPr>
          </w:p>
          <w:p w:rsidR="00D252C2" w:rsidRPr="0002233A" w:rsidRDefault="00450047">
            <w:pPr>
              <w:rPr>
                <w:sz w:val="18"/>
                <w:szCs w:val="18"/>
              </w:rPr>
            </w:pPr>
            <w:r>
              <w:rPr>
                <w:sz w:val="18"/>
                <w:szCs w:val="18"/>
              </w:rPr>
              <w:t>Implemented</w:t>
            </w:r>
          </w:p>
        </w:tc>
        <w:tc>
          <w:tcPr>
            <w:tcW w:w="2628" w:type="dxa"/>
            <w:shd w:val="clear" w:color="auto" w:fill="auto"/>
          </w:tcPr>
          <w:p w:rsidR="00450047" w:rsidRDefault="00450047" w:rsidP="004E2110">
            <w:pPr>
              <w:rPr>
                <w:sz w:val="18"/>
                <w:szCs w:val="18"/>
              </w:rPr>
            </w:pPr>
          </w:p>
          <w:p w:rsidR="00D252C2" w:rsidRPr="005E2761" w:rsidRDefault="00D252C2" w:rsidP="004E2110">
            <w:pPr>
              <w:rPr>
                <w:sz w:val="18"/>
                <w:szCs w:val="18"/>
              </w:rPr>
            </w:pPr>
            <w:r w:rsidRPr="005E2761">
              <w:rPr>
                <w:sz w:val="18"/>
                <w:szCs w:val="18"/>
              </w:rPr>
              <w:t>WIPO’s current medium term strategic plan (MTSP) covers the time frame of 2010-2015</w:t>
            </w:r>
            <w:r>
              <w:rPr>
                <w:sz w:val="18"/>
                <w:szCs w:val="18"/>
              </w:rPr>
              <w:t xml:space="preserve"> and is therefore aligned with the proposal.  However it must be borne in mind that the duration of WIPO’s planning cycle is currently six years</w:t>
            </w:r>
            <w:r w:rsidRPr="005E2761">
              <w:rPr>
                <w:sz w:val="18"/>
                <w:szCs w:val="18"/>
              </w:rPr>
              <w:t>.</w:t>
            </w:r>
          </w:p>
        </w:tc>
      </w:tr>
      <w:tr w:rsidR="00D252C2" w:rsidRPr="0002233A" w:rsidTr="00E50D3C">
        <w:trPr>
          <w:cantSplit/>
        </w:trPr>
        <w:tc>
          <w:tcPr>
            <w:tcW w:w="9576" w:type="dxa"/>
            <w:gridSpan w:val="5"/>
            <w:shd w:val="clear" w:color="auto" w:fill="auto"/>
            <w:vAlign w:val="center"/>
          </w:tcPr>
          <w:p w:rsidR="00D252C2" w:rsidRDefault="00D252C2" w:rsidP="00D20D7D">
            <w:pPr>
              <w:jc w:val="center"/>
              <w:rPr>
                <w:b/>
                <w:sz w:val="18"/>
                <w:szCs w:val="18"/>
              </w:rPr>
            </w:pPr>
          </w:p>
          <w:p w:rsidR="00D252C2" w:rsidRPr="00E50D3C" w:rsidRDefault="00D252C2" w:rsidP="00D20D7D">
            <w:pPr>
              <w:jc w:val="center"/>
            </w:pPr>
            <w:r w:rsidRPr="00E50D3C">
              <w:rPr>
                <w:b/>
              </w:rPr>
              <w:t>Recommendations from JIU Reviews held in 2011</w:t>
            </w:r>
          </w:p>
          <w:p w:rsidR="00D252C2" w:rsidRPr="005E2761" w:rsidRDefault="00D252C2" w:rsidP="00D20D7D">
            <w:pPr>
              <w:jc w:val="center"/>
              <w:rPr>
                <w:sz w:val="18"/>
                <w:szCs w:val="18"/>
              </w:rPr>
            </w:pPr>
          </w:p>
        </w:tc>
      </w:tr>
      <w:tr w:rsidR="00D252C2" w:rsidRPr="0002233A" w:rsidTr="009F2CDC">
        <w:tc>
          <w:tcPr>
            <w:tcW w:w="9576" w:type="dxa"/>
            <w:gridSpan w:val="5"/>
            <w:shd w:val="clear" w:color="auto" w:fill="DAEEF3" w:themeFill="accent5" w:themeFillTint="33"/>
            <w:vAlign w:val="center"/>
          </w:tcPr>
          <w:p w:rsidR="00D252C2" w:rsidRDefault="00D252C2" w:rsidP="00A56AC3">
            <w:pPr>
              <w:jc w:val="center"/>
              <w:rPr>
                <w:b/>
                <w:sz w:val="18"/>
                <w:szCs w:val="18"/>
              </w:rPr>
            </w:pPr>
          </w:p>
          <w:p w:rsidR="00D252C2" w:rsidRDefault="00D252C2" w:rsidP="00A56AC3">
            <w:pPr>
              <w:jc w:val="center"/>
              <w:rPr>
                <w:b/>
                <w:sz w:val="18"/>
                <w:szCs w:val="18"/>
              </w:rPr>
            </w:pPr>
            <w:r>
              <w:rPr>
                <w:b/>
                <w:sz w:val="18"/>
                <w:szCs w:val="18"/>
              </w:rPr>
              <w:t>JIU/REP/2011/1, “</w:t>
            </w:r>
            <w:r w:rsidRPr="003A3ED6">
              <w:rPr>
                <w:b/>
                <w:sz w:val="18"/>
                <w:szCs w:val="18"/>
              </w:rPr>
              <w:t>Review of the medical service in the United Nations system</w:t>
            </w:r>
            <w:r>
              <w:rPr>
                <w:b/>
                <w:sz w:val="18"/>
                <w:szCs w:val="18"/>
              </w:rPr>
              <w:t>”</w:t>
            </w:r>
          </w:p>
          <w:p w:rsidR="00D252C2" w:rsidRDefault="00D252C2" w:rsidP="00A56AC3">
            <w:pPr>
              <w:jc w:val="center"/>
              <w:rPr>
                <w:b/>
                <w:sz w:val="18"/>
                <w:szCs w:val="18"/>
              </w:rPr>
            </w:pPr>
          </w:p>
        </w:tc>
      </w:tr>
      <w:tr w:rsidR="00D252C2" w:rsidRPr="0002233A" w:rsidTr="00B60433">
        <w:tc>
          <w:tcPr>
            <w:tcW w:w="2628" w:type="dxa"/>
          </w:tcPr>
          <w:p w:rsidR="00D252C2" w:rsidRPr="0002233A" w:rsidRDefault="00D252C2" w:rsidP="003A3ED6">
            <w:pPr>
              <w:rPr>
                <w:sz w:val="18"/>
                <w:szCs w:val="18"/>
              </w:rPr>
            </w:pPr>
            <w:r>
              <w:rPr>
                <w:sz w:val="18"/>
                <w:szCs w:val="18"/>
              </w:rPr>
              <w:t>Rec</w:t>
            </w:r>
            <w:r w:rsidRPr="00F65AD6">
              <w:rPr>
                <w:sz w:val="18"/>
                <w:szCs w:val="18"/>
              </w:rPr>
              <w:t>. 2</w:t>
            </w:r>
            <w:r>
              <w:rPr>
                <w:sz w:val="18"/>
                <w:szCs w:val="18"/>
              </w:rPr>
              <w:t xml:space="preserve">. </w:t>
            </w:r>
            <w:r w:rsidRPr="0002233A">
              <w:rPr>
                <w:sz w:val="18"/>
                <w:szCs w:val="18"/>
              </w:rPr>
              <w:t xml:space="preserve"> </w:t>
            </w:r>
            <w:r w:rsidRPr="003A3ED6">
              <w:rPr>
                <w:sz w:val="18"/>
                <w:szCs w:val="18"/>
              </w:rPr>
              <w:t>The legislative bodies of United Nations system organizations should adopt appropriate standards with regard to Occupational Safety and Health issues, taking into account and ensuring compatibility with emerging modifications to the Minimum Operating Safety and Security Standards.</w:t>
            </w:r>
          </w:p>
        </w:tc>
        <w:tc>
          <w:tcPr>
            <w:tcW w:w="1350" w:type="dxa"/>
          </w:tcPr>
          <w:p w:rsidR="00450047" w:rsidRDefault="00450047" w:rsidP="003A3ED6">
            <w:pPr>
              <w:rPr>
                <w:sz w:val="18"/>
                <w:szCs w:val="18"/>
              </w:rPr>
            </w:pPr>
          </w:p>
          <w:p w:rsidR="00D252C2" w:rsidRPr="0002233A" w:rsidRDefault="00D252C2" w:rsidP="003A3ED6">
            <w:pPr>
              <w:rPr>
                <w:sz w:val="18"/>
                <w:szCs w:val="18"/>
              </w:rPr>
            </w:pPr>
            <w:r>
              <w:rPr>
                <w:sz w:val="18"/>
                <w:szCs w:val="18"/>
              </w:rPr>
              <w:t>Director, HRMD</w:t>
            </w:r>
          </w:p>
        </w:tc>
        <w:tc>
          <w:tcPr>
            <w:tcW w:w="1350" w:type="dxa"/>
          </w:tcPr>
          <w:p w:rsidR="00450047" w:rsidRDefault="00450047" w:rsidP="007132D7">
            <w:pPr>
              <w:rPr>
                <w:sz w:val="18"/>
                <w:szCs w:val="18"/>
              </w:rPr>
            </w:pPr>
          </w:p>
          <w:p w:rsidR="00D252C2" w:rsidRPr="0002233A" w:rsidRDefault="00DD3C45" w:rsidP="007132D7">
            <w:pPr>
              <w:rPr>
                <w:sz w:val="18"/>
                <w:szCs w:val="18"/>
              </w:rPr>
            </w:pPr>
            <w:r>
              <w:rPr>
                <w:sz w:val="18"/>
                <w:szCs w:val="18"/>
              </w:rPr>
              <w:t>Accepted</w:t>
            </w:r>
          </w:p>
        </w:tc>
        <w:tc>
          <w:tcPr>
            <w:tcW w:w="1620" w:type="dxa"/>
          </w:tcPr>
          <w:p w:rsidR="00450047" w:rsidRDefault="00450047" w:rsidP="00D63A0F">
            <w:pPr>
              <w:rPr>
                <w:sz w:val="18"/>
                <w:szCs w:val="18"/>
              </w:rPr>
            </w:pPr>
          </w:p>
          <w:p w:rsidR="00D252C2" w:rsidRPr="0002233A" w:rsidRDefault="00157599" w:rsidP="00D63A0F">
            <w:pPr>
              <w:rPr>
                <w:sz w:val="18"/>
                <w:szCs w:val="18"/>
              </w:rPr>
            </w:pPr>
            <w:r>
              <w:rPr>
                <w:sz w:val="18"/>
                <w:szCs w:val="18"/>
              </w:rPr>
              <w:t>In progress</w:t>
            </w:r>
          </w:p>
        </w:tc>
        <w:tc>
          <w:tcPr>
            <w:tcW w:w="2628" w:type="dxa"/>
          </w:tcPr>
          <w:p w:rsidR="00450047" w:rsidRDefault="00450047" w:rsidP="00157599">
            <w:pPr>
              <w:rPr>
                <w:sz w:val="18"/>
                <w:szCs w:val="18"/>
              </w:rPr>
            </w:pPr>
          </w:p>
          <w:p w:rsidR="00D252C2" w:rsidRPr="0002233A" w:rsidRDefault="00157599" w:rsidP="00157599">
            <w:pPr>
              <w:rPr>
                <w:sz w:val="18"/>
                <w:szCs w:val="18"/>
              </w:rPr>
            </w:pPr>
            <w:r>
              <w:rPr>
                <w:sz w:val="18"/>
                <w:szCs w:val="18"/>
              </w:rPr>
              <w:t>An Occupational Health and Safety Committee began its work in WIPO in December 2013 and meets regularly to consider and make recommendations on matters affecting staff health and safety.</w:t>
            </w:r>
          </w:p>
        </w:tc>
      </w:tr>
      <w:tr w:rsidR="00D252C2" w:rsidRPr="0002233A" w:rsidTr="009F2CDC">
        <w:tc>
          <w:tcPr>
            <w:tcW w:w="9576" w:type="dxa"/>
            <w:gridSpan w:val="5"/>
            <w:shd w:val="clear" w:color="auto" w:fill="DAEEF3" w:themeFill="accent5" w:themeFillTint="33"/>
            <w:vAlign w:val="center"/>
          </w:tcPr>
          <w:p w:rsidR="00D252C2" w:rsidRDefault="00D252C2" w:rsidP="00A56AC3">
            <w:pPr>
              <w:jc w:val="center"/>
              <w:rPr>
                <w:b/>
                <w:sz w:val="18"/>
                <w:szCs w:val="18"/>
              </w:rPr>
            </w:pPr>
          </w:p>
          <w:p w:rsidR="00D252C2" w:rsidRDefault="00D252C2" w:rsidP="00A56AC3">
            <w:pPr>
              <w:jc w:val="center"/>
              <w:rPr>
                <w:b/>
                <w:sz w:val="18"/>
                <w:szCs w:val="18"/>
              </w:rPr>
            </w:pPr>
            <w:r w:rsidRPr="0002233A">
              <w:rPr>
                <w:b/>
                <w:sz w:val="18"/>
                <w:szCs w:val="18"/>
              </w:rPr>
              <w:t xml:space="preserve">JIU/REP/2011/3, </w:t>
            </w:r>
            <w:r>
              <w:rPr>
                <w:b/>
                <w:sz w:val="18"/>
                <w:szCs w:val="18"/>
              </w:rPr>
              <w:t>“</w:t>
            </w:r>
            <w:r w:rsidRPr="0002233A">
              <w:rPr>
                <w:b/>
                <w:sz w:val="18"/>
                <w:szCs w:val="18"/>
              </w:rPr>
              <w:t>South-South and Triangular Cooperation in the United Nations System</w:t>
            </w:r>
            <w:r>
              <w:rPr>
                <w:b/>
                <w:sz w:val="18"/>
                <w:szCs w:val="18"/>
              </w:rPr>
              <w:t>”</w:t>
            </w:r>
          </w:p>
          <w:p w:rsidR="00D252C2" w:rsidRPr="0002233A" w:rsidRDefault="00D252C2" w:rsidP="00A56AC3">
            <w:pPr>
              <w:jc w:val="center"/>
              <w:rPr>
                <w:b/>
                <w:sz w:val="18"/>
                <w:szCs w:val="18"/>
              </w:rPr>
            </w:pPr>
          </w:p>
        </w:tc>
      </w:tr>
      <w:tr w:rsidR="00D252C2" w:rsidRPr="0002233A" w:rsidTr="00B60433">
        <w:tc>
          <w:tcPr>
            <w:tcW w:w="2628" w:type="dxa"/>
          </w:tcPr>
          <w:p w:rsidR="00D252C2" w:rsidRDefault="00D252C2">
            <w:pPr>
              <w:rPr>
                <w:sz w:val="18"/>
                <w:szCs w:val="18"/>
              </w:rPr>
            </w:pPr>
            <w:r>
              <w:rPr>
                <w:sz w:val="18"/>
                <w:szCs w:val="18"/>
              </w:rPr>
              <w:t xml:space="preserve">Rec. 3. </w:t>
            </w:r>
            <w:r w:rsidRPr="0002233A">
              <w:rPr>
                <w:sz w:val="18"/>
                <w:szCs w:val="18"/>
              </w:rPr>
              <w:t xml:space="preserve"> The legislative bodies of United Nations system organizations should request the Executive Heads to establish identifiable and dedicated structures, mechanisms and focal points tasked with developing agency-specific corporate policy and support strategy, and ensure coordination on South-South and triangular cooperation within their respective organizations and inter-agencies, through the reallocation of the necessary staff and resources for this purpose, as appropriate.</w:t>
            </w:r>
          </w:p>
          <w:p w:rsidR="00D252C2" w:rsidRDefault="00D252C2">
            <w:pPr>
              <w:rPr>
                <w:sz w:val="18"/>
                <w:szCs w:val="18"/>
              </w:rPr>
            </w:pPr>
          </w:p>
          <w:p w:rsidR="00D252C2" w:rsidRPr="0002233A" w:rsidRDefault="00D252C2">
            <w:pPr>
              <w:rPr>
                <w:sz w:val="18"/>
                <w:szCs w:val="18"/>
              </w:rPr>
            </w:pPr>
          </w:p>
        </w:tc>
        <w:tc>
          <w:tcPr>
            <w:tcW w:w="1350" w:type="dxa"/>
          </w:tcPr>
          <w:p w:rsidR="00450047" w:rsidRDefault="00450047" w:rsidP="00A542A1">
            <w:pPr>
              <w:rPr>
                <w:sz w:val="18"/>
                <w:szCs w:val="18"/>
              </w:rPr>
            </w:pPr>
          </w:p>
          <w:p w:rsidR="00D252C2" w:rsidRDefault="00D252C2" w:rsidP="00A542A1">
            <w:pPr>
              <w:rPr>
                <w:sz w:val="18"/>
                <w:szCs w:val="18"/>
              </w:rPr>
            </w:pPr>
            <w:r>
              <w:rPr>
                <w:sz w:val="18"/>
                <w:szCs w:val="18"/>
              </w:rPr>
              <w:t>Senior Director,</w:t>
            </w:r>
          </w:p>
          <w:p w:rsidR="00D252C2" w:rsidRPr="0002233A" w:rsidRDefault="00D252C2" w:rsidP="00A542A1">
            <w:pPr>
              <w:rPr>
                <w:sz w:val="18"/>
                <w:szCs w:val="18"/>
              </w:rPr>
            </w:pPr>
            <w:r w:rsidRPr="00F65AD6">
              <w:rPr>
                <w:sz w:val="18"/>
                <w:szCs w:val="18"/>
              </w:rPr>
              <w:t>Access to Information and Knowledge Division</w:t>
            </w:r>
          </w:p>
        </w:tc>
        <w:tc>
          <w:tcPr>
            <w:tcW w:w="1350" w:type="dxa"/>
          </w:tcPr>
          <w:p w:rsidR="00450047" w:rsidRDefault="00450047">
            <w:pPr>
              <w:rPr>
                <w:sz w:val="18"/>
                <w:szCs w:val="18"/>
              </w:rPr>
            </w:pPr>
          </w:p>
          <w:p w:rsidR="00D252C2" w:rsidRPr="0002233A" w:rsidRDefault="00D252C2">
            <w:pPr>
              <w:rPr>
                <w:sz w:val="18"/>
                <w:szCs w:val="18"/>
              </w:rPr>
            </w:pPr>
            <w:r>
              <w:rPr>
                <w:sz w:val="18"/>
                <w:szCs w:val="18"/>
              </w:rPr>
              <w:t>Under consideration</w:t>
            </w:r>
          </w:p>
        </w:tc>
        <w:tc>
          <w:tcPr>
            <w:tcW w:w="1620" w:type="dxa"/>
          </w:tcPr>
          <w:p w:rsidR="00D252C2" w:rsidRPr="0002233A" w:rsidRDefault="00D252C2">
            <w:pPr>
              <w:rPr>
                <w:sz w:val="18"/>
                <w:szCs w:val="18"/>
              </w:rPr>
            </w:pPr>
          </w:p>
        </w:tc>
        <w:tc>
          <w:tcPr>
            <w:tcW w:w="2628" w:type="dxa"/>
          </w:tcPr>
          <w:p w:rsidR="00450047" w:rsidRDefault="00450047" w:rsidP="004D0233">
            <w:pPr>
              <w:rPr>
                <w:sz w:val="18"/>
                <w:szCs w:val="18"/>
              </w:rPr>
            </w:pPr>
          </w:p>
          <w:p w:rsidR="00D252C2" w:rsidRDefault="00D252C2" w:rsidP="004D0233">
            <w:pPr>
              <w:rPr>
                <w:sz w:val="18"/>
                <w:szCs w:val="18"/>
              </w:rPr>
            </w:pPr>
            <w:r w:rsidRPr="004D0233">
              <w:rPr>
                <w:sz w:val="18"/>
                <w:szCs w:val="18"/>
              </w:rPr>
              <w:t xml:space="preserve">The Committee on Development and Intellectual Property (CDIP) approved, during its thirteenth session in May 2014, the extension of the Project on “Enhancing South-South Cooperation on Intellectual Property and Development among Developing Countries and LDCs”, for a period of one year in order to allow Member States and the Secretariat “to prepare a proposed roadmap for the mainstreaming of South-South cooperation as a delivery strategy to complement existing approaches and consider establishing a dedicated coordination function, which will also coordinate with other </w:t>
            </w:r>
            <w:r w:rsidRPr="004D0233">
              <w:rPr>
                <w:sz w:val="18"/>
                <w:szCs w:val="18"/>
              </w:rPr>
              <w:lastRenderedPageBreak/>
              <w:t xml:space="preserve">organizations inside and outside the UN system and a formalization of the cooperation with UNOSSC.” (please see paragraph 7 of the summary of the Chair at </w:t>
            </w:r>
            <w:hyperlink r:id="rId11" w:history="1">
              <w:r w:rsidRPr="004D0233">
                <w:rPr>
                  <w:rStyle w:val="Hyperlink"/>
                  <w:sz w:val="18"/>
                  <w:szCs w:val="18"/>
                </w:rPr>
                <w:t>http://www.wipo.int/edocs/mdocs/mdocs/en/cdip_13/cdip_13_summary.pdf</w:t>
              </w:r>
            </w:hyperlink>
            <w:r w:rsidRPr="004D0233">
              <w:rPr>
                <w:sz w:val="18"/>
                <w:szCs w:val="18"/>
              </w:rPr>
              <w:t xml:space="preserve"> and page 6 of annex to document CDIP13/4 at </w:t>
            </w:r>
            <w:hyperlink r:id="rId12" w:history="1">
              <w:r w:rsidRPr="004D0233">
                <w:rPr>
                  <w:rStyle w:val="Hyperlink"/>
                  <w:sz w:val="18"/>
                  <w:szCs w:val="18"/>
                </w:rPr>
                <w:t>http://www.wipo.int/edocs/mdocs/mdocs/en/cdip_13/cdip_13_4.pdf</w:t>
              </w:r>
            </w:hyperlink>
            <w:r w:rsidRPr="004D0233">
              <w:rPr>
                <w:sz w:val="18"/>
                <w:szCs w:val="18"/>
              </w:rPr>
              <w:t>)   The Secretariat is following up this matter.</w:t>
            </w:r>
          </w:p>
          <w:p w:rsidR="00D24317" w:rsidRPr="004D0233" w:rsidRDefault="00D24317" w:rsidP="004D0233">
            <w:pPr>
              <w:rPr>
                <w:sz w:val="18"/>
                <w:szCs w:val="18"/>
              </w:rPr>
            </w:pPr>
          </w:p>
          <w:p w:rsidR="00D252C2" w:rsidRPr="0002233A" w:rsidRDefault="00D252C2" w:rsidP="00043CAD">
            <w:pPr>
              <w:rPr>
                <w:sz w:val="18"/>
                <w:szCs w:val="18"/>
              </w:rPr>
            </w:pPr>
          </w:p>
        </w:tc>
      </w:tr>
      <w:tr w:rsidR="00D252C2" w:rsidRPr="0002233A" w:rsidTr="00B60433">
        <w:tc>
          <w:tcPr>
            <w:tcW w:w="2628" w:type="dxa"/>
          </w:tcPr>
          <w:p w:rsidR="00D252C2" w:rsidRPr="0002233A" w:rsidRDefault="00D252C2" w:rsidP="00F5065B">
            <w:pPr>
              <w:rPr>
                <w:sz w:val="18"/>
                <w:szCs w:val="18"/>
              </w:rPr>
            </w:pPr>
            <w:r>
              <w:rPr>
                <w:sz w:val="18"/>
                <w:szCs w:val="18"/>
              </w:rPr>
              <w:lastRenderedPageBreak/>
              <w:t>Rec. 9.</w:t>
            </w:r>
            <w:r w:rsidRPr="0002233A">
              <w:rPr>
                <w:sz w:val="18"/>
                <w:szCs w:val="18"/>
              </w:rPr>
              <w:t xml:space="preserve"> The legislative and governing bodies of the United Nations system organizations should request the Executive Heads to apportion a specific percentage – not less than 0.5 per cent – of core budget resources for the promotion of South-South cooperation (SSC) in their respective areas of competence, in consultation with </w:t>
            </w:r>
            <w:proofErr w:type="spellStart"/>
            <w:r w:rsidRPr="0002233A">
              <w:rPr>
                <w:sz w:val="18"/>
                <w:szCs w:val="18"/>
              </w:rPr>
              <w:t>programme</w:t>
            </w:r>
            <w:proofErr w:type="spellEnd"/>
            <w:r w:rsidRPr="0002233A">
              <w:rPr>
                <w:sz w:val="18"/>
                <w:szCs w:val="18"/>
              </w:rPr>
              <w:t xml:space="preserve"> countries; and to agree with donor countries to use a specific portion of </w:t>
            </w:r>
            <w:proofErr w:type="spellStart"/>
            <w:r w:rsidRPr="0002233A">
              <w:rPr>
                <w:sz w:val="18"/>
                <w:szCs w:val="18"/>
              </w:rPr>
              <w:t>extrabudgetary</w:t>
            </w:r>
            <w:proofErr w:type="spellEnd"/>
            <w:r w:rsidRPr="0002233A">
              <w:rPr>
                <w:sz w:val="18"/>
                <w:szCs w:val="18"/>
              </w:rPr>
              <w:t xml:space="preserve"> resources to finance SSC and triangular cooperation initiatives.</w:t>
            </w:r>
          </w:p>
        </w:tc>
        <w:tc>
          <w:tcPr>
            <w:tcW w:w="1350" w:type="dxa"/>
          </w:tcPr>
          <w:p w:rsidR="00450047" w:rsidRDefault="00450047">
            <w:pPr>
              <w:rPr>
                <w:sz w:val="18"/>
                <w:szCs w:val="18"/>
              </w:rPr>
            </w:pPr>
          </w:p>
          <w:p w:rsidR="00D252C2" w:rsidRDefault="00D252C2">
            <w:pPr>
              <w:rPr>
                <w:sz w:val="18"/>
                <w:szCs w:val="18"/>
              </w:rPr>
            </w:pPr>
            <w:r>
              <w:rPr>
                <w:sz w:val="18"/>
                <w:szCs w:val="18"/>
              </w:rPr>
              <w:t>Senior Director,</w:t>
            </w:r>
          </w:p>
          <w:p w:rsidR="00D252C2" w:rsidRPr="0002233A" w:rsidRDefault="00D252C2">
            <w:pPr>
              <w:rPr>
                <w:sz w:val="18"/>
                <w:szCs w:val="18"/>
              </w:rPr>
            </w:pPr>
            <w:r w:rsidRPr="00F65AD6">
              <w:rPr>
                <w:sz w:val="18"/>
                <w:szCs w:val="18"/>
              </w:rPr>
              <w:t>Access to Information and Knowledge Division</w:t>
            </w:r>
          </w:p>
        </w:tc>
        <w:tc>
          <w:tcPr>
            <w:tcW w:w="1350" w:type="dxa"/>
          </w:tcPr>
          <w:p w:rsidR="00450047" w:rsidRDefault="00450047">
            <w:pPr>
              <w:rPr>
                <w:sz w:val="18"/>
                <w:szCs w:val="18"/>
              </w:rPr>
            </w:pPr>
          </w:p>
          <w:p w:rsidR="00D252C2" w:rsidRPr="0002233A" w:rsidRDefault="00D252C2">
            <w:pPr>
              <w:rPr>
                <w:sz w:val="18"/>
                <w:szCs w:val="18"/>
              </w:rPr>
            </w:pPr>
            <w:r>
              <w:rPr>
                <w:sz w:val="18"/>
                <w:szCs w:val="18"/>
              </w:rPr>
              <w:t>Under consideration</w:t>
            </w:r>
          </w:p>
        </w:tc>
        <w:tc>
          <w:tcPr>
            <w:tcW w:w="1620" w:type="dxa"/>
          </w:tcPr>
          <w:p w:rsidR="00D252C2" w:rsidRPr="0002233A" w:rsidRDefault="00D252C2">
            <w:pPr>
              <w:rPr>
                <w:sz w:val="18"/>
                <w:szCs w:val="18"/>
              </w:rPr>
            </w:pPr>
          </w:p>
        </w:tc>
        <w:tc>
          <w:tcPr>
            <w:tcW w:w="2628" w:type="dxa"/>
          </w:tcPr>
          <w:p w:rsidR="00450047" w:rsidRDefault="00450047" w:rsidP="004D3A63">
            <w:pPr>
              <w:rPr>
                <w:sz w:val="18"/>
                <w:szCs w:val="18"/>
              </w:rPr>
            </w:pPr>
          </w:p>
          <w:p w:rsidR="00D252C2" w:rsidRPr="0002233A" w:rsidRDefault="00D252C2" w:rsidP="004D3A63">
            <w:pPr>
              <w:rPr>
                <w:sz w:val="18"/>
                <w:szCs w:val="18"/>
              </w:rPr>
            </w:pPr>
            <w:r w:rsidRPr="004D0233">
              <w:rPr>
                <w:sz w:val="18"/>
                <w:szCs w:val="18"/>
              </w:rPr>
              <w:t xml:space="preserve">The Committee on Development and Intellectual Property (CDIP) approved, during its thirteenth session in May 2014, the extension of the Project on “Enhancing South-South Cooperation on Intellectual Property and Development among Developing Countries and LDCs”, for a period of one year in order to allow Member States and the Secretariat “to prepare a proposed roadmap for the mainstreaming of South-South cooperation as a delivery strategy to complement existing approaches and consider establishing a dedicated coordination function, which will also coordinate with other organizations inside and outside the UN system and a formalization of the cooperation with UNOSSC.” (please see paragraph 7 of the summary of the Chair at </w:t>
            </w:r>
            <w:hyperlink r:id="rId13" w:history="1">
              <w:r w:rsidRPr="004D0233">
                <w:rPr>
                  <w:rStyle w:val="Hyperlink"/>
                  <w:sz w:val="18"/>
                  <w:szCs w:val="18"/>
                </w:rPr>
                <w:t>http://www.wipo.int/edocs/mdocs/mdocs/en/cdip_13/cdip_13_summary.pdf</w:t>
              </w:r>
            </w:hyperlink>
            <w:r w:rsidRPr="004D0233">
              <w:rPr>
                <w:sz w:val="18"/>
                <w:szCs w:val="18"/>
              </w:rPr>
              <w:t xml:space="preserve"> and page 6 of annex to document CDIP13/4 at </w:t>
            </w:r>
            <w:hyperlink r:id="rId14" w:history="1">
              <w:r w:rsidRPr="004D0233">
                <w:rPr>
                  <w:rStyle w:val="Hyperlink"/>
                  <w:sz w:val="18"/>
                  <w:szCs w:val="18"/>
                </w:rPr>
                <w:t>http://www.wipo.int/edocs/mdocs/mdocs/en/cdip_13/cdip_13_4.pdf</w:t>
              </w:r>
            </w:hyperlink>
            <w:r w:rsidRPr="004D0233">
              <w:rPr>
                <w:sz w:val="18"/>
                <w:szCs w:val="18"/>
              </w:rPr>
              <w:t>)   The Secretariat is following up this matter.</w:t>
            </w:r>
          </w:p>
        </w:tc>
      </w:tr>
      <w:tr w:rsidR="00D252C2" w:rsidRPr="0002233A" w:rsidTr="009F2CDC">
        <w:tc>
          <w:tcPr>
            <w:tcW w:w="9576" w:type="dxa"/>
            <w:gridSpan w:val="5"/>
            <w:shd w:val="clear" w:color="auto" w:fill="DAEEF3" w:themeFill="accent5" w:themeFillTint="33"/>
            <w:vAlign w:val="center"/>
          </w:tcPr>
          <w:p w:rsidR="00D252C2" w:rsidRDefault="00D252C2" w:rsidP="009A3E70">
            <w:pPr>
              <w:jc w:val="center"/>
              <w:rPr>
                <w:b/>
                <w:sz w:val="18"/>
                <w:szCs w:val="18"/>
              </w:rPr>
            </w:pPr>
          </w:p>
          <w:p w:rsidR="00D252C2" w:rsidRDefault="00D252C2" w:rsidP="009A3E70">
            <w:pPr>
              <w:jc w:val="center"/>
              <w:rPr>
                <w:b/>
                <w:sz w:val="18"/>
                <w:szCs w:val="18"/>
              </w:rPr>
            </w:pPr>
            <w:r>
              <w:rPr>
                <w:b/>
                <w:sz w:val="18"/>
                <w:szCs w:val="18"/>
              </w:rPr>
              <w:t>JIU/REP/2011/4,</w:t>
            </w:r>
            <w:r w:rsidRPr="0002233A">
              <w:rPr>
                <w:b/>
                <w:sz w:val="18"/>
                <w:szCs w:val="18"/>
              </w:rPr>
              <w:t xml:space="preserve"> “Multilingualism in the United Nations system: Status of implementation</w:t>
            </w:r>
            <w:r>
              <w:rPr>
                <w:b/>
                <w:sz w:val="18"/>
                <w:szCs w:val="18"/>
              </w:rPr>
              <w:t>”</w:t>
            </w:r>
          </w:p>
          <w:p w:rsidR="00D252C2" w:rsidRPr="0002233A" w:rsidRDefault="00D252C2" w:rsidP="009A3E70">
            <w:pPr>
              <w:jc w:val="center"/>
              <w:rPr>
                <w:b/>
                <w:sz w:val="18"/>
                <w:szCs w:val="18"/>
              </w:rPr>
            </w:pPr>
          </w:p>
        </w:tc>
      </w:tr>
      <w:tr w:rsidR="00D252C2" w:rsidRPr="0002233A" w:rsidTr="00B60433">
        <w:tc>
          <w:tcPr>
            <w:tcW w:w="2628" w:type="dxa"/>
          </w:tcPr>
          <w:p w:rsidR="00D252C2" w:rsidRPr="0002233A" w:rsidRDefault="00D252C2">
            <w:pPr>
              <w:rPr>
                <w:sz w:val="18"/>
                <w:szCs w:val="18"/>
              </w:rPr>
            </w:pPr>
            <w:r>
              <w:rPr>
                <w:sz w:val="18"/>
                <w:szCs w:val="18"/>
              </w:rPr>
              <w:t xml:space="preserve">Rec. </w:t>
            </w:r>
            <w:r w:rsidRPr="0002233A">
              <w:rPr>
                <w:sz w:val="18"/>
                <w:szCs w:val="18"/>
              </w:rPr>
              <w:t xml:space="preserve">8.  The legislative bodies of the organizations of the United Nations system should ensure that the necessary resources are allocated within </w:t>
            </w:r>
            <w:r w:rsidRPr="0002233A">
              <w:rPr>
                <w:sz w:val="18"/>
                <w:szCs w:val="18"/>
              </w:rPr>
              <w:lastRenderedPageBreak/>
              <w:t>the organizations to achieve effective succession planning and dispense targeted training to candidates to language examinations.</w:t>
            </w:r>
          </w:p>
        </w:tc>
        <w:tc>
          <w:tcPr>
            <w:tcW w:w="1350" w:type="dxa"/>
          </w:tcPr>
          <w:p w:rsidR="00450047" w:rsidRDefault="00450047">
            <w:pPr>
              <w:rPr>
                <w:sz w:val="18"/>
                <w:szCs w:val="18"/>
              </w:rPr>
            </w:pPr>
          </w:p>
          <w:p w:rsidR="00D252C2" w:rsidRPr="0002233A" w:rsidRDefault="00D252C2">
            <w:pPr>
              <w:rPr>
                <w:sz w:val="18"/>
                <w:szCs w:val="18"/>
              </w:rPr>
            </w:pPr>
            <w:r w:rsidRPr="0002233A">
              <w:rPr>
                <w:sz w:val="18"/>
                <w:szCs w:val="18"/>
              </w:rPr>
              <w:t>Director, HRMD</w:t>
            </w:r>
          </w:p>
        </w:tc>
        <w:tc>
          <w:tcPr>
            <w:tcW w:w="1350" w:type="dxa"/>
          </w:tcPr>
          <w:p w:rsidR="00450047" w:rsidRDefault="00450047" w:rsidP="008710C5">
            <w:pPr>
              <w:rPr>
                <w:sz w:val="18"/>
                <w:szCs w:val="18"/>
              </w:rPr>
            </w:pPr>
          </w:p>
          <w:p w:rsidR="00D252C2" w:rsidRPr="0002233A" w:rsidRDefault="00D252C2" w:rsidP="008710C5">
            <w:pPr>
              <w:rPr>
                <w:sz w:val="18"/>
                <w:szCs w:val="18"/>
              </w:rPr>
            </w:pPr>
            <w:r>
              <w:rPr>
                <w:sz w:val="18"/>
                <w:szCs w:val="18"/>
              </w:rPr>
              <w:t>Accepted</w:t>
            </w:r>
          </w:p>
        </w:tc>
        <w:tc>
          <w:tcPr>
            <w:tcW w:w="1620" w:type="dxa"/>
          </w:tcPr>
          <w:p w:rsidR="00450047" w:rsidRDefault="00450047">
            <w:pPr>
              <w:rPr>
                <w:sz w:val="18"/>
                <w:szCs w:val="18"/>
              </w:rPr>
            </w:pPr>
          </w:p>
          <w:p w:rsidR="00D252C2" w:rsidRPr="0002233A" w:rsidRDefault="00450047">
            <w:pPr>
              <w:rPr>
                <w:sz w:val="18"/>
                <w:szCs w:val="18"/>
              </w:rPr>
            </w:pPr>
            <w:r>
              <w:rPr>
                <w:sz w:val="18"/>
                <w:szCs w:val="18"/>
              </w:rPr>
              <w:t>I</w:t>
            </w:r>
            <w:r w:rsidR="007132D7">
              <w:rPr>
                <w:sz w:val="18"/>
                <w:szCs w:val="18"/>
              </w:rPr>
              <w:t>mplemented</w:t>
            </w:r>
          </w:p>
        </w:tc>
        <w:tc>
          <w:tcPr>
            <w:tcW w:w="2628" w:type="dxa"/>
          </w:tcPr>
          <w:p w:rsidR="00450047" w:rsidRDefault="00450047" w:rsidP="008F5BF7">
            <w:pPr>
              <w:rPr>
                <w:sz w:val="18"/>
                <w:szCs w:val="18"/>
              </w:rPr>
            </w:pPr>
          </w:p>
          <w:p w:rsidR="00D252C2" w:rsidRPr="00EF4A24" w:rsidRDefault="00263414" w:rsidP="008F5BF7">
            <w:pPr>
              <w:rPr>
                <w:sz w:val="18"/>
                <w:szCs w:val="18"/>
              </w:rPr>
            </w:pPr>
            <w:r w:rsidRPr="0011416B">
              <w:rPr>
                <w:sz w:val="18"/>
                <w:szCs w:val="18"/>
              </w:rPr>
              <w:t xml:space="preserve">Due to an important geographic shift in WIPO’s service workload there are specific needs with regard to </w:t>
            </w:r>
            <w:r w:rsidRPr="0011416B">
              <w:rPr>
                <w:sz w:val="18"/>
                <w:szCs w:val="18"/>
              </w:rPr>
              <w:lastRenderedPageBreak/>
              <w:t>the need for language staff, which have been identified and are being addressed. WIPO has overcapacity in some languages and a shortage in others and strategies are in place to correct this imbalance</w:t>
            </w:r>
            <w:r>
              <w:rPr>
                <w:sz w:val="18"/>
                <w:szCs w:val="18"/>
              </w:rPr>
              <w:t xml:space="preserve">. </w:t>
            </w:r>
            <w:r w:rsidRPr="0011416B">
              <w:rPr>
                <w:sz w:val="18"/>
                <w:szCs w:val="18"/>
              </w:rPr>
              <w:t xml:space="preserve"> WIPO’s legislative bodies are aware of these strategies</w:t>
            </w:r>
            <w:r>
              <w:rPr>
                <w:sz w:val="18"/>
                <w:szCs w:val="18"/>
              </w:rPr>
              <w:t>.</w:t>
            </w:r>
          </w:p>
        </w:tc>
      </w:tr>
      <w:tr w:rsidR="00D252C2" w:rsidRPr="0002233A" w:rsidTr="00B60433">
        <w:tc>
          <w:tcPr>
            <w:tcW w:w="2628" w:type="dxa"/>
          </w:tcPr>
          <w:p w:rsidR="00D252C2" w:rsidRPr="0002233A" w:rsidRDefault="00D252C2" w:rsidP="006D7D80">
            <w:pPr>
              <w:rPr>
                <w:sz w:val="18"/>
                <w:szCs w:val="18"/>
              </w:rPr>
            </w:pPr>
            <w:r>
              <w:rPr>
                <w:sz w:val="18"/>
                <w:szCs w:val="18"/>
              </w:rPr>
              <w:lastRenderedPageBreak/>
              <w:t xml:space="preserve">Rec. </w:t>
            </w:r>
            <w:r w:rsidRPr="0002233A">
              <w:rPr>
                <w:sz w:val="18"/>
                <w:szCs w:val="18"/>
              </w:rPr>
              <w:t>12</w:t>
            </w:r>
            <w:r>
              <w:rPr>
                <w:sz w:val="18"/>
                <w:szCs w:val="18"/>
              </w:rPr>
              <w:t>.</w:t>
            </w:r>
            <w:r w:rsidRPr="0002233A">
              <w:rPr>
                <w:sz w:val="18"/>
                <w:szCs w:val="18"/>
              </w:rPr>
              <w:t xml:space="preserve">  The legislative bodies of the organizations of the United Nations system should direct and approve the necessary support to the executive heads to develop multilingual websites in all their official or working languages, with due attention to the language specificities of the duty stations concerned.</w:t>
            </w:r>
          </w:p>
        </w:tc>
        <w:tc>
          <w:tcPr>
            <w:tcW w:w="1350" w:type="dxa"/>
          </w:tcPr>
          <w:p w:rsidR="00450047" w:rsidRDefault="00450047">
            <w:pPr>
              <w:rPr>
                <w:sz w:val="18"/>
                <w:szCs w:val="18"/>
              </w:rPr>
            </w:pPr>
          </w:p>
          <w:p w:rsidR="00D252C2" w:rsidRPr="0002233A" w:rsidRDefault="00D252C2">
            <w:pPr>
              <w:rPr>
                <w:sz w:val="18"/>
                <w:szCs w:val="18"/>
              </w:rPr>
            </w:pPr>
            <w:r w:rsidRPr="0002233A">
              <w:rPr>
                <w:sz w:val="18"/>
                <w:szCs w:val="18"/>
              </w:rPr>
              <w:t>Director, Conference and Language Department</w:t>
            </w:r>
          </w:p>
        </w:tc>
        <w:tc>
          <w:tcPr>
            <w:tcW w:w="1350" w:type="dxa"/>
          </w:tcPr>
          <w:p w:rsidR="00450047" w:rsidRDefault="00450047" w:rsidP="008710C5">
            <w:pPr>
              <w:rPr>
                <w:sz w:val="18"/>
                <w:szCs w:val="18"/>
              </w:rPr>
            </w:pPr>
          </w:p>
          <w:p w:rsidR="00D252C2" w:rsidRPr="0002233A" w:rsidRDefault="00D252C2" w:rsidP="008710C5">
            <w:pPr>
              <w:rPr>
                <w:sz w:val="18"/>
                <w:szCs w:val="18"/>
              </w:rPr>
            </w:pPr>
            <w:r>
              <w:rPr>
                <w:sz w:val="18"/>
                <w:szCs w:val="18"/>
              </w:rPr>
              <w:t xml:space="preserve">Accepted </w:t>
            </w:r>
          </w:p>
        </w:tc>
        <w:tc>
          <w:tcPr>
            <w:tcW w:w="1620" w:type="dxa"/>
          </w:tcPr>
          <w:p w:rsidR="00450047" w:rsidRDefault="00450047">
            <w:pPr>
              <w:rPr>
                <w:sz w:val="18"/>
                <w:szCs w:val="18"/>
              </w:rPr>
            </w:pPr>
          </w:p>
          <w:p w:rsidR="00D252C2" w:rsidRPr="0002233A" w:rsidRDefault="00D252C2">
            <w:pPr>
              <w:rPr>
                <w:sz w:val="18"/>
                <w:szCs w:val="18"/>
              </w:rPr>
            </w:pPr>
            <w:r>
              <w:rPr>
                <w:sz w:val="18"/>
                <w:szCs w:val="18"/>
              </w:rPr>
              <w:t>In progress</w:t>
            </w:r>
          </w:p>
        </w:tc>
        <w:tc>
          <w:tcPr>
            <w:tcW w:w="2628" w:type="dxa"/>
          </w:tcPr>
          <w:p w:rsidR="00450047" w:rsidRDefault="00450047" w:rsidP="00EE44CF">
            <w:pPr>
              <w:rPr>
                <w:sz w:val="18"/>
                <w:szCs w:val="18"/>
              </w:rPr>
            </w:pPr>
          </w:p>
          <w:p w:rsidR="00D252C2" w:rsidRPr="0002233A" w:rsidRDefault="00D252C2" w:rsidP="00EE44CF">
            <w:pPr>
              <w:rPr>
                <w:sz w:val="18"/>
                <w:szCs w:val="18"/>
              </w:rPr>
            </w:pPr>
            <w:r w:rsidRPr="00837281">
              <w:rPr>
                <w:sz w:val="18"/>
                <w:szCs w:val="18"/>
              </w:rPr>
              <w:t xml:space="preserve">The WIPO website </w:t>
            </w:r>
            <w:r>
              <w:rPr>
                <w:sz w:val="18"/>
                <w:szCs w:val="18"/>
              </w:rPr>
              <w:t>was already available in six languages. However, the restructured and redesigned website was launched in November 2013. The portal and all top level pages were launched in all six official languages. Translation and implementation of the site into six languages is progressing based on work plans and available resources.</w:t>
            </w:r>
          </w:p>
        </w:tc>
      </w:tr>
      <w:tr w:rsidR="00D252C2" w:rsidRPr="0002233A" w:rsidTr="00B60433">
        <w:tc>
          <w:tcPr>
            <w:tcW w:w="2628" w:type="dxa"/>
          </w:tcPr>
          <w:p w:rsidR="00D252C2" w:rsidRPr="0002233A" w:rsidRDefault="00D252C2" w:rsidP="009D1FD9">
            <w:pPr>
              <w:rPr>
                <w:sz w:val="18"/>
                <w:szCs w:val="18"/>
              </w:rPr>
            </w:pPr>
            <w:r w:rsidRPr="0002233A">
              <w:rPr>
                <w:sz w:val="18"/>
                <w:szCs w:val="18"/>
              </w:rPr>
              <w:t>Rec. 15. As a matter of policy, the legislative bodies of the organizations of the United Nations system should endorse, including through budgetary channels, the arrangements required to ensure effective compliance in delivering the organizations’ core work in all official and working languages.</w:t>
            </w:r>
          </w:p>
        </w:tc>
        <w:tc>
          <w:tcPr>
            <w:tcW w:w="1350" w:type="dxa"/>
          </w:tcPr>
          <w:p w:rsidR="00450047" w:rsidRDefault="00450047">
            <w:pPr>
              <w:rPr>
                <w:sz w:val="18"/>
                <w:szCs w:val="18"/>
              </w:rPr>
            </w:pPr>
          </w:p>
          <w:p w:rsidR="00D252C2" w:rsidRPr="0002233A" w:rsidRDefault="00D252C2">
            <w:pPr>
              <w:rPr>
                <w:sz w:val="18"/>
                <w:szCs w:val="18"/>
              </w:rPr>
            </w:pPr>
            <w:r w:rsidRPr="0002233A">
              <w:rPr>
                <w:sz w:val="18"/>
                <w:szCs w:val="18"/>
              </w:rPr>
              <w:t>Director, Conference and Language Department</w:t>
            </w:r>
          </w:p>
        </w:tc>
        <w:tc>
          <w:tcPr>
            <w:tcW w:w="1350" w:type="dxa"/>
          </w:tcPr>
          <w:p w:rsidR="00450047" w:rsidRDefault="00450047">
            <w:pPr>
              <w:rPr>
                <w:sz w:val="18"/>
                <w:szCs w:val="18"/>
              </w:rPr>
            </w:pPr>
          </w:p>
          <w:p w:rsidR="00D252C2" w:rsidRPr="0002233A" w:rsidRDefault="00D252C2">
            <w:pPr>
              <w:rPr>
                <w:sz w:val="18"/>
                <w:szCs w:val="18"/>
              </w:rPr>
            </w:pPr>
            <w:r>
              <w:rPr>
                <w:sz w:val="18"/>
                <w:szCs w:val="18"/>
              </w:rPr>
              <w:t xml:space="preserve">Accepted </w:t>
            </w:r>
          </w:p>
        </w:tc>
        <w:tc>
          <w:tcPr>
            <w:tcW w:w="1620" w:type="dxa"/>
          </w:tcPr>
          <w:p w:rsidR="00450047" w:rsidRDefault="00450047">
            <w:pPr>
              <w:rPr>
                <w:sz w:val="18"/>
                <w:szCs w:val="18"/>
              </w:rPr>
            </w:pPr>
          </w:p>
          <w:p w:rsidR="00D252C2" w:rsidRPr="0002233A" w:rsidRDefault="00DD3C45">
            <w:pPr>
              <w:rPr>
                <w:sz w:val="18"/>
                <w:szCs w:val="18"/>
              </w:rPr>
            </w:pPr>
            <w:r>
              <w:rPr>
                <w:sz w:val="18"/>
                <w:szCs w:val="18"/>
              </w:rPr>
              <w:t>Implemented</w:t>
            </w:r>
          </w:p>
        </w:tc>
        <w:tc>
          <w:tcPr>
            <w:tcW w:w="2628" w:type="dxa"/>
          </w:tcPr>
          <w:p w:rsidR="00450047" w:rsidRDefault="00450047" w:rsidP="00BB5DB9">
            <w:pPr>
              <w:rPr>
                <w:sz w:val="18"/>
                <w:szCs w:val="18"/>
              </w:rPr>
            </w:pPr>
          </w:p>
          <w:p w:rsidR="00D252C2" w:rsidRPr="00B50572" w:rsidRDefault="00D252C2" w:rsidP="00BB5DB9">
            <w:pPr>
              <w:rPr>
                <w:color w:val="FF0000"/>
                <w:sz w:val="18"/>
                <w:szCs w:val="18"/>
              </w:rPr>
            </w:pPr>
            <w:r w:rsidRPr="0002233A">
              <w:rPr>
                <w:sz w:val="18"/>
                <w:szCs w:val="18"/>
              </w:rPr>
              <w:t xml:space="preserve">Further to the approval of the Policy on Languages in WIPO given during the Assemblies of the WIPO Member States, September 2011, a progress report on the implementation </w:t>
            </w:r>
            <w:r w:rsidRPr="00EE44CF">
              <w:rPr>
                <w:sz w:val="18"/>
                <w:szCs w:val="18"/>
              </w:rPr>
              <w:t xml:space="preserve">of the WIPO Language Policy was presented to the Member States during the meeting of the WIPO Assemblies held in September 2013 </w:t>
            </w:r>
            <w:r w:rsidRPr="000E24DD">
              <w:rPr>
                <w:sz w:val="18"/>
                <w:szCs w:val="18"/>
              </w:rPr>
              <w:t>(A/51/12).</w:t>
            </w:r>
            <w:r w:rsidRPr="00EE44CF">
              <w:rPr>
                <w:sz w:val="18"/>
                <w:szCs w:val="18"/>
              </w:rPr>
              <w:t xml:space="preserve">  The General Assembly has already considered </w:t>
            </w:r>
            <w:r>
              <w:rPr>
                <w:sz w:val="18"/>
                <w:szCs w:val="18"/>
              </w:rPr>
              <w:t>and allotted the</w:t>
            </w:r>
            <w:r w:rsidRPr="00EE44CF">
              <w:rPr>
                <w:sz w:val="18"/>
                <w:szCs w:val="18"/>
              </w:rPr>
              <w:t xml:space="preserve"> necessary funds to implement the Policy effectively.</w:t>
            </w:r>
          </w:p>
        </w:tc>
      </w:tr>
      <w:tr w:rsidR="00D252C2" w:rsidRPr="0002233A" w:rsidTr="009F2CDC">
        <w:tc>
          <w:tcPr>
            <w:tcW w:w="9576" w:type="dxa"/>
            <w:gridSpan w:val="5"/>
            <w:shd w:val="clear" w:color="auto" w:fill="DAEEF3" w:themeFill="accent5" w:themeFillTint="33"/>
            <w:vAlign w:val="center"/>
          </w:tcPr>
          <w:p w:rsidR="00D252C2" w:rsidRDefault="00D252C2" w:rsidP="00552D07">
            <w:pPr>
              <w:jc w:val="center"/>
              <w:rPr>
                <w:b/>
                <w:sz w:val="18"/>
                <w:szCs w:val="18"/>
              </w:rPr>
            </w:pPr>
          </w:p>
          <w:p w:rsidR="00D252C2" w:rsidRDefault="00D252C2" w:rsidP="00552D07">
            <w:pPr>
              <w:jc w:val="center"/>
              <w:rPr>
                <w:b/>
                <w:sz w:val="18"/>
                <w:szCs w:val="18"/>
              </w:rPr>
            </w:pPr>
            <w:r w:rsidRPr="0002233A">
              <w:rPr>
                <w:b/>
                <w:sz w:val="18"/>
                <w:szCs w:val="18"/>
              </w:rPr>
              <w:t xml:space="preserve">JIU/REP/2011/9, </w:t>
            </w:r>
            <w:r>
              <w:rPr>
                <w:b/>
                <w:sz w:val="18"/>
                <w:szCs w:val="18"/>
              </w:rPr>
              <w:t>“</w:t>
            </w:r>
            <w:r w:rsidRPr="0002233A">
              <w:rPr>
                <w:b/>
                <w:sz w:val="18"/>
                <w:szCs w:val="18"/>
              </w:rPr>
              <w:t>Information and communication technology (ICT) governance in United Nations system organizations</w:t>
            </w:r>
            <w:r>
              <w:rPr>
                <w:b/>
                <w:sz w:val="18"/>
                <w:szCs w:val="18"/>
              </w:rPr>
              <w:t>”</w:t>
            </w:r>
          </w:p>
          <w:p w:rsidR="00D252C2" w:rsidRPr="0002233A" w:rsidRDefault="00D252C2" w:rsidP="00552D07">
            <w:pPr>
              <w:jc w:val="center"/>
              <w:rPr>
                <w:b/>
                <w:sz w:val="18"/>
                <w:szCs w:val="18"/>
              </w:rPr>
            </w:pPr>
          </w:p>
        </w:tc>
      </w:tr>
      <w:tr w:rsidR="00D252C2" w:rsidRPr="0002233A" w:rsidTr="00B60433">
        <w:tc>
          <w:tcPr>
            <w:tcW w:w="2628" w:type="dxa"/>
          </w:tcPr>
          <w:p w:rsidR="00D252C2" w:rsidRDefault="00D252C2">
            <w:pPr>
              <w:rPr>
                <w:sz w:val="18"/>
                <w:szCs w:val="18"/>
              </w:rPr>
            </w:pPr>
            <w:r>
              <w:rPr>
                <w:sz w:val="18"/>
                <w:szCs w:val="18"/>
              </w:rPr>
              <w:t xml:space="preserve">Rec. 6. </w:t>
            </w:r>
            <w:r w:rsidRPr="0002233A">
              <w:rPr>
                <w:sz w:val="18"/>
                <w:szCs w:val="18"/>
              </w:rPr>
              <w:t>The legislative bodies of the United Nations system organizations should request the executive heads to present the corporate ICT strategies to Member States for their information and support.</w:t>
            </w:r>
          </w:p>
          <w:p w:rsidR="00D252C2" w:rsidRPr="0002233A" w:rsidRDefault="00D252C2">
            <w:pPr>
              <w:rPr>
                <w:sz w:val="18"/>
                <w:szCs w:val="18"/>
              </w:rPr>
            </w:pPr>
          </w:p>
        </w:tc>
        <w:tc>
          <w:tcPr>
            <w:tcW w:w="1350" w:type="dxa"/>
          </w:tcPr>
          <w:p w:rsidR="00450047" w:rsidRDefault="00450047">
            <w:pPr>
              <w:rPr>
                <w:sz w:val="18"/>
                <w:szCs w:val="18"/>
              </w:rPr>
            </w:pPr>
          </w:p>
          <w:p w:rsidR="00D252C2" w:rsidRPr="0002233A" w:rsidRDefault="00D252C2">
            <w:pPr>
              <w:rPr>
                <w:sz w:val="18"/>
                <w:szCs w:val="18"/>
              </w:rPr>
            </w:pPr>
            <w:r w:rsidRPr="0002233A">
              <w:rPr>
                <w:sz w:val="18"/>
                <w:szCs w:val="18"/>
              </w:rPr>
              <w:t>CIO</w:t>
            </w:r>
          </w:p>
        </w:tc>
        <w:tc>
          <w:tcPr>
            <w:tcW w:w="1350" w:type="dxa"/>
          </w:tcPr>
          <w:p w:rsidR="00450047" w:rsidRDefault="00450047">
            <w:pPr>
              <w:rPr>
                <w:sz w:val="18"/>
                <w:szCs w:val="18"/>
              </w:rPr>
            </w:pPr>
          </w:p>
          <w:p w:rsidR="00D252C2" w:rsidRPr="00EE44CF" w:rsidRDefault="00D252C2">
            <w:pPr>
              <w:rPr>
                <w:sz w:val="18"/>
                <w:szCs w:val="18"/>
              </w:rPr>
            </w:pPr>
            <w:r w:rsidRPr="00EE44CF">
              <w:rPr>
                <w:sz w:val="18"/>
                <w:szCs w:val="18"/>
              </w:rPr>
              <w:t>Accepted</w:t>
            </w:r>
          </w:p>
        </w:tc>
        <w:tc>
          <w:tcPr>
            <w:tcW w:w="1620" w:type="dxa"/>
          </w:tcPr>
          <w:p w:rsidR="00450047" w:rsidRDefault="00450047" w:rsidP="00056998">
            <w:pPr>
              <w:rPr>
                <w:sz w:val="18"/>
                <w:szCs w:val="18"/>
              </w:rPr>
            </w:pPr>
          </w:p>
          <w:p w:rsidR="00D252C2" w:rsidRPr="00EE44CF" w:rsidRDefault="00DD3C45" w:rsidP="00056998">
            <w:pPr>
              <w:rPr>
                <w:sz w:val="18"/>
                <w:szCs w:val="18"/>
              </w:rPr>
            </w:pPr>
            <w:r>
              <w:rPr>
                <w:sz w:val="18"/>
                <w:szCs w:val="18"/>
              </w:rPr>
              <w:t>Implemented</w:t>
            </w:r>
          </w:p>
        </w:tc>
        <w:tc>
          <w:tcPr>
            <w:tcW w:w="2628" w:type="dxa"/>
          </w:tcPr>
          <w:p w:rsidR="00450047" w:rsidRDefault="00450047" w:rsidP="00332447">
            <w:pPr>
              <w:rPr>
                <w:sz w:val="18"/>
                <w:szCs w:val="18"/>
              </w:rPr>
            </w:pPr>
          </w:p>
          <w:p w:rsidR="00D252C2" w:rsidRPr="00EE44CF" w:rsidRDefault="00D252C2" w:rsidP="00332447">
            <w:pPr>
              <w:rPr>
                <w:sz w:val="18"/>
                <w:szCs w:val="18"/>
              </w:rPr>
            </w:pPr>
            <w:r w:rsidRPr="00EE44CF">
              <w:rPr>
                <w:sz w:val="18"/>
                <w:szCs w:val="18"/>
              </w:rPr>
              <w:t>Th</w:t>
            </w:r>
            <w:r>
              <w:rPr>
                <w:sz w:val="18"/>
                <w:szCs w:val="18"/>
              </w:rPr>
              <w:t xml:space="preserve">e ICT </w:t>
            </w:r>
            <w:r w:rsidRPr="00EE44CF">
              <w:rPr>
                <w:sz w:val="18"/>
                <w:szCs w:val="18"/>
              </w:rPr>
              <w:t xml:space="preserve">Strategy has </w:t>
            </w:r>
            <w:r>
              <w:rPr>
                <w:sz w:val="18"/>
                <w:szCs w:val="18"/>
              </w:rPr>
              <w:t xml:space="preserve">now been posted on the WIPO website and has now been made </w:t>
            </w:r>
            <w:r w:rsidRPr="00EE44CF">
              <w:rPr>
                <w:sz w:val="18"/>
                <w:szCs w:val="18"/>
              </w:rPr>
              <w:t>available to the Member States.</w:t>
            </w:r>
          </w:p>
        </w:tc>
      </w:tr>
      <w:tr w:rsidR="00D252C2" w:rsidRPr="0002233A" w:rsidTr="00E50D3C">
        <w:tc>
          <w:tcPr>
            <w:tcW w:w="9576" w:type="dxa"/>
            <w:gridSpan w:val="5"/>
            <w:shd w:val="clear" w:color="auto" w:fill="auto"/>
          </w:tcPr>
          <w:p w:rsidR="00D252C2" w:rsidRDefault="00D252C2" w:rsidP="00A13BE5">
            <w:pPr>
              <w:jc w:val="center"/>
              <w:rPr>
                <w:b/>
                <w:sz w:val="18"/>
                <w:szCs w:val="18"/>
              </w:rPr>
            </w:pPr>
          </w:p>
          <w:p w:rsidR="00D252C2" w:rsidRPr="00E50D3C" w:rsidRDefault="00D252C2" w:rsidP="00A13BE5">
            <w:pPr>
              <w:jc w:val="center"/>
              <w:rPr>
                <w:b/>
              </w:rPr>
            </w:pPr>
            <w:r w:rsidRPr="00E50D3C">
              <w:rPr>
                <w:b/>
              </w:rPr>
              <w:t>Recommendatio</w:t>
            </w:r>
            <w:r>
              <w:rPr>
                <w:b/>
              </w:rPr>
              <w:t>ns from JIU Reviews held in 2010</w:t>
            </w:r>
          </w:p>
          <w:p w:rsidR="00D252C2" w:rsidRDefault="00D252C2" w:rsidP="00A13BE5">
            <w:pPr>
              <w:jc w:val="center"/>
              <w:rPr>
                <w:b/>
                <w:sz w:val="18"/>
                <w:szCs w:val="18"/>
              </w:rPr>
            </w:pPr>
          </w:p>
        </w:tc>
      </w:tr>
      <w:tr w:rsidR="00D252C2" w:rsidRPr="0002233A" w:rsidTr="009F2CDC">
        <w:tc>
          <w:tcPr>
            <w:tcW w:w="9576" w:type="dxa"/>
            <w:gridSpan w:val="5"/>
            <w:shd w:val="clear" w:color="auto" w:fill="DAEEF3" w:themeFill="accent5" w:themeFillTint="33"/>
            <w:vAlign w:val="center"/>
          </w:tcPr>
          <w:p w:rsidR="00D252C2" w:rsidRDefault="00D252C2" w:rsidP="00D05714">
            <w:pPr>
              <w:jc w:val="center"/>
              <w:rPr>
                <w:sz w:val="18"/>
                <w:szCs w:val="18"/>
              </w:rPr>
            </w:pPr>
          </w:p>
          <w:p w:rsidR="00D252C2" w:rsidRPr="00D05714" w:rsidRDefault="00D252C2" w:rsidP="00D05714">
            <w:pPr>
              <w:shd w:val="clear" w:color="auto" w:fill="DAEEF3" w:themeFill="accent5" w:themeFillTint="33"/>
              <w:jc w:val="center"/>
              <w:rPr>
                <w:b/>
                <w:sz w:val="18"/>
                <w:szCs w:val="18"/>
              </w:rPr>
            </w:pPr>
            <w:r w:rsidRPr="00D05714">
              <w:rPr>
                <w:b/>
                <w:sz w:val="18"/>
                <w:szCs w:val="18"/>
              </w:rPr>
              <w:t xml:space="preserve">JIU/REP/2010/7, </w:t>
            </w:r>
            <w:r>
              <w:rPr>
                <w:b/>
                <w:sz w:val="18"/>
                <w:szCs w:val="18"/>
              </w:rPr>
              <w:t>“</w:t>
            </w:r>
            <w:r w:rsidRPr="00D05714">
              <w:rPr>
                <w:b/>
                <w:sz w:val="18"/>
                <w:szCs w:val="18"/>
              </w:rPr>
              <w:t>P</w:t>
            </w:r>
            <w:r>
              <w:rPr>
                <w:b/>
                <w:sz w:val="18"/>
                <w:szCs w:val="18"/>
              </w:rPr>
              <w:t xml:space="preserve">olicies and Procedures for the </w:t>
            </w:r>
            <w:r w:rsidRPr="00D05714">
              <w:rPr>
                <w:b/>
                <w:sz w:val="18"/>
                <w:szCs w:val="18"/>
              </w:rPr>
              <w:t>A</w:t>
            </w:r>
            <w:r>
              <w:rPr>
                <w:b/>
                <w:sz w:val="18"/>
                <w:szCs w:val="18"/>
              </w:rPr>
              <w:t xml:space="preserve">dministration of Trust Funds in the </w:t>
            </w:r>
            <w:r w:rsidRPr="00D05714">
              <w:rPr>
                <w:b/>
                <w:sz w:val="18"/>
                <w:szCs w:val="18"/>
              </w:rPr>
              <w:t>U</w:t>
            </w:r>
            <w:r>
              <w:rPr>
                <w:b/>
                <w:sz w:val="18"/>
                <w:szCs w:val="18"/>
              </w:rPr>
              <w:t xml:space="preserve">nited </w:t>
            </w:r>
            <w:r w:rsidRPr="00D05714">
              <w:rPr>
                <w:b/>
                <w:sz w:val="18"/>
                <w:szCs w:val="18"/>
              </w:rPr>
              <w:t>N</w:t>
            </w:r>
            <w:r>
              <w:rPr>
                <w:b/>
                <w:sz w:val="18"/>
                <w:szCs w:val="18"/>
              </w:rPr>
              <w:t xml:space="preserve">ations </w:t>
            </w:r>
            <w:r w:rsidRPr="00D05714">
              <w:rPr>
                <w:b/>
                <w:sz w:val="18"/>
                <w:szCs w:val="18"/>
              </w:rPr>
              <w:t>S</w:t>
            </w:r>
            <w:r>
              <w:rPr>
                <w:b/>
                <w:sz w:val="18"/>
                <w:szCs w:val="18"/>
              </w:rPr>
              <w:t>ystem</w:t>
            </w:r>
            <w:r w:rsidRPr="00D05714">
              <w:rPr>
                <w:b/>
                <w:sz w:val="18"/>
                <w:szCs w:val="18"/>
              </w:rPr>
              <w:t xml:space="preserve"> O</w:t>
            </w:r>
            <w:r>
              <w:rPr>
                <w:b/>
                <w:sz w:val="18"/>
                <w:szCs w:val="18"/>
              </w:rPr>
              <w:t>rganizations”</w:t>
            </w:r>
          </w:p>
          <w:p w:rsidR="00D252C2" w:rsidRPr="0002233A" w:rsidRDefault="00D252C2" w:rsidP="00D05714">
            <w:pPr>
              <w:shd w:val="clear" w:color="auto" w:fill="DAEEF3" w:themeFill="accent5" w:themeFillTint="33"/>
              <w:jc w:val="center"/>
              <w:rPr>
                <w:sz w:val="18"/>
                <w:szCs w:val="18"/>
              </w:rPr>
            </w:pPr>
          </w:p>
        </w:tc>
      </w:tr>
      <w:tr w:rsidR="00D252C2" w:rsidRPr="0002233A" w:rsidTr="00B60433">
        <w:tc>
          <w:tcPr>
            <w:tcW w:w="2628" w:type="dxa"/>
          </w:tcPr>
          <w:p w:rsidR="00D252C2" w:rsidRDefault="00D252C2" w:rsidP="001502E4">
            <w:pPr>
              <w:rPr>
                <w:sz w:val="18"/>
                <w:szCs w:val="18"/>
              </w:rPr>
            </w:pPr>
            <w:r>
              <w:rPr>
                <w:sz w:val="18"/>
                <w:szCs w:val="18"/>
              </w:rPr>
              <w:t xml:space="preserve">Rec. 2. </w:t>
            </w:r>
            <w:r w:rsidRPr="00633C4A">
              <w:rPr>
                <w:sz w:val="18"/>
                <w:szCs w:val="18"/>
              </w:rPr>
              <w:t xml:space="preserve">The legislative bodies of the United Nations system </w:t>
            </w:r>
            <w:r w:rsidRPr="00633C4A">
              <w:rPr>
                <w:sz w:val="18"/>
                <w:szCs w:val="18"/>
              </w:rPr>
              <w:lastRenderedPageBreak/>
              <w:t xml:space="preserve">organizations should invite all donors to respond </w:t>
            </w:r>
            <w:proofErr w:type="spellStart"/>
            <w:r w:rsidRPr="00633C4A">
              <w:rPr>
                <w:sz w:val="18"/>
                <w:szCs w:val="18"/>
              </w:rPr>
              <w:t>favourably</w:t>
            </w:r>
            <w:proofErr w:type="spellEnd"/>
            <w:r w:rsidRPr="00633C4A">
              <w:rPr>
                <w:sz w:val="18"/>
                <w:szCs w:val="18"/>
              </w:rPr>
              <w:t xml:space="preserve"> to the efforts made by the organizations to increase the portion and volume of thematic trust funds and other types of pooled funds, in order to facilitate more efficient trust fund management.</w:t>
            </w:r>
          </w:p>
        </w:tc>
        <w:tc>
          <w:tcPr>
            <w:tcW w:w="1350" w:type="dxa"/>
          </w:tcPr>
          <w:p w:rsidR="00450047" w:rsidRDefault="00450047" w:rsidP="00D757DD">
            <w:pPr>
              <w:rPr>
                <w:sz w:val="18"/>
                <w:szCs w:val="18"/>
              </w:rPr>
            </w:pPr>
          </w:p>
          <w:p w:rsidR="00D252C2" w:rsidRDefault="00D252C2" w:rsidP="00D757DD">
            <w:pPr>
              <w:rPr>
                <w:sz w:val="18"/>
                <w:szCs w:val="18"/>
              </w:rPr>
            </w:pPr>
            <w:r>
              <w:rPr>
                <w:sz w:val="18"/>
                <w:szCs w:val="18"/>
              </w:rPr>
              <w:t xml:space="preserve">Director, </w:t>
            </w:r>
            <w:r w:rsidR="00450047">
              <w:rPr>
                <w:sz w:val="18"/>
                <w:szCs w:val="18"/>
              </w:rPr>
              <w:lastRenderedPageBreak/>
              <w:t>DPPF</w:t>
            </w:r>
          </w:p>
          <w:p w:rsidR="00D252C2" w:rsidRDefault="00D252C2" w:rsidP="00D757DD">
            <w:pPr>
              <w:rPr>
                <w:sz w:val="18"/>
                <w:szCs w:val="18"/>
              </w:rPr>
            </w:pPr>
            <w:r>
              <w:rPr>
                <w:sz w:val="18"/>
                <w:szCs w:val="18"/>
              </w:rPr>
              <w:t>(Controller)</w:t>
            </w:r>
          </w:p>
          <w:p w:rsidR="00D252C2" w:rsidRPr="0002233A" w:rsidRDefault="00D252C2" w:rsidP="00D757DD">
            <w:pPr>
              <w:rPr>
                <w:sz w:val="18"/>
                <w:szCs w:val="18"/>
              </w:rPr>
            </w:pPr>
          </w:p>
        </w:tc>
        <w:tc>
          <w:tcPr>
            <w:tcW w:w="1350" w:type="dxa"/>
          </w:tcPr>
          <w:p w:rsidR="00D252C2" w:rsidRPr="0002233A" w:rsidRDefault="00450047" w:rsidP="00633C4A">
            <w:pPr>
              <w:rPr>
                <w:sz w:val="18"/>
                <w:szCs w:val="18"/>
              </w:rPr>
            </w:pPr>
            <w:r>
              <w:rPr>
                <w:sz w:val="18"/>
                <w:szCs w:val="18"/>
              </w:rPr>
              <w:lastRenderedPageBreak/>
              <w:br/>
            </w:r>
            <w:r w:rsidR="00D252C2">
              <w:rPr>
                <w:sz w:val="18"/>
                <w:szCs w:val="18"/>
              </w:rPr>
              <w:t>Accepted</w:t>
            </w:r>
          </w:p>
        </w:tc>
        <w:tc>
          <w:tcPr>
            <w:tcW w:w="1620" w:type="dxa"/>
          </w:tcPr>
          <w:p w:rsidR="00450047" w:rsidRDefault="00450047" w:rsidP="00633C4A">
            <w:pPr>
              <w:rPr>
                <w:sz w:val="18"/>
                <w:szCs w:val="18"/>
              </w:rPr>
            </w:pPr>
          </w:p>
          <w:p w:rsidR="00D252C2" w:rsidRPr="0002233A" w:rsidRDefault="004C0F47" w:rsidP="00633C4A">
            <w:pPr>
              <w:rPr>
                <w:sz w:val="18"/>
                <w:szCs w:val="18"/>
              </w:rPr>
            </w:pPr>
            <w:r>
              <w:rPr>
                <w:sz w:val="18"/>
                <w:szCs w:val="18"/>
              </w:rPr>
              <w:t>Implemented</w:t>
            </w:r>
          </w:p>
        </w:tc>
        <w:tc>
          <w:tcPr>
            <w:tcW w:w="2628" w:type="dxa"/>
          </w:tcPr>
          <w:p w:rsidR="00450047" w:rsidRDefault="00450047" w:rsidP="00DA47D3">
            <w:pPr>
              <w:rPr>
                <w:sz w:val="18"/>
                <w:szCs w:val="18"/>
              </w:rPr>
            </w:pPr>
          </w:p>
          <w:p w:rsidR="00D252C2" w:rsidRDefault="00D252C2" w:rsidP="00DA47D3">
            <w:pPr>
              <w:rPr>
                <w:sz w:val="18"/>
                <w:szCs w:val="18"/>
              </w:rPr>
            </w:pPr>
            <w:r w:rsidRPr="00E9437C">
              <w:rPr>
                <w:sz w:val="18"/>
                <w:szCs w:val="18"/>
              </w:rPr>
              <w:t xml:space="preserve">WIPO has promoted thematic </w:t>
            </w:r>
            <w:r w:rsidRPr="00E9437C">
              <w:rPr>
                <w:sz w:val="18"/>
                <w:szCs w:val="18"/>
              </w:rPr>
              <w:lastRenderedPageBreak/>
              <w:t>trust funds and other types of pooled funds with its donors and potential donors.</w:t>
            </w:r>
          </w:p>
        </w:tc>
      </w:tr>
      <w:tr w:rsidR="00D252C2" w:rsidRPr="0002233A" w:rsidTr="00B60433">
        <w:tc>
          <w:tcPr>
            <w:tcW w:w="2628" w:type="dxa"/>
          </w:tcPr>
          <w:p w:rsidR="00D252C2" w:rsidRPr="0002233A" w:rsidRDefault="00D252C2" w:rsidP="00DD542D">
            <w:pPr>
              <w:rPr>
                <w:sz w:val="18"/>
                <w:szCs w:val="18"/>
              </w:rPr>
            </w:pPr>
            <w:r>
              <w:rPr>
                <w:sz w:val="18"/>
                <w:szCs w:val="18"/>
              </w:rPr>
              <w:lastRenderedPageBreak/>
              <w:t xml:space="preserve">Rec. 7. </w:t>
            </w:r>
            <w:r w:rsidRPr="0011051E">
              <w:rPr>
                <w:sz w:val="18"/>
                <w:szCs w:val="18"/>
              </w:rPr>
              <w:t xml:space="preserve">The legislative bodies of the United Nations system organizations should review the harmonized cost recovery policies and principles for trust funds and activities financed by other </w:t>
            </w:r>
            <w:proofErr w:type="spellStart"/>
            <w:r w:rsidRPr="0011051E">
              <w:rPr>
                <w:sz w:val="18"/>
                <w:szCs w:val="18"/>
              </w:rPr>
              <w:t>extrabudgetary</w:t>
            </w:r>
            <w:proofErr w:type="spellEnd"/>
            <w:r w:rsidRPr="0011051E">
              <w:rPr>
                <w:sz w:val="18"/>
                <w:szCs w:val="18"/>
              </w:rPr>
              <w:t xml:space="preserve"> resources, once they have been agreed within the CEB, with a view to updating the cost recovery policies of their organizations accordingly.</w:t>
            </w:r>
          </w:p>
        </w:tc>
        <w:tc>
          <w:tcPr>
            <w:tcW w:w="1350" w:type="dxa"/>
          </w:tcPr>
          <w:p w:rsidR="00450047" w:rsidRDefault="00450047" w:rsidP="00D757DD">
            <w:pPr>
              <w:rPr>
                <w:sz w:val="18"/>
                <w:szCs w:val="18"/>
              </w:rPr>
            </w:pPr>
          </w:p>
          <w:p w:rsidR="00D252C2" w:rsidRDefault="00D252C2" w:rsidP="00D757DD">
            <w:pPr>
              <w:rPr>
                <w:sz w:val="18"/>
                <w:szCs w:val="18"/>
              </w:rPr>
            </w:pPr>
            <w:r>
              <w:rPr>
                <w:sz w:val="18"/>
                <w:szCs w:val="18"/>
              </w:rPr>
              <w:t xml:space="preserve">Director, </w:t>
            </w:r>
            <w:r w:rsidR="00450047">
              <w:rPr>
                <w:sz w:val="18"/>
                <w:szCs w:val="18"/>
              </w:rPr>
              <w:t>DPPF</w:t>
            </w:r>
            <w:r>
              <w:rPr>
                <w:sz w:val="18"/>
                <w:szCs w:val="18"/>
              </w:rPr>
              <w:t xml:space="preserve"> </w:t>
            </w:r>
          </w:p>
          <w:p w:rsidR="00D252C2" w:rsidRDefault="00D252C2" w:rsidP="00D757DD">
            <w:pPr>
              <w:rPr>
                <w:sz w:val="18"/>
                <w:szCs w:val="18"/>
              </w:rPr>
            </w:pPr>
            <w:r>
              <w:rPr>
                <w:sz w:val="18"/>
                <w:szCs w:val="18"/>
              </w:rPr>
              <w:t>(Controller)</w:t>
            </w:r>
          </w:p>
          <w:p w:rsidR="00D252C2" w:rsidRPr="0002233A" w:rsidRDefault="00D252C2" w:rsidP="00D757DD">
            <w:pPr>
              <w:rPr>
                <w:sz w:val="18"/>
                <w:szCs w:val="18"/>
              </w:rPr>
            </w:pPr>
          </w:p>
        </w:tc>
        <w:tc>
          <w:tcPr>
            <w:tcW w:w="1350" w:type="dxa"/>
          </w:tcPr>
          <w:p w:rsidR="00450047" w:rsidRDefault="00450047" w:rsidP="00633C4A">
            <w:pPr>
              <w:rPr>
                <w:sz w:val="18"/>
                <w:szCs w:val="18"/>
              </w:rPr>
            </w:pPr>
          </w:p>
          <w:p w:rsidR="00D252C2" w:rsidRPr="0002233A" w:rsidRDefault="00D252C2" w:rsidP="00633C4A">
            <w:pPr>
              <w:rPr>
                <w:sz w:val="18"/>
                <w:szCs w:val="18"/>
              </w:rPr>
            </w:pPr>
            <w:r>
              <w:rPr>
                <w:sz w:val="18"/>
                <w:szCs w:val="18"/>
              </w:rPr>
              <w:t>Under consideration</w:t>
            </w:r>
          </w:p>
        </w:tc>
        <w:tc>
          <w:tcPr>
            <w:tcW w:w="1620" w:type="dxa"/>
          </w:tcPr>
          <w:p w:rsidR="00D252C2" w:rsidRPr="0002233A" w:rsidRDefault="00D252C2" w:rsidP="00633C4A">
            <w:pPr>
              <w:rPr>
                <w:sz w:val="18"/>
                <w:szCs w:val="18"/>
              </w:rPr>
            </w:pPr>
          </w:p>
        </w:tc>
        <w:tc>
          <w:tcPr>
            <w:tcW w:w="2628" w:type="dxa"/>
          </w:tcPr>
          <w:p w:rsidR="00450047" w:rsidRDefault="00450047" w:rsidP="00633C4A">
            <w:pPr>
              <w:rPr>
                <w:sz w:val="18"/>
                <w:szCs w:val="18"/>
              </w:rPr>
            </w:pPr>
          </w:p>
          <w:p w:rsidR="00D252C2" w:rsidRPr="0002233A" w:rsidRDefault="00D252C2" w:rsidP="00633C4A">
            <w:pPr>
              <w:rPr>
                <w:sz w:val="18"/>
                <w:szCs w:val="18"/>
              </w:rPr>
            </w:pPr>
            <w:r>
              <w:rPr>
                <w:sz w:val="18"/>
                <w:szCs w:val="18"/>
              </w:rPr>
              <w:t>This system-wide recommendation is under consideration by the CEB.</w:t>
            </w:r>
          </w:p>
        </w:tc>
      </w:tr>
      <w:tr w:rsidR="00D252C2" w:rsidRPr="00316ED2" w:rsidTr="009F2CDC">
        <w:tc>
          <w:tcPr>
            <w:tcW w:w="9576" w:type="dxa"/>
            <w:gridSpan w:val="5"/>
            <w:shd w:val="clear" w:color="auto" w:fill="DAEEF3" w:themeFill="accent5" w:themeFillTint="33"/>
            <w:vAlign w:val="center"/>
          </w:tcPr>
          <w:p w:rsidR="00D252C2" w:rsidRPr="00316ED2" w:rsidRDefault="00D252C2" w:rsidP="00D258B3">
            <w:pPr>
              <w:jc w:val="center"/>
              <w:rPr>
                <w:b/>
                <w:sz w:val="18"/>
                <w:szCs w:val="18"/>
              </w:rPr>
            </w:pPr>
          </w:p>
          <w:p w:rsidR="00D252C2" w:rsidRPr="00316ED2" w:rsidRDefault="00D252C2" w:rsidP="00D258B3">
            <w:pPr>
              <w:jc w:val="center"/>
              <w:rPr>
                <w:b/>
                <w:sz w:val="18"/>
                <w:szCs w:val="18"/>
              </w:rPr>
            </w:pPr>
            <w:r w:rsidRPr="00316ED2">
              <w:rPr>
                <w:b/>
                <w:sz w:val="18"/>
                <w:szCs w:val="18"/>
              </w:rPr>
              <w:t>JIU/REP/2010/5,</w:t>
            </w:r>
            <w:r>
              <w:rPr>
                <w:b/>
                <w:sz w:val="18"/>
                <w:szCs w:val="18"/>
              </w:rPr>
              <w:t xml:space="preserve"> “</w:t>
            </w:r>
            <w:r w:rsidRPr="00316ED2">
              <w:rPr>
                <w:b/>
                <w:sz w:val="18"/>
                <w:szCs w:val="18"/>
              </w:rPr>
              <w:t>R</w:t>
            </w:r>
            <w:r>
              <w:rPr>
                <w:b/>
                <w:sz w:val="18"/>
                <w:szCs w:val="18"/>
              </w:rPr>
              <w:t>eview of the Audit Function in the United Nations System”</w:t>
            </w:r>
          </w:p>
          <w:p w:rsidR="00D252C2" w:rsidRPr="00316ED2" w:rsidRDefault="00D252C2" w:rsidP="00D258B3">
            <w:pPr>
              <w:jc w:val="center"/>
              <w:rPr>
                <w:b/>
                <w:sz w:val="18"/>
                <w:szCs w:val="18"/>
              </w:rPr>
            </w:pPr>
          </w:p>
        </w:tc>
      </w:tr>
      <w:tr w:rsidR="00D252C2" w:rsidRPr="0002233A" w:rsidTr="00B60433">
        <w:tc>
          <w:tcPr>
            <w:tcW w:w="2628" w:type="dxa"/>
          </w:tcPr>
          <w:p w:rsidR="00D252C2" w:rsidRPr="0002233A" w:rsidRDefault="00D252C2" w:rsidP="001502E4">
            <w:pPr>
              <w:rPr>
                <w:sz w:val="18"/>
                <w:szCs w:val="18"/>
              </w:rPr>
            </w:pPr>
            <w:r>
              <w:rPr>
                <w:sz w:val="18"/>
                <w:szCs w:val="18"/>
              </w:rPr>
              <w:t xml:space="preserve">Rec.14. </w:t>
            </w:r>
            <w:r w:rsidRPr="005D6094">
              <w:rPr>
                <w:sz w:val="18"/>
                <w:szCs w:val="18"/>
              </w:rPr>
              <w:t>The legislative/governing bodies in the United Nations system organizations direct the executive heads at each organization to inform them of all third-party audit/verification requests, after consulting the audit/oversight committees and the external auditors.</w:t>
            </w:r>
          </w:p>
        </w:tc>
        <w:tc>
          <w:tcPr>
            <w:tcW w:w="1350" w:type="dxa"/>
          </w:tcPr>
          <w:p w:rsidR="00450047" w:rsidRDefault="00450047" w:rsidP="00D757DD">
            <w:pPr>
              <w:rPr>
                <w:sz w:val="18"/>
                <w:szCs w:val="18"/>
              </w:rPr>
            </w:pPr>
          </w:p>
          <w:p w:rsidR="00D252C2" w:rsidRDefault="00D252C2" w:rsidP="00D757DD">
            <w:pPr>
              <w:rPr>
                <w:sz w:val="18"/>
                <w:szCs w:val="18"/>
              </w:rPr>
            </w:pPr>
            <w:r>
              <w:rPr>
                <w:sz w:val="18"/>
                <w:szCs w:val="18"/>
              </w:rPr>
              <w:t xml:space="preserve">Director, </w:t>
            </w:r>
            <w:r w:rsidR="00450047">
              <w:rPr>
                <w:sz w:val="18"/>
                <w:szCs w:val="18"/>
              </w:rPr>
              <w:t>DPPF</w:t>
            </w:r>
            <w:r>
              <w:rPr>
                <w:sz w:val="18"/>
                <w:szCs w:val="18"/>
              </w:rPr>
              <w:t xml:space="preserve"> </w:t>
            </w:r>
          </w:p>
          <w:p w:rsidR="00D252C2" w:rsidRDefault="00D252C2" w:rsidP="00D757DD">
            <w:pPr>
              <w:rPr>
                <w:sz w:val="18"/>
                <w:szCs w:val="18"/>
              </w:rPr>
            </w:pPr>
            <w:r>
              <w:rPr>
                <w:sz w:val="18"/>
                <w:szCs w:val="18"/>
              </w:rPr>
              <w:t>(Controller)</w:t>
            </w:r>
          </w:p>
          <w:p w:rsidR="00D252C2" w:rsidRDefault="00D252C2" w:rsidP="00D757DD">
            <w:pPr>
              <w:rPr>
                <w:sz w:val="18"/>
                <w:szCs w:val="18"/>
              </w:rPr>
            </w:pPr>
          </w:p>
          <w:p w:rsidR="00D252C2" w:rsidRDefault="00D252C2" w:rsidP="00D757DD">
            <w:pPr>
              <w:rPr>
                <w:sz w:val="18"/>
                <w:szCs w:val="18"/>
              </w:rPr>
            </w:pPr>
            <w:r>
              <w:rPr>
                <w:sz w:val="18"/>
                <w:szCs w:val="18"/>
              </w:rPr>
              <w:t>Director,</w:t>
            </w:r>
          </w:p>
          <w:p w:rsidR="00D252C2" w:rsidRPr="0002233A" w:rsidRDefault="00D252C2" w:rsidP="00D757DD">
            <w:pPr>
              <w:rPr>
                <w:sz w:val="18"/>
                <w:szCs w:val="18"/>
              </w:rPr>
            </w:pPr>
            <w:r>
              <w:rPr>
                <w:sz w:val="18"/>
                <w:szCs w:val="18"/>
              </w:rPr>
              <w:t>IAOD</w:t>
            </w:r>
          </w:p>
        </w:tc>
        <w:tc>
          <w:tcPr>
            <w:tcW w:w="1350" w:type="dxa"/>
          </w:tcPr>
          <w:p w:rsidR="00450047" w:rsidRDefault="00450047">
            <w:pPr>
              <w:rPr>
                <w:sz w:val="18"/>
                <w:szCs w:val="18"/>
              </w:rPr>
            </w:pPr>
          </w:p>
          <w:p w:rsidR="00D252C2" w:rsidRDefault="00D252C2">
            <w:pPr>
              <w:rPr>
                <w:sz w:val="18"/>
                <w:szCs w:val="18"/>
              </w:rPr>
            </w:pPr>
            <w:r>
              <w:rPr>
                <w:sz w:val="18"/>
                <w:szCs w:val="18"/>
              </w:rPr>
              <w:t>Accepted</w:t>
            </w:r>
          </w:p>
          <w:p w:rsidR="00450047" w:rsidRPr="0002233A" w:rsidRDefault="00450047">
            <w:pPr>
              <w:rPr>
                <w:sz w:val="18"/>
                <w:szCs w:val="18"/>
              </w:rPr>
            </w:pPr>
          </w:p>
        </w:tc>
        <w:tc>
          <w:tcPr>
            <w:tcW w:w="1620" w:type="dxa"/>
          </w:tcPr>
          <w:p w:rsidR="00450047" w:rsidRDefault="00450047">
            <w:pPr>
              <w:rPr>
                <w:sz w:val="18"/>
                <w:szCs w:val="18"/>
              </w:rPr>
            </w:pPr>
          </w:p>
          <w:p w:rsidR="00D252C2" w:rsidRPr="0002233A" w:rsidRDefault="00DD3C45">
            <w:pPr>
              <w:rPr>
                <w:sz w:val="18"/>
                <w:szCs w:val="18"/>
              </w:rPr>
            </w:pPr>
            <w:r>
              <w:rPr>
                <w:sz w:val="18"/>
                <w:szCs w:val="18"/>
              </w:rPr>
              <w:t>Implemented</w:t>
            </w:r>
          </w:p>
        </w:tc>
        <w:tc>
          <w:tcPr>
            <w:tcW w:w="2628" w:type="dxa"/>
          </w:tcPr>
          <w:p w:rsidR="00450047" w:rsidRDefault="00450047" w:rsidP="00DD3C45">
            <w:pPr>
              <w:rPr>
                <w:sz w:val="18"/>
                <w:szCs w:val="18"/>
              </w:rPr>
            </w:pPr>
          </w:p>
          <w:p w:rsidR="00D252C2" w:rsidRPr="0002233A" w:rsidRDefault="00D252C2" w:rsidP="00DD3C45">
            <w:pPr>
              <w:rPr>
                <w:sz w:val="18"/>
                <w:szCs w:val="18"/>
              </w:rPr>
            </w:pPr>
            <w:r w:rsidRPr="00837281">
              <w:rPr>
                <w:sz w:val="18"/>
                <w:szCs w:val="18"/>
              </w:rPr>
              <w:t xml:space="preserve">Contrary to other UN organizations, WIPO does not use a large amount of </w:t>
            </w:r>
            <w:proofErr w:type="spellStart"/>
            <w:r w:rsidRPr="00837281">
              <w:rPr>
                <w:sz w:val="18"/>
                <w:szCs w:val="18"/>
              </w:rPr>
              <w:t>extrabudgetary</w:t>
            </w:r>
            <w:proofErr w:type="spellEnd"/>
            <w:r w:rsidRPr="00837281">
              <w:rPr>
                <w:sz w:val="18"/>
                <w:szCs w:val="18"/>
              </w:rPr>
              <w:t xml:space="preserve"> funds and therefore there are little requests for third party verifications.  </w:t>
            </w:r>
            <w:r w:rsidR="00DD3C45">
              <w:rPr>
                <w:sz w:val="18"/>
                <w:szCs w:val="18"/>
              </w:rPr>
              <w:t>T</w:t>
            </w:r>
            <w:r w:rsidRPr="00837281">
              <w:rPr>
                <w:sz w:val="18"/>
                <w:szCs w:val="18"/>
              </w:rPr>
              <w:t xml:space="preserve">he General Assembly </w:t>
            </w:r>
            <w:r w:rsidR="00DD3C45">
              <w:rPr>
                <w:sz w:val="18"/>
                <w:szCs w:val="18"/>
              </w:rPr>
              <w:t xml:space="preserve">will be informed </w:t>
            </w:r>
            <w:r w:rsidRPr="00837281">
              <w:rPr>
                <w:sz w:val="18"/>
                <w:szCs w:val="18"/>
              </w:rPr>
              <w:t>of such requests as and when these arise.</w:t>
            </w:r>
          </w:p>
        </w:tc>
      </w:tr>
      <w:tr w:rsidR="00D252C2" w:rsidRPr="0002233A" w:rsidTr="009F2CDC">
        <w:tc>
          <w:tcPr>
            <w:tcW w:w="9576" w:type="dxa"/>
            <w:gridSpan w:val="5"/>
            <w:shd w:val="clear" w:color="auto" w:fill="B6DDE8" w:themeFill="accent5" w:themeFillTint="66"/>
            <w:vAlign w:val="center"/>
          </w:tcPr>
          <w:p w:rsidR="00D252C2" w:rsidRDefault="00D252C2" w:rsidP="000E4970">
            <w:pPr>
              <w:jc w:val="center"/>
              <w:rPr>
                <w:b/>
                <w:sz w:val="18"/>
                <w:szCs w:val="18"/>
              </w:rPr>
            </w:pPr>
          </w:p>
          <w:p w:rsidR="00D252C2" w:rsidRDefault="00D252C2" w:rsidP="000E4970">
            <w:pPr>
              <w:shd w:val="clear" w:color="auto" w:fill="B6DDE8" w:themeFill="accent5" w:themeFillTint="66"/>
              <w:jc w:val="center"/>
              <w:rPr>
                <w:b/>
                <w:sz w:val="18"/>
                <w:szCs w:val="18"/>
              </w:rPr>
            </w:pPr>
            <w:r w:rsidRPr="000E4970">
              <w:rPr>
                <w:b/>
                <w:sz w:val="18"/>
                <w:szCs w:val="18"/>
              </w:rPr>
              <w:t xml:space="preserve">JIU/REP/2010/3, </w:t>
            </w:r>
            <w:r>
              <w:rPr>
                <w:b/>
                <w:sz w:val="18"/>
                <w:szCs w:val="18"/>
              </w:rPr>
              <w:t>“</w:t>
            </w:r>
            <w:r w:rsidRPr="000E4970">
              <w:rPr>
                <w:b/>
                <w:sz w:val="18"/>
                <w:szCs w:val="18"/>
              </w:rPr>
              <w:t>E</w:t>
            </w:r>
            <w:r>
              <w:rPr>
                <w:b/>
                <w:sz w:val="18"/>
                <w:szCs w:val="18"/>
              </w:rPr>
              <w:t>thics in the United Nations System”</w:t>
            </w:r>
          </w:p>
          <w:p w:rsidR="00D252C2" w:rsidRPr="000E4970" w:rsidRDefault="00D252C2" w:rsidP="000E4970">
            <w:pPr>
              <w:jc w:val="center"/>
              <w:rPr>
                <w:b/>
                <w:sz w:val="18"/>
                <w:szCs w:val="18"/>
              </w:rPr>
            </w:pPr>
          </w:p>
        </w:tc>
      </w:tr>
      <w:tr w:rsidR="00D252C2" w:rsidRPr="0002233A" w:rsidTr="00B60433">
        <w:tc>
          <w:tcPr>
            <w:tcW w:w="2628" w:type="dxa"/>
          </w:tcPr>
          <w:p w:rsidR="00D252C2" w:rsidRPr="0002233A" w:rsidRDefault="00D252C2" w:rsidP="008C7FF6">
            <w:pPr>
              <w:rPr>
                <w:sz w:val="18"/>
                <w:szCs w:val="18"/>
              </w:rPr>
            </w:pPr>
            <w:r>
              <w:rPr>
                <w:sz w:val="18"/>
                <w:szCs w:val="18"/>
              </w:rPr>
              <w:t xml:space="preserve">Rec. 6. </w:t>
            </w:r>
            <w:r w:rsidRPr="0029217C">
              <w:rPr>
                <w:sz w:val="18"/>
                <w:szCs w:val="18"/>
              </w:rPr>
              <w:t>The legislative bodies should direct their respective executive heads to apply term limits to the appointment of the head of the ethics office, which should be a non</w:t>
            </w:r>
            <w:r>
              <w:rPr>
                <w:sz w:val="18"/>
                <w:szCs w:val="18"/>
              </w:rPr>
              <w:noBreakHyphen/>
            </w:r>
            <w:r w:rsidRPr="0029217C">
              <w:rPr>
                <w:sz w:val="18"/>
                <w:szCs w:val="18"/>
              </w:rPr>
              <w:t>renewable appointment of seven years, or no more than two consecutive appointments of four or five years, with no possibility of re-employment by the same organization.</w:t>
            </w:r>
          </w:p>
        </w:tc>
        <w:tc>
          <w:tcPr>
            <w:tcW w:w="1350" w:type="dxa"/>
          </w:tcPr>
          <w:p w:rsidR="00450047" w:rsidRDefault="00450047">
            <w:pPr>
              <w:rPr>
                <w:sz w:val="18"/>
                <w:szCs w:val="18"/>
              </w:rPr>
            </w:pPr>
          </w:p>
          <w:p w:rsidR="00D252C2" w:rsidRPr="0002233A" w:rsidRDefault="00D252C2">
            <w:pPr>
              <w:rPr>
                <w:sz w:val="18"/>
                <w:szCs w:val="18"/>
              </w:rPr>
            </w:pPr>
            <w:r w:rsidRPr="0029217C">
              <w:rPr>
                <w:sz w:val="18"/>
                <w:szCs w:val="18"/>
              </w:rPr>
              <w:t>Chief Ethics Officer</w:t>
            </w:r>
          </w:p>
        </w:tc>
        <w:tc>
          <w:tcPr>
            <w:tcW w:w="1350" w:type="dxa"/>
          </w:tcPr>
          <w:p w:rsidR="00450047" w:rsidRDefault="00450047">
            <w:pPr>
              <w:rPr>
                <w:sz w:val="18"/>
                <w:szCs w:val="18"/>
              </w:rPr>
            </w:pPr>
          </w:p>
          <w:p w:rsidR="00D252C2" w:rsidRPr="0002233A" w:rsidRDefault="00D252C2">
            <w:pPr>
              <w:rPr>
                <w:sz w:val="18"/>
                <w:szCs w:val="18"/>
              </w:rPr>
            </w:pPr>
            <w:r>
              <w:rPr>
                <w:sz w:val="18"/>
                <w:szCs w:val="18"/>
              </w:rPr>
              <w:t>Under consideration</w:t>
            </w:r>
          </w:p>
        </w:tc>
        <w:tc>
          <w:tcPr>
            <w:tcW w:w="1620" w:type="dxa"/>
          </w:tcPr>
          <w:p w:rsidR="00D252C2" w:rsidRPr="0002233A" w:rsidRDefault="00D252C2">
            <w:pPr>
              <w:rPr>
                <w:sz w:val="18"/>
                <w:szCs w:val="18"/>
              </w:rPr>
            </w:pPr>
          </w:p>
        </w:tc>
        <w:tc>
          <w:tcPr>
            <w:tcW w:w="2628" w:type="dxa"/>
          </w:tcPr>
          <w:p w:rsidR="00D252C2" w:rsidRPr="0002233A" w:rsidRDefault="00D252C2">
            <w:pPr>
              <w:rPr>
                <w:sz w:val="18"/>
                <w:szCs w:val="18"/>
              </w:rPr>
            </w:pPr>
          </w:p>
        </w:tc>
      </w:tr>
      <w:tr w:rsidR="00D252C2" w:rsidRPr="0002233A" w:rsidTr="00B60433">
        <w:trPr>
          <w:trHeight w:val="1520"/>
        </w:trPr>
        <w:tc>
          <w:tcPr>
            <w:tcW w:w="2628" w:type="dxa"/>
          </w:tcPr>
          <w:p w:rsidR="00D252C2" w:rsidRPr="0002233A" w:rsidRDefault="00D252C2" w:rsidP="001502E4">
            <w:pPr>
              <w:rPr>
                <w:sz w:val="18"/>
                <w:szCs w:val="18"/>
              </w:rPr>
            </w:pPr>
            <w:r>
              <w:rPr>
                <w:sz w:val="18"/>
                <w:szCs w:val="18"/>
              </w:rPr>
              <w:t xml:space="preserve">Rec. 8. </w:t>
            </w:r>
            <w:r w:rsidRPr="0029217C">
              <w:rPr>
                <w:sz w:val="18"/>
                <w:szCs w:val="18"/>
              </w:rPr>
              <w:t>The legislative bodies should direct their respective executive heads to ensure that the head of the ethics office has informal access to the legislative bodies which is enshrined in writing.</w:t>
            </w:r>
          </w:p>
        </w:tc>
        <w:tc>
          <w:tcPr>
            <w:tcW w:w="1350" w:type="dxa"/>
          </w:tcPr>
          <w:p w:rsidR="00450047" w:rsidRDefault="00450047">
            <w:pPr>
              <w:rPr>
                <w:sz w:val="18"/>
                <w:szCs w:val="18"/>
              </w:rPr>
            </w:pPr>
          </w:p>
          <w:p w:rsidR="00D252C2" w:rsidRPr="0002233A" w:rsidRDefault="00D252C2">
            <w:pPr>
              <w:rPr>
                <w:sz w:val="18"/>
                <w:szCs w:val="18"/>
              </w:rPr>
            </w:pPr>
            <w:r>
              <w:rPr>
                <w:sz w:val="18"/>
                <w:szCs w:val="18"/>
              </w:rPr>
              <w:t>Chief Ethics Officer</w:t>
            </w:r>
          </w:p>
        </w:tc>
        <w:tc>
          <w:tcPr>
            <w:tcW w:w="1350" w:type="dxa"/>
          </w:tcPr>
          <w:p w:rsidR="00450047" w:rsidRDefault="00450047">
            <w:pPr>
              <w:rPr>
                <w:sz w:val="18"/>
                <w:szCs w:val="18"/>
              </w:rPr>
            </w:pPr>
          </w:p>
          <w:p w:rsidR="00D252C2" w:rsidRPr="0002233A" w:rsidRDefault="00D252C2">
            <w:pPr>
              <w:rPr>
                <w:sz w:val="18"/>
                <w:szCs w:val="18"/>
              </w:rPr>
            </w:pPr>
            <w:r>
              <w:rPr>
                <w:sz w:val="18"/>
                <w:szCs w:val="18"/>
              </w:rPr>
              <w:t xml:space="preserve">Under consideration </w:t>
            </w:r>
          </w:p>
        </w:tc>
        <w:tc>
          <w:tcPr>
            <w:tcW w:w="1620" w:type="dxa"/>
          </w:tcPr>
          <w:p w:rsidR="00D252C2" w:rsidRPr="0002233A" w:rsidRDefault="00D252C2">
            <w:pPr>
              <w:rPr>
                <w:sz w:val="18"/>
                <w:szCs w:val="18"/>
              </w:rPr>
            </w:pPr>
          </w:p>
        </w:tc>
        <w:tc>
          <w:tcPr>
            <w:tcW w:w="2628" w:type="dxa"/>
          </w:tcPr>
          <w:p w:rsidR="00D252C2" w:rsidRPr="0002233A" w:rsidRDefault="00D252C2">
            <w:pPr>
              <w:rPr>
                <w:sz w:val="18"/>
                <w:szCs w:val="18"/>
              </w:rPr>
            </w:pPr>
          </w:p>
        </w:tc>
      </w:tr>
      <w:tr w:rsidR="00D252C2" w:rsidRPr="0002233A" w:rsidTr="00B60433">
        <w:tc>
          <w:tcPr>
            <w:tcW w:w="2628" w:type="dxa"/>
          </w:tcPr>
          <w:p w:rsidR="00D252C2" w:rsidRPr="0002233A" w:rsidRDefault="00D252C2">
            <w:pPr>
              <w:rPr>
                <w:sz w:val="18"/>
                <w:szCs w:val="18"/>
              </w:rPr>
            </w:pPr>
            <w:r>
              <w:rPr>
                <w:sz w:val="18"/>
                <w:szCs w:val="18"/>
              </w:rPr>
              <w:t xml:space="preserve">Rec.16. </w:t>
            </w:r>
            <w:r w:rsidRPr="0029217C">
              <w:rPr>
                <w:sz w:val="18"/>
                <w:szCs w:val="18"/>
              </w:rPr>
              <w:t xml:space="preserve">The legislative bodies should direct their respective executive heads to file a </w:t>
            </w:r>
            <w:r w:rsidRPr="0029217C">
              <w:rPr>
                <w:sz w:val="18"/>
                <w:szCs w:val="18"/>
              </w:rPr>
              <w:lastRenderedPageBreak/>
              <w:t>financial disclosure statement, which should be reviewed in the same manner as for all other staff members who are required to file such statements.</w:t>
            </w:r>
          </w:p>
        </w:tc>
        <w:tc>
          <w:tcPr>
            <w:tcW w:w="1350" w:type="dxa"/>
          </w:tcPr>
          <w:p w:rsidR="00450047" w:rsidRDefault="00450047">
            <w:pPr>
              <w:rPr>
                <w:sz w:val="18"/>
                <w:szCs w:val="18"/>
              </w:rPr>
            </w:pPr>
          </w:p>
          <w:p w:rsidR="00D252C2" w:rsidRPr="0002233A" w:rsidRDefault="00D252C2">
            <w:pPr>
              <w:rPr>
                <w:sz w:val="18"/>
                <w:szCs w:val="18"/>
              </w:rPr>
            </w:pPr>
            <w:r>
              <w:rPr>
                <w:sz w:val="18"/>
                <w:szCs w:val="18"/>
              </w:rPr>
              <w:t>Chief Ethics Officer</w:t>
            </w:r>
          </w:p>
        </w:tc>
        <w:tc>
          <w:tcPr>
            <w:tcW w:w="1350" w:type="dxa"/>
          </w:tcPr>
          <w:p w:rsidR="00450047" w:rsidRDefault="00450047">
            <w:pPr>
              <w:rPr>
                <w:sz w:val="18"/>
                <w:szCs w:val="18"/>
              </w:rPr>
            </w:pPr>
          </w:p>
          <w:p w:rsidR="00D252C2" w:rsidRPr="0002233A" w:rsidRDefault="00D252C2">
            <w:pPr>
              <w:rPr>
                <w:sz w:val="18"/>
                <w:szCs w:val="18"/>
              </w:rPr>
            </w:pPr>
            <w:r>
              <w:rPr>
                <w:sz w:val="18"/>
                <w:szCs w:val="18"/>
              </w:rPr>
              <w:t xml:space="preserve">Accepted </w:t>
            </w:r>
          </w:p>
        </w:tc>
        <w:tc>
          <w:tcPr>
            <w:tcW w:w="1620" w:type="dxa"/>
          </w:tcPr>
          <w:p w:rsidR="00450047" w:rsidRDefault="00450047">
            <w:pPr>
              <w:rPr>
                <w:sz w:val="18"/>
                <w:szCs w:val="18"/>
              </w:rPr>
            </w:pPr>
          </w:p>
          <w:p w:rsidR="00D252C2" w:rsidRPr="0002233A" w:rsidRDefault="00DD3C45">
            <w:pPr>
              <w:rPr>
                <w:sz w:val="18"/>
                <w:szCs w:val="18"/>
              </w:rPr>
            </w:pPr>
            <w:r>
              <w:rPr>
                <w:sz w:val="18"/>
                <w:szCs w:val="18"/>
              </w:rPr>
              <w:t>Implemented</w:t>
            </w:r>
          </w:p>
        </w:tc>
        <w:tc>
          <w:tcPr>
            <w:tcW w:w="2628" w:type="dxa"/>
          </w:tcPr>
          <w:p w:rsidR="00450047" w:rsidRDefault="00450047">
            <w:pPr>
              <w:rPr>
                <w:sz w:val="18"/>
                <w:szCs w:val="18"/>
              </w:rPr>
            </w:pPr>
          </w:p>
          <w:p w:rsidR="00D252C2" w:rsidRPr="0002233A" w:rsidRDefault="00D252C2">
            <w:pPr>
              <w:rPr>
                <w:sz w:val="18"/>
                <w:szCs w:val="18"/>
              </w:rPr>
            </w:pPr>
            <w:r w:rsidRPr="00437A26">
              <w:rPr>
                <w:sz w:val="18"/>
                <w:szCs w:val="18"/>
              </w:rPr>
              <w:t xml:space="preserve">The WIPO Declaration of Interest policy also applies to </w:t>
            </w:r>
            <w:r w:rsidRPr="00437A26">
              <w:rPr>
                <w:sz w:val="18"/>
                <w:szCs w:val="18"/>
              </w:rPr>
              <w:lastRenderedPageBreak/>
              <w:t>the WIPO Director General as governed by the WIPO Office Instruction no. 1/2013.</w:t>
            </w:r>
          </w:p>
        </w:tc>
      </w:tr>
    </w:tbl>
    <w:p w:rsidR="00D252C2" w:rsidRDefault="00D252C2">
      <w:pPr>
        <w:rPr>
          <w:sz w:val="18"/>
          <w:szCs w:val="18"/>
        </w:rPr>
      </w:pPr>
    </w:p>
    <w:p w:rsidR="002B1FF8" w:rsidRDefault="002B1FF8" w:rsidP="00D252C2"/>
    <w:p w:rsidR="00556E39" w:rsidRDefault="00556E39" w:rsidP="00D252C2">
      <w:r w:rsidRPr="003138D9">
        <w:rPr>
          <w:noProof/>
          <w:sz w:val="18"/>
          <w:szCs w:val="18"/>
          <w:lang w:eastAsia="en-US"/>
        </w:rPr>
        <mc:AlternateContent>
          <mc:Choice Requires="wps">
            <w:drawing>
              <wp:anchor distT="0" distB="0" distL="114300" distR="114300" simplePos="0" relativeHeight="251659264" behindDoc="0" locked="0" layoutInCell="1" allowOverlap="1" wp14:anchorId="5068C03C" wp14:editId="5DA3A0DA">
                <wp:simplePos x="0" y="0"/>
                <wp:positionH relativeFrom="column">
                  <wp:posOffset>3213100</wp:posOffset>
                </wp:positionH>
                <wp:positionV relativeFrom="paragraph">
                  <wp:posOffset>166370</wp:posOffset>
                </wp:positionV>
                <wp:extent cx="2292350" cy="4838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483870"/>
                        </a:xfrm>
                        <a:prstGeom prst="rect">
                          <a:avLst/>
                        </a:prstGeom>
                        <a:solidFill>
                          <a:srgbClr val="FFFFFF"/>
                        </a:solidFill>
                        <a:ln w="9525">
                          <a:noFill/>
                          <a:miter lim="800000"/>
                          <a:headEnd/>
                          <a:tailEnd/>
                        </a:ln>
                      </wps:spPr>
                      <wps:txbx>
                        <w:txbxContent>
                          <w:p w:rsidR="00D252C2" w:rsidRPr="002F3243" w:rsidRDefault="00D252C2">
                            <w:r w:rsidRPr="002F3243">
                              <w:t>[End of A</w:t>
                            </w:r>
                            <w:r>
                              <w:t xml:space="preserve">nnex </w:t>
                            </w:r>
                            <w:r w:rsidRPr="002F3243">
                              <w:t>and of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3pt;margin-top:13.1pt;width:180.5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kIQIAAB0EAAAOAAAAZHJzL2Uyb0RvYy54bWysU9uO2yAQfa/Uf0C8N3acpJt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" stroked="f">
                <v:textbox>
                  <w:txbxContent>
                    <w:p w:rsidR="00D252C2" w:rsidRPr="002F3243" w:rsidRDefault="00D252C2">
                      <w:r w:rsidRPr="002F3243">
                        <w:t>[End of A</w:t>
                      </w:r>
                      <w:r>
                        <w:t xml:space="preserve">nnex </w:t>
                      </w:r>
                      <w:r w:rsidRPr="002F3243">
                        <w:t>and of document]</w:t>
                      </w:r>
                    </w:p>
                  </w:txbxContent>
                </v:textbox>
              </v:shape>
            </w:pict>
          </mc:Fallback>
        </mc:AlternateContent>
      </w:r>
    </w:p>
    <w:sectPr w:rsidR="00556E39" w:rsidSect="00D252C2">
      <w:headerReference w:type="default"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72D" w:rsidRDefault="000A472D">
      <w:r>
        <w:separator/>
      </w:r>
    </w:p>
  </w:endnote>
  <w:endnote w:type="continuationSeparator" w:id="0">
    <w:p w:rsidR="000A472D" w:rsidRDefault="000A472D" w:rsidP="003B38C1">
      <w:r>
        <w:separator/>
      </w:r>
    </w:p>
    <w:p w:rsidR="000A472D" w:rsidRPr="003B38C1" w:rsidRDefault="000A472D" w:rsidP="003B38C1">
      <w:pPr>
        <w:spacing w:after="60"/>
        <w:rPr>
          <w:sz w:val="17"/>
        </w:rPr>
      </w:pPr>
      <w:r>
        <w:rPr>
          <w:sz w:val="17"/>
        </w:rPr>
        <w:t>[Endnote continued from previous page]</w:t>
      </w:r>
    </w:p>
  </w:endnote>
  <w:endnote w:type="continuationNotice" w:id="1">
    <w:p w:rsidR="000A472D" w:rsidRPr="003B38C1" w:rsidRDefault="000A472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8FE" w:rsidRDefault="00B81DC8" w:rsidP="009D7D01"/>
  <w:p w:rsidR="001408FE" w:rsidRDefault="00B81D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8FE" w:rsidRDefault="00B81DC8" w:rsidP="009D7D01">
    <w:pPr>
      <w:jc w:val="center"/>
      <w:rPr>
        <w:color w:val="C00000"/>
      </w:rPr>
    </w:pPr>
  </w:p>
  <w:p w:rsidR="001408FE" w:rsidRDefault="00B81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72D" w:rsidRDefault="000A472D">
      <w:r>
        <w:separator/>
      </w:r>
    </w:p>
  </w:footnote>
  <w:footnote w:type="continuationSeparator" w:id="0">
    <w:p w:rsidR="000A472D" w:rsidRDefault="000A472D" w:rsidP="008B60B2">
      <w:r>
        <w:separator/>
      </w:r>
    </w:p>
    <w:p w:rsidR="000A472D" w:rsidRPr="00ED77FB" w:rsidRDefault="000A472D" w:rsidP="008B60B2">
      <w:pPr>
        <w:spacing w:after="60"/>
        <w:rPr>
          <w:sz w:val="17"/>
          <w:szCs w:val="17"/>
        </w:rPr>
      </w:pPr>
      <w:r w:rsidRPr="00ED77FB">
        <w:rPr>
          <w:sz w:val="17"/>
          <w:szCs w:val="17"/>
        </w:rPr>
        <w:t>[Footnote continued from previous page]</w:t>
      </w:r>
    </w:p>
  </w:footnote>
  <w:footnote w:type="continuationNotice" w:id="1">
    <w:p w:rsidR="000A472D" w:rsidRPr="00ED77FB" w:rsidRDefault="000A472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B33B1" w:rsidP="00477D6B">
    <w:pPr>
      <w:jc w:val="right"/>
    </w:pPr>
    <w:bookmarkStart w:id="6" w:name="Code2"/>
    <w:bookmarkEnd w:id="6"/>
    <w:r>
      <w:t>WO/PBC/22/23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81DC8">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77" w:rsidRPr="00BC3D77" w:rsidRDefault="00D252C2" w:rsidP="00BC3D77">
    <w:pPr>
      <w:pStyle w:val="Header"/>
      <w:jc w:val="right"/>
    </w:pPr>
    <w:r>
      <w:t>WO/PBC/22/23</w:t>
    </w:r>
  </w:p>
  <w:p w:rsidR="00BC3D77" w:rsidRPr="00BC3D77" w:rsidRDefault="005B2D34" w:rsidP="00BC3D77">
    <w:pPr>
      <w:pStyle w:val="Header"/>
      <w:jc w:val="right"/>
    </w:pPr>
    <w:r w:rsidRPr="00BC3D77">
      <w:t xml:space="preserve">Annex, </w:t>
    </w:r>
    <w:r w:rsidR="00DD3C45">
      <w:t>p</w:t>
    </w:r>
    <w:r w:rsidRPr="00BC3D77">
      <w:t xml:space="preserve">age </w:t>
    </w:r>
    <w:sdt>
      <w:sdtPr>
        <w:id w:val="-268541166"/>
        <w:docPartObj>
          <w:docPartGallery w:val="Page Numbers (Top of Page)"/>
          <w:docPartUnique/>
        </w:docPartObj>
      </w:sdtPr>
      <w:sdtEndPr>
        <w:rPr>
          <w:noProof/>
        </w:rPr>
      </w:sdtEndPr>
      <w:sdtContent>
        <w:r w:rsidRPr="00BC3D77">
          <w:fldChar w:fldCharType="begin"/>
        </w:r>
        <w:r w:rsidRPr="00BC3D77">
          <w:instrText xml:space="preserve"> PAGE   \* MERGEFORMAT </w:instrText>
        </w:r>
        <w:r w:rsidRPr="00BC3D77">
          <w:fldChar w:fldCharType="separate"/>
        </w:r>
        <w:r w:rsidR="00B81DC8">
          <w:rPr>
            <w:noProof/>
          </w:rPr>
          <w:t>8</w:t>
        </w:r>
        <w:r w:rsidRPr="00BC3D77">
          <w:rPr>
            <w:noProof/>
          </w:rPr>
          <w:fldChar w:fldCharType="end"/>
        </w:r>
      </w:sdtContent>
    </w:sdt>
  </w:p>
  <w:p w:rsidR="001408FE" w:rsidRPr="006D7D80" w:rsidRDefault="00B81DC8" w:rsidP="006D7D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2D" w:rsidRDefault="005B2D34" w:rsidP="00D252C2">
    <w:pPr>
      <w:pStyle w:val="Header"/>
      <w:ind w:left="3240" w:firstLine="4500"/>
      <w:jc w:val="right"/>
    </w:pPr>
    <w:r>
      <w:t>WO/PBC/22/</w:t>
    </w:r>
    <w:r w:rsidR="001F18C2">
      <w:t>23</w:t>
    </w:r>
    <w:r w:rsidR="00DD3C45">
      <w:t>ANNEX</w:t>
    </w:r>
  </w:p>
  <w:p w:rsidR="00EA4539" w:rsidRDefault="00B81DC8" w:rsidP="003C2A5E">
    <w:pPr>
      <w:pStyle w:val="Header"/>
      <w:ind w:left="3240" w:firstLine="4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2E7833"/>
    <w:multiLevelType w:val="hybridMultilevel"/>
    <w:tmpl w:val="74881CDE"/>
    <w:lvl w:ilvl="0" w:tplc="33D4D0B4">
      <w:start w:val="1"/>
      <w:numFmt w:val="decimal"/>
      <w:lvlText w:val="%1."/>
      <w:lvlJc w:val="left"/>
      <w:pPr>
        <w:ind w:left="930" w:hanging="570"/>
      </w:pPr>
      <w:rPr>
        <w:rFonts w:hint="default"/>
      </w:rPr>
    </w:lvl>
    <w:lvl w:ilvl="1" w:tplc="853A9E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042081"/>
    <w:multiLevelType w:val="multilevel"/>
    <w:tmpl w:val="16E2542E"/>
    <w:lvl w:ilvl="0">
      <w:start w:val="1"/>
      <w:numFmt w:val="decimal"/>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3B1"/>
    <w:rsid w:val="00000814"/>
    <w:rsid w:val="00043CAA"/>
    <w:rsid w:val="00075432"/>
    <w:rsid w:val="000968ED"/>
    <w:rsid w:val="000A472D"/>
    <w:rsid w:val="000B6436"/>
    <w:rsid w:val="000F5E56"/>
    <w:rsid w:val="001362EE"/>
    <w:rsid w:val="00157599"/>
    <w:rsid w:val="00164B91"/>
    <w:rsid w:val="001737D1"/>
    <w:rsid w:val="001832A6"/>
    <w:rsid w:val="001F18C2"/>
    <w:rsid w:val="001F24AE"/>
    <w:rsid w:val="00217F23"/>
    <w:rsid w:val="002361BA"/>
    <w:rsid w:val="00237761"/>
    <w:rsid w:val="00241913"/>
    <w:rsid w:val="00263414"/>
    <w:rsid w:val="002634C4"/>
    <w:rsid w:val="00272702"/>
    <w:rsid w:val="002928D3"/>
    <w:rsid w:val="002B1FF8"/>
    <w:rsid w:val="002F1FE6"/>
    <w:rsid w:val="002F4E68"/>
    <w:rsid w:val="00312119"/>
    <w:rsid w:val="00312F7F"/>
    <w:rsid w:val="0034556E"/>
    <w:rsid w:val="00360432"/>
    <w:rsid w:val="00361450"/>
    <w:rsid w:val="003673CF"/>
    <w:rsid w:val="003845C1"/>
    <w:rsid w:val="003A6F89"/>
    <w:rsid w:val="003B38C1"/>
    <w:rsid w:val="00423E3E"/>
    <w:rsid w:val="00427AF4"/>
    <w:rsid w:val="00450047"/>
    <w:rsid w:val="004647DA"/>
    <w:rsid w:val="00474062"/>
    <w:rsid w:val="00477D6B"/>
    <w:rsid w:val="004C0F47"/>
    <w:rsid w:val="005019FF"/>
    <w:rsid w:val="0053057A"/>
    <w:rsid w:val="00556E39"/>
    <w:rsid w:val="00560A29"/>
    <w:rsid w:val="005B2D34"/>
    <w:rsid w:val="005C6649"/>
    <w:rsid w:val="005E7546"/>
    <w:rsid w:val="00605827"/>
    <w:rsid w:val="00646050"/>
    <w:rsid w:val="006713CA"/>
    <w:rsid w:val="00676C5C"/>
    <w:rsid w:val="00677ECD"/>
    <w:rsid w:val="007132D7"/>
    <w:rsid w:val="007D1613"/>
    <w:rsid w:val="00850569"/>
    <w:rsid w:val="008B2CC1"/>
    <w:rsid w:val="008B60B2"/>
    <w:rsid w:val="0090731E"/>
    <w:rsid w:val="00911B2D"/>
    <w:rsid w:val="00916EE2"/>
    <w:rsid w:val="00966A22"/>
    <w:rsid w:val="0096722F"/>
    <w:rsid w:val="00980843"/>
    <w:rsid w:val="009C4662"/>
    <w:rsid w:val="009E2791"/>
    <w:rsid w:val="009E3F6F"/>
    <w:rsid w:val="009F499F"/>
    <w:rsid w:val="00A40716"/>
    <w:rsid w:val="00A42DAF"/>
    <w:rsid w:val="00A45BD8"/>
    <w:rsid w:val="00A869B7"/>
    <w:rsid w:val="00AC205C"/>
    <w:rsid w:val="00AF0A6B"/>
    <w:rsid w:val="00B05A69"/>
    <w:rsid w:val="00B81DC8"/>
    <w:rsid w:val="00B9734B"/>
    <w:rsid w:val="00C11BFE"/>
    <w:rsid w:val="00C64D0E"/>
    <w:rsid w:val="00CB33B1"/>
    <w:rsid w:val="00D24317"/>
    <w:rsid w:val="00D252C2"/>
    <w:rsid w:val="00D45252"/>
    <w:rsid w:val="00D71B4D"/>
    <w:rsid w:val="00D93D55"/>
    <w:rsid w:val="00DB6913"/>
    <w:rsid w:val="00DD3C45"/>
    <w:rsid w:val="00E335FE"/>
    <w:rsid w:val="00EC4E49"/>
    <w:rsid w:val="00ED77FB"/>
    <w:rsid w:val="00EE45FA"/>
    <w:rsid w:val="00F31144"/>
    <w:rsid w:val="00F551D1"/>
    <w:rsid w:val="00F66152"/>
    <w:rsid w:val="00FA1D67"/>
    <w:rsid w:val="00FD1545"/>
    <w:rsid w:val="00FD6361"/>
    <w:rsid w:val="00FE0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tabs>
        <w:tab w:val="clear" w:pos="567"/>
        <w:tab w:val="num" w:pos="360"/>
      </w:tabs>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B33B1"/>
    <w:pPr>
      <w:ind w:left="720"/>
      <w:contextualSpacing/>
    </w:pPr>
  </w:style>
  <w:style w:type="paragraph" w:styleId="BalloonText">
    <w:name w:val="Balloon Text"/>
    <w:basedOn w:val="Normal"/>
    <w:link w:val="BalloonTextChar"/>
    <w:rsid w:val="00237761"/>
    <w:rPr>
      <w:rFonts w:ascii="Tahoma" w:hAnsi="Tahoma" w:cs="Tahoma"/>
      <w:sz w:val="16"/>
      <w:szCs w:val="16"/>
    </w:rPr>
  </w:style>
  <w:style w:type="character" w:customStyle="1" w:styleId="BalloonTextChar">
    <w:name w:val="Balloon Text Char"/>
    <w:basedOn w:val="DefaultParagraphFont"/>
    <w:link w:val="BalloonText"/>
    <w:rsid w:val="00237761"/>
    <w:rPr>
      <w:rFonts w:ascii="Tahoma" w:eastAsia="SimSun" w:hAnsi="Tahoma" w:cs="Tahoma"/>
      <w:sz w:val="16"/>
      <w:szCs w:val="16"/>
      <w:lang w:eastAsia="zh-CN"/>
    </w:rPr>
  </w:style>
  <w:style w:type="table" w:styleId="TableGrid">
    <w:name w:val="Table Grid"/>
    <w:basedOn w:val="TableNormal"/>
    <w:uiPriority w:val="59"/>
    <w:rsid w:val="00D252C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252C2"/>
    <w:rPr>
      <w:rFonts w:ascii="Arial" w:eastAsia="SimSun" w:hAnsi="Arial" w:cs="Arial"/>
      <w:sz w:val="22"/>
      <w:lang w:eastAsia="zh-CN"/>
    </w:rPr>
  </w:style>
  <w:style w:type="character" w:customStyle="1" w:styleId="FooterChar">
    <w:name w:val="Footer Char"/>
    <w:basedOn w:val="DefaultParagraphFont"/>
    <w:link w:val="Footer"/>
    <w:uiPriority w:val="99"/>
    <w:rsid w:val="00D252C2"/>
    <w:rPr>
      <w:rFonts w:ascii="Arial" w:eastAsia="SimSun" w:hAnsi="Arial" w:cs="Arial"/>
      <w:sz w:val="22"/>
      <w:lang w:eastAsia="zh-CN"/>
    </w:rPr>
  </w:style>
  <w:style w:type="character" w:styleId="Hyperlink">
    <w:name w:val="Hyperlink"/>
    <w:basedOn w:val="DefaultParagraphFont"/>
    <w:uiPriority w:val="99"/>
    <w:unhideWhenUsed/>
    <w:rsid w:val="00D252C2"/>
    <w:rPr>
      <w:color w:val="0000FF"/>
      <w:u w:val="single"/>
    </w:rPr>
  </w:style>
  <w:style w:type="paragraph" w:customStyle="1" w:styleId="Bodydrafting">
    <w:name w:val="Body drafting"/>
    <w:basedOn w:val="Normal"/>
    <w:uiPriority w:val="99"/>
    <w:rsid w:val="00D252C2"/>
    <w:pPr>
      <w:spacing w:before="120" w:after="120"/>
      <w:jc w:val="both"/>
    </w:pPr>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tabs>
        <w:tab w:val="clear" w:pos="567"/>
        <w:tab w:val="num" w:pos="360"/>
      </w:tabs>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B33B1"/>
    <w:pPr>
      <w:ind w:left="720"/>
      <w:contextualSpacing/>
    </w:pPr>
  </w:style>
  <w:style w:type="paragraph" w:styleId="BalloonText">
    <w:name w:val="Balloon Text"/>
    <w:basedOn w:val="Normal"/>
    <w:link w:val="BalloonTextChar"/>
    <w:rsid w:val="00237761"/>
    <w:rPr>
      <w:rFonts w:ascii="Tahoma" w:hAnsi="Tahoma" w:cs="Tahoma"/>
      <w:sz w:val="16"/>
      <w:szCs w:val="16"/>
    </w:rPr>
  </w:style>
  <w:style w:type="character" w:customStyle="1" w:styleId="BalloonTextChar">
    <w:name w:val="Balloon Text Char"/>
    <w:basedOn w:val="DefaultParagraphFont"/>
    <w:link w:val="BalloonText"/>
    <w:rsid w:val="00237761"/>
    <w:rPr>
      <w:rFonts w:ascii="Tahoma" w:eastAsia="SimSun" w:hAnsi="Tahoma" w:cs="Tahoma"/>
      <w:sz w:val="16"/>
      <w:szCs w:val="16"/>
      <w:lang w:eastAsia="zh-CN"/>
    </w:rPr>
  </w:style>
  <w:style w:type="table" w:styleId="TableGrid">
    <w:name w:val="Table Grid"/>
    <w:basedOn w:val="TableNormal"/>
    <w:uiPriority w:val="59"/>
    <w:rsid w:val="00D252C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252C2"/>
    <w:rPr>
      <w:rFonts w:ascii="Arial" w:eastAsia="SimSun" w:hAnsi="Arial" w:cs="Arial"/>
      <w:sz w:val="22"/>
      <w:lang w:eastAsia="zh-CN"/>
    </w:rPr>
  </w:style>
  <w:style w:type="character" w:customStyle="1" w:styleId="FooterChar">
    <w:name w:val="Footer Char"/>
    <w:basedOn w:val="DefaultParagraphFont"/>
    <w:link w:val="Footer"/>
    <w:uiPriority w:val="99"/>
    <w:rsid w:val="00D252C2"/>
    <w:rPr>
      <w:rFonts w:ascii="Arial" w:eastAsia="SimSun" w:hAnsi="Arial" w:cs="Arial"/>
      <w:sz w:val="22"/>
      <w:lang w:eastAsia="zh-CN"/>
    </w:rPr>
  </w:style>
  <w:style w:type="character" w:styleId="Hyperlink">
    <w:name w:val="Hyperlink"/>
    <w:basedOn w:val="DefaultParagraphFont"/>
    <w:uiPriority w:val="99"/>
    <w:unhideWhenUsed/>
    <w:rsid w:val="00D252C2"/>
    <w:rPr>
      <w:color w:val="0000FF"/>
      <w:u w:val="single"/>
    </w:rPr>
  </w:style>
  <w:style w:type="paragraph" w:customStyle="1" w:styleId="Bodydrafting">
    <w:name w:val="Body drafting"/>
    <w:basedOn w:val="Normal"/>
    <w:uiPriority w:val="99"/>
    <w:rsid w:val="00D252C2"/>
    <w:pPr>
      <w:spacing w:before="120" w:after="120"/>
      <w:jc w:val="both"/>
    </w:pPr>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mdocs/en/cdip_13/cdip_13_summary.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edocs/mdocs/mdocs/en/cdip_13/cdip_13_4.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docs/mdocs/mdocs/en/cdip_13/cdip_13_summary.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mdocs/en/cdip_13/cdip_13_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6B588-4786-4816-8704-74396E4DC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5101</TotalTime>
  <Pages>10</Pages>
  <Words>2845</Words>
  <Characters>17417</Characters>
  <Application>Microsoft Office Word</Application>
  <DocSecurity>0</DocSecurity>
  <Lines>1088</Lines>
  <Paragraphs>196</Paragraphs>
  <ScaleCrop>false</ScaleCrop>
  <HeadingPairs>
    <vt:vector size="2" baseType="variant">
      <vt:variant>
        <vt:lpstr>Title</vt:lpstr>
      </vt:variant>
      <vt:variant>
        <vt:i4>1</vt:i4>
      </vt:variant>
    </vt:vector>
  </HeadingPairs>
  <TitlesOfParts>
    <vt:vector size="1" baseType="lpstr">
      <vt:lpstr>WO/PBC/22/23</vt:lpstr>
    </vt:vector>
  </TitlesOfParts>
  <Company>WIPO</Company>
  <LinksUpToDate>false</LinksUpToDate>
  <CharactersWithSpaces>20066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WO/PBC/22/23</dc:title>
  <dc:subject>JIU recommendations</dc:subject>
  <dc:creator>NETTER Iza</dc:creator>
  <cp:keywords>implementation, JIU recommendations</cp:keywords>
  <cp:lastModifiedBy>NETTER Iza</cp:lastModifiedBy>
  <cp:revision>12</cp:revision>
  <cp:lastPrinted>2014-07-14T11:48:00Z</cp:lastPrinted>
  <dcterms:created xsi:type="dcterms:W3CDTF">2014-07-10T17:26:00Z</dcterms:created>
  <dcterms:modified xsi:type="dcterms:W3CDTF">2014-07-17T14:04:00Z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