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D09C" w14:textId="77777777" w:rsidR="008B2CC1" w:rsidRPr="008B2CC1" w:rsidRDefault="00873EE5" w:rsidP="00F11D94">
      <w:pPr>
        <w:spacing w:after="120"/>
        <w:jc w:val="right"/>
      </w:pPr>
      <w:r>
        <w:rPr>
          <w:noProof/>
          <w:sz w:val="28"/>
          <w:szCs w:val="28"/>
          <w:lang w:val="fr-CH" w:eastAsia="fr-CH"/>
        </w:rPr>
        <w:drawing>
          <wp:inline distT="0" distB="0" distL="0" distR="0" wp14:anchorId="798364BA" wp14:editId="40BC2A4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0DADF508" wp14:editId="659DD93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17B3E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95BC7AB" w14:textId="1BBC8730"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CC5400">
        <w:rPr>
          <w:rFonts w:ascii="Arial Black" w:hAnsi="Arial Black"/>
          <w:caps/>
          <w:sz w:val="15"/>
          <w:szCs w:val="15"/>
        </w:rPr>
        <w:t>8</w:t>
      </w:r>
      <w:r>
        <w:rPr>
          <w:rFonts w:ascii="Arial Black" w:hAnsi="Arial Black"/>
          <w:caps/>
          <w:sz w:val="15"/>
          <w:szCs w:val="15"/>
        </w:rPr>
        <w:t>/</w:t>
      </w:r>
      <w:bookmarkStart w:id="0" w:name="Code"/>
      <w:bookmarkEnd w:id="0"/>
      <w:r w:rsidR="003C515A">
        <w:rPr>
          <w:rFonts w:ascii="Arial Black" w:hAnsi="Arial Black"/>
          <w:caps/>
          <w:sz w:val="15"/>
          <w:szCs w:val="15"/>
        </w:rPr>
        <w:t>8</w:t>
      </w:r>
    </w:p>
    <w:p w14:paraId="71079A2C" w14:textId="2923D3D1"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B62C3B">
        <w:rPr>
          <w:rFonts w:ascii="Arial Black" w:hAnsi="Arial Black"/>
          <w:caps/>
          <w:sz w:val="15"/>
          <w:szCs w:val="15"/>
        </w:rPr>
        <w:t xml:space="preserve">  </w:t>
      </w:r>
      <w:r w:rsidR="003C515A">
        <w:rPr>
          <w:rFonts w:ascii="Arial Black" w:hAnsi="Arial Black"/>
          <w:caps/>
          <w:sz w:val="15"/>
          <w:szCs w:val="15"/>
        </w:rPr>
        <w:t>English</w:t>
      </w:r>
    </w:p>
    <w:bookmarkEnd w:id="1"/>
    <w:p w14:paraId="4BB28CE2" w14:textId="348A71A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62C3B">
        <w:rPr>
          <w:rFonts w:ascii="Arial Black" w:hAnsi="Arial Black"/>
          <w:caps/>
          <w:sz w:val="15"/>
          <w:szCs w:val="15"/>
        </w:rPr>
        <w:t xml:space="preserve"> </w:t>
      </w:r>
      <w:r w:rsidR="003C515A">
        <w:rPr>
          <w:rFonts w:ascii="Arial Black" w:hAnsi="Arial Black"/>
          <w:caps/>
          <w:sz w:val="15"/>
          <w:szCs w:val="15"/>
        </w:rPr>
        <w:t xml:space="preserve">June </w:t>
      </w:r>
      <w:r w:rsidR="003C3238">
        <w:rPr>
          <w:rFonts w:ascii="Arial Black" w:hAnsi="Arial Black"/>
          <w:caps/>
          <w:sz w:val="15"/>
          <w:szCs w:val="15"/>
        </w:rPr>
        <w:t>17</w:t>
      </w:r>
      <w:r w:rsidR="003C515A">
        <w:rPr>
          <w:rFonts w:ascii="Arial Black" w:hAnsi="Arial Black"/>
          <w:caps/>
          <w:sz w:val="15"/>
          <w:szCs w:val="15"/>
        </w:rPr>
        <w:t>, 2025</w:t>
      </w:r>
    </w:p>
    <w:bookmarkEnd w:id="2"/>
    <w:p w14:paraId="1BD3A088" w14:textId="77777777" w:rsidR="008B2CC1" w:rsidRPr="003845C1" w:rsidRDefault="00A9118D" w:rsidP="00CE65D4">
      <w:pPr>
        <w:spacing w:after="600"/>
        <w:rPr>
          <w:b/>
          <w:sz w:val="28"/>
          <w:szCs w:val="28"/>
        </w:rPr>
      </w:pPr>
      <w:r w:rsidRPr="00A9118D">
        <w:rPr>
          <w:b/>
          <w:sz w:val="28"/>
          <w:szCs w:val="28"/>
        </w:rPr>
        <w:t>WIPO General Assembly</w:t>
      </w:r>
    </w:p>
    <w:p w14:paraId="20C24080" w14:textId="77777777" w:rsidR="008B2CC1" w:rsidRPr="003845C1" w:rsidRDefault="00801759" w:rsidP="008B2CC1">
      <w:pPr>
        <w:rPr>
          <w:b/>
          <w:sz w:val="24"/>
          <w:szCs w:val="24"/>
        </w:rPr>
      </w:pPr>
      <w:r w:rsidRPr="00A9118D">
        <w:rPr>
          <w:b/>
          <w:sz w:val="24"/>
          <w:szCs w:val="24"/>
        </w:rPr>
        <w:t>Fifty-</w:t>
      </w:r>
      <w:r w:rsidR="00CC5400">
        <w:rPr>
          <w:b/>
          <w:sz w:val="24"/>
          <w:szCs w:val="24"/>
        </w:rPr>
        <w:t>Eight</w:t>
      </w:r>
      <w:r w:rsidR="00A77470">
        <w:rPr>
          <w:b/>
          <w:sz w:val="24"/>
          <w:szCs w:val="24"/>
        </w:rPr>
        <w:t>h</w:t>
      </w:r>
      <w:r w:rsidRPr="00A9118D">
        <w:rPr>
          <w:b/>
          <w:sz w:val="24"/>
          <w:szCs w:val="24"/>
        </w:rPr>
        <w:t xml:space="preserve"> (</w:t>
      </w:r>
      <w:r w:rsidR="00CC5400">
        <w:rPr>
          <w:b/>
          <w:sz w:val="24"/>
          <w:szCs w:val="24"/>
        </w:rPr>
        <w:t>27</w:t>
      </w:r>
      <w:r w:rsidRPr="00A154C3">
        <w:rPr>
          <w:b/>
          <w:sz w:val="24"/>
          <w:szCs w:val="24"/>
          <w:vertAlign w:val="superscript"/>
        </w:rPr>
        <w:t>t</w:t>
      </w:r>
      <w:r w:rsidR="00CC5400">
        <w:rPr>
          <w:b/>
          <w:sz w:val="24"/>
          <w:szCs w:val="24"/>
          <w:vertAlign w:val="superscript"/>
        </w:rPr>
        <w:t>h</w:t>
      </w:r>
      <w:r>
        <w:rPr>
          <w:b/>
          <w:sz w:val="24"/>
          <w:szCs w:val="24"/>
        </w:rPr>
        <w:t xml:space="preserve"> </w:t>
      </w:r>
      <w:r w:rsidR="00CC5400">
        <w:rPr>
          <w:b/>
          <w:sz w:val="24"/>
          <w:szCs w:val="24"/>
        </w:rPr>
        <w:t>O</w:t>
      </w:r>
      <w:r w:rsidRPr="00A9118D">
        <w:rPr>
          <w:b/>
          <w:sz w:val="24"/>
          <w:szCs w:val="24"/>
        </w:rPr>
        <w:t>rdinary</w:t>
      </w:r>
      <w:r w:rsidR="00A9118D" w:rsidRPr="00A9118D">
        <w:rPr>
          <w:b/>
          <w:sz w:val="24"/>
          <w:szCs w:val="24"/>
        </w:rPr>
        <w:t>) Session</w:t>
      </w:r>
    </w:p>
    <w:p w14:paraId="57311FBA" w14:textId="77777777" w:rsidR="008B2CC1" w:rsidRPr="009F3BF9" w:rsidRDefault="00A9118D" w:rsidP="00CE65D4">
      <w:pPr>
        <w:spacing w:after="720"/>
      </w:pPr>
      <w:r w:rsidRPr="00A9118D">
        <w:rPr>
          <w:b/>
          <w:sz w:val="24"/>
          <w:szCs w:val="24"/>
        </w:rPr>
        <w:t xml:space="preserve">Geneva, July </w:t>
      </w:r>
      <w:r w:rsidR="00CC5400">
        <w:rPr>
          <w:b/>
          <w:sz w:val="24"/>
          <w:szCs w:val="24"/>
        </w:rPr>
        <w:t>8</w:t>
      </w:r>
      <w:r w:rsidR="00801759" w:rsidRPr="00A9118D">
        <w:rPr>
          <w:b/>
          <w:sz w:val="24"/>
          <w:szCs w:val="24"/>
        </w:rPr>
        <w:t xml:space="preserve"> to </w:t>
      </w:r>
      <w:r w:rsidR="00801759">
        <w:rPr>
          <w:b/>
          <w:sz w:val="24"/>
          <w:szCs w:val="24"/>
        </w:rPr>
        <w:t>17, 202</w:t>
      </w:r>
      <w:r w:rsidR="00CC5400">
        <w:rPr>
          <w:b/>
          <w:sz w:val="24"/>
          <w:szCs w:val="24"/>
        </w:rPr>
        <w:t>5</w:t>
      </w:r>
    </w:p>
    <w:p w14:paraId="7A7C209F" w14:textId="77777777" w:rsidR="003C515A" w:rsidRPr="009F3BF9" w:rsidRDefault="003C515A" w:rsidP="003C515A">
      <w:pPr>
        <w:spacing w:after="360"/>
        <w:rPr>
          <w:caps/>
          <w:sz w:val="24"/>
        </w:rPr>
      </w:pPr>
      <w:bookmarkStart w:id="3" w:name="TitleOfDoc"/>
      <w:r w:rsidRPr="000E1BCD">
        <w:rPr>
          <w:caps/>
          <w:sz w:val="24"/>
        </w:rPr>
        <w:t>REPORT ON THE INTERGOVERNMENTAL COMMITTEE ON INTELLECTUAL PROPERTY AND GENETIC RESOURCES, TRADITIONAL KNOWLEDGE AND FOLKLORE (IGC)</w:t>
      </w:r>
    </w:p>
    <w:p w14:paraId="06FC69ED" w14:textId="77777777" w:rsidR="003C515A" w:rsidRPr="004D39C4" w:rsidRDefault="003C515A" w:rsidP="003C515A">
      <w:pPr>
        <w:spacing w:after="960"/>
        <w:rPr>
          <w:i/>
        </w:rPr>
      </w:pPr>
      <w:r>
        <w:rPr>
          <w:i/>
        </w:rPr>
        <w:t>prepared by the Secretariat</w:t>
      </w:r>
    </w:p>
    <w:p w14:paraId="1C786DCF" w14:textId="77777777" w:rsidR="003C515A" w:rsidRPr="00D56CC7" w:rsidRDefault="003C515A" w:rsidP="003C515A">
      <w:pPr>
        <w:pStyle w:val="Heading2"/>
        <w:numPr>
          <w:ilvl w:val="0"/>
          <w:numId w:val="7"/>
        </w:numPr>
        <w:spacing w:after="220"/>
        <w:ind w:left="540"/>
        <w:rPr>
          <w:b/>
        </w:rPr>
      </w:pPr>
      <w:r w:rsidRPr="00D56CC7">
        <w:rPr>
          <w:b/>
        </w:rPr>
        <w:t>INTRODUCTION</w:t>
      </w:r>
    </w:p>
    <w:p w14:paraId="53196754" w14:textId="0D971EBE" w:rsidR="003C515A" w:rsidRPr="003804D9" w:rsidRDefault="003C515A" w:rsidP="003C515A">
      <w:pPr>
        <w:spacing w:before="240" w:after="240"/>
      </w:pPr>
      <w:r>
        <w:fldChar w:fldCharType="begin"/>
      </w:r>
      <w:r>
        <w:instrText xml:space="preserve"> AUTONUM  </w:instrText>
      </w:r>
      <w:r>
        <w:fldChar w:fldCharType="end"/>
      </w:r>
      <w:r>
        <w:tab/>
      </w:r>
      <w:r w:rsidRPr="003804D9">
        <w:t>The WIPO General Assembly, at its</w:t>
      </w:r>
      <w:r>
        <w:t xml:space="preserve"> </w:t>
      </w:r>
      <w:r w:rsidR="00233292">
        <w:t>F</w:t>
      </w:r>
      <w:r w:rsidR="00233292" w:rsidRPr="00233292">
        <w:t>ifty-</w:t>
      </w:r>
      <w:r w:rsidR="00233292">
        <w:t>S</w:t>
      </w:r>
      <w:r w:rsidR="00233292" w:rsidRPr="00233292">
        <w:t>ixth (26</w:t>
      </w:r>
      <w:r w:rsidR="00233292" w:rsidRPr="003C3238">
        <w:rPr>
          <w:vertAlign w:val="superscript"/>
        </w:rPr>
        <w:t>th</w:t>
      </w:r>
      <w:r w:rsidR="00233292" w:rsidRPr="00233292">
        <w:t xml:space="preserve"> </w:t>
      </w:r>
      <w:r w:rsidR="00233292">
        <w:t>O</w:t>
      </w:r>
      <w:r w:rsidR="00233292" w:rsidRPr="00233292">
        <w:t>rdinary)</w:t>
      </w:r>
      <w:r>
        <w:t xml:space="preserve"> </w:t>
      </w:r>
      <w:r w:rsidRPr="00C31714">
        <w:t>Session</w:t>
      </w:r>
      <w:r w:rsidRPr="003804D9">
        <w:t xml:space="preserve"> </w:t>
      </w:r>
      <w:r>
        <w:t xml:space="preserve">in </w:t>
      </w:r>
      <w:r w:rsidR="000F2519">
        <w:t>July</w:t>
      </w:r>
      <w:r>
        <w:t> 202</w:t>
      </w:r>
      <w:r w:rsidR="000F2519">
        <w:t>3</w:t>
      </w:r>
      <w:r w:rsidRPr="003804D9">
        <w:t>, agreed on the mandate for the Intergovernmental Committee on Intellectual Property and Genetic Resources, Traditional Knowledge</w:t>
      </w:r>
      <w:r>
        <w:t xml:space="preserve"> and Folklore (IGC) for the 202</w:t>
      </w:r>
      <w:r w:rsidR="000F2519">
        <w:t>4</w:t>
      </w:r>
      <w:r>
        <w:t>/202</w:t>
      </w:r>
      <w:r w:rsidR="000F2519">
        <w:t>5</w:t>
      </w:r>
      <w:r>
        <w:t> biennium.</w:t>
      </w:r>
    </w:p>
    <w:p w14:paraId="109DE626" w14:textId="79831CB0" w:rsidR="003C515A" w:rsidRDefault="003C515A" w:rsidP="003C515A">
      <w:pPr>
        <w:spacing w:before="240" w:after="240"/>
      </w:pPr>
      <w:r>
        <w:fldChar w:fldCharType="begin"/>
      </w:r>
      <w:r>
        <w:instrText xml:space="preserve"> AUTONUM  </w:instrText>
      </w:r>
      <w:r>
        <w:fldChar w:fldCharType="end"/>
      </w:r>
      <w:r>
        <w:tab/>
        <w:t>The IGC’s mandate for the 202</w:t>
      </w:r>
      <w:r w:rsidR="000F2519">
        <w:t>4</w:t>
      </w:r>
      <w:r>
        <w:t>/202</w:t>
      </w:r>
      <w:r w:rsidR="000F2519">
        <w:t>5</w:t>
      </w:r>
      <w:r w:rsidRPr="003804D9">
        <w:t xml:space="preserve"> biennium, which w</w:t>
      </w:r>
      <w:r>
        <w:t>as set out in document WO/GA/5</w:t>
      </w:r>
      <w:r w:rsidR="00233292">
        <w:t>6</w:t>
      </w:r>
      <w:r>
        <w:t>/10</w:t>
      </w:r>
      <w:r w:rsidRPr="003804D9">
        <w:t>, provides as follows:</w:t>
      </w:r>
    </w:p>
    <w:p w14:paraId="1027D4FC" w14:textId="77777777" w:rsidR="00AB7D9E" w:rsidRPr="00285638" w:rsidRDefault="00AB7D9E" w:rsidP="00360D7F">
      <w:pPr>
        <w:spacing w:after="240" w:line="260" w:lineRule="atLeast"/>
        <w:ind w:left="567"/>
        <w:rPr>
          <w:szCs w:val="22"/>
        </w:rPr>
      </w:pPr>
      <w:r>
        <w:t>“</w:t>
      </w:r>
      <w:r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Pr="00285638">
        <w:rPr>
          <w:szCs w:val="22"/>
        </w:rPr>
        <w:t>that the mandate of the Committee be renewed, without prejudice to the work pur</w:t>
      </w:r>
      <w:r>
        <w:rPr>
          <w:szCs w:val="22"/>
        </w:rPr>
        <w:t>sued in other fora, as follows:</w:t>
      </w:r>
    </w:p>
    <w:p w14:paraId="63227DF1" w14:textId="77777777" w:rsidR="00AB7D9E" w:rsidRPr="002573EE" w:rsidRDefault="00AB7D9E" w:rsidP="00AB7D9E">
      <w:pPr>
        <w:spacing w:after="120" w:line="260" w:lineRule="atLeast"/>
        <w:ind w:left="1530" w:hanging="450"/>
        <w:rPr>
          <w:szCs w:val="22"/>
        </w:rPr>
      </w:pPr>
      <w:r>
        <w:rPr>
          <w:szCs w:val="22"/>
        </w:rPr>
        <w:t>“(a)</w:t>
      </w:r>
      <w:r>
        <w:rPr>
          <w:szCs w:val="22"/>
        </w:rPr>
        <w:tab/>
      </w:r>
      <w:r w:rsidRPr="002573EE">
        <w:rPr>
          <w:szCs w:val="22"/>
        </w:rPr>
        <w:t xml:space="preserve">The Committee will, during the next budgetary biennium 2024/2025, </w:t>
      </w:r>
      <w:r>
        <w:rPr>
          <w:szCs w:val="22"/>
        </w:rPr>
        <w:t xml:space="preserve">in a Member State driven process, </w:t>
      </w:r>
      <w:r w:rsidRPr="002573EE">
        <w:rPr>
          <w:szCs w:val="22"/>
        </w:rPr>
        <w:t>continue its work</w:t>
      </w:r>
      <w:r>
        <w:rPr>
          <w:szCs w:val="22"/>
        </w:rPr>
        <w:t xml:space="preserve"> on the protection of genetic resources (GRs), traditional knowledge (TK) and traditional cultural expressions (TCEs)</w:t>
      </w:r>
      <w:r w:rsidRPr="002573EE">
        <w:rPr>
          <w:szCs w:val="22"/>
        </w:rPr>
        <w:t xml:space="preserve">, with the objective of finalizing an agreement on an international legal instrument(s), without prejudging the nature of outcome(s), relating to intellectual property, which will ensure the balanced and effective protection of </w:t>
      </w:r>
      <w:r>
        <w:rPr>
          <w:szCs w:val="22"/>
        </w:rPr>
        <w:t>TK and TCEs.</w:t>
      </w:r>
    </w:p>
    <w:p w14:paraId="3D4681CF" w14:textId="77777777" w:rsidR="00AB7D9E" w:rsidRPr="00285638" w:rsidRDefault="00AB7D9E" w:rsidP="00360D7F">
      <w:pPr>
        <w:spacing w:after="240" w:line="260" w:lineRule="atLeast"/>
        <w:ind w:left="1616" w:hanging="539"/>
        <w:rPr>
          <w:szCs w:val="22"/>
        </w:rPr>
      </w:pPr>
      <w:r>
        <w:rPr>
          <w:szCs w:val="22"/>
        </w:rPr>
        <w:lastRenderedPageBreak/>
        <w:t>“(b)</w:t>
      </w:r>
      <w:r>
        <w:rPr>
          <w:szCs w:val="22"/>
        </w:rPr>
        <w:tab/>
        <w:t xml:space="preserve">Noting that </w:t>
      </w:r>
      <w:r w:rsidRPr="008977CE">
        <w:rPr>
          <w:szCs w:val="22"/>
        </w:rPr>
        <w:t xml:space="preserve">a Diplomatic Conference </w:t>
      </w:r>
      <w:r>
        <w:rPr>
          <w:szCs w:val="22"/>
        </w:rPr>
        <w:t xml:space="preserve">will be convened </w:t>
      </w:r>
      <w:r w:rsidRPr="008977CE">
        <w:rPr>
          <w:szCs w:val="22"/>
        </w:rPr>
        <w:t>to conclude an International Legal Instrument Relating to Intellectual Property, Genetic Resources and Traditional Knowledge Associated with Genetic Resources no later than 2024</w:t>
      </w:r>
      <w:r>
        <w:rPr>
          <w:szCs w:val="22"/>
        </w:rPr>
        <w:t>, the Committee will, during the next budgetary biennium 2024/2025, continue to discuss intellectual property issues concerning GRs as they relate to the mandate of the Committee.</w:t>
      </w:r>
    </w:p>
    <w:p w14:paraId="54EEB452" w14:textId="77777777" w:rsidR="00AB7D9E" w:rsidRPr="00285638" w:rsidRDefault="00AB7D9E" w:rsidP="00360D7F">
      <w:pPr>
        <w:spacing w:after="240" w:line="260" w:lineRule="atLeast"/>
        <w:ind w:left="1616" w:hanging="539"/>
        <w:rPr>
          <w:szCs w:val="22"/>
        </w:rPr>
      </w:pPr>
      <w:r>
        <w:rPr>
          <w:szCs w:val="22"/>
        </w:rPr>
        <w:t>“(c)</w:t>
      </w:r>
      <w:r>
        <w:rPr>
          <w:szCs w:val="22"/>
        </w:rPr>
        <w:tab/>
      </w:r>
      <w:r w:rsidRPr="00285638">
        <w:rPr>
          <w:szCs w:val="22"/>
        </w:rPr>
        <w:t>The Committee’s work in the 202</w:t>
      </w:r>
      <w:r>
        <w:rPr>
          <w:szCs w:val="22"/>
        </w:rPr>
        <w:t>4</w:t>
      </w:r>
      <w:r w:rsidRPr="00285638">
        <w:rPr>
          <w:szCs w:val="22"/>
        </w:rPr>
        <w:t>/202</w:t>
      </w:r>
      <w:r>
        <w:rPr>
          <w:szCs w:val="22"/>
        </w:rPr>
        <w:t>5</w:t>
      </w:r>
      <w:r w:rsidRPr="00285638">
        <w:rPr>
          <w:szCs w:val="22"/>
        </w:rPr>
        <w:t xml:space="preserve"> biennium will build on the existing work carried out by the Committee, including text-based negotiations, with a primary focus on narrowing existing gaps and reaching a common understanding on core issues</w:t>
      </w:r>
      <w:r w:rsidRPr="00285638">
        <w:rPr>
          <w:rStyle w:val="FootnoteReference"/>
          <w:szCs w:val="22"/>
        </w:rPr>
        <w:footnoteReference w:id="2"/>
      </w:r>
      <w:r>
        <w:rPr>
          <w:szCs w:val="22"/>
        </w:rPr>
        <w:t>.</w:t>
      </w:r>
    </w:p>
    <w:p w14:paraId="64888AA0" w14:textId="77777777" w:rsidR="00AB7D9E" w:rsidRPr="00963FD4" w:rsidRDefault="00AB7D9E" w:rsidP="00360D7F">
      <w:pPr>
        <w:spacing w:after="240" w:line="260" w:lineRule="atLeast"/>
        <w:ind w:left="1616" w:hanging="539"/>
        <w:rPr>
          <w:szCs w:val="22"/>
        </w:rPr>
      </w:pPr>
      <w:r>
        <w:rPr>
          <w:szCs w:val="22"/>
        </w:rPr>
        <w:t>“(d)</w:t>
      </w:r>
      <w:r>
        <w:rPr>
          <w:szCs w:val="22"/>
        </w:rPr>
        <w:tab/>
      </w:r>
      <w:r w:rsidRPr="00285638">
        <w:rPr>
          <w:szCs w:val="22"/>
        </w:rPr>
        <w:t>The Committee will follow, as set out in the table below, a work program based on open and inclusive working methods for the 202</w:t>
      </w:r>
      <w:r>
        <w:rPr>
          <w:szCs w:val="22"/>
        </w:rPr>
        <w:t>4</w:t>
      </w:r>
      <w:r w:rsidRPr="00285638">
        <w:rPr>
          <w:szCs w:val="22"/>
        </w:rPr>
        <w:t>/202</w:t>
      </w:r>
      <w:r>
        <w:rPr>
          <w:szCs w:val="22"/>
        </w:rPr>
        <w:t>5</w:t>
      </w:r>
      <w:r w:rsidRPr="00285638">
        <w:rPr>
          <w:szCs w:val="22"/>
        </w:rPr>
        <w:t xml:space="preserve"> biennium, including an evidence-based approach as set out in paragraph (</w:t>
      </w:r>
      <w:r>
        <w:rPr>
          <w:szCs w:val="22"/>
        </w:rPr>
        <w:t>f</w:t>
      </w:r>
      <w:r w:rsidRPr="00285638">
        <w:rPr>
          <w:szCs w:val="22"/>
        </w:rPr>
        <w:t xml:space="preserve">).  This work program will make provision for </w:t>
      </w:r>
      <w:r>
        <w:rPr>
          <w:szCs w:val="22"/>
        </w:rPr>
        <w:t>4</w:t>
      </w:r>
      <w:r w:rsidRPr="00285638">
        <w:rPr>
          <w:szCs w:val="22"/>
        </w:rPr>
        <w:t xml:space="preserve"> sessions of the Committee in 202</w:t>
      </w:r>
      <w:r>
        <w:rPr>
          <w:szCs w:val="22"/>
        </w:rPr>
        <w:t>4</w:t>
      </w:r>
      <w:r w:rsidRPr="00285638">
        <w:rPr>
          <w:szCs w:val="22"/>
        </w:rPr>
        <w:t>/202</w:t>
      </w:r>
      <w:r>
        <w:rPr>
          <w:szCs w:val="22"/>
        </w:rPr>
        <w:t>5</w:t>
      </w:r>
      <w:r w:rsidRPr="00285638">
        <w:rPr>
          <w:szCs w:val="22"/>
        </w:rPr>
        <w:t>, including thematic, cross</w:t>
      </w:r>
      <w:r w:rsidRPr="00285638">
        <w:rPr>
          <w:szCs w:val="22"/>
        </w:rPr>
        <w:noBreakHyphen/>
        <w:t>cutt</w:t>
      </w:r>
      <w:r>
        <w:rPr>
          <w:szCs w:val="22"/>
        </w:rPr>
        <w:t>ing, and stocktaking sessions.</w:t>
      </w:r>
    </w:p>
    <w:p w14:paraId="653AF7FC" w14:textId="77777777" w:rsidR="00AB7D9E" w:rsidRDefault="00AB7D9E" w:rsidP="00360D7F">
      <w:pPr>
        <w:spacing w:after="240" w:line="260" w:lineRule="atLeast"/>
        <w:ind w:left="1616" w:hanging="539"/>
        <w:rPr>
          <w:szCs w:val="22"/>
        </w:rPr>
      </w:pPr>
      <w:r>
        <w:t>“(e)</w:t>
      </w:r>
      <w:r>
        <w:tab/>
        <w:t xml:space="preserve">The Committee </w:t>
      </w:r>
      <w:r w:rsidRPr="00285638">
        <w:rPr>
          <w:szCs w:val="22"/>
        </w:rPr>
        <w:t>may</w:t>
      </w:r>
      <w:r>
        <w:rPr>
          <w:szCs w:val="22"/>
        </w:rPr>
        <w:t xml:space="preserve"> </w:t>
      </w:r>
      <w:r w:rsidRPr="00285638">
        <w:rPr>
          <w:szCs w:val="22"/>
        </w:rPr>
        <w:t xml:space="preserve">establish </w:t>
      </w:r>
      <w:r w:rsidRPr="00285638">
        <w:rPr>
          <w:i/>
          <w:szCs w:val="22"/>
        </w:rPr>
        <w:t>ad hoc</w:t>
      </w:r>
      <w:r w:rsidRPr="00285638">
        <w:rPr>
          <w:szCs w:val="22"/>
        </w:rPr>
        <w:t xml:space="preserve"> expert group(s) to address specific legal, policy, or technical issue</w:t>
      </w:r>
      <w:r>
        <w:rPr>
          <w:szCs w:val="22"/>
        </w:rPr>
        <w:t>s</w:t>
      </w:r>
      <w:r w:rsidRPr="00285638">
        <w:rPr>
          <w:szCs w:val="22"/>
          <w:vertAlign w:val="superscript"/>
        </w:rPr>
        <w:footnoteReference w:id="3"/>
      </w:r>
      <w:r w:rsidRPr="00285638">
        <w:rPr>
          <w:szCs w:val="22"/>
        </w:rPr>
        <w:t xml:space="preserve">.  </w:t>
      </w:r>
      <w:r>
        <w:rPr>
          <w:szCs w:val="22"/>
        </w:rPr>
        <w:t xml:space="preserve">The results of such </w:t>
      </w:r>
      <w:r w:rsidRPr="00963FD4">
        <w:rPr>
          <w:i/>
          <w:szCs w:val="22"/>
        </w:rPr>
        <w:t>ad hoc</w:t>
      </w:r>
      <w:r>
        <w:rPr>
          <w:szCs w:val="22"/>
        </w:rPr>
        <w:t xml:space="preserve"> expert group(s) shall be submitted to the Committee for its consideration.</w:t>
      </w:r>
    </w:p>
    <w:p w14:paraId="224872EA" w14:textId="77777777" w:rsidR="00AB7D9E" w:rsidRDefault="00AB7D9E" w:rsidP="00360D7F">
      <w:pPr>
        <w:spacing w:after="240" w:line="260" w:lineRule="atLeast"/>
        <w:ind w:left="1616" w:hanging="539"/>
        <w:rPr>
          <w:szCs w:val="22"/>
        </w:rPr>
      </w:pPr>
      <w:r>
        <w:rPr>
          <w:szCs w:val="22"/>
        </w:rPr>
        <w:t>“(f)</w:t>
      </w:r>
      <w:r>
        <w:rPr>
          <w:szCs w:val="22"/>
        </w:rPr>
        <w:tab/>
      </w:r>
      <w:r w:rsidRPr="00963FD4">
        <w:rPr>
          <w:szCs w:val="22"/>
        </w:rPr>
        <w:t xml:space="preserve">The Committee will use all WIPO working documents, including WIPO/GRTKF/IC/47/14 (The Protection of Traditional Knowledge:  Draft Articles) and WIPO/GRTKF/IC/47/15 (The Protection of Traditional Cultural Expressions:  Draft Articles),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the capacity-building and technical assistance program of the Secretariat (the Traditional Knowledge Division).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Pr="00963FD4">
        <w:rPr>
          <w:i/>
          <w:szCs w:val="22"/>
        </w:rPr>
        <w:t>sui generis</w:t>
      </w:r>
      <w:r w:rsidRPr="00963FD4">
        <w:rPr>
          <w:szCs w:val="22"/>
        </w:rPr>
        <w:t xml:space="preserve"> regimes for the intellectual property protection of TK and TCEs.  Studies or additional activities are not to delay progress or establish any preconditions for the negotiations.</w:t>
      </w:r>
    </w:p>
    <w:p w14:paraId="506D31DB" w14:textId="77777777" w:rsidR="00AB7D9E" w:rsidRDefault="00AB7D9E" w:rsidP="00AB7D9E">
      <w:pPr>
        <w:spacing w:after="120" w:line="260" w:lineRule="atLeast"/>
        <w:ind w:left="1620" w:hanging="540"/>
        <w:rPr>
          <w:szCs w:val="22"/>
        </w:rPr>
      </w:pPr>
      <w:r>
        <w:rPr>
          <w:szCs w:val="22"/>
        </w:rPr>
        <w:t>“(g)</w:t>
      </w:r>
      <w:r>
        <w:rPr>
          <w:szCs w:val="22"/>
        </w:rPr>
        <w:tab/>
      </w:r>
      <w:r w:rsidRPr="00963FD4">
        <w:rPr>
          <w:szCs w:val="22"/>
        </w:rPr>
        <w:t>In 2025, the Committee is requested to submit to the General Assembly the results of its work in accordance with the objective reflected in paragraph</w:t>
      </w:r>
      <w:r>
        <w:rPr>
          <w:szCs w:val="22"/>
        </w:rPr>
        <w:t>s</w:t>
      </w:r>
      <w:r w:rsidRPr="00963FD4">
        <w:rPr>
          <w:szCs w:val="22"/>
        </w:rPr>
        <w:t xml:space="preserve"> (a)</w:t>
      </w:r>
      <w:r>
        <w:rPr>
          <w:szCs w:val="22"/>
        </w:rPr>
        <w:t xml:space="preserve"> and (b)</w:t>
      </w:r>
      <w:r w:rsidRPr="00963FD4">
        <w:rPr>
          <w:szCs w:val="22"/>
        </w:rPr>
        <w:t xml:space="preserve">.  The General Assembly in 2025 will take stock of progress made </w:t>
      </w:r>
      <w:r w:rsidRPr="00963FD4">
        <w:t xml:space="preserve">on GRs, </w:t>
      </w:r>
      <w:proofErr w:type="gramStart"/>
      <w:r w:rsidRPr="00963FD4">
        <w:t>in light of</w:t>
      </w:r>
      <w:proofErr w:type="gramEnd"/>
      <w:r w:rsidRPr="00963FD4">
        <w:t xml:space="preserve"> the Diplomatic Conference and IGC 48</w:t>
      </w:r>
      <w:r>
        <w:t>, TK and TCEs</w:t>
      </w:r>
      <w:r w:rsidRPr="00963FD4">
        <w:t xml:space="preserve">, </w:t>
      </w:r>
      <w:r w:rsidRPr="00963FD4">
        <w:rPr>
          <w:szCs w:val="22"/>
        </w:rPr>
        <w:t>and based on the maturity of the text(s) on TK and TCEs, including levels of agreement on objectives, scope, and nature of the instrument(s), decide on whether to convene a diplomatic conference and/or continue negotiations.</w:t>
      </w:r>
    </w:p>
    <w:p w14:paraId="081E76E7" w14:textId="77777777" w:rsidR="00AB7D9E" w:rsidRDefault="00AB7D9E" w:rsidP="00360D7F">
      <w:pPr>
        <w:spacing w:before="240" w:after="240"/>
        <w:ind w:left="1616" w:hanging="539"/>
        <w:rPr>
          <w:szCs w:val="22"/>
        </w:rPr>
      </w:pPr>
      <w:r>
        <w:rPr>
          <w:szCs w:val="22"/>
        </w:rPr>
        <w:lastRenderedPageBreak/>
        <w:t>“(h)</w:t>
      </w:r>
      <w:r>
        <w:rPr>
          <w:szCs w:val="22"/>
        </w:rPr>
        <w:tab/>
      </w:r>
      <w:r w:rsidRPr="00963FD4">
        <w:rPr>
          <w:szCs w:val="22"/>
        </w:rPr>
        <w:t xml:space="preserve">The General Assembly requests the Secretariat to continue to assist the Committee by providing Member States with necessary expertise and funding, in the most efficient manner, of the participation of experts from developing countries and LDCs, </w:t>
      </w:r>
      <w:proofErr w:type="gramStart"/>
      <w:r w:rsidRPr="00963FD4">
        <w:rPr>
          <w:szCs w:val="22"/>
        </w:rPr>
        <w:t>taking into account</w:t>
      </w:r>
      <w:proofErr w:type="gramEnd"/>
      <w:r>
        <w:rPr>
          <w:szCs w:val="22"/>
        </w:rPr>
        <w:t xml:space="preserve"> the usual formula for the IGC.</w:t>
      </w:r>
    </w:p>
    <w:p w14:paraId="13C43551" w14:textId="77777777" w:rsidR="00AB7D9E" w:rsidRDefault="00AB7D9E" w:rsidP="00AB7D9E">
      <w:pPr>
        <w:spacing w:before="240" w:after="240"/>
        <w:ind w:left="1620" w:hanging="540"/>
        <w:rPr>
          <w:szCs w:val="22"/>
        </w:rPr>
      </w:pPr>
      <w:r>
        <w:rPr>
          <w:szCs w:val="22"/>
        </w:rPr>
        <w:t>“(i)</w:t>
      </w:r>
      <w:r>
        <w:rPr>
          <w:szCs w:val="22"/>
        </w:rPr>
        <w:tab/>
      </w:r>
      <w:r w:rsidRPr="00963FD4">
        <w:rPr>
          <w:szCs w:val="22"/>
        </w:rPr>
        <w:t>The Secretariat is also requested to facilitate the effective participation of Indigenous Peoples as well as local communities in WIPO’s normative wo</w:t>
      </w:r>
      <w:r>
        <w:rPr>
          <w:szCs w:val="22"/>
        </w:rPr>
        <w:t>rk related to GRs, TK and TCEs.</w:t>
      </w:r>
    </w:p>
    <w:p w14:paraId="693E1D25" w14:textId="77777777" w:rsidR="00AB7D9E" w:rsidRDefault="00AB7D9E" w:rsidP="00AB7D9E">
      <w:pPr>
        <w:pStyle w:val="Heading1"/>
        <w:tabs>
          <w:tab w:val="right" w:pos="9355"/>
        </w:tabs>
        <w:spacing w:after="240"/>
        <w:ind w:left="567"/>
      </w:pPr>
      <w:r w:rsidRPr="00AE4883">
        <w:t xml:space="preserve">Work </w:t>
      </w:r>
      <w:r w:rsidRPr="004C17EE">
        <w:t>Program</w:t>
      </w:r>
      <w:r>
        <w:t xml:space="preserve"> – 4 Sessions</w:t>
      </w:r>
    </w:p>
    <w:tbl>
      <w:tblPr>
        <w:tblW w:w="8962" w:type="dxa"/>
        <w:tblInd w:w="531" w:type="dxa"/>
        <w:tblCellMar>
          <w:top w:w="8" w:type="dxa"/>
          <w:right w:w="82" w:type="dxa"/>
        </w:tblCellMar>
        <w:tblLook w:val="04A0" w:firstRow="1" w:lastRow="0" w:firstColumn="1" w:lastColumn="0" w:noHBand="0" w:noVBand="1"/>
        <w:tblCaption w:val="IGC Work Program 6 sessions for 2022-2023"/>
      </w:tblPr>
      <w:tblGrid>
        <w:gridCol w:w="2281"/>
        <w:gridCol w:w="6681"/>
      </w:tblGrid>
      <w:tr w:rsidR="00AB7D9E" w:rsidRPr="00254179" w14:paraId="5553194E" w14:textId="77777777" w:rsidTr="00373716">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EF1018A" w14:textId="77777777" w:rsidR="00AB7D9E" w:rsidRPr="00A0422B" w:rsidRDefault="00AB7D9E" w:rsidP="00373716">
            <w:pPr>
              <w:spacing w:after="120" w:line="260" w:lineRule="atLeast"/>
              <w:rPr>
                <w:szCs w:val="22"/>
              </w:rPr>
            </w:pPr>
            <w:r>
              <w:rPr>
                <w:b/>
                <w:szCs w:val="22"/>
              </w:rPr>
              <w:t>Indicative Dates</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4ED4D097" w14:textId="77777777" w:rsidR="00AB7D9E" w:rsidRPr="00A0422B" w:rsidRDefault="00AB7D9E" w:rsidP="00373716">
            <w:pPr>
              <w:spacing w:after="120" w:line="260" w:lineRule="atLeast"/>
              <w:rPr>
                <w:szCs w:val="22"/>
              </w:rPr>
            </w:pPr>
            <w:r>
              <w:rPr>
                <w:b/>
                <w:szCs w:val="22"/>
              </w:rPr>
              <w:t>Activity</w:t>
            </w:r>
          </w:p>
        </w:tc>
      </w:tr>
      <w:tr w:rsidR="00AB7D9E" w:rsidRPr="00254179" w14:paraId="20E811C0" w14:textId="77777777" w:rsidTr="00373716">
        <w:trPr>
          <w:trHeight w:val="1719"/>
        </w:trPr>
        <w:tc>
          <w:tcPr>
            <w:tcW w:w="2281" w:type="dxa"/>
            <w:vMerge w:val="restart"/>
            <w:tcBorders>
              <w:top w:val="single" w:sz="4" w:space="0" w:color="000000"/>
              <w:left w:val="single" w:sz="4" w:space="0" w:color="000000"/>
              <w:right w:val="single" w:sz="4" w:space="0" w:color="000000"/>
            </w:tcBorders>
            <w:shd w:val="clear" w:color="auto" w:fill="auto"/>
          </w:tcPr>
          <w:p w14:paraId="6FFEA71D" w14:textId="77777777" w:rsidR="00AB7D9E" w:rsidRDefault="00AB7D9E" w:rsidP="00373716">
            <w:pPr>
              <w:rPr>
                <w:szCs w:val="22"/>
              </w:rPr>
            </w:pPr>
            <w:r>
              <w:rPr>
                <w:szCs w:val="22"/>
              </w:rPr>
              <w:t xml:space="preserve">October/November 2024 </w:t>
            </w:r>
          </w:p>
          <w:p w14:paraId="175E0550" w14:textId="77777777" w:rsidR="00AB7D9E" w:rsidRPr="00A0422B" w:rsidRDefault="00AB7D9E" w:rsidP="00373716">
            <w:pPr>
              <w:rPr>
                <w:szCs w:val="22"/>
              </w:rPr>
            </w:pPr>
            <w:r>
              <w:rPr>
                <w:szCs w:val="22"/>
              </w:rPr>
              <w:t>(IGCs 48 and 49 will be held back-to-back)</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0CFE989F" w14:textId="77777777" w:rsidR="00AB7D9E" w:rsidRPr="00A0422B" w:rsidRDefault="00AB7D9E" w:rsidP="00373716">
            <w:pPr>
              <w:rPr>
                <w:szCs w:val="22"/>
              </w:rPr>
            </w:pPr>
            <w:r>
              <w:rPr>
                <w:szCs w:val="22"/>
              </w:rPr>
              <w:t>IGC 48</w:t>
            </w:r>
          </w:p>
          <w:p w14:paraId="1E31B4FA" w14:textId="77777777" w:rsidR="00AB7D9E" w:rsidRPr="00C0582D" w:rsidRDefault="00AB7D9E" w:rsidP="00373716">
            <w:pPr>
              <w:pStyle w:val="TableParagraph"/>
              <w:ind w:left="0" w:right="103"/>
            </w:pPr>
            <w:r>
              <w:t>Take</w:t>
            </w:r>
            <w:r w:rsidRPr="00C0582D">
              <w:t xml:space="preserve"> stock of the progress made on GRs and TK associated with GRs</w:t>
            </w:r>
            <w:r>
              <w:t xml:space="preserve"> and </w:t>
            </w:r>
            <w:r w:rsidRPr="00C0582D">
              <w:t>discuss any issues arising from the Diplomatic Conference.</w:t>
            </w:r>
          </w:p>
          <w:p w14:paraId="73F88A8C" w14:textId="77777777" w:rsidR="00AB7D9E" w:rsidRPr="00A0422B" w:rsidRDefault="00AB7D9E" w:rsidP="00373716">
            <w:pPr>
              <w:rPr>
                <w:szCs w:val="22"/>
              </w:rPr>
            </w:pPr>
            <w:r>
              <w:rPr>
                <w:szCs w:val="22"/>
              </w:rPr>
              <w:t xml:space="preserve">Duration 1 day (this </w:t>
            </w:r>
            <w:proofErr w:type="gramStart"/>
            <w:r>
              <w:rPr>
                <w:szCs w:val="22"/>
              </w:rPr>
              <w:t>one day</w:t>
            </w:r>
            <w:proofErr w:type="gramEnd"/>
            <w:r>
              <w:rPr>
                <w:szCs w:val="22"/>
              </w:rPr>
              <w:t xml:space="preserve"> session on GRs creates no precedence for future sessions of the Committee).</w:t>
            </w:r>
          </w:p>
        </w:tc>
      </w:tr>
      <w:tr w:rsidR="00AB7D9E" w:rsidRPr="00254179" w14:paraId="69979E3D" w14:textId="77777777" w:rsidTr="00373716">
        <w:trPr>
          <w:trHeight w:val="1503"/>
        </w:trPr>
        <w:tc>
          <w:tcPr>
            <w:tcW w:w="2281" w:type="dxa"/>
            <w:vMerge/>
            <w:tcBorders>
              <w:left w:val="single" w:sz="4" w:space="0" w:color="000000"/>
              <w:bottom w:val="single" w:sz="4" w:space="0" w:color="000000"/>
              <w:right w:val="single" w:sz="4" w:space="0" w:color="000000"/>
            </w:tcBorders>
            <w:shd w:val="clear" w:color="auto" w:fill="auto"/>
          </w:tcPr>
          <w:p w14:paraId="01FDB404" w14:textId="77777777" w:rsidR="00AB7D9E" w:rsidRDefault="00AB7D9E" w:rsidP="00373716">
            <w:pPr>
              <w:rPr>
                <w:szCs w:val="22"/>
              </w:rPr>
            </w:pP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7CEFB8F1" w14:textId="77777777" w:rsidR="00AB7D9E" w:rsidRDefault="00AB7D9E" w:rsidP="00373716">
            <w:pPr>
              <w:rPr>
                <w:szCs w:val="22"/>
              </w:rPr>
            </w:pPr>
            <w:r>
              <w:rPr>
                <w:szCs w:val="22"/>
              </w:rPr>
              <w:t xml:space="preserve">IGC 49 </w:t>
            </w:r>
          </w:p>
          <w:p w14:paraId="1396FE4D" w14:textId="77777777" w:rsidR="00AB7D9E" w:rsidRDefault="00AB7D9E" w:rsidP="00373716">
            <w:pPr>
              <w:rPr>
                <w:szCs w:val="22"/>
              </w:rPr>
            </w:pPr>
            <w:r w:rsidRPr="00A0422B">
              <w:rPr>
                <w:szCs w:val="22"/>
              </w:rPr>
              <w:t>Undertake negotiations on TK and/or TCEs with a focus on addressing unresolved and cross-cutting issues and considering options for a draft legal instrum</w:t>
            </w:r>
            <w:r>
              <w:rPr>
                <w:szCs w:val="22"/>
              </w:rPr>
              <w:t>ent(s).</w:t>
            </w:r>
          </w:p>
          <w:p w14:paraId="22A6870C" w14:textId="77777777" w:rsidR="00AB7D9E" w:rsidRDefault="00AB7D9E" w:rsidP="00373716">
            <w:pPr>
              <w:rPr>
                <w:szCs w:val="22"/>
              </w:rPr>
            </w:pPr>
            <w:r w:rsidRPr="00A0422B">
              <w:rPr>
                <w:szCs w:val="22"/>
              </w:rPr>
              <w:t xml:space="preserve">Duration </w:t>
            </w:r>
            <w:r>
              <w:rPr>
                <w:szCs w:val="22"/>
              </w:rPr>
              <w:t>5</w:t>
            </w:r>
            <w:r w:rsidRPr="00A0422B">
              <w:rPr>
                <w:szCs w:val="22"/>
              </w:rPr>
              <w:t xml:space="preserve"> days</w:t>
            </w:r>
            <w:r>
              <w:rPr>
                <w:szCs w:val="22"/>
              </w:rPr>
              <w:t>.</w:t>
            </w:r>
          </w:p>
        </w:tc>
      </w:tr>
      <w:tr w:rsidR="00AB7D9E" w:rsidRPr="00254179" w14:paraId="5B8935C2" w14:textId="77777777" w:rsidTr="00373716">
        <w:trPr>
          <w:trHeight w:val="141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89E83EA" w14:textId="77777777" w:rsidR="00AB7D9E" w:rsidRPr="00A0422B" w:rsidRDefault="00AB7D9E" w:rsidP="00373716">
            <w:pPr>
              <w:rPr>
                <w:szCs w:val="22"/>
              </w:rPr>
            </w:pPr>
            <w:r>
              <w:rPr>
                <w:szCs w:val="22"/>
              </w:rPr>
              <w:t>March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7437AE93" w14:textId="77777777" w:rsidR="00AB7D9E" w:rsidRDefault="00AB7D9E" w:rsidP="00373716">
            <w:pPr>
              <w:rPr>
                <w:szCs w:val="22"/>
              </w:rPr>
            </w:pPr>
            <w:r>
              <w:rPr>
                <w:szCs w:val="22"/>
              </w:rPr>
              <w:t>IGC 50</w:t>
            </w:r>
          </w:p>
          <w:p w14:paraId="1731464D" w14:textId="77777777" w:rsidR="00AB7D9E" w:rsidRDefault="00AB7D9E" w:rsidP="00373716">
            <w:pPr>
              <w:rPr>
                <w:szCs w:val="22"/>
              </w:rPr>
            </w:pPr>
            <w:r w:rsidRPr="00A0422B">
              <w:rPr>
                <w:szCs w:val="22"/>
              </w:rPr>
              <w:t xml:space="preserve">Undertake negotiations on TK and/or TCEs with a focus on addressing unresolved and cross-cutting issues and considering options </w:t>
            </w:r>
            <w:r>
              <w:rPr>
                <w:szCs w:val="22"/>
              </w:rPr>
              <w:t>for a draft legal instrument(s).</w:t>
            </w:r>
          </w:p>
          <w:p w14:paraId="5862A60D" w14:textId="77777777" w:rsidR="00AB7D9E" w:rsidRPr="00A0422B" w:rsidRDefault="00AB7D9E" w:rsidP="00373716">
            <w:pPr>
              <w:ind w:right="214"/>
              <w:rPr>
                <w:szCs w:val="22"/>
              </w:rPr>
            </w:pPr>
            <w:r w:rsidRPr="00A0422B">
              <w:rPr>
                <w:szCs w:val="22"/>
              </w:rPr>
              <w:t xml:space="preserve">Duration </w:t>
            </w:r>
            <w:r>
              <w:rPr>
                <w:szCs w:val="22"/>
              </w:rPr>
              <w:t>5 days.</w:t>
            </w:r>
          </w:p>
        </w:tc>
      </w:tr>
      <w:tr w:rsidR="00AB7D9E" w:rsidRPr="00254179" w14:paraId="034E8245" w14:textId="77777777" w:rsidTr="00373716">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9E0490A" w14:textId="77777777" w:rsidR="00AB7D9E" w:rsidRPr="00A0422B" w:rsidRDefault="00AB7D9E" w:rsidP="00373716">
            <w:pPr>
              <w:rPr>
                <w:szCs w:val="22"/>
              </w:rPr>
            </w:pPr>
            <w:r w:rsidRPr="00A0422B">
              <w:rPr>
                <w:szCs w:val="22"/>
              </w:rPr>
              <w:t>June</w:t>
            </w:r>
            <w:r>
              <w:rPr>
                <w:szCs w:val="22"/>
              </w:rPr>
              <w:t xml:space="preserve">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6C5EDE3F" w14:textId="77777777" w:rsidR="00AB7D9E" w:rsidRDefault="00AB7D9E" w:rsidP="00373716">
            <w:pPr>
              <w:rPr>
                <w:szCs w:val="22"/>
              </w:rPr>
            </w:pPr>
            <w:r>
              <w:rPr>
                <w:szCs w:val="22"/>
              </w:rPr>
              <w:t>IGC 51</w:t>
            </w:r>
          </w:p>
          <w:p w14:paraId="0E80FA05" w14:textId="77777777" w:rsidR="00AB7D9E" w:rsidRDefault="00AB7D9E" w:rsidP="00373716">
            <w:pPr>
              <w:rPr>
                <w:szCs w:val="22"/>
              </w:rPr>
            </w:pPr>
            <w:r w:rsidRPr="00A0422B">
              <w:rPr>
                <w:szCs w:val="22"/>
              </w:rPr>
              <w:t>Undertake negotiations on TK and/or TCEs with a focus on addressing unresolved and cross-cutting</w:t>
            </w:r>
            <w:r>
              <w:rPr>
                <w:szCs w:val="22"/>
              </w:rPr>
              <w:t xml:space="preserve"> </w:t>
            </w:r>
            <w:r w:rsidRPr="00A0422B">
              <w:rPr>
                <w:szCs w:val="22"/>
              </w:rPr>
              <w:t>issues and considering options f</w:t>
            </w:r>
            <w:r>
              <w:rPr>
                <w:szCs w:val="22"/>
              </w:rPr>
              <w:t>or a draft legal instrument(s).</w:t>
            </w:r>
          </w:p>
          <w:p w14:paraId="05045149" w14:textId="77777777" w:rsidR="00AB7D9E" w:rsidRDefault="00AB7D9E" w:rsidP="00373716">
            <w:pPr>
              <w:rPr>
                <w:szCs w:val="22"/>
              </w:rPr>
            </w:pPr>
            <w:r w:rsidRPr="00A0422B">
              <w:rPr>
                <w:szCs w:val="22"/>
              </w:rPr>
              <w:t xml:space="preserve">Stocktaking </w:t>
            </w:r>
            <w:r w:rsidRPr="00100129">
              <w:rPr>
                <w:szCs w:val="22"/>
              </w:rPr>
              <w:t>on GRs/TK/TCEs</w:t>
            </w:r>
            <w:r>
              <w:rPr>
                <w:szCs w:val="22"/>
              </w:rPr>
              <w:t xml:space="preserve"> and making a recommendation</w:t>
            </w:r>
          </w:p>
          <w:p w14:paraId="11AF0B3B" w14:textId="77777777" w:rsidR="00AB7D9E" w:rsidRPr="00A0422B" w:rsidRDefault="00AB7D9E" w:rsidP="00373716">
            <w:pPr>
              <w:rPr>
                <w:szCs w:val="22"/>
              </w:rPr>
            </w:pPr>
            <w:r>
              <w:rPr>
                <w:szCs w:val="22"/>
              </w:rPr>
              <w:t>Duration 5 days.</w:t>
            </w:r>
          </w:p>
        </w:tc>
      </w:tr>
      <w:tr w:rsidR="00AB7D9E" w:rsidRPr="00254179" w14:paraId="0917177A" w14:textId="77777777" w:rsidTr="00373716">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5E84E81" w14:textId="77777777" w:rsidR="00AB7D9E" w:rsidRPr="00A0422B" w:rsidRDefault="00AB7D9E" w:rsidP="00373716">
            <w:pPr>
              <w:rPr>
                <w:szCs w:val="22"/>
              </w:rPr>
            </w:pPr>
            <w:r>
              <w:rPr>
                <w:szCs w:val="22"/>
              </w:rPr>
              <w:t>July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6C18A8F8" w14:textId="77777777" w:rsidR="00AB7D9E" w:rsidRPr="00A0422B" w:rsidRDefault="00AB7D9E" w:rsidP="00373716">
            <w:pPr>
              <w:rPr>
                <w:szCs w:val="22"/>
              </w:rPr>
            </w:pPr>
            <w:r w:rsidRPr="00A0422B">
              <w:rPr>
                <w:szCs w:val="22"/>
              </w:rPr>
              <w:t>WIPO General Assembly will take stock of the progress made, consider the text(s) and make the necessary decision(s).</w:t>
            </w:r>
            <w:r>
              <w:rPr>
                <w:szCs w:val="22"/>
              </w:rPr>
              <w:t>”</w:t>
            </w:r>
          </w:p>
        </w:tc>
      </w:tr>
    </w:tbl>
    <w:p w14:paraId="658E24F7" w14:textId="1CD96D2F" w:rsidR="00AB7D9E" w:rsidRDefault="00AB7D9E" w:rsidP="003C515A">
      <w:pPr>
        <w:spacing w:before="240" w:after="240"/>
      </w:pPr>
      <w:r>
        <w:fldChar w:fldCharType="begin"/>
      </w:r>
      <w:r>
        <w:instrText xml:space="preserve"> AUTONUM  </w:instrText>
      </w:r>
      <w:r>
        <w:fldChar w:fldCharType="end"/>
      </w:r>
      <w:r>
        <w:tab/>
      </w:r>
      <w:r w:rsidRPr="001464E5">
        <w:t>Paragraph (</w:t>
      </w:r>
      <w:r>
        <w:t>g</w:t>
      </w:r>
      <w:r w:rsidRPr="001464E5">
        <w:t xml:space="preserve">) of the mandate for </w:t>
      </w:r>
      <w:r w:rsidR="00632CCA">
        <w:t xml:space="preserve">the </w:t>
      </w:r>
      <w:r w:rsidRPr="001464E5">
        <w:t xml:space="preserve">biennium </w:t>
      </w:r>
      <w:r w:rsidR="00E24E25">
        <w:t xml:space="preserve">2024/2025 </w:t>
      </w:r>
      <w:r>
        <w:t>requests the IGC, in 2025</w:t>
      </w:r>
      <w:r w:rsidRPr="001464E5">
        <w:t xml:space="preserve">, </w:t>
      </w:r>
      <w:r w:rsidRPr="00355718">
        <w:t xml:space="preserve">to </w:t>
      </w:r>
      <w:r>
        <w:t>“</w:t>
      </w:r>
      <w:r w:rsidRPr="00963FD4">
        <w:rPr>
          <w:szCs w:val="22"/>
        </w:rPr>
        <w:t>submit to the General Assembly the results of its work in accordance with the objective reflected in paragraph</w:t>
      </w:r>
      <w:r>
        <w:rPr>
          <w:szCs w:val="22"/>
        </w:rPr>
        <w:t>s</w:t>
      </w:r>
      <w:r w:rsidRPr="00963FD4">
        <w:rPr>
          <w:szCs w:val="22"/>
        </w:rPr>
        <w:t xml:space="preserve"> (a)</w:t>
      </w:r>
      <w:r>
        <w:rPr>
          <w:szCs w:val="22"/>
        </w:rPr>
        <w:t xml:space="preserve"> and (b)</w:t>
      </w:r>
      <w:r w:rsidRPr="00963FD4">
        <w:rPr>
          <w:szCs w:val="22"/>
        </w:rPr>
        <w:t xml:space="preserve">.  The General Assembly in 2025 will take stock of progress made </w:t>
      </w:r>
      <w:r w:rsidRPr="00963FD4">
        <w:t>on GRs, in light of the Diplomatic Conference and IGC 48</w:t>
      </w:r>
      <w:r>
        <w:t>, TK and TCEs</w:t>
      </w:r>
      <w:r w:rsidRPr="00963FD4">
        <w:t xml:space="preserve">, </w:t>
      </w:r>
      <w:r w:rsidRPr="00963FD4">
        <w:rPr>
          <w:szCs w:val="22"/>
        </w:rPr>
        <w:t>and based on the maturity of the text(s) on TK and TCEs, including levels of agreement on objectives, scope, and nature of the instrument(s), decide on whether to convene a diplomatic conference and/or continue negotiations.</w:t>
      </w:r>
      <w:r>
        <w:rPr>
          <w:szCs w:val="22"/>
        </w:rPr>
        <w:t>”</w:t>
      </w:r>
      <w:r w:rsidRPr="00285638">
        <w:rPr>
          <w:szCs w:val="22"/>
        </w:rPr>
        <w:t xml:space="preserve">  </w:t>
      </w:r>
      <w:r w:rsidRPr="001464E5">
        <w:t>This document is prep</w:t>
      </w:r>
      <w:r>
        <w:t>ared pursuant to th</w:t>
      </w:r>
      <w:r w:rsidR="00FD600B">
        <w:t>e</w:t>
      </w:r>
      <w:r w:rsidR="0072729A">
        <w:t xml:space="preserve"> </w:t>
      </w:r>
      <w:proofErr w:type="gramStart"/>
      <w:r w:rsidR="0072729A">
        <w:t>aforementioned</w:t>
      </w:r>
      <w:r>
        <w:t xml:space="preserve"> decision</w:t>
      </w:r>
      <w:proofErr w:type="gramEnd"/>
      <w:r>
        <w:t>.</w:t>
      </w:r>
    </w:p>
    <w:p w14:paraId="356442E7" w14:textId="0C8C81B4" w:rsidR="00AB7D9E" w:rsidRPr="00AB7D9E" w:rsidRDefault="00AB7D9E" w:rsidP="00AB7D9E">
      <w:pPr>
        <w:pStyle w:val="BodyText"/>
        <w:rPr>
          <w:b/>
          <w:bCs/>
          <w:iCs/>
          <w:caps/>
          <w:szCs w:val="28"/>
        </w:rPr>
      </w:pPr>
      <w:r w:rsidRPr="007F0EB7">
        <w:rPr>
          <w:b/>
        </w:rPr>
        <w:t>II.</w:t>
      </w:r>
      <w:r w:rsidRPr="007F0EB7">
        <w:rPr>
          <w:b/>
        </w:rPr>
        <w:tab/>
      </w:r>
      <w:r w:rsidRPr="00AB7D9E">
        <w:rPr>
          <w:b/>
          <w:bCs/>
          <w:iCs/>
          <w:caps/>
          <w:szCs w:val="28"/>
        </w:rPr>
        <w:t>IGC SESSIONS IN 2025</w:t>
      </w:r>
    </w:p>
    <w:p w14:paraId="22FB581B" w14:textId="2D364130" w:rsidR="00AB7D9E" w:rsidRDefault="00AB7D9E" w:rsidP="00AB7D9E">
      <w:pPr>
        <w:spacing w:before="240" w:after="240"/>
      </w:pPr>
      <w:r>
        <w:rPr>
          <w:caps/>
          <w:sz w:val="24"/>
        </w:rPr>
        <w:fldChar w:fldCharType="begin"/>
      </w:r>
      <w:r>
        <w:rPr>
          <w:caps/>
          <w:sz w:val="24"/>
        </w:rPr>
        <w:instrText xml:space="preserve"> AUTONUM  </w:instrText>
      </w:r>
      <w:r>
        <w:rPr>
          <w:caps/>
          <w:sz w:val="24"/>
        </w:rPr>
        <w:fldChar w:fldCharType="end"/>
      </w:r>
      <w:r>
        <w:rPr>
          <w:caps/>
          <w:sz w:val="24"/>
        </w:rPr>
        <w:tab/>
      </w:r>
      <w:r w:rsidRPr="001464E5">
        <w:t>Purs</w:t>
      </w:r>
      <w:r>
        <w:t>uant to the mandate for the 2024/2025</w:t>
      </w:r>
      <w:r w:rsidRPr="001464E5">
        <w:t xml:space="preserve"> bienni</w:t>
      </w:r>
      <w:r>
        <w:t>um and the work program for 2024 and 2025</w:t>
      </w:r>
      <w:r w:rsidRPr="001464E5">
        <w:t xml:space="preserve">, the IGC held </w:t>
      </w:r>
      <w:r w:rsidR="00B717B6">
        <w:t>four</w:t>
      </w:r>
      <w:r>
        <w:t xml:space="preserve"> sessions since the WIPO General Assembly in 202</w:t>
      </w:r>
      <w:r w:rsidR="00B717B6">
        <w:t>4</w:t>
      </w:r>
      <w:r>
        <w:t>,</w:t>
      </w:r>
      <w:r w:rsidRPr="001464E5">
        <w:t xml:space="preserve"> as follows:</w:t>
      </w:r>
    </w:p>
    <w:p w14:paraId="1F6FC898" w14:textId="0913FA41" w:rsidR="00AB7D9E" w:rsidRPr="003B3DE6" w:rsidRDefault="00AB7D9E" w:rsidP="00210249">
      <w:pPr>
        <w:pStyle w:val="ListParagraph"/>
        <w:numPr>
          <w:ilvl w:val="1"/>
          <w:numId w:val="8"/>
        </w:numPr>
        <w:spacing w:before="240" w:after="240" w:line="260" w:lineRule="atLeast"/>
        <w:ind w:left="1134" w:hanging="567"/>
        <w:rPr>
          <w:rFonts w:ascii="Arial" w:hAnsi="Arial" w:cs="Arial"/>
        </w:rPr>
      </w:pPr>
      <w:r>
        <w:rPr>
          <w:rFonts w:ascii="Arial" w:hAnsi="Arial" w:cs="Arial"/>
        </w:rPr>
        <w:lastRenderedPageBreak/>
        <w:t>IGC 4</w:t>
      </w:r>
      <w:r w:rsidR="00B717B6">
        <w:rPr>
          <w:rFonts w:ascii="Arial" w:hAnsi="Arial" w:cs="Arial"/>
        </w:rPr>
        <w:t>8</w:t>
      </w:r>
      <w:r w:rsidRPr="003B3DE6">
        <w:rPr>
          <w:rFonts w:ascii="Arial" w:hAnsi="Arial" w:cs="Arial"/>
        </w:rPr>
        <w:t xml:space="preserve">, </w:t>
      </w:r>
      <w:r w:rsidR="00B717B6">
        <w:rPr>
          <w:rFonts w:ascii="Arial" w:hAnsi="Arial" w:cs="Arial"/>
        </w:rPr>
        <w:t>on November 29</w:t>
      </w:r>
      <w:r>
        <w:rPr>
          <w:rFonts w:ascii="Arial" w:hAnsi="Arial" w:cs="Arial"/>
        </w:rPr>
        <w:t>, 202</w:t>
      </w:r>
      <w:r w:rsidR="00B717B6">
        <w:rPr>
          <w:rFonts w:ascii="Arial" w:hAnsi="Arial" w:cs="Arial"/>
        </w:rPr>
        <w:t>4</w:t>
      </w:r>
      <w:r>
        <w:rPr>
          <w:rFonts w:ascii="Arial" w:hAnsi="Arial" w:cs="Arial"/>
        </w:rPr>
        <w:t>,</w:t>
      </w:r>
      <w:r w:rsidR="00B717B6" w:rsidRPr="00B717B6">
        <w:t xml:space="preserve"> </w:t>
      </w:r>
      <w:r w:rsidR="00B717B6">
        <w:rPr>
          <w:rFonts w:ascii="Arial" w:hAnsi="Arial" w:cs="Arial"/>
        </w:rPr>
        <w:t>t</w:t>
      </w:r>
      <w:r w:rsidR="00B717B6" w:rsidRPr="00B717B6">
        <w:rPr>
          <w:rFonts w:ascii="Arial" w:hAnsi="Arial" w:cs="Arial"/>
        </w:rPr>
        <w:t>ak</w:t>
      </w:r>
      <w:r w:rsidR="00B717B6">
        <w:rPr>
          <w:rFonts w:ascii="Arial" w:hAnsi="Arial" w:cs="Arial"/>
        </w:rPr>
        <w:t>ing</w:t>
      </w:r>
      <w:r w:rsidR="00B717B6" w:rsidRPr="00B717B6">
        <w:rPr>
          <w:rFonts w:ascii="Arial" w:hAnsi="Arial" w:cs="Arial"/>
        </w:rPr>
        <w:t xml:space="preserve"> stock of the progress made on GRs and TK associated with GRs and discuss</w:t>
      </w:r>
      <w:r w:rsidR="00B717B6">
        <w:rPr>
          <w:rFonts w:ascii="Arial" w:hAnsi="Arial" w:cs="Arial"/>
        </w:rPr>
        <w:t>ing</w:t>
      </w:r>
      <w:r w:rsidR="00B717B6" w:rsidRPr="00B717B6">
        <w:rPr>
          <w:rFonts w:ascii="Arial" w:hAnsi="Arial" w:cs="Arial"/>
        </w:rPr>
        <w:t xml:space="preserve"> any issues arising from the Diplomatic Conference</w:t>
      </w:r>
      <w:r w:rsidR="008E7246" w:rsidRPr="008E7246">
        <w:t xml:space="preserve"> </w:t>
      </w:r>
      <w:r w:rsidR="008E7246" w:rsidRPr="008E7246">
        <w:rPr>
          <w:rFonts w:ascii="Arial" w:hAnsi="Arial" w:cs="Arial"/>
        </w:rPr>
        <w:t>to conclude an International Legal Instrument Relating to Intellectual Property, Genetic Resources and Traditional Knowledge Associated with Genetic Resources</w:t>
      </w:r>
      <w:r>
        <w:rPr>
          <w:rFonts w:ascii="Arial" w:hAnsi="Arial" w:cs="Arial"/>
        </w:rPr>
        <w:t>;</w:t>
      </w:r>
    </w:p>
    <w:p w14:paraId="1E6F3F52" w14:textId="14483FB8" w:rsidR="00AB7D9E" w:rsidRDefault="00AB7D9E" w:rsidP="00210249">
      <w:pPr>
        <w:pStyle w:val="ListParagraph"/>
        <w:numPr>
          <w:ilvl w:val="1"/>
          <w:numId w:val="8"/>
        </w:numPr>
        <w:spacing w:before="240" w:after="240" w:line="260" w:lineRule="atLeast"/>
        <w:ind w:left="1134" w:hanging="567"/>
        <w:rPr>
          <w:rFonts w:ascii="Arial" w:hAnsi="Arial" w:cs="Arial"/>
        </w:rPr>
      </w:pPr>
      <w:r>
        <w:rPr>
          <w:rFonts w:ascii="Arial" w:hAnsi="Arial" w:cs="Arial"/>
        </w:rPr>
        <w:t>IGC 4</w:t>
      </w:r>
      <w:r w:rsidR="00B717B6">
        <w:rPr>
          <w:rFonts w:ascii="Arial" w:hAnsi="Arial" w:cs="Arial"/>
        </w:rPr>
        <w:t>9</w:t>
      </w:r>
      <w:r w:rsidRPr="003B3DE6">
        <w:rPr>
          <w:rFonts w:ascii="Arial" w:hAnsi="Arial" w:cs="Arial"/>
        </w:rPr>
        <w:t xml:space="preserve">, from </w:t>
      </w:r>
      <w:r>
        <w:rPr>
          <w:rFonts w:ascii="Arial" w:hAnsi="Arial" w:cs="Arial"/>
        </w:rPr>
        <w:t xml:space="preserve">December </w:t>
      </w:r>
      <w:r w:rsidR="00B717B6">
        <w:rPr>
          <w:rFonts w:ascii="Arial" w:hAnsi="Arial" w:cs="Arial"/>
        </w:rPr>
        <w:t>2</w:t>
      </w:r>
      <w:r>
        <w:rPr>
          <w:rFonts w:ascii="Arial" w:hAnsi="Arial" w:cs="Arial"/>
        </w:rPr>
        <w:t xml:space="preserve"> to </w:t>
      </w:r>
      <w:r w:rsidR="00B717B6">
        <w:rPr>
          <w:rFonts w:ascii="Arial" w:hAnsi="Arial" w:cs="Arial"/>
        </w:rPr>
        <w:t>6</w:t>
      </w:r>
      <w:r>
        <w:rPr>
          <w:rFonts w:ascii="Arial" w:hAnsi="Arial" w:cs="Arial"/>
        </w:rPr>
        <w:t>, 202</w:t>
      </w:r>
      <w:r w:rsidR="00B717B6">
        <w:rPr>
          <w:rFonts w:ascii="Arial" w:hAnsi="Arial" w:cs="Arial"/>
        </w:rPr>
        <w:t>4</w:t>
      </w:r>
      <w:r>
        <w:rPr>
          <w:rFonts w:ascii="Arial" w:hAnsi="Arial" w:cs="Arial"/>
        </w:rPr>
        <w:t>, on the subject of TK and TCEs;</w:t>
      </w:r>
    </w:p>
    <w:p w14:paraId="2CDCE6EF" w14:textId="094AA91E" w:rsidR="00AB7D9E" w:rsidRDefault="00AB7D9E" w:rsidP="00AB7D9E">
      <w:pPr>
        <w:pStyle w:val="ListParagraph"/>
        <w:numPr>
          <w:ilvl w:val="1"/>
          <w:numId w:val="8"/>
        </w:numPr>
        <w:spacing w:before="240" w:after="240" w:line="260" w:lineRule="atLeast"/>
        <w:ind w:left="1134" w:hanging="567"/>
        <w:rPr>
          <w:rFonts w:ascii="Arial" w:hAnsi="Arial" w:cs="Arial"/>
        </w:rPr>
      </w:pPr>
      <w:r>
        <w:rPr>
          <w:rFonts w:ascii="Arial" w:hAnsi="Arial" w:cs="Arial"/>
        </w:rPr>
        <w:t xml:space="preserve">IGC </w:t>
      </w:r>
      <w:r w:rsidR="00B717B6">
        <w:rPr>
          <w:rFonts w:ascii="Arial" w:hAnsi="Arial" w:cs="Arial"/>
        </w:rPr>
        <w:t>50</w:t>
      </w:r>
      <w:r>
        <w:rPr>
          <w:rFonts w:ascii="Arial" w:hAnsi="Arial" w:cs="Arial"/>
        </w:rPr>
        <w:t>, from March 3</w:t>
      </w:r>
      <w:r w:rsidR="00B717B6">
        <w:rPr>
          <w:rFonts w:ascii="Arial" w:hAnsi="Arial" w:cs="Arial"/>
        </w:rPr>
        <w:t xml:space="preserve"> to 7</w:t>
      </w:r>
      <w:r>
        <w:rPr>
          <w:rFonts w:ascii="Arial" w:hAnsi="Arial" w:cs="Arial"/>
        </w:rPr>
        <w:t>, 202</w:t>
      </w:r>
      <w:r w:rsidR="00B717B6">
        <w:rPr>
          <w:rFonts w:ascii="Arial" w:hAnsi="Arial" w:cs="Arial"/>
        </w:rPr>
        <w:t>5</w:t>
      </w:r>
      <w:r>
        <w:rPr>
          <w:rFonts w:ascii="Arial" w:hAnsi="Arial" w:cs="Arial"/>
        </w:rPr>
        <w:t>, on the subject of TK and TCEs;  and</w:t>
      </w:r>
    </w:p>
    <w:p w14:paraId="319436DE" w14:textId="2EC222C4" w:rsidR="00AB7D9E" w:rsidRDefault="00AB7D9E" w:rsidP="00AB7D9E">
      <w:pPr>
        <w:pStyle w:val="ListParagraph"/>
        <w:numPr>
          <w:ilvl w:val="1"/>
          <w:numId w:val="8"/>
        </w:numPr>
        <w:spacing w:before="240" w:after="240" w:line="260" w:lineRule="atLeast"/>
        <w:ind w:left="1134" w:hanging="567"/>
        <w:rPr>
          <w:rFonts w:ascii="Arial" w:hAnsi="Arial" w:cs="Arial"/>
        </w:rPr>
      </w:pPr>
      <w:r>
        <w:rPr>
          <w:rFonts w:ascii="Arial" w:hAnsi="Arial" w:cs="Arial"/>
        </w:rPr>
        <w:t xml:space="preserve">IGC </w:t>
      </w:r>
      <w:r w:rsidR="00B717B6">
        <w:rPr>
          <w:rFonts w:ascii="Arial" w:hAnsi="Arial" w:cs="Arial"/>
        </w:rPr>
        <w:t>51</w:t>
      </w:r>
      <w:r>
        <w:rPr>
          <w:rFonts w:ascii="Arial" w:hAnsi="Arial" w:cs="Arial"/>
        </w:rPr>
        <w:t xml:space="preserve">, from </w:t>
      </w:r>
      <w:r w:rsidR="00B717B6">
        <w:rPr>
          <w:rFonts w:ascii="Arial" w:hAnsi="Arial" w:cs="Arial"/>
        </w:rPr>
        <w:t>May 30 to June 5, 2025</w:t>
      </w:r>
      <w:r>
        <w:rPr>
          <w:rFonts w:ascii="Arial" w:hAnsi="Arial" w:cs="Arial"/>
        </w:rPr>
        <w:t>, on the subject of TK and TCEs and</w:t>
      </w:r>
      <w:r w:rsidRPr="008E16E9">
        <w:rPr>
          <w:rFonts w:ascii="Arial" w:hAnsi="Arial" w:cs="Arial"/>
        </w:rPr>
        <w:t xml:space="preserve"> </w:t>
      </w:r>
      <w:r w:rsidRPr="00DF1CB4">
        <w:rPr>
          <w:rFonts w:ascii="Arial" w:hAnsi="Arial" w:cs="Arial"/>
        </w:rPr>
        <w:t>taking stock of the progress made and mak</w:t>
      </w:r>
      <w:r>
        <w:rPr>
          <w:rFonts w:ascii="Arial" w:hAnsi="Arial" w:cs="Arial"/>
        </w:rPr>
        <w:t>ing a recommendation to the 202</w:t>
      </w:r>
      <w:r w:rsidR="00B717B6">
        <w:rPr>
          <w:rFonts w:ascii="Arial" w:hAnsi="Arial" w:cs="Arial"/>
        </w:rPr>
        <w:t>5</w:t>
      </w:r>
      <w:r>
        <w:rPr>
          <w:rFonts w:ascii="Arial" w:hAnsi="Arial" w:cs="Arial"/>
        </w:rPr>
        <w:t xml:space="preserve"> WIPO General Assembly.</w:t>
      </w:r>
    </w:p>
    <w:p w14:paraId="2E1DA4A1" w14:textId="19DF2974" w:rsidR="00833844" w:rsidRDefault="00AB7D9E" w:rsidP="00AB7D9E">
      <w:pPr>
        <w:spacing w:before="240" w:after="240"/>
      </w:pPr>
      <w:r>
        <w:fldChar w:fldCharType="begin"/>
      </w:r>
      <w:r>
        <w:instrText xml:space="preserve"> AUTONUM  </w:instrText>
      </w:r>
      <w:r>
        <w:fldChar w:fldCharType="end"/>
      </w:r>
      <w:r>
        <w:tab/>
      </w:r>
      <w:r w:rsidR="00833844">
        <w:t xml:space="preserve">IGC 48 </w:t>
      </w:r>
      <w:r w:rsidR="00833844" w:rsidRPr="00833844">
        <w:t xml:space="preserve">took stock of progress made on </w:t>
      </w:r>
      <w:r w:rsidR="00833844">
        <w:t>GRs</w:t>
      </w:r>
      <w:r w:rsidR="00833844" w:rsidRPr="00833844">
        <w:t xml:space="preserve"> and </w:t>
      </w:r>
      <w:r w:rsidR="00833844">
        <w:t>TK</w:t>
      </w:r>
      <w:r w:rsidR="00833844" w:rsidRPr="00833844">
        <w:t xml:space="preserve"> associated with </w:t>
      </w:r>
      <w:r w:rsidR="00833844">
        <w:t>GRs</w:t>
      </w:r>
      <w:r w:rsidR="00833844" w:rsidRPr="00833844">
        <w:t>, and took note of the adoption</w:t>
      </w:r>
      <w:r w:rsidR="008E7246">
        <w:t>, on May 24, 2024,</w:t>
      </w:r>
      <w:r w:rsidR="00833844" w:rsidRPr="00833844">
        <w:t xml:space="preserve"> of the </w:t>
      </w:r>
      <w:hyperlink r:id="rId12" w:history="1">
        <w:r w:rsidR="00833844" w:rsidRPr="00833844">
          <w:rPr>
            <w:rStyle w:val="Hyperlink"/>
            <w:i/>
            <w:iCs/>
          </w:rPr>
          <w:t>WIPO Treaty on Inte</w:t>
        </w:r>
        <w:r w:rsidR="00833844" w:rsidRPr="00833844">
          <w:rPr>
            <w:rStyle w:val="Hyperlink"/>
            <w:i/>
            <w:iCs/>
          </w:rPr>
          <w:t>llectual Property, Genetic Resources and Associated Traditional Knowledge</w:t>
        </w:r>
      </w:hyperlink>
      <w:r w:rsidR="00833844" w:rsidRPr="00833844">
        <w:t>.</w:t>
      </w:r>
    </w:p>
    <w:p w14:paraId="1E09A689" w14:textId="127AA405" w:rsidR="00AB7D9E" w:rsidRPr="00B41F5A" w:rsidRDefault="0068742F" w:rsidP="00AB7D9E">
      <w:pPr>
        <w:spacing w:before="240" w:after="240"/>
      </w:pPr>
      <w:r>
        <w:fldChar w:fldCharType="begin"/>
      </w:r>
      <w:r>
        <w:instrText xml:space="preserve"> AUTONUM  </w:instrText>
      </w:r>
      <w:r>
        <w:fldChar w:fldCharType="end"/>
      </w:r>
      <w:r>
        <w:tab/>
      </w:r>
      <w:r w:rsidR="00AB7D9E">
        <w:t>IGCs 4</w:t>
      </w:r>
      <w:r>
        <w:t>9</w:t>
      </w:r>
      <w:r w:rsidR="00AB7D9E">
        <w:t xml:space="preserve"> and </w:t>
      </w:r>
      <w:r>
        <w:t>50</w:t>
      </w:r>
      <w:r w:rsidR="00AB7D9E" w:rsidRPr="00B41F5A">
        <w:t xml:space="preserve"> addressed certain cross-cutting issues on TK and TCEs and developed “The Protection of Traditional Knowledge:  Draft Articles Rev.” and “The Protection of Traditional Cultural Expressions:  </w:t>
      </w:r>
      <w:r w:rsidR="00AB7D9E">
        <w:t>Draft Articles Rev.</w:t>
      </w:r>
      <w:r w:rsidR="00AB7D9E" w:rsidRPr="00B41F5A">
        <w:t>”</w:t>
      </w:r>
      <w:r>
        <w:t>, and a consolidated text at IGC 50</w:t>
      </w:r>
      <w:r w:rsidR="00AB7D9E" w:rsidRPr="00B41F5A">
        <w:t>.</w:t>
      </w:r>
      <w:r>
        <w:t xml:space="preserve">  However, </w:t>
      </w:r>
      <w:r w:rsidR="000B19B4">
        <w:t>the IGC did not agree on the transmittal of any of</w:t>
      </w:r>
      <w:r>
        <w:t xml:space="preserve"> those texts to the following session for further consideration. </w:t>
      </w:r>
    </w:p>
    <w:p w14:paraId="73469EF9" w14:textId="67DF0554" w:rsidR="00AB7D9E" w:rsidRPr="00B41F5A" w:rsidRDefault="00AB7D9E" w:rsidP="00AB7D9E">
      <w:pPr>
        <w:spacing w:before="240" w:after="240"/>
      </w:pPr>
      <w:r w:rsidRPr="00B41F5A">
        <w:fldChar w:fldCharType="begin"/>
      </w:r>
      <w:r w:rsidRPr="00B41F5A">
        <w:instrText xml:space="preserve"> AUTONUM  </w:instrText>
      </w:r>
      <w:r w:rsidRPr="00B41F5A">
        <w:fldChar w:fldCharType="end"/>
      </w:r>
      <w:r>
        <w:tab/>
      </w:r>
      <w:r w:rsidR="00F92C48" w:rsidRPr="00F92C48">
        <w:t>The absence of agreement at IGCs 49 and 50 notwithstanding,</w:t>
      </w:r>
      <w:r w:rsidR="00F92C48">
        <w:t xml:space="preserve"> </w:t>
      </w:r>
      <w:r>
        <w:t xml:space="preserve">IGC </w:t>
      </w:r>
      <w:r w:rsidR="0068742F">
        <w:t>51</w:t>
      </w:r>
      <w:r w:rsidRPr="00B41F5A">
        <w:t xml:space="preserve"> continued to work on these texts, and decided that “The Protection of Traditional Knowledge:  Draft Articles – Facilitators’ Rev.” (annex to </w:t>
      </w:r>
      <w:hyperlink r:id="rId13" w:history="1">
        <w:r w:rsidRPr="005226D6">
          <w:rPr>
            <w:rStyle w:val="Hyperlink"/>
          </w:rPr>
          <w:t>document WIPO/GRT</w:t>
        </w:r>
        <w:r w:rsidRPr="005226D6">
          <w:rPr>
            <w:rStyle w:val="Hyperlink"/>
          </w:rPr>
          <w:t>KF/IC/</w:t>
        </w:r>
        <w:r w:rsidR="0068742F" w:rsidRPr="005226D6">
          <w:rPr>
            <w:rStyle w:val="Hyperlink"/>
          </w:rPr>
          <w:t>51</w:t>
        </w:r>
        <w:r w:rsidRPr="005226D6">
          <w:rPr>
            <w:rStyle w:val="Hyperlink"/>
          </w:rPr>
          <w:t>/4</w:t>
        </w:r>
      </w:hyperlink>
      <w:r w:rsidRPr="00B41F5A">
        <w:t xml:space="preserve">), and “The Protection of Traditional Cultural Expressions:  Draft Articles – Facilitators’ Rev.” (annex to </w:t>
      </w:r>
      <w:hyperlink r:id="rId14" w:history="1">
        <w:r w:rsidRPr="005226D6">
          <w:rPr>
            <w:rStyle w:val="Hyperlink"/>
          </w:rPr>
          <w:t>document WIPO/GRTKF/I</w:t>
        </w:r>
        <w:r w:rsidRPr="005226D6">
          <w:rPr>
            <w:rStyle w:val="Hyperlink"/>
          </w:rPr>
          <w:t>C/</w:t>
        </w:r>
        <w:r w:rsidR="0068742F" w:rsidRPr="005226D6">
          <w:rPr>
            <w:rStyle w:val="Hyperlink"/>
          </w:rPr>
          <w:t>51</w:t>
        </w:r>
        <w:r w:rsidRPr="005226D6">
          <w:rPr>
            <w:rStyle w:val="Hyperlink"/>
          </w:rPr>
          <w:t>/5</w:t>
        </w:r>
      </w:hyperlink>
      <w:r w:rsidRPr="00B41F5A">
        <w:t xml:space="preserve">), as </w:t>
      </w:r>
      <w:r>
        <w:t xml:space="preserve">at the close of June </w:t>
      </w:r>
      <w:r w:rsidR="0068742F">
        <w:t>3</w:t>
      </w:r>
      <w:r>
        <w:t>, 202</w:t>
      </w:r>
      <w:r w:rsidR="0068742F">
        <w:t>5</w:t>
      </w:r>
      <w:r w:rsidRPr="00B41F5A">
        <w:t>,</w:t>
      </w:r>
      <w:r>
        <w:t xml:space="preserve"> be </w:t>
      </w:r>
      <w:r w:rsidR="00F92C48">
        <w:t>considered under</w:t>
      </w:r>
      <w:r>
        <w:t xml:space="preserve"> Agenda Item 6</w:t>
      </w:r>
      <w:r w:rsidRPr="00B41F5A">
        <w:t xml:space="preserve"> (“Taking Stock of Progress and Making a Recommendation to th</w:t>
      </w:r>
      <w:r>
        <w:t>e General Assembly”) of IGC</w:t>
      </w:r>
      <w:r w:rsidR="00CD0329">
        <w:t> </w:t>
      </w:r>
      <w:r w:rsidR="0068742F">
        <w:t>51</w:t>
      </w:r>
      <w:r w:rsidRPr="00B41F5A">
        <w:t>.</w:t>
      </w:r>
    </w:p>
    <w:p w14:paraId="774DA20D" w14:textId="621CB3D9" w:rsidR="00AB7D9E" w:rsidRDefault="00AB7D9E" w:rsidP="00AB7D9E">
      <w:pPr>
        <w:spacing w:before="240" w:after="240"/>
      </w:pPr>
      <w:r>
        <w:fldChar w:fldCharType="begin"/>
      </w:r>
      <w:r>
        <w:instrText xml:space="preserve"> AUTONUM  </w:instrText>
      </w:r>
      <w:r>
        <w:fldChar w:fldCharType="end"/>
      </w:r>
      <w:r>
        <w:tab/>
        <w:t>I</w:t>
      </w:r>
      <w:r w:rsidRPr="001464E5">
        <w:t xml:space="preserve">n accordance with the Committee’s mandate for </w:t>
      </w:r>
      <w:r>
        <w:t>the 202</w:t>
      </w:r>
      <w:r w:rsidR="005226D6">
        <w:t>4</w:t>
      </w:r>
      <w:r w:rsidRPr="001464E5">
        <w:t>/20</w:t>
      </w:r>
      <w:r>
        <w:t>2</w:t>
      </w:r>
      <w:r w:rsidR="005226D6">
        <w:t>5</w:t>
      </w:r>
      <w:r>
        <w:t xml:space="preserve"> biennium and the work program for 202</w:t>
      </w:r>
      <w:r w:rsidR="005226D6">
        <w:t>5</w:t>
      </w:r>
      <w:r w:rsidRPr="001464E5">
        <w:t xml:space="preserve">, </w:t>
      </w:r>
      <w:r>
        <w:t xml:space="preserve">IGC </w:t>
      </w:r>
      <w:r w:rsidR="005226D6">
        <w:t>51</w:t>
      </w:r>
      <w:r>
        <w:t>, under Agenda Item 6, took stock of the progress made during the 202</w:t>
      </w:r>
      <w:r w:rsidR="005226D6">
        <w:t>4</w:t>
      </w:r>
      <w:r>
        <w:t>/202</w:t>
      </w:r>
      <w:r w:rsidR="005226D6">
        <w:t>5</w:t>
      </w:r>
      <w:r>
        <w:t xml:space="preserve"> biennium</w:t>
      </w:r>
      <w:r>
        <w:rPr>
          <w:rFonts w:eastAsia="Times New Roman"/>
          <w:bCs/>
          <w:szCs w:val="22"/>
          <w:lang w:eastAsia="en-US"/>
        </w:rPr>
        <w:t xml:space="preserve">, and confirmed that </w:t>
      </w:r>
      <w:r w:rsidR="00B57AEC">
        <w:rPr>
          <w:rFonts w:eastAsia="Times New Roman"/>
          <w:bCs/>
          <w:szCs w:val="22"/>
          <w:lang w:eastAsia="en-US"/>
        </w:rPr>
        <w:t xml:space="preserve">the texts contained in the annexes to </w:t>
      </w:r>
      <w:r>
        <w:rPr>
          <w:rFonts w:eastAsia="Times New Roman"/>
          <w:bCs/>
          <w:szCs w:val="22"/>
          <w:lang w:eastAsia="en-US"/>
        </w:rPr>
        <w:t>documents WIPO/GRTKF/IC/</w:t>
      </w:r>
      <w:r w:rsidR="005226D6">
        <w:rPr>
          <w:rFonts w:eastAsia="Times New Roman"/>
          <w:bCs/>
          <w:szCs w:val="22"/>
          <w:lang w:eastAsia="en-US"/>
        </w:rPr>
        <w:t>51</w:t>
      </w:r>
      <w:r w:rsidRPr="00257835">
        <w:rPr>
          <w:rFonts w:eastAsia="Times New Roman"/>
          <w:bCs/>
          <w:szCs w:val="22"/>
          <w:lang w:eastAsia="en-US"/>
        </w:rPr>
        <w:t>/</w:t>
      </w:r>
      <w:r>
        <w:rPr>
          <w:rFonts w:eastAsia="Times New Roman"/>
          <w:bCs/>
          <w:szCs w:val="22"/>
          <w:lang w:eastAsia="en-US"/>
        </w:rPr>
        <w:t>4 and WIPO/GRTKF/IC/</w:t>
      </w:r>
      <w:r w:rsidR="005226D6">
        <w:rPr>
          <w:rFonts w:eastAsia="Times New Roman"/>
          <w:bCs/>
          <w:szCs w:val="22"/>
          <w:lang w:eastAsia="en-US"/>
        </w:rPr>
        <w:t>51</w:t>
      </w:r>
      <w:r w:rsidRPr="00257835">
        <w:rPr>
          <w:rFonts w:eastAsia="Times New Roman"/>
          <w:bCs/>
          <w:szCs w:val="22"/>
          <w:lang w:eastAsia="en-US"/>
        </w:rPr>
        <w:t>/</w:t>
      </w:r>
      <w:r>
        <w:rPr>
          <w:rFonts w:eastAsia="Times New Roman"/>
          <w:bCs/>
          <w:szCs w:val="22"/>
          <w:lang w:eastAsia="en-US"/>
        </w:rPr>
        <w:t xml:space="preserve">5 </w:t>
      </w:r>
      <w:r w:rsidR="00B57AEC">
        <w:rPr>
          <w:rFonts w:eastAsia="Times New Roman"/>
          <w:bCs/>
          <w:szCs w:val="22"/>
          <w:lang w:eastAsia="en-US"/>
        </w:rPr>
        <w:t xml:space="preserve">will </w:t>
      </w:r>
      <w:r>
        <w:rPr>
          <w:rFonts w:eastAsia="Times New Roman"/>
          <w:bCs/>
          <w:szCs w:val="22"/>
          <w:lang w:eastAsia="en-US"/>
        </w:rPr>
        <w:t>be transmitted to the 202</w:t>
      </w:r>
      <w:r w:rsidR="005226D6">
        <w:rPr>
          <w:rFonts w:eastAsia="Times New Roman"/>
          <w:bCs/>
          <w:szCs w:val="22"/>
          <w:lang w:eastAsia="en-US"/>
        </w:rPr>
        <w:t>5</w:t>
      </w:r>
      <w:r>
        <w:rPr>
          <w:rFonts w:eastAsia="Times New Roman"/>
          <w:bCs/>
          <w:szCs w:val="22"/>
          <w:lang w:eastAsia="en-US"/>
        </w:rPr>
        <w:t xml:space="preserve"> WIPO General Assembly</w:t>
      </w:r>
      <w:r>
        <w:t>.</w:t>
      </w:r>
    </w:p>
    <w:p w14:paraId="784EC6A1" w14:textId="590F4709" w:rsidR="00AB7D9E" w:rsidRDefault="00AB7D9E" w:rsidP="00F834F8">
      <w:pPr>
        <w:spacing w:before="240" w:after="240" w:line="260" w:lineRule="atLeast"/>
        <w:rPr>
          <w:rFonts w:eastAsia="Times New Roman"/>
          <w:bCs/>
          <w:szCs w:val="22"/>
          <w:lang w:eastAsia="en-US"/>
        </w:rPr>
      </w:pPr>
      <w:r>
        <w:fldChar w:fldCharType="begin"/>
      </w:r>
      <w:r>
        <w:instrText xml:space="preserve"> AUTONUM  </w:instrText>
      </w:r>
      <w:r>
        <w:fldChar w:fldCharType="end"/>
      </w:r>
      <w:r>
        <w:tab/>
      </w:r>
      <w:r>
        <w:rPr>
          <w:rFonts w:eastAsia="Times New Roman"/>
          <w:bCs/>
          <w:szCs w:val="22"/>
          <w:lang w:eastAsia="en-US"/>
        </w:rPr>
        <w:t xml:space="preserve">IGC </w:t>
      </w:r>
      <w:r w:rsidR="005226D6">
        <w:rPr>
          <w:rFonts w:eastAsia="Times New Roman"/>
          <w:bCs/>
          <w:szCs w:val="22"/>
          <w:lang w:eastAsia="en-US"/>
        </w:rPr>
        <w:t>51</w:t>
      </w:r>
      <w:r w:rsidRPr="009A448B">
        <w:rPr>
          <w:rFonts w:eastAsia="Times New Roman"/>
          <w:bCs/>
          <w:szCs w:val="22"/>
          <w:lang w:eastAsia="en-US"/>
        </w:rPr>
        <w:t xml:space="preserve"> </w:t>
      </w:r>
      <w:r>
        <w:rPr>
          <w:rFonts w:eastAsia="Times New Roman"/>
          <w:bCs/>
          <w:szCs w:val="22"/>
          <w:lang w:eastAsia="en-US"/>
        </w:rPr>
        <w:t xml:space="preserve">also </w:t>
      </w:r>
      <w:r w:rsidRPr="009A448B">
        <w:rPr>
          <w:rFonts w:eastAsia="Times New Roman"/>
          <w:bCs/>
          <w:szCs w:val="22"/>
          <w:lang w:eastAsia="en-US"/>
        </w:rPr>
        <w:t xml:space="preserve">agreed </w:t>
      </w:r>
      <w:r>
        <w:rPr>
          <w:rFonts w:eastAsia="Times New Roman"/>
          <w:bCs/>
          <w:szCs w:val="22"/>
          <w:lang w:eastAsia="en-US"/>
        </w:rPr>
        <w:t>to recommend to the 202</w:t>
      </w:r>
      <w:r w:rsidR="005226D6">
        <w:rPr>
          <w:rFonts w:eastAsia="Times New Roman"/>
          <w:bCs/>
          <w:szCs w:val="22"/>
          <w:lang w:eastAsia="en-US"/>
        </w:rPr>
        <w:t>5</w:t>
      </w:r>
      <w:r>
        <w:rPr>
          <w:rFonts w:eastAsia="Times New Roman"/>
          <w:bCs/>
          <w:szCs w:val="22"/>
          <w:lang w:eastAsia="en-US"/>
        </w:rPr>
        <w:t xml:space="preserve"> WIPO General Assembly that the mandate of the Committee be renewed for the 202</w:t>
      </w:r>
      <w:r w:rsidR="005226D6">
        <w:rPr>
          <w:rFonts w:eastAsia="Times New Roman"/>
          <w:bCs/>
          <w:szCs w:val="22"/>
          <w:lang w:eastAsia="en-US"/>
        </w:rPr>
        <w:t>6</w:t>
      </w:r>
      <w:r>
        <w:rPr>
          <w:rFonts w:eastAsia="Times New Roman"/>
          <w:bCs/>
          <w:szCs w:val="22"/>
          <w:lang w:eastAsia="en-US"/>
        </w:rPr>
        <w:t>/202</w:t>
      </w:r>
      <w:r w:rsidR="005226D6">
        <w:rPr>
          <w:rFonts w:eastAsia="Times New Roman"/>
          <w:bCs/>
          <w:szCs w:val="22"/>
          <w:lang w:eastAsia="en-US"/>
        </w:rPr>
        <w:t>7</w:t>
      </w:r>
      <w:r>
        <w:rPr>
          <w:rFonts w:eastAsia="Times New Roman"/>
          <w:bCs/>
          <w:szCs w:val="22"/>
          <w:lang w:eastAsia="en-US"/>
        </w:rPr>
        <w:t xml:space="preserve"> biennium.  The Committee further agreed to recommend to the 202</w:t>
      </w:r>
      <w:r w:rsidR="005226D6">
        <w:rPr>
          <w:rFonts w:eastAsia="Times New Roman"/>
          <w:bCs/>
          <w:szCs w:val="22"/>
          <w:lang w:eastAsia="en-US"/>
        </w:rPr>
        <w:t>5</w:t>
      </w:r>
      <w:r>
        <w:rPr>
          <w:rFonts w:eastAsia="Times New Roman"/>
          <w:bCs/>
          <w:szCs w:val="22"/>
          <w:lang w:eastAsia="en-US"/>
        </w:rPr>
        <w:t xml:space="preserve"> WIPO General Assembly that the terms of the mandate and work program for 202</w:t>
      </w:r>
      <w:r w:rsidR="005226D6">
        <w:rPr>
          <w:rFonts w:eastAsia="Times New Roman"/>
          <w:bCs/>
          <w:szCs w:val="22"/>
          <w:lang w:eastAsia="en-US"/>
        </w:rPr>
        <w:t>6</w:t>
      </w:r>
      <w:r w:rsidR="00B57AEC">
        <w:rPr>
          <w:rFonts w:eastAsia="Times New Roman"/>
          <w:bCs/>
          <w:szCs w:val="22"/>
          <w:lang w:eastAsia="en-US"/>
        </w:rPr>
        <w:t>/</w:t>
      </w:r>
      <w:r>
        <w:rPr>
          <w:rFonts w:eastAsia="Times New Roman"/>
          <w:bCs/>
          <w:szCs w:val="22"/>
          <w:lang w:eastAsia="en-US"/>
        </w:rPr>
        <w:t>202</w:t>
      </w:r>
      <w:r w:rsidR="005226D6">
        <w:rPr>
          <w:rFonts w:eastAsia="Times New Roman"/>
          <w:bCs/>
          <w:szCs w:val="22"/>
          <w:lang w:eastAsia="en-US"/>
        </w:rPr>
        <w:t>7</w:t>
      </w:r>
      <w:r>
        <w:rPr>
          <w:rFonts w:eastAsia="Times New Roman"/>
          <w:bCs/>
          <w:szCs w:val="22"/>
          <w:lang w:eastAsia="en-US"/>
        </w:rPr>
        <w:t xml:space="preserve"> be as follows:</w:t>
      </w:r>
    </w:p>
    <w:p w14:paraId="0BBF917E" w14:textId="77777777" w:rsidR="005226D6" w:rsidRPr="00285638" w:rsidRDefault="005226D6" w:rsidP="00210249">
      <w:pPr>
        <w:spacing w:after="240" w:line="260" w:lineRule="atLeast"/>
        <w:ind w:left="567"/>
        <w:rPr>
          <w:szCs w:val="22"/>
        </w:rPr>
      </w:pPr>
      <w:r>
        <w:t>“</w:t>
      </w:r>
      <w:r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Pr="00285638">
        <w:rPr>
          <w:szCs w:val="22"/>
        </w:rPr>
        <w:t>that the mandate of the Committee be renewed, without prejudice to the work pur</w:t>
      </w:r>
      <w:r>
        <w:rPr>
          <w:szCs w:val="22"/>
        </w:rPr>
        <w:t>sued in other fora, as follows:</w:t>
      </w:r>
    </w:p>
    <w:p w14:paraId="4F3D47F1" w14:textId="6B9E1B49" w:rsidR="005226D6" w:rsidRPr="002573EE" w:rsidRDefault="005226D6" w:rsidP="00210249">
      <w:pPr>
        <w:spacing w:after="240" w:line="260" w:lineRule="atLeast"/>
        <w:ind w:left="1134"/>
        <w:rPr>
          <w:szCs w:val="22"/>
        </w:rPr>
      </w:pPr>
      <w:r>
        <w:rPr>
          <w:szCs w:val="22"/>
        </w:rPr>
        <w:t>“(a)</w:t>
      </w:r>
      <w:r>
        <w:rPr>
          <w:szCs w:val="22"/>
        </w:rPr>
        <w:tab/>
      </w:r>
      <w:r w:rsidRPr="002573EE">
        <w:rPr>
          <w:szCs w:val="22"/>
        </w:rPr>
        <w:t>The Committee will, during the budgetary biennium 202</w:t>
      </w:r>
      <w:r>
        <w:rPr>
          <w:szCs w:val="22"/>
        </w:rPr>
        <w:t>6</w:t>
      </w:r>
      <w:r w:rsidRPr="002573EE">
        <w:rPr>
          <w:szCs w:val="22"/>
        </w:rPr>
        <w:t>/202</w:t>
      </w:r>
      <w:r>
        <w:rPr>
          <w:szCs w:val="22"/>
        </w:rPr>
        <w:t>7</w:t>
      </w:r>
      <w:r w:rsidRPr="002573EE">
        <w:rPr>
          <w:szCs w:val="22"/>
        </w:rPr>
        <w:t xml:space="preserve">, </w:t>
      </w:r>
      <w:r>
        <w:rPr>
          <w:szCs w:val="22"/>
        </w:rPr>
        <w:t xml:space="preserve">in a Member State driven process, </w:t>
      </w:r>
      <w:r w:rsidRPr="002573EE">
        <w:rPr>
          <w:szCs w:val="22"/>
        </w:rPr>
        <w:t>continue its work</w:t>
      </w:r>
      <w:r>
        <w:rPr>
          <w:szCs w:val="22"/>
        </w:rPr>
        <w:t xml:space="preserve"> </w:t>
      </w:r>
      <w:r w:rsidRPr="00E81BB9">
        <w:rPr>
          <w:szCs w:val="22"/>
        </w:rPr>
        <w:t>on the protection of genetic resources (GRs),</w:t>
      </w:r>
      <w:r>
        <w:rPr>
          <w:szCs w:val="22"/>
        </w:rPr>
        <w:t xml:space="preserve"> traditional knowledge (TK) and traditional cultural expressions (TCEs)</w:t>
      </w:r>
      <w:r w:rsidRPr="002573EE">
        <w:rPr>
          <w:szCs w:val="22"/>
        </w:rPr>
        <w:t xml:space="preserve">, with the objective of finalizing an agreement on an international legal instrument(s), without </w:t>
      </w:r>
      <w:r w:rsidRPr="002573EE">
        <w:rPr>
          <w:szCs w:val="22"/>
        </w:rPr>
        <w:lastRenderedPageBreak/>
        <w:t xml:space="preserve">prejudging the nature of outcome(s), relating to intellectual property, which will ensure the balanced and effective protection of </w:t>
      </w:r>
      <w:r>
        <w:rPr>
          <w:szCs w:val="22"/>
        </w:rPr>
        <w:t>TK and TCEs</w:t>
      </w:r>
      <w:r w:rsidRPr="002573EE">
        <w:rPr>
          <w:szCs w:val="22"/>
        </w:rPr>
        <w:t xml:space="preserve">. </w:t>
      </w:r>
    </w:p>
    <w:p w14:paraId="7CFDD917" w14:textId="26EB3C20" w:rsidR="005226D6" w:rsidRPr="00285638" w:rsidRDefault="005226D6" w:rsidP="00210249">
      <w:pPr>
        <w:spacing w:after="240" w:line="260" w:lineRule="atLeast"/>
        <w:ind w:left="1134"/>
        <w:rPr>
          <w:szCs w:val="22"/>
        </w:rPr>
      </w:pPr>
      <w:r>
        <w:rPr>
          <w:szCs w:val="22"/>
        </w:rPr>
        <w:t>“(b)</w:t>
      </w:r>
      <w:r>
        <w:rPr>
          <w:szCs w:val="22"/>
        </w:rPr>
        <w:tab/>
      </w:r>
      <w:r w:rsidRPr="00285638">
        <w:rPr>
          <w:szCs w:val="22"/>
        </w:rPr>
        <w:t>The Committee’s work</w:t>
      </w:r>
      <w:r>
        <w:rPr>
          <w:szCs w:val="22"/>
        </w:rPr>
        <w:t xml:space="preserve"> on TK and TCEs</w:t>
      </w:r>
      <w:r w:rsidRPr="00285638">
        <w:rPr>
          <w:szCs w:val="22"/>
        </w:rPr>
        <w:t xml:space="preserve"> in the 202</w:t>
      </w:r>
      <w:r>
        <w:rPr>
          <w:szCs w:val="22"/>
        </w:rPr>
        <w:t>6</w:t>
      </w:r>
      <w:r w:rsidRPr="00285638">
        <w:rPr>
          <w:szCs w:val="22"/>
        </w:rPr>
        <w:t>/202</w:t>
      </w:r>
      <w:r>
        <w:rPr>
          <w:szCs w:val="22"/>
        </w:rPr>
        <w:t>7</w:t>
      </w:r>
      <w:r w:rsidRPr="00285638">
        <w:rPr>
          <w:szCs w:val="22"/>
        </w:rPr>
        <w:t xml:space="preserve"> biennium will build on the existing work carried out by the Committee, including text-based negotiations, with a primary focus on narrowing existing gaps </w:t>
      </w:r>
      <w:r>
        <w:rPr>
          <w:szCs w:val="22"/>
        </w:rPr>
        <w:t>and reaching</w:t>
      </w:r>
      <w:r w:rsidRPr="00285638">
        <w:rPr>
          <w:szCs w:val="22"/>
        </w:rPr>
        <w:t xml:space="preserve"> common understanding on core issues</w:t>
      </w:r>
      <w:r>
        <w:rPr>
          <w:szCs w:val="22"/>
        </w:rPr>
        <w:t>.</w:t>
      </w:r>
    </w:p>
    <w:p w14:paraId="317E40D1" w14:textId="6F84E1D2" w:rsidR="005226D6" w:rsidRPr="00285638" w:rsidRDefault="005226D6" w:rsidP="00210249">
      <w:pPr>
        <w:spacing w:after="240" w:line="260" w:lineRule="atLeast"/>
        <w:ind w:left="1134"/>
        <w:rPr>
          <w:szCs w:val="22"/>
        </w:rPr>
      </w:pPr>
      <w:r>
        <w:rPr>
          <w:szCs w:val="22"/>
        </w:rPr>
        <w:t>“(c)</w:t>
      </w:r>
      <w:r>
        <w:rPr>
          <w:szCs w:val="22"/>
        </w:rPr>
        <w:tab/>
        <w:t>Noting the WIPO Treaty on</w:t>
      </w:r>
      <w:r w:rsidRPr="008977CE">
        <w:rPr>
          <w:szCs w:val="22"/>
        </w:rPr>
        <w:t xml:space="preserve"> Intellectual Property, Genetic Resources and </w:t>
      </w:r>
      <w:r>
        <w:rPr>
          <w:szCs w:val="22"/>
        </w:rPr>
        <w:t xml:space="preserve">Associated </w:t>
      </w:r>
      <w:r w:rsidRPr="008977CE">
        <w:rPr>
          <w:szCs w:val="22"/>
        </w:rPr>
        <w:t>Traditional Knowledge</w:t>
      </w:r>
      <w:r>
        <w:rPr>
          <w:szCs w:val="22"/>
        </w:rPr>
        <w:t xml:space="preserve"> adopted</w:t>
      </w:r>
      <w:r w:rsidRPr="008977CE">
        <w:rPr>
          <w:szCs w:val="22"/>
        </w:rPr>
        <w:t xml:space="preserve"> </w:t>
      </w:r>
      <w:r>
        <w:rPr>
          <w:szCs w:val="22"/>
        </w:rPr>
        <w:t>in</w:t>
      </w:r>
      <w:r w:rsidRPr="008977CE">
        <w:rPr>
          <w:szCs w:val="22"/>
        </w:rPr>
        <w:t xml:space="preserve"> 2024</w:t>
      </w:r>
      <w:r>
        <w:rPr>
          <w:szCs w:val="22"/>
        </w:rPr>
        <w:t>, the Committee will, during the budgetary biennium 2026/2027, continue to discuss intellectual property issues concerning GRs and their interlinkage with TK and TCEs, without normative work on GRs.</w:t>
      </w:r>
    </w:p>
    <w:p w14:paraId="53895656" w14:textId="4A303A16" w:rsidR="005226D6" w:rsidRPr="000F1337" w:rsidRDefault="005226D6" w:rsidP="00210249">
      <w:pPr>
        <w:spacing w:after="240" w:line="260" w:lineRule="atLeast"/>
        <w:ind w:left="1134"/>
        <w:rPr>
          <w:szCs w:val="22"/>
        </w:rPr>
      </w:pPr>
      <w:r>
        <w:rPr>
          <w:szCs w:val="22"/>
        </w:rPr>
        <w:t>“(d)</w:t>
      </w:r>
      <w:r>
        <w:rPr>
          <w:szCs w:val="22"/>
        </w:rPr>
        <w:tab/>
      </w:r>
      <w:r w:rsidRPr="000F1337">
        <w:rPr>
          <w:szCs w:val="22"/>
        </w:rPr>
        <w:t>The Committee will follow, as set out in the table below, a work program based on open and inclusive working methods for the 2026/2027 biennium, including an evidence-based approach with actual examples, including national/regional experiences, as set out in paragraph (e).  This work program will make provision for 3 sessions of the Committee in 2026/2027, including thematic, cross</w:t>
      </w:r>
      <w:r w:rsidRPr="000F1337">
        <w:rPr>
          <w:szCs w:val="22"/>
        </w:rPr>
        <w:noBreakHyphen/>
        <w:t>cutting, and stocktaking sessions.</w:t>
      </w:r>
    </w:p>
    <w:p w14:paraId="56C1F4DC" w14:textId="57D821EF" w:rsidR="005226D6" w:rsidRDefault="005226D6" w:rsidP="00210249">
      <w:pPr>
        <w:spacing w:after="240" w:line="260" w:lineRule="atLeast"/>
        <w:ind w:left="1134"/>
        <w:rPr>
          <w:szCs w:val="22"/>
        </w:rPr>
      </w:pPr>
      <w:r>
        <w:rPr>
          <w:szCs w:val="22"/>
        </w:rPr>
        <w:t>“(e)</w:t>
      </w:r>
      <w:r>
        <w:rPr>
          <w:szCs w:val="22"/>
        </w:rPr>
        <w:tab/>
      </w:r>
      <w:r w:rsidRPr="00963FD4">
        <w:rPr>
          <w:szCs w:val="22"/>
        </w:rPr>
        <w:t>The Committee will use all WIPO working documents, including WIPO/GRTKF/IC/</w:t>
      </w:r>
      <w:r>
        <w:rPr>
          <w:szCs w:val="22"/>
        </w:rPr>
        <w:t>51</w:t>
      </w:r>
      <w:r w:rsidRPr="00963FD4">
        <w:rPr>
          <w:szCs w:val="22"/>
        </w:rPr>
        <w:t>/4 (The Protection of Traditional Knowledge:  Draft Articles) and WIPO/GRTKF/IC</w:t>
      </w:r>
      <w:r w:rsidR="00B22258">
        <w:rPr>
          <w:szCs w:val="22"/>
        </w:rPr>
        <w:t>/</w:t>
      </w:r>
      <w:r>
        <w:rPr>
          <w:szCs w:val="22"/>
        </w:rPr>
        <w:t>51</w:t>
      </w:r>
      <w:r w:rsidRPr="00963FD4">
        <w:rPr>
          <w:szCs w:val="22"/>
        </w:rPr>
        <w:t>/5 (The Protection of Traditional Cultural Expressions:  Draft Articles),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related activities conducted under the capacity-building and technical assistance program of the Secretariat (the Traditional Knowledge Division).  The Secretariat is requested to continu</w:t>
      </w:r>
      <w:r>
        <w:rPr>
          <w:szCs w:val="22"/>
        </w:rPr>
        <w:t xml:space="preserve">e </w:t>
      </w:r>
      <w:r w:rsidRPr="00963FD4">
        <w:rPr>
          <w:szCs w:val="22"/>
        </w:rPr>
        <w:t xml:space="preserve">to collect, compile and make available online information on national and regional </w:t>
      </w:r>
      <w:r w:rsidRPr="00963FD4">
        <w:rPr>
          <w:i/>
          <w:szCs w:val="22"/>
        </w:rPr>
        <w:t>sui generis</w:t>
      </w:r>
      <w:r w:rsidRPr="00963FD4">
        <w:rPr>
          <w:szCs w:val="22"/>
        </w:rPr>
        <w:t xml:space="preserve"> regimes for the intellectual property protection of TK and TCEs.  Studies or additional activities are not to delay progress or establish any preconditions for the negotiations.</w:t>
      </w:r>
    </w:p>
    <w:p w14:paraId="69DB9108" w14:textId="1DD7DB30" w:rsidR="005226D6" w:rsidRDefault="005226D6" w:rsidP="00210249">
      <w:pPr>
        <w:spacing w:after="240" w:line="260" w:lineRule="atLeast"/>
        <w:ind w:left="1134"/>
        <w:rPr>
          <w:szCs w:val="22"/>
        </w:rPr>
      </w:pPr>
      <w:r>
        <w:rPr>
          <w:szCs w:val="22"/>
        </w:rPr>
        <w:t>“(f)</w:t>
      </w:r>
      <w:r>
        <w:rPr>
          <w:szCs w:val="22"/>
        </w:rPr>
        <w:tab/>
      </w:r>
      <w:r w:rsidRPr="00963FD4">
        <w:rPr>
          <w:szCs w:val="22"/>
        </w:rPr>
        <w:t>In 202</w:t>
      </w:r>
      <w:r>
        <w:rPr>
          <w:szCs w:val="22"/>
        </w:rPr>
        <w:t>6</w:t>
      </w:r>
      <w:r w:rsidRPr="00963FD4">
        <w:rPr>
          <w:szCs w:val="22"/>
        </w:rPr>
        <w:t>, the Committee is requested to submit to the General Assembly the results of its work.  The General Assembly in 202</w:t>
      </w:r>
      <w:r>
        <w:rPr>
          <w:szCs w:val="22"/>
        </w:rPr>
        <w:t>7</w:t>
      </w:r>
      <w:r w:rsidRPr="00963FD4">
        <w:rPr>
          <w:szCs w:val="22"/>
        </w:rPr>
        <w:t xml:space="preserve"> will </w:t>
      </w:r>
      <w:r>
        <w:rPr>
          <w:szCs w:val="22"/>
        </w:rPr>
        <w:t xml:space="preserve">take note of discussions on </w:t>
      </w:r>
      <w:proofErr w:type="gramStart"/>
      <w:r>
        <w:rPr>
          <w:szCs w:val="22"/>
        </w:rPr>
        <w:t>GRs, and</w:t>
      </w:r>
      <w:proofErr w:type="gramEnd"/>
      <w:r w:rsidRPr="00963FD4">
        <w:rPr>
          <w:szCs w:val="22"/>
        </w:rPr>
        <w:t xml:space="preserve"> take stock of</w:t>
      </w:r>
      <w:r>
        <w:rPr>
          <w:szCs w:val="22"/>
        </w:rPr>
        <w:t xml:space="preserve"> </w:t>
      </w:r>
      <w:r w:rsidRPr="00963FD4">
        <w:rPr>
          <w:szCs w:val="22"/>
        </w:rPr>
        <w:t xml:space="preserve">progress made </w:t>
      </w:r>
      <w:r w:rsidRPr="00963FD4">
        <w:t xml:space="preserve">on </w:t>
      </w:r>
      <w:r>
        <w:t>TK and TCEs</w:t>
      </w:r>
      <w:r w:rsidRPr="00963FD4">
        <w:t xml:space="preserve">, </w:t>
      </w:r>
      <w:r w:rsidRPr="00963FD4">
        <w:rPr>
          <w:szCs w:val="22"/>
        </w:rPr>
        <w:t>and based on the maturity of the text(s) on TK and TCEs, including levels of agreement on objectives, scope, and nature of the instrument(s), decide on whether to convene a diplomatic conference and/or continue negotiations.</w:t>
      </w:r>
    </w:p>
    <w:p w14:paraId="2757DC70" w14:textId="64F5DB9D" w:rsidR="005226D6" w:rsidRDefault="005226D6" w:rsidP="00210249">
      <w:pPr>
        <w:spacing w:after="240" w:line="260" w:lineRule="atLeast"/>
        <w:ind w:left="1134"/>
        <w:rPr>
          <w:szCs w:val="22"/>
        </w:rPr>
      </w:pPr>
      <w:r>
        <w:rPr>
          <w:szCs w:val="22"/>
        </w:rPr>
        <w:t>“(g)</w:t>
      </w:r>
      <w:r>
        <w:rPr>
          <w:szCs w:val="22"/>
        </w:rPr>
        <w:tab/>
      </w:r>
      <w:r w:rsidRPr="00963FD4">
        <w:rPr>
          <w:szCs w:val="22"/>
        </w:rPr>
        <w:t xml:space="preserve">The General Assembly requests the Secretariat to continue to assist the Committee by providing Member States with necessary expertise and funding, in the most efficient manner, of the participation of experts from developing countries and LDCs, </w:t>
      </w:r>
      <w:proofErr w:type="gramStart"/>
      <w:r w:rsidRPr="00963FD4">
        <w:rPr>
          <w:szCs w:val="22"/>
        </w:rPr>
        <w:t>taking into account</w:t>
      </w:r>
      <w:proofErr w:type="gramEnd"/>
      <w:r w:rsidRPr="00963FD4">
        <w:rPr>
          <w:szCs w:val="22"/>
        </w:rPr>
        <w:t xml:space="preserve"> the usual formula for the IGC.</w:t>
      </w:r>
    </w:p>
    <w:p w14:paraId="1EB33FE3" w14:textId="5D0EFA0F" w:rsidR="00C342A4" w:rsidRDefault="005226D6" w:rsidP="00A15628">
      <w:pPr>
        <w:spacing w:after="120" w:line="260" w:lineRule="atLeast"/>
        <w:ind w:left="1134"/>
        <w:rPr>
          <w:szCs w:val="22"/>
        </w:rPr>
      </w:pPr>
      <w:r>
        <w:rPr>
          <w:szCs w:val="22"/>
        </w:rPr>
        <w:t>“(h)</w:t>
      </w:r>
      <w:r>
        <w:rPr>
          <w:szCs w:val="22"/>
        </w:rPr>
        <w:tab/>
      </w:r>
      <w:r w:rsidRPr="00963FD4">
        <w:rPr>
          <w:szCs w:val="22"/>
        </w:rPr>
        <w:t xml:space="preserve">The Secretariat is requested to facilitate the effective participation of Indigenous Peoples as well as local communities in WIPO’s normative work related to TK and TCEs. </w:t>
      </w:r>
      <w:r>
        <w:rPr>
          <w:szCs w:val="22"/>
        </w:rPr>
        <w:t xml:space="preserve"> With a view to deepening interaction</w:t>
      </w:r>
      <w:r w:rsidRPr="00D909F9">
        <w:rPr>
          <w:szCs w:val="22"/>
        </w:rPr>
        <w:t xml:space="preserve">, the </w:t>
      </w:r>
      <w:r>
        <w:rPr>
          <w:szCs w:val="22"/>
        </w:rPr>
        <w:t xml:space="preserve">Secretariat is also </w:t>
      </w:r>
      <w:r w:rsidRPr="00D909F9">
        <w:rPr>
          <w:szCs w:val="22"/>
        </w:rPr>
        <w:t>requested to organize, within existing resources, a</w:t>
      </w:r>
      <w:r>
        <w:rPr>
          <w:szCs w:val="22"/>
        </w:rPr>
        <w:t xml:space="preserve"> hybrid</w:t>
      </w:r>
      <w:r w:rsidRPr="00D909F9">
        <w:rPr>
          <w:szCs w:val="22"/>
        </w:rPr>
        <w:t xml:space="preserve"> Expert Workshop, following similar arrangements </w:t>
      </w:r>
      <w:r w:rsidRPr="000F1337">
        <w:rPr>
          <w:i/>
          <w:iCs/>
          <w:szCs w:val="22"/>
        </w:rPr>
        <w:t>mutatis mutandis</w:t>
      </w:r>
      <w:r w:rsidRPr="00D909F9">
        <w:rPr>
          <w:szCs w:val="22"/>
        </w:rPr>
        <w:t xml:space="preserve"> to those as agreed at the Twentieth Session of the Committee under Agenda Item 8</w:t>
      </w:r>
      <w:r>
        <w:rPr>
          <w:szCs w:val="22"/>
        </w:rPr>
        <w:t>.</w:t>
      </w:r>
    </w:p>
    <w:p w14:paraId="27732237" w14:textId="77777777" w:rsidR="005226D6" w:rsidRDefault="005226D6" w:rsidP="00534034">
      <w:pPr>
        <w:pStyle w:val="Heading1"/>
        <w:tabs>
          <w:tab w:val="right" w:pos="9355"/>
        </w:tabs>
        <w:spacing w:before="0" w:after="240" w:line="260" w:lineRule="atLeast"/>
        <w:ind w:left="567"/>
      </w:pPr>
      <w:r w:rsidRPr="00AE4883">
        <w:lastRenderedPageBreak/>
        <w:t xml:space="preserve">Work </w:t>
      </w:r>
      <w:r w:rsidRPr="004C17EE">
        <w:t>Program</w:t>
      </w:r>
      <w:r>
        <w:t xml:space="preserve"> – 3 Sessions</w:t>
      </w:r>
    </w:p>
    <w:tbl>
      <w:tblPr>
        <w:tblStyle w:val="TableGrid"/>
        <w:tblW w:w="8878" w:type="dxa"/>
        <w:tblInd w:w="567" w:type="dxa"/>
        <w:tblLook w:val="04A0" w:firstRow="1" w:lastRow="0" w:firstColumn="1" w:lastColumn="0" w:noHBand="0" w:noVBand="1"/>
        <w:tblCaption w:val="IGC Work Program 6 sessions for 2022-2023"/>
      </w:tblPr>
      <w:tblGrid>
        <w:gridCol w:w="2538"/>
        <w:gridCol w:w="6340"/>
      </w:tblGrid>
      <w:tr w:rsidR="005226D6" w:rsidRPr="00254179" w14:paraId="5E4E1A78" w14:textId="77777777" w:rsidTr="005226D6">
        <w:trPr>
          <w:trHeight w:val="391"/>
        </w:trPr>
        <w:tc>
          <w:tcPr>
            <w:tcW w:w="2538" w:type="dxa"/>
          </w:tcPr>
          <w:p w14:paraId="65C03082" w14:textId="77777777" w:rsidR="005226D6" w:rsidRPr="00A0422B" w:rsidRDefault="005226D6" w:rsidP="00373716">
            <w:pPr>
              <w:spacing w:after="120" w:line="260" w:lineRule="atLeast"/>
              <w:rPr>
                <w:szCs w:val="22"/>
              </w:rPr>
            </w:pPr>
            <w:r>
              <w:rPr>
                <w:b/>
                <w:szCs w:val="22"/>
              </w:rPr>
              <w:t>Indicative Dates</w:t>
            </w:r>
          </w:p>
        </w:tc>
        <w:tc>
          <w:tcPr>
            <w:tcW w:w="6340" w:type="dxa"/>
          </w:tcPr>
          <w:p w14:paraId="1911E36A" w14:textId="77777777" w:rsidR="005226D6" w:rsidRPr="00A0422B" w:rsidRDefault="005226D6" w:rsidP="00373716">
            <w:pPr>
              <w:spacing w:after="120" w:line="260" w:lineRule="atLeast"/>
              <w:rPr>
                <w:szCs w:val="22"/>
              </w:rPr>
            </w:pPr>
            <w:r>
              <w:rPr>
                <w:b/>
                <w:szCs w:val="22"/>
              </w:rPr>
              <w:t>Activity</w:t>
            </w:r>
          </w:p>
        </w:tc>
      </w:tr>
      <w:tr w:rsidR="005226D6" w:rsidRPr="00254179" w14:paraId="68CE78EF" w14:textId="77777777" w:rsidTr="00210249">
        <w:trPr>
          <w:trHeight w:val="1412"/>
        </w:trPr>
        <w:tc>
          <w:tcPr>
            <w:tcW w:w="2538" w:type="dxa"/>
          </w:tcPr>
          <w:p w14:paraId="26393F0E" w14:textId="28536796" w:rsidR="005226D6" w:rsidRPr="00A0422B" w:rsidRDefault="005226D6" w:rsidP="00F834F8">
            <w:pPr>
              <w:spacing w:after="120" w:line="260" w:lineRule="atLeast"/>
              <w:rPr>
                <w:szCs w:val="22"/>
              </w:rPr>
            </w:pPr>
            <w:r>
              <w:rPr>
                <w:szCs w:val="22"/>
              </w:rPr>
              <w:t>March 2026</w:t>
            </w:r>
          </w:p>
        </w:tc>
        <w:tc>
          <w:tcPr>
            <w:tcW w:w="6340" w:type="dxa"/>
          </w:tcPr>
          <w:p w14:paraId="7D34C117" w14:textId="77777777" w:rsidR="005226D6" w:rsidRPr="00A0422B" w:rsidRDefault="005226D6" w:rsidP="00373716">
            <w:pPr>
              <w:spacing w:after="120" w:line="260" w:lineRule="atLeast"/>
              <w:rPr>
                <w:szCs w:val="22"/>
              </w:rPr>
            </w:pPr>
            <w:r>
              <w:rPr>
                <w:szCs w:val="22"/>
              </w:rPr>
              <w:t>IGC 52</w:t>
            </w:r>
          </w:p>
          <w:p w14:paraId="6BE09AB8" w14:textId="77777777" w:rsidR="005226D6" w:rsidRPr="00C0582D" w:rsidRDefault="005226D6" w:rsidP="005226D6">
            <w:pPr>
              <w:pStyle w:val="TableParagraph"/>
              <w:spacing w:after="120" w:line="260" w:lineRule="atLeast"/>
              <w:ind w:left="0" w:right="103"/>
            </w:pPr>
            <w:r w:rsidRPr="00774874">
              <w:t>Undertake</w:t>
            </w:r>
            <w:r>
              <w:t xml:space="preserve"> </w:t>
            </w:r>
            <w:r w:rsidRPr="00774874">
              <w:t xml:space="preserve">discussions on GRs </w:t>
            </w:r>
            <w:r>
              <w:t>and n</w:t>
            </w:r>
            <w:r w:rsidRPr="00774874">
              <w:t>egotiat</w:t>
            </w:r>
            <w:r>
              <w:t>ions</w:t>
            </w:r>
            <w:r w:rsidRPr="00774874">
              <w:t xml:space="preserve"> </w:t>
            </w:r>
            <w:r>
              <w:t xml:space="preserve">on </w:t>
            </w:r>
            <w:r w:rsidRPr="00774874">
              <w:t>TK and/or TCEs.</w:t>
            </w:r>
          </w:p>
          <w:p w14:paraId="229C7F5B" w14:textId="77777777" w:rsidR="005226D6" w:rsidRPr="00A0422B" w:rsidRDefault="005226D6" w:rsidP="00373716">
            <w:pPr>
              <w:spacing w:after="120" w:line="260" w:lineRule="atLeast"/>
              <w:rPr>
                <w:szCs w:val="22"/>
              </w:rPr>
            </w:pPr>
            <w:r>
              <w:rPr>
                <w:szCs w:val="22"/>
              </w:rPr>
              <w:t xml:space="preserve">Duration 8 days </w:t>
            </w:r>
          </w:p>
        </w:tc>
      </w:tr>
      <w:tr w:rsidR="005226D6" w:rsidRPr="00254179" w14:paraId="232A9D34" w14:textId="77777777" w:rsidTr="00210249">
        <w:trPr>
          <w:trHeight w:val="1417"/>
        </w:trPr>
        <w:tc>
          <w:tcPr>
            <w:tcW w:w="2538" w:type="dxa"/>
          </w:tcPr>
          <w:p w14:paraId="2EB121A8" w14:textId="7A61F2D2" w:rsidR="005226D6" w:rsidRPr="00A0422B" w:rsidRDefault="005226D6" w:rsidP="00F834F8">
            <w:pPr>
              <w:spacing w:after="120" w:line="260" w:lineRule="atLeast"/>
              <w:rPr>
                <w:szCs w:val="22"/>
              </w:rPr>
            </w:pPr>
            <w:r>
              <w:rPr>
                <w:szCs w:val="22"/>
              </w:rPr>
              <w:t>September/October 2026</w:t>
            </w:r>
          </w:p>
        </w:tc>
        <w:tc>
          <w:tcPr>
            <w:tcW w:w="6340" w:type="dxa"/>
          </w:tcPr>
          <w:p w14:paraId="5C64EB98" w14:textId="77777777" w:rsidR="005226D6" w:rsidRDefault="005226D6" w:rsidP="00373716">
            <w:pPr>
              <w:spacing w:after="120" w:line="260" w:lineRule="atLeast"/>
              <w:rPr>
                <w:szCs w:val="22"/>
              </w:rPr>
            </w:pPr>
            <w:r>
              <w:rPr>
                <w:szCs w:val="22"/>
              </w:rPr>
              <w:t>IGC 53</w:t>
            </w:r>
          </w:p>
          <w:p w14:paraId="22433564" w14:textId="68BA7027" w:rsidR="005226D6" w:rsidRPr="00F2240B" w:rsidRDefault="005226D6" w:rsidP="005226D6">
            <w:pPr>
              <w:pStyle w:val="TableParagraph"/>
              <w:spacing w:after="120" w:line="260" w:lineRule="atLeast"/>
              <w:ind w:left="0" w:right="103"/>
            </w:pPr>
            <w:r w:rsidRPr="00774874">
              <w:t>Undertake</w:t>
            </w:r>
            <w:r>
              <w:t xml:space="preserve"> </w:t>
            </w:r>
            <w:r w:rsidRPr="00774874">
              <w:t xml:space="preserve">discussions on GRs </w:t>
            </w:r>
            <w:r>
              <w:t>and n</w:t>
            </w:r>
            <w:r w:rsidRPr="00774874">
              <w:t>egotiat</w:t>
            </w:r>
            <w:r>
              <w:t>ions</w:t>
            </w:r>
            <w:r w:rsidRPr="00774874">
              <w:t xml:space="preserve"> </w:t>
            </w:r>
            <w:r>
              <w:t xml:space="preserve">on </w:t>
            </w:r>
            <w:r w:rsidRPr="00774874">
              <w:t>TK and/or TCEs</w:t>
            </w:r>
            <w:r>
              <w:t>.</w:t>
            </w:r>
          </w:p>
          <w:p w14:paraId="07640543" w14:textId="77777777" w:rsidR="005226D6" w:rsidRPr="00A0422B" w:rsidRDefault="005226D6" w:rsidP="00373716">
            <w:pPr>
              <w:spacing w:after="120" w:line="260" w:lineRule="atLeast"/>
              <w:ind w:right="214"/>
              <w:rPr>
                <w:szCs w:val="22"/>
              </w:rPr>
            </w:pPr>
            <w:r w:rsidRPr="00A0422B">
              <w:rPr>
                <w:szCs w:val="22"/>
              </w:rPr>
              <w:t xml:space="preserve">Duration </w:t>
            </w:r>
            <w:r>
              <w:rPr>
                <w:szCs w:val="22"/>
              </w:rPr>
              <w:t>8 days.</w:t>
            </w:r>
          </w:p>
        </w:tc>
      </w:tr>
      <w:tr w:rsidR="005226D6" w:rsidRPr="00254179" w14:paraId="0BC214CA" w14:textId="77777777" w:rsidTr="00210249">
        <w:trPr>
          <w:trHeight w:val="2105"/>
        </w:trPr>
        <w:tc>
          <w:tcPr>
            <w:tcW w:w="2538" w:type="dxa"/>
          </w:tcPr>
          <w:p w14:paraId="356D66FB" w14:textId="2C5C50FC" w:rsidR="005226D6" w:rsidRDefault="005226D6" w:rsidP="00F834F8">
            <w:pPr>
              <w:spacing w:after="120" w:line="260" w:lineRule="atLeast"/>
              <w:rPr>
                <w:szCs w:val="22"/>
              </w:rPr>
            </w:pPr>
            <w:r>
              <w:rPr>
                <w:szCs w:val="22"/>
              </w:rPr>
              <w:t>March/April 2027</w:t>
            </w:r>
          </w:p>
        </w:tc>
        <w:tc>
          <w:tcPr>
            <w:tcW w:w="6340" w:type="dxa"/>
          </w:tcPr>
          <w:p w14:paraId="4114749D" w14:textId="77777777" w:rsidR="005226D6" w:rsidRPr="00A0422B" w:rsidRDefault="005226D6" w:rsidP="00373716">
            <w:pPr>
              <w:spacing w:after="120" w:line="260" w:lineRule="atLeast"/>
              <w:rPr>
                <w:szCs w:val="22"/>
              </w:rPr>
            </w:pPr>
            <w:r>
              <w:rPr>
                <w:szCs w:val="22"/>
              </w:rPr>
              <w:t>IGC 54</w:t>
            </w:r>
          </w:p>
          <w:p w14:paraId="48CA852C" w14:textId="77777777" w:rsidR="005226D6" w:rsidRDefault="005226D6" w:rsidP="00373716">
            <w:pPr>
              <w:pStyle w:val="TableParagraph"/>
              <w:spacing w:after="120" w:line="260" w:lineRule="atLeast"/>
              <w:ind w:left="0" w:right="103"/>
            </w:pPr>
            <w:r w:rsidRPr="00774874">
              <w:t>Undertake</w:t>
            </w:r>
            <w:r>
              <w:t xml:space="preserve"> </w:t>
            </w:r>
            <w:r w:rsidRPr="00774874">
              <w:t xml:space="preserve">discussions on GRs </w:t>
            </w:r>
            <w:r>
              <w:t>and n</w:t>
            </w:r>
            <w:r w:rsidRPr="00774874">
              <w:t>egotiat</w:t>
            </w:r>
            <w:r>
              <w:t>ions</w:t>
            </w:r>
            <w:r w:rsidRPr="00774874">
              <w:t xml:space="preserve"> </w:t>
            </w:r>
            <w:r>
              <w:t xml:space="preserve">on </w:t>
            </w:r>
            <w:r w:rsidRPr="00774874">
              <w:t>TK and/or TCEs</w:t>
            </w:r>
            <w:r>
              <w:t>.</w:t>
            </w:r>
          </w:p>
          <w:p w14:paraId="1C63D688" w14:textId="77777777" w:rsidR="005226D6" w:rsidRDefault="005226D6" w:rsidP="00373716">
            <w:pPr>
              <w:spacing w:after="120" w:line="260" w:lineRule="atLeast"/>
              <w:rPr>
                <w:szCs w:val="22"/>
              </w:rPr>
            </w:pPr>
            <w:r>
              <w:rPr>
                <w:szCs w:val="22"/>
              </w:rPr>
              <w:t>Take note</w:t>
            </w:r>
            <w:r w:rsidRPr="00A0422B">
              <w:rPr>
                <w:szCs w:val="22"/>
              </w:rPr>
              <w:t xml:space="preserve"> </w:t>
            </w:r>
            <w:r w:rsidRPr="00100129">
              <w:rPr>
                <w:szCs w:val="22"/>
              </w:rPr>
              <w:t>o</w:t>
            </w:r>
            <w:r>
              <w:rPr>
                <w:szCs w:val="22"/>
              </w:rPr>
              <w:t>f</w:t>
            </w:r>
            <w:r w:rsidRPr="00100129">
              <w:rPr>
                <w:szCs w:val="22"/>
              </w:rPr>
              <w:t xml:space="preserve"> </w:t>
            </w:r>
            <w:r>
              <w:rPr>
                <w:szCs w:val="22"/>
              </w:rPr>
              <w:t xml:space="preserve">discussions on </w:t>
            </w:r>
            <w:r w:rsidRPr="00100129">
              <w:rPr>
                <w:szCs w:val="22"/>
              </w:rPr>
              <w:t>GRs</w:t>
            </w:r>
            <w:r>
              <w:rPr>
                <w:szCs w:val="22"/>
              </w:rPr>
              <w:t xml:space="preserve"> and take stock of progress made on </w:t>
            </w:r>
            <w:r w:rsidRPr="00100129">
              <w:rPr>
                <w:szCs w:val="22"/>
              </w:rPr>
              <w:t>TK/TCEs</w:t>
            </w:r>
            <w:r>
              <w:rPr>
                <w:szCs w:val="22"/>
              </w:rPr>
              <w:t>, and make a recommendation</w:t>
            </w:r>
          </w:p>
          <w:p w14:paraId="3D29E850" w14:textId="77777777" w:rsidR="005226D6" w:rsidRDefault="005226D6" w:rsidP="00373716">
            <w:pPr>
              <w:spacing w:after="120" w:line="260" w:lineRule="atLeast"/>
              <w:rPr>
                <w:szCs w:val="22"/>
              </w:rPr>
            </w:pPr>
            <w:r>
              <w:rPr>
                <w:szCs w:val="22"/>
              </w:rPr>
              <w:t>Duration 8 days.</w:t>
            </w:r>
          </w:p>
        </w:tc>
      </w:tr>
      <w:tr w:rsidR="005226D6" w:rsidRPr="00254179" w14:paraId="484302BD" w14:textId="77777777" w:rsidTr="00210249">
        <w:trPr>
          <w:trHeight w:val="702"/>
        </w:trPr>
        <w:tc>
          <w:tcPr>
            <w:tcW w:w="2538" w:type="dxa"/>
          </w:tcPr>
          <w:p w14:paraId="2FA4470D" w14:textId="77777777" w:rsidR="005226D6" w:rsidRPr="00A0422B" w:rsidRDefault="005226D6" w:rsidP="00373716">
            <w:pPr>
              <w:spacing w:after="120" w:line="260" w:lineRule="atLeast"/>
              <w:rPr>
                <w:szCs w:val="22"/>
              </w:rPr>
            </w:pPr>
            <w:r>
              <w:rPr>
                <w:szCs w:val="22"/>
              </w:rPr>
              <w:t>July 2027</w:t>
            </w:r>
          </w:p>
        </w:tc>
        <w:tc>
          <w:tcPr>
            <w:tcW w:w="6340" w:type="dxa"/>
          </w:tcPr>
          <w:p w14:paraId="4C468401" w14:textId="77777777" w:rsidR="005226D6" w:rsidRPr="00A0422B" w:rsidRDefault="005226D6" w:rsidP="00373716">
            <w:pPr>
              <w:spacing w:after="120" w:line="260" w:lineRule="atLeast"/>
              <w:rPr>
                <w:szCs w:val="22"/>
              </w:rPr>
            </w:pPr>
            <w:r w:rsidRPr="00A0422B">
              <w:rPr>
                <w:szCs w:val="22"/>
              </w:rPr>
              <w:t>WIPO General Assembly will take stock of the progress made, consider the text(s) and make the necessary decision(s).</w:t>
            </w:r>
            <w:r>
              <w:rPr>
                <w:szCs w:val="22"/>
              </w:rPr>
              <w:t>”</w:t>
            </w:r>
          </w:p>
        </w:tc>
      </w:tr>
    </w:tbl>
    <w:p w14:paraId="75CAEF4B" w14:textId="6E44A47E" w:rsidR="00A95B60" w:rsidRPr="00AB7D9E" w:rsidRDefault="00A95B60" w:rsidP="00C43EDE">
      <w:pPr>
        <w:pStyle w:val="BodyText"/>
        <w:spacing w:before="360" w:after="240"/>
        <w:rPr>
          <w:b/>
          <w:bCs/>
          <w:iCs/>
          <w:caps/>
          <w:szCs w:val="28"/>
        </w:rPr>
      </w:pPr>
      <w:r w:rsidRPr="007F0EB7">
        <w:rPr>
          <w:b/>
        </w:rPr>
        <w:t>II</w:t>
      </w:r>
      <w:r>
        <w:rPr>
          <w:b/>
        </w:rPr>
        <w:t>I</w:t>
      </w:r>
      <w:r w:rsidRPr="007F0EB7">
        <w:rPr>
          <w:b/>
        </w:rPr>
        <w:t>.</w:t>
      </w:r>
      <w:r w:rsidRPr="007F0EB7">
        <w:rPr>
          <w:b/>
        </w:rPr>
        <w:tab/>
      </w:r>
      <w:r w:rsidRPr="00A95B60">
        <w:rPr>
          <w:b/>
        </w:rPr>
        <w:t>CONTRIBUTION TO THE IMPLEMENTATION OF THE DEVELOPMENT AGENDA RECOMMENDATIONS</w:t>
      </w:r>
    </w:p>
    <w:p w14:paraId="6838C6B9" w14:textId="3A2509CC" w:rsidR="00A95B60" w:rsidRDefault="00A95B60" w:rsidP="005226D6">
      <w:pPr>
        <w:spacing w:after="120" w:line="260" w:lineRule="atLeast"/>
        <w:rPr>
          <w:rFonts w:eastAsia="Times New Roman"/>
          <w:szCs w:val="22"/>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Pr="00A95B60">
        <w:rPr>
          <w:rFonts w:eastAsia="Times New Roman"/>
          <w:szCs w:val="22"/>
        </w:rPr>
        <w:t xml:space="preserve">Further to the 2010 WIPO General Assembly decision “to instruct the relevant WIPO Bodies to include in their annual report to the Assemblies, a description of their contribution to the implementation of the respective Development Agenda Recommendations”, IGC </w:t>
      </w:r>
      <w:r>
        <w:rPr>
          <w:rFonts w:eastAsia="Times New Roman"/>
          <w:szCs w:val="22"/>
        </w:rPr>
        <w:t>51</w:t>
      </w:r>
      <w:r w:rsidRPr="00A95B60">
        <w:rPr>
          <w:rFonts w:eastAsia="Times New Roman"/>
          <w:szCs w:val="22"/>
        </w:rPr>
        <w:t xml:space="preserve"> also </w:t>
      </w:r>
      <w:r>
        <w:rPr>
          <w:rFonts w:eastAsia="Times New Roman"/>
          <w:szCs w:val="22"/>
        </w:rPr>
        <w:t>included an agenda item on</w:t>
      </w:r>
      <w:r w:rsidRPr="00A95B60">
        <w:rPr>
          <w:rFonts w:eastAsia="Times New Roman"/>
          <w:szCs w:val="22"/>
        </w:rPr>
        <w:t xml:space="preserve"> the contribution of the IGC to the implementation of the Development Agenda Recommendations.</w:t>
      </w:r>
      <w:r>
        <w:rPr>
          <w:rFonts w:eastAsia="Times New Roman"/>
          <w:szCs w:val="22"/>
        </w:rPr>
        <w:t xml:space="preserve">  In this regard, there was no statement made under this item. </w:t>
      </w:r>
    </w:p>
    <w:bookmarkStart w:id="4" w:name="Prepared"/>
    <w:bookmarkEnd w:id="3"/>
    <w:p w14:paraId="4199CB85" w14:textId="77777777" w:rsidR="00A95B60" w:rsidRPr="00516F7B" w:rsidRDefault="00A95B60" w:rsidP="003C3238">
      <w:pPr>
        <w:spacing w:after="240"/>
        <w:ind w:left="5533"/>
        <w:rPr>
          <w:i/>
          <w:lang w:eastAsia="pt-BR"/>
        </w:rPr>
      </w:pPr>
      <w:r w:rsidRPr="008F53F5">
        <w:rPr>
          <w:i/>
        </w:rPr>
        <w:fldChar w:fldCharType="begin"/>
      </w:r>
      <w:r w:rsidRPr="008F53F5">
        <w:rPr>
          <w:i/>
        </w:rPr>
        <w:instrText xml:space="preserve"> AUTONUM  </w:instrText>
      </w:r>
      <w:r w:rsidRPr="008F53F5">
        <w:rPr>
          <w:i/>
        </w:rPr>
        <w:fldChar w:fldCharType="end"/>
      </w:r>
      <w:r w:rsidRPr="008F53F5">
        <w:rPr>
          <w:i/>
        </w:rPr>
        <w:tab/>
      </w:r>
      <w:r w:rsidRPr="008F53F5">
        <w:rPr>
          <w:i/>
          <w:lang w:eastAsia="pt-BR"/>
        </w:rPr>
        <w:t xml:space="preserve">The WIPO General Assembly is </w:t>
      </w:r>
      <w:r w:rsidRPr="00516F7B">
        <w:rPr>
          <w:i/>
          <w:lang w:eastAsia="pt-BR"/>
        </w:rPr>
        <w:t>invited to:</w:t>
      </w:r>
    </w:p>
    <w:p w14:paraId="442192FF" w14:textId="77777777" w:rsidR="00A95B60" w:rsidRPr="00516F7B" w:rsidRDefault="00A95B60" w:rsidP="003C3238">
      <w:pPr>
        <w:pStyle w:val="ListParagraph"/>
        <w:numPr>
          <w:ilvl w:val="0"/>
          <w:numId w:val="10"/>
        </w:numPr>
        <w:tabs>
          <w:tab w:val="left" w:pos="6750"/>
        </w:tabs>
        <w:spacing w:after="240" w:line="240" w:lineRule="auto"/>
        <w:ind w:left="6120" w:firstLine="0"/>
        <w:rPr>
          <w:rFonts w:ascii="Arial" w:hAnsi="Arial" w:cs="Arial"/>
          <w:bCs/>
          <w:i/>
          <w:lang w:eastAsia="pt-BR"/>
        </w:rPr>
      </w:pPr>
      <w:r w:rsidRPr="00516F7B">
        <w:rPr>
          <w:rFonts w:ascii="Arial" w:hAnsi="Arial" w:cs="Arial"/>
          <w:bCs/>
          <w:i/>
          <w:lang w:eastAsia="pt-BR"/>
        </w:rPr>
        <w:t>take note of the information contained in this document;  and</w:t>
      </w:r>
    </w:p>
    <w:p w14:paraId="42CACF66" w14:textId="6FA9690D" w:rsidR="002928D3" w:rsidRPr="003C3238" w:rsidRDefault="00A95B60" w:rsidP="003C3238">
      <w:pPr>
        <w:pStyle w:val="ListParagraph"/>
        <w:numPr>
          <w:ilvl w:val="0"/>
          <w:numId w:val="10"/>
        </w:numPr>
        <w:tabs>
          <w:tab w:val="left" w:pos="6750"/>
        </w:tabs>
        <w:spacing w:after="840" w:line="240" w:lineRule="auto"/>
        <w:ind w:left="6120" w:firstLine="0"/>
        <w:rPr>
          <w:i/>
        </w:rPr>
      </w:pPr>
      <w:r w:rsidRPr="00516F7B">
        <w:rPr>
          <w:rFonts w:ascii="Arial" w:hAnsi="Arial" w:cs="Arial"/>
          <w:bCs/>
          <w:i/>
          <w:lang w:eastAsia="pt-BR"/>
        </w:rPr>
        <w:t>renew</w:t>
      </w:r>
      <w:r w:rsidRPr="00516F7B">
        <w:rPr>
          <w:rFonts w:ascii="Arial" w:hAnsi="Arial" w:cs="Arial"/>
          <w:i/>
          <w:lang w:eastAsia="pt-BR"/>
        </w:rPr>
        <w:t xml:space="preserve"> the mandate of the IGC for the biennium 2026/2027 on the terms and according to the program set out in </w:t>
      </w:r>
      <w:r w:rsidR="00516F7B">
        <w:rPr>
          <w:rFonts w:ascii="Arial" w:hAnsi="Arial" w:cs="Arial"/>
          <w:i/>
          <w:lang w:eastAsia="pt-BR"/>
        </w:rPr>
        <w:t xml:space="preserve"> </w:t>
      </w:r>
      <w:r w:rsidRPr="00516F7B">
        <w:rPr>
          <w:rFonts w:ascii="Arial" w:hAnsi="Arial" w:cs="Arial"/>
          <w:i/>
          <w:lang w:eastAsia="pt-BR"/>
        </w:rPr>
        <w:t>paragraph 9 above.</w:t>
      </w:r>
      <w:bookmarkEnd w:id="4"/>
    </w:p>
    <w:p w14:paraId="1E858930" w14:textId="596CC6CC" w:rsidR="00D9499D" w:rsidRDefault="00D9499D" w:rsidP="00D9499D">
      <w:pPr>
        <w:pStyle w:val="ONUME"/>
        <w:numPr>
          <w:ilvl w:val="0"/>
          <w:numId w:val="0"/>
        </w:numPr>
        <w:ind w:left="6237"/>
      </w:pPr>
      <w:r w:rsidRPr="00C93FC1">
        <w:rPr>
          <w:iCs/>
        </w:rPr>
        <w:t>[End of document]</w:t>
      </w:r>
    </w:p>
    <w:sectPr w:rsidR="00D9499D" w:rsidSect="003C515A">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4BA8" w14:textId="77777777" w:rsidR="004D104D" w:rsidRDefault="004D104D">
      <w:r>
        <w:separator/>
      </w:r>
    </w:p>
  </w:endnote>
  <w:endnote w:type="continuationSeparator" w:id="0">
    <w:p w14:paraId="4FAF86B3" w14:textId="77777777" w:rsidR="004D104D" w:rsidRDefault="004D104D" w:rsidP="003B38C1">
      <w:r>
        <w:separator/>
      </w:r>
    </w:p>
    <w:p w14:paraId="1BCF6210" w14:textId="77777777" w:rsidR="004D104D" w:rsidRPr="003B38C1" w:rsidRDefault="004D104D" w:rsidP="003B38C1">
      <w:pPr>
        <w:spacing w:after="60"/>
        <w:rPr>
          <w:sz w:val="17"/>
        </w:rPr>
      </w:pPr>
      <w:r>
        <w:rPr>
          <w:sz w:val="17"/>
        </w:rPr>
        <w:t>[Endnote continued from previous page]</w:t>
      </w:r>
    </w:p>
  </w:endnote>
  <w:endnote w:type="continuationNotice" w:id="1">
    <w:p w14:paraId="3DC280AF" w14:textId="77777777" w:rsidR="004D104D" w:rsidRPr="003B38C1" w:rsidRDefault="004D104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0AA2" w14:textId="77777777" w:rsidR="004D104D" w:rsidRDefault="004D104D">
      <w:r>
        <w:separator/>
      </w:r>
    </w:p>
  </w:footnote>
  <w:footnote w:type="continuationSeparator" w:id="0">
    <w:p w14:paraId="6F0FAC9C" w14:textId="77777777" w:rsidR="004D104D" w:rsidRDefault="004D104D" w:rsidP="008B60B2">
      <w:r>
        <w:separator/>
      </w:r>
    </w:p>
    <w:p w14:paraId="475DE15F" w14:textId="77777777" w:rsidR="004D104D" w:rsidRPr="00ED77FB" w:rsidRDefault="004D104D" w:rsidP="008B60B2">
      <w:pPr>
        <w:spacing w:after="60"/>
        <w:rPr>
          <w:sz w:val="17"/>
          <w:szCs w:val="17"/>
        </w:rPr>
      </w:pPr>
      <w:r w:rsidRPr="00ED77FB">
        <w:rPr>
          <w:sz w:val="17"/>
          <w:szCs w:val="17"/>
        </w:rPr>
        <w:t>[Footnote continued from previous page]</w:t>
      </w:r>
    </w:p>
  </w:footnote>
  <w:footnote w:type="continuationNotice" w:id="1">
    <w:p w14:paraId="2E3C0A10" w14:textId="77777777" w:rsidR="004D104D" w:rsidRPr="00ED77FB" w:rsidRDefault="004D104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5EC4DA7" w14:textId="77777777" w:rsidR="00AB7D9E" w:rsidRPr="004C17EE" w:rsidRDefault="00AB7D9E" w:rsidP="00AB7D9E">
      <w:pPr>
        <w:pStyle w:val="FootnoteText"/>
        <w:rPr>
          <w:szCs w:val="18"/>
        </w:rPr>
      </w:pPr>
      <w:r w:rsidRPr="004C17EE">
        <w:rPr>
          <w:rStyle w:val="FootnoteReference"/>
          <w:szCs w:val="18"/>
        </w:rPr>
        <w:footnoteRef/>
      </w:r>
      <w:r w:rsidRPr="004C17EE">
        <w:rPr>
          <w:szCs w:val="18"/>
        </w:rPr>
        <w:t xml:space="preserve"> Core issues include, as applicable</w:t>
      </w:r>
      <w:r w:rsidRPr="003C3238">
        <w:rPr>
          <w:i/>
          <w:iCs/>
          <w:szCs w:val="18"/>
        </w:rPr>
        <w:t>, inter alia</w:t>
      </w:r>
      <w:r w:rsidRPr="004C17EE">
        <w:rPr>
          <w:szCs w:val="18"/>
        </w:rPr>
        <w:t>,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14:paraId="656BF18F" w14:textId="77777777" w:rsidR="00AB7D9E" w:rsidRPr="004C17EE" w:rsidRDefault="00AB7D9E" w:rsidP="00AB7D9E">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 xml:space="preserve">expert group(s) will have a balanced regional </w:t>
      </w:r>
      <w:r>
        <w:rPr>
          <w:sz w:val="18"/>
          <w:szCs w:val="18"/>
        </w:rPr>
        <w:t xml:space="preserve">and gender </w:t>
      </w:r>
      <w:r w:rsidRPr="004C17EE">
        <w:rPr>
          <w:sz w:val="18"/>
          <w:szCs w:val="18"/>
        </w:rPr>
        <w:t>representation and use an efficient working methodology.</w:t>
      </w:r>
      <w:r>
        <w:rPr>
          <w:sz w:val="18"/>
          <w:szCs w:val="18"/>
        </w:rPr>
        <w:t xml:space="preserve">  Accredited representatives of Indigenous Peoples as well as local communities will be invited to participate, in line with past practice of the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2F92" w14:textId="6A4FD7EE" w:rsidR="00EC4E49" w:rsidRDefault="003C515A" w:rsidP="00477D6B">
    <w:pPr>
      <w:jc w:val="right"/>
    </w:pPr>
    <w:bookmarkStart w:id="5" w:name="Code2"/>
    <w:bookmarkEnd w:id="5"/>
    <w:r>
      <w:t>WO/GA/58/8</w:t>
    </w:r>
  </w:p>
  <w:p w14:paraId="7F07B8D2" w14:textId="77777777" w:rsidR="00EC4E49" w:rsidRDefault="00EC4E49" w:rsidP="00A1549B">
    <w:pPr>
      <w:spacing w:after="48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9"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558444268">
    <w:abstractNumId w:val="5"/>
  </w:num>
  <w:num w:numId="8" w16cid:durableId="635336712">
    <w:abstractNumId w:val="9"/>
  </w:num>
  <w:num w:numId="9" w16cid:durableId="1098981886">
    <w:abstractNumId w:val="7"/>
  </w:num>
  <w:num w:numId="10" w16cid:durableId="1107432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5A"/>
    <w:rsid w:val="0001647B"/>
    <w:rsid w:val="00034C1E"/>
    <w:rsid w:val="0003594E"/>
    <w:rsid w:val="00043CAA"/>
    <w:rsid w:val="00075432"/>
    <w:rsid w:val="000968ED"/>
    <w:rsid w:val="000B19B4"/>
    <w:rsid w:val="000B75C5"/>
    <w:rsid w:val="000F2519"/>
    <w:rsid w:val="000F53EE"/>
    <w:rsid w:val="000F5E56"/>
    <w:rsid w:val="001024FE"/>
    <w:rsid w:val="001362EE"/>
    <w:rsid w:val="00142868"/>
    <w:rsid w:val="001832A6"/>
    <w:rsid w:val="001C6808"/>
    <w:rsid w:val="001F4369"/>
    <w:rsid w:val="001F6342"/>
    <w:rsid w:val="00210249"/>
    <w:rsid w:val="002121FA"/>
    <w:rsid w:val="00233292"/>
    <w:rsid w:val="002475EB"/>
    <w:rsid w:val="002634C4"/>
    <w:rsid w:val="0029272F"/>
    <w:rsid w:val="002928D3"/>
    <w:rsid w:val="002F1FE6"/>
    <w:rsid w:val="002F4E68"/>
    <w:rsid w:val="0030499F"/>
    <w:rsid w:val="00312F7F"/>
    <w:rsid w:val="003228B7"/>
    <w:rsid w:val="00341EC9"/>
    <w:rsid w:val="003508A3"/>
    <w:rsid w:val="00360D7F"/>
    <w:rsid w:val="003673CF"/>
    <w:rsid w:val="003845C1"/>
    <w:rsid w:val="003A6F89"/>
    <w:rsid w:val="003B38C1"/>
    <w:rsid w:val="003C3238"/>
    <w:rsid w:val="003C515A"/>
    <w:rsid w:val="003E3392"/>
    <w:rsid w:val="00423E3E"/>
    <w:rsid w:val="00427AF4"/>
    <w:rsid w:val="004400E2"/>
    <w:rsid w:val="00444F1D"/>
    <w:rsid w:val="00461632"/>
    <w:rsid w:val="004647DA"/>
    <w:rsid w:val="0047368E"/>
    <w:rsid w:val="00474062"/>
    <w:rsid w:val="00477D6B"/>
    <w:rsid w:val="004D104D"/>
    <w:rsid w:val="004D39C4"/>
    <w:rsid w:val="004D4599"/>
    <w:rsid w:val="004D5B8E"/>
    <w:rsid w:val="00503ACE"/>
    <w:rsid w:val="00516F7B"/>
    <w:rsid w:val="005207B1"/>
    <w:rsid w:val="00522106"/>
    <w:rsid w:val="005226D6"/>
    <w:rsid w:val="0053057A"/>
    <w:rsid w:val="00534034"/>
    <w:rsid w:val="00560A29"/>
    <w:rsid w:val="00594D27"/>
    <w:rsid w:val="005A5CD6"/>
    <w:rsid w:val="005F56BD"/>
    <w:rsid w:val="00601760"/>
    <w:rsid w:val="00605827"/>
    <w:rsid w:val="00606D2E"/>
    <w:rsid w:val="0062702A"/>
    <w:rsid w:val="00632CCA"/>
    <w:rsid w:val="00646050"/>
    <w:rsid w:val="006713CA"/>
    <w:rsid w:val="00676C5C"/>
    <w:rsid w:val="0068742F"/>
    <w:rsid w:val="00695558"/>
    <w:rsid w:val="006A61AD"/>
    <w:rsid w:val="006C0B5B"/>
    <w:rsid w:val="006D54D3"/>
    <w:rsid w:val="006D5E0F"/>
    <w:rsid w:val="007058FB"/>
    <w:rsid w:val="0072729A"/>
    <w:rsid w:val="00731E9C"/>
    <w:rsid w:val="007607E8"/>
    <w:rsid w:val="0076768D"/>
    <w:rsid w:val="007734F9"/>
    <w:rsid w:val="007B6A58"/>
    <w:rsid w:val="007D1613"/>
    <w:rsid w:val="007E1ECD"/>
    <w:rsid w:val="00801759"/>
    <w:rsid w:val="0081385F"/>
    <w:rsid w:val="00833844"/>
    <w:rsid w:val="00850A9B"/>
    <w:rsid w:val="00873EE5"/>
    <w:rsid w:val="008B2CC1"/>
    <w:rsid w:val="008B4B5E"/>
    <w:rsid w:val="008B60B2"/>
    <w:rsid w:val="008C1BF8"/>
    <w:rsid w:val="008E7246"/>
    <w:rsid w:val="008E77F2"/>
    <w:rsid w:val="008F0C72"/>
    <w:rsid w:val="008F53F5"/>
    <w:rsid w:val="0090731E"/>
    <w:rsid w:val="00916EE2"/>
    <w:rsid w:val="00945764"/>
    <w:rsid w:val="00946551"/>
    <w:rsid w:val="00966A22"/>
    <w:rsid w:val="0096722F"/>
    <w:rsid w:val="00980843"/>
    <w:rsid w:val="009D0DD1"/>
    <w:rsid w:val="009D1118"/>
    <w:rsid w:val="009E02BF"/>
    <w:rsid w:val="009E2791"/>
    <w:rsid w:val="009E3F6F"/>
    <w:rsid w:val="009F3BF9"/>
    <w:rsid w:val="009F499F"/>
    <w:rsid w:val="00A1549B"/>
    <w:rsid w:val="00A15628"/>
    <w:rsid w:val="00A27783"/>
    <w:rsid w:val="00A42DAF"/>
    <w:rsid w:val="00A44751"/>
    <w:rsid w:val="00A45BD8"/>
    <w:rsid w:val="00A77470"/>
    <w:rsid w:val="00A778BF"/>
    <w:rsid w:val="00A85B8E"/>
    <w:rsid w:val="00A9118D"/>
    <w:rsid w:val="00A95B60"/>
    <w:rsid w:val="00AB7D9E"/>
    <w:rsid w:val="00AC1C73"/>
    <w:rsid w:val="00AC205C"/>
    <w:rsid w:val="00AF5C73"/>
    <w:rsid w:val="00B05A69"/>
    <w:rsid w:val="00B14938"/>
    <w:rsid w:val="00B22258"/>
    <w:rsid w:val="00B40598"/>
    <w:rsid w:val="00B50B99"/>
    <w:rsid w:val="00B57AEC"/>
    <w:rsid w:val="00B62C3B"/>
    <w:rsid w:val="00B62CD9"/>
    <w:rsid w:val="00B717B6"/>
    <w:rsid w:val="00B72F12"/>
    <w:rsid w:val="00B877A8"/>
    <w:rsid w:val="00B9734B"/>
    <w:rsid w:val="00BC47DE"/>
    <w:rsid w:val="00BC780D"/>
    <w:rsid w:val="00BD64F4"/>
    <w:rsid w:val="00BF6302"/>
    <w:rsid w:val="00C11BFE"/>
    <w:rsid w:val="00C342A4"/>
    <w:rsid w:val="00C43EDE"/>
    <w:rsid w:val="00C448BC"/>
    <w:rsid w:val="00C52E09"/>
    <w:rsid w:val="00C94629"/>
    <w:rsid w:val="00CC5400"/>
    <w:rsid w:val="00CD0329"/>
    <w:rsid w:val="00CE65D4"/>
    <w:rsid w:val="00D45252"/>
    <w:rsid w:val="00D71B4D"/>
    <w:rsid w:val="00D93D55"/>
    <w:rsid w:val="00D9499D"/>
    <w:rsid w:val="00DF5340"/>
    <w:rsid w:val="00E15CED"/>
    <w:rsid w:val="00E161A2"/>
    <w:rsid w:val="00E241A5"/>
    <w:rsid w:val="00E24E25"/>
    <w:rsid w:val="00E335FE"/>
    <w:rsid w:val="00E43ED4"/>
    <w:rsid w:val="00E5021F"/>
    <w:rsid w:val="00E671A6"/>
    <w:rsid w:val="00EC4E49"/>
    <w:rsid w:val="00EC6FA6"/>
    <w:rsid w:val="00ED77FB"/>
    <w:rsid w:val="00F021A6"/>
    <w:rsid w:val="00F11D94"/>
    <w:rsid w:val="00F45B69"/>
    <w:rsid w:val="00F560CA"/>
    <w:rsid w:val="00F65DC4"/>
    <w:rsid w:val="00F66152"/>
    <w:rsid w:val="00F66167"/>
    <w:rsid w:val="00F76598"/>
    <w:rsid w:val="00F834F8"/>
    <w:rsid w:val="00F92C48"/>
    <w:rsid w:val="00FC4A83"/>
    <w:rsid w:val="00FD600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2511B"/>
  <w15:docId w15:val="{25FBF9A2-1240-46C2-974B-D022D125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3C515A"/>
    <w:rPr>
      <w:rFonts w:ascii="Arial" w:eastAsia="SimSun" w:hAnsi="Arial" w:cs="Arial"/>
      <w:bCs/>
      <w:iCs/>
      <w:caps/>
      <w:sz w:val="22"/>
      <w:szCs w:val="28"/>
      <w:lang w:val="en-US" w:eastAsia="zh-CN"/>
    </w:rPr>
  </w:style>
  <w:style w:type="character" w:customStyle="1" w:styleId="Heading1Char">
    <w:name w:val="Heading 1 Char"/>
    <w:basedOn w:val="DefaultParagraphFont"/>
    <w:link w:val="Heading1"/>
    <w:uiPriority w:val="9"/>
    <w:rsid w:val="00AB7D9E"/>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rsid w:val="00AB7D9E"/>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B7D9E"/>
    <w:rPr>
      <w:vertAlign w:val="superscript"/>
    </w:rPr>
  </w:style>
  <w:style w:type="paragraph" w:customStyle="1" w:styleId="footnotedescription">
    <w:name w:val="footnote description"/>
    <w:next w:val="Normal"/>
    <w:link w:val="footnotedescriptionChar"/>
    <w:hidden/>
    <w:rsid w:val="00AB7D9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B7D9E"/>
    <w:rPr>
      <w:rFonts w:ascii="Arial" w:eastAsia="Arial" w:hAnsi="Arial" w:cs="Arial"/>
      <w:color w:val="000000"/>
      <w:szCs w:val="22"/>
      <w:lang w:val="en-AU" w:eastAsia="en-AU"/>
    </w:rPr>
  </w:style>
  <w:style w:type="character" w:customStyle="1" w:styleId="footnotemark">
    <w:name w:val="footnote mark"/>
    <w:hidden/>
    <w:rsid w:val="00AB7D9E"/>
    <w:rPr>
      <w:rFonts w:ascii="Arial" w:eastAsia="Arial" w:hAnsi="Arial" w:cs="Arial"/>
      <w:color w:val="000000"/>
      <w:sz w:val="20"/>
      <w:vertAlign w:val="superscript"/>
    </w:rPr>
  </w:style>
  <w:style w:type="paragraph" w:customStyle="1" w:styleId="TableParagraph">
    <w:name w:val="Table Paragraph"/>
    <w:basedOn w:val="Normal"/>
    <w:uiPriority w:val="1"/>
    <w:qFormat/>
    <w:rsid w:val="00AB7D9E"/>
    <w:pPr>
      <w:widowControl w:val="0"/>
      <w:autoSpaceDE w:val="0"/>
      <w:autoSpaceDN w:val="0"/>
      <w:ind w:left="108"/>
    </w:pPr>
    <w:rPr>
      <w:rFonts w:ascii="Arial MT" w:eastAsia="Arial MT" w:hAnsi="Arial MT" w:cs="Arial MT"/>
      <w:szCs w:val="22"/>
      <w:lang w:eastAsia="en-US"/>
    </w:rPr>
  </w:style>
  <w:style w:type="character" w:customStyle="1" w:styleId="BodyTextChar">
    <w:name w:val="Body Text Char"/>
    <w:basedOn w:val="DefaultParagraphFont"/>
    <w:link w:val="BodyText"/>
    <w:rsid w:val="00AB7D9E"/>
    <w:rPr>
      <w:rFonts w:ascii="Arial" w:eastAsia="SimSun" w:hAnsi="Arial" w:cs="Arial"/>
      <w:sz w:val="22"/>
      <w:lang w:val="en-US" w:eastAsia="zh-CN"/>
    </w:rPr>
  </w:style>
  <w:style w:type="paragraph" w:styleId="ListParagraph">
    <w:name w:val="List Paragraph"/>
    <w:basedOn w:val="Normal"/>
    <w:uiPriority w:val="34"/>
    <w:qFormat/>
    <w:rsid w:val="00AB7D9E"/>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833844"/>
    <w:rPr>
      <w:color w:val="0000FF" w:themeColor="hyperlink"/>
      <w:u w:val="single"/>
    </w:rPr>
  </w:style>
  <w:style w:type="character" w:styleId="UnresolvedMention">
    <w:name w:val="Unresolved Mention"/>
    <w:basedOn w:val="DefaultParagraphFont"/>
    <w:uiPriority w:val="99"/>
    <w:semiHidden/>
    <w:unhideWhenUsed/>
    <w:rsid w:val="00833844"/>
    <w:rPr>
      <w:color w:val="605E5C"/>
      <w:shd w:val="clear" w:color="auto" w:fill="E1DFDD"/>
    </w:rPr>
  </w:style>
  <w:style w:type="table" w:styleId="TableGrid">
    <w:name w:val="Table Grid"/>
    <w:basedOn w:val="TableNormal"/>
    <w:rsid w:val="005226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4938"/>
    <w:rPr>
      <w:rFonts w:ascii="Arial" w:eastAsia="SimSun" w:hAnsi="Arial" w:cs="Arial"/>
      <w:sz w:val="22"/>
      <w:lang w:val="en-US" w:eastAsia="zh-CN"/>
    </w:rPr>
  </w:style>
  <w:style w:type="character" w:styleId="CommentReference">
    <w:name w:val="annotation reference"/>
    <w:basedOn w:val="DefaultParagraphFont"/>
    <w:semiHidden/>
    <w:unhideWhenUsed/>
    <w:rsid w:val="00233292"/>
    <w:rPr>
      <w:sz w:val="16"/>
      <w:szCs w:val="16"/>
    </w:rPr>
  </w:style>
  <w:style w:type="paragraph" w:styleId="CommentSubject">
    <w:name w:val="annotation subject"/>
    <w:basedOn w:val="CommentText"/>
    <w:next w:val="CommentText"/>
    <w:link w:val="CommentSubjectChar"/>
    <w:semiHidden/>
    <w:unhideWhenUsed/>
    <w:rsid w:val="00233292"/>
    <w:rPr>
      <w:b/>
      <w:bCs/>
      <w:sz w:val="20"/>
    </w:rPr>
  </w:style>
  <w:style w:type="character" w:customStyle="1" w:styleId="CommentTextChar">
    <w:name w:val="Comment Text Char"/>
    <w:basedOn w:val="DefaultParagraphFont"/>
    <w:link w:val="CommentText"/>
    <w:semiHidden/>
    <w:rsid w:val="002332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3292"/>
    <w:rPr>
      <w:rFonts w:ascii="Arial" w:eastAsia="SimSun" w:hAnsi="Arial" w:cs="Arial"/>
      <w:b/>
      <w:bCs/>
      <w:sz w:val="18"/>
      <w:lang w:val="en-US" w:eastAsia="zh-CN"/>
    </w:rPr>
  </w:style>
  <w:style w:type="character" w:styleId="FollowedHyperlink">
    <w:name w:val="FollowedHyperlink"/>
    <w:basedOn w:val="DefaultParagraphFont"/>
    <w:semiHidden/>
    <w:unhideWhenUsed/>
    <w:rsid w:val="000F5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en/doc_details.jsp?doc_id=64573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treaties/en/ip/grat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en/doc_details.jsp?doc_id=6457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2.xml><?xml version="1.0" encoding="utf-8"?>
<ds:datastoreItem xmlns:ds="http://schemas.openxmlformats.org/officeDocument/2006/customXml" ds:itemID="{735F9D62-BA52-4576-A242-16B410B65F39}">
  <ds:schemaRefs>
    <ds:schemaRef ds:uri="http://schemas.microsoft.com/office/2006/metadata/properties"/>
    <ds:schemaRef ds:uri="http://schemas.microsoft.com/office/2006/documentManagement/types"/>
    <ds:schemaRef ds:uri="781c9f64-295c-457e-9e5f-c4eb841d6909"/>
    <ds:schemaRef ds:uri="http://schemas.microsoft.com/office/infopath/2007/PartnerControls"/>
    <ds:schemaRef ds:uri="b1a73aef-ce8f-442d-a5fc-a13bc475f3fd"/>
    <ds:schemaRef ds:uri="http://www.w3.org/XML/1998/namespace"/>
    <ds:schemaRef ds:uri="http://purl.org/dc/elements/1.1/"/>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4.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(E).dotm</Template>
  <TotalTime>2</TotalTime>
  <Pages>6</Pages>
  <Words>2297</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WO/GA/58/8</vt:lpstr>
    </vt:vector>
  </TitlesOfParts>
  <Company>WIPO</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WO/GA/58/8</dc:title>
  <dc:creator>WIPO</dc:creator>
  <cp:keywords>FOR OFFICIAL USE ONLY</cp:keywords>
  <cp:lastModifiedBy>RUSSO Antonella</cp:lastModifiedBy>
  <cp:revision>4</cp:revision>
  <cp:lastPrinted>2025-06-17T13:16:00Z</cp:lastPrinted>
  <dcterms:created xsi:type="dcterms:W3CDTF">2025-06-17T10:09:00Z</dcterms:created>
  <dcterms:modified xsi:type="dcterms:W3CDTF">2025-06-17T13:16:00Z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