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49D5" w14:textId="77777777" w:rsidR="008B2CC1" w:rsidRPr="008B2CC1" w:rsidRDefault="00873EE5" w:rsidP="00F11D94">
      <w:pPr>
        <w:spacing w:after="120"/>
        <w:jc w:val="right"/>
      </w:pPr>
      <w:r>
        <w:rPr>
          <w:noProof/>
          <w:sz w:val="28"/>
          <w:szCs w:val="28"/>
          <w:lang w:val="fr-CH" w:eastAsia="fr-CH"/>
        </w:rPr>
        <w:drawing>
          <wp:inline distT="0" distB="0" distL="0" distR="0" wp14:anchorId="3DC06EA8" wp14:editId="1A61F90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3B9C2F48" wp14:editId="71CEA28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0359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ED4498" w14:textId="54FD701E"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CC5400">
        <w:rPr>
          <w:rFonts w:ascii="Arial Black" w:hAnsi="Arial Black"/>
          <w:caps/>
          <w:sz w:val="15"/>
          <w:szCs w:val="15"/>
        </w:rPr>
        <w:t>8</w:t>
      </w:r>
      <w:r>
        <w:rPr>
          <w:rFonts w:ascii="Arial Black" w:hAnsi="Arial Black"/>
          <w:caps/>
          <w:sz w:val="15"/>
          <w:szCs w:val="15"/>
        </w:rPr>
        <w:t>/</w:t>
      </w:r>
      <w:bookmarkStart w:id="0" w:name="Code"/>
      <w:bookmarkEnd w:id="0"/>
      <w:r w:rsidR="00A63A79">
        <w:rPr>
          <w:rFonts w:ascii="Arial Black" w:hAnsi="Arial Black"/>
          <w:caps/>
          <w:sz w:val="15"/>
          <w:szCs w:val="15"/>
        </w:rPr>
        <w:t>7</w:t>
      </w:r>
    </w:p>
    <w:p w14:paraId="1E6D81B8" w14:textId="10FED30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A63A79">
        <w:rPr>
          <w:rFonts w:ascii="Arial Black" w:hAnsi="Arial Black"/>
          <w:caps/>
          <w:sz w:val="15"/>
          <w:szCs w:val="15"/>
        </w:rPr>
        <w:t xml:space="preserve"> </w:t>
      </w:r>
      <w:r w:rsidR="00A247F6">
        <w:rPr>
          <w:rFonts w:ascii="Arial Black" w:hAnsi="Arial Black"/>
          <w:caps/>
          <w:sz w:val="15"/>
          <w:szCs w:val="15"/>
        </w:rPr>
        <w:t xml:space="preserve"> </w:t>
      </w:r>
      <w:r w:rsidR="00A63A79">
        <w:rPr>
          <w:rFonts w:ascii="Arial Black" w:hAnsi="Arial Black"/>
          <w:caps/>
          <w:sz w:val="15"/>
          <w:szCs w:val="15"/>
        </w:rPr>
        <w:t>ENGLISH</w:t>
      </w:r>
    </w:p>
    <w:bookmarkEnd w:id="1"/>
    <w:p w14:paraId="6A16251E" w14:textId="5FE9E53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247F6">
        <w:rPr>
          <w:rFonts w:ascii="Arial Black" w:hAnsi="Arial Black"/>
          <w:caps/>
          <w:sz w:val="15"/>
          <w:szCs w:val="15"/>
        </w:rPr>
        <w:t xml:space="preserve"> </w:t>
      </w:r>
      <w:r w:rsidR="007564C2">
        <w:rPr>
          <w:rFonts w:ascii="Arial Black" w:hAnsi="Arial Black"/>
          <w:caps/>
          <w:sz w:val="15"/>
          <w:szCs w:val="15"/>
        </w:rPr>
        <w:t xml:space="preserve">MAY </w:t>
      </w:r>
      <w:r w:rsidR="0074245B">
        <w:rPr>
          <w:rFonts w:ascii="Arial Black" w:hAnsi="Arial Black"/>
          <w:caps/>
          <w:sz w:val="15"/>
          <w:szCs w:val="15"/>
        </w:rPr>
        <w:t>2</w:t>
      </w:r>
      <w:r w:rsidR="007323BD">
        <w:rPr>
          <w:rFonts w:ascii="Arial Black" w:hAnsi="Arial Black"/>
          <w:caps/>
          <w:sz w:val="15"/>
          <w:szCs w:val="15"/>
        </w:rPr>
        <w:t>7</w:t>
      </w:r>
      <w:r w:rsidR="007564C2">
        <w:rPr>
          <w:rFonts w:ascii="Arial Black" w:hAnsi="Arial Black"/>
          <w:caps/>
          <w:sz w:val="15"/>
          <w:szCs w:val="15"/>
        </w:rPr>
        <w:t>, 2025</w:t>
      </w:r>
    </w:p>
    <w:bookmarkEnd w:id="2"/>
    <w:p w14:paraId="6E9ACF5B" w14:textId="77777777" w:rsidR="008B2CC1" w:rsidRPr="003845C1" w:rsidRDefault="00A9118D" w:rsidP="00CE65D4">
      <w:pPr>
        <w:spacing w:after="600"/>
        <w:rPr>
          <w:b/>
          <w:sz w:val="28"/>
          <w:szCs w:val="28"/>
        </w:rPr>
      </w:pPr>
      <w:r w:rsidRPr="00A9118D">
        <w:rPr>
          <w:b/>
          <w:sz w:val="28"/>
          <w:szCs w:val="28"/>
        </w:rPr>
        <w:t>WIPO General Assembly</w:t>
      </w:r>
    </w:p>
    <w:p w14:paraId="4411BFA2" w14:textId="77777777" w:rsidR="008B2CC1" w:rsidRPr="003845C1" w:rsidRDefault="00801759" w:rsidP="008B2CC1">
      <w:pPr>
        <w:rPr>
          <w:b/>
          <w:sz w:val="24"/>
          <w:szCs w:val="24"/>
        </w:rPr>
      </w:pPr>
      <w:r w:rsidRPr="00A9118D">
        <w:rPr>
          <w:b/>
          <w:sz w:val="24"/>
          <w:szCs w:val="24"/>
        </w:rPr>
        <w:t>Fifty-</w:t>
      </w:r>
      <w:r w:rsidR="00CC5400">
        <w:rPr>
          <w:b/>
          <w:sz w:val="24"/>
          <w:szCs w:val="24"/>
        </w:rPr>
        <w:t>Eight</w:t>
      </w:r>
      <w:r w:rsidR="00A77470">
        <w:rPr>
          <w:b/>
          <w:sz w:val="24"/>
          <w:szCs w:val="24"/>
        </w:rPr>
        <w:t>h</w:t>
      </w:r>
      <w:r w:rsidRPr="00A9118D">
        <w:rPr>
          <w:b/>
          <w:sz w:val="24"/>
          <w:szCs w:val="24"/>
        </w:rPr>
        <w:t xml:space="preserve"> (</w:t>
      </w:r>
      <w:r w:rsidR="00CC5400">
        <w:rPr>
          <w:b/>
          <w:sz w:val="24"/>
          <w:szCs w:val="24"/>
        </w:rPr>
        <w:t>27</w:t>
      </w:r>
      <w:r w:rsidRPr="00A154C3">
        <w:rPr>
          <w:b/>
          <w:sz w:val="24"/>
          <w:szCs w:val="24"/>
          <w:vertAlign w:val="superscript"/>
        </w:rPr>
        <w:t>t</w:t>
      </w:r>
      <w:r w:rsidR="00CC5400">
        <w:rPr>
          <w:b/>
          <w:sz w:val="24"/>
          <w:szCs w:val="24"/>
          <w:vertAlign w:val="superscript"/>
        </w:rPr>
        <w:t>h</w:t>
      </w:r>
      <w:r>
        <w:rPr>
          <w:b/>
          <w:sz w:val="24"/>
          <w:szCs w:val="24"/>
        </w:rPr>
        <w:t xml:space="preserve"> </w:t>
      </w:r>
      <w:r w:rsidR="00CC5400">
        <w:rPr>
          <w:b/>
          <w:sz w:val="24"/>
          <w:szCs w:val="24"/>
        </w:rPr>
        <w:t>O</w:t>
      </w:r>
      <w:r w:rsidRPr="00A9118D">
        <w:rPr>
          <w:b/>
          <w:sz w:val="24"/>
          <w:szCs w:val="24"/>
        </w:rPr>
        <w:t>rdinary</w:t>
      </w:r>
      <w:r w:rsidR="00A9118D" w:rsidRPr="00A9118D">
        <w:rPr>
          <w:b/>
          <w:sz w:val="24"/>
          <w:szCs w:val="24"/>
        </w:rPr>
        <w:t>) Session</w:t>
      </w:r>
    </w:p>
    <w:p w14:paraId="77F18124" w14:textId="77777777" w:rsidR="008B2CC1" w:rsidRDefault="00A9118D" w:rsidP="00CE65D4">
      <w:pPr>
        <w:spacing w:after="720"/>
        <w:rPr>
          <w:b/>
          <w:sz w:val="24"/>
          <w:szCs w:val="24"/>
        </w:rPr>
      </w:pPr>
      <w:r w:rsidRPr="00A9118D">
        <w:rPr>
          <w:b/>
          <w:sz w:val="24"/>
          <w:szCs w:val="24"/>
        </w:rPr>
        <w:t xml:space="preserve">Geneva, July </w:t>
      </w:r>
      <w:r w:rsidR="00CC5400">
        <w:rPr>
          <w:b/>
          <w:sz w:val="24"/>
          <w:szCs w:val="24"/>
        </w:rPr>
        <w:t>8</w:t>
      </w:r>
      <w:r w:rsidR="00801759" w:rsidRPr="00A9118D">
        <w:rPr>
          <w:b/>
          <w:sz w:val="24"/>
          <w:szCs w:val="24"/>
        </w:rPr>
        <w:t xml:space="preserve"> to </w:t>
      </w:r>
      <w:r w:rsidR="00801759">
        <w:rPr>
          <w:b/>
          <w:sz w:val="24"/>
          <w:szCs w:val="24"/>
        </w:rPr>
        <w:t>17, 202</w:t>
      </w:r>
      <w:r w:rsidR="00CC5400">
        <w:rPr>
          <w:b/>
          <w:sz w:val="24"/>
          <w:szCs w:val="24"/>
        </w:rPr>
        <w:t>5</w:t>
      </w:r>
    </w:p>
    <w:p w14:paraId="53C8EEFA" w14:textId="77777777" w:rsidR="00A63A79" w:rsidRPr="00E1410C" w:rsidRDefault="00A63A79" w:rsidP="00A63A79">
      <w:pPr>
        <w:pStyle w:val="Heading1"/>
        <w:spacing w:after="360"/>
        <w:rPr>
          <w:b w:val="0"/>
          <w:bCs w:val="0"/>
          <w:sz w:val="24"/>
          <w:szCs w:val="24"/>
        </w:rPr>
      </w:pPr>
      <w:r w:rsidRPr="00E1410C">
        <w:rPr>
          <w:b w:val="0"/>
          <w:bCs w:val="0"/>
          <w:sz w:val="24"/>
          <w:szCs w:val="24"/>
        </w:rPr>
        <w:t>REPORT ON THE COMMITTEE ON DEVELOPMENT AND INTELLECTUAL PROPERTY (CDIP) AND REVIEW OF THE IMPLEMENTATION OF THE DEVELOPMENT AGENDA RECOMMENDATIONS</w:t>
      </w:r>
    </w:p>
    <w:p w14:paraId="5E84E23B" w14:textId="77777777" w:rsidR="00A63A79" w:rsidRDefault="00A63A79" w:rsidP="00A63A79">
      <w:pPr>
        <w:spacing w:after="960"/>
        <w:rPr>
          <w:i/>
        </w:rPr>
      </w:pPr>
      <w:r>
        <w:rPr>
          <w:i/>
        </w:rPr>
        <w:t>prepared by the Secretariat</w:t>
      </w:r>
    </w:p>
    <w:p w14:paraId="7B2CCDBD" w14:textId="22CB78C9" w:rsidR="007564C2" w:rsidRDefault="007564C2" w:rsidP="007564C2">
      <w:pPr>
        <w:pStyle w:val="ONUME"/>
        <w:rPr>
          <w:lang w:eastAsia="en-US"/>
        </w:rPr>
      </w:pPr>
      <w:r w:rsidRPr="00203B2F">
        <w:rPr>
          <w:lang w:eastAsia="en-US"/>
        </w:rPr>
        <w:t>The Committee on Development and Intellectual Property (CDIP) met twice since the</w:t>
      </w:r>
      <w:r>
        <w:rPr>
          <w:lang w:eastAsia="en-US"/>
        </w:rPr>
        <w:t xml:space="preserve"> </w:t>
      </w:r>
      <w:r w:rsidR="009B0F94">
        <w:rPr>
          <w:lang w:eastAsia="en-US"/>
        </w:rPr>
        <w:br/>
      </w:r>
      <w:r w:rsidRPr="00203B2F">
        <w:rPr>
          <w:lang w:eastAsia="en-US"/>
        </w:rPr>
        <w:t>fifty-s</w:t>
      </w:r>
      <w:r w:rsidR="009B0F94">
        <w:rPr>
          <w:lang w:eastAsia="en-US"/>
        </w:rPr>
        <w:t>eventh</w:t>
      </w:r>
      <w:r w:rsidRPr="00203B2F">
        <w:rPr>
          <w:lang w:eastAsia="en-US"/>
        </w:rPr>
        <w:t xml:space="preserve"> (</w:t>
      </w:r>
      <w:r w:rsidR="009B0F94">
        <w:rPr>
          <w:lang w:eastAsia="en-US"/>
        </w:rPr>
        <w:t>31</w:t>
      </w:r>
      <w:r w:rsidR="009B0F94" w:rsidRPr="009B0F94">
        <w:rPr>
          <w:vertAlign w:val="superscript"/>
          <w:lang w:eastAsia="en-US"/>
        </w:rPr>
        <w:t>st</w:t>
      </w:r>
      <w:r w:rsidR="009B0F94">
        <w:rPr>
          <w:lang w:eastAsia="en-US"/>
        </w:rPr>
        <w:t xml:space="preserve"> extra</w:t>
      </w:r>
      <w:r w:rsidRPr="00203B2F">
        <w:rPr>
          <w:lang w:eastAsia="en-US"/>
        </w:rPr>
        <w:t xml:space="preserve">ordinary) session of the World Intellectual Property Organization (WIPO) General Assembly, held from July </w:t>
      </w:r>
      <w:r w:rsidR="009B0F94">
        <w:rPr>
          <w:lang w:eastAsia="en-US"/>
        </w:rPr>
        <w:t>9</w:t>
      </w:r>
      <w:r w:rsidRPr="00203B2F">
        <w:rPr>
          <w:lang w:eastAsia="en-US"/>
        </w:rPr>
        <w:t xml:space="preserve"> to 1</w:t>
      </w:r>
      <w:r w:rsidR="009B0F94">
        <w:rPr>
          <w:lang w:eastAsia="en-US"/>
        </w:rPr>
        <w:t>7</w:t>
      </w:r>
      <w:r w:rsidRPr="00203B2F">
        <w:rPr>
          <w:lang w:eastAsia="en-US"/>
        </w:rPr>
        <w:t>, 202</w:t>
      </w:r>
      <w:r w:rsidR="009B0F94">
        <w:rPr>
          <w:lang w:eastAsia="en-US"/>
        </w:rPr>
        <w:t>4</w:t>
      </w:r>
      <w:r>
        <w:rPr>
          <w:lang w:eastAsia="en-US"/>
        </w:rPr>
        <w:t>.  T</w:t>
      </w:r>
      <w:r w:rsidRPr="00203B2F">
        <w:rPr>
          <w:lang w:eastAsia="en-US"/>
        </w:rPr>
        <w:t>he thirty-</w:t>
      </w:r>
      <w:r w:rsidR="009B0F94">
        <w:rPr>
          <w:lang w:eastAsia="en-US"/>
        </w:rPr>
        <w:t>third</w:t>
      </w:r>
      <w:r w:rsidRPr="00203B2F">
        <w:rPr>
          <w:lang w:eastAsia="en-US"/>
        </w:rPr>
        <w:t xml:space="preserve"> session </w:t>
      </w:r>
      <w:r>
        <w:rPr>
          <w:lang w:eastAsia="en-US"/>
        </w:rPr>
        <w:t xml:space="preserve">of the CDIP was </w:t>
      </w:r>
      <w:r w:rsidRPr="00203B2F">
        <w:rPr>
          <w:lang w:eastAsia="en-US"/>
        </w:rPr>
        <w:t>held</w:t>
      </w:r>
      <w:r>
        <w:rPr>
          <w:lang w:eastAsia="en-US"/>
        </w:rPr>
        <w:t> </w:t>
      </w:r>
      <w:r w:rsidRPr="00203B2F">
        <w:rPr>
          <w:lang w:eastAsia="en-US"/>
        </w:rPr>
        <w:t xml:space="preserve">from </w:t>
      </w:r>
      <w:r w:rsidR="009B0F94">
        <w:rPr>
          <w:lang w:eastAsia="en-US"/>
        </w:rPr>
        <w:t>December 9 to 13, 2024</w:t>
      </w:r>
      <w:r w:rsidRPr="00203B2F">
        <w:rPr>
          <w:lang w:eastAsia="en-US"/>
        </w:rPr>
        <w:t xml:space="preserve">, and </w:t>
      </w:r>
      <w:r>
        <w:rPr>
          <w:lang w:eastAsia="en-US"/>
        </w:rPr>
        <w:t xml:space="preserve">the </w:t>
      </w:r>
      <w:r w:rsidRPr="00203B2F">
        <w:rPr>
          <w:lang w:eastAsia="en-US"/>
        </w:rPr>
        <w:t>thirty-</w:t>
      </w:r>
      <w:r w:rsidR="009B0F94">
        <w:rPr>
          <w:lang w:eastAsia="en-US"/>
        </w:rPr>
        <w:t>fourth</w:t>
      </w:r>
      <w:r>
        <w:rPr>
          <w:lang w:eastAsia="en-US"/>
        </w:rPr>
        <w:t xml:space="preserve"> </w:t>
      </w:r>
      <w:r w:rsidRPr="00203B2F">
        <w:rPr>
          <w:lang w:eastAsia="en-US"/>
        </w:rPr>
        <w:t>session</w:t>
      </w:r>
      <w:r>
        <w:rPr>
          <w:lang w:eastAsia="en-US"/>
        </w:rPr>
        <w:t xml:space="preserve"> of the CDIP</w:t>
      </w:r>
      <w:r w:rsidRPr="00203B2F">
        <w:rPr>
          <w:lang w:eastAsia="en-US"/>
        </w:rPr>
        <w:t xml:space="preserve"> </w:t>
      </w:r>
      <w:r>
        <w:rPr>
          <w:lang w:eastAsia="en-US"/>
        </w:rPr>
        <w:t xml:space="preserve">was </w:t>
      </w:r>
      <w:r w:rsidRPr="00203B2F">
        <w:rPr>
          <w:lang w:eastAsia="en-US"/>
        </w:rPr>
        <w:t>held from</w:t>
      </w:r>
      <w:r>
        <w:rPr>
          <w:lang w:eastAsia="en-US"/>
        </w:rPr>
        <w:t xml:space="preserve"> </w:t>
      </w:r>
      <w:r w:rsidR="00E913BB">
        <w:rPr>
          <w:lang w:eastAsia="en-US"/>
        </w:rPr>
        <w:br/>
        <w:t>May 5 to 9, 2025</w:t>
      </w:r>
      <w:r>
        <w:rPr>
          <w:lang w:eastAsia="en-US"/>
        </w:rPr>
        <w:t>.  Both were held in hybrid format.</w:t>
      </w:r>
    </w:p>
    <w:p w14:paraId="00DDB58A" w14:textId="6234F3E6" w:rsidR="007564C2" w:rsidRDefault="007564C2" w:rsidP="007564C2">
      <w:pPr>
        <w:pStyle w:val="ONUME"/>
        <w:rPr>
          <w:lang w:eastAsia="en-US"/>
        </w:rPr>
      </w:pPr>
      <w:r>
        <w:rPr>
          <w:lang w:eastAsia="en-US"/>
        </w:rPr>
        <w:t>The CDIP decided that the summaries by the Chair of the thirty-</w:t>
      </w:r>
      <w:r w:rsidR="00E913BB">
        <w:rPr>
          <w:lang w:eastAsia="en-US"/>
        </w:rPr>
        <w:t>third</w:t>
      </w:r>
      <w:r>
        <w:rPr>
          <w:lang w:eastAsia="en-US"/>
        </w:rPr>
        <w:t xml:space="preserve"> and</w:t>
      </w:r>
      <w:r w:rsidR="0028002A">
        <w:rPr>
          <w:lang w:eastAsia="en-US"/>
        </w:rPr>
        <w:t xml:space="preserve"> </w:t>
      </w:r>
      <w:r>
        <w:rPr>
          <w:lang w:eastAsia="en-US"/>
        </w:rPr>
        <w:t>thirty-</w:t>
      </w:r>
      <w:r w:rsidR="00E913BB">
        <w:rPr>
          <w:lang w:eastAsia="en-US"/>
        </w:rPr>
        <w:t>fourth</w:t>
      </w:r>
      <w:r>
        <w:rPr>
          <w:lang w:eastAsia="en-US"/>
        </w:rPr>
        <w:t xml:space="preserve"> sessions, together with the Director General’s Report on the Implementation of the Development Agenda, </w:t>
      </w:r>
      <w:r w:rsidRPr="0092462E">
        <w:t xml:space="preserve">will </w:t>
      </w:r>
      <w:r w:rsidRPr="0092462E">
        <w:rPr>
          <w:lang w:eastAsia="en-US"/>
        </w:rPr>
        <w:t xml:space="preserve">constitute the Committee’s report to the </w:t>
      </w:r>
      <w:r>
        <w:rPr>
          <w:lang w:eastAsia="en-US"/>
        </w:rPr>
        <w:t xml:space="preserve">WIPO </w:t>
      </w:r>
      <w:r w:rsidRPr="0092462E">
        <w:rPr>
          <w:lang w:eastAsia="en-US"/>
        </w:rPr>
        <w:t>General Assembly</w:t>
      </w:r>
      <w:r>
        <w:rPr>
          <w:lang w:eastAsia="en-US"/>
        </w:rPr>
        <w:t>.</w:t>
      </w:r>
    </w:p>
    <w:p w14:paraId="548A1592" w14:textId="77777777" w:rsidR="007564C2" w:rsidRDefault="007564C2" w:rsidP="007564C2">
      <w:pPr>
        <w:pStyle w:val="ONUME"/>
        <w:rPr>
          <w:lang w:eastAsia="en-US"/>
        </w:rPr>
      </w:pPr>
      <w:r>
        <w:rPr>
          <w:lang w:eastAsia="en-US"/>
        </w:rPr>
        <w:t>Accordingly, the present document contains the said summaries and report.</w:t>
      </w:r>
    </w:p>
    <w:p w14:paraId="506A62D9" w14:textId="7B70C0C7" w:rsidR="007564C2" w:rsidRDefault="007564C2" w:rsidP="00F86682">
      <w:pPr>
        <w:pStyle w:val="ONUME"/>
        <w:spacing w:after="360"/>
        <w:ind w:left="5533"/>
      </w:pPr>
      <w:r w:rsidRPr="002E3495">
        <w:rPr>
          <w:i/>
          <w:iCs/>
        </w:rPr>
        <w:t xml:space="preserve">The WIPO General Assembly is invited to take note of the “Report on the Committee on Development and Intellectual Property (CDIP) and Review </w:t>
      </w:r>
      <w:r w:rsidRPr="008540D9">
        <w:rPr>
          <w:i/>
          <w:iCs/>
        </w:rPr>
        <w:t>of the Implementation of the Development Agenda Recommendations” (document WO/GA/5</w:t>
      </w:r>
      <w:r w:rsidR="00E913BB">
        <w:rPr>
          <w:i/>
          <w:iCs/>
        </w:rPr>
        <w:t>8</w:t>
      </w:r>
      <w:r w:rsidRPr="008540D9">
        <w:rPr>
          <w:i/>
          <w:iCs/>
        </w:rPr>
        <w:t>/</w:t>
      </w:r>
      <w:r w:rsidR="00E913BB">
        <w:rPr>
          <w:i/>
          <w:iCs/>
        </w:rPr>
        <w:t>7</w:t>
      </w:r>
      <w:r w:rsidRPr="008540D9">
        <w:rPr>
          <w:i/>
          <w:iCs/>
        </w:rPr>
        <w:t>)</w:t>
      </w:r>
      <w:r w:rsidRPr="00A5378B">
        <w:t>.</w:t>
      </w:r>
    </w:p>
    <w:p w14:paraId="6132F6A4" w14:textId="67842536" w:rsidR="00257500" w:rsidRDefault="007564C2" w:rsidP="007564C2">
      <w:pPr>
        <w:spacing w:after="960"/>
        <w:ind w:left="5533"/>
      </w:pPr>
      <w:r>
        <w:t>[Summaries and document CDIP/3</w:t>
      </w:r>
      <w:r w:rsidR="00E913BB">
        <w:t>4</w:t>
      </w:r>
      <w:r w:rsidRPr="00EB232B">
        <w:t>/2</w:t>
      </w:r>
      <w:r>
        <w:t xml:space="preserve"> follow]</w:t>
      </w:r>
      <w:r w:rsidR="00257500">
        <w:br w:type="page"/>
      </w:r>
    </w:p>
    <w:p w14:paraId="0146B503" w14:textId="77777777" w:rsidR="00257500" w:rsidRDefault="00257500" w:rsidP="007564C2">
      <w:pPr>
        <w:spacing w:after="960"/>
        <w:ind w:left="5533"/>
        <w:rPr>
          <w:i/>
        </w:rPr>
        <w:sectPr w:rsidR="00257500" w:rsidSect="00A63A79">
          <w:headerReference w:type="default" r:id="rId12"/>
          <w:endnotePr>
            <w:numFmt w:val="decimal"/>
          </w:endnotePr>
          <w:pgSz w:w="11907" w:h="16840" w:code="9"/>
          <w:pgMar w:top="567" w:right="1134" w:bottom="1418" w:left="1418" w:header="510" w:footer="1021" w:gutter="0"/>
          <w:cols w:space="720"/>
          <w:titlePg/>
          <w:docGrid w:linePitch="299"/>
        </w:sectPr>
      </w:pPr>
    </w:p>
    <w:p w14:paraId="4BD2CA74" w14:textId="77777777" w:rsidR="00860CB8" w:rsidRPr="00A94862" w:rsidRDefault="00860CB8" w:rsidP="00A94862">
      <w:pPr>
        <w:pBdr>
          <w:bottom w:val="single" w:sz="4" w:space="11" w:color="auto"/>
        </w:pBdr>
        <w:spacing w:before="360" w:after="240"/>
        <w:jc w:val="right"/>
        <w:rPr>
          <w:b/>
          <w:sz w:val="32"/>
          <w:szCs w:val="40"/>
        </w:rPr>
      </w:pPr>
      <w:r w:rsidRPr="00A94862">
        <w:rPr>
          <w:noProof/>
          <w:sz w:val="28"/>
          <w:szCs w:val="28"/>
        </w:rPr>
        <w:lastRenderedPageBreak/>
        <w:drawing>
          <wp:inline distT="0" distB="0" distL="0" distR="0" wp14:anchorId="21C07F53" wp14:editId="70E14726">
            <wp:extent cx="3043149" cy="1308100"/>
            <wp:effectExtent l="0" t="0" r="5080" b="6350"/>
            <wp:docPr id="1026744318" name="Picture 1026744318"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0AD9E0D" w14:textId="77777777" w:rsidR="00860CB8" w:rsidRPr="00A94862" w:rsidRDefault="00860CB8" w:rsidP="00A94862">
      <w:pPr>
        <w:jc w:val="right"/>
        <w:rPr>
          <w:rFonts w:ascii="Arial Black" w:hAnsi="Arial Black"/>
          <w:caps/>
          <w:sz w:val="15"/>
          <w:szCs w:val="15"/>
        </w:rPr>
      </w:pPr>
      <w:r w:rsidRPr="00A94862">
        <w:rPr>
          <w:rFonts w:ascii="Arial Black" w:hAnsi="Arial Black"/>
          <w:caps/>
          <w:sz w:val="15"/>
          <w:szCs w:val="15"/>
        </w:rPr>
        <w:t>ORIGINAL:</w:t>
      </w:r>
      <w:r>
        <w:rPr>
          <w:rFonts w:ascii="Arial Black" w:hAnsi="Arial Black"/>
          <w:caps/>
          <w:sz w:val="15"/>
          <w:szCs w:val="15"/>
        </w:rPr>
        <w:t xml:space="preserve"> ENGLISH</w:t>
      </w:r>
    </w:p>
    <w:p w14:paraId="4F9557BA" w14:textId="77777777" w:rsidR="00860CB8" w:rsidRPr="00A94862" w:rsidRDefault="00860CB8" w:rsidP="00A94862">
      <w:pPr>
        <w:spacing w:after="1200"/>
        <w:jc w:val="right"/>
        <w:rPr>
          <w:rFonts w:ascii="Arial Black" w:hAnsi="Arial Black"/>
          <w:caps/>
          <w:sz w:val="15"/>
          <w:szCs w:val="15"/>
        </w:rPr>
      </w:pPr>
      <w:r w:rsidRPr="00A94862">
        <w:rPr>
          <w:rFonts w:ascii="Arial Black" w:hAnsi="Arial Black"/>
          <w:caps/>
          <w:sz w:val="15"/>
          <w:szCs w:val="15"/>
        </w:rPr>
        <w:t xml:space="preserve">DATE: </w:t>
      </w:r>
      <w:r>
        <w:rPr>
          <w:rFonts w:ascii="Arial Black" w:hAnsi="Arial Black"/>
          <w:caps/>
          <w:sz w:val="15"/>
          <w:szCs w:val="15"/>
        </w:rPr>
        <w:t>december 12, 2024</w:t>
      </w:r>
    </w:p>
    <w:p w14:paraId="2F534FEA" w14:textId="77777777" w:rsidR="00860CB8" w:rsidRPr="00A94862" w:rsidRDefault="00860CB8" w:rsidP="00A94862">
      <w:pPr>
        <w:keepNext/>
        <w:spacing w:after="600"/>
        <w:outlineLvl w:val="0"/>
        <w:rPr>
          <w:b/>
          <w:bCs/>
          <w:caps/>
          <w:kern w:val="32"/>
          <w:sz w:val="28"/>
          <w:szCs w:val="28"/>
        </w:rPr>
      </w:pPr>
      <w:r w:rsidRPr="00A94862">
        <w:rPr>
          <w:b/>
          <w:sz w:val="28"/>
          <w:szCs w:val="28"/>
        </w:rPr>
        <w:t>Committee on Development and Intellectual Property (CDIP)</w:t>
      </w:r>
    </w:p>
    <w:p w14:paraId="2A2D9994" w14:textId="77777777" w:rsidR="00860CB8" w:rsidRPr="00A94862" w:rsidRDefault="00860CB8" w:rsidP="00A94862">
      <w:pPr>
        <w:spacing w:after="720"/>
        <w:outlineLvl w:val="1"/>
        <w:rPr>
          <w:b/>
          <w:bCs/>
        </w:rPr>
      </w:pPr>
      <w:r w:rsidRPr="00A94862">
        <w:rPr>
          <w:b/>
        </w:rPr>
        <w:t>Thirty-Third Session</w:t>
      </w:r>
      <w:r w:rsidRPr="00A94862">
        <w:rPr>
          <w:b/>
        </w:rPr>
        <w:br/>
        <w:t>Geneva, December 9 to 1</w:t>
      </w:r>
      <w:r>
        <w:rPr>
          <w:b/>
        </w:rPr>
        <w:t>3</w:t>
      </w:r>
      <w:r w:rsidRPr="00A94862">
        <w:rPr>
          <w:b/>
          <w:bCs/>
        </w:rPr>
        <w:t>, 2024</w:t>
      </w:r>
    </w:p>
    <w:p w14:paraId="326986E0" w14:textId="284E93DB" w:rsidR="00860CB8" w:rsidRDefault="00860CB8" w:rsidP="006757DB">
      <w:pPr>
        <w:keepNext/>
        <w:spacing w:before="240" w:after="960"/>
        <w:outlineLvl w:val="1"/>
        <w:rPr>
          <w:bCs/>
          <w:iCs/>
          <w:caps/>
        </w:rPr>
      </w:pPr>
      <w:r>
        <w:rPr>
          <w:bCs/>
          <w:iCs/>
        </w:rPr>
        <w:t>SUMMARY BY THE CHAIR</w:t>
      </w:r>
    </w:p>
    <w:p w14:paraId="15681D7D" w14:textId="77777777" w:rsidR="00860CB8" w:rsidRPr="00A94862" w:rsidRDefault="00860CB8" w:rsidP="00CB5F42">
      <w:pPr>
        <w:numPr>
          <w:ilvl w:val="0"/>
          <w:numId w:val="8"/>
        </w:numPr>
        <w:spacing w:after="240"/>
        <w:ind w:left="0" w:firstLine="0"/>
        <w:rPr>
          <w:bCs/>
        </w:rPr>
      </w:pPr>
      <w:bookmarkStart w:id="4" w:name="_Hlk198051424"/>
      <w:r w:rsidRPr="00371651">
        <w:t xml:space="preserve">The </w:t>
      </w:r>
      <w:r w:rsidRPr="00371651">
        <w:rPr>
          <w:szCs w:val="22"/>
        </w:rPr>
        <w:t>thirty-third</w:t>
      </w:r>
      <w:r w:rsidRPr="00A94862">
        <w:rPr>
          <w:bCs/>
          <w:szCs w:val="22"/>
        </w:rPr>
        <w:t xml:space="preserve"> session of the Committee on Development and Intellectual Property (CDIP) was held from </w:t>
      </w:r>
      <w:r>
        <w:rPr>
          <w:bCs/>
          <w:szCs w:val="22"/>
        </w:rPr>
        <w:t>December 9 to 12</w:t>
      </w:r>
      <w:r w:rsidRPr="00A94862">
        <w:rPr>
          <w:bCs/>
          <w:szCs w:val="22"/>
        </w:rPr>
        <w:t>, 202</w:t>
      </w:r>
      <w:r>
        <w:rPr>
          <w:bCs/>
          <w:szCs w:val="22"/>
        </w:rPr>
        <w:t>4</w:t>
      </w:r>
      <w:r w:rsidRPr="00A94862">
        <w:rPr>
          <w:bCs/>
          <w:szCs w:val="22"/>
        </w:rPr>
        <w:t>, in a hybrid format</w:t>
      </w:r>
      <w:r w:rsidRPr="00A94862">
        <w:rPr>
          <w:szCs w:val="22"/>
        </w:rPr>
        <w:t xml:space="preserve">.  The CDIP session </w:t>
      </w:r>
      <w:r w:rsidRPr="00A94862">
        <w:rPr>
          <w:bCs/>
          <w:szCs w:val="22"/>
        </w:rPr>
        <w:t xml:space="preserve">was </w:t>
      </w:r>
      <w:r w:rsidRPr="00196753">
        <w:rPr>
          <w:bCs/>
          <w:szCs w:val="22"/>
        </w:rPr>
        <w:t xml:space="preserve">attended </w:t>
      </w:r>
      <w:r w:rsidRPr="00196753">
        <w:rPr>
          <w:bCs/>
          <w:color w:val="000000"/>
          <w:szCs w:val="22"/>
        </w:rPr>
        <w:t xml:space="preserve">by 96 Member States and 23 Observers.  </w:t>
      </w:r>
      <w:r w:rsidRPr="00196753">
        <w:rPr>
          <w:bCs/>
          <w:szCs w:val="22"/>
        </w:rPr>
        <w:t>The session was opened by Mr. Daren Tang, Director General of the World Intellectual Property Organization (WIPO)</w:t>
      </w:r>
      <w:r w:rsidRPr="00196753">
        <w:rPr>
          <w:b/>
          <w:bCs/>
        </w:rPr>
        <w:t xml:space="preserve">.  </w:t>
      </w:r>
      <w:r w:rsidRPr="00196753">
        <w:t>The session was chaired</w:t>
      </w:r>
      <w:r w:rsidRPr="00A94862">
        <w:t xml:space="preserve"> by</w:t>
      </w:r>
      <w:r>
        <w:t xml:space="preserve"> H.E.</w:t>
      </w:r>
      <w:r>
        <w:rPr>
          <w:b/>
          <w:bCs/>
        </w:rPr>
        <w:t xml:space="preserve"> </w:t>
      </w:r>
      <w:r w:rsidRPr="00A94862">
        <w:rPr>
          <w:bCs/>
        </w:rPr>
        <w:t>Ms. Pimchanok Vonkorpon Pitfield, Ambassador and Permanent Representative of Thailand to the World Trade Organization (WTO) and WIPO</w:t>
      </w:r>
      <w:r>
        <w:rPr>
          <w:bCs/>
        </w:rPr>
        <w:t>.</w:t>
      </w:r>
    </w:p>
    <w:p w14:paraId="563FFD48" w14:textId="77777777" w:rsidR="00860CB8" w:rsidRPr="00312354" w:rsidRDefault="00860CB8" w:rsidP="00CB5F42">
      <w:pPr>
        <w:numPr>
          <w:ilvl w:val="0"/>
          <w:numId w:val="8"/>
        </w:numPr>
        <w:spacing w:after="240"/>
        <w:ind w:left="0" w:firstLine="0"/>
        <w:rPr>
          <w:bCs/>
        </w:rPr>
      </w:pPr>
      <w:r w:rsidRPr="00A94862">
        <w:rPr>
          <w:bCs/>
          <w:szCs w:val="22"/>
        </w:rPr>
        <w:t>Under Agenda Item 2, the Committee adopted the Draft Agenda contained in document CDIP/3</w:t>
      </w:r>
      <w:r>
        <w:rPr>
          <w:bCs/>
          <w:szCs w:val="22"/>
        </w:rPr>
        <w:t>3</w:t>
      </w:r>
      <w:r w:rsidRPr="00A94862">
        <w:rPr>
          <w:bCs/>
          <w:szCs w:val="22"/>
        </w:rPr>
        <w:t>/1 P</w:t>
      </w:r>
      <w:r>
        <w:rPr>
          <w:bCs/>
          <w:szCs w:val="22"/>
        </w:rPr>
        <w:t>rov</w:t>
      </w:r>
      <w:r w:rsidRPr="00A94862">
        <w:rPr>
          <w:bCs/>
          <w:szCs w:val="22"/>
        </w:rPr>
        <w:t>. 2.</w:t>
      </w:r>
    </w:p>
    <w:p w14:paraId="6FE487D3" w14:textId="77777777" w:rsidR="00860CB8" w:rsidRPr="00E36115" w:rsidRDefault="00860CB8" w:rsidP="00CB5F42">
      <w:pPr>
        <w:numPr>
          <w:ilvl w:val="0"/>
          <w:numId w:val="8"/>
        </w:numPr>
        <w:spacing w:after="240"/>
        <w:ind w:left="0" w:firstLine="0"/>
        <w:rPr>
          <w:szCs w:val="22"/>
        </w:rPr>
      </w:pPr>
      <w:r w:rsidRPr="00E12E73">
        <w:rPr>
          <w:bCs/>
        </w:rPr>
        <w:t>Unde</w:t>
      </w:r>
      <w:r w:rsidRPr="00E36115">
        <w:rPr>
          <w:bCs/>
        </w:rPr>
        <w:t xml:space="preserve">r Agenda </w:t>
      </w:r>
      <w:r w:rsidRPr="00E36115">
        <w:rPr>
          <w:bCs/>
          <w:szCs w:val="22"/>
        </w:rPr>
        <w:t xml:space="preserve">Item 3, the Committee considered the Accreditation of Observers contained in document CDIP/33/5.  The Committee decided to grant accreditation, on an </w:t>
      </w:r>
      <w:r w:rsidRPr="00E36115">
        <w:rPr>
          <w:bCs/>
          <w:i/>
          <w:iCs/>
          <w:szCs w:val="22"/>
        </w:rPr>
        <w:t>ad hoc</w:t>
      </w:r>
      <w:r w:rsidRPr="00E36115">
        <w:rPr>
          <w:bCs/>
          <w:szCs w:val="22"/>
        </w:rPr>
        <w:t xml:space="preserve"> basis, to a non-governmental organization (NGO), namely, the Chamber for the Protection of Copyright of Artists, Creators and Performers (SIIP) from Uzbekistan</w:t>
      </w:r>
      <w:r>
        <w:rPr>
          <w:bCs/>
          <w:szCs w:val="22"/>
        </w:rPr>
        <w:t>.</w:t>
      </w:r>
    </w:p>
    <w:p w14:paraId="2D3B8D3C" w14:textId="77777777" w:rsidR="00860CB8" w:rsidRPr="00E36115" w:rsidRDefault="00860CB8" w:rsidP="00CB5F42">
      <w:pPr>
        <w:numPr>
          <w:ilvl w:val="0"/>
          <w:numId w:val="8"/>
        </w:numPr>
        <w:spacing w:after="240"/>
        <w:ind w:left="0" w:firstLine="0"/>
        <w:rPr>
          <w:szCs w:val="22"/>
        </w:rPr>
      </w:pPr>
      <w:r w:rsidRPr="00E36115">
        <w:rPr>
          <w:szCs w:val="22"/>
        </w:rPr>
        <w:t>Under Agenda Item 4, the Committee listened to general statements.  Delegations expressed their support and acknowledged the continued efforts made by WIPO in implementing the Development Agenda (DA) Recommendations.  Delegations also reiterated their commitment to actively participating and contributing to the Agenda of the current session, expressing their determination to move the work of the Committee forward.</w:t>
      </w:r>
    </w:p>
    <w:p w14:paraId="60A5F9B5" w14:textId="77777777" w:rsidR="00860CB8" w:rsidRPr="00072B40" w:rsidRDefault="00860CB8" w:rsidP="00FA34FE">
      <w:pPr>
        <w:numPr>
          <w:ilvl w:val="0"/>
          <w:numId w:val="8"/>
        </w:numPr>
        <w:spacing w:after="240"/>
        <w:ind w:left="0" w:firstLine="0"/>
        <w:rPr>
          <w:szCs w:val="22"/>
        </w:rPr>
      </w:pPr>
      <w:bookmarkStart w:id="5" w:name="_Hlk184640697"/>
      <w:r w:rsidRPr="00153B94">
        <w:rPr>
          <w:szCs w:val="22"/>
        </w:rPr>
        <w:t xml:space="preserve">Under Agenda Item </w:t>
      </w:r>
      <w:r>
        <w:rPr>
          <w:szCs w:val="22"/>
        </w:rPr>
        <w:t>5</w:t>
      </w:r>
      <w:r w:rsidRPr="00153B94">
        <w:rPr>
          <w:szCs w:val="22"/>
        </w:rPr>
        <w:t xml:space="preserve">, the Committee considered the following: </w:t>
      </w:r>
    </w:p>
    <w:p w14:paraId="5A697676" w14:textId="77777777" w:rsidR="00860CB8" w:rsidRPr="00AF02CB" w:rsidRDefault="00860CB8" w:rsidP="00FA34FE">
      <w:pPr>
        <w:numPr>
          <w:ilvl w:val="1"/>
          <w:numId w:val="8"/>
        </w:numPr>
        <w:spacing w:after="240"/>
        <w:ind w:left="567" w:firstLine="0"/>
        <w:rPr>
          <w:szCs w:val="22"/>
        </w:rPr>
      </w:pPr>
      <w:bookmarkStart w:id="6" w:name="_Hlk184747755"/>
      <w:r w:rsidRPr="00153B94">
        <w:rPr>
          <w:szCs w:val="22"/>
        </w:rPr>
        <w:t>Progress Report on the Implementation of the 45 Development Agenda Recommendations contained in document CDIP/3</w:t>
      </w:r>
      <w:r>
        <w:rPr>
          <w:szCs w:val="22"/>
        </w:rPr>
        <w:t>3</w:t>
      </w:r>
      <w:r w:rsidRPr="00153B94">
        <w:rPr>
          <w:szCs w:val="22"/>
        </w:rPr>
        <w:t>/</w:t>
      </w:r>
      <w:r w:rsidRPr="0094576E">
        <w:rPr>
          <w:szCs w:val="22"/>
        </w:rPr>
        <w:t xml:space="preserve">2.  </w:t>
      </w:r>
      <w:bookmarkStart w:id="7" w:name="_Hlk184651796"/>
      <w:r w:rsidRPr="0094576E">
        <w:rPr>
          <w:szCs w:val="22"/>
        </w:rPr>
        <w:t xml:space="preserve">Member States shared their experiences as regards various technical assistance activities undertaken in their respective countries.  They also welcomed the updated structure of the report and </w:t>
      </w:r>
      <w:r w:rsidRPr="0094576E">
        <w:rPr>
          <w:szCs w:val="22"/>
        </w:rPr>
        <w:lastRenderedPageBreak/>
        <w:t>appreciated the Secretariat’s efforts to simplify the presentation of information.</w:t>
      </w:r>
      <w:bookmarkEnd w:id="7"/>
      <w:r w:rsidRPr="0094576E">
        <w:rPr>
          <w:szCs w:val="22"/>
        </w:rPr>
        <w:t xml:space="preserve">  The Committee took note of the information contained in the document and its Annexes</w:t>
      </w:r>
      <w:r w:rsidRPr="00797BED">
        <w:rPr>
          <w:szCs w:val="22"/>
        </w:rPr>
        <w:t>.</w:t>
      </w:r>
      <w:r w:rsidRPr="00153B94">
        <w:rPr>
          <w:szCs w:val="22"/>
        </w:rPr>
        <w:t xml:space="preserve"> </w:t>
      </w:r>
      <w:r w:rsidRPr="00D74D61">
        <w:rPr>
          <w:szCs w:val="22"/>
        </w:rPr>
        <w:t xml:space="preserve"> </w:t>
      </w:r>
      <w:bookmarkEnd w:id="6"/>
    </w:p>
    <w:p w14:paraId="1AF26150" w14:textId="77777777" w:rsidR="00860CB8" w:rsidRDefault="00860CB8" w:rsidP="00FA34FE">
      <w:pPr>
        <w:numPr>
          <w:ilvl w:val="1"/>
          <w:numId w:val="8"/>
        </w:numPr>
        <w:spacing w:after="240"/>
        <w:ind w:left="567" w:firstLine="0"/>
        <w:rPr>
          <w:szCs w:val="22"/>
        </w:rPr>
      </w:pPr>
      <w:bookmarkStart w:id="8" w:name="_Hlk184747920"/>
      <w:bookmarkStart w:id="9" w:name="_Hlk184656645"/>
      <w:bookmarkEnd w:id="5"/>
      <w:r w:rsidRPr="00072B40">
        <w:rPr>
          <w:szCs w:val="22"/>
        </w:rPr>
        <w:t xml:space="preserve">Progress Reports – Ongoing Development Agenda Projects contained in document CDIP/33/3. </w:t>
      </w:r>
      <w:r>
        <w:rPr>
          <w:szCs w:val="22"/>
        </w:rPr>
        <w:t xml:space="preserve"> </w:t>
      </w:r>
      <w:r w:rsidRPr="00072B40">
        <w:rPr>
          <w:szCs w:val="22"/>
        </w:rPr>
        <w:t>Th</w:t>
      </w:r>
      <w:r w:rsidRPr="00D96508">
        <w:rPr>
          <w:szCs w:val="22"/>
        </w:rPr>
        <w:t xml:space="preserve">e Committee took note of the </w:t>
      </w:r>
      <w:r>
        <w:rPr>
          <w:szCs w:val="22"/>
        </w:rPr>
        <w:t xml:space="preserve">information provided in the document and welcomed the </w:t>
      </w:r>
      <w:r w:rsidRPr="00D96508">
        <w:rPr>
          <w:szCs w:val="22"/>
        </w:rPr>
        <w:t>progress achieved in the implementation of th</w:t>
      </w:r>
      <w:r>
        <w:rPr>
          <w:szCs w:val="22"/>
        </w:rPr>
        <w:t xml:space="preserve">ose </w:t>
      </w:r>
      <w:r w:rsidRPr="00D96508">
        <w:rPr>
          <w:szCs w:val="22"/>
        </w:rPr>
        <w:t>projects</w:t>
      </w:r>
      <w:r>
        <w:rPr>
          <w:szCs w:val="22"/>
        </w:rPr>
        <w:t xml:space="preserve">.  </w:t>
      </w:r>
      <w:r w:rsidRPr="00072B40">
        <w:rPr>
          <w:szCs w:val="22"/>
        </w:rPr>
        <w:t xml:space="preserve">The Committee approved the following: </w:t>
      </w:r>
    </w:p>
    <w:p w14:paraId="5F8C08BC" w14:textId="77777777" w:rsidR="00860CB8" w:rsidRPr="0043518A" w:rsidRDefault="00860CB8" w:rsidP="00860CB8">
      <w:pPr>
        <w:numPr>
          <w:ilvl w:val="3"/>
          <w:numId w:val="8"/>
        </w:numPr>
        <w:spacing w:after="240"/>
        <w:rPr>
          <w:szCs w:val="22"/>
        </w:rPr>
      </w:pPr>
      <w:r w:rsidRPr="0043518A">
        <w:rPr>
          <w:szCs w:val="22"/>
        </w:rPr>
        <w:t>a six-month extension in the implementation of the project on Promoting the Use of Intellectual Property (IP) in Developing Countries in Creative Industries in the Digital Era;</w:t>
      </w:r>
      <w:r>
        <w:rPr>
          <w:szCs w:val="22"/>
        </w:rPr>
        <w:t xml:space="preserve">  </w:t>
      </w:r>
      <w:r w:rsidRPr="0043518A">
        <w:rPr>
          <w:szCs w:val="22"/>
        </w:rPr>
        <w:t>a four-month extension in the implementation of the project on Systematization of Statistical Data and the Design and Implementation of a Methodology for Developing Impact Assessments on the Use of the IP System</w:t>
      </w:r>
      <w:r>
        <w:rPr>
          <w:szCs w:val="22"/>
        </w:rPr>
        <w:t xml:space="preserve">;  </w:t>
      </w:r>
      <w:r w:rsidRPr="0043518A">
        <w:rPr>
          <w:szCs w:val="22"/>
        </w:rPr>
        <w:t>and a three-month extension in the implementation of the project on Empowering Small Businesses Through IP:</w:t>
      </w:r>
      <w:r>
        <w:rPr>
          <w:szCs w:val="22"/>
        </w:rPr>
        <w:t xml:space="preserve"> </w:t>
      </w:r>
      <w:r w:rsidRPr="0043518A">
        <w:rPr>
          <w:szCs w:val="22"/>
        </w:rPr>
        <w:t xml:space="preserve"> Developing Strategies for Supporting Geographical Indications or Collective Marks in the </w:t>
      </w:r>
      <w:r>
        <w:rPr>
          <w:szCs w:val="22"/>
        </w:rPr>
        <w:br/>
      </w:r>
      <w:r w:rsidRPr="0043518A">
        <w:rPr>
          <w:szCs w:val="22"/>
        </w:rPr>
        <w:t>Post-registration Period, all with no budgetary implications.</w:t>
      </w:r>
    </w:p>
    <w:p w14:paraId="1A3809DD" w14:textId="77777777" w:rsidR="00860CB8" w:rsidRPr="0043518A" w:rsidRDefault="00860CB8" w:rsidP="00860CB8">
      <w:pPr>
        <w:numPr>
          <w:ilvl w:val="3"/>
          <w:numId w:val="8"/>
        </w:numPr>
        <w:spacing w:after="240"/>
        <w:rPr>
          <w:szCs w:val="22"/>
        </w:rPr>
      </w:pPr>
      <w:r w:rsidRPr="0043518A">
        <w:rPr>
          <w:szCs w:val="22"/>
        </w:rPr>
        <w:t>the proposed updates to the implementation timeline o</w:t>
      </w:r>
      <w:r>
        <w:rPr>
          <w:szCs w:val="22"/>
        </w:rPr>
        <w:t>f</w:t>
      </w:r>
      <w:r w:rsidRPr="0043518A">
        <w:rPr>
          <w:szCs w:val="22"/>
        </w:rPr>
        <w:t xml:space="preserve"> the projects on:  </w:t>
      </w:r>
      <w:r>
        <w:rPr>
          <w:szCs w:val="22"/>
        </w:rPr>
        <w:br/>
      </w:r>
      <w:r w:rsidRPr="0043518A">
        <w:rPr>
          <w:szCs w:val="22"/>
        </w:rPr>
        <w:t>a) Development of the Music Sector and New Economic Models of Music in Burkina Faso and All Other Countries of the West African Economic and Monetary Union (WAEMU);</w:t>
      </w:r>
      <w:r>
        <w:rPr>
          <w:szCs w:val="22"/>
        </w:rPr>
        <w:t xml:space="preserve">  </w:t>
      </w:r>
      <w:r w:rsidRPr="0043518A">
        <w:rPr>
          <w:szCs w:val="22"/>
        </w:rPr>
        <w:t>and b) Reducing Work-Related Accidents and Occupational Diseases through Innovation and IP, both without budgetary implications and project extension.</w:t>
      </w:r>
    </w:p>
    <w:p w14:paraId="72DF1689" w14:textId="77777777" w:rsidR="00860CB8" w:rsidRPr="00F55794" w:rsidRDefault="00860CB8" w:rsidP="00FA34FE">
      <w:pPr>
        <w:numPr>
          <w:ilvl w:val="1"/>
          <w:numId w:val="8"/>
        </w:numPr>
        <w:spacing w:after="240"/>
        <w:ind w:left="567" w:firstLine="0"/>
        <w:rPr>
          <w:szCs w:val="22"/>
        </w:rPr>
      </w:pPr>
      <w:bookmarkStart w:id="10" w:name="_Hlk184747988"/>
      <w:bookmarkEnd w:id="8"/>
      <w:bookmarkEnd w:id="9"/>
      <w:r w:rsidRPr="00072B40">
        <w:rPr>
          <w:szCs w:val="22"/>
        </w:rPr>
        <w:t>Completion Report of the</w:t>
      </w:r>
      <w:r>
        <w:rPr>
          <w:szCs w:val="22"/>
        </w:rPr>
        <w:t xml:space="preserve"> Phase II of the</w:t>
      </w:r>
      <w:r w:rsidRPr="00072B40">
        <w:rPr>
          <w:szCs w:val="22"/>
        </w:rPr>
        <w:t xml:space="preserve"> </w:t>
      </w:r>
      <w:r>
        <w:rPr>
          <w:szCs w:val="22"/>
        </w:rPr>
        <w:t>p</w:t>
      </w:r>
      <w:r w:rsidRPr="00072B40">
        <w:rPr>
          <w:szCs w:val="22"/>
        </w:rPr>
        <w:t xml:space="preserve">roject on Enhancing the Use of Intellectual Property for </w:t>
      </w:r>
      <w:r w:rsidRPr="00F55794">
        <w:rPr>
          <w:szCs w:val="22"/>
        </w:rPr>
        <w:t>Mobile Applications in the Software Sector contained in document CDIP/33/6.</w:t>
      </w:r>
      <w:r w:rsidRPr="00F55794">
        <w:t xml:space="preserve">  </w:t>
      </w:r>
      <w:r w:rsidRPr="00F55794">
        <w:rPr>
          <w:szCs w:val="22"/>
        </w:rPr>
        <w:t xml:space="preserve">The Committee listened to experiences shared by beneficiary countries and took note of the information provided in the document. </w:t>
      </w:r>
      <w:r w:rsidRPr="009B7FA5">
        <w:rPr>
          <w:szCs w:val="22"/>
        </w:rPr>
        <w:t xml:space="preserve"> Delegations </w:t>
      </w:r>
      <w:r w:rsidRPr="00196753">
        <w:rPr>
          <w:szCs w:val="22"/>
        </w:rPr>
        <w:t>appreciated the successful implementation of the project</w:t>
      </w:r>
      <w:r w:rsidRPr="00F55794">
        <w:rPr>
          <w:szCs w:val="22"/>
        </w:rPr>
        <w:t xml:space="preserve">. </w:t>
      </w:r>
    </w:p>
    <w:p w14:paraId="51CCEB68" w14:textId="77777777" w:rsidR="00860CB8" w:rsidRDefault="00860CB8" w:rsidP="00FA34FE">
      <w:pPr>
        <w:numPr>
          <w:ilvl w:val="1"/>
          <w:numId w:val="8"/>
        </w:numPr>
        <w:spacing w:after="240"/>
        <w:ind w:left="567" w:firstLine="0"/>
        <w:rPr>
          <w:szCs w:val="22"/>
        </w:rPr>
      </w:pPr>
      <w:bookmarkStart w:id="11" w:name="_Hlk184748004"/>
      <w:bookmarkEnd w:id="10"/>
      <w:r w:rsidRPr="00860CB8">
        <w:rPr>
          <w:szCs w:val="22"/>
        </w:rPr>
        <w:t>Evaluation Report of the Phase II of the project on Enhancing the Use of Intellectual Property for Mobile Applications in the Software Sector contained in document CDIP/33/7.  The Committee took note of the information contained in the document and requested the Secretariat to mainstream the outputs developed in the context of the said project into the regular work of WIPO and keep them updated.</w:t>
      </w:r>
      <w:bookmarkStart w:id="12" w:name="_Hlk184748028"/>
      <w:bookmarkEnd w:id="11"/>
    </w:p>
    <w:p w14:paraId="3A752562" w14:textId="61D209C0" w:rsidR="00860CB8" w:rsidRPr="00860CB8" w:rsidRDefault="00860CB8" w:rsidP="00FA34FE">
      <w:pPr>
        <w:numPr>
          <w:ilvl w:val="1"/>
          <w:numId w:val="8"/>
        </w:numPr>
        <w:spacing w:after="240"/>
        <w:ind w:left="567" w:firstLine="0"/>
        <w:rPr>
          <w:szCs w:val="22"/>
        </w:rPr>
      </w:pPr>
      <w:r w:rsidRPr="00860CB8">
        <w:rPr>
          <w:szCs w:val="22"/>
        </w:rPr>
        <w:t xml:space="preserve">Impact Evaluation Report of the Project on Specialized Databases’ Access and Support contained in document CDIP/33/8.  The Committee took note of the information contained in the document and thanked the evaluator for the comprehensive report.  The Committee appreciated that the project has significantly enhanced the innovation ecosystem in beneficiary countries and expanded to cover more countries globally.  This progress has led to increased IP awareness, IP protection, and value creation, ensuring the long-term impact of the Technology and Innovation Support Centers (TISCs) network.  The Secretariat is encouraged to use the findings and conclusions of the report. </w:t>
      </w:r>
    </w:p>
    <w:p w14:paraId="3B27F4BF" w14:textId="77777777" w:rsidR="00860CB8" w:rsidRPr="009F1F24" w:rsidRDefault="00860CB8" w:rsidP="00FA34FE">
      <w:pPr>
        <w:numPr>
          <w:ilvl w:val="1"/>
          <w:numId w:val="8"/>
        </w:numPr>
        <w:spacing w:after="240"/>
        <w:ind w:left="567" w:firstLine="0"/>
        <w:rPr>
          <w:szCs w:val="22"/>
        </w:rPr>
      </w:pPr>
      <w:bookmarkStart w:id="13" w:name="_Hlk184748060"/>
      <w:bookmarkEnd w:id="12"/>
      <w:r w:rsidRPr="009F1F24">
        <w:rPr>
          <w:szCs w:val="22"/>
        </w:rPr>
        <w:t xml:space="preserve">Review Report of the Development Agenda (DA) Project on Tools for Successful DA Proposals contained in </w:t>
      </w:r>
      <w:r w:rsidRPr="005158A1">
        <w:rPr>
          <w:szCs w:val="22"/>
        </w:rPr>
        <w:t xml:space="preserve">document CDIP/33/9.  The Committee took note of the information contained in the document.  </w:t>
      </w:r>
      <w:r w:rsidRPr="00196753">
        <w:rPr>
          <w:szCs w:val="22"/>
        </w:rPr>
        <w:t xml:space="preserve">Delegations highlighted the success of the project </w:t>
      </w:r>
      <w:r w:rsidRPr="005158A1">
        <w:rPr>
          <w:szCs w:val="22"/>
        </w:rPr>
        <w:t xml:space="preserve">in mainstreaming its outputs and providing customized trainings and materials to Member States on development and implementation of DA projects.  </w:t>
      </w:r>
      <w:r w:rsidRPr="009B7FA5">
        <w:rPr>
          <w:szCs w:val="22"/>
        </w:rPr>
        <w:t xml:space="preserve">The Committee requested the Secretariat to allocate necessary resources to continue the mainstreaming of the project’s outputs into its work, </w:t>
      </w:r>
      <w:r>
        <w:rPr>
          <w:szCs w:val="22"/>
        </w:rPr>
        <w:t xml:space="preserve">and </w:t>
      </w:r>
      <w:r w:rsidRPr="009B7FA5">
        <w:rPr>
          <w:szCs w:val="22"/>
        </w:rPr>
        <w:t>to keep those outputs updated and visible.  The Committee further requeste</w:t>
      </w:r>
      <w:r>
        <w:rPr>
          <w:szCs w:val="22"/>
        </w:rPr>
        <w:t>d</w:t>
      </w:r>
      <w:r w:rsidRPr="009B7FA5">
        <w:rPr>
          <w:szCs w:val="22"/>
        </w:rPr>
        <w:t xml:space="preserve"> </w:t>
      </w:r>
      <w:r>
        <w:rPr>
          <w:szCs w:val="22"/>
        </w:rPr>
        <w:t xml:space="preserve">to </w:t>
      </w:r>
      <w:r w:rsidRPr="009B7FA5">
        <w:rPr>
          <w:szCs w:val="22"/>
        </w:rPr>
        <w:t>conduct a review of the methodology and the outputs of the project in 2027.</w:t>
      </w:r>
    </w:p>
    <w:p w14:paraId="06E51C8E" w14:textId="77777777" w:rsidR="00860CB8" w:rsidRPr="00E763D9" w:rsidRDefault="00860CB8" w:rsidP="00FA34FE">
      <w:pPr>
        <w:pStyle w:val="ListParagraph"/>
        <w:numPr>
          <w:ilvl w:val="0"/>
          <w:numId w:val="8"/>
        </w:numPr>
        <w:spacing w:after="240" w:line="240" w:lineRule="auto"/>
        <w:ind w:left="0" w:firstLine="0"/>
        <w:rPr>
          <w:rFonts w:ascii="Arial" w:hAnsi="Arial" w:cs="Arial"/>
          <w:sz w:val="22"/>
          <w:szCs w:val="22"/>
          <w:lang w:val="en-US"/>
        </w:rPr>
      </w:pPr>
      <w:bookmarkStart w:id="14" w:name="_Hlk184748133"/>
      <w:bookmarkEnd w:id="13"/>
      <w:r w:rsidRPr="00E763D9">
        <w:rPr>
          <w:rFonts w:ascii="Arial" w:hAnsi="Arial" w:cs="Arial"/>
          <w:sz w:val="22"/>
          <w:szCs w:val="22"/>
          <w:lang w:val="en-US"/>
        </w:rPr>
        <w:lastRenderedPageBreak/>
        <w:t>Under Agenda Item 5 (i), the Committee discussed the following:</w:t>
      </w:r>
    </w:p>
    <w:bookmarkEnd w:id="14"/>
    <w:p w14:paraId="1E852CE9" w14:textId="77777777" w:rsidR="00860CB8" w:rsidRDefault="00860CB8" w:rsidP="00EB0083">
      <w:pPr>
        <w:pStyle w:val="ListParagraph"/>
        <w:spacing w:after="240" w:line="240" w:lineRule="auto"/>
        <w:ind w:left="360"/>
        <w:rPr>
          <w:rFonts w:ascii="Arial" w:hAnsi="Arial" w:cs="Arial"/>
          <w:sz w:val="22"/>
          <w:szCs w:val="22"/>
          <w:highlight w:val="yellow"/>
          <w:lang w:val="en-US"/>
        </w:rPr>
      </w:pPr>
    </w:p>
    <w:p w14:paraId="76189865" w14:textId="77777777" w:rsidR="00860CB8" w:rsidRPr="0075568E" w:rsidRDefault="00860CB8" w:rsidP="00FA34FE">
      <w:pPr>
        <w:pStyle w:val="ListParagraph"/>
        <w:numPr>
          <w:ilvl w:val="1"/>
          <w:numId w:val="8"/>
        </w:numPr>
        <w:spacing w:after="240" w:line="240" w:lineRule="auto"/>
        <w:ind w:left="567" w:firstLine="0"/>
        <w:rPr>
          <w:rFonts w:ascii="Arial" w:hAnsi="Arial" w:cs="Arial"/>
          <w:sz w:val="22"/>
          <w:szCs w:val="22"/>
          <w:lang w:val="en-US"/>
        </w:rPr>
      </w:pPr>
      <w:bookmarkStart w:id="15" w:name="_Hlk184748149"/>
      <w:r w:rsidRPr="00BD7009">
        <w:rPr>
          <w:rFonts w:ascii="Arial" w:hAnsi="Arial" w:cs="Arial"/>
          <w:sz w:val="22"/>
          <w:szCs w:val="22"/>
          <w:lang w:val="en-US"/>
        </w:rPr>
        <w:t xml:space="preserve">Compilation of Topics Proposed by the Secretariat for Future Webinars on Technical Assistance contained in document CDIP/33/INF/3.  The Committee welcomed the two proposed topics </w:t>
      </w:r>
      <w:r w:rsidRPr="0075568E">
        <w:rPr>
          <w:rFonts w:ascii="Arial" w:hAnsi="Arial" w:cs="Arial"/>
          <w:sz w:val="22"/>
          <w:szCs w:val="22"/>
          <w:lang w:val="en-US"/>
        </w:rPr>
        <w:t>for convening the webinars in 2025.</w:t>
      </w:r>
    </w:p>
    <w:bookmarkEnd w:id="15"/>
    <w:p w14:paraId="289B4BE9" w14:textId="77777777" w:rsidR="00860CB8" w:rsidRPr="0075568E" w:rsidRDefault="00860CB8" w:rsidP="00FA34FE">
      <w:pPr>
        <w:pStyle w:val="ListParagraph"/>
        <w:spacing w:after="240" w:line="240" w:lineRule="auto"/>
        <w:ind w:left="567"/>
        <w:rPr>
          <w:rFonts w:ascii="Arial" w:hAnsi="Arial" w:cs="Arial"/>
          <w:sz w:val="22"/>
          <w:szCs w:val="22"/>
          <w:lang w:val="en-US"/>
        </w:rPr>
      </w:pPr>
    </w:p>
    <w:p w14:paraId="68BBEECD" w14:textId="77777777" w:rsidR="00860CB8" w:rsidRDefault="00860CB8" w:rsidP="00FA34FE">
      <w:pPr>
        <w:pStyle w:val="ListParagraph"/>
        <w:numPr>
          <w:ilvl w:val="1"/>
          <w:numId w:val="8"/>
        </w:numPr>
        <w:spacing w:after="240" w:line="240" w:lineRule="auto"/>
        <w:ind w:left="567" w:firstLine="0"/>
        <w:rPr>
          <w:rFonts w:ascii="Arial" w:hAnsi="Arial" w:cs="Arial"/>
          <w:sz w:val="22"/>
          <w:szCs w:val="22"/>
          <w:lang w:val="en-US"/>
        </w:rPr>
      </w:pPr>
      <w:bookmarkStart w:id="16" w:name="_Hlk184748170"/>
      <w:r w:rsidRPr="009B7FA5">
        <w:rPr>
          <w:rFonts w:ascii="Arial" w:hAnsi="Arial" w:cs="Arial"/>
          <w:sz w:val="22"/>
          <w:szCs w:val="22"/>
          <w:lang w:val="en-US"/>
        </w:rPr>
        <w:t xml:space="preserve">Report on the Webinars on Technical Assistance contained in document CDIP/33/15.  The Committee expressed appreciation for the successful convening of the two webinars, as detailed in document CDIP/33/15, and took note of the information provided in that document.  </w:t>
      </w:r>
      <w:bookmarkEnd w:id="16"/>
    </w:p>
    <w:p w14:paraId="0CC5216B" w14:textId="77777777" w:rsidR="00860CB8" w:rsidRPr="009B7FA5" w:rsidRDefault="00860CB8" w:rsidP="00FA34FE">
      <w:pPr>
        <w:pStyle w:val="ListParagraph"/>
        <w:ind w:left="567"/>
        <w:rPr>
          <w:rFonts w:ascii="Arial" w:hAnsi="Arial" w:cs="Arial"/>
          <w:sz w:val="22"/>
          <w:szCs w:val="22"/>
          <w:lang w:val="en-US"/>
        </w:rPr>
      </w:pPr>
    </w:p>
    <w:p w14:paraId="019FAB6A" w14:textId="77777777" w:rsidR="00860CB8" w:rsidRPr="009B7FA5" w:rsidRDefault="00860CB8" w:rsidP="00FA34FE">
      <w:pPr>
        <w:pStyle w:val="ListParagraph"/>
        <w:numPr>
          <w:ilvl w:val="1"/>
          <w:numId w:val="8"/>
        </w:numPr>
        <w:spacing w:after="240" w:line="240" w:lineRule="auto"/>
        <w:ind w:left="567" w:firstLine="0"/>
        <w:rPr>
          <w:rFonts w:ascii="Arial" w:hAnsi="Arial" w:cs="Arial"/>
          <w:sz w:val="22"/>
          <w:szCs w:val="22"/>
          <w:lang w:val="en-US"/>
        </w:rPr>
      </w:pPr>
      <w:r w:rsidRPr="009B7FA5">
        <w:rPr>
          <w:rFonts w:ascii="Arial" w:hAnsi="Arial" w:cs="Arial"/>
          <w:sz w:val="22"/>
          <w:szCs w:val="22"/>
          <w:lang w:val="en-US"/>
        </w:rPr>
        <w:t>Independent External Review of WIPO’s Technical Assistance in the Area of Cooperation for Development contained in document CDIP/33/4.  The Committee thanked the Evaluators for the quality of the report and took note of the comments made by Delegations.  The Committee decided to continue the discussion on the External Review at its following session.  To facilitate the discussion, the Committee requested the Secretariat to prepare a document detailing the status of each recommendation and requirements needed for their implementation.</w:t>
      </w:r>
    </w:p>
    <w:p w14:paraId="657FB50E" w14:textId="77777777" w:rsidR="00860CB8" w:rsidRPr="00D01DDE" w:rsidRDefault="00860CB8" w:rsidP="00D01DDE">
      <w:pPr>
        <w:pStyle w:val="ListParagraph"/>
        <w:spacing w:after="240" w:line="240" w:lineRule="auto"/>
        <w:ind w:left="360"/>
        <w:rPr>
          <w:rFonts w:ascii="Arial" w:hAnsi="Arial" w:cs="Arial"/>
          <w:sz w:val="22"/>
          <w:szCs w:val="22"/>
          <w:highlight w:val="yellow"/>
          <w:lang w:val="en-US"/>
        </w:rPr>
      </w:pPr>
    </w:p>
    <w:p w14:paraId="6F51D917" w14:textId="77777777" w:rsidR="00860CB8" w:rsidRPr="00E36115" w:rsidRDefault="00860CB8" w:rsidP="00FA34FE">
      <w:pPr>
        <w:pStyle w:val="ListParagraph"/>
        <w:numPr>
          <w:ilvl w:val="0"/>
          <w:numId w:val="8"/>
        </w:numPr>
        <w:spacing w:after="240" w:line="240" w:lineRule="auto"/>
        <w:ind w:left="0" w:firstLine="0"/>
        <w:rPr>
          <w:rFonts w:ascii="Arial" w:hAnsi="Arial" w:cs="Arial"/>
          <w:sz w:val="22"/>
          <w:szCs w:val="22"/>
          <w:lang w:val="en-US"/>
        </w:rPr>
      </w:pPr>
      <w:bookmarkStart w:id="17" w:name="_Hlk184748200"/>
      <w:r w:rsidRPr="00E36115">
        <w:rPr>
          <w:rFonts w:ascii="Arial" w:hAnsi="Arial" w:cs="Arial"/>
          <w:sz w:val="22"/>
          <w:szCs w:val="22"/>
          <w:lang w:val="en-US"/>
        </w:rPr>
        <w:t>Under Agenda Item 6, the Committee considered the following:</w:t>
      </w:r>
    </w:p>
    <w:bookmarkEnd w:id="17"/>
    <w:p w14:paraId="32022817" w14:textId="77777777" w:rsidR="00860CB8" w:rsidRPr="00072B40" w:rsidRDefault="00860CB8" w:rsidP="00072B40">
      <w:pPr>
        <w:pStyle w:val="ListParagraph"/>
        <w:spacing w:after="240" w:line="240" w:lineRule="auto"/>
        <w:ind w:left="360"/>
        <w:rPr>
          <w:rFonts w:ascii="Arial" w:hAnsi="Arial" w:cs="Arial"/>
          <w:sz w:val="22"/>
          <w:szCs w:val="22"/>
          <w:highlight w:val="yellow"/>
          <w:lang w:val="en-US"/>
        </w:rPr>
      </w:pPr>
    </w:p>
    <w:p w14:paraId="17C8C104" w14:textId="77777777" w:rsidR="00860CB8" w:rsidRDefault="00860CB8" w:rsidP="00FA34FE">
      <w:pPr>
        <w:pStyle w:val="ListParagraph"/>
        <w:numPr>
          <w:ilvl w:val="1"/>
          <w:numId w:val="8"/>
        </w:numPr>
        <w:spacing w:after="240" w:line="240" w:lineRule="auto"/>
        <w:ind w:left="567" w:firstLine="0"/>
        <w:contextualSpacing w:val="0"/>
        <w:rPr>
          <w:rFonts w:ascii="Arial" w:hAnsi="Arial" w:cs="Arial"/>
          <w:sz w:val="22"/>
          <w:szCs w:val="22"/>
          <w:lang w:val="en-US"/>
        </w:rPr>
      </w:pPr>
      <w:r w:rsidRPr="00072B40">
        <w:rPr>
          <w:lang w:val="en-US"/>
        </w:rPr>
        <w:t xml:space="preserve"> </w:t>
      </w:r>
      <w:bookmarkStart w:id="18" w:name="_Hlk184748215"/>
      <w:r w:rsidRPr="00BC798A">
        <w:rPr>
          <w:rFonts w:ascii="Arial" w:hAnsi="Arial" w:cs="Arial"/>
          <w:sz w:val="22"/>
          <w:szCs w:val="22"/>
          <w:lang w:val="en-US"/>
        </w:rPr>
        <w:t>Continuation of discussion on the Adopted Recommendations of the Independent Review – Updated Proposal by the Secretariat and Member States Inputs contained in document CDIP/29</w:t>
      </w:r>
      <w:r w:rsidRPr="00403191">
        <w:rPr>
          <w:rFonts w:ascii="Arial" w:hAnsi="Arial" w:cs="Arial"/>
          <w:sz w:val="22"/>
          <w:szCs w:val="22"/>
          <w:lang w:val="en-US"/>
        </w:rPr>
        <w:t xml:space="preserve">/6.  </w:t>
      </w:r>
      <w:r w:rsidRPr="00196753">
        <w:rPr>
          <w:rFonts w:ascii="Arial" w:hAnsi="Arial" w:cs="Arial"/>
          <w:sz w:val="22"/>
          <w:szCs w:val="22"/>
          <w:lang w:val="en-US"/>
        </w:rPr>
        <w:t xml:space="preserve">The Committee decided to continue the discussion on implementation </w:t>
      </w:r>
      <w:r w:rsidRPr="009B7FA5">
        <w:rPr>
          <w:rFonts w:ascii="Arial" w:hAnsi="Arial" w:cs="Arial"/>
          <w:sz w:val="22"/>
          <w:szCs w:val="22"/>
          <w:lang w:val="en-US"/>
        </w:rPr>
        <w:t>strategy 1 proposed by the Secretariat, at its following session.</w:t>
      </w:r>
      <w:bookmarkStart w:id="19" w:name="_Hlk184748278"/>
      <w:bookmarkEnd w:id="18"/>
    </w:p>
    <w:p w14:paraId="0BA174F2" w14:textId="77777777" w:rsidR="00860CB8" w:rsidRPr="00196753" w:rsidRDefault="00860CB8" w:rsidP="00FA34FE">
      <w:pPr>
        <w:pStyle w:val="ListParagraph"/>
        <w:numPr>
          <w:ilvl w:val="1"/>
          <w:numId w:val="8"/>
        </w:numPr>
        <w:spacing w:after="240" w:line="240" w:lineRule="auto"/>
        <w:ind w:left="567" w:firstLine="0"/>
        <w:contextualSpacing w:val="0"/>
        <w:rPr>
          <w:rFonts w:ascii="Arial" w:hAnsi="Arial" w:cs="Arial"/>
          <w:sz w:val="22"/>
          <w:szCs w:val="22"/>
          <w:lang w:val="en-US"/>
        </w:rPr>
      </w:pPr>
      <w:r w:rsidRPr="0060694E">
        <w:rPr>
          <w:rFonts w:ascii="Arial" w:hAnsi="Arial" w:cs="Arial"/>
          <w:sz w:val="22"/>
          <w:szCs w:val="22"/>
          <w:lang w:val="en-US"/>
        </w:rPr>
        <w:t>Update on the Strategy for Future Enhancement of WIPO Match contained in document CDIP/33/10.</w:t>
      </w:r>
      <w:r w:rsidRPr="009B7FA5">
        <w:rPr>
          <w:rFonts w:ascii="Arial" w:hAnsi="Arial" w:cs="Arial"/>
          <w:sz w:val="22"/>
          <w:szCs w:val="22"/>
          <w:lang w:val="en-US"/>
        </w:rPr>
        <w:t xml:space="preserve">  The Committee welcomed the updated strategy and requested the Secretariat to start its implementation, keeping in mind the synergies with other databases.  The progress of WIPO Match will be reported in the context of the Pro</w:t>
      </w:r>
      <w:r w:rsidRPr="00196753">
        <w:rPr>
          <w:rFonts w:ascii="Arial" w:hAnsi="Arial" w:cs="Arial"/>
          <w:sz w:val="22"/>
          <w:szCs w:val="22"/>
          <w:lang w:val="en-US"/>
        </w:rPr>
        <w:t xml:space="preserve">gress Report on the 45 Development Agenda Recommendations.  An assessment will be submitted to the Committee at its second session in 2027. </w:t>
      </w:r>
      <w:bookmarkEnd w:id="19"/>
    </w:p>
    <w:p w14:paraId="4C102E1F" w14:textId="77777777" w:rsidR="00860CB8" w:rsidRPr="00196753" w:rsidRDefault="00860CB8" w:rsidP="00FA34FE">
      <w:pPr>
        <w:pStyle w:val="ListParagraph"/>
        <w:numPr>
          <w:ilvl w:val="1"/>
          <w:numId w:val="8"/>
        </w:numPr>
        <w:spacing w:after="240" w:line="240" w:lineRule="auto"/>
        <w:ind w:left="567" w:firstLine="0"/>
        <w:contextualSpacing w:val="0"/>
        <w:rPr>
          <w:rFonts w:ascii="Arial" w:hAnsi="Arial" w:cs="Arial"/>
          <w:sz w:val="22"/>
          <w:szCs w:val="22"/>
          <w:lang w:val="en-US"/>
        </w:rPr>
      </w:pPr>
      <w:r w:rsidRPr="00196753">
        <w:rPr>
          <w:rFonts w:ascii="Arial" w:hAnsi="Arial" w:cs="Arial"/>
          <w:sz w:val="22"/>
          <w:szCs w:val="22"/>
          <w:lang w:val="en-US"/>
        </w:rPr>
        <w:t>Project Proposal on Implementing Alternative Dispute Resolution Services in Copyright Offices submitted by Namibia, as contained in document CDIP/33/11.</w:t>
      </w:r>
      <w:r w:rsidRPr="00196753">
        <w:rPr>
          <w:lang w:val="en-US"/>
        </w:rPr>
        <w:t xml:space="preserve">  </w:t>
      </w:r>
      <w:r w:rsidRPr="00196753">
        <w:rPr>
          <w:lang w:val="en-US"/>
        </w:rPr>
        <w:br/>
      </w:r>
      <w:r w:rsidRPr="00196753">
        <w:rPr>
          <w:rFonts w:ascii="Arial" w:hAnsi="Arial" w:cs="Arial"/>
          <w:sz w:val="22"/>
          <w:szCs w:val="22"/>
          <w:lang w:val="en-US"/>
        </w:rPr>
        <w:t>The Committee approved the project and requested the Secretariat to start its implementation as envisaged in the project document.</w:t>
      </w:r>
    </w:p>
    <w:p w14:paraId="23C63CAC" w14:textId="77777777" w:rsidR="00860CB8" w:rsidRPr="00196753" w:rsidRDefault="00860CB8" w:rsidP="00FA34FE">
      <w:pPr>
        <w:pStyle w:val="ListParagraph"/>
        <w:numPr>
          <w:ilvl w:val="1"/>
          <w:numId w:val="8"/>
        </w:numPr>
        <w:spacing w:after="240" w:line="240" w:lineRule="auto"/>
        <w:ind w:left="567" w:firstLine="0"/>
        <w:contextualSpacing w:val="0"/>
        <w:rPr>
          <w:rFonts w:ascii="Arial" w:hAnsi="Arial" w:cs="Arial"/>
          <w:sz w:val="22"/>
          <w:szCs w:val="22"/>
          <w:lang w:val="en-US"/>
        </w:rPr>
      </w:pPr>
      <w:r w:rsidRPr="00196753">
        <w:rPr>
          <w:rFonts w:ascii="Arial" w:hAnsi="Arial" w:cs="Arial"/>
          <w:sz w:val="22"/>
          <w:szCs w:val="22"/>
          <w:lang w:val="en-US"/>
        </w:rPr>
        <w:t>Revised Project Proposal on Creation of National Intellectual Property Strategies Outlook and Resource Hub at WIPO submitted by Brazil, as contained in document CDIP/33/12 REV.</w:t>
      </w:r>
      <w:r w:rsidRPr="00196753">
        <w:rPr>
          <w:lang w:val="en-US"/>
        </w:rPr>
        <w:t xml:space="preserve">  </w:t>
      </w:r>
      <w:r w:rsidRPr="00196753">
        <w:rPr>
          <w:rFonts w:ascii="Arial" w:hAnsi="Arial" w:cs="Arial"/>
          <w:sz w:val="22"/>
          <w:szCs w:val="22"/>
          <w:lang w:val="en-US"/>
        </w:rPr>
        <w:t>The Committee approved the revised project, based on the comments</w:t>
      </w:r>
      <w:r>
        <w:rPr>
          <w:rFonts w:ascii="Arial" w:hAnsi="Arial" w:cs="Arial"/>
          <w:sz w:val="22"/>
          <w:szCs w:val="22"/>
          <w:lang w:val="en-US"/>
        </w:rPr>
        <w:t xml:space="preserve"> made</w:t>
      </w:r>
      <w:r w:rsidRPr="00196753">
        <w:rPr>
          <w:rFonts w:ascii="Arial" w:hAnsi="Arial" w:cs="Arial"/>
          <w:sz w:val="22"/>
          <w:szCs w:val="22"/>
          <w:lang w:val="en-US"/>
        </w:rPr>
        <w:t xml:space="preserve"> by Member States, and requested the Secretariat to start its implementation as envisaged in the project document. </w:t>
      </w:r>
    </w:p>
    <w:p w14:paraId="07124B0F" w14:textId="77777777" w:rsidR="00860CB8" w:rsidRPr="00196753" w:rsidRDefault="00860CB8" w:rsidP="00FA34FE">
      <w:pPr>
        <w:pStyle w:val="ListParagraph"/>
        <w:numPr>
          <w:ilvl w:val="1"/>
          <w:numId w:val="8"/>
        </w:numPr>
        <w:spacing w:after="240" w:line="240" w:lineRule="auto"/>
        <w:ind w:left="567" w:firstLine="0"/>
        <w:rPr>
          <w:rFonts w:ascii="Arial" w:hAnsi="Arial" w:cs="Arial"/>
          <w:sz w:val="22"/>
          <w:szCs w:val="22"/>
          <w:lang w:val="en-US"/>
        </w:rPr>
      </w:pPr>
      <w:r w:rsidRPr="00196753">
        <w:rPr>
          <w:rFonts w:ascii="Arial" w:hAnsi="Arial" w:cs="Arial"/>
          <w:sz w:val="22"/>
          <w:szCs w:val="22"/>
          <w:lang w:val="en-US"/>
        </w:rPr>
        <w:t>Revised Project Proposal on Empowering Young Lusophone Musicians in the Era of Music Streaming submitted by Angola, Brazil, Cabo Verde and Portugal, as contained in document CDIP/33/14 REV.</w:t>
      </w:r>
      <w:r w:rsidRPr="00196753">
        <w:rPr>
          <w:lang w:val="en-US"/>
        </w:rPr>
        <w:t xml:space="preserve">   </w:t>
      </w:r>
      <w:r w:rsidRPr="00196753">
        <w:rPr>
          <w:rFonts w:ascii="Arial" w:hAnsi="Arial" w:cs="Arial"/>
          <w:sz w:val="22"/>
          <w:szCs w:val="22"/>
          <w:lang w:val="en-US"/>
        </w:rPr>
        <w:t xml:space="preserve">The Committee approved the revised project, based on the comments </w:t>
      </w:r>
      <w:r>
        <w:rPr>
          <w:rFonts w:ascii="Arial" w:hAnsi="Arial" w:cs="Arial"/>
          <w:sz w:val="22"/>
          <w:szCs w:val="22"/>
          <w:lang w:val="en-US"/>
        </w:rPr>
        <w:t xml:space="preserve">made </w:t>
      </w:r>
      <w:r w:rsidRPr="00196753">
        <w:rPr>
          <w:rFonts w:ascii="Arial" w:hAnsi="Arial" w:cs="Arial"/>
          <w:sz w:val="22"/>
          <w:szCs w:val="22"/>
          <w:lang w:val="en-US"/>
        </w:rPr>
        <w:t xml:space="preserve">by Member States, and requested the Secretariat to start its implementation as envisaged in the project document. </w:t>
      </w:r>
    </w:p>
    <w:p w14:paraId="63D6373E" w14:textId="77777777" w:rsidR="00860CB8" w:rsidRPr="00196753" w:rsidRDefault="00860CB8" w:rsidP="00FA34FE">
      <w:pPr>
        <w:pStyle w:val="ListParagraph"/>
        <w:spacing w:after="240" w:line="240" w:lineRule="auto"/>
        <w:ind w:left="567"/>
        <w:rPr>
          <w:rFonts w:ascii="Arial" w:hAnsi="Arial" w:cs="Arial"/>
          <w:sz w:val="22"/>
          <w:szCs w:val="22"/>
          <w:lang w:val="en-US"/>
        </w:rPr>
      </w:pPr>
    </w:p>
    <w:p w14:paraId="2C123997" w14:textId="77777777" w:rsidR="00860CB8" w:rsidRPr="00196753" w:rsidRDefault="00860CB8" w:rsidP="00FA34FE">
      <w:pPr>
        <w:pStyle w:val="ListParagraph"/>
        <w:numPr>
          <w:ilvl w:val="1"/>
          <w:numId w:val="8"/>
        </w:numPr>
        <w:spacing w:after="240" w:line="240" w:lineRule="auto"/>
        <w:ind w:left="567" w:firstLine="0"/>
        <w:rPr>
          <w:rFonts w:ascii="Arial" w:hAnsi="Arial" w:cs="Arial"/>
          <w:sz w:val="22"/>
          <w:szCs w:val="22"/>
          <w:lang w:val="en-US"/>
        </w:rPr>
      </w:pPr>
      <w:r w:rsidRPr="00196753">
        <w:rPr>
          <w:rFonts w:ascii="Arial" w:hAnsi="Arial" w:cs="Arial"/>
          <w:sz w:val="22"/>
          <w:szCs w:val="22"/>
          <w:lang w:val="en-US"/>
        </w:rPr>
        <w:t xml:space="preserve">Revised Project Proposal on Empowering and Celebrating Intellectual Property (IP) Examiners </w:t>
      </w:r>
      <w:r>
        <w:rPr>
          <w:rFonts w:ascii="Arial" w:hAnsi="Arial" w:cs="Arial"/>
          <w:sz w:val="22"/>
          <w:szCs w:val="22"/>
          <w:lang w:val="en-US"/>
        </w:rPr>
        <w:t>s</w:t>
      </w:r>
      <w:r w:rsidRPr="00196753">
        <w:rPr>
          <w:rFonts w:ascii="Arial" w:hAnsi="Arial" w:cs="Arial"/>
          <w:sz w:val="22"/>
          <w:szCs w:val="22"/>
          <w:lang w:val="en-US"/>
        </w:rPr>
        <w:t xml:space="preserve">ubmitted by Saudi Arabia, as contained in CDIP/33/13 REV. </w:t>
      </w:r>
      <w:r w:rsidRPr="00196753">
        <w:rPr>
          <w:lang w:val="en-US"/>
        </w:rPr>
        <w:t xml:space="preserve"> </w:t>
      </w:r>
      <w:r w:rsidRPr="000A38D2">
        <w:rPr>
          <w:rFonts w:ascii="Arial" w:hAnsi="Arial" w:cs="Arial"/>
          <w:sz w:val="22"/>
          <w:szCs w:val="22"/>
          <w:lang w:val="en-US"/>
        </w:rPr>
        <w:t xml:space="preserve">The Committee approved the revised project, based on the comments made by </w:t>
      </w:r>
      <w:r>
        <w:rPr>
          <w:rFonts w:ascii="Arial" w:hAnsi="Arial" w:cs="Arial"/>
          <w:sz w:val="22"/>
          <w:szCs w:val="22"/>
          <w:lang w:val="en-US"/>
        </w:rPr>
        <w:br/>
      </w:r>
      <w:r w:rsidRPr="000A38D2">
        <w:rPr>
          <w:rFonts w:ascii="Arial" w:hAnsi="Arial" w:cs="Arial"/>
          <w:sz w:val="22"/>
          <w:szCs w:val="22"/>
          <w:lang w:val="en-US"/>
        </w:rPr>
        <w:t xml:space="preserve">Member States, and requested the Secretariat to start its implementation as envisaged in the project document. </w:t>
      </w:r>
    </w:p>
    <w:p w14:paraId="4CDE9BA0" w14:textId="77777777" w:rsidR="00860CB8" w:rsidRPr="00E763D9" w:rsidRDefault="00860CB8" w:rsidP="00FA34FE">
      <w:pPr>
        <w:pStyle w:val="ListParagraph"/>
        <w:numPr>
          <w:ilvl w:val="1"/>
          <w:numId w:val="8"/>
        </w:numPr>
        <w:spacing w:after="240" w:line="240" w:lineRule="auto"/>
        <w:ind w:left="567" w:firstLine="0"/>
        <w:rPr>
          <w:rFonts w:ascii="Arial" w:hAnsi="Arial" w:cs="Arial"/>
          <w:sz w:val="22"/>
          <w:szCs w:val="22"/>
          <w:lang w:val="en-US"/>
        </w:rPr>
      </w:pPr>
      <w:r w:rsidRPr="00E763D9">
        <w:rPr>
          <w:rFonts w:ascii="Arial" w:hAnsi="Arial" w:cs="Arial"/>
          <w:sz w:val="22"/>
          <w:szCs w:val="22"/>
          <w:lang w:val="en-US"/>
        </w:rPr>
        <w:lastRenderedPageBreak/>
        <w:t xml:space="preserve">Executive Summary of the “WIPO Guide to </w:t>
      </w:r>
      <w:r w:rsidRPr="009332A1">
        <w:rPr>
          <w:rFonts w:ascii="Arial" w:hAnsi="Arial" w:cs="Arial"/>
          <w:sz w:val="22"/>
          <w:szCs w:val="22"/>
          <w:lang w:val="en-US"/>
        </w:rPr>
        <w:t>the Intellectual Property Aspects of Mobile Applications and Social Media” contained in document CDIP/33/INF/2.  The Committee took note of the information contained in the document.</w:t>
      </w:r>
    </w:p>
    <w:p w14:paraId="13052763" w14:textId="77777777" w:rsidR="00860CB8" w:rsidRPr="003E35FB" w:rsidRDefault="00860CB8" w:rsidP="00FA34FE">
      <w:pPr>
        <w:pStyle w:val="ListParagraph"/>
        <w:ind w:left="567"/>
        <w:rPr>
          <w:rFonts w:ascii="Arial" w:hAnsi="Arial" w:cs="Arial"/>
          <w:sz w:val="22"/>
          <w:szCs w:val="22"/>
          <w:lang w:val="en-US"/>
        </w:rPr>
      </w:pPr>
    </w:p>
    <w:p w14:paraId="47C4C7C6" w14:textId="77777777" w:rsidR="00860CB8" w:rsidRPr="001E46C4" w:rsidRDefault="00860CB8" w:rsidP="00FA34FE">
      <w:pPr>
        <w:pStyle w:val="ListParagraph"/>
        <w:numPr>
          <w:ilvl w:val="1"/>
          <w:numId w:val="8"/>
        </w:numPr>
        <w:spacing w:after="240" w:line="240" w:lineRule="auto"/>
        <w:ind w:left="567" w:firstLine="0"/>
        <w:rPr>
          <w:rFonts w:ascii="Arial" w:hAnsi="Arial" w:cs="Arial"/>
          <w:sz w:val="22"/>
          <w:szCs w:val="22"/>
          <w:lang w:val="en-US"/>
        </w:rPr>
      </w:pPr>
      <w:r w:rsidRPr="0022143B">
        <w:rPr>
          <w:rFonts w:ascii="Arial" w:hAnsi="Arial" w:cs="Arial"/>
          <w:sz w:val="22"/>
          <w:szCs w:val="22"/>
          <w:lang w:val="en-US"/>
        </w:rPr>
        <w:t xml:space="preserve">The Committee listened to the presentation on “IP EdTech Service: Bridging the Gap in IP Education across Member States” by the Secretariat.  The Committee took note of the information contained in the presentation.  </w:t>
      </w:r>
    </w:p>
    <w:p w14:paraId="6330C35B" w14:textId="77777777" w:rsidR="00860CB8" w:rsidRPr="001E46C4" w:rsidRDefault="00860CB8" w:rsidP="0022143B">
      <w:pPr>
        <w:pStyle w:val="ListParagraph"/>
        <w:rPr>
          <w:rFonts w:ascii="Arial" w:hAnsi="Arial" w:cs="Arial"/>
          <w:sz w:val="22"/>
          <w:szCs w:val="22"/>
          <w:lang w:val="en-US"/>
        </w:rPr>
      </w:pPr>
    </w:p>
    <w:p w14:paraId="60C35E63" w14:textId="77777777" w:rsidR="00860CB8" w:rsidRPr="00090419" w:rsidRDefault="00860CB8" w:rsidP="00FA34FE">
      <w:pPr>
        <w:pStyle w:val="ListParagraph"/>
        <w:numPr>
          <w:ilvl w:val="0"/>
          <w:numId w:val="8"/>
        </w:numPr>
        <w:spacing w:after="240" w:line="240" w:lineRule="auto"/>
        <w:ind w:left="0" w:firstLine="0"/>
        <w:rPr>
          <w:rFonts w:ascii="Arial" w:hAnsi="Arial" w:cs="Arial"/>
          <w:sz w:val="22"/>
          <w:szCs w:val="22"/>
          <w:lang w:val="en-US"/>
        </w:rPr>
      </w:pPr>
      <w:r w:rsidRPr="001E46C4">
        <w:rPr>
          <w:rFonts w:ascii="Arial" w:hAnsi="Arial" w:cs="Arial"/>
          <w:sz w:val="22"/>
          <w:szCs w:val="22"/>
          <w:lang w:val="en-US"/>
        </w:rPr>
        <w:t>Under Agenda Item 7, the Secretariat delivered a presentation on “Artificial Intelligence (AI) Impacts for IP and Development,” led by Mr. Kenichiro Natsume, Assistant Director General of the Infrastructure and Platforms Sector.  Some Delegations highlighted the role of IP in fostering AI-driven solutions for societal challenges and/or underscored the importance of ethical, transparent, and sustainable AI development to accelerate progress towards sustainable development, promote innovation, and strengthen local AI ecosystems as a way to support human dignity, equality, and justice.  Mr. Natsume appreciated Member States’ support and suggestions in advancing discussions on AI in WIPO.</w:t>
      </w:r>
      <w:r w:rsidRPr="00090419">
        <w:rPr>
          <w:rFonts w:ascii="Arial" w:hAnsi="Arial" w:cs="Arial"/>
          <w:sz w:val="22"/>
          <w:szCs w:val="22"/>
          <w:lang w:val="en-US"/>
        </w:rPr>
        <w:t xml:space="preserve">  </w:t>
      </w:r>
    </w:p>
    <w:p w14:paraId="4208DE1F" w14:textId="77777777" w:rsidR="00860CB8" w:rsidRPr="000B673A" w:rsidRDefault="00860CB8" w:rsidP="000B673A">
      <w:pPr>
        <w:pStyle w:val="ListParagraph"/>
        <w:rPr>
          <w:rFonts w:ascii="Arial" w:hAnsi="Arial" w:cs="Arial"/>
          <w:sz w:val="22"/>
          <w:szCs w:val="22"/>
          <w:lang w:val="en-US"/>
        </w:rPr>
      </w:pPr>
    </w:p>
    <w:p w14:paraId="693E2327" w14:textId="77777777" w:rsidR="00860CB8" w:rsidRDefault="00860CB8" w:rsidP="00FA34FE">
      <w:pPr>
        <w:pStyle w:val="ListParagraph"/>
        <w:numPr>
          <w:ilvl w:val="0"/>
          <w:numId w:val="8"/>
        </w:numPr>
        <w:spacing w:after="240" w:line="240" w:lineRule="auto"/>
        <w:ind w:left="0" w:firstLine="0"/>
        <w:rPr>
          <w:rFonts w:ascii="Arial" w:hAnsi="Arial" w:cs="Arial"/>
          <w:sz w:val="22"/>
          <w:szCs w:val="22"/>
          <w:lang w:val="en-US"/>
        </w:rPr>
      </w:pPr>
      <w:r w:rsidRPr="000B673A">
        <w:rPr>
          <w:rFonts w:ascii="Arial" w:hAnsi="Arial" w:cs="Arial"/>
          <w:sz w:val="22"/>
          <w:szCs w:val="22"/>
          <w:lang w:val="en-US"/>
        </w:rPr>
        <w:t xml:space="preserve">Under Agenda Item </w:t>
      </w:r>
      <w:r>
        <w:rPr>
          <w:rFonts w:ascii="Arial" w:hAnsi="Arial" w:cs="Arial"/>
          <w:sz w:val="22"/>
          <w:szCs w:val="22"/>
          <w:lang w:val="en-US"/>
        </w:rPr>
        <w:t>8</w:t>
      </w:r>
      <w:r w:rsidRPr="000B673A">
        <w:rPr>
          <w:rFonts w:ascii="Arial" w:hAnsi="Arial" w:cs="Arial"/>
          <w:sz w:val="22"/>
          <w:szCs w:val="22"/>
          <w:lang w:val="en-US"/>
        </w:rPr>
        <w:t xml:space="preserve"> on Future Work, the Committee agreed upon a list of issues and documents for the next session, as read out by the Secretariat. </w:t>
      </w:r>
    </w:p>
    <w:p w14:paraId="0FD76B7C" w14:textId="77777777" w:rsidR="00860CB8" w:rsidRPr="000B673A" w:rsidRDefault="00860CB8" w:rsidP="000B673A">
      <w:pPr>
        <w:pStyle w:val="ListParagraph"/>
        <w:rPr>
          <w:rFonts w:ascii="Arial" w:hAnsi="Arial" w:cs="Arial"/>
          <w:sz w:val="22"/>
          <w:szCs w:val="22"/>
          <w:lang w:val="en-US"/>
        </w:rPr>
      </w:pPr>
    </w:p>
    <w:p w14:paraId="56431F21" w14:textId="3E6C3805" w:rsidR="00860CB8" w:rsidRDefault="00860CB8" w:rsidP="00FA34FE">
      <w:pPr>
        <w:pStyle w:val="ListParagraph"/>
        <w:numPr>
          <w:ilvl w:val="0"/>
          <w:numId w:val="8"/>
        </w:numPr>
        <w:spacing w:after="240" w:line="240" w:lineRule="auto"/>
        <w:ind w:left="0" w:firstLine="0"/>
        <w:rPr>
          <w:rFonts w:ascii="Arial" w:hAnsi="Arial" w:cs="Arial"/>
          <w:sz w:val="22"/>
          <w:szCs w:val="22"/>
          <w:lang w:val="en-US"/>
        </w:rPr>
      </w:pPr>
      <w:r w:rsidRPr="00EE25BB">
        <w:rPr>
          <w:rFonts w:ascii="Arial" w:hAnsi="Arial" w:cs="Arial"/>
          <w:sz w:val="22"/>
          <w:szCs w:val="22"/>
          <w:lang w:val="en-US"/>
        </w:rPr>
        <w:t xml:space="preserve">The Committee noted that, in line with paragraph 30 of the Summary Report of the </w:t>
      </w:r>
      <w:r w:rsidR="00FA34FE">
        <w:rPr>
          <w:rFonts w:ascii="Arial" w:hAnsi="Arial" w:cs="Arial"/>
          <w:sz w:val="22"/>
          <w:szCs w:val="22"/>
          <w:lang w:val="en-US"/>
        </w:rPr>
        <w:br/>
      </w:r>
      <w:r w:rsidRPr="00EE25BB">
        <w:rPr>
          <w:rFonts w:ascii="Arial" w:hAnsi="Arial" w:cs="Arial"/>
          <w:sz w:val="22"/>
          <w:szCs w:val="22"/>
          <w:lang w:val="en-US"/>
        </w:rPr>
        <w:t xml:space="preserve">sixty-second series of Meetings of the </w:t>
      </w:r>
      <w:r w:rsidRPr="00984DCD">
        <w:rPr>
          <w:rFonts w:ascii="Arial" w:hAnsi="Arial" w:cs="Arial"/>
          <w:sz w:val="22"/>
          <w:szCs w:val="22"/>
          <w:lang w:val="en-US"/>
        </w:rPr>
        <w:t>Assemblies of the Member States of WIPO</w:t>
      </w:r>
      <w:r w:rsidRPr="00EE25BB">
        <w:rPr>
          <w:rFonts w:ascii="Arial" w:hAnsi="Arial" w:cs="Arial"/>
          <w:sz w:val="22"/>
          <w:szCs w:val="22"/>
          <w:lang w:val="en-US"/>
        </w:rPr>
        <w:t xml:space="preserve"> (A/62/12), the verbatim reports of the CDIP sessions would be replaced by automated speech-to-text transcripts and translations, synchronized with the video recording.  Accordingly, the report of the current session will be made available in</w:t>
      </w:r>
      <w:r w:rsidRPr="000B673A">
        <w:rPr>
          <w:rFonts w:ascii="Arial" w:hAnsi="Arial" w:cs="Arial"/>
          <w:sz w:val="22"/>
          <w:szCs w:val="22"/>
          <w:lang w:val="en-US"/>
        </w:rPr>
        <w:t xml:space="preserve"> that form. </w:t>
      </w:r>
      <w:r>
        <w:rPr>
          <w:rFonts w:ascii="Arial" w:hAnsi="Arial" w:cs="Arial"/>
          <w:sz w:val="22"/>
          <w:szCs w:val="22"/>
          <w:lang w:val="en-US"/>
        </w:rPr>
        <w:t xml:space="preserve"> </w:t>
      </w:r>
      <w:r w:rsidRPr="000B673A">
        <w:rPr>
          <w:rFonts w:ascii="Arial" w:hAnsi="Arial" w:cs="Arial"/>
          <w:sz w:val="22"/>
          <w:szCs w:val="22"/>
          <w:lang w:val="en-US"/>
        </w:rPr>
        <w:t>In order to help improve the automated speech-to-text technology, Delegations are requested to provide corrections of substantial nature to the Secretariat, preferably four weeks before the following session of the Committee.</w:t>
      </w:r>
    </w:p>
    <w:p w14:paraId="680E1FD5" w14:textId="77777777" w:rsidR="00860CB8" w:rsidRPr="000B673A" w:rsidRDefault="00860CB8" w:rsidP="000B673A">
      <w:pPr>
        <w:pStyle w:val="ListParagraph"/>
        <w:rPr>
          <w:rFonts w:ascii="Arial" w:hAnsi="Arial" w:cs="Arial"/>
          <w:sz w:val="22"/>
          <w:szCs w:val="22"/>
          <w:lang w:val="en-US"/>
        </w:rPr>
      </w:pPr>
    </w:p>
    <w:p w14:paraId="00E82F56" w14:textId="381E6D05" w:rsidR="00860CB8" w:rsidRDefault="00860CB8" w:rsidP="00FA34FE">
      <w:pPr>
        <w:pStyle w:val="ListParagraph"/>
        <w:numPr>
          <w:ilvl w:val="0"/>
          <w:numId w:val="8"/>
        </w:numPr>
        <w:spacing w:after="0" w:line="240" w:lineRule="auto"/>
        <w:ind w:left="0" w:firstLine="0"/>
        <w:contextualSpacing w:val="0"/>
        <w:rPr>
          <w:rFonts w:ascii="Arial" w:hAnsi="Arial" w:cs="Arial"/>
          <w:sz w:val="22"/>
          <w:szCs w:val="22"/>
          <w:lang w:val="en-US"/>
        </w:rPr>
      </w:pPr>
      <w:r w:rsidRPr="000B673A">
        <w:rPr>
          <w:rFonts w:ascii="Arial" w:hAnsi="Arial" w:cs="Arial"/>
          <w:sz w:val="22"/>
          <w:szCs w:val="22"/>
          <w:lang w:val="en-US"/>
        </w:rPr>
        <w:t xml:space="preserve"> This summary will constitute the Committee’s report to the</w:t>
      </w:r>
      <w:r w:rsidR="00984DCD">
        <w:rPr>
          <w:rFonts w:ascii="Arial" w:hAnsi="Arial" w:cs="Arial"/>
          <w:sz w:val="22"/>
          <w:szCs w:val="22"/>
          <w:lang w:val="en-US"/>
        </w:rPr>
        <w:t xml:space="preserve"> </w:t>
      </w:r>
      <w:r w:rsidRPr="00984DCD">
        <w:rPr>
          <w:rFonts w:ascii="Arial" w:hAnsi="Arial" w:cs="Arial"/>
          <w:sz w:val="22"/>
          <w:szCs w:val="22"/>
          <w:lang w:val="en-US"/>
        </w:rPr>
        <w:t>General Assembly.</w:t>
      </w:r>
      <w:r w:rsidRPr="000B673A">
        <w:rPr>
          <w:rFonts w:ascii="Arial" w:hAnsi="Arial" w:cs="Arial"/>
          <w:sz w:val="22"/>
          <w:szCs w:val="22"/>
          <w:lang w:val="en-US"/>
        </w:rPr>
        <w:t xml:space="preserve"> </w:t>
      </w:r>
    </w:p>
    <w:p w14:paraId="6F7043C4" w14:textId="195ACEF4" w:rsidR="003E0908" w:rsidRDefault="00860CB8" w:rsidP="003E0908">
      <w:pPr>
        <w:tabs>
          <w:tab w:val="left" w:pos="5529"/>
        </w:tabs>
        <w:spacing w:before="720"/>
        <w:ind w:left="5534"/>
        <w:rPr>
          <w:szCs w:val="22"/>
        </w:rPr>
      </w:pPr>
      <w:r w:rsidRPr="003E0908">
        <w:rPr>
          <w:szCs w:val="22"/>
        </w:rPr>
        <w:t>[</w:t>
      </w:r>
      <w:r w:rsidRPr="000B673A">
        <w:rPr>
          <w:szCs w:val="22"/>
        </w:rPr>
        <w:t>End of document]</w:t>
      </w:r>
      <w:bookmarkEnd w:id="4"/>
      <w:r w:rsidR="003E0908">
        <w:rPr>
          <w:szCs w:val="22"/>
        </w:rPr>
        <w:br w:type="page"/>
      </w:r>
    </w:p>
    <w:p w14:paraId="70094739" w14:textId="77777777" w:rsidR="003E0908" w:rsidRDefault="003E0908" w:rsidP="003E0908">
      <w:pPr>
        <w:tabs>
          <w:tab w:val="left" w:pos="5529"/>
        </w:tabs>
        <w:spacing w:before="720"/>
        <w:ind w:left="5534"/>
        <w:rPr>
          <w:szCs w:val="22"/>
        </w:rPr>
        <w:sectPr w:rsidR="003E0908" w:rsidSect="003E0908">
          <w:headerReference w:type="default" r:id="rId14"/>
          <w:endnotePr>
            <w:numFmt w:val="decimal"/>
          </w:endnotePr>
          <w:pgSz w:w="11907" w:h="16840" w:code="9"/>
          <w:pgMar w:top="709" w:right="1134" w:bottom="1418" w:left="1418" w:header="510" w:footer="1021" w:gutter="0"/>
          <w:pgNumType w:start="1"/>
          <w:cols w:space="720"/>
          <w:titlePg/>
          <w:docGrid w:linePitch="299"/>
        </w:sectPr>
      </w:pPr>
    </w:p>
    <w:p w14:paraId="18DF1FEC" w14:textId="77777777" w:rsidR="003E0908" w:rsidRPr="00F043DE" w:rsidRDefault="003E0908" w:rsidP="001F5900">
      <w:pPr>
        <w:pBdr>
          <w:bottom w:val="single" w:sz="4" w:space="11" w:color="auto"/>
        </w:pBdr>
        <w:spacing w:before="360" w:after="240"/>
        <w:jc w:val="right"/>
        <w:rPr>
          <w:b/>
          <w:sz w:val="32"/>
          <w:szCs w:val="40"/>
        </w:rPr>
      </w:pPr>
      <w:r>
        <w:rPr>
          <w:noProof/>
          <w:sz w:val="28"/>
          <w:szCs w:val="28"/>
          <w:lang w:eastAsia="en-US"/>
        </w:rPr>
        <w:lastRenderedPageBreak/>
        <w:drawing>
          <wp:inline distT="0" distB="0" distL="0" distR="0" wp14:anchorId="10CBEDA2" wp14:editId="7A68205D">
            <wp:extent cx="3043149" cy="1308100"/>
            <wp:effectExtent l="0" t="0" r="5080" b="6350"/>
            <wp:docPr id="817093420" name="Picture 817093420"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2D86F09" w14:textId="77777777" w:rsidR="003E0908" w:rsidRPr="000A3D97" w:rsidRDefault="003E0908" w:rsidP="00EB2F76">
      <w:pPr>
        <w:jc w:val="right"/>
        <w:rPr>
          <w:rFonts w:ascii="Arial Black" w:hAnsi="Arial Black"/>
          <w:caps/>
          <w:sz w:val="15"/>
          <w:szCs w:val="15"/>
        </w:rPr>
      </w:pPr>
      <w:r w:rsidRPr="000A3D97">
        <w:rPr>
          <w:rFonts w:ascii="Arial Black" w:hAnsi="Arial Black"/>
          <w:caps/>
          <w:sz w:val="15"/>
          <w:szCs w:val="15"/>
        </w:rPr>
        <w:t>ORIGINAL:</w:t>
      </w:r>
      <w:r>
        <w:rPr>
          <w:rFonts w:ascii="Arial Black" w:hAnsi="Arial Black"/>
          <w:caps/>
          <w:sz w:val="15"/>
          <w:szCs w:val="15"/>
        </w:rPr>
        <w:t xml:space="preserve"> ENGLISH</w:t>
      </w:r>
      <w:r w:rsidRPr="000A3D97">
        <w:rPr>
          <w:rFonts w:ascii="Arial Black" w:hAnsi="Arial Black"/>
          <w:caps/>
          <w:sz w:val="15"/>
          <w:szCs w:val="15"/>
        </w:rPr>
        <w:t xml:space="preserve"> </w:t>
      </w:r>
    </w:p>
    <w:p w14:paraId="04287EFF" w14:textId="77777777" w:rsidR="003E0908" w:rsidRPr="000A3D97" w:rsidRDefault="003E0908" w:rsidP="008353ED">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MAY 9, 2025</w:t>
      </w:r>
    </w:p>
    <w:p w14:paraId="209C9E22" w14:textId="77777777" w:rsidR="003E0908" w:rsidRPr="00720EFD" w:rsidRDefault="003E0908" w:rsidP="00720EFD">
      <w:pPr>
        <w:pStyle w:val="Heading1"/>
        <w:spacing w:before="0" w:after="480"/>
        <w:rPr>
          <w:sz w:val="28"/>
          <w:szCs w:val="28"/>
        </w:rPr>
      </w:pPr>
      <w:r w:rsidRPr="00446147">
        <w:rPr>
          <w:bCs w:val="0"/>
          <w:caps w:val="0"/>
          <w:kern w:val="0"/>
          <w:sz w:val="28"/>
          <w:szCs w:val="28"/>
        </w:rPr>
        <w:t>Committee on Development and Intellectual Property (CDIP)</w:t>
      </w:r>
    </w:p>
    <w:p w14:paraId="336B393F" w14:textId="77777777" w:rsidR="003E0908" w:rsidRPr="007A6952" w:rsidRDefault="003E0908" w:rsidP="0000632E">
      <w:pPr>
        <w:spacing w:after="720"/>
        <w:outlineLvl w:val="1"/>
        <w:rPr>
          <w:b/>
          <w:sz w:val="24"/>
          <w:szCs w:val="24"/>
        </w:rPr>
      </w:pPr>
      <w:r>
        <w:rPr>
          <w:b/>
          <w:sz w:val="24"/>
          <w:szCs w:val="24"/>
        </w:rPr>
        <w:t>Thirty-Fourth</w:t>
      </w:r>
      <w:r w:rsidRPr="007A6952">
        <w:rPr>
          <w:b/>
          <w:sz w:val="24"/>
          <w:szCs w:val="24"/>
        </w:rPr>
        <w:t xml:space="preserve"> Session</w:t>
      </w:r>
      <w:r w:rsidRPr="007A6952">
        <w:rPr>
          <w:b/>
          <w:sz w:val="24"/>
          <w:szCs w:val="24"/>
        </w:rPr>
        <w:br/>
        <w:t xml:space="preserve">Geneva, </w:t>
      </w:r>
      <w:r>
        <w:rPr>
          <w:b/>
          <w:bCs/>
          <w:sz w:val="24"/>
          <w:szCs w:val="24"/>
        </w:rPr>
        <w:t>May 5 to 9, 2025</w:t>
      </w:r>
    </w:p>
    <w:p w14:paraId="337FF6E3" w14:textId="77777777" w:rsidR="003E0908" w:rsidRPr="006B1113" w:rsidRDefault="003E0908" w:rsidP="00984DCD">
      <w:pPr>
        <w:pStyle w:val="Heading2"/>
        <w:spacing w:before="720" w:after="960"/>
      </w:pPr>
      <w:r w:rsidRPr="006B1113">
        <w:t>SUMMARY BY THE CHAIR</w:t>
      </w:r>
    </w:p>
    <w:p w14:paraId="4F2F2381" w14:textId="77777777" w:rsidR="003E0908" w:rsidRPr="00A804DC" w:rsidRDefault="003E0908" w:rsidP="003E0908">
      <w:pPr>
        <w:pStyle w:val="ListParagraph"/>
        <w:numPr>
          <w:ilvl w:val="0"/>
          <w:numId w:val="12"/>
        </w:numPr>
        <w:spacing w:after="240" w:line="240" w:lineRule="auto"/>
        <w:ind w:left="0" w:firstLine="0"/>
        <w:contextualSpacing w:val="0"/>
        <w:rPr>
          <w:rStyle w:val="Strong"/>
          <w:rFonts w:ascii="Arial" w:hAnsi="Arial" w:cs="Arial"/>
          <w:b w:val="0"/>
          <w:sz w:val="22"/>
          <w:szCs w:val="22"/>
          <w:lang w:val="en-US"/>
        </w:rPr>
      </w:pPr>
      <w:r w:rsidRPr="00A804DC">
        <w:rPr>
          <w:rStyle w:val="Strong"/>
          <w:rFonts w:ascii="Arial" w:hAnsi="Arial" w:cs="Arial"/>
          <w:b w:val="0"/>
          <w:sz w:val="22"/>
          <w:szCs w:val="22"/>
          <w:lang w:val="en-US"/>
        </w:rPr>
        <w:t xml:space="preserve">The </w:t>
      </w:r>
      <w:r w:rsidRPr="00A804DC">
        <w:rPr>
          <w:rFonts w:ascii="Arial" w:hAnsi="Arial" w:cs="Arial"/>
          <w:bCs/>
          <w:sz w:val="22"/>
          <w:szCs w:val="22"/>
          <w:lang w:val="en-US"/>
        </w:rPr>
        <w:t>thirty-fourth session of the Committee on Development and Intellectual Property (CDIP) was held from May 5 to 9, 2025, in a hybrid format</w:t>
      </w:r>
      <w:r w:rsidRPr="00A804DC">
        <w:rPr>
          <w:rFonts w:ascii="Arial" w:hAnsi="Arial" w:cs="Arial"/>
          <w:sz w:val="22"/>
          <w:szCs w:val="22"/>
          <w:lang w:val="en-US"/>
        </w:rPr>
        <w:t xml:space="preserve">.  The CDIP session </w:t>
      </w:r>
      <w:r w:rsidRPr="00A804DC">
        <w:rPr>
          <w:rFonts w:ascii="Arial" w:hAnsi="Arial" w:cs="Arial"/>
          <w:bCs/>
          <w:sz w:val="22"/>
          <w:szCs w:val="22"/>
          <w:lang w:val="en-US"/>
        </w:rPr>
        <w:t xml:space="preserve">was attended </w:t>
      </w:r>
      <w:r w:rsidRPr="00A804DC">
        <w:rPr>
          <w:rFonts w:ascii="Arial" w:hAnsi="Arial" w:cs="Arial"/>
          <w:bCs/>
          <w:color w:val="000000" w:themeColor="text1"/>
          <w:sz w:val="22"/>
          <w:szCs w:val="22"/>
          <w:lang w:val="en-US"/>
        </w:rPr>
        <w:t xml:space="preserve">by 92 Member States and 27 Observers.  </w:t>
      </w:r>
      <w:r w:rsidRPr="00A804DC">
        <w:rPr>
          <w:rFonts w:ascii="Arial" w:hAnsi="Arial" w:cs="Arial"/>
          <w:bCs/>
          <w:sz w:val="22"/>
          <w:szCs w:val="22"/>
          <w:lang w:val="en-US"/>
        </w:rPr>
        <w:t>The session was opened by Mr. Hasan Kleib, Deputy Director General, Regional and National Development Sector of the World Intellectual Property Organization (WIPO)</w:t>
      </w:r>
      <w:r w:rsidRPr="00A804DC">
        <w:rPr>
          <w:rStyle w:val="Strong"/>
          <w:rFonts w:ascii="Arial" w:hAnsi="Arial" w:cs="Arial"/>
          <w:b w:val="0"/>
          <w:sz w:val="22"/>
          <w:szCs w:val="22"/>
          <w:lang w:val="en-US"/>
        </w:rPr>
        <w:t>.</w:t>
      </w:r>
    </w:p>
    <w:p w14:paraId="5E71D8D0"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bCs/>
          <w:sz w:val="22"/>
          <w:szCs w:val="22"/>
          <w:lang w:val="en-US"/>
        </w:rPr>
      </w:pPr>
      <w:r w:rsidRPr="00A804DC">
        <w:rPr>
          <w:rFonts w:ascii="Arial" w:hAnsi="Arial" w:cs="Arial"/>
          <w:bCs/>
          <w:sz w:val="22"/>
          <w:szCs w:val="22"/>
          <w:lang w:val="en-US"/>
        </w:rPr>
        <w:t>Under Agenda Item 2, the Committee elected Her Excellency Ms. Pimchanok Vonkorpon Pitfield, Ambassador and Permanent Representative of Thailand to the World Trade Organization (WTO) and WIPO, as Chair;  Mr. Mohamed Adel Mohamed Hassanin, First Secretary, Permanent Mission of Egypt to the United Nations Office at Geneva and Mr. Rodrigo López Tovar, Second Secretary, Permanent Mission of Mexico to the United Nations Office at Geneva, as Vice</w:t>
      </w:r>
      <w:r w:rsidRPr="00A804DC">
        <w:rPr>
          <w:rFonts w:ascii="Arial" w:hAnsi="Arial" w:cs="Arial"/>
          <w:bCs/>
          <w:sz w:val="22"/>
          <w:szCs w:val="22"/>
          <w:lang w:val="en-US"/>
        </w:rPr>
        <w:noBreakHyphen/>
        <w:t>Chairs, for a period of one year, for their terms of office beginning at the thirty</w:t>
      </w:r>
      <w:r w:rsidRPr="00A804DC">
        <w:rPr>
          <w:rFonts w:ascii="Arial" w:hAnsi="Arial" w:cs="Arial"/>
          <w:bCs/>
          <w:sz w:val="22"/>
          <w:szCs w:val="22"/>
          <w:lang w:val="en-US"/>
        </w:rPr>
        <w:noBreakHyphen/>
        <w:t>fourth CDIP session.</w:t>
      </w:r>
    </w:p>
    <w:p w14:paraId="5097924E"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bCs/>
          <w:sz w:val="22"/>
          <w:szCs w:val="22"/>
          <w:lang w:val="en-US"/>
        </w:rPr>
      </w:pPr>
      <w:r w:rsidRPr="00A804DC">
        <w:rPr>
          <w:rFonts w:ascii="Arial" w:hAnsi="Arial" w:cs="Arial"/>
          <w:bCs/>
          <w:sz w:val="22"/>
          <w:szCs w:val="22"/>
          <w:lang w:val="en-US"/>
        </w:rPr>
        <w:t>Under Agenda Item 3, the Committee adopted the Draft Agenda contained in document CDIP/34/1 Prov. 3.</w:t>
      </w:r>
    </w:p>
    <w:p w14:paraId="61D4A602"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sz w:val="22"/>
          <w:szCs w:val="22"/>
          <w:lang w:val="en-US"/>
        </w:rPr>
      </w:pPr>
      <w:r w:rsidRPr="00A804DC">
        <w:rPr>
          <w:rFonts w:ascii="Arial" w:hAnsi="Arial" w:cs="Arial"/>
          <w:bCs/>
          <w:sz w:val="22"/>
          <w:szCs w:val="22"/>
          <w:lang w:val="en-US"/>
        </w:rPr>
        <w:t xml:space="preserve">Under Agenda Item 4, </w:t>
      </w:r>
      <w:r w:rsidRPr="00A804DC">
        <w:rPr>
          <w:rFonts w:ascii="Arial" w:hAnsi="Arial" w:cs="Arial"/>
          <w:sz w:val="22"/>
          <w:szCs w:val="22"/>
          <w:lang w:val="en-US"/>
        </w:rPr>
        <w:t xml:space="preserve">Delegations made general statements highlighting the ongoing commitment and works of WIPO in implementing and mainstreaming the Development Agenda Recommendations, and the Organization’s efforts in aligning its activities with the Development Agenda principles.  Member States commended the technical assistance and capacity building initiatives and projects of WIPO, which reach a broad range of stakeholders and provide tangible benefits across various regions.  Delegations also expressed their appreciation for the convening of the International Conference on Intellectual Property and Development – The Role of IP and Innovation in Addressing Global Public Health Challenges:  Fostering Technological Transfer and Collaborations, held on May 5, 2025, acknowledging the success of the event in terms of the quality of the presentations, structure and logistical arrangements.  </w:t>
      </w:r>
    </w:p>
    <w:p w14:paraId="35F1753E"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sz w:val="22"/>
          <w:szCs w:val="22"/>
          <w:lang w:val="en-US"/>
        </w:rPr>
      </w:pPr>
      <w:r w:rsidRPr="00A804DC">
        <w:rPr>
          <w:rFonts w:ascii="Arial" w:hAnsi="Arial" w:cs="Arial"/>
          <w:bCs/>
          <w:sz w:val="22"/>
          <w:szCs w:val="22"/>
          <w:lang w:val="en-US"/>
        </w:rPr>
        <w:lastRenderedPageBreak/>
        <w:t>Under Agenda Item 5, the Committee considered the following:</w:t>
      </w:r>
      <w:bookmarkStart w:id="20" w:name="_Hlk165297924"/>
    </w:p>
    <w:bookmarkEnd w:id="20"/>
    <w:p w14:paraId="0B2B8F30" w14:textId="77777777" w:rsidR="003E0908" w:rsidRPr="00A804DC" w:rsidRDefault="003E0908" w:rsidP="003E0908">
      <w:pPr>
        <w:pStyle w:val="ListParagraph"/>
        <w:numPr>
          <w:ilvl w:val="1"/>
          <w:numId w:val="12"/>
        </w:numPr>
        <w:spacing w:after="240" w:line="240" w:lineRule="auto"/>
        <w:ind w:left="634" w:firstLine="0"/>
        <w:contextualSpacing w:val="0"/>
        <w:rPr>
          <w:rFonts w:ascii="Arial" w:hAnsi="Arial" w:cs="Arial"/>
          <w:sz w:val="22"/>
          <w:szCs w:val="22"/>
          <w:lang w:val="en-US"/>
        </w:rPr>
      </w:pPr>
      <w:r w:rsidRPr="00A804DC">
        <w:rPr>
          <w:rFonts w:ascii="Arial" w:hAnsi="Arial" w:cs="Arial"/>
          <w:sz w:val="22"/>
          <w:szCs w:val="22"/>
          <w:lang w:val="en-US"/>
        </w:rPr>
        <w:t xml:space="preserve">Director General’s Report on the Implementation of the Development Agenda contained in document CDIP/34/2.  The Report was introduced by Mr. Hasan Kleib, Deputy Director General of the </w:t>
      </w:r>
      <w:r w:rsidRPr="00A804DC">
        <w:rPr>
          <w:rFonts w:ascii="Arial" w:hAnsi="Arial" w:cs="Arial"/>
          <w:bCs/>
          <w:sz w:val="22"/>
          <w:szCs w:val="22"/>
          <w:lang w:val="en-US"/>
        </w:rPr>
        <w:t>Regional and National Development Sector</w:t>
      </w:r>
      <w:r w:rsidRPr="00A804DC">
        <w:rPr>
          <w:rFonts w:ascii="Arial" w:hAnsi="Arial" w:cs="Arial"/>
          <w:sz w:val="22"/>
          <w:szCs w:val="22"/>
          <w:lang w:val="en-US"/>
        </w:rPr>
        <w:t>, on behalf of the Director General.  He stated that throughout 2024, the Organization worked diligently to mainstream the Development Agenda across each WIPO Sector, while aligning the work of the Organization with the Medium-Term Strategic Plan 2022 – 2026.  In response to the statements, Mr. Kleib appreciated the support of Member States.  The Committee took note of the information contained in the document and its Annexes.</w:t>
      </w:r>
    </w:p>
    <w:p w14:paraId="2120D8BD" w14:textId="77777777" w:rsidR="003E0908" w:rsidRPr="00A804DC" w:rsidRDefault="003E0908" w:rsidP="003E0908">
      <w:pPr>
        <w:pStyle w:val="ListParagraph"/>
        <w:numPr>
          <w:ilvl w:val="1"/>
          <w:numId w:val="12"/>
        </w:numPr>
        <w:spacing w:after="240" w:line="240" w:lineRule="auto"/>
        <w:ind w:left="634" w:firstLine="0"/>
        <w:contextualSpacing w:val="0"/>
        <w:rPr>
          <w:rFonts w:ascii="Arial" w:hAnsi="Arial" w:cs="Arial"/>
          <w:sz w:val="22"/>
          <w:szCs w:val="22"/>
          <w:lang w:val="en-US"/>
        </w:rPr>
      </w:pPr>
      <w:r w:rsidRPr="00A804DC">
        <w:rPr>
          <w:rFonts w:ascii="Arial" w:hAnsi="Arial" w:cs="Arial"/>
          <w:sz w:val="22"/>
          <w:szCs w:val="22"/>
          <w:lang w:val="en-US"/>
        </w:rPr>
        <w:t>Report on WIPO’s Contribution to the Implementation of the Sustainable Development Goals and its Associated Targets contained in document CDIP/34/3.  The Report was presented by Mr. Edward Kwakwa, Assistant Director General of the Global Challenges and Partnerships Sector.  Mr. Kwakwa mentioned that in 2024, within its mandate, WIPO was fully engaged in the implementation of the 2030 Agenda in terms of the activities and initiatives undertaken individually by WIPO, and activities undertaken by WIPO as part of the United Nations system.  The Committee took note of the information contained in that document.</w:t>
      </w:r>
    </w:p>
    <w:p w14:paraId="04279C43" w14:textId="77777777" w:rsidR="003E0908" w:rsidRPr="00A804DC" w:rsidRDefault="003E0908" w:rsidP="003E0908">
      <w:pPr>
        <w:pStyle w:val="ListParagraph"/>
        <w:numPr>
          <w:ilvl w:val="0"/>
          <w:numId w:val="12"/>
        </w:numPr>
        <w:spacing w:after="240" w:line="240" w:lineRule="auto"/>
        <w:ind w:left="0" w:firstLine="0"/>
        <w:contextualSpacing w:val="0"/>
        <w:rPr>
          <w:rStyle w:val="Strong"/>
          <w:rFonts w:ascii="Arial" w:hAnsi="Arial" w:cs="Arial"/>
          <w:b w:val="0"/>
          <w:sz w:val="22"/>
          <w:szCs w:val="22"/>
          <w:lang w:val="en-US"/>
        </w:rPr>
      </w:pPr>
      <w:r w:rsidRPr="00A804DC">
        <w:rPr>
          <w:rStyle w:val="Strong"/>
          <w:rFonts w:ascii="Arial" w:hAnsi="Arial" w:cs="Arial"/>
          <w:b w:val="0"/>
          <w:sz w:val="22"/>
          <w:szCs w:val="22"/>
          <w:lang w:val="en-US"/>
        </w:rPr>
        <w:t>Under Agenda Item 5 (i), the Committee discussed the Independent External Review of WIPO’s Technical Assistance in the Area of Cooperation for Development (document CDIP/33/4 CORR.) and the Secretariat’s Response on the Status of the Recommendations of the Independent External Review of WIPO’s Technical Assistance (document CDIP/34/8).  The Committee decided to continue the discussion on the External Review and the status of its recommendations at its following session.  Proposals for Category B – Recommendations that merit further consideration, and Category C – Recommendations that are already reflected in WIPO activities but still merit further considerations, as contained in document CDIP/34/8, should be sent to the Secretariat by August 4, 2025, to be discussed at the next Committee session.</w:t>
      </w:r>
    </w:p>
    <w:p w14:paraId="7EA26265"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bCs/>
          <w:sz w:val="22"/>
          <w:szCs w:val="22"/>
          <w:lang w:val="en-US"/>
        </w:rPr>
      </w:pPr>
      <w:r w:rsidRPr="00A804DC">
        <w:rPr>
          <w:rFonts w:ascii="Arial" w:hAnsi="Arial" w:cs="Arial"/>
          <w:bCs/>
          <w:sz w:val="22"/>
          <w:szCs w:val="22"/>
          <w:lang w:val="en-US"/>
        </w:rPr>
        <w:t xml:space="preserve">Under Agenda Item 6, the Committee considered the following: </w:t>
      </w:r>
    </w:p>
    <w:p w14:paraId="36A5B567"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sz w:val="22"/>
          <w:szCs w:val="22"/>
          <w:lang w:val="en-US"/>
        </w:rPr>
        <w:t>Continuation of discussion on the</w:t>
      </w:r>
      <w:r w:rsidRPr="00A804DC">
        <w:rPr>
          <w:rFonts w:ascii="Arial" w:hAnsi="Arial" w:cs="Arial"/>
          <w:bCs/>
          <w:sz w:val="22"/>
          <w:szCs w:val="22"/>
          <w:lang w:val="en-US"/>
        </w:rPr>
        <w:t xml:space="preserve"> Implementation of the Adopted Recommendations of the Independent Review – Updated Proposal by the Secretariat and Member States Inputs </w:t>
      </w:r>
      <w:r w:rsidRPr="00A804DC">
        <w:rPr>
          <w:rFonts w:ascii="Arial" w:hAnsi="Arial" w:cs="Arial"/>
          <w:sz w:val="22"/>
          <w:szCs w:val="22"/>
          <w:lang w:val="en-US"/>
        </w:rPr>
        <w:t xml:space="preserve">contained in documents CDIP/29/6 and CDIP/29/6 CORR.  The Committee decided to continue the discussion on implementation strategy 1, proposed by the Secretariat, at its following session. </w:t>
      </w:r>
    </w:p>
    <w:p w14:paraId="0E2CFBE0"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sz w:val="22"/>
          <w:szCs w:val="22"/>
          <w:lang w:val="en-US"/>
        </w:rPr>
        <w:t xml:space="preserve">Revised Project </w:t>
      </w:r>
      <w:r w:rsidRPr="00A804DC">
        <w:rPr>
          <w:rFonts w:ascii="Arial" w:hAnsi="Arial" w:cs="Arial"/>
          <w:bCs/>
          <w:sz w:val="22"/>
          <w:szCs w:val="22"/>
          <w:lang w:val="en-US"/>
        </w:rPr>
        <w:t>Proposal on the Development of Strategies and Tools to Address Cross-Border Trade in Counterfeit Trademark Goods submitted by the United Kingdom, as contained in document CDIP/34/4 REV.  Upon the request of the Delegation of the United Kingdom, the Committee decided to continue discussions on the revised project proposal in its next session.</w:t>
      </w:r>
    </w:p>
    <w:p w14:paraId="6EC7707A"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sz w:val="22"/>
          <w:szCs w:val="22"/>
          <w:lang w:val="en-US"/>
        </w:rPr>
        <w:t>Revised Project Proposal on Promoting the Development of Festival Tourism through Intellectual Property submitted by the Plurinational State of Bolivia and Co</w:t>
      </w:r>
      <w:r w:rsidRPr="00A804DC">
        <w:rPr>
          <w:rFonts w:ascii="Arial" w:hAnsi="Arial" w:cs="Arial"/>
          <w:sz w:val="22"/>
          <w:szCs w:val="22"/>
          <w:lang w:val="en-US"/>
        </w:rPr>
        <w:noBreakHyphen/>
        <w:t>sponsored by India, as contained in document CDIP/34/5 REV. 2.  The Committee approved the revised project, based on the comments made by Member States, and requested the Secretariat to start its implementation as envisaged in the project document.</w:t>
      </w:r>
    </w:p>
    <w:p w14:paraId="7432E9AF"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bCs/>
          <w:sz w:val="22"/>
          <w:szCs w:val="22"/>
          <w:lang w:val="en-US"/>
        </w:rPr>
        <w:t xml:space="preserve">Compilation of Topics Proposed by Member States to be Addressed Under the Agenda Item on “Intellectual Property and Development” </w:t>
      </w:r>
      <w:r w:rsidRPr="00A804DC">
        <w:rPr>
          <w:rFonts w:ascii="Arial" w:hAnsi="Arial" w:cs="Arial"/>
          <w:sz w:val="22"/>
          <w:szCs w:val="22"/>
          <w:lang w:val="en-US"/>
        </w:rPr>
        <w:t xml:space="preserve">contained in document CDIP/34/9.  </w:t>
      </w:r>
      <w:r w:rsidRPr="00A804DC">
        <w:rPr>
          <w:rFonts w:ascii="Arial" w:hAnsi="Arial" w:cs="Arial"/>
          <w:bCs/>
          <w:sz w:val="22"/>
          <w:szCs w:val="22"/>
          <w:lang w:val="en-US"/>
        </w:rPr>
        <w:t xml:space="preserve">The Committee agreed that the topic “Reinforcing and Modernizing IP Offices for Resilience, Efficiency, Accessibilities and Crisis Preparedness in the Digital Era” will </w:t>
      </w:r>
      <w:r w:rsidRPr="00A804DC">
        <w:rPr>
          <w:rFonts w:ascii="Arial" w:hAnsi="Arial" w:cs="Arial"/>
          <w:bCs/>
          <w:sz w:val="22"/>
          <w:szCs w:val="22"/>
          <w:lang w:val="en-US"/>
        </w:rPr>
        <w:lastRenderedPageBreak/>
        <w:t>be discussed at its thirty-fifth session, the topic “IP and the Creative Economy: Protecting Creative Works in the Digital Age, including the impact of AI” at its thirty-sixth session, the topic “The Role of Intellectual Property in Advancing Socio Economic Development” at its thirty-seventh session, and the topic “IP Education and Cultivating IP Talent: National Experiences” at its thirty-eighth session.  The Committee also requested the Secretariat to update the roster of topics with the remaining contributions received.</w:t>
      </w:r>
    </w:p>
    <w:p w14:paraId="603BD808"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bCs/>
          <w:sz w:val="22"/>
          <w:szCs w:val="22"/>
          <w:lang w:val="en-US"/>
        </w:rPr>
        <w:t xml:space="preserve">Compilation of Sub-Topics Proposed by Member States for the International Conference on Intellectual Property and Development </w:t>
      </w:r>
      <w:r w:rsidRPr="00A804DC">
        <w:rPr>
          <w:rFonts w:ascii="Arial" w:hAnsi="Arial" w:cs="Arial"/>
          <w:sz w:val="22"/>
          <w:szCs w:val="22"/>
          <w:lang w:val="en-US"/>
        </w:rPr>
        <w:t>contained in document CDIP/34/10.  T</w:t>
      </w:r>
      <w:r w:rsidRPr="00A804DC">
        <w:rPr>
          <w:rFonts w:ascii="Arial" w:hAnsi="Arial" w:cs="Arial"/>
          <w:bCs/>
          <w:sz w:val="22"/>
          <w:szCs w:val="22"/>
          <w:lang w:val="en-US"/>
        </w:rPr>
        <w:t>he Committee decided that the topic for the International Conference on Intellectual Property and Development to be held in 2027 will be “Unlocking an IP Ecosystem Conducive to Innovation:  SMEs, IP Finance and Development”, while the topic of the Conference to be held in 2029 will be “IP and Tourism”.  Some Delegations requested the Secretariat to organize a side event in the context of the Committee session in 2025 on “20 years of the WIPO Development Agenda”.</w:t>
      </w:r>
    </w:p>
    <w:p w14:paraId="72DB95AD"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bCs/>
          <w:sz w:val="22"/>
          <w:szCs w:val="22"/>
          <w:lang w:val="en-US"/>
        </w:rPr>
        <w:t xml:space="preserve">Summary of the “System for Standardization, Enrichment and Economic Analysis of Intellectual Property and Innovation Data to Support Policy Design (version 2.0)” contained in document CDIP/34/INF/2.  The Committee took note of the information contained in the document and approved, </w:t>
      </w:r>
      <w:r w:rsidRPr="00A804DC">
        <w:rPr>
          <w:rFonts w:ascii="Arial" w:hAnsi="Arial" w:cs="Arial"/>
          <w:sz w:val="22"/>
          <w:szCs w:val="22"/>
          <w:lang w:val="en-US"/>
        </w:rPr>
        <w:t>with no budgetary implications,</w:t>
      </w:r>
      <w:r w:rsidRPr="00A804DC">
        <w:rPr>
          <w:rFonts w:ascii="Arial" w:hAnsi="Arial" w:cs="Arial"/>
          <w:bCs/>
          <w:sz w:val="22"/>
          <w:szCs w:val="22"/>
          <w:lang w:val="en-US"/>
        </w:rPr>
        <w:t xml:space="preserve"> </w:t>
      </w:r>
      <w:r w:rsidRPr="00A804DC">
        <w:rPr>
          <w:rFonts w:ascii="Arial" w:hAnsi="Arial" w:cs="Arial"/>
          <w:sz w:val="22"/>
          <w:szCs w:val="22"/>
          <w:lang w:val="en-US"/>
        </w:rPr>
        <w:t>a 3-month extension (until the end of December 2025) in the implementation of the Development Agenda Project on the Systematization of Statistical Data and the Design and Implementation of a Methodology for Developing Impact Assessments on the Use of the Intellectual Property System (document CDIP/26/4)</w:t>
      </w:r>
      <w:r w:rsidRPr="00A804DC">
        <w:rPr>
          <w:rFonts w:ascii="Arial" w:hAnsi="Arial" w:cs="Arial"/>
          <w:bCs/>
          <w:sz w:val="22"/>
          <w:szCs w:val="22"/>
          <w:lang w:val="en-US"/>
        </w:rPr>
        <w:t>.</w:t>
      </w:r>
    </w:p>
    <w:p w14:paraId="6D0A07D4"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bCs/>
          <w:sz w:val="22"/>
          <w:szCs w:val="22"/>
          <w:lang w:val="en-US"/>
        </w:rPr>
        <w:t>Summary of the “Patent Landscape Report on Occupational Health and Safety” contained in document CDIP/34/INF/3.  The Committee took note of the information contained in the document.</w:t>
      </w:r>
    </w:p>
    <w:p w14:paraId="34DB4521"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bCs/>
          <w:sz w:val="22"/>
          <w:szCs w:val="22"/>
          <w:lang w:val="en-US"/>
        </w:rPr>
        <w:t>Executive Summary of the Scoping Study on the Intersection Between Occupational Safety and Health and Intellectual Property contained in document CDIP/34/INF/4.  The Committee took note of the information contained in the document.</w:t>
      </w:r>
    </w:p>
    <w:p w14:paraId="5AF7D93B" w14:textId="77777777" w:rsidR="003E0908" w:rsidRPr="00A804DC" w:rsidRDefault="003E0908" w:rsidP="003E0908">
      <w:pPr>
        <w:pStyle w:val="ListParagraph"/>
        <w:numPr>
          <w:ilvl w:val="1"/>
          <w:numId w:val="9"/>
        </w:numPr>
        <w:spacing w:after="240" w:line="240" w:lineRule="auto"/>
        <w:ind w:left="634" w:firstLine="0"/>
        <w:contextualSpacing w:val="0"/>
        <w:rPr>
          <w:rFonts w:ascii="Arial" w:hAnsi="Arial" w:cs="Arial"/>
          <w:bCs/>
          <w:sz w:val="22"/>
          <w:szCs w:val="22"/>
          <w:lang w:val="en-US"/>
        </w:rPr>
      </w:pPr>
      <w:r w:rsidRPr="00A804DC">
        <w:rPr>
          <w:rFonts w:ascii="Arial" w:hAnsi="Arial" w:cs="Arial"/>
          <w:bCs/>
          <w:sz w:val="22"/>
          <w:szCs w:val="22"/>
          <w:lang w:val="en-US"/>
        </w:rPr>
        <w:t>The Committee listened to a presentation by the Secretariat titled “IP as a Key Business Enabler: WIPO Initiatives for SMEs”.  The presentation provided an overview of existing programs, services, and initiatives designed to help businesses leverage IP assets effectively.  The Committee took note of the information contained in the presentation.</w:t>
      </w:r>
    </w:p>
    <w:p w14:paraId="715588E4"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bCs/>
          <w:sz w:val="22"/>
          <w:szCs w:val="22"/>
          <w:lang w:val="en-US"/>
        </w:rPr>
      </w:pPr>
      <w:r w:rsidRPr="00A804DC">
        <w:rPr>
          <w:rFonts w:ascii="Arial" w:hAnsi="Arial" w:cs="Arial"/>
          <w:sz w:val="22"/>
          <w:szCs w:val="22"/>
          <w:lang w:val="en-US"/>
        </w:rPr>
        <w:t>Under Agenda Item 7 on “Intellectual Property and Development”:</w:t>
      </w:r>
    </w:p>
    <w:p w14:paraId="79719892" w14:textId="77777777" w:rsidR="003E0908" w:rsidRPr="00A804DC" w:rsidRDefault="003E0908" w:rsidP="003E0908">
      <w:pPr>
        <w:pStyle w:val="ListParagraph"/>
        <w:numPr>
          <w:ilvl w:val="1"/>
          <w:numId w:val="10"/>
        </w:numPr>
        <w:spacing w:after="240" w:line="240" w:lineRule="auto"/>
        <w:ind w:left="547" w:firstLine="0"/>
        <w:contextualSpacing w:val="0"/>
        <w:rPr>
          <w:rFonts w:ascii="Arial" w:hAnsi="Arial" w:cs="Arial"/>
          <w:sz w:val="22"/>
          <w:szCs w:val="22"/>
          <w:lang w:val="en-US"/>
        </w:rPr>
      </w:pPr>
      <w:r w:rsidRPr="00A804DC">
        <w:rPr>
          <w:rFonts w:ascii="Arial" w:hAnsi="Arial" w:cs="Arial"/>
          <w:sz w:val="22"/>
          <w:szCs w:val="22"/>
          <w:lang w:val="en-US"/>
        </w:rPr>
        <w:t xml:space="preserve">The Committee discussed the topic of “IP and the Judiciary:  Building Capacities and Expertise”.  The Committee listened to the presentation by the Secretariat, led by Mr. Marco Aleman, Assistant Director General of the IP and Innovation Ecosystems Sector, and to the testimonials of members of the judiciary and IP Office representatives from Egypt, Latvia, Panama, the Philippines and the United Republic of Tanzania.  Delegations shared their national experiences, capacity-building programs, and judicial training initiatives aimed at strengthening the understanding and application of IP within their judicial systems.  Member States commended WIPO’s work in this area and underscored the importance of enhancing judicial expertise in IP matters.  </w:t>
      </w:r>
    </w:p>
    <w:p w14:paraId="15F72216" w14:textId="77777777" w:rsidR="003E0908" w:rsidRPr="00A804DC" w:rsidRDefault="003E0908" w:rsidP="003E0908">
      <w:pPr>
        <w:pStyle w:val="ListParagraph"/>
        <w:numPr>
          <w:ilvl w:val="1"/>
          <w:numId w:val="10"/>
        </w:numPr>
        <w:spacing w:after="240" w:line="240" w:lineRule="auto"/>
        <w:ind w:left="547" w:firstLine="0"/>
        <w:contextualSpacing w:val="0"/>
        <w:rPr>
          <w:rFonts w:ascii="Arial" w:hAnsi="Arial" w:cs="Arial"/>
          <w:sz w:val="22"/>
          <w:szCs w:val="22"/>
          <w:lang w:val="en-US"/>
        </w:rPr>
      </w:pPr>
      <w:r w:rsidRPr="00A804DC">
        <w:rPr>
          <w:rFonts w:ascii="Arial" w:hAnsi="Arial" w:cs="Arial"/>
          <w:sz w:val="22"/>
          <w:szCs w:val="22"/>
          <w:lang w:val="en-US"/>
        </w:rPr>
        <w:t xml:space="preserve">The Committee revisited the topic of “Women and IP”.  The Committee took note of the Report on Compilation and Sharing of Data (document CDIP/34/6) and the Report on Internal and External Activities, Strategic Direction (document CDIP/34/7).  Delegations listened to a presentation by Ms. Isabella Springmuhl Tejada, Guatemalan fashion designer and founder of the brand Down to Xjabelle, followed by video testimonials of </w:t>
      </w:r>
      <w:r w:rsidRPr="00A804DC">
        <w:rPr>
          <w:rFonts w:ascii="Arial" w:hAnsi="Arial" w:cs="Arial"/>
          <w:sz w:val="22"/>
          <w:szCs w:val="22"/>
          <w:lang w:val="en-US"/>
        </w:rPr>
        <w:lastRenderedPageBreak/>
        <w:t>women entrepreneurs from Egypt, Indonesia and Namibia, who shared their professional experiences and showcased how IP helped them to increase visibility, protect innovation, and access new markets.</w:t>
      </w:r>
    </w:p>
    <w:p w14:paraId="44E36203" w14:textId="77777777" w:rsidR="003E0908" w:rsidRPr="00A804DC" w:rsidRDefault="003E0908" w:rsidP="003E0908">
      <w:pPr>
        <w:pStyle w:val="ListParagraph"/>
        <w:numPr>
          <w:ilvl w:val="0"/>
          <w:numId w:val="12"/>
        </w:numPr>
        <w:spacing w:after="240" w:line="240" w:lineRule="auto"/>
        <w:ind w:left="0" w:firstLine="0"/>
        <w:contextualSpacing w:val="0"/>
        <w:rPr>
          <w:rFonts w:ascii="Arial" w:hAnsi="Arial" w:cs="Arial"/>
          <w:bCs/>
          <w:sz w:val="22"/>
          <w:szCs w:val="22"/>
        </w:rPr>
      </w:pPr>
      <w:r w:rsidRPr="00A804DC">
        <w:rPr>
          <w:rFonts w:ascii="Arial" w:hAnsi="Arial" w:cs="Arial"/>
          <w:sz w:val="22"/>
          <w:szCs w:val="22"/>
          <w:lang w:val="en-US"/>
        </w:rPr>
        <w:t xml:space="preserve">Under Agenda Item 8 on Future Work, the Committee agreed upon a list of issues and documents for the next session, as read out by the Secretariat.  </w:t>
      </w:r>
      <w:r w:rsidRPr="00A804DC">
        <w:rPr>
          <w:rFonts w:ascii="Arial" w:hAnsi="Arial" w:cs="Arial"/>
          <w:bCs/>
          <w:sz w:val="22"/>
          <w:szCs w:val="22"/>
        </w:rPr>
        <w:t>In particular, the Committee agreed on the following points:</w:t>
      </w:r>
    </w:p>
    <w:p w14:paraId="6233D385" w14:textId="77777777" w:rsidR="003E0908" w:rsidRPr="00A804DC" w:rsidRDefault="003E0908" w:rsidP="003E0908">
      <w:pPr>
        <w:pStyle w:val="ListParagraph"/>
        <w:numPr>
          <w:ilvl w:val="0"/>
          <w:numId w:val="11"/>
        </w:numPr>
        <w:spacing w:after="240" w:line="240" w:lineRule="auto"/>
        <w:ind w:left="993" w:hanging="426"/>
        <w:contextualSpacing w:val="0"/>
        <w:rPr>
          <w:rFonts w:ascii="Arial" w:hAnsi="Arial" w:cs="Arial"/>
          <w:bCs/>
          <w:sz w:val="22"/>
          <w:szCs w:val="22"/>
          <w:lang w:val="en-US"/>
        </w:rPr>
      </w:pPr>
      <w:r w:rsidRPr="00A804DC">
        <w:rPr>
          <w:rFonts w:ascii="Arial" w:hAnsi="Arial" w:cs="Arial"/>
          <w:bCs/>
          <w:sz w:val="22"/>
          <w:szCs w:val="22"/>
          <w:lang w:val="en-US"/>
        </w:rPr>
        <w:t>Proposals for topics for Webinars on Technical Assistance to be held in 2026 should be sent to the Secretariat by August 4, 2025.</w:t>
      </w:r>
    </w:p>
    <w:p w14:paraId="79468BA0" w14:textId="77777777" w:rsidR="003E0908" w:rsidRPr="00A804DC" w:rsidRDefault="003E0908" w:rsidP="003E0908">
      <w:pPr>
        <w:pStyle w:val="ListParagraph"/>
        <w:numPr>
          <w:ilvl w:val="0"/>
          <w:numId w:val="11"/>
        </w:numPr>
        <w:spacing w:after="240" w:line="240" w:lineRule="auto"/>
        <w:ind w:left="993" w:hanging="426"/>
        <w:contextualSpacing w:val="0"/>
        <w:rPr>
          <w:rFonts w:ascii="Arial" w:hAnsi="Arial" w:cs="Arial"/>
          <w:bCs/>
          <w:sz w:val="22"/>
          <w:szCs w:val="22"/>
          <w:lang w:val="en-US"/>
        </w:rPr>
      </w:pPr>
      <w:r w:rsidRPr="00A804DC">
        <w:rPr>
          <w:rStyle w:val="Strong"/>
          <w:rFonts w:ascii="Arial" w:hAnsi="Arial" w:cs="Arial"/>
          <w:b w:val="0"/>
          <w:sz w:val="22"/>
          <w:szCs w:val="22"/>
          <w:lang w:val="en-US"/>
        </w:rPr>
        <w:t>Proposals for Category B – Recommendations that merit further consideration, and Category C – Recommendations that are already reflected in WIPO activities but still merit further considerations, as contained in the Secretariat’s Response on the Status of the Recommendations of the Independent External Review of WIPO’s Technical Assistance (document CDIP/34/8), should be sent to the Secretariat by August 4, 2025, to be discussed at the next Committee session.</w:t>
      </w:r>
    </w:p>
    <w:p w14:paraId="22677210" w14:textId="60BDE018" w:rsidR="003E0908" w:rsidRPr="00A804DC" w:rsidRDefault="003E0908" w:rsidP="003E0908">
      <w:pPr>
        <w:pStyle w:val="ListParagraph"/>
        <w:numPr>
          <w:ilvl w:val="0"/>
          <w:numId w:val="12"/>
        </w:numPr>
        <w:spacing w:after="240" w:line="240" w:lineRule="auto"/>
        <w:ind w:left="0" w:firstLine="0"/>
        <w:contextualSpacing w:val="0"/>
        <w:rPr>
          <w:rFonts w:ascii="Arial" w:hAnsi="Arial" w:cs="Arial"/>
          <w:bCs/>
          <w:sz w:val="22"/>
          <w:szCs w:val="22"/>
          <w:lang w:val="en-US"/>
        </w:rPr>
      </w:pPr>
      <w:r w:rsidRPr="00A804DC">
        <w:rPr>
          <w:rFonts w:ascii="Arial" w:hAnsi="Arial" w:cs="Arial"/>
          <w:bCs/>
          <w:sz w:val="22"/>
          <w:szCs w:val="22"/>
          <w:lang w:val="en-US"/>
        </w:rPr>
        <w:t>The Committee noted that, in line with paragraph 30 of the Summary Report of the sixty</w:t>
      </w:r>
      <w:r w:rsidRPr="00A804DC">
        <w:rPr>
          <w:rFonts w:ascii="Arial" w:hAnsi="Arial" w:cs="Arial"/>
          <w:bCs/>
          <w:sz w:val="22"/>
          <w:szCs w:val="22"/>
          <w:lang w:val="en-US"/>
        </w:rPr>
        <w:noBreakHyphen/>
        <w:t xml:space="preserve">second series of Meetings of the </w:t>
      </w:r>
      <w:r w:rsidRPr="00984DCD">
        <w:rPr>
          <w:rFonts w:ascii="Arial" w:hAnsi="Arial" w:cs="Arial"/>
          <w:bCs/>
          <w:sz w:val="22"/>
          <w:szCs w:val="22"/>
          <w:lang w:val="en-US"/>
        </w:rPr>
        <w:t>Assemblies</w:t>
      </w:r>
      <w:r w:rsidRPr="00A804DC">
        <w:rPr>
          <w:rFonts w:ascii="Arial" w:hAnsi="Arial" w:cs="Arial"/>
          <w:bCs/>
          <w:sz w:val="22"/>
          <w:szCs w:val="22"/>
          <w:lang w:val="en-US"/>
        </w:rPr>
        <w:t xml:space="preserve"> of the Member States of WIPO (</w:t>
      </w:r>
      <w:hyperlink r:id="rId15" w:history="1">
        <w:r w:rsidRPr="00A804DC">
          <w:rPr>
            <w:rStyle w:val="Hyperlink"/>
            <w:rFonts w:ascii="Arial" w:hAnsi="Arial" w:cs="Arial"/>
            <w:sz w:val="22"/>
            <w:szCs w:val="22"/>
            <w:lang w:val="en-US"/>
          </w:rPr>
          <w:t>A/62/12</w:t>
        </w:r>
      </w:hyperlink>
      <w:r w:rsidRPr="00A804DC">
        <w:rPr>
          <w:rFonts w:ascii="Arial" w:hAnsi="Arial" w:cs="Arial"/>
          <w:bCs/>
          <w:sz w:val="22"/>
          <w:szCs w:val="22"/>
          <w:lang w:val="en-US"/>
        </w:rPr>
        <w:t xml:space="preserve">),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14:paraId="758F89E1" w14:textId="525F75C2" w:rsidR="003E0908" w:rsidRPr="00984DCD" w:rsidRDefault="003E0908" w:rsidP="003E0908">
      <w:pPr>
        <w:pStyle w:val="ListParagraph"/>
        <w:numPr>
          <w:ilvl w:val="0"/>
          <w:numId w:val="12"/>
        </w:numPr>
        <w:spacing w:after="0" w:line="240" w:lineRule="auto"/>
        <w:ind w:left="0" w:firstLine="0"/>
        <w:contextualSpacing w:val="0"/>
        <w:rPr>
          <w:rFonts w:ascii="Arial" w:hAnsi="Arial" w:cs="Arial"/>
          <w:bCs/>
          <w:sz w:val="22"/>
          <w:szCs w:val="22"/>
          <w:lang w:val="en-US"/>
        </w:rPr>
      </w:pPr>
      <w:r w:rsidRPr="00984DCD">
        <w:rPr>
          <w:rFonts w:ascii="Arial" w:hAnsi="Arial" w:cs="Arial"/>
          <w:sz w:val="22"/>
          <w:szCs w:val="22"/>
          <w:lang w:val="en-US"/>
        </w:rPr>
        <w:t xml:space="preserve">This summary together with Summary by the Chair of the thirty-third session of the Committee, and the Director General’s Report on the Implementation of the Development Agenda, contained in document CDIP/34/2, will constitute the Committee’s report to the </w:t>
      </w:r>
      <w:r w:rsidR="00946A93">
        <w:rPr>
          <w:rFonts w:ascii="Arial" w:hAnsi="Arial" w:cs="Arial"/>
          <w:sz w:val="22"/>
          <w:szCs w:val="22"/>
          <w:lang w:val="en-US"/>
        </w:rPr>
        <w:br/>
      </w:r>
      <w:r w:rsidRPr="00984DCD">
        <w:rPr>
          <w:rFonts w:ascii="Arial" w:hAnsi="Arial" w:cs="Arial"/>
          <w:sz w:val="22"/>
          <w:szCs w:val="22"/>
          <w:lang w:val="en-US"/>
        </w:rPr>
        <w:t>General Assembly</w:t>
      </w:r>
      <w:r w:rsidRPr="00984DCD">
        <w:rPr>
          <w:rFonts w:ascii="Arial" w:hAnsi="Arial" w:cs="Arial"/>
          <w:bCs/>
          <w:sz w:val="22"/>
          <w:szCs w:val="22"/>
          <w:lang w:val="en-US"/>
        </w:rPr>
        <w:t xml:space="preserve">. </w:t>
      </w:r>
    </w:p>
    <w:p w14:paraId="1EA9742D" w14:textId="35BB6393" w:rsidR="00BC268B" w:rsidRDefault="003E0908" w:rsidP="00500AB3">
      <w:pPr>
        <w:pStyle w:val="Endofdocument-Annex"/>
        <w:spacing w:before="600"/>
        <w:ind w:left="5587"/>
        <w:rPr>
          <w:szCs w:val="22"/>
        </w:rPr>
      </w:pPr>
      <w:r w:rsidRPr="00984DCD">
        <w:rPr>
          <w:szCs w:val="22"/>
        </w:rPr>
        <w:t>[End of document]</w:t>
      </w:r>
      <w:r w:rsidR="00BC268B">
        <w:rPr>
          <w:szCs w:val="22"/>
        </w:rPr>
        <w:br w:type="page"/>
      </w:r>
    </w:p>
    <w:p w14:paraId="064BF7A2" w14:textId="77777777" w:rsidR="00BC268B" w:rsidRDefault="00BC268B" w:rsidP="00500AB3">
      <w:pPr>
        <w:pStyle w:val="Endofdocument-Annex"/>
        <w:spacing w:before="600"/>
        <w:ind w:left="5587"/>
        <w:rPr>
          <w:szCs w:val="22"/>
        </w:rPr>
        <w:sectPr w:rsidR="00BC268B" w:rsidSect="003E0908">
          <w:headerReference w:type="first" r:id="rId16"/>
          <w:endnotePr>
            <w:numFmt w:val="decimal"/>
          </w:endnotePr>
          <w:pgSz w:w="11907" w:h="16840" w:code="9"/>
          <w:pgMar w:top="709" w:right="1134" w:bottom="1418" w:left="1418" w:header="454" w:footer="1021" w:gutter="0"/>
          <w:pgNumType w:start="1"/>
          <w:cols w:space="720"/>
          <w:titlePg/>
          <w:docGrid w:linePitch="299"/>
        </w:sectPr>
      </w:pPr>
    </w:p>
    <w:p w14:paraId="7A5C681A" w14:textId="77777777" w:rsidR="00BC268B" w:rsidRPr="0073032D" w:rsidRDefault="00BC268B" w:rsidP="001F5900">
      <w:pPr>
        <w:pBdr>
          <w:bottom w:val="single" w:sz="4" w:space="11" w:color="auto"/>
        </w:pBdr>
        <w:spacing w:before="360" w:after="240"/>
        <w:jc w:val="right"/>
        <w:rPr>
          <w:b/>
          <w:sz w:val="32"/>
          <w:szCs w:val="40"/>
        </w:rPr>
      </w:pPr>
      <w:r w:rsidRPr="0073032D">
        <w:rPr>
          <w:noProof/>
          <w:sz w:val="28"/>
          <w:szCs w:val="28"/>
          <w:lang w:eastAsia="en-US"/>
        </w:rPr>
        <w:lastRenderedPageBreak/>
        <w:drawing>
          <wp:inline distT="0" distB="0" distL="0" distR="0" wp14:anchorId="1D3A0A5C" wp14:editId="56AC239E">
            <wp:extent cx="3043149" cy="1308100"/>
            <wp:effectExtent l="0" t="0" r="5080" b="6350"/>
            <wp:docPr id="233066780" name="Picture 233066780"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61295BF" w14:textId="77777777" w:rsidR="00BC268B" w:rsidRPr="0073032D" w:rsidRDefault="00BC268B" w:rsidP="00EB2F76">
      <w:pPr>
        <w:jc w:val="right"/>
        <w:rPr>
          <w:rFonts w:ascii="Arial Black" w:hAnsi="Arial Black"/>
          <w:caps/>
          <w:sz w:val="15"/>
          <w:szCs w:val="15"/>
        </w:rPr>
      </w:pPr>
      <w:r w:rsidRPr="0073032D">
        <w:rPr>
          <w:rFonts w:ascii="Arial Black" w:hAnsi="Arial Black"/>
          <w:caps/>
          <w:sz w:val="15"/>
        </w:rPr>
        <w:t>CDIP/34/2</w:t>
      </w:r>
    </w:p>
    <w:p w14:paraId="5207943B" w14:textId="77777777" w:rsidR="00BC268B" w:rsidRPr="0073032D" w:rsidRDefault="00BC268B" w:rsidP="00EB2F76">
      <w:pPr>
        <w:jc w:val="right"/>
        <w:rPr>
          <w:rFonts w:ascii="Arial Black" w:hAnsi="Arial Black"/>
          <w:caps/>
          <w:sz w:val="15"/>
          <w:szCs w:val="15"/>
        </w:rPr>
      </w:pPr>
      <w:r w:rsidRPr="0073032D">
        <w:rPr>
          <w:rFonts w:ascii="Arial Black" w:hAnsi="Arial Black"/>
          <w:caps/>
          <w:sz w:val="15"/>
          <w:szCs w:val="15"/>
        </w:rPr>
        <w:t>ORIGINAL: ENGLISH</w:t>
      </w:r>
    </w:p>
    <w:p w14:paraId="07CE7F18" w14:textId="77777777" w:rsidR="00BC268B" w:rsidRPr="0073032D" w:rsidRDefault="00BC268B" w:rsidP="00FB7F64">
      <w:pPr>
        <w:tabs>
          <w:tab w:val="left" w:pos="1890"/>
          <w:tab w:val="right" w:pos="9355"/>
        </w:tabs>
        <w:spacing w:after="1200"/>
        <w:rPr>
          <w:rFonts w:ascii="Arial Black" w:hAnsi="Arial Black"/>
          <w:caps/>
          <w:sz w:val="15"/>
          <w:szCs w:val="15"/>
        </w:rPr>
      </w:pPr>
      <w:r w:rsidRPr="0073032D">
        <w:rPr>
          <w:rFonts w:ascii="Arial Black" w:hAnsi="Arial Black"/>
          <w:caps/>
          <w:sz w:val="15"/>
          <w:szCs w:val="15"/>
        </w:rPr>
        <w:tab/>
      </w:r>
      <w:r w:rsidRPr="0073032D">
        <w:rPr>
          <w:rFonts w:ascii="Arial Black" w:hAnsi="Arial Black"/>
          <w:caps/>
          <w:sz w:val="15"/>
          <w:szCs w:val="15"/>
        </w:rPr>
        <w:tab/>
        <w:t xml:space="preserve">DATE: </w:t>
      </w:r>
      <w:r>
        <w:rPr>
          <w:rFonts w:ascii="Arial Black" w:hAnsi="Arial Black"/>
          <w:caps/>
          <w:sz w:val="15"/>
          <w:szCs w:val="15"/>
        </w:rPr>
        <w:t>MARCH 5</w:t>
      </w:r>
      <w:r w:rsidRPr="0073032D">
        <w:rPr>
          <w:rFonts w:ascii="Arial Black" w:hAnsi="Arial Black"/>
          <w:caps/>
          <w:sz w:val="15"/>
          <w:szCs w:val="15"/>
        </w:rPr>
        <w:t>, 2025</w:t>
      </w:r>
    </w:p>
    <w:p w14:paraId="17EE5F2A" w14:textId="77777777" w:rsidR="00BC268B" w:rsidRPr="0073032D" w:rsidRDefault="00BC268B" w:rsidP="002367C0">
      <w:pPr>
        <w:pStyle w:val="Heading1"/>
        <w:spacing w:before="0" w:after="600"/>
        <w:rPr>
          <w:sz w:val="28"/>
          <w:szCs w:val="28"/>
        </w:rPr>
      </w:pPr>
      <w:r w:rsidRPr="0073032D">
        <w:rPr>
          <w:bCs w:val="0"/>
          <w:caps w:val="0"/>
          <w:kern w:val="0"/>
          <w:sz w:val="28"/>
          <w:szCs w:val="28"/>
        </w:rPr>
        <w:t>Committee on Development and Intellectual Property (CDIP)</w:t>
      </w:r>
    </w:p>
    <w:p w14:paraId="2EC57E83" w14:textId="77777777" w:rsidR="00BC268B" w:rsidRPr="0073032D" w:rsidRDefault="00BC268B" w:rsidP="002367C0">
      <w:pPr>
        <w:spacing w:after="720"/>
        <w:outlineLvl w:val="1"/>
        <w:rPr>
          <w:b/>
          <w:bCs/>
          <w:sz w:val="24"/>
          <w:szCs w:val="24"/>
        </w:rPr>
      </w:pPr>
      <w:r w:rsidRPr="0073032D">
        <w:rPr>
          <w:b/>
          <w:sz w:val="24"/>
          <w:szCs w:val="24"/>
        </w:rPr>
        <w:t>Thirty-Fourth Session</w:t>
      </w:r>
      <w:r w:rsidRPr="0073032D">
        <w:rPr>
          <w:b/>
          <w:sz w:val="24"/>
          <w:szCs w:val="24"/>
        </w:rPr>
        <w:br/>
        <w:t xml:space="preserve">Geneva, </w:t>
      </w:r>
      <w:r w:rsidRPr="0073032D">
        <w:rPr>
          <w:b/>
          <w:bCs/>
          <w:sz w:val="24"/>
          <w:szCs w:val="24"/>
        </w:rPr>
        <w:t>May 5 to 9, 2025</w:t>
      </w:r>
    </w:p>
    <w:p w14:paraId="69934087" w14:textId="77777777" w:rsidR="00BC268B" w:rsidRPr="0073032D" w:rsidRDefault="00BC268B" w:rsidP="002367C0">
      <w:pPr>
        <w:spacing w:after="360"/>
        <w:outlineLvl w:val="1"/>
        <w:rPr>
          <w:caps/>
          <w:sz w:val="24"/>
          <w:szCs w:val="24"/>
        </w:rPr>
      </w:pPr>
      <w:r w:rsidRPr="0073032D">
        <w:rPr>
          <w:caps/>
          <w:sz w:val="24"/>
          <w:szCs w:val="24"/>
        </w:rPr>
        <w:t>DIRECTOR GENERAL’S REPORT ON THE IMPLEMENTATION OF THE DEVELOPMENT AGENDA</w:t>
      </w:r>
    </w:p>
    <w:p w14:paraId="511F6C2F" w14:textId="77777777" w:rsidR="00BC268B" w:rsidRPr="0073032D" w:rsidRDefault="00BC268B" w:rsidP="002367C0">
      <w:pPr>
        <w:spacing w:after="960"/>
        <w:rPr>
          <w:i/>
        </w:rPr>
      </w:pPr>
      <w:r w:rsidRPr="0073032D">
        <w:rPr>
          <w:i/>
        </w:rPr>
        <w:t>prepared by the Secretariat</w:t>
      </w:r>
    </w:p>
    <w:p w14:paraId="3D862B8E"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This document contains the Director General’s (DG’s) report on the implementation of the WIPO Development Agenda (DA) in 2024.  This is the fifteenth such report, and it </w:t>
      </w:r>
      <w:r w:rsidRPr="00BC268B">
        <w:rPr>
          <w:rFonts w:ascii="Arial" w:hAnsi="Arial" w:cs="Arial"/>
          <w:sz w:val="22"/>
          <w:szCs w:val="22"/>
          <w:lang w:val="en-SG"/>
        </w:rPr>
        <w:t xml:space="preserve">provides an overview of activities undertaken by WIPO to </w:t>
      </w:r>
      <w:r w:rsidRPr="00524B1F">
        <w:rPr>
          <w:rFonts w:ascii="Arial" w:hAnsi="Arial" w:cs="Arial"/>
          <w:sz w:val="22"/>
          <w:szCs w:val="22"/>
          <w:lang w:val="en-US"/>
        </w:rPr>
        <w:t xml:space="preserve">implement the DA and mainstream it across relevant programs of the Organization. </w:t>
      </w:r>
    </w:p>
    <w:p w14:paraId="5F41B050"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Following the structure introduced at it the twenty-eighth session of the Committee on Development and Intellectual Property (CDIP), this report describes the implementation and mainstreaming of the DA, clustered under the main areas of work of each WIPO Sector:  Regional and National Development;  Patents and Technology;  Brands and Designs;  Copyright and Creative Industries;  Infrastructure and Platforms;  Global Challenges and Partnerships;  IP and Innovation Ecosystems;  and Administration, Finance and Management.  Each part of the report provides a general overview of the Sector’s work linked to IP and development and provides an update on the work of the relevant WIPO Bodies, together with an overview of the ongoing and mainstreamed DA projects under those areas of work. </w:t>
      </w:r>
    </w:p>
    <w:p w14:paraId="7615E312"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report also responds to the Committee’s request to link the DA Recommendations to Expected Results and present them in Annex I to the DG’s annual report on the implementation of the DA, as reflected in paragraph 8.3 of the Summary by the Chair of the Committee’s twenty-second session.  </w:t>
      </w:r>
      <w:r w:rsidRPr="00BC268B">
        <w:rPr>
          <w:rFonts w:ascii="Arial" w:hAnsi="Arial" w:cs="Arial"/>
          <w:sz w:val="22"/>
          <w:szCs w:val="22"/>
          <w:lang w:val="en-SG"/>
        </w:rPr>
        <w:t>Annex II presents a list of DA projects as of 2024.</w:t>
      </w:r>
    </w:p>
    <w:p w14:paraId="40B52CF7" w14:textId="77777777" w:rsidR="00BC268B" w:rsidRPr="00BC268B" w:rsidRDefault="00BC268B" w:rsidP="002367C0">
      <w:pPr>
        <w:pStyle w:val="Heading1"/>
        <w:spacing w:before="0" w:after="240"/>
        <w:ind w:left="360"/>
        <w:rPr>
          <w:szCs w:val="22"/>
        </w:rPr>
      </w:pPr>
      <w:r w:rsidRPr="00BC268B">
        <w:rPr>
          <w:szCs w:val="22"/>
        </w:rPr>
        <w:lastRenderedPageBreak/>
        <w:t>INTRODUCTION</w:t>
      </w:r>
    </w:p>
    <w:p w14:paraId="018ACA4A"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In an increasingly complex global landscape, the Development Agenda (DA) remains central to the WIPO mission, ensuring that development considerations are fully integrated into the Organization’s work and activities.  Since its adoption, the DA has fostered a sustained commitment to translating policy into action, enabling a more inclusive and impactful global intellectual property (IP) ecosystem.  The WIPO Medium-Term Strategic Plan (MTSP) </w:t>
      </w:r>
      <w:r w:rsidRPr="00524B1F">
        <w:rPr>
          <w:rFonts w:ascii="Arial" w:hAnsi="Arial" w:cs="Arial"/>
          <w:sz w:val="22"/>
          <w:szCs w:val="22"/>
          <w:lang w:val="en-US"/>
        </w:rPr>
        <w:br/>
        <w:t>2022–2026</w:t>
      </w:r>
      <w:r w:rsidRPr="00BC268B">
        <w:rPr>
          <w:rStyle w:val="FootnoteReference"/>
          <w:rFonts w:ascii="Arial" w:hAnsi="Arial" w:cs="Arial"/>
          <w:sz w:val="22"/>
          <w:szCs w:val="22"/>
        </w:rPr>
        <w:footnoteReference w:id="2"/>
      </w:r>
      <w:r w:rsidRPr="00524B1F">
        <w:rPr>
          <w:rFonts w:ascii="Arial" w:hAnsi="Arial" w:cs="Arial"/>
          <w:sz w:val="22"/>
          <w:szCs w:val="22"/>
          <w:lang w:val="en-US"/>
        </w:rPr>
        <w:t xml:space="preserve"> further reinforces this commitment by deepening collaboration with Member States and expanding efforts to maximize the role of IP in sustainable development, as it continues to be a key driver of progress across all regions.</w:t>
      </w:r>
    </w:p>
    <w:p w14:paraId="447F2218"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Over the past year, WIPO has placed greater emphasis on refining its approaches to enhance the impact of IP as a tool for development.  By strengthening coordination across its Sectors, the Organization has implemented more responsive, needs-based initiatives.  Engagement with Member States has also deepened, focusing on practical support tailored to national and regional priorities.  Additionally, WIPO has expanded its collaboration with small and medium-sized enterprises (SMEs), women, youth, as well as Indigenous Peoples and local communities, helping them to use IP effectively for growth and development.</w:t>
      </w:r>
    </w:p>
    <w:p w14:paraId="5C4BC8D0"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Through its commitment to bringing IP to the ground, working with partners and focusing on impact, WIPO continues to demonstrate that IP is not merely a legal construct but a powerful catalyst for economic, cultural and societal progress worldwide.  This document highlights the key milestones and outcomes of WIPO’s work over the reporting year, illustrating how the Organization has further mainstreamed the development dimension into its work, contributing to a more dynamic and equitable global innovation ecosystem.</w:t>
      </w:r>
    </w:p>
    <w:p w14:paraId="6263AD8D" w14:textId="77777777" w:rsidR="00BC268B" w:rsidRPr="00BC268B" w:rsidRDefault="00BC268B" w:rsidP="00BC268B">
      <w:pPr>
        <w:pStyle w:val="Heading1"/>
        <w:numPr>
          <w:ilvl w:val="0"/>
          <w:numId w:val="25"/>
        </w:numPr>
        <w:spacing w:after="220"/>
        <w:rPr>
          <w:szCs w:val="22"/>
        </w:rPr>
      </w:pPr>
      <w:r w:rsidRPr="00BC268B">
        <w:rPr>
          <w:szCs w:val="22"/>
        </w:rPr>
        <w:t>Regional and national development sector</w:t>
      </w:r>
    </w:p>
    <w:p w14:paraId="2505D9D5" w14:textId="77777777" w:rsidR="00BC268B" w:rsidRPr="00524B1F" w:rsidRDefault="00BC268B" w:rsidP="00BC268B">
      <w:pPr>
        <w:pStyle w:val="ListParagraph"/>
        <w:numPr>
          <w:ilvl w:val="0"/>
          <w:numId w:val="13"/>
        </w:numPr>
        <w:spacing w:after="22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Regional and National Development Sector (RNDS) remained dedicated to acting as the Organization’s gateway for Member States, supporting their efforts to leverage the strategic use of IP for growth and development.  Through the WIPO Academy and the Organization’s Regional Divisions and External Offices, the Sector has enhanced the on-the-ground impact of WIPO development initiatives.  In addition, the RNDS Projects Team has persisted in its efforts to pilot new ways of implementing IP-related urgent strategic cooperation initiatives to promote work with new communities, constituencies and partners and facilitate closer engagement with key stakeholders, such as SMEs, </w:t>
      </w:r>
      <w:r w:rsidRPr="00524B1F">
        <w:rPr>
          <w:rFonts w:ascii="Arial" w:hAnsi="Arial" w:cs="Arial"/>
          <w:iCs/>
          <w:sz w:val="22"/>
          <w:szCs w:val="22"/>
          <w:lang w:val="en-US"/>
        </w:rPr>
        <w:t xml:space="preserve">entrepreneurs, </w:t>
      </w:r>
      <w:r w:rsidRPr="00524B1F">
        <w:rPr>
          <w:rFonts w:ascii="Arial" w:hAnsi="Arial" w:cs="Arial"/>
          <w:sz w:val="22"/>
          <w:szCs w:val="22"/>
          <w:lang w:val="en-US"/>
        </w:rPr>
        <w:t>women, and youth.  The Development Agenda Coordination Division will continue to facilitate the implementation of the DA Recommendations and to ensure that these Recommendations and the DA Principles are mainstreamed in a sustainable manner throughout the Organization’s development-related work.</w:t>
      </w:r>
    </w:p>
    <w:p w14:paraId="6C829186" w14:textId="77777777" w:rsidR="00BC268B" w:rsidRPr="00BC268B" w:rsidRDefault="00BC268B" w:rsidP="002367C0">
      <w:pPr>
        <w:pStyle w:val="Heading2"/>
        <w:spacing w:before="0" w:after="240"/>
        <w:rPr>
          <w:szCs w:val="22"/>
        </w:rPr>
      </w:pPr>
      <w:r w:rsidRPr="00BC268B">
        <w:rPr>
          <w:szCs w:val="22"/>
        </w:rPr>
        <w:t>Technical Assistance and Capacity-Building</w:t>
      </w:r>
    </w:p>
    <w:p w14:paraId="6815B70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Sector’s technical assistance and capacity-building efforts continued to align with the DA Recommendations.  These development-focused and demand-driven initiatives cover a wide range of IP areas and encompass training and skills development in IP, awareness-raising campaigns, facilitation of policy dialogues, formulation of National IP Strategies, and legislative assistance, among other activities.  Examples include:  (i) the </w:t>
      </w:r>
      <w:r w:rsidRPr="00524B1F">
        <w:rPr>
          <w:rFonts w:ascii="Arial" w:hAnsi="Arial" w:cs="Arial"/>
          <w:iCs/>
          <w:sz w:val="22"/>
          <w:szCs w:val="22"/>
          <w:lang w:val="en-US"/>
        </w:rPr>
        <w:t>African Regional Youth Conference on IP, entitled “</w:t>
      </w:r>
      <w:r w:rsidRPr="00524B1F">
        <w:rPr>
          <w:rFonts w:ascii="Arial" w:hAnsi="Arial" w:cs="Arial"/>
          <w:i/>
          <w:sz w:val="22"/>
          <w:szCs w:val="22"/>
          <w:lang w:val="en-US"/>
        </w:rPr>
        <w:t>From Ideas to Impact: The Role of IP in Fostering Youth Innovation and Creativity for Sustainable Development”</w:t>
      </w:r>
      <w:r w:rsidRPr="00524B1F">
        <w:rPr>
          <w:rFonts w:ascii="Arial" w:hAnsi="Arial" w:cs="Arial"/>
          <w:iCs/>
          <w:sz w:val="22"/>
          <w:szCs w:val="22"/>
          <w:lang w:val="en-US"/>
        </w:rPr>
        <w:t>;</w:t>
      </w:r>
      <w:r w:rsidRPr="00BC268B">
        <w:rPr>
          <w:rStyle w:val="FootnoteReference"/>
          <w:rFonts w:ascii="Arial" w:hAnsi="Arial" w:cs="Arial"/>
          <w:iCs/>
          <w:sz w:val="22"/>
          <w:szCs w:val="22"/>
        </w:rPr>
        <w:footnoteReference w:id="3"/>
      </w:r>
      <w:r w:rsidRPr="00524B1F">
        <w:rPr>
          <w:rFonts w:ascii="Arial" w:hAnsi="Arial" w:cs="Arial"/>
          <w:i/>
          <w:sz w:val="22"/>
          <w:szCs w:val="22"/>
          <w:lang w:val="en-US"/>
        </w:rPr>
        <w:t xml:space="preserve">  </w:t>
      </w:r>
      <w:r w:rsidRPr="00524B1F">
        <w:rPr>
          <w:rFonts w:ascii="Arial" w:hAnsi="Arial" w:cs="Arial"/>
          <w:sz w:val="22"/>
          <w:szCs w:val="22"/>
          <w:lang w:val="en-US"/>
        </w:rPr>
        <w:t xml:space="preserve">(ii) the </w:t>
      </w:r>
      <w:r w:rsidRPr="00524B1F">
        <w:rPr>
          <w:rFonts w:ascii="Arial" w:hAnsi="Arial" w:cs="Arial"/>
          <w:iCs/>
          <w:sz w:val="22"/>
          <w:szCs w:val="22"/>
          <w:lang w:val="en-US"/>
        </w:rPr>
        <w:t xml:space="preserve">Regional Arab Meeting on IP and Artificial </w:t>
      </w:r>
      <w:r w:rsidRPr="00524B1F">
        <w:rPr>
          <w:rFonts w:ascii="Arial" w:hAnsi="Arial" w:cs="Arial"/>
          <w:iCs/>
          <w:sz w:val="22"/>
          <w:szCs w:val="22"/>
          <w:lang w:val="en-US"/>
        </w:rPr>
        <w:lastRenderedPageBreak/>
        <w:t>Intelligence (AI);</w:t>
      </w:r>
      <w:r w:rsidRPr="00BC268B">
        <w:rPr>
          <w:rStyle w:val="FootnoteReference"/>
          <w:rFonts w:ascii="Arial" w:hAnsi="Arial" w:cs="Arial"/>
          <w:iCs/>
          <w:sz w:val="22"/>
          <w:szCs w:val="22"/>
        </w:rPr>
        <w:footnoteReference w:id="4"/>
      </w:r>
      <w:r w:rsidRPr="00524B1F">
        <w:rPr>
          <w:rFonts w:ascii="Arial" w:hAnsi="Arial" w:cs="Arial"/>
          <w:sz w:val="22"/>
          <w:szCs w:val="22"/>
          <w:lang w:val="en-US"/>
        </w:rPr>
        <w:t xml:space="preserve">  (iii) Mentorship for Empowering Women Creators and Creative Entrepreneurs in the Music Sector;</w:t>
      </w:r>
      <w:r w:rsidRPr="00BC268B">
        <w:rPr>
          <w:rStyle w:val="FootnoteReference"/>
          <w:rFonts w:ascii="Arial" w:hAnsi="Arial" w:cs="Arial"/>
          <w:sz w:val="22"/>
          <w:szCs w:val="22"/>
        </w:rPr>
        <w:footnoteReference w:id="5"/>
      </w:r>
      <w:r w:rsidRPr="00524B1F">
        <w:rPr>
          <w:rFonts w:ascii="Arial" w:hAnsi="Arial" w:cs="Arial"/>
          <w:i/>
          <w:sz w:val="22"/>
          <w:szCs w:val="22"/>
          <w:lang w:val="en-US"/>
        </w:rPr>
        <w:t xml:space="preserve">  </w:t>
      </w:r>
      <w:r w:rsidRPr="00524B1F">
        <w:rPr>
          <w:rFonts w:ascii="Arial" w:hAnsi="Arial" w:cs="Arial"/>
          <w:sz w:val="22"/>
          <w:szCs w:val="22"/>
          <w:lang w:val="en-US"/>
        </w:rPr>
        <w:t>(iv) an Online Course on Gender Perspectives in the Management and Functions of IP Offices in Latin America;</w:t>
      </w:r>
      <w:r w:rsidRPr="00BC268B">
        <w:rPr>
          <w:rStyle w:val="FootnoteReference"/>
          <w:rFonts w:ascii="Arial" w:hAnsi="Arial" w:cs="Arial"/>
          <w:i/>
          <w:iCs/>
          <w:sz w:val="22"/>
          <w:szCs w:val="22"/>
        </w:rPr>
        <w:footnoteReference w:id="6"/>
      </w:r>
      <w:r w:rsidRPr="00524B1F">
        <w:rPr>
          <w:rFonts w:ascii="Arial" w:hAnsi="Arial" w:cs="Arial"/>
          <w:sz w:val="22"/>
          <w:szCs w:val="22"/>
          <w:lang w:val="en-US"/>
        </w:rPr>
        <w:t xml:space="preserve">  and (v) a Regional Workshop for Selected Madrid Member Offices from Eastern Europe and Surrounding Regions focusing on the transition to extensible markup language (XML) Data Exchange and application programming interface (API) Implementation.</w:t>
      </w:r>
      <w:r w:rsidRPr="00BC268B">
        <w:rPr>
          <w:rStyle w:val="FootnoteReference"/>
          <w:rFonts w:ascii="Arial" w:hAnsi="Arial" w:cs="Arial"/>
          <w:sz w:val="22"/>
          <w:szCs w:val="22"/>
        </w:rPr>
        <w:footnoteReference w:id="7"/>
      </w:r>
      <w:r w:rsidRPr="00524B1F">
        <w:rPr>
          <w:rFonts w:ascii="Arial" w:hAnsi="Arial" w:cs="Arial"/>
          <w:sz w:val="22"/>
          <w:szCs w:val="22"/>
          <w:lang w:val="en-US"/>
        </w:rPr>
        <w:t xml:space="preserve"> </w:t>
      </w:r>
    </w:p>
    <w:p w14:paraId="241AFFAD"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bookmarkStart w:id="21" w:name="_Hlk157592735"/>
      <w:r w:rsidRPr="00524B1F">
        <w:rPr>
          <w:rFonts w:ascii="Arial" w:hAnsi="Arial" w:cs="Arial"/>
          <w:sz w:val="22"/>
          <w:szCs w:val="22"/>
          <w:lang w:val="en-US"/>
        </w:rPr>
        <w:t xml:space="preserve">As part of WIPO’s Program of Work and Budget 2024/25, Member States approved the new Build Back Fund (BBF) to ensure seamless continuity in projects and activities launched under the Organization’s COVID-19 Response Package.  In 2024, the BBF continued to deliver impact-oriented projects and activities that harness IP as a catalyst for social and economic development and empower stakeholders.  These include a project in Romania on Supporting the Recovery from the COVID-19 Pandemic through the Promotion of Traditional Knowledge (TK) and Traditional Cultural Expressions (TCEs), which aims to strengthen the capacity and skills of selected local communities to protect and promote their TK and TCEs through IP.   </w:t>
      </w:r>
    </w:p>
    <w:bookmarkEnd w:id="21"/>
    <w:p w14:paraId="3ACF66E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rPr>
      </w:pPr>
      <w:r w:rsidRPr="00524B1F">
        <w:rPr>
          <w:rFonts w:ascii="Arial" w:hAnsi="Arial" w:cs="Arial"/>
          <w:sz w:val="22"/>
          <w:szCs w:val="22"/>
          <w:lang w:val="en-US"/>
        </w:rPr>
        <w:t>As the Organization’s contribution to the Doha Programme of Action for 2022-2031,</w:t>
      </w:r>
      <w:r w:rsidRPr="00BC268B">
        <w:rPr>
          <w:rStyle w:val="FootnoteReference"/>
          <w:rFonts w:ascii="Arial" w:hAnsi="Arial" w:cs="Arial"/>
          <w:sz w:val="22"/>
          <w:szCs w:val="22"/>
        </w:rPr>
        <w:footnoteReference w:id="8"/>
      </w:r>
      <w:r w:rsidRPr="00524B1F">
        <w:rPr>
          <w:rFonts w:ascii="Arial" w:hAnsi="Arial" w:cs="Arial"/>
          <w:sz w:val="22"/>
          <w:szCs w:val="22"/>
          <w:lang w:val="en-US"/>
        </w:rPr>
        <w:t xml:space="preserve"> the Sector has continued to work closely with Least Developed Countries (LDCs) to provide targeted and country-specific IP-related assistance for their preparation for graduation through “WIPO’s Graduation Support Package for LDCs”.</w:t>
      </w:r>
      <w:r w:rsidRPr="00BC268B">
        <w:rPr>
          <w:rStyle w:val="FootnoteReference"/>
          <w:rFonts w:ascii="Arial" w:hAnsi="Arial" w:cs="Arial"/>
          <w:sz w:val="22"/>
          <w:szCs w:val="22"/>
        </w:rPr>
        <w:footnoteReference w:id="9"/>
      </w:r>
      <w:r w:rsidRPr="00524B1F">
        <w:rPr>
          <w:rFonts w:ascii="Arial" w:hAnsi="Arial" w:cs="Arial"/>
          <w:sz w:val="22"/>
          <w:szCs w:val="22"/>
          <w:lang w:val="en-US"/>
        </w:rPr>
        <w:t xml:space="preserve">  </w:t>
      </w:r>
      <w:r w:rsidRPr="00BC268B">
        <w:rPr>
          <w:rFonts w:ascii="Arial" w:hAnsi="Arial" w:cs="Arial"/>
          <w:sz w:val="22"/>
          <w:szCs w:val="22"/>
          <w:lang w:val="en-US"/>
        </w:rPr>
        <w:t xml:space="preserve">In 2024, WIPO provided graduation </w:t>
      </w:r>
      <w:r w:rsidRPr="00BC268B">
        <w:rPr>
          <w:rFonts w:ascii="Arial" w:hAnsi="Arial" w:cs="Arial"/>
          <w:sz w:val="22"/>
          <w:szCs w:val="22"/>
          <w:lang w:val="en-GB"/>
        </w:rPr>
        <w:t xml:space="preserve">support </w:t>
      </w:r>
      <w:r w:rsidRPr="00BC268B">
        <w:rPr>
          <w:rFonts w:ascii="Arial" w:hAnsi="Arial" w:cs="Arial"/>
          <w:sz w:val="22"/>
          <w:szCs w:val="22"/>
          <w:lang w:val="en-US"/>
        </w:rPr>
        <w:t xml:space="preserve">for Angola and made progress in implementing country-specific support packages for the Lao People’s Democratic Republic and Sao Tome and Principe.  </w:t>
      </w:r>
      <w:r w:rsidRPr="00524B1F">
        <w:rPr>
          <w:rFonts w:ascii="Arial" w:hAnsi="Arial" w:cs="Arial"/>
          <w:sz w:val="22"/>
          <w:szCs w:val="22"/>
          <w:lang w:val="en-US"/>
        </w:rPr>
        <w:t xml:space="preserve">Technical assistance for graduating LDCs covers IP-related areas such as enhanced support for developing national IP and innovation ecosystems, modernizing national IP Offices, specialized training for various stakeholders, assisting technological capacity-building, and a range of technical assistance activities on using IP for business competitiveness and economic diversification.  </w:t>
      </w:r>
      <w:r w:rsidRPr="00BC268B">
        <w:rPr>
          <w:rFonts w:ascii="Arial" w:hAnsi="Arial" w:cs="Arial"/>
          <w:sz w:val="22"/>
          <w:szCs w:val="22"/>
        </w:rPr>
        <w:t xml:space="preserve">Consultations were also progressing with other graduating LDCs.  </w:t>
      </w:r>
    </w:p>
    <w:p w14:paraId="41ABFB65" w14:textId="77777777" w:rsidR="00BC268B" w:rsidRPr="00BC268B" w:rsidRDefault="00BC268B" w:rsidP="002367C0">
      <w:pPr>
        <w:pStyle w:val="Heading2"/>
        <w:spacing w:before="0" w:after="240"/>
        <w:rPr>
          <w:szCs w:val="22"/>
        </w:rPr>
      </w:pPr>
      <w:r w:rsidRPr="00BC268B">
        <w:rPr>
          <w:szCs w:val="22"/>
        </w:rPr>
        <w:t>Skills and Knowledge Building</w:t>
      </w:r>
    </w:p>
    <w:p w14:paraId="7DD82A1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iCs/>
          <w:sz w:val="22"/>
          <w:szCs w:val="22"/>
          <w:lang w:val="en-US"/>
        </w:rPr>
        <w:t>The number of people benefiting from the WIPO Academy’s Distance Learning (DL) Program reached 121,463 in 2024, with a total of 659 courses delivered in some 21 languages</w:t>
      </w:r>
      <w:r w:rsidRPr="00BC268B">
        <w:rPr>
          <w:rStyle w:val="FootnoteReference"/>
          <w:rFonts w:ascii="Arial" w:hAnsi="Arial" w:cs="Arial"/>
          <w:iCs/>
          <w:sz w:val="22"/>
          <w:szCs w:val="22"/>
        </w:rPr>
        <w:footnoteReference w:id="10"/>
      </w:r>
      <w:r w:rsidRPr="00524B1F">
        <w:rPr>
          <w:rFonts w:ascii="Arial" w:hAnsi="Arial" w:cs="Arial"/>
          <w:iCs/>
          <w:sz w:val="22"/>
          <w:szCs w:val="22"/>
          <w:lang w:val="en-US"/>
        </w:rPr>
        <w:t xml:space="preserve"> by 264 tutors.  The DL course offerings were expanded to include more practical and competency-oriented training for highly specialized stakeholders and users of the IP system.  </w:t>
      </w:r>
      <w:r w:rsidRPr="00524B1F">
        <w:rPr>
          <w:rFonts w:ascii="Arial" w:hAnsi="Arial" w:cs="Arial"/>
          <w:iCs/>
          <w:sz w:val="22"/>
          <w:szCs w:val="22"/>
          <w:shd w:val="clear" w:color="auto" w:fill="FFFFFF"/>
          <w:lang w:val="en-US"/>
        </w:rPr>
        <w:t xml:space="preserve">The second edition of the </w:t>
      </w:r>
      <w:r w:rsidRPr="00524B1F">
        <w:rPr>
          <w:rFonts w:ascii="Arial" w:hAnsi="Arial" w:cs="Arial"/>
          <w:i/>
          <w:iCs/>
          <w:sz w:val="22"/>
          <w:szCs w:val="22"/>
          <w:lang w:val="en-US"/>
        </w:rPr>
        <w:t>Leadership Course on IP</w:t>
      </w:r>
      <w:r w:rsidRPr="00524B1F">
        <w:rPr>
          <w:rFonts w:ascii="Arial" w:hAnsi="Arial" w:cs="Arial"/>
          <w:sz w:val="22"/>
          <w:szCs w:val="22"/>
          <w:lang w:val="en-US"/>
        </w:rPr>
        <w:t xml:space="preserve">, </w:t>
      </w:r>
      <w:r w:rsidRPr="00524B1F">
        <w:rPr>
          <w:rFonts w:ascii="Arial" w:hAnsi="Arial" w:cs="Arial"/>
          <w:i/>
          <w:iCs/>
          <w:sz w:val="22"/>
          <w:szCs w:val="22"/>
          <w:lang w:val="en-US"/>
        </w:rPr>
        <w:t>Science and Innovation</w:t>
      </w:r>
      <w:r w:rsidRPr="00524B1F">
        <w:rPr>
          <w:rFonts w:ascii="Arial" w:hAnsi="Arial" w:cs="Arial"/>
          <w:sz w:val="22"/>
          <w:szCs w:val="22"/>
          <w:lang w:val="en-US"/>
        </w:rPr>
        <w:t xml:space="preserve"> </w:t>
      </w:r>
      <w:r w:rsidRPr="00524B1F">
        <w:rPr>
          <w:rFonts w:ascii="Arial" w:hAnsi="Arial" w:cs="Arial"/>
          <w:i/>
          <w:iCs/>
          <w:sz w:val="22"/>
          <w:szCs w:val="22"/>
          <w:lang w:val="en-US"/>
        </w:rPr>
        <w:t>for Women Scientists and Innovators</w:t>
      </w:r>
      <w:r w:rsidRPr="00524B1F">
        <w:rPr>
          <w:rFonts w:ascii="Arial" w:hAnsi="Arial" w:cs="Arial"/>
          <w:sz w:val="22"/>
          <w:szCs w:val="22"/>
          <w:lang w:val="en-US"/>
        </w:rPr>
        <w:t xml:space="preserve"> was organized </w:t>
      </w:r>
      <w:r w:rsidRPr="00524B1F">
        <w:rPr>
          <w:rFonts w:ascii="Arial" w:hAnsi="Arial" w:cs="Arial"/>
          <w:sz w:val="22"/>
          <w:szCs w:val="22"/>
          <w:shd w:val="clear" w:color="auto" w:fill="FFFFFF"/>
          <w:lang w:val="en-US"/>
        </w:rPr>
        <w:t xml:space="preserve">in collaboration with the Korean Intellectual Property Office and the L’Oréal-UNESCO For Women in Science program, </w:t>
      </w:r>
      <w:r w:rsidRPr="00524B1F">
        <w:rPr>
          <w:rFonts w:ascii="Arial" w:hAnsi="Arial" w:cs="Arial"/>
          <w:iCs/>
          <w:sz w:val="22"/>
          <w:szCs w:val="22"/>
          <w:shd w:val="clear" w:color="auto" w:fill="FFFFFF"/>
          <w:lang w:val="en-US"/>
        </w:rPr>
        <w:t xml:space="preserve">offering </w:t>
      </w:r>
      <w:r w:rsidRPr="00524B1F">
        <w:rPr>
          <w:rFonts w:ascii="Arial" w:hAnsi="Arial" w:cs="Arial"/>
          <w:sz w:val="22"/>
          <w:szCs w:val="22"/>
          <w:shd w:val="clear" w:color="auto" w:fill="FFFFFF"/>
          <w:lang w:val="en-US"/>
        </w:rPr>
        <w:t xml:space="preserve">blended online and offline IP training opportunities to accomplished female scientists.  The </w:t>
      </w:r>
      <w:r w:rsidRPr="00524B1F">
        <w:rPr>
          <w:rFonts w:ascii="Arial" w:hAnsi="Arial" w:cs="Arial"/>
          <w:i/>
          <w:iCs/>
          <w:sz w:val="22"/>
          <w:szCs w:val="22"/>
          <w:lang w:val="en-US"/>
        </w:rPr>
        <w:t xml:space="preserve">Masterclass sessions for women digital entrepreneurs in South Asia, </w:t>
      </w:r>
      <w:r w:rsidRPr="00524B1F">
        <w:rPr>
          <w:rFonts w:ascii="Arial" w:hAnsi="Arial" w:cs="Arial"/>
          <w:sz w:val="22"/>
          <w:szCs w:val="22"/>
          <w:lang w:val="en-US"/>
        </w:rPr>
        <w:t xml:space="preserve">provided in collaboration with the United Nations Conference on Trade and Development (UNCTAD), focused on how entrepreneurs can use IP to create a competitive advantage.  </w:t>
      </w:r>
      <w:r w:rsidRPr="00524B1F">
        <w:rPr>
          <w:rFonts w:ascii="Arial" w:hAnsi="Arial" w:cs="Arial"/>
          <w:iCs/>
          <w:sz w:val="22"/>
          <w:szCs w:val="22"/>
          <w:lang w:val="en-US"/>
        </w:rPr>
        <w:t xml:space="preserve">The Academy responded to the continued demand for its entry-level and youth-focused learning tools to be adapted to national target audiences, building </w:t>
      </w:r>
      <w:r w:rsidRPr="00524B1F">
        <w:rPr>
          <w:rFonts w:ascii="Arial" w:hAnsi="Arial" w:cs="Arial"/>
          <w:iCs/>
          <w:sz w:val="22"/>
          <w:szCs w:val="22"/>
          <w:lang w:val="en-US"/>
        </w:rPr>
        <w:lastRenderedPageBreak/>
        <w:t>on new and existing agreements for customization with the IP Offices of 16 Member States.</w:t>
      </w:r>
      <w:r w:rsidRPr="00BC268B">
        <w:rPr>
          <w:rStyle w:val="FootnoteReference"/>
          <w:rFonts w:ascii="Arial" w:hAnsi="Arial" w:cs="Arial"/>
          <w:iCs/>
          <w:sz w:val="22"/>
          <w:szCs w:val="22"/>
        </w:rPr>
        <w:footnoteReference w:id="11"/>
      </w:r>
      <w:r w:rsidRPr="00524B1F">
        <w:rPr>
          <w:rFonts w:ascii="Arial" w:hAnsi="Arial" w:cs="Arial"/>
          <w:iCs/>
          <w:sz w:val="22"/>
          <w:szCs w:val="22"/>
          <w:lang w:val="en-US"/>
        </w:rPr>
        <w:t xml:space="preserve">  </w:t>
      </w:r>
      <w:r w:rsidRPr="00BC268B">
        <w:rPr>
          <w:rFonts w:ascii="Arial" w:hAnsi="Arial" w:cs="Arial"/>
          <w:iCs/>
          <w:sz w:val="22"/>
          <w:szCs w:val="22"/>
          <w:lang w:val="en-US"/>
        </w:rPr>
        <w:t xml:space="preserve">Furthermore, the third and fourth editions of the </w:t>
      </w:r>
      <w:r w:rsidRPr="00BC268B">
        <w:rPr>
          <w:rFonts w:ascii="Arial" w:hAnsi="Arial" w:cs="Arial"/>
          <w:i/>
          <w:sz w:val="22"/>
          <w:szCs w:val="22"/>
          <w:lang w:val="en-US"/>
        </w:rPr>
        <w:t>WIPO-Harvard Patent Law and Global Public Health Course</w:t>
      </w:r>
      <w:r w:rsidRPr="00BC268B">
        <w:rPr>
          <w:rFonts w:ascii="Arial" w:hAnsi="Arial" w:cs="Arial"/>
          <w:iCs/>
          <w:sz w:val="22"/>
          <w:szCs w:val="22"/>
          <w:lang w:val="en-US"/>
        </w:rPr>
        <w:t xml:space="preserve"> (PatentX Course) were delivered free of charge to over 1,000 students around the world.</w:t>
      </w:r>
    </w:p>
    <w:p w14:paraId="68D43488"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iCs/>
          <w:sz w:val="22"/>
          <w:szCs w:val="22"/>
          <w:lang w:val="en-US"/>
        </w:rPr>
        <w:t xml:space="preserve">Additionally, the WIPO Academy continued to support universities in various regions to improve IP higher education for youth, women entrepreneurs and SMEs through curriculum development and the provision of IP academic resources, WIPO experts and international professors.  </w:t>
      </w:r>
      <w:r w:rsidRPr="00524B1F">
        <w:rPr>
          <w:rFonts w:ascii="Arial" w:hAnsi="Arial" w:cs="Arial"/>
          <w:sz w:val="22"/>
          <w:szCs w:val="22"/>
          <w:lang w:val="en-US"/>
        </w:rPr>
        <w:t>WIPO Academy Joint Master’s programs represented another key strand of the Academy’s work, aimed in particular at participants from developing countries, LDCs and countries with economies in transition.  In 2024, 14 WIPO Academy Joint Master’s programs, including three newly launched programs,</w:t>
      </w:r>
      <w:r w:rsidRPr="00BC268B">
        <w:rPr>
          <w:rStyle w:val="FootnoteReference"/>
          <w:rFonts w:ascii="Arial" w:hAnsi="Arial" w:cs="Arial"/>
          <w:sz w:val="22"/>
          <w:szCs w:val="22"/>
        </w:rPr>
        <w:footnoteReference w:id="12"/>
      </w:r>
      <w:r w:rsidRPr="00524B1F">
        <w:rPr>
          <w:rFonts w:ascii="Arial" w:hAnsi="Arial" w:cs="Arial"/>
          <w:sz w:val="22"/>
          <w:szCs w:val="22"/>
          <w:lang w:val="en-US"/>
        </w:rPr>
        <w:t xml:space="preserve"> were offered to 292 participants in partner universities.  In total, 23 WIPO Academy Summer Schools on IP Law were organized in 17 countries, benefiting </w:t>
      </w:r>
      <w:r w:rsidRPr="00524B1F">
        <w:rPr>
          <w:rFonts w:ascii="Arial" w:hAnsi="Arial" w:cs="Arial"/>
          <w:iCs/>
          <w:sz w:val="22"/>
          <w:szCs w:val="22"/>
          <w:lang w:val="en-US"/>
        </w:rPr>
        <w:t>1,956 participants</w:t>
      </w:r>
      <w:r w:rsidRPr="00524B1F">
        <w:rPr>
          <w:rFonts w:ascii="Arial" w:hAnsi="Arial" w:cs="Arial"/>
          <w:sz w:val="22"/>
          <w:szCs w:val="22"/>
          <w:lang w:val="en-US"/>
        </w:rPr>
        <w:t>.  Additionally, the second edition of the WIPO and the World Trade Organization (WTO) Colloquium</w:t>
      </w:r>
      <w:r w:rsidRPr="00BC268B">
        <w:rPr>
          <w:rStyle w:val="FootnoteReference"/>
          <w:rFonts w:ascii="Arial" w:hAnsi="Arial" w:cs="Arial"/>
          <w:sz w:val="22"/>
          <w:szCs w:val="22"/>
        </w:rPr>
        <w:footnoteReference w:id="13"/>
      </w:r>
      <w:r w:rsidRPr="00524B1F">
        <w:rPr>
          <w:rFonts w:ascii="Arial" w:hAnsi="Arial" w:cs="Arial"/>
          <w:sz w:val="22"/>
          <w:szCs w:val="22"/>
          <w:lang w:val="en-US"/>
        </w:rPr>
        <w:t xml:space="preserve"> was held in South Africa in collaboration with the University of Cape Town, offering support to more than 73 IP scholars from 21 countries across the globe.  It is worth mentioning that, during the reporting period, </w:t>
      </w:r>
      <w:r w:rsidRPr="00524B1F">
        <w:rPr>
          <w:rFonts w:ascii="Arial" w:hAnsi="Arial" w:cs="Arial"/>
          <w:iCs/>
          <w:sz w:val="22"/>
          <w:szCs w:val="22"/>
          <w:lang w:val="en-US"/>
        </w:rPr>
        <w:t>158 female participants completed Joint Master’s programs, and 177 women participated in Advanced Training Courses and Executive Programs.</w:t>
      </w:r>
    </w:p>
    <w:p w14:paraId="2FF046CF" w14:textId="77777777" w:rsidR="00BC268B" w:rsidRPr="00BC268B" w:rsidRDefault="00BC268B" w:rsidP="002367C0">
      <w:pPr>
        <w:pStyle w:val="Heading2"/>
        <w:spacing w:before="0" w:after="240"/>
        <w:rPr>
          <w:szCs w:val="22"/>
        </w:rPr>
      </w:pPr>
      <w:bookmarkStart w:id="23" w:name="_Hlk188892166"/>
      <w:r w:rsidRPr="00BC268B">
        <w:rPr>
          <w:szCs w:val="22"/>
        </w:rPr>
        <w:t>IP and Development</w:t>
      </w:r>
    </w:p>
    <w:p w14:paraId="2FD94147"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Under the agenda item on </w:t>
      </w:r>
      <w:r w:rsidRPr="00524B1F">
        <w:rPr>
          <w:rFonts w:ascii="Arial" w:hAnsi="Arial" w:cs="Arial"/>
          <w:i/>
          <w:iCs/>
          <w:sz w:val="22"/>
          <w:szCs w:val="22"/>
          <w:lang w:val="en-US"/>
        </w:rPr>
        <w:t xml:space="preserve">“IP and Development”, </w:t>
      </w:r>
      <w:r w:rsidRPr="00524B1F">
        <w:rPr>
          <w:rFonts w:ascii="Arial" w:hAnsi="Arial" w:cs="Arial"/>
          <w:sz w:val="22"/>
          <w:szCs w:val="22"/>
          <w:lang w:val="en-US"/>
        </w:rPr>
        <w:t>the Committee has continued to discuss one topic per session, based on those proposed and agreed upon by Member States.</w:t>
      </w:r>
      <w:r w:rsidRPr="00BC268B">
        <w:rPr>
          <w:rStyle w:val="FootnoteReference"/>
          <w:rFonts w:ascii="Arial" w:hAnsi="Arial" w:cs="Arial"/>
          <w:sz w:val="22"/>
          <w:szCs w:val="22"/>
        </w:rPr>
        <w:footnoteReference w:id="14"/>
      </w:r>
      <w:r w:rsidRPr="00524B1F">
        <w:rPr>
          <w:rFonts w:ascii="Arial" w:hAnsi="Arial" w:cs="Arial"/>
          <w:sz w:val="22"/>
          <w:szCs w:val="22"/>
          <w:lang w:val="en-US"/>
        </w:rPr>
        <w:t xml:space="preserve">  </w:t>
      </w:r>
      <w:r w:rsidRPr="00BC268B">
        <w:rPr>
          <w:rFonts w:ascii="Arial" w:hAnsi="Arial" w:cs="Arial"/>
          <w:sz w:val="22"/>
          <w:szCs w:val="22"/>
          <w:lang w:val="en-US"/>
        </w:rPr>
        <w:t xml:space="preserve">This agenda item serves as a platform for comprehensive discussion of the selected topic, covering WIPO’s existing work and future direction in the area in question.  </w:t>
      </w:r>
      <w:r w:rsidRPr="00524B1F">
        <w:rPr>
          <w:rFonts w:ascii="Arial" w:hAnsi="Arial" w:cs="Arial"/>
          <w:sz w:val="22"/>
          <w:szCs w:val="22"/>
          <w:lang w:val="en-US"/>
        </w:rPr>
        <w:t xml:space="preserve">It also provides an opportunity for Member States to share their experiences and expectations of the Organization’s work and technical assistance in various fields of IP.  During its thirty-second session, held from April 29 to May 3, 2024, the Committee discussed the topic </w:t>
      </w:r>
      <w:r w:rsidRPr="00524B1F">
        <w:rPr>
          <w:rFonts w:ascii="Arial" w:hAnsi="Arial" w:cs="Arial"/>
          <w:i/>
          <w:iCs/>
          <w:sz w:val="22"/>
          <w:szCs w:val="22"/>
          <w:lang w:val="en-US"/>
        </w:rPr>
        <w:t xml:space="preserve">“Building the Capacity of Universities to Manage and Commercialise IP:  Transferring IP and Technology”.  </w:t>
      </w:r>
      <w:r w:rsidRPr="00524B1F">
        <w:rPr>
          <w:rFonts w:ascii="Arial" w:hAnsi="Arial" w:cs="Arial"/>
          <w:sz w:val="22"/>
          <w:szCs w:val="22"/>
          <w:lang w:val="en-US"/>
        </w:rPr>
        <w:t>The Committee listened to the presentation by the Secretariat,</w:t>
      </w:r>
      <w:r w:rsidRPr="00BC268B">
        <w:rPr>
          <w:rStyle w:val="FootnoteReference"/>
          <w:rFonts w:ascii="Arial" w:hAnsi="Arial" w:cs="Arial"/>
          <w:sz w:val="22"/>
          <w:szCs w:val="22"/>
        </w:rPr>
        <w:footnoteReference w:id="15"/>
      </w:r>
      <w:r w:rsidRPr="00524B1F">
        <w:rPr>
          <w:rFonts w:ascii="Arial" w:hAnsi="Arial" w:cs="Arial"/>
          <w:sz w:val="22"/>
          <w:szCs w:val="22"/>
          <w:lang w:val="en-US"/>
        </w:rPr>
        <w:t xml:space="preserve"> after which Member States emphasized the importance of universities and public research institutions in shaping educated and skilled human capital.  They shared information on their national programs, projects and initiatives focused on supporting universities and public research institutions to manage and commercialize their IP assets.  </w:t>
      </w:r>
      <w:bookmarkStart w:id="24" w:name="_Hlk189748121"/>
      <w:r w:rsidRPr="00524B1F">
        <w:rPr>
          <w:rFonts w:ascii="Arial" w:hAnsi="Arial" w:cs="Arial"/>
          <w:sz w:val="22"/>
          <w:szCs w:val="22"/>
          <w:lang w:val="en-US"/>
        </w:rPr>
        <w:t>The Committee also revisited the topic “Women and IP”</w:t>
      </w:r>
      <w:r w:rsidRPr="00BC268B">
        <w:rPr>
          <w:rStyle w:val="FootnoteReference"/>
          <w:rFonts w:ascii="Arial" w:hAnsi="Arial" w:cs="Arial"/>
          <w:sz w:val="22"/>
          <w:szCs w:val="22"/>
        </w:rPr>
        <w:footnoteReference w:id="16"/>
      </w:r>
      <w:r w:rsidRPr="00524B1F">
        <w:rPr>
          <w:rFonts w:ascii="Arial" w:hAnsi="Arial" w:cs="Arial"/>
          <w:sz w:val="22"/>
          <w:szCs w:val="22"/>
          <w:lang w:val="en-US"/>
        </w:rPr>
        <w:t xml:space="preserve"> and considered the Report on </w:t>
      </w:r>
      <w:r w:rsidRPr="00524B1F">
        <w:rPr>
          <w:rFonts w:ascii="Arial" w:hAnsi="Arial" w:cs="Arial"/>
          <w:i/>
          <w:iCs/>
          <w:sz w:val="22"/>
          <w:szCs w:val="22"/>
          <w:lang w:val="en-US"/>
        </w:rPr>
        <w:t>“Women and IP:  Internal</w:t>
      </w:r>
      <w:r w:rsidRPr="00524B1F">
        <w:rPr>
          <w:rFonts w:ascii="Arial" w:hAnsi="Arial" w:cs="Arial"/>
          <w:sz w:val="22"/>
          <w:szCs w:val="22"/>
          <w:lang w:val="en-US"/>
        </w:rPr>
        <w:t xml:space="preserve"> and </w:t>
      </w:r>
      <w:r w:rsidRPr="00524B1F">
        <w:rPr>
          <w:rFonts w:ascii="Arial" w:hAnsi="Arial" w:cs="Arial"/>
          <w:i/>
          <w:iCs/>
          <w:sz w:val="22"/>
          <w:szCs w:val="22"/>
          <w:lang w:val="en-US"/>
        </w:rPr>
        <w:t>External Activities, Strategic Direction”.</w:t>
      </w:r>
      <w:r w:rsidRPr="00BC268B">
        <w:rPr>
          <w:rStyle w:val="FootnoteReference"/>
          <w:rFonts w:ascii="Arial" w:hAnsi="Arial" w:cs="Arial"/>
          <w:sz w:val="22"/>
          <w:szCs w:val="22"/>
        </w:rPr>
        <w:footnoteReference w:id="17"/>
      </w:r>
      <w:r w:rsidRPr="00524B1F">
        <w:rPr>
          <w:rFonts w:ascii="Arial" w:hAnsi="Arial" w:cs="Arial"/>
          <w:i/>
          <w:iCs/>
          <w:sz w:val="22"/>
          <w:szCs w:val="22"/>
          <w:lang w:val="en-US"/>
        </w:rPr>
        <w:t xml:space="preserve"> </w:t>
      </w:r>
      <w:r w:rsidRPr="00524B1F">
        <w:rPr>
          <w:rFonts w:ascii="Arial" w:hAnsi="Arial" w:cs="Arial"/>
          <w:sz w:val="22"/>
          <w:szCs w:val="22"/>
          <w:lang w:val="en-US"/>
        </w:rPr>
        <w:t xml:space="preserve"> </w:t>
      </w:r>
      <w:r w:rsidRPr="00BC268B">
        <w:rPr>
          <w:rFonts w:ascii="Arial" w:hAnsi="Arial" w:cs="Arial"/>
          <w:sz w:val="22"/>
          <w:szCs w:val="22"/>
          <w:lang w:val="en-US"/>
        </w:rPr>
        <w:t>In this regard, Member States exchanged their national initiatives to promote diversity and advance women’s participation in the IP ecosystem and encouraged the Secretariat to continue implementing activities in this domain, including by organizing sharing sessions on Women and IP.</w:t>
      </w:r>
    </w:p>
    <w:bookmarkEnd w:id="24"/>
    <w:p w14:paraId="3CA9FE9C"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lastRenderedPageBreak/>
        <w:t xml:space="preserve">At its thirty-third session, held from December 9 to 13, 2024, the Committee discussed the topic </w:t>
      </w:r>
      <w:r w:rsidRPr="00524B1F">
        <w:rPr>
          <w:rFonts w:ascii="Arial" w:hAnsi="Arial" w:cs="Arial"/>
          <w:i/>
          <w:iCs/>
          <w:sz w:val="22"/>
          <w:szCs w:val="22"/>
          <w:lang w:val="en-US"/>
        </w:rPr>
        <w:t>“AI Impacts for IP and Development”</w:t>
      </w:r>
      <w:r w:rsidRPr="00524B1F">
        <w:rPr>
          <w:rFonts w:ascii="Arial" w:hAnsi="Arial" w:cs="Arial"/>
          <w:sz w:val="22"/>
          <w:szCs w:val="22"/>
          <w:lang w:val="en-US"/>
        </w:rPr>
        <w:t>.  Following the presentation by the Secretariat,</w:t>
      </w:r>
      <w:r w:rsidRPr="00BC268B">
        <w:rPr>
          <w:rStyle w:val="FootnoteReference"/>
          <w:rFonts w:ascii="Arial" w:hAnsi="Arial" w:cs="Arial"/>
          <w:sz w:val="22"/>
          <w:szCs w:val="22"/>
        </w:rPr>
        <w:footnoteReference w:id="18"/>
      </w:r>
      <w:r w:rsidRPr="00524B1F">
        <w:rPr>
          <w:rFonts w:ascii="Arial" w:hAnsi="Arial" w:cs="Arial"/>
          <w:sz w:val="22"/>
          <w:szCs w:val="22"/>
          <w:lang w:val="en-US"/>
        </w:rPr>
        <w:t xml:space="preserve"> some Member States highlighted the role of IP in developing AI-driven solutions </w:t>
      </w:r>
      <w:r w:rsidRPr="00524B1F">
        <w:rPr>
          <w:rFonts w:ascii="Arial" w:eastAsia="Times New Roman" w:hAnsi="Arial" w:cs="Arial"/>
          <w:sz w:val="22"/>
          <w:szCs w:val="22"/>
          <w:lang w:val="en-US" w:eastAsia="fr-CH"/>
        </w:rPr>
        <w:t xml:space="preserve">to societal challenges to accelerate progress towards sustainable development, promote innovation and strengthen local AI ecosystems to support human dignity, equality and justice.  </w:t>
      </w:r>
      <w:r w:rsidRPr="00524B1F">
        <w:rPr>
          <w:rFonts w:ascii="Arial" w:hAnsi="Arial" w:cs="Arial"/>
          <w:sz w:val="22"/>
          <w:szCs w:val="22"/>
          <w:lang w:val="en-US"/>
        </w:rPr>
        <w:t xml:space="preserve">Additionally, the Committee agreed to discuss the topic </w:t>
      </w:r>
      <w:r w:rsidRPr="00524B1F">
        <w:rPr>
          <w:rFonts w:ascii="Arial" w:hAnsi="Arial" w:cs="Arial"/>
          <w:i/>
          <w:iCs/>
          <w:sz w:val="22"/>
          <w:szCs w:val="22"/>
          <w:lang w:val="en-US"/>
        </w:rPr>
        <w:t xml:space="preserve">“IP and the Judiciary: Building Capacities and Expertise” </w:t>
      </w:r>
      <w:r w:rsidRPr="00524B1F">
        <w:rPr>
          <w:rFonts w:ascii="Arial" w:hAnsi="Arial" w:cs="Arial"/>
          <w:sz w:val="22"/>
          <w:szCs w:val="22"/>
          <w:lang w:val="en-US"/>
        </w:rPr>
        <w:t xml:space="preserve">under agenda item on </w:t>
      </w:r>
      <w:r w:rsidRPr="00524B1F">
        <w:rPr>
          <w:rFonts w:ascii="Arial" w:hAnsi="Arial" w:cs="Arial"/>
          <w:i/>
          <w:iCs/>
          <w:sz w:val="22"/>
          <w:szCs w:val="22"/>
          <w:lang w:val="en-US"/>
        </w:rPr>
        <w:t>“IP and Development”</w:t>
      </w:r>
      <w:r w:rsidRPr="00524B1F">
        <w:rPr>
          <w:rFonts w:ascii="Arial" w:hAnsi="Arial" w:cs="Arial"/>
          <w:sz w:val="22"/>
          <w:szCs w:val="22"/>
          <w:lang w:val="en-US"/>
        </w:rPr>
        <w:t xml:space="preserve"> at its thirty-fourth session.  </w:t>
      </w:r>
    </w:p>
    <w:p w14:paraId="60997AE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 </w:t>
      </w:r>
      <w:r w:rsidRPr="00524B1F">
        <w:rPr>
          <w:rFonts w:ascii="Arial" w:eastAsia="Times New Roman" w:hAnsi="Arial" w:cs="Arial"/>
          <w:sz w:val="22"/>
          <w:szCs w:val="22"/>
          <w:lang w:val="en-US" w:eastAsia="fr-CH"/>
        </w:rPr>
        <w:t>As agreed by the Committee at its twenty-ninth session, and based on a proposal by the African Group</w:t>
      </w:r>
      <w:r w:rsidRPr="00524B1F">
        <w:rPr>
          <w:rStyle w:val="FootnoteReference"/>
          <w:rFonts w:ascii="Arial" w:hAnsi="Arial" w:cs="Arial"/>
          <w:sz w:val="22"/>
          <w:szCs w:val="22"/>
          <w:lang w:val="en-US"/>
        </w:rPr>
        <w:t xml:space="preserve"> </w:t>
      </w:r>
      <w:r w:rsidRPr="00524B1F">
        <w:rPr>
          <w:rFonts w:ascii="Arial" w:eastAsia="Times New Roman" w:hAnsi="Arial" w:cs="Arial"/>
          <w:sz w:val="22"/>
          <w:szCs w:val="22"/>
          <w:lang w:val="en-US" w:eastAsia="fr-CH"/>
        </w:rPr>
        <w:t>to organize three additional biennial International Conferences on IP and Development, in 2024 the Secretariat started preparations to hold the next International Conference on IP and Development during the current session of the CDIP.  The sub-topic for this Conference, as decided by Member States,</w:t>
      </w:r>
      <w:r w:rsidRPr="00BC268B">
        <w:rPr>
          <w:rStyle w:val="FootnoteReference"/>
          <w:rFonts w:ascii="Arial" w:eastAsia="Times New Roman" w:hAnsi="Arial" w:cs="Arial"/>
          <w:sz w:val="22"/>
          <w:szCs w:val="22"/>
          <w:lang w:eastAsia="fr-CH"/>
        </w:rPr>
        <w:footnoteReference w:id="19"/>
      </w:r>
      <w:r w:rsidRPr="00524B1F">
        <w:rPr>
          <w:rFonts w:ascii="Arial" w:eastAsia="Times New Roman" w:hAnsi="Arial" w:cs="Arial"/>
          <w:sz w:val="22"/>
          <w:szCs w:val="22"/>
          <w:lang w:val="en-US" w:eastAsia="fr-CH"/>
        </w:rPr>
        <w:t xml:space="preserve"> is “</w:t>
      </w:r>
      <w:r w:rsidRPr="00524B1F">
        <w:rPr>
          <w:rFonts w:ascii="Arial" w:hAnsi="Arial" w:cs="Arial"/>
          <w:bCs/>
          <w:i/>
          <w:iCs/>
          <w:sz w:val="22"/>
          <w:szCs w:val="22"/>
          <w:lang w:val="en-US"/>
        </w:rPr>
        <w:t>The Role of IP and Innovation in Addressing Global Public Health Challenges:  Fostering Technological Transfer and Collaborations</w:t>
      </w:r>
      <w:r w:rsidRPr="00524B1F">
        <w:rPr>
          <w:rFonts w:ascii="Arial" w:hAnsi="Arial" w:cs="Arial"/>
          <w:sz w:val="22"/>
          <w:szCs w:val="22"/>
          <w:lang w:val="en-US"/>
        </w:rPr>
        <w:t>”</w:t>
      </w:r>
      <w:r w:rsidRPr="00524B1F">
        <w:rPr>
          <w:rFonts w:ascii="Arial" w:eastAsia="Times New Roman" w:hAnsi="Arial" w:cs="Arial"/>
          <w:sz w:val="22"/>
          <w:szCs w:val="22"/>
          <w:lang w:val="en-US" w:eastAsia="fr-CH"/>
        </w:rPr>
        <w:t xml:space="preserve">.  </w:t>
      </w:r>
    </w:p>
    <w:p w14:paraId="7B0C5CF5" w14:textId="77777777" w:rsidR="00BC268B" w:rsidRPr="00BC268B" w:rsidRDefault="00BC268B" w:rsidP="002367C0">
      <w:pPr>
        <w:pStyle w:val="Heading2"/>
        <w:spacing w:before="0" w:after="240"/>
        <w:rPr>
          <w:szCs w:val="22"/>
        </w:rPr>
      </w:pPr>
      <w:bookmarkStart w:id="25" w:name="_Hlk188892115"/>
      <w:bookmarkEnd w:id="23"/>
      <w:r w:rsidRPr="00BC268B">
        <w:rPr>
          <w:szCs w:val="22"/>
        </w:rPr>
        <w:t>Flexibilities in the IP System</w:t>
      </w:r>
    </w:p>
    <w:p w14:paraId="245724EE"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information contained in the Database on Flexibilities</w:t>
      </w:r>
      <w:r w:rsidRPr="00BC268B">
        <w:rPr>
          <w:rStyle w:val="FootnoteReference"/>
          <w:rFonts w:ascii="Arial" w:hAnsi="Arial" w:cs="Arial"/>
          <w:sz w:val="22"/>
          <w:szCs w:val="22"/>
        </w:rPr>
        <w:footnoteReference w:id="20"/>
      </w:r>
      <w:r w:rsidRPr="00524B1F">
        <w:rPr>
          <w:rFonts w:ascii="Arial" w:hAnsi="Arial" w:cs="Arial"/>
          <w:sz w:val="22"/>
          <w:szCs w:val="22"/>
          <w:lang w:val="en-US"/>
        </w:rPr>
        <w:t xml:space="preserve"> has continued to be disseminated, as presented in document CDIP/20/5,</w:t>
      </w:r>
      <w:r w:rsidRPr="00BC268B">
        <w:rPr>
          <w:rStyle w:val="FootnoteReference"/>
          <w:rFonts w:ascii="Arial" w:hAnsi="Arial" w:cs="Arial"/>
          <w:sz w:val="22"/>
          <w:szCs w:val="22"/>
        </w:rPr>
        <w:footnoteReference w:id="21"/>
      </w:r>
      <w:r w:rsidRPr="00524B1F">
        <w:rPr>
          <w:rFonts w:ascii="Arial" w:hAnsi="Arial" w:cs="Arial"/>
          <w:sz w:val="22"/>
          <w:szCs w:val="22"/>
          <w:lang w:val="en-US"/>
        </w:rPr>
        <w:t xml:space="preserve"> which, </w:t>
      </w:r>
      <w:r w:rsidRPr="00524B1F">
        <w:rPr>
          <w:rFonts w:ascii="Arial" w:hAnsi="Arial" w:cs="Arial"/>
          <w:i/>
          <w:sz w:val="22"/>
          <w:szCs w:val="22"/>
          <w:lang w:val="en-US"/>
        </w:rPr>
        <w:t>inter alia</w:t>
      </w:r>
      <w:r w:rsidRPr="00524B1F">
        <w:rPr>
          <w:rFonts w:ascii="Arial" w:hAnsi="Arial" w:cs="Arial"/>
          <w:sz w:val="22"/>
          <w:szCs w:val="22"/>
          <w:lang w:val="en-US"/>
        </w:rPr>
        <w:t>, describes measures for disseminating this information.  The Database allows users to search for information on how the flexibilities in national IP laws are implemented in selected jurisdictions.  As agreed by the Committee at its eighteenth session, in 2016, the entry page for the Database includes information on the mechanism for updating it.  This mechanism requires Member States to provide the Secretariat, through an official communication, with updates regarding national provisions related to the flexibilities covered by the Database.</w:t>
      </w:r>
      <w:r w:rsidRPr="00BC268B">
        <w:rPr>
          <w:rStyle w:val="FootnoteReference"/>
          <w:rFonts w:ascii="Arial" w:hAnsi="Arial" w:cs="Arial"/>
          <w:sz w:val="22"/>
          <w:szCs w:val="22"/>
        </w:rPr>
        <w:footnoteReference w:id="22"/>
      </w:r>
      <w:r w:rsidRPr="00524B1F">
        <w:rPr>
          <w:rFonts w:ascii="Arial" w:hAnsi="Arial" w:cs="Arial"/>
          <w:sz w:val="22"/>
          <w:szCs w:val="22"/>
          <w:lang w:val="en-US"/>
        </w:rPr>
        <w:t xml:space="preserve">  </w:t>
      </w:r>
      <w:r w:rsidRPr="00BC268B">
        <w:rPr>
          <w:rFonts w:ascii="Arial" w:hAnsi="Arial" w:cs="Arial"/>
          <w:sz w:val="22"/>
          <w:szCs w:val="22"/>
          <w:lang w:val="en-US"/>
        </w:rPr>
        <w:t>The notified update is immediately included in the Database in a dedicated field named “Updates by Member States”.  In 2024, no such updates were submitted by Member States.</w:t>
      </w:r>
    </w:p>
    <w:bookmarkEnd w:id="25"/>
    <w:p w14:paraId="3E30971A" w14:textId="77777777" w:rsidR="00BC268B" w:rsidRPr="00BC268B" w:rsidRDefault="00BC268B" w:rsidP="002367C0">
      <w:pPr>
        <w:pStyle w:val="Heading2"/>
        <w:spacing w:before="0" w:after="240"/>
        <w:rPr>
          <w:szCs w:val="22"/>
        </w:rPr>
      </w:pPr>
      <w:r w:rsidRPr="00BC268B">
        <w:rPr>
          <w:szCs w:val="22"/>
        </w:rPr>
        <w:t>Women and IP</w:t>
      </w:r>
    </w:p>
    <w:p w14:paraId="692195B6"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During the reporting period, WIPO empowered women to participate in the field of IP.  Following a decision by the CDIP, a forum to raise awareness of the importance of empowering women and increasing their participation in the IP ecosystem has been established through a series of sharing sessions on “Women and IP”.  One such session, entitled </w:t>
      </w:r>
      <w:r w:rsidRPr="00524B1F">
        <w:rPr>
          <w:rFonts w:ascii="Arial" w:hAnsi="Arial" w:cs="Arial"/>
          <w:i/>
          <w:iCs/>
          <w:sz w:val="22"/>
          <w:szCs w:val="22"/>
          <w:lang w:val="en-US"/>
        </w:rPr>
        <w:t>“Women and the Sustainable Development Goals”</w:t>
      </w:r>
      <w:r w:rsidRPr="00524B1F">
        <w:rPr>
          <w:rFonts w:ascii="Arial" w:hAnsi="Arial" w:cs="Arial"/>
          <w:sz w:val="22"/>
          <w:szCs w:val="22"/>
          <w:lang w:val="en-US"/>
        </w:rPr>
        <w:t>, took place on April 23, 2024,</w:t>
      </w:r>
      <w:r w:rsidRPr="00BC268B">
        <w:rPr>
          <w:rStyle w:val="FootnoteReference"/>
          <w:rFonts w:ascii="Arial" w:hAnsi="Arial" w:cs="Arial"/>
          <w:sz w:val="22"/>
          <w:szCs w:val="22"/>
        </w:rPr>
        <w:footnoteReference w:id="23"/>
      </w:r>
      <w:r w:rsidRPr="00524B1F">
        <w:rPr>
          <w:rFonts w:ascii="Arial" w:hAnsi="Arial" w:cs="Arial"/>
          <w:sz w:val="22"/>
          <w:szCs w:val="22"/>
          <w:lang w:val="en-US"/>
        </w:rPr>
        <w:t xml:space="preserve"> organized in the context of celebrations for World IP Day 2024.  The session featured women entrepreneurs from Chile, Ethiopia, Georgia, Lebanon and Papua New Guinea, who have participated in WIPO-led projects to support women in IP.  They exchanged experiences and knowledge gained through these initiatives and highlighted the role IP has played in their entrepreneurial journeys.  The session gathered together over 200 participants</w:t>
      </w:r>
      <w:r w:rsidRPr="00BC268B">
        <w:rPr>
          <w:rStyle w:val="FootnoteReference"/>
          <w:rFonts w:ascii="Arial" w:hAnsi="Arial" w:cs="Arial"/>
          <w:sz w:val="22"/>
          <w:szCs w:val="22"/>
        </w:rPr>
        <w:footnoteReference w:id="24"/>
      </w:r>
      <w:r w:rsidRPr="00524B1F">
        <w:rPr>
          <w:rFonts w:ascii="Arial" w:hAnsi="Arial" w:cs="Arial"/>
          <w:sz w:val="22"/>
          <w:szCs w:val="22"/>
          <w:lang w:val="en-US"/>
        </w:rPr>
        <w:t xml:space="preserve"> from more than 60 countries.  This series of sessions will continue to explore other aspects of the topic.</w:t>
      </w:r>
    </w:p>
    <w:p w14:paraId="48795C1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i/>
          <w:sz w:val="22"/>
          <w:szCs w:val="22"/>
          <w:lang w:val="en-US"/>
        </w:rPr>
      </w:pPr>
      <w:r w:rsidRPr="00524B1F">
        <w:rPr>
          <w:rFonts w:ascii="Arial" w:hAnsi="Arial" w:cs="Arial"/>
          <w:iCs/>
          <w:sz w:val="22"/>
          <w:szCs w:val="22"/>
          <w:lang w:val="en-US"/>
        </w:rPr>
        <w:lastRenderedPageBreak/>
        <w:t xml:space="preserve">During the reporting period, the RNDS Projects Team completed projects aimed at empowering </w:t>
      </w:r>
      <w:r w:rsidRPr="00524B1F">
        <w:rPr>
          <w:rFonts w:ascii="Arial" w:hAnsi="Arial" w:cs="Arial"/>
          <w:i/>
          <w:iCs/>
          <w:sz w:val="22"/>
          <w:szCs w:val="22"/>
          <w:lang w:val="en-US"/>
        </w:rPr>
        <w:t>Women Entrepreneurs</w:t>
      </w:r>
      <w:r w:rsidRPr="00524B1F">
        <w:rPr>
          <w:rFonts w:ascii="Arial" w:hAnsi="Arial" w:cs="Arial"/>
          <w:sz w:val="22"/>
          <w:szCs w:val="22"/>
          <w:lang w:val="en-US"/>
        </w:rPr>
        <w:t xml:space="preserve"> </w:t>
      </w:r>
      <w:r w:rsidRPr="00524B1F">
        <w:rPr>
          <w:rFonts w:ascii="Arial" w:hAnsi="Arial" w:cs="Arial"/>
          <w:iCs/>
          <w:sz w:val="22"/>
          <w:szCs w:val="22"/>
          <w:lang w:val="en-US"/>
        </w:rPr>
        <w:t xml:space="preserve">in Brazil, Egypt and the Caribbean.  In Brazil, the project </w:t>
      </w:r>
      <w:r w:rsidRPr="00524B1F">
        <w:rPr>
          <w:rFonts w:ascii="Arial" w:hAnsi="Arial" w:cs="Arial"/>
          <w:i/>
          <w:sz w:val="22"/>
          <w:szCs w:val="22"/>
          <w:lang w:val="en-US"/>
        </w:rPr>
        <w:t xml:space="preserve">“IP for Quilombola Women:  Advancing Cultural Heritage and Economic Empowerment” </w:t>
      </w:r>
      <w:r w:rsidRPr="00524B1F">
        <w:rPr>
          <w:rFonts w:ascii="Arial" w:hAnsi="Arial" w:cs="Arial"/>
          <w:iCs/>
          <w:sz w:val="22"/>
          <w:szCs w:val="22"/>
          <w:lang w:val="en-US"/>
        </w:rPr>
        <w:t xml:space="preserve">allowed 50 women entrepreneurs of African descent to harness IP for entrepreneurship, cultural heritage preservation and socioeconomic development.  WIPO and the Brazilian Government worked side by side with them to explore how IP could bring value to local products and local cultural expressions.  The project in Egypt on </w:t>
      </w:r>
      <w:r w:rsidRPr="00524B1F">
        <w:rPr>
          <w:rFonts w:ascii="Arial" w:hAnsi="Arial" w:cs="Arial"/>
          <w:i/>
          <w:sz w:val="22"/>
          <w:szCs w:val="22"/>
          <w:lang w:val="en-US"/>
        </w:rPr>
        <w:t>“Empowering Women in Local Communities through IP (Collective Mark) – Tally Production in Sohag, Egypt”,</w:t>
      </w:r>
      <w:r w:rsidRPr="00524B1F">
        <w:rPr>
          <w:rFonts w:ascii="Arial" w:hAnsi="Arial" w:cs="Arial"/>
          <w:iCs/>
          <w:sz w:val="22"/>
          <w:szCs w:val="22"/>
          <w:lang w:val="en-US"/>
        </w:rPr>
        <w:t xml:space="preserve"> supported more than 50 women entrepreneurs and artisans working in Tally production in local communities by creating sustainable linkages between their businesses and IP.  The project resulted in the development of the collective mark </w:t>
      </w:r>
      <w:r w:rsidRPr="00524B1F">
        <w:rPr>
          <w:rFonts w:ascii="Arial" w:hAnsi="Arial" w:cs="Arial"/>
          <w:i/>
          <w:sz w:val="22"/>
          <w:szCs w:val="22"/>
          <w:lang w:val="en-US"/>
        </w:rPr>
        <w:t>“Tally Shandaweil”</w:t>
      </w:r>
      <w:r w:rsidRPr="00524B1F">
        <w:rPr>
          <w:rFonts w:ascii="Arial" w:hAnsi="Arial" w:cs="Arial"/>
          <w:iCs/>
          <w:sz w:val="22"/>
          <w:szCs w:val="22"/>
          <w:lang w:val="en-US"/>
        </w:rPr>
        <w:t xml:space="preserve"> and 22 other individual marks, integrating IP into the preservation of cultural heritage and providing an outlook to the future.  This project methodology will be replicated to support women from other local communities in the Siwa and Sinai regions of Egypt.  The regional project on </w:t>
      </w:r>
      <w:r w:rsidRPr="00524B1F">
        <w:rPr>
          <w:rFonts w:ascii="Arial" w:hAnsi="Arial" w:cs="Arial"/>
          <w:i/>
          <w:sz w:val="22"/>
          <w:szCs w:val="22"/>
          <w:lang w:val="en-US"/>
        </w:rPr>
        <w:t>“IP for Women Entrepreneurs in the Caribbean”</w:t>
      </w:r>
      <w:r w:rsidRPr="00524B1F">
        <w:rPr>
          <w:rFonts w:ascii="Arial" w:hAnsi="Arial" w:cs="Arial"/>
          <w:iCs/>
          <w:sz w:val="22"/>
          <w:szCs w:val="22"/>
          <w:lang w:val="en-US"/>
        </w:rPr>
        <w:t xml:space="preserve"> focused on empowering women in three countries:  Belize, Saint Lucia, and Saint Vincent and the Grenadines, facilitating peer networking, partnerships and knowledge sharing.  The project’s delivery strategy included a Needs Assessment report, tailored training and mentorship and personalized support for a selected group of women entrepreneurs on technical issues ranging from IP creation and registration to commercialization.  Additionally, in November 2024, the RNDS Projects Team initiated the project </w:t>
      </w:r>
      <w:r w:rsidRPr="00524B1F">
        <w:rPr>
          <w:rFonts w:ascii="Arial" w:hAnsi="Arial" w:cs="Arial"/>
          <w:i/>
          <w:sz w:val="22"/>
          <w:szCs w:val="22"/>
          <w:lang w:val="en-US"/>
        </w:rPr>
        <w:t>“IP for Her - An IP Journey from Hand to Brand for Women Artisans”</w:t>
      </w:r>
      <w:r w:rsidRPr="00524B1F">
        <w:rPr>
          <w:rFonts w:ascii="Arial" w:hAnsi="Arial" w:cs="Arial"/>
          <w:iCs/>
          <w:sz w:val="22"/>
          <w:szCs w:val="22"/>
          <w:lang w:val="en-US"/>
        </w:rPr>
        <w:t xml:space="preserve"> in Djibouti, which will benefit 35 selected women artisans by enhancing their IP knowledge, skills, protection, utilization and management, thereby empowering them to effectively leverage IP and business strategies to enhance their craft and market presence.   </w:t>
      </w:r>
    </w:p>
    <w:p w14:paraId="72CE59DB"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rPr>
      </w:pPr>
      <w:r w:rsidRPr="00524B1F">
        <w:rPr>
          <w:rFonts w:ascii="Arial" w:hAnsi="Arial" w:cs="Arial"/>
          <w:sz w:val="22"/>
          <w:szCs w:val="22"/>
          <w:lang w:val="en-US"/>
        </w:rPr>
        <w:t xml:space="preserve">The Sector has also continued to implement various regional projects for </w:t>
      </w:r>
      <w:r w:rsidRPr="00524B1F">
        <w:rPr>
          <w:rFonts w:ascii="Arial" w:hAnsi="Arial" w:cs="Arial"/>
          <w:i/>
          <w:sz w:val="22"/>
          <w:szCs w:val="22"/>
          <w:lang w:val="en-US"/>
        </w:rPr>
        <w:t>Women Entrepreneurs</w:t>
      </w:r>
      <w:r w:rsidRPr="00524B1F">
        <w:rPr>
          <w:rFonts w:ascii="Arial" w:hAnsi="Arial" w:cs="Arial"/>
          <w:sz w:val="22"/>
          <w:szCs w:val="22"/>
          <w:lang w:val="en-US"/>
        </w:rPr>
        <w:t xml:space="preserve">.  Some examples of these initiatives are:  (i) the ongoing project in Iraq on </w:t>
      </w:r>
      <w:r w:rsidRPr="00524B1F">
        <w:rPr>
          <w:rFonts w:ascii="Arial" w:hAnsi="Arial" w:cs="Arial"/>
          <w:i/>
          <w:sz w:val="22"/>
          <w:szCs w:val="22"/>
          <w:lang w:val="en-US"/>
        </w:rPr>
        <w:t>“IP and Women Entrepreneurship”</w:t>
      </w:r>
      <w:r w:rsidRPr="00524B1F">
        <w:rPr>
          <w:rFonts w:ascii="Arial" w:hAnsi="Arial" w:cs="Arial"/>
          <w:sz w:val="22"/>
          <w:szCs w:val="22"/>
          <w:lang w:val="en-US"/>
        </w:rPr>
        <w:t xml:space="preserve">, which aims to create a support system to facilitate the management and commercialization of IP rights by female-headed enterprises in local communities and establish sustainable linkages between their production enterprises and IP;  (ii) the project on </w:t>
      </w:r>
      <w:r w:rsidRPr="00524B1F">
        <w:rPr>
          <w:rFonts w:ascii="Arial" w:hAnsi="Arial" w:cs="Arial"/>
          <w:i/>
          <w:sz w:val="22"/>
          <w:szCs w:val="22"/>
          <w:lang w:val="en-US"/>
        </w:rPr>
        <w:t>“Branding Support for Women-Led R&amp;D and Enterprises to Empower Women through IP Knowledge”</w:t>
      </w:r>
      <w:r w:rsidRPr="00524B1F">
        <w:rPr>
          <w:rFonts w:ascii="Arial" w:hAnsi="Arial" w:cs="Arial"/>
          <w:b/>
          <w:bCs/>
          <w:sz w:val="22"/>
          <w:szCs w:val="22"/>
          <w:lang w:val="en-US"/>
        </w:rPr>
        <w:t xml:space="preserve"> </w:t>
      </w:r>
      <w:r w:rsidRPr="00524B1F">
        <w:rPr>
          <w:rFonts w:ascii="Arial" w:hAnsi="Arial" w:cs="Arial"/>
          <w:sz w:val="22"/>
          <w:szCs w:val="22"/>
          <w:lang w:val="en-US"/>
        </w:rPr>
        <w:t xml:space="preserve">in Bangladesh, India, Indonesia and Viet Nam, the objective of which is to teach and mentor beneficiaries on IP matters relevant to their careers, businesses and interests;  (iii) the project on </w:t>
      </w:r>
      <w:r w:rsidRPr="00524B1F">
        <w:rPr>
          <w:rFonts w:ascii="Arial" w:hAnsi="Arial" w:cs="Arial"/>
          <w:i/>
          <w:sz w:val="22"/>
          <w:szCs w:val="22"/>
          <w:lang w:val="en-US"/>
        </w:rPr>
        <w:t>“IP Management for Women in Science, Technology, Engineering and Mathematics (STEM) Careers:  Third Edition in Latin America and National Edition in Brazil”</w:t>
      </w:r>
      <w:r w:rsidRPr="00524B1F">
        <w:rPr>
          <w:rFonts w:ascii="Arial" w:hAnsi="Arial" w:cs="Arial"/>
          <w:sz w:val="22"/>
          <w:szCs w:val="22"/>
          <w:lang w:val="en-US"/>
        </w:rPr>
        <w:t xml:space="preserve">, focusing on giving professional women in STEM IP skills to enable them to increase the value of their creations according to their business needs;  and (iv) the </w:t>
      </w:r>
      <w:r w:rsidRPr="00524B1F">
        <w:rPr>
          <w:rFonts w:ascii="Arial" w:hAnsi="Arial" w:cs="Arial"/>
          <w:i/>
          <w:iCs/>
          <w:sz w:val="22"/>
          <w:szCs w:val="22"/>
          <w:lang w:val="en-US"/>
        </w:rPr>
        <w:t>“IP Management Clinics Project”</w:t>
      </w:r>
      <w:r w:rsidRPr="00524B1F">
        <w:rPr>
          <w:rFonts w:ascii="Arial" w:hAnsi="Arial" w:cs="Arial"/>
          <w:sz w:val="22"/>
          <w:szCs w:val="22"/>
          <w:lang w:val="en-US"/>
        </w:rPr>
        <w:t xml:space="preserve"> in the Central Asian, Caucasus and Eastern European Countries (CACEEC).  This project supports 19 women-led SMEs in the region and empowers them by increasing their knowledge and awareness of IP.  </w:t>
      </w:r>
      <w:r w:rsidRPr="00BC268B">
        <w:rPr>
          <w:rFonts w:ascii="Arial" w:hAnsi="Arial" w:cs="Arial"/>
          <w:sz w:val="22"/>
          <w:szCs w:val="22"/>
        </w:rPr>
        <w:t>Currently, the project is in the training sessions phase.</w:t>
      </w:r>
    </w:p>
    <w:p w14:paraId="715A2AA8"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bCs/>
          <w:iCs/>
          <w:sz w:val="22"/>
          <w:szCs w:val="22"/>
          <w:shd w:val="clear" w:color="auto" w:fill="FFFFFF"/>
          <w:lang w:val="en-GB"/>
        </w:rPr>
        <w:t>I</w:t>
      </w:r>
      <w:r w:rsidRPr="00524B1F">
        <w:rPr>
          <w:rFonts w:ascii="Arial" w:hAnsi="Arial" w:cs="Arial"/>
          <w:sz w:val="22"/>
          <w:szCs w:val="22"/>
          <w:lang w:val="en-US"/>
        </w:rPr>
        <w:t xml:space="preserve">n November 2024, the </w:t>
      </w:r>
      <w:r w:rsidRPr="00524B1F">
        <w:rPr>
          <w:rFonts w:ascii="Arial" w:hAnsi="Arial" w:cs="Arial"/>
          <w:i/>
          <w:iCs/>
          <w:sz w:val="22"/>
          <w:szCs w:val="22"/>
          <w:lang w:val="en-US"/>
        </w:rPr>
        <w:t>Women in Agribusiness Impact Publication</w:t>
      </w:r>
      <w:r w:rsidRPr="00524B1F">
        <w:rPr>
          <w:rFonts w:ascii="Arial" w:hAnsi="Arial" w:cs="Arial"/>
          <w:sz w:val="22"/>
          <w:szCs w:val="22"/>
          <w:lang w:val="en-US"/>
        </w:rPr>
        <w:t xml:space="preserve"> was successfully completed.  It documents the inspiring journeys of 31 outstanding women entrepreneurs selected from the 120 participants in the </w:t>
      </w:r>
      <w:r w:rsidRPr="00524B1F">
        <w:rPr>
          <w:rFonts w:ascii="Arial" w:hAnsi="Arial" w:cs="Arial"/>
          <w:i/>
          <w:sz w:val="22"/>
          <w:szCs w:val="22"/>
          <w:lang w:val="en-US"/>
        </w:rPr>
        <w:t>Regional Conference on IP for Women in Agribusiness</w:t>
      </w:r>
      <w:r w:rsidRPr="00BC268B">
        <w:rPr>
          <w:rStyle w:val="FootnoteReference"/>
          <w:rFonts w:ascii="Arial" w:hAnsi="Arial" w:cs="Arial"/>
          <w:iCs/>
          <w:sz w:val="22"/>
          <w:szCs w:val="22"/>
        </w:rPr>
        <w:footnoteReference w:id="25"/>
      </w:r>
      <w:r w:rsidRPr="00524B1F">
        <w:rPr>
          <w:rFonts w:ascii="Arial" w:hAnsi="Arial" w:cs="Arial"/>
          <w:sz w:val="22"/>
          <w:szCs w:val="22"/>
          <w:lang w:val="en-US"/>
        </w:rPr>
        <w:t xml:space="preserve"> held in May 2023.  These entrepreneurs benefited from personalized mentoring and coaching focused on the effective use of IP concepts in commercializing their IP assets.  The publication showcases the women’s success stories and highlights the transformative impact of the IP Mentoring and Coaching Program on their businesses and personal growth.  The </w:t>
      </w:r>
      <w:r w:rsidRPr="00524B1F">
        <w:rPr>
          <w:rFonts w:ascii="Arial" w:hAnsi="Arial" w:cs="Arial"/>
          <w:i/>
          <w:iCs/>
          <w:sz w:val="22"/>
          <w:szCs w:val="22"/>
          <w:lang w:val="en-US"/>
        </w:rPr>
        <w:t>Women in Agribusiness Impact Publication</w:t>
      </w:r>
      <w:r w:rsidRPr="00524B1F">
        <w:rPr>
          <w:rFonts w:ascii="Arial" w:hAnsi="Arial" w:cs="Arial"/>
          <w:sz w:val="22"/>
          <w:szCs w:val="22"/>
          <w:lang w:val="en-US"/>
        </w:rPr>
        <w:t xml:space="preserve"> aims to promote the strategic use of IP for business development and empowerment.  It featured prominently in the recent CDIP side event and related activities, underscoring the significant contribution of IP to women’s empowerment, entrepreneurship and economic success.</w:t>
      </w:r>
    </w:p>
    <w:p w14:paraId="2B2351DD" w14:textId="77777777" w:rsidR="00BC268B" w:rsidRPr="00BC268B" w:rsidRDefault="00BC268B" w:rsidP="002367C0">
      <w:pPr>
        <w:pStyle w:val="Heading2"/>
        <w:spacing w:before="0" w:after="240"/>
        <w:rPr>
          <w:szCs w:val="22"/>
        </w:rPr>
      </w:pPr>
      <w:r w:rsidRPr="00BC268B">
        <w:rPr>
          <w:szCs w:val="22"/>
        </w:rPr>
        <w:lastRenderedPageBreak/>
        <w:t>WIPO Bodies</w:t>
      </w:r>
    </w:p>
    <w:p w14:paraId="0508553E"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Sector served as the custodian of the WIPO DA.  Cross-organizational DA coordination has enabled the DA Recommendations to be implemented and mainstreamed throughout the Organization, based on guidance from the CDIP.  </w:t>
      </w:r>
    </w:p>
    <w:p w14:paraId="2BBAE9B7"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During the reporting period, the Committee met twice, in a hybrid format, holding its </w:t>
      </w:r>
      <w:r w:rsidRPr="00524B1F">
        <w:rPr>
          <w:rFonts w:ascii="Arial" w:hAnsi="Arial" w:cs="Arial"/>
          <w:sz w:val="22"/>
          <w:szCs w:val="22"/>
          <w:lang w:val="en-US"/>
        </w:rPr>
        <w:br/>
        <w:t xml:space="preserve">thirty-second session from April 29 to May 3, 2024, and its thirty-third session from December 9 to 13, 2024.  Member States continued to express support for the work of the CDIP and commitment to the implementation of the DA Recommendations and projects.  The following seven new project proposals were approved by the CDIP, increasing the total number of DA projects approved by the end of 2024 to 62: </w:t>
      </w:r>
    </w:p>
    <w:p w14:paraId="3CA4E22E" w14:textId="77777777" w:rsidR="00BC268B" w:rsidRPr="00524B1F" w:rsidRDefault="00BC268B" w:rsidP="00BC268B">
      <w:pPr>
        <w:pStyle w:val="ListParagraph"/>
        <w:numPr>
          <w:ilvl w:val="0"/>
          <w:numId w:val="18"/>
        </w:numPr>
        <w:spacing w:after="240" w:line="240" w:lineRule="auto"/>
        <w:contextualSpacing w:val="0"/>
        <w:rPr>
          <w:rFonts w:ascii="Arial" w:hAnsi="Arial" w:cs="Arial"/>
          <w:sz w:val="22"/>
          <w:szCs w:val="22"/>
          <w:lang w:val="en-US"/>
        </w:rPr>
      </w:pPr>
      <w:r w:rsidRPr="00524B1F">
        <w:rPr>
          <w:rFonts w:ascii="Arial" w:hAnsi="Arial" w:cs="Arial"/>
          <w:bCs/>
          <w:sz w:val="22"/>
          <w:szCs w:val="22"/>
          <w:lang w:val="en-US"/>
        </w:rPr>
        <w:t xml:space="preserve">project proposal submitted by the United Kingdom and the Czech Republic on </w:t>
      </w:r>
      <w:r w:rsidRPr="00524B1F">
        <w:rPr>
          <w:rFonts w:ascii="Arial" w:hAnsi="Arial" w:cs="Arial"/>
          <w:bCs/>
          <w:i/>
          <w:iCs/>
          <w:sz w:val="22"/>
          <w:szCs w:val="22"/>
          <w:lang w:val="en-US"/>
        </w:rPr>
        <w:t>“</w:t>
      </w:r>
      <w:r w:rsidRPr="00524B1F">
        <w:rPr>
          <w:rFonts w:ascii="Arial" w:hAnsi="Arial" w:cs="Arial"/>
          <w:i/>
          <w:iCs/>
          <w:sz w:val="22"/>
          <w:szCs w:val="22"/>
          <w:lang w:val="en-US"/>
        </w:rPr>
        <w:t>Enhancing the Capacities of National IP Offices in Times of Crisis”</w:t>
      </w:r>
      <w:r w:rsidRPr="00524B1F">
        <w:rPr>
          <w:rFonts w:ascii="Arial" w:hAnsi="Arial" w:cs="Arial"/>
          <w:sz w:val="22"/>
          <w:szCs w:val="22"/>
          <w:lang w:val="en-US"/>
        </w:rPr>
        <w:t>, approved at the thirty-second CDIP session and aimed at implementing the DA Recommendations 4, 3 and 10;</w:t>
      </w:r>
    </w:p>
    <w:p w14:paraId="1C85CA3E" w14:textId="77777777" w:rsidR="00BC268B" w:rsidRPr="00524B1F" w:rsidRDefault="00BC268B" w:rsidP="00BC268B">
      <w:pPr>
        <w:pStyle w:val="ListParagraph"/>
        <w:numPr>
          <w:ilvl w:val="0"/>
          <w:numId w:val="18"/>
        </w:numPr>
        <w:spacing w:after="240" w:line="240" w:lineRule="auto"/>
        <w:contextualSpacing w:val="0"/>
        <w:rPr>
          <w:rFonts w:ascii="Arial" w:hAnsi="Arial" w:cs="Arial"/>
          <w:sz w:val="22"/>
          <w:szCs w:val="22"/>
          <w:lang w:val="en-US"/>
        </w:rPr>
      </w:pPr>
      <w:r w:rsidRPr="00524B1F">
        <w:rPr>
          <w:rFonts w:ascii="Arial" w:hAnsi="Arial" w:cs="Arial"/>
          <w:sz w:val="22"/>
          <w:szCs w:val="22"/>
          <w:lang w:val="en-US"/>
        </w:rPr>
        <w:t xml:space="preserve">pilot project proposal submitted by the United Kingdom and Georgia on </w:t>
      </w:r>
      <w:r w:rsidRPr="00524B1F">
        <w:rPr>
          <w:rFonts w:ascii="Arial" w:hAnsi="Arial" w:cs="Arial"/>
          <w:i/>
          <w:iCs/>
          <w:sz w:val="22"/>
          <w:szCs w:val="22"/>
          <w:lang w:val="en-US"/>
        </w:rPr>
        <w:t>“Enhancing IP Education Capacities of Artistic and Creative Academic Institutions to Foster Creativity”</w:t>
      </w:r>
      <w:r w:rsidRPr="00524B1F">
        <w:rPr>
          <w:rFonts w:ascii="Arial" w:hAnsi="Arial" w:cs="Arial"/>
          <w:sz w:val="22"/>
          <w:szCs w:val="22"/>
          <w:lang w:val="en-US"/>
        </w:rPr>
        <w:t>, approved at the thirty-second CDIP session and aimed at implementing the DA Recommendations 1, 3 and 4;</w:t>
      </w:r>
    </w:p>
    <w:p w14:paraId="53AC6398" w14:textId="77777777" w:rsidR="00BC268B" w:rsidRPr="00524B1F" w:rsidRDefault="00BC268B" w:rsidP="00BC268B">
      <w:pPr>
        <w:pStyle w:val="ListParagraph"/>
        <w:numPr>
          <w:ilvl w:val="0"/>
          <w:numId w:val="18"/>
        </w:numPr>
        <w:spacing w:after="240" w:line="240" w:lineRule="auto"/>
        <w:contextualSpacing w:val="0"/>
        <w:rPr>
          <w:rFonts w:ascii="Arial" w:hAnsi="Arial" w:cs="Arial"/>
          <w:i/>
          <w:sz w:val="22"/>
          <w:szCs w:val="22"/>
          <w:lang w:val="en-US"/>
        </w:rPr>
      </w:pPr>
      <w:r w:rsidRPr="00524B1F">
        <w:rPr>
          <w:rFonts w:ascii="Arial" w:hAnsi="Arial" w:cs="Arial"/>
          <w:sz w:val="22"/>
          <w:szCs w:val="22"/>
          <w:lang w:val="en-US"/>
        </w:rPr>
        <w:t xml:space="preserve">project proposal </w:t>
      </w:r>
      <w:r w:rsidRPr="00524B1F">
        <w:rPr>
          <w:rFonts w:ascii="Arial" w:hAnsi="Arial" w:cs="Arial"/>
          <w:iCs/>
          <w:sz w:val="22"/>
          <w:szCs w:val="22"/>
          <w:lang w:val="en-US"/>
        </w:rPr>
        <w:t xml:space="preserve">submitted by the Philippines, Brazil and the Plurinational State of Bolivia </w:t>
      </w:r>
      <w:r w:rsidRPr="00524B1F">
        <w:rPr>
          <w:rFonts w:ascii="Arial" w:hAnsi="Arial" w:cs="Arial"/>
          <w:sz w:val="22"/>
          <w:szCs w:val="22"/>
          <w:lang w:val="en-US"/>
        </w:rPr>
        <w:t xml:space="preserve">on </w:t>
      </w:r>
      <w:r w:rsidRPr="00524B1F">
        <w:rPr>
          <w:rFonts w:ascii="Arial" w:hAnsi="Arial" w:cs="Arial"/>
          <w:i/>
          <w:iCs/>
          <w:sz w:val="22"/>
          <w:szCs w:val="22"/>
          <w:lang w:val="en-US"/>
        </w:rPr>
        <w:t>“Sustaining and Strengthening the Role of Collective Marks as a Tool for Economic, Cultural, and Social Development through a Holistic Developmental Approach”</w:t>
      </w:r>
      <w:r w:rsidRPr="00524B1F">
        <w:rPr>
          <w:rFonts w:ascii="Arial" w:hAnsi="Arial" w:cs="Arial"/>
          <w:sz w:val="22"/>
          <w:szCs w:val="22"/>
          <w:lang w:val="en-US"/>
        </w:rPr>
        <w:t>,</w:t>
      </w:r>
      <w:r w:rsidRPr="00524B1F">
        <w:rPr>
          <w:rFonts w:ascii="Arial" w:hAnsi="Arial" w:cs="Arial"/>
          <w:iCs/>
          <w:sz w:val="22"/>
          <w:szCs w:val="22"/>
          <w:lang w:val="en-US"/>
        </w:rPr>
        <w:t xml:space="preserve"> </w:t>
      </w:r>
      <w:r w:rsidRPr="00524B1F">
        <w:rPr>
          <w:rFonts w:ascii="Arial" w:hAnsi="Arial" w:cs="Arial"/>
          <w:sz w:val="22"/>
          <w:szCs w:val="22"/>
          <w:lang w:val="en-US"/>
        </w:rPr>
        <w:t>approved at the thirty-second CDIP session and aimed at implementing the DA Recommendations 1, 2, 4 and 10;</w:t>
      </w:r>
    </w:p>
    <w:p w14:paraId="1775AB78" w14:textId="77777777" w:rsidR="00BC268B" w:rsidRPr="00524B1F" w:rsidRDefault="00BC268B" w:rsidP="00BC268B">
      <w:pPr>
        <w:pStyle w:val="ListParagraph"/>
        <w:numPr>
          <w:ilvl w:val="0"/>
          <w:numId w:val="18"/>
        </w:numPr>
        <w:spacing w:after="240" w:line="240" w:lineRule="auto"/>
        <w:contextualSpacing w:val="0"/>
        <w:rPr>
          <w:rFonts w:ascii="Arial" w:hAnsi="Arial" w:cs="Arial"/>
          <w:sz w:val="22"/>
          <w:szCs w:val="22"/>
          <w:lang w:val="en-US"/>
        </w:rPr>
      </w:pPr>
      <w:r w:rsidRPr="00524B1F">
        <w:rPr>
          <w:rFonts w:ascii="Arial" w:hAnsi="Arial" w:cs="Arial"/>
          <w:sz w:val="22"/>
          <w:szCs w:val="22"/>
          <w:lang w:val="en-US"/>
        </w:rPr>
        <w:t xml:space="preserve">project proposal submitted by Namibia on </w:t>
      </w:r>
      <w:r w:rsidRPr="00524B1F">
        <w:rPr>
          <w:rFonts w:ascii="Arial" w:hAnsi="Arial" w:cs="Arial"/>
          <w:i/>
          <w:iCs/>
          <w:sz w:val="22"/>
          <w:szCs w:val="22"/>
          <w:lang w:val="en-US"/>
        </w:rPr>
        <w:t>“Implementing Alternative Dispute Resolution Services in Copyright Offices”</w:t>
      </w:r>
      <w:r w:rsidRPr="00524B1F">
        <w:rPr>
          <w:rFonts w:ascii="Arial" w:hAnsi="Arial" w:cs="Arial"/>
          <w:sz w:val="22"/>
          <w:szCs w:val="22"/>
          <w:lang w:val="en-US"/>
        </w:rPr>
        <w:t>,</w:t>
      </w:r>
      <w:r w:rsidRPr="00524B1F">
        <w:rPr>
          <w:rFonts w:ascii="Arial" w:hAnsi="Arial" w:cs="Arial"/>
          <w:i/>
          <w:iCs/>
          <w:sz w:val="22"/>
          <w:szCs w:val="22"/>
          <w:lang w:val="en-US"/>
        </w:rPr>
        <w:t xml:space="preserve"> </w:t>
      </w:r>
      <w:r w:rsidRPr="00524B1F">
        <w:rPr>
          <w:rFonts w:ascii="Arial" w:hAnsi="Arial" w:cs="Arial"/>
          <w:sz w:val="22"/>
          <w:szCs w:val="22"/>
          <w:lang w:val="en-US"/>
        </w:rPr>
        <w:t>approved at the thirty-third CDIP session and aimed at implementing the DA Recommendations 1, 10 and 11;</w:t>
      </w:r>
    </w:p>
    <w:p w14:paraId="183FC7A1" w14:textId="77777777" w:rsidR="00BC268B" w:rsidRPr="00524B1F" w:rsidRDefault="00BC268B" w:rsidP="00BC268B">
      <w:pPr>
        <w:pStyle w:val="ListParagraph"/>
        <w:numPr>
          <w:ilvl w:val="0"/>
          <w:numId w:val="18"/>
        </w:numPr>
        <w:spacing w:after="240" w:line="240" w:lineRule="auto"/>
        <w:contextualSpacing w:val="0"/>
        <w:rPr>
          <w:rFonts w:ascii="Arial" w:hAnsi="Arial" w:cs="Arial"/>
          <w:sz w:val="22"/>
          <w:szCs w:val="22"/>
          <w:lang w:val="en-US"/>
        </w:rPr>
      </w:pPr>
      <w:r w:rsidRPr="00524B1F">
        <w:rPr>
          <w:rFonts w:ascii="Arial" w:hAnsi="Arial" w:cs="Arial"/>
          <w:sz w:val="22"/>
          <w:szCs w:val="22"/>
          <w:lang w:val="en-US"/>
        </w:rPr>
        <w:t xml:space="preserve">project proposal submitted by Brazil on </w:t>
      </w:r>
      <w:r w:rsidRPr="00524B1F">
        <w:rPr>
          <w:rFonts w:ascii="Arial" w:hAnsi="Arial" w:cs="Arial"/>
          <w:i/>
          <w:iCs/>
          <w:sz w:val="22"/>
          <w:szCs w:val="22"/>
          <w:lang w:val="en-US"/>
        </w:rPr>
        <w:t>“Creation of National IP Strategies Outlook and Resource Hub at WIPO”</w:t>
      </w:r>
      <w:r w:rsidRPr="00524B1F">
        <w:rPr>
          <w:rFonts w:ascii="Arial" w:hAnsi="Arial" w:cs="Arial"/>
          <w:sz w:val="22"/>
          <w:szCs w:val="22"/>
          <w:lang w:val="en-US"/>
        </w:rPr>
        <w:t>,</w:t>
      </w:r>
      <w:r w:rsidRPr="00524B1F">
        <w:rPr>
          <w:rFonts w:ascii="Arial" w:hAnsi="Arial" w:cs="Arial"/>
          <w:i/>
          <w:iCs/>
          <w:sz w:val="22"/>
          <w:szCs w:val="22"/>
          <w:lang w:val="en-US"/>
        </w:rPr>
        <w:t xml:space="preserve"> </w:t>
      </w:r>
      <w:r w:rsidRPr="00524B1F">
        <w:rPr>
          <w:rFonts w:ascii="Arial" w:hAnsi="Arial" w:cs="Arial"/>
          <w:sz w:val="22"/>
          <w:szCs w:val="22"/>
          <w:lang w:val="en-US"/>
        </w:rPr>
        <w:t>approved at the thirty-third CDIP session and aimed at implementing the DA Recommendations 1, 5 and 10;</w:t>
      </w:r>
    </w:p>
    <w:p w14:paraId="61DA2555" w14:textId="77777777" w:rsidR="00BC268B" w:rsidRPr="00524B1F" w:rsidRDefault="00BC268B" w:rsidP="00BC268B">
      <w:pPr>
        <w:pStyle w:val="ListParagraph"/>
        <w:numPr>
          <w:ilvl w:val="0"/>
          <w:numId w:val="18"/>
        </w:numPr>
        <w:spacing w:after="240" w:line="240" w:lineRule="auto"/>
        <w:contextualSpacing w:val="0"/>
        <w:rPr>
          <w:rFonts w:ascii="Arial" w:hAnsi="Arial" w:cs="Arial"/>
          <w:sz w:val="22"/>
          <w:szCs w:val="22"/>
          <w:lang w:val="en-US"/>
        </w:rPr>
      </w:pPr>
      <w:r w:rsidRPr="00524B1F">
        <w:rPr>
          <w:rFonts w:ascii="Arial" w:hAnsi="Arial" w:cs="Arial"/>
          <w:sz w:val="22"/>
          <w:szCs w:val="22"/>
          <w:lang w:val="en-US"/>
        </w:rPr>
        <w:t xml:space="preserve">project proposal submitted by Angola, Brazil, Cabo Verde and Portugal on </w:t>
      </w:r>
      <w:r w:rsidRPr="00524B1F">
        <w:rPr>
          <w:rFonts w:ascii="Arial" w:hAnsi="Arial" w:cs="Arial"/>
          <w:i/>
          <w:iCs/>
          <w:sz w:val="22"/>
          <w:szCs w:val="22"/>
          <w:lang w:val="en-US"/>
        </w:rPr>
        <w:t>“Empowering Young Lusophone Musicians in the Era of Music Streaming”</w:t>
      </w:r>
      <w:r w:rsidRPr="00524B1F">
        <w:rPr>
          <w:rFonts w:ascii="Arial" w:hAnsi="Arial" w:cs="Arial"/>
          <w:sz w:val="22"/>
          <w:szCs w:val="22"/>
          <w:lang w:val="en-US"/>
        </w:rPr>
        <w:t>,</w:t>
      </w:r>
      <w:r w:rsidRPr="00524B1F">
        <w:rPr>
          <w:rFonts w:ascii="Arial" w:hAnsi="Arial" w:cs="Arial"/>
          <w:i/>
          <w:iCs/>
          <w:sz w:val="22"/>
          <w:szCs w:val="22"/>
          <w:lang w:val="en-US"/>
        </w:rPr>
        <w:t xml:space="preserve"> </w:t>
      </w:r>
      <w:r w:rsidRPr="00524B1F">
        <w:rPr>
          <w:rFonts w:ascii="Arial" w:hAnsi="Arial" w:cs="Arial"/>
          <w:sz w:val="22"/>
          <w:szCs w:val="22"/>
          <w:lang w:val="en-US"/>
        </w:rPr>
        <w:t>approved at the thirty-third CDIP session and aimed at implementing the DA Recommendations 1, 4 and 11;  and</w:t>
      </w:r>
    </w:p>
    <w:p w14:paraId="08D7106A" w14:textId="77777777" w:rsidR="00BC268B" w:rsidRPr="00524B1F" w:rsidRDefault="00BC268B" w:rsidP="00BC268B">
      <w:pPr>
        <w:pStyle w:val="ListParagraph"/>
        <w:numPr>
          <w:ilvl w:val="0"/>
          <w:numId w:val="18"/>
        </w:numPr>
        <w:spacing w:after="240" w:line="240" w:lineRule="auto"/>
        <w:contextualSpacing w:val="0"/>
        <w:rPr>
          <w:rFonts w:ascii="Arial" w:hAnsi="Arial" w:cs="Arial"/>
          <w:sz w:val="22"/>
          <w:szCs w:val="22"/>
          <w:lang w:val="en-US"/>
        </w:rPr>
      </w:pPr>
      <w:r w:rsidRPr="00524B1F">
        <w:rPr>
          <w:rFonts w:ascii="Arial" w:hAnsi="Arial" w:cs="Arial"/>
          <w:sz w:val="22"/>
          <w:szCs w:val="22"/>
          <w:lang w:val="en-US"/>
        </w:rPr>
        <w:t xml:space="preserve">project proposal submitted by Saudi Arabia on </w:t>
      </w:r>
      <w:r w:rsidRPr="00524B1F">
        <w:rPr>
          <w:rFonts w:ascii="Arial" w:hAnsi="Arial" w:cs="Arial"/>
          <w:i/>
          <w:iCs/>
          <w:sz w:val="22"/>
          <w:szCs w:val="22"/>
          <w:lang w:val="en-US"/>
        </w:rPr>
        <w:t>“Empowering and Celebrating IP Examiners</w:t>
      </w:r>
      <w:r w:rsidRPr="00524B1F">
        <w:rPr>
          <w:rFonts w:ascii="Arial" w:hAnsi="Arial" w:cs="Arial"/>
          <w:sz w:val="22"/>
          <w:szCs w:val="22"/>
          <w:lang w:val="en-US"/>
        </w:rPr>
        <w:t>”,</w:t>
      </w:r>
      <w:r w:rsidRPr="00524B1F">
        <w:rPr>
          <w:rFonts w:ascii="Arial" w:hAnsi="Arial" w:cs="Arial"/>
          <w:i/>
          <w:iCs/>
          <w:sz w:val="22"/>
          <w:szCs w:val="22"/>
          <w:lang w:val="en-US"/>
        </w:rPr>
        <w:t xml:space="preserve"> </w:t>
      </w:r>
      <w:r w:rsidRPr="00524B1F">
        <w:rPr>
          <w:rFonts w:ascii="Arial" w:hAnsi="Arial" w:cs="Arial"/>
          <w:sz w:val="22"/>
          <w:szCs w:val="22"/>
          <w:lang w:val="en-US"/>
        </w:rPr>
        <w:t>approved at the thirty-third CDIP session and aimed at implementing the DA Recommendations 1 and 11.</w:t>
      </w:r>
    </w:p>
    <w:p w14:paraId="3D9D608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process of carrying out an independent evaluation of completed DA projects continued to be an essential tool for Member States to assess the effectiveness and efficiency of these projects and provide guidance for future DA initiatives.  The WIPO Secretariat continued to take into account recommendations emanating from such evaluations, ensuring that agreed recommendations are duly implemented.  The Committee discussed and considered the completion and final independent evaluation reports for three DA projects:  </w:t>
      </w:r>
      <w:r w:rsidRPr="00524B1F">
        <w:rPr>
          <w:rFonts w:ascii="Arial" w:hAnsi="Arial" w:cs="Arial"/>
          <w:sz w:val="22"/>
          <w:szCs w:val="22"/>
          <w:lang w:val="en-US"/>
        </w:rPr>
        <w:br/>
        <w:t xml:space="preserve">(a) </w:t>
      </w:r>
      <w:r w:rsidRPr="00524B1F">
        <w:rPr>
          <w:rFonts w:ascii="Arial" w:hAnsi="Arial" w:cs="Arial"/>
          <w:i/>
          <w:iCs/>
          <w:sz w:val="22"/>
          <w:szCs w:val="22"/>
          <w:lang w:val="en-US"/>
        </w:rPr>
        <w:t>“</w:t>
      </w:r>
      <w:r w:rsidRPr="00524B1F">
        <w:rPr>
          <w:rFonts w:ascii="Arial" w:hAnsi="Arial" w:cs="Arial"/>
          <w:bCs/>
          <w:i/>
          <w:iCs/>
          <w:sz w:val="22"/>
          <w:szCs w:val="22"/>
          <w:lang w:val="en-US"/>
        </w:rPr>
        <w:t>Identifying and Using Inventions in the Public Domain”</w:t>
      </w:r>
      <w:r w:rsidRPr="00524B1F">
        <w:rPr>
          <w:rFonts w:ascii="Arial" w:hAnsi="Arial" w:cs="Arial"/>
          <w:sz w:val="22"/>
          <w:szCs w:val="22"/>
          <w:lang w:val="en-US"/>
        </w:rPr>
        <w:t xml:space="preserve">;  (b) </w:t>
      </w:r>
      <w:r w:rsidRPr="00524B1F">
        <w:rPr>
          <w:rFonts w:ascii="Arial" w:hAnsi="Arial" w:cs="Arial"/>
          <w:i/>
          <w:iCs/>
          <w:sz w:val="22"/>
          <w:szCs w:val="22"/>
          <w:lang w:val="en-US"/>
        </w:rPr>
        <w:t>“</w:t>
      </w:r>
      <w:r w:rsidRPr="00524B1F">
        <w:rPr>
          <w:rFonts w:ascii="Arial" w:hAnsi="Arial" w:cs="Arial"/>
          <w:bCs/>
          <w:i/>
          <w:iCs/>
          <w:sz w:val="22"/>
          <w:szCs w:val="22"/>
          <w:lang w:val="en-US"/>
        </w:rPr>
        <w:t xml:space="preserve">Registration of the Collective </w:t>
      </w:r>
      <w:r w:rsidRPr="00524B1F">
        <w:rPr>
          <w:rFonts w:ascii="Arial" w:hAnsi="Arial" w:cs="Arial"/>
          <w:bCs/>
          <w:i/>
          <w:iCs/>
          <w:sz w:val="22"/>
          <w:szCs w:val="22"/>
          <w:lang w:val="en-US"/>
        </w:rPr>
        <w:lastRenderedPageBreak/>
        <w:t>Marks of Local Enterprises as a Cross-Cutting Economic Development Issue”</w:t>
      </w:r>
      <w:r w:rsidRPr="00524B1F">
        <w:rPr>
          <w:rFonts w:ascii="Arial" w:hAnsi="Arial" w:cs="Arial"/>
          <w:sz w:val="22"/>
          <w:szCs w:val="22"/>
          <w:lang w:val="en-US"/>
        </w:rPr>
        <w:t>;</w:t>
      </w:r>
      <w:r w:rsidRPr="00BC268B">
        <w:rPr>
          <w:rStyle w:val="FootnoteReference"/>
          <w:rFonts w:ascii="Arial" w:hAnsi="Arial" w:cs="Arial"/>
          <w:sz w:val="22"/>
          <w:szCs w:val="22"/>
        </w:rPr>
        <w:footnoteReference w:id="26"/>
      </w:r>
      <w:r w:rsidRPr="00524B1F">
        <w:rPr>
          <w:rFonts w:ascii="Arial" w:hAnsi="Arial" w:cs="Arial"/>
          <w:sz w:val="22"/>
          <w:szCs w:val="22"/>
          <w:lang w:val="en-US"/>
        </w:rPr>
        <w:t xml:space="preserve">  and </w:t>
      </w:r>
      <w:r w:rsidRPr="00524B1F">
        <w:rPr>
          <w:rFonts w:ascii="Arial" w:hAnsi="Arial" w:cs="Arial"/>
          <w:sz w:val="22"/>
          <w:szCs w:val="22"/>
          <w:lang w:val="en-US"/>
        </w:rPr>
        <w:br/>
        <w:t xml:space="preserve">(c) </w:t>
      </w:r>
      <w:r w:rsidRPr="00524B1F">
        <w:rPr>
          <w:rFonts w:ascii="Arial" w:hAnsi="Arial" w:cs="Arial"/>
          <w:i/>
          <w:iCs/>
          <w:sz w:val="22"/>
          <w:szCs w:val="22"/>
          <w:lang w:val="en-US"/>
        </w:rPr>
        <w:t xml:space="preserve">“Enhancing the Use of IP for Mobile Applications in the Software Sector – Phase II”.  </w:t>
      </w:r>
    </w:p>
    <w:p w14:paraId="598C6FA9"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Committee also considered the “</w:t>
      </w:r>
      <w:r w:rsidRPr="00524B1F">
        <w:rPr>
          <w:rFonts w:ascii="Arial" w:hAnsi="Arial" w:cs="Arial"/>
          <w:i/>
          <w:iCs/>
          <w:sz w:val="22"/>
          <w:szCs w:val="22"/>
          <w:lang w:val="en-US"/>
        </w:rPr>
        <w:t>Impact Evaluation Report</w:t>
      </w:r>
      <w:r w:rsidRPr="00524B1F">
        <w:rPr>
          <w:rFonts w:ascii="Arial" w:hAnsi="Arial" w:cs="Arial"/>
          <w:sz w:val="22"/>
          <w:szCs w:val="22"/>
          <w:lang w:val="en-US"/>
        </w:rPr>
        <w:t xml:space="preserve"> </w:t>
      </w:r>
      <w:r w:rsidRPr="00524B1F">
        <w:rPr>
          <w:rFonts w:ascii="Arial" w:hAnsi="Arial" w:cs="Arial"/>
          <w:i/>
          <w:iCs/>
          <w:sz w:val="22"/>
          <w:szCs w:val="22"/>
          <w:lang w:val="en-US"/>
        </w:rPr>
        <w:t>of the Project on</w:t>
      </w:r>
      <w:r w:rsidRPr="00524B1F">
        <w:rPr>
          <w:rFonts w:ascii="Arial" w:hAnsi="Arial" w:cs="Arial"/>
          <w:sz w:val="22"/>
          <w:szCs w:val="22"/>
          <w:lang w:val="en-US"/>
        </w:rPr>
        <w:t xml:space="preserve"> </w:t>
      </w:r>
      <w:r w:rsidRPr="00524B1F">
        <w:rPr>
          <w:rFonts w:ascii="Arial" w:hAnsi="Arial" w:cs="Arial"/>
          <w:i/>
          <w:iCs/>
          <w:sz w:val="22"/>
          <w:szCs w:val="22"/>
          <w:lang w:val="en-US"/>
        </w:rPr>
        <w:t>Specialized Databases’ Access and Support”</w:t>
      </w:r>
      <w:r w:rsidRPr="00524B1F">
        <w:rPr>
          <w:rFonts w:ascii="Arial" w:hAnsi="Arial" w:cs="Arial"/>
          <w:sz w:val="22"/>
          <w:szCs w:val="22"/>
          <w:lang w:val="en-US"/>
        </w:rPr>
        <w:t>.</w:t>
      </w:r>
      <w:r w:rsidRPr="00BC268B">
        <w:rPr>
          <w:rStyle w:val="FootnoteReference"/>
          <w:rFonts w:ascii="Arial" w:hAnsi="Arial" w:cs="Arial"/>
          <w:sz w:val="22"/>
          <w:szCs w:val="22"/>
        </w:rPr>
        <w:footnoteReference w:id="27"/>
      </w:r>
      <w:r w:rsidRPr="00524B1F">
        <w:rPr>
          <w:rFonts w:ascii="Arial" w:hAnsi="Arial" w:cs="Arial"/>
          <w:sz w:val="22"/>
          <w:szCs w:val="22"/>
          <w:lang w:val="en-US"/>
        </w:rPr>
        <w:t xml:space="preserve">  </w:t>
      </w:r>
      <w:r w:rsidRPr="00BC268B">
        <w:rPr>
          <w:rFonts w:ascii="Arial" w:hAnsi="Arial" w:cs="Arial"/>
          <w:sz w:val="22"/>
          <w:szCs w:val="22"/>
          <w:lang w:val="en-US"/>
        </w:rPr>
        <w:t xml:space="preserve">Member States recognized the project’s substantial contribution to strengthening the innovation ecosystem in beneficiary countries and appreciated its expansion to additional countries worldwide.  </w:t>
      </w:r>
      <w:r w:rsidRPr="00524B1F">
        <w:rPr>
          <w:rFonts w:ascii="Arial" w:hAnsi="Arial" w:cs="Arial"/>
          <w:sz w:val="22"/>
          <w:szCs w:val="22"/>
          <w:lang w:val="en-US"/>
        </w:rPr>
        <w:t xml:space="preserve">Progress on this project has fostered greater IP awareness, strengthened IP protection and enhanced value creation, ensuring the long-term sustainability of the Technology and Innovation Support Centers (TISCs) network.  </w:t>
      </w:r>
    </w:p>
    <w:p w14:paraId="7BA479B6"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
          <w:iCs/>
          <w:sz w:val="22"/>
          <w:szCs w:val="22"/>
          <w:lang w:val="en-US"/>
        </w:rPr>
      </w:pPr>
      <w:r w:rsidRPr="00524B1F">
        <w:rPr>
          <w:rFonts w:ascii="Arial" w:hAnsi="Arial" w:cs="Arial"/>
          <w:sz w:val="22"/>
          <w:szCs w:val="22"/>
          <w:lang w:val="en-US"/>
        </w:rPr>
        <w:t xml:space="preserve">Twelve DA projects were ongoing in 2024, the implementation of which was presented to the Committee through a </w:t>
      </w:r>
      <w:r w:rsidRPr="00524B1F">
        <w:rPr>
          <w:rFonts w:ascii="Arial" w:hAnsi="Arial" w:cs="Arial"/>
          <w:i/>
          <w:iCs/>
          <w:sz w:val="22"/>
          <w:szCs w:val="22"/>
          <w:lang w:val="en-US"/>
        </w:rPr>
        <w:t>Progress Report</w:t>
      </w:r>
      <w:r w:rsidRPr="00524B1F">
        <w:rPr>
          <w:rFonts w:ascii="Arial" w:hAnsi="Arial" w:cs="Arial"/>
          <w:sz w:val="22"/>
          <w:szCs w:val="22"/>
          <w:lang w:val="en-US"/>
        </w:rPr>
        <w:t>.</w:t>
      </w:r>
      <w:r w:rsidRPr="00BC268B">
        <w:rPr>
          <w:rStyle w:val="FootnoteReference"/>
          <w:rFonts w:ascii="Arial" w:hAnsi="Arial" w:cs="Arial"/>
          <w:iCs/>
          <w:sz w:val="22"/>
          <w:szCs w:val="22"/>
        </w:rPr>
        <w:footnoteReference w:id="28"/>
      </w:r>
      <w:r w:rsidRPr="00524B1F">
        <w:rPr>
          <w:rStyle w:val="FootnoteReference"/>
          <w:rFonts w:ascii="Arial" w:hAnsi="Arial" w:cs="Arial"/>
          <w:iCs/>
          <w:sz w:val="22"/>
          <w:szCs w:val="22"/>
          <w:lang w:val="en-US"/>
        </w:rPr>
        <w:t xml:space="preserve"> </w:t>
      </w:r>
      <w:r w:rsidRPr="00524B1F">
        <w:rPr>
          <w:rFonts w:ascii="Arial" w:hAnsi="Arial" w:cs="Arial"/>
          <w:sz w:val="22"/>
          <w:szCs w:val="22"/>
          <w:lang w:val="en-US"/>
        </w:rPr>
        <w:t xml:space="preserve">  </w:t>
      </w:r>
      <w:r w:rsidRPr="00BC268B">
        <w:rPr>
          <w:rFonts w:ascii="Arial" w:hAnsi="Arial" w:cs="Arial"/>
          <w:sz w:val="22"/>
          <w:szCs w:val="22"/>
          <w:lang w:val="en-US"/>
        </w:rPr>
        <w:t xml:space="preserve">While considering the </w:t>
      </w:r>
      <w:r w:rsidRPr="00BC268B">
        <w:rPr>
          <w:rFonts w:ascii="Arial" w:hAnsi="Arial" w:cs="Arial"/>
          <w:i/>
          <w:iCs/>
          <w:sz w:val="22"/>
          <w:szCs w:val="22"/>
          <w:lang w:val="en-US"/>
        </w:rPr>
        <w:t>Progress Report on the Implementation of the 45 Development Agenda Recommendations,</w:t>
      </w:r>
      <w:r w:rsidRPr="00BC268B">
        <w:rPr>
          <w:rFonts w:ascii="Arial" w:hAnsi="Arial" w:cs="Arial"/>
          <w:sz w:val="22"/>
          <w:szCs w:val="22"/>
          <w:lang w:val="en-US"/>
        </w:rPr>
        <w:t xml:space="preserve"> the Committee thanked the Secretariat for updating its structure, which simplified how the information was presented.</w:t>
      </w:r>
      <w:r w:rsidRPr="00BC268B">
        <w:rPr>
          <w:rStyle w:val="FootnoteReference"/>
          <w:rFonts w:ascii="Arial" w:hAnsi="Arial" w:cs="Arial"/>
          <w:iCs/>
          <w:sz w:val="22"/>
          <w:szCs w:val="22"/>
        </w:rPr>
        <w:footnoteReference w:id="29"/>
      </w:r>
      <w:r w:rsidRPr="00BC268B">
        <w:rPr>
          <w:rFonts w:ascii="Arial" w:hAnsi="Arial" w:cs="Arial"/>
          <w:sz w:val="22"/>
          <w:szCs w:val="22"/>
          <w:lang w:val="en-US"/>
        </w:rPr>
        <w:t xml:space="preserve">  </w:t>
      </w:r>
    </w:p>
    <w:p w14:paraId="6FDE3AB8"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
          <w:iCs/>
          <w:sz w:val="22"/>
          <w:szCs w:val="22"/>
          <w:lang w:val="en-US"/>
        </w:rPr>
      </w:pPr>
      <w:r w:rsidRPr="00524B1F">
        <w:rPr>
          <w:rFonts w:ascii="Arial" w:hAnsi="Arial" w:cs="Arial"/>
          <w:sz w:val="22"/>
          <w:szCs w:val="22"/>
          <w:lang w:val="en-US"/>
        </w:rPr>
        <w:t xml:space="preserve">The Committee welcomed and discussed the document entitled </w:t>
      </w:r>
      <w:r w:rsidRPr="00524B1F">
        <w:rPr>
          <w:rFonts w:ascii="Arial" w:hAnsi="Arial" w:cs="Arial"/>
          <w:i/>
          <w:iCs/>
          <w:sz w:val="22"/>
          <w:szCs w:val="22"/>
          <w:lang w:val="en-US"/>
        </w:rPr>
        <w:t>“Independent External Review of WIPO’s Technical Assistance in the Area of Cooperation for Development”</w:t>
      </w:r>
      <w:r w:rsidRPr="00524B1F">
        <w:rPr>
          <w:rFonts w:ascii="Arial" w:hAnsi="Arial" w:cs="Arial"/>
          <w:sz w:val="22"/>
          <w:szCs w:val="22"/>
          <w:lang w:val="en-US"/>
        </w:rPr>
        <w:t>.</w:t>
      </w:r>
      <w:r w:rsidRPr="00BC268B">
        <w:rPr>
          <w:rStyle w:val="FootnoteReference"/>
          <w:rFonts w:ascii="Arial" w:hAnsi="Arial" w:cs="Arial"/>
          <w:sz w:val="22"/>
          <w:szCs w:val="22"/>
        </w:rPr>
        <w:footnoteReference w:id="30"/>
      </w:r>
      <w:r w:rsidRPr="00524B1F">
        <w:rPr>
          <w:rFonts w:ascii="Arial" w:hAnsi="Arial" w:cs="Arial"/>
          <w:sz w:val="22"/>
          <w:szCs w:val="22"/>
          <w:lang w:val="en-US"/>
        </w:rPr>
        <w:t xml:space="preserve">  </w:t>
      </w:r>
      <w:r w:rsidRPr="00BC268B">
        <w:rPr>
          <w:rFonts w:ascii="Arial" w:hAnsi="Arial" w:cs="Arial"/>
          <w:sz w:val="22"/>
          <w:szCs w:val="22"/>
          <w:lang w:val="en-US"/>
        </w:rPr>
        <w:t>Member States decided to continue the discussion at the current CDIP session and requested the Secretariat to prepare a document detailing the status of each recommendation and the requirements needed for their implementation.</w:t>
      </w:r>
    </w:p>
    <w:p w14:paraId="3B7F8B92"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i/>
          <w:iCs/>
          <w:sz w:val="22"/>
          <w:szCs w:val="22"/>
          <w:lang w:val="en-US"/>
        </w:rPr>
      </w:pPr>
      <w:r w:rsidRPr="00524B1F">
        <w:rPr>
          <w:rFonts w:ascii="Arial" w:hAnsi="Arial" w:cs="Arial"/>
          <w:sz w:val="22"/>
          <w:szCs w:val="22"/>
          <w:lang w:val="en-US"/>
        </w:rPr>
        <w:t xml:space="preserve">In addition, the Committee took note of the eighth </w:t>
      </w:r>
      <w:r w:rsidRPr="00524B1F">
        <w:rPr>
          <w:rFonts w:ascii="Arial" w:hAnsi="Arial" w:cs="Arial"/>
          <w:i/>
          <w:sz w:val="22"/>
          <w:szCs w:val="22"/>
          <w:lang w:val="en-US"/>
        </w:rPr>
        <w:t>Report on WIPO’s Contribution to the Implementation of the Sustainable Development Goals and its Associated Targets</w:t>
      </w:r>
      <w:r w:rsidRPr="00BC268B">
        <w:rPr>
          <w:rStyle w:val="FootnoteReference"/>
          <w:rFonts w:ascii="Arial" w:hAnsi="Arial" w:cs="Arial"/>
          <w:i/>
          <w:sz w:val="22"/>
          <w:szCs w:val="22"/>
        </w:rPr>
        <w:footnoteReference w:id="31"/>
      </w:r>
      <w:r w:rsidRPr="00524B1F">
        <w:rPr>
          <w:rFonts w:ascii="Arial" w:hAnsi="Arial" w:cs="Arial"/>
          <w:sz w:val="22"/>
          <w:szCs w:val="22"/>
          <w:lang w:val="en-US"/>
        </w:rPr>
        <w:t>, and of some of the outputs, studies and guides, developed in the context of DA projects.</w:t>
      </w:r>
    </w:p>
    <w:p w14:paraId="271A3B14" w14:textId="77777777" w:rsidR="00BC268B" w:rsidRPr="00BC268B" w:rsidRDefault="00BC268B" w:rsidP="00E90A87">
      <w:pPr>
        <w:pStyle w:val="Heading2"/>
        <w:spacing w:before="0" w:after="240"/>
        <w:rPr>
          <w:szCs w:val="22"/>
        </w:rPr>
      </w:pPr>
      <w:r w:rsidRPr="00BC268B">
        <w:rPr>
          <w:szCs w:val="22"/>
        </w:rPr>
        <w:t>Mainstreamed DA Projects</w:t>
      </w:r>
    </w:p>
    <w:p w14:paraId="34593C58"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Below are highlights of the work related to the mainstreamed DA projects:</w:t>
      </w:r>
    </w:p>
    <w:p w14:paraId="5E6CB9C8" w14:textId="77777777" w:rsidR="00BC268B" w:rsidRPr="00524B1F" w:rsidRDefault="00BC268B" w:rsidP="00BC268B">
      <w:pPr>
        <w:pStyle w:val="ListParagraph"/>
        <w:numPr>
          <w:ilvl w:val="0"/>
          <w:numId w:val="7"/>
        </w:numPr>
        <w:spacing w:after="240" w:line="240" w:lineRule="auto"/>
        <w:ind w:hanging="540"/>
        <w:contextualSpacing w:val="0"/>
        <w:rPr>
          <w:rFonts w:ascii="Arial" w:hAnsi="Arial" w:cs="Arial"/>
          <w:sz w:val="22"/>
          <w:szCs w:val="22"/>
          <w:lang w:val="en-US"/>
        </w:rPr>
      </w:pPr>
      <w:r w:rsidRPr="00524B1F">
        <w:rPr>
          <w:rFonts w:ascii="Arial" w:hAnsi="Arial" w:cs="Arial"/>
          <w:i/>
          <w:sz w:val="22"/>
          <w:szCs w:val="22"/>
          <w:lang w:val="en-US"/>
        </w:rPr>
        <w:t>Establishment of “Start-Up” National IP Academies, currently, the Intellectual Property Training Institutions (IPTIs) Program:</w:t>
      </w:r>
      <w:r w:rsidRPr="00524B1F">
        <w:rPr>
          <w:rFonts w:ascii="Arial" w:hAnsi="Arial" w:cs="Arial"/>
          <w:sz w:val="22"/>
          <w:szCs w:val="22"/>
          <w:lang w:val="en-US"/>
        </w:rPr>
        <w:t xml:space="preserve">  the WIPO Academy continued to support Member States in building their own IP training capacities through the establishment of self</w:t>
      </w:r>
      <w:r w:rsidRPr="00524B1F">
        <w:rPr>
          <w:rFonts w:ascii="Arial" w:hAnsi="Arial" w:cs="Arial"/>
          <w:sz w:val="22"/>
          <w:szCs w:val="22"/>
          <w:lang w:val="en-US"/>
        </w:rPr>
        <w:noBreakHyphen/>
        <w:t>sustaining IPTIs focused on specific national goals and priorities.  By 2024, 26 national IPTIs had been established, along with two regional IPTIs under the Association of Southeast Asian Nations (ASEAN) and the African Regional Intellectual Property Organization (ARIPO), benefiting 53 countries in total.  It is estimated that, by the end of the reporting period, IPTIs had delivered around 10,300 training programs and activities to more than 650,000 participants.  Twenty-two Training of Trainers modules involving more than 700 participants from 19 countries were successfully delivered in 2024.  In addition, the WIPO Academy partnered with established IPTIs to implement 39 joint projects, reaching more than 1,600 people, including entrepreneurs, women, as well as youth and children from indigenous communities.  The self-paced IP Training Strategies course, available in three different languages,</w:t>
      </w:r>
      <w:r w:rsidRPr="00BC268B">
        <w:rPr>
          <w:rStyle w:val="FootnoteReference"/>
          <w:rFonts w:ascii="Arial" w:hAnsi="Arial" w:cs="Arial"/>
          <w:sz w:val="22"/>
          <w:szCs w:val="22"/>
        </w:rPr>
        <w:footnoteReference w:id="32"/>
      </w:r>
      <w:r w:rsidRPr="00524B1F">
        <w:rPr>
          <w:rFonts w:ascii="Arial" w:hAnsi="Arial" w:cs="Arial"/>
          <w:sz w:val="22"/>
          <w:szCs w:val="22"/>
          <w:lang w:val="en-US"/>
        </w:rPr>
        <w:t xml:space="preserve"> registered more than 1,350 participants, while the IPTIs Network, which has 28 active members, organized </w:t>
      </w:r>
      <w:r w:rsidRPr="00524B1F">
        <w:rPr>
          <w:rFonts w:ascii="Arial" w:hAnsi="Arial" w:cs="Arial"/>
          <w:sz w:val="22"/>
          <w:szCs w:val="22"/>
          <w:lang w:val="en-US"/>
        </w:rPr>
        <w:lastRenderedPageBreak/>
        <w:t>seven events in 2024 that collectively drew over 800 participants, including an international conference for Latin American IPTIs and IP Offices in Central America.</w:t>
      </w:r>
    </w:p>
    <w:p w14:paraId="0C20283E" w14:textId="77777777" w:rsidR="00BC268B" w:rsidRPr="00524B1F" w:rsidRDefault="00BC268B" w:rsidP="00BC268B">
      <w:pPr>
        <w:pStyle w:val="ListParagraph"/>
        <w:numPr>
          <w:ilvl w:val="0"/>
          <w:numId w:val="7"/>
        </w:numPr>
        <w:spacing w:after="0" w:line="240" w:lineRule="auto"/>
        <w:rPr>
          <w:rFonts w:ascii="Arial" w:hAnsi="Arial" w:cs="Arial"/>
          <w:sz w:val="22"/>
          <w:szCs w:val="22"/>
          <w:lang w:val="en-US"/>
        </w:rPr>
      </w:pPr>
      <w:r w:rsidRPr="00524B1F">
        <w:rPr>
          <w:rFonts w:ascii="Arial" w:hAnsi="Arial" w:cs="Arial"/>
          <w:i/>
          <w:sz w:val="22"/>
          <w:szCs w:val="22"/>
          <w:lang w:val="en-US"/>
        </w:rPr>
        <w:t>Capacity-Building in the Use of Appropriate Technology-specific Technical and Scientific Information as a Solution for Identified Development Challenges</w:t>
      </w:r>
      <w:r w:rsidRPr="00524B1F">
        <w:rPr>
          <w:rFonts w:ascii="Arial" w:hAnsi="Arial" w:cs="Arial"/>
          <w:sz w:val="22"/>
          <w:szCs w:val="22"/>
          <w:lang w:val="en-US"/>
        </w:rPr>
        <w:t xml:space="preserve">:  through facilitating the use of technical and scientific information from patent documents, this project aims to identify appropriate technologies to address specific development needs in LDCs and enhance national capacity in this area.  </w:t>
      </w:r>
      <w:r w:rsidRPr="00524B1F">
        <w:rPr>
          <w:rFonts w:ascii="Arial" w:hAnsi="Arial" w:cs="Arial"/>
          <w:bCs/>
          <w:sz w:val="22"/>
          <w:szCs w:val="22"/>
          <w:lang w:val="en-US"/>
        </w:rPr>
        <w:t xml:space="preserve">Continued steps were taken to enhance the development impact of these projects in the beneficiary countries and local communities.  Progress has been made in implementing the </w:t>
      </w:r>
      <w:r w:rsidRPr="00524B1F">
        <w:rPr>
          <w:rFonts w:ascii="Arial" w:hAnsi="Arial" w:cs="Arial"/>
          <w:bCs/>
          <w:i/>
          <w:iCs/>
          <w:sz w:val="22"/>
          <w:szCs w:val="22"/>
          <w:lang w:val="en-US"/>
        </w:rPr>
        <w:t>“Pilot Projects on Facilitating the Transfer of Appropriate Technologies in LDCs for Community Development through Universities and Research Institutions</w:t>
      </w:r>
      <w:r w:rsidRPr="00524B1F">
        <w:rPr>
          <w:rFonts w:ascii="Arial" w:hAnsi="Arial" w:cs="Arial"/>
          <w:bCs/>
          <w:sz w:val="22"/>
          <w:szCs w:val="22"/>
          <w:lang w:val="en-US"/>
        </w:rPr>
        <w:t xml:space="preserve">”, which were launched in 2023 in Bhutan and Malawi.  Preparatory work has been done to launch a similar project in Cambodia in early 2025.  To refine the project model on the basis of the outcomes and lessons learned from the above-mentioned pilot projects, further revisions have been made and a new model project on facilitating technology transfer for community development in LDCs has been developed.  Consultations and preparations have been undertaken to replicate these projects under the renewed model in other beneficiary LDCs.  </w:t>
      </w:r>
    </w:p>
    <w:p w14:paraId="48B48C4B" w14:textId="77777777" w:rsidR="00BC268B" w:rsidRPr="00524B1F" w:rsidRDefault="00BC268B" w:rsidP="00A56BD5">
      <w:pPr>
        <w:pStyle w:val="ListParagraph"/>
        <w:rPr>
          <w:rFonts w:ascii="Arial" w:hAnsi="Arial" w:cs="Arial"/>
          <w:bCs/>
          <w:sz w:val="22"/>
          <w:szCs w:val="22"/>
          <w:lang w:val="en-US"/>
        </w:rPr>
      </w:pPr>
    </w:p>
    <w:p w14:paraId="5176F4CF" w14:textId="77777777" w:rsidR="00BC268B" w:rsidRPr="00524B1F" w:rsidRDefault="00BC268B" w:rsidP="00BC268B">
      <w:pPr>
        <w:pStyle w:val="ListParagraph"/>
        <w:numPr>
          <w:ilvl w:val="0"/>
          <w:numId w:val="7"/>
        </w:numPr>
        <w:spacing w:after="240" w:line="240" w:lineRule="auto"/>
        <w:ind w:hanging="540"/>
        <w:contextualSpacing w:val="0"/>
        <w:rPr>
          <w:rFonts w:ascii="Arial" w:hAnsi="Arial" w:cs="Arial"/>
          <w:sz w:val="22"/>
          <w:szCs w:val="22"/>
          <w:lang w:val="en-US"/>
        </w:rPr>
      </w:pPr>
      <w:r w:rsidRPr="00524B1F">
        <w:rPr>
          <w:rFonts w:ascii="Arial" w:hAnsi="Arial" w:cs="Arial"/>
          <w:i/>
          <w:sz w:val="22"/>
          <w:szCs w:val="22"/>
          <w:lang w:val="en-US"/>
        </w:rPr>
        <w:t>The IP Technical Assistance Database (IP-TAD)</w:t>
      </w:r>
      <w:r w:rsidRPr="00BC268B">
        <w:rPr>
          <w:rStyle w:val="FootnoteReference"/>
          <w:rFonts w:ascii="Arial" w:hAnsi="Arial" w:cs="Arial"/>
          <w:sz w:val="22"/>
          <w:szCs w:val="22"/>
        </w:rPr>
        <w:footnoteReference w:id="33"/>
      </w:r>
      <w:r w:rsidRPr="00524B1F">
        <w:rPr>
          <w:rFonts w:ascii="Arial" w:hAnsi="Arial" w:cs="Arial"/>
          <w:sz w:val="22"/>
          <w:szCs w:val="22"/>
          <w:lang w:val="en-US"/>
        </w:rPr>
        <w:t xml:space="preserve"> has continued to accommodate technical assistance activities conducted virtually or in a hybrid format.  The</w:t>
      </w:r>
      <w:r w:rsidRPr="00524B1F">
        <w:rPr>
          <w:rFonts w:ascii="Arial" w:hAnsi="Arial" w:cs="Arial"/>
          <w:b/>
          <w:sz w:val="22"/>
          <w:szCs w:val="22"/>
          <w:lang w:val="en-US"/>
        </w:rPr>
        <w:t> </w:t>
      </w:r>
      <w:r w:rsidRPr="00524B1F">
        <w:rPr>
          <w:rFonts w:ascii="Arial" w:hAnsi="Arial" w:cs="Arial"/>
          <w:sz w:val="22"/>
          <w:szCs w:val="22"/>
          <w:lang w:val="en-US"/>
        </w:rPr>
        <w:t>Database presents information related to the Organization’s technical assistance activities, capturing data from different WIPO Programs and Sectors, which perform development</w:t>
      </w:r>
      <w:r w:rsidRPr="00524B1F">
        <w:rPr>
          <w:rFonts w:ascii="Arial" w:hAnsi="Arial" w:cs="Arial"/>
          <w:sz w:val="22"/>
          <w:szCs w:val="22"/>
          <w:lang w:val="en-US"/>
        </w:rPr>
        <w:noBreakHyphen/>
        <w:t xml:space="preserve">oriented cooperation activities.  In 2024, the Database recorded 1,037 technical assistance activities undertaken by WIPO, with participants from developing countries, LDCs and countries with economies in transition.  </w:t>
      </w:r>
    </w:p>
    <w:p w14:paraId="5B9A81B0" w14:textId="77777777" w:rsidR="00BC268B" w:rsidRPr="00524B1F" w:rsidRDefault="00BC268B" w:rsidP="00BC268B">
      <w:pPr>
        <w:pStyle w:val="ListParagraph"/>
        <w:numPr>
          <w:ilvl w:val="0"/>
          <w:numId w:val="7"/>
        </w:numPr>
        <w:spacing w:after="240" w:line="240" w:lineRule="auto"/>
        <w:ind w:hanging="540"/>
        <w:contextualSpacing w:val="0"/>
        <w:rPr>
          <w:rFonts w:ascii="Arial" w:hAnsi="Arial" w:cs="Arial"/>
          <w:sz w:val="22"/>
          <w:szCs w:val="22"/>
          <w:lang w:val="en-US"/>
        </w:rPr>
      </w:pPr>
      <w:r w:rsidRPr="00524B1F">
        <w:rPr>
          <w:rFonts w:ascii="Arial" w:hAnsi="Arial" w:cs="Arial"/>
          <w:i/>
          <w:sz w:val="22"/>
          <w:szCs w:val="22"/>
          <w:lang w:val="en-US"/>
        </w:rPr>
        <w:t xml:space="preserve">The WIPO Roster of Consultants Database (IP-ROC) </w:t>
      </w:r>
      <w:r w:rsidRPr="00524B1F">
        <w:rPr>
          <w:rFonts w:ascii="Arial" w:hAnsi="Arial" w:cs="Arial"/>
          <w:iCs/>
          <w:sz w:val="22"/>
          <w:szCs w:val="22"/>
          <w:lang w:val="en-US"/>
        </w:rPr>
        <w:t>contains</w:t>
      </w:r>
      <w:r w:rsidRPr="00524B1F">
        <w:rPr>
          <w:rFonts w:ascii="Arial" w:hAnsi="Arial" w:cs="Arial"/>
          <w:sz w:val="22"/>
          <w:szCs w:val="22"/>
          <w:lang w:val="en-US"/>
        </w:rPr>
        <w:t xml:space="preserve"> information on consultants engaged by WIPO to undertake specific IP technical assistance activities at the national level in developing countries, least developed countries and countries with economies in transition in the field of IP.</w:t>
      </w:r>
      <w:r w:rsidRPr="00BC268B">
        <w:rPr>
          <w:rStyle w:val="FootnoteReference"/>
          <w:rFonts w:ascii="Arial" w:hAnsi="Arial" w:cs="Arial"/>
          <w:sz w:val="22"/>
          <w:szCs w:val="22"/>
        </w:rPr>
        <w:footnoteReference w:id="34"/>
      </w:r>
      <w:r w:rsidRPr="00524B1F">
        <w:rPr>
          <w:rFonts w:ascii="Arial" w:hAnsi="Arial" w:cs="Arial"/>
          <w:sz w:val="22"/>
          <w:szCs w:val="22"/>
          <w:lang w:val="en-US"/>
        </w:rPr>
        <w:t xml:space="preserve">  </w:t>
      </w:r>
      <w:r w:rsidRPr="00BC268B">
        <w:rPr>
          <w:rFonts w:ascii="Arial" w:hAnsi="Arial" w:cs="Arial"/>
          <w:sz w:val="22"/>
          <w:szCs w:val="22"/>
          <w:lang w:val="en-US"/>
        </w:rPr>
        <w:t xml:space="preserve">A consultant may be an expert in more than one IP subject area and work in more than one language.  </w:t>
      </w:r>
      <w:r w:rsidRPr="00524B1F">
        <w:rPr>
          <w:rFonts w:ascii="Arial" w:hAnsi="Arial" w:cs="Arial"/>
          <w:sz w:val="22"/>
          <w:szCs w:val="22"/>
          <w:lang w:val="en-US"/>
        </w:rPr>
        <w:t>The database’s search function allows identifying consultants by area of specialization and assignments performed.  In particular, consultants may be searched for using various criteria, such as gender, nationality, language, name, expertise by IP field, beneficiary country and year of assignment.  In 2024, there were 2,602 active experts and consultants in the IP-ROC.</w:t>
      </w:r>
    </w:p>
    <w:p w14:paraId="516E2AA2" w14:textId="77777777" w:rsidR="00BC268B" w:rsidRPr="00524B1F" w:rsidRDefault="00BC268B" w:rsidP="00BC268B">
      <w:pPr>
        <w:pStyle w:val="ListParagraph"/>
        <w:numPr>
          <w:ilvl w:val="0"/>
          <w:numId w:val="7"/>
        </w:numPr>
        <w:spacing w:after="240" w:line="240" w:lineRule="auto"/>
        <w:ind w:hanging="540"/>
        <w:contextualSpacing w:val="0"/>
        <w:rPr>
          <w:rFonts w:ascii="Arial" w:hAnsi="Arial" w:cs="Arial"/>
          <w:iCs/>
          <w:sz w:val="22"/>
          <w:szCs w:val="22"/>
          <w:lang w:val="en-US"/>
        </w:rPr>
      </w:pPr>
      <w:r w:rsidRPr="00524B1F">
        <w:rPr>
          <w:rFonts w:ascii="Arial" w:hAnsi="Arial" w:cs="Arial"/>
          <w:i/>
          <w:sz w:val="22"/>
          <w:szCs w:val="22"/>
          <w:lang w:val="en-US"/>
        </w:rPr>
        <w:t xml:space="preserve">IP Development Matchmaking Database, </w:t>
      </w:r>
      <w:r w:rsidRPr="00524B1F">
        <w:rPr>
          <w:rFonts w:ascii="Arial" w:hAnsi="Arial" w:cs="Arial"/>
          <w:sz w:val="22"/>
          <w:szCs w:val="22"/>
          <w:lang w:val="en-US"/>
        </w:rPr>
        <w:t xml:space="preserve">currently, the </w:t>
      </w:r>
      <w:r w:rsidRPr="00524B1F">
        <w:rPr>
          <w:rFonts w:ascii="Arial" w:hAnsi="Arial" w:cs="Arial"/>
          <w:i/>
          <w:sz w:val="22"/>
          <w:szCs w:val="22"/>
          <w:lang w:val="en-US"/>
        </w:rPr>
        <w:t>WIPO Match</w:t>
      </w:r>
      <w:r w:rsidRPr="00524B1F">
        <w:rPr>
          <w:rFonts w:ascii="Arial" w:hAnsi="Arial" w:cs="Arial"/>
          <w:sz w:val="22"/>
          <w:szCs w:val="22"/>
          <w:lang w:val="en-US"/>
        </w:rPr>
        <w:t>:  at</w:t>
      </w:r>
      <w:r w:rsidRPr="00524B1F">
        <w:rPr>
          <w:rFonts w:ascii="Arial" w:hAnsi="Arial" w:cs="Arial"/>
          <w:iCs/>
          <w:sz w:val="22"/>
          <w:szCs w:val="22"/>
          <w:lang w:val="en-US"/>
        </w:rPr>
        <w:t xml:space="preserve"> the CDIP’s twenty</w:t>
      </w:r>
      <w:r w:rsidRPr="00524B1F">
        <w:rPr>
          <w:rFonts w:ascii="Arial" w:hAnsi="Arial" w:cs="Arial"/>
          <w:iCs/>
          <w:sz w:val="22"/>
          <w:szCs w:val="22"/>
          <w:lang w:val="en-US"/>
        </w:rPr>
        <w:noBreakHyphen/>
        <w:t xml:space="preserve">eighth session held in April 2022, the Secretariat presented to the Committee for its consideration a document on the </w:t>
      </w:r>
      <w:r w:rsidRPr="00524B1F">
        <w:rPr>
          <w:rFonts w:ascii="Arial" w:hAnsi="Arial" w:cs="Arial"/>
          <w:i/>
          <w:sz w:val="22"/>
          <w:szCs w:val="22"/>
          <w:lang w:val="en-US"/>
        </w:rPr>
        <w:t>“Strategy for Future Enhancement of WIPO Match”</w:t>
      </w:r>
      <w:r w:rsidRPr="00524B1F">
        <w:rPr>
          <w:rFonts w:ascii="Arial" w:hAnsi="Arial" w:cs="Arial"/>
          <w:iCs/>
          <w:sz w:val="22"/>
          <w:szCs w:val="22"/>
          <w:lang w:val="en-US"/>
        </w:rPr>
        <w:t>,</w:t>
      </w:r>
      <w:r w:rsidRPr="00BC268B">
        <w:rPr>
          <w:rStyle w:val="FootnoteReference"/>
          <w:rFonts w:ascii="Arial" w:hAnsi="Arial" w:cs="Arial"/>
          <w:iCs/>
          <w:sz w:val="22"/>
          <w:szCs w:val="22"/>
        </w:rPr>
        <w:footnoteReference w:id="35"/>
      </w:r>
      <w:r w:rsidRPr="00524B1F">
        <w:rPr>
          <w:rFonts w:ascii="Arial" w:hAnsi="Arial" w:cs="Arial"/>
          <w:iCs/>
          <w:sz w:val="22"/>
          <w:szCs w:val="22"/>
          <w:lang w:val="en-US"/>
        </w:rPr>
        <w:t xml:space="preserve"> outlining the principles based on which adjustments to the purpose, objectives and functionalities of the WIPO Match platform would be introduced.  An update to that Strategy was subsequently presented to the Committee for consideration at its thirty</w:t>
      </w:r>
      <w:r w:rsidRPr="00524B1F">
        <w:rPr>
          <w:rFonts w:ascii="Arial" w:hAnsi="Arial" w:cs="Arial"/>
          <w:iCs/>
          <w:sz w:val="22"/>
          <w:szCs w:val="22"/>
          <w:lang w:val="en-US"/>
        </w:rPr>
        <w:noBreakHyphen/>
        <w:t>third session held in December 2024, which detailed the proposed technical improvements to be made to the WIPO Match Platform.</w:t>
      </w:r>
      <w:r w:rsidRPr="00BC268B">
        <w:rPr>
          <w:rStyle w:val="FootnoteReference"/>
          <w:rFonts w:ascii="Arial" w:hAnsi="Arial" w:cs="Arial"/>
          <w:iCs/>
          <w:sz w:val="22"/>
          <w:szCs w:val="22"/>
        </w:rPr>
        <w:footnoteReference w:id="36"/>
      </w:r>
      <w:r w:rsidRPr="00524B1F">
        <w:rPr>
          <w:rFonts w:ascii="Arial" w:hAnsi="Arial" w:cs="Arial"/>
          <w:iCs/>
          <w:sz w:val="22"/>
          <w:szCs w:val="22"/>
          <w:lang w:val="en-US"/>
        </w:rPr>
        <w:t xml:space="preserve">  </w:t>
      </w:r>
      <w:r w:rsidRPr="00BC268B">
        <w:rPr>
          <w:rFonts w:ascii="Arial" w:hAnsi="Arial" w:cs="Arial"/>
          <w:iCs/>
          <w:sz w:val="22"/>
          <w:szCs w:val="22"/>
          <w:lang w:val="en-US"/>
        </w:rPr>
        <w:t xml:space="preserve">The Committee welcomed the updated Strategy and requested the Secretariat to commence implementation, and to report on progress in its </w:t>
      </w:r>
      <w:r w:rsidRPr="00BC268B">
        <w:rPr>
          <w:rFonts w:ascii="Arial" w:hAnsi="Arial" w:cs="Arial"/>
          <w:i/>
          <w:sz w:val="22"/>
          <w:szCs w:val="22"/>
          <w:lang w:val="en-US"/>
        </w:rPr>
        <w:t>Progress Report on the 45 Development Agenda Recommendations</w:t>
      </w:r>
      <w:r w:rsidRPr="00BC268B">
        <w:rPr>
          <w:rFonts w:ascii="Arial" w:hAnsi="Arial" w:cs="Arial"/>
          <w:iCs/>
          <w:sz w:val="22"/>
          <w:szCs w:val="22"/>
          <w:lang w:val="en-US"/>
        </w:rPr>
        <w:t xml:space="preserve">.  </w:t>
      </w:r>
      <w:r w:rsidRPr="00524B1F">
        <w:rPr>
          <w:rFonts w:ascii="Arial" w:hAnsi="Arial" w:cs="Arial"/>
          <w:iCs/>
          <w:sz w:val="22"/>
          <w:szCs w:val="22"/>
          <w:lang w:val="en-US"/>
        </w:rPr>
        <w:t xml:space="preserve">The Secretariat will submit an assessment in 2027.  Since 2023, the Secretariat has been working on the implementation of the Strategy.  One tangible result is the development and launch of an integrated, user-friendly web page called the WIPO </w:t>
      </w:r>
      <w:r w:rsidRPr="00524B1F">
        <w:rPr>
          <w:rFonts w:ascii="Arial" w:hAnsi="Arial" w:cs="Arial"/>
          <w:iCs/>
          <w:sz w:val="22"/>
          <w:szCs w:val="22"/>
          <w:lang w:val="en-US"/>
        </w:rPr>
        <w:lastRenderedPageBreak/>
        <w:t>Cooperation Hub,</w:t>
      </w:r>
      <w:r w:rsidRPr="00BC268B">
        <w:rPr>
          <w:rStyle w:val="FootnoteReference"/>
          <w:rFonts w:ascii="Arial" w:hAnsi="Arial" w:cs="Arial"/>
          <w:iCs/>
          <w:sz w:val="22"/>
          <w:szCs w:val="22"/>
        </w:rPr>
        <w:footnoteReference w:id="37"/>
      </w:r>
      <w:r w:rsidRPr="00524B1F">
        <w:rPr>
          <w:rFonts w:ascii="Arial" w:hAnsi="Arial" w:cs="Arial"/>
          <w:iCs/>
          <w:sz w:val="22"/>
          <w:szCs w:val="22"/>
          <w:lang w:val="en-US"/>
        </w:rPr>
        <w:t xml:space="preserve"> which serves as an entry point to the WIPO Match platform and other development-related resources, materials and tools, such as the Catalogue of Development Agenda projects and outputs, IP Technical Assistance Database (IP-TAD), IP Roster of Consultants (IP-ROC) and IP Advantage.  The WIPO Cooperation Hub aims to provide a space for the exchange of knowledge, experience and information, aimed at supporting effective South–South and Triangular Cooperation initiatives in various fields of IP and innovation.  The WIPO Match platform itself is currently undergoing technical improvements and restructuring with the aim of providing more tools, services and functionalities to help deliver better results and impact.  </w:t>
      </w:r>
    </w:p>
    <w:p w14:paraId="0A665FB2" w14:textId="77777777" w:rsidR="00BC268B" w:rsidRPr="00524B1F" w:rsidRDefault="00BC268B" w:rsidP="00BC268B">
      <w:pPr>
        <w:pStyle w:val="ListParagraph"/>
        <w:numPr>
          <w:ilvl w:val="0"/>
          <w:numId w:val="7"/>
        </w:numPr>
        <w:spacing w:after="240" w:line="240" w:lineRule="auto"/>
        <w:ind w:hanging="540"/>
        <w:contextualSpacing w:val="0"/>
        <w:rPr>
          <w:rFonts w:ascii="Arial" w:hAnsi="Arial" w:cs="Arial"/>
          <w:sz w:val="22"/>
          <w:szCs w:val="22"/>
          <w:lang w:val="en-US"/>
        </w:rPr>
      </w:pPr>
      <w:r w:rsidRPr="00524B1F">
        <w:rPr>
          <w:rFonts w:ascii="Arial" w:hAnsi="Arial" w:cs="Arial"/>
          <w:i/>
          <w:sz w:val="22"/>
          <w:szCs w:val="22"/>
          <w:lang w:val="en-US"/>
        </w:rPr>
        <w:t>Enhancing South–South Cooperation on IP and Development among Developing Countries and LDCs:</w:t>
      </w:r>
      <w:r w:rsidRPr="00524B1F">
        <w:rPr>
          <w:rFonts w:ascii="Arial" w:hAnsi="Arial" w:cs="Arial"/>
          <w:sz w:val="22"/>
          <w:szCs w:val="22"/>
          <w:lang w:val="en-US"/>
        </w:rPr>
        <w:t xml:space="preserve">  The success of the two Roundtables on Fostering South–South and Triangular Cooperation in IP and Innovation previously held has set the tone for the Organization’s work in this area.  These roundtables identified thematic clusters, such as green and agricultural innovation, technology transfer, IP management, IP and digitization, creative economies, and AI in providing IP services, and challenges, such as the level of technology exposure, limited financial and human resources, and the need to encourage private sector participation, involve decision makers and institutionalize impact assessment.  As part of the United Nations system, WIPO has been participating actively in meetings of the Inter-Agency Mechanism for South–South and Triangular Cooperation, organized by the United Nations Office for South–South Cooperation (UNOSSC).  </w:t>
      </w:r>
    </w:p>
    <w:p w14:paraId="1471F726" w14:textId="77777777" w:rsidR="00BC268B" w:rsidRPr="00524B1F" w:rsidRDefault="00BC268B" w:rsidP="00BC268B">
      <w:pPr>
        <w:pStyle w:val="ListParagraph"/>
        <w:numPr>
          <w:ilvl w:val="0"/>
          <w:numId w:val="7"/>
        </w:numPr>
        <w:spacing w:after="240" w:line="240" w:lineRule="auto"/>
        <w:ind w:hanging="540"/>
        <w:contextualSpacing w:val="0"/>
        <w:rPr>
          <w:rFonts w:ascii="Arial" w:hAnsi="Arial" w:cs="Arial"/>
          <w:sz w:val="22"/>
          <w:szCs w:val="22"/>
          <w:lang w:val="en-US"/>
        </w:rPr>
      </w:pPr>
      <w:r w:rsidRPr="00524B1F">
        <w:rPr>
          <w:rFonts w:ascii="Arial" w:hAnsi="Arial" w:cs="Arial"/>
          <w:i/>
          <w:iCs/>
          <w:sz w:val="22"/>
          <w:szCs w:val="22"/>
          <w:lang w:val="en-US"/>
        </w:rPr>
        <w:t>Tools for Successful DA Project Proposals</w:t>
      </w:r>
      <w:r w:rsidRPr="00524B1F">
        <w:rPr>
          <w:rFonts w:ascii="Arial" w:hAnsi="Arial" w:cs="Arial"/>
          <w:sz w:val="22"/>
          <w:szCs w:val="22"/>
          <w:lang w:val="en-US"/>
        </w:rPr>
        <w:t>:  following the completion of the project, the new DA project methodology</w:t>
      </w:r>
      <w:r w:rsidRPr="00524B1F">
        <w:rPr>
          <w:rStyle w:val="bumpedfont20"/>
          <w:rFonts w:ascii="Arial" w:eastAsia="Times New Roman" w:hAnsi="Arial" w:cs="Arial"/>
          <w:sz w:val="22"/>
          <w:szCs w:val="22"/>
          <w:lang w:val="en-US"/>
        </w:rPr>
        <w:t xml:space="preserve"> has been mainstreamed into the regular work of WIPO, including </w:t>
      </w:r>
      <w:r w:rsidRPr="00524B1F">
        <w:rPr>
          <w:rFonts w:ascii="Arial" w:hAnsi="Arial" w:cs="Arial"/>
          <w:sz w:val="22"/>
          <w:szCs w:val="22"/>
          <w:lang w:val="en-US"/>
        </w:rPr>
        <w:t>the Online Catalogue on DA Projects,</w:t>
      </w:r>
      <w:r w:rsidRPr="00BC268B">
        <w:rPr>
          <w:rStyle w:val="FootnoteReference"/>
          <w:rFonts w:ascii="Arial" w:hAnsi="Arial" w:cs="Arial"/>
          <w:sz w:val="22"/>
          <w:szCs w:val="22"/>
        </w:rPr>
        <w:footnoteReference w:id="38"/>
      </w:r>
      <w:r w:rsidRPr="00524B1F">
        <w:rPr>
          <w:rFonts w:ascii="Arial" w:hAnsi="Arial" w:cs="Arial"/>
          <w:sz w:val="22"/>
          <w:szCs w:val="22"/>
          <w:lang w:val="en-US"/>
        </w:rPr>
        <w:t xml:space="preserve"> the Guidebook on DA Project Management,</w:t>
      </w:r>
      <w:r w:rsidRPr="00BC268B">
        <w:rPr>
          <w:rStyle w:val="FootnoteReference"/>
          <w:rFonts w:ascii="Arial" w:hAnsi="Arial" w:cs="Arial"/>
          <w:sz w:val="22"/>
          <w:szCs w:val="22"/>
        </w:rPr>
        <w:footnoteReference w:id="39"/>
      </w:r>
      <w:r w:rsidRPr="00524B1F">
        <w:rPr>
          <w:rFonts w:ascii="Arial" w:hAnsi="Arial" w:cs="Arial"/>
          <w:sz w:val="22"/>
          <w:szCs w:val="22"/>
          <w:lang w:val="en-US"/>
        </w:rPr>
        <w:t xml:space="preserve"> the Distance Learning Course on Successful DA Projects, which benefited 119 participants in 2024, and customized trainings on project development and implementation for Member States and other relevant stakeholders.  At the twenty-ninth session of the CDIP, the Committee requested the Secretariat to conduct a review of the project in 2024.  This Review Report was considered at the Committee’s thirty-third session, where Delegations emphasized the project's success and requested the Secretariat to continue mainstreaming its outputs, ensuring they remain updated and visible.  Additionally, the Committee requested that the Secretariat conduct a review of the project’s methodology and outputs in 2027.</w:t>
      </w:r>
    </w:p>
    <w:p w14:paraId="73232B38" w14:textId="77777777" w:rsidR="00BC268B" w:rsidRPr="00BC268B" w:rsidRDefault="00BC268B" w:rsidP="00BC268B">
      <w:pPr>
        <w:pStyle w:val="ListParagraph"/>
        <w:numPr>
          <w:ilvl w:val="0"/>
          <w:numId w:val="7"/>
        </w:numPr>
        <w:spacing w:after="240" w:line="240" w:lineRule="auto"/>
        <w:ind w:hanging="540"/>
        <w:contextualSpacing w:val="0"/>
        <w:rPr>
          <w:rFonts w:ascii="Arial" w:hAnsi="Arial" w:cs="Arial"/>
          <w:sz w:val="22"/>
          <w:szCs w:val="22"/>
          <w:lang w:val="en-US"/>
        </w:rPr>
      </w:pPr>
      <w:r w:rsidRPr="00524B1F">
        <w:rPr>
          <w:rFonts w:ascii="Arial" w:eastAsia="Times New Roman" w:hAnsi="Arial" w:cs="Arial"/>
          <w:sz w:val="22"/>
          <w:szCs w:val="22"/>
          <w:lang w:val="en-US"/>
        </w:rPr>
        <w:t> </w:t>
      </w:r>
      <w:r w:rsidRPr="00524B1F">
        <w:rPr>
          <w:rFonts w:ascii="Arial" w:hAnsi="Arial" w:cs="Arial"/>
          <w:i/>
          <w:sz w:val="22"/>
          <w:szCs w:val="22"/>
          <w:lang w:val="en-US"/>
        </w:rPr>
        <w:t xml:space="preserve">IP and Product Branding for Business Development in Developing Countries and LDCs </w:t>
      </w:r>
      <w:r w:rsidRPr="00524B1F">
        <w:rPr>
          <w:rFonts w:ascii="Arial" w:hAnsi="Arial" w:cs="Arial"/>
          <w:sz w:val="22"/>
          <w:szCs w:val="22"/>
          <w:lang w:val="en-US"/>
        </w:rPr>
        <w:t>project activities were mainstreamed into the regular work of the Sector and in its delivery of technical assistance in the areas of product branding and business development.  For instance, in the Lao People’s Democratic Republic, the Japan International Cooperation Agency (JICA) has continued the One District One Product (ODOP) initiative, supporting small businesses through improvements in their supply chain and business operations.  In 2024, WIPO continued its support for ODOP branding.  As a result, 23 products underwent rebranding and a total of 26 trademark applications were filed.  In Bangladesh, WIPO continued implementing a project supporting the top 20 women-led businesses producing Rangpur Shataranji carpets.</w:t>
      </w:r>
      <w:r w:rsidRPr="00BC268B">
        <w:rPr>
          <w:rStyle w:val="FootnoteReference"/>
          <w:rFonts w:ascii="Arial" w:hAnsi="Arial" w:cs="Arial"/>
          <w:sz w:val="22"/>
          <w:szCs w:val="22"/>
        </w:rPr>
        <w:footnoteReference w:id="40"/>
      </w:r>
      <w:r w:rsidRPr="00524B1F">
        <w:rPr>
          <w:rFonts w:ascii="Arial" w:hAnsi="Arial" w:cs="Arial"/>
          <w:sz w:val="22"/>
          <w:szCs w:val="22"/>
          <w:lang w:val="en-US"/>
        </w:rPr>
        <w:t xml:space="preserve">  </w:t>
      </w:r>
      <w:r w:rsidRPr="00BC268B">
        <w:rPr>
          <w:rFonts w:ascii="Arial" w:hAnsi="Arial" w:cs="Arial"/>
          <w:sz w:val="22"/>
          <w:szCs w:val="22"/>
          <w:lang w:val="en-US"/>
        </w:rPr>
        <w:t xml:space="preserve">During the reporting period, these businesses witnessed a huge increase in demand for their products thanks to the use of the registered collective mark and individual trademarks to commercialize products </w:t>
      </w:r>
      <w:r w:rsidRPr="00BC268B">
        <w:rPr>
          <w:rFonts w:ascii="Arial" w:hAnsi="Arial" w:cs="Arial"/>
          <w:i/>
          <w:iCs/>
          <w:sz w:val="22"/>
          <w:szCs w:val="22"/>
          <w:lang w:val="en-US"/>
        </w:rPr>
        <w:t>via</w:t>
      </w:r>
      <w:r w:rsidRPr="00BC268B">
        <w:rPr>
          <w:rFonts w:ascii="Arial" w:hAnsi="Arial" w:cs="Arial"/>
          <w:sz w:val="22"/>
          <w:szCs w:val="22"/>
          <w:lang w:val="en-US"/>
        </w:rPr>
        <w:t xml:space="preserve"> different channels, such as social media.  </w:t>
      </w:r>
    </w:p>
    <w:p w14:paraId="273DE8F3" w14:textId="77777777" w:rsidR="00BC268B" w:rsidRPr="00BC268B" w:rsidRDefault="00BC268B" w:rsidP="00A55825">
      <w:pPr>
        <w:pStyle w:val="Heading2"/>
        <w:spacing w:before="0" w:after="240"/>
        <w:rPr>
          <w:szCs w:val="22"/>
        </w:rPr>
      </w:pPr>
      <w:r w:rsidRPr="00BC268B">
        <w:rPr>
          <w:szCs w:val="22"/>
        </w:rPr>
        <w:lastRenderedPageBreak/>
        <w:t>Ongoing DA Projects</w:t>
      </w:r>
    </w:p>
    <w:p w14:paraId="0D1E7172"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 is in charge of the implementation of the following ongoing DA Projects:</w:t>
      </w:r>
    </w:p>
    <w:p w14:paraId="63F2DA9C" w14:textId="77777777" w:rsidR="00BC268B" w:rsidRPr="00524B1F" w:rsidRDefault="00BC268B" w:rsidP="00BC268B">
      <w:pPr>
        <w:pStyle w:val="ListParagraph"/>
        <w:numPr>
          <w:ilvl w:val="0"/>
          <w:numId w:val="22"/>
        </w:numPr>
        <w:spacing w:after="240" w:line="240" w:lineRule="auto"/>
        <w:contextualSpacing w:val="0"/>
        <w:rPr>
          <w:rFonts w:ascii="Arial" w:hAnsi="Arial" w:cs="Arial"/>
          <w:iCs/>
          <w:sz w:val="22"/>
          <w:szCs w:val="22"/>
          <w:lang w:val="en-US"/>
        </w:rPr>
      </w:pPr>
      <w:r w:rsidRPr="00524B1F">
        <w:rPr>
          <w:rFonts w:ascii="Arial" w:hAnsi="Arial" w:cs="Arial"/>
          <w:i/>
          <w:sz w:val="22"/>
          <w:szCs w:val="22"/>
          <w:lang w:val="en-US"/>
        </w:rPr>
        <w:t>Reducing Work-Related Accidents and Occupational Diseases through Innovation and IP</w:t>
      </w:r>
      <w:r w:rsidRPr="00524B1F">
        <w:rPr>
          <w:rFonts w:ascii="Arial" w:hAnsi="Arial" w:cs="Arial"/>
          <w:iCs/>
          <w:sz w:val="22"/>
          <w:szCs w:val="22"/>
          <w:lang w:val="en-US"/>
        </w:rPr>
        <w:t>,</w:t>
      </w:r>
      <w:r w:rsidRPr="00524B1F">
        <w:rPr>
          <w:rFonts w:ascii="Arial" w:hAnsi="Arial" w:cs="Arial"/>
          <w:i/>
          <w:sz w:val="22"/>
          <w:szCs w:val="22"/>
          <w:lang w:val="en-US"/>
        </w:rPr>
        <w:t xml:space="preserve"> </w:t>
      </w:r>
      <w:r w:rsidRPr="00524B1F">
        <w:rPr>
          <w:rFonts w:ascii="Arial" w:hAnsi="Arial" w:cs="Arial"/>
          <w:iCs/>
          <w:sz w:val="22"/>
          <w:szCs w:val="22"/>
          <w:lang w:val="en-US"/>
        </w:rPr>
        <w:t xml:space="preserve">the objectives of which are:  (i) to explore the role of IP tools and innovation in providing a safer environment to workers;  and (ii) to contribute to decreasing occupational accidents and diseases through the use of IP tools and promotion of innovation.  </w:t>
      </w:r>
      <w:r w:rsidRPr="00524B1F">
        <w:rPr>
          <w:rFonts w:ascii="Arial" w:hAnsi="Arial" w:cs="Arial"/>
          <w:sz w:val="22"/>
          <w:szCs w:val="22"/>
          <w:lang w:val="en-US"/>
        </w:rPr>
        <w:t>A national focal point has been selected and a tailored country-level project plan has been developed and approved for each beneficiary country.</w:t>
      </w:r>
      <w:r w:rsidRPr="00BC268B">
        <w:rPr>
          <w:rStyle w:val="FootnoteReference"/>
          <w:rFonts w:ascii="Arial" w:hAnsi="Arial" w:cs="Arial"/>
          <w:sz w:val="22"/>
          <w:szCs w:val="22"/>
        </w:rPr>
        <w:footnoteReference w:id="41"/>
      </w:r>
      <w:r w:rsidRPr="00524B1F">
        <w:rPr>
          <w:rFonts w:ascii="Arial" w:hAnsi="Arial" w:cs="Arial"/>
          <w:sz w:val="22"/>
          <w:szCs w:val="22"/>
          <w:lang w:val="en-US"/>
        </w:rPr>
        <w:t xml:space="preserve">  </w:t>
      </w:r>
      <w:r w:rsidRPr="00BC268B">
        <w:rPr>
          <w:rFonts w:ascii="Arial" w:hAnsi="Arial" w:cs="Arial"/>
          <w:sz w:val="22"/>
          <w:szCs w:val="22"/>
          <w:lang w:val="en-US"/>
        </w:rPr>
        <w:t xml:space="preserve">In 2024, a scoping study was conducted to assess the landscape in each country regarding occupational health and safety, along with a </w:t>
      </w:r>
      <w:r w:rsidRPr="00BC268B">
        <w:rPr>
          <w:rFonts w:ascii="Arial" w:hAnsi="Arial" w:cs="Arial"/>
          <w:i/>
          <w:iCs/>
          <w:sz w:val="22"/>
          <w:szCs w:val="22"/>
          <w:lang w:val="en-US"/>
        </w:rPr>
        <w:t>Global Patent Landscaping Report</w:t>
      </w:r>
      <w:r w:rsidRPr="00BC268B">
        <w:rPr>
          <w:rFonts w:ascii="Arial" w:hAnsi="Arial" w:cs="Arial"/>
          <w:sz w:val="22"/>
          <w:szCs w:val="22"/>
          <w:lang w:val="en-US"/>
        </w:rPr>
        <w:t xml:space="preserve"> featuring an in-depth patent analysis.  </w:t>
      </w:r>
      <w:r w:rsidRPr="00524B1F">
        <w:rPr>
          <w:rFonts w:ascii="Arial" w:hAnsi="Arial" w:cs="Arial"/>
          <w:sz w:val="22"/>
          <w:szCs w:val="22"/>
          <w:lang w:val="en-US"/>
        </w:rPr>
        <w:t xml:space="preserve">Regular meetings have been held to review progress and ensure effective implementation.  The </w:t>
      </w:r>
      <w:r w:rsidRPr="00524B1F">
        <w:rPr>
          <w:rFonts w:ascii="Arial" w:hAnsi="Arial" w:cs="Arial"/>
          <w:i/>
          <w:iCs/>
          <w:sz w:val="22"/>
          <w:szCs w:val="22"/>
          <w:lang w:val="en-US"/>
        </w:rPr>
        <w:t>Global Patent Landscaping Report</w:t>
      </w:r>
      <w:r w:rsidRPr="00524B1F">
        <w:rPr>
          <w:rFonts w:ascii="Arial" w:hAnsi="Arial" w:cs="Arial"/>
          <w:sz w:val="22"/>
          <w:szCs w:val="22"/>
          <w:lang w:val="en-US"/>
        </w:rPr>
        <w:t xml:space="preserve"> will be launched during the current session of the CDIP, and the scoping study will also be presented.  </w:t>
      </w:r>
    </w:p>
    <w:p w14:paraId="76B97559" w14:textId="77777777" w:rsidR="00BC268B" w:rsidRPr="00524B1F" w:rsidRDefault="00BC268B" w:rsidP="00BC268B">
      <w:pPr>
        <w:pStyle w:val="ListParagraph"/>
        <w:numPr>
          <w:ilvl w:val="0"/>
          <w:numId w:val="22"/>
        </w:numPr>
        <w:spacing w:after="240" w:line="240" w:lineRule="auto"/>
        <w:contextualSpacing w:val="0"/>
        <w:rPr>
          <w:rFonts w:ascii="Arial" w:hAnsi="Arial" w:cs="Arial"/>
          <w:iCs/>
          <w:sz w:val="22"/>
          <w:szCs w:val="22"/>
          <w:lang w:val="en-US"/>
        </w:rPr>
      </w:pPr>
      <w:r w:rsidRPr="00524B1F">
        <w:rPr>
          <w:rFonts w:ascii="Arial" w:hAnsi="Arial" w:cs="Arial"/>
          <w:i/>
          <w:sz w:val="22"/>
          <w:szCs w:val="22"/>
          <w:lang w:val="en-US"/>
        </w:rPr>
        <w:t>Empowering Youth (K–12) to Innovate for a Better Future:</w:t>
      </w:r>
      <w:r w:rsidRPr="00524B1F">
        <w:rPr>
          <w:rFonts w:ascii="Arial" w:hAnsi="Arial" w:cs="Arial"/>
          <w:iCs/>
          <w:sz w:val="22"/>
          <w:szCs w:val="22"/>
          <w:lang w:val="en-US"/>
        </w:rPr>
        <w:t xml:space="preserve">  </w:t>
      </w:r>
      <w:r w:rsidRPr="00524B1F">
        <w:rPr>
          <w:rFonts w:ascii="Arial" w:hAnsi="Arial" w:cs="Arial"/>
          <w:sz w:val="22"/>
          <w:szCs w:val="22"/>
          <w:lang w:val="en-US"/>
        </w:rPr>
        <w:t xml:space="preserve">the WIPO Academy </w:t>
      </w:r>
      <w:r w:rsidRPr="00524B1F">
        <w:rPr>
          <w:rFonts w:ascii="Arial" w:hAnsi="Arial" w:cs="Arial"/>
          <w:i/>
          <w:iCs/>
          <w:sz w:val="22"/>
          <w:szCs w:val="22"/>
          <w:lang w:val="en-US"/>
        </w:rPr>
        <w:t>“IP4Youth&amp;Teachers”</w:t>
      </w:r>
      <w:r w:rsidRPr="00524B1F">
        <w:rPr>
          <w:rFonts w:ascii="Arial" w:hAnsi="Arial" w:cs="Arial"/>
          <w:sz w:val="22"/>
          <w:szCs w:val="22"/>
          <w:lang w:val="en-US"/>
        </w:rPr>
        <w:t xml:space="preserve"> program</w:t>
      </w:r>
      <w:r w:rsidRPr="00BC268B">
        <w:rPr>
          <w:rStyle w:val="FootnoteReference"/>
          <w:rFonts w:ascii="Arial" w:hAnsi="Arial" w:cs="Arial"/>
          <w:sz w:val="22"/>
          <w:szCs w:val="22"/>
        </w:rPr>
        <w:footnoteReference w:id="42"/>
      </w:r>
      <w:r w:rsidRPr="00524B1F">
        <w:rPr>
          <w:rFonts w:ascii="Arial" w:hAnsi="Arial" w:cs="Arial"/>
          <w:sz w:val="22"/>
          <w:szCs w:val="22"/>
          <w:lang w:val="en-US"/>
        </w:rPr>
        <w:t xml:space="preserve"> manages this ongoing project with the overall objective of empowering schoolchildren (K-12 or 5-18-year-olds) in the beneficiary countries</w:t>
      </w:r>
      <w:r w:rsidRPr="00BC268B">
        <w:rPr>
          <w:rStyle w:val="FootnoteReference"/>
          <w:rFonts w:ascii="Arial" w:hAnsi="Arial" w:cs="Arial"/>
          <w:sz w:val="22"/>
          <w:szCs w:val="22"/>
        </w:rPr>
        <w:footnoteReference w:id="43"/>
      </w:r>
      <w:r w:rsidRPr="00524B1F">
        <w:rPr>
          <w:rFonts w:ascii="Arial" w:hAnsi="Arial" w:cs="Arial"/>
          <w:sz w:val="22"/>
          <w:szCs w:val="22"/>
          <w:lang w:val="en-US"/>
        </w:rPr>
        <w:t xml:space="preserve"> to be more engaged in STEM education and innovative activities.  The project will also raise awareness about the role of inventiveness and creativity, linking it to IP, collaborative research, networking and other applicable age-appropriate activities and curricula to support this objective.  In 2024, the project was in the early stages of mapping and assessment.  This mapping will define steps and solutions to enable, promote and advance STEM education and related innovative activities among elementary, middle and high school children.</w:t>
      </w:r>
    </w:p>
    <w:p w14:paraId="43D7E000" w14:textId="77777777" w:rsidR="00BC268B" w:rsidRPr="00BC268B" w:rsidRDefault="00BC268B" w:rsidP="00BC268B">
      <w:pPr>
        <w:pStyle w:val="Heading1"/>
        <w:numPr>
          <w:ilvl w:val="0"/>
          <w:numId w:val="25"/>
        </w:numPr>
        <w:spacing w:after="220"/>
        <w:ind w:left="567"/>
        <w:rPr>
          <w:szCs w:val="22"/>
        </w:rPr>
      </w:pPr>
      <w:r w:rsidRPr="00BC268B">
        <w:rPr>
          <w:szCs w:val="22"/>
        </w:rPr>
        <w:t>Patents and Technology Sector</w:t>
      </w:r>
    </w:p>
    <w:p w14:paraId="4BB945D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Patents and Technology Sector remained committed to assisting Member States in strengthening their legislative frameworks to protect valuable innovative assets.  It has played a key role in facilitating the Member State-driven normative process, fostering an environment conducive to dialogue and collaboration.  Throughout the reporting period, the Sector expanded its engagement by delivering training and capacity-building initiatives in LDCs, developing countries and countries with economies in transition.  Additionally, it coordinated the Organization’s efforts to shape its strategic approach to supporting women in innovation and IP.  </w:t>
      </w:r>
    </w:p>
    <w:p w14:paraId="1DB8AA16" w14:textId="77777777" w:rsidR="00BC268B" w:rsidRPr="00BC268B" w:rsidRDefault="00BC268B" w:rsidP="002F121C">
      <w:pPr>
        <w:pStyle w:val="Heading2"/>
        <w:spacing w:before="0" w:after="240"/>
        <w:rPr>
          <w:szCs w:val="22"/>
        </w:rPr>
      </w:pPr>
      <w:r w:rsidRPr="00BC268B">
        <w:rPr>
          <w:szCs w:val="22"/>
        </w:rPr>
        <w:t xml:space="preserve">Patent and Technology Law and Patent Cooperation Treaty </w:t>
      </w:r>
    </w:p>
    <w:p w14:paraId="5061E030"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In 2024, in the area of patents, utility models, trade secrets and layout designs of integrated circuits, the Sector provided legislative and policy advice to 16 developing countries, LDCs and countries with economies in transition.</w:t>
      </w:r>
      <w:r w:rsidRPr="00BC268B">
        <w:rPr>
          <w:rStyle w:val="FootnoteReference"/>
          <w:rFonts w:ascii="Arial" w:hAnsi="Arial" w:cs="Arial"/>
          <w:sz w:val="22"/>
          <w:szCs w:val="22"/>
        </w:rPr>
        <w:footnoteReference w:id="44"/>
      </w:r>
      <w:r w:rsidRPr="00524B1F">
        <w:rPr>
          <w:rFonts w:ascii="Arial" w:hAnsi="Arial" w:cs="Arial"/>
          <w:sz w:val="22"/>
          <w:szCs w:val="22"/>
          <w:lang w:val="en-US"/>
        </w:rPr>
        <w:t xml:space="preserve">  </w:t>
      </w:r>
      <w:r w:rsidRPr="00BC268B">
        <w:rPr>
          <w:rFonts w:ascii="Arial" w:hAnsi="Arial" w:cs="Arial"/>
          <w:sz w:val="22"/>
          <w:szCs w:val="22"/>
          <w:lang w:val="en-US"/>
        </w:rPr>
        <w:t xml:space="preserve">In addition, it has continued to provide support to prospective and current Contracting Parties to the Paris Convention, the Patent Law Treaty (PLT) and the Budapest Treaty by, for example, providing information on legal, technical and institutional aspects of these treaties and facilitating the sharing of experiences among Member States on the national implementation of these treaties.  </w:t>
      </w:r>
      <w:r w:rsidRPr="00524B1F">
        <w:rPr>
          <w:rFonts w:ascii="Arial" w:hAnsi="Arial" w:cs="Arial"/>
          <w:sz w:val="22"/>
          <w:szCs w:val="22"/>
          <w:lang w:val="en-US"/>
        </w:rPr>
        <w:t xml:space="preserve">Such assistance has supported WIPO Member States in developing their own legislative frameworks to protect valuable innovative assets in their territory, taking into account, among other things, their own </w:t>
      </w:r>
      <w:r w:rsidRPr="00524B1F">
        <w:rPr>
          <w:rFonts w:ascii="Arial" w:hAnsi="Arial" w:cs="Arial"/>
          <w:sz w:val="22"/>
          <w:szCs w:val="22"/>
          <w:lang w:val="en-US"/>
        </w:rPr>
        <w:lastRenderedPageBreak/>
        <w:t>level of development, policy priorities and international obligations, in the light of the DA Recommendations 13, 14, and 17.</w:t>
      </w:r>
    </w:p>
    <w:p w14:paraId="55E2753E"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As the provider of a global service for the international protection of inventions through the Patent Cooperation Treaty (PCT), the Sector continued to support the international dissemination of technical information related to innovations </w:t>
      </w:r>
      <w:r w:rsidRPr="00524B1F">
        <w:rPr>
          <w:rFonts w:ascii="Arial" w:hAnsi="Arial" w:cs="Arial"/>
          <w:i/>
          <w:sz w:val="22"/>
          <w:szCs w:val="22"/>
          <w:lang w:val="en-US"/>
        </w:rPr>
        <w:t>via</w:t>
      </w:r>
      <w:r w:rsidRPr="00524B1F">
        <w:rPr>
          <w:rFonts w:ascii="Arial" w:hAnsi="Arial" w:cs="Arial"/>
          <w:sz w:val="22"/>
          <w:szCs w:val="22"/>
          <w:lang w:val="en-US"/>
        </w:rPr>
        <w:t xml:space="preserve"> the Organization’s free</w:t>
      </w:r>
      <w:r w:rsidRPr="00524B1F">
        <w:rPr>
          <w:rFonts w:ascii="Arial" w:hAnsi="Arial" w:cs="Arial"/>
          <w:sz w:val="22"/>
          <w:szCs w:val="22"/>
          <w:lang w:val="en-US"/>
        </w:rPr>
        <w:noBreakHyphen/>
        <w:t>of</w:t>
      </w:r>
      <w:r w:rsidRPr="00524B1F">
        <w:rPr>
          <w:rFonts w:ascii="Arial" w:hAnsi="Arial" w:cs="Arial"/>
          <w:sz w:val="22"/>
          <w:szCs w:val="22"/>
          <w:lang w:val="en-US"/>
        </w:rPr>
        <w:noBreakHyphen/>
        <w:t>charge PATENTSCOPE database.</w:t>
      </w:r>
      <w:r w:rsidRPr="00BC268B">
        <w:rPr>
          <w:rStyle w:val="FootnoteReference"/>
          <w:rFonts w:ascii="Arial" w:hAnsi="Arial" w:cs="Arial"/>
          <w:sz w:val="22"/>
          <w:szCs w:val="22"/>
        </w:rPr>
        <w:footnoteReference w:id="45"/>
      </w:r>
      <w:r w:rsidRPr="00524B1F">
        <w:rPr>
          <w:rFonts w:ascii="Arial" w:hAnsi="Arial" w:cs="Arial"/>
          <w:sz w:val="22"/>
          <w:szCs w:val="22"/>
          <w:lang w:val="en-US"/>
        </w:rPr>
        <w:t xml:space="preserve">  </w:t>
      </w:r>
      <w:r w:rsidRPr="00BC268B">
        <w:rPr>
          <w:rFonts w:ascii="Arial" w:hAnsi="Arial" w:cs="Arial"/>
          <w:sz w:val="22"/>
          <w:szCs w:val="22"/>
          <w:lang w:val="en-US"/>
        </w:rPr>
        <w:t xml:space="preserve">PATENTSCOPE has provided access to searchable information on over 120 million inventions, including 5 million published PCT applications.  </w:t>
      </w:r>
      <w:r w:rsidRPr="00524B1F">
        <w:rPr>
          <w:rFonts w:ascii="Arial" w:hAnsi="Arial" w:cs="Arial"/>
          <w:sz w:val="22"/>
          <w:szCs w:val="22"/>
          <w:lang w:val="en-US"/>
        </w:rPr>
        <w:t>In 2024, more than 271,200 new PCT applications (containing the disclosure of the invention) became available on PATENSCOPE.  On average, 5,363 new PCT applications were published weekly,</w:t>
      </w:r>
      <w:r w:rsidRPr="00BC268B">
        <w:rPr>
          <w:rStyle w:val="FootnoteReference"/>
          <w:rFonts w:ascii="Arial" w:hAnsi="Arial" w:cs="Arial"/>
          <w:sz w:val="22"/>
          <w:szCs w:val="22"/>
        </w:rPr>
        <w:footnoteReference w:id="46"/>
      </w:r>
      <w:r w:rsidRPr="00524B1F">
        <w:rPr>
          <w:rFonts w:ascii="Arial" w:hAnsi="Arial" w:cs="Arial"/>
          <w:sz w:val="22"/>
          <w:szCs w:val="22"/>
          <w:lang w:val="en-US"/>
        </w:rPr>
        <w:t xml:space="preserve"> contributing to the dissemination of patent information.  In addition, to facilitate access to and use of the database, 23 PATENTSCOPE-related free-of-charge webinars were delivered in 2024, attended by more than 5,500 participants.</w:t>
      </w:r>
    </w:p>
    <w:p w14:paraId="6BB8A343"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Sector continued to deliver user outreach programs and support, as well as training and capacity-building, taking into account the needs and circumstances of beneficiary Member States.  During the reporting period, the Sector conducted more than 60 PCT and ePCT-related technical assistance activities for the benefit of developing countries, </w:t>
      </w:r>
      <w:r w:rsidRPr="00BC268B">
        <w:rPr>
          <w:rFonts w:ascii="Arial" w:hAnsi="Arial" w:cs="Arial"/>
          <w:sz w:val="22"/>
          <w:szCs w:val="22"/>
          <w:lang w:val="en"/>
        </w:rPr>
        <w:t>LDCs</w:t>
      </w:r>
      <w:r w:rsidRPr="00524B1F">
        <w:rPr>
          <w:rFonts w:ascii="Arial" w:hAnsi="Arial" w:cs="Arial"/>
          <w:sz w:val="22"/>
          <w:szCs w:val="22"/>
          <w:lang w:val="en-US"/>
        </w:rPr>
        <w:t xml:space="preserve"> and countries with economies in transition.</w:t>
      </w:r>
      <w:r w:rsidRPr="00BC268B">
        <w:rPr>
          <w:rStyle w:val="FootnoteReference"/>
          <w:rFonts w:ascii="Arial" w:hAnsi="Arial" w:cs="Arial"/>
          <w:sz w:val="22"/>
          <w:szCs w:val="22"/>
        </w:rPr>
        <w:footnoteReference w:id="47"/>
      </w:r>
      <w:r w:rsidRPr="00524B1F">
        <w:rPr>
          <w:rFonts w:ascii="Arial" w:hAnsi="Arial" w:cs="Arial"/>
          <w:sz w:val="22"/>
          <w:szCs w:val="22"/>
          <w:lang w:val="en-US"/>
        </w:rPr>
        <w:t xml:space="preserve">  </w:t>
      </w:r>
      <w:r w:rsidRPr="00BC268B">
        <w:rPr>
          <w:rFonts w:ascii="Arial" w:hAnsi="Arial" w:cs="Arial"/>
          <w:sz w:val="22"/>
          <w:szCs w:val="22"/>
          <w:lang w:val="en-US"/>
        </w:rPr>
        <w:t>Most of these events were held virtually or in a hybrid format, with 6,400 participants from 90 countries, including IP Office staff, potential users of the system and other stakeholders.</w:t>
      </w:r>
      <w:r w:rsidRPr="00BC268B">
        <w:rPr>
          <w:rStyle w:val="FootnoteReference"/>
          <w:rFonts w:ascii="Arial" w:hAnsi="Arial" w:cs="Arial"/>
          <w:sz w:val="22"/>
          <w:szCs w:val="22"/>
        </w:rPr>
        <w:footnoteReference w:id="48"/>
      </w:r>
      <w:r w:rsidRPr="00BC268B">
        <w:rPr>
          <w:rFonts w:ascii="Arial" w:hAnsi="Arial" w:cs="Arial"/>
          <w:sz w:val="22"/>
          <w:szCs w:val="22"/>
          <w:lang w:val="en-US"/>
        </w:rPr>
        <w:t xml:space="preserve">  Furthermore, in 2024, international applications filed by natural persons from developing countries and all applicants from LDCs continued to receive discounts of 90 per cent on their international filing fees and certain other fees.</w:t>
      </w:r>
    </w:p>
    <w:p w14:paraId="255C3615"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In addition, in 2024, the Sector released two major versions of ePCT with new features and enhancements for IP Offices and applicants.  By the end of 2024, a total of 112 IP Offices had access to the ePCT Office services in their role as Receiving Office, International Searching Authority, or Designated Office.  It is worth mentioning that 91 of these IP Offices used the browser-based ePCT Office services as their primary tool for processing international applications in their role as Receiving Office, while 89 of these IP Offices offered ePCT-filing to their customers to file new international applications online.</w:t>
      </w:r>
    </w:p>
    <w:p w14:paraId="5D93771A" w14:textId="77777777" w:rsidR="00BC268B" w:rsidRPr="00BC268B" w:rsidRDefault="00BC268B" w:rsidP="0088377F">
      <w:pPr>
        <w:pStyle w:val="Heading2"/>
        <w:spacing w:before="0" w:after="240"/>
        <w:rPr>
          <w:szCs w:val="22"/>
        </w:rPr>
      </w:pPr>
      <w:r w:rsidRPr="00BC268B">
        <w:rPr>
          <w:szCs w:val="22"/>
        </w:rPr>
        <w:t>IP and Women</w:t>
      </w:r>
    </w:p>
    <w:p w14:paraId="7D4D187A"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GB"/>
        </w:rPr>
        <w:t xml:space="preserve">During 2024, the Sector made progress in implementing the </w:t>
      </w:r>
      <w:r w:rsidRPr="00524B1F">
        <w:rPr>
          <w:rFonts w:ascii="Arial" w:hAnsi="Arial" w:cs="Arial"/>
          <w:sz w:val="22"/>
          <w:szCs w:val="22"/>
          <w:lang w:val="en-US"/>
        </w:rPr>
        <w:t>IP and Gender Action Plan (IPGAP),</w:t>
      </w:r>
      <w:r w:rsidRPr="00BC268B">
        <w:rPr>
          <w:rStyle w:val="FootnoteReference"/>
          <w:rFonts w:ascii="Arial" w:hAnsi="Arial" w:cs="Arial"/>
          <w:sz w:val="22"/>
          <w:szCs w:val="22"/>
        </w:rPr>
        <w:footnoteReference w:id="49"/>
      </w:r>
      <w:r w:rsidRPr="00524B1F">
        <w:rPr>
          <w:rStyle w:val="FootnoteReference"/>
          <w:rFonts w:ascii="Arial" w:hAnsi="Arial" w:cs="Arial"/>
          <w:sz w:val="22"/>
          <w:szCs w:val="22"/>
          <w:lang w:val="en-US"/>
        </w:rPr>
        <w:t xml:space="preserve"> </w:t>
      </w:r>
      <w:r w:rsidRPr="00BC268B">
        <w:rPr>
          <w:rFonts w:ascii="Arial" w:hAnsi="Arial" w:cs="Arial"/>
          <w:sz w:val="22"/>
          <w:szCs w:val="22"/>
          <w:lang w:val="en-GB"/>
        </w:rPr>
        <w:t xml:space="preserve">publicly launched in April 2023, to advance global efforts on women’s economic equality and participation in innovation, creation and IP.  Aligned with the Organization’s MTSP 2022–2026, </w:t>
      </w:r>
      <w:r w:rsidRPr="00524B1F">
        <w:rPr>
          <w:rFonts w:ascii="Arial" w:hAnsi="Arial" w:cs="Arial"/>
          <w:sz w:val="22"/>
          <w:szCs w:val="22"/>
          <w:lang w:val="en-US"/>
        </w:rPr>
        <w:t xml:space="preserve">IPGAP initiatives contribute to DA clusters A, B, C and E, focusing on:  </w:t>
      </w:r>
      <w:r w:rsidRPr="00524B1F">
        <w:rPr>
          <w:rFonts w:ascii="Arial" w:hAnsi="Arial" w:cs="Arial"/>
          <w:sz w:val="22"/>
          <w:szCs w:val="22"/>
          <w:lang w:val="en-US"/>
        </w:rPr>
        <w:br/>
        <w:t>(i) government support for incorporating a perspective supportive to women into IP legislation, policies, programs and projects (Pillar 1);  (ii) research to identify the scope and nature of the gender gap in IP and ways to close it (Pillar 2);  and (iii) piloting of new projects in the IP environment to effectively educate and enhance the IP skills of women and the institutions that support them (Pillar 3)</w:t>
      </w:r>
      <w:r w:rsidRPr="00BC268B">
        <w:rPr>
          <w:rFonts w:ascii="Arial" w:hAnsi="Arial" w:cs="Arial"/>
          <w:sz w:val="22"/>
          <w:szCs w:val="22"/>
          <w:lang w:val="en-GB"/>
        </w:rPr>
        <w:t xml:space="preserve">. </w:t>
      </w:r>
    </w:p>
    <w:p w14:paraId="11B1001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GB"/>
        </w:rPr>
        <w:t>Under Pillar 1, the Sector developed the IPGAP Database.</w:t>
      </w:r>
      <w:r w:rsidRPr="00BC268B">
        <w:rPr>
          <w:rStyle w:val="FootnoteReference"/>
          <w:rFonts w:ascii="Arial" w:hAnsi="Arial" w:cs="Arial"/>
          <w:sz w:val="22"/>
          <w:szCs w:val="22"/>
          <w:lang w:val="en-GB"/>
        </w:rPr>
        <w:footnoteReference w:id="50"/>
      </w:r>
      <w:r w:rsidRPr="00BC268B">
        <w:rPr>
          <w:rFonts w:ascii="Arial" w:hAnsi="Arial" w:cs="Arial"/>
          <w:sz w:val="22"/>
          <w:szCs w:val="22"/>
          <w:lang w:val="en-GB"/>
        </w:rPr>
        <w:t xml:space="preserve">  This is a comprehensive resource showcasing global policies and initiatives that support women’s participation in </w:t>
      </w:r>
      <w:r w:rsidRPr="00BC268B">
        <w:rPr>
          <w:rFonts w:ascii="Arial" w:hAnsi="Arial" w:cs="Arial"/>
          <w:sz w:val="22"/>
          <w:szCs w:val="22"/>
          <w:lang w:val="en-GB"/>
        </w:rPr>
        <w:lastRenderedPageBreak/>
        <w:t xml:space="preserve">innovation, IP and entrepreneurship.  By providing practical examples and data, the database supports policymakers and organizations in crafting strategies tailored to national needs while offering researchers valuable insights into fostering women’s involvement in the IP ecosystem.  Additionally, as part of </w:t>
      </w:r>
      <w:r w:rsidRPr="00524B1F">
        <w:rPr>
          <w:rFonts w:ascii="Arial" w:hAnsi="Arial" w:cs="Arial"/>
          <w:sz w:val="22"/>
          <w:szCs w:val="22"/>
          <w:lang w:val="en-US"/>
        </w:rPr>
        <w:t xml:space="preserve">initiatives intended to </w:t>
      </w:r>
      <w:r w:rsidRPr="00BC268B">
        <w:rPr>
          <w:rFonts w:ascii="Arial" w:hAnsi="Arial" w:cs="Arial"/>
          <w:sz w:val="22"/>
          <w:szCs w:val="22"/>
          <w:lang w:val="en-GB"/>
        </w:rPr>
        <w:t xml:space="preserve">advance data-driven research under Pillar 2, the </w:t>
      </w:r>
      <w:r w:rsidRPr="00BC268B">
        <w:rPr>
          <w:rFonts w:ascii="Arial" w:hAnsi="Arial" w:cs="Arial"/>
          <w:i/>
          <w:iCs/>
          <w:sz w:val="22"/>
          <w:szCs w:val="22"/>
          <w:lang w:val="en-GB"/>
        </w:rPr>
        <w:t xml:space="preserve">“IPGAP Global Research Experts Meeting </w:t>
      </w:r>
      <w:r w:rsidRPr="00524B1F">
        <w:rPr>
          <w:rStyle w:val="normaltextrun"/>
          <w:rFonts w:ascii="Arial" w:hAnsi="Arial" w:cs="Arial"/>
          <w:i/>
          <w:iCs/>
          <w:sz w:val="22"/>
          <w:szCs w:val="22"/>
          <w:shd w:val="clear" w:color="auto" w:fill="FFFFFF"/>
          <w:lang w:val="en-US"/>
        </w:rPr>
        <w:t>on Improving Gender and Diversity in IP and Innovation</w:t>
      </w:r>
      <w:r w:rsidRPr="00BC268B">
        <w:rPr>
          <w:rFonts w:ascii="Arial" w:hAnsi="Arial" w:cs="Arial"/>
          <w:i/>
          <w:iCs/>
          <w:sz w:val="22"/>
          <w:szCs w:val="22"/>
          <w:lang w:val="en-GB"/>
        </w:rPr>
        <w:t xml:space="preserve">” </w:t>
      </w:r>
      <w:r w:rsidRPr="00BC268B">
        <w:rPr>
          <w:rFonts w:ascii="Arial" w:hAnsi="Arial" w:cs="Arial"/>
          <w:sz w:val="22"/>
          <w:szCs w:val="22"/>
          <w:lang w:val="en-GB"/>
        </w:rPr>
        <w:t>(GREM)</w:t>
      </w:r>
      <w:r w:rsidRPr="00BC268B">
        <w:rPr>
          <w:rStyle w:val="FootnoteReference"/>
          <w:rFonts w:ascii="Arial" w:hAnsi="Arial" w:cs="Arial"/>
          <w:sz w:val="22"/>
          <w:szCs w:val="22"/>
          <w:lang w:val="en-GB"/>
        </w:rPr>
        <w:footnoteReference w:id="51"/>
      </w:r>
      <w:r w:rsidRPr="00BC268B">
        <w:rPr>
          <w:rFonts w:ascii="Arial" w:hAnsi="Arial" w:cs="Arial"/>
          <w:sz w:val="22"/>
          <w:szCs w:val="22"/>
          <w:lang w:val="en-GB"/>
        </w:rPr>
        <w:t xml:space="preserve"> was held in November 2024, providing a strategic platform for academics, researchers and policy experts to examine disparities in women’s participation in IP and innovation-related fields.  Participants identified barriers to women’s participation through research presentations and discussions, elaborated on new methodologies and indicators to measure women’s involvement in innovation, academic research and the creative industries, and emphasized the critical need for data-driven solutions to inform policies.</w:t>
      </w:r>
    </w:p>
    <w:p w14:paraId="4E5CA734"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GB"/>
        </w:rPr>
        <w:t>In 2024, the Sector continued coordinating a Joint Message</w:t>
      </w:r>
      <w:r w:rsidRPr="00BC268B">
        <w:rPr>
          <w:rStyle w:val="FootnoteReference"/>
          <w:rFonts w:ascii="Arial" w:hAnsi="Arial" w:cs="Arial"/>
          <w:sz w:val="22"/>
          <w:szCs w:val="22"/>
          <w:lang w:val="en-GB"/>
        </w:rPr>
        <w:footnoteReference w:id="52"/>
      </w:r>
      <w:r w:rsidRPr="00BC268B">
        <w:rPr>
          <w:rFonts w:ascii="Arial" w:hAnsi="Arial" w:cs="Arial"/>
          <w:sz w:val="22"/>
          <w:szCs w:val="22"/>
          <w:lang w:val="en-GB"/>
        </w:rPr>
        <w:t xml:space="preserve"> with over 70 IP Offices and organizations worldwide celebrating International Women’s Day.  The message, aligned with the 2024 theme </w:t>
      </w:r>
      <w:r w:rsidRPr="00BC268B">
        <w:rPr>
          <w:rFonts w:ascii="Arial" w:hAnsi="Arial" w:cs="Arial"/>
          <w:i/>
          <w:iCs/>
          <w:sz w:val="22"/>
          <w:szCs w:val="22"/>
          <w:lang w:val="en-GB"/>
        </w:rPr>
        <w:t>“Invest in Women: Accelerate Progress”</w:t>
      </w:r>
      <w:r w:rsidRPr="00BC268B">
        <w:rPr>
          <w:rFonts w:ascii="Arial" w:hAnsi="Arial" w:cs="Arial"/>
          <w:sz w:val="22"/>
          <w:szCs w:val="22"/>
          <w:lang w:val="en-GB"/>
        </w:rPr>
        <w:t xml:space="preserve">, reaffirmed the commitment to empower women in creativity and innovation while addressing the challenges they can face in accessing resources and opportunities within the IP ecosystem.  </w:t>
      </w:r>
    </w:p>
    <w:p w14:paraId="5387489C" w14:textId="77777777" w:rsidR="00BC268B" w:rsidRPr="00BC268B" w:rsidRDefault="00BC268B" w:rsidP="00A264B3">
      <w:pPr>
        <w:pStyle w:val="Heading2"/>
        <w:spacing w:before="0" w:after="240"/>
        <w:rPr>
          <w:szCs w:val="22"/>
        </w:rPr>
      </w:pPr>
      <w:r w:rsidRPr="00BC268B">
        <w:rPr>
          <w:szCs w:val="22"/>
        </w:rPr>
        <w:t>WIPO Bodies</w:t>
      </w:r>
    </w:p>
    <w:p w14:paraId="07F976E5"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 supported the work of a number of WIPO bodies, including the Standing Committee on the Law of Patents (SCP) and the Patent Cooperation Treaty Working Group (PCT WG).</w:t>
      </w:r>
    </w:p>
    <w:p w14:paraId="0852EA17"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SCP held its </w:t>
      </w:r>
      <w:r w:rsidRPr="00524B1F">
        <w:rPr>
          <w:rFonts w:ascii="Arial" w:hAnsi="Arial" w:cs="Arial"/>
          <w:bCs/>
          <w:sz w:val="22"/>
          <w:szCs w:val="22"/>
          <w:lang w:val="en-US"/>
        </w:rPr>
        <w:t>thirty-sixth session, in a hybrid format, from October 14 to 18, 2024</w:t>
      </w:r>
      <w:r w:rsidRPr="00524B1F">
        <w:rPr>
          <w:rFonts w:ascii="Arial" w:hAnsi="Arial" w:cs="Arial"/>
          <w:sz w:val="22"/>
          <w:szCs w:val="22"/>
          <w:lang w:val="en-US"/>
        </w:rPr>
        <w:t>.  In accordance with the DA Recommendations, the activities of the SCP continued to be inclusive and Member State-driven, supporting an environment conducive to engagement and dialogue among Member States and taking into account their different levels of development.  Member States continued to discuss</w:t>
      </w:r>
      <w:r w:rsidRPr="00524B1F">
        <w:rPr>
          <w:rFonts w:ascii="Arial" w:hAnsi="Arial" w:cs="Arial"/>
          <w:i/>
          <w:sz w:val="22"/>
          <w:szCs w:val="22"/>
          <w:lang w:val="en-US"/>
        </w:rPr>
        <w:t>, inter alia</w:t>
      </w:r>
      <w:r w:rsidRPr="00524B1F">
        <w:rPr>
          <w:rFonts w:ascii="Arial" w:hAnsi="Arial" w:cs="Arial"/>
          <w:sz w:val="22"/>
          <w:szCs w:val="22"/>
          <w:lang w:val="en-US"/>
        </w:rPr>
        <w:t xml:space="preserve">, the following issues:  (i) exceptions and limitations to patent rights;  (ii) quality of patents, including opposition systems;  (iii) patents and health;  (iv) confidentiality of communications between patent advisors and their clients;  and (v) transfer of technology.  In particular, Member States shared information on their laws, practices and experiences </w:t>
      </w:r>
      <w:r w:rsidRPr="00524B1F">
        <w:rPr>
          <w:rFonts w:ascii="Arial" w:hAnsi="Arial" w:cs="Arial"/>
          <w:bCs/>
          <w:sz w:val="22"/>
          <w:szCs w:val="22"/>
          <w:lang w:val="en-US"/>
        </w:rPr>
        <w:t>with respect to the exception regarding extemporaneous preparation of medicines;  the unity of invention;  patents and emerging technologies;  the use of various tools, including AI, for effective patent examination procedures;  the constraints faced by developing countries and LDCs in making full use of patent flexibilities;  cross-border aspects of confidentiality of communication between clients and their patent advisors;  and technology transfer, including standard essential patents and inventorship and ownership issues in collaborative research, supplemented by a roundtable on patent inventorship and ownership for university inventions.</w:t>
      </w:r>
      <w:r w:rsidRPr="00BC268B">
        <w:rPr>
          <w:rStyle w:val="FootnoteReference"/>
          <w:rFonts w:ascii="Arial" w:hAnsi="Arial" w:cs="Arial"/>
          <w:sz w:val="22"/>
          <w:szCs w:val="22"/>
        </w:rPr>
        <w:footnoteReference w:id="53"/>
      </w:r>
    </w:p>
    <w:p w14:paraId="6FEB1EFD"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PCT WG held its seventeenth session, in a hybrid format, from February 19 to 21, 2024.  It agreed to submit several amendments to the PCT Regulations for approval by the </w:t>
      </w:r>
      <w:r w:rsidRPr="005A60A3">
        <w:rPr>
          <w:rFonts w:ascii="Arial" w:hAnsi="Arial" w:cs="Arial"/>
          <w:sz w:val="22"/>
          <w:szCs w:val="22"/>
          <w:lang w:val="en-US"/>
        </w:rPr>
        <w:t>Assembly</w:t>
      </w:r>
      <w:r w:rsidRPr="00524B1F">
        <w:rPr>
          <w:rFonts w:ascii="Arial" w:hAnsi="Arial" w:cs="Arial"/>
          <w:sz w:val="22"/>
          <w:szCs w:val="22"/>
          <w:lang w:val="en-US"/>
        </w:rPr>
        <w:t xml:space="preserve"> at its fifty-sixth session, in July 2024, regarding:  (i) the filing medium of international applications and related documents (Rule 89</w:t>
      </w:r>
      <w:r w:rsidRPr="00524B1F">
        <w:rPr>
          <w:rFonts w:ascii="Arial" w:hAnsi="Arial" w:cs="Arial"/>
          <w:i/>
          <w:iCs/>
          <w:sz w:val="22"/>
          <w:szCs w:val="22"/>
          <w:lang w:val="en-US"/>
        </w:rPr>
        <w:t>bis</w:t>
      </w:r>
      <w:r w:rsidRPr="00524B1F">
        <w:rPr>
          <w:rFonts w:ascii="Arial" w:hAnsi="Arial" w:cs="Arial"/>
          <w:sz w:val="22"/>
          <w:szCs w:val="22"/>
          <w:lang w:val="en-US"/>
        </w:rPr>
        <w:t xml:space="preserve">) to allow Receiving Offices the option of requiring the filing of international applications and the submission of subsequently filed documents to be performed only in electronic form;  (ii) gradual expansion of languages of communication used by the International Bureau with applicants and National Offices to include any of the 10 languages of international publication (Rule 92);  (iii) broadening the definition of “relevant prior art” for both international search and international preliminary examination to </w:t>
      </w:r>
      <w:r w:rsidRPr="00524B1F">
        <w:rPr>
          <w:rFonts w:ascii="Arial" w:hAnsi="Arial" w:cs="Arial"/>
          <w:sz w:val="22"/>
          <w:szCs w:val="22"/>
          <w:lang w:val="en-US"/>
        </w:rPr>
        <w:lastRenderedPageBreak/>
        <w:t>include citation of non-written disclosures (Rules 33 and 64);  (iv) closing a loophole in Rule 26.3</w:t>
      </w:r>
      <w:r w:rsidRPr="00524B1F">
        <w:rPr>
          <w:rFonts w:ascii="Arial" w:hAnsi="Arial" w:cs="Arial"/>
          <w:i/>
          <w:iCs/>
          <w:sz w:val="22"/>
          <w:szCs w:val="22"/>
          <w:lang w:val="en-US"/>
        </w:rPr>
        <w:t xml:space="preserve">ter </w:t>
      </w:r>
      <w:r w:rsidRPr="00524B1F">
        <w:rPr>
          <w:rFonts w:ascii="Arial" w:hAnsi="Arial" w:cs="Arial"/>
          <w:sz w:val="22"/>
          <w:szCs w:val="22"/>
          <w:lang w:val="en-US"/>
        </w:rPr>
        <w:t>that does not allow the Receiving Offices to issue invitations to furnish a translation of the abstract or text matter of the drawings into the language of international publication where the language of the abstract and text matter of drawings is filed in a language different from that of international publication but accepted by the International Searching Authority for carrying out the international search (Rule 26.3</w:t>
      </w:r>
      <w:r w:rsidRPr="00524B1F">
        <w:rPr>
          <w:rFonts w:ascii="Arial" w:hAnsi="Arial" w:cs="Arial"/>
          <w:i/>
          <w:iCs/>
          <w:sz w:val="22"/>
          <w:szCs w:val="22"/>
          <w:lang w:val="en-US"/>
        </w:rPr>
        <w:t>ter</w:t>
      </w:r>
      <w:r w:rsidRPr="00524B1F">
        <w:rPr>
          <w:rFonts w:ascii="Arial" w:hAnsi="Arial" w:cs="Arial"/>
          <w:sz w:val="22"/>
          <w:szCs w:val="22"/>
          <w:lang w:val="en-US"/>
        </w:rPr>
        <w:t>);  and (v) maintaining the criteria under Item 5 of the PCT Schedule of Fees, and that the Assembly should review the criteria again in five years’ time.  The Working Group also agreed to recommend that the Assembly adopt the proposed modifications to the Directives for Updating the Lists of States Meeting the Criteria for Reduction of Certain PCT Fees.  At its fifty-sixth session, the Assembly of the PCT Union approved these modifications to the PCT Regulations.</w:t>
      </w:r>
      <w:r w:rsidRPr="00BC268B">
        <w:rPr>
          <w:rStyle w:val="FootnoteReference"/>
          <w:rFonts w:ascii="Arial" w:hAnsi="Arial" w:cs="Arial"/>
          <w:sz w:val="22"/>
          <w:szCs w:val="22"/>
        </w:rPr>
        <w:footnoteReference w:id="54"/>
      </w:r>
      <w:r w:rsidRPr="00524B1F">
        <w:rPr>
          <w:rFonts w:ascii="Arial" w:hAnsi="Arial" w:cs="Arial"/>
          <w:sz w:val="22"/>
          <w:szCs w:val="22"/>
          <w:lang w:val="en-US"/>
        </w:rPr>
        <w:t xml:space="preserve">  </w:t>
      </w:r>
      <w:r w:rsidRPr="00BC268B">
        <w:rPr>
          <w:rFonts w:ascii="Arial" w:hAnsi="Arial" w:cs="Arial"/>
          <w:sz w:val="22"/>
          <w:szCs w:val="22"/>
          <w:lang w:val="en-US"/>
        </w:rPr>
        <w:t>The PCT WG also invited the International Bureau to consider how Rule 11 could be amended to allow the filing and processing of international applications containing color drawings, taking into account a variety of factors, such as the need to distinguish between drawings, photographs and other forms of image and the different circumstances in which they might be appropriate.</w:t>
      </w:r>
    </w:p>
    <w:p w14:paraId="2A10B750" w14:textId="77777777" w:rsidR="00BC268B" w:rsidRPr="00BC268B" w:rsidRDefault="00BC268B" w:rsidP="00BC268B">
      <w:pPr>
        <w:pStyle w:val="Heading1"/>
        <w:numPr>
          <w:ilvl w:val="0"/>
          <w:numId w:val="25"/>
        </w:numPr>
        <w:spacing w:after="220"/>
        <w:ind w:left="709"/>
        <w:rPr>
          <w:szCs w:val="22"/>
        </w:rPr>
      </w:pPr>
      <w:r w:rsidRPr="00BC268B">
        <w:rPr>
          <w:szCs w:val="22"/>
        </w:rPr>
        <w:t>Brands and Design Sector</w:t>
      </w:r>
    </w:p>
    <w:p w14:paraId="5E554503"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In 2024, the Brands and Designs Sector remained dedicated to assisting Member States in strengthening their legislative and institutional frameworks for trademarks, industrial designs and geographical indications, while also providing support on the practical application of brands and designs, and policy advice tailored to their socioeconomic objectives.  Additionally, significant efforts were made to expand the accessibility and impact of training and </w:t>
      </w:r>
      <w:r w:rsidRPr="00524B1F">
        <w:rPr>
          <w:rFonts w:ascii="Arial" w:hAnsi="Arial" w:cs="Arial"/>
          <w:sz w:val="22"/>
          <w:szCs w:val="22"/>
          <w:lang w:val="en-US"/>
        </w:rPr>
        <w:br/>
        <w:t>capacity-building initiatives, particularly for LDCs, developing countries, and countries with economies in transition.  These included the development of customized training programs, regional workshops, and knowledge-sharing initiatives to enhance institutional capacities, foster good practices and equip stakeholders with the necessary tools to effectively implement and manage brand and design protections.</w:t>
      </w:r>
    </w:p>
    <w:p w14:paraId="084572D6" w14:textId="77777777" w:rsidR="00BC268B" w:rsidRPr="00BC268B" w:rsidRDefault="00BC268B" w:rsidP="00A30C46">
      <w:pPr>
        <w:pStyle w:val="Heading2"/>
        <w:spacing w:before="0" w:after="240"/>
        <w:rPr>
          <w:szCs w:val="22"/>
        </w:rPr>
      </w:pPr>
      <w:r w:rsidRPr="00BC268B">
        <w:rPr>
          <w:szCs w:val="22"/>
        </w:rPr>
        <w:t>Technical Assistance and Capacity-Building</w:t>
      </w:r>
    </w:p>
    <w:p w14:paraId="6B53410C"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Sector’s technical assistance and capacity-building continued to be guided by the DA Recommendations.  In 2024, the Sector responded to 14 requests for legislative advice from seven countries,</w:t>
      </w:r>
      <w:r w:rsidRPr="00BC268B">
        <w:rPr>
          <w:rStyle w:val="FootnoteReference"/>
          <w:rFonts w:ascii="Arial" w:hAnsi="Arial" w:cs="Arial"/>
          <w:sz w:val="22"/>
          <w:szCs w:val="22"/>
        </w:rPr>
        <w:footnoteReference w:id="55"/>
      </w:r>
      <w:r w:rsidRPr="00524B1F">
        <w:rPr>
          <w:rFonts w:ascii="Arial" w:hAnsi="Arial" w:cs="Arial"/>
          <w:sz w:val="22"/>
          <w:szCs w:val="22"/>
          <w:lang w:val="en-US"/>
        </w:rPr>
        <w:t xml:space="preserve"> including seven on trademarks, three on industrial designs, and four on geographical indications.  Meanwhile, the Sector continued to expand its outreach through capacity-building and awareness-raising activities, of which 21 related to trademarks, eight to industrial designs and seven to geographical indications.</w:t>
      </w:r>
      <w:r w:rsidRPr="00BC268B">
        <w:rPr>
          <w:rStyle w:val="FootnoteReference"/>
          <w:rFonts w:ascii="Arial" w:hAnsi="Arial" w:cs="Arial"/>
          <w:sz w:val="22"/>
          <w:szCs w:val="22"/>
        </w:rPr>
        <w:footnoteReference w:id="56"/>
      </w:r>
      <w:r w:rsidRPr="00524B1F">
        <w:rPr>
          <w:rFonts w:ascii="Arial" w:hAnsi="Arial" w:cs="Arial"/>
          <w:sz w:val="22"/>
          <w:szCs w:val="22"/>
          <w:lang w:val="en-US"/>
        </w:rPr>
        <w:t xml:space="preserve">  </w:t>
      </w:r>
      <w:r w:rsidRPr="00BC268B">
        <w:rPr>
          <w:rFonts w:ascii="Arial" w:hAnsi="Arial" w:cs="Arial"/>
          <w:sz w:val="22"/>
          <w:szCs w:val="22"/>
          <w:lang w:val="en-US"/>
        </w:rPr>
        <w:t xml:space="preserve">Two of those activities were held at the subregional level, one for the Central European and Baltic States (CEBS) and Mediterranean countries, and another for the Andean Community countries.  </w:t>
      </w:r>
    </w:p>
    <w:p w14:paraId="73F36A3C"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w:t>
      </w:r>
      <w:r w:rsidRPr="00524B1F">
        <w:rPr>
          <w:rFonts w:ascii="Arial" w:hAnsi="Arial" w:cs="Arial"/>
          <w:i/>
          <w:sz w:val="22"/>
          <w:szCs w:val="22"/>
          <w:lang w:val="en-US"/>
        </w:rPr>
        <w:t>Economic Community of West African States (ECOWAS) – WIPO Pilot Project on Designs</w:t>
      </w:r>
      <w:r w:rsidRPr="00524B1F">
        <w:rPr>
          <w:rFonts w:ascii="Arial" w:hAnsi="Arial" w:cs="Arial"/>
          <w:iCs/>
          <w:sz w:val="22"/>
          <w:szCs w:val="22"/>
          <w:lang w:val="en-US"/>
        </w:rPr>
        <w:t xml:space="preserve"> was completed in 2024, primarily to</w:t>
      </w:r>
      <w:r w:rsidRPr="00524B1F">
        <w:rPr>
          <w:rFonts w:ascii="Arial" w:hAnsi="Arial" w:cs="Arial"/>
          <w:sz w:val="22"/>
          <w:szCs w:val="22"/>
          <w:lang w:val="en-US"/>
        </w:rPr>
        <w:t xml:space="preserve"> raise awareness of the value and role of industrial designs in product commercialization for businesses in West Africa.  The cornerstone of this project was the completion and launch of the mobile application </w:t>
      </w:r>
      <w:r w:rsidRPr="00524B1F">
        <w:rPr>
          <w:rFonts w:ascii="Arial" w:hAnsi="Arial" w:cs="Arial"/>
          <w:i/>
          <w:iCs/>
          <w:sz w:val="22"/>
          <w:szCs w:val="22"/>
          <w:lang w:val="en-US"/>
        </w:rPr>
        <w:t>AfricDeezayn</w:t>
      </w:r>
      <w:r w:rsidRPr="00524B1F">
        <w:rPr>
          <w:rFonts w:ascii="Arial" w:hAnsi="Arial" w:cs="Arial"/>
          <w:sz w:val="22"/>
          <w:szCs w:val="22"/>
          <w:lang w:val="en-US"/>
        </w:rPr>
        <w:t>,</w:t>
      </w:r>
      <w:r w:rsidRPr="00BC268B">
        <w:rPr>
          <w:rStyle w:val="FootnoteReference"/>
          <w:rFonts w:ascii="Arial" w:hAnsi="Arial" w:cs="Arial"/>
          <w:sz w:val="22"/>
          <w:szCs w:val="22"/>
        </w:rPr>
        <w:footnoteReference w:id="57"/>
      </w:r>
      <w:r w:rsidRPr="00524B1F">
        <w:rPr>
          <w:rFonts w:ascii="Arial" w:hAnsi="Arial" w:cs="Arial"/>
          <w:sz w:val="22"/>
          <w:szCs w:val="22"/>
          <w:lang w:val="en-US"/>
        </w:rPr>
        <w:t xml:space="preserve"> with content covering all 15 ECOWAS countries.  All relevant information concerning industrial designs in the West African region are centralized in the application.  It also serves as a communications platform for registered users and enables designers to promote their work.  A coaching program </w:t>
      </w:r>
      <w:r w:rsidRPr="00524B1F">
        <w:rPr>
          <w:rFonts w:ascii="Arial" w:hAnsi="Arial" w:cs="Arial"/>
          <w:sz w:val="22"/>
          <w:szCs w:val="22"/>
          <w:lang w:val="en-US"/>
        </w:rPr>
        <w:lastRenderedPageBreak/>
        <w:t xml:space="preserve">was also provided to 10 micro-, small and medium-sized enterprises (MSMEs) in Côte d’Ivoire on the optimization of branding and designs for business growth.  </w:t>
      </w:r>
    </w:p>
    <w:p w14:paraId="5C3F69D2"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During the reporting period, the Sector also supported </w:t>
      </w:r>
      <w:r w:rsidRPr="00524B1F">
        <w:rPr>
          <w:rFonts w:ascii="Arial" w:hAnsi="Arial" w:cs="Arial"/>
          <w:iCs/>
          <w:sz w:val="22"/>
          <w:szCs w:val="22"/>
          <w:lang w:val="en-US"/>
        </w:rPr>
        <w:t>beekeepers in Antigua and Barbuda, who registered their first ever collective mark to strengthen the branding of their honey products.</w:t>
      </w:r>
      <w:r w:rsidRPr="00BC268B">
        <w:rPr>
          <w:rStyle w:val="FootnoteReference"/>
          <w:rFonts w:ascii="Arial" w:hAnsi="Arial" w:cs="Arial"/>
          <w:iCs/>
          <w:sz w:val="22"/>
          <w:szCs w:val="22"/>
        </w:rPr>
        <w:footnoteReference w:id="58"/>
      </w:r>
      <w:r w:rsidRPr="00524B1F">
        <w:rPr>
          <w:rFonts w:ascii="Arial" w:hAnsi="Arial" w:cs="Arial"/>
          <w:iCs/>
          <w:sz w:val="22"/>
          <w:szCs w:val="22"/>
          <w:lang w:val="en-US"/>
        </w:rPr>
        <w:t xml:space="preserve">  </w:t>
      </w:r>
      <w:r w:rsidRPr="00BC268B">
        <w:rPr>
          <w:rFonts w:ascii="Arial" w:hAnsi="Arial" w:cs="Arial"/>
          <w:iCs/>
          <w:sz w:val="22"/>
          <w:szCs w:val="22"/>
          <w:lang w:val="en-US"/>
        </w:rPr>
        <w:t>The new collective marks enabled the beekeepers to review the labeling, packaging and pricing of their products to improve their market positioning.  A promotional campaign is also in preparation for April 2025.</w:t>
      </w:r>
    </w:p>
    <w:p w14:paraId="07CB7808"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 continued to assist local communities in developing, protecting and commercializing their geographical indications,</w:t>
      </w:r>
      <w:r w:rsidRPr="00BC268B">
        <w:rPr>
          <w:rStyle w:val="FootnoteReference"/>
          <w:rFonts w:ascii="Arial" w:hAnsi="Arial" w:cs="Arial"/>
          <w:sz w:val="22"/>
          <w:szCs w:val="22"/>
        </w:rPr>
        <w:footnoteReference w:id="59"/>
      </w:r>
      <w:r w:rsidRPr="00524B1F">
        <w:rPr>
          <w:rFonts w:ascii="Arial" w:hAnsi="Arial" w:cs="Arial"/>
          <w:sz w:val="22"/>
          <w:szCs w:val="22"/>
          <w:lang w:val="en-US"/>
        </w:rPr>
        <w:t xml:space="preserve"> including:  the producers of “</w:t>
      </w:r>
      <w:r w:rsidRPr="00524B1F">
        <w:rPr>
          <w:rFonts w:ascii="Arial" w:hAnsi="Arial" w:cs="Arial"/>
          <w:i/>
          <w:iCs/>
          <w:sz w:val="22"/>
          <w:szCs w:val="22"/>
          <w:lang w:val="en-US"/>
        </w:rPr>
        <w:t>Grenada Nutmeg</w:t>
      </w:r>
      <w:r w:rsidRPr="00524B1F">
        <w:rPr>
          <w:rFonts w:ascii="Arial" w:hAnsi="Arial" w:cs="Arial"/>
          <w:sz w:val="22"/>
          <w:szCs w:val="22"/>
          <w:lang w:val="en-US"/>
        </w:rPr>
        <w:t>” and “</w:t>
      </w:r>
      <w:r w:rsidRPr="00524B1F">
        <w:rPr>
          <w:rFonts w:ascii="Arial" w:hAnsi="Arial" w:cs="Arial"/>
          <w:i/>
          <w:iCs/>
          <w:sz w:val="22"/>
          <w:szCs w:val="22"/>
          <w:lang w:val="en-US"/>
        </w:rPr>
        <w:t>Grenada Cocoa</w:t>
      </w:r>
      <w:r w:rsidRPr="00524B1F">
        <w:rPr>
          <w:rFonts w:ascii="Arial" w:hAnsi="Arial" w:cs="Arial"/>
          <w:sz w:val="22"/>
          <w:szCs w:val="22"/>
          <w:lang w:val="en-US"/>
        </w:rPr>
        <w:t>” in Grenada;  and the producers of “</w:t>
      </w:r>
      <w:r w:rsidRPr="00524B1F">
        <w:rPr>
          <w:rFonts w:ascii="Arial" w:hAnsi="Arial" w:cs="Arial"/>
          <w:i/>
          <w:iCs/>
          <w:sz w:val="22"/>
          <w:szCs w:val="22"/>
          <w:lang w:val="en-US"/>
        </w:rPr>
        <w:t>Houaphan</w:t>
      </w:r>
      <w:r w:rsidRPr="00524B1F">
        <w:rPr>
          <w:rFonts w:ascii="Arial" w:hAnsi="Arial" w:cs="Arial"/>
          <w:sz w:val="22"/>
          <w:szCs w:val="22"/>
          <w:lang w:val="en-US"/>
        </w:rPr>
        <w:t xml:space="preserve"> </w:t>
      </w:r>
      <w:r w:rsidRPr="00524B1F">
        <w:rPr>
          <w:rFonts w:ascii="Arial" w:hAnsi="Arial" w:cs="Arial"/>
          <w:i/>
          <w:iCs/>
          <w:sz w:val="22"/>
          <w:szCs w:val="22"/>
          <w:lang w:val="en-US"/>
        </w:rPr>
        <w:t>Silk</w:t>
      </w:r>
      <w:r w:rsidRPr="00524B1F">
        <w:rPr>
          <w:rFonts w:ascii="Arial" w:hAnsi="Arial" w:cs="Arial"/>
          <w:sz w:val="22"/>
          <w:szCs w:val="22"/>
          <w:lang w:val="en-US"/>
        </w:rPr>
        <w:t>” and “</w:t>
      </w:r>
      <w:r w:rsidRPr="00524B1F">
        <w:rPr>
          <w:rFonts w:ascii="Arial" w:hAnsi="Arial" w:cs="Arial"/>
          <w:i/>
          <w:iCs/>
          <w:sz w:val="22"/>
          <w:szCs w:val="22"/>
          <w:lang w:val="en-US"/>
        </w:rPr>
        <w:t>Luang Prabang Silk</w:t>
      </w:r>
      <w:r w:rsidRPr="00524B1F">
        <w:rPr>
          <w:rFonts w:ascii="Arial" w:hAnsi="Arial" w:cs="Arial"/>
          <w:sz w:val="22"/>
          <w:szCs w:val="22"/>
          <w:lang w:val="en-US"/>
        </w:rPr>
        <w:t xml:space="preserve">” in the Lao People’s Democratic Republic.  The Sector also </w:t>
      </w:r>
      <w:r w:rsidRPr="00524B1F">
        <w:rPr>
          <w:rFonts w:ascii="Arial" w:hAnsi="Arial" w:cs="Arial"/>
          <w:iCs/>
          <w:sz w:val="22"/>
          <w:szCs w:val="22"/>
          <w:lang w:val="en-US"/>
        </w:rPr>
        <w:t xml:space="preserve">provided legal and technical support on the implementation of the Geneva Act of the Hague Agreement to China, Viet Nam and the African Intellectual Property Organization (OAPI), to facilitate the review and modification of their declarations.  Furthermore, the Sector organized two post-accession training sessions for Saint Kitts and Navis.  </w:t>
      </w:r>
    </w:p>
    <w:p w14:paraId="23C87D1C" w14:textId="77777777" w:rsidR="00BC268B" w:rsidRPr="00BC268B" w:rsidRDefault="00BC268B" w:rsidP="00A30C46">
      <w:pPr>
        <w:pStyle w:val="Heading2"/>
        <w:spacing w:before="0" w:after="240"/>
        <w:rPr>
          <w:szCs w:val="22"/>
        </w:rPr>
      </w:pPr>
      <w:r w:rsidRPr="00BC268B">
        <w:rPr>
          <w:szCs w:val="22"/>
        </w:rPr>
        <w:t>WIPO Bodies</w:t>
      </w:r>
    </w:p>
    <w:p w14:paraId="5D746978" w14:textId="77777777" w:rsidR="00BC268B" w:rsidRPr="00BC268B" w:rsidRDefault="00BC268B" w:rsidP="00BC268B">
      <w:pPr>
        <w:pStyle w:val="BalloonText"/>
        <w:numPr>
          <w:ilvl w:val="0"/>
          <w:numId w:val="13"/>
        </w:numPr>
        <w:spacing w:after="240"/>
        <w:ind w:left="0" w:firstLine="0"/>
        <w:rPr>
          <w:rFonts w:ascii="Arial" w:hAnsi="Arial" w:cs="Arial"/>
          <w:iCs/>
          <w:sz w:val="22"/>
          <w:szCs w:val="22"/>
        </w:rPr>
      </w:pPr>
      <w:r w:rsidRPr="00BC268B">
        <w:rPr>
          <w:rFonts w:ascii="Arial" w:hAnsi="Arial" w:cs="Arial"/>
          <w:iCs/>
          <w:sz w:val="22"/>
          <w:szCs w:val="22"/>
        </w:rPr>
        <w:t>The Sector continued to support the Standing Committee on the Law of Trademarks, Industrial Designs and Geographical Indications (SCT), which met at its forty-seventh session from March 18 to 20, 2024.</w:t>
      </w:r>
      <w:r w:rsidRPr="00BC268B">
        <w:rPr>
          <w:rStyle w:val="FootnoteReference"/>
          <w:rFonts w:ascii="Arial" w:hAnsi="Arial" w:cs="Arial"/>
          <w:iCs/>
          <w:sz w:val="22"/>
          <w:szCs w:val="22"/>
        </w:rPr>
        <w:footnoteReference w:id="60"/>
      </w:r>
      <w:r w:rsidRPr="00BC268B">
        <w:rPr>
          <w:rFonts w:ascii="Arial" w:hAnsi="Arial" w:cs="Arial"/>
          <w:iCs/>
          <w:sz w:val="22"/>
          <w:szCs w:val="22"/>
        </w:rPr>
        <w:t xml:space="preserve">  During this session, the Committee examined two proposals on industrial designs, including a Proposal by the African Group for a </w:t>
      </w:r>
      <w:r w:rsidRPr="00BC268B">
        <w:rPr>
          <w:rFonts w:ascii="Arial" w:hAnsi="Arial" w:cs="Arial"/>
          <w:i/>
          <w:sz w:val="22"/>
          <w:szCs w:val="22"/>
        </w:rPr>
        <w:t>“Study on the Impact of Design Protection for Graphical User Interface (GUI) Designs on Innovation”</w:t>
      </w:r>
      <w:r w:rsidRPr="00BC268B">
        <w:rPr>
          <w:rFonts w:ascii="Arial" w:hAnsi="Arial" w:cs="Arial"/>
          <w:iCs/>
          <w:sz w:val="22"/>
          <w:szCs w:val="22"/>
        </w:rPr>
        <w:t>.</w:t>
      </w:r>
      <w:r w:rsidRPr="00BC268B">
        <w:rPr>
          <w:rStyle w:val="FootnoteReference"/>
          <w:rFonts w:ascii="Arial" w:hAnsi="Arial" w:cs="Arial"/>
          <w:iCs/>
          <w:sz w:val="22"/>
          <w:szCs w:val="22"/>
        </w:rPr>
        <w:footnoteReference w:id="61"/>
      </w:r>
      <w:r w:rsidRPr="00BC268B">
        <w:rPr>
          <w:rFonts w:ascii="Arial" w:hAnsi="Arial" w:cs="Arial"/>
          <w:iCs/>
          <w:sz w:val="22"/>
          <w:szCs w:val="22"/>
        </w:rPr>
        <w:t xml:space="preserve">  The Committee also considered four Member State proposals related to the protection of country names.  Information sessions on Nation-Brand Protection and Geographical Indications were also held.  In line with the DA Recommendations, deliberations were conducted in an inclusive and Member State-driven manner.</w:t>
      </w:r>
    </w:p>
    <w:p w14:paraId="55FF19AD" w14:textId="77777777" w:rsidR="00BC268B" w:rsidRPr="00BC268B" w:rsidRDefault="00BC268B" w:rsidP="00BC268B">
      <w:pPr>
        <w:pStyle w:val="BalloonText"/>
        <w:numPr>
          <w:ilvl w:val="0"/>
          <w:numId w:val="13"/>
        </w:numPr>
        <w:spacing w:after="240"/>
        <w:ind w:left="0" w:firstLine="0"/>
        <w:rPr>
          <w:rFonts w:ascii="Arial" w:hAnsi="Arial" w:cs="Arial"/>
          <w:sz w:val="22"/>
          <w:szCs w:val="22"/>
        </w:rPr>
      </w:pPr>
      <w:r w:rsidRPr="00BC268B">
        <w:rPr>
          <w:rFonts w:ascii="Arial" w:hAnsi="Arial" w:cs="Arial"/>
          <w:iCs/>
          <w:sz w:val="22"/>
          <w:szCs w:val="22"/>
        </w:rPr>
        <w:t xml:space="preserve">In addition, the Sector organized and held the </w:t>
      </w:r>
      <w:r w:rsidRPr="00BC268B">
        <w:rPr>
          <w:rFonts w:ascii="Arial" w:hAnsi="Arial" w:cs="Arial"/>
          <w:bCs/>
          <w:sz w:val="22"/>
          <w:szCs w:val="22"/>
        </w:rPr>
        <w:t>Diplomatic Conference for the Conclusion and the Adoption of a Design Law Treaty, which took place in Riyadh, Saudi Arabia from November 11 to 22, 2024, successfully concluding with the adoption of the Riyadh Design Law Treaty (RDLT).</w:t>
      </w:r>
      <w:r w:rsidRPr="00BC268B">
        <w:rPr>
          <w:rStyle w:val="FootnoteReference"/>
          <w:rFonts w:ascii="Arial" w:hAnsi="Arial" w:cs="Arial"/>
          <w:bCs/>
          <w:sz w:val="22"/>
          <w:szCs w:val="22"/>
        </w:rPr>
        <w:footnoteReference w:id="62"/>
      </w:r>
      <w:r w:rsidRPr="00BC268B">
        <w:rPr>
          <w:rFonts w:ascii="Arial" w:hAnsi="Arial" w:cs="Arial"/>
          <w:bCs/>
          <w:sz w:val="22"/>
          <w:szCs w:val="22"/>
        </w:rPr>
        <w:t xml:space="preserve">  The RDLT simplifies design registration procedures and, </w:t>
      </w:r>
      <w:r w:rsidRPr="00BC268B">
        <w:rPr>
          <w:rFonts w:ascii="Arial" w:hAnsi="Arial" w:cs="Arial"/>
          <w:bCs/>
          <w:i/>
          <w:iCs/>
          <w:sz w:val="22"/>
          <w:szCs w:val="22"/>
        </w:rPr>
        <w:t>inter alia</w:t>
      </w:r>
      <w:r w:rsidRPr="00BC268B">
        <w:rPr>
          <w:rFonts w:ascii="Arial" w:hAnsi="Arial" w:cs="Arial"/>
          <w:bCs/>
          <w:sz w:val="22"/>
          <w:szCs w:val="22"/>
        </w:rPr>
        <w:t>, contains a dedicated Article (Article 24) on Technical Assistance and Capacity-Building for the implementation of the Treaty.  The Organization offered financial assistance for participation in the Diplomatic Conference to one representative of each of the 159 Member States of WIPO that are developing countries, including LDCs and countries with economies in transition.</w:t>
      </w:r>
    </w:p>
    <w:p w14:paraId="3688F011" w14:textId="77777777" w:rsidR="00BC268B" w:rsidRPr="00BC268B" w:rsidRDefault="00BC268B" w:rsidP="00A30C46">
      <w:pPr>
        <w:pStyle w:val="Heading2"/>
        <w:spacing w:before="0" w:after="240"/>
        <w:rPr>
          <w:szCs w:val="22"/>
        </w:rPr>
      </w:pPr>
      <w:r w:rsidRPr="00BC268B">
        <w:rPr>
          <w:szCs w:val="22"/>
        </w:rPr>
        <w:t>Mainstreamed DA Projects</w:t>
      </w:r>
    </w:p>
    <w:p w14:paraId="3E6E9D6F"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project on </w:t>
      </w:r>
      <w:r w:rsidRPr="00524B1F">
        <w:rPr>
          <w:rFonts w:ascii="Arial" w:hAnsi="Arial" w:cs="Arial"/>
          <w:i/>
          <w:sz w:val="22"/>
          <w:szCs w:val="22"/>
          <w:lang w:val="en-US"/>
        </w:rPr>
        <w:t xml:space="preserve">IP and Design Management for Business Development in Developing and Least Developed Countries </w:t>
      </w:r>
      <w:r w:rsidRPr="00524B1F">
        <w:rPr>
          <w:rFonts w:ascii="Arial" w:hAnsi="Arial" w:cs="Arial"/>
          <w:sz w:val="22"/>
          <w:szCs w:val="22"/>
          <w:lang w:val="en-US"/>
        </w:rPr>
        <w:t xml:space="preserve">was completed in April 2016 and evaluated in March 2017.  At its twentieth session in December 2017, the CDIP approved the follow-up to the project, subsequent to the review of the project evaluation.  In this sense, during the reporting period, the project activities continued to be mainstreamed into the regular awareness and </w:t>
      </w:r>
      <w:r w:rsidRPr="00524B1F">
        <w:rPr>
          <w:rFonts w:ascii="Arial" w:hAnsi="Arial" w:cs="Arial"/>
          <w:sz w:val="22"/>
          <w:szCs w:val="22"/>
          <w:lang w:val="en-US"/>
        </w:rPr>
        <w:br/>
        <w:t>capacity-building work of the Organization.</w:t>
      </w:r>
    </w:p>
    <w:p w14:paraId="349A7C53" w14:textId="77777777" w:rsidR="00BC268B" w:rsidRPr="00BC268B" w:rsidRDefault="00BC268B" w:rsidP="00A30C46">
      <w:pPr>
        <w:pStyle w:val="Heading2"/>
        <w:spacing w:before="0" w:after="240"/>
        <w:rPr>
          <w:szCs w:val="22"/>
        </w:rPr>
      </w:pPr>
      <w:r w:rsidRPr="00BC268B">
        <w:rPr>
          <w:szCs w:val="22"/>
        </w:rPr>
        <w:lastRenderedPageBreak/>
        <w:t>Ongoing DA Projects</w:t>
      </w:r>
    </w:p>
    <w:p w14:paraId="25A03D31"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 has been in charge of the implementation of the following ongoing DA Projects:</w:t>
      </w:r>
    </w:p>
    <w:p w14:paraId="0F584DC1" w14:textId="77777777" w:rsidR="00BC268B" w:rsidRPr="00524B1F" w:rsidRDefault="00BC268B" w:rsidP="00BC268B">
      <w:pPr>
        <w:pStyle w:val="ListParagraph"/>
        <w:numPr>
          <w:ilvl w:val="0"/>
          <w:numId w:val="19"/>
        </w:numPr>
        <w:spacing w:after="240" w:line="240" w:lineRule="auto"/>
        <w:contextualSpacing w:val="0"/>
        <w:rPr>
          <w:rFonts w:ascii="Arial" w:hAnsi="Arial" w:cs="Arial"/>
          <w:sz w:val="22"/>
          <w:szCs w:val="22"/>
          <w:lang w:val="en-US"/>
        </w:rPr>
      </w:pPr>
      <w:r w:rsidRPr="00524B1F">
        <w:rPr>
          <w:rFonts w:ascii="Arial" w:hAnsi="Arial" w:cs="Arial"/>
          <w:i/>
          <w:sz w:val="22"/>
          <w:szCs w:val="22"/>
          <w:lang w:val="en-US"/>
        </w:rPr>
        <w:t>Empowering Small Businesses Through IP:  Developing Strategies for Supporting Geographical Indications or Collective Marks in the Post</w:t>
      </w:r>
      <w:r w:rsidRPr="00524B1F">
        <w:rPr>
          <w:rFonts w:ascii="Arial" w:hAnsi="Arial" w:cs="Arial"/>
          <w:i/>
          <w:sz w:val="22"/>
          <w:szCs w:val="22"/>
          <w:lang w:val="en-US"/>
        </w:rPr>
        <w:noBreakHyphen/>
        <w:t xml:space="preserve">registration Period: </w:t>
      </w:r>
      <w:r w:rsidRPr="00524B1F">
        <w:rPr>
          <w:rFonts w:ascii="Arial" w:hAnsi="Arial" w:cs="Arial"/>
          <w:iCs/>
          <w:sz w:val="22"/>
          <w:szCs w:val="22"/>
          <w:lang w:val="en-US"/>
        </w:rPr>
        <w:t xml:space="preserve"> in</w:t>
      </w:r>
      <w:r w:rsidRPr="00524B1F">
        <w:rPr>
          <w:rFonts w:ascii="Arial" w:hAnsi="Arial" w:cs="Arial"/>
          <w:sz w:val="22"/>
          <w:szCs w:val="22"/>
          <w:lang w:val="en-US"/>
        </w:rPr>
        <w:t xml:space="preserve"> line with its delivery strategy, the project included the following activities, carried out in 2024 in Algeria, Brazil, Pakistan and Uganda:  (i) fo</w:t>
      </w:r>
      <w:r w:rsidRPr="00524B1F">
        <w:rPr>
          <w:rFonts w:ascii="Arial" w:hAnsi="Arial" w:cs="Arial"/>
          <w:bCs/>
          <w:sz w:val="22"/>
          <w:szCs w:val="22"/>
          <w:lang w:val="en-US"/>
        </w:rPr>
        <w:t>ur national studies and one global study on challenges in the post-registration period</w:t>
      </w:r>
      <w:r w:rsidRPr="00524B1F">
        <w:rPr>
          <w:rFonts w:ascii="Arial" w:hAnsi="Arial" w:cs="Arial"/>
          <w:sz w:val="22"/>
          <w:szCs w:val="22"/>
          <w:lang w:val="en-US"/>
        </w:rPr>
        <w:t xml:space="preserve">; (ii) information events and workshops on collective management to disseminate the findings of national reports and engage with national authorities, Geographical Indication producers and other stakeholders;  and </w:t>
      </w:r>
      <w:r w:rsidRPr="00524B1F">
        <w:rPr>
          <w:rFonts w:ascii="Arial" w:hAnsi="Arial" w:cs="Arial"/>
          <w:sz w:val="22"/>
          <w:szCs w:val="22"/>
          <w:lang w:val="en-US"/>
        </w:rPr>
        <w:br/>
        <w:t>(iii) development of strategies, tools and initiatives to tackle the challenges identified in national studies, information events and workshops.</w:t>
      </w:r>
      <w:r w:rsidRPr="00BC268B">
        <w:rPr>
          <w:rStyle w:val="FootnoteReference"/>
          <w:rFonts w:ascii="Arial" w:hAnsi="Arial" w:cs="Arial"/>
          <w:sz w:val="22"/>
          <w:szCs w:val="22"/>
        </w:rPr>
        <w:footnoteReference w:id="63"/>
      </w:r>
    </w:p>
    <w:p w14:paraId="49ABAD7E" w14:textId="77777777" w:rsidR="00BC268B" w:rsidRPr="00524B1F" w:rsidRDefault="00BC268B" w:rsidP="00BC268B">
      <w:pPr>
        <w:pStyle w:val="ListParagraph"/>
        <w:numPr>
          <w:ilvl w:val="0"/>
          <w:numId w:val="19"/>
        </w:numPr>
        <w:spacing w:after="240" w:line="240" w:lineRule="auto"/>
        <w:contextualSpacing w:val="0"/>
        <w:rPr>
          <w:rFonts w:ascii="Arial" w:hAnsi="Arial" w:cs="Arial"/>
          <w:sz w:val="22"/>
          <w:szCs w:val="22"/>
          <w:lang w:val="en-US"/>
        </w:rPr>
      </w:pPr>
      <w:r w:rsidRPr="00524B1F">
        <w:rPr>
          <w:rFonts w:ascii="Arial" w:hAnsi="Arial" w:cs="Arial"/>
          <w:i/>
          <w:iCs/>
          <w:sz w:val="22"/>
          <w:szCs w:val="22"/>
          <w:lang w:val="en-US"/>
        </w:rPr>
        <w:t>IP and Unlocking the Potential of Non-Agricultural Geographical Indications for the Empowerment of Local Communities and Preservation or Revival of Local Arts and Traditions:  d</w:t>
      </w:r>
      <w:r w:rsidRPr="00524B1F">
        <w:rPr>
          <w:rFonts w:ascii="Arial" w:hAnsi="Arial" w:cs="Arial"/>
          <w:sz w:val="22"/>
          <w:szCs w:val="22"/>
          <w:lang w:val="en-US"/>
        </w:rPr>
        <w:t>uring the reporting period, the project has been at its pre</w:t>
      </w:r>
      <w:r w:rsidRPr="00524B1F">
        <w:rPr>
          <w:rFonts w:ascii="Arial" w:hAnsi="Arial" w:cs="Arial"/>
          <w:sz w:val="22"/>
          <w:szCs w:val="22"/>
          <w:lang w:val="en-US"/>
        </w:rPr>
        <w:noBreakHyphen/>
        <w:t>implementation phase.  International and national experts have been selected for the development of a methodology to undertake a study on the multifactor impact of the use of geographical indications for non-agricultural products by local communities and preservation or revival of local arts and traditions.</w:t>
      </w:r>
    </w:p>
    <w:p w14:paraId="5A2BA672" w14:textId="77777777" w:rsidR="00BC268B" w:rsidRPr="00524B1F" w:rsidRDefault="00BC268B" w:rsidP="00BC268B">
      <w:pPr>
        <w:pStyle w:val="ListParagraph"/>
        <w:numPr>
          <w:ilvl w:val="0"/>
          <w:numId w:val="19"/>
        </w:numPr>
        <w:spacing w:after="240" w:line="240" w:lineRule="auto"/>
        <w:contextualSpacing w:val="0"/>
        <w:rPr>
          <w:rFonts w:ascii="Arial" w:hAnsi="Arial" w:cs="Arial"/>
          <w:sz w:val="22"/>
          <w:szCs w:val="22"/>
          <w:lang w:val="en-US"/>
        </w:rPr>
      </w:pPr>
      <w:r w:rsidRPr="00524B1F">
        <w:rPr>
          <w:rFonts w:ascii="Arial" w:hAnsi="Arial" w:cs="Arial"/>
          <w:i/>
          <w:iCs/>
          <w:sz w:val="22"/>
          <w:szCs w:val="22"/>
          <w:lang w:val="en-US"/>
        </w:rPr>
        <w:t>IP and Gastronomic Tourism in Peru and other Developing Countries:</w:t>
      </w:r>
      <w:r w:rsidRPr="00524B1F">
        <w:rPr>
          <w:rFonts w:ascii="Arial" w:hAnsi="Arial" w:cs="Arial"/>
          <w:sz w:val="22"/>
          <w:szCs w:val="22"/>
          <w:lang w:val="en-US"/>
        </w:rPr>
        <w:t xml:space="preserve">  Promoting the Development of Gastronomic Tourism through IP</w:t>
      </w:r>
      <w:r w:rsidRPr="00524B1F">
        <w:rPr>
          <w:rFonts w:ascii="Arial" w:hAnsi="Arial" w:cs="Arial"/>
          <w:i/>
          <w:iCs/>
          <w:sz w:val="22"/>
          <w:szCs w:val="22"/>
          <w:lang w:val="en-US"/>
        </w:rPr>
        <w:t>:</w:t>
      </w:r>
      <w:r w:rsidRPr="00524B1F">
        <w:rPr>
          <w:rFonts w:ascii="Arial" w:hAnsi="Arial" w:cs="Arial"/>
          <w:sz w:val="22"/>
          <w:szCs w:val="22"/>
          <w:lang w:val="en-US"/>
        </w:rPr>
        <w:t xml:space="preserve">  the implementation of the Phase II of the project started in January 2024, in Peru, Cameroon, Malaysia and Morocco;  and the following activities were carried out during the reporting period:  (i) selection of one culinary tradition in each beneficiary country (Ndolé in Cameroon, Nasi Kerabu in Malaysia, Tangia in Morocco, and Ocopa in Peru);  (ii) identification and mapping of stakeholders and beneficiaries of the selected tradition in all beneficiary countries;  and (iii) an induction workshop with stakeholders and beneficiaries in Arequipa, Peru.</w:t>
      </w:r>
    </w:p>
    <w:p w14:paraId="579D3DED" w14:textId="77777777" w:rsidR="00BC268B" w:rsidRPr="00BC268B" w:rsidRDefault="00BC268B" w:rsidP="00BC268B">
      <w:pPr>
        <w:pStyle w:val="Heading1"/>
        <w:numPr>
          <w:ilvl w:val="0"/>
          <w:numId w:val="25"/>
        </w:numPr>
        <w:spacing w:after="220"/>
        <w:rPr>
          <w:szCs w:val="22"/>
        </w:rPr>
      </w:pPr>
      <w:r w:rsidRPr="00BC268B">
        <w:rPr>
          <w:szCs w:val="22"/>
        </w:rPr>
        <w:t>Copyright and Creative Industries Sector</w:t>
      </w:r>
    </w:p>
    <w:p w14:paraId="465D971F"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Copyright and Creative Industries Sector remained focused on supporting Member States in strengthening their institutional capacities and enhancing their knowledge and practical skills to leverage the copyright ecosystem as a tool for sustainable development.  Throughout the reporting period, the Sector provided support for the use of copyright and related rights by Member States, offering tailored legislative, policy, infrastructure and management advice.  Moreover, the </w:t>
      </w:r>
      <w:r w:rsidRPr="00524B1F">
        <w:rPr>
          <w:rFonts w:ascii="Arial" w:hAnsi="Arial" w:cs="Arial"/>
          <w:iCs/>
          <w:sz w:val="22"/>
          <w:szCs w:val="22"/>
          <w:lang w:val="en-US"/>
        </w:rPr>
        <w:t xml:space="preserve">Accessible Books Consortium (ABC) </w:t>
      </w:r>
      <w:r w:rsidRPr="00524B1F">
        <w:rPr>
          <w:rFonts w:ascii="Arial" w:hAnsi="Arial" w:cs="Arial"/>
          <w:sz w:val="22"/>
          <w:szCs w:val="22"/>
          <w:lang w:val="en-US"/>
        </w:rPr>
        <w:t xml:space="preserve">remained committed to increasing the availability of books in accessible formats, fostering participation in education, employment, and cultural life for individuals with print disabilities worldwide.  The Sector also expanded its training and capacity-building activities for LDCs, developing countries and countries with economies in transition, and led WIPO’s efforts to raise global awareness of the potential of IP to improve lives worldwide, particularly through the WIPO Creators Learn </w:t>
      </w:r>
      <w:r w:rsidRPr="00524B1F">
        <w:rPr>
          <w:rFonts w:ascii="Arial" w:hAnsi="Arial" w:cs="Arial"/>
          <w:sz w:val="22"/>
          <w:szCs w:val="22"/>
          <w:lang w:val="en-US"/>
        </w:rPr>
        <w:lastRenderedPageBreak/>
        <w:t>Intellectual Property (CLIP) platform.</w:t>
      </w:r>
      <w:r w:rsidRPr="00BC268B">
        <w:rPr>
          <w:rStyle w:val="FootnoteReference"/>
          <w:rFonts w:ascii="Arial" w:hAnsi="Arial" w:cs="Arial"/>
          <w:sz w:val="22"/>
          <w:szCs w:val="22"/>
        </w:rPr>
        <w:footnoteReference w:id="64"/>
      </w:r>
      <w:r w:rsidRPr="00524B1F">
        <w:rPr>
          <w:rFonts w:ascii="Arial" w:hAnsi="Arial" w:cs="Arial"/>
          <w:sz w:val="22"/>
          <w:szCs w:val="22"/>
          <w:lang w:val="en-US"/>
        </w:rPr>
        <w:t xml:space="preserve">  </w:t>
      </w:r>
      <w:r w:rsidRPr="00BC268B">
        <w:rPr>
          <w:rFonts w:ascii="Arial" w:hAnsi="Arial" w:cs="Arial"/>
          <w:sz w:val="22"/>
          <w:szCs w:val="22"/>
          <w:lang w:val="en-US"/>
        </w:rPr>
        <w:t>This global outreach was further strengthened by the WIPO Global Awards Program, which experienced sustained growth during the reporting year and expanded its scope to include start-ups, fostering and supporting a new wave of innovation.</w:t>
      </w:r>
    </w:p>
    <w:p w14:paraId="0F7B5AEE" w14:textId="77777777" w:rsidR="00BC268B" w:rsidRPr="00BC268B" w:rsidRDefault="00BC268B" w:rsidP="00A30C46">
      <w:pPr>
        <w:pStyle w:val="Heading2"/>
        <w:spacing w:before="0" w:after="240"/>
        <w:rPr>
          <w:szCs w:val="22"/>
        </w:rPr>
      </w:pPr>
      <w:r w:rsidRPr="00BC268B">
        <w:rPr>
          <w:szCs w:val="22"/>
        </w:rPr>
        <w:t>Technical Assistance and Capacity-Building</w:t>
      </w:r>
    </w:p>
    <w:p w14:paraId="0A5C07B3"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DA Recommendations continued to guide technical assistance and capacity-building in the Sector.  In 2024, tailored legislative advice was provided to 13 Member States,</w:t>
      </w:r>
      <w:r w:rsidRPr="00BC268B">
        <w:rPr>
          <w:rStyle w:val="FootnoteReference"/>
          <w:rFonts w:ascii="Arial" w:hAnsi="Arial" w:cs="Arial"/>
          <w:iCs/>
          <w:sz w:val="22"/>
          <w:szCs w:val="22"/>
        </w:rPr>
        <w:footnoteReference w:id="65"/>
      </w:r>
      <w:r w:rsidRPr="00524B1F">
        <w:rPr>
          <w:rFonts w:ascii="Arial" w:hAnsi="Arial" w:cs="Arial"/>
          <w:sz w:val="22"/>
          <w:szCs w:val="22"/>
          <w:lang w:val="en-US"/>
        </w:rPr>
        <w:t xml:space="preserve"> and others were advised on the copyright and related rights provisions of their national strategies.  Meanwhile, a range of technical assistance and capacity-building activities reached over 1,500 participants in approximately 100 developing countries and LDCs, benefitting, among others, policy makers, professionals and managers of cultural and creative sectors, creators and youth.  Examples include:  (i) the </w:t>
      </w:r>
      <w:r w:rsidRPr="00524B1F">
        <w:rPr>
          <w:rFonts w:ascii="Arial" w:hAnsi="Arial" w:cs="Arial"/>
          <w:i/>
          <w:iCs/>
          <w:sz w:val="22"/>
          <w:szCs w:val="22"/>
          <w:lang w:val="en-US"/>
        </w:rPr>
        <w:t>WIPO-ARIPO Regional Seminar on “Copyright:  A Driver of the Creative Economy”</w:t>
      </w:r>
      <w:r w:rsidRPr="00524B1F">
        <w:rPr>
          <w:rFonts w:ascii="Arial" w:hAnsi="Arial" w:cs="Arial"/>
          <w:sz w:val="22"/>
          <w:szCs w:val="22"/>
          <w:lang w:val="en-US"/>
        </w:rPr>
        <w:t xml:space="preserve">, held in Zimbabwe, from November 26 to 28, 2024;  (ii) the </w:t>
      </w:r>
      <w:r w:rsidRPr="00524B1F">
        <w:rPr>
          <w:rFonts w:ascii="Arial" w:hAnsi="Arial" w:cs="Arial"/>
          <w:i/>
          <w:iCs/>
          <w:sz w:val="22"/>
          <w:szCs w:val="22"/>
          <w:lang w:val="en-US"/>
        </w:rPr>
        <w:t>Training and Mentoring Program for Latin American Musicians and Professionals</w:t>
      </w:r>
      <w:r w:rsidRPr="00524B1F">
        <w:rPr>
          <w:rFonts w:ascii="Arial" w:hAnsi="Arial" w:cs="Arial"/>
          <w:sz w:val="22"/>
          <w:szCs w:val="22"/>
          <w:lang w:val="en-US"/>
        </w:rPr>
        <w:t xml:space="preserve">, held in Spain, from March 18 to 21, 2024;  and (iii) the participation in and engagement with the United Nations Educational, Scientific and Cultural Organization (UNESCO)-led Interagency Platform on Culture for Sustainable Development (IPCSD), Working Group on Cultural Rights. </w:t>
      </w:r>
    </w:p>
    <w:p w14:paraId="07A00A17"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 gave particular focus to the global outreach of the CLIP Platform,</w:t>
      </w:r>
      <w:r w:rsidRPr="00BC268B">
        <w:rPr>
          <w:rStyle w:val="FootnoteReference"/>
          <w:rFonts w:ascii="Arial" w:hAnsi="Arial" w:cs="Arial"/>
          <w:sz w:val="22"/>
          <w:szCs w:val="22"/>
        </w:rPr>
        <w:footnoteReference w:id="66"/>
      </w:r>
      <w:r w:rsidRPr="00524B1F">
        <w:rPr>
          <w:rFonts w:ascii="Arial" w:hAnsi="Arial" w:cs="Arial"/>
          <w:sz w:val="22"/>
          <w:szCs w:val="22"/>
          <w:lang w:val="en-US"/>
        </w:rPr>
        <w:t xml:space="preserve"> </w:t>
      </w:r>
      <w:r w:rsidRPr="00524B1F">
        <w:rPr>
          <w:rFonts w:ascii="Arial" w:hAnsi="Arial" w:cs="Arial"/>
          <w:iCs/>
          <w:sz w:val="22"/>
          <w:szCs w:val="22"/>
          <w:lang w:val="en-US"/>
        </w:rPr>
        <w:t>which was made available in seven languages.</w:t>
      </w:r>
      <w:r w:rsidRPr="00BC268B">
        <w:rPr>
          <w:rStyle w:val="FootnoteReference"/>
          <w:rFonts w:ascii="Arial" w:hAnsi="Arial" w:cs="Arial"/>
          <w:iCs/>
          <w:sz w:val="22"/>
          <w:szCs w:val="22"/>
        </w:rPr>
        <w:footnoteReference w:id="67"/>
      </w:r>
      <w:r w:rsidRPr="00524B1F">
        <w:rPr>
          <w:rFonts w:ascii="Arial" w:hAnsi="Arial" w:cs="Arial"/>
          <w:iCs/>
          <w:sz w:val="22"/>
          <w:szCs w:val="22"/>
          <w:lang w:val="en-US"/>
        </w:rPr>
        <w:t xml:space="preserve">  </w:t>
      </w:r>
      <w:r w:rsidRPr="00BC268B">
        <w:rPr>
          <w:rFonts w:ascii="Arial" w:hAnsi="Arial" w:cs="Arial"/>
          <w:sz w:val="22"/>
          <w:szCs w:val="22"/>
          <w:lang w:val="en-US"/>
        </w:rPr>
        <w:t>Free of charge, the Platform aims to provide</w:t>
      </w:r>
      <w:r w:rsidRPr="00BC268B">
        <w:rPr>
          <w:rFonts w:ascii="Arial" w:hAnsi="Arial" w:cs="Arial"/>
          <w:iCs/>
          <w:sz w:val="22"/>
          <w:szCs w:val="22"/>
          <w:lang w:val="en-US"/>
        </w:rPr>
        <w:t xml:space="preserve"> creators with the knowledge to make informed career decisions, safeguard their IP and receive fair remuneration.  </w:t>
      </w:r>
      <w:r w:rsidRPr="00524B1F">
        <w:rPr>
          <w:rFonts w:ascii="Arial" w:hAnsi="Arial" w:cs="Arial"/>
          <w:iCs/>
          <w:sz w:val="22"/>
          <w:szCs w:val="22"/>
          <w:lang w:val="en-US"/>
        </w:rPr>
        <w:t>A “CLIP Champions” program was also introduced with the aim of strengthening promotional efforts at conferences and industry events worldwide.</w:t>
      </w:r>
      <w:r w:rsidRPr="00BC268B">
        <w:rPr>
          <w:rStyle w:val="FootnoteReference"/>
          <w:rFonts w:ascii="Arial" w:hAnsi="Arial" w:cs="Arial"/>
          <w:iCs/>
          <w:sz w:val="22"/>
          <w:szCs w:val="22"/>
        </w:rPr>
        <w:footnoteReference w:id="68"/>
      </w:r>
      <w:r w:rsidRPr="00524B1F">
        <w:rPr>
          <w:rFonts w:ascii="Arial" w:hAnsi="Arial" w:cs="Arial"/>
          <w:iCs/>
          <w:sz w:val="22"/>
          <w:szCs w:val="22"/>
          <w:lang w:val="en-US"/>
        </w:rPr>
        <w:t xml:space="preserve">  </w:t>
      </w:r>
    </w:p>
    <w:p w14:paraId="21AFC057"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iCs/>
          <w:sz w:val="22"/>
          <w:szCs w:val="22"/>
          <w:lang w:val="en-US"/>
        </w:rPr>
        <w:t xml:space="preserve">The Accessible Books Consortium (ABC) effectively implemented the objectives of the Marrakesh Treaty, supporting individuals who are blind, visually impaired, or print-disabled.  </w:t>
      </w:r>
      <w:r w:rsidRPr="00524B1F">
        <w:rPr>
          <w:rFonts w:ascii="Arial" w:hAnsi="Arial" w:cs="Arial"/>
          <w:sz w:val="22"/>
          <w:szCs w:val="22"/>
          <w:lang w:val="en-US"/>
        </w:rPr>
        <w:t>During the reporting period</w:t>
      </w:r>
      <w:r w:rsidRPr="00524B1F">
        <w:rPr>
          <w:rFonts w:ascii="Arial" w:hAnsi="Arial" w:cs="Arial"/>
          <w:iCs/>
          <w:sz w:val="22"/>
          <w:szCs w:val="22"/>
          <w:lang w:val="en-US"/>
        </w:rPr>
        <w:t xml:space="preserve">, the ABC </w:t>
      </w:r>
      <w:r w:rsidRPr="00524B1F">
        <w:rPr>
          <w:rFonts w:ascii="Arial" w:hAnsi="Arial" w:cs="Arial"/>
          <w:sz w:val="22"/>
          <w:szCs w:val="22"/>
          <w:lang w:val="en-US"/>
        </w:rPr>
        <w:t>marked its tenth anniversary with a concert on the margins of the thirty-second session of the CDIP.</w:t>
      </w:r>
      <w:r w:rsidRPr="00BC268B">
        <w:rPr>
          <w:rStyle w:val="FootnoteReference"/>
          <w:rFonts w:ascii="Arial" w:hAnsi="Arial" w:cs="Arial"/>
          <w:sz w:val="22"/>
          <w:szCs w:val="22"/>
        </w:rPr>
        <w:footnoteReference w:id="69"/>
      </w:r>
      <w:r w:rsidRPr="00524B1F">
        <w:rPr>
          <w:rFonts w:ascii="Arial" w:hAnsi="Arial" w:cs="Arial"/>
          <w:sz w:val="22"/>
          <w:szCs w:val="22"/>
          <w:lang w:val="en-US"/>
        </w:rPr>
        <w:t xml:space="preserve">  </w:t>
      </w:r>
      <w:r w:rsidRPr="00BC268B">
        <w:rPr>
          <w:rFonts w:ascii="Arial" w:hAnsi="Arial" w:cs="Arial"/>
          <w:sz w:val="22"/>
          <w:szCs w:val="22"/>
          <w:lang w:val="en-US"/>
        </w:rPr>
        <w:t xml:space="preserve">Meanwhile, the ABC Global Book Service continued offering and managing a free online catalogue of books in accessible formats to 145 authorized entities (AEs) serving print-disabled people, over half of which are based in developing countries or LDCs.  </w:t>
      </w:r>
      <w:r w:rsidRPr="00524B1F">
        <w:rPr>
          <w:rFonts w:ascii="Arial" w:hAnsi="Arial" w:cs="Arial"/>
          <w:sz w:val="22"/>
          <w:szCs w:val="22"/>
          <w:lang w:val="en-US"/>
        </w:rPr>
        <w:t xml:space="preserve">The ABC Global Book Service also enabled AEs to exchange accessible books across borders.  </w:t>
      </w:r>
      <w:r w:rsidRPr="00524B1F">
        <w:rPr>
          <w:rFonts w:ascii="Arial" w:hAnsi="Arial" w:cs="Arial"/>
          <w:bCs/>
          <w:sz w:val="22"/>
          <w:szCs w:val="22"/>
          <w:lang w:val="en-US"/>
        </w:rPr>
        <w:t>By the end of 2024</w:t>
      </w:r>
      <w:r w:rsidRPr="00524B1F">
        <w:rPr>
          <w:rFonts w:ascii="Arial" w:hAnsi="Arial" w:cs="Arial"/>
          <w:sz w:val="22"/>
          <w:szCs w:val="22"/>
          <w:lang w:val="en-US"/>
        </w:rPr>
        <w:t xml:space="preserve">, in the framework of the Marrakesh Treaty, the Global Book Service had over one million titles in 80 languages available for cross-border exchange, including over 100,000 titles in digital braille and 11,000 braille musical scores.  The ABC also offers the “Supplementary Application”, which is free to participating AEs and enables their patrons to search through a public catalogue, submit queries and immediately download accessible-format titles.  In total, 43 participating AEs have agreed to offer the ABC beneficiary application to their patrons, 15 of which are located in developing countries or LDCs.  From 2021 to the end of 2024, nearly 20,000 books were downloaded directly by end-users </w:t>
      </w:r>
      <w:r w:rsidRPr="00524B1F">
        <w:rPr>
          <w:rFonts w:ascii="Arial" w:hAnsi="Arial" w:cs="Arial"/>
          <w:i/>
          <w:iCs/>
          <w:sz w:val="22"/>
          <w:szCs w:val="22"/>
          <w:lang w:val="en-US"/>
        </w:rPr>
        <w:t>via</w:t>
      </w:r>
      <w:r w:rsidRPr="00524B1F">
        <w:rPr>
          <w:rFonts w:ascii="Arial" w:hAnsi="Arial" w:cs="Arial"/>
          <w:sz w:val="22"/>
          <w:szCs w:val="22"/>
          <w:lang w:val="en-US"/>
        </w:rPr>
        <w:t xml:space="preserve"> the beneficiary application.  </w:t>
      </w:r>
    </w:p>
    <w:p w14:paraId="6E7294FB"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Additionally, the ABC led 17 ongoing training and technical assistance projects i</w:t>
      </w:r>
      <w:r w:rsidRPr="00524B1F">
        <w:rPr>
          <w:rFonts w:ascii="Arial" w:hAnsi="Arial" w:cs="Arial"/>
          <w:iCs/>
          <w:sz w:val="22"/>
          <w:szCs w:val="22"/>
          <w:lang w:val="en-US"/>
        </w:rPr>
        <w:t xml:space="preserve">n developing countries and LDCs, 11 of which had been initiated in previous years.  These projects aimed to transfer knowledge to partner organizations to ensure their ability to produce </w:t>
      </w:r>
      <w:r w:rsidRPr="00524B1F">
        <w:rPr>
          <w:rFonts w:ascii="Arial" w:hAnsi="Arial" w:cs="Arial"/>
          <w:sz w:val="22"/>
          <w:szCs w:val="22"/>
          <w:lang w:val="en-US"/>
        </w:rPr>
        <w:t xml:space="preserve">educational titles in accessible formats </w:t>
      </w:r>
      <w:r w:rsidRPr="00524B1F">
        <w:rPr>
          <w:rFonts w:ascii="Arial" w:hAnsi="Arial" w:cs="Arial"/>
          <w:iCs/>
          <w:sz w:val="22"/>
          <w:szCs w:val="22"/>
          <w:lang w:val="en-US"/>
        </w:rPr>
        <w:t>independently</w:t>
      </w:r>
      <w:r w:rsidRPr="00524B1F">
        <w:rPr>
          <w:rFonts w:ascii="Arial" w:hAnsi="Arial" w:cs="Arial"/>
          <w:sz w:val="22"/>
          <w:szCs w:val="22"/>
          <w:lang w:val="en-US"/>
        </w:rPr>
        <w:t xml:space="preserve"> for print-disabled students.  By the end of 2024, almost 22,000 educational titles had been produced in national languages in accessible </w:t>
      </w:r>
      <w:r w:rsidRPr="00524B1F">
        <w:rPr>
          <w:rFonts w:ascii="Arial" w:hAnsi="Arial" w:cs="Arial"/>
          <w:sz w:val="22"/>
          <w:szCs w:val="22"/>
          <w:lang w:val="en-US"/>
        </w:rPr>
        <w:lastRenderedPageBreak/>
        <w:t>formats by ABC partners through funding provided by the ABC.  Another milestone in 2024 was the substantial growth of the “</w:t>
      </w:r>
      <w:r w:rsidRPr="00524B1F">
        <w:rPr>
          <w:rFonts w:ascii="Arial" w:hAnsi="Arial" w:cs="Arial"/>
          <w:i/>
          <w:iCs/>
          <w:sz w:val="22"/>
          <w:szCs w:val="22"/>
          <w:lang w:val="en-US"/>
        </w:rPr>
        <w:t>ABC International Excellence Award for Accessible Publishing”</w:t>
      </w:r>
      <w:r w:rsidRPr="00524B1F">
        <w:rPr>
          <w:rFonts w:ascii="Arial" w:hAnsi="Arial" w:cs="Arial"/>
          <w:sz w:val="22"/>
          <w:szCs w:val="22"/>
          <w:lang w:val="en-US"/>
        </w:rPr>
        <w:t>, which has become an important annual event in the field of accessible publishing.  The winners were announced in December 2024, during the International Publishers Association Congress gala dinner in Guadalajara, Mexico.</w:t>
      </w:r>
      <w:r w:rsidRPr="00BC268B">
        <w:rPr>
          <w:rStyle w:val="FootnoteReference"/>
          <w:rFonts w:ascii="Arial" w:hAnsi="Arial" w:cs="Arial"/>
          <w:sz w:val="22"/>
          <w:szCs w:val="22"/>
        </w:rPr>
        <w:footnoteReference w:id="70"/>
      </w:r>
    </w:p>
    <w:p w14:paraId="3CCA570C"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WIPO organized the “Right to Read” Conference</w:t>
      </w:r>
      <w:r w:rsidRPr="00BC268B">
        <w:rPr>
          <w:rStyle w:val="FootnoteReference"/>
          <w:rFonts w:ascii="Arial" w:hAnsi="Arial" w:cs="Arial"/>
          <w:sz w:val="22"/>
          <w:szCs w:val="22"/>
        </w:rPr>
        <w:footnoteReference w:id="71"/>
      </w:r>
      <w:r w:rsidRPr="00524B1F">
        <w:rPr>
          <w:rFonts w:ascii="Arial" w:hAnsi="Arial" w:cs="Arial"/>
          <w:sz w:val="22"/>
          <w:szCs w:val="22"/>
          <w:lang w:val="en-US"/>
        </w:rPr>
        <w:t xml:space="preserve"> in Sydney, Australia.  Supported by the WIPO-Australia Funds-in-Trust Program, the event brought together representatives from associations for persons with disabilities, including those for blind persons, and IP authorities from nine Member States from the Pacific Islands.</w:t>
      </w:r>
      <w:r w:rsidRPr="00BC268B">
        <w:rPr>
          <w:rStyle w:val="FootnoteReference"/>
          <w:rFonts w:ascii="Arial" w:hAnsi="Arial" w:cs="Arial"/>
          <w:sz w:val="22"/>
          <w:szCs w:val="22"/>
        </w:rPr>
        <w:footnoteReference w:id="72"/>
      </w:r>
      <w:r w:rsidRPr="00524B1F">
        <w:rPr>
          <w:rFonts w:ascii="Arial" w:hAnsi="Arial" w:cs="Arial"/>
          <w:sz w:val="22"/>
          <w:szCs w:val="22"/>
          <w:lang w:val="en-US"/>
        </w:rPr>
        <w:t xml:space="preserve">  </w:t>
      </w:r>
      <w:r w:rsidRPr="00BC268B">
        <w:rPr>
          <w:rFonts w:ascii="Arial" w:hAnsi="Arial" w:cs="Arial"/>
          <w:sz w:val="22"/>
          <w:szCs w:val="22"/>
          <w:lang w:val="en-US"/>
        </w:rPr>
        <w:t xml:space="preserve">Participants addressed challenges in improving reading for print-disabled individuals.  </w:t>
      </w:r>
      <w:r w:rsidRPr="00524B1F">
        <w:rPr>
          <w:rFonts w:ascii="Arial" w:hAnsi="Arial" w:cs="Arial"/>
          <w:sz w:val="22"/>
          <w:szCs w:val="22"/>
          <w:lang w:val="en-US"/>
        </w:rPr>
        <w:t xml:space="preserve">Discussions highlighted the importance of local collaboration and of leveraging resources like the ABC Global Book Service (GBS).  Furthermore, the ABC and the </w:t>
      </w:r>
      <w:r w:rsidRPr="00524B1F">
        <w:rPr>
          <w:rFonts w:ascii="Arial" w:hAnsi="Arial" w:cs="Arial"/>
          <w:i/>
          <w:iCs/>
          <w:sz w:val="22"/>
          <w:szCs w:val="22"/>
          <w:lang w:val="en-US"/>
        </w:rPr>
        <w:t>Unión Latinoamericana de Ciegos (ULAC)</w:t>
      </w:r>
      <w:r w:rsidRPr="00524B1F">
        <w:rPr>
          <w:rFonts w:ascii="Arial" w:hAnsi="Arial" w:cs="Arial"/>
          <w:sz w:val="22"/>
          <w:szCs w:val="22"/>
          <w:lang w:val="en-US"/>
        </w:rPr>
        <w:t xml:space="preserve"> organized an interactive session during the ULAC Congress in Lima, Peru, during which ULAC delegates agreed to launch a road map to raise awareness of the ABC and the Marrakesh Treaty in Latin America and to improve the mechanisms that enable end-users with print disabilities to obtain reading materials.</w:t>
      </w:r>
    </w:p>
    <w:p w14:paraId="397A368F"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w:t>
      </w:r>
      <w:r w:rsidRPr="00524B1F">
        <w:rPr>
          <w:rFonts w:ascii="Arial" w:hAnsi="Arial" w:cs="Arial"/>
          <w:iCs/>
          <w:sz w:val="22"/>
          <w:szCs w:val="22"/>
          <w:lang w:val="en-US"/>
        </w:rPr>
        <w:t>WIPO Global Awards</w:t>
      </w:r>
      <w:r w:rsidRPr="00BC268B">
        <w:rPr>
          <w:rStyle w:val="FootnoteReference"/>
          <w:rFonts w:ascii="Arial" w:hAnsi="Arial" w:cs="Arial"/>
          <w:sz w:val="22"/>
          <w:szCs w:val="22"/>
        </w:rPr>
        <w:footnoteReference w:id="73"/>
      </w:r>
      <w:r w:rsidRPr="00524B1F">
        <w:rPr>
          <w:rFonts w:ascii="Arial" w:hAnsi="Arial" w:cs="Arial"/>
          <w:iCs/>
          <w:sz w:val="22"/>
          <w:szCs w:val="22"/>
          <w:lang w:val="en-US"/>
        </w:rPr>
        <w:t xml:space="preserve"> experienced continued growth during the reporting year, with applications from 661 start-ups and </w:t>
      </w:r>
      <w:r w:rsidRPr="00524B1F">
        <w:rPr>
          <w:rFonts w:ascii="Arial" w:hAnsi="Arial" w:cs="Arial"/>
          <w:sz w:val="22"/>
          <w:szCs w:val="22"/>
          <w:lang w:val="en-US"/>
        </w:rPr>
        <w:t xml:space="preserve">SMEs from 107 countries, </w:t>
      </w:r>
      <w:r w:rsidRPr="00524B1F">
        <w:rPr>
          <w:rFonts w:ascii="Arial" w:hAnsi="Arial" w:cs="Arial"/>
          <w:iCs/>
          <w:sz w:val="22"/>
          <w:szCs w:val="22"/>
          <w:lang w:val="en-US"/>
        </w:rPr>
        <w:t>marking a 20 per cent increase from the previous year</w:t>
      </w:r>
      <w:r w:rsidRPr="00524B1F">
        <w:rPr>
          <w:rFonts w:ascii="Arial" w:hAnsi="Arial" w:cs="Arial"/>
          <w:sz w:val="22"/>
          <w:szCs w:val="22"/>
          <w:lang w:val="en-US"/>
        </w:rPr>
        <w:t xml:space="preserve">.  </w:t>
      </w:r>
      <w:r w:rsidRPr="00524B1F">
        <w:rPr>
          <w:rFonts w:ascii="Arial" w:hAnsi="Arial" w:cs="Arial"/>
          <w:iCs/>
          <w:sz w:val="22"/>
          <w:szCs w:val="22"/>
          <w:lang w:val="en-US"/>
        </w:rPr>
        <w:t>The program expanded to include start-ups, welcoming groundbreaking ideas from emerging enterprises worldwide and fostering a new wave of innovation.  Twenty</w:t>
      </w:r>
      <w:r w:rsidRPr="00524B1F">
        <w:rPr>
          <w:rFonts w:ascii="Arial" w:hAnsi="Arial" w:cs="Arial"/>
          <w:iCs/>
          <w:sz w:val="22"/>
          <w:szCs w:val="22"/>
          <w:lang w:val="en-US"/>
        </w:rPr>
        <w:noBreakHyphen/>
        <w:t>five finalists were shortlisted, and nine winners were selected, each showcasing exceptional success in IP commercialization.  The successful conclusion of the mentoring program for the 2023 WIPO Global Awards winners proved transformative, enabling them to refine their IP strategies, enter new international markets, forge impactful business partnerships, achieve cost</w:t>
      </w:r>
      <w:r w:rsidRPr="00524B1F">
        <w:rPr>
          <w:rFonts w:ascii="Arial" w:hAnsi="Arial" w:cs="Arial"/>
          <w:iCs/>
          <w:sz w:val="22"/>
          <w:szCs w:val="22"/>
          <w:lang w:val="en-US"/>
        </w:rPr>
        <w:noBreakHyphen/>
        <w:t>saving efficiencies in IP management, and gain prestigious global recognition.  In addition, regarding the National Awards,</w:t>
      </w:r>
      <w:r w:rsidRPr="00BC268B">
        <w:rPr>
          <w:rStyle w:val="FootnoteReference"/>
          <w:rFonts w:ascii="Arial" w:hAnsi="Arial" w:cs="Arial"/>
          <w:iCs/>
          <w:sz w:val="22"/>
          <w:szCs w:val="22"/>
        </w:rPr>
        <w:footnoteReference w:id="74"/>
      </w:r>
      <w:r w:rsidRPr="00524B1F">
        <w:rPr>
          <w:rFonts w:ascii="Arial" w:hAnsi="Arial" w:cs="Arial"/>
          <w:iCs/>
          <w:sz w:val="22"/>
          <w:szCs w:val="22"/>
          <w:lang w:val="en-US"/>
        </w:rPr>
        <w:t xml:space="preserve"> the WIPO Awards supported 41 applications from 32 countries, and delivered 150 certificates and 24 medals, further reinforcing its commitment to recognizing and celebrating innovation globally.  </w:t>
      </w:r>
    </w:p>
    <w:p w14:paraId="208BE591" w14:textId="77777777" w:rsidR="00BC268B" w:rsidRPr="00BC268B" w:rsidRDefault="00BC268B" w:rsidP="00A30C46">
      <w:pPr>
        <w:pStyle w:val="Heading2"/>
        <w:spacing w:before="0" w:after="240"/>
        <w:rPr>
          <w:szCs w:val="22"/>
        </w:rPr>
      </w:pPr>
      <w:r w:rsidRPr="00BC268B">
        <w:rPr>
          <w:szCs w:val="22"/>
        </w:rPr>
        <w:t>WIPO Bodies</w:t>
      </w:r>
    </w:p>
    <w:p w14:paraId="31F2A872"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work of the Standing Committee on Copyright and Related Rights (SCCR), continued to be supported by the Sector.  The Committee met once in 2024, and its forty-fifth session was held from April 15 to 19, 2024, in a hybrid format.</w:t>
      </w:r>
      <w:r w:rsidRPr="00BC268B">
        <w:rPr>
          <w:rStyle w:val="FootnoteReference"/>
          <w:rFonts w:ascii="Arial" w:hAnsi="Arial" w:cs="Arial"/>
          <w:sz w:val="22"/>
          <w:szCs w:val="22"/>
        </w:rPr>
        <w:footnoteReference w:id="75"/>
      </w:r>
      <w:r w:rsidRPr="00524B1F">
        <w:rPr>
          <w:rFonts w:ascii="Arial" w:hAnsi="Arial" w:cs="Arial"/>
          <w:sz w:val="22"/>
          <w:szCs w:val="22"/>
          <w:lang w:val="en-US"/>
        </w:rPr>
        <w:t xml:space="preserve">  </w:t>
      </w:r>
      <w:r w:rsidRPr="00BC268B">
        <w:rPr>
          <w:rFonts w:ascii="Arial" w:hAnsi="Arial" w:cs="Arial"/>
          <w:sz w:val="22"/>
          <w:szCs w:val="22"/>
          <w:lang w:val="en-US"/>
        </w:rPr>
        <w:t>A revised Draft WIPO Broadcasting Organizations Treaty</w:t>
      </w:r>
      <w:r w:rsidRPr="00BC268B">
        <w:rPr>
          <w:rStyle w:val="FootnoteReference"/>
          <w:rFonts w:ascii="Arial" w:hAnsi="Arial" w:cs="Arial"/>
          <w:sz w:val="22"/>
          <w:szCs w:val="22"/>
        </w:rPr>
        <w:footnoteReference w:id="76"/>
      </w:r>
      <w:r w:rsidRPr="00BC268B">
        <w:rPr>
          <w:rFonts w:ascii="Arial" w:hAnsi="Arial" w:cs="Arial"/>
          <w:sz w:val="22"/>
          <w:szCs w:val="22"/>
          <w:lang w:val="en-US"/>
        </w:rPr>
        <w:t xml:space="preserve"> was presented to Member States, who reached a common understanding regarding the objectives of the Treaty and its object of protection (subject matter).  </w:t>
      </w:r>
      <w:r w:rsidRPr="00524B1F">
        <w:rPr>
          <w:rFonts w:ascii="Arial" w:hAnsi="Arial" w:cs="Arial"/>
          <w:sz w:val="22"/>
          <w:szCs w:val="22"/>
          <w:lang w:val="en-US"/>
        </w:rPr>
        <w:t xml:space="preserve">Although the Committee made progress in other fundamental topics, such as the definition of broadcasting organizations or the beneficiaries of protection, no consensus was reached, and discussions will be resumed at the next SCCR session.  </w:t>
      </w:r>
    </w:p>
    <w:p w14:paraId="4534DCCE"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Member States discussed a Proposal for a </w:t>
      </w:r>
      <w:r w:rsidRPr="00524B1F">
        <w:rPr>
          <w:rFonts w:ascii="Arial" w:hAnsi="Arial" w:cs="Arial"/>
          <w:i/>
          <w:iCs/>
          <w:sz w:val="22"/>
          <w:szCs w:val="22"/>
          <w:lang w:val="en-US"/>
        </w:rPr>
        <w:t>“Scoping Study on the Rights of Audiovisual Authors and their Remuneration for the Exploitation of their Works”</w:t>
      </w:r>
      <w:r w:rsidRPr="00524B1F">
        <w:rPr>
          <w:rFonts w:ascii="Arial" w:hAnsi="Arial" w:cs="Arial"/>
          <w:sz w:val="22"/>
          <w:szCs w:val="22"/>
          <w:lang w:val="en-US"/>
        </w:rPr>
        <w:t>.</w:t>
      </w:r>
      <w:r w:rsidRPr="00BC268B">
        <w:rPr>
          <w:rStyle w:val="FootnoteReference"/>
          <w:rFonts w:ascii="Arial" w:hAnsi="Arial" w:cs="Arial"/>
          <w:sz w:val="22"/>
          <w:szCs w:val="22"/>
        </w:rPr>
        <w:footnoteReference w:id="77"/>
      </w:r>
      <w:r w:rsidRPr="00524B1F">
        <w:rPr>
          <w:rFonts w:ascii="Arial" w:hAnsi="Arial" w:cs="Arial"/>
          <w:sz w:val="22"/>
          <w:szCs w:val="22"/>
          <w:lang w:val="en-US"/>
        </w:rPr>
        <w:t xml:space="preserve">  </w:t>
      </w:r>
      <w:r w:rsidRPr="00BC268B">
        <w:rPr>
          <w:rFonts w:ascii="Arial" w:hAnsi="Arial" w:cs="Arial"/>
          <w:sz w:val="22"/>
          <w:szCs w:val="22"/>
          <w:lang w:val="en-US"/>
        </w:rPr>
        <w:t xml:space="preserve">Furthermore, a work plan on </w:t>
      </w:r>
      <w:r w:rsidRPr="00BC268B">
        <w:rPr>
          <w:rFonts w:ascii="Arial" w:hAnsi="Arial" w:cs="Arial"/>
          <w:i/>
          <w:iCs/>
          <w:sz w:val="22"/>
          <w:szCs w:val="22"/>
          <w:lang w:val="en-US"/>
        </w:rPr>
        <w:t>“Copyright in the Digital Environment”</w:t>
      </w:r>
      <w:r w:rsidRPr="00BC268B">
        <w:rPr>
          <w:rStyle w:val="FootnoteReference"/>
          <w:rFonts w:ascii="Arial" w:hAnsi="Arial" w:cs="Arial"/>
          <w:sz w:val="22"/>
          <w:szCs w:val="22"/>
        </w:rPr>
        <w:footnoteReference w:id="78"/>
      </w:r>
      <w:r w:rsidRPr="00BC268B">
        <w:rPr>
          <w:rFonts w:ascii="Arial" w:hAnsi="Arial" w:cs="Arial"/>
          <w:sz w:val="22"/>
          <w:szCs w:val="22"/>
          <w:lang w:val="en-US"/>
        </w:rPr>
        <w:t xml:space="preserve"> was introduced and the Committee agreed to continue discussions on the topic in the next session.  </w:t>
      </w:r>
      <w:r w:rsidRPr="00524B1F">
        <w:rPr>
          <w:rFonts w:ascii="Arial" w:hAnsi="Arial" w:cs="Arial"/>
          <w:sz w:val="22"/>
          <w:szCs w:val="22"/>
          <w:lang w:val="en-US"/>
        </w:rPr>
        <w:t xml:space="preserve">As previously requested by the </w:t>
      </w:r>
      <w:r w:rsidRPr="00524B1F">
        <w:rPr>
          <w:rFonts w:ascii="Arial" w:hAnsi="Arial" w:cs="Arial"/>
          <w:sz w:val="22"/>
          <w:szCs w:val="22"/>
          <w:lang w:val="en-US"/>
        </w:rPr>
        <w:lastRenderedPageBreak/>
        <w:t xml:space="preserve">Committee, the Secretariat presented an </w:t>
      </w:r>
      <w:r w:rsidRPr="00524B1F">
        <w:rPr>
          <w:rFonts w:ascii="Arial" w:hAnsi="Arial" w:cs="Arial"/>
          <w:i/>
          <w:iCs/>
          <w:sz w:val="22"/>
          <w:szCs w:val="22"/>
          <w:lang w:val="en-US"/>
        </w:rPr>
        <w:t>“Information Session</w:t>
      </w:r>
      <w:r w:rsidRPr="00524B1F">
        <w:rPr>
          <w:rFonts w:ascii="Arial" w:hAnsi="Arial" w:cs="Arial"/>
          <w:sz w:val="22"/>
          <w:szCs w:val="22"/>
          <w:lang w:val="en-US"/>
        </w:rPr>
        <w:t xml:space="preserve"> on the </w:t>
      </w:r>
      <w:r w:rsidRPr="00524B1F">
        <w:rPr>
          <w:rFonts w:ascii="Arial" w:hAnsi="Arial" w:cs="Arial"/>
          <w:i/>
          <w:iCs/>
          <w:sz w:val="22"/>
          <w:szCs w:val="22"/>
          <w:lang w:val="en-US"/>
        </w:rPr>
        <w:t>Opportunities</w:t>
      </w:r>
      <w:r w:rsidRPr="00524B1F">
        <w:rPr>
          <w:rFonts w:ascii="Arial" w:hAnsi="Arial" w:cs="Arial"/>
          <w:sz w:val="22"/>
          <w:szCs w:val="22"/>
          <w:lang w:val="en-US"/>
        </w:rPr>
        <w:t xml:space="preserve"> and </w:t>
      </w:r>
      <w:r w:rsidRPr="00524B1F">
        <w:rPr>
          <w:rFonts w:ascii="Arial" w:hAnsi="Arial" w:cs="Arial"/>
          <w:i/>
          <w:iCs/>
          <w:sz w:val="22"/>
          <w:szCs w:val="22"/>
          <w:lang w:val="en-US"/>
        </w:rPr>
        <w:t>Challenges Raised</w:t>
      </w:r>
      <w:r w:rsidRPr="00524B1F">
        <w:rPr>
          <w:rFonts w:ascii="Arial" w:hAnsi="Arial" w:cs="Arial"/>
          <w:sz w:val="22"/>
          <w:szCs w:val="22"/>
          <w:lang w:val="en-US"/>
        </w:rPr>
        <w:t xml:space="preserve"> by </w:t>
      </w:r>
      <w:r w:rsidRPr="00524B1F">
        <w:rPr>
          <w:rFonts w:ascii="Arial" w:hAnsi="Arial" w:cs="Arial"/>
          <w:i/>
          <w:iCs/>
          <w:sz w:val="22"/>
          <w:szCs w:val="22"/>
          <w:lang w:val="en-US"/>
        </w:rPr>
        <w:t>Generative</w:t>
      </w:r>
      <w:r w:rsidRPr="00524B1F">
        <w:rPr>
          <w:rFonts w:ascii="Arial" w:hAnsi="Arial" w:cs="Arial"/>
          <w:sz w:val="22"/>
          <w:szCs w:val="22"/>
          <w:lang w:val="en-US"/>
        </w:rPr>
        <w:t xml:space="preserve"> AI as it </w:t>
      </w:r>
      <w:r w:rsidRPr="00524B1F">
        <w:rPr>
          <w:rFonts w:ascii="Arial" w:hAnsi="Arial" w:cs="Arial"/>
          <w:i/>
          <w:iCs/>
          <w:sz w:val="22"/>
          <w:szCs w:val="22"/>
          <w:lang w:val="en-US"/>
        </w:rPr>
        <w:t>Relates</w:t>
      </w:r>
      <w:r w:rsidRPr="00524B1F">
        <w:rPr>
          <w:rFonts w:ascii="Arial" w:hAnsi="Arial" w:cs="Arial"/>
          <w:sz w:val="22"/>
          <w:szCs w:val="22"/>
          <w:lang w:val="en-US"/>
        </w:rPr>
        <w:t xml:space="preserve"> to </w:t>
      </w:r>
      <w:r w:rsidRPr="00524B1F">
        <w:rPr>
          <w:rFonts w:ascii="Arial" w:hAnsi="Arial" w:cs="Arial"/>
          <w:i/>
          <w:iCs/>
          <w:sz w:val="22"/>
          <w:szCs w:val="22"/>
          <w:lang w:val="en-US"/>
        </w:rPr>
        <w:t>Copyright”</w:t>
      </w:r>
      <w:r w:rsidRPr="00524B1F">
        <w:rPr>
          <w:rFonts w:ascii="Arial" w:hAnsi="Arial" w:cs="Arial"/>
          <w:sz w:val="22"/>
          <w:szCs w:val="22"/>
          <w:lang w:val="en-US"/>
        </w:rPr>
        <w:t>, which included a question</w:t>
      </w:r>
      <w:r w:rsidRPr="00524B1F">
        <w:rPr>
          <w:rFonts w:ascii="Arial" w:hAnsi="Arial" w:cs="Arial"/>
          <w:sz w:val="22"/>
          <w:szCs w:val="22"/>
          <w:lang w:val="en-US"/>
        </w:rPr>
        <w:noBreakHyphen/>
        <w:t>and</w:t>
      </w:r>
      <w:r w:rsidRPr="00524B1F">
        <w:rPr>
          <w:rFonts w:ascii="Arial" w:hAnsi="Arial" w:cs="Arial"/>
          <w:sz w:val="22"/>
          <w:szCs w:val="22"/>
          <w:lang w:val="en-US"/>
        </w:rPr>
        <w:noBreakHyphen/>
        <w:t>answer session between Members States and creators, professionals and experts.  Delegations expressed their strong support and requested the organization of more sessions on this topic.</w:t>
      </w:r>
    </w:p>
    <w:p w14:paraId="180797F1"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Under the agenda item on “</w:t>
      </w:r>
      <w:r w:rsidRPr="00524B1F">
        <w:rPr>
          <w:rFonts w:ascii="Arial" w:hAnsi="Arial" w:cs="Arial"/>
          <w:i/>
          <w:iCs/>
          <w:sz w:val="22"/>
          <w:szCs w:val="22"/>
          <w:lang w:val="en-US"/>
        </w:rPr>
        <w:t>limitations and exceptions for libraries and archives, educational and research institutions and for persons with other disabilities”</w:t>
      </w:r>
      <w:r w:rsidRPr="00524B1F">
        <w:rPr>
          <w:rFonts w:ascii="Arial" w:hAnsi="Arial" w:cs="Arial"/>
          <w:sz w:val="22"/>
          <w:szCs w:val="22"/>
          <w:lang w:val="en-US"/>
        </w:rPr>
        <w:t>, the Draft Implementation Plan for the Work Program on Limitations and Exceptions and Preliminary Comments Received by March 29, 2024</w:t>
      </w:r>
      <w:r w:rsidRPr="00BC268B">
        <w:rPr>
          <w:rStyle w:val="FootnoteReference"/>
          <w:rFonts w:ascii="Arial" w:hAnsi="Arial" w:cs="Arial"/>
          <w:sz w:val="22"/>
          <w:szCs w:val="22"/>
        </w:rPr>
        <w:footnoteReference w:id="79"/>
      </w:r>
      <w:r w:rsidRPr="00524B1F">
        <w:rPr>
          <w:rFonts w:ascii="Arial" w:hAnsi="Arial" w:cs="Arial"/>
          <w:sz w:val="22"/>
          <w:szCs w:val="22"/>
          <w:lang w:val="en-US"/>
        </w:rPr>
        <w:t xml:space="preserve"> was presented following the request of Member States at the forty-fourth session of the SCCR.  Likewise, the Delegation of the United States of America explained in further detail the updated version of the Document “</w:t>
      </w:r>
      <w:r w:rsidRPr="00524B1F">
        <w:rPr>
          <w:rFonts w:ascii="Arial" w:hAnsi="Arial" w:cs="Arial"/>
          <w:i/>
          <w:iCs/>
          <w:sz w:val="22"/>
          <w:szCs w:val="22"/>
          <w:lang w:val="en-US"/>
        </w:rPr>
        <w:t>Objectives and Principles for Exceptions and Limitations for Libraries and Archives</w:t>
      </w:r>
      <w:r w:rsidRPr="00524B1F">
        <w:rPr>
          <w:rFonts w:ascii="Arial" w:hAnsi="Arial" w:cs="Arial"/>
          <w:sz w:val="22"/>
          <w:szCs w:val="22"/>
          <w:lang w:val="en-US"/>
        </w:rPr>
        <w:t>”.</w:t>
      </w:r>
      <w:r w:rsidRPr="00BC268B">
        <w:rPr>
          <w:rStyle w:val="FootnoteReference"/>
          <w:rFonts w:ascii="Arial" w:hAnsi="Arial" w:cs="Arial"/>
          <w:sz w:val="22"/>
          <w:szCs w:val="22"/>
        </w:rPr>
        <w:footnoteReference w:id="80"/>
      </w:r>
      <w:r w:rsidRPr="00524B1F">
        <w:rPr>
          <w:rFonts w:ascii="Arial" w:hAnsi="Arial" w:cs="Arial"/>
          <w:sz w:val="22"/>
          <w:szCs w:val="22"/>
          <w:lang w:val="en-US"/>
        </w:rPr>
        <w:t xml:space="preserve"> </w:t>
      </w:r>
    </w:p>
    <w:p w14:paraId="765CA880"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A brief update was provided to the Committee on the topic of “</w:t>
      </w:r>
      <w:r w:rsidRPr="00524B1F">
        <w:rPr>
          <w:rFonts w:ascii="Arial" w:hAnsi="Arial" w:cs="Arial"/>
          <w:i/>
          <w:iCs/>
          <w:sz w:val="22"/>
          <w:szCs w:val="22"/>
          <w:lang w:val="en-US"/>
        </w:rPr>
        <w:t>Strengthening the Protection of Theatre Directors’ Rights</w:t>
      </w:r>
      <w:r w:rsidRPr="00524B1F">
        <w:rPr>
          <w:rFonts w:ascii="Arial" w:hAnsi="Arial" w:cs="Arial"/>
          <w:sz w:val="22"/>
          <w:szCs w:val="22"/>
          <w:lang w:val="en-US"/>
        </w:rPr>
        <w:t xml:space="preserve">.”  On the topic of the Resale Royalty Right, Member States were requested to provide comments on </w:t>
      </w:r>
      <w:r w:rsidRPr="00524B1F">
        <w:rPr>
          <w:rFonts w:ascii="Arial" w:hAnsi="Arial" w:cs="Arial"/>
          <w:i/>
          <w:iCs/>
          <w:sz w:val="22"/>
          <w:szCs w:val="22"/>
          <w:lang w:val="en-US"/>
        </w:rPr>
        <w:t>“Part 2 of the WIPO Toolkit on Artist’s Resale Right”.</w:t>
      </w:r>
      <w:r w:rsidRPr="00BC268B">
        <w:rPr>
          <w:rStyle w:val="FootnoteReference"/>
          <w:rFonts w:ascii="Arial" w:hAnsi="Arial" w:cs="Arial"/>
          <w:sz w:val="22"/>
          <w:szCs w:val="22"/>
        </w:rPr>
        <w:footnoteReference w:id="81"/>
      </w:r>
      <w:r w:rsidRPr="00524B1F">
        <w:rPr>
          <w:rFonts w:ascii="Arial" w:hAnsi="Arial" w:cs="Arial"/>
          <w:sz w:val="22"/>
          <w:szCs w:val="22"/>
          <w:lang w:val="en-US"/>
        </w:rPr>
        <w:t xml:space="preserve">  </w:t>
      </w:r>
      <w:r w:rsidRPr="00BC268B">
        <w:rPr>
          <w:rFonts w:ascii="Arial" w:hAnsi="Arial" w:cs="Arial"/>
          <w:sz w:val="22"/>
          <w:szCs w:val="22"/>
          <w:lang w:val="en-US"/>
        </w:rPr>
        <w:t xml:space="preserve">Additionally, a </w:t>
      </w:r>
      <w:r w:rsidRPr="00BC268B">
        <w:rPr>
          <w:rFonts w:ascii="Arial" w:hAnsi="Arial" w:cs="Arial"/>
          <w:i/>
          <w:iCs/>
          <w:sz w:val="22"/>
          <w:szCs w:val="22"/>
          <w:lang w:val="en-US"/>
        </w:rPr>
        <w:t>“Scoping Study on Public Lending Right”</w:t>
      </w:r>
      <w:r w:rsidRPr="00BC268B">
        <w:rPr>
          <w:rFonts w:ascii="Arial" w:hAnsi="Arial" w:cs="Arial"/>
          <w:sz w:val="22"/>
          <w:szCs w:val="22"/>
          <w:lang w:val="en-US"/>
        </w:rPr>
        <w:t>,</w:t>
      </w:r>
      <w:r w:rsidRPr="00BC268B">
        <w:rPr>
          <w:rStyle w:val="FootnoteReference"/>
          <w:rFonts w:ascii="Arial" w:hAnsi="Arial" w:cs="Arial"/>
          <w:sz w:val="22"/>
          <w:szCs w:val="22"/>
        </w:rPr>
        <w:footnoteReference w:id="82"/>
      </w:r>
      <w:r w:rsidRPr="00BC268B">
        <w:rPr>
          <w:rFonts w:ascii="Arial" w:hAnsi="Arial" w:cs="Arial"/>
          <w:sz w:val="22"/>
          <w:szCs w:val="22"/>
          <w:lang w:val="en-US"/>
        </w:rPr>
        <w:t xml:space="preserve"> was presented and followed by a question-and-answer session where Member States provided comments.  </w:t>
      </w:r>
      <w:r w:rsidRPr="00524B1F">
        <w:rPr>
          <w:rFonts w:ascii="Arial" w:hAnsi="Arial" w:cs="Arial"/>
          <w:sz w:val="22"/>
          <w:szCs w:val="22"/>
          <w:lang w:val="en-US"/>
        </w:rPr>
        <w:t xml:space="preserve">A revised version of the study will be shared before the next session of the Committee.  </w:t>
      </w:r>
    </w:p>
    <w:p w14:paraId="5BB9404B" w14:textId="77777777" w:rsidR="00BC268B" w:rsidRPr="00BC268B" w:rsidRDefault="00BC268B" w:rsidP="00A30C46">
      <w:pPr>
        <w:pStyle w:val="Heading2"/>
        <w:spacing w:before="0" w:after="240"/>
        <w:rPr>
          <w:szCs w:val="22"/>
        </w:rPr>
      </w:pPr>
      <w:r w:rsidRPr="00BC268B">
        <w:rPr>
          <w:szCs w:val="22"/>
        </w:rPr>
        <w:t>Mainstreamed DA Projects</w:t>
      </w:r>
    </w:p>
    <w:p w14:paraId="6CE45895"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Below are highlights of the work related to the mainstreamed DA projects:</w:t>
      </w:r>
    </w:p>
    <w:p w14:paraId="0F273615" w14:textId="77777777" w:rsidR="00BC268B" w:rsidRPr="00524B1F" w:rsidRDefault="00BC268B" w:rsidP="00BC268B">
      <w:pPr>
        <w:pStyle w:val="ListParagraph"/>
        <w:numPr>
          <w:ilvl w:val="0"/>
          <w:numId w:val="20"/>
        </w:numPr>
        <w:spacing w:after="240" w:line="240" w:lineRule="auto"/>
        <w:contextualSpacing w:val="0"/>
        <w:rPr>
          <w:rFonts w:ascii="Arial" w:hAnsi="Arial" w:cs="Arial"/>
          <w:sz w:val="22"/>
          <w:szCs w:val="22"/>
          <w:lang w:val="en-US"/>
        </w:rPr>
      </w:pPr>
      <w:r w:rsidRPr="00524B1F">
        <w:rPr>
          <w:rFonts w:ascii="Arial" w:hAnsi="Arial" w:cs="Arial"/>
          <w:i/>
          <w:sz w:val="22"/>
          <w:szCs w:val="22"/>
          <w:lang w:val="en-US"/>
        </w:rPr>
        <w:t>IP and the Public Domain:</w:t>
      </w:r>
      <w:r w:rsidRPr="00524B1F">
        <w:rPr>
          <w:rFonts w:ascii="Arial" w:hAnsi="Arial" w:cs="Arial"/>
          <w:sz w:val="22"/>
          <w:szCs w:val="22"/>
          <w:lang w:val="en-US"/>
        </w:rPr>
        <w:t xml:space="preserve">  continuous efforts and emphasis were put on the area of copyright documentation systems.  Legislative advice and awareness-raising on voluntary registration systems remained a daily feature of the work of the Sector, in close coordination with other relevant units across WIPO.</w:t>
      </w:r>
    </w:p>
    <w:p w14:paraId="6E52711C" w14:textId="77777777" w:rsidR="00BC268B" w:rsidRPr="00BC268B" w:rsidRDefault="00BC268B" w:rsidP="00BC268B">
      <w:pPr>
        <w:pStyle w:val="ListParagraph"/>
        <w:numPr>
          <w:ilvl w:val="0"/>
          <w:numId w:val="20"/>
        </w:numPr>
        <w:spacing w:after="240" w:line="240" w:lineRule="auto"/>
        <w:contextualSpacing w:val="0"/>
        <w:rPr>
          <w:rFonts w:ascii="Arial" w:hAnsi="Arial" w:cs="Arial"/>
          <w:sz w:val="22"/>
          <w:szCs w:val="22"/>
        </w:rPr>
      </w:pPr>
      <w:r w:rsidRPr="00524B1F">
        <w:rPr>
          <w:rFonts w:ascii="Arial" w:hAnsi="Arial" w:cs="Arial"/>
          <w:i/>
          <w:sz w:val="22"/>
          <w:szCs w:val="22"/>
          <w:lang w:val="en-US"/>
        </w:rPr>
        <w:t>IP, Information and Communications Technologies (ICTs), the Digital Divide and Access to Knowledge, and the approved New WIPO Activities Related to Using Copyright to Promote Access to Information and Creative Content:</w:t>
      </w:r>
      <w:r w:rsidRPr="00BC268B">
        <w:rPr>
          <w:rStyle w:val="FootnoteReference"/>
          <w:rFonts w:ascii="Arial" w:hAnsi="Arial" w:cs="Arial"/>
          <w:sz w:val="22"/>
          <w:szCs w:val="22"/>
        </w:rPr>
        <w:footnoteReference w:id="83"/>
      </w:r>
      <w:r w:rsidRPr="00524B1F">
        <w:rPr>
          <w:rFonts w:ascii="Arial" w:hAnsi="Arial" w:cs="Arial"/>
          <w:sz w:val="22"/>
          <w:szCs w:val="22"/>
          <w:lang w:val="en-US"/>
        </w:rPr>
        <w:t xml:space="preserve">  technical assistance, capacity</w:t>
      </w:r>
      <w:r w:rsidRPr="00524B1F">
        <w:rPr>
          <w:rFonts w:ascii="Arial" w:hAnsi="Arial" w:cs="Arial"/>
          <w:sz w:val="22"/>
          <w:szCs w:val="22"/>
          <w:lang w:val="en-US"/>
        </w:rPr>
        <w:noBreakHyphen/>
        <w:t>building and awareness</w:t>
      </w:r>
      <w:r w:rsidRPr="00524B1F">
        <w:rPr>
          <w:rFonts w:ascii="Arial" w:hAnsi="Arial" w:cs="Arial"/>
          <w:sz w:val="22"/>
          <w:szCs w:val="22"/>
          <w:lang w:val="en-US"/>
        </w:rPr>
        <w:noBreakHyphen/>
        <w:t xml:space="preserve">raising activities in relation to open licensing and open source continued to be undertaken.  </w:t>
      </w:r>
      <w:r w:rsidRPr="00BC268B">
        <w:rPr>
          <w:rFonts w:ascii="Arial" w:hAnsi="Arial" w:cs="Arial"/>
          <w:sz w:val="22"/>
          <w:szCs w:val="22"/>
        </w:rPr>
        <w:t>Presentations and interventions were delivered across various forums.</w:t>
      </w:r>
    </w:p>
    <w:p w14:paraId="6BCA22D3" w14:textId="77777777" w:rsidR="00BC268B" w:rsidRPr="00BC268B" w:rsidRDefault="00BC268B" w:rsidP="00BC268B">
      <w:pPr>
        <w:pStyle w:val="ListParagraph"/>
        <w:numPr>
          <w:ilvl w:val="0"/>
          <w:numId w:val="20"/>
        </w:numPr>
        <w:spacing w:after="240" w:line="240" w:lineRule="auto"/>
        <w:contextualSpacing w:val="0"/>
        <w:rPr>
          <w:rFonts w:ascii="Arial" w:hAnsi="Arial" w:cs="Arial"/>
          <w:sz w:val="22"/>
          <w:szCs w:val="22"/>
          <w:lang w:val="en-US"/>
        </w:rPr>
      </w:pPr>
      <w:r w:rsidRPr="00524B1F">
        <w:rPr>
          <w:rFonts w:ascii="Arial" w:hAnsi="Arial" w:cs="Arial"/>
          <w:i/>
          <w:sz w:val="22"/>
          <w:szCs w:val="22"/>
          <w:lang w:val="en-US"/>
        </w:rPr>
        <w:t>Enhancing the Use of IP for Mobile Applications in the Software Sector</w:t>
      </w:r>
      <w:r w:rsidRPr="00524B1F">
        <w:rPr>
          <w:rFonts w:ascii="Arial" w:hAnsi="Arial" w:cs="Arial"/>
          <w:iCs/>
          <w:sz w:val="22"/>
          <w:szCs w:val="22"/>
          <w:lang w:val="en-US"/>
        </w:rPr>
        <w:t>:  the Phase II of the</w:t>
      </w:r>
      <w:r w:rsidRPr="00524B1F">
        <w:rPr>
          <w:rFonts w:ascii="Arial" w:hAnsi="Arial" w:cs="Arial"/>
          <w:sz w:val="22"/>
          <w:szCs w:val="22"/>
          <w:lang w:val="en-US"/>
        </w:rPr>
        <w:t xml:space="preserve"> project was finalized in 2024 and </w:t>
      </w:r>
      <w:r w:rsidRPr="00524B1F">
        <w:rPr>
          <w:rFonts w:ascii="Arial" w:hAnsi="Arial" w:cs="Arial"/>
          <w:bCs/>
          <w:sz w:val="22"/>
          <w:szCs w:val="22"/>
          <w:lang w:val="en-US"/>
        </w:rPr>
        <w:t xml:space="preserve">aimed to ensure the long-term sustainability of the outputs developed under Phase I of the project, enhancing the use of IP protection and supporting the mobile application industry in certain creative sectors.  </w:t>
      </w:r>
      <w:r w:rsidRPr="00524B1F">
        <w:rPr>
          <w:rFonts w:ascii="Arial" w:hAnsi="Arial" w:cs="Arial"/>
          <w:sz w:val="22"/>
          <w:szCs w:val="22"/>
          <w:lang w:val="en-US"/>
        </w:rPr>
        <w:t>A handbook on IP in mobile applications, and four tools on the use of mobile applications in music, publishing, video games and social media, were developed during the reporting year.</w:t>
      </w:r>
      <w:r w:rsidRPr="00BC268B">
        <w:rPr>
          <w:rStyle w:val="FootnoteReference"/>
          <w:rFonts w:ascii="Arial" w:hAnsi="Arial" w:cs="Arial"/>
          <w:bCs/>
          <w:sz w:val="22"/>
          <w:szCs w:val="22"/>
        </w:rPr>
        <w:footnoteReference w:id="84"/>
      </w:r>
      <w:r w:rsidRPr="00524B1F">
        <w:rPr>
          <w:rFonts w:ascii="Arial" w:hAnsi="Arial" w:cs="Arial"/>
          <w:sz w:val="22"/>
          <w:szCs w:val="22"/>
          <w:lang w:val="en-US"/>
        </w:rPr>
        <w:t xml:space="preserve">  </w:t>
      </w:r>
      <w:r w:rsidRPr="00BC268B">
        <w:rPr>
          <w:rFonts w:ascii="Arial" w:hAnsi="Arial" w:cs="Arial"/>
          <w:sz w:val="22"/>
          <w:szCs w:val="22"/>
          <w:lang w:val="en-US"/>
        </w:rPr>
        <w:t>A side event was held on the margins of the thirty-third session of the CDIP, in which the beneficiary countries presented the project’s takeaways to Member States.</w:t>
      </w:r>
    </w:p>
    <w:p w14:paraId="44A6E8F8" w14:textId="77777777" w:rsidR="00BC268B" w:rsidRPr="00BC268B" w:rsidRDefault="00BC268B" w:rsidP="00A30C46">
      <w:pPr>
        <w:pStyle w:val="Heading2"/>
        <w:spacing w:before="0" w:after="240"/>
        <w:rPr>
          <w:szCs w:val="22"/>
        </w:rPr>
      </w:pPr>
      <w:r w:rsidRPr="00BC268B">
        <w:rPr>
          <w:szCs w:val="22"/>
        </w:rPr>
        <w:lastRenderedPageBreak/>
        <w:t>Ongoing DA Projects</w:t>
      </w:r>
    </w:p>
    <w:p w14:paraId="524456B9"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iCs/>
          <w:sz w:val="22"/>
          <w:szCs w:val="22"/>
          <w:lang w:val="en-US"/>
        </w:rPr>
      </w:pPr>
      <w:r w:rsidRPr="00524B1F">
        <w:rPr>
          <w:rFonts w:ascii="Arial" w:hAnsi="Arial" w:cs="Arial"/>
          <w:sz w:val="22"/>
          <w:szCs w:val="22"/>
          <w:lang w:val="en-US"/>
        </w:rPr>
        <w:t>The Sector has been in charge of the implementation of the following ongoing DA Projects:</w:t>
      </w:r>
    </w:p>
    <w:p w14:paraId="22BFCEE0" w14:textId="77777777" w:rsidR="00BC268B" w:rsidRPr="00524B1F" w:rsidRDefault="00BC268B" w:rsidP="00BC268B">
      <w:pPr>
        <w:pStyle w:val="ListParagraph"/>
        <w:numPr>
          <w:ilvl w:val="0"/>
          <w:numId w:val="16"/>
        </w:numPr>
        <w:spacing w:after="240" w:line="240" w:lineRule="auto"/>
        <w:ind w:hanging="578"/>
        <w:rPr>
          <w:rFonts w:ascii="Arial" w:hAnsi="Arial" w:cs="Arial"/>
          <w:i/>
          <w:iCs/>
          <w:sz w:val="22"/>
          <w:szCs w:val="22"/>
          <w:lang w:val="en-US"/>
        </w:rPr>
      </w:pPr>
      <w:r w:rsidRPr="00524B1F">
        <w:rPr>
          <w:rFonts w:ascii="Arial" w:hAnsi="Arial" w:cs="Arial"/>
          <w:i/>
          <w:sz w:val="22"/>
          <w:szCs w:val="22"/>
          <w:lang w:val="en-US"/>
        </w:rPr>
        <w:t>Copyright and the Distribution of Content in the Digital Environment</w:t>
      </w:r>
      <w:r w:rsidRPr="00524B1F">
        <w:rPr>
          <w:rFonts w:ascii="Arial" w:hAnsi="Arial" w:cs="Arial"/>
          <w:iCs/>
          <w:sz w:val="22"/>
          <w:szCs w:val="22"/>
          <w:lang w:val="en-US"/>
        </w:rPr>
        <w:t>:</w:t>
      </w:r>
      <w:r w:rsidRPr="00BC268B">
        <w:rPr>
          <w:rStyle w:val="FootnoteReference"/>
          <w:rFonts w:ascii="Arial" w:hAnsi="Arial" w:cs="Arial"/>
          <w:iCs/>
          <w:sz w:val="22"/>
          <w:szCs w:val="22"/>
        </w:rPr>
        <w:footnoteReference w:id="85"/>
      </w:r>
      <w:r w:rsidRPr="00524B1F">
        <w:rPr>
          <w:rFonts w:ascii="Arial" w:hAnsi="Arial" w:cs="Arial"/>
          <w:i/>
          <w:iCs/>
          <w:sz w:val="22"/>
          <w:szCs w:val="22"/>
          <w:lang w:val="en-US"/>
        </w:rPr>
        <w:t xml:space="preserve">  </w:t>
      </w:r>
      <w:r w:rsidRPr="00524B1F">
        <w:rPr>
          <w:rFonts w:ascii="Arial" w:hAnsi="Arial" w:cs="Arial"/>
          <w:sz w:val="22"/>
          <w:szCs w:val="22"/>
          <w:lang w:val="en-US"/>
        </w:rPr>
        <w:t>the</w:t>
      </w:r>
      <w:r w:rsidRPr="00524B1F">
        <w:rPr>
          <w:rFonts w:ascii="Arial" w:hAnsi="Arial" w:cs="Arial"/>
          <w:i/>
          <w:iCs/>
          <w:sz w:val="22"/>
          <w:szCs w:val="22"/>
          <w:lang w:val="en-US"/>
        </w:rPr>
        <w:t xml:space="preserve"> </w:t>
      </w:r>
      <w:r w:rsidRPr="00524B1F">
        <w:rPr>
          <w:rFonts w:ascii="Arial" w:hAnsi="Arial" w:cs="Arial"/>
          <w:sz w:val="22"/>
          <w:szCs w:val="22"/>
          <w:lang w:val="en-US"/>
        </w:rPr>
        <w:t xml:space="preserve">Phase II of the project was approved at the thirty-first session of the CDIP, with the aim of enhancing understanding of the use of IP to commercialize the audiovisual content in the era of streaming in the beneficiary countries.  In 2024, the beneficiary countries were identified, namely Argentina, Brazil, Colombia, Ecuador, Peru and Uruguay.  The deliverables scheduled for 2025 were commissioned to selected experts and should be timely completed in 2025.  </w:t>
      </w:r>
    </w:p>
    <w:p w14:paraId="33702EC8" w14:textId="77777777" w:rsidR="00BC268B" w:rsidRPr="00524B1F" w:rsidRDefault="00BC268B" w:rsidP="00A30C46">
      <w:pPr>
        <w:pStyle w:val="ListParagraph"/>
        <w:spacing w:after="240"/>
        <w:rPr>
          <w:rFonts w:ascii="Arial" w:hAnsi="Arial" w:cs="Arial"/>
          <w:sz w:val="22"/>
          <w:szCs w:val="22"/>
          <w:lang w:val="en-US"/>
        </w:rPr>
      </w:pPr>
    </w:p>
    <w:p w14:paraId="71BF8C77" w14:textId="77777777" w:rsidR="00BC268B" w:rsidRPr="00524B1F" w:rsidRDefault="00BC268B" w:rsidP="00BC268B">
      <w:pPr>
        <w:pStyle w:val="ListParagraph"/>
        <w:numPr>
          <w:ilvl w:val="0"/>
          <w:numId w:val="16"/>
        </w:numPr>
        <w:spacing w:after="240" w:line="240" w:lineRule="auto"/>
        <w:ind w:hanging="578"/>
        <w:contextualSpacing w:val="0"/>
        <w:rPr>
          <w:rFonts w:ascii="Arial" w:hAnsi="Arial" w:cs="Arial"/>
          <w:sz w:val="22"/>
          <w:szCs w:val="22"/>
          <w:lang w:val="en-US"/>
        </w:rPr>
      </w:pPr>
      <w:r w:rsidRPr="00524B1F">
        <w:rPr>
          <w:rFonts w:ascii="Arial" w:hAnsi="Arial" w:cs="Arial"/>
          <w:i/>
          <w:sz w:val="22"/>
          <w:szCs w:val="22"/>
          <w:lang w:val="en-US"/>
        </w:rPr>
        <w:t>Development of the Music Sector and New Economic Models of Music in Burkina Faso and in All Other Countries of the West African Economic and Monetary Union (WAEMU):</w:t>
      </w:r>
      <w:r w:rsidRPr="00524B1F">
        <w:rPr>
          <w:rFonts w:ascii="Arial" w:hAnsi="Arial" w:cs="Arial"/>
          <w:sz w:val="22"/>
          <w:szCs w:val="22"/>
          <w:lang w:val="en-US"/>
        </w:rPr>
        <w:t xml:space="preserve">  the Second National Workshop for Key Players in the Music Sector in Benin and Inter</w:t>
      </w:r>
      <w:r w:rsidRPr="00524B1F">
        <w:rPr>
          <w:rFonts w:ascii="Arial" w:hAnsi="Arial" w:cs="Arial"/>
          <w:sz w:val="22"/>
          <w:szCs w:val="22"/>
          <w:lang w:val="en-US"/>
        </w:rPr>
        <w:noBreakHyphen/>
        <w:t>Sectoral Dialogue took place in Cotonou, Benin, from April 23 to 25, 2024, bringing together 60 key players in the music sector in Benin, the Heads of the Collective Management Organizations (CMOs) and the project focal points of the eight WAEMU countries.  The workshop covered issues related to the legal environment, the online music ecosystem, as well as contracts and licensing, and allowed for inter-sectoral dialogue among music sector stakeholders in Benin.  The second meeting of the Heads of the CMOs of the eight WAEMU countries took place on April 26, 2024, in Cotonou, Benin, and was attended by 20 participants.  This meeting allowed the CMOs to take stock of the evolution of the situation since their first meeting.  In addition, IT solutions for CMOs were presented and WAEMU provided an update on the implementation of the Directive no. 07/2023/CM/UEMOA on the harmonization of the provisions relating to the remuneration right for private copying in WAEMU Member States.  The second annual coordination meeting of project focal points was organized in Cotonou, Benin, on April 26, 2024, bringing together 20 participants (focal points from the eight WAEMU countries, Heads of CMOs and key partners).  The meeting was organized for the purpose of coordination, project monitoring and discussion of current challenges and future activities.  The Third National Workshop for Key Players in the Music Sector in Togo and Inter-Sectoral Dialogue was organized in Lomé, Togo, from November 12 to 13, 2024.  The workshop brought together 45 participants, including key players in the music sector in Togo, Heads of the CMOs and project focal points of the WAEMU countries.  The First National Training Workshop for Judicial Officers was held in Lomé, Togo, on November 14, 2024, attended by experts and 24 judicial officers from Togo.  This workshop served as a pilot for the organization of sub-regional training for judicial officers at the WAEMU level, to be undertaken in 2025.</w:t>
      </w:r>
    </w:p>
    <w:p w14:paraId="5C7C9AF4" w14:textId="77777777" w:rsidR="00BC268B" w:rsidRPr="00524B1F" w:rsidRDefault="00BC268B" w:rsidP="00BC268B">
      <w:pPr>
        <w:pStyle w:val="ListParagraph"/>
        <w:numPr>
          <w:ilvl w:val="0"/>
          <w:numId w:val="16"/>
        </w:numPr>
        <w:spacing w:after="240" w:line="240" w:lineRule="auto"/>
        <w:ind w:hanging="578"/>
        <w:rPr>
          <w:rFonts w:ascii="Arial" w:hAnsi="Arial" w:cs="Arial"/>
          <w:sz w:val="22"/>
          <w:szCs w:val="22"/>
          <w:lang w:val="en-US"/>
        </w:rPr>
      </w:pPr>
      <w:r w:rsidRPr="00524B1F">
        <w:rPr>
          <w:rFonts w:ascii="Arial" w:hAnsi="Arial" w:cs="Arial"/>
          <w:i/>
          <w:iCs/>
          <w:sz w:val="22"/>
          <w:szCs w:val="22"/>
          <w:lang w:val="en-US"/>
        </w:rPr>
        <w:t>Promoting the Use of IP in Developing Countries in Creative Industries in the Digital Era</w:t>
      </w:r>
      <w:r w:rsidRPr="00524B1F">
        <w:rPr>
          <w:rFonts w:ascii="Arial" w:hAnsi="Arial" w:cs="Arial"/>
          <w:sz w:val="22"/>
          <w:szCs w:val="22"/>
          <w:lang w:val="en-US"/>
        </w:rPr>
        <w:t>:</w:t>
      </w:r>
      <w:r w:rsidRPr="00BC268B">
        <w:rPr>
          <w:rStyle w:val="FootnoteReference"/>
          <w:rFonts w:ascii="Arial" w:hAnsi="Arial" w:cs="Arial"/>
          <w:sz w:val="22"/>
          <w:szCs w:val="22"/>
        </w:rPr>
        <w:footnoteReference w:id="86"/>
      </w:r>
      <w:r w:rsidRPr="00524B1F">
        <w:rPr>
          <w:rFonts w:ascii="Arial" w:hAnsi="Arial" w:cs="Arial"/>
          <w:iCs/>
          <w:sz w:val="22"/>
          <w:szCs w:val="22"/>
          <w:lang w:val="en-US"/>
        </w:rPr>
        <w:t xml:space="preserve"> capacity-building tools continued to be developed in line with the project timetable, with the following completed in 2024:</w:t>
      </w:r>
      <w:r w:rsidRPr="00BC268B">
        <w:rPr>
          <w:rStyle w:val="FootnoteReference"/>
          <w:rFonts w:ascii="Arial" w:hAnsi="Arial" w:cs="Arial"/>
          <w:iCs/>
          <w:sz w:val="22"/>
          <w:szCs w:val="22"/>
        </w:rPr>
        <w:footnoteReference w:id="87"/>
      </w:r>
      <w:r w:rsidRPr="00524B1F">
        <w:rPr>
          <w:rFonts w:ascii="Arial" w:hAnsi="Arial" w:cs="Arial"/>
          <w:iCs/>
          <w:sz w:val="22"/>
          <w:szCs w:val="22"/>
          <w:lang w:val="en-US"/>
        </w:rPr>
        <w:t xml:space="preserve">  (i) The Global Digital Music Landscape; </w:t>
      </w:r>
      <w:r w:rsidRPr="00524B1F">
        <w:rPr>
          <w:rFonts w:ascii="Arial" w:hAnsi="Arial" w:cs="Arial"/>
          <w:i/>
          <w:sz w:val="22"/>
          <w:szCs w:val="22"/>
          <w:lang w:val="en-US"/>
        </w:rPr>
        <w:t xml:space="preserve"> </w:t>
      </w:r>
      <w:r w:rsidRPr="00524B1F">
        <w:rPr>
          <w:rFonts w:ascii="Arial" w:hAnsi="Arial" w:cs="Arial"/>
          <w:i/>
          <w:sz w:val="22"/>
          <w:szCs w:val="22"/>
          <w:lang w:val="en-US"/>
        </w:rPr>
        <w:br/>
      </w:r>
      <w:r w:rsidRPr="00524B1F">
        <w:rPr>
          <w:rFonts w:ascii="Arial" w:hAnsi="Arial" w:cs="Arial"/>
          <w:iCs/>
          <w:sz w:val="22"/>
          <w:szCs w:val="22"/>
          <w:lang w:val="en-US"/>
        </w:rPr>
        <w:t>(ii)</w:t>
      </w:r>
      <w:r w:rsidRPr="00524B1F">
        <w:rPr>
          <w:rFonts w:ascii="Arial" w:hAnsi="Arial" w:cs="Arial"/>
          <w:i/>
          <w:sz w:val="22"/>
          <w:szCs w:val="22"/>
          <w:lang w:val="en-US"/>
        </w:rPr>
        <w:t xml:space="preserve"> </w:t>
      </w:r>
      <w:r w:rsidRPr="00524B1F">
        <w:rPr>
          <w:rFonts w:ascii="Arial" w:hAnsi="Arial" w:cs="Arial"/>
          <w:iCs/>
          <w:sz w:val="22"/>
          <w:szCs w:val="22"/>
          <w:lang w:val="en-US"/>
        </w:rPr>
        <w:t xml:space="preserve">IP in Mobile Applications;  and (iii) Understanding IP in Video Games.  </w:t>
      </w:r>
      <w:r w:rsidRPr="00524B1F">
        <w:rPr>
          <w:rFonts w:ascii="Arial" w:hAnsi="Arial" w:cs="Arial"/>
          <w:bCs/>
          <w:iCs/>
          <w:sz w:val="22"/>
          <w:szCs w:val="22"/>
          <w:lang w:val="en-US"/>
        </w:rPr>
        <w:t>Capacity-building workshops were held in the beneficiary</w:t>
      </w:r>
      <w:r w:rsidRPr="00524B1F">
        <w:rPr>
          <w:rFonts w:ascii="Arial" w:hAnsi="Arial" w:cs="Arial"/>
          <w:bCs/>
          <w:sz w:val="22"/>
          <w:szCs w:val="22"/>
          <w:lang w:val="en-US"/>
        </w:rPr>
        <w:t xml:space="preserve"> countries on:  i) </w:t>
      </w:r>
      <w:r w:rsidRPr="00524B1F">
        <w:rPr>
          <w:rFonts w:ascii="Arial" w:hAnsi="Arial" w:cs="Arial"/>
          <w:sz w:val="22"/>
          <w:szCs w:val="22"/>
          <w:lang w:val="en-US"/>
        </w:rPr>
        <w:t>IP in Video Games–Business and Legal Issues</w:t>
      </w:r>
      <w:r w:rsidRPr="00524B1F">
        <w:rPr>
          <w:rFonts w:ascii="Arial" w:hAnsi="Arial" w:cs="Arial"/>
          <w:iCs/>
          <w:sz w:val="22"/>
          <w:szCs w:val="22"/>
          <w:lang w:val="en-US"/>
        </w:rPr>
        <w:t xml:space="preserve">, held from May 1 to 2, 2024, in Dubai, United Arab Emirates; </w:t>
      </w:r>
      <w:r w:rsidRPr="00524B1F">
        <w:rPr>
          <w:rFonts w:ascii="Arial" w:hAnsi="Arial" w:cs="Arial"/>
          <w:bCs/>
          <w:sz w:val="22"/>
          <w:szCs w:val="22"/>
          <w:lang w:val="en-US"/>
        </w:rPr>
        <w:t xml:space="preserve"> ii)</w:t>
      </w:r>
      <w:r w:rsidRPr="00524B1F">
        <w:rPr>
          <w:rFonts w:ascii="Arial" w:hAnsi="Arial" w:cs="Arial"/>
          <w:iCs/>
          <w:sz w:val="22"/>
          <w:szCs w:val="22"/>
          <w:lang w:val="en-US"/>
        </w:rPr>
        <w:t xml:space="preserve"> IP in the Animation Industry – Business and Legal Issues, held from May 14 to 15, 2024, in Bandung, Indonesia;  </w:t>
      </w:r>
      <w:r w:rsidRPr="00524B1F">
        <w:rPr>
          <w:rFonts w:ascii="Arial" w:hAnsi="Arial" w:cs="Arial"/>
          <w:bCs/>
          <w:sz w:val="22"/>
          <w:szCs w:val="22"/>
          <w:lang w:val="en-US"/>
        </w:rPr>
        <w:t xml:space="preserve">iii) the Legal Overview of the Role of the Fashion Industry in the Digital Arena, held on October 8, 2024, in Santiago, Chile;  and iv) the Role of IP </w:t>
      </w:r>
      <w:r w:rsidRPr="00524B1F">
        <w:rPr>
          <w:rFonts w:ascii="Arial" w:hAnsi="Arial" w:cs="Arial"/>
          <w:bCs/>
          <w:sz w:val="22"/>
          <w:szCs w:val="22"/>
          <w:lang w:val="en-US"/>
        </w:rPr>
        <w:lastRenderedPageBreak/>
        <w:t>in the Publishing Economy,</w:t>
      </w:r>
      <w:r w:rsidRPr="00524B1F">
        <w:rPr>
          <w:rFonts w:ascii="Arial" w:hAnsi="Arial" w:cs="Arial"/>
          <w:bCs/>
          <w:i/>
          <w:iCs/>
          <w:sz w:val="22"/>
          <w:szCs w:val="22"/>
          <w:lang w:val="en-US"/>
        </w:rPr>
        <w:t xml:space="preserve"> </w:t>
      </w:r>
      <w:r w:rsidRPr="00524B1F">
        <w:rPr>
          <w:rFonts w:ascii="Arial" w:hAnsi="Arial" w:cs="Arial"/>
          <w:bCs/>
          <w:sz w:val="22"/>
          <w:szCs w:val="22"/>
          <w:lang w:val="en-US"/>
        </w:rPr>
        <w:t xml:space="preserve">held from November 11 to 12, 2024, in Sharjah, United Arab Emirates.  Online training for software developers was provided on December 13, 2024, in collaboration with the Uruguayan Chamber of Information Technology. </w:t>
      </w:r>
    </w:p>
    <w:p w14:paraId="335167DF" w14:textId="77777777" w:rsidR="00BC268B" w:rsidRPr="00BC268B" w:rsidRDefault="00BC268B" w:rsidP="00BC268B">
      <w:pPr>
        <w:pStyle w:val="BalloonText"/>
        <w:numPr>
          <w:ilvl w:val="0"/>
          <w:numId w:val="16"/>
        </w:numPr>
        <w:spacing w:after="240"/>
        <w:ind w:hanging="578"/>
        <w:contextualSpacing/>
        <w:rPr>
          <w:rFonts w:ascii="Arial" w:hAnsi="Arial" w:cs="Arial"/>
          <w:sz w:val="22"/>
          <w:szCs w:val="22"/>
        </w:rPr>
      </w:pPr>
      <w:r w:rsidRPr="00BC268B">
        <w:rPr>
          <w:rFonts w:ascii="Arial" w:hAnsi="Arial" w:cs="Arial"/>
          <w:bCs/>
          <w:i/>
          <w:iCs/>
          <w:sz w:val="22"/>
          <w:szCs w:val="22"/>
        </w:rPr>
        <w:t>Text and Data Mining (TDM) to Support Research and Innovation in Universities and Other Research-Oriented Institutions in Africa:</w:t>
      </w:r>
      <w:r w:rsidRPr="00BC268B">
        <w:rPr>
          <w:rFonts w:ascii="Arial" w:hAnsi="Arial" w:cs="Arial"/>
          <w:bCs/>
          <w:sz w:val="22"/>
          <w:szCs w:val="22"/>
        </w:rPr>
        <w:t xml:space="preserve">  the project continued its progress in 2024</w:t>
      </w:r>
      <w:r w:rsidRPr="00BC268B">
        <w:rPr>
          <w:rFonts w:ascii="Arial" w:hAnsi="Arial" w:cs="Arial"/>
          <w:sz w:val="22"/>
          <w:szCs w:val="22"/>
        </w:rPr>
        <w:t>, with the mapping of legal frameworks and TDM practices across African countries.  A report summarizing the research findings and analysis of the questionnaire’s responses was prepared and presented at the thirty-third session of the CDIP.  Preparations are now under way for workshops with three pilot institutions in Africa,</w:t>
      </w:r>
      <w:r w:rsidRPr="00BC268B">
        <w:rPr>
          <w:rStyle w:val="FootnoteReference"/>
          <w:rFonts w:ascii="Arial" w:hAnsi="Arial" w:cs="Arial"/>
          <w:iCs/>
          <w:sz w:val="22"/>
          <w:szCs w:val="22"/>
        </w:rPr>
        <w:footnoteReference w:id="88"/>
      </w:r>
      <w:r w:rsidRPr="00BC268B">
        <w:rPr>
          <w:rFonts w:ascii="Arial" w:hAnsi="Arial" w:cs="Arial"/>
          <w:sz w:val="22"/>
          <w:szCs w:val="22"/>
        </w:rPr>
        <w:t xml:space="preserve"> which will play a key role in developing case studies and facilitate the creation of training materials.</w:t>
      </w:r>
    </w:p>
    <w:p w14:paraId="550A98B2" w14:textId="77777777" w:rsidR="00BC268B" w:rsidRPr="00BC268B" w:rsidRDefault="00BC268B" w:rsidP="00BC268B">
      <w:pPr>
        <w:pStyle w:val="Heading1"/>
        <w:numPr>
          <w:ilvl w:val="0"/>
          <w:numId w:val="25"/>
        </w:numPr>
        <w:spacing w:after="220"/>
        <w:rPr>
          <w:szCs w:val="22"/>
        </w:rPr>
      </w:pPr>
      <w:r w:rsidRPr="00BC268B">
        <w:rPr>
          <w:szCs w:val="22"/>
        </w:rPr>
        <w:t>Infrastructure and Platforms Sector</w:t>
      </w:r>
      <w:bookmarkStart w:id="26" w:name="_Hlk157605440"/>
    </w:p>
    <w:p w14:paraId="1290D7D5" w14:textId="77777777" w:rsidR="00BC268B" w:rsidRPr="00524B1F" w:rsidRDefault="00BC268B" w:rsidP="00BC268B">
      <w:pPr>
        <w:pStyle w:val="ListParagraph"/>
        <w:numPr>
          <w:ilvl w:val="0"/>
          <w:numId w:val="13"/>
        </w:numPr>
        <w:spacing w:before="240"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Infrastructure and Platforms Sector remained committed to providing high-quality and tailored IP services, as well as knowledge and data to IP Offices, IP professionals, researchers and other specialized users in IP and innovation ecosystems.  During the reporting period, the Sector continued leading the Organization’s efforts in strengthening and fostering WIPO’s public global databases, namely, PATENTSCOPE, the Global Brand Database and the Global Design Database, which continued to expand in 2024.  Three new national collections were added to PATENTSCOPE, seven to the Global Brand Database and one to the Global Design Database.  Additionally, a new tab for PCT sequence listings became available in PATENTSCOPE.  Users can now access more information about sequence listings in PCT applications in WIPO Standard ST.26</w:t>
      </w:r>
      <w:r w:rsidRPr="00BC268B">
        <w:rPr>
          <w:rStyle w:val="FootnoteReference"/>
          <w:rFonts w:ascii="Arial" w:hAnsi="Arial" w:cs="Arial"/>
          <w:sz w:val="22"/>
          <w:szCs w:val="22"/>
        </w:rPr>
        <w:footnoteReference w:id="89"/>
      </w:r>
      <w:r w:rsidRPr="00524B1F">
        <w:rPr>
          <w:rFonts w:ascii="Arial" w:hAnsi="Arial" w:cs="Arial"/>
          <w:sz w:val="22"/>
          <w:szCs w:val="22"/>
          <w:lang w:val="en-US"/>
        </w:rPr>
        <w:t xml:space="preserve"> filed after July 1, 2022.  In 2024, Tooltips were added to the Global Brand Database to facilitate use of the database.  </w:t>
      </w:r>
    </w:p>
    <w:p w14:paraId="59B4C0D2" w14:textId="77777777" w:rsidR="00BC268B" w:rsidRPr="00524B1F" w:rsidRDefault="00BC268B" w:rsidP="00BC268B">
      <w:pPr>
        <w:pStyle w:val="ListParagraph"/>
        <w:numPr>
          <w:ilvl w:val="0"/>
          <w:numId w:val="13"/>
        </w:numPr>
        <w:spacing w:before="240"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In 2024, the research on AI remained driven by the Advanced Technology Applications Center (ATAC), which worked to enhance functions and processes at the Organization.  WIPO Translate now covers 18 languages in PATENTSCOPE, empowering users to effortlessly translate the PATENTSCOPE results list, bibliographic data, descriptions and claims of patent documents, and patent text, using the stand-alone tool.</w:t>
      </w:r>
    </w:p>
    <w:p w14:paraId="06562C35" w14:textId="77777777" w:rsidR="00BC268B" w:rsidRPr="00524B1F" w:rsidRDefault="00BC268B" w:rsidP="00BC268B">
      <w:pPr>
        <w:pStyle w:val="ListParagraph"/>
        <w:numPr>
          <w:ilvl w:val="0"/>
          <w:numId w:val="13"/>
        </w:numPr>
        <w:spacing w:before="240"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WIPO Conversations on </w:t>
      </w:r>
      <w:r w:rsidRPr="00524B1F">
        <w:rPr>
          <w:rFonts w:ascii="Arial" w:hAnsi="Arial" w:cs="Arial"/>
          <w:iCs/>
          <w:sz w:val="22"/>
          <w:szCs w:val="22"/>
          <w:lang w:val="en-US"/>
        </w:rPr>
        <w:t>IP and Frontier Technologies</w:t>
      </w:r>
      <w:r w:rsidRPr="00BC268B">
        <w:rPr>
          <w:rStyle w:val="FootnoteReference"/>
          <w:rFonts w:ascii="Arial" w:hAnsi="Arial" w:cs="Arial"/>
          <w:iCs/>
          <w:sz w:val="22"/>
          <w:szCs w:val="22"/>
        </w:rPr>
        <w:footnoteReference w:id="90"/>
      </w:r>
      <w:r w:rsidRPr="00524B1F">
        <w:rPr>
          <w:rFonts w:ascii="Arial" w:hAnsi="Arial" w:cs="Arial"/>
          <w:iCs/>
          <w:sz w:val="22"/>
          <w:szCs w:val="22"/>
          <w:lang w:val="en-US"/>
        </w:rPr>
        <w:t xml:space="preserve"> remained a leading forum on AI and IP issues.  By the end of 2024, it had formed a community of over 12,000 people from over 170 countries.  T</w:t>
      </w:r>
      <w:r w:rsidRPr="00524B1F">
        <w:rPr>
          <w:rFonts w:ascii="Arial" w:hAnsi="Arial" w:cs="Arial"/>
          <w:sz w:val="22"/>
          <w:szCs w:val="22"/>
          <w:lang w:val="en-US"/>
        </w:rPr>
        <w:t xml:space="preserve">he ninth and tenth sessions of the WIPO Conversations included discussions and open dialogue on the role of AI in capacity-building and development matters.  </w:t>
      </w:r>
    </w:p>
    <w:p w14:paraId="32EAA0A8" w14:textId="77777777" w:rsidR="00BC268B" w:rsidRPr="00524B1F" w:rsidRDefault="00BC268B" w:rsidP="00BC268B">
      <w:pPr>
        <w:pStyle w:val="ListParagraph"/>
        <w:numPr>
          <w:ilvl w:val="0"/>
          <w:numId w:val="13"/>
        </w:numPr>
        <w:spacing w:before="240"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In addition, the Sector led three grass-roots projects to support global AI development and bridge digital divides:  (i) </w:t>
      </w:r>
      <w:r w:rsidRPr="00524B1F">
        <w:rPr>
          <w:rFonts w:ascii="Arial" w:hAnsi="Arial" w:cs="Arial"/>
          <w:i/>
          <w:iCs/>
          <w:sz w:val="22"/>
          <w:szCs w:val="22"/>
          <w:lang w:val="en-US"/>
        </w:rPr>
        <w:t>Empowering AI Innovation in Latin America and the Caribbean</w:t>
      </w:r>
      <w:r w:rsidRPr="00524B1F">
        <w:rPr>
          <w:rFonts w:ascii="Arial" w:hAnsi="Arial" w:cs="Arial"/>
          <w:sz w:val="22"/>
          <w:szCs w:val="22"/>
          <w:lang w:val="en-US"/>
        </w:rPr>
        <w:t>;  (ii) </w:t>
      </w:r>
      <w:r w:rsidRPr="00524B1F">
        <w:rPr>
          <w:rFonts w:ascii="Arial" w:hAnsi="Arial" w:cs="Arial"/>
          <w:i/>
          <w:iCs/>
          <w:sz w:val="22"/>
          <w:szCs w:val="22"/>
          <w:lang w:val="en-US"/>
        </w:rPr>
        <w:t>WIPO AI and IP Management Clinics in the Arab Region</w:t>
      </w:r>
      <w:r w:rsidRPr="00524B1F">
        <w:rPr>
          <w:rFonts w:ascii="Arial" w:hAnsi="Arial" w:cs="Arial"/>
          <w:sz w:val="22"/>
          <w:szCs w:val="22"/>
          <w:lang w:val="en-US"/>
        </w:rPr>
        <w:t>;</w:t>
      </w:r>
      <w:r w:rsidRPr="00524B1F">
        <w:rPr>
          <w:rFonts w:ascii="Arial" w:hAnsi="Arial" w:cs="Arial"/>
          <w:i/>
          <w:iCs/>
          <w:sz w:val="22"/>
          <w:szCs w:val="22"/>
          <w:lang w:val="en-US"/>
        </w:rPr>
        <w:t xml:space="preserve"> </w:t>
      </w:r>
      <w:r w:rsidRPr="00524B1F">
        <w:rPr>
          <w:rFonts w:ascii="Arial" w:hAnsi="Arial" w:cs="Arial"/>
          <w:sz w:val="22"/>
          <w:szCs w:val="22"/>
          <w:lang w:val="en-US"/>
        </w:rPr>
        <w:t xml:space="preserve"> and (iii) </w:t>
      </w:r>
      <w:r w:rsidRPr="00524B1F">
        <w:rPr>
          <w:rFonts w:ascii="Arial" w:hAnsi="Arial" w:cs="Arial"/>
          <w:i/>
          <w:iCs/>
          <w:sz w:val="22"/>
          <w:szCs w:val="22"/>
          <w:lang w:val="en-US"/>
        </w:rPr>
        <w:t>IP and AI: Agriculture 4.0 in ASEAN</w:t>
      </w:r>
      <w:r w:rsidRPr="00524B1F">
        <w:rPr>
          <w:rFonts w:ascii="Arial" w:hAnsi="Arial" w:cs="Arial"/>
          <w:sz w:val="22"/>
          <w:szCs w:val="22"/>
          <w:lang w:val="en-US"/>
        </w:rPr>
        <w:t>.  Furthermore, the IP policy toolkit on “</w:t>
      </w:r>
      <w:r w:rsidRPr="00524B1F">
        <w:rPr>
          <w:rFonts w:ascii="Arial" w:hAnsi="Arial" w:cs="Arial"/>
          <w:i/>
          <w:iCs/>
          <w:sz w:val="22"/>
          <w:szCs w:val="22"/>
          <w:lang w:val="en-US"/>
        </w:rPr>
        <w:t>Getting the innovation ecosystem ready for AI</w:t>
      </w:r>
      <w:r w:rsidRPr="00524B1F">
        <w:rPr>
          <w:rFonts w:ascii="Arial" w:hAnsi="Arial" w:cs="Arial"/>
          <w:sz w:val="22"/>
          <w:szCs w:val="22"/>
          <w:lang w:val="en-US"/>
        </w:rPr>
        <w:t>”</w:t>
      </w:r>
      <w:r w:rsidRPr="00BC268B">
        <w:rPr>
          <w:rStyle w:val="FootnoteReference"/>
          <w:rFonts w:ascii="Arial" w:hAnsi="Arial" w:cs="Arial"/>
          <w:sz w:val="22"/>
          <w:szCs w:val="22"/>
        </w:rPr>
        <w:footnoteReference w:id="91"/>
      </w:r>
      <w:r w:rsidRPr="00524B1F">
        <w:rPr>
          <w:rFonts w:ascii="Arial" w:hAnsi="Arial" w:cs="Arial"/>
          <w:sz w:val="22"/>
          <w:szCs w:val="22"/>
          <w:lang w:val="en-US"/>
        </w:rPr>
        <w:t xml:space="preserve"> was launched in 2024 to </w:t>
      </w:r>
      <w:r w:rsidRPr="00524B1F">
        <w:rPr>
          <w:rFonts w:ascii="Arial" w:hAnsi="Arial" w:cs="Arial"/>
          <w:iCs/>
          <w:sz w:val="22"/>
          <w:szCs w:val="22"/>
          <w:lang w:val="en-US"/>
        </w:rPr>
        <w:t>enhance understanding of AI and IP among policymakers and IP Offices, and to suggest practical actions they could consider now, and in the future, to support local innovators and foster an environment conducive to AI innovation.  During the reporting period, the Sector also launched the guide titled “</w:t>
      </w:r>
      <w:r w:rsidRPr="00524B1F">
        <w:rPr>
          <w:rFonts w:ascii="Arial" w:hAnsi="Arial" w:cs="Arial"/>
          <w:i/>
          <w:sz w:val="22"/>
          <w:szCs w:val="22"/>
          <w:lang w:val="en-US"/>
        </w:rPr>
        <w:t>Generative AI: Navigating Intellectual Property</w:t>
      </w:r>
      <w:r w:rsidRPr="00524B1F">
        <w:rPr>
          <w:rFonts w:ascii="Arial" w:hAnsi="Arial" w:cs="Arial"/>
          <w:iCs/>
          <w:sz w:val="22"/>
          <w:szCs w:val="22"/>
          <w:lang w:val="en-US"/>
        </w:rPr>
        <w:t>”,</w:t>
      </w:r>
      <w:r w:rsidRPr="00BC268B">
        <w:rPr>
          <w:rStyle w:val="FootnoteReference"/>
          <w:rFonts w:ascii="Arial" w:hAnsi="Arial" w:cs="Arial"/>
          <w:iCs/>
          <w:sz w:val="22"/>
          <w:szCs w:val="22"/>
        </w:rPr>
        <w:footnoteReference w:id="92"/>
      </w:r>
      <w:r w:rsidRPr="00524B1F">
        <w:rPr>
          <w:rFonts w:ascii="Arial" w:hAnsi="Arial" w:cs="Arial"/>
          <w:iCs/>
          <w:sz w:val="22"/>
          <w:szCs w:val="22"/>
          <w:lang w:val="en-US"/>
        </w:rPr>
        <w:t xml:space="preserve"> which aims </w:t>
      </w:r>
      <w:bookmarkStart w:id="27" w:name="_Hlk190265945"/>
      <w:r w:rsidRPr="00524B1F">
        <w:rPr>
          <w:rFonts w:ascii="Arial" w:hAnsi="Arial" w:cs="Arial"/>
          <w:iCs/>
          <w:sz w:val="22"/>
          <w:szCs w:val="22"/>
          <w:lang w:val="en-US"/>
        </w:rPr>
        <w:t>to assist businesses and organizations in adopting Generative AI to mitigate IP-related issues and IP risks.</w:t>
      </w:r>
      <w:bookmarkEnd w:id="27"/>
    </w:p>
    <w:bookmarkEnd w:id="26"/>
    <w:p w14:paraId="6E2217BB" w14:textId="77777777" w:rsidR="00BC268B" w:rsidRPr="00BC268B" w:rsidRDefault="00BC268B" w:rsidP="00A30C46">
      <w:pPr>
        <w:pStyle w:val="Heading2"/>
        <w:spacing w:before="0" w:after="240"/>
        <w:rPr>
          <w:szCs w:val="22"/>
        </w:rPr>
      </w:pPr>
      <w:r w:rsidRPr="00BC268B">
        <w:rPr>
          <w:szCs w:val="22"/>
        </w:rPr>
        <w:lastRenderedPageBreak/>
        <w:t>Mainstreamed DA Projects</w:t>
      </w:r>
    </w:p>
    <w:p w14:paraId="2CF564CF"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i/>
          <w:iCs/>
          <w:sz w:val="22"/>
          <w:szCs w:val="22"/>
          <w:lang w:val="en-US"/>
        </w:rPr>
        <w:t>The DA Smart IP Institutions Project:</w:t>
      </w:r>
      <w:r w:rsidRPr="00524B1F">
        <w:rPr>
          <w:rFonts w:ascii="Arial" w:hAnsi="Arial" w:cs="Arial"/>
          <w:i/>
          <w:sz w:val="22"/>
          <w:szCs w:val="22"/>
          <w:lang w:val="en-US"/>
        </w:rPr>
        <w:t xml:space="preserve">  </w:t>
      </w:r>
      <w:r w:rsidRPr="00524B1F">
        <w:rPr>
          <w:rFonts w:ascii="Arial" w:hAnsi="Arial" w:cs="Arial"/>
          <w:sz w:val="22"/>
          <w:szCs w:val="22"/>
          <w:lang w:val="en-US"/>
        </w:rPr>
        <w:t>the deployment of components and business solutions customized for modernizing IP infrastructure of national and regional IP institutions</w:t>
      </w:r>
      <w:r w:rsidRPr="00BC268B">
        <w:rPr>
          <w:rFonts w:ascii="Arial" w:hAnsi="Arial" w:cs="Arial"/>
          <w:sz w:val="22"/>
          <w:szCs w:val="22"/>
          <w:lang w:val="en" w:eastAsia="ja-JP"/>
        </w:rPr>
        <w:t xml:space="preserve"> </w:t>
      </w:r>
      <w:r w:rsidRPr="00524B1F">
        <w:rPr>
          <w:rFonts w:ascii="Arial" w:hAnsi="Arial" w:cs="Arial"/>
          <w:sz w:val="22"/>
          <w:szCs w:val="22"/>
          <w:lang w:val="en-US"/>
        </w:rPr>
        <w:t xml:space="preserve">aimed at assisting Member States to develop and improve national IP institutional capacity through further development of infrastructure and other facilities.  The project has been mainstreamed through the </w:t>
      </w:r>
      <w:r w:rsidRPr="00BC268B">
        <w:rPr>
          <w:rFonts w:ascii="Arial" w:eastAsia="MS Mincho" w:hAnsi="Arial" w:cs="Arial"/>
          <w:sz w:val="22"/>
          <w:szCs w:val="22"/>
          <w:lang w:val="en" w:eastAsia="ja-JP"/>
        </w:rPr>
        <w:t xml:space="preserve">WIPO IP Office Business Solutions program, </w:t>
      </w:r>
      <w:r w:rsidRPr="00524B1F">
        <w:rPr>
          <w:rFonts w:ascii="Arial" w:hAnsi="Arial" w:cs="Arial"/>
          <w:sz w:val="22"/>
          <w:szCs w:val="22"/>
          <w:lang w:val="en-US"/>
        </w:rPr>
        <w:t>in line with the DA Recommendation 10</w:t>
      </w:r>
      <w:r w:rsidRPr="00BC268B">
        <w:rPr>
          <w:rFonts w:ascii="Arial" w:eastAsia="MS Mincho" w:hAnsi="Arial" w:cs="Arial"/>
          <w:sz w:val="22"/>
          <w:szCs w:val="22"/>
          <w:lang w:val="en" w:eastAsia="ja-JP"/>
        </w:rPr>
        <w:t xml:space="preserve">.  The program </w:t>
      </w:r>
      <w:r w:rsidRPr="00BC268B">
        <w:rPr>
          <w:rFonts w:ascii="Arial" w:hAnsi="Arial" w:cs="Arial"/>
          <w:sz w:val="22"/>
          <w:szCs w:val="22"/>
          <w:lang w:val="en" w:eastAsia="ja-JP"/>
        </w:rPr>
        <w:t>aimed to enhance business systems and technical infrastructure of national and regional IP Offices with a view to help them provide more cost</w:t>
      </w:r>
      <w:r w:rsidRPr="00BC268B">
        <w:rPr>
          <w:rFonts w:ascii="Arial" w:hAnsi="Arial" w:cs="Arial"/>
          <w:sz w:val="22"/>
          <w:szCs w:val="22"/>
          <w:lang w:val="en" w:eastAsia="ja-JP"/>
        </w:rPr>
        <w:noBreakHyphen/>
        <w:t xml:space="preserve">effective and higher-quality services to their stakeholders.  In this context, the following services were provided:  </w:t>
      </w:r>
      <w:r w:rsidRPr="00524B1F">
        <w:rPr>
          <w:rFonts w:ascii="Arial" w:hAnsi="Arial" w:cs="Arial"/>
          <w:sz w:val="22"/>
          <w:szCs w:val="22"/>
          <w:lang w:val="en-US"/>
        </w:rPr>
        <w:t xml:space="preserve">(i) technical consultancy;  (ii) business needs assessment;  (iii) project scoping and planning;  (iv) business process analysis;  (v) ongoing development and deployment of customized business system solutions for the administration of IP rights, for the exchange of priority documents and search of examination results;  (vi) establishment of IP databases;  (vii) assistance with digitization of IP records and preparation of data for online publications and electronic data exchange;  and (viii) training and knowledge transfer to staff of IP institutions and support for the systems provided by WIPO.  </w:t>
      </w:r>
      <w:r w:rsidRPr="00BC268B">
        <w:rPr>
          <w:rFonts w:ascii="Arial" w:hAnsi="Arial" w:cs="Arial"/>
          <w:sz w:val="22"/>
          <w:szCs w:val="22"/>
          <w:lang w:val="en" w:eastAsia="ja-JP"/>
        </w:rPr>
        <w:t xml:space="preserve">The assistance took into account WIPO Standards on IP data and information, where appropriate.  On-site or virtual training, mentoring and regional training workshops accounted for a significant portion of the activities and were critical in achieving the desired results.  </w:t>
      </w:r>
      <w:r w:rsidRPr="00524B1F">
        <w:rPr>
          <w:rFonts w:ascii="Arial" w:hAnsi="Arial" w:cs="Arial"/>
          <w:sz w:val="22"/>
          <w:szCs w:val="22"/>
          <w:lang w:val="en-US"/>
        </w:rPr>
        <w:t xml:space="preserve">By the end of 2024, over 90 IP Offices from developing countries in all regions, including more than 20 LDCs, were actively using WIPO Business Solutions for the administration of their IP rights.  In addition, 61 </w:t>
      </w:r>
      <w:r w:rsidRPr="00BC268B">
        <w:rPr>
          <w:rFonts w:ascii="Arial" w:hAnsi="Arial" w:cs="Arial"/>
          <w:sz w:val="22"/>
          <w:szCs w:val="22"/>
          <w:lang w:val="en" w:eastAsia="ja-JP"/>
        </w:rPr>
        <w:t xml:space="preserve">IP Offices were participating in one of the WIPO online exchange platforms, namely, the </w:t>
      </w:r>
      <w:r w:rsidRPr="00BC268B">
        <w:rPr>
          <w:rFonts w:ascii="Arial" w:hAnsi="Arial" w:cs="Arial"/>
          <w:i/>
          <w:iCs/>
          <w:sz w:val="22"/>
          <w:szCs w:val="22"/>
          <w:lang w:val="en" w:eastAsia="ja-JP"/>
        </w:rPr>
        <w:t>“Centralized Access to Search and Examination and the Digital Access Service”</w:t>
      </w:r>
      <w:r w:rsidRPr="00BC268B">
        <w:rPr>
          <w:rFonts w:ascii="Arial" w:hAnsi="Arial" w:cs="Arial"/>
          <w:sz w:val="22"/>
          <w:szCs w:val="22"/>
          <w:lang w:val="en" w:eastAsia="ja-JP"/>
        </w:rPr>
        <w:t>.  A key focus was to upgrade the service level of IP Offices, by assisting them to move to online services for filing and IP information dissemination.</w:t>
      </w:r>
      <w:r w:rsidRPr="00BC268B">
        <w:rPr>
          <w:rStyle w:val="FootnoteReference"/>
          <w:rFonts w:ascii="Arial" w:hAnsi="Arial" w:cs="Arial"/>
          <w:sz w:val="22"/>
          <w:szCs w:val="22"/>
          <w:lang w:val="en" w:eastAsia="ja-JP"/>
        </w:rPr>
        <w:footnoteReference w:id="93"/>
      </w:r>
    </w:p>
    <w:p w14:paraId="5D29270C" w14:textId="77777777" w:rsidR="00BC268B" w:rsidRPr="00BC268B" w:rsidRDefault="00BC268B" w:rsidP="00BC268B">
      <w:pPr>
        <w:pStyle w:val="Heading1"/>
        <w:numPr>
          <w:ilvl w:val="0"/>
          <w:numId w:val="25"/>
        </w:numPr>
        <w:spacing w:after="220"/>
        <w:rPr>
          <w:szCs w:val="22"/>
        </w:rPr>
      </w:pPr>
      <w:r w:rsidRPr="00BC268B">
        <w:rPr>
          <w:szCs w:val="22"/>
        </w:rPr>
        <w:t>Global Challendes and Partnerships Sector</w:t>
      </w:r>
    </w:p>
    <w:p w14:paraId="0ECBED00"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The Global Challenges and Partnerships Sector remained committed to leading WIPO efforts in </w:t>
      </w:r>
      <w:r w:rsidRPr="00524B1F">
        <w:rPr>
          <w:rFonts w:ascii="Arial" w:hAnsi="Arial" w:cs="Arial"/>
          <w:iCs/>
          <w:sz w:val="22"/>
          <w:szCs w:val="22"/>
          <w:lang w:val="en-US"/>
        </w:rPr>
        <w:t xml:space="preserve">building and developing impact-focused international partnerships </w:t>
      </w:r>
      <w:r w:rsidRPr="00524B1F">
        <w:rPr>
          <w:rFonts w:ascii="Arial" w:hAnsi="Arial" w:cs="Arial"/>
          <w:sz w:val="22"/>
          <w:szCs w:val="22"/>
          <w:lang w:val="en-US"/>
        </w:rPr>
        <w:t>to respond to emerging issues and policy challenges at the global level in the areas of IP, innovation and creativity.  Furthermore, the Sector continued to facilitate normative work in the areas of genetic resources (GRs), traditional knowledge (TK) and traditional cultural expressions (TCEs).</w:t>
      </w:r>
    </w:p>
    <w:p w14:paraId="404FD338" w14:textId="77777777" w:rsidR="00BC268B" w:rsidRPr="00BC268B" w:rsidRDefault="00BC268B" w:rsidP="00A30C46">
      <w:pPr>
        <w:pStyle w:val="Heading2"/>
        <w:spacing w:before="0" w:after="240"/>
        <w:rPr>
          <w:szCs w:val="22"/>
        </w:rPr>
      </w:pPr>
      <w:r w:rsidRPr="00BC268B">
        <w:rPr>
          <w:szCs w:val="22"/>
        </w:rPr>
        <w:t xml:space="preserve">Engaging with the United Nations, other Intergovernmental Organizations and non-governmental stakeholders </w:t>
      </w:r>
    </w:p>
    <w:p w14:paraId="5166EA5A"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The Sector continued to lead WIPO engagement with the United Nations system and relevant intergovernmental organizations (IGOs).  T</w:t>
      </w:r>
      <w:r w:rsidRPr="00524B1F">
        <w:rPr>
          <w:rFonts w:ascii="Arial" w:eastAsia="Times New Roman" w:hAnsi="Arial" w:cs="Arial"/>
          <w:sz w:val="22"/>
          <w:szCs w:val="22"/>
          <w:lang w:val="en-US" w:eastAsia="fr-CH"/>
        </w:rPr>
        <w:t xml:space="preserve">rilateral Cooperation on public health, IP and trade with the World Health Organization (WHO) and the World Trade Organization (WTO) was of great importance.  </w:t>
      </w:r>
      <w:r w:rsidRPr="00524B1F">
        <w:rPr>
          <w:rFonts w:ascii="Arial" w:hAnsi="Arial" w:cs="Arial"/>
          <w:sz w:val="22"/>
          <w:szCs w:val="22"/>
          <w:lang w:val="en-US"/>
        </w:rPr>
        <w:t>In June 2024, WIPO hosted, on behalf of the Trilateral Cooperation, the 5</w:t>
      </w:r>
      <w:r w:rsidRPr="00524B1F">
        <w:rPr>
          <w:rFonts w:ascii="Arial" w:hAnsi="Arial" w:cs="Arial"/>
          <w:sz w:val="22"/>
          <w:szCs w:val="22"/>
          <w:vertAlign w:val="superscript"/>
          <w:lang w:val="en-US"/>
        </w:rPr>
        <w:t>th</w:t>
      </w:r>
      <w:r w:rsidRPr="00524B1F">
        <w:rPr>
          <w:rFonts w:ascii="Arial" w:hAnsi="Arial" w:cs="Arial"/>
          <w:sz w:val="22"/>
          <w:szCs w:val="22"/>
          <w:lang w:val="en-US"/>
        </w:rPr>
        <w:t xml:space="preserve"> Trilateral Technical Webinar on </w:t>
      </w:r>
      <w:r w:rsidRPr="00524B1F">
        <w:rPr>
          <w:rFonts w:ascii="Arial" w:hAnsi="Arial" w:cs="Arial"/>
          <w:i/>
          <w:iCs/>
          <w:sz w:val="22"/>
          <w:szCs w:val="22"/>
          <w:lang w:val="en-US"/>
        </w:rPr>
        <w:t>“The Interplay between Intellectual Property and Competition in Support of Innovation and Access to Health Technologies”.</w:t>
      </w:r>
      <w:r w:rsidRPr="00BC268B">
        <w:rPr>
          <w:rStyle w:val="FootnoteReference"/>
          <w:rFonts w:ascii="Arial" w:hAnsi="Arial" w:cs="Arial"/>
          <w:i/>
          <w:iCs/>
          <w:sz w:val="22"/>
          <w:szCs w:val="22"/>
        </w:rPr>
        <w:footnoteReference w:id="94"/>
      </w:r>
      <w:r w:rsidRPr="00524B1F">
        <w:rPr>
          <w:rFonts w:ascii="Arial" w:hAnsi="Arial" w:cs="Arial"/>
          <w:sz w:val="22"/>
          <w:szCs w:val="22"/>
          <w:lang w:val="en-US"/>
        </w:rPr>
        <w:t xml:space="preserve">  </w:t>
      </w:r>
      <w:r w:rsidRPr="00BC268B">
        <w:rPr>
          <w:rFonts w:ascii="Arial" w:hAnsi="Arial" w:cs="Arial"/>
          <w:sz w:val="22"/>
          <w:szCs w:val="22"/>
          <w:lang w:val="en-US"/>
        </w:rPr>
        <w:t xml:space="preserve">Around 200 participants and speakers worldwide convened to discuss the interplay between IP, competition laws and policies, and regulatory frameworks to explore how various policy options and institutional actors can contribute to supporting sustained innovative activity and competitiveness in the pharmaceutical sector.  </w:t>
      </w:r>
      <w:r w:rsidRPr="00524B1F">
        <w:rPr>
          <w:rFonts w:ascii="Arial" w:hAnsi="Arial" w:cs="Arial"/>
          <w:sz w:val="22"/>
          <w:szCs w:val="22"/>
          <w:lang w:val="en-US"/>
        </w:rPr>
        <w:t xml:space="preserve">Furthermore, participants discussed how international organizations, such as WHO, WTO and WIPO, national regulatory authorities and interinstitutional coordination can play a role in supporting the process.  In November 2024, WIPO delivered sessions in the </w:t>
      </w:r>
      <w:r w:rsidRPr="00524B1F">
        <w:rPr>
          <w:rFonts w:ascii="Arial" w:hAnsi="Arial" w:cs="Arial"/>
          <w:i/>
          <w:iCs/>
          <w:sz w:val="22"/>
          <w:szCs w:val="22"/>
          <w:lang w:val="en-US"/>
        </w:rPr>
        <w:t>Trade and Public Health Workshop</w:t>
      </w:r>
      <w:r w:rsidRPr="00524B1F">
        <w:rPr>
          <w:rFonts w:ascii="Arial" w:hAnsi="Arial" w:cs="Arial"/>
          <w:sz w:val="22"/>
          <w:szCs w:val="22"/>
          <w:lang w:val="en-US"/>
        </w:rPr>
        <w:t xml:space="preserve"> for South-East Asian Members and Observers in Bangkok, Thailand, arranged by WTO and designed in close collaboration with the Secretariats of WHO </w:t>
      </w:r>
      <w:r w:rsidRPr="00524B1F">
        <w:rPr>
          <w:rFonts w:ascii="Arial" w:hAnsi="Arial" w:cs="Arial"/>
          <w:sz w:val="22"/>
          <w:szCs w:val="22"/>
          <w:lang w:val="en-US"/>
        </w:rPr>
        <w:lastRenderedPageBreak/>
        <w:t>and WIPO.  Organized with the support of the Thai International Trade and Health Programme, the Workshop was aimed at promoting a multidisciplinary approach to fostering innovation and access to health technologies in the South-East Asian region.  Moreover, in December 2024, the Trilateral Cooperation held the 11</w:t>
      </w:r>
      <w:r w:rsidRPr="00524B1F">
        <w:rPr>
          <w:rFonts w:ascii="Arial" w:hAnsi="Arial" w:cs="Arial"/>
          <w:sz w:val="22"/>
          <w:szCs w:val="22"/>
          <w:vertAlign w:val="superscript"/>
          <w:lang w:val="en-US"/>
        </w:rPr>
        <w:t>th</w:t>
      </w:r>
      <w:r w:rsidRPr="00524B1F">
        <w:rPr>
          <w:rFonts w:ascii="Arial" w:hAnsi="Arial" w:cs="Arial"/>
          <w:sz w:val="22"/>
          <w:szCs w:val="22"/>
          <w:lang w:val="en-US"/>
        </w:rPr>
        <w:t xml:space="preserve"> Joint Technical Symposium</w:t>
      </w:r>
      <w:r w:rsidRPr="00BC268B">
        <w:rPr>
          <w:rStyle w:val="FootnoteReference"/>
          <w:rFonts w:ascii="Arial" w:hAnsi="Arial" w:cs="Arial"/>
          <w:sz w:val="22"/>
          <w:szCs w:val="22"/>
        </w:rPr>
        <w:footnoteReference w:id="95"/>
      </w:r>
      <w:r w:rsidRPr="00524B1F">
        <w:rPr>
          <w:rFonts w:ascii="Arial" w:hAnsi="Arial" w:cs="Arial"/>
          <w:sz w:val="22"/>
          <w:szCs w:val="22"/>
          <w:lang w:val="en-US"/>
        </w:rPr>
        <w:t xml:space="preserve"> on </w:t>
      </w:r>
      <w:r w:rsidRPr="00524B1F">
        <w:rPr>
          <w:rFonts w:ascii="Arial" w:hAnsi="Arial" w:cs="Arial"/>
          <w:i/>
          <w:iCs/>
          <w:sz w:val="22"/>
          <w:szCs w:val="22"/>
          <w:lang w:val="en-US"/>
        </w:rPr>
        <w:t xml:space="preserve">“Strengthening Manufacturing Capacities to Respond to the Non-Communicable Diseases Burden”.  </w:t>
      </w:r>
      <w:r w:rsidRPr="00524B1F">
        <w:rPr>
          <w:rFonts w:ascii="Arial" w:hAnsi="Arial" w:cs="Arial"/>
          <w:sz w:val="22"/>
          <w:szCs w:val="22"/>
          <w:lang w:val="en-US"/>
        </w:rPr>
        <w:t>The event underscored the importance of exploring the intersections between public health, trade and IP to analyze the extent to which strengthening and diversifying manufacturing capacities through local and regional initiatives and the coordination of efforts can promote innovation and enhance access to health technologies to prevent, detect and treat non-communicable diseases (NCDs).  The Symposium was aimed at addressing the latest developments and strategies to:  reduce the global NCD burden;  highlight challenges and opportunities in enhancing manufacturing capacities and coordinating related efforts, including in relation to trade and IP;  and consider the role of innovation and the contribution of local and regional manufacturing in optimizing the global response to the NCD burden.</w:t>
      </w:r>
    </w:p>
    <w:p w14:paraId="743964D2"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During the reporting year, WIPO continued to work closely </w:t>
      </w:r>
      <w:r w:rsidRPr="00524B1F">
        <w:rPr>
          <w:rFonts w:ascii="Arial" w:hAnsi="Arial" w:cs="Arial"/>
          <w:iCs/>
          <w:sz w:val="22"/>
          <w:szCs w:val="22"/>
          <w:lang w:val="en-US"/>
        </w:rPr>
        <w:t>with the International Telecommunication Union (ITU) and WHO to develop the ITU, WHO and WIPO Global Initiative on AI for Health.</w:t>
      </w:r>
      <w:r w:rsidRPr="00BC268B">
        <w:rPr>
          <w:rStyle w:val="FootnoteReference"/>
          <w:rFonts w:ascii="Arial" w:hAnsi="Arial" w:cs="Arial"/>
          <w:iCs/>
          <w:sz w:val="22"/>
          <w:szCs w:val="22"/>
        </w:rPr>
        <w:footnoteReference w:id="96"/>
      </w:r>
      <w:r w:rsidRPr="00524B1F">
        <w:rPr>
          <w:rFonts w:ascii="Arial" w:hAnsi="Arial" w:cs="Arial"/>
          <w:iCs/>
          <w:sz w:val="22"/>
          <w:szCs w:val="22"/>
          <w:lang w:val="en-US"/>
        </w:rPr>
        <w:t xml:space="preserve">  </w:t>
      </w:r>
      <w:r w:rsidRPr="00BC268B">
        <w:rPr>
          <w:rFonts w:ascii="Arial" w:hAnsi="Arial" w:cs="Arial"/>
          <w:iCs/>
          <w:sz w:val="22"/>
          <w:szCs w:val="22"/>
          <w:lang w:val="en-US"/>
        </w:rPr>
        <w:t xml:space="preserve">It also contributed to a workshop on AI and traditional medicine with the objective of exploring the role of IP in the use of AI in traditional medicine.  </w:t>
      </w:r>
      <w:r w:rsidRPr="00524B1F">
        <w:rPr>
          <w:rFonts w:ascii="Arial" w:hAnsi="Arial" w:cs="Arial"/>
          <w:iCs/>
          <w:sz w:val="22"/>
          <w:szCs w:val="22"/>
          <w:lang w:val="en-US"/>
        </w:rPr>
        <w:t>The Organization continued to participate in the United Nations Interagency Task Force on the Prevention and Control of Non-communicable Diseases to ensure greater coordination on relevant topics across the United Nations system.  The Sector remained dedicated to monitoring and contributing to intergovernmental processes concerning IP and innovation, including the work of the Intergovernmental Negotiating Body to draft and negotiate a WHO convention, agreement or other international instrument on pandemic prevention, preparedness and response, and the Council for Trade-Related Aspects of Intellectual Property Rights (TRIPS).  In May 2024, WIPO was granted observer status at the WTO Working Group on Trade and Transfer of Technology, enabling it to support discussions on technology transfer and development at WTO, where requested.  WIPO’s engagement in these processes promotes a holistic understanding of IP as a tool to enable innovation and access to the outcomes of innovation, particularly in the context of trade and health.</w:t>
      </w:r>
    </w:p>
    <w:p w14:paraId="58DDBC3B"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sz w:val="22"/>
          <w:szCs w:val="22"/>
          <w:lang w:val="en-US"/>
        </w:rPr>
        <w:t xml:space="preserve">It was also notable that the Sector coordinated the engagement of WIPO in the </w:t>
      </w:r>
      <w:r w:rsidRPr="00524B1F">
        <w:rPr>
          <w:rFonts w:ascii="Arial" w:hAnsi="Arial" w:cs="Arial"/>
          <w:iCs/>
          <w:sz w:val="22"/>
          <w:szCs w:val="22"/>
          <w:lang w:val="en-US"/>
        </w:rPr>
        <w:t>World Summit on the Information Society (WSIS)+20 Forum High</w:t>
      </w:r>
      <w:r w:rsidRPr="00524B1F">
        <w:rPr>
          <w:rFonts w:ascii="Arial" w:hAnsi="Arial" w:cs="Arial"/>
          <w:iCs/>
          <w:sz w:val="22"/>
          <w:szCs w:val="22"/>
          <w:lang w:val="en-US"/>
        </w:rPr>
        <w:noBreakHyphen/>
        <w:t>Level Event 2024,</w:t>
      </w:r>
      <w:r w:rsidRPr="00BC268B">
        <w:rPr>
          <w:rStyle w:val="FootnoteReference"/>
          <w:rFonts w:ascii="Arial" w:hAnsi="Arial" w:cs="Arial"/>
          <w:iCs/>
          <w:sz w:val="22"/>
          <w:szCs w:val="22"/>
        </w:rPr>
        <w:footnoteReference w:id="97"/>
      </w:r>
      <w:r w:rsidRPr="00524B1F">
        <w:rPr>
          <w:rFonts w:ascii="Arial" w:hAnsi="Arial" w:cs="Arial"/>
          <w:iCs/>
          <w:sz w:val="22"/>
          <w:szCs w:val="22"/>
          <w:lang w:val="en-US"/>
        </w:rPr>
        <w:t xml:space="preserve"> held in May 2024.  The Sector organized a dedicated session on “</w:t>
      </w:r>
      <w:r w:rsidRPr="00524B1F">
        <w:rPr>
          <w:rFonts w:ascii="Arial" w:hAnsi="Arial" w:cs="Arial"/>
          <w:i/>
          <w:sz w:val="22"/>
          <w:szCs w:val="22"/>
          <w:lang w:val="en-US"/>
        </w:rPr>
        <w:t>IP and eSport for Development</w:t>
      </w:r>
      <w:r w:rsidRPr="00524B1F">
        <w:rPr>
          <w:rFonts w:ascii="Arial" w:hAnsi="Arial" w:cs="Arial"/>
          <w:iCs/>
          <w:sz w:val="22"/>
          <w:szCs w:val="22"/>
          <w:lang w:val="en-US"/>
        </w:rPr>
        <w:t>”, which benefited from high-level participation.  In addition, again in cooperation with other Units, the Sector coordinated:  (i) the high-level engagement and participation of WIPO in relevant panels at the AI for Good Global Summit</w:t>
      </w:r>
      <w:r w:rsidRPr="00BC268B">
        <w:rPr>
          <w:rStyle w:val="FootnoteReference"/>
          <w:rFonts w:ascii="Arial" w:hAnsi="Arial" w:cs="Arial"/>
          <w:iCs/>
          <w:sz w:val="22"/>
          <w:szCs w:val="22"/>
        </w:rPr>
        <w:footnoteReference w:id="98"/>
      </w:r>
      <w:r w:rsidRPr="00524B1F">
        <w:rPr>
          <w:rFonts w:ascii="Arial" w:hAnsi="Arial" w:cs="Arial"/>
          <w:iCs/>
          <w:sz w:val="22"/>
          <w:szCs w:val="22"/>
          <w:lang w:val="en-US"/>
        </w:rPr>
        <w:t xml:space="preserve"> in May 2024;  and (ii) the signature of a Letter of Intent and Joint Action Plan with the United Nations Office on Drugs and Crime to enhance synergies and collaboration on IP enforcement, awareness-raising and capacity-building.</w:t>
      </w:r>
    </w:p>
    <w:p w14:paraId="4D8B0BA9"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524B1F">
        <w:rPr>
          <w:rFonts w:ascii="Arial" w:hAnsi="Arial" w:cs="Arial"/>
          <w:iCs/>
          <w:sz w:val="22"/>
          <w:szCs w:val="22"/>
          <w:lang w:val="en-US"/>
        </w:rPr>
        <w:t>The Sector actively engaged with and supported the Internet Governance Forum (IGF), which took place in Riyadh, Saudi Arabia from December 15 to 20, 2024.  Among other activities, it organized and hosted the Open Forum on “</w:t>
      </w:r>
      <w:r w:rsidRPr="00524B1F">
        <w:rPr>
          <w:rFonts w:ascii="Arial" w:hAnsi="Arial" w:cs="Arial"/>
          <w:i/>
          <w:sz w:val="22"/>
          <w:szCs w:val="22"/>
          <w:lang w:val="en-US"/>
        </w:rPr>
        <w:t>Women in Games and Apps:  Innovation, Creativity and IP</w:t>
      </w:r>
      <w:r w:rsidRPr="00524B1F">
        <w:rPr>
          <w:rFonts w:ascii="Arial" w:hAnsi="Arial" w:cs="Arial"/>
          <w:iCs/>
          <w:sz w:val="22"/>
          <w:szCs w:val="22"/>
          <w:lang w:val="en-US"/>
        </w:rPr>
        <w:t xml:space="preserve">”.  The event was focused on highlighting how innovation, creativity and a conducive IP ecosystem can enhance gender equality in the development of video games and apps.  To achieve this, the session showcased the creativity and innovation of women working in the field and showed how, through different policies, equality and creative attribution </w:t>
      </w:r>
      <w:r w:rsidRPr="00524B1F">
        <w:rPr>
          <w:rFonts w:ascii="Arial" w:hAnsi="Arial" w:cs="Arial"/>
          <w:iCs/>
          <w:sz w:val="22"/>
          <w:szCs w:val="22"/>
          <w:lang w:val="en-US"/>
        </w:rPr>
        <w:lastRenderedPageBreak/>
        <w:t>can be ensured.  This event was also provided an opportunity to present practical tools that can be used by developers across the world.</w:t>
      </w:r>
    </w:p>
    <w:p w14:paraId="6A4B1F45" w14:textId="77777777" w:rsidR="00BC268B" w:rsidRPr="00524B1F" w:rsidRDefault="00BC268B" w:rsidP="00BC268B">
      <w:pPr>
        <w:pStyle w:val="ListParagraph"/>
        <w:numPr>
          <w:ilvl w:val="0"/>
          <w:numId w:val="13"/>
        </w:numPr>
        <w:spacing w:after="240" w:line="240" w:lineRule="auto"/>
        <w:ind w:left="0" w:firstLine="0"/>
        <w:contextualSpacing w:val="0"/>
        <w:rPr>
          <w:rFonts w:ascii="Arial" w:hAnsi="Arial" w:cs="Arial"/>
          <w:iCs/>
          <w:sz w:val="22"/>
          <w:szCs w:val="22"/>
          <w:lang w:val="en-US"/>
        </w:rPr>
      </w:pPr>
      <w:r w:rsidRPr="00524B1F">
        <w:rPr>
          <w:rFonts w:ascii="Arial" w:hAnsi="Arial" w:cs="Arial"/>
          <w:sz w:val="22"/>
          <w:szCs w:val="22"/>
          <w:lang w:val="en-US"/>
        </w:rPr>
        <w:t>In the year 2024, the Sector remained involved with non-governmental organizations (NGOs) and industry stakeholders.  Its work in that context included c</w:t>
      </w:r>
      <w:r w:rsidRPr="00524B1F">
        <w:rPr>
          <w:rFonts w:ascii="Arial" w:hAnsi="Arial" w:cs="Arial"/>
          <w:iCs/>
          <w:sz w:val="22"/>
          <w:szCs w:val="22"/>
          <w:lang w:val="en-US"/>
        </w:rPr>
        <w:t>oordinating and arranging meetings in Geneva, Switzerland, between technical experts from NGOs and industry partners, including the International Association for the Protection of Intellectual Property (AIPPI) and the WIPO Secretariat, to discuss core issues relating to the Diplomatic Conference to conclude an International Legal Instrument Relating to Intellectual Property, Genetic Resources and Traditional Knowledge Associated with Genetic Resources, held in May 2024, and the Diplomatic Conference to conclude and adopt a Design Law Treaty, held in November 2024.  This collaboration informed substantive discussions and strengthened support for the Conferences,</w:t>
      </w:r>
      <w:r w:rsidRPr="00BC268B">
        <w:rPr>
          <w:rStyle w:val="FootnoteReference"/>
          <w:rFonts w:ascii="Arial" w:hAnsi="Arial" w:cs="Arial"/>
          <w:iCs/>
          <w:sz w:val="22"/>
          <w:szCs w:val="22"/>
        </w:rPr>
        <w:footnoteReference w:id="99"/>
      </w:r>
      <w:r w:rsidRPr="00524B1F">
        <w:rPr>
          <w:rFonts w:ascii="Arial" w:hAnsi="Arial" w:cs="Arial"/>
          <w:iCs/>
          <w:sz w:val="22"/>
          <w:szCs w:val="22"/>
          <w:lang w:val="en-US"/>
        </w:rPr>
        <w:t xml:space="preserve"> both of which resulted in historic treaties.  Notably, the WIPO Treaty on Intellectual Property, Genetic Resources, and Associated Traditional Knowledge is the first such instrument to include provisions specifically relating to Indigenous Peoples and local communities;  NGOs representing Indigenous Peoples actively participated in the negotiations.  In addition, in July 2024, 63 representatives from 54 NGOs and industry organizations gathered in Geneva for the annual WIPO-NGO Stakeholder Dialogue with the Director General.  This event, which featured discussions on AI and IP and on Climate Change and IP, reflected the importance WIPO affords to civil society as partners in building a more inclusive global IP ecosystem.  The Sector hosted a total of nine NGO and industry delegations at WIPO Headquarters throughout 2024 for in-depth discussions on a wide range of IP-related issues.  All nine events covered topics relevant to the DA and enabled updates on collaborative efforts in support of it to be shared.  The Licensing Executives Society International (LESI), for example, supports WIPO’s work on technology transfer and the commercialization of IP, particularly for SMEs, in developing countries worldwide.  </w:t>
      </w:r>
    </w:p>
    <w:p w14:paraId="5EFB81D7" w14:textId="77777777" w:rsidR="00BC268B" w:rsidRPr="00BC268B" w:rsidRDefault="00BC268B" w:rsidP="00A30C46">
      <w:pPr>
        <w:pStyle w:val="Heading2"/>
        <w:spacing w:before="0" w:after="240"/>
        <w:rPr>
          <w:szCs w:val="22"/>
        </w:rPr>
      </w:pPr>
      <w:r w:rsidRPr="00BC268B">
        <w:rPr>
          <w:szCs w:val="22"/>
        </w:rPr>
        <w:t>IP and Youth</w:t>
      </w:r>
    </w:p>
    <w:p w14:paraId="71B104E5"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Cs/>
          <w:sz w:val="22"/>
          <w:szCs w:val="22"/>
          <w:lang w:val="en-US"/>
        </w:rPr>
      </w:pPr>
      <w:r w:rsidRPr="00524B1F">
        <w:rPr>
          <w:rFonts w:ascii="Arial" w:hAnsi="Arial" w:cs="Arial"/>
          <w:sz w:val="22"/>
          <w:szCs w:val="22"/>
          <w:lang w:val="en-US"/>
        </w:rPr>
        <w:t xml:space="preserve">In 2024, WIPO launched the Intellectual Property and Youth Empowerment Strategy </w:t>
      </w:r>
      <w:r w:rsidRPr="00524B1F">
        <w:rPr>
          <w:rFonts w:ascii="Arial" w:hAnsi="Arial" w:cs="Arial"/>
          <w:sz w:val="22"/>
          <w:szCs w:val="22"/>
          <w:lang w:val="en-US"/>
        </w:rPr>
        <w:br/>
        <w:t>(IP-YES!),</w:t>
      </w:r>
      <w:r w:rsidRPr="00BC268B">
        <w:rPr>
          <w:rStyle w:val="FootnoteReference"/>
          <w:rFonts w:ascii="Arial" w:hAnsi="Arial" w:cs="Arial"/>
          <w:sz w:val="22"/>
          <w:szCs w:val="22"/>
        </w:rPr>
        <w:footnoteReference w:id="100"/>
      </w:r>
      <w:r w:rsidRPr="00524B1F">
        <w:rPr>
          <w:rFonts w:ascii="Arial" w:hAnsi="Arial" w:cs="Arial"/>
          <w:sz w:val="22"/>
          <w:szCs w:val="22"/>
          <w:lang w:val="en-US"/>
        </w:rPr>
        <w:t xml:space="preserve"> a dedicated framework guiding the Organization’s youth engagement efforts.  </w:t>
      </w:r>
      <w:r w:rsidRPr="00524B1F">
        <w:rPr>
          <w:rFonts w:ascii="Arial" w:hAnsi="Arial" w:cs="Arial"/>
          <w:sz w:val="22"/>
          <w:szCs w:val="22"/>
          <w:lang w:val="en-US"/>
        </w:rPr>
        <w:br/>
        <w:t xml:space="preserve">IP-YES! focuses on three key action areas:  (i) </w:t>
      </w:r>
      <w:r w:rsidRPr="00524B1F">
        <w:rPr>
          <w:rFonts w:ascii="Arial" w:hAnsi="Arial" w:cs="Arial"/>
          <w:i/>
          <w:iCs/>
          <w:sz w:val="22"/>
          <w:szCs w:val="22"/>
          <w:lang w:val="en-US"/>
        </w:rPr>
        <w:t>Sparking Passion:</w:t>
      </w:r>
      <w:r w:rsidRPr="00524B1F">
        <w:rPr>
          <w:rFonts w:ascii="Arial" w:hAnsi="Arial" w:cs="Arial"/>
          <w:sz w:val="22"/>
          <w:szCs w:val="22"/>
          <w:lang w:val="en-US"/>
        </w:rPr>
        <w:t xml:space="preserve">  bringing IP closer to youth and promoting youth-led innovation and creativity;  (ii) </w:t>
      </w:r>
      <w:r w:rsidRPr="00524B1F">
        <w:rPr>
          <w:rFonts w:ascii="Arial" w:hAnsi="Arial" w:cs="Arial"/>
          <w:i/>
          <w:iCs/>
          <w:sz w:val="22"/>
          <w:szCs w:val="22"/>
          <w:lang w:val="en-US"/>
        </w:rPr>
        <w:t>Building Skills:</w:t>
      </w:r>
      <w:r w:rsidRPr="00524B1F">
        <w:rPr>
          <w:rFonts w:ascii="Arial" w:hAnsi="Arial" w:cs="Arial"/>
          <w:sz w:val="22"/>
          <w:szCs w:val="22"/>
          <w:lang w:val="en-US"/>
        </w:rPr>
        <w:t xml:space="preserve">  equipping youth with essential IP education, training, knowledge and skills;  and (iii) </w:t>
      </w:r>
      <w:r w:rsidRPr="00524B1F">
        <w:rPr>
          <w:rFonts w:ascii="Arial" w:hAnsi="Arial" w:cs="Arial"/>
          <w:i/>
          <w:iCs/>
          <w:sz w:val="22"/>
          <w:szCs w:val="22"/>
          <w:lang w:val="en-US"/>
        </w:rPr>
        <w:t>Empowering Action:</w:t>
      </w:r>
      <w:r w:rsidRPr="00524B1F">
        <w:rPr>
          <w:rFonts w:ascii="Arial" w:hAnsi="Arial" w:cs="Arial"/>
          <w:sz w:val="22"/>
          <w:szCs w:val="22"/>
          <w:lang w:val="en-US"/>
        </w:rPr>
        <w:t xml:space="preserve">  creating meaningful opportunities for youth to apply their acquired knowledge and succeed in their fields of interest.  Through this structured approach, WIPO continues to raise awareness of IP among young people.  Another major highlight of the year was the establishment of the “</w:t>
      </w:r>
      <w:r w:rsidRPr="00524B1F">
        <w:rPr>
          <w:rFonts w:ascii="Arial" w:hAnsi="Arial" w:cs="Arial"/>
          <w:i/>
          <w:iCs/>
          <w:sz w:val="22"/>
          <w:szCs w:val="22"/>
          <w:lang w:val="en-US"/>
        </w:rPr>
        <w:t>TANIT Youth Innovation Hub”</w:t>
      </w:r>
      <w:r w:rsidRPr="00524B1F">
        <w:rPr>
          <w:rFonts w:ascii="Arial" w:hAnsi="Arial" w:cs="Arial"/>
          <w:sz w:val="22"/>
          <w:szCs w:val="22"/>
          <w:lang w:val="en-US"/>
        </w:rPr>
        <w:t xml:space="preserve"> in Tunisia,</w:t>
      </w:r>
      <w:r w:rsidRPr="00BC268B">
        <w:rPr>
          <w:rStyle w:val="FootnoteReference"/>
          <w:rFonts w:ascii="Arial" w:hAnsi="Arial" w:cs="Arial"/>
          <w:sz w:val="22"/>
          <w:szCs w:val="22"/>
        </w:rPr>
        <w:footnoteReference w:id="101"/>
      </w:r>
      <w:r w:rsidRPr="00524B1F">
        <w:rPr>
          <w:rFonts w:ascii="Arial" w:hAnsi="Arial" w:cs="Arial"/>
          <w:sz w:val="22"/>
          <w:szCs w:val="22"/>
          <w:lang w:val="en-US"/>
        </w:rPr>
        <w:t xml:space="preserve"> a project developed in collaboration with the Tunisian Ministry of Youth and Sports.  The Hub, launched through a capacity-building program for 50 Tunisian youth club leaders, integrates IP education into the national innovation ecosystem, empowering young people with the skills to protect and commercialize their innovations.  WIPO also further deepened its partnerships with key global players, reinforcing the role of IP in youth-driven sustainable business models.  As a core partner of the </w:t>
      </w:r>
      <w:r w:rsidRPr="00524B1F">
        <w:rPr>
          <w:rFonts w:ascii="Arial" w:hAnsi="Arial" w:cs="Arial"/>
          <w:i/>
          <w:iCs/>
          <w:sz w:val="22"/>
          <w:szCs w:val="22"/>
          <w:lang w:val="en-US"/>
        </w:rPr>
        <w:t>ITC Youth Ecopreneur Program</w:t>
      </w:r>
      <w:r w:rsidRPr="00524B1F">
        <w:rPr>
          <w:rFonts w:ascii="Arial" w:hAnsi="Arial" w:cs="Arial"/>
          <w:sz w:val="22"/>
          <w:szCs w:val="22"/>
          <w:lang w:val="en-US"/>
        </w:rPr>
        <w:t xml:space="preserve">, WIPO provided specialized IP training to young entrepreneurs, equipping them with strategies to integrate IP into their business plans and practices.  Furthermore, WIPO co-led the </w:t>
      </w:r>
      <w:r w:rsidRPr="00524B1F">
        <w:rPr>
          <w:rFonts w:ascii="Arial" w:hAnsi="Arial" w:cs="Arial"/>
          <w:i/>
          <w:iCs/>
          <w:sz w:val="22"/>
          <w:szCs w:val="22"/>
          <w:lang w:val="en-US"/>
        </w:rPr>
        <w:t>ECOSOC Youth Forum</w:t>
      </w:r>
      <w:r w:rsidRPr="00524B1F">
        <w:rPr>
          <w:rFonts w:ascii="Arial" w:hAnsi="Arial" w:cs="Arial"/>
          <w:sz w:val="22"/>
          <w:szCs w:val="22"/>
          <w:lang w:val="en-US"/>
        </w:rPr>
        <w:t>,</w:t>
      </w:r>
      <w:r w:rsidRPr="00BC268B">
        <w:rPr>
          <w:rStyle w:val="FootnoteReference"/>
          <w:rFonts w:ascii="Arial" w:hAnsi="Arial" w:cs="Arial"/>
          <w:sz w:val="22"/>
          <w:szCs w:val="22"/>
        </w:rPr>
        <w:footnoteReference w:id="102"/>
      </w:r>
      <w:r w:rsidRPr="00524B1F">
        <w:rPr>
          <w:rFonts w:ascii="Arial" w:hAnsi="Arial" w:cs="Arial"/>
          <w:sz w:val="22"/>
          <w:szCs w:val="22"/>
          <w:lang w:val="en-US"/>
        </w:rPr>
        <w:t xml:space="preserve"> a space for intergenerational dialogue that brought together Ministers of Youth from Colombia, Nigeria, Sierra Leone and Uganda with young entrepreneurs and youth leaders to explore how IP can drive innovation and create opportunities.  </w:t>
      </w:r>
      <w:r w:rsidRPr="00BC268B">
        <w:rPr>
          <w:rFonts w:ascii="Arial" w:hAnsi="Arial" w:cs="Arial"/>
          <w:sz w:val="22"/>
          <w:szCs w:val="22"/>
          <w:lang w:val="en-US"/>
        </w:rPr>
        <w:t xml:space="preserve">In recognition of the new careers emerging in the digital economy, WIPO also launched the </w:t>
      </w:r>
      <w:r w:rsidRPr="00BC268B">
        <w:rPr>
          <w:rFonts w:ascii="Arial" w:hAnsi="Arial" w:cs="Arial"/>
          <w:i/>
          <w:iCs/>
          <w:sz w:val="22"/>
          <w:szCs w:val="22"/>
          <w:lang w:val="en-US"/>
        </w:rPr>
        <w:t xml:space="preserve">Online Branding Bootcamp </w:t>
      </w:r>
      <w:r w:rsidRPr="00BC268B">
        <w:rPr>
          <w:rFonts w:ascii="Arial" w:hAnsi="Arial" w:cs="Arial"/>
          <w:i/>
          <w:iCs/>
          <w:sz w:val="22"/>
          <w:szCs w:val="22"/>
          <w:lang w:val="en-US"/>
        </w:rPr>
        <w:lastRenderedPageBreak/>
        <w:t>for Young Content Creators</w:t>
      </w:r>
      <w:r w:rsidRPr="00BC268B">
        <w:rPr>
          <w:rFonts w:ascii="Arial" w:hAnsi="Arial" w:cs="Arial"/>
          <w:sz w:val="22"/>
          <w:szCs w:val="22"/>
          <w:lang w:val="en-US"/>
        </w:rPr>
        <w:t>,</w:t>
      </w:r>
      <w:r w:rsidRPr="00BC268B">
        <w:rPr>
          <w:rStyle w:val="FootnoteReference"/>
          <w:rFonts w:ascii="Arial" w:hAnsi="Arial" w:cs="Arial"/>
          <w:sz w:val="22"/>
          <w:szCs w:val="22"/>
        </w:rPr>
        <w:footnoteReference w:id="103"/>
      </w:r>
      <w:r w:rsidRPr="00BC268B">
        <w:rPr>
          <w:rFonts w:ascii="Arial" w:hAnsi="Arial" w:cs="Arial"/>
          <w:sz w:val="22"/>
          <w:szCs w:val="22"/>
          <w:lang w:val="en-US"/>
        </w:rPr>
        <w:t xml:space="preserve"> which addressed the evolving landscape of social media entrepreneurship and influencer culture.  The Bootcamp provided intensive learning on how to leverage IP to build and protect online brands, navigate platform algorithms and commercialize creative output.  In addition, WIPO, in collaboration with the International Federation of Pharmaceutical Manufacturers and Associations, hosted an innovative Intergenerational Dialogue during the WIPO Assemblies.</w:t>
      </w:r>
      <w:r w:rsidRPr="00BC268B">
        <w:rPr>
          <w:rStyle w:val="FootnoteReference"/>
          <w:rFonts w:ascii="Arial" w:hAnsi="Arial" w:cs="Arial"/>
          <w:sz w:val="22"/>
          <w:szCs w:val="22"/>
        </w:rPr>
        <w:footnoteReference w:id="104"/>
      </w:r>
      <w:r w:rsidRPr="00BC268B">
        <w:rPr>
          <w:rFonts w:ascii="Arial" w:hAnsi="Arial" w:cs="Arial"/>
          <w:sz w:val="22"/>
          <w:szCs w:val="22"/>
          <w:lang w:val="en-US"/>
        </w:rPr>
        <w:t xml:space="preserve"> Designed as a public mentorship session, the event provided both young and seasoned innovators in the life sciences sector with an opportunity to share their IP journeys and discuss challenges and opportunities in IP administration and regulation at the national level.</w:t>
      </w:r>
    </w:p>
    <w:p w14:paraId="2F15C5B2" w14:textId="77777777" w:rsidR="00BC268B" w:rsidRPr="00BC268B" w:rsidRDefault="00BC268B" w:rsidP="00A30C46">
      <w:pPr>
        <w:pStyle w:val="Heading2"/>
        <w:spacing w:before="0" w:after="240"/>
        <w:rPr>
          <w:szCs w:val="22"/>
        </w:rPr>
      </w:pPr>
      <w:r w:rsidRPr="00BC268B">
        <w:rPr>
          <w:szCs w:val="22"/>
        </w:rPr>
        <w:t xml:space="preserve">WIPO Green </w:t>
      </w:r>
    </w:p>
    <w:p w14:paraId="714E04EB" w14:textId="77777777" w:rsidR="00BC268B" w:rsidRPr="00BC268B" w:rsidRDefault="00BC268B" w:rsidP="00BC268B">
      <w:pPr>
        <w:pStyle w:val="ListParagraph"/>
        <w:numPr>
          <w:ilvl w:val="0"/>
          <w:numId w:val="13"/>
        </w:numPr>
        <w:shd w:val="clear" w:color="auto" w:fill="FFFFFF" w:themeFill="background1"/>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In 2024, the WIPO GREEN database reached the milestone of cataloging over 130,000 green technologies.  Since its inception, the platform has facilitated more than 1,000 connections among network members.  Seven private and public institutions</w:t>
      </w:r>
      <w:r w:rsidRPr="00BC268B">
        <w:rPr>
          <w:rStyle w:val="FootnoteReference"/>
          <w:rFonts w:ascii="Arial" w:hAnsi="Arial" w:cs="Arial"/>
          <w:sz w:val="22"/>
          <w:szCs w:val="22"/>
        </w:rPr>
        <w:footnoteReference w:id="105"/>
      </w:r>
      <w:r w:rsidRPr="00BC268B">
        <w:rPr>
          <w:rFonts w:ascii="Arial" w:hAnsi="Arial" w:cs="Arial"/>
          <w:sz w:val="22"/>
          <w:szCs w:val="22"/>
          <w:lang w:val="en-US"/>
        </w:rPr>
        <w:t xml:space="preserve"> joined WIPO GREEN in the reporting year, bringing its total number of partners to 157.</w:t>
      </w:r>
      <w:r w:rsidRPr="00BC268B">
        <w:rPr>
          <w:rStyle w:val="FootnoteReference"/>
          <w:rFonts w:ascii="Arial" w:hAnsi="Arial" w:cs="Arial"/>
          <w:sz w:val="22"/>
          <w:szCs w:val="22"/>
        </w:rPr>
        <w:footnoteReference w:id="106"/>
      </w:r>
      <w:r w:rsidRPr="00BC268B">
        <w:rPr>
          <w:rFonts w:ascii="Arial" w:hAnsi="Arial" w:cs="Arial"/>
          <w:sz w:val="22"/>
          <w:szCs w:val="22"/>
          <w:lang w:val="en-US"/>
        </w:rPr>
        <w:t xml:space="preserve">  The growing global team of partners, including Fortune 500 companies, SMEs and IP Offices, worked together to facilitate green technology exchanges, Acceleration Projects, and stakeholder collaboration, with the ultimate goal of increasing the deployment of environmentally friendly solutions to combat climate change.  In 2024, the Sector launched the third edition of the </w:t>
      </w:r>
      <w:r w:rsidRPr="00BC268B">
        <w:rPr>
          <w:rFonts w:ascii="Arial" w:hAnsi="Arial" w:cs="Arial"/>
          <w:i/>
          <w:iCs/>
          <w:sz w:val="22"/>
          <w:szCs w:val="22"/>
          <w:lang w:val="en-US"/>
        </w:rPr>
        <w:t>Green Technology Book:  Energy Solutions for Climate Change,</w:t>
      </w:r>
      <w:r w:rsidRPr="00BC268B">
        <w:rPr>
          <w:rStyle w:val="FootnoteReference"/>
          <w:rFonts w:ascii="Arial" w:hAnsi="Arial" w:cs="Arial"/>
          <w:sz w:val="22"/>
          <w:szCs w:val="22"/>
        </w:rPr>
        <w:footnoteReference w:id="107"/>
      </w:r>
      <w:r w:rsidRPr="00BC268B">
        <w:rPr>
          <w:rFonts w:ascii="Arial" w:hAnsi="Arial" w:cs="Arial"/>
          <w:sz w:val="22"/>
          <w:szCs w:val="22"/>
          <w:lang w:val="en-US"/>
        </w:rPr>
        <w:t xml:space="preserve"> at the 29</w:t>
      </w:r>
      <w:r w:rsidRPr="00BC268B">
        <w:rPr>
          <w:rFonts w:ascii="Arial" w:hAnsi="Arial" w:cs="Arial"/>
          <w:sz w:val="22"/>
          <w:szCs w:val="22"/>
          <w:vertAlign w:val="superscript"/>
          <w:lang w:val="en-US"/>
        </w:rPr>
        <w:t>th</w:t>
      </w:r>
      <w:r w:rsidRPr="00BC268B">
        <w:rPr>
          <w:rFonts w:ascii="Arial" w:hAnsi="Arial" w:cs="Arial"/>
          <w:sz w:val="22"/>
          <w:szCs w:val="22"/>
          <w:lang w:val="en-US"/>
        </w:rPr>
        <w:t xml:space="preserve"> Conference of the Parties </w:t>
      </w:r>
      <w:r w:rsidRPr="00BC268B">
        <w:rPr>
          <w:rFonts w:ascii="Arial" w:eastAsia="Times New Roman" w:hAnsi="Arial" w:cs="Arial"/>
          <w:sz w:val="22"/>
          <w:szCs w:val="22"/>
          <w:lang w:val="en-US" w:eastAsia="fr-CH"/>
        </w:rPr>
        <w:t xml:space="preserve">to the United Nations Framework Convention on Climate Change </w:t>
      </w:r>
      <w:r w:rsidRPr="00BC268B">
        <w:rPr>
          <w:rFonts w:ascii="Arial" w:hAnsi="Arial" w:cs="Arial"/>
          <w:sz w:val="22"/>
          <w:szCs w:val="22"/>
          <w:lang w:val="en-US"/>
        </w:rPr>
        <w:t xml:space="preserve">in Baku, Azerbaijan.  This third edition of the </w:t>
      </w:r>
      <w:r w:rsidRPr="00BC268B">
        <w:rPr>
          <w:rFonts w:ascii="Arial" w:hAnsi="Arial" w:cs="Arial"/>
          <w:i/>
          <w:iCs/>
          <w:sz w:val="22"/>
          <w:szCs w:val="22"/>
          <w:lang w:val="en-US"/>
        </w:rPr>
        <w:t>Green Technology Book</w:t>
      </w:r>
      <w:r w:rsidRPr="00BC268B">
        <w:rPr>
          <w:rFonts w:ascii="Arial" w:hAnsi="Arial" w:cs="Arial"/>
          <w:sz w:val="22"/>
          <w:szCs w:val="22"/>
          <w:lang w:val="en-US"/>
        </w:rPr>
        <w:t xml:space="preserve"> takes a fresh look at the state of technologies aimed at responding to some of the most critical environmental challenges of our time, and was produced in cooperation with the Climate Technology Center and Network (CTCN) and the Egyptian Academy of Scientific Research and Technology (ASTR).  Focused on energy solutions, it provides practical guidance on how new and upcoming technologies can help efforts to mitigate and adapt to climate change within cities, rural areas and in the service sector, including supermarkets, health facilities and data centers.  This edition of the </w:t>
      </w:r>
      <w:r w:rsidRPr="00BC268B">
        <w:rPr>
          <w:rFonts w:ascii="Arial" w:hAnsi="Arial" w:cs="Arial"/>
          <w:i/>
          <w:iCs/>
          <w:sz w:val="22"/>
          <w:szCs w:val="22"/>
          <w:lang w:val="en-US"/>
        </w:rPr>
        <w:t>Green Technology Book</w:t>
      </w:r>
      <w:r w:rsidRPr="00BC268B">
        <w:rPr>
          <w:rFonts w:ascii="Arial" w:hAnsi="Arial" w:cs="Arial"/>
          <w:sz w:val="22"/>
          <w:szCs w:val="22"/>
          <w:lang w:val="en-US"/>
        </w:rPr>
        <w:t xml:space="preserve"> follows the publications on </w:t>
      </w:r>
      <w:r w:rsidRPr="00BC268B">
        <w:rPr>
          <w:rFonts w:ascii="Arial" w:hAnsi="Arial" w:cs="Arial"/>
          <w:i/>
          <w:iCs/>
          <w:sz w:val="22"/>
          <w:szCs w:val="22"/>
          <w:lang w:val="en-US"/>
        </w:rPr>
        <w:t>Solutions for Climate Change Adaptation</w:t>
      </w:r>
      <w:r w:rsidRPr="00BC268B">
        <w:rPr>
          <w:rFonts w:ascii="Arial" w:hAnsi="Arial" w:cs="Arial"/>
          <w:sz w:val="22"/>
          <w:szCs w:val="22"/>
          <w:lang w:val="en-US"/>
        </w:rPr>
        <w:t xml:space="preserve"> (2022) and </w:t>
      </w:r>
      <w:r w:rsidRPr="00BC268B">
        <w:rPr>
          <w:rFonts w:ascii="Arial" w:hAnsi="Arial" w:cs="Arial"/>
          <w:i/>
          <w:iCs/>
          <w:sz w:val="22"/>
          <w:szCs w:val="22"/>
          <w:lang w:val="en-US"/>
        </w:rPr>
        <w:t>Solutions for Climate Change Mitigation</w:t>
      </w:r>
      <w:r w:rsidRPr="00BC268B">
        <w:rPr>
          <w:rFonts w:ascii="Arial" w:hAnsi="Arial" w:cs="Arial"/>
          <w:sz w:val="22"/>
          <w:szCs w:val="22"/>
          <w:lang w:val="en-US"/>
        </w:rPr>
        <w:t xml:space="preserve"> (2023).  Over 1,000 technologies have been identified in the WIPO GREEN database in relation to the </w:t>
      </w:r>
      <w:r w:rsidRPr="00BC268B">
        <w:rPr>
          <w:rFonts w:ascii="Arial" w:hAnsi="Arial" w:cs="Arial"/>
          <w:i/>
          <w:iCs/>
          <w:sz w:val="22"/>
          <w:szCs w:val="22"/>
          <w:lang w:val="en-US"/>
        </w:rPr>
        <w:t>Green Technology Book</w:t>
      </w:r>
      <w:r w:rsidRPr="00BC268B">
        <w:rPr>
          <w:rFonts w:ascii="Arial" w:hAnsi="Arial" w:cs="Arial"/>
          <w:sz w:val="22"/>
          <w:szCs w:val="22"/>
          <w:lang w:val="en-US"/>
        </w:rPr>
        <w:t>.</w:t>
      </w:r>
      <w:r w:rsidRPr="00BC268B">
        <w:rPr>
          <w:rStyle w:val="FootnoteReference"/>
          <w:rFonts w:ascii="Arial" w:hAnsi="Arial" w:cs="Arial"/>
          <w:sz w:val="22"/>
          <w:szCs w:val="22"/>
        </w:rPr>
        <w:footnoteReference w:id="108"/>
      </w:r>
    </w:p>
    <w:p w14:paraId="591FA19B"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iCs/>
          <w:sz w:val="22"/>
          <w:szCs w:val="22"/>
          <w:lang w:val="en-US"/>
        </w:rPr>
        <w:t>The WIPO GREEN Acceleration Projects</w:t>
      </w:r>
      <w:r w:rsidRPr="00BC268B">
        <w:rPr>
          <w:rStyle w:val="FootnoteReference"/>
          <w:rFonts w:ascii="Arial" w:hAnsi="Arial" w:cs="Arial"/>
          <w:sz w:val="22"/>
          <w:szCs w:val="22"/>
        </w:rPr>
        <w:footnoteReference w:id="109"/>
      </w:r>
      <w:r w:rsidRPr="00BC268B">
        <w:rPr>
          <w:rFonts w:ascii="Arial" w:hAnsi="Arial" w:cs="Arial"/>
          <w:iCs/>
          <w:sz w:val="22"/>
          <w:szCs w:val="22"/>
          <w:lang w:val="en-US"/>
        </w:rPr>
        <w:t xml:space="preserve"> remained as the platform’s core means of engagement in 2024.  These projects are focused on a particular geographical area or technological domain, where providers and seekers make crucial connections that can lead to the deployment or transfer of green technologies, generating knowledge about the green technology landscape and providing a gateway to potential funding, legal counsel, and local and international commercial</w:t>
      </w:r>
      <w:r w:rsidRPr="00BC268B">
        <w:rPr>
          <w:rFonts w:ascii="Arial" w:hAnsi="Arial" w:cs="Arial"/>
          <w:sz w:val="22"/>
          <w:szCs w:val="22"/>
          <w:lang w:val="en-US"/>
        </w:rPr>
        <w:t xml:space="preserve"> networks.  Through funding provided by Funds-in-Trust Japan, WIPO GREEN continued its Acceleration Project in Latin America</w:t>
      </w:r>
      <w:r w:rsidRPr="00BC268B">
        <w:rPr>
          <w:rStyle w:val="FootnoteReference"/>
          <w:rFonts w:ascii="Arial" w:hAnsi="Arial" w:cs="Arial"/>
          <w:sz w:val="22"/>
          <w:szCs w:val="22"/>
        </w:rPr>
        <w:footnoteReference w:id="110"/>
      </w:r>
      <w:r w:rsidRPr="00BC268B">
        <w:rPr>
          <w:rFonts w:ascii="Arial" w:hAnsi="Arial" w:cs="Arial"/>
          <w:sz w:val="22"/>
          <w:szCs w:val="22"/>
          <w:lang w:val="en-US"/>
        </w:rPr>
        <w:t xml:space="preserve"> in 2024, which was aimed at identifying sustainable technology solutions related to Climate Smart Agriculture and further connecting technology seekers and providers.  National IP Offices and other government entities in Argentina, Brazil, Chile and Peru are partners in the project, the fourth phase of which has an increased focus on matchmaking.  There are currently 251 technology solutions and 138 needs uploaded to the LAC Climate Smart Agriculture collection on the WIPO GREEN database.  In total, 19 matches and 15 connections have been made in Phase III.  The ongoing </w:t>
      </w:r>
      <w:r w:rsidRPr="00BC268B">
        <w:rPr>
          <w:rFonts w:ascii="Arial" w:hAnsi="Arial" w:cs="Arial"/>
          <w:sz w:val="22"/>
          <w:szCs w:val="22"/>
          <w:lang w:val="en-US"/>
        </w:rPr>
        <w:lastRenderedPageBreak/>
        <w:t>Acceleration Project in China remained dedicated to seeking solutions to urban environmental needs.</w:t>
      </w:r>
      <w:r w:rsidRPr="00BC268B">
        <w:rPr>
          <w:rStyle w:val="FootnoteReference"/>
          <w:rFonts w:ascii="Arial" w:hAnsi="Arial" w:cs="Arial"/>
          <w:sz w:val="22"/>
          <w:szCs w:val="22"/>
        </w:rPr>
        <w:footnoteReference w:id="111"/>
      </w:r>
      <w:r w:rsidRPr="00BC268B">
        <w:rPr>
          <w:rFonts w:ascii="Arial" w:hAnsi="Arial" w:cs="Arial"/>
          <w:sz w:val="22"/>
          <w:szCs w:val="22"/>
          <w:lang w:val="en-US"/>
        </w:rPr>
        <w:t xml:space="preserve">  The project’s objective was to support China in achieving its commitment to reduce carbon emissions by 2030 and reach carbon neutrality by 2060.  The project had an initial focus on Beijing with expected expansion into other large cities in 2025.  Throughout the reporting year, three agreements have resulted from this project:  one related to green waste treatment;  another one related to an AI-based energy storage system;  and one related to smart lighting services.  Five connections have also been established.  The project continuation is envisaged through 2025 with an expansion into Shanghai, Chongqing and Hainan.  Regarding the Acceleration Project in Indonesia, a new catalogue of technological solutions for the treatment of Palm Oil Mill Effluents (POME) was developed in 2024.  The Sector continued its efforts to influence decision-makers to adopt methane emission-reduction technologies throughout the year.  In addition, the WIPO GREEN Acceleration Project on Access to Water in Tajikistan aimed at creating resilient access to clean water, improved sanitary conditions, improved quality of life and additional employment opportunities in the rural mountainous areas of Tajikistan.  Three matches have arisen from this project:</w:t>
      </w:r>
      <w:r w:rsidRPr="00BC268B">
        <w:rPr>
          <w:rStyle w:val="FootnoteReference"/>
          <w:rFonts w:ascii="Arial" w:hAnsi="Arial" w:cs="Arial"/>
          <w:sz w:val="22"/>
          <w:szCs w:val="22"/>
        </w:rPr>
        <w:footnoteReference w:id="112"/>
      </w:r>
      <w:r w:rsidRPr="00BC268B">
        <w:rPr>
          <w:rFonts w:ascii="Arial" w:hAnsi="Arial" w:cs="Arial"/>
          <w:sz w:val="22"/>
          <w:szCs w:val="22"/>
          <w:lang w:val="en-US"/>
        </w:rPr>
        <w:t xml:space="preserve">  one related to increasing water supply with renewable energy in a recreational compound;  and another one related to increasing water supplies in an orphanage and boarding school, respectively.  </w:t>
      </w:r>
    </w:p>
    <w:p w14:paraId="2D87A96D"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The early stages of a new Acceleration Project in India, entitled </w:t>
      </w:r>
      <w:r w:rsidRPr="00BC268B">
        <w:rPr>
          <w:rFonts w:ascii="Arial" w:hAnsi="Arial" w:cs="Arial"/>
          <w:i/>
          <w:iCs/>
          <w:sz w:val="22"/>
          <w:szCs w:val="22"/>
          <w:lang w:val="en-US"/>
        </w:rPr>
        <w:t>Accelerating Carbon Neutral Food Production</w:t>
      </w:r>
      <w:r w:rsidRPr="00BC268B">
        <w:rPr>
          <w:rFonts w:ascii="Arial" w:hAnsi="Arial" w:cs="Arial"/>
          <w:sz w:val="22"/>
          <w:szCs w:val="22"/>
          <w:lang w:val="en-US"/>
        </w:rPr>
        <w:t xml:space="preserve"> and</w:t>
      </w:r>
      <w:r w:rsidRPr="00BC268B">
        <w:rPr>
          <w:rFonts w:ascii="Arial" w:hAnsi="Arial" w:cs="Arial"/>
          <w:i/>
          <w:iCs/>
          <w:sz w:val="22"/>
          <w:szCs w:val="22"/>
          <w:lang w:val="en-US"/>
        </w:rPr>
        <w:t xml:space="preserve"> </w:t>
      </w:r>
      <w:r w:rsidRPr="00BC268B">
        <w:rPr>
          <w:rFonts w:ascii="Arial" w:hAnsi="Arial" w:cs="Arial"/>
          <w:sz w:val="22"/>
          <w:szCs w:val="22"/>
          <w:lang w:val="en-US"/>
        </w:rPr>
        <w:t>funded by Funds-in-Trust Japan, began to take shape in 2024.  The aim of the project is to mobilize innovative new technologies that can support adaptation practices for carbon-neutral food production in order to meet environmental and climate-related challenges in the Indian agriculture sector.  Similarly, in late 2024, the groundwork was laid for a new Acceleration Project in the Lao People’s Democratic Republic, with a focus on climate change adaptation within the coffee sector.  The projects in India and the Lao People’s Democratic Republic are expected to continue throughout 2025.</w:t>
      </w:r>
    </w:p>
    <w:p w14:paraId="487B8693" w14:textId="77777777" w:rsidR="00BC268B" w:rsidRPr="00BC268B" w:rsidRDefault="00BC268B" w:rsidP="00BC268B">
      <w:pPr>
        <w:pStyle w:val="ListParagraph"/>
        <w:numPr>
          <w:ilvl w:val="0"/>
          <w:numId w:val="13"/>
        </w:numPr>
        <w:shd w:val="clear" w:color="auto" w:fill="FFFFFF" w:themeFill="background1"/>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The IPO GREEN</w:t>
      </w:r>
      <w:r w:rsidRPr="00BC268B">
        <w:rPr>
          <w:rStyle w:val="FootnoteReference"/>
          <w:rFonts w:ascii="Arial" w:hAnsi="Arial" w:cs="Arial"/>
          <w:sz w:val="22"/>
          <w:szCs w:val="22"/>
        </w:rPr>
        <w:footnoteReference w:id="113"/>
      </w:r>
      <w:r w:rsidRPr="00BC268B">
        <w:rPr>
          <w:rFonts w:ascii="Arial" w:hAnsi="Arial" w:cs="Arial"/>
          <w:sz w:val="22"/>
          <w:szCs w:val="22"/>
          <w:lang w:val="en-US"/>
        </w:rPr>
        <w:t xml:space="preserve"> initiative brings </w:t>
      </w:r>
      <w:bookmarkStart w:id="28" w:name="_Hlk191128943"/>
      <w:r w:rsidRPr="00BC268B">
        <w:rPr>
          <w:rFonts w:ascii="Arial" w:hAnsi="Arial" w:cs="Arial"/>
          <w:sz w:val="22"/>
          <w:szCs w:val="22"/>
          <w:lang w:val="en-US"/>
        </w:rPr>
        <w:t xml:space="preserve">IP Offices (IPO) </w:t>
      </w:r>
      <w:bookmarkEnd w:id="28"/>
      <w:r w:rsidRPr="00BC268B">
        <w:rPr>
          <w:rFonts w:ascii="Arial" w:hAnsi="Arial" w:cs="Arial"/>
          <w:sz w:val="22"/>
          <w:szCs w:val="22"/>
          <w:lang w:val="en-US"/>
        </w:rPr>
        <w:t>together to share their experiences and insights.  It provides research and analysis about IPO activities that help to stimulate the development and deployment of new green technology solutions.  As IPOs have already launched a broad range of policies and programs to accelerate the green transition, WIPO GREEN has prepared concept notes on the types of policies that other IPOs may wish to use as a reference or inspiration.  By the end of 2024, the IPO Green Webinar Series</w:t>
      </w:r>
      <w:r w:rsidRPr="00BC268B">
        <w:rPr>
          <w:rStyle w:val="FootnoteReference"/>
          <w:rFonts w:ascii="Arial" w:hAnsi="Arial" w:cs="Arial"/>
          <w:sz w:val="22"/>
          <w:szCs w:val="22"/>
        </w:rPr>
        <w:footnoteReference w:id="114"/>
      </w:r>
      <w:r w:rsidRPr="00BC268B">
        <w:rPr>
          <w:rFonts w:ascii="Arial" w:hAnsi="Arial" w:cs="Arial"/>
          <w:sz w:val="22"/>
          <w:szCs w:val="22"/>
          <w:lang w:val="en-US"/>
        </w:rPr>
        <w:t xml:space="preserve"> had run 18 webinars to date and has provided a platform for IPOs from across the globe to share their experiences and good practices in implementing sustainability-related initiatives.</w:t>
      </w:r>
    </w:p>
    <w:p w14:paraId="45E69649" w14:textId="77777777" w:rsidR="00BC268B" w:rsidRPr="00BC268B" w:rsidRDefault="00BC268B" w:rsidP="00A30C46">
      <w:pPr>
        <w:pStyle w:val="Heading2"/>
        <w:spacing w:before="0" w:after="240"/>
        <w:rPr>
          <w:szCs w:val="22"/>
        </w:rPr>
      </w:pPr>
      <w:r w:rsidRPr="00BC268B">
        <w:rPr>
          <w:szCs w:val="22"/>
        </w:rPr>
        <w:t>Building respect for IP</w:t>
      </w:r>
    </w:p>
    <w:p w14:paraId="3A20430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Over the course of 2024, the Sector remained dedicated to assisting Member States in establishing a sustainable environment of respect for IP, with due consideration of broader societal interests and development-oriented concerns, in accordance with the DA Recommendation 45.  Legislative assistance was provided to nine</w:t>
      </w:r>
      <w:r w:rsidRPr="00BC268B">
        <w:rPr>
          <w:rStyle w:val="FootnoteReference"/>
          <w:rFonts w:ascii="Arial" w:hAnsi="Arial" w:cs="Arial"/>
          <w:sz w:val="22"/>
          <w:szCs w:val="22"/>
        </w:rPr>
        <w:footnoteReference w:id="115"/>
      </w:r>
      <w:r w:rsidRPr="00BC268B">
        <w:rPr>
          <w:rFonts w:ascii="Arial" w:hAnsi="Arial" w:cs="Arial"/>
          <w:sz w:val="22"/>
          <w:szCs w:val="22"/>
          <w:lang w:val="en-US"/>
        </w:rPr>
        <w:t xml:space="preserve"> Member States in the process of amending or adopting relevant legal frameworks on effective IP enforcement, in line with Part III of the TRIPS Agreement.  Nine</w:t>
      </w:r>
      <w:r w:rsidRPr="00BC268B">
        <w:rPr>
          <w:rStyle w:val="FootnoteReference"/>
          <w:rFonts w:ascii="Arial" w:hAnsi="Arial" w:cs="Arial"/>
          <w:sz w:val="22"/>
          <w:szCs w:val="22"/>
        </w:rPr>
        <w:footnoteReference w:id="116"/>
      </w:r>
      <w:r w:rsidRPr="00BC268B">
        <w:rPr>
          <w:rFonts w:ascii="Arial" w:hAnsi="Arial" w:cs="Arial"/>
          <w:sz w:val="22"/>
          <w:szCs w:val="22"/>
          <w:lang w:val="en-US"/>
        </w:rPr>
        <w:t xml:space="preserve"> capacity-building and training activities, either online or in a hybrid format, were organized to address issues related to IP enforcement and building respect for IP at the national, subregional or regional level.</w:t>
      </w:r>
      <w:r w:rsidRPr="00BC268B">
        <w:rPr>
          <w:rStyle w:val="FootnoteReference"/>
          <w:rFonts w:ascii="Arial" w:hAnsi="Arial" w:cs="Arial"/>
          <w:sz w:val="22"/>
          <w:szCs w:val="22"/>
        </w:rPr>
        <w:footnoteReference w:id="117"/>
      </w:r>
      <w:r w:rsidRPr="00BC268B">
        <w:rPr>
          <w:rFonts w:ascii="Arial" w:hAnsi="Arial" w:cs="Arial"/>
          <w:sz w:val="22"/>
          <w:szCs w:val="22"/>
          <w:lang w:val="en-US"/>
        </w:rPr>
        <w:t xml:space="preserve">  Close collaboration with </w:t>
      </w:r>
      <w:r w:rsidRPr="00BC268B">
        <w:rPr>
          <w:rFonts w:ascii="Arial" w:hAnsi="Arial" w:cs="Arial"/>
          <w:sz w:val="22"/>
          <w:szCs w:val="22"/>
          <w:lang w:val="en-US"/>
        </w:rPr>
        <w:lastRenderedPageBreak/>
        <w:t>intergovernmental organizations, NGOs and Member States to strengthen international efforts to increase IP enforcement capacities and build respect for IP continued to be a key part of the Sector’s initiatives.  In this regard, the Sector organized the annual “</w:t>
      </w:r>
      <w:r w:rsidRPr="00BC268B">
        <w:rPr>
          <w:rFonts w:ascii="Arial" w:hAnsi="Arial" w:cs="Arial"/>
          <w:i/>
          <w:iCs/>
          <w:sz w:val="22"/>
          <w:szCs w:val="22"/>
          <w:lang w:val="en-US"/>
        </w:rPr>
        <w:t>Coordination Meeting with Private Sectors Associations (PSAs) on IP Enforcement”</w:t>
      </w:r>
      <w:r w:rsidRPr="00BC268B">
        <w:rPr>
          <w:rFonts w:ascii="Arial" w:hAnsi="Arial" w:cs="Arial"/>
          <w:sz w:val="22"/>
          <w:szCs w:val="22"/>
          <w:lang w:val="en-US"/>
        </w:rPr>
        <w:t>,</w:t>
      </w:r>
      <w:r w:rsidRPr="00BC268B">
        <w:rPr>
          <w:rStyle w:val="FootnoteReference"/>
          <w:rFonts w:ascii="Arial" w:hAnsi="Arial" w:cs="Arial"/>
          <w:sz w:val="22"/>
          <w:szCs w:val="22"/>
        </w:rPr>
        <w:footnoteReference w:id="118"/>
      </w:r>
      <w:r w:rsidRPr="00BC268B">
        <w:rPr>
          <w:rFonts w:ascii="Arial" w:hAnsi="Arial" w:cs="Arial"/>
          <w:sz w:val="22"/>
          <w:szCs w:val="22"/>
          <w:lang w:val="en-US"/>
        </w:rPr>
        <w:t xml:space="preserve"> on November 5, 2024.  The meeting included fifteen PSAs that are working in the area of IP enforcement and building respect for IP to share updates on their efforts against counterfeiting and piracy, and to discuss ideas for possible collaboration.  In addition, the Sector continued to strengthen its outreach and awareness</w:t>
      </w:r>
      <w:r w:rsidRPr="00BC268B">
        <w:rPr>
          <w:rFonts w:ascii="Arial" w:hAnsi="Arial" w:cs="Arial"/>
          <w:sz w:val="22"/>
          <w:szCs w:val="22"/>
          <w:lang w:val="en-US"/>
        </w:rPr>
        <w:noBreakHyphen/>
        <w:t>raising efforts.  In particular, the WIPO-ARIPO IP Club project was expanded in 2024, reaching over 300 students and 30 teachers across 15 schools in Liberia, Malawi and Zimbabwe, with Liberia taking part for the first time.  Preparations are underway to expand the project to five additional countries in 2025.  Moreover, Phase II of the trial deployment of the WIPO Consumer Survey Toolkit in the Philippines, consisting of an awareness-raising campaign on the importance of respecting copyright, was successfully completed.  It was designed on the basis of the results of the consumer survey (Phase I).  Furthermore, the Arabic-language version of the IP Challenge game was launched in 2024,</w:t>
      </w:r>
      <w:r w:rsidRPr="00BC268B">
        <w:rPr>
          <w:rStyle w:val="FootnoteReference"/>
          <w:rFonts w:ascii="Arial" w:hAnsi="Arial" w:cs="Arial"/>
          <w:sz w:val="22"/>
          <w:szCs w:val="22"/>
        </w:rPr>
        <w:footnoteReference w:id="119"/>
      </w:r>
      <w:r w:rsidRPr="00BC268B">
        <w:rPr>
          <w:rFonts w:ascii="Arial" w:hAnsi="Arial" w:cs="Arial"/>
          <w:sz w:val="22"/>
          <w:szCs w:val="22"/>
          <w:lang w:val="en-US"/>
        </w:rPr>
        <w:t xml:space="preserve"> bringing the total number of versions in different languages to seven.</w:t>
      </w:r>
    </w:p>
    <w:p w14:paraId="02B8AC48" w14:textId="77777777" w:rsidR="00BC268B" w:rsidRPr="00BC268B" w:rsidRDefault="00BC268B" w:rsidP="00A30C46">
      <w:pPr>
        <w:pStyle w:val="Heading2"/>
        <w:spacing w:before="0" w:after="240"/>
        <w:rPr>
          <w:szCs w:val="22"/>
        </w:rPr>
      </w:pPr>
      <w:r w:rsidRPr="00BC268B">
        <w:rPr>
          <w:szCs w:val="22"/>
        </w:rPr>
        <w:t>Traditional Knowledge</w:t>
      </w:r>
    </w:p>
    <w:p w14:paraId="01B5EAE0"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During the reporting year, the Sector continued to provide demand-driven and neutral information to assist with the development and implementation of national and regional policies and legislation on genetic resources (GRs), traditional knowledge (TK) and traditional cultural expressions (TCEs).  In particular, after the adoption of the WIPO Treaty on </w:t>
      </w:r>
      <w:r w:rsidRPr="00BC268B">
        <w:rPr>
          <w:rFonts w:ascii="Arial" w:hAnsi="Arial" w:cs="Arial"/>
          <w:i/>
          <w:iCs/>
          <w:sz w:val="22"/>
          <w:szCs w:val="22"/>
          <w:lang w:val="en-US"/>
        </w:rPr>
        <w:t>Intellectual Property, Genetic Resources and Associated Traditional Knowledge</w:t>
      </w:r>
      <w:r w:rsidRPr="00BC268B">
        <w:rPr>
          <w:rFonts w:ascii="Arial" w:hAnsi="Arial" w:cs="Arial"/>
          <w:sz w:val="22"/>
          <w:szCs w:val="22"/>
          <w:lang w:val="en-US"/>
        </w:rPr>
        <w:t xml:space="preserve"> in May 2024.  Moreover, the Sector continued to support Indigenous Peoples, local communities and government agencies through capacity-building and awareness-raising, while also strengthening national policy dialogues and processes.  Examples of such initiatives include the </w:t>
      </w:r>
      <w:r w:rsidRPr="00BC268B">
        <w:rPr>
          <w:rFonts w:ascii="Arial" w:hAnsi="Arial" w:cs="Arial"/>
          <w:i/>
          <w:iCs/>
          <w:sz w:val="22"/>
          <w:szCs w:val="22"/>
          <w:lang w:val="en-US"/>
        </w:rPr>
        <w:t>WIPO Photography Prize for Indigenous Youth</w:t>
      </w:r>
      <w:r w:rsidRPr="00BC268B">
        <w:rPr>
          <w:rFonts w:ascii="Arial" w:hAnsi="Arial" w:cs="Arial"/>
          <w:sz w:val="22"/>
          <w:szCs w:val="22"/>
          <w:lang w:val="en-US"/>
        </w:rPr>
        <w:t>,</w:t>
      </w:r>
      <w:r w:rsidRPr="00BC268B">
        <w:rPr>
          <w:rStyle w:val="FootnoteReference"/>
          <w:rFonts w:ascii="Arial" w:hAnsi="Arial" w:cs="Arial"/>
          <w:sz w:val="22"/>
          <w:szCs w:val="22"/>
        </w:rPr>
        <w:footnoteReference w:id="120"/>
      </w:r>
      <w:r w:rsidRPr="00BC268B">
        <w:rPr>
          <w:rFonts w:ascii="Arial" w:hAnsi="Arial" w:cs="Arial"/>
          <w:sz w:val="22"/>
          <w:szCs w:val="22"/>
          <w:lang w:val="en-US"/>
        </w:rPr>
        <w:t xml:space="preserve"> on the theme of </w:t>
      </w:r>
      <w:r w:rsidRPr="00BC268B">
        <w:rPr>
          <w:rFonts w:ascii="Arial" w:hAnsi="Arial" w:cs="Arial"/>
          <w:i/>
          <w:iCs/>
          <w:sz w:val="22"/>
          <w:szCs w:val="22"/>
          <w:lang w:val="en-US"/>
        </w:rPr>
        <w:t xml:space="preserve">“Indigenous Peoples’ Ways of Healing and </w:t>
      </w:r>
      <w:r w:rsidRPr="00BC268B">
        <w:rPr>
          <w:rFonts w:ascii="Arial" w:hAnsi="Arial" w:cs="Arial"/>
          <w:i/>
          <w:iCs/>
          <w:sz w:val="22"/>
          <w:szCs w:val="22"/>
          <w:lang w:val="en-US"/>
        </w:rPr>
        <w:br/>
        <w:t>Well-Being:  Honoring Our Ancestors’ Wisdom and Knowledge”</w:t>
      </w:r>
      <w:r w:rsidRPr="00BC268B">
        <w:rPr>
          <w:rFonts w:ascii="Arial" w:hAnsi="Arial" w:cs="Arial"/>
          <w:sz w:val="22"/>
          <w:szCs w:val="22"/>
          <w:lang w:val="en-US"/>
        </w:rPr>
        <w:t>.  The official announcement of the three winners – young photographers from Colombia, Ghana and Guatemala – took place at an awards ceremony at WIPO Headquarters in December 2024.  The event also showcased a stunning photographic exhibition featuring the 15 shortlisted works.  Furthermore, the Sector organized the “</w:t>
      </w:r>
      <w:r w:rsidRPr="00BC268B">
        <w:rPr>
          <w:rFonts w:ascii="Arial" w:hAnsi="Arial" w:cs="Arial"/>
          <w:i/>
          <w:iCs/>
          <w:sz w:val="22"/>
          <w:szCs w:val="22"/>
          <w:lang w:val="en-US"/>
        </w:rPr>
        <w:t>WIPO Training, Mentoring and Matchmaking Program on IP for Women Entrepreneurs from Indigenous Peoples and Local Communities (WEP)”</w:t>
      </w:r>
      <w:r w:rsidRPr="00BC268B">
        <w:rPr>
          <w:rFonts w:ascii="Arial" w:hAnsi="Arial" w:cs="Arial"/>
          <w:sz w:val="22"/>
          <w:szCs w:val="22"/>
          <w:lang w:val="en-US"/>
        </w:rPr>
        <w:t>;</w:t>
      </w:r>
      <w:r w:rsidRPr="00BC268B">
        <w:rPr>
          <w:rStyle w:val="FootnoteReference"/>
          <w:rFonts w:ascii="Arial" w:hAnsi="Arial" w:cs="Arial"/>
          <w:sz w:val="22"/>
          <w:szCs w:val="22"/>
        </w:rPr>
        <w:footnoteReference w:id="121"/>
      </w:r>
      <w:r w:rsidRPr="00BC268B">
        <w:rPr>
          <w:rFonts w:ascii="Arial" w:hAnsi="Arial" w:cs="Arial"/>
          <w:sz w:val="22"/>
          <w:szCs w:val="22"/>
          <w:lang w:val="en-US"/>
        </w:rPr>
        <w:t xml:space="preserve">  the Program was aimed at ensuring that women entrepreneurs from Indigenous Peoples and local communities receive education in the field of IP.  In addition, the Central European and Baltic States Region WEP (CEBS WEP)</w:t>
      </w:r>
      <w:r w:rsidRPr="00BC268B">
        <w:rPr>
          <w:rStyle w:val="FootnoteReference"/>
          <w:rFonts w:ascii="Arial" w:hAnsi="Arial" w:cs="Arial"/>
          <w:sz w:val="22"/>
          <w:szCs w:val="22"/>
        </w:rPr>
        <w:footnoteReference w:id="122"/>
      </w:r>
      <w:r w:rsidRPr="00BC268B">
        <w:rPr>
          <w:rFonts w:ascii="Arial" w:hAnsi="Arial" w:cs="Arial"/>
          <w:sz w:val="22"/>
          <w:szCs w:val="22"/>
          <w:lang w:val="en-US"/>
        </w:rPr>
        <w:t xml:space="preserve"> was concluded in early 2024, and the mentoring and matchmaking phase of the third global WEP (WEP 3) continued throughout 2024.  Following a comprehensive practical workshop on IP and traditional medical knowledge (TMK) in 2023, the Sector supported a few African countries in shaping and launching national projects on IP and TMK in 2024.  It is also notable that in 2024, the Sector launched a </w:t>
      </w:r>
      <w:r w:rsidRPr="00BC268B">
        <w:rPr>
          <w:rFonts w:ascii="Arial" w:hAnsi="Arial" w:cs="Arial"/>
          <w:i/>
          <w:iCs/>
          <w:sz w:val="22"/>
          <w:szCs w:val="22"/>
          <w:lang w:val="en-US"/>
        </w:rPr>
        <w:t>360</w:t>
      </w:r>
      <w:r w:rsidRPr="00BC268B">
        <w:rPr>
          <w:rFonts w:ascii="Arial" w:hAnsi="Arial" w:cs="Arial"/>
          <w:i/>
          <w:iCs/>
          <w:sz w:val="22"/>
          <w:szCs w:val="22"/>
          <w:vertAlign w:val="superscript"/>
          <w:lang w:val="en-US"/>
        </w:rPr>
        <w:t>0</w:t>
      </w:r>
      <w:r w:rsidRPr="00BC268B">
        <w:rPr>
          <w:rFonts w:ascii="Arial" w:hAnsi="Arial" w:cs="Arial"/>
          <w:i/>
          <w:iCs/>
          <w:sz w:val="22"/>
          <w:szCs w:val="22"/>
          <w:lang w:val="en-US"/>
        </w:rPr>
        <w:t xml:space="preserve"> Virtual Exhibition about Intellectual Property and Traditional Knowledge, Traditional Cultural Expressions and Genetic Resources</w:t>
      </w:r>
      <w:r w:rsidRPr="00BC268B">
        <w:rPr>
          <w:rFonts w:ascii="Arial" w:hAnsi="Arial" w:cs="Arial"/>
          <w:sz w:val="22"/>
          <w:szCs w:val="22"/>
          <w:lang w:val="en-US"/>
        </w:rPr>
        <w:t>,</w:t>
      </w:r>
      <w:r w:rsidRPr="00BC268B">
        <w:rPr>
          <w:rStyle w:val="FootnoteReference"/>
          <w:rFonts w:ascii="Arial" w:hAnsi="Arial" w:cs="Arial"/>
          <w:sz w:val="22"/>
          <w:szCs w:val="22"/>
        </w:rPr>
        <w:footnoteReference w:id="123"/>
      </w:r>
      <w:r w:rsidRPr="00BC268B">
        <w:rPr>
          <w:rFonts w:ascii="Arial" w:hAnsi="Arial" w:cs="Arial"/>
          <w:sz w:val="22"/>
          <w:szCs w:val="22"/>
          <w:lang w:val="en-US"/>
        </w:rPr>
        <w:t xml:space="preserve"> seeking to present a detailed overview of the key opportunities and challenges that Indigenous Peoples and local communities face when preserving and advancing their traditional knowledge and cultural expressions as IP.</w:t>
      </w:r>
    </w:p>
    <w:p w14:paraId="3B004701" w14:textId="77777777" w:rsidR="00BC268B" w:rsidRPr="00BC268B" w:rsidRDefault="00BC268B" w:rsidP="00A30C46">
      <w:pPr>
        <w:pStyle w:val="Heading2"/>
        <w:spacing w:before="0" w:after="240"/>
        <w:rPr>
          <w:szCs w:val="22"/>
        </w:rPr>
      </w:pPr>
      <w:r w:rsidRPr="00BC268B">
        <w:rPr>
          <w:szCs w:val="22"/>
        </w:rPr>
        <w:lastRenderedPageBreak/>
        <w:t>WIPO Bodies</w:t>
      </w:r>
    </w:p>
    <w:p w14:paraId="14B0C19C"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Following a decision made by Member States in July 2022, it was agreed that a Diplomatic Conference to Conclude an International Legal Instrument Relating to Intellectual Property, Genetic Resources and Traditional Knowledge Associated with Genetic Resources would be convened no later than 2024.  Accordingly, this Diplomatic Conference was duly held from May 13 to 24, 2024, at WIPO Headquarters.  By consensus, Member States adopted a historic new WIPO Treaty on </w:t>
      </w:r>
      <w:r w:rsidRPr="00BC268B">
        <w:rPr>
          <w:rFonts w:ascii="Arial" w:hAnsi="Arial" w:cs="Arial"/>
          <w:i/>
          <w:iCs/>
          <w:sz w:val="22"/>
          <w:szCs w:val="22"/>
          <w:lang w:val="en-US"/>
        </w:rPr>
        <w:t>Intellectual Property, Genetic Resources</w:t>
      </w:r>
      <w:r w:rsidRPr="00BC268B">
        <w:rPr>
          <w:rFonts w:ascii="Arial" w:hAnsi="Arial" w:cs="Arial"/>
          <w:sz w:val="22"/>
          <w:szCs w:val="22"/>
          <w:lang w:val="en-US"/>
        </w:rPr>
        <w:t xml:space="preserve"> and </w:t>
      </w:r>
      <w:r w:rsidRPr="00BC268B">
        <w:rPr>
          <w:rFonts w:ascii="Arial" w:hAnsi="Arial" w:cs="Arial"/>
          <w:i/>
          <w:iCs/>
          <w:sz w:val="22"/>
          <w:szCs w:val="22"/>
          <w:lang w:val="en-US"/>
        </w:rPr>
        <w:t>Associated Traditional Knowledge</w:t>
      </w:r>
      <w:r w:rsidRPr="00BC268B">
        <w:rPr>
          <w:rFonts w:ascii="Arial" w:hAnsi="Arial" w:cs="Arial"/>
          <w:sz w:val="22"/>
          <w:szCs w:val="22"/>
          <w:lang w:val="en-US"/>
        </w:rPr>
        <w:t xml:space="preserve"> on May 24, 2024.</w:t>
      </w:r>
      <w:r w:rsidRPr="00BC268B">
        <w:rPr>
          <w:rStyle w:val="FootnoteReference"/>
          <w:rFonts w:ascii="Arial" w:hAnsi="Arial" w:cs="Arial"/>
          <w:sz w:val="22"/>
          <w:szCs w:val="22"/>
        </w:rPr>
        <w:footnoteReference w:id="124"/>
      </w:r>
      <w:r w:rsidRPr="00BC268B">
        <w:rPr>
          <w:rFonts w:ascii="Arial" w:hAnsi="Arial" w:cs="Arial"/>
          <w:sz w:val="22"/>
          <w:szCs w:val="22"/>
          <w:lang w:val="en-US"/>
        </w:rPr>
        <w:t xml:space="preserve">  It is the first WIPO Treaty to address the interaction between IP, genetic resources and traditional knowledge and to include specific provisions for Indigenous Peoples and local communities.  The Treaty, once it enters into force with 15 Contracting Parties, will establish a mandatory disclosure requirement for Patent applicants, whose inventions are based on genetic resources and/or associated traditional knowledge.  Applicants will be required to disclose the country of origin of the genetic resources or the Indigenous Peoples or local community providing the associated traditional knowledge.</w:t>
      </w:r>
    </w:p>
    <w:p w14:paraId="5C003E1C"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The Sector continued to support the work of the Intergovernmental Committee on Intellectual Property and Genetic Resources, Traditional Knowledge and Folklore (IGC), which met twice during the reporting year:  at its forty-eighth session on November 29, 2024,</w:t>
      </w:r>
      <w:r w:rsidRPr="00BC268B">
        <w:rPr>
          <w:rStyle w:val="FootnoteReference"/>
          <w:rFonts w:ascii="Arial" w:hAnsi="Arial" w:cs="Arial"/>
          <w:sz w:val="22"/>
          <w:szCs w:val="22"/>
        </w:rPr>
        <w:footnoteReference w:id="125"/>
      </w:r>
      <w:r w:rsidRPr="00BC268B">
        <w:rPr>
          <w:rFonts w:ascii="Arial" w:hAnsi="Arial" w:cs="Arial"/>
          <w:sz w:val="22"/>
          <w:szCs w:val="22"/>
          <w:lang w:val="en-US"/>
        </w:rPr>
        <w:t xml:space="preserve"> and at its forty-ninth session held from December 2 to 6, 2024.</w:t>
      </w:r>
      <w:r w:rsidRPr="00BC268B">
        <w:rPr>
          <w:rStyle w:val="FootnoteReference"/>
          <w:rFonts w:ascii="Arial" w:hAnsi="Arial" w:cs="Arial"/>
          <w:sz w:val="22"/>
          <w:szCs w:val="22"/>
        </w:rPr>
        <w:footnoteReference w:id="126"/>
      </w:r>
      <w:r w:rsidRPr="00BC268B">
        <w:rPr>
          <w:rFonts w:ascii="Arial" w:hAnsi="Arial" w:cs="Arial"/>
          <w:sz w:val="22"/>
          <w:szCs w:val="22"/>
          <w:lang w:val="en-US"/>
        </w:rPr>
        <w:t xml:space="preserve">  At the forty-eighth session, the Committee reviewed progress made on genetic resources and traditional knowledge associated with genetic resources and acknowledged the adoption of the related WIPO Treaty.  </w:t>
      </w:r>
      <w:r w:rsidRPr="00BC268B">
        <w:rPr>
          <w:rFonts w:ascii="Arial" w:hAnsi="Arial" w:cs="Arial"/>
          <w:sz w:val="22"/>
          <w:szCs w:val="22"/>
          <w:lang w:val="en-US"/>
        </w:rPr>
        <w:br/>
        <w:t>The forty-ninth session marked the first meeting of the 2024/25 biennium and was focused on traditional knowledge and traditional cultural expressions.</w:t>
      </w:r>
    </w:p>
    <w:p w14:paraId="105B9A1B"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In addition, the </w:t>
      </w:r>
      <w:r w:rsidRPr="00BC268B">
        <w:rPr>
          <w:rFonts w:ascii="Arial" w:eastAsia="Batang" w:hAnsi="Arial" w:cs="Arial"/>
          <w:sz w:val="22"/>
          <w:szCs w:val="22"/>
          <w:lang w:val="en-US" w:eastAsia="ko-KR"/>
        </w:rPr>
        <w:t>sixteenth</w:t>
      </w:r>
      <w:r w:rsidRPr="00BC268B">
        <w:rPr>
          <w:rFonts w:ascii="Arial" w:hAnsi="Arial" w:cs="Arial"/>
          <w:sz w:val="22"/>
          <w:szCs w:val="22"/>
          <w:lang w:val="en-US"/>
        </w:rPr>
        <w:t xml:space="preserve"> session of the Advisory Committee on Enforcement (ACE), was held from January 31 to February 2, 2024, w</w:t>
      </w:r>
      <w:r w:rsidRPr="00BC268B">
        <w:rPr>
          <w:rFonts w:ascii="Arial" w:hAnsi="Arial" w:cs="Arial"/>
          <w:bCs/>
          <w:sz w:val="22"/>
          <w:szCs w:val="22"/>
          <w:lang w:val="en-US"/>
        </w:rPr>
        <w:t>ithin the framework of DA Recommendation 45.</w:t>
      </w:r>
      <w:r w:rsidRPr="00BC268B">
        <w:rPr>
          <w:rStyle w:val="FootnoteReference"/>
          <w:rFonts w:ascii="Arial" w:hAnsi="Arial" w:cs="Arial"/>
          <w:bCs/>
          <w:sz w:val="22"/>
          <w:szCs w:val="22"/>
        </w:rPr>
        <w:footnoteReference w:id="127"/>
      </w:r>
      <w:r w:rsidRPr="00BC268B">
        <w:rPr>
          <w:rFonts w:ascii="Arial" w:hAnsi="Arial" w:cs="Arial"/>
          <w:bCs/>
          <w:sz w:val="22"/>
          <w:szCs w:val="22"/>
          <w:lang w:val="en-US"/>
        </w:rPr>
        <w:t xml:space="preserve">  This session of the ACE was focused on</w:t>
      </w:r>
      <w:bookmarkStart w:id="29" w:name="_Hlk158716762"/>
      <w:r w:rsidRPr="00BC268B">
        <w:rPr>
          <w:rFonts w:ascii="Arial" w:hAnsi="Arial" w:cs="Arial"/>
          <w:sz w:val="22"/>
          <w:szCs w:val="22"/>
          <w:lang w:val="en-US"/>
        </w:rPr>
        <w:t xml:space="preserve">:  (i) addressing online and offline IP infringement;  </w:t>
      </w:r>
      <w:r w:rsidRPr="00BC268B">
        <w:rPr>
          <w:rFonts w:ascii="Arial" w:hAnsi="Arial" w:cs="Arial"/>
          <w:sz w:val="22"/>
          <w:szCs w:val="22"/>
          <w:lang w:val="en-US"/>
        </w:rPr>
        <w:br/>
        <w:t xml:space="preserve">(ii) challenges and solutions for SMEs in IP enforcement;  (iii) coordinating IP enforcement;  </w:t>
      </w:r>
      <w:r w:rsidRPr="00BC268B">
        <w:rPr>
          <w:rFonts w:ascii="Arial" w:hAnsi="Arial" w:cs="Arial"/>
          <w:sz w:val="22"/>
          <w:szCs w:val="22"/>
          <w:lang w:val="en-US"/>
        </w:rPr>
        <w:br/>
        <w:t>(iv) AI and IP enforcement;  and (v) the prosecution of IP crime</w:t>
      </w:r>
      <w:bookmarkEnd w:id="29"/>
      <w:r w:rsidRPr="00BC268B">
        <w:rPr>
          <w:rFonts w:ascii="Arial" w:hAnsi="Arial" w:cs="Arial"/>
          <w:sz w:val="22"/>
          <w:szCs w:val="22"/>
          <w:lang w:val="en-US"/>
        </w:rPr>
        <w:t>.</w:t>
      </w:r>
      <w:r w:rsidRPr="00BC268B">
        <w:rPr>
          <w:rStyle w:val="FootnoteReference"/>
          <w:rFonts w:ascii="Arial" w:hAnsi="Arial" w:cs="Arial"/>
          <w:sz w:val="22"/>
          <w:szCs w:val="22"/>
        </w:rPr>
        <w:footnoteReference w:id="128"/>
      </w:r>
      <w:r w:rsidRPr="00BC268B">
        <w:rPr>
          <w:rFonts w:ascii="Arial" w:hAnsi="Arial" w:cs="Arial"/>
          <w:sz w:val="22"/>
          <w:szCs w:val="22"/>
          <w:lang w:val="en-US"/>
        </w:rPr>
        <w:t xml:space="preserve">  A total of 272 participants attended the session, representing 87 Member States, one non-State Member (the European Union), 28 Observers, seven IGOs, 21 international NGOs and 12 speakers from academia and the private sector.  </w:t>
      </w:r>
    </w:p>
    <w:p w14:paraId="2533C0CC" w14:textId="77777777" w:rsidR="00BC268B" w:rsidRPr="00BC268B" w:rsidRDefault="00BC268B" w:rsidP="00A30C46">
      <w:pPr>
        <w:pStyle w:val="Heading2"/>
        <w:spacing w:before="0" w:after="240"/>
        <w:rPr>
          <w:b/>
          <w:szCs w:val="22"/>
        </w:rPr>
      </w:pPr>
      <w:r w:rsidRPr="00BC268B">
        <w:rPr>
          <w:szCs w:val="22"/>
        </w:rPr>
        <w:t>Mainstreamed DA Projects</w:t>
      </w:r>
    </w:p>
    <w:p w14:paraId="4D78146C"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iCs/>
          <w:sz w:val="22"/>
          <w:szCs w:val="22"/>
          <w:lang w:val="en-US"/>
        </w:rPr>
        <w:t>IP and competition policy</w:t>
      </w:r>
      <w:r w:rsidRPr="00BC268B">
        <w:rPr>
          <w:rFonts w:ascii="Arial" w:hAnsi="Arial" w:cs="Arial"/>
          <w:sz w:val="22"/>
          <w:szCs w:val="22"/>
          <w:lang w:val="en-US"/>
        </w:rPr>
        <w:t>:</w:t>
      </w:r>
      <w:r w:rsidRPr="00BC268B">
        <w:rPr>
          <w:rStyle w:val="FootnoteReference"/>
          <w:rFonts w:ascii="Arial" w:hAnsi="Arial" w:cs="Arial"/>
          <w:sz w:val="22"/>
          <w:szCs w:val="22"/>
        </w:rPr>
        <w:footnoteReference w:id="129"/>
      </w:r>
      <w:r w:rsidRPr="00BC268B">
        <w:rPr>
          <w:rFonts w:ascii="Arial" w:hAnsi="Arial" w:cs="Arial"/>
          <w:sz w:val="22"/>
          <w:szCs w:val="22"/>
          <w:lang w:val="en-US"/>
        </w:rPr>
        <w:t xml:space="preserve">  WIPO continued to strengthen its connection with the International Competition Network (ICN);  by contributing to discussions on IP-related competition issues and bringing the pro-competitive perspective on IP to the competition agencies community.  WIPO also increased its collaboration with the Organisation for Economic Co-operation and Development (OCDE) and UNCTAD.  During the reporting year, WIPO participated in workshops aimed at IP Offices and national competition agencies to introduce relevant issues and bridge the gap between the bodies.  Furthermore, WIPO continued its work on Intellectual Property, Competition and Sustainability, as well as on issues related to Agriculture and Food Security.</w:t>
      </w:r>
      <w:r w:rsidRPr="00BC268B">
        <w:rPr>
          <w:rFonts w:ascii="Arial" w:hAnsi="Arial" w:cs="Arial"/>
          <w:i/>
          <w:iCs/>
          <w:sz w:val="22"/>
          <w:szCs w:val="22"/>
          <w:lang w:val="en-US"/>
        </w:rPr>
        <w:t xml:space="preserve">  </w:t>
      </w:r>
      <w:r w:rsidRPr="00BC268B">
        <w:rPr>
          <w:rFonts w:ascii="Arial" w:hAnsi="Arial" w:cs="Arial"/>
          <w:sz w:val="22"/>
          <w:szCs w:val="22"/>
          <w:lang w:val="en-US"/>
        </w:rPr>
        <w:t xml:space="preserve">The Organization completed the first draft of the unfair </w:t>
      </w:r>
      <w:r w:rsidRPr="00BC268B">
        <w:rPr>
          <w:rFonts w:ascii="Arial" w:hAnsi="Arial" w:cs="Arial"/>
          <w:sz w:val="22"/>
          <w:szCs w:val="22"/>
          <w:lang w:val="en-US"/>
        </w:rPr>
        <w:lastRenderedPageBreak/>
        <w:t>competition toolkit.  It also organized national programs and presentations and provided legislative advice on competition, including unfair competition and IP, for several countries.</w:t>
      </w:r>
      <w:r w:rsidRPr="00BC268B">
        <w:rPr>
          <w:rStyle w:val="FootnoteReference"/>
          <w:rFonts w:ascii="Arial" w:hAnsi="Arial" w:cs="Arial"/>
          <w:sz w:val="22"/>
          <w:szCs w:val="22"/>
        </w:rPr>
        <w:footnoteReference w:id="130"/>
      </w:r>
    </w:p>
    <w:p w14:paraId="12B44390" w14:textId="77777777" w:rsidR="00BC268B" w:rsidRPr="00BC268B" w:rsidRDefault="00BC268B" w:rsidP="00A30C46">
      <w:pPr>
        <w:pStyle w:val="Heading2"/>
        <w:spacing w:before="0" w:after="240"/>
        <w:rPr>
          <w:b/>
          <w:szCs w:val="22"/>
        </w:rPr>
      </w:pPr>
      <w:r w:rsidRPr="00BC268B">
        <w:rPr>
          <w:szCs w:val="22"/>
        </w:rPr>
        <w:t>ONGOING DA Projects</w:t>
      </w:r>
    </w:p>
    <w:p w14:paraId="28909400"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bookmarkStart w:id="30" w:name="_Hlk191301815"/>
      <w:r w:rsidRPr="00BC268B">
        <w:rPr>
          <w:rFonts w:ascii="Arial" w:hAnsi="Arial" w:cs="Arial"/>
          <w:sz w:val="22"/>
          <w:szCs w:val="22"/>
          <w:lang w:val="en-US"/>
        </w:rPr>
        <w:t xml:space="preserve">The Sector has been in charge </w:t>
      </w:r>
      <w:bookmarkEnd w:id="30"/>
      <w:r w:rsidRPr="00BC268B">
        <w:rPr>
          <w:rFonts w:ascii="Arial" w:hAnsi="Arial" w:cs="Arial"/>
          <w:sz w:val="22"/>
          <w:szCs w:val="22"/>
          <w:lang w:val="en-US"/>
        </w:rPr>
        <w:t>of the implementation of the following ongoing DA Project:</w:t>
      </w:r>
    </w:p>
    <w:p w14:paraId="4D8A8FAD" w14:textId="77777777" w:rsidR="00BC268B" w:rsidRPr="00BC268B" w:rsidRDefault="00BC268B" w:rsidP="00BC268B">
      <w:pPr>
        <w:pStyle w:val="BalloonText"/>
        <w:numPr>
          <w:ilvl w:val="0"/>
          <w:numId w:val="23"/>
        </w:numPr>
        <w:spacing w:after="240"/>
        <w:contextualSpacing/>
        <w:rPr>
          <w:rFonts w:ascii="Arial" w:hAnsi="Arial" w:cs="Arial"/>
          <w:sz w:val="22"/>
          <w:szCs w:val="22"/>
        </w:rPr>
      </w:pPr>
      <w:r w:rsidRPr="00BC268B">
        <w:rPr>
          <w:rFonts w:ascii="Arial" w:hAnsi="Arial" w:cs="Arial"/>
          <w:i/>
          <w:iCs/>
          <w:sz w:val="22"/>
          <w:szCs w:val="22"/>
        </w:rPr>
        <w:t xml:space="preserve">Development of Strategies and Tools to Address Online Copyright Piracy in the African Digital Market:  </w:t>
      </w:r>
      <w:r w:rsidRPr="00BC268B">
        <w:rPr>
          <w:rFonts w:ascii="Arial" w:hAnsi="Arial" w:cs="Arial"/>
          <w:sz w:val="22"/>
          <w:szCs w:val="22"/>
        </w:rPr>
        <w:t xml:space="preserve">approved in 2023 and launched in 2024, this project is being implemented in Ghana, Kenya, Nigeria and South Africa.  To maximize the opportunities for the cultural industries presented by digital markets, the project is aimed at the development of effective tools to combat the prevalence of online piracy in these markets.  The project is on track and various activities have taken place, including consultation meetings with the National Focal Points and the development of tailored project plans for each beneficiary country.  </w:t>
      </w:r>
    </w:p>
    <w:p w14:paraId="57B6CB38" w14:textId="77777777" w:rsidR="00BC268B" w:rsidRPr="00BC268B" w:rsidRDefault="00BC268B" w:rsidP="00BC268B">
      <w:pPr>
        <w:pStyle w:val="Heading1"/>
        <w:numPr>
          <w:ilvl w:val="0"/>
          <w:numId w:val="25"/>
        </w:numPr>
        <w:spacing w:after="220"/>
        <w:rPr>
          <w:szCs w:val="22"/>
        </w:rPr>
      </w:pPr>
      <w:bookmarkStart w:id="31" w:name="_Hlk187850578"/>
      <w:r w:rsidRPr="00BC268B">
        <w:rPr>
          <w:szCs w:val="22"/>
        </w:rPr>
        <w:t>IP and Innovation Ecosystems Sector</w:t>
      </w:r>
    </w:p>
    <w:p w14:paraId="1A9F085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The IP and Innovation Ecosystems Sector remained committed to supporting Member States in fostering </w:t>
      </w:r>
      <w:r w:rsidRPr="00BC268B">
        <w:rPr>
          <w:rFonts w:ascii="Arial" w:hAnsi="Arial" w:cs="Arial"/>
          <w:iCs/>
          <w:sz w:val="22"/>
          <w:szCs w:val="22"/>
          <w:lang w:val="en-US"/>
        </w:rPr>
        <w:t xml:space="preserve">conducive ecosystems </w:t>
      </w:r>
      <w:r w:rsidRPr="00BC268B">
        <w:rPr>
          <w:rFonts w:ascii="Arial" w:hAnsi="Arial" w:cs="Arial"/>
          <w:sz w:val="22"/>
          <w:szCs w:val="22"/>
          <w:lang w:val="en-US"/>
        </w:rPr>
        <w:t>where IP and innovation are key drivers of economic growth.  The Sector continued to prioritize IP management and commercialization, by offering tools, resources and platforms tailored for researchers, innovators and SMEs.  Its efforts focused on critical areas, such as economic analysis, IP and innovation data, IP dispute resolution services, National IP Strategies and judicial education for IP judges.</w:t>
      </w:r>
    </w:p>
    <w:p w14:paraId="6210127A" w14:textId="77777777" w:rsidR="00BC268B" w:rsidRPr="00BC268B" w:rsidRDefault="00BC268B" w:rsidP="00A30C46">
      <w:pPr>
        <w:pStyle w:val="Heading2"/>
        <w:spacing w:before="0" w:after="240"/>
        <w:rPr>
          <w:szCs w:val="22"/>
        </w:rPr>
      </w:pPr>
      <w:r w:rsidRPr="00BC268B">
        <w:rPr>
          <w:szCs w:val="22"/>
        </w:rPr>
        <w:t>IP for Business and Innovators</w:t>
      </w:r>
    </w:p>
    <w:p w14:paraId="1DA1AB7D"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In accordance with the DA Recommendation 4, particular emphasis continued to be placed on the needs of MSMEs.  In 2024, the SME Support Institutions Platform</w:t>
      </w:r>
      <w:r w:rsidRPr="00BC268B">
        <w:rPr>
          <w:rStyle w:val="FootnoteReference"/>
          <w:rFonts w:ascii="Arial" w:hAnsi="Arial" w:cs="Arial"/>
          <w:sz w:val="22"/>
          <w:szCs w:val="22"/>
        </w:rPr>
        <w:footnoteReference w:id="131"/>
      </w:r>
      <w:r w:rsidRPr="00BC268B">
        <w:rPr>
          <w:rFonts w:ascii="Arial" w:hAnsi="Arial" w:cs="Arial"/>
          <w:sz w:val="22"/>
          <w:szCs w:val="22"/>
          <w:lang w:val="en-US"/>
        </w:rPr>
        <w:t xml:space="preserve"> was launched on the WIPO website, enabling SMEs to connect with a range of business service providers, including in the area of IP.  Currently, the directory of the Platform contains over 500 inputs from 140 countries.  The Platform showcases WIPO-developed tools and materials on IP for Business, including a number of which are tailored to Member States’</w:t>
      </w:r>
      <w:r w:rsidRPr="00BC268B" w:rsidDel="00B218B6">
        <w:rPr>
          <w:rFonts w:ascii="Arial" w:hAnsi="Arial" w:cs="Arial"/>
          <w:sz w:val="22"/>
          <w:szCs w:val="22"/>
          <w:lang w:val="en-US"/>
        </w:rPr>
        <w:t xml:space="preserve"> </w:t>
      </w:r>
      <w:r w:rsidRPr="00BC268B">
        <w:rPr>
          <w:rFonts w:ascii="Arial" w:hAnsi="Arial" w:cs="Arial"/>
          <w:sz w:val="22"/>
          <w:szCs w:val="22"/>
          <w:lang w:val="en-US"/>
        </w:rPr>
        <w:t>specific local context.  As for the WIPO IP Diagnostics</w:t>
      </w:r>
      <w:r w:rsidRPr="00BC268B">
        <w:rPr>
          <w:rStyle w:val="FootnoteReference"/>
          <w:rFonts w:ascii="Arial" w:hAnsi="Arial" w:cs="Arial"/>
          <w:sz w:val="22"/>
          <w:szCs w:val="22"/>
        </w:rPr>
        <w:footnoteReference w:id="132"/>
      </w:r>
      <w:r w:rsidRPr="00BC268B">
        <w:rPr>
          <w:rFonts w:ascii="Arial" w:hAnsi="Arial" w:cs="Arial"/>
          <w:sz w:val="22"/>
          <w:szCs w:val="22"/>
          <w:lang w:val="en-US"/>
        </w:rPr>
        <w:t>, it is worth mentioning that it continued to help businesses in self</w:t>
      </w:r>
      <w:r w:rsidRPr="00BC268B">
        <w:rPr>
          <w:rFonts w:ascii="Arial" w:hAnsi="Arial" w:cs="Arial"/>
          <w:sz w:val="22"/>
          <w:szCs w:val="22"/>
          <w:lang w:val="en-US"/>
        </w:rPr>
        <w:noBreakHyphen/>
        <w:t xml:space="preserve">assessing their IP assets.  In order to make the tool accessible to a wider audience, it was translated into Bengali, Hindi, Khmer, Romanian, Tamil, Thai, Urdu, Uzbek and Vietnamese.  It was also adapted to the legal, regulatory and procedural contexts of Egypt, Estonia, Hungary, Lithuania and the Russian Federation, and was translated into those countries’ respective languages.  </w:t>
      </w:r>
    </w:p>
    <w:p w14:paraId="5E3C93BB"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Under the “</w:t>
      </w:r>
      <w:r w:rsidRPr="00BC268B">
        <w:rPr>
          <w:rFonts w:ascii="Arial" w:hAnsi="Arial" w:cs="Arial"/>
          <w:i/>
          <w:iCs/>
          <w:sz w:val="22"/>
          <w:szCs w:val="22"/>
          <w:lang w:val="en-US"/>
        </w:rPr>
        <w:t>Project to promote the use of the IP system as a source of financing by entrepreneurs and MSMEs in Central America and the Dominican Republic”</w:t>
      </w:r>
      <w:r w:rsidRPr="00BC268B">
        <w:rPr>
          <w:rFonts w:ascii="Arial" w:hAnsi="Arial" w:cs="Arial"/>
          <w:sz w:val="22"/>
          <w:szCs w:val="22"/>
          <w:lang w:val="en-US"/>
        </w:rPr>
        <w:t>,</w:t>
      </w:r>
      <w:r w:rsidRPr="00BC268B">
        <w:rPr>
          <w:rFonts w:ascii="Arial" w:hAnsi="Arial" w:cs="Arial"/>
          <w:iCs/>
          <w:sz w:val="22"/>
          <w:szCs w:val="22"/>
          <w:lang w:val="en-US"/>
        </w:rPr>
        <w:t xml:space="preserve"> specialized </w:t>
      </w:r>
      <w:r w:rsidRPr="00BC268B">
        <w:rPr>
          <w:rFonts w:ascii="Arial" w:hAnsi="Arial" w:cs="Arial"/>
          <w:iCs/>
          <w:sz w:val="22"/>
          <w:szCs w:val="22"/>
          <w:lang w:val="en-US"/>
        </w:rPr>
        <w:br/>
        <w:t>IP-support services were developed in 25 SMEs Support Institutions in six Member States.</w:t>
      </w:r>
      <w:r w:rsidRPr="00BC268B">
        <w:rPr>
          <w:rStyle w:val="FootnoteReference"/>
          <w:rFonts w:ascii="Arial" w:hAnsi="Arial" w:cs="Arial"/>
          <w:iCs/>
          <w:sz w:val="22"/>
          <w:szCs w:val="22"/>
        </w:rPr>
        <w:footnoteReference w:id="133"/>
      </w:r>
      <w:r w:rsidRPr="00BC268B">
        <w:rPr>
          <w:rFonts w:ascii="Arial" w:hAnsi="Arial" w:cs="Arial"/>
          <w:iCs/>
          <w:sz w:val="22"/>
          <w:szCs w:val="22"/>
          <w:lang w:val="en-US"/>
        </w:rPr>
        <w:t xml:space="preserve">  </w:t>
      </w:r>
      <w:r w:rsidRPr="00BC268B">
        <w:rPr>
          <w:rFonts w:ascii="Arial" w:hAnsi="Arial" w:cs="Arial"/>
          <w:iCs/>
          <w:sz w:val="22"/>
          <w:szCs w:val="22"/>
          <w:lang w:val="en-US"/>
        </w:rPr>
        <w:br/>
        <w:t>A</w:t>
      </w:r>
      <w:r w:rsidRPr="00BC268B">
        <w:rPr>
          <w:rFonts w:ascii="Arial" w:hAnsi="Arial" w:cs="Arial"/>
          <w:sz w:val="22"/>
          <w:szCs w:val="22"/>
          <w:lang w:val="en-US"/>
        </w:rPr>
        <w:t xml:space="preserve"> workshop was organized between the participating SMEs and trained staff from the Support Institutions to educate them on using the WIPO IP Diagnostics tool to identify potential IP assets.  Each country also received WIPO materials aimed at supporting companies with IP issues.  In total, 24 IP for Business publications covering trademarks, patents, copyright and industrial designs (four per country), adapted to each Member State’s legal and regulatory contextare available along with social media communication material in the format of “power</w:t>
      </w:r>
      <w:r w:rsidRPr="00BC268B">
        <w:rPr>
          <w:rFonts w:ascii="Arial" w:hAnsi="Arial" w:cs="Arial"/>
          <w:sz w:val="22"/>
          <w:szCs w:val="22"/>
          <w:lang w:val="en-US"/>
        </w:rPr>
        <w:noBreakHyphen/>
        <w:t xml:space="preserve">ups” for </w:t>
      </w:r>
      <w:r w:rsidRPr="00BC268B">
        <w:rPr>
          <w:rFonts w:ascii="Arial" w:hAnsi="Arial" w:cs="Arial"/>
          <w:iCs/>
          <w:sz w:val="22"/>
          <w:szCs w:val="22"/>
          <w:lang w:val="en-US"/>
        </w:rPr>
        <w:t xml:space="preserve">SMEs Support </w:t>
      </w:r>
      <w:r w:rsidRPr="00BC268B">
        <w:rPr>
          <w:rFonts w:ascii="Arial" w:hAnsi="Arial" w:cs="Arial"/>
          <w:sz w:val="22"/>
          <w:szCs w:val="22"/>
          <w:lang w:val="en-US"/>
        </w:rPr>
        <w:t xml:space="preserve">Institutions to inform the public about the availability of IP support through their social networks.  Also notable is that the IP Management Clinic’s program </w:t>
      </w:r>
      <w:r w:rsidRPr="00BC268B">
        <w:rPr>
          <w:rFonts w:ascii="Arial" w:hAnsi="Arial" w:cs="Arial"/>
          <w:sz w:val="22"/>
          <w:szCs w:val="22"/>
          <w:lang w:val="en-US"/>
        </w:rPr>
        <w:lastRenderedPageBreak/>
        <w:t xml:space="preserve">was organized and completed for 300 SMEs from more than 30 Member States working in </w:t>
      </w:r>
      <w:r w:rsidRPr="00BC268B">
        <w:rPr>
          <w:rFonts w:ascii="Arial" w:hAnsi="Arial" w:cs="Arial"/>
          <w:iCs/>
          <w:sz w:val="22"/>
          <w:szCs w:val="22"/>
          <w:lang w:val="en-US"/>
        </w:rPr>
        <w:t xml:space="preserve">various industry sectors, such as green technologies, agritech food and beverage, craft, e-commerce, franchising, manufacturing, healthtech, biotech and medtech, education, agriculture, AI and business and agrifood. </w:t>
      </w:r>
    </w:p>
    <w:p w14:paraId="54FC450C" w14:textId="77777777" w:rsidR="00BC268B" w:rsidRPr="00BC268B" w:rsidRDefault="00BC268B" w:rsidP="00BC268B">
      <w:pPr>
        <w:pStyle w:val="ListParagraph"/>
        <w:numPr>
          <w:ilvl w:val="0"/>
          <w:numId w:val="13"/>
        </w:numPr>
        <w:spacing w:after="240" w:line="240" w:lineRule="auto"/>
        <w:ind w:left="0" w:firstLine="0"/>
        <w:contextualSpacing w:val="0"/>
        <w:rPr>
          <w:rFonts w:ascii="Arial" w:eastAsia="Arial" w:hAnsi="Arial" w:cs="Arial"/>
          <w:sz w:val="22"/>
          <w:szCs w:val="22"/>
          <w:lang w:val="en-US"/>
        </w:rPr>
      </w:pPr>
      <w:r w:rsidRPr="00BC268B">
        <w:rPr>
          <w:rFonts w:ascii="Arial" w:hAnsi="Arial" w:cs="Arial"/>
          <w:sz w:val="22"/>
          <w:szCs w:val="22"/>
          <w:lang w:val="en-US"/>
        </w:rPr>
        <w:t>In line with the DA Recommendation 11, the Inventor Assistance Program (IAP) continued to empower under-resourced inventors and small businesses with the aim of transforming their ideas into assets.  In 2024, the IAP was implemented in nine Member States,</w:t>
      </w:r>
      <w:r w:rsidRPr="00BC268B">
        <w:rPr>
          <w:rStyle w:val="FootnoteReference"/>
          <w:rFonts w:ascii="Arial" w:hAnsi="Arial" w:cs="Arial"/>
          <w:sz w:val="22"/>
          <w:szCs w:val="22"/>
        </w:rPr>
        <w:footnoteReference w:id="134"/>
      </w:r>
      <w:r w:rsidRPr="00BC268B">
        <w:rPr>
          <w:rFonts w:ascii="Arial" w:hAnsi="Arial" w:cs="Arial"/>
          <w:sz w:val="22"/>
          <w:szCs w:val="22"/>
          <w:lang w:val="en-US"/>
        </w:rPr>
        <w:t xml:space="preserve"> where 40 additional beneficiaries received support free of charge from experienced patent professionals in navigating the patent procurement process in their respective countries and in selected jurisdictions.  The IAP has so far supported 236 inventors and SMEs, including in obtaining 63 granted patents.  Regarding patenting assistance, the Patent Drafting Training Program continued to develop participants’ practical patent drafting skills, with some 1,450 participants having benefited from the program since 2016.  The International Patent Drafting Training Program took place in 2024, in collaboration with the International Federation of IP Attorneys (FICPI).  The training program aims to develop the skills of emerging patent drafters while building a supportive community to help these professionals to make progress over eight months.  The training included 35 participants from more than 30 countries.  Additionally, three national workshops were also organized.</w:t>
      </w:r>
      <w:r w:rsidRPr="00BC268B">
        <w:rPr>
          <w:rStyle w:val="FootnoteReference"/>
          <w:rFonts w:ascii="Arial" w:hAnsi="Arial" w:cs="Arial"/>
          <w:sz w:val="22"/>
          <w:szCs w:val="22"/>
        </w:rPr>
        <w:footnoteReference w:id="135"/>
      </w:r>
      <w:r w:rsidRPr="00BC268B">
        <w:rPr>
          <w:rFonts w:ascii="Arial" w:hAnsi="Arial" w:cs="Arial"/>
          <w:sz w:val="22"/>
          <w:szCs w:val="22"/>
          <w:lang w:val="en-US"/>
        </w:rPr>
        <w:t xml:space="preserve">  </w:t>
      </w:r>
    </w:p>
    <w:p w14:paraId="6CF1CE93"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In 2024, the Organization continued its efforts to move IP finance from the margins to the mainstream.  To this end, WIPO released </w:t>
      </w:r>
      <w:r w:rsidRPr="00BC268B">
        <w:rPr>
          <w:rFonts w:ascii="Arial" w:eastAsia="Arial" w:hAnsi="Arial" w:cs="Arial"/>
          <w:sz w:val="22"/>
          <w:szCs w:val="22"/>
          <w:lang w:val="en-US"/>
        </w:rPr>
        <w:t xml:space="preserve">the first publication in the </w:t>
      </w:r>
      <w:r w:rsidRPr="00BC268B">
        <w:rPr>
          <w:rFonts w:ascii="Arial" w:eastAsia="Arial" w:hAnsi="Arial" w:cs="Arial"/>
          <w:i/>
          <w:iCs/>
          <w:sz w:val="22"/>
          <w:szCs w:val="22"/>
          <w:lang w:val="en-US"/>
        </w:rPr>
        <w:t xml:space="preserve">Hands-on IP Finance Series: </w:t>
      </w:r>
      <w:r w:rsidRPr="00BC268B">
        <w:rPr>
          <w:rFonts w:ascii="Arial" w:hAnsi="Arial" w:cs="Arial"/>
          <w:i/>
          <w:iCs/>
          <w:sz w:val="22"/>
          <w:szCs w:val="22"/>
          <w:lang w:val="en-US"/>
        </w:rPr>
        <w:t>Securing Loans with your IP</w:t>
      </w:r>
      <w:r w:rsidRPr="00BC268B">
        <w:rPr>
          <w:rFonts w:ascii="Arial" w:eastAsia="Arial" w:hAnsi="Arial" w:cs="Arial"/>
          <w:i/>
          <w:iCs/>
          <w:sz w:val="22"/>
          <w:szCs w:val="22"/>
          <w:lang w:val="en-US"/>
        </w:rPr>
        <w:t xml:space="preserve"> Assets</w:t>
      </w:r>
      <w:r w:rsidRPr="00BC268B">
        <w:rPr>
          <w:rFonts w:ascii="Arial" w:eastAsia="Arial" w:hAnsi="Arial" w:cs="Arial"/>
          <w:sz w:val="22"/>
          <w:szCs w:val="22"/>
          <w:lang w:val="en-US"/>
        </w:rPr>
        <w:t>,</w:t>
      </w:r>
      <w:r w:rsidRPr="00BC268B">
        <w:rPr>
          <w:rStyle w:val="FootnoteReference"/>
          <w:rFonts w:ascii="Arial" w:hAnsi="Arial" w:cs="Arial"/>
          <w:sz w:val="22"/>
          <w:szCs w:val="22"/>
        </w:rPr>
        <w:footnoteReference w:id="136"/>
      </w:r>
      <w:r w:rsidRPr="00BC268B">
        <w:rPr>
          <w:rFonts w:ascii="Arial" w:eastAsia="Arial" w:hAnsi="Arial" w:cs="Arial"/>
          <w:sz w:val="22"/>
          <w:szCs w:val="22"/>
          <w:lang w:val="en-US"/>
        </w:rPr>
        <w:t xml:space="preserve"> which prepares businesses and IP owners for discussions with lenders and provides insights into the lending process.  Together with Member States of </w:t>
      </w:r>
      <w:r w:rsidRPr="00BC268B">
        <w:rPr>
          <w:rFonts w:ascii="Arial" w:hAnsi="Arial" w:cs="Arial"/>
          <w:sz w:val="22"/>
          <w:szCs w:val="22"/>
          <w:lang w:val="en-US"/>
        </w:rPr>
        <w:t>ASEAN</w:t>
      </w:r>
      <w:r w:rsidRPr="00BC268B">
        <w:rPr>
          <w:rFonts w:ascii="Arial" w:eastAsia="Arial" w:hAnsi="Arial" w:cs="Arial"/>
          <w:sz w:val="22"/>
          <w:szCs w:val="22"/>
          <w:lang w:val="en-US"/>
        </w:rPr>
        <w:t>, WIPO also launched an IP Valuation Toolkit</w:t>
      </w:r>
      <w:r w:rsidRPr="00BC268B">
        <w:rPr>
          <w:rStyle w:val="FootnoteReference"/>
          <w:rFonts w:ascii="Arial" w:eastAsia="Arial" w:hAnsi="Arial" w:cs="Arial"/>
          <w:sz w:val="22"/>
          <w:szCs w:val="22"/>
        </w:rPr>
        <w:footnoteReference w:id="137"/>
      </w:r>
      <w:r w:rsidRPr="00BC268B">
        <w:rPr>
          <w:rFonts w:ascii="Arial" w:eastAsia="Arial" w:hAnsi="Arial" w:cs="Arial"/>
          <w:sz w:val="22"/>
          <w:szCs w:val="22"/>
          <w:lang w:val="en-US"/>
        </w:rPr>
        <w:t xml:space="preserve"> for the region, on the basis of interviews with over 400 local practitioners, financial experts, technology managers and enterprises.  Three National IP </w:t>
      </w:r>
      <w:r w:rsidRPr="00BC268B">
        <w:rPr>
          <w:rFonts w:ascii="Arial" w:hAnsi="Arial" w:cs="Arial"/>
          <w:sz w:val="22"/>
          <w:szCs w:val="22"/>
          <w:lang w:val="en-US"/>
        </w:rPr>
        <w:t>Valuation Training Seminars were held in Indonesia, Malaysia, and the Philippines, involving around 450 participants.</w:t>
      </w:r>
    </w:p>
    <w:p w14:paraId="138EC8D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The Sector remained committed to supporting Member States to establish Technology and Innovation Support Centers (TISCs), which provide access to technological information found in patent documents and scientific and technical publications, as well as provides assistance and advice on IP management and commercialization.  The TISC program responded to over 2.25 million inquiries from researchers, inventors and entrepreneurs around the world, helping them to effectively protect, manage and create value from IP.  By the end of 2024, over 1,600 individual TISCs were established in 93 countries, including 33 in LDCs,</w:t>
      </w:r>
      <w:r w:rsidRPr="00BC268B">
        <w:rPr>
          <w:rStyle w:val="FootnoteReference"/>
          <w:rFonts w:ascii="Arial" w:hAnsi="Arial" w:cs="Arial"/>
          <w:sz w:val="22"/>
          <w:szCs w:val="22"/>
        </w:rPr>
        <w:footnoteReference w:id="138"/>
      </w:r>
      <w:r w:rsidRPr="00BC268B">
        <w:rPr>
          <w:rFonts w:ascii="Arial" w:hAnsi="Arial" w:cs="Arial"/>
          <w:sz w:val="22"/>
          <w:szCs w:val="22"/>
          <w:lang w:val="en-US"/>
        </w:rPr>
        <w:t xml:space="preserve"> and four regional TISC networks were launched among Member States of ARIPO, ASEAN, countries in Central America and the Dominican Republic (CATI-CARD), and Arab countries, with two further regional TISC networks developed for Member States of OAPI and countries in Central Asia.  WIPO has supported the TISCs in developing the range and quality of their services through tailored training, specialized resources and networking at the national, regional and international levels.</w:t>
      </w:r>
    </w:p>
    <w:p w14:paraId="67BC18F4"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Additionally, in 2024, the Sector also issued a WIPO guide entitled </w:t>
      </w:r>
      <w:r w:rsidRPr="00BC268B">
        <w:rPr>
          <w:rFonts w:ascii="Arial" w:eastAsia="Arial" w:hAnsi="Arial" w:cs="Arial"/>
          <w:i/>
          <w:iCs/>
          <w:sz w:val="22"/>
          <w:szCs w:val="22"/>
          <w:lang w:val="en-US"/>
        </w:rPr>
        <w:t>Incentives in Technology Transfer:  A Guide to Encourage, Recognize and Reward Researchers and Professionals,</w:t>
      </w:r>
      <w:r w:rsidRPr="00BC268B">
        <w:rPr>
          <w:rStyle w:val="FootnoteReference"/>
          <w:rFonts w:ascii="Arial" w:eastAsia="Arial" w:hAnsi="Arial" w:cs="Arial"/>
          <w:sz w:val="22"/>
          <w:szCs w:val="22"/>
        </w:rPr>
        <w:footnoteReference w:id="139"/>
      </w:r>
      <w:r w:rsidRPr="00BC268B">
        <w:rPr>
          <w:rFonts w:ascii="Arial" w:eastAsia="Arial" w:hAnsi="Arial" w:cs="Arial"/>
          <w:sz w:val="22"/>
          <w:szCs w:val="22"/>
          <w:lang w:val="en-US"/>
        </w:rPr>
        <w:t xml:space="preserve"> aimed at facilitating the transition from academic research to practical application.  It highlights the importance of offering incentives and support to researchers and </w:t>
      </w:r>
      <w:r w:rsidRPr="00BC268B">
        <w:rPr>
          <w:rFonts w:ascii="Arial" w:eastAsia="Arial" w:hAnsi="Arial" w:cs="Arial"/>
          <w:sz w:val="22"/>
          <w:szCs w:val="22"/>
          <w:lang w:val="en-US"/>
        </w:rPr>
        <w:lastRenderedPageBreak/>
        <w:t>technology transfer professionals to convert academic research outcomes into tangible solutions.</w:t>
      </w:r>
    </w:p>
    <w:p w14:paraId="3616269A" w14:textId="77777777" w:rsidR="00BC268B" w:rsidRPr="00BC268B" w:rsidRDefault="00BC268B" w:rsidP="00A30C46">
      <w:pPr>
        <w:pStyle w:val="Heading2"/>
        <w:spacing w:before="0" w:after="240"/>
        <w:rPr>
          <w:szCs w:val="22"/>
        </w:rPr>
      </w:pPr>
      <w:r w:rsidRPr="00BC268B">
        <w:rPr>
          <w:szCs w:val="22"/>
        </w:rPr>
        <w:t>Economics and Data Analytics</w:t>
      </w:r>
    </w:p>
    <w:p w14:paraId="0AD3B33F"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The Sector continued to prepare development-related studies on the IP gender gap and on innovation hotspots and provided high-quality IP data to help policymakers to make informed decisions.  Work on the IP gender gap during the reporting period included:  (i) the </w:t>
      </w:r>
      <w:r w:rsidRPr="00BC268B">
        <w:rPr>
          <w:rFonts w:ascii="Arial" w:hAnsi="Arial" w:cs="Arial"/>
          <w:bCs/>
          <w:sz w:val="22"/>
          <w:szCs w:val="22"/>
          <w:lang w:val="en-US"/>
        </w:rPr>
        <w:t xml:space="preserve">preparation of a new Development Study on </w:t>
      </w:r>
      <w:r w:rsidRPr="00BC268B">
        <w:rPr>
          <w:rFonts w:ascii="Arial" w:hAnsi="Arial" w:cs="Arial"/>
          <w:bCs/>
          <w:i/>
          <w:iCs/>
          <w:sz w:val="22"/>
          <w:szCs w:val="22"/>
          <w:lang w:val="en-US"/>
        </w:rPr>
        <w:t>“The Gender Gap in Designs of CEBS countries”</w:t>
      </w:r>
      <w:r w:rsidRPr="00BC268B">
        <w:rPr>
          <w:rFonts w:ascii="Arial" w:hAnsi="Arial" w:cs="Arial"/>
          <w:bCs/>
          <w:sz w:val="22"/>
          <w:szCs w:val="22"/>
          <w:lang w:val="en-US"/>
        </w:rPr>
        <w:t xml:space="preserve"> to be published in 2025</w:t>
      </w:r>
      <w:r w:rsidRPr="00BC268B">
        <w:rPr>
          <w:rFonts w:ascii="Arial" w:hAnsi="Arial" w:cs="Arial"/>
          <w:bCs/>
          <w:i/>
          <w:iCs/>
          <w:sz w:val="22"/>
          <w:szCs w:val="22"/>
          <w:lang w:val="en-US"/>
        </w:rPr>
        <w:t>;</w:t>
      </w:r>
      <w:r w:rsidRPr="00BC268B">
        <w:rPr>
          <w:rFonts w:ascii="Arial" w:hAnsi="Arial" w:cs="Arial"/>
          <w:sz w:val="22"/>
          <w:szCs w:val="22"/>
          <w:lang w:val="en-US"/>
        </w:rPr>
        <w:t xml:space="preserve">  (ii) </w:t>
      </w:r>
      <w:r w:rsidRPr="00BC268B">
        <w:rPr>
          <w:rFonts w:ascii="Arial" w:hAnsi="Arial" w:cs="Arial"/>
          <w:bCs/>
          <w:sz w:val="22"/>
          <w:szCs w:val="22"/>
          <w:lang w:val="en-US"/>
        </w:rPr>
        <w:t>further technical improvements to WIPO’s World Gender Name Dictionary;</w:t>
      </w:r>
      <w:r w:rsidRPr="00BC268B">
        <w:rPr>
          <w:rStyle w:val="FootnoteReference"/>
          <w:rFonts w:ascii="Arial" w:hAnsi="Arial" w:cs="Arial"/>
          <w:bCs/>
          <w:sz w:val="22"/>
          <w:szCs w:val="22"/>
        </w:rPr>
        <w:footnoteReference w:id="140"/>
      </w:r>
      <w:r w:rsidRPr="00BC268B">
        <w:rPr>
          <w:rFonts w:ascii="Arial" w:hAnsi="Arial" w:cs="Arial"/>
          <w:bCs/>
          <w:sz w:val="22"/>
          <w:szCs w:val="22"/>
          <w:lang w:val="en-US"/>
        </w:rPr>
        <w:t xml:space="preserve">  (iii)</w:t>
      </w:r>
      <w:r w:rsidRPr="00BC268B">
        <w:rPr>
          <w:rFonts w:ascii="Arial" w:hAnsi="Arial" w:cs="Arial"/>
          <w:sz w:val="22"/>
          <w:szCs w:val="22"/>
          <w:lang w:val="en-US"/>
        </w:rPr>
        <w:t xml:space="preserve"> </w:t>
      </w:r>
      <w:r w:rsidRPr="00BC268B">
        <w:rPr>
          <w:rFonts w:ascii="Arial" w:hAnsi="Arial" w:cs="Arial"/>
          <w:bCs/>
          <w:sz w:val="22"/>
          <w:szCs w:val="22"/>
          <w:lang w:val="en-US"/>
        </w:rPr>
        <w:t>t</w:t>
      </w:r>
      <w:r w:rsidRPr="00BC268B">
        <w:rPr>
          <w:rFonts w:ascii="Arial" w:hAnsi="Arial" w:cs="Arial"/>
          <w:sz w:val="22"/>
          <w:szCs w:val="22"/>
          <w:lang w:val="en-US"/>
        </w:rPr>
        <w:t xml:space="preserve">echnical </w:t>
      </w:r>
      <w:r w:rsidRPr="00BC268B">
        <w:rPr>
          <w:rFonts w:ascii="Arial" w:hAnsi="Arial" w:cs="Arial"/>
          <w:bCs/>
          <w:sz w:val="22"/>
          <w:szCs w:val="22"/>
          <w:lang w:val="en-US"/>
        </w:rPr>
        <w:t>s</w:t>
      </w:r>
      <w:r w:rsidRPr="00BC268B">
        <w:rPr>
          <w:rFonts w:ascii="Arial" w:hAnsi="Arial" w:cs="Arial"/>
          <w:sz w:val="22"/>
          <w:szCs w:val="22"/>
          <w:lang w:val="en-US"/>
        </w:rPr>
        <w:t xml:space="preserve">upport for the </w:t>
      </w:r>
      <w:r w:rsidRPr="00BC268B">
        <w:rPr>
          <w:rFonts w:ascii="Arial" w:hAnsi="Arial" w:cs="Arial"/>
          <w:bCs/>
          <w:sz w:val="22"/>
          <w:szCs w:val="22"/>
          <w:lang w:val="en-US"/>
        </w:rPr>
        <w:t>r</w:t>
      </w:r>
      <w:r w:rsidRPr="00BC268B">
        <w:rPr>
          <w:rFonts w:ascii="Arial" w:hAnsi="Arial" w:cs="Arial"/>
          <w:sz w:val="22"/>
          <w:szCs w:val="22"/>
          <w:lang w:val="en-US"/>
        </w:rPr>
        <w:t>ealization of two Gender Research Expert meetings;</w:t>
      </w:r>
      <w:r w:rsidRPr="00BC268B">
        <w:rPr>
          <w:rStyle w:val="FootnoteReference"/>
          <w:rFonts w:ascii="Arial" w:hAnsi="Arial" w:cs="Arial"/>
          <w:bCs/>
          <w:sz w:val="22"/>
          <w:szCs w:val="22"/>
        </w:rPr>
        <w:footnoteReference w:id="141"/>
      </w:r>
      <w:r w:rsidRPr="00BC268B">
        <w:rPr>
          <w:rFonts w:ascii="Arial" w:hAnsi="Arial" w:cs="Arial"/>
          <w:bCs/>
          <w:sz w:val="22"/>
          <w:szCs w:val="22"/>
          <w:lang w:val="en-US"/>
        </w:rPr>
        <w:t xml:space="preserve">  and (iv) the recruitment of a new Gender Research Fellow.  As for the </w:t>
      </w:r>
      <w:r w:rsidRPr="00BC268B">
        <w:rPr>
          <w:rFonts w:ascii="Arial" w:hAnsi="Arial" w:cs="Arial"/>
          <w:sz w:val="22"/>
          <w:szCs w:val="22"/>
          <w:lang w:val="en-US"/>
        </w:rPr>
        <w:t xml:space="preserve">innovation hotspots, notable achievements in 2024 included:  (i) the </w:t>
      </w:r>
      <w:r w:rsidRPr="00BC268B">
        <w:rPr>
          <w:rFonts w:ascii="Arial" w:hAnsi="Arial" w:cs="Arial"/>
          <w:bCs/>
          <w:sz w:val="22"/>
          <w:szCs w:val="22"/>
          <w:lang w:val="en-US"/>
        </w:rPr>
        <w:t xml:space="preserve">publication of </w:t>
      </w:r>
      <w:r w:rsidRPr="00BC268B">
        <w:rPr>
          <w:rFonts w:ascii="Arial" w:hAnsi="Arial" w:cs="Arial"/>
          <w:bCs/>
          <w:i/>
          <w:iCs/>
          <w:sz w:val="22"/>
          <w:szCs w:val="22"/>
          <w:lang w:val="en-US"/>
        </w:rPr>
        <w:t>The Unequal Geographical Distribution of Innovative Activity,</w:t>
      </w:r>
      <w:r w:rsidRPr="00BC268B">
        <w:rPr>
          <w:rStyle w:val="FootnoteReference"/>
          <w:rFonts w:ascii="Arial" w:hAnsi="Arial" w:cs="Arial"/>
          <w:bCs/>
          <w:sz w:val="22"/>
          <w:szCs w:val="22"/>
        </w:rPr>
        <w:footnoteReference w:id="142"/>
      </w:r>
      <w:r w:rsidRPr="00BC268B">
        <w:rPr>
          <w:rFonts w:ascii="Arial" w:hAnsi="Arial" w:cs="Arial"/>
          <w:bCs/>
          <w:sz w:val="22"/>
          <w:szCs w:val="22"/>
          <w:lang w:val="en-US"/>
        </w:rPr>
        <w:t xml:space="preserve"> and (ii) the preparation of a publication on the </w:t>
      </w:r>
      <w:r w:rsidRPr="00BC268B">
        <w:rPr>
          <w:rFonts w:ascii="Arial" w:hAnsi="Arial" w:cs="Arial"/>
          <w:bCs/>
          <w:i/>
          <w:iCs/>
          <w:sz w:val="22"/>
          <w:szCs w:val="22"/>
          <w:lang w:val="en-US"/>
        </w:rPr>
        <w:t>Global Network of Local Innovation</w:t>
      </w:r>
      <w:r w:rsidRPr="00BC268B">
        <w:rPr>
          <w:rFonts w:ascii="Arial" w:hAnsi="Arial" w:cs="Arial"/>
          <w:bCs/>
          <w:sz w:val="22"/>
          <w:szCs w:val="22"/>
          <w:lang w:val="en-US"/>
        </w:rPr>
        <w:t xml:space="preserve"> to be published in the next few years.  The Sector also continued work on the </w:t>
      </w:r>
      <w:r w:rsidRPr="00BC268B">
        <w:rPr>
          <w:rFonts w:ascii="Arial" w:hAnsi="Arial" w:cs="Arial"/>
          <w:sz w:val="22"/>
          <w:szCs w:val="22"/>
          <w:lang w:val="en-US"/>
        </w:rPr>
        <w:t xml:space="preserve">Global Innovation Index (GII), providing </w:t>
      </w:r>
      <w:r w:rsidRPr="00BC268B">
        <w:rPr>
          <w:rFonts w:ascii="Arial" w:hAnsi="Arial" w:cs="Arial"/>
          <w:iCs/>
          <w:sz w:val="22"/>
          <w:szCs w:val="22"/>
          <w:lang w:val="en-US"/>
        </w:rPr>
        <w:t xml:space="preserve">extensive technical assistance aimed at (i) improving the availability of innovation data, (ii) assessing the innovation performance of economies, and (iii) offering GII-based inputs for innovation and IP policies.  A survey carried out in 2024 showed that 77 per cent of WIPO Member States were using the GII to improve innovation ecosystems and metrics, and as a benchmark for national innovation policies across all global regions.  Around 65 online or physical meetings were held to this effect in 2024.  </w:t>
      </w:r>
    </w:p>
    <w:p w14:paraId="76902E6E" w14:textId="77777777" w:rsidR="00BC268B" w:rsidRPr="00BC268B" w:rsidRDefault="00BC268B" w:rsidP="00A30C46">
      <w:pPr>
        <w:pStyle w:val="Heading2"/>
        <w:spacing w:before="0" w:after="240"/>
        <w:rPr>
          <w:szCs w:val="22"/>
        </w:rPr>
      </w:pPr>
      <w:r w:rsidRPr="00BC268B">
        <w:rPr>
          <w:szCs w:val="22"/>
        </w:rPr>
        <w:t>WIPO Judicial Institute</w:t>
      </w:r>
    </w:p>
    <w:p w14:paraId="14523B28"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
          <w:iCs/>
          <w:sz w:val="22"/>
          <w:szCs w:val="22"/>
          <w:lang w:val="en-US"/>
        </w:rPr>
      </w:pPr>
      <w:r w:rsidRPr="00BC268B">
        <w:rPr>
          <w:rFonts w:ascii="Arial" w:hAnsi="Arial" w:cs="Arial"/>
          <w:sz w:val="22"/>
          <w:szCs w:val="22"/>
          <w:lang w:val="en-US"/>
        </w:rPr>
        <w:t xml:space="preserve">The WIPO Judicial Institute continued to </w:t>
      </w:r>
      <w:r w:rsidRPr="00BC268B">
        <w:rPr>
          <w:rFonts w:ascii="Arial" w:hAnsi="Arial" w:cs="Arial"/>
          <w:sz w:val="22"/>
          <w:szCs w:val="22"/>
          <w:lang w:val="en-US" w:eastAsia="en-GB"/>
        </w:rPr>
        <w:t xml:space="preserve">provide support to judiciaries in developing countries and LDCs </w:t>
      </w:r>
      <w:r w:rsidRPr="00BC268B">
        <w:rPr>
          <w:rFonts w:ascii="Arial" w:hAnsi="Arial" w:cs="Arial"/>
          <w:sz w:val="22"/>
          <w:szCs w:val="22"/>
          <w:lang w:val="en-US"/>
        </w:rPr>
        <w:t>to fulfill their vital role in the effective adjudication of IP disputes</w:t>
      </w:r>
      <w:r w:rsidRPr="00BC268B">
        <w:rPr>
          <w:rFonts w:ascii="Arial" w:hAnsi="Arial" w:cs="Arial"/>
          <w:sz w:val="22"/>
          <w:szCs w:val="22"/>
          <w:lang w:val="en-US" w:eastAsia="en-GB"/>
        </w:rPr>
        <w:t xml:space="preserve">.  </w:t>
      </w:r>
      <w:r w:rsidRPr="00BC268B">
        <w:rPr>
          <w:rFonts w:ascii="Arial" w:hAnsi="Arial" w:cs="Arial"/>
          <w:sz w:val="22"/>
          <w:szCs w:val="22"/>
          <w:lang w:val="en-US"/>
        </w:rPr>
        <w:t>The exchange of experiences and good practices between judges was facilitated through:  (i) the WIPO IP Judges Forum,</w:t>
      </w:r>
      <w:r w:rsidRPr="00BC268B">
        <w:rPr>
          <w:rStyle w:val="FootnoteReference"/>
          <w:rFonts w:ascii="Arial" w:hAnsi="Arial" w:cs="Arial"/>
          <w:sz w:val="22"/>
          <w:szCs w:val="22"/>
        </w:rPr>
        <w:footnoteReference w:id="143"/>
      </w:r>
      <w:r w:rsidRPr="00BC268B">
        <w:rPr>
          <w:rFonts w:ascii="Arial" w:hAnsi="Arial" w:cs="Arial"/>
          <w:sz w:val="22"/>
          <w:szCs w:val="22"/>
          <w:lang w:val="en-US"/>
        </w:rPr>
        <w:t xml:space="preserve"> which brought together, in hybrid format, over 435 judges from 101 countries and six regional courts;  (ii) a Master Class on IP Adjudication that promoted peer</w:t>
      </w:r>
      <w:r w:rsidRPr="00BC268B">
        <w:rPr>
          <w:rFonts w:ascii="Arial" w:hAnsi="Arial" w:cs="Arial"/>
          <w:sz w:val="22"/>
          <w:szCs w:val="22"/>
          <w:lang w:val="en-US"/>
        </w:rPr>
        <w:noBreakHyphen/>
        <w:t>to</w:t>
      </w:r>
      <w:r w:rsidRPr="00BC268B">
        <w:rPr>
          <w:rFonts w:ascii="Arial" w:hAnsi="Arial" w:cs="Arial"/>
          <w:sz w:val="22"/>
          <w:szCs w:val="22"/>
          <w:lang w:val="en-US"/>
        </w:rPr>
        <w:noBreakHyphen/>
        <w:t>peer judicial exchange of patent</w:t>
      </w:r>
      <w:r w:rsidRPr="00BC268B">
        <w:rPr>
          <w:rFonts w:ascii="Arial" w:hAnsi="Arial" w:cs="Arial"/>
          <w:sz w:val="22"/>
          <w:szCs w:val="22"/>
          <w:lang w:val="en-US"/>
        </w:rPr>
        <w:noBreakHyphen/>
        <w:t>related experiences and jurisprudential developments, for 37 experienced patent judges from 20 jurisdictions;  (iii) the International Judicial Symposium on IP,</w:t>
      </w:r>
      <w:r w:rsidRPr="00BC268B">
        <w:rPr>
          <w:rStyle w:val="FootnoteReference"/>
          <w:rFonts w:ascii="Arial" w:hAnsi="Arial" w:cs="Arial"/>
          <w:sz w:val="22"/>
          <w:szCs w:val="22"/>
        </w:rPr>
        <w:footnoteReference w:id="144"/>
      </w:r>
      <w:r w:rsidRPr="00BC268B">
        <w:rPr>
          <w:rFonts w:ascii="Arial" w:hAnsi="Arial" w:cs="Arial"/>
          <w:sz w:val="22"/>
          <w:szCs w:val="22"/>
          <w:lang w:val="en-US"/>
        </w:rPr>
        <w:t xml:space="preserve"> which brought together judges and experts from nine jurisdictions to discuss </w:t>
      </w:r>
      <w:r w:rsidRPr="00BC268B">
        <w:rPr>
          <w:rFonts w:ascii="Arial" w:hAnsi="Arial" w:cs="Arial"/>
          <w:sz w:val="22"/>
          <w:szCs w:val="22"/>
          <w:lang w:val="en-US"/>
        </w:rPr>
        <w:br/>
        <w:t xml:space="preserve">cutting-edge topics on IP adjudication;  and (iv) one instalment of the Webinars for Judges series, providing an opportunity to discuss landmark cases and new developments on compulsory licenses.  Over 80 per cent of judges participating in these activities joined from developing countries and LDCs.  Tailored capacity-building continued to be provided to increase IP knowledge and judges’ relevant skills, in close collaboration with judicial and other </w:t>
      </w:r>
      <w:r w:rsidRPr="00BC268B">
        <w:rPr>
          <w:rFonts w:ascii="Arial" w:hAnsi="Arial" w:cs="Arial"/>
          <w:sz w:val="22"/>
          <w:szCs w:val="22"/>
          <w:lang w:val="en-GB"/>
        </w:rPr>
        <w:t xml:space="preserve">relevant </w:t>
      </w:r>
      <w:r w:rsidRPr="00BC268B">
        <w:rPr>
          <w:rFonts w:ascii="Arial" w:hAnsi="Arial" w:cs="Arial"/>
          <w:sz w:val="22"/>
          <w:szCs w:val="22"/>
          <w:lang w:val="en-US"/>
        </w:rPr>
        <w:t>authorities, and in line with the DA Recommendations.  In response to a number of requests received, WIPO supported judicial education programs in six Member States.</w:t>
      </w:r>
      <w:r w:rsidRPr="00BC268B">
        <w:rPr>
          <w:rStyle w:val="FootnoteReference"/>
          <w:rFonts w:ascii="Arial" w:hAnsi="Arial" w:cs="Arial"/>
          <w:sz w:val="22"/>
          <w:szCs w:val="22"/>
        </w:rPr>
        <w:footnoteReference w:id="145"/>
      </w:r>
      <w:r w:rsidRPr="00BC268B">
        <w:rPr>
          <w:rFonts w:ascii="Arial" w:hAnsi="Arial" w:cs="Arial"/>
          <w:sz w:val="22"/>
          <w:szCs w:val="22"/>
          <w:lang w:val="en-US"/>
        </w:rPr>
        <w:t xml:space="preserve">  In addition, regional judicial training was provided in Latin America and the Baltic region.  </w:t>
      </w:r>
    </w:p>
    <w:p w14:paraId="31B4377D" w14:textId="77777777" w:rsidR="00BC268B" w:rsidRPr="00BC268B" w:rsidRDefault="00BC268B" w:rsidP="00BC268B">
      <w:pPr>
        <w:pStyle w:val="ListParagraph"/>
        <w:numPr>
          <w:ilvl w:val="0"/>
          <w:numId w:val="13"/>
        </w:numPr>
        <w:spacing w:after="240" w:line="240" w:lineRule="auto"/>
        <w:ind w:left="0" w:firstLine="0"/>
        <w:contextualSpacing w:val="0"/>
        <w:rPr>
          <w:rStyle w:val="null"/>
          <w:rFonts w:ascii="Arial" w:hAnsi="Arial" w:cs="Arial"/>
          <w:i/>
          <w:iCs/>
          <w:sz w:val="22"/>
          <w:szCs w:val="22"/>
          <w:lang w:val="en-US"/>
        </w:rPr>
      </w:pPr>
      <w:r w:rsidRPr="00BC268B">
        <w:rPr>
          <w:rFonts w:ascii="Arial" w:hAnsi="Arial" w:cs="Arial"/>
          <w:sz w:val="22"/>
          <w:szCs w:val="22"/>
          <w:lang w:val="en-US"/>
        </w:rPr>
        <w:t xml:space="preserve">During the reporting period, the Sector continued to </w:t>
      </w:r>
      <w:r w:rsidRPr="00BC268B">
        <w:rPr>
          <w:rStyle w:val="null"/>
          <w:rFonts w:ascii="Arial" w:hAnsi="Arial" w:cs="Arial"/>
          <w:sz w:val="22"/>
          <w:szCs w:val="22"/>
          <w:lang w:val="en-US"/>
        </w:rPr>
        <w:t>enhance WIPO Lex database.</w:t>
      </w:r>
      <w:r w:rsidRPr="00BC268B">
        <w:rPr>
          <w:rStyle w:val="FootnoteReference"/>
          <w:rFonts w:ascii="Arial" w:hAnsi="Arial" w:cs="Arial"/>
          <w:sz w:val="22"/>
          <w:szCs w:val="22"/>
        </w:rPr>
        <w:footnoteReference w:id="146"/>
      </w:r>
      <w:r w:rsidRPr="00BC268B">
        <w:rPr>
          <w:rStyle w:val="null"/>
          <w:rFonts w:ascii="Arial" w:hAnsi="Arial" w:cs="Arial"/>
          <w:sz w:val="22"/>
          <w:szCs w:val="22"/>
          <w:lang w:val="en-US"/>
        </w:rPr>
        <w:t xml:space="preserve">  </w:t>
      </w:r>
      <w:r w:rsidRPr="00BC268B">
        <w:rPr>
          <w:rFonts w:ascii="Arial" w:hAnsi="Arial" w:cs="Arial"/>
          <w:sz w:val="22"/>
          <w:szCs w:val="22"/>
          <w:lang w:val="en-US"/>
        </w:rPr>
        <w:t xml:space="preserve">The WIPO Lex collections of Laws, Treaties and Judgments continued to provide the most comprehensive, authoritative and reliable source of IP legal information available online.  In 2024, WIPO Lex added 1,177 new laws from 101 jurisdictions.  The database now contains over 19,000 laws, covering national IP and IP-related legislation from 202 jurisdictions, and over </w:t>
      </w:r>
      <w:r w:rsidRPr="00BC268B">
        <w:rPr>
          <w:rFonts w:ascii="Arial" w:hAnsi="Arial" w:cs="Arial"/>
          <w:sz w:val="22"/>
          <w:szCs w:val="22"/>
          <w:lang w:val="en-US"/>
        </w:rPr>
        <w:lastRenderedPageBreak/>
        <w:t xml:space="preserve">200 IP treaties, including 27 WIPO-administered treaties.  The WIPO Lex </w:t>
      </w:r>
      <w:r w:rsidRPr="00BC268B">
        <w:rPr>
          <w:rStyle w:val="null"/>
          <w:rFonts w:ascii="Arial" w:hAnsi="Arial" w:cs="Arial"/>
          <w:sz w:val="22"/>
          <w:szCs w:val="22"/>
          <w:lang w:val="en-US"/>
        </w:rPr>
        <w:t>Judgments collection has increased its coverage to 46 jurisdictions.</w:t>
      </w:r>
      <w:r w:rsidRPr="00BC268B">
        <w:rPr>
          <w:rStyle w:val="FootnoteReference"/>
          <w:rFonts w:ascii="Arial" w:hAnsi="Arial" w:cs="Arial"/>
          <w:sz w:val="22"/>
          <w:szCs w:val="22"/>
        </w:rPr>
        <w:footnoteReference w:id="147"/>
      </w:r>
      <w:r w:rsidRPr="00BC268B">
        <w:rPr>
          <w:rStyle w:val="null"/>
          <w:rFonts w:ascii="Arial" w:hAnsi="Arial" w:cs="Arial"/>
          <w:sz w:val="22"/>
          <w:szCs w:val="22"/>
          <w:lang w:val="en-US"/>
        </w:rPr>
        <w:t xml:space="preserve">  In 2024, WIPO Lex also launched the Standard Essential Patents (SEP) Case Law Collection,</w:t>
      </w:r>
      <w:r w:rsidRPr="00BC268B">
        <w:rPr>
          <w:rStyle w:val="FootnoteReference"/>
          <w:rFonts w:ascii="Arial" w:hAnsi="Arial" w:cs="Arial"/>
          <w:sz w:val="22"/>
          <w:szCs w:val="22"/>
        </w:rPr>
        <w:footnoteReference w:id="148"/>
      </w:r>
      <w:r w:rsidRPr="00BC268B">
        <w:rPr>
          <w:rStyle w:val="null"/>
          <w:rFonts w:ascii="Arial" w:hAnsi="Arial" w:cs="Arial"/>
          <w:sz w:val="22"/>
          <w:szCs w:val="22"/>
          <w:lang w:val="en-US"/>
        </w:rPr>
        <w:t xml:space="preserve"> which facilitates access to noteworthy SEP rulings from around the world.  </w:t>
      </w:r>
    </w:p>
    <w:p w14:paraId="69C17499" w14:textId="77777777" w:rsidR="00BC268B" w:rsidRPr="00BC268B" w:rsidRDefault="00BC268B" w:rsidP="00A30C46">
      <w:pPr>
        <w:pStyle w:val="Heading2"/>
        <w:spacing w:before="0" w:after="240"/>
        <w:rPr>
          <w:szCs w:val="22"/>
        </w:rPr>
      </w:pPr>
      <w:r w:rsidRPr="00BC268B">
        <w:rPr>
          <w:szCs w:val="22"/>
        </w:rPr>
        <w:t>WIPO Arbitration and Mediation center</w:t>
      </w:r>
    </w:p>
    <w:p w14:paraId="3DA308A5"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
          <w:iCs/>
          <w:sz w:val="22"/>
          <w:szCs w:val="22"/>
          <w:lang w:val="en-US"/>
        </w:rPr>
      </w:pPr>
      <w:r w:rsidRPr="00BC268B">
        <w:rPr>
          <w:rFonts w:ascii="Arial" w:hAnsi="Arial" w:cs="Arial"/>
          <w:sz w:val="22"/>
          <w:szCs w:val="22"/>
          <w:lang w:val="en-US"/>
        </w:rPr>
        <w:t xml:space="preserve">The WIPO Arbitration and Mediation Center continued to offer time- and cost-efficient alternative dispute resolution (ADR) options, such as mediation, arbitration, expedited arbitration, and expert determination to enable private parties to settle their domestic or </w:t>
      </w:r>
      <w:r w:rsidRPr="00BC268B">
        <w:rPr>
          <w:rFonts w:ascii="Arial" w:hAnsi="Arial" w:cs="Arial"/>
          <w:sz w:val="22"/>
          <w:szCs w:val="22"/>
          <w:lang w:val="en-US"/>
        </w:rPr>
        <w:br/>
        <w:t xml:space="preserve">cross-border commercial disputes.  During the reporting period, the Center was </w:t>
      </w:r>
      <w:r w:rsidRPr="00BC268B">
        <w:rPr>
          <w:rFonts w:ascii="Arial" w:hAnsi="Arial" w:cs="Arial"/>
          <w:iCs/>
          <w:sz w:val="22"/>
          <w:szCs w:val="22"/>
          <w:lang w:val="en-US"/>
        </w:rPr>
        <w:t xml:space="preserve">involved in the resolution of nearly 830 disputes, with 55 per cent of the parties representing SMEs, including startups, creators and innovators, many of whom were from developing countries and LDCs.  To raise awareness of ADR for IP disputes, more than 60 online training sessions were organized, involving around 5,300 participants from developing countries and LDCs.  The Center also provided </w:t>
      </w:r>
      <w:r w:rsidRPr="00BC268B">
        <w:rPr>
          <w:rFonts w:ascii="Arial" w:hAnsi="Arial" w:cs="Arial"/>
          <w:sz w:val="22"/>
          <w:szCs w:val="22"/>
          <w:lang w:val="en-US"/>
        </w:rPr>
        <w:t>case management support for the online administration of ADR proceedings for Copyright Offices and Courts in developing countries and LDCs, particularly in Africa and Latin America.  Additionally,</w:t>
      </w:r>
      <w:r w:rsidRPr="00BC268B">
        <w:rPr>
          <w:rFonts w:ascii="Arial" w:hAnsi="Arial" w:cs="Arial"/>
          <w:i/>
          <w:iCs/>
          <w:sz w:val="22"/>
          <w:szCs w:val="22"/>
          <w:lang w:val="en-US"/>
        </w:rPr>
        <w:t xml:space="preserve"> </w:t>
      </w:r>
      <w:r w:rsidRPr="00BC268B">
        <w:rPr>
          <w:rFonts w:ascii="Arial" w:hAnsi="Arial" w:cs="Arial"/>
          <w:iCs/>
          <w:sz w:val="22"/>
          <w:szCs w:val="22"/>
          <w:lang w:val="en-US"/>
        </w:rPr>
        <w:t xml:space="preserve">online one-on-one orientation sessions continued to be held for potential users of ADR services.  Over 70 sessions were booked by users from </w:t>
      </w:r>
      <w:r w:rsidRPr="00BC268B">
        <w:rPr>
          <w:rFonts w:ascii="Arial" w:hAnsi="Arial" w:cs="Arial"/>
          <w:sz w:val="22"/>
          <w:szCs w:val="22"/>
          <w:lang w:val="en-US"/>
        </w:rPr>
        <w:t>approximately 30 countries, primarily from developing countries and LDCs</w:t>
      </w:r>
      <w:r w:rsidRPr="00BC268B">
        <w:rPr>
          <w:rFonts w:ascii="Arial" w:hAnsi="Arial" w:cs="Arial"/>
          <w:iCs/>
          <w:sz w:val="22"/>
          <w:szCs w:val="22"/>
          <w:lang w:val="en-US"/>
        </w:rPr>
        <w:t xml:space="preserve">.  Finally, the WIPO ADR Young group, </w:t>
      </w:r>
      <w:r w:rsidRPr="00BC268B">
        <w:rPr>
          <w:rFonts w:ascii="Arial" w:hAnsi="Arial" w:cs="Arial"/>
          <w:sz w:val="22"/>
          <w:szCs w:val="22"/>
          <w:lang w:val="en-US"/>
        </w:rPr>
        <w:t>which offers a networking and training forum for young professionals in the IP and dispute resolution communities,</w:t>
      </w:r>
      <w:r w:rsidRPr="00BC268B">
        <w:rPr>
          <w:rFonts w:ascii="Arial" w:hAnsi="Arial" w:cs="Arial"/>
          <w:i/>
          <w:iCs/>
          <w:sz w:val="22"/>
          <w:szCs w:val="22"/>
          <w:lang w:val="en-US"/>
        </w:rPr>
        <w:t xml:space="preserve"> </w:t>
      </w:r>
      <w:r w:rsidRPr="00BC268B">
        <w:rPr>
          <w:rFonts w:ascii="Arial" w:hAnsi="Arial" w:cs="Arial"/>
          <w:iCs/>
          <w:sz w:val="22"/>
          <w:szCs w:val="22"/>
          <w:lang w:val="en-US"/>
        </w:rPr>
        <w:t>expanded to over 1,700 members from around 110 countries.</w:t>
      </w:r>
      <w:r w:rsidRPr="00BC268B">
        <w:rPr>
          <w:rStyle w:val="FootnoteReference"/>
          <w:rFonts w:ascii="Arial" w:hAnsi="Arial" w:cs="Arial"/>
          <w:iCs/>
          <w:sz w:val="22"/>
          <w:szCs w:val="22"/>
        </w:rPr>
        <w:footnoteReference w:id="149"/>
      </w:r>
    </w:p>
    <w:p w14:paraId="328F6D78" w14:textId="77777777" w:rsidR="00BC268B" w:rsidRPr="00BC268B" w:rsidRDefault="00BC268B" w:rsidP="00A30C46">
      <w:pPr>
        <w:pStyle w:val="Heading2"/>
        <w:spacing w:before="0" w:after="240"/>
        <w:rPr>
          <w:szCs w:val="22"/>
        </w:rPr>
      </w:pPr>
      <w:r w:rsidRPr="00BC268B">
        <w:rPr>
          <w:szCs w:val="22"/>
        </w:rPr>
        <w:t>Mainstreamed DA Projects</w:t>
      </w:r>
    </w:p>
    <w:p w14:paraId="43677208"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Below are highlights of the work related to the mainstreamed DA projects:</w:t>
      </w:r>
    </w:p>
    <w:p w14:paraId="728E63C9" w14:textId="77777777" w:rsidR="00BC268B" w:rsidRPr="00BC268B" w:rsidRDefault="00BC268B" w:rsidP="00BC268B">
      <w:pPr>
        <w:pStyle w:val="ListParagraph"/>
        <w:numPr>
          <w:ilvl w:val="0"/>
          <w:numId w:val="15"/>
        </w:numPr>
        <w:spacing w:after="240" w:line="240" w:lineRule="auto"/>
        <w:ind w:hanging="540"/>
        <w:contextualSpacing w:val="0"/>
        <w:rPr>
          <w:rFonts w:ascii="Arial" w:hAnsi="Arial" w:cs="Arial"/>
          <w:bCs/>
          <w:i/>
          <w:sz w:val="22"/>
          <w:szCs w:val="22"/>
        </w:rPr>
      </w:pPr>
      <w:bookmarkStart w:id="32" w:name="_Hlk188460694"/>
      <w:bookmarkStart w:id="33" w:name="_Hlk188460788"/>
      <w:r w:rsidRPr="00BC268B">
        <w:rPr>
          <w:rFonts w:ascii="Arial" w:hAnsi="Arial" w:cs="Arial"/>
          <w:bCs/>
          <w:i/>
          <w:sz w:val="22"/>
          <w:szCs w:val="22"/>
          <w:lang w:val="en-US"/>
        </w:rPr>
        <w:t xml:space="preserve">Specialized Databases’ Access and Support:  </w:t>
      </w:r>
      <w:bookmarkEnd w:id="32"/>
      <w:r w:rsidRPr="00BC268B">
        <w:rPr>
          <w:rFonts w:ascii="Arial" w:hAnsi="Arial" w:cs="Arial"/>
          <w:sz w:val="22"/>
          <w:szCs w:val="22"/>
          <w:lang w:val="en-US"/>
        </w:rPr>
        <w:t>training and awareness-raising activities on IP rights, patent information, patent search strategies and techniques, and technology databases have been mainstreamed into the regular activities provided to TISCs and their stakeholders.  The exchange of experiences and good practices among TISCs was promoted through four regional conferences,</w:t>
      </w:r>
      <w:r w:rsidRPr="00BC268B">
        <w:rPr>
          <w:rStyle w:val="FootnoteReference"/>
          <w:rFonts w:ascii="Arial" w:hAnsi="Arial" w:cs="Arial"/>
          <w:sz w:val="22"/>
          <w:szCs w:val="22"/>
        </w:rPr>
        <w:footnoteReference w:id="150"/>
      </w:r>
      <w:r w:rsidRPr="00BC268B">
        <w:rPr>
          <w:rFonts w:ascii="Arial" w:hAnsi="Arial" w:cs="Arial"/>
          <w:sz w:val="22"/>
          <w:szCs w:val="22"/>
          <w:lang w:val="en-US"/>
        </w:rPr>
        <w:t xml:space="preserve"> and through the eTISC knowledge</w:t>
      </w:r>
      <w:r w:rsidRPr="00BC268B">
        <w:rPr>
          <w:rFonts w:ascii="Arial" w:hAnsi="Arial" w:cs="Arial"/>
          <w:sz w:val="22"/>
          <w:szCs w:val="22"/>
          <w:lang w:val="en-US"/>
        </w:rPr>
        <w:noBreakHyphen/>
        <w:t>sharing platform,</w:t>
      </w:r>
      <w:r w:rsidRPr="00BC268B">
        <w:rPr>
          <w:rStyle w:val="FootnoteReference"/>
          <w:rFonts w:ascii="Arial" w:hAnsi="Arial" w:cs="Arial"/>
          <w:sz w:val="22"/>
          <w:szCs w:val="22"/>
        </w:rPr>
        <w:footnoteReference w:id="151"/>
      </w:r>
      <w:r w:rsidRPr="00BC268B">
        <w:rPr>
          <w:rFonts w:ascii="Arial" w:hAnsi="Arial" w:cs="Arial"/>
          <w:sz w:val="22"/>
          <w:szCs w:val="22"/>
          <w:lang w:val="en-US"/>
        </w:rPr>
        <w:t xml:space="preserve"> which had over 1,300 registered members by the end of 2024.  The number of patent database reports,</w:t>
      </w:r>
      <w:r w:rsidRPr="00BC268B">
        <w:rPr>
          <w:rStyle w:val="FootnoteReference"/>
          <w:rFonts w:ascii="Arial" w:hAnsi="Arial" w:cs="Arial"/>
          <w:sz w:val="22"/>
          <w:szCs w:val="22"/>
        </w:rPr>
        <w:footnoteReference w:id="152"/>
      </w:r>
      <w:r w:rsidRPr="00BC268B">
        <w:rPr>
          <w:rFonts w:ascii="Arial" w:hAnsi="Arial" w:cs="Arial"/>
          <w:sz w:val="22"/>
          <w:szCs w:val="22"/>
          <w:lang w:val="en-US"/>
        </w:rPr>
        <w:t xml:space="preserve"> within the WIPO INSPIRE platform,</w:t>
      </w:r>
      <w:r w:rsidRPr="00BC268B">
        <w:rPr>
          <w:rStyle w:val="FootnoteReference"/>
          <w:rFonts w:ascii="Arial" w:hAnsi="Arial" w:cs="Arial"/>
          <w:sz w:val="22"/>
          <w:szCs w:val="22"/>
        </w:rPr>
        <w:footnoteReference w:id="153"/>
      </w:r>
      <w:r w:rsidRPr="00BC268B">
        <w:rPr>
          <w:rFonts w:ascii="Arial" w:hAnsi="Arial" w:cs="Arial"/>
          <w:sz w:val="22"/>
          <w:szCs w:val="22"/>
          <w:lang w:val="en-US"/>
        </w:rPr>
        <w:t xml:space="preserve"> increased to 50, contributing further to the fulfilment of DA Recommendations 19, 30, and 31.  At the end of 2024, the TISC Directory included contact details and information on services provided by 1,624 TISCs.  The TISC web page</w:t>
      </w:r>
      <w:r w:rsidRPr="00BC268B">
        <w:rPr>
          <w:rStyle w:val="FootnoteReference"/>
          <w:rFonts w:ascii="Arial" w:hAnsi="Arial" w:cs="Arial"/>
          <w:sz w:val="22"/>
          <w:szCs w:val="22"/>
        </w:rPr>
        <w:footnoteReference w:id="154"/>
      </w:r>
      <w:r w:rsidRPr="00BC268B">
        <w:rPr>
          <w:rFonts w:ascii="Arial" w:hAnsi="Arial" w:cs="Arial"/>
          <w:sz w:val="22"/>
          <w:szCs w:val="22"/>
          <w:lang w:val="en-US"/>
        </w:rPr>
        <w:t>, which provides access to various resources for knowledge and skills development, was visited by 92,766 unique users.  The TISC Project and Performance Management (TPPM) Platform</w:t>
      </w:r>
      <w:r w:rsidRPr="00BC268B">
        <w:rPr>
          <w:rStyle w:val="FootnoteReference"/>
          <w:rFonts w:ascii="Arial" w:hAnsi="Arial" w:cs="Arial"/>
          <w:sz w:val="22"/>
          <w:szCs w:val="22"/>
        </w:rPr>
        <w:footnoteReference w:id="155"/>
      </w:r>
      <w:r w:rsidRPr="00BC268B">
        <w:rPr>
          <w:rFonts w:ascii="Arial" w:hAnsi="Arial" w:cs="Arial"/>
          <w:sz w:val="22"/>
          <w:szCs w:val="22"/>
          <w:lang w:val="en-US"/>
        </w:rPr>
        <w:t xml:space="preserve"> was rolled out to additional TISC countries.  In addition, WIPO’s </w:t>
      </w:r>
      <w:r w:rsidRPr="00BC268B">
        <w:rPr>
          <w:rFonts w:ascii="Arial" w:hAnsi="Arial" w:cs="Arial"/>
          <w:i/>
          <w:iCs/>
          <w:sz w:val="22"/>
          <w:szCs w:val="22"/>
          <w:lang w:val="en-US"/>
        </w:rPr>
        <w:t>Access to Research for Development and Innovation (</w:t>
      </w:r>
      <w:r w:rsidRPr="00BC268B">
        <w:rPr>
          <w:rFonts w:ascii="Arial" w:hAnsi="Arial" w:cs="Arial"/>
          <w:sz w:val="22"/>
          <w:szCs w:val="22"/>
          <w:lang w:val="en-US"/>
        </w:rPr>
        <w:t>ARDI</w:t>
      </w:r>
      <w:r w:rsidRPr="00BC268B">
        <w:rPr>
          <w:rFonts w:ascii="Arial" w:hAnsi="Arial" w:cs="Arial"/>
          <w:i/>
          <w:iCs/>
          <w:sz w:val="22"/>
          <w:szCs w:val="22"/>
          <w:lang w:val="en-US"/>
        </w:rPr>
        <w:t>)</w:t>
      </w:r>
      <w:r w:rsidRPr="00BC268B">
        <w:rPr>
          <w:rFonts w:ascii="Arial" w:hAnsi="Arial" w:cs="Arial"/>
          <w:sz w:val="22"/>
          <w:szCs w:val="22"/>
          <w:lang w:val="en-US"/>
        </w:rPr>
        <w:t xml:space="preserve"> and </w:t>
      </w:r>
      <w:r w:rsidRPr="00BC268B">
        <w:rPr>
          <w:rFonts w:ascii="Arial" w:hAnsi="Arial" w:cs="Arial"/>
          <w:i/>
          <w:iCs/>
          <w:sz w:val="22"/>
          <w:szCs w:val="22"/>
          <w:lang w:val="en-US"/>
        </w:rPr>
        <w:t>Access to Specialized Patent Information</w:t>
      </w:r>
      <w:r w:rsidRPr="00BC268B">
        <w:rPr>
          <w:rFonts w:ascii="Arial" w:hAnsi="Arial" w:cs="Arial"/>
          <w:sz w:val="22"/>
          <w:szCs w:val="22"/>
          <w:lang w:val="en-US"/>
        </w:rPr>
        <w:t xml:space="preserve"> (ASPI) programs contributed to the achievement of DA Recommendation 8.  In 2024, ARDI provided free or low-cost access to over 50,000 academic and professional </w:t>
      </w:r>
      <w:r w:rsidRPr="00BC268B">
        <w:rPr>
          <w:rFonts w:ascii="Arial" w:hAnsi="Arial" w:cs="Arial"/>
          <w:sz w:val="22"/>
          <w:szCs w:val="22"/>
          <w:lang w:val="en-US"/>
        </w:rPr>
        <w:br/>
      </w:r>
      <w:r w:rsidRPr="00BC268B">
        <w:rPr>
          <w:rFonts w:ascii="Arial" w:hAnsi="Arial" w:cs="Arial"/>
          <w:sz w:val="22"/>
          <w:szCs w:val="22"/>
          <w:lang w:val="en-US"/>
        </w:rPr>
        <w:lastRenderedPageBreak/>
        <w:t>peer-reviewed content, including peer</w:t>
      </w:r>
      <w:r w:rsidRPr="00BC268B">
        <w:rPr>
          <w:rFonts w:ascii="Arial" w:hAnsi="Arial" w:cs="Arial"/>
          <w:sz w:val="22"/>
          <w:szCs w:val="22"/>
          <w:lang w:val="en-US"/>
        </w:rPr>
        <w:noBreakHyphen/>
        <w:t xml:space="preserve">reviewed journals, books and other resources.  The program continued its membership in the Research4Life (R4L) partnership alongside programs administered by WHO, the Food and Agriculture Organization (FAO), the International Labour Organization (ILO) and the United National Environment Programme (UNEP), each offering content in its respective specialized field.  R4L offered access to over 230,000 resources from the five associated UN agency programs to over 11,900 registered institutions, each of which had access to all R4L programs.  The ASPI program provided free or low-cost access to commercial patent database services from nine leading providers, each offering advanced and sophisticated tools to search and analyze technical information contained in patent documents.  </w:t>
      </w:r>
      <w:r w:rsidRPr="00BC268B">
        <w:rPr>
          <w:rFonts w:ascii="Arial" w:hAnsi="Arial" w:cs="Arial"/>
          <w:sz w:val="22"/>
          <w:szCs w:val="22"/>
        </w:rPr>
        <w:t>In 2024, 96 institutions were actively using ASPI.</w:t>
      </w:r>
    </w:p>
    <w:bookmarkEnd w:id="33"/>
    <w:p w14:paraId="5B970FC7" w14:textId="77777777" w:rsidR="00BC268B" w:rsidRPr="00BC268B" w:rsidRDefault="00BC268B" w:rsidP="00BC268B">
      <w:pPr>
        <w:pStyle w:val="ListParagraph"/>
        <w:numPr>
          <w:ilvl w:val="0"/>
          <w:numId w:val="15"/>
        </w:numPr>
        <w:spacing w:after="240" w:line="240" w:lineRule="auto"/>
        <w:ind w:hanging="540"/>
        <w:contextualSpacing w:val="0"/>
        <w:rPr>
          <w:rFonts w:ascii="Arial" w:hAnsi="Arial" w:cs="Arial"/>
          <w:sz w:val="22"/>
          <w:szCs w:val="22"/>
          <w:lang w:val="en-US"/>
        </w:rPr>
      </w:pPr>
      <w:r w:rsidRPr="00BC268B">
        <w:rPr>
          <w:rFonts w:ascii="Arial" w:hAnsi="Arial" w:cs="Arial"/>
          <w:i/>
          <w:sz w:val="22"/>
          <w:szCs w:val="22"/>
          <w:lang w:val="en-US"/>
        </w:rPr>
        <w:t>Developing Tools for Access to Patent Information</w:t>
      </w:r>
      <w:r w:rsidRPr="00BC268B">
        <w:rPr>
          <w:rFonts w:ascii="Arial" w:hAnsi="Arial" w:cs="Arial"/>
          <w:sz w:val="22"/>
          <w:szCs w:val="22"/>
          <w:lang w:val="en-US"/>
        </w:rPr>
        <w:t>:  the development of patent analytics and the drafting of patent landscape reports was initiated under this project, which responds to DA Recommendations 19, 30 and 31.  In this context, 21 patent landscape reports on technologies have been commissioned to date – particularly in the areas of health, climate change and the environment</w:t>
      </w:r>
      <w:r w:rsidRPr="00BC268B">
        <w:rPr>
          <w:rStyle w:val="FootnoteReference"/>
          <w:rFonts w:ascii="Arial" w:hAnsi="Arial" w:cs="Arial"/>
          <w:sz w:val="22"/>
          <w:szCs w:val="22"/>
        </w:rPr>
        <w:footnoteReference w:id="156"/>
      </w:r>
      <w:r w:rsidRPr="00BC268B">
        <w:rPr>
          <w:rFonts w:ascii="Arial" w:hAnsi="Arial" w:cs="Arial"/>
          <w:sz w:val="22"/>
          <w:szCs w:val="22"/>
          <w:lang w:val="en-US"/>
        </w:rPr>
        <w:t xml:space="preserve"> – while reports on Generative Artificial Intelligence (GenAI), Agrifood and the Sustainable Development Goals (SDGs) were published in 2024.</w:t>
      </w:r>
      <w:r w:rsidRPr="00BC268B">
        <w:rPr>
          <w:rStyle w:val="FootnoteReference"/>
          <w:rFonts w:ascii="Arial" w:hAnsi="Arial" w:cs="Arial"/>
          <w:sz w:val="22"/>
          <w:szCs w:val="22"/>
        </w:rPr>
        <w:footnoteReference w:id="157"/>
      </w:r>
      <w:r w:rsidRPr="00BC268B">
        <w:rPr>
          <w:rFonts w:ascii="Arial" w:hAnsi="Arial" w:cs="Arial"/>
          <w:sz w:val="22"/>
          <w:szCs w:val="22"/>
          <w:lang w:val="en-US"/>
        </w:rPr>
        <w:t xml:space="preserve">  Moreover, the WIPO website hosts a compendium listing over 250 patent landscape reports on various technologies from other organizations.  Methodological guidelines for preparing such reports were formalized in the WIPO publication</w:t>
      </w:r>
      <w:r w:rsidRPr="00BC268B">
        <w:rPr>
          <w:rFonts w:ascii="Arial" w:hAnsi="Arial" w:cs="Arial"/>
          <w:i/>
          <w:iCs/>
          <w:sz w:val="22"/>
          <w:szCs w:val="22"/>
          <w:lang w:val="en-US"/>
        </w:rPr>
        <w:t xml:space="preserve"> “Guidelines for Preparing Patent Landscape Reports</w:t>
      </w:r>
      <w:r w:rsidRPr="00BC268B">
        <w:rPr>
          <w:rFonts w:ascii="Arial" w:hAnsi="Arial" w:cs="Arial"/>
          <w:sz w:val="22"/>
          <w:szCs w:val="22"/>
          <w:lang w:val="en-US"/>
        </w:rPr>
        <w:t xml:space="preserve">, the </w:t>
      </w:r>
      <w:r w:rsidRPr="00BC268B">
        <w:rPr>
          <w:rFonts w:ascii="Arial" w:hAnsi="Arial" w:cs="Arial"/>
          <w:i/>
          <w:iCs/>
          <w:sz w:val="22"/>
          <w:szCs w:val="22"/>
          <w:lang w:val="en-US"/>
        </w:rPr>
        <w:t>WIPO Manual on Open Source Tools for Patent Analytics” </w:t>
      </w:r>
      <w:r w:rsidRPr="00BC268B">
        <w:rPr>
          <w:rFonts w:ascii="Arial" w:hAnsi="Arial" w:cs="Arial"/>
          <w:sz w:val="22"/>
          <w:szCs w:val="22"/>
          <w:lang w:val="en-US"/>
        </w:rPr>
        <w:t>and the “</w:t>
      </w:r>
      <w:r w:rsidRPr="00BC268B">
        <w:rPr>
          <w:rFonts w:ascii="Arial" w:hAnsi="Arial" w:cs="Arial"/>
          <w:i/>
          <w:iCs/>
          <w:sz w:val="22"/>
          <w:szCs w:val="22"/>
          <w:lang w:val="en-US"/>
        </w:rPr>
        <w:t>Handbook on</w:t>
      </w:r>
      <w:r w:rsidRPr="00BC268B">
        <w:rPr>
          <w:rFonts w:ascii="Arial" w:hAnsi="Arial" w:cs="Arial"/>
          <w:sz w:val="22"/>
          <w:szCs w:val="22"/>
          <w:lang w:val="en-US"/>
        </w:rPr>
        <w:t xml:space="preserve"> </w:t>
      </w:r>
      <w:r w:rsidRPr="00BC268B">
        <w:rPr>
          <w:rFonts w:ascii="Arial" w:hAnsi="Arial" w:cs="Arial"/>
          <w:i/>
          <w:iCs/>
          <w:sz w:val="22"/>
          <w:szCs w:val="22"/>
          <w:lang w:val="en-US"/>
        </w:rPr>
        <w:t>Patent Analytics”</w:t>
      </w:r>
      <w:r w:rsidRPr="00BC268B">
        <w:rPr>
          <w:rFonts w:ascii="Arial" w:hAnsi="Arial" w:cs="Arial"/>
          <w:sz w:val="22"/>
          <w:szCs w:val="22"/>
          <w:lang w:val="en-US"/>
        </w:rPr>
        <w:t>.  In this vein, the e-tutorial on using patent information was made available as a WIPO Academy distance learning course (DL-177).</w:t>
      </w:r>
      <w:r w:rsidRPr="00BC268B">
        <w:rPr>
          <w:rStyle w:val="FootnoteReference"/>
          <w:rFonts w:ascii="Arial" w:hAnsi="Arial" w:cs="Arial"/>
          <w:sz w:val="22"/>
          <w:szCs w:val="22"/>
        </w:rPr>
        <w:footnoteReference w:id="158"/>
      </w:r>
      <w:r w:rsidRPr="00BC268B">
        <w:rPr>
          <w:rFonts w:ascii="Arial" w:hAnsi="Arial" w:cs="Arial"/>
          <w:sz w:val="22"/>
          <w:szCs w:val="22"/>
          <w:lang w:val="en-US"/>
        </w:rPr>
        <w:t xml:space="preserve">  Furthermore, the Patent Register Portal</w:t>
      </w:r>
      <w:r w:rsidRPr="00BC268B">
        <w:rPr>
          <w:rStyle w:val="FootnoteReference"/>
          <w:rFonts w:ascii="Arial" w:hAnsi="Arial" w:cs="Arial"/>
          <w:sz w:val="22"/>
          <w:szCs w:val="22"/>
        </w:rPr>
        <w:footnoteReference w:id="159"/>
      </w:r>
      <w:r w:rsidRPr="00BC268B">
        <w:rPr>
          <w:rFonts w:ascii="Arial" w:hAnsi="Arial" w:cs="Arial"/>
          <w:sz w:val="22"/>
          <w:szCs w:val="22"/>
          <w:lang w:val="en-US"/>
        </w:rPr>
        <w:t xml:space="preserve"> provided information on online patent registers, gazettes and legal status</w:t>
      </w:r>
      <w:r w:rsidRPr="00BC268B">
        <w:rPr>
          <w:rFonts w:ascii="Arial" w:hAnsi="Arial" w:cs="Arial"/>
          <w:sz w:val="22"/>
          <w:szCs w:val="22"/>
          <w:lang w:val="en-US"/>
        </w:rPr>
        <w:noBreakHyphen/>
        <w:t>related data from over 200 jurisdictions and patent information collections.</w:t>
      </w:r>
    </w:p>
    <w:p w14:paraId="4D452593" w14:textId="77777777" w:rsidR="00BC268B" w:rsidRPr="00BC268B" w:rsidRDefault="00BC268B" w:rsidP="00BC268B">
      <w:pPr>
        <w:pStyle w:val="ListParagraph"/>
        <w:numPr>
          <w:ilvl w:val="0"/>
          <w:numId w:val="15"/>
        </w:numPr>
        <w:spacing w:before="240" w:after="240" w:line="240" w:lineRule="auto"/>
        <w:ind w:hanging="540"/>
        <w:contextualSpacing w:val="0"/>
        <w:rPr>
          <w:rFonts w:ascii="Arial" w:hAnsi="Arial" w:cs="Arial"/>
          <w:sz w:val="22"/>
          <w:szCs w:val="22"/>
          <w:lang w:val="en-US"/>
        </w:rPr>
      </w:pPr>
      <w:r w:rsidRPr="00BC268B">
        <w:rPr>
          <w:rFonts w:ascii="Arial" w:hAnsi="Arial" w:cs="Arial"/>
          <w:bCs/>
          <w:i/>
          <w:sz w:val="22"/>
          <w:szCs w:val="22"/>
          <w:lang w:val="en-US"/>
        </w:rPr>
        <w:t>Use of Information in the Public Domain for Economic Development</w:t>
      </w:r>
      <w:r w:rsidRPr="00BC268B">
        <w:rPr>
          <w:rFonts w:ascii="Arial" w:hAnsi="Arial" w:cs="Arial"/>
          <w:bCs/>
          <w:sz w:val="22"/>
          <w:szCs w:val="22"/>
          <w:lang w:val="en-US"/>
        </w:rPr>
        <w:t>:</w:t>
      </w:r>
      <w:r w:rsidRPr="00BC268B">
        <w:rPr>
          <w:rFonts w:ascii="Arial" w:hAnsi="Arial" w:cs="Arial"/>
          <w:bCs/>
          <w:i/>
          <w:sz w:val="22"/>
          <w:szCs w:val="22"/>
          <w:lang w:val="en-US"/>
        </w:rPr>
        <w:t xml:space="preserve">  </w:t>
      </w:r>
      <w:r w:rsidRPr="00BC268B">
        <w:rPr>
          <w:rFonts w:ascii="Arial" w:hAnsi="Arial" w:cs="Arial"/>
          <w:sz w:val="22"/>
          <w:szCs w:val="22"/>
          <w:lang w:val="en-US"/>
        </w:rPr>
        <w:t>the practical guides on identifying</w:t>
      </w:r>
      <w:r w:rsidRPr="00BC268B">
        <w:rPr>
          <w:rStyle w:val="FootnoteReference"/>
          <w:rFonts w:ascii="Arial" w:hAnsi="Arial" w:cs="Arial"/>
          <w:sz w:val="22"/>
          <w:szCs w:val="22"/>
        </w:rPr>
        <w:footnoteReference w:id="160"/>
      </w:r>
      <w:r w:rsidRPr="00BC268B">
        <w:rPr>
          <w:rFonts w:ascii="Arial" w:hAnsi="Arial" w:cs="Arial"/>
          <w:sz w:val="22"/>
          <w:szCs w:val="22"/>
          <w:lang w:val="en-US"/>
        </w:rPr>
        <w:t xml:space="preserve"> and using</w:t>
      </w:r>
      <w:r w:rsidRPr="00BC268B">
        <w:rPr>
          <w:rStyle w:val="FootnoteReference"/>
          <w:rFonts w:ascii="Arial" w:hAnsi="Arial" w:cs="Arial"/>
          <w:sz w:val="22"/>
          <w:szCs w:val="22"/>
        </w:rPr>
        <w:footnoteReference w:id="161"/>
      </w:r>
      <w:r w:rsidRPr="00BC268B">
        <w:rPr>
          <w:rFonts w:ascii="Arial" w:hAnsi="Arial" w:cs="Arial"/>
          <w:sz w:val="22"/>
          <w:szCs w:val="22"/>
          <w:lang w:val="en-US"/>
        </w:rPr>
        <w:t xml:space="preserve"> inventions in the public domain </w:t>
      </w:r>
      <w:r w:rsidRPr="00BC268B">
        <w:rPr>
          <w:rFonts w:ascii="Arial" w:hAnsi="Arial" w:cs="Arial"/>
          <w:bCs/>
          <w:iCs/>
          <w:sz w:val="22"/>
          <w:szCs w:val="22"/>
          <w:lang w:val="en-US"/>
        </w:rPr>
        <w:t xml:space="preserve">were accessed and downloaded around 27,000 times in 2024.  The guides were complemented in 2024 by the </w:t>
      </w:r>
      <w:r w:rsidRPr="00BC268B">
        <w:rPr>
          <w:rFonts w:ascii="Arial" w:hAnsi="Arial" w:cs="Arial"/>
          <w:bCs/>
          <w:i/>
          <w:sz w:val="22"/>
          <w:szCs w:val="22"/>
          <w:lang w:val="en-US"/>
        </w:rPr>
        <w:t>Toolkit for Using Inventions in the Public Domain</w:t>
      </w:r>
      <w:r w:rsidRPr="00BC268B">
        <w:rPr>
          <w:rFonts w:ascii="Arial" w:hAnsi="Arial" w:cs="Arial"/>
          <w:bCs/>
          <w:iCs/>
          <w:sz w:val="22"/>
          <w:szCs w:val="22"/>
          <w:lang w:val="en-US"/>
        </w:rPr>
        <w:t xml:space="preserve">, providing researchers, inventors, entrepreneurs and TISCs with practical tools for refining new product and service concepts building on inventions in the public domain and bringing these concepts to market.  </w:t>
      </w:r>
    </w:p>
    <w:p w14:paraId="70BF61E6" w14:textId="77777777" w:rsidR="00BC268B" w:rsidRPr="00BC268B" w:rsidRDefault="00BC268B" w:rsidP="00BC268B">
      <w:pPr>
        <w:numPr>
          <w:ilvl w:val="0"/>
          <w:numId w:val="15"/>
        </w:numPr>
        <w:spacing w:after="240"/>
        <w:ind w:hanging="578"/>
        <w:rPr>
          <w:szCs w:val="22"/>
        </w:rPr>
      </w:pPr>
      <w:r w:rsidRPr="00BC268B">
        <w:rPr>
          <w:i/>
          <w:szCs w:val="22"/>
        </w:rPr>
        <w:t>IP Management and Transfer of Technology:  Promoting the Effective Use of IP in Developing Countries, LDCs and Countries with Economies in Transition</w:t>
      </w:r>
      <w:r w:rsidRPr="00BC268B">
        <w:rPr>
          <w:szCs w:val="22"/>
        </w:rPr>
        <w:t>:</w:t>
      </w:r>
      <w:r w:rsidRPr="00BC268B">
        <w:rPr>
          <w:i/>
          <w:szCs w:val="22"/>
        </w:rPr>
        <w:t xml:space="preserve"> </w:t>
      </w:r>
      <w:r w:rsidRPr="00BC268B">
        <w:rPr>
          <w:szCs w:val="22"/>
        </w:rPr>
        <w:t xml:space="preserve"> a manual and toolkit</w:t>
      </w:r>
      <w:r w:rsidRPr="00BC268B">
        <w:rPr>
          <w:rStyle w:val="FootnoteReference"/>
          <w:szCs w:val="22"/>
        </w:rPr>
        <w:footnoteReference w:id="162"/>
      </w:r>
      <w:r w:rsidRPr="00BC268B">
        <w:rPr>
          <w:szCs w:val="22"/>
        </w:rPr>
        <w:t xml:space="preserve"> were developed to assess training needs in areas related to technology transfer, assisting in mapping innovation value chains – including funders, developers, managers, and users of IP and associated support institutions, such as TISCs, – and the relationships among them, in order:  (i) to identify gaps in skills and competencies and (ii) to design effective training programs for individuals and institutions at a national level.  Since the Training Needs Assessment (TNA) tool was introduced in Botswana in January 2022, other countries have expressed interest in disseminating it.  Discussions are ongoing, and additional training is expected in the near future.  </w:t>
      </w:r>
    </w:p>
    <w:p w14:paraId="791BAB2A" w14:textId="77777777" w:rsidR="00BC268B" w:rsidRPr="00BC268B" w:rsidRDefault="00BC268B" w:rsidP="00BC268B">
      <w:pPr>
        <w:numPr>
          <w:ilvl w:val="0"/>
          <w:numId w:val="15"/>
        </w:numPr>
        <w:spacing w:after="240"/>
        <w:ind w:hanging="578"/>
        <w:rPr>
          <w:szCs w:val="22"/>
        </w:rPr>
      </w:pPr>
      <w:r w:rsidRPr="00BC268B">
        <w:rPr>
          <w:i/>
          <w:szCs w:val="22"/>
        </w:rPr>
        <w:lastRenderedPageBreak/>
        <w:t>IP and Technology Transfer:  Common Challenges-Building Solutions</w:t>
      </w:r>
      <w:r w:rsidRPr="00BC268B">
        <w:rPr>
          <w:szCs w:val="22"/>
        </w:rPr>
        <w:t>:</w:t>
      </w:r>
      <w:r w:rsidRPr="00BC268B">
        <w:rPr>
          <w:i/>
          <w:szCs w:val="22"/>
        </w:rPr>
        <w:t xml:space="preserve">  </w:t>
      </w:r>
      <w:r w:rsidRPr="00BC268B">
        <w:rPr>
          <w:szCs w:val="22"/>
        </w:rPr>
        <w:t>the WIPO Database of IP Policies included around 700 academic and research institutions worldwide, featuring their IP policies, guidelines, templates and agreements.  Some of these examples included guidelines or references to North-South cooperation and responsible commercialization and knowledge transfer.  In addition, WIPO’s technology transfer web pages experienced a sharp upturn in unique visitors, rising from 82,299 in 2023 to 97,159 in 2024.  The number of downloads also increased drastically – from 37,714 to 120,991 – due to the launch of the “</w:t>
      </w:r>
      <w:r w:rsidRPr="00BC268B">
        <w:rPr>
          <w:i/>
          <w:iCs/>
          <w:szCs w:val="22"/>
        </w:rPr>
        <w:t>Guide on Incentives in Technology Transfer”</w:t>
      </w:r>
      <w:r w:rsidRPr="00BC268B">
        <w:rPr>
          <w:rStyle w:val="FootnoteReference"/>
          <w:i/>
          <w:iCs/>
          <w:szCs w:val="22"/>
        </w:rPr>
        <w:footnoteReference w:id="163"/>
      </w:r>
      <w:r w:rsidRPr="00BC268B">
        <w:rPr>
          <w:i/>
          <w:iCs/>
          <w:szCs w:val="22"/>
        </w:rPr>
        <w:t xml:space="preserve"> </w:t>
      </w:r>
      <w:r w:rsidRPr="00BC268B">
        <w:rPr>
          <w:szCs w:val="22"/>
        </w:rPr>
        <w:t>in March 2024.</w:t>
      </w:r>
    </w:p>
    <w:p w14:paraId="358258C7" w14:textId="77777777" w:rsidR="00BC268B" w:rsidRPr="00BC268B" w:rsidRDefault="00BC268B" w:rsidP="00BC268B">
      <w:pPr>
        <w:numPr>
          <w:ilvl w:val="0"/>
          <w:numId w:val="15"/>
        </w:numPr>
        <w:spacing w:after="240"/>
        <w:ind w:hanging="578"/>
        <w:rPr>
          <w:i/>
          <w:szCs w:val="22"/>
        </w:rPr>
      </w:pPr>
      <w:r w:rsidRPr="00BC268B">
        <w:rPr>
          <w:i/>
          <w:szCs w:val="22"/>
        </w:rPr>
        <w:t>Improvement of National, Sub-Regional and Regional IP Institutional and User Capacity</w:t>
      </w:r>
      <w:r w:rsidRPr="00BC268B">
        <w:rPr>
          <w:szCs w:val="22"/>
        </w:rPr>
        <w:t xml:space="preserve">:  </w:t>
      </w:r>
      <w:r w:rsidRPr="00BC268B">
        <w:rPr>
          <w:bCs/>
          <w:szCs w:val="22"/>
        </w:rPr>
        <w:t>the key goals of the renewed approach implemented by WIPO to supporting the formulation of National IP Strategies are:</w:t>
      </w:r>
      <w:r w:rsidRPr="00BC268B">
        <w:rPr>
          <w:i/>
          <w:szCs w:val="22"/>
        </w:rPr>
        <w:t xml:space="preserve">  </w:t>
      </w:r>
      <w:r w:rsidRPr="00BC268B">
        <w:rPr>
          <w:iCs/>
          <w:szCs w:val="22"/>
        </w:rPr>
        <w:t>i)</w:t>
      </w:r>
      <w:r w:rsidRPr="00BC268B">
        <w:rPr>
          <w:i/>
          <w:szCs w:val="22"/>
        </w:rPr>
        <w:t xml:space="preserve"> </w:t>
      </w:r>
      <w:r w:rsidRPr="00BC268B">
        <w:rPr>
          <w:iCs/>
          <w:szCs w:val="22"/>
        </w:rPr>
        <w:t xml:space="preserve">to </w:t>
      </w:r>
      <w:r w:rsidRPr="00BC268B">
        <w:rPr>
          <w:bCs/>
          <w:szCs w:val="22"/>
        </w:rPr>
        <w:t xml:space="preserve">better align National IP Strategies within the context of Member States’ economic development goals and innovation and creative ecosystems; </w:t>
      </w:r>
      <w:r w:rsidRPr="00BC268B">
        <w:rPr>
          <w:szCs w:val="22"/>
        </w:rPr>
        <w:t xml:space="preserve"> (ii)</w:t>
      </w:r>
      <w:r w:rsidRPr="00BC268B">
        <w:rPr>
          <w:i/>
          <w:szCs w:val="22"/>
        </w:rPr>
        <w:t xml:space="preserve"> </w:t>
      </w:r>
      <w:r w:rsidRPr="00BC268B">
        <w:rPr>
          <w:iCs/>
          <w:szCs w:val="22"/>
        </w:rPr>
        <w:t xml:space="preserve">to </w:t>
      </w:r>
      <w:r w:rsidRPr="00BC268B">
        <w:rPr>
          <w:bCs/>
          <w:szCs w:val="22"/>
        </w:rPr>
        <w:t>ensure that WIPO’s strategic and substantive advice to Member States produces high-quality Strategies that tailored to national circumstances, priorities and needs;  and (iii)</w:t>
      </w:r>
      <w:r w:rsidRPr="00BC268B">
        <w:rPr>
          <w:i/>
          <w:szCs w:val="22"/>
        </w:rPr>
        <w:t xml:space="preserve"> </w:t>
      </w:r>
      <w:r w:rsidRPr="00BC268B">
        <w:rPr>
          <w:iCs/>
          <w:szCs w:val="22"/>
        </w:rPr>
        <w:t xml:space="preserve">to </w:t>
      </w:r>
      <w:r w:rsidRPr="00BC268B">
        <w:rPr>
          <w:bCs/>
          <w:szCs w:val="22"/>
        </w:rPr>
        <w:t>enhance knowledge about the value and impact of National IP Strategies among Member States and policymakers, including through analysis of trends, good practices and effectiveness.  In 2024, the National IP Strategies team continued to work in close collaboration with the Regional Divisions in the Regional and National Development Sector, as well as other WIPO Sectors to support and advise Member States on more than 20 National IP Strategies.  The WIPO Methodology for the Development of National Intellectual Property Strategies continued to offer a flexible and easily customizable approach to support the national IP strategy formulation process.</w:t>
      </w:r>
    </w:p>
    <w:p w14:paraId="6494A122" w14:textId="77777777" w:rsidR="00BC268B" w:rsidRPr="00BC268B" w:rsidRDefault="00BC268B" w:rsidP="00BC268B">
      <w:pPr>
        <w:numPr>
          <w:ilvl w:val="0"/>
          <w:numId w:val="15"/>
        </w:numPr>
        <w:spacing w:after="240"/>
        <w:ind w:hanging="578"/>
        <w:rPr>
          <w:i/>
          <w:szCs w:val="22"/>
        </w:rPr>
      </w:pPr>
      <w:r w:rsidRPr="00BC268B">
        <w:rPr>
          <w:i/>
          <w:szCs w:val="22"/>
        </w:rPr>
        <w:t>IP and the Informal Economy</w:t>
      </w:r>
      <w:r w:rsidRPr="00BC268B">
        <w:rPr>
          <w:szCs w:val="22"/>
        </w:rPr>
        <w:t>, and the corresponding book volume entitled “</w:t>
      </w:r>
      <w:r w:rsidRPr="00BC268B">
        <w:rPr>
          <w:i/>
          <w:szCs w:val="22"/>
        </w:rPr>
        <w:t>The Informal Economy in Developing Nations – Hidden Engine of Innovation?”</w:t>
      </w:r>
      <w:r w:rsidRPr="00BC268B">
        <w:rPr>
          <w:szCs w:val="22"/>
        </w:rPr>
        <w:t>,</w:t>
      </w:r>
      <w:r w:rsidRPr="00BC268B">
        <w:rPr>
          <w:rStyle w:val="FootnoteReference"/>
          <w:szCs w:val="22"/>
        </w:rPr>
        <w:footnoteReference w:id="164"/>
      </w:r>
      <w:r w:rsidRPr="00BC268B">
        <w:rPr>
          <w:szCs w:val="22"/>
        </w:rPr>
        <w:t xml:space="preserve"> published by Cambridge University Press, continued to receive significant attention from policymakers and academics.  </w:t>
      </w:r>
      <w:r w:rsidRPr="00BC268B">
        <w:rPr>
          <w:iCs/>
          <w:szCs w:val="22"/>
        </w:rPr>
        <w:t>This DA project and the book stimulated further work on this crucial but under</w:t>
      </w:r>
      <w:r w:rsidRPr="00BC268B">
        <w:rPr>
          <w:iCs/>
          <w:szCs w:val="22"/>
        </w:rPr>
        <w:noBreakHyphen/>
        <w:t xml:space="preserve">researched subject, including in policy circles such as the African Union, and in national innovation plans in Africa, South-East Asia and Latin America.  In 2024, the Sector continued </w:t>
      </w:r>
      <w:r w:rsidRPr="00BC268B">
        <w:rPr>
          <w:bCs/>
          <w:szCs w:val="22"/>
        </w:rPr>
        <w:t>investigating innovation in the informal sector and published data on inventor migration.  Measuring and fostering innovation in the informal economy remains a main priority for developing countries and LDCs.</w:t>
      </w:r>
    </w:p>
    <w:p w14:paraId="34F68333" w14:textId="77777777" w:rsidR="00BC268B" w:rsidRPr="00BC268B" w:rsidRDefault="00BC268B" w:rsidP="00BC268B">
      <w:pPr>
        <w:numPr>
          <w:ilvl w:val="0"/>
          <w:numId w:val="15"/>
        </w:numPr>
        <w:spacing w:after="240"/>
        <w:ind w:hanging="578"/>
        <w:rPr>
          <w:i/>
          <w:szCs w:val="22"/>
        </w:rPr>
      </w:pPr>
      <w:r w:rsidRPr="00BC268B">
        <w:rPr>
          <w:i/>
          <w:szCs w:val="22"/>
        </w:rPr>
        <w:t>Cooperation on Development and IP Rights Education and Professional Training with Judicial Training Institutions in Developing and Least Developed Countries:</w:t>
      </w:r>
      <w:r w:rsidRPr="00BC268B">
        <w:rPr>
          <w:rStyle w:val="FootnoteReference"/>
          <w:i/>
          <w:szCs w:val="22"/>
        </w:rPr>
        <w:footnoteReference w:id="165"/>
      </w:r>
      <w:r w:rsidRPr="00BC268B">
        <w:rPr>
          <w:szCs w:val="22"/>
        </w:rPr>
        <w:t xml:space="preserve">  in partnership with the WIPO Academy and other relevant WIPO divisions, the WIPO Judicial Institute continued to develop its range of offerings to support national and regional judiciaries, helping them fulfil their role in establishing a balanced and effective IP ecosystem, including in developing countries and LDCs.  Specifically, the project was integrated into a Continuing Judicial Education (CJE) program</w:t>
      </w:r>
      <w:r w:rsidRPr="00BC268B">
        <w:rPr>
          <w:rStyle w:val="FootnoteReference"/>
          <w:szCs w:val="22"/>
        </w:rPr>
        <w:footnoteReference w:id="166"/>
      </w:r>
      <w:r w:rsidRPr="00BC268B">
        <w:rPr>
          <w:szCs w:val="22"/>
        </w:rPr>
        <w:t xml:space="preserve"> coordinated by the WIPO Judicial Institute.  </w:t>
      </w:r>
      <w:r w:rsidRPr="00BC268B">
        <w:rPr>
          <w:bCs/>
          <w:szCs w:val="22"/>
        </w:rPr>
        <w:t>In 2024, WIPO entered into collaboration with the Supreme People’s Court of Viet Nam to develop cooperation and establish a CJE program.</w:t>
      </w:r>
    </w:p>
    <w:p w14:paraId="7013F9F1" w14:textId="77777777" w:rsidR="00BC268B" w:rsidRPr="00BC268B" w:rsidRDefault="00BC268B" w:rsidP="00BC268B">
      <w:pPr>
        <w:numPr>
          <w:ilvl w:val="0"/>
          <w:numId w:val="15"/>
        </w:numPr>
        <w:spacing w:after="240"/>
        <w:ind w:hanging="578"/>
        <w:rPr>
          <w:i/>
          <w:szCs w:val="22"/>
        </w:rPr>
      </w:pPr>
      <w:r w:rsidRPr="00BC268B">
        <w:rPr>
          <w:i/>
          <w:szCs w:val="22"/>
        </w:rPr>
        <w:t>Increasing the Role of Women in Innovation and Entrepreneurship, Encouraging Women in Developing Countries to Use the Intellectual Property System</w:t>
      </w:r>
      <w:r w:rsidRPr="00BC268B">
        <w:rPr>
          <w:iCs/>
          <w:szCs w:val="22"/>
        </w:rPr>
        <w:t xml:space="preserve">:  this project was successfully completed in Mexico, Uganda, Oman and Pakistan </w:t>
      </w:r>
      <w:r w:rsidRPr="00BC268B">
        <w:rPr>
          <w:szCs w:val="22"/>
        </w:rPr>
        <w:t xml:space="preserve">in December 2022.  The project outputs, including </w:t>
      </w:r>
      <w:r w:rsidRPr="00BC268B">
        <w:rPr>
          <w:iCs/>
          <w:szCs w:val="22"/>
        </w:rPr>
        <w:t xml:space="preserve">information about the WIPO IP Mentorship Program for </w:t>
      </w:r>
      <w:r w:rsidRPr="00BC268B">
        <w:rPr>
          <w:iCs/>
          <w:szCs w:val="22"/>
        </w:rPr>
        <w:lastRenderedPageBreak/>
        <w:t>Women Inventors and a set of case studies about women inventors</w:t>
      </w:r>
      <w:r w:rsidRPr="00BC268B">
        <w:rPr>
          <w:i/>
          <w:szCs w:val="22"/>
        </w:rPr>
        <w:t xml:space="preserve">, </w:t>
      </w:r>
      <w:r w:rsidRPr="00BC268B">
        <w:rPr>
          <w:iCs/>
          <w:szCs w:val="22"/>
        </w:rPr>
        <w:t>are available on the project’s web page.</w:t>
      </w:r>
      <w:r w:rsidRPr="00BC268B">
        <w:rPr>
          <w:rStyle w:val="FootnoteReference"/>
          <w:szCs w:val="22"/>
        </w:rPr>
        <w:footnoteReference w:id="167"/>
      </w:r>
      <w:r w:rsidRPr="00BC268B">
        <w:rPr>
          <w:szCs w:val="22"/>
        </w:rPr>
        <w:t xml:space="preserve">  At its thirtieth session, the Committee considered the project’s completion</w:t>
      </w:r>
      <w:r w:rsidRPr="00BC268B">
        <w:rPr>
          <w:rStyle w:val="FootnoteReference"/>
          <w:szCs w:val="22"/>
        </w:rPr>
        <w:footnoteReference w:id="168"/>
      </w:r>
      <w:r w:rsidRPr="00BC268B">
        <w:rPr>
          <w:szCs w:val="22"/>
        </w:rPr>
        <w:t xml:space="preserve"> and evaluation</w:t>
      </w:r>
      <w:r w:rsidRPr="00BC268B">
        <w:rPr>
          <w:rStyle w:val="FootnoteReference"/>
          <w:szCs w:val="22"/>
        </w:rPr>
        <w:footnoteReference w:id="169"/>
      </w:r>
      <w:r w:rsidRPr="00BC268B">
        <w:rPr>
          <w:szCs w:val="22"/>
        </w:rPr>
        <w:t xml:space="preserve"> reports and requested the Secretariat to further mainstream the work carried out under the project, in particular the mentorship program, into its regular work.  The Committee also requested the Secretariat to assess further work to be undertaken in this area and to report back to the Committee in due course.  In 2024, the Committee considered the </w:t>
      </w:r>
      <w:r w:rsidRPr="00BC268B">
        <w:rPr>
          <w:i/>
          <w:szCs w:val="22"/>
        </w:rPr>
        <w:t>Report on Women and IP: Internal and External Activities, Strategic Direction</w:t>
      </w:r>
      <w:r w:rsidRPr="00BC268B">
        <w:rPr>
          <w:iCs/>
          <w:szCs w:val="22"/>
        </w:rPr>
        <w:t>, recognized WIPO’s ongoing commitment to integrating a gender perspective across the Organization, and encouraged the Secretariat to continue implementing activities in this area, including by organizing sharing sessions on Women and IP.</w:t>
      </w:r>
    </w:p>
    <w:p w14:paraId="49687827" w14:textId="77777777" w:rsidR="00BC268B" w:rsidRPr="00BC268B" w:rsidRDefault="00BC268B" w:rsidP="00BC268B">
      <w:pPr>
        <w:numPr>
          <w:ilvl w:val="0"/>
          <w:numId w:val="15"/>
        </w:numPr>
        <w:spacing w:after="240"/>
        <w:ind w:hanging="578"/>
        <w:rPr>
          <w:i/>
          <w:szCs w:val="22"/>
        </w:rPr>
      </w:pPr>
      <w:r w:rsidRPr="00BC268B">
        <w:rPr>
          <w:bCs/>
          <w:i/>
          <w:szCs w:val="22"/>
        </w:rPr>
        <w:t>Identifying and Using Inventions in the Public Domain</w:t>
      </w:r>
      <w:r w:rsidRPr="00BC268B">
        <w:rPr>
          <w:bCs/>
          <w:szCs w:val="22"/>
        </w:rPr>
        <w:t xml:space="preserve">:  </w:t>
      </w:r>
      <w:r w:rsidRPr="00BC268B">
        <w:rPr>
          <w:szCs w:val="22"/>
        </w:rPr>
        <w:t xml:space="preserve">at its thirty-second session, the Committee considered the </w:t>
      </w:r>
      <w:r w:rsidRPr="00BC268B">
        <w:rPr>
          <w:i/>
          <w:iCs/>
          <w:szCs w:val="22"/>
        </w:rPr>
        <w:t>Completion Report</w:t>
      </w:r>
      <w:r w:rsidRPr="00BC268B">
        <w:rPr>
          <w:rStyle w:val="FootnoteReference"/>
          <w:szCs w:val="22"/>
        </w:rPr>
        <w:footnoteReference w:id="170"/>
      </w:r>
      <w:r w:rsidRPr="00BC268B">
        <w:rPr>
          <w:szCs w:val="22"/>
        </w:rPr>
        <w:t xml:space="preserve"> of the project, which was completed in 2024, and requested the Secretariat to further mainstream its outputs into the Organization’s regular work and to keep the Committee updated.  Consequently, the practical guides on (i) </w:t>
      </w:r>
      <w:r w:rsidRPr="00BC268B">
        <w:rPr>
          <w:i/>
          <w:iCs/>
          <w:szCs w:val="22"/>
        </w:rPr>
        <w:t xml:space="preserve">Identifying Inventions in the Public Domain: A Guide for Inventors and Entrepreneurs </w:t>
      </w:r>
      <w:r w:rsidRPr="00BC268B">
        <w:rPr>
          <w:szCs w:val="22"/>
        </w:rPr>
        <w:t>(2020)</w:t>
      </w:r>
      <w:r w:rsidRPr="00BC268B">
        <w:rPr>
          <w:rStyle w:val="FootnoteReference"/>
          <w:szCs w:val="22"/>
        </w:rPr>
        <w:footnoteReference w:id="171"/>
      </w:r>
      <w:r w:rsidRPr="00BC268B">
        <w:rPr>
          <w:szCs w:val="22"/>
        </w:rPr>
        <w:t xml:space="preserve"> and (ii) </w:t>
      </w:r>
      <w:r w:rsidRPr="00BC268B">
        <w:rPr>
          <w:i/>
          <w:iCs/>
          <w:szCs w:val="22"/>
        </w:rPr>
        <w:t xml:space="preserve">Using Inventions in the Public Domain: A Guide for Inventors and Entrepreneurs </w:t>
      </w:r>
      <w:r w:rsidRPr="00BC268B">
        <w:rPr>
          <w:szCs w:val="22"/>
        </w:rPr>
        <w:t>(2020),</w:t>
      </w:r>
      <w:r w:rsidRPr="00BC268B">
        <w:rPr>
          <w:rStyle w:val="FootnoteReference"/>
          <w:szCs w:val="22"/>
        </w:rPr>
        <w:footnoteReference w:id="172"/>
      </w:r>
      <w:r w:rsidRPr="00BC268B">
        <w:rPr>
          <w:szCs w:val="22"/>
        </w:rPr>
        <w:t xml:space="preserve"> have been published in all official United Nations languages, and the associated training programs were rolled out globally to TISCs, enabling them to develop services related to freedom-to-operate searches and new product or service development based on inventions in the public domain.  </w:t>
      </w:r>
    </w:p>
    <w:p w14:paraId="47D655B2" w14:textId="77777777" w:rsidR="00BC268B" w:rsidRPr="00BC268B" w:rsidRDefault="00BC268B" w:rsidP="00A30C46">
      <w:pPr>
        <w:pStyle w:val="Heading2"/>
        <w:spacing w:before="0" w:after="240"/>
        <w:rPr>
          <w:szCs w:val="22"/>
        </w:rPr>
      </w:pPr>
      <w:r w:rsidRPr="00BC268B">
        <w:rPr>
          <w:szCs w:val="22"/>
        </w:rPr>
        <w:t>Ongoing DA Projects</w:t>
      </w:r>
    </w:p>
    <w:p w14:paraId="04A26C3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The Sector has been in charge of the implementation of the following ongoing DA Projects:</w:t>
      </w:r>
    </w:p>
    <w:p w14:paraId="661EA963" w14:textId="77777777" w:rsidR="00BC268B" w:rsidRPr="00BC268B" w:rsidRDefault="00BC268B" w:rsidP="00BC268B">
      <w:pPr>
        <w:pStyle w:val="ListParagraph"/>
        <w:numPr>
          <w:ilvl w:val="0"/>
          <w:numId w:val="21"/>
        </w:numPr>
        <w:spacing w:after="240" w:line="240" w:lineRule="auto"/>
        <w:contextualSpacing w:val="0"/>
        <w:rPr>
          <w:rFonts w:ascii="Arial" w:hAnsi="Arial" w:cs="Arial"/>
          <w:bCs/>
          <w:sz w:val="22"/>
          <w:szCs w:val="22"/>
          <w:lang w:val="en-US"/>
        </w:rPr>
      </w:pPr>
      <w:r w:rsidRPr="00BC268B">
        <w:rPr>
          <w:rFonts w:ascii="Arial" w:hAnsi="Arial" w:cs="Arial"/>
          <w:i/>
          <w:sz w:val="22"/>
          <w:szCs w:val="22"/>
          <w:lang w:val="en-US"/>
        </w:rPr>
        <w:t>Systematization of Statistical Data and the Design and Implementation of a Methodology for Developing Impact Assessments on the Use of the IP System</w:t>
      </w:r>
      <w:r w:rsidRPr="00BC268B">
        <w:rPr>
          <w:rFonts w:ascii="Arial" w:hAnsi="Arial" w:cs="Arial"/>
          <w:sz w:val="22"/>
          <w:szCs w:val="22"/>
          <w:lang w:val="en-US"/>
        </w:rPr>
        <w:t>:</w:t>
      </w:r>
      <w:r w:rsidRPr="00BC268B">
        <w:rPr>
          <w:rFonts w:ascii="Arial" w:hAnsi="Arial" w:cs="Arial"/>
          <w:i/>
          <w:sz w:val="22"/>
          <w:szCs w:val="22"/>
          <w:lang w:val="en-US"/>
        </w:rPr>
        <w:t xml:space="preserve">  </w:t>
      </w:r>
      <w:r w:rsidRPr="00BC268B">
        <w:rPr>
          <w:rFonts w:ascii="Arial" w:hAnsi="Arial" w:cs="Arial"/>
          <w:bCs/>
          <w:sz w:val="22"/>
          <w:szCs w:val="22"/>
          <w:lang w:val="en-US"/>
        </w:rPr>
        <w:t xml:space="preserve">notable achievements in 2024 included:  (i) consolidating the required input data from three pilot beneficiary WIPO Member States;  (ii) revising the project’s methodology;  and (iii) </w:t>
      </w:r>
      <w:r w:rsidRPr="00BC268B">
        <w:rPr>
          <w:rFonts w:ascii="Arial" w:hAnsi="Arial" w:cs="Arial"/>
          <w:sz w:val="22"/>
          <w:szCs w:val="22"/>
          <w:lang w:val="en-US"/>
        </w:rPr>
        <w:t>implementing a full data and analytical cycle of the methodological approach in El Salvador</w:t>
      </w:r>
      <w:r w:rsidRPr="00BC268B">
        <w:rPr>
          <w:rFonts w:ascii="Arial" w:hAnsi="Arial" w:cs="Arial"/>
          <w:bCs/>
          <w:sz w:val="22"/>
          <w:szCs w:val="22"/>
          <w:lang w:val="en-US"/>
        </w:rPr>
        <w:t xml:space="preserve">.  </w:t>
      </w:r>
    </w:p>
    <w:p w14:paraId="41551D45" w14:textId="50AFFADD" w:rsidR="00BC268B" w:rsidRPr="00BC268B" w:rsidRDefault="00BC268B" w:rsidP="00BC268B">
      <w:pPr>
        <w:pStyle w:val="ListParagraph"/>
        <w:numPr>
          <w:ilvl w:val="0"/>
          <w:numId w:val="21"/>
        </w:numPr>
        <w:spacing w:after="240" w:line="240" w:lineRule="auto"/>
        <w:contextualSpacing w:val="0"/>
        <w:rPr>
          <w:rFonts w:ascii="Arial" w:hAnsi="Arial" w:cs="Arial"/>
          <w:bCs/>
          <w:i/>
          <w:sz w:val="22"/>
          <w:szCs w:val="22"/>
          <w:lang w:val="en-US"/>
        </w:rPr>
      </w:pPr>
      <w:hyperlink r:id="rId17" w:history="1">
        <w:r w:rsidRPr="00BC268B">
          <w:rPr>
            <w:rFonts w:ascii="Arial" w:hAnsi="Arial" w:cs="Arial"/>
            <w:bCs/>
            <w:i/>
            <w:sz w:val="22"/>
            <w:szCs w:val="22"/>
            <w:lang w:val="en-US"/>
          </w:rPr>
          <w:t>Intellectual Property and Innovation Collaboration as a Foundation for Technology Transfer and Bringing Research Output to Market</w:t>
        </w:r>
      </w:hyperlink>
      <w:r w:rsidRPr="00BC268B">
        <w:rPr>
          <w:rFonts w:ascii="Arial" w:hAnsi="Arial" w:cs="Arial"/>
          <w:bCs/>
          <w:iCs/>
          <w:sz w:val="22"/>
          <w:szCs w:val="22"/>
          <w:lang w:val="en-US"/>
        </w:rPr>
        <w:t>:  the pre-implementation phase of the project was completed in 2024.  The objective of the project is to enhance the capacity of technology creators and technology intermediaries to engage in and support innovation collaboration by:  (i) identifying and disseminating good practices and effective institutional policy frameworks;  and (ii) developing and refining guidance and training in this area.  The project focuses on supporting technology creators, such as academic and research institutions and enterprises, and technology intermediaries such as Technology Transfer Offices (TTO) and TISCs, by strengthening their capacity to participate in and facilitate innovation collaboration, while placing a particular emphasis on developing countries and LDCs.</w:t>
      </w:r>
      <w:r w:rsidRPr="00BC268B">
        <w:rPr>
          <w:rStyle w:val="FootnoteReference"/>
          <w:rFonts w:ascii="Arial" w:hAnsi="Arial" w:cs="Arial"/>
          <w:bCs/>
          <w:iCs/>
          <w:sz w:val="22"/>
          <w:szCs w:val="22"/>
        </w:rPr>
        <w:footnoteReference w:id="173"/>
      </w:r>
    </w:p>
    <w:p w14:paraId="7950C5E4" w14:textId="77777777" w:rsidR="00BC268B" w:rsidRPr="00BC268B" w:rsidRDefault="00BC268B" w:rsidP="00BC268B">
      <w:pPr>
        <w:pStyle w:val="Heading1"/>
        <w:numPr>
          <w:ilvl w:val="0"/>
          <w:numId w:val="25"/>
        </w:numPr>
        <w:spacing w:after="220"/>
        <w:rPr>
          <w:szCs w:val="22"/>
        </w:rPr>
      </w:pPr>
      <w:r w:rsidRPr="00BC268B">
        <w:rPr>
          <w:szCs w:val="22"/>
        </w:rPr>
        <w:lastRenderedPageBreak/>
        <w:t>Administration, Finance and Management Sector</w:t>
      </w:r>
    </w:p>
    <w:p w14:paraId="2AC4B643"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The Administration, Finance and Management Sector remained committed to underpinning the effective delivery of results across WIPO.  In 2024, development continued to be mainstreamed as a cross-cutting topic across all WIPO Strategic Pillars in line with the Program of Work and Budget for 2024/25, with clear linkages between the Organization’s work and the United Nations SDGs.  During the biennium, WIPO continued to expand the impact of its technical assistance and capacity-building initiatives and projects.  The implementation of the WIPO Build Back Fund (BBF), formerly the COVID-19 response package, supported around 35 impact-driven projects, benefiting over 50 WIPO Member States.</w:t>
      </w:r>
      <w:r w:rsidRPr="00BC268B">
        <w:rPr>
          <w:rStyle w:val="FootnoteReference"/>
          <w:rFonts w:ascii="Arial" w:hAnsi="Arial" w:cs="Arial"/>
          <w:sz w:val="22"/>
          <w:szCs w:val="22"/>
        </w:rPr>
        <w:footnoteReference w:id="174"/>
      </w:r>
      <w:r w:rsidRPr="00BC268B">
        <w:rPr>
          <w:rFonts w:ascii="Arial" w:hAnsi="Arial" w:cs="Arial"/>
          <w:sz w:val="22"/>
          <w:szCs w:val="22"/>
          <w:lang w:val="en-US"/>
        </w:rPr>
        <w:t xml:space="preserve"> </w:t>
      </w:r>
    </w:p>
    <w:p w14:paraId="5790FAAF"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The Sector also contributed to the Organization’s objectives through a key project exploring the evolution </w:t>
      </w:r>
      <w:r w:rsidRPr="00BC268B">
        <w:rPr>
          <w:rFonts w:ascii="Arial" w:hAnsi="Arial" w:cs="Arial"/>
          <w:sz w:val="22"/>
          <w:szCs w:val="22"/>
          <w:lang w:val="en-GB"/>
        </w:rPr>
        <w:t xml:space="preserve">journey </w:t>
      </w:r>
      <w:r w:rsidRPr="00BC268B">
        <w:rPr>
          <w:rFonts w:ascii="Arial" w:hAnsi="Arial" w:cs="Arial"/>
          <w:sz w:val="22"/>
          <w:szCs w:val="22"/>
          <w:lang w:val="en-US"/>
        </w:rPr>
        <w:t xml:space="preserve">of IP </w:t>
      </w:r>
      <w:r w:rsidRPr="00BC268B">
        <w:rPr>
          <w:rFonts w:ascii="Arial" w:hAnsi="Arial" w:cs="Arial"/>
          <w:sz w:val="22"/>
          <w:szCs w:val="22"/>
          <w:lang w:val="en-GB"/>
        </w:rPr>
        <w:t>Offices</w:t>
      </w:r>
      <w:r w:rsidRPr="00BC268B">
        <w:rPr>
          <w:rFonts w:ascii="Arial" w:hAnsi="Arial" w:cs="Arial"/>
          <w:sz w:val="22"/>
          <w:szCs w:val="22"/>
          <w:lang w:val="en-US"/>
        </w:rPr>
        <w:t xml:space="preserve"> as they expand their role beyond registration in the future.  The project examined the future skills and functions that IP </w:t>
      </w:r>
      <w:r w:rsidRPr="00BC268B">
        <w:rPr>
          <w:rFonts w:ascii="Arial" w:hAnsi="Arial" w:cs="Arial"/>
          <w:sz w:val="22"/>
          <w:szCs w:val="22"/>
          <w:lang w:val="en-GB"/>
        </w:rPr>
        <w:t>Offices</w:t>
      </w:r>
      <w:r w:rsidRPr="00BC268B">
        <w:rPr>
          <w:rFonts w:ascii="Arial" w:hAnsi="Arial" w:cs="Arial"/>
          <w:sz w:val="22"/>
          <w:szCs w:val="22"/>
          <w:lang w:val="en-US"/>
        </w:rPr>
        <w:t xml:space="preserve">, including </w:t>
      </w:r>
      <w:r w:rsidRPr="00BC268B">
        <w:rPr>
          <w:rFonts w:ascii="Arial" w:hAnsi="Arial" w:cs="Arial"/>
          <w:sz w:val="22"/>
          <w:szCs w:val="22"/>
          <w:lang w:val="en-GB"/>
        </w:rPr>
        <w:t>Copyright Offices</w:t>
      </w:r>
      <w:r w:rsidRPr="00BC268B">
        <w:rPr>
          <w:rFonts w:ascii="Arial" w:hAnsi="Arial" w:cs="Arial"/>
          <w:sz w:val="22"/>
          <w:szCs w:val="22"/>
          <w:lang w:val="en-US"/>
        </w:rPr>
        <w:t xml:space="preserve">, will need to remain effective in a changing ecosystem, taking into account their </w:t>
      </w:r>
      <w:r w:rsidRPr="00BC268B">
        <w:rPr>
          <w:rFonts w:ascii="Arial" w:hAnsi="Arial" w:cs="Arial"/>
          <w:sz w:val="22"/>
          <w:szCs w:val="22"/>
          <w:lang w:val="en-GB"/>
        </w:rPr>
        <w:t xml:space="preserve">specific </w:t>
      </w:r>
      <w:r w:rsidRPr="00BC268B">
        <w:rPr>
          <w:rFonts w:ascii="Arial" w:hAnsi="Arial" w:cs="Arial"/>
          <w:sz w:val="22"/>
          <w:szCs w:val="22"/>
          <w:lang w:val="en-US"/>
        </w:rPr>
        <w:t xml:space="preserve">size, development level and geographical location.  Furthermore, in response to a number of requests from Member States in 2023, the Sector was tasked with preparing the 2025 version of the Global IP Perception Survey, also known as WIPO Pulse.  As the first global IP perception survey, WIPO Pulse captures the public’s understanding of IP beyond expert circles and </w:t>
      </w:r>
      <w:r w:rsidRPr="00BC268B">
        <w:rPr>
          <w:rFonts w:ascii="Arial" w:hAnsi="Arial" w:cs="Arial"/>
          <w:sz w:val="22"/>
          <w:szCs w:val="22"/>
          <w:lang w:val="en-GB"/>
        </w:rPr>
        <w:t>assesses</w:t>
      </w:r>
      <w:r w:rsidRPr="00BC268B">
        <w:rPr>
          <w:rFonts w:ascii="Arial" w:hAnsi="Arial" w:cs="Arial"/>
          <w:sz w:val="22"/>
          <w:szCs w:val="22"/>
          <w:lang w:val="en-US"/>
        </w:rPr>
        <w:t xml:space="preserve"> general attitudes toward </w:t>
      </w:r>
      <w:r w:rsidRPr="00BC268B">
        <w:rPr>
          <w:rFonts w:ascii="Arial" w:hAnsi="Arial" w:cs="Arial"/>
          <w:sz w:val="22"/>
          <w:szCs w:val="22"/>
          <w:lang w:val="en-GB"/>
        </w:rPr>
        <w:t>the</w:t>
      </w:r>
      <w:r w:rsidRPr="00BC268B">
        <w:rPr>
          <w:rFonts w:ascii="Arial" w:hAnsi="Arial" w:cs="Arial"/>
          <w:sz w:val="22"/>
          <w:szCs w:val="22"/>
          <w:lang w:val="en-US"/>
        </w:rPr>
        <w:t xml:space="preserve"> role </w:t>
      </w:r>
      <w:r w:rsidRPr="00BC268B">
        <w:rPr>
          <w:rFonts w:ascii="Arial" w:hAnsi="Arial" w:cs="Arial"/>
          <w:sz w:val="22"/>
          <w:szCs w:val="22"/>
          <w:lang w:val="en-GB"/>
        </w:rPr>
        <w:t xml:space="preserve">of IP </w:t>
      </w:r>
      <w:r w:rsidRPr="00BC268B">
        <w:rPr>
          <w:rFonts w:ascii="Arial" w:hAnsi="Arial" w:cs="Arial"/>
          <w:sz w:val="22"/>
          <w:szCs w:val="22"/>
          <w:lang w:val="en-US"/>
        </w:rPr>
        <w:t xml:space="preserve">in national economies.  The first version of WIPO Pulse provided valuable insights into IP’s impact on economies and societies.  Building on this, the Sector worked in 2024 to expand the survey’s scope and increase regional representation, in preparation for its future implementation.  </w:t>
      </w:r>
    </w:p>
    <w:p w14:paraId="6FEDFD50" w14:textId="77777777" w:rsidR="00BC268B" w:rsidRPr="00BC268B" w:rsidRDefault="00BC268B" w:rsidP="00A30C46">
      <w:pPr>
        <w:pStyle w:val="Heading2"/>
        <w:spacing w:before="0" w:after="240"/>
        <w:rPr>
          <w:szCs w:val="22"/>
        </w:rPr>
      </w:pPr>
      <w:r w:rsidRPr="00BC268B">
        <w:rPr>
          <w:szCs w:val="22"/>
        </w:rPr>
        <w:t>Mainstreamed DA Projects</w:t>
      </w:r>
    </w:p>
    <w:p w14:paraId="181BDBED"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i/>
          <w:sz w:val="22"/>
          <w:szCs w:val="22"/>
          <w:lang w:val="en-US"/>
        </w:rPr>
        <w:t xml:space="preserve">Enhancement of </w:t>
      </w:r>
      <w:r w:rsidRPr="00BC268B">
        <w:rPr>
          <w:rFonts w:ascii="Arial" w:hAnsi="Arial" w:cs="Arial"/>
          <w:i/>
          <w:iCs/>
          <w:sz w:val="22"/>
          <w:szCs w:val="22"/>
          <w:lang w:val="en-US"/>
        </w:rPr>
        <w:t>WIPO’s Results-Based Management (RBM) Framework</w:t>
      </w:r>
      <w:r w:rsidRPr="00BC268B">
        <w:rPr>
          <w:rFonts w:ascii="Arial" w:hAnsi="Arial" w:cs="Arial"/>
          <w:sz w:val="22"/>
          <w:szCs w:val="22"/>
          <w:lang w:val="en-US"/>
        </w:rPr>
        <w:t xml:space="preserve">:  the project sparked discussions on WIPO’s technical assistance within the context of the CDIP, ultimately culminating in the adoption of the so-called </w:t>
      </w:r>
      <w:r w:rsidRPr="00BC268B">
        <w:rPr>
          <w:rFonts w:ascii="Arial" w:hAnsi="Arial" w:cs="Arial"/>
          <w:i/>
          <w:iCs/>
          <w:sz w:val="22"/>
          <w:szCs w:val="22"/>
          <w:lang w:val="en-US"/>
        </w:rPr>
        <w:t xml:space="preserve">Spanish Proposal, </w:t>
      </w:r>
      <w:r w:rsidRPr="00BC268B">
        <w:rPr>
          <w:rFonts w:ascii="Arial" w:hAnsi="Arial" w:cs="Arial"/>
          <w:sz w:val="22"/>
          <w:szCs w:val="22"/>
          <w:lang w:val="en-US"/>
        </w:rPr>
        <w:t xml:space="preserve">also known as the </w:t>
      </w:r>
      <w:r w:rsidRPr="00BC268B">
        <w:rPr>
          <w:rFonts w:ascii="Arial" w:hAnsi="Arial" w:cs="Arial"/>
          <w:i/>
          <w:iCs/>
          <w:sz w:val="22"/>
          <w:szCs w:val="22"/>
          <w:lang w:val="en-US"/>
        </w:rPr>
        <w:t>Six-Point Proposal on Technical Assistance</w:t>
      </w:r>
      <w:r w:rsidRPr="00BC268B">
        <w:rPr>
          <w:rFonts w:ascii="Arial" w:hAnsi="Arial" w:cs="Arial"/>
          <w:sz w:val="22"/>
          <w:szCs w:val="22"/>
          <w:lang w:val="en-US"/>
        </w:rPr>
        <w:t>, at the Committee’s eighteenth session.  Under that proposal, the Secretariat was requested to implement a series of actions, which were later carried out as detailed in a report presented to the twenty-fourth session of the CDIP.  During that session, the Committee decided that future discussions on WIPO’s technical assistance would continue under the sub-agenda item “</w:t>
      </w:r>
      <w:r w:rsidRPr="00BC268B">
        <w:rPr>
          <w:rFonts w:ascii="Arial" w:hAnsi="Arial" w:cs="Arial"/>
          <w:i/>
          <w:iCs/>
          <w:sz w:val="22"/>
          <w:szCs w:val="22"/>
          <w:lang w:val="en-US"/>
        </w:rPr>
        <w:t>WIPO Technical Assistance in the Area of Cooperation for Development</w:t>
      </w:r>
      <w:r w:rsidRPr="00BC268B">
        <w:rPr>
          <w:rFonts w:ascii="Arial" w:hAnsi="Arial" w:cs="Arial"/>
          <w:sz w:val="22"/>
          <w:szCs w:val="22"/>
          <w:lang w:val="en-US"/>
        </w:rPr>
        <w:t>”.  At its twenty-ninth session, under that sub-agenda item, the Committee approved a revised version of the Future Webinars document,</w:t>
      </w:r>
      <w:r w:rsidRPr="00BC268B">
        <w:rPr>
          <w:rStyle w:val="FootnoteReference"/>
          <w:rFonts w:ascii="Arial" w:hAnsi="Arial" w:cs="Arial"/>
          <w:sz w:val="22"/>
          <w:szCs w:val="22"/>
        </w:rPr>
        <w:footnoteReference w:id="175"/>
      </w:r>
      <w:r w:rsidRPr="00BC268B">
        <w:rPr>
          <w:rFonts w:ascii="Arial" w:hAnsi="Arial" w:cs="Arial"/>
          <w:sz w:val="22"/>
          <w:szCs w:val="22"/>
          <w:lang w:val="en-US"/>
        </w:rPr>
        <w:t xml:space="preserve"> outlining the Secretariat’s strategy for organizing technical assistance webinars starting from 2024.  Accordingly, during the reporting year, the Secretariat organized two webinars that provided a comprehensive overview of the challenges and opportunities in delivering technical assistance and capacity</w:t>
      </w:r>
      <w:r w:rsidRPr="00BC268B">
        <w:rPr>
          <w:rFonts w:ascii="Arial" w:hAnsi="Arial" w:cs="Arial"/>
          <w:sz w:val="22"/>
          <w:szCs w:val="22"/>
          <w:lang w:val="en-US"/>
        </w:rPr>
        <w:noBreakHyphen/>
        <w:t>building on the following topics agreed by Member States:</w:t>
      </w:r>
      <w:r w:rsidRPr="00BC268B">
        <w:rPr>
          <w:rStyle w:val="FootnoteReference"/>
          <w:rFonts w:ascii="Arial" w:hAnsi="Arial" w:cs="Arial"/>
          <w:sz w:val="22"/>
          <w:szCs w:val="22"/>
        </w:rPr>
        <w:footnoteReference w:id="176"/>
      </w:r>
      <w:r w:rsidRPr="00BC268B">
        <w:rPr>
          <w:rFonts w:ascii="Arial" w:hAnsi="Arial" w:cs="Arial"/>
          <w:sz w:val="22"/>
          <w:szCs w:val="22"/>
          <w:lang w:val="en-US"/>
        </w:rPr>
        <w:t xml:space="preserve">  (i) </w:t>
      </w:r>
      <w:r w:rsidRPr="00BC268B">
        <w:rPr>
          <w:rFonts w:ascii="Arial" w:hAnsi="Arial" w:cs="Arial"/>
          <w:i/>
          <w:iCs/>
          <w:sz w:val="22"/>
          <w:szCs w:val="22"/>
          <w:lang w:val="en-US"/>
        </w:rPr>
        <w:t>Impact-oriented Technical Assistance and Capacity Building:  Factors for Success and Lessons Learned</w:t>
      </w:r>
      <w:r w:rsidRPr="00BC268B">
        <w:rPr>
          <w:rFonts w:ascii="Arial" w:hAnsi="Arial" w:cs="Arial"/>
          <w:sz w:val="22"/>
          <w:szCs w:val="22"/>
          <w:lang w:val="en-US"/>
        </w:rPr>
        <w:t xml:space="preserve">, held on April 11, 2024;  and (ii) </w:t>
      </w:r>
      <w:r w:rsidRPr="00BC268B">
        <w:rPr>
          <w:rFonts w:ascii="Arial" w:hAnsi="Arial" w:cs="Arial"/>
          <w:i/>
          <w:iCs/>
          <w:sz w:val="22"/>
          <w:szCs w:val="22"/>
          <w:lang w:val="en-US"/>
        </w:rPr>
        <w:t>Virtual Technical Assistance and Capacity Building:  A Critical Look at the Advantages and Limitations</w:t>
      </w:r>
      <w:r w:rsidRPr="00BC268B">
        <w:rPr>
          <w:rFonts w:ascii="Arial" w:hAnsi="Arial" w:cs="Arial"/>
          <w:sz w:val="22"/>
          <w:szCs w:val="22"/>
          <w:lang w:val="en-US"/>
        </w:rPr>
        <w:t xml:space="preserve">, held on September 12, 2024.  Furthermore, in 2024, the Committee welcomed the introduction of two new topics for the webinars:  (i) </w:t>
      </w:r>
      <w:r w:rsidRPr="00BC268B">
        <w:rPr>
          <w:rFonts w:ascii="Arial" w:hAnsi="Arial" w:cs="Arial"/>
          <w:i/>
          <w:iCs/>
          <w:sz w:val="22"/>
          <w:szCs w:val="22"/>
          <w:lang w:val="en-US"/>
        </w:rPr>
        <w:t>Maximizing impact: Strategic Planning for Technical Assistance and Capacity Building</w:t>
      </w:r>
      <w:r w:rsidRPr="00BC268B">
        <w:rPr>
          <w:rFonts w:ascii="Arial" w:hAnsi="Arial" w:cs="Arial"/>
          <w:sz w:val="22"/>
          <w:szCs w:val="22"/>
          <w:lang w:val="en-US"/>
        </w:rPr>
        <w:t xml:space="preserve">;  and ii) </w:t>
      </w:r>
      <w:r w:rsidRPr="00BC268B">
        <w:rPr>
          <w:rFonts w:ascii="Arial" w:hAnsi="Arial" w:cs="Arial"/>
          <w:i/>
          <w:iCs/>
          <w:sz w:val="22"/>
          <w:szCs w:val="22"/>
          <w:lang w:val="en-US"/>
        </w:rPr>
        <w:t>Quantifying Impact: Strategies for Monitoring and Evaluating Technical Assistance and Capacity Building</w:t>
      </w:r>
      <w:r w:rsidRPr="00BC268B">
        <w:rPr>
          <w:rFonts w:ascii="Arial" w:hAnsi="Arial" w:cs="Arial"/>
          <w:sz w:val="22"/>
          <w:szCs w:val="22"/>
          <w:lang w:val="en-US"/>
        </w:rPr>
        <w:t>.  Finally, following the Proposal by the African Group to conduct a new Independent External Review of WIPO Technical Assistance in the Area of Cooperation for Development</w:t>
      </w:r>
      <w:r w:rsidRPr="00BC268B">
        <w:rPr>
          <w:rFonts w:ascii="Arial" w:hAnsi="Arial" w:cs="Arial"/>
          <w:i/>
          <w:iCs/>
          <w:sz w:val="22"/>
          <w:szCs w:val="22"/>
          <w:lang w:val="en-US"/>
        </w:rPr>
        <w:t>,</w:t>
      </w:r>
      <w:r w:rsidRPr="00BC268B">
        <w:rPr>
          <w:rStyle w:val="FootnoteReference"/>
          <w:rFonts w:ascii="Arial" w:hAnsi="Arial" w:cs="Arial"/>
          <w:sz w:val="22"/>
          <w:szCs w:val="22"/>
        </w:rPr>
        <w:footnoteReference w:id="177"/>
      </w:r>
      <w:r w:rsidRPr="00BC268B">
        <w:rPr>
          <w:rFonts w:ascii="Arial" w:hAnsi="Arial" w:cs="Arial"/>
          <w:sz w:val="22"/>
          <w:szCs w:val="22"/>
          <w:lang w:val="en-US"/>
        </w:rPr>
        <w:t xml:space="preserve"> such </w:t>
      </w:r>
      <w:r w:rsidRPr="00BC268B">
        <w:rPr>
          <w:rFonts w:ascii="Arial" w:hAnsi="Arial" w:cs="Arial"/>
          <w:sz w:val="22"/>
          <w:szCs w:val="22"/>
          <w:lang w:val="en-US"/>
        </w:rPr>
        <w:lastRenderedPageBreak/>
        <w:t>Review took place during the reporting year and was presented to the Committee at its thirty</w:t>
      </w:r>
      <w:r w:rsidRPr="00BC268B">
        <w:rPr>
          <w:rFonts w:ascii="Arial" w:hAnsi="Arial" w:cs="Arial"/>
          <w:sz w:val="22"/>
          <w:szCs w:val="22"/>
          <w:lang w:val="en-US"/>
        </w:rPr>
        <w:noBreakHyphen/>
        <w:t>third session.  Discussions on this topic will continue at the current CDIP session.</w:t>
      </w:r>
      <w:r w:rsidRPr="00BC268B">
        <w:rPr>
          <w:rStyle w:val="FootnoteReference"/>
          <w:rFonts w:ascii="Arial" w:hAnsi="Arial" w:cs="Arial"/>
          <w:sz w:val="22"/>
          <w:szCs w:val="22"/>
        </w:rPr>
        <w:footnoteReference w:id="178"/>
      </w:r>
    </w:p>
    <w:bookmarkEnd w:id="31"/>
    <w:p w14:paraId="7FD0E24B" w14:textId="77777777" w:rsidR="00BC268B" w:rsidRPr="00BC268B" w:rsidRDefault="00BC268B" w:rsidP="00BC268B">
      <w:pPr>
        <w:pStyle w:val="Heading1"/>
        <w:numPr>
          <w:ilvl w:val="0"/>
          <w:numId w:val="25"/>
        </w:numPr>
        <w:spacing w:after="220"/>
        <w:rPr>
          <w:szCs w:val="22"/>
        </w:rPr>
      </w:pPr>
      <w:r w:rsidRPr="00BC268B">
        <w:rPr>
          <w:szCs w:val="22"/>
        </w:rPr>
        <w:t>Office of the Director General</w:t>
      </w:r>
    </w:p>
    <w:p w14:paraId="0B86573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Providing overall strategic direction and coordination of the Organization’s work remained the primary focus of the Office of the Director General.  Accordingly, WIPO introduced new policies and initiatives nurturing a dynamic and geographically diverse corporate culture, empowering WIPO Staff to work effectively, collaboratively and innovatively.  A specific emphasis was placed on regular, targeted communications with Member States to disseminate information and gather feedback on the Organization’s activities to enhance transparency.  In addition, during the reporting year, priority was given to the implementation of the new </w:t>
      </w:r>
      <w:r w:rsidRPr="00BC268B">
        <w:rPr>
          <w:rFonts w:ascii="Arial" w:hAnsi="Arial" w:cs="Arial"/>
          <w:i/>
          <w:iCs/>
          <w:sz w:val="22"/>
          <w:szCs w:val="22"/>
          <w:lang w:val="en-US"/>
        </w:rPr>
        <w:t>Geographical Diversity Action Plan (GDAP)</w:t>
      </w:r>
      <w:r w:rsidRPr="00BC268B">
        <w:rPr>
          <w:rFonts w:ascii="Arial" w:hAnsi="Arial" w:cs="Arial"/>
          <w:sz w:val="22"/>
          <w:szCs w:val="22"/>
          <w:lang w:val="en-US"/>
        </w:rPr>
        <w:t>, which aims to improve</w:t>
      </w:r>
      <w:r w:rsidRPr="00BC268B">
        <w:rPr>
          <w:rStyle w:val="ui-provider"/>
          <w:rFonts w:ascii="Arial" w:hAnsi="Arial" w:cs="Arial"/>
          <w:sz w:val="22"/>
          <w:szCs w:val="22"/>
          <w:lang w:val="en-US"/>
        </w:rPr>
        <w:t xml:space="preserve"> workforce geographical diversity in the Organization.</w:t>
      </w:r>
    </w:p>
    <w:p w14:paraId="3BCD08D6" w14:textId="77777777" w:rsidR="00BC268B" w:rsidRPr="00BC268B" w:rsidRDefault="00BC268B" w:rsidP="00A30C46">
      <w:pPr>
        <w:pStyle w:val="Heading2"/>
        <w:spacing w:after="240"/>
        <w:rPr>
          <w:szCs w:val="22"/>
        </w:rPr>
      </w:pPr>
      <w:r w:rsidRPr="00BC268B">
        <w:rPr>
          <w:szCs w:val="22"/>
        </w:rPr>
        <w:t>News and Media</w:t>
      </w:r>
    </w:p>
    <w:p w14:paraId="43D8DF7F"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Throughout 2024, Communications activities continued to focus on raising awareness of the importance of IP for growth and development.  A story-telling approach, highlighting impact stories of innovators and creators from around the world, was strengthened to illustrate how IP supports development.  The focus was on showcasing the positive human impact of WIPO’s development activities, including many approved through the CDIP.  The “IP for Impact” web page, where readers can find videos and articles about WIPO beneficiaries across the globe, continued to attract significant views.</w:t>
      </w:r>
      <w:r w:rsidRPr="00BC268B">
        <w:rPr>
          <w:rStyle w:val="FootnoteReference"/>
          <w:rFonts w:ascii="Arial" w:hAnsi="Arial" w:cs="Arial"/>
          <w:sz w:val="22"/>
          <w:szCs w:val="22"/>
        </w:rPr>
        <w:footnoteReference w:id="179"/>
      </w:r>
      <w:r w:rsidRPr="00BC268B">
        <w:rPr>
          <w:rFonts w:ascii="Arial" w:hAnsi="Arial" w:cs="Arial"/>
          <w:sz w:val="22"/>
          <w:szCs w:val="22"/>
          <w:lang w:val="en-US"/>
        </w:rPr>
        <w:t xml:space="preserve">  Over 250 videos were produced,</w:t>
      </w:r>
      <w:r w:rsidRPr="00BC268B">
        <w:rPr>
          <w:rStyle w:val="FootnoteReference"/>
          <w:rFonts w:ascii="Arial" w:hAnsi="Arial" w:cs="Arial"/>
          <w:sz w:val="22"/>
          <w:szCs w:val="22"/>
        </w:rPr>
        <w:footnoteReference w:id="180"/>
      </w:r>
      <w:r w:rsidRPr="00BC268B">
        <w:rPr>
          <w:rFonts w:ascii="Arial" w:hAnsi="Arial" w:cs="Arial"/>
          <w:sz w:val="22"/>
          <w:szCs w:val="22"/>
          <w:lang w:val="en-US"/>
        </w:rPr>
        <w:t xml:space="preserve"> with roughly half featuring people in developing countries using IP to transform lives and communities.  Social media content across all WIPO platforms was also tailored to highlight the importance of IP in supporting innovation in developing countries and communities through a people-centric approach.  WIPO’s social-media presence saw double-digit growth during the reporting year and reached over 550,000 followers, indicating an increasing global interest in WIPO and the use of IP for national economic and cultural growth.</w:t>
      </w:r>
    </w:p>
    <w:p w14:paraId="7202D83C" w14:textId="77777777" w:rsidR="00BC268B" w:rsidRPr="00BC268B" w:rsidRDefault="00BC268B" w:rsidP="00A30C46">
      <w:pPr>
        <w:pStyle w:val="Heading2"/>
        <w:spacing w:before="0" w:after="240"/>
        <w:rPr>
          <w:szCs w:val="22"/>
        </w:rPr>
      </w:pPr>
      <w:r w:rsidRPr="00BC268B">
        <w:rPr>
          <w:szCs w:val="22"/>
        </w:rPr>
        <w:t xml:space="preserve">Ethics and Integrity </w:t>
      </w:r>
    </w:p>
    <w:p w14:paraId="722E727A"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The WIPO Ethics Office continued to assist the Director General in securing the design, development and implementation of WIPO’s ethics strategy to enhance integrity, ensure compliance with ethics rules, and promote ethical conduct in the Organization’s business.  </w:t>
      </w:r>
      <w:r w:rsidRPr="00BC268B">
        <w:rPr>
          <w:rFonts w:ascii="Arial" w:hAnsi="Arial" w:cs="Arial"/>
          <w:iCs/>
          <w:sz w:val="22"/>
          <w:szCs w:val="22"/>
          <w:lang w:val="en-US"/>
        </w:rPr>
        <w:t>In addition to its mandate to provide confidential advice to personnel on ethics-related matters</w:t>
      </w:r>
      <w:r w:rsidRPr="00BC268B">
        <w:rPr>
          <w:rFonts w:ascii="Arial" w:hAnsi="Arial" w:cs="Arial"/>
          <w:sz w:val="22"/>
          <w:szCs w:val="22"/>
          <w:lang w:val="en-US"/>
        </w:rPr>
        <w:t>,</w:t>
      </w:r>
      <w:r w:rsidRPr="00BC268B">
        <w:rPr>
          <w:rStyle w:val="FootnoteReference"/>
          <w:rFonts w:ascii="Arial" w:hAnsi="Arial" w:cs="Arial"/>
          <w:sz w:val="22"/>
          <w:szCs w:val="22"/>
        </w:rPr>
        <w:footnoteReference w:id="181"/>
      </w:r>
      <w:r w:rsidRPr="00BC268B">
        <w:rPr>
          <w:rFonts w:ascii="Arial" w:hAnsi="Arial" w:cs="Arial"/>
          <w:iCs/>
          <w:sz w:val="22"/>
          <w:szCs w:val="22"/>
          <w:lang w:val="en-US"/>
        </w:rPr>
        <w:t xml:space="preserve"> and to monitor completion of the mandatory course on </w:t>
      </w:r>
      <w:r w:rsidRPr="00BC268B">
        <w:rPr>
          <w:rFonts w:ascii="Arial" w:hAnsi="Arial" w:cs="Arial"/>
          <w:iCs/>
          <w:sz w:val="22"/>
          <w:szCs w:val="22"/>
          <w:lang w:val="en-GB"/>
        </w:rPr>
        <w:t>Ethics</w:t>
      </w:r>
      <w:r w:rsidRPr="00BC268B">
        <w:rPr>
          <w:rFonts w:ascii="Arial" w:hAnsi="Arial" w:cs="Arial"/>
          <w:iCs/>
          <w:sz w:val="22"/>
          <w:szCs w:val="22"/>
          <w:lang w:val="en-US"/>
        </w:rPr>
        <w:t xml:space="preserve"> and </w:t>
      </w:r>
      <w:r w:rsidRPr="00BC268B">
        <w:rPr>
          <w:rFonts w:ascii="Arial" w:hAnsi="Arial" w:cs="Arial"/>
          <w:iCs/>
          <w:sz w:val="22"/>
          <w:szCs w:val="22"/>
          <w:lang w:val="en-GB"/>
        </w:rPr>
        <w:t>Integrity</w:t>
      </w:r>
      <w:r w:rsidRPr="00BC268B">
        <w:rPr>
          <w:rFonts w:ascii="Arial" w:hAnsi="Arial" w:cs="Arial"/>
          <w:iCs/>
          <w:sz w:val="22"/>
          <w:szCs w:val="22"/>
          <w:lang w:val="en-US"/>
        </w:rPr>
        <w:t>, in 2024 the Ethics Office undertook several initiatives aimed at deepening knowledge of ethical standards and reinforcing accountability and compliance throughout the Organization.  First, the Ethics Office redesigned its Intranet pages to provide useful information on how conflicts of interest, particularly those arising from intimate relationships, private interests, the receipt of gifts or hospitality, and outside activities, may manifest and be addressed, while also providing easy access to relevant resources and contacts within WIPO.  The Ethics Office also launched a survey to boost awareness of WIPO’s ethical values</w:t>
      </w:r>
      <w:r w:rsidRPr="00BC268B">
        <w:rPr>
          <w:rFonts w:ascii="Arial" w:hAnsi="Arial" w:cs="Arial"/>
          <w:sz w:val="22"/>
          <w:szCs w:val="22"/>
          <w:lang w:val="en-US"/>
        </w:rPr>
        <w:t xml:space="preserve"> </w:t>
      </w:r>
      <w:r w:rsidRPr="00BC268B">
        <w:rPr>
          <w:rFonts w:ascii="Arial" w:hAnsi="Arial" w:cs="Arial"/>
          <w:iCs/>
          <w:sz w:val="22"/>
          <w:szCs w:val="22"/>
          <w:lang w:val="en-US"/>
        </w:rPr>
        <w:t xml:space="preserve">and foster a greater connection between these values and personnel.  In addition, a town hall meeting was organized with approximately 300 participants to present the mandate of the Ethics Office and encourage personnel to seek support when facing ethical dilemmas, including actual, potential or perceived conflicts of interests.  Lastly, the Chief Ethics Officer met with </w:t>
      </w:r>
      <w:r w:rsidRPr="00BC268B">
        <w:rPr>
          <w:rFonts w:ascii="Arial" w:hAnsi="Arial" w:cs="Arial"/>
          <w:iCs/>
          <w:sz w:val="22"/>
          <w:szCs w:val="22"/>
          <w:lang w:val="en-GB"/>
        </w:rPr>
        <w:t>Sector Leads,</w:t>
      </w:r>
      <w:r w:rsidRPr="00BC268B">
        <w:rPr>
          <w:rFonts w:ascii="Arial" w:hAnsi="Arial" w:cs="Arial"/>
          <w:iCs/>
          <w:sz w:val="22"/>
          <w:szCs w:val="22"/>
          <w:lang w:val="en-US"/>
        </w:rPr>
        <w:t xml:space="preserve"> both individually and </w:t>
      </w:r>
      <w:r w:rsidRPr="00BC268B">
        <w:rPr>
          <w:rFonts w:ascii="Arial" w:hAnsi="Arial" w:cs="Arial"/>
          <w:iCs/>
          <w:sz w:val="22"/>
          <w:szCs w:val="22"/>
          <w:lang w:val="en-US"/>
        </w:rPr>
        <w:lastRenderedPageBreak/>
        <w:t xml:space="preserve">collectively, to emphasize the exemplary role of managers and supervisors in promoting ethical conduct within their units.  </w:t>
      </w:r>
    </w:p>
    <w:p w14:paraId="7AEA95BF" w14:textId="77777777" w:rsidR="00BC268B" w:rsidRPr="00BC268B" w:rsidRDefault="00BC268B" w:rsidP="00A30C46">
      <w:pPr>
        <w:pStyle w:val="Heading2"/>
        <w:spacing w:before="0" w:after="240"/>
        <w:rPr>
          <w:szCs w:val="22"/>
        </w:rPr>
      </w:pPr>
      <w:r w:rsidRPr="00BC268B">
        <w:rPr>
          <w:szCs w:val="22"/>
        </w:rPr>
        <w:t>Internal Oversight</w:t>
      </w:r>
    </w:p>
    <w:p w14:paraId="147FC217"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Cs/>
          <w:sz w:val="22"/>
          <w:szCs w:val="22"/>
          <w:lang w:val="en-US"/>
        </w:rPr>
      </w:pPr>
      <w:r w:rsidRPr="00BC268B">
        <w:rPr>
          <w:rFonts w:ascii="Arial" w:hAnsi="Arial" w:cs="Arial"/>
          <w:sz w:val="22"/>
          <w:szCs w:val="22"/>
          <w:lang w:val="en-US"/>
        </w:rPr>
        <w:t xml:space="preserve">Internal oversight initiatives remained dedicated to supporting the Organization in advancing its objectives by strengthening accountability, compliance, value for money, stewardship, internal control and corporate governance.  </w:t>
      </w:r>
      <w:r w:rsidRPr="00BC268B">
        <w:rPr>
          <w:rFonts w:ascii="Arial" w:hAnsi="Arial" w:cs="Arial"/>
          <w:iCs/>
          <w:sz w:val="22"/>
          <w:szCs w:val="22"/>
          <w:lang w:val="en-US"/>
        </w:rPr>
        <w:t xml:space="preserve">In 2024, the Evaluation Section of the Internal Oversight Division completed the engagement </w:t>
      </w:r>
      <w:r w:rsidRPr="00BC268B">
        <w:rPr>
          <w:rFonts w:ascii="Arial" w:hAnsi="Arial" w:cs="Arial"/>
          <w:i/>
          <w:sz w:val="22"/>
          <w:szCs w:val="22"/>
          <w:lang w:val="en-US"/>
        </w:rPr>
        <w:t>“The Impact of WIPO’s Support to Women Entrepreneurs”</w:t>
      </w:r>
      <w:r w:rsidRPr="00BC268B">
        <w:rPr>
          <w:rFonts w:ascii="Arial" w:hAnsi="Arial" w:cs="Arial"/>
          <w:iCs/>
          <w:sz w:val="22"/>
          <w:szCs w:val="22"/>
          <w:lang w:val="en-US"/>
        </w:rPr>
        <w:t>, whose primary objective was to identify good practices at WIPO for addressing gender disparity in entrepreneurship.  Three WIPO initiatives aimed at supporting women entrepreneurs were evaluated:  (i) The Indigenous and Local Community Women Entrepreneurship Program;  (ii) The Project on Increasing the Role of Women in Innovation and Entrepreneurship;  and (iii) The “Chobe Baskets” Project.  The main recommendations were as follows:  (i) every WIPO project aimed at supporting women entrepreneurs should include an exit strategy to ensure sustainability;  (ii) a gender analysis should be integrated into each project’s situational analysis;  (iii) the pivotal role of national IP Offices and other local IP stakeholders should be enhanced in future WIPO projects that support women entrepreneurs;  and (iv) future projects should differentiate clearly between IP registration and product branding and commercialization to manage the projects beneficiaries’ expectations regarding WIPO’s support.</w:t>
      </w:r>
    </w:p>
    <w:p w14:paraId="0445B005" w14:textId="77777777" w:rsidR="00BC268B" w:rsidRPr="00BC268B" w:rsidRDefault="00BC268B" w:rsidP="00A30C46">
      <w:pPr>
        <w:pStyle w:val="Heading2"/>
        <w:spacing w:before="0" w:after="240"/>
        <w:rPr>
          <w:szCs w:val="22"/>
        </w:rPr>
      </w:pPr>
      <w:bookmarkStart w:id="34" w:name="_Hlk190684999"/>
      <w:r w:rsidRPr="00BC268B">
        <w:rPr>
          <w:szCs w:val="22"/>
        </w:rPr>
        <w:t>Geographical Diversity Action Plan</w:t>
      </w:r>
    </w:p>
    <w:p w14:paraId="007E641F"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iCs/>
          <w:sz w:val="22"/>
          <w:szCs w:val="22"/>
          <w:lang w:val="en-US"/>
        </w:rPr>
      </w:pPr>
      <w:r w:rsidRPr="00BC268B">
        <w:rPr>
          <w:rFonts w:ascii="Arial" w:hAnsi="Arial" w:cs="Arial"/>
          <w:iCs/>
          <w:sz w:val="22"/>
          <w:szCs w:val="22"/>
          <w:lang w:val="en-US"/>
        </w:rPr>
        <w:t xml:space="preserve">In July 2023, WIPO introduced the GDAP to its Coordination Committee, reaffirming its commitment to enhancing geographical diversity among its staff.  Approved by Member States, the plan focuses on three key objectives: (i) advancing partnerships with Member States for more targeted outreach;  (ii) mainstreaming geographical diversity across WIPO, and </w:t>
      </w:r>
      <w:r w:rsidRPr="00BC268B">
        <w:rPr>
          <w:rFonts w:ascii="Arial" w:hAnsi="Arial" w:cs="Arial"/>
          <w:iCs/>
          <w:sz w:val="22"/>
          <w:szCs w:val="22"/>
          <w:lang w:val="en-US"/>
        </w:rPr>
        <w:br/>
        <w:t>(iii) advancing capacity-building efforts.  In 2024, WIPO conducted four regional consultations and 22 country-specific consultations to strengthen such partnerships.  WIPO also hosted human resources briefings at other WIPO meetings, targeting the IP community to address shared challenges in talent acquisition and retention.  Lastly, as part of pillar (iii), WIPO initiated in 2024 the careers in IP pilot project with three selected countries,</w:t>
      </w:r>
      <w:r w:rsidRPr="00BC268B">
        <w:rPr>
          <w:rStyle w:val="FootnoteReference"/>
          <w:rFonts w:ascii="Arial" w:hAnsi="Arial" w:cs="Arial"/>
          <w:iCs/>
          <w:sz w:val="22"/>
          <w:szCs w:val="22"/>
        </w:rPr>
        <w:footnoteReference w:id="182"/>
      </w:r>
      <w:r w:rsidRPr="00BC268B">
        <w:rPr>
          <w:rFonts w:ascii="Arial" w:hAnsi="Arial" w:cs="Arial"/>
          <w:iCs/>
          <w:sz w:val="22"/>
          <w:szCs w:val="22"/>
          <w:lang w:val="en-US"/>
        </w:rPr>
        <w:t xml:space="preserve"> a flagship endeavor which harnesses a project-based approach through close collaboration with RNDS.  The objective of the project is to strengthen the capacity of national stakeholders, including government officials, professionals and students interested in pursuing a career in IP, while also designing a framework to equip key stakeholders with the tools to foster talent development.  In this context, a key focus of the project will be broadening the talent pool to ensure a more diverse flow of talent for national and international IP opportunities.  The WIPO Academy will be a central partner in implementing the project by advancing IP education and capacity-building initiatives in the selected countries, thereby supporting the creation of sustainable national talent pipelines and ensuring the sustainability and scalability of results.  Under the project, a replicable talent outreach methodology will also be developed, enabling capacity-building efforts to reach additional countries.</w:t>
      </w:r>
    </w:p>
    <w:bookmarkEnd w:id="34"/>
    <w:p w14:paraId="0BD3A480" w14:textId="77777777" w:rsidR="00BC268B" w:rsidRPr="00BC268B" w:rsidRDefault="00BC268B" w:rsidP="00A30C46">
      <w:pPr>
        <w:pStyle w:val="Heading2"/>
        <w:spacing w:before="0" w:after="240"/>
        <w:rPr>
          <w:szCs w:val="22"/>
        </w:rPr>
      </w:pPr>
      <w:r w:rsidRPr="00BC268B">
        <w:rPr>
          <w:szCs w:val="22"/>
        </w:rPr>
        <w:t>Young Experts Program</w:t>
      </w:r>
    </w:p>
    <w:p w14:paraId="515A6E8F" w14:textId="77777777" w:rsidR="00BC268B" w:rsidRPr="00BC268B" w:rsidRDefault="00BC268B" w:rsidP="00BC268B">
      <w:pPr>
        <w:pStyle w:val="ListParagraph"/>
        <w:numPr>
          <w:ilvl w:val="0"/>
          <w:numId w:val="13"/>
        </w:numPr>
        <w:spacing w:after="24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 xml:space="preserve">The WIPO Young Experts Program (YEP), launched in 2022, aims to train the next generation of global IP leaders and support the development of innovation ecosystems worldwide.  This two-year program, hosted by WIPO, is designed to provide high-potential young professionals, particularly from developing countries, LDCs and countries with economies in transition, with exposure to the technical and policy aspects of IP.  Each participant is paired with a mentor and benefits from regular networking opportunities with senior WIPO leadership.  </w:t>
      </w:r>
      <w:r w:rsidRPr="00BC268B">
        <w:rPr>
          <w:rFonts w:ascii="Arial" w:hAnsi="Arial" w:cs="Arial"/>
          <w:sz w:val="22"/>
          <w:szCs w:val="22"/>
          <w:lang w:val="en-US"/>
        </w:rPr>
        <w:lastRenderedPageBreak/>
        <w:t>Following the successful graduation of two cohorts in 2022 and 2023, the program has now entered its fourth year.  The call for applications for the fourth cohort, launched in July 2024, attracted 5,872 applications.  On February 1, 2025, this cohort, selected from a diverse range of countries, began their assignments.  During the reporting year, YEP was redesigned, allowing the fourth cohort to divide their time equally between their selected assignments.  As a result, YEP participants will gain comprehensive WIPO work experience, with a strong emphasis on on-the-job learning across various WIPO Sectors.  WIPO expects the Young Experts to bring fresh perspectives and diverse experiences to the Organization while upholding its core values and passion for advancing a balanced and effective international IP system.</w:t>
      </w:r>
    </w:p>
    <w:p w14:paraId="155041CD" w14:textId="77777777" w:rsidR="00BC268B" w:rsidRPr="00BC268B" w:rsidRDefault="00BC268B" w:rsidP="00473EB2">
      <w:pPr>
        <w:pStyle w:val="Heading1"/>
        <w:spacing w:before="0" w:after="240"/>
        <w:rPr>
          <w:szCs w:val="22"/>
        </w:rPr>
      </w:pPr>
      <w:r w:rsidRPr="00BC268B">
        <w:rPr>
          <w:caps w:val="0"/>
          <w:szCs w:val="22"/>
        </w:rPr>
        <w:t>CONCLUSION</w:t>
      </w:r>
    </w:p>
    <w:p w14:paraId="42F9092C" w14:textId="77777777" w:rsidR="00BC268B" w:rsidRPr="00BC268B" w:rsidRDefault="00BC268B" w:rsidP="00BC268B">
      <w:pPr>
        <w:pStyle w:val="ListParagraph"/>
        <w:numPr>
          <w:ilvl w:val="0"/>
          <w:numId w:val="13"/>
        </w:numPr>
        <w:spacing w:after="0" w:line="240" w:lineRule="auto"/>
        <w:ind w:left="0" w:firstLine="0"/>
        <w:contextualSpacing w:val="0"/>
        <w:rPr>
          <w:rFonts w:ascii="Arial" w:hAnsi="Arial" w:cs="Arial"/>
          <w:sz w:val="22"/>
          <w:szCs w:val="22"/>
          <w:lang w:val="en-US"/>
        </w:rPr>
      </w:pPr>
      <w:r w:rsidRPr="00BC268B">
        <w:rPr>
          <w:rFonts w:ascii="Arial" w:hAnsi="Arial" w:cs="Arial"/>
          <w:sz w:val="22"/>
          <w:szCs w:val="22"/>
          <w:lang w:val="en-US"/>
        </w:rPr>
        <w:t>In 2024, WIPO continued to advance its mission of fostering innovation and creativity for a better future by supporting Member States in leveraging IP for development.  The Organization’s efforts were guided by the Medium-Term Strategic Plan (MTSP) 2022–2026, which emphasizes the importance of development-oriented IP systems.  Key achievements included the adoption of seven new DA projects, reflecting WIPO’s commitment to meeting the evolving needs of its Member States.  By reinforcing internal coordination and leveraging synergies across its Sectors, WIPO provided targeted, tailored support to help Member States navigate the complex IP landscape.  As WIPO moves forward, it remains committed to ensuring that the Development Agenda remains a central pillar of its work, driving sustainable growth and development worldwide.</w:t>
      </w:r>
    </w:p>
    <w:p w14:paraId="66E1C38F" w14:textId="77777777" w:rsidR="00BC268B" w:rsidRPr="00BC268B" w:rsidRDefault="00BC268B" w:rsidP="00C664B3">
      <w:pPr>
        <w:pStyle w:val="ListParagraph"/>
        <w:spacing w:before="720"/>
        <w:ind w:left="5528"/>
        <w:contextualSpacing w:val="0"/>
        <w:rPr>
          <w:rFonts w:ascii="Arial" w:hAnsi="Arial" w:cs="Arial"/>
          <w:sz w:val="22"/>
          <w:szCs w:val="22"/>
          <w:lang w:val="en-US"/>
        </w:rPr>
        <w:sectPr w:rsidR="00BC268B" w:rsidRPr="00BC268B" w:rsidSect="00BC268B">
          <w:headerReference w:type="default" r:id="rId18"/>
          <w:endnotePr>
            <w:numFmt w:val="decimal"/>
          </w:endnotePr>
          <w:pgSz w:w="11907" w:h="16840" w:code="9"/>
          <w:pgMar w:top="284" w:right="1134" w:bottom="1418" w:left="1418" w:header="454" w:footer="964" w:gutter="0"/>
          <w:pgNumType w:start="1"/>
          <w:cols w:space="720"/>
          <w:titlePg/>
          <w:docGrid w:linePitch="299"/>
        </w:sectPr>
      </w:pPr>
      <w:r w:rsidRPr="00BC268B">
        <w:rPr>
          <w:rFonts w:ascii="Arial" w:hAnsi="Arial" w:cs="Arial"/>
          <w:sz w:val="22"/>
          <w:szCs w:val="22"/>
          <w:lang w:val="en-US"/>
        </w:rPr>
        <w:t>[Annexes follow]</w:t>
      </w:r>
    </w:p>
    <w:p w14:paraId="7E183856" w14:textId="77777777" w:rsidR="00BC268B" w:rsidRPr="00BC268B" w:rsidRDefault="00BC268B" w:rsidP="00DD2B02">
      <w:pPr>
        <w:pStyle w:val="Heading1"/>
        <w:spacing w:after="120"/>
        <w:jc w:val="center"/>
        <w:rPr>
          <w:szCs w:val="22"/>
        </w:rPr>
      </w:pPr>
      <w:bookmarkStart w:id="35" w:name="_Hlk190866920"/>
      <w:r w:rsidRPr="00BC268B">
        <w:rPr>
          <w:szCs w:val="22"/>
        </w:rPr>
        <w:lastRenderedPageBreak/>
        <w:t xml:space="preserve">THE LINKAGES BETWEEN THE 45 DA RECOMMENDATIONS and the WIPO’S EXPECTED RESULTS FOR 2022/26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BC268B" w:rsidRPr="00BC268B" w14:paraId="61DB5A8F" w14:textId="77777777" w:rsidTr="009A31E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3630F5" w14:textId="77777777" w:rsidR="00BC268B" w:rsidRPr="00BC268B" w:rsidRDefault="00BC268B" w:rsidP="00B35A84">
            <w:pPr>
              <w:rPr>
                <w:szCs w:val="22"/>
              </w:rPr>
            </w:pPr>
            <w:r w:rsidRPr="00BC268B">
              <w:rPr>
                <w:rFonts w:eastAsia="Times New Roman"/>
                <w:b/>
                <w:i/>
                <w:szCs w:val="22"/>
                <w:lang w:eastAsia="en-US"/>
              </w:rPr>
              <w:t>Recommendation 1*</w:t>
            </w:r>
            <w:r w:rsidRPr="00BC268B">
              <w:rPr>
                <w:rFonts w:eastAsia="Times New Roman"/>
                <w:b/>
                <w:i/>
                <w:szCs w:val="22"/>
                <w:vertAlign w:val="superscript"/>
                <w:lang w:eastAsia="en-US"/>
              </w:rPr>
              <w:footnoteReference w:id="183"/>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00E843" w14:textId="77777777" w:rsidR="00BC268B" w:rsidRPr="00BC268B" w:rsidRDefault="00BC268B" w:rsidP="00B35A84">
            <w:pPr>
              <w:rPr>
                <w:b/>
                <w:i/>
                <w:szCs w:val="22"/>
              </w:rPr>
            </w:pPr>
            <w:r w:rsidRPr="00BC268B">
              <w:rPr>
                <w:b/>
                <w:i/>
                <w:szCs w:val="22"/>
              </w:rPr>
              <w:t>Link to Expected Results</w:t>
            </w:r>
            <w:r w:rsidRPr="00BC268B">
              <w:rPr>
                <w:b/>
                <w:i/>
                <w:szCs w:val="22"/>
                <w:vertAlign w:val="superscript"/>
              </w:rPr>
              <w:footnoteReference w:id="184"/>
            </w:r>
          </w:p>
        </w:tc>
      </w:tr>
      <w:tr w:rsidR="00BC268B" w:rsidRPr="00BC268B" w14:paraId="317216E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2E1969" w14:textId="77777777" w:rsidR="00BC268B" w:rsidRPr="00BC268B" w:rsidRDefault="00BC268B" w:rsidP="00B35A84">
            <w:pPr>
              <w:rPr>
                <w:szCs w:val="22"/>
              </w:rPr>
            </w:pPr>
            <w:r w:rsidRPr="00BC268B">
              <w:rPr>
                <w:rFonts w:eastAsia="Times New Roman"/>
                <w:szCs w:val="22"/>
                <w:lang w:eastAsia="en-US"/>
              </w:rPr>
              <w:t xml:space="preserve">WIPO technical assistance shall be, </w:t>
            </w:r>
            <w:r w:rsidRPr="00BC268B">
              <w:rPr>
                <w:rFonts w:eastAsia="Times New Roman"/>
                <w:i/>
                <w:szCs w:val="22"/>
                <w:lang w:eastAsia="en-US"/>
              </w:rPr>
              <w:t>inter alia</w:t>
            </w:r>
            <w:r w:rsidRPr="00BC268B">
              <w:rPr>
                <w:rFonts w:eastAsia="Times New Roman"/>
                <w:szCs w:val="22"/>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91957A" w14:textId="77777777" w:rsidR="00BC268B" w:rsidRPr="00BC268B" w:rsidRDefault="00BC268B" w:rsidP="00F2733C">
            <w:pPr>
              <w:rPr>
                <w:szCs w:val="22"/>
              </w:rPr>
            </w:pPr>
            <w:r w:rsidRPr="00BC268B">
              <w:rPr>
                <w:szCs w:val="22"/>
              </w:rPr>
              <w:t>2.1 Development of balanced and effective international normative frameworks for IP.</w:t>
            </w:r>
          </w:p>
          <w:p w14:paraId="32205C56" w14:textId="77777777" w:rsidR="00BC268B" w:rsidRPr="00BC268B" w:rsidRDefault="00BC268B" w:rsidP="00F2733C">
            <w:pPr>
              <w:rPr>
                <w:szCs w:val="22"/>
              </w:rPr>
            </w:pPr>
          </w:p>
          <w:p w14:paraId="1E832231" w14:textId="77777777" w:rsidR="00BC268B" w:rsidRPr="00BC268B" w:rsidRDefault="00BC268B" w:rsidP="00F2733C">
            <w:pPr>
              <w:rPr>
                <w:szCs w:val="22"/>
              </w:rPr>
            </w:pPr>
            <w:r w:rsidRPr="00BC268B">
              <w:rPr>
                <w:szCs w:val="22"/>
              </w:rPr>
              <w:t>2.4 Effective interaction and partnerships with the UN, IGOs and NGOs in support of global goals to which IP can contribute.</w:t>
            </w:r>
          </w:p>
          <w:p w14:paraId="27C36833" w14:textId="77777777" w:rsidR="00BC268B" w:rsidRPr="00BC268B" w:rsidRDefault="00BC268B" w:rsidP="00F2733C">
            <w:pPr>
              <w:rPr>
                <w:szCs w:val="22"/>
              </w:rPr>
            </w:pPr>
          </w:p>
          <w:p w14:paraId="0E81416D" w14:textId="77777777" w:rsidR="00BC268B" w:rsidRPr="00BC268B" w:rsidRDefault="00BC268B" w:rsidP="00F2733C">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0FB79E5C" w14:textId="77777777" w:rsidR="00BC268B" w:rsidRPr="00BC268B" w:rsidRDefault="00BC268B" w:rsidP="00F2733C">
            <w:pPr>
              <w:rPr>
                <w:szCs w:val="22"/>
              </w:rPr>
            </w:pPr>
          </w:p>
          <w:p w14:paraId="1242E5E6" w14:textId="77777777" w:rsidR="00BC268B" w:rsidRPr="00BC268B" w:rsidRDefault="00BC268B" w:rsidP="00F2733C">
            <w:pPr>
              <w:rPr>
                <w:szCs w:val="22"/>
              </w:rPr>
            </w:pPr>
            <w:r w:rsidRPr="00BC268B">
              <w:rPr>
                <w:szCs w:val="22"/>
              </w:rPr>
              <w:t>4.2 Development of balanced and effective IP, innovation and creative ecosystems in Member States.</w:t>
            </w:r>
          </w:p>
          <w:p w14:paraId="2B7A5E0E" w14:textId="77777777" w:rsidR="00BC268B" w:rsidRPr="00BC268B" w:rsidRDefault="00BC268B" w:rsidP="00F2733C">
            <w:pPr>
              <w:rPr>
                <w:szCs w:val="22"/>
              </w:rPr>
            </w:pPr>
          </w:p>
          <w:p w14:paraId="10770D17" w14:textId="77777777" w:rsidR="00BC268B" w:rsidRPr="00BC268B" w:rsidRDefault="00BC268B" w:rsidP="00F2733C">
            <w:pPr>
              <w:rPr>
                <w:szCs w:val="22"/>
              </w:rPr>
            </w:pPr>
            <w:r w:rsidRPr="00BC268B">
              <w:rPr>
                <w:szCs w:val="22"/>
              </w:rPr>
              <w:t>4.3 Increased IP knowledge and skills in all Member States.</w:t>
            </w:r>
          </w:p>
          <w:p w14:paraId="423DE234" w14:textId="77777777" w:rsidR="00BC268B" w:rsidRPr="00BC268B" w:rsidRDefault="00BC268B" w:rsidP="00F2733C">
            <w:pPr>
              <w:rPr>
                <w:szCs w:val="22"/>
              </w:rPr>
            </w:pPr>
          </w:p>
          <w:p w14:paraId="5B1BBD3B" w14:textId="77777777" w:rsidR="00BC268B" w:rsidRPr="00BC268B" w:rsidRDefault="00BC268B" w:rsidP="00F2733C">
            <w:pPr>
              <w:rPr>
                <w:szCs w:val="22"/>
              </w:rPr>
            </w:pPr>
            <w:r w:rsidRPr="00BC268B">
              <w:rPr>
                <w:szCs w:val="22"/>
              </w:rPr>
              <w:t>4.5 Enhanced IP infrastructure for IP Offices.</w:t>
            </w:r>
          </w:p>
          <w:p w14:paraId="52376031" w14:textId="77777777" w:rsidR="00BC268B" w:rsidRPr="00BC268B" w:rsidRDefault="00BC268B" w:rsidP="00F2733C">
            <w:pPr>
              <w:rPr>
                <w:szCs w:val="22"/>
              </w:rPr>
            </w:pPr>
          </w:p>
        </w:tc>
      </w:tr>
      <w:tr w:rsidR="00BC268B" w:rsidRPr="00BC268B" w14:paraId="0C39A20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E4C934" w14:textId="77777777" w:rsidR="00BC268B" w:rsidRPr="00BC268B" w:rsidRDefault="00BC268B" w:rsidP="00B35A84">
            <w:pPr>
              <w:rPr>
                <w:szCs w:val="22"/>
              </w:rPr>
            </w:pPr>
            <w:r w:rsidRPr="00BC268B">
              <w:rPr>
                <w:rFonts w:eastAsia="Times New Roman"/>
                <w:b/>
                <w:i/>
                <w:szCs w:val="22"/>
                <w:lang w:eastAsia="en-US"/>
              </w:rPr>
              <w:t>Recommendation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076EFC" w14:textId="77777777" w:rsidR="00BC268B" w:rsidRPr="00BC268B" w:rsidRDefault="00BC268B" w:rsidP="00B35A84">
            <w:pPr>
              <w:rPr>
                <w:szCs w:val="22"/>
              </w:rPr>
            </w:pPr>
            <w:r w:rsidRPr="00BC268B">
              <w:rPr>
                <w:b/>
                <w:i/>
                <w:szCs w:val="22"/>
              </w:rPr>
              <w:t>Link to Expected Results</w:t>
            </w:r>
          </w:p>
        </w:tc>
      </w:tr>
      <w:tr w:rsidR="00BC268B" w:rsidRPr="00BC268B" w14:paraId="6335C9D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10D17F" w14:textId="61B7FDFD" w:rsidR="00BC268B" w:rsidRPr="00374734" w:rsidRDefault="00BC268B" w:rsidP="00374734">
            <w:pPr>
              <w:spacing w:after="120"/>
              <w:rPr>
                <w:rFonts w:eastAsia="Times New Roman"/>
                <w:szCs w:val="22"/>
                <w:lang w:eastAsia="en-US"/>
              </w:rPr>
            </w:pPr>
            <w:r w:rsidRPr="00BC268B">
              <w:rPr>
                <w:rFonts w:eastAsia="Times New Roman"/>
                <w:szCs w:val="22"/>
                <w:lang w:eastAsia="en-US"/>
              </w:rPr>
              <w:t xml:space="preserve">Provide additional assistance to WIPO through donor funding, and establish Trust-Funds or other voluntary funds within WIPO specifically for LDCs, while continuing to accord high priority to finance activities in Africa through budgetary and extra-budgetary resources, to promote, </w:t>
            </w:r>
            <w:r w:rsidRPr="00BC268B">
              <w:rPr>
                <w:rFonts w:eastAsia="Times New Roman"/>
                <w:i/>
                <w:szCs w:val="22"/>
                <w:lang w:eastAsia="en-US"/>
              </w:rPr>
              <w:t>inter alia</w:t>
            </w:r>
            <w:r w:rsidRPr="00BC268B">
              <w:rPr>
                <w:rFonts w:eastAsia="Times New Roman"/>
                <w:szCs w:val="22"/>
                <w:lang w:eastAsia="en-US"/>
              </w:rPr>
              <w:t>, the legal, commercial, cultural, and economic exploitation of intellectual property (IP) in these countries.</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41D559" w14:textId="77777777" w:rsidR="00BC268B" w:rsidRPr="00BC268B" w:rsidRDefault="00BC268B" w:rsidP="00F2733C">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30A27380" w14:textId="77777777" w:rsidR="00BC268B" w:rsidRPr="00BC268B" w:rsidRDefault="00BC268B" w:rsidP="00B35A84">
            <w:pPr>
              <w:rPr>
                <w:szCs w:val="22"/>
              </w:rPr>
            </w:pPr>
          </w:p>
        </w:tc>
      </w:tr>
      <w:tr w:rsidR="00BC268B" w:rsidRPr="00BC268B" w14:paraId="5828617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8E37B8" w14:textId="77777777" w:rsidR="00BC268B" w:rsidRPr="00BC268B" w:rsidRDefault="00BC268B" w:rsidP="00B35A84">
            <w:pPr>
              <w:rPr>
                <w:szCs w:val="22"/>
              </w:rPr>
            </w:pPr>
            <w:r w:rsidRPr="00BC268B">
              <w:rPr>
                <w:rFonts w:eastAsia="Times New Roman"/>
                <w:b/>
                <w:i/>
                <w:szCs w:val="22"/>
                <w:lang w:eastAsia="en-US"/>
              </w:rPr>
              <w:t>Recommendation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C6129" w14:textId="77777777" w:rsidR="00BC268B" w:rsidRPr="00BC268B" w:rsidRDefault="00BC268B" w:rsidP="00B35A84">
            <w:pPr>
              <w:rPr>
                <w:szCs w:val="22"/>
              </w:rPr>
            </w:pPr>
            <w:r w:rsidRPr="00BC268B">
              <w:rPr>
                <w:b/>
                <w:i/>
                <w:szCs w:val="22"/>
              </w:rPr>
              <w:t>Link to Expected Results</w:t>
            </w:r>
          </w:p>
        </w:tc>
      </w:tr>
      <w:tr w:rsidR="00BC268B" w:rsidRPr="00BC268B" w14:paraId="4088891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312BCA" w14:textId="77777777" w:rsidR="00BC268B" w:rsidRPr="00BC268B" w:rsidRDefault="00BC268B" w:rsidP="00B35A84">
            <w:pPr>
              <w:rPr>
                <w:szCs w:val="22"/>
              </w:rPr>
            </w:pPr>
            <w:r w:rsidRPr="00BC268B">
              <w:rPr>
                <w:szCs w:val="22"/>
              </w:rPr>
              <w:lastRenderedPageBreak/>
              <w:t xml:space="preserve">Increase human and financial allocation for technical assistance programs in WIPO for promoting a, </w:t>
            </w:r>
            <w:r w:rsidRPr="00BC268B">
              <w:rPr>
                <w:i/>
                <w:szCs w:val="22"/>
              </w:rPr>
              <w:t>inter alia</w:t>
            </w:r>
            <w:r w:rsidRPr="00BC268B">
              <w:rPr>
                <w:szCs w:val="22"/>
              </w:rPr>
              <w:t>, development</w:t>
            </w:r>
            <w:r w:rsidRPr="00BC268B">
              <w:rPr>
                <w:szCs w:val="22"/>
              </w:rPr>
              <w:noBreakHyphen/>
              <w:t>oriented IP culture, with an emphasis on introducing intellectual property at different academic levels and on generating greater public awareness on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969B861" w14:textId="77777777" w:rsidR="00BC268B" w:rsidRPr="00BC268B" w:rsidRDefault="00BC268B" w:rsidP="00F2733C">
            <w:pPr>
              <w:rPr>
                <w:szCs w:val="22"/>
              </w:rPr>
            </w:pPr>
            <w:r w:rsidRPr="00BC268B">
              <w:rPr>
                <w:szCs w:val="22"/>
              </w:rPr>
              <w:t>1.1 More effective communication and engagement worldwide to raise awareness of and increase knowledge about the potential of IP to improve the lives of everyone, everywhere.</w:t>
            </w:r>
          </w:p>
          <w:p w14:paraId="07D32C78" w14:textId="77777777" w:rsidR="00BC268B" w:rsidRPr="00BC268B" w:rsidRDefault="00BC268B" w:rsidP="00F2733C">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4B5DB928" w14:textId="77777777" w:rsidR="00BC268B" w:rsidRPr="00BC268B" w:rsidRDefault="00BC268B" w:rsidP="00F2733C">
            <w:pPr>
              <w:rPr>
                <w:szCs w:val="22"/>
              </w:rPr>
            </w:pPr>
          </w:p>
          <w:p w14:paraId="65950AE5" w14:textId="77777777" w:rsidR="00BC268B" w:rsidRPr="00BC268B" w:rsidRDefault="00BC268B" w:rsidP="00B35A84">
            <w:pPr>
              <w:rPr>
                <w:szCs w:val="22"/>
              </w:rPr>
            </w:pPr>
            <w:r w:rsidRPr="00BC268B">
              <w:rPr>
                <w:szCs w:val="22"/>
              </w:rPr>
              <w:t>4.3 Increased IP knowledge and skills in all Member States.</w:t>
            </w:r>
          </w:p>
          <w:p w14:paraId="21CFEB74" w14:textId="77777777" w:rsidR="00BC268B" w:rsidRPr="00BC268B" w:rsidRDefault="00BC268B" w:rsidP="00B35A84">
            <w:pPr>
              <w:rPr>
                <w:szCs w:val="22"/>
              </w:rPr>
            </w:pPr>
          </w:p>
        </w:tc>
      </w:tr>
      <w:tr w:rsidR="00BC268B" w:rsidRPr="00BC268B" w14:paraId="3E8E7A0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FF5FC3" w14:textId="77777777" w:rsidR="00BC268B" w:rsidRPr="00BC268B" w:rsidRDefault="00BC268B" w:rsidP="00B35A84">
            <w:pPr>
              <w:rPr>
                <w:szCs w:val="22"/>
              </w:rPr>
            </w:pPr>
            <w:r w:rsidRPr="00BC268B">
              <w:rPr>
                <w:rFonts w:eastAsia="Times New Roman"/>
                <w:b/>
                <w:i/>
                <w:szCs w:val="22"/>
                <w:lang w:eastAsia="en-US"/>
              </w:rPr>
              <w:t>Recommendation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09AF14" w14:textId="77777777" w:rsidR="00BC268B" w:rsidRPr="00BC268B" w:rsidRDefault="00BC268B" w:rsidP="00B35A84">
            <w:pPr>
              <w:rPr>
                <w:szCs w:val="22"/>
              </w:rPr>
            </w:pPr>
            <w:r w:rsidRPr="00BC268B">
              <w:rPr>
                <w:b/>
                <w:i/>
                <w:szCs w:val="22"/>
              </w:rPr>
              <w:t>Link to Expected Results</w:t>
            </w:r>
          </w:p>
        </w:tc>
      </w:tr>
      <w:tr w:rsidR="00BC268B" w:rsidRPr="00BC268B" w14:paraId="587E91E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AECC17F" w14:textId="77777777" w:rsidR="00BC268B" w:rsidRPr="00BC268B" w:rsidRDefault="00BC268B" w:rsidP="00B35A84">
            <w:pPr>
              <w:rPr>
                <w:szCs w:val="22"/>
              </w:rPr>
            </w:pPr>
            <w:r w:rsidRPr="00BC268B">
              <w:rPr>
                <w:szCs w:val="22"/>
              </w:rPr>
              <w:t>Place particular emphasis on the needs of SMEs and institutions dealing with scientific research and cultural industries and assist Member States, at their request, in setting</w:t>
            </w:r>
            <w:r w:rsidRPr="00BC268B">
              <w:rPr>
                <w:szCs w:val="22"/>
              </w:rPr>
              <w:noBreakHyphen/>
              <w:t>up appropriate national strategies in the field of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C82C9B" w14:textId="77777777" w:rsidR="00BC268B" w:rsidRPr="00BC268B" w:rsidRDefault="00BC268B" w:rsidP="00845D53">
            <w:pPr>
              <w:rPr>
                <w:szCs w:val="22"/>
              </w:rPr>
            </w:pPr>
            <w:r w:rsidRPr="00BC268B">
              <w:rPr>
                <w:szCs w:val="22"/>
              </w:rPr>
              <w:t>2.1 Development of balanced and effective international normative frameworks for IP.</w:t>
            </w:r>
          </w:p>
          <w:p w14:paraId="05641FBD" w14:textId="77777777" w:rsidR="00BC268B" w:rsidRPr="00BC268B" w:rsidRDefault="00BC268B" w:rsidP="00845D53">
            <w:pPr>
              <w:rPr>
                <w:szCs w:val="22"/>
              </w:rPr>
            </w:pPr>
          </w:p>
          <w:p w14:paraId="6D223893" w14:textId="77777777" w:rsidR="00BC268B" w:rsidRPr="00BC268B" w:rsidRDefault="00BC268B" w:rsidP="00845D53">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54E151F7" w14:textId="77777777" w:rsidR="00BC268B" w:rsidRPr="00BC268B" w:rsidRDefault="00BC268B" w:rsidP="00845D53">
            <w:pPr>
              <w:rPr>
                <w:szCs w:val="22"/>
              </w:rPr>
            </w:pPr>
          </w:p>
          <w:p w14:paraId="63126697" w14:textId="77777777" w:rsidR="00BC268B" w:rsidRPr="00BC268B" w:rsidRDefault="00BC268B" w:rsidP="00845D53">
            <w:pPr>
              <w:rPr>
                <w:szCs w:val="22"/>
              </w:rPr>
            </w:pPr>
            <w:r w:rsidRPr="00BC268B">
              <w:rPr>
                <w:szCs w:val="22"/>
              </w:rPr>
              <w:t xml:space="preserve">4.2 Development of balanced and effective IP, innovation and creative ecosystems in Member States. </w:t>
            </w:r>
          </w:p>
          <w:p w14:paraId="53F6A458" w14:textId="77777777" w:rsidR="00BC268B" w:rsidRPr="00BC268B" w:rsidRDefault="00BC268B" w:rsidP="00845D53">
            <w:pPr>
              <w:rPr>
                <w:szCs w:val="22"/>
              </w:rPr>
            </w:pPr>
          </w:p>
          <w:p w14:paraId="380B969E" w14:textId="77777777" w:rsidR="00BC268B" w:rsidRPr="00BC268B" w:rsidRDefault="00BC268B" w:rsidP="00B35A84">
            <w:pPr>
              <w:rPr>
                <w:szCs w:val="22"/>
              </w:rPr>
            </w:pPr>
            <w:r w:rsidRPr="00BC268B">
              <w:rPr>
                <w:szCs w:val="22"/>
              </w:rPr>
              <w:t>4.4 More innovators, creators, SMEs, universities, research institutions and communities leverage IP successfully.</w:t>
            </w:r>
          </w:p>
          <w:p w14:paraId="2F9DEC4A" w14:textId="77777777" w:rsidR="00BC268B" w:rsidRPr="00BC268B" w:rsidRDefault="00BC268B" w:rsidP="00B35A84">
            <w:pPr>
              <w:rPr>
                <w:szCs w:val="22"/>
              </w:rPr>
            </w:pPr>
          </w:p>
        </w:tc>
      </w:tr>
      <w:tr w:rsidR="00BC268B" w:rsidRPr="00BC268B" w14:paraId="7359FA9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AFF52E" w14:textId="77777777" w:rsidR="00BC268B" w:rsidRPr="00BC268B" w:rsidRDefault="00BC268B" w:rsidP="00B35A84">
            <w:pPr>
              <w:rPr>
                <w:szCs w:val="22"/>
              </w:rPr>
            </w:pPr>
            <w:r w:rsidRPr="00BC268B">
              <w:rPr>
                <w:rFonts w:eastAsia="Times New Roman"/>
                <w:b/>
                <w:i/>
                <w:szCs w:val="22"/>
                <w:lang w:eastAsia="en-US"/>
              </w:rPr>
              <w:t>Recommendation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5DAA46" w14:textId="77777777" w:rsidR="00BC268B" w:rsidRPr="00BC268B" w:rsidRDefault="00BC268B" w:rsidP="00B35A84">
            <w:pPr>
              <w:rPr>
                <w:szCs w:val="22"/>
              </w:rPr>
            </w:pPr>
            <w:r w:rsidRPr="00BC268B">
              <w:rPr>
                <w:b/>
                <w:i/>
                <w:szCs w:val="22"/>
              </w:rPr>
              <w:t>Link to Expected Results</w:t>
            </w:r>
          </w:p>
        </w:tc>
      </w:tr>
      <w:tr w:rsidR="00BC268B" w:rsidRPr="00BC268B" w14:paraId="29FB886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F092A2" w14:textId="77777777" w:rsidR="00BC268B" w:rsidRPr="00BC268B" w:rsidRDefault="00BC268B" w:rsidP="00B35A84">
            <w:pPr>
              <w:rPr>
                <w:szCs w:val="22"/>
              </w:rPr>
            </w:pPr>
            <w:r w:rsidRPr="00BC268B">
              <w:rPr>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14:paraId="713627D7"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5A35EE3" w14:textId="77777777" w:rsidR="00BC268B" w:rsidRPr="00BC268B" w:rsidRDefault="00BC268B" w:rsidP="00845D53">
            <w:pPr>
              <w:rPr>
                <w:szCs w:val="22"/>
              </w:rPr>
            </w:pPr>
            <w:r w:rsidRPr="00BC268B">
              <w:rPr>
                <w:szCs w:val="22"/>
              </w:rPr>
              <w:t>3.1 Wider and more effective use of WIPO’s global IP systems, services, knowledge and data.</w:t>
            </w:r>
          </w:p>
          <w:p w14:paraId="277C0701" w14:textId="77777777" w:rsidR="00BC268B" w:rsidRPr="00BC268B" w:rsidRDefault="00BC268B" w:rsidP="00845D53">
            <w:pPr>
              <w:rPr>
                <w:szCs w:val="22"/>
              </w:rPr>
            </w:pPr>
          </w:p>
          <w:p w14:paraId="237A682F" w14:textId="6C093EB8" w:rsidR="00BC268B" w:rsidRPr="00BC268B" w:rsidRDefault="00BC268B" w:rsidP="00374734">
            <w:pPr>
              <w:spacing w:after="240"/>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tc>
      </w:tr>
      <w:tr w:rsidR="00BC268B" w:rsidRPr="00BC268B" w14:paraId="7DDFD96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AD7DAA" w14:textId="77777777" w:rsidR="00BC268B" w:rsidRPr="00BC268B" w:rsidRDefault="00BC268B" w:rsidP="00B35A84">
            <w:pPr>
              <w:rPr>
                <w:szCs w:val="22"/>
              </w:rPr>
            </w:pPr>
            <w:r w:rsidRPr="00BC268B">
              <w:rPr>
                <w:rFonts w:eastAsia="Times New Roman"/>
                <w:b/>
                <w:i/>
                <w:szCs w:val="22"/>
                <w:lang w:eastAsia="en-US"/>
              </w:rPr>
              <w:t>Recommendation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AA1D8" w14:textId="77777777" w:rsidR="00BC268B" w:rsidRPr="00BC268B" w:rsidRDefault="00BC268B" w:rsidP="00B35A84">
            <w:pPr>
              <w:rPr>
                <w:szCs w:val="22"/>
              </w:rPr>
            </w:pPr>
            <w:r w:rsidRPr="00BC268B">
              <w:rPr>
                <w:b/>
                <w:i/>
                <w:szCs w:val="22"/>
              </w:rPr>
              <w:t>Link to Expected Results</w:t>
            </w:r>
          </w:p>
        </w:tc>
      </w:tr>
      <w:tr w:rsidR="00BC268B" w:rsidRPr="00BC268B" w14:paraId="1D1B974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FA4EB0A" w14:textId="77777777" w:rsidR="00BC268B" w:rsidRPr="00BC268B" w:rsidRDefault="00BC268B" w:rsidP="00B35A84">
            <w:pPr>
              <w:rPr>
                <w:szCs w:val="22"/>
              </w:rPr>
            </w:pPr>
            <w:r w:rsidRPr="00BC268B">
              <w:rPr>
                <w:szCs w:val="22"/>
              </w:rPr>
              <w:lastRenderedPageBreak/>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4D99A33" w14:textId="77777777" w:rsidR="00BC268B" w:rsidRPr="00BC268B" w:rsidRDefault="00BC268B" w:rsidP="00801671">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6AFD7FE0" w14:textId="77777777" w:rsidR="00BC268B" w:rsidRPr="00BC268B" w:rsidRDefault="00BC268B" w:rsidP="00801671">
            <w:pPr>
              <w:rPr>
                <w:szCs w:val="22"/>
              </w:rPr>
            </w:pPr>
          </w:p>
          <w:p w14:paraId="1A1F9D0D" w14:textId="77777777" w:rsidR="00BC268B" w:rsidRPr="00BC268B" w:rsidRDefault="00BC268B" w:rsidP="00B35A84">
            <w:pPr>
              <w:rPr>
                <w:szCs w:val="22"/>
              </w:rPr>
            </w:pPr>
            <w:r w:rsidRPr="00BC268B">
              <w:rPr>
                <w:szCs w:val="22"/>
              </w:rPr>
              <w:t>5.1 A Secretariat that is empowered through a dynamic corporate culture and is provided with the right resources and training to work effectively, collaboratively and innovatively.</w:t>
            </w:r>
          </w:p>
          <w:p w14:paraId="49D8CC1F" w14:textId="77777777" w:rsidR="00BC268B" w:rsidRPr="00BC268B" w:rsidRDefault="00BC268B" w:rsidP="00B35A84">
            <w:pPr>
              <w:rPr>
                <w:szCs w:val="22"/>
              </w:rPr>
            </w:pPr>
          </w:p>
        </w:tc>
      </w:tr>
      <w:tr w:rsidR="00BC268B" w:rsidRPr="00BC268B" w14:paraId="5F1D98C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876CB6" w14:textId="77777777" w:rsidR="00BC268B" w:rsidRPr="00BC268B" w:rsidRDefault="00BC268B" w:rsidP="00B35A84">
            <w:pPr>
              <w:rPr>
                <w:szCs w:val="22"/>
              </w:rPr>
            </w:pPr>
            <w:r w:rsidRPr="00BC268B">
              <w:rPr>
                <w:rFonts w:eastAsia="Times New Roman"/>
                <w:b/>
                <w:i/>
                <w:szCs w:val="22"/>
                <w:lang w:eastAsia="en-US"/>
              </w:rPr>
              <w:t>Recommendation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626DDD" w14:textId="77777777" w:rsidR="00BC268B" w:rsidRPr="00BC268B" w:rsidRDefault="00BC268B" w:rsidP="00B35A84">
            <w:pPr>
              <w:rPr>
                <w:szCs w:val="22"/>
              </w:rPr>
            </w:pPr>
            <w:r w:rsidRPr="00BC268B">
              <w:rPr>
                <w:b/>
                <w:i/>
                <w:szCs w:val="22"/>
              </w:rPr>
              <w:t>Link to Expected Results</w:t>
            </w:r>
          </w:p>
        </w:tc>
      </w:tr>
      <w:tr w:rsidR="00BC268B" w:rsidRPr="00BC268B" w14:paraId="6B84C41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7A7D1C" w14:textId="77777777" w:rsidR="00BC268B" w:rsidRPr="00BC268B" w:rsidRDefault="00BC268B" w:rsidP="00B35A84">
            <w:pPr>
              <w:rPr>
                <w:szCs w:val="22"/>
              </w:rPr>
            </w:pPr>
            <w:r w:rsidRPr="00BC268B">
              <w:rPr>
                <w:szCs w:val="22"/>
              </w:rPr>
              <w:t>Promote measures that will help countries deal with IP-related anti</w:t>
            </w:r>
            <w:r w:rsidRPr="00BC268B">
              <w:rPr>
                <w:szCs w:val="22"/>
              </w:rPr>
              <w:noBreakHyphen/>
              <w:t>competitive practices, by providing technical cooperation to developing countries, especially LDCs, at their request, in order to better understand the interface between intellectual property rights and competition policies.</w:t>
            </w:r>
          </w:p>
          <w:p w14:paraId="2F1E4FD9"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8EA05E8" w14:textId="77777777" w:rsidR="00BC268B" w:rsidRPr="00BC268B" w:rsidRDefault="00BC268B" w:rsidP="00801671">
            <w:pPr>
              <w:rPr>
                <w:szCs w:val="22"/>
              </w:rPr>
            </w:pPr>
            <w:r w:rsidRPr="00BC268B">
              <w:rPr>
                <w:szCs w:val="22"/>
              </w:rPr>
              <w:t>2.1 Development of balanced and effective international normative frameworks for IP.</w:t>
            </w:r>
          </w:p>
          <w:p w14:paraId="04F17977" w14:textId="77777777" w:rsidR="00BC268B" w:rsidRPr="00BC268B" w:rsidRDefault="00BC268B" w:rsidP="00801671">
            <w:pPr>
              <w:rPr>
                <w:szCs w:val="22"/>
              </w:rPr>
            </w:pPr>
          </w:p>
          <w:p w14:paraId="3ECD7816" w14:textId="77777777" w:rsidR="00BC268B" w:rsidRPr="00BC268B" w:rsidRDefault="00BC268B" w:rsidP="00B35A84">
            <w:pPr>
              <w:rPr>
                <w:szCs w:val="22"/>
              </w:rPr>
            </w:pPr>
          </w:p>
        </w:tc>
      </w:tr>
      <w:tr w:rsidR="00BC268B" w:rsidRPr="00BC268B" w14:paraId="2BB2698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64DB30" w14:textId="77777777" w:rsidR="00BC268B" w:rsidRPr="00BC268B" w:rsidRDefault="00BC268B" w:rsidP="00B35A84">
            <w:pPr>
              <w:rPr>
                <w:szCs w:val="22"/>
              </w:rPr>
            </w:pPr>
            <w:r w:rsidRPr="00BC268B">
              <w:rPr>
                <w:rFonts w:eastAsia="Times New Roman"/>
                <w:b/>
                <w:i/>
                <w:szCs w:val="22"/>
                <w:lang w:eastAsia="en-US"/>
              </w:rPr>
              <w:t>Recommendation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399914" w14:textId="77777777" w:rsidR="00BC268B" w:rsidRPr="00BC268B" w:rsidRDefault="00BC268B" w:rsidP="00B35A84">
            <w:pPr>
              <w:rPr>
                <w:szCs w:val="22"/>
              </w:rPr>
            </w:pPr>
            <w:r w:rsidRPr="00BC268B">
              <w:rPr>
                <w:b/>
                <w:i/>
                <w:szCs w:val="22"/>
              </w:rPr>
              <w:t>Link to Expected Results</w:t>
            </w:r>
          </w:p>
        </w:tc>
      </w:tr>
      <w:tr w:rsidR="00BC268B" w:rsidRPr="00BC268B" w14:paraId="3CA7670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877B5E" w14:textId="77777777" w:rsidR="00BC268B" w:rsidRPr="00BC268B" w:rsidRDefault="00BC268B" w:rsidP="00B35A84">
            <w:pPr>
              <w:rPr>
                <w:szCs w:val="22"/>
              </w:rPr>
            </w:pPr>
            <w:r w:rsidRPr="00BC268B">
              <w:rPr>
                <w:szCs w:val="22"/>
              </w:rPr>
              <w:t>Request WIPO to develop agreements with research institutions and with private enterprises with a view to facilitating the national offices of developing countries, especially LDCs, as well as their regional and sub</w:t>
            </w:r>
            <w:r w:rsidRPr="00BC268B">
              <w:rPr>
                <w:szCs w:val="22"/>
              </w:rPr>
              <w:noBreakHyphen/>
              <w:t>regional IP organizations to access specialized databases for the purposes of patent searches.</w:t>
            </w:r>
          </w:p>
          <w:p w14:paraId="4694B3BE"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1C05DC2" w14:textId="77777777" w:rsidR="00BC268B" w:rsidRPr="00BC268B" w:rsidRDefault="00BC268B" w:rsidP="00801671">
            <w:pPr>
              <w:rPr>
                <w:szCs w:val="22"/>
              </w:rPr>
            </w:pPr>
            <w:r w:rsidRPr="00BC268B">
              <w:rPr>
                <w:szCs w:val="22"/>
              </w:rPr>
              <w:t>3.3 Knowledge transfer and technology adaptation is facilitated through WIPO’s IP-based platforms and tools to address global challenges.</w:t>
            </w:r>
          </w:p>
          <w:p w14:paraId="5BD9BE3B" w14:textId="77777777" w:rsidR="00BC268B" w:rsidRPr="00BC268B" w:rsidRDefault="00BC268B" w:rsidP="00801671">
            <w:pPr>
              <w:rPr>
                <w:szCs w:val="22"/>
              </w:rPr>
            </w:pPr>
          </w:p>
          <w:p w14:paraId="4B63C6B5" w14:textId="77777777" w:rsidR="00BC268B" w:rsidRPr="00BC268B" w:rsidRDefault="00BC268B" w:rsidP="00801671">
            <w:pPr>
              <w:rPr>
                <w:szCs w:val="22"/>
              </w:rPr>
            </w:pPr>
            <w:r w:rsidRPr="00BC268B">
              <w:rPr>
                <w:szCs w:val="22"/>
              </w:rPr>
              <w:t>4.3 Increased IP knowledge and skills in all Member States.</w:t>
            </w:r>
          </w:p>
          <w:p w14:paraId="4DCAEF76" w14:textId="77777777" w:rsidR="00BC268B" w:rsidRPr="00BC268B" w:rsidRDefault="00BC268B" w:rsidP="00801671">
            <w:pPr>
              <w:rPr>
                <w:szCs w:val="22"/>
              </w:rPr>
            </w:pPr>
          </w:p>
          <w:p w14:paraId="7D51564F" w14:textId="77777777" w:rsidR="00BC268B" w:rsidRPr="00BC268B" w:rsidRDefault="00BC268B" w:rsidP="00B35A84">
            <w:pPr>
              <w:rPr>
                <w:szCs w:val="22"/>
              </w:rPr>
            </w:pPr>
            <w:r w:rsidRPr="00BC268B">
              <w:rPr>
                <w:szCs w:val="22"/>
              </w:rPr>
              <w:t>4.4   More innovators, creators, SMEs, universities, research institutions and communities leverage IP successfully.</w:t>
            </w:r>
          </w:p>
          <w:p w14:paraId="346909BD" w14:textId="77777777" w:rsidR="00BC268B" w:rsidRPr="00BC268B" w:rsidRDefault="00BC268B" w:rsidP="00B35A84">
            <w:pPr>
              <w:rPr>
                <w:szCs w:val="22"/>
              </w:rPr>
            </w:pPr>
          </w:p>
        </w:tc>
      </w:tr>
      <w:tr w:rsidR="00BC268B" w:rsidRPr="00BC268B" w14:paraId="14E296C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279F46" w14:textId="77777777" w:rsidR="00BC268B" w:rsidRPr="00BC268B" w:rsidRDefault="00BC268B" w:rsidP="00B35A84">
            <w:pPr>
              <w:rPr>
                <w:szCs w:val="22"/>
              </w:rPr>
            </w:pPr>
            <w:r w:rsidRPr="00BC268B">
              <w:rPr>
                <w:rFonts w:eastAsia="Times New Roman"/>
                <w:b/>
                <w:i/>
                <w:szCs w:val="22"/>
                <w:lang w:eastAsia="en-US"/>
              </w:rPr>
              <w:t>Recommendation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1641AE" w14:textId="77777777" w:rsidR="00BC268B" w:rsidRPr="00BC268B" w:rsidRDefault="00BC268B" w:rsidP="00B35A84">
            <w:pPr>
              <w:rPr>
                <w:szCs w:val="22"/>
              </w:rPr>
            </w:pPr>
            <w:r w:rsidRPr="00BC268B">
              <w:rPr>
                <w:b/>
                <w:i/>
                <w:szCs w:val="22"/>
              </w:rPr>
              <w:t>Link to Expected Results</w:t>
            </w:r>
          </w:p>
        </w:tc>
      </w:tr>
      <w:tr w:rsidR="00BC268B" w:rsidRPr="00BC268B" w14:paraId="45E4AC8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BF907C" w14:textId="77777777" w:rsidR="00BC268B" w:rsidRPr="00BC268B" w:rsidRDefault="00BC268B" w:rsidP="00B35A84">
            <w:pPr>
              <w:rPr>
                <w:szCs w:val="22"/>
              </w:rPr>
            </w:pPr>
            <w:r w:rsidRPr="00BC268B">
              <w:rPr>
                <w:szCs w:val="22"/>
              </w:rPr>
              <w:t>Request WIPO to create, in coordination with Member States, a database to match specific IP</w:t>
            </w:r>
            <w:r w:rsidRPr="00BC268B">
              <w:rPr>
                <w:szCs w:val="22"/>
              </w:rPr>
              <w:noBreakHyphen/>
              <w:t>related development needs with available resources, thereby expanding the scope of its technical assistance programs, aimed at bridging the digital divide.</w:t>
            </w:r>
          </w:p>
          <w:p w14:paraId="7716BB5C"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E1EC237" w14:textId="77777777" w:rsidR="00BC268B" w:rsidRPr="00BC268B" w:rsidRDefault="00BC268B" w:rsidP="00801671">
            <w:pPr>
              <w:rPr>
                <w:szCs w:val="22"/>
              </w:rPr>
            </w:pPr>
            <w:r w:rsidRPr="00BC268B">
              <w:rPr>
                <w:szCs w:val="22"/>
              </w:rPr>
              <w:t>3.3 Knowledge transfer and technology adaptation is facilitated through WIPO’s IP-based platforms and tools to address global challenges.</w:t>
            </w:r>
          </w:p>
          <w:p w14:paraId="3D0D9352" w14:textId="77777777" w:rsidR="00BC268B" w:rsidRPr="00BC268B" w:rsidRDefault="00BC268B" w:rsidP="00801671">
            <w:pPr>
              <w:rPr>
                <w:szCs w:val="22"/>
              </w:rPr>
            </w:pPr>
          </w:p>
          <w:p w14:paraId="4CD97460" w14:textId="77777777" w:rsidR="00BC268B" w:rsidRPr="00BC268B" w:rsidRDefault="00BC268B" w:rsidP="00801671">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4D525A92" w14:textId="77777777" w:rsidR="00BC268B" w:rsidRPr="00BC268B" w:rsidRDefault="00BC268B" w:rsidP="00801671">
            <w:pPr>
              <w:rPr>
                <w:szCs w:val="22"/>
              </w:rPr>
            </w:pPr>
          </w:p>
          <w:p w14:paraId="6B6968C1" w14:textId="77777777" w:rsidR="00BC268B" w:rsidRPr="00BC268B" w:rsidRDefault="00BC268B" w:rsidP="00801671">
            <w:pPr>
              <w:rPr>
                <w:szCs w:val="22"/>
              </w:rPr>
            </w:pPr>
            <w:r w:rsidRPr="00BC268B">
              <w:rPr>
                <w:szCs w:val="22"/>
              </w:rPr>
              <w:lastRenderedPageBreak/>
              <w:t>4.2 Development of balanced and effective IP, innovation and creative ecosystems in Member States.</w:t>
            </w:r>
          </w:p>
        </w:tc>
      </w:tr>
      <w:tr w:rsidR="00BC268B" w:rsidRPr="00BC268B" w14:paraId="628CDE2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BB669F" w14:textId="77777777" w:rsidR="00BC268B" w:rsidRPr="00BC268B" w:rsidRDefault="00BC268B" w:rsidP="00B35A84">
            <w:pPr>
              <w:rPr>
                <w:szCs w:val="22"/>
              </w:rPr>
            </w:pPr>
            <w:r w:rsidRPr="00BC268B">
              <w:rPr>
                <w:rFonts w:eastAsia="Times New Roman"/>
                <w:b/>
                <w:i/>
                <w:szCs w:val="22"/>
                <w:lang w:eastAsia="en-US"/>
              </w:rPr>
              <w:lastRenderedPageBreak/>
              <w:t>Recommendation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5CC8B6" w14:textId="77777777" w:rsidR="00BC268B" w:rsidRPr="00BC268B" w:rsidRDefault="00BC268B" w:rsidP="00B35A84">
            <w:pPr>
              <w:rPr>
                <w:szCs w:val="22"/>
              </w:rPr>
            </w:pPr>
            <w:r w:rsidRPr="00BC268B">
              <w:rPr>
                <w:b/>
                <w:i/>
                <w:szCs w:val="22"/>
              </w:rPr>
              <w:t>Link to Expected Results</w:t>
            </w:r>
          </w:p>
        </w:tc>
      </w:tr>
      <w:tr w:rsidR="00BC268B" w:rsidRPr="00BC268B" w14:paraId="62D120B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132AD65" w14:textId="77777777" w:rsidR="00BC268B" w:rsidRPr="00BC268B" w:rsidRDefault="00BC268B" w:rsidP="00B35A84">
            <w:pPr>
              <w:rPr>
                <w:szCs w:val="22"/>
              </w:rPr>
            </w:pPr>
            <w:r w:rsidRPr="00BC268B">
              <w:rPr>
                <w:szCs w:val="22"/>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BC268B">
              <w:rPr>
                <w:szCs w:val="22"/>
              </w:rPr>
              <w:noBreakHyphen/>
              <w:t>regional and regional organizations dealing with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032DCE0" w14:textId="77777777" w:rsidR="00BC268B" w:rsidRPr="00BC268B" w:rsidRDefault="00BC268B" w:rsidP="00801671">
            <w:pPr>
              <w:rPr>
                <w:szCs w:val="22"/>
              </w:rPr>
            </w:pPr>
            <w:r w:rsidRPr="00BC268B">
              <w:rPr>
                <w:szCs w:val="22"/>
              </w:rPr>
              <w:t>3.3 Knowledge transfer and technology adaptation is facilitated through WIPO’s IP-based platforms and tools to address global challenges.</w:t>
            </w:r>
          </w:p>
          <w:p w14:paraId="5A504767" w14:textId="77777777" w:rsidR="00BC268B" w:rsidRPr="00BC268B" w:rsidRDefault="00BC268B" w:rsidP="00801671">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54D025F0" w14:textId="77777777" w:rsidR="00BC268B" w:rsidRPr="00BC268B" w:rsidRDefault="00BC268B" w:rsidP="00801671">
            <w:pPr>
              <w:rPr>
                <w:szCs w:val="22"/>
              </w:rPr>
            </w:pPr>
          </w:p>
          <w:p w14:paraId="504C5B20" w14:textId="77777777" w:rsidR="00BC268B" w:rsidRPr="00BC268B" w:rsidRDefault="00BC268B" w:rsidP="00962E1D">
            <w:pPr>
              <w:rPr>
                <w:szCs w:val="22"/>
              </w:rPr>
            </w:pPr>
            <w:r w:rsidRPr="00BC268B">
              <w:rPr>
                <w:szCs w:val="22"/>
              </w:rPr>
              <w:t>4.3 Increased IP knowledge and skills in all Member States.</w:t>
            </w:r>
          </w:p>
          <w:p w14:paraId="1C50CCE5" w14:textId="77777777" w:rsidR="00BC268B" w:rsidRPr="00BC268B" w:rsidRDefault="00BC268B" w:rsidP="00962E1D">
            <w:pPr>
              <w:rPr>
                <w:szCs w:val="22"/>
              </w:rPr>
            </w:pPr>
          </w:p>
        </w:tc>
      </w:tr>
      <w:tr w:rsidR="00BC268B" w:rsidRPr="00BC268B" w14:paraId="1A05C72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E1F1AB" w14:textId="77777777" w:rsidR="00BC268B" w:rsidRPr="00BC268B" w:rsidRDefault="00BC268B" w:rsidP="00B35A84">
            <w:pPr>
              <w:rPr>
                <w:szCs w:val="22"/>
              </w:rPr>
            </w:pPr>
            <w:r w:rsidRPr="00BC268B">
              <w:rPr>
                <w:rFonts w:eastAsia="Times New Roman"/>
                <w:b/>
                <w:i/>
                <w:szCs w:val="22"/>
                <w:lang w:eastAsia="en-US"/>
              </w:rPr>
              <w:t>Recommendation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00DC06" w14:textId="77777777" w:rsidR="00BC268B" w:rsidRPr="00BC268B" w:rsidRDefault="00BC268B" w:rsidP="00B35A84">
            <w:pPr>
              <w:rPr>
                <w:szCs w:val="22"/>
              </w:rPr>
            </w:pPr>
            <w:r w:rsidRPr="00BC268B">
              <w:rPr>
                <w:b/>
                <w:i/>
                <w:szCs w:val="22"/>
              </w:rPr>
              <w:t>Link to Expected Results</w:t>
            </w:r>
          </w:p>
        </w:tc>
      </w:tr>
      <w:tr w:rsidR="00BC268B" w:rsidRPr="00BC268B" w14:paraId="3BE9CB4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AB59EBF" w14:textId="77777777" w:rsidR="00BC268B" w:rsidRPr="00BC268B" w:rsidRDefault="00BC268B" w:rsidP="00B35A84">
            <w:pPr>
              <w:rPr>
                <w:szCs w:val="22"/>
              </w:rPr>
            </w:pPr>
            <w:r w:rsidRPr="00BC268B">
              <w:rPr>
                <w:szCs w:val="22"/>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497EA17" w14:textId="77777777" w:rsidR="00BC268B" w:rsidRPr="00BC268B" w:rsidRDefault="00BC268B" w:rsidP="00801671">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62FC52FD" w14:textId="77777777" w:rsidR="00BC268B" w:rsidRPr="00BC268B" w:rsidRDefault="00BC268B" w:rsidP="00801671">
            <w:pPr>
              <w:rPr>
                <w:szCs w:val="22"/>
              </w:rPr>
            </w:pPr>
          </w:p>
          <w:p w14:paraId="05089D90" w14:textId="77777777" w:rsidR="00BC268B" w:rsidRPr="00BC268B" w:rsidRDefault="00BC268B" w:rsidP="00801671">
            <w:pPr>
              <w:rPr>
                <w:szCs w:val="22"/>
              </w:rPr>
            </w:pPr>
            <w:r w:rsidRPr="00BC268B">
              <w:rPr>
                <w:szCs w:val="22"/>
              </w:rPr>
              <w:t>4.3 Increased IP knowledge and skills in all Member States.</w:t>
            </w:r>
          </w:p>
          <w:p w14:paraId="36915523" w14:textId="77777777" w:rsidR="00BC268B" w:rsidRPr="00BC268B" w:rsidRDefault="00BC268B" w:rsidP="00801671">
            <w:pPr>
              <w:rPr>
                <w:szCs w:val="22"/>
              </w:rPr>
            </w:pPr>
          </w:p>
          <w:p w14:paraId="007BDF8F" w14:textId="77777777" w:rsidR="00BC268B" w:rsidRPr="00BC268B" w:rsidRDefault="00BC268B" w:rsidP="00801671">
            <w:pPr>
              <w:rPr>
                <w:szCs w:val="22"/>
              </w:rPr>
            </w:pPr>
            <w:r w:rsidRPr="00BC268B">
              <w:rPr>
                <w:szCs w:val="22"/>
              </w:rPr>
              <w:t>4.4 More innovators, creators, SMEs, universities, research institutions and communities leverage IP successfully.</w:t>
            </w:r>
          </w:p>
          <w:p w14:paraId="2B3C1B23" w14:textId="77777777" w:rsidR="00BC268B" w:rsidRPr="00BC268B" w:rsidRDefault="00BC268B" w:rsidP="00801671">
            <w:pPr>
              <w:rPr>
                <w:szCs w:val="22"/>
              </w:rPr>
            </w:pPr>
          </w:p>
        </w:tc>
      </w:tr>
      <w:tr w:rsidR="00BC268B" w:rsidRPr="00BC268B" w14:paraId="0487831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296085" w14:textId="77777777" w:rsidR="00BC268B" w:rsidRPr="00BC268B" w:rsidRDefault="00BC268B" w:rsidP="00B35A84">
            <w:pPr>
              <w:rPr>
                <w:szCs w:val="22"/>
              </w:rPr>
            </w:pPr>
            <w:r w:rsidRPr="00BC268B">
              <w:rPr>
                <w:rFonts w:eastAsia="Times New Roman"/>
                <w:b/>
                <w:i/>
                <w:szCs w:val="22"/>
                <w:lang w:eastAsia="en-US"/>
              </w:rPr>
              <w:t>Recommendation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687CC6" w14:textId="77777777" w:rsidR="00BC268B" w:rsidRPr="00BC268B" w:rsidRDefault="00BC268B" w:rsidP="00B35A84">
            <w:pPr>
              <w:rPr>
                <w:szCs w:val="22"/>
              </w:rPr>
            </w:pPr>
            <w:r w:rsidRPr="00BC268B">
              <w:rPr>
                <w:b/>
                <w:i/>
                <w:szCs w:val="22"/>
              </w:rPr>
              <w:t>Link to Expected Results</w:t>
            </w:r>
          </w:p>
        </w:tc>
      </w:tr>
      <w:tr w:rsidR="00BC268B" w:rsidRPr="00BC268B" w14:paraId="5EA3AF3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BC9D96" w14:textId="77777777" w:rsidR="00BC268B" w:rsidRPr="00BC268B" w:rsidRDefault="00BC268B" w:rsidP="00B35A84">
            <w:pPr>
              <w:rPr>
                <w:szCs w:val="22"/>
              </w:rPr>
            </w:pPr>
            <w:r w:rsidRPr="00BC268B">
              <w:rPr>
                <w:szCs w:val="22"/>
              </w:rPr>
              <w:t>To further mainstream development considerations into WIPO’s substantive and technical assistance activities and debates, in accordance with its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7F65EFB" w14:textId="77777777" w:rsidR="00BC268B" w:rsidRPr="00BC268B" w:rsidRDefault="00BC268B" w:rsidP="00B35A84">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31A694B5" w14:textId="77777777" w:rsidR="00BC268B" w:rsidRPr="00BC268B" w:rsidRDefault="00BC268B" w:rsidP="00B35A84">
            <w:pPr>
              <w:rPr>
                <w:szCs w:val="22"/>
              </w:rPr>
            </w:pPr>
          </w:p>
        </w:tc>
      </w:tr>
      <w:tr w:rsidR="00BC268B" w:rsidRPr="00BC268B" w14:paraId="068A88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855AB9" w14:textId="77777777" w:rsidR="00BC268B" w:rsidRPr="00BC268B" w:rsidRDefault="00BC268B" w:rsidP="00B35A84">
            <w:pPr>
              <w:rPr>
                <w:szCs w:val="22"/>
              </w:rPr>
            </w:pPr>
            <w:r w:rsidRPr="00BC268B">
              <w:rPr>
                <w:rFonts w:eastAsia="Times New Roman"/>
                <w:b/>
                <w:i/>
                <w:szCs w:val="22"/>
                <w:lang w:eastAsia="en-US"/>
              </w:rPr>
              <w:t>Recommendation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63636" w14:textId="77777777" w:rsidR="00BC268B" w:rsidRPr="00BC268B" w:rsidRDefault="00BC268B" w:rsidP="00B35A84">
            <w:pPr>
              <w:rPr>
                <w:szCs w:val="22"/>
              </w:rPr>
            </w:pPr>
            <w:r w:rsidRPr="00BC268B">
              <w:rPr>
                <w:b/>
                <w:i/>
                <w:szCs w:val="22"/>
              </w:rPr>
              <w:t>Link to Expected Results</w:t>
            </w:r>
          </w:p>
        </w:tc>
      </w:tr>
      <w:tr w:rsidR="00BC268B" w:rsidRPr="00BC268B" w14:paraId="6752CCB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BA8B8F3" w14:textId="77777777" w:rsidR="00BC268B" w:rsidRPr="00BC268B" w:rsidRDefault="00BC268B" w:rsidP="00B35A84">
            <w:pPr>
              <w:rPr>
                <w:szCs w:val="22"/>
              </w:rPr>
            </w:pPr>
            <w:r w:rsidRPr="00BC268B">
              <w:rPr>
                <w:szCs w:val="22"/>
              </w:rPr>
              <w:t xml:space="preserve">WIPO’s legislative assistance shall be, </w:t>
            </w:r>
            <w:r w:rsidRPr="00BC268B">
              <w:rPr>
                <w:i/>
                <w:szCs w:val="22"/>
              </w:rPr>
              <w:t>inter alia</w:t>
            </w:r>
            <w:r w:rsidRPr="00BC268B">
              <w:rPr>
                <w:szCs w:val="22"/>
              </w:rPr>
              <w:t>, development</w:t>
            </w:r>
            <w:r w:rsidRPr="00BC268B">
              <w:rPr>
                <w:szCs w:val="22"/>
              </w:rPr>
              <w:noBreakHyphen/>
              <w:t>oriented and demand</w:t>
            </w:r>
            <w:r w:rsidRPr="00BC268B">
              <w:rPr>
                <w:szCs w:val="22"/>
              </w:rPr>
              <w:noBreakHyphen/>
              <w:t xml:space="preserve">driven, taking into account the priorities and the special needs of developing countries, especially LDCs, as well as the different levels of development </w:t>
            </w:r>
            <w:r w:rsidRPr="00BC268B">
              <w:rPr>
                <w:szCs w:val="22"/>
              </w:rPr>
              <w:lastRenderedPageBreak/>
              <w:t>of Member States and activities should include time frames for completion.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2CBECAF" w14:textId="77777777" w:rsidR="00BC268B" w:rsidRPr="00BC268B" w:rsidRDefault="00BC268B" w:rsidP="00DE5DD2">
            <w:pPr>
              <w:rPr>
                <w:szCs w:val="22"/>
              </w:rPr>
            </w:pPr>
            <w:r w:rsidRPr="00BC268B">
              <w:rPr>
                <w:szCs w:val="22"/>
              </w:rPr>
              <w:lastRenderedPageBreak/>
              <w:t>2.1 Development of balanced and effective international normative frameworks for IP.</w:t>
            </w:r>
          </w:p>
          <w:p w14:paraId="4443EE6F" w14:textId="77777777" w:rsidR="00BC268B" w:rsidRPr="00BC268B" w:rsidRDefault="00BC268B" w:rsidP="00DE5DD2">
            <w:pPr>
              <w:rPr>
                <w:szCs w:val="22"/>
              </w:rPr>
            </w:pPr>
          </w:p>
          <w:p w14:paraId="7D1EF1A3" w14:textId="77777777" w:rsidR="00BC268B" w:rsidRPr="00BC268B" w:rsidRDefault="00BC268B" w:rsidP="00B35A84">
            <w:pPr>
              <w:rPr>
                <w:szCs w:val="22"/>
              </w:rPr>
            </w:pPr>
            <w:r w:rsidRPr="00BC268B">
              <w:rPr>
                <w:szCs w:val="22"/>
              </w:rPr>
              <w:t>4.2 Development of balanced and effective IP, innovation and creative ecosystems in Member States.</w:t>
            </w:r>
          </w:p>
          <w:p w14:paraId="2728E7D6" w14:textId="77777777" w:rsidR="00BC268B" w:rsidRPr="00BC268B" w:rsidRDefault="00BC268B" w:rsidP="00B35A84">
            <w:pPr>
              <w:rPr>
                <w:szCs w:val="22"/>
              </w:rPr>
            </w:pPr>
          </w:p>
        </w:tc>
      </w:tr>
      <w:tr w:rsidR="00BC268B" w:rsidRPr="00BC268B" w14:paraId="37E579D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8374DF" w14:textId="77777777" w:rsidR="00BC268B" w:rsidRPr="00BC268B" w:rsidRDefault="00BC268B" w:rsidP="00B35A84">
            <w:pPr>
              <w:rPr>
                <w:szCs w:val="22"/>
              </w:rPr>
            </w:pPr>
            <w:r w:rsidRPr="00BC268B">
              <w:rPr>
                <w:rFonts w:eastAsia="Times New Roman"/>
                <w:b/>
                <w:i/>
                <w:szCs w:val="22"/>
                <w:lang w:eastAsia="en-US"/>
              </w:rPr>
              <w:lastRenderedPageBreak/>
              <w:t>Recommendation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276F4B" w14:textId="77777777" w:rsidR="00BC268B" w:rsidRPr="00BC268B" w:rsidRDefault="00BC268B" w:rsidP="00B35A84">
            <w:pPr>
              <w:rPr>
                <w:szCs w:val="22"/>
              </w:rPr>
            </w:pPr>
            <w:r w:rsidRPr="00BC268B">
              <w:rPr>
                <w:b/>
                <w:i/>
                <w:szCs w:val="22"/>
              </w:rPr>
              <w:t>Link to Expected Results</w:t>
            </w:r>
          </w:p>
        </w:tc>
      </w:tr>
      <w:tr w:rsidR="00BC268B" w:rsidRPr="00BC268B" w14:paraId="272C350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7F4481" w14:textId="77777777" w:rsidR="00BC268B" w:rsidRPr="00BC268B" w:rsidRDefault="00BC268B" w:rsidP="00B35A84">
            <w:pPr>
              <w:rPr>
                <w:szCs w:val="22"/>
              </w:rPr>
            </w:pPr>
            <w:r w:rsidRPr="00BC268B">
              <w:rPr>
                <w:szCs w:val="22"/>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273F330" w14:textId="77777777" w:rsidR="00BC268B" w:rsidRPr="00BC268B" w:rsidRDefault="00BC268B" w:rsidP="00DE5DD2">
            <w:pPr>
              <w:rPr>
                <w:szCs w:val="22"/>
              </w:rPr>
            </w:pPr>
            <w:r w:rsidRPr="00BC268B">
              <w:rPr>
                <w:szCs w:val="22"/>
              </w:rPr>
              <w:t>2.1 Development of balanced and effective international normative frameworks for IP.</w:t>
            </w:r>
          </w:p>
          <w:p w14:paraId="554548AF" w14:textId="77777777" w:rsidR="00BC268B" w:rsidRPr="00BC268B" w:rsidRDefault="00BC268B" w:rsidP="00DE5DD2">
            <w:pPr>
              <w:rPr>
                <w:szCs w:val="22"/>
              </w:rPr>
            </w:pPr>
          </w:p>
          <w:p w14:paraId="5E025004" w14:textId="77777777" w:rsidR="00BC268B" w:rsidRPr="00BC268B" w:rsidRDefault="00BC268B" w:rsidP="00B35A84">
            <w:pPr>
              <w:rPr>
                <w:szCs w:val="22"/>
              </w:rPr>
            </w:pPr>
            <w:r w:rsidRPr="00BC268B">
              <w:rPr>
                <w:szCs w:val="22"/>
              </w:rPr>
              <w:t>4.2 Development of balanced and effective IP, innovation and creative ecosystems in Member States.</w:t>
            </w:r>
          </w:p>
          <w:p w14:paraId="19C49F9E" w14:textId="77777777" w:rsidR="00BC268B" w:rsidRPr="00BC268B" w:rsidRDefault="00BC268B" w:rsidP="00B35A84">
            <w:pPr>
              <w:rPr>
                <w:szCs w:val="22"/>
              </w:rPr>
            </w:pPr>
          </w:p>
        </w:tc>
      </w:tr>
      <w:tr w:rsidR="00BC268B" w:rsidRPr="00BC268B" w14:paraId="1AF4AD6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FB5C6E" w14:textId="77777777" w:rsidR="00BC268B" w:rsidRPr="00BC268B" w:rsidRDefault="00BC268B" w:rsidP="00B35A84">
            <w:pPr>
              <w:rPr>
                <w:szCs w:val="22"/>
              </w:rPr>
            </w:pPr>
            <w:r w:rsidRPr="00BC268B">
              <w:rPr>
                <w:rFonts w:eastAsia="Times New Roman"/>
                <w:b/>
                <w:i/>
                <w:szCs w:val="22"/>
                <w:lang w:eastAsia="en-US"/>
              </w:rPr>
              <w:t>Recommendation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15D0B5" w14:textId="77777777" w:rsidR="00BC268B" w:rsidRPr="00BC268B" w:rsidRDefault="00BC268B" w:rsidP="00B35A84">
            <w:pPr>
              <w:rPr>
                <w:szCs w:val="22"/>
              </w:rPr>
            </w:pPr>
            <w:r w:rsidRPr="00BC268B">
              <w:rPr>
                <w:b/>
                <w:i/>
                <w:szCs w:val="22"/>
              </w:rPr>
              <w:t>Link to Expected Results</w:t>
            </w:r>
          </w:p>
        </w:tc>
      </w:tr>
      <w:tr w:rsidR="00BC268B" w:rsidRPr="00BC268B" w14:paraId="31C1AE4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7AD6026" w14:textId="77777777" w:rsidR="00BC268B" w:rsidRPr="00BC268B" w:rsidRDefault="00BC268B" w:rsidP="00B35A84">
            <w:pPr>
              <w:rPr>
                <w:szCs w:val="22"/>
              </w:rPr>
            </w:pPr>
            <w:r w:rsidRPr="00BC268B">
              <w:rPr>
                <w:szCs w:val="22"/>
              </w:rPr>
              <w:t>Norm</w:t>
            </w:r>
            <w:r w:rsidRPr="00BC268B">
              <w:rPr>
                <w:szCs w:val="22"/>
              </w:rPr>
              <w:noBreakHyphen/>
              <w:t>setting activities shall:</w:t>
            </w:r>
          </w:p>
          <w:p w14:paraId="114E64D4" w14:textId="77777777" w:rsidR="00BC268B" w:rsidRPr="00BC268B" w:rsidRDefault="00BC268B" w:rsidP="00B35A84">
            <w:pPr>
              <w:rPr>
                <w:szCs w:val="22"/>
              </w:rPr>
            </w:pPr>
          </w:p>
          <w:p w14:paraId="077ED663" w14:textId="77777777" w:rsidR="00BC268B" w:rsidRPr="00BC268B" w:rsidRDefault="00BC268B" w:rsidP="00BC268B">
            <w:pPr>
              <w:numPr>
                <w:ilvl w:val="0"/>
                <w:numId w:val="17"/>
              </w:numPr>
              <w:tabs>
                <w:tab w:val="left" w:pos="567"/>
              </w:tabs>
              <w:ind w:left="91" w:hanging="17"/>
              <w:rPr>
                <w:szCs w:val="22"/>
              </w:rPr>
            </w:pPr>
            <w:r w:rsidRPr="00BC268B">
              <w:rPr>
                <w:szCs w:val="22"/>
              </w:rPr>
              <w:t>be inclusive and member driven;</w:t>
            </w:r>
          </w:p>
          <w:p w14:paraId="27F33E60" w14:textId="77777777" w:rsidR="00BC268B" w:rsidRPr="00BC268B" w:rsidRDefault="00BC268B" w:rsidP="003F4DBE">
            <w:pPr>
              <w:tabs>
                <w:tab w:val="left" w:pos="567"/>
              </w:tabs>
              <w:ind w:left="91"/>
              <w:rPr>
                <w:szCs w:val="22"/>
              </w:rPr>
            </w:pPr>
          </w:p>
          <w:p w14:paraId="39ACBB5F" w14:textId="77777777" w:rsidR="00BC268B" w:rsidRPr="00BC268B" w:rsidRDefault="00BC268B" w:rsidP="00BC268B">
            <w:pPr>
              <w:numPr>
                <w:ilvl w:val="0"/>
                <w:numId w:val="17"/>
              </w:numPr>
              <w:tabs>
                <w:tab w:val="left" w:pos="567"/>
              </w:tabs>
              <w:ind w:left="91" w:hanging="17"/>
              <w:rPr>
                <w:szCs w:val="22"/>
              </w:rPr>
            </w:pPr>
            <w:r w:rsidRPr="00BC268B">
              <w:rPr>
                <w:szCs w:val="22"/>
              </w:rPr>
              <w:t>take into account different levels of development;</w:t>
            </w:r>
          </w:p>
          <w:p w14:paraId="329D04D4" w14:textId="77777777" w:rsidR="00BC268B" w:rsidRPr="00BC268B" w:rsidRDefault="00BC268B" w:rsidP="003F4DBE">
            <w:pPr>
              <w:tabs>
                <w:tab w:val="left" w:pos="567"/>
              </w:tabs>
              <w:ind w:left="91"/>
              <w:rPr>
                <w:szCs w:val="22"/>
              </w:rPr>
            </w:pPr>
          </w:p>
          <w:p w14:paraId="4CCF0046" w14:textId="77777777" w:rsidR="00BC268B" w:rsidRPr="00BC268B" w:rsidRDefault="00BC268B" w:rsidP="00BC268B">
            <w:pPr>
              <w:numPr>
                <w:ilvl w:val="0"/>
                <w:numId w:val="17"/>
              </w:numPr>
              <w:tabs>
                <w:tab w:val="left" w:pos="567"/>
              </w:tabs>
              <w:ind w:left="91" w:hanging="17"/>
              <w:rPr>
                <w:szCs w:val="22"/>
              </w:rPr>
            </w:pPr>
            <w:r w:rsidRPr="00BC268B">
              <w:rPr>
                <w:szCs w:val="22"/>
              </w:rPr>
              <w:t>take into consideration a balance between costs and benefits;</w:t>
            </w:r>
          </w:p>
          <w:p w14:paraId="3C4A4D4E" w14:textId="77777777" w:rsidR="00BC268B" w:rsidRPr="00BC268B" w:rsidRDefault="00BC268B" w:rsidP="003F4DBE">
            <w:pPr>
              <w:tabs>
                <w:tab w:val="left" w:pos="567"/>
              </w:tabs>
              <w:ind w:left="91"/>
              <w:rPr>
                <w:szCs w:val="22"/>
              </w:rPr>
            </w:pPr>
          </w:p>
          <w:p w14:paraId="098474F1" w14:textId="77777777" w:rsidR="00BC268B" w:rsidRPr="00BC268B" w:rsidRDefault="00BC268B" w:rsidP="00BC268B">
            <w:pPr>
              <w:numPr>
                <w:ilvl w:val="0"/>
                <w:numId w:val="17"/>
              </w:numPr>
              <w:tabs>
                <w:tab w:val="left" w:pos="567"/>
              </w:tabs>
              <w:ind w:left="91" w:hanging="17"/>
              <w:rPr>
                <w:szCs w:val="22"/>
              </w:rPr>
            </w:pPr>
            <w:r w:rsidRPr="00BC268B">
              <w:rPr>
                <w:szCs w:val="22"/>
              </w:rPr>
              <w:t>be a participatory process, which takes into consideration the interests and priorities of all WIPO Member States and the viewpoints of other stakeholders, including accredited IGOs and NGOs;  and</w:t>
            </w:r>
          </w:p>
          <w:p w14:paraId="3986FF98" w14:textId="77777777" w:rsidR="00BC268B" w:rsidRPr="00BC268B" w:rsidRDefault="00BC268B" w:rsidP="00B35A84">
            <w:pPr>
              <w:rPr>
                <w:szCs w:val="22"/>
              </w:rPr>
            </w:pPr>
          </w:p>
          <w:p w14:paraId="0B082CFC" w14:textId="77777777" w:rsidR="00BC268B" w:rsidRPr="00BC268B" w:rsidRDefault="00BC268B" w:rsidP="003F4DBE">
            <w:pPr>
              <w:rPr>
                <w:szCs w:val="22"/>
              </w:rPr>
            </w:pPr>
            <w:r w:rsidRPr="00BC268B">
              <w:rPr>
                <w:szCs w:val="22"/>
              </w:rPr>
              <w:t>-</w:t>
            </w:r>
            <w:r w:rsidRPr="00BC268B">
              <w:rPr>
                <w:szCs w:val="22"/>
              </w:rPr>
              <w:tab/>
              <w:t>be in line with the principle of neutrality of the WIPO Secretariat.</w:t>
            </w:r>
          </w:p>
          <w:p w14:paraId="53B26CF4" w14:textId="77777777" w:rsidR="00BC268B" w:rsidRPr="00BC268B" w:rsidRDefault="00BC268B" w:rsidP="003F4DBE">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F0AA953" w14:textId="77777777" w:rsidR="00BC268B" w:rsidRPr="00BC268B" w:rsidRDefault="00BC268B" w:rsidP="00DE5DD2">
            <w:pPr>
              <w:rPr>
                <w:szCs w:val="22"/>
              </w:rPr>
            </w:pPr>
            <w:r w:rsidRPr="00BC268B">
              <w:rPr>
                <w:szCs w:val="22"/>
              </w:rPr>
              <w:t>2.1 Development of balanced and effective international normative frameworks for IP.</w:t>
            </w:r>
          </w:p>
          <w:p w14:paraId="570EC971" w14:textId="77777777" w:rsidR="00BC268B" w:rsidRPr="00BC268B" w:rsidRDefault="00BC268B" w:rsidP="00DE5DD2">
            <w:pPr>
              <w:rPr>
                <w:szCs w:val="22"/>
              </w:rPr>
            </w:pPr>
            <w:r w:rsidRPr="00BC268B">
              <w:rPr>
                <w:szCs w:val="22"/>
              </w:rPr>
              <w:t>2.2 WIPO brings the international community together to proactively address emerging issues and policy challenges at the global level relating to IP, innovation and creativity.</w:t>
            </w:r>
          </w:p>
          <w:p w14:paraId="6D52CA4A" w14:textId="77777777" w:rsidR="00BC268B" w:rsidRPr="00BC268B" w:rsidRDefault="00BC268B" w:rsidP="00DE5DD2">
            <w:pPr>
              <w:rPr>
                <w:b/>
                <w:szCs w:val="22"/>
              </w:rPr>
            </w:pPr>
          </w:p>
          <w:p w14:paraId="1C277BB6" w14:textId="77777777" w:rsidR="00BC268B" w:rsidRPr="00BC268B" w:rsidRDefault="00BC268B" w:rsidP="00FB0F0A">
            <w:pPr>
              <w:rPr>
                <w:b/>
                <w:szCs w:val="22"/>
              </w:rPr>
            </w:pPr>
          </w:p>
        </w:tc>
      </w:tr>
      <w:tr w:rsidR="00BC268B" w:rsidRPr="00BC268B" w14:paraId="2A9C160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48170F" w14:textId="77777777" w:rsidR="00BC268B" w:rsidRPr="00BC268B" w:rsidRDefault="00BC268B" w:rsidP="00B35A84">
            <w:pPr>
              <w:rPr>
                <w:szCs w:val="22"/>
              </w:rPr>
            </w:pPr>
            <w:r w:rsidRPr="00BC268B">
              <w:rPr>
                <w:rFonts w:eastAsia="Times New Roman"/>
                <w:b/>
                <w:i/>
                <w:szCs w:val="22"/>
                <w:lang w:eastAsia="en-US"/>
              </w:rPr>
              <w:t>Recommendation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A993E8" w14:textId="77777777" w:rsidR="00BC268B" w:rsidRPr="00BC268B" w:rsidRDefault="00BC268B" w:rsidP="00B35A84">
            <w:pPr>
              <w:rPr>
                <w:szCs w:val="22"/>
              </w:rPr>
            </w:pPr>
            <w:r w:rsidRPr="00BC268B">
              <w:rPr>
                <w:b/>
                <w:i/>
                <w:szCs w:val="22"/>
              </w:rPr>
              <w:t>Link to Expected Results</w:t>
            </w:r>
          </w:p>
        </w:tc>
      </w:tr>
      <w:tr w:rsidR="00BC268B" w:rsidRPr="00BC268B" w14:paraId="1EA55B2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106EAB5" w14:textId="77777777" w:rsidR="00BC268B" w:rsidRPr="00BC268B" w:rsidRDefault="00BC268B" w:rsidP="00B35A84">
            <w:pPr>
              <w:rPr>
                <w:szCs w:val="22"/>
              </w:rPr>
            </w:pPr>
            <w:r w:rsidRPr="00BC268B">
              <w:rPr>
                <w:szCs w:val="22"/>
              </w:rPr>
              <w:t>Consider the preservation of the public domain within WIPO’s normative processes and deepen the analysis of the implications and benefits of a rich and accessible public domain.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166F081" w14:textId="77777777" w:rsidR="00BC268B" w:rsidRPr="00BC268B" w:rsidRDefault="00BC268B" w:rsidP="00DE5DD2">
            <w:pPr>
              <w:rPr>
                <w:szCs w:val="22"/>
              </w:rPr>
            </w:pPr>
            <w:r w:rsidRPr="00BC268B">
              <w:rPr>
                <w:szCs w:val="22"/>
              </w:rPr>
              <w:t>3.1 Wider and more effective use of WIPO’s global IP systems, services, knowledge and data.</w:t>
            </w:r>
          </w:p>
          <w:p w14:paraId="25255B08" w14:textId="77777777" w:rsidR="00BC268B" w:rsidRPr="00BC268B" w:rsidRDefault="00BC268B" w:rsidP="00DE5DD2">
            <w:pPr>
              <w:rPr>
                <w:szCs w:val="22"/>
              </w:rPr>
            </w:pPr>
          </w:p>
          <w:p w14:paraId="27E88790" w14:textId="39B814B3" w:rsidR="00BC268B" w:rsidRPr="00BC268B" w:rsidRDefault="00BC268B" w:rsidP="00374734">
            <w:pPr>
              <w:spacing w:after="240"/>
              <w:rPr>
                <w:szCs w:val="22"/>
              </w:rPr>
            </w:pPr>
            <w:r w:rsidRPr="00BC268B">
              <w:rPr>
                <w:szCs w:val="22"/>
              </w:rPr>
              <w:t>4.2 Development of balanced and effective IP, innovation and creative ecosystems in Member States.</w:t>
            </w:r>
          </w:p>
        </w:tc>
      </w:tr>
      <w:tr w:rsidR="00BC268B" w:rsidRPr="00BC268B" w14:paraId="3DF6C04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A7D292" w14:textId="77777777" w:rsidR="00BC268B" w:rsidRPr="00BC268B" w:rsidRDefault="00BC268B" w:rsidP="00B35A84">
            <w:pPr>
              <w:rPr>
                <w:szCs w:val="22"/>
              </w:rPr>
            </w:pPr>
            <w:r w:rsidRPr="00BC268B">
              <w:rPr>
                <w:rFonts w:eastAsia="Times New Roman"/>
                <w:b/>
                <w:i/>
                <w:szCs w:val="22"/>
                <w:lang w:eastAsia="en-US"/>
              </w:rPr>
              <w:t>Recommendation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46033A" w14:textId="77777777" w:rsidR="00BC268B" w:rsidRPr="00BC268B" w:rsidRDefault="00BC268B" w:rsidP="00B35A84">
            <w:pPr>
              <w:rPr>
                <w:szCs w:val="22"/>
              </w:rPr>
            </w:pPr>
            <w:r w:rsidRPr="00BC268B">
              <w:rPr>
                <w:b/>
                <w:i/>
                <w:szCs w:val="22"/>
              </w:rPr>
              <w:t>Link to Expected Results</w:t>
            </w:r>
          </w:p>
        </w:tc>
      </w:tr>
      <w:tr w:rsidR="00BC268B" w:rsidRPr="00BC268B" w14:paraId="1E5726A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E3A64F1" w14:textId="77777777" w:rsidR="00BC268B" w:rsidRPr="00BC268B" w:rsidRDefault="00BC268B" w:rsidP="00B35A84">
            <w:pPr>
              <w:rPr>
                <w:szCs w:val="22"/>
              </w:rPr>
            </w:pPr>
            <w:r w:rsidRPr="00BC268B">
              <w:rPr>
                <w:szCs w:val="22"/>
              </w:rPr>
              <w:lastRenderedPageBreak/>
              <w:t>In its activities, including norm</w:t>
            </w:r>
            <w:r w:rsidRPr="00BC268B">
              <w:rPr>
                <w:szCs w:val="22"/>
              </w:rPr>
              <w:noBreakHyphen/>
              <w:t>setting, WIPO should take into account the flexibilities in international IP agreements, especially those which are of interest to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13F3788" w14:textId="77777777" w:rsidR="00BC268B" w:rsidRPr="00BC268B" w:rsidRDefault="00BC268B" w:rsidP="00DE5DD2">
            <w:pPr>
              <w:rPr>
                <w:szCs w:val="22"/>
              </w:rPr>
            </w:pPr>
            <w:r w:rsidRPr="00BC268B">
              <w:rPr>
                <w:szCs w:val="22"/>
              </w:rPr>
              <w:t>2.1 Development of balanced and effective international normative frameworks for IP.</w:t>
            </w:r>
          </w:p>
          <w:p w14:paraId="51424F45" w14:textId="77777777" w:rsidR="00BC268B" w:rsidRPr="00BC268B" w:rsidRDefault="00BC268B" w:rsidP="00DE5DD2">
            <w:pPr>
              <w:rPr>
                <w:szCs w:val="22"/>
              </w:rPr>
            </w:pPr>
          </w:p>
          <w:p w14:paraId="77E7F55C" w14:textId="77777777" w:rsidR="00BC268B" w:rsidRPr="00BC268B" w:rsidRDefault="00BC268B" w:rsidP="00285614">
            <w:pPr>
              <w:rPr>
                <w:szCs w:val="22"/>
              </w:rPr>
            </w:pPr>
            <w:r w:rsidRPr="00BC268B">
              <w:rPr>
                <w:szCs w:val="22"/>
              </w:rPr>
              <w:t>4.2 Development of balanced and effective IP, innovation and creative ecosystems in Member States.</w:t>
            </w:r>
          </w:p>
          <w:p w14:paraId="18BCCED3" w14:textId="77777777" w:rsidR="00BC268B" w:rsidRPr="00BC268B" w:rsidRDefault="00BC268B" w:rsidP="00285614">
            <w:pPr>
              <w:rPr>
                <w:szCs w:val="22"/>
              </w:rPr>
            </w:pPr>
          </w:p>
        </w:tc>
      </w:tr>
      <w:tr w:rsidR="00BC268B" w:rsidRPr="00BC268B" w14:paraId="6277883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71CE40" w14:textId="77777777" w:rsidR="00BC268B" w:rsidRPr="00BC268B" w:rsidRDefault="00BC268B" w:rsidP="00B35A84">
            <w:pPr>
              <w:rPr>
                <w:szCs w:val="22"/>
              </w:rPr>
            </w:pPr>
            <w:r w:rsidRPr="00BC268B">
              <w:rPr>
                <w:rFonts w:eastAsia="Times New Roman"/>
                <w:b/>
                <w:i/>
                <w:szCs w:val="22"/>
                <w:lang w:eastAsia="en-US"/>
              </w:rPr>
              <w:t>Recommendation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0225F8" w14:textId="77777777" w:rsidR="00BC268B" w:rsidRPr="00BC268B" w:rsidRDefault="00BC268B" w:rsidP="00B35A84">
            <w:pPr>
              <w:rPr>
                <w:szCs w:val="22"/>
              </w:rPr>
            </w:pPr>
            <w:r w:rsidRPr="00BC268B">
              <w:rPr>
                <w:b/>
                <w:i/>
                <w:szCs w:val="22"/>
              </w:rPr>
              <w:t>Link to Expected Results</w:t>
            </w:r>
          </w:p>
        </w:tc>
      </w:tr>
      <w:tr w:rsidR="00BC268B" w:rsidRPr="00BC268B" w14:paraId="0AC8D50C" w14:textId="77777777" w:rsidTr="003F4DBE">
        <w:trPr>
          <w:trHeight w:val="1058"/>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EB08543" w14:textId="77777777" w:rsidR="00BC268B" w:rsidRPr="00BC268B" w:rsidRDefault="00BC268B" w:rsidP="00B35A84">
            <w:pPr>
              <w:rPr>
                <w:szCs w:val="22"/>
              </w:rPr>
            </w:pPr>
            <w:r w:rsidRPr="00BC268B">
              <w:rPr>
                <w:szCs w:val="22"/>
              </w:rPr>
              <w:t>To urge the IGC to accelerate the process on the protection of genetic resources, traditional knowledge and folklore, without prejudice to any outcome, including the possible development of an international instrument or instruments.</w:t>
            </w:r>
          </w:p>
          <w:p w14:paraId="74F51D6C"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A76C060" w14:textId="77777777" w:rsidR="00BC268B" w:rsidRPr="00BC268B" w:rsidRDefault="00BC268B" w:rsidP="00DE5DD2">
            <w:pPr>
              <w:rPr>
                <w:szCs w:val="22"/>
              </w:rPr>
            </w:pPr>
            <w:r w:rsidRPr="00BC268B">
              <w:rPr>
                <w:szCs w:val="22"/>
              </w:rPr>
              <w:t>2.1 Development of balanced and effective international normative frameworks for IP.</w:t>
            </w:r>
          </w:p>
          <w:p w14:paraId="38BF24BA" w14:textId="77777777" w:rsidR="00BC268B" w:rsidRPr="00BC268B" w:rsidRDefault="00BC268B" w:rsidP="00DE5DD2">
            <w:pPr>
              <w:rPr>
                <w:b/>
                <w:szCs w:val="22"/>
              </w:rPr>
            </w:pPr>
          </w:p>
          <w:p w14:paraId="17F0C52C" w14:textId="77777777" w:rsidR="00BC268B" w:rsidRPr="00BC268B" w:rsidRDefault="00BC268B" w:rsidP="00DE5DD2">
            <w:pPr>
              <w:rPr>
                <w:b/>
                <w:szCs w:val="22"/>
              </w:rPr>
            </w:pPr>
          </w:p>
        </w:tc>
      </w:tr>
      <w:tr w:rsidR="00BC268B" w:rsidRPr="00BC268B" w14:paraId="6F14B5D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A1D957" w14:textId="77777777" w:rsidR="00BC268B" w:rsidRPr="00BC268B" w:rsidRDefault="00BC268B" w:rsidP="00B35A84">
            <w:pPr>
              <w:rPr>
                <w:szCs w:val="22"/>
              </w:rPr>
            </w:pPr>
            <w:r w:rsidRPr="00BC268B">
              <w:rPr>
                <w:rFonts w:eastAsia="Times New Roman"/>
                <w:b/>
                <w:i/>
                <w:szCs w:val="22"/>
                <w:lang w:eastAsia="en-US"/>
              </w:rPr>
              <w:t>Recommendation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1BD059" w14:textId="77777777" w:rsidR="00BC268B" w:rsidRPr="00BC268B" w:rsidRDefault="00BC268B" w:rsidP="00B35A84">
            <w:pPr>
              <w:rPr>
                <w:szCs w:val="22"/>
              </w:rPr>
            </w:pPr>
            <w:r w:rsidRPr="00BC268B">
              <w:rPr>
                <w:b/>
                <w:i/>
                <w:szCs w:val="22"/>
              </w:rPr>
              <w:t>Link to Expected Results</w:t>
            </w:r>
          </w:p>
        </w:tc>
      </w:tr>
      <w:tr w:rsidR="00BC268B" w:rsidRPr="00BC268B" w14:paraId="17C7D04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8907B82" w14:textId="77777777" w:rsidR="00BC268B" w:rsidRPr="00BC268B" w:rsidRDefault="00BC268B" w:rsidP="00B35A84">
            <w:pPr>
              <w:rPr>
                <w:szCs w:val="22"/>
              </w:rPr>
            </w:pPr>
            <w:r w:rsidRPr="00BC268B">
              <w:rPr>
                <w:szCs w:val="22"/>
              </w:rPr>
              <w:t>To initiate discussions on how, within WIPO’s mandate, to further facilitate access to knowledge and technology for developing countries and LDCs to foster creativity and innovation and to strengthen such existing activities within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DED683" w14:textId="77777777" w:rsidR="00BC268B" w:rsidRPr="00BC268B" w:rsidRDefault="00BC268B" w:rsidP="00DE5DD2">
            <w:pPr>
              <w:rPr>
                <w:szCs w:val="22"/>
              </w:rPr>
            </w:pPr>
            <w:r w:rsidRPr="00BC268B">
              <w:rPr>
                <w:szCs w:val="22"/>
              </w:rPr>
              <w:t>1.1 More effective communication and engagement worldwide to raise awareness of and increase knowledge about the potential of IP to improve the lives of everyone, everywhere.</w:t>
            </w:r>
          </w:p>
          <w:p w14:paraId="64D8207A" w14:textId="77777777" w:rsidR="00BC268B" w:rsidRPr="00BC268B" w:rsidRDefault="00BC268B" w:rsidP="00DE5DD2">
            <w:pPr>
              <w:rPr>
                <w:szCs w:val="22"/>
              </w:rPr>
            </w:pPr>
            <w:r w:rsidRPr="00BC268B">
              <w:rPr>
                <w:szCs w:val="22"/>
              </w:rPr>
              <w:t>3.3 Knowledge transfer and technology adaptation is facilitated through WIPO’s IP-based platforms and tools to address global challenges.</w:t>
            </w:r>
          </w:p>
          <w:p w14:paraId="5262CDB3" w14:textId="77777777" w:rsidR="00BC268B" w:rsidRPr="00BC268B" w:rsidRDefault="00BC268B" w:rsidP="00DE5DD2">
            <w:pPr>
              <w:rPr>
                <w:szCs w:val="22"/>
              </w:rPr>
            </w:pPr>
          </w:p>
          <w:p w14:paraId="337A1CA7" w14:textId="77777777" w:rsidR="00BC268B" w:rsidRPr="00BC268B" w:rsidRDefault="00BC268B" w:rsidP="00DE5DD2">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6EA9F73A" w14:textId="77777777" w:rsidR="00BC268B" w:rsidRPr="00BC268B" w:rsidRDefault="00BC268B" w:rsidP="00DE5DD2">
            <w:pPr>
              <w:rPr>
                <w:szCs w:val="22"/>
              </w:rPr>
            </w:pPr>
          </w:p>
          <w:p w14:paraId="097E4DA1" w14:textId="77777777" w:rsidR="00BC268B" w:rsidRPr="00BC268B" w:rsidRDefault="00BC268B" w:rsidP="00B35A84">
            <w:pPr>
              <w:rPr>
                <w:szCs w:val="22"/>
              </w:rPr>
            </w:pPr>
            <w:r w:rsidRPr="00BC268B">
              <w:rPr>
                <w:szCs w:val="22"/>
              </w:rPr>
              <w:t>4.2 Development of balanced and effective IP, innovation and creative ecosystems in Member States.</w:t>
            </w:r>
          </w:p>
          <w:p w14:paraId="4D74E025" w14:textId="77777777" w:rsidR="00BC268B" w:rsidRPr="00BC268B" w:rsidRDefault="00BC268B" w:rsidP="00B35A84">
            <w:pPr>
              <w:rPr>
                <w:szCs w:val="22"/>
              </w:rPr>
            </w:pPr>
          </w:p>
        </w:tc>
      </w:tr>
      <w:tr w:rsidR="00BC268B" w:rsidRPr="00BC268B" w14:paraId="3E5E63D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8EB9D1" w14:textId="77777777" w:rsidR="00BC268B" w:rsidRPr="00BC268B" w:rsidRDefault="00BC268B" w:rsidP="00B35A84">
            <w:pPr>
              <w:rPr>
                <w:szCs w:val="22"/>
              </w:rPr>
            </w:pPr>
            <w:r w:rsidRPr="00BC268B">
              <w:rPr>
                <w:rFonts w:eastAsia="Times New Roman"/>
                <w:b/>
                <w:i/>
                <w:szCs w:val="22"/>
                <w:lang w:eastAsia="en-US"/>
              </w:rPr>
              <w:t>Recommendation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7B6855" w14:textId="77777777" w:rsidR="00BC268B" w:rsidRPr="00BC268B" w:rsidRDefault="00BC268B" w:rsidP="00B35A84">
            <w:pPr>
              <w:rPr>
                <w:szCs w:val="22"/>
              </w:rPr>
            </w:pPr>
            <w:r w:rsidRPr="00BC268B">
              <w:rPr>
                <w:b/>
                <w:i/>
                <w:szCs w:val="22"/>
              </w:rPr>
              <w:t>Link to Expected Results</w:t>
            </w:r>
          </w:p>
        </w:tc>
      </w:tr>
      <w:tr w:rsidR="00BC268B" w:rsidRPr="00BC268B" w14:paraId="771AD2B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62801B9" w14:textId="77777777" w:rsidR="00BC268B" w:rsidRPr="00BC268B" w:rsidRDefault="00BC268B" w:rsidP="00B35A84">
            <w:pPr>
              <w:rPr>
                <w:szCs w:val="22"/>
              </w:rPr>
            </w:pPr>
            <w:r w:rsidRPr="00BC268B">
              <w:rPr>
                <w:szCs w:val="22"/>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D6E3E9" w14:textId="77777777" w:rsidR="00BC268B" w:rsidRPr="00BC268B" w:rsidRDefault="00BC268B" w:rsidP="00DE5DD2">
            <w:pPr>
              <w:rPr>
                <w:szCs w:val="22"/>
              </w:rPr>
            </w:pPr>
            <w:r w:rsidRPr="00BC268B">
              <w:rPr>
                <w:szCs w:val="22"/>
              </w:rPr>
              <w:t xml:space="preserve">3.1 Wider and more effective use of WIPO’s global IP systems, services, knowledge and data. </w:t>
            </w:r>
          </w:p>
          <w:p w14:paraId="59F222FB" w14:textId="77777777" w:rsidR="00BC268B" w:rsidRPr="00BC268B" w:rsidRDefault="00BC268B" w:rsidP="00DE5DD2">
            <w:pPr>
              <w:rPr>
                <w:szCs w:val="22"/>
              </w:rPr>
            </w:pPr>
          </w:p>
          <w:p w14:paraId="3934E002" w14:textId="77777777" w:rsidR="00BC268B" w:rsidRPr="00BC268B" w:rsidRDefault="00BC268B" w:rsidP="00DE5DD2">
            <w:pPr>
              <w:rPr>
                <w:szCs w:val="22"/>
              </w:rPr>
            </w:pPr>
            <w:r w:rsidRPr="00BC268B">
              <w:rPr>
                <w:szCs w:val="22"/>
              </w:rPr>
              <w:t>4.2 Development of balanced and effective IP, innovation and creative ecosystems in Member States.</w:t>
            </w:r>
          </w:p>
          <w:p w14:paraId="3C828AFD" w14:textId="77777777" w:rsidR="00BC268B" w:rsidRPr="00BC268B" w:rsidRDefault="00BC268B" w:rsidP="00DE5DD2">
            <w:pPr>
              <w:rPr>
                <w:szCs w:val="22"/>
              </w:rPr>
            </w:pPr>
          </w:p>
        </w:tc>
      </w:tr>
      <w:tr w:rsidR="00BC268B" w:rsidRPr="00BC268B" w14:paraId="44BA24D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12A945" w14:textId="77777777" w:rsidR="00BC268B" w:rsidRPr="00BC268B" w:rsidRDefault="00BC268B" w:rsidP="00B35A84">
            <w:pPr>
              <w:rPr>
                <w:szCs w:val="22"/>
              </w:rPr>
            </w:pPr>
            <w:r w:rsidRPr="00BC268B">
              <w:rPr>
                <w:rFonts w:eastAsia="Times New Roman"/>
                <w:b/>
                <w:i/>
                <w:szCs w:val="22"/>
                <w:lang w:eastAsia="en-US"/>
              </w:rPr>
              <w:t>Recommendation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F4A064" w14:textId="77777777" w:rsidR="00BC268B" w:rsidRPr="00BC268B" w:rsidRDefault="00BC268B" w:rsidP="00B35A84">
            <w:pPr>
              <w:rPr>
                <w:szCs w:val="22"/>
              </w:rPr>
            </w:pPr>
            <w:r w:rsidRPr="00BC268B">
              <w:rPr>
                <w:b/>
                <w:i/>
                <w:szCs w:val="22"/>
              </w:rPr>
              <w:t>Link to Expected Results</w:t>
            </w:r>
          </w:p>
        </w:tc>
      </w:tr>
      <w:tr w:rsidR="00BC268B" w:rsidRPr="00BC268B" w14:paraId="7D44478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42470E0" w14:textId="77777777" w:rsidR="00BC268B" w:rsidRPr="00BC268B" w:rsidRDefault="00BC268B" w:rsidP="00B35A84">
            <w:pPr>
              <w:rPr>
                <w:szCs w:val="22"/>
              </w:rPr>
            </w:pPr>
            <w:r w:rsidRPr="00BC268B">
              <w:rPr>
                <w:szCs w:val="22"/>
              </w:rPr>
              <w:lastRenderedPageBreak/>
              <w:t>WIPO shall conduct informal, open and balanced consultations, as appropriate, prior to any new norm</w:t>
            </w:r>
            <w:r w:rsidRPr="00BC268B">
              <w:rPr>
                <w:szCs w:val="22"/>
              </w:rPr>
              <w:noBreakHyphen/>
              <w:t>setting activities, through a member</w:t>
            </w:r>
            <w:r w:rsidRPr="00BC268B">
              <w:rPr>
                <w:szCs w:val="22"/>
              </w:rPr>
              <w:noBreakHyphen/>
              <w:t>driven process, promoting the participation of experts from Member States, particularly developing countries and LDCs.</w:t>
            </w:r>
          </w:p>
          <w:p w14:paraId="750B0542"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2D5A48C" w14:textId="77777777" w:rsidR="00BC268B" w:rsidRPr="00BC268B" w:rsidRDefault="00BC268B" w:rsidP="00DE5DD2">
            <w:pPr>
              <w:rPr>
                <w:szCs w:val="22"/>
              </w:rPr>
            </w:pPr>
            <w:r w:rsidRPr="00BC268B">
              <w:rPr>
                <w:szCs w:val="22"/>
              </w:rPr>
              <w:t>2.1 Development of balanced and effective international normative frameworks for IP.</w:t>
            </w:r>
          </w:p>
          <w:p w14:paraId="1916542C" w14:textId="77777777" w:rsidR="00BC268B" w:rsidRPr="00BC268B" w:rsidRDefault="00BC268B" w:rsidP="00DE5DD2">
            <w:pPr>
              <w:rPr>
                <w:szCs w:val="22"/>
              </w:rPr>
            </w:pPr>
          </w:p>
          <w:p w14:paraId="08A7D023" w14:textId="77777777" w:rsidR="00BC268B" w:rsidRPr="00BC268B" w:rsidRDefault="00BC268B" w:rsidP="00B35A84">
            <w:pPr>
              <w:rPr>
                <w:szCs w:val="22"/>
              </w:rPr>
            </w:pPr>
            <w:r w:rsidRPr="00BC268B">
              <w:rPr>
                <w:szCs w:val="22"/>
              </w:rPr>
              <w:t>2.2 WIPO brings the international community together to proactively address emerging issues and policy challenges at the global level relating to IP, innovation and creativity.</w:t>
            </w:r>
          </w:p>
          <w:p w14:paraId="28E89260" w14:textId="77777777" w:rsidR="00BC268B" w:rsidRPr="00BC268B" w:rsidRDefault="00BC268B" w:rsidP="00B35A84">
            <w:pPr>
              <w:rPr>
                <w:szCs w:val="22"/>
              </w:rPr>
            </w:pPr>
          </w:p>
        </w:tc>
      </w:tr>
      <w:tr w:rsidR="00BC268B" w:rsidRPr="00BC268B" w14:paraId="20E0E74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794ABB" w14:textId="77777777" w:rsidR="00BC268B" w:rsidRPr="00BC268B" w:rsidRDefault="00BC268B" w:rsidP="00B35A84">
            <w:pPr>
              <w:rPr>
                <w:szCs w:val="22"/>
              </w:rPr>
            </w:pPr>
            <w:r w:rsidRPr="00BC268B">
              <w:rPr>
                <w:rFonts w:eastAsia="Times New Roman"/>
                <w:b/>
                <w:i/>
                <w:szCs w:val="22"/>
                <w:lang w:eastAsia="en-US"/>
              </w:rPr>
              <w:t>Recommendation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34BA6E" w14:textId="77777777" w:rsidR="00BC268B" w:rsidRPr="00BC268B" w:rsidRDefault="00BC268B" w:rsidP="00B35A84">
            <w:pPr>
              <w:rPr>
                <w:szCs w:val="22"/>
              </w:rPr>
            </w:pPr>
            <w:r w:rsidRPr="00BC268B">
              <w:rPr>
                <w:b/>
                <w:i/>
                <w:szCs w:val="22"/>
              </w:rPr>
              <w:t>Link to Expected Results</w:t>
            </w:r>
          </w:p>
        </w:tc>
      </w:tr>
      <w:tr w:rsidR="00BC268B" w:rsidRPr="00BC268B" w14:paraId="35453CF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15560C" w14:textId="77777777" w:rsidR="00BC268B" w:rsidRPr="00BC268B" w:rsidRDefault="00BC268B" w:rsidP="00B35A84">
            <w:pPr>
              <w:rPr>
                <w:szCs w:val="22"/>
              </w:rPr>
            </w:pPr>
            <w:r w:rsidRPr="00BC268B">
              <w:rPr>
                <w:szCs w:val="22"/>
              </w:rPr>
              <w:t>WIPO’s norm</w:t>
            </w:r>
            <w:r w:rsidRPr="00BC268B">
              <w:rPr>
                <w:szCs w:val="22"/>
              </w:rPr>
              <w:noBreakHyphen/>
              <w:t>setting activities should be supportive of the development goals agreed within the UN system, including those contained in the Millennium Declaration.</w:t>
            </w:r>
          </w:p>
          <w:p w14:paraId="20930099" w14:textId="77777777" w:rsidR="00BC268B" w:rsidRPr="00BC268B" w:rsidRDefault="00BC268B" w:rsidP="00B35A84">
            <w:pPr>
              <w:rPr>
                <w:szCs w:val="22"/>
              </w:rPr>
            </w:pPr>
          </w:p>
          <w:p w14:paraId="428AB956" w14:textId="77777777" w:rsidR="00BC268B" w:rsidRPr="00BC268B" w:rsidRDefault="00BC268B" w:rsidP="00B35A84">
            <w:pPr>
              <w:rPr>
                <w:szCs w:val="22"/>
              </w:rPr>
            </w:pPr>
            <w:r w:rsidRPr="00BC268B">
              <w:rPr>
                <w:szCs w:val="22"/>
              </w:rPr>
              <w:t>The WIPO Secretariat, without prejudice to the outcome of Member States considerations, should address in its working documents for norm-setting activities, as appropriate and as directed by Member States, issues such as:</w:t>
            </w:r>
          </w:p>
          <w:p w14:paraId="5EF4E438" w14:textId="77777777" w:rsidR="00BC268B" w:rsidRPr="00BC268B" w:rsidRDefault="00BC268B" w:rsidP="00B35A84">
            <w:pPr>
              <w:rPr>
                <w:szCs w:val="22"/>
              </w:rPr>
            </w:pPr>
          </w:p>
          <w:p w14:paraId="73E41939" w14:textId="77777777" w:rsidR="00BC268B" w:rsidRPr="00BC268B" w:rsidRDefault="00BC268B" w:rsidP="00B35A84">
            <w:pPr>
              <w:rPr>
                <w:szCs w:val="22"/>
              </w:rPr>
            </w:pPr>
            <w:r w:rsidRPr="00BC268B">
              <w:rPr>
                <w:szCs w:val="22"/>
              </w:rPr>
              <w:t>(a) safeguarding national implementation of intellectual property rules;</w:t>
            </w:r>
            <w:r w:rsidRPr="00BC268B">
              <w:rPr>
                <w:szCs w:val="22"/>
              </w:rPr>
              <w:br/>
              <w:t xml:space="preserve">(b) links between IP and competition; </w:t>
            </w:r>
          </w:p>
          <w:p w14:paraId="10A89A98" w14:textId="77777777" w:rsidR="00BC268B" w:rsidRPr="00BC268B" w:rsidRDefault="00BC268B" w:rsidP="00B35A84">
            <w:pPr>
              <w:rPr>
                <w:szCs w:val="22"/>
              </w:rPr>
            </w:pPr>
            <w:r w:rsidRPr="00BC268B">
              <w:rPr>
                <w:szCs w:val="22"/>
              </w:rPr>
              <w:t>(c) IP</w:t>
            </w:r>
            <w:r w:rsidRPr="00BC268B">
              <w:rPr>
                <w:szCs w:val="22"/>
              </w:rPr>
              <w:noBreakHyphen/>
              <w:t xml:space="preserve">related transfer of technology; </w:t>
            </w:r>
            <w:r w:rsidRPr="00BC268B">
              <w:rPr>
                <w:szCs w:val="22"/>
              </w:rPr>
              <w:br/>
              <w:t xml:space="preserve">(d) potential flexibilities, exceptions and limitations for Member States;  and </w:t>
            </w:r>
            <w:r w:rsidRPr="00BC268B">
              <w:rPr>
                <w:szCs w:val="22"/>
              </w:rPr>
              <w:br/>
              <w:t>(e) the possibility of additional special provisions for developing countries and LDCs.</w:t>
            </w:r>
          </w:p>
          <w:p w14:paraId="2F3F6880"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E98C194" w14:textId="77777777" w:rsidR="00BC268B" w:rsidRPr="00BC268B" w:rsidRDefault="00BC268B" w:rsidP="00DE5DD2">
            <w:pPr>
              <w:rPr>
                <w:szCs w:val="22"/>
              </w:rPr>
            </w:pPr>
            <w:r w:rsidRPr="00BC268B">
              <w:rPr>
                <w:szCs w:val="22"/>
              </w:rPr>
              <w:t>3.1 Wider and more effective use of WIPO’s global IP systems, services, knowledge and data.</w:t>
            </w:r>
          </w:p>
          <w:p w14:paraId="354724C1" w14:textId="77777777" w:rsidR="00BC268B" w:rsidRPr="00BC268B" w:rsidRDefault="00BC268B" w:rsidP="004E69D3">
            <w:pPr>
              <w:rPr>
                <w:szCs w:val="22"/>
              </w:rPr>
            </w:pPr>
          </w:p>
          <w:p w14:paraId="0559DFBA" w14:textId="77777777" w:rsidR="00BC268B" w:rsidRPr="00BC268B" w:rsidRDefault="00BC268B" w:rsidP="00DE5DD2">
            <w:pPr>
              <w:rPr>
                <w:szCs w:val="22"/>
              </w:rPr>
            </w:pPr>
            <w:r w:rsidRPr="00BC268B">
              <w:rPr>
                <w:szCs w:val="22"/>
              </w:rPr>
              <w:t>3.3 Knowledge transfer and technology adaptation is facilitated through WIPO’s IP-based platforms and tools to address global challenges.</w:t>
            </w:r>
          </w:p>
          <w:p w14:paraId="63E88D5A" w14:textId="77777777" w:rsidR="00BC268B" w:rsidRPr="00BC268B" w:rsidRDefault="00BC268B" w:rsidP="004E69D3">
            <w:pPr>
              <w:rPr>
                <w:szCs w:val="22"/>
              </w:rPr>
            </w:pPr>
          </w:p>
          <w:p w14:paraId="6B83AB08" w14:textId="77777777" w:rsidR="00BC268B" w:rsidRPr="00BC268B" w:rsidRDefault="00BC268B" w:rsidP="004E69D3">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tc>
      </w:tr>
      <w:tr w:rsidR="00BC268B" w:rsidRPr="00BC268B" w14:paraId="51F7C6D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13264" w14:textId="77777777" w:rsidR="00BC268B" w:rsidRPr="00BC268B" w:rsidRDefault="00BC268B" w:rsidP="00B35A84">
            <w:pPr>
              <w:rPr>
                <w:szCs w:val="22"/>
              </w:rPr>
            </w:pPr>
            <w:r w:rsidRPr="00BC268B">
              <w:rPr>
                <w:rFonts w:eastAsia="Times New Roman"/>
                <w:b/>
                <w:i/>
                <w:szCs w:val="22"/>
                <w:lang w:eastAsia="en-US"/>
              </w:rPr>
              <w:t>Recommendation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36EB90" w14:textId="77777777" w:rsidR="00BC268B" w:rsidRPr="00BC268B" w:rsidRDefault="00BC268B" w:rsidP="00B35A84">
            <w:pPr>
              <w:rPr>
                <w:szCs w:val="22"/>
              </w:rPr>
            </w:pPr>
            <w:r w:rsidRPr="00BC268B">
              <w:rPr>
                <w:b/>
                <w:i/>
                <w:szCs w:val="22"/>
              </w:rPr>
              <w:t>Link to Expected Results</w:t>
            </w:r>
          </w:p>
        </w:tc>
      </w:tr>
      <w:tr w:rsidR="00BC268B" w:rsidRPr="00BC268B" w14:paraId="3CF40CC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994ADB4" w14:textId="77777777" w:rsidR="00BC268B" w:rsidRPr="00BC268B" w:rsidRDefault="00BC268B" w:rsidP="00B35A84">
            <w:pPr>
              <w:rPr>
                <w:szCs w:val="22"/>
              </w:rPr>
            </w:pPr>
            <w:r w:rsidRPr="00BC268B">
              <w:rPr>
                <w:szCs w:val="22"/>
              </w:rPr>
              <w:t>To consider how to better promote pro</w:t>
            </w:r>
            <w:r w:rsidRPr="00BC268B">
              <w:rPr>
                <w:szCs w:val="22"/>
              </w:rPr>
              <w:noBreakHyphen/>
              <w:t>competitive IP licensing practices, particularly with a view to fostering creativity, innovation and the transfer and dissemination of technology to interested countries, in particular developing countries and LDCs.</w:t>
            </w:r>
          </w:p>
          <w:p w14:paraId="47D8ACAE" w14:textId="77777777" w:rsidR="00BC268B" w:rsidRPr="00BC268B" w:rsidRDefault="00BC268B" w:rsidP="00B35A84">
            <w:pPr>
              <w:rPr>
                <w:szCs w:val="22"/>
              </w:rPr>
            </w:pPr>
          </w:p>
          <w:p w14:paraId="5E656454"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2C6D18A" w14:textId="77777777" w:rsidR="00BC268B" w:rsidRPr="00BC268B" w:rsidRDefault="00BC268B" w:rsidP="00DB5A73">
            <w:pPr>
              <w:rPr>
                <w:szCs w:val="22"/>
              </w:rPr>
            </w:pPr>
            <w:r w:rsidRPr="00BC268B">
              <w:rPr>
                <w:szCs w:val="22"/>
              </w:rPr>
              <w:t>3.3 Knowledge transfer and technology adaptation is facilitated through WIPO’s IP-based platforms and tools to address global challenges.</w:t>
            </w:r>
          </w:p>
          <w:p w14:paraId="506191F8" w14:textId="77777777" w:rsidR="00BC268B" w:rsidRPr="00BC268B" w:rsidRDefault="00BC268B" w:rsidP="00DB5A73">
            <w:pPr>
              <w:rPr>
                <w:szCs w:val="22"/>
              </w:rPr>
            </w:pPr>
          </w:p>
          <w:p w14:paraId="01E0F583" w14:textId="77777777" w:rsidR="00BC268B" w:rsidRDefault="00BC268B" w:rsidP="00C27E2A">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4A29B43B" w14:textId="77777777" w:rsidR="00374734" w:rsidRPr="00BC268B" w:rsidRDefault="00374734" w:rsidP="00C27E2A">
            <w:pPr>
              <w:rPr>
                <w:szCs w:val="22"/>
              </w:rPr>
            </w:pPr>
          </w:p>
        </w:tc>
      </w:tr>
      <w:tr w:rsidR="00BC268B" w:rsidRPr="00BC268B" w14:paraId="1392EF0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9C1EB6" w14:textId="77777777" w:rsidR="00BC268B" w:rsidRPr="00BC268B" w:rsidRDefault="00BC268B" w:rsidP="00B35A84">
            <w:pPr>
              <w:rPr>
                <w:szCs w:val="22"/>
              </w:rPr>
            </w:pPr>
            <w:r w:rsidRPr="00BC268B">
              <w:rPr>
                <w:rFonts w:eastAsia="Times New Roman"/>
                <w:b/>
                <w:i/>
                <w:szCs w:val="22"/>
                <w:lang w:eastAsia="en-US"/>
              </w:rPr>
              <w:lastRenderedPageBreak/>
              <w:t>Recommendation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533130" w14:textId="77777777" w:rsidR="00BC268B" w:rsidRPr="00BC268B" w:rsidRDefault="00BC268B" w:rsidP="00B35A84">
            <w:pPr>
              <w:rPr>
                <w:szCs w:val="22"/>
              </w:rPr>
            </w:pPr>
            <w:r w:rsidRPr="00BC268B">
              <w:rPr>
                <w:b/>
                <w:i/>
                <w:szCs w:val="22"/>
              </w:rPr>
              <w:t>Link to Expected Results</w:t>
            </w:r>
          </w:p>
        </w:tc>
      </w:tr>
      <w:tr w:rsidR="00BC268B" w:rsidRPr="00BC268B" w14:paraId="46D1490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6E9C63A" w14:textId="77777777" w:rsidR="00BC268B" w:rsidRPr="00BC268B" w:rsidRDefault="00BC268B" w:rsidP="00B35A84">
            <w:pPr>
              <w:rPr>
                <w:szCs w:val="22"/>
              </w:rPr>
            </w:pPr>
            <w:r w:rsidRPr="00BC268B">
              <w:rPr>
                <w:szCs w:val="22"/>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1666640" w14:textId="77777777" w:rsidR="00BC268B" w:rsidRPr="00BC268B" w:rsidRDefault="00BC268B" w:rsidP="00DB5A73">
            <w:pPr>
              <w:rPr>
                <w:szCs w:val="22"/>
              </w:rPr>
            </w:pPr>
            <w:r w:rsidRPr="00BC268B">
              <w:rPr>
                <w:szCs w:val="22"/>
              </w:rPr>
              <w:t>3.3 Knowledge transfer and technology adaptation is facilitated through WIPO’s IP-based platforms and tools to address global challenges.</w:t>
            </w:r>
          </w:p>
          <w:p w14:paraId="606D9484" w14:textId="77777777" w:rsidR="00BC268B" w:rsidRPr="00BC268B" w:rsidRDefault="00BC268B" w:rsidP="00DB5A73">
            <w:pPr>
              <w:rPr>
                <w:szCs w:val="22"/>
              </w:rPr>
            </w:pPr>
          </w:p>
          <w:p w14:paraId="66E7820A" w14:textId="77777777" w:rsidR="00BC268B" w:rsidRPr="00BC268B" w:rsidRDefault="00BC268B" w:rsidP="00DB5A73">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5A749DA9" w14:textId="77777777" w:rsidR="00BC268B" w:rsidRPr="00BC268B" w:rsidRDefault="00BC268B" w:rsidP="00DB5A73">
            <w:pPr>
              <w:rPr>
                <w:szCs w:val="22"/>
              </w:rPr>
            </w:pPr>
          </w:p>
        </w:tc>
      </w:tr>
      <w:tr w:rsidR="00BC268B" w:rsidRPr="00BC268B" w14:paraId="69E8CDA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EBED02" w14:textId="77777777" w:rsidR="00BC268B" w:rsidRPr="00BC268B" w:rsidRDefault="00BC268B" w:rsidP="00B35A84">
            <w:pPr>
              <w:rPr>
                <w:szCs w:val="22"/>
              </w:rPr>
            </w:pPr>
            <w:r w:rsidRPr="00BC268B">
              <w:rPr>
                <w:rFonts w:eastAsia="Times New Roman"/>
                <w:b/>
                <w:i/>
                <w:szCs w:val="22"/>
                <w:lang w:eastAsia="en-US"/>
              </w:rPr>
              <w:t>Recommendation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F0408B" w14:textId="77777777" w:rsidR="00BC268B" w:rsidRPr="00BC268B" w:rsidRDefault="00BC268B" w:rsidP="00B35A84">
            <w:pPr>
              <w:rPr>
                <w:szCs w:val="22"/>
              </w:rPr>
            </w:pPr>
            <w:r w:rsidRPr="00BC268B">
              <w:rPr>
                <w:b/>
                <w:i/>
                <w:szCs w:val="22"/>
              </w:rPr>
              <w:t>Link to Expected Results</w:t>
            </w:r>
          </w:p>
        </w:tc>
      </w:tr>
      <w:tr w:rsidR="00BC268B" w:rsidRPr="00BC268B" w14:paraId="327DFAC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26E34D" w14:textId="77777777" w:rsidR="00BC268B" w:rsidRPr="00BC268B" w:rsidRDefault="00BC268B" w:rsidP="00B35A84">
            <w:pPr>
              <w:rPr>
                <w:szCs w:val="22"/>
              </w:rPr>
            </w:pPr>
            <w:r w:rsidRPr="00BC268B">
              <w:rPr>
                <w:szCs w:val="22"/>
              </w:rPr>
              <w:t>To explore IP</w:t>
            </w:r>
            <w:r w:rsidRPr="00BC268B">
              <w:rPr>
                <w:szCs w:val="22"/>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25EAD412"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CD67AE0" w14:textId="77777777" w:rsidR="00BC268B" w:rsidRPr="00BC268B" w:rsidRDefault="00BC268B" w:rsidP="00DB5A73">
            <w:pPr>
              <w:rPr>
                <w:szCs w:val="22"/>
              </w:rPr>
            </w:pPr>
            <w:r w:rsidRPr="00BC268B">
              <w:rPr>
                <w:szCs w:val="22"/>
              </w:rPr>
              <w:t>2.1 Development of balanced and effective international normative frameworks for IP.</w:t>
            </w:r>
          </w:p>
          <w:p w14:paraId="0B34B008" w14:textId="77777777" w:rsidR="00BC268B" w:rsidRPr="00BC268B" w:rsidRDefault="00BC268B" w:rsidP="00DB5A73">
            <w:pPr>
              <w:rPr>
                <w:szCs w:val="22"/>
              </w:rPr>
            </w:pPr>
          </w:p>
          <w:p w14:paraId="7F51CF69" w14:textId="77777777" w:rsidR="00BC268B" w:rsidRPr="00BC268B" w:rsidRDefault="00BC268B" w:rsidP="00DB5A73">
            <w:pPr>
              <w:rPr>
                <w:szCs w:val="22"/>
              </w:rPr>
            </w:pPr>
            <w:r w:rsidRPr="00BC268B">
              <w:rPr>
                <w:szCs w:val="22"/>
              </w:rPr>
              <w:t>3.3 Knowledge transfer and technology adaptation is facilitated through WIPO’s IP-based platforms and tools to address global challenges.</w:t>
            </w:r>
          </w:p>
          <w:p w14:paraId="008EEB4E" w14:textId="77777777" w:rsidR="00BC268B" w:rsidRPr="00BC268B" w:rsidRDefault="00BC268B" w:rsidP="00DB5A73">
            <w:pPr>
              <w:rPr>
                <w:szCs w:val="22"/>
              </w:rPr>
            </w:pPr>
          </w:p>
          <w:p w14:paraId="05E5C211" w14:textId="77777777" w:rsidR="00BC268B" w:rsidRPr="00BC268B" w:rsidRDefault="00BC268B" w:rsidP="00A962AB">
            <w:pPr>
              <w:rPr>
                <w:szCs w:val="22"/>
              </w:rPr>
            </w:pPr>
            <w:r w:rsidRPr="00BC268B">
              <w:rPr>
                <w:szCs w:val="22"/>
              </w:rPr>
              <w:t>4.2 Development of balanced and effective IP, innovation and creative ecosystems in Member States.</w:t>
            </w:r>
          </w:p>
          <w:p w14:paraId="5A52B887" w14:textId="77777777" w:rsidR="00BC268B" w:rsidRPr="00BC268B" w:rsidRDefault="00BC268B" w:rsidP="00A962AB">
            <w:pPr>
              <w:rPr>
                <w:szCs w:val="22"/>
              </w:rPr>
            </w:pPr>
          </w:p>
        </w:tc>
      </w:tr>
      <w:tr w:rsidR="00BC268B" w:rsidRPr="00BC268B" w14:paraId="6806C5B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0A75D1" w14:textId="77777777" w:rsidR="00BC268B" w:rsidRPr="00BC268B" w:rsidRDefault="00BC268B" w:rsidP="00B35A84">
            <w:pPr>
              <w:rPr>
                <w:szCs w:val="22"/>
              </w:rPr>
            </w:pPr>
            <w:r w:rsidRPr="00BC268B">
              <w:rPr>
                <w:rFonts w:eastAsia="Times New Roman"/>
                <w:b/>
                <w:i/>
                <w:szCs w:val="22"/>
                <w:lang w:eastAsia="en-US"/>
              </w:rPr>
              <w:t>Recommendation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569E60" w14:textId="77777777" w:rsidR="00BC268B" w:rsidRPr="00BC268B" w:rsidRDefault="00BC268B" w:rsidP="00B35A84">
            <w:pPr>
              <w:rPr>
                <w:szCs w:val="22"/>
              </w:rPr>
            </w:pPr>
            <w:r w:rsidRPr="00BC268B">
              <w:rPr>
                <w:b/>
                <w:i/>
                <w:szCs w:val="22"/>
              </w:rPr>
              <w:t>Link to Expected Results</w:t>
            </w:r>
          </w:p>
        </w:tc>
      </w:tr>
      <w:tr w:rsidR="00BC268B" w:rsidRPr="00BC268B" w14:paraId="7CF3F2D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DB7BE8" w14:textId="77777777" w:rsidR="00BC268B" w:rsidRPr="00BC268B" w:rsidRDefault="00BC268B" w:rsidP="00B35A84">
            <w:pPr>
              <w:rPr>
                <w:szCs w:val="22"/>
              </w:rPr>
            </w:pPr>
            <w:r w:rsidRPr="00BC268B">
              <w:rPr>
                <w:szCs w:val="22"/>
              </w:rPr>
              <w:t>To encourage Member States, especially developed countries, to urge their research and scientific institutions to enhance cooperation and exchange with research and development institutions in developing countries, especially LDCs.</w:t>
            </w:r>
          </w:p>
          <w:p w14:paraId="0D2D543E"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0583A6" w14:textId="77777777" w:rsidR="00BC268B" w:rsidRPr="00BC268B" w:rsidRDefault="00BC268B" w:rsidP="00DB5A73">
            <w:pPr>
              <w:rPr>
                <w:szCs w:val="22"/>
              </w:rPr>
            </w:pPr>
            <w:r w:rsidRPr="00BC268B">
              <w:rPr>
                <w:szCs w:val="22"/>
              </w:rPr>
              <w:t>2.2 WIPO brings the international community together to proactively address emerging issues and policy challenges at the global level relating to IP, innovation and creativity.</w:t>
            </w:r>
          </w:p>
          <w:p w14:paraId="319848D4" w14:textId="77777777" w:rsidR="00BC268B" w:rsidRPr="00BC268B" w:rsidRDefault="00BC268B" w:rsidP="00DB5A73">
            <w:pPr>
              <w:rPr>
                <w:szCs w:val="22"/>
              </w:rPr>
            </w:pPr>
          </w:p>
          <w:p w14:paraId="3A2EB878" w14:textId="77777777" w:rsidR="00BC268B" w:rsidRPr="00BC268B" w:rsidRDefault="00BC268B" w:rsidP="00BD0AF9">
            <w:pPr>
              <w:rPr>
                <w:szCs w:val="22"/>
              </w:rPr>
            </w:pPr>
            <w:r w:rsidRPr="00BC268B">
              <w:rPr>
                <w:szCs w:val="22"/>
              </w:rPr>
              <w:t>4.2 Development of balanced and effective IP, innovation and creative ecosystems in Member States.</w:t>
            </w:r>
          </w:p>
          <w:p w14:paraId="2D67AA10" w14:textId="77777777" w:rsidR="00BC268B" w:rsidRPr="00BC268B" w:rsidRDefault="00BC268B" w:rsidP="00BD0AF9">
            <w:pPr>
              <w:rPr>
                <w:szCs w:val="22"/>
              </w:rPr>
            </w:pPr>
          </w:p>
        </w:tc>
      </w:tr>
      <w:tr w:rsidR="00BC268B" w:rsidRPr="00BC268B" w14:paraId="0BDAB3B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B70EF3" w14:textId="77777777" w:rsidR="00BC268B" w:rsidRPr="00BC268B" w:rsidRDefault="00BC268B" w:rsidP="00B35A84">
            <w:pPr>
              <w:rPr>
                <w:szCs w:val="22"/>
              </w:rPr>
            </w:pPr>
            <w:r w:rsidRPr="00BC268B">
              <w:rPr>
                <w:rFonts w:eastAsia="Times New Roman"/>
                <w:b/>
                <w:i/>
                <w:szCs w:val="22"/>
                <w:lang w:eastAsia="en-US"/>
              </w:rPr>
              <w:t>Recommendation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C53DA5" w14:textId="77777777" w:rsidR="00BC268B" w:rsidRPr="00BC268B" w:rsidRDefault="00BC268B" w:rsidP="00B35A84">
            <w:pPr>
              <w:rPr>
                <w:szCs w:val="22"/>
              </w:rPr>
            </w:pPr>
            <w:r w:rsidRPr="00BC268B">
              <w:rPr>
                <w:b/>
                <w:i/>
                <w:szCs w:val="22"/>
              </w:rPr>
              <w:t>Link to Expected Results</w:t>
            </w:r>
          </w:p>
        </w:tc>
      </w:tr>
      <w:tr w:rsidR="00BC268B" w:rsidRPr="00BC268B" w14:paraId="68A8567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2D45FA" w14:textId="77777777" w:rsidR="00BC268B" w:rsidRPr="00BC268B" w:rsidRDefault="00BC268B" w:rsidP="00B35A84">
            <w:pPr>
              <w:rPr>
                <w:szCs w:val="22"/>
              </w:rPr>
            </w:pPr>
            <w:r w:rsidRPr="00BC268B">
              <w:rPr>
                <w:szCs w:val="22"/>
              </w:rPr>
              <w:t>Facilitating IP</w:t>
            </w:r>
            <w:r w:rsidRPr="00BC268B">
              <w:rPr>
                <w:szCs w:val="22"/>
              </w:rPr>
              <w:noBreakHyphen/>
              <w:t>related aspects of ICT for growth and development:  Provide for, in an appropriate WIPO body, discussions focused on the importance of IP</w:t>
            </w:r>
            <w:r w:rsidRPr="00BC268B">
              <w:rPr>
                <w:szCs w:val="22"/>
              </w:rPr>
              <w:noBreakHyphen/>
              <w:t xml:space="preserve">related aspects of ICT, and its role in economic and cultural development, with specific attention focused on assisting Member States to identify </w:t>
            </w:r>
            <w:r w:rsidRPr="00BC268B">
              <w:rPr>
                <w:szCs w:val="22"/>
              </w:rPr>
              <w:lastRenderedPageBreak/>
              <w:t>practical IP</w:t>
            </w:r>
            <w:r w:rsidRPr="00BC268B">
              <w:rPr>
                <w:szCs w:val="22"/>
              </w:rPr>
              <w:noBreakHyphen/>
              <w:t>related strategies to use ICT for economic, social and cultural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3E26123" w14:textId="77777777" w:rsidR="00BC268B" w:rsidRPr="00BC268B" w:rsidRDefault="00BC268B" w:rsidP="00A6213B">
            <w:pPr>
              <w:rPr>
                <w:szCs w:val="22"/>
              </w:rPr>
            </w:pPr>
            <w:r w:rsidRPr="00BC268B">
              <w:rPr>
                <w:szCs w:val="22"/>
              </w:rPr>
              <w:lastRenderedPageBreak/>
              <w:t>2.2 WIPO brings the international community together to proactively address emerging issues and policy challenges at the global level relating to IP, innovation and creativity.</w:t>
            </w:r>
          </w:p>
          <w:p w14:paraId="5EB542F8" w14:textId="77777777" w:rsidR="00BC268B" w:rsidRPr="00BC268B" w:rsidRDefault="00BC268B" w:rsidP="00A6213B">
            <w:pPr>
              <w:rPr>
                <w:szCs w:val="22"/>
              </w:rPr>
            </w:pPr>
          </w:p>
          <w:p w14:paraId="6AD71A54" w14:textId="77777777" w:rsidR="00BC268B" w:rsidRPr="00BC268B" w:rsidRDefault="00BC268B" w:rsidP="00A6213B">
            <w:pPr>
              <w:rPr>
                <w:szCs w:val="22"/>
              </w:rPr>
            </w:pPr>
            <w:r w:rsidRPr="00BC268B">
              <w:rPr>
                <w:szCs w:val="22"/>
              </w:rPr>
              <w:t>3.2 Improved productivity and service quality of WIPO’s global IP systems, services, knowledge and data.</w:t>
            </w:r>
          </w:p>
          <w:p w14:paraId="54AB2529" w14:textId="77777777" w:rsidR="00BC268B" w:rsidRPr="00BC268B" w:rsidRDefault="00BC268B" w:rsidP="00A6213B">
            <w:pPr>
              <w:rPr>
                <w:szCs w:val="22"/>
              </w:rPr>
            </w:pPr>
            <w:r w:rsidRPr="00BC268B">
              <w:rPr>
                <w:szCs w:val="22"/>
              </w:rPr>
              <w:lastRenderedPageBreak/>
              <w:t>4.1 Mainstreaming of the DA recommendations in the work of WIPO.</w:t>
            </w:r>
          </w:p>
          <w:p w14:paraId="44BD85FD" w14:textId="77777777" w:rsidR="00BC268B" w:rsidRPr="00BC268B" w:rsidRDefault="00BC268B" w:rsidP="00A6213B">
            <w:pPr>
              <w:rPr>
                <w:szCs w:val="22"/>
              </w:rPr>
            </w:pPr>
          </w:p>
          <w:p w14:paraId="35CA0A8F" w14:textId="77777777" w:rsidR="00BC268B" w:rsidRPr="00BC268B" w:rsidRDefault="00BC268B" w:rsidP="00A6213B">
            <w:pPr>
              <w:rPr>
                <w:szCs w:val="22"/>
              </w:rPr>
            </w:pPr>
            <w:r w:rsidRPr="00BC268B">
              <w:rPr>
                <w:szCs w:val="22"/>
              </w:rPr>
              <w:t>4.5 Enhanced IP infrastructure for IP Offices.</w:t>
            </w:r>
          </w:p>
          <w:p w14:paraId="2303ED03" w14:textId="77777777" w:rsidR="00BC268B" w:rsidRPr="00BC268B" w:rsidRDefault="00BC268B" w:rsidP="00A6213B">
            <w:pPr>
              <w:rPr>
                <w:szCs w:val="22"/>
              </w:rPr>
            </w:pPr>
          </w:p>
        </w:tc>
      </w:tr>
      <w:tr w:rsidR="00BC268B" w:rsidRPr="00BC268B" w14:paraId="74DA9F7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0B07C7" w14:textId="77777777" w:rsidR="00BC268B" w:rsidRPr="00BC268B" w:rsidRDefault="00BC268B" w:rsidP="00B35A84">
            <w:pPr>
              <w:rPr>
                <w:szCs w:val="22"/>
              </w:rPr>
            </w:pPr>
            <w:r w:rsidRPr="00BC268B">
              <w:rPr>
                <w:rFonts w:eastAsia="Times New Roman"/>
                <w:b/>
                <w:i/>
                <w:szCs w:val="22"/>
                <w:lang w:eastAsia="en-US"/>
              </w:rPr>
              <w:lastRenderedPageBreak/>
              <w:t>Recommendation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61544" w14:textId="77777777" w:rsidR="00BC268B" w:rsidRPr="00BC268B" w:rsidRDefault="00BC268B" w:rsidP="00B35A84">
            <w:pPr>
              <w:rPr>
                <w:szCs w:val="22"/>
              </w:rPr>
            </w:pPr>
            <w:r w:rsidRPr="00BC268B">
              <w:rPr>
                <w:b/>
                <w:i/>
                <w:szCs w:val="22"/>
              </w:rPr>
              <w:t>Link to Expected Results</w:t>
            </w:r>
          </w:p>
        </w:tc>
      </w:tr>
      <w:tr w:rsidR="00BC268B" w:rsidRPr="00BC268B" w14:paraId="002B6FD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224F9FE" w14:textId="77777777" w:rsidR="00BC268B" w:rsidRPr="00BC268B" w:rsidRDefault="00BC268B" w:rsidP="00B35A84">
            <w:pPr>
              <w:rPr>
                <w:szCs w:val="22"/>
              </w:rPr>
            </w:pPr>
            <w:r w:rsidRPr="00BC268B">
              <w:rPr>
                <w:szCs w:val="22"/>
              </w:rPr>
              <w:t>To explore supportive IP</w:t>
            </w:r>
            <w:r w:rsidRPr="00BC268B">
              <w:rPr>
                <w:szCs w:val="22"/>
              </w:rPr>
              <w:noBreakHyphen/>
              <w:t>related policies and measures Member States, especially developed countries, could adopt for promoting transfer and dissemination of technology to developing countries.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F9743B0" w14:textId="77777777" w:rsidR="00BC268B" w:rsidRPr="00BC268B" w:rsidRDefault="00BC268B" w:rsidP="00A6213B">
            <w:pPr>
              <w:rPr>
                <w:szCs w:val="22"/>
              </w:rPr>
            </w:pPr>
            <w:r w:rsidRPr="00BC268B">
              <w:rPr>
                <w:szCs w:val="22"/>
              </w:rPr>
              <w:t>2.1 Development of balanced and effective international normative frameworks for IP.</w:t>
            </w:r>
          </w:p>
          <w:p w14:paraId="490C9C8B" w14:textId="77777777" w:rsidR="00BC268B" w:rsidRPr="00BC268B" w:rsidRDefault="00BC268B" w:rsidP="00A6213B">
            <w:pPr>
              <w:rPr>
                <w:szCs w:val="22"/>
              </w:rPr>
            </w:pPr>
          </w:p>
          <w:p w14:paraId="03DE56AB" w14:textId="77777777" w:rsidR="00BC268B" w:rsidRPr="00BC268B" w:rsidRDefault="00BC268B" w:rsidP="00A6213B">
            <w:pPr>
              <w:rPr>
                <w:szCs w:val="22"/>
              </w:rPr>
            </w:pPr>
            <w:r w:rsidRPr="00BC268B">
              <w:rPr>
                <w:szCs w:val="22"/>
              </w:rPr>
              <w:t>3.3 Knowledge transfer and technology adaptation is facilitated through WIPO’s IP-based platforms and tools to address global challenges.</w:t>
            </w:r>
          </w:p>
          <w:p w14:paraId="03AF8D41" w14:textId="77777777" w:rsidR="00BC268B" w:rsidRPr="00BC268B" w:rsidRDefault="00BC268B" w:rsidP="00A6213B">
            <w:pPr>
              <w:rPr>
                <w:szCs w:val="22"/>
              </w:rPr>
            </w:pPr>
          </w:p>
          <w:p w14:paraId="00CAB3C2" w14:textId="77777777" w:rsidR="00BC268B" w:rsidRPr="00BC268B" w:rsidRDefault="00BC268B" w:rsidP="006B3419">
            <w:pPr>
              <w:rPr>
                <w:szCs w:val="22"/>
              </w:rPr>
            </w:pPr>
            <w:r w:rsidRPr="00BC268B">
              <w:rPr>
                <w:szCs w:val="22"/>
              </w:rPr>
              <w:t>4.2 Development of balanced and effective IP, innovation and creative ecosystems in Member States.</w:t>
            </w:r>
          </w:p>
          <w:p w14:paraId="7B5ED557" w14:textId="77777777" w:rsidR="00BC268B" w:rsidRPr="00BC268B" w:rsidRDefault="00BC268B" w:rsidP="006B3419">
            <w:pPr>
              <w:rPr>
                <w:szCs w:val="22"/>
              </w:rPr>
            </w:pPr>
          </w:p>
        </w:tc>
      </w:tr>
      <w:tr w:rsidR="00BC268B" w:rsidRPr="00BC268B" w14:paraId="3269C8C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6DFBBF" w14:textId="77777777" w:rsidR="00BC268B" w:rsidRPr="00BC268B" w:rsidRDefault="00BC268B" w:rsidP="00B35A84">
            <w:pPr>
              <w:rPr>
                <w:szCs w:val="22"/>
              </w:rPr>
            </w:pPr>
            <w:r w:rsidRPr="00BC268B">
              <w:rPr>
                <w:rFonts w:eastAsia="Times New Roman"/>
                <w:b/>
                <w:i/>
                <w:szCs w:val="22"/>
                <w:lang w:eastAsia="en-US"/>
              </w:rPr>
              <w:t>Recommendation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5F9F2A" w14:textId="77777777" w:rsidR="00BC268B" w:rsidRPr="00BC268B" w:rsidRDefault="00BC268B" w:rsidP="00B35A84">
            <w:pPr>
              <w:rPr>
                <w:szCs w:val="22"/>
              </w:rPr>
            </w:pPr>
            <w:r w:rsidRPr="00BC268B">
              <w:rPr>
                <w:b/>
                <w:i/>
                <w:szCs w:val="22"/>
              </w:rPr>
              <w:t>Link to Expected Results</w:t>
            </w:r>
          </w:p>
        </w:tc>
      </w:tr>
      <w:tr w:rsidR="00BC268B" w:rsidRPr="00BC268B" w14:paraId="3D92A22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F484ED0" w14:textId="77777777" w:rsidR="00BC268B" w:rsidRPr="00BC268B" w:rsidRDefault="00BC268B" w:rsidP="00B35A84">
            <w:pPr>
              <w:rPr>
                <w:szCs w:val="22"/>
              </w:rPr>
            </w:pPr>
            <w:r w:rsidRPr="00BC268B">
              <w:rPr>
                <w:szCs w:val="22"/>
              </w:rPr>
              <w:t>To include discussions on IP-related technology transfer issues within the mandate of an appropriate WIPO body.</w:t>
            </w:r>
          </w:p>
          <w:p w14:paraId="34045735"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5925756" w14:textId="77777777" w:rsidR="00BC268B" w:rsidRPr="00BC268B" w:rsidRDefault="00BC268B" w:rsidP="00A6213B">
            <w:pPr>
              <w:rPr>
                <w:szCs w:val="22"/>
              </w:rPr>
            </w:pPr>
            <w:r w:rsidRPr="00BC268B">
              <w:rPr>
                <w:szCs w:val="22"/>
              </w:rPr>
              <w:t>2.2 WIPO brings the international community together to proactively address emerging issues and policy challenges at the global level relating to IP, innovation and creativity.</w:t>
            </w:r>
          </w:p>
          <w:p w14:paraId="7A2D31DD" w14:textId="77777777" w:rsidR="00BC268B" w:rsidRPr="00BC268B" w:rsidRDefault="00BC268B" w:rsidP="00A6213B">
            <w:pPr>
              <w:rPr>
                <w:szCs w:val="22"/>
              </w:rPr>
            </w:pPr>
          </w:p>
          <w:p w14:paraId="32DEF142" w14:textId="77777777" w:rsidR="00BC268B" w:rsidRPr="00BC268B" w:rsidRDefault="00BC268B" w:rsidP="00A6213B">
            <w:pPr>
              <w:rPr>
                <w:szCs w:val="22"/>
              </w:rPr>
            </w:pPr>
            <w:r w:rsidRPr="00BC268B">
              <w:rPr>
                <w:szCs w:val="22"/>
              </w:rPr>
              <w:t>3.3 Knowledge transfer and technology adaptation is facilitated through WIPO’s IP-based platforms and tools to address global challenges.</w:t>
            </w:r>
          </w:p>
          <w:p w14:paraId="2DDA4220" w14:textId="77777777" w:rsidR="00BC268B" w:rsidRPr="00BC268B" w:rsidRDefault="00BC268B" w:rsidP="00A6213B">
            <w:pPr>
              <w:rPr>
                <w:szCs w:val="22"/>
              </w:rPr>
            </w:pPr>
          </w:p>
          <w:p w14:paraId="2927949A" w14:textId="77777777" w:rsidR="00BC268B" w:rsidRPr="00BC268B" w:rsidRDefault="00BC268B" w:rsidP="00A6213B">
            <w:pPr>
              <w:rPr>
                <w:szCs w:val="22"/>
              </w:rPr>
            </w:pPr>
            <w:r w:rsidRPr="00BC268B">
              <w:rPr>
                <w:szCs w:val="22"/>
              </w:rPr>
              <w:t>4.2 Development of balanced and effective IP, innovation and creative ecosystems in Member States.</w:t>
            </w:r>
          </w:p>
          <w:p w14:paraId="6E7C9CA7" w14:textId="77777777" w:rsidR="00BC268B" w:rsidRPr="00BC268B" w:rsidRDefault="00BC268B" w:rsidP="00A6213B">
            <w:pPr>
              <w:rPr>
                <w:szCs w:val="22"/>
              </w:rPr>
            </w:pPr>
          </w:p>
        </w:tc>
      </w:tr>
      <w:tr w:rsidR="00BC268B" w:rsidRPr="00BC268B" w14:paraId="281C14B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63E386" w14:textId="77777777" w:rsidR="00BC268B" w:rsidRPr="00BC268B" w:rsidRDefault="00BC268B" w:rsidP="00B35A84">
            <w:pPr>
              <w:rPr>
                <w:szCs w:val="22"/>
              </w:rPr>
            </w:pPr>
            <w:r w:rsidRPr="00BC268B">
              <w:rPr>
                <w:rFonts w:eastAsia="Times New Roman"/>
                <w:b/>
                <w:i/>
                <w:szCs w:val="22"/>
                <w:lang w:eastAsia="en-US"/>
              </w:rPr>
              <w:t>Recommendation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C6359" w14:textId="77777777" w:rsidR="00BC268B" w:rsidRPr="00BC268B" w:rsidRDefault="00BC268B" w:rsidP="00B35A84">
            <w:pPr>
              <w:rPr>
                <w:szCs w:val="22"/>
              </w:rPr>
            </w:pPr>
            <w:r w:rsidRPr="00BC268B">
              <w:rPr>
                <w:b/>
                <w:i/>
                <w:szCs w:val="22"/>
              </w:rPr>
              <w:t>Link to Expected Results</w:t>
            </w:r>
          </w:p>
        </w:tc>
      </w:tr>
      <w:tr w:rsidR="00BC268B" w:rsidRPr="00BC268B" w14:paraId="1426986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8547478" w14:textId="77777777" w:rsidR="00BC268B" w:rsidRPr="00BC268B" w:rsidRDefault="00BC268B" w:rsidP="00B35A84">
            <w:pPr>
              <w:rPr>
                <w:szCs w:val="22"/>
              </w:rPr>
            </w:pPr>
            <w:r w:rsidRPr="00BC268B">
              <w:rPr>
                <w:szCs w:val="22"/>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B050951" w14:textId="77777777" w:rsidR="00BC268B" w:rsidRPr="00BC268B" w:rsidRDefault="00BC268B" w:rsidP="00A6213B">
            <w:pPr>
              <w:rPr>
                <w:szCs w:val="22"/>
              </w:rPr>
            </w:pPr>
            <w:r w:rsidRPr="00BC268B">
              <w:rPr>
                <w:szCs w:val="22"/>
              </w:rPr>
              <w:t>2.4 Effective interaction and partnerships with the UN, IGOs and NGOs in support of global goals to which IP can contribute.</w:t>
            </w:r>
          </w:p>
          <w:p w14:paraId="4B434D94" w14:textId="77777777" w:rsidR="00BC268B" w:rsidRPr="00BC268B" w:rsidRDefault="00BC268B" w:rsidP="00A6213B">
            <w:pPr>
              <w:rPr>
                <w:szCs w:val="22"/>
              </w:rPr>
            </w:pPr>
          </w:p>
          <w:p w14:paraId="700408D8" w14:textId="77777777" w:rsidR="00BC268B" w:rsidRPr="00BC268B" w:rsidRDefault="00BC268B" w:rsidP="00A6213B">
            <w:pPr>
              <w:rPr>
                <w:szCs w:val="22"/>
              </w:rPr>
            </w:pPr>
            <w:r w:rsidRPr="00BC268B">
              <w:rPr>
                <w:szCs w:val="22"/>
              </w:rPr>
              <w:t>3.1 Wider and more effective use of WIPO’s global IP systems, services, knowledge and data.</w:t>
            </w:r>
          </w:p>
          <w:p w14:paraId="65D43DC1" w14:textId="77777777" w:rsidR="00BC268B" w:rsidRPr="00BC268B" w:rsidRDefault="00BC268B" w:rsidP="00A6213B">
            <w:pPr>
              <w:rPr>
                <w:szCs w:val="22"/>
              </w:rPr>
            </w:pPr>
          </w:p>
          <w:p w14:paraId="1A51F58C" w14:textId="77777777" w:rsidR="00BC268B" w:rsidRPr="00BC268B" w:rsidRDefault="00BC268B" w:rsidP="00A6213B">
            <w:pPr>
              <w:rPr>
                <w:szCs w:val="22"/>
              </w:rPr>
            </w:pPr>
            <w:r w:rsidRPr="00BC268B">
              <w:rPr>
                <w:szCs w:val="22"/>
              </w:rPr>
              <w:lastRenderedPageBreak/>
              <w:t>3.3 Knowledge transfer and technology adaptation is facilitated through WIPO’s IP-based platforms and tools to address global challenges.</w:t>
            </w:r>
          </w:p>
          <w:p w14:paraId="5545CCEE" w14:textId="77777777" w:rsidR="00BC268B" w:rsidRPr="00BC268B" w:rsidRDefault="00BC268B" w:rsidP="00A6213B">
            <w:pPr>
              <w:rPr>
                <w:szCs w:val="22"/>
              </w:rPr>
            </w:pPr>
          </w:p>
          <w:p w14:paraId="71D3B4D4" w14:textId="77777777" w:rsidR="00BC268B" w:rsidRPr="00BC268B" w:rsidRDefault="00BC268B" w:rsidP="00A6213B">
            <w:pPr>
              <w:rPr>
                <w:szCs w:val="22"/>
              </w:rPr>
            </w:pPr>
            <w:r w:rsidRPr="00BC268B">
              <w:rPr>
                <w:szCs w:val="22"/>
              </w:rPr>
              <w:t>4.3 Increased IP knowledge and skills in all Member States.</w:t>
            </w:r>
          </w:p>
          <w:p w14:paraId="61CD1835" w14:textId="77777777" w:rsidR="00BC268B" w:rsidRPr="00BC268B" w:rsidRDefault="00BC268B" w:rsidP="00A6213B">
            <w:pPr>
              <w:rPr>
                <w:szCs w:val="22"/>
              </w:rPr>
            </w:pPr>
          </w:p>
        </w:tc>
      </w:tr>
      <w:tr w:rsidR="00BC268B" w:rsidRPr="00BC268B" w14:paraId="26C984A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B05CAA" w14:textId="77777777" w:rsidR="00BC268B" w:rsidRPr="00BC268B" w:rsidRDefault="00BC268B" w:rsidP="00B35A84">
            <w:pPr>
              <w:rPr>
                <w:szCs w:val="22"/>
              </w:rPr>
            </w:pPr>
            <w:r w:rsidRPr="00BC268B">
              <w:rPr>
                <w:rFonts w:eastAsia="Times New Roman"/>
                <w:b/>
                <w:i/>
                <w:szCs w:val="22"/>
                <w:lang w:eastAsia="en-US"/>
              </w:rPr>
              <w:lastRenderedPageBreak/>
              <w:t>Recommendation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DFABAB" w14:textId="77777777" w:rsidR="00BC268B" w:rsidRPr="00BC268B" w:rsidRDefault="00BC268B" w:rsidP="00B35A84">
            <w:pPr>
              <w:rPr>
                <w:szCs w:val="22"/>
              </w:rPr>
            </w:pPr>
            <w:r w:rsidRPr="00BC268B">
              <w:rPr>
                <w:b/>
                <w:i/>
                <w:szCs w:val="22"/>
              </w:rPr>
              <w:t>Link to Expected Results</w:t>
            </w:r>
          </w:p>
        </w:tc>
      </w:tr>
      <w:tr w:rsidR="00BC268B" w:rsidRPr="00BC268B" w14:paraId="1912440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BF2EA17" w14:textId="77777777" w:rsidR="00BC268B" w:rsidRPr="00BC268B" w:rsidRDefault="00BC268B" w:rsidP="00B35A84">
            <w:pPr>
              <w:rPr>
                <w:szCs w:val="22"/>
              </w:rPr>
            </w:pPr>
            <w:r w:rsidRPr="00BC268B">
              <w:rPr>
                <w:szCs w:val="22"/>
              </w:rPr>
              <w:t>To undertake initiatives agreed by Member States, which contribute to transfer of technology to developing countries, such as requesting WIPO to facilitate better access to publicly available patent information.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10B2BA7" w14:textId="77777777" w:rsidR="00BC268B" w:rsidRPr="00BC268B" w:rsidRDefault="00BC268B" w:rsidP="00A6213B">
            <w:pPr>
              <w:rPr>
                <w:szCs w:val="22"/>
              </w:rPr>
            </w:pPr>
            <w:r w:rsidRPr="00BC268B">
              <w:rPr>
                <w:szCs w:val="22"/>
              </w:rPr>
              <w:t>3.1 Wider and more effective use of WIPO’s global IP systems, services, knowledge and data.</w:t>
            </w:r>
          </w:p>
          <w:p w14:paraId="34968175" w14:textId="77777777" w:rsidR="00BC268B" w:rsidRPr="00BC268B" w:rsidRDefault="00BC268B" w:rsidP="00A6213B">
            <w:pPr>
              <w:rPr>
                <w:szCs w:val="22"/>
              </w:rPr>
            </w:pPr>
          </w:p>
          <w:p w14:paraId="0CF12C8A" w14:textId="77777777" w:rsidR="00BC268B" w:rsidRPr="00BC268B" w:rsidRDefault="00BC268B" w:rsidP="00A6213B">
            <w:pPr>
              <w:rPr>
                <w:szCs w:val="22"/>
              </w:rPr>
            </w:pPr>
            <w:r w:rsidRPr="00BC268B">
              <w:rPr>
                <w:szCs w:val="22"/>
              </w:rPr>
              <w:t>3.3 Knowledge transfer and technology adaptation is facilitated through WIPO’s IP-based platforms and tools to address global challenges.</w:t>
            </w:r>
          </w:p>
          <w:p w14:paraId="1B46651B" w14:textId="77777777" w:rsidR="00BC268B" w:rsidRPr="00BC268B" w:rsidRDefault="00BC268B" w:rsidP="00A6213B">
            <w:pPr>
              <w:rPr>
                <w:szCs w:val="22"/>
              </w:rPr>
            </w:pPr>
          </w:p>
          <w:p w14:paraId="76A16E68" w14:textId="77777777" w:rsidR="00BC268B" w:rsidRPr="00BC268B" w:rsidRDefault="00BC268B" w:rsidP="00931DFC">
            <w:pPr>
              <w:rPr>
                <w:szCs w:val="22"/>
              </w:rPr>
            </w:pPr>
            <w:r w:rsidRPr="00BC268B">
              <w:rPr>
                <w:szCs w:val="22"/>
              </w:rPr>
              <w:t>4.3 Increased IP knowledge and skills in all Member States.</w:t>
            </w:r>
          </w:p>
          <w:p w14:paraId="2A15956D" w14:textId="77777777" w:rsidR="00BC268B" w:rsidRPr="00BC268B" w:rsidRDefault="00BC268B" w:rsidP="00931DFC">
            <w:pPr>
              <w:rPr>
                <w:szCs w:val="22"/>
              </w:rPr>
            </w:pPr>
          </w:p>
        </w:tc>
      </w:tr>
      <w:tr w:rsidR="00BC268B" w:rsidRPr="00BC268B" w14:paraId="0B344C3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C77FD3" w14:textId="77777777" w:rsidR="00BC268B" w:rsidRPr="00BC268B" w:rsidRDefault="00BC268B" w:rsidP="00B35A84">
            <w:pPr>
              <w:rPr>
                <w:szCs w:val="22"/>
              </w:rPr>
            </w:pPr>
            <w:r w:rsidRPr="00BC268B">
              <w:rPr>
                <w:rFonts w:eastAsia="Times New Roman"/>
                <w:b/>
                <w:i/>
                <w:szCs w:val="22"/>
                <w:lang w:eastAsia="en-US"/>
              </w:rPr>
              <w:t>Recommendation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7FBAF6" w14:textId="77777777" w:rsidR="00BC268B" w:rsidRPr="00BC268B" w:rsidRDefault="00BC268B" w:rsidP="00B35A84">
            <w:pPr>
              <w:rPr>
                <w:szCs w:val="22"/>
              </w:rPr>
            </w:pPr>
            <w:r w:rsidRPr="00BC268B">
              <w:rPr>
                <w:b/>
                <w:i/>
                <w:szCs w:val="22"/>
              </w:rPr>
              <w:t>Link to Expected Results</w:t>
            </w:r>
          </w:p>
        </w:tc>
      </w:tr>
      <w:tr w:rsidR="00BC268B" w:rsidRPr="00BC268B" w14:paraId="0D08B19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05C42C0" w14:textId="77777777" w:rsidR="00BC268B" w:rsidRPr="00BC268B" w:rsidRDefault="00BC268B" w:rsidP="00B35A84">
            <w:pPr>
              <w:rPr>
                <w:szCs w:val="22"/>
              </w:rPr>
            </w:pPr>
            <w:r w:rsidRPr="00BC268B">
              <w:rPr>
                <w:szCs w:val="22"/>
              </w:rPr>
              <w:t>To have within WIPO opportunity for exchange of national and regional experiences and information on the links between IP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E79B41E" w14:textId="77777777" w:rsidR="00BC268B" w:rsidRPr="00BC268B" w:rsidRDefault="00BC268B" w:rsidP="00A6213B">
            <w:pPr>
              <w:rPr>
                <w:szCs w:val="22"/>
              </w:rPr>
            </w:pPr>
            <w:r w:rsidRPr="00BC268B">
              <w:rPr>
                <w:szCs w:val="22"/>
              </w:rPr>
              <w:t>2.1 Development of balanced and effective international normative frameworks for IP.</w:t>
            </w:r>
          </w:p>
          <w:p w14:paraId="3DFF99D2" w14:textId="77777777" w:rsidR="00BC268B" w:rsidRPr="00BC268B" w:rsidRDefault="00BC268B" w:rsidP="00A6213B">
            <w:pPr>
              <w:rPr>
                <w:szCs w:val="22"/>
              </w:rPr>
            </w:pPr>
          </w:p>
          <w:p w14:paraId="11BCEC9A" w14:textId="77777777" w:rsidR="00BC268B" w:rsidRPr="00BC268B" w:rsidRDefault="00BC268B" w:rsidP="00A6213B">
            <w:pPr>
              <w:rPr>
                <w:szCs w:val="22"/>
              </w:rPr>
            </w:pPr>
            <w:r w:rsidRPr="00BC268B">
              <w:rPr>
                <w:szCs w:val="22"/>
              </w:rPr>
              <w:t>2.2 WIPO brings the international community together to proactively address emerging issues and policy challenges at the global level relating to IP, innovation and creativity.</w:t>
            </w:r>
          </w:p>
          <w:p w14:paraId="17CD8539" w14:textId="77777777" w:rsidR="00BC268B" w:rsidRPr="00BC268B" w:rsidRDefault="00BC268B" w:rsidP="00A6213B">
            <w:pPr>
              <w:rPr>
                <w:szCs w:val="22"/>
              </w:rPr>
            </w:pPr>
          </w:p>
          <w:p w14:paraId="427C94CD" w14:textId="77777777" w:rsidR="00BC268B" w:rsidRPr="00BC268B" w:rsidRDefault="00BC268B" w:rsidP="00A6213B">
            <w:pPr>
              <w:rPr>
                <w:szCs w:val="22"/>
              </w:rPr>
            </w:pPr>
            <w:r w:rsidRPr="00BC268B">
              <w:rPr>
                <w:szCs w:val="22"/>
              </w:rPr>
              <w:t>2.4 Effective interaction and partnerships with the UN, IGOs and NGOs in support of global goals to which IP can contribute.</w:t>
            </w:r>
          </w:p>
          <w:p w14:paraId="4065660C" w14:textId="77777777" w:rsidR="00BC268B" w:rsidRPr="00BC268B" w:rsidRDefault="00BC268B" w:rsidP="00A6213B">
            <w:pPr>
              <w:rPr>
                <w:szCs w:val="22"/>
              </w:rPr>
            </w:pPr>
          </w:p>
        </w:tc>
      </w:tr>
      <w:tr w:rsidR="00BC268B" w:rsidRPr="00BC268B" w14:paraId="5ABAA18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913EBA" w14:textId="77777777" w:rsidR="00BC268B" w:rsidRPr="00BC268B" w:rsidRDefault="00BC268B" w:rsidP="00B35A84">
            <w:pPr>
              <w:rPr>
                <w:szCs w:val="22"/>
              </w:rPr>
            </w:pPr>
            <w:r w:rsidRPr="00BC268B">
              <w:rPr>
                <w:rFonts w:eastAsia="Times New Roman"/>
                <w:b/>
                <w:i/>
                <w:szCs w:val="22"/>
                <w:lang w:eastAsia="en-US"/>
              </w:rPr>
              <w:t>Recommendation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2035BE" w14:textId="77777777" w:rsidR="00BC268B" w:rsidRPr="00BC268B" w:rsidRDefault="00BC268B" w:rsidP="00B35A84">
            <w:pPr>
              <w:rPr>
                <w:szCs w:val="22"/>
              </w:rPr>
            </w:pPr>
            <w:r w:rsidRPr="00BC268B">
              <w:rPr>
                <w:b/>
                <w:i/>
                <w:szCs w:val="22"/>
              </w:rPr>
              <w:t>Link to Expected Results</w:t>
            </w:r>
          </w:p>
        </w:tc>
      </w:tr>
      <w:tr w:rsidR="00BC268B" w:rsidRPr="00BC268B" w14:paraId="0EC384D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D27F6B" w14:textId="77777777" w:rsidR="00BC268B" w:rsidRPr="00BC268B" w:rsidRDefault="00BC268B" w:rsidP="00B35A84">
            <w:pPr>
              <w:rPr>
                <w:szCs w:val="22"/>
              </w:rPr>
            </w:pPr>
            <w:r w:rsidRPr="00BC268B">
              <w:rPr>
                <w:szCs w:val="22"/>
              </w:rPr>
              <w:t>To request WIPO to develop an effective yearly review and evaluation mechanism for the assessment of all its development</w:t>
            </w:r>
            <w:r w:rsidRPr="00BC268B">
              <w:rPr>
                <w:szCs w:val="22"/>
              </w:rPr>
              <w:noBreakHyphen/>
              <w:t>oriented activities, including those related to technical assistance, establishing for that purpose specific indicators and benchmarks, where appropriate.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A6F167E" w14:textId="77777777" w:rsidR="00BC268B" w:rsidRPr="00BC268B" w:rsidRDefault="00BC268B" w:rsidP="00A6213B">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72BECBD1" w14:textId="77777777" w:rsidR="00BC268B" w:rsidRPr="00BC268B" w:rsidRDefault="00BC268B" w:rsidP="00A6213B">
            <w:pPr>
              <w:rPr>
                <w:szCs w:val="22"/>
              </w:rPr>
            </w:pPr>
          </w:p>
          <w:p w14:paraId="1C9E0E49" w14:textId="77777777" w:rsidR="00BC268B" w:rsidRPr="00BC268B" w:rsidRDefault="00BC268B" w:rsidP="00A6213B">
            <w:pPr>
              <w:rPr>
                <w:szCs w:val="22"/>
              </w:rPr>
            </w:pPr>
            <w:r w:rsidRPr="00BC268B">
              <w:rPr>
                <w:szCs w:val="22"/>
              </w:rPr>
              <w:t>5.3 Sound and prudent financial management and effective corporate governance and oversight.</w:t>
            </w:r>
          </w:p>
          <w:p w14:paraId="7696B5A5" w14:textId="77777777" w:rsidR="00BC268B" w:rsidRPr="00BC268B" w:rsidRDefault="00BC268B" w:rsidP="00A6213B">
            <w:pPr>
              <w:rPr>
                <w:szCs w:val="22"/>
              </w:rPr>
            </w:pPr>
          </w:p>
        </w:tc>
      </w:tr>
      <w:tr w:rsidR="00BC268B" w:rsidRPr="00BC268B" w14:paraId="3D26F5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CADB6D" w14:textId="77777777" w:rsidR="00BC268B" w:rsidRPr="00BC268B" w:rsidRDefault="00BC268B" w:rsidP="00B35A84">
            <w:pPr>
              <w:rPr>
                <w:szCs w:val="22"/>
              </w:rPr>
            </w:pPr>
            <w:r w:rsidRPr="00BC268B">
              <w:rPr>
                <w:rFonts w:eastAsia="Times New Roman"/>
                <w:b/>
                <w:i/>
                <w:szCs w:val="22"/>
                <w:lang w:eastAsia="en-US"/>
              </w:rPr>
              <w:lastRenderedPageBreak/>
              <w:t>Recommendation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50E9D1" w14:textId="77777777" w:rsidR="00BC268B" w:rsidRPr="00BC268B" w:rsidRDefault="00BC268B" w:rsidP="00B35A84">
            <w:pPr>
              <w:rPr>
                <w:szCs w:val="22"/>
              </w:rPr>
            </w:pPr>
            <w:r w:rsidRPr="00BC268B">
              <w:rPr>
                <w:b/>
                <w:i/>
                <w:szCs w:val="22"/>
              </w:rPr>
              <w:t>Link to Expected Results</w:t>
            </w:r>
          </w:p>
        </w:tc>
      </w:tr>
      <w:tr w:rsidR="00BC268B" w:rsidRPr="00BC268B" w14:paraId="368075A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AA0140" w14:textId="77777777" w:rsidR="00BC268B" w:rsidRPr="00BC268B" w:rsidRDefault="00BC268B" w:rsidP="00B35A84">
            <w:pPr>
              <w:rPr>
                <w:szCs w:val="22"/>
              </w:rPr>
            </w:pPr>
            <w:r w:rsidRPr="00BC268B">
              <w:rPr>
                <w:szCs w:val="22"/>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14:paraId="06FEACF9"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33E9330" w14:textId="77777777" w:rsidR="00BC268B" w:rsidRPr="00BC268B" w:rsidRDefault="00BC268B" w:rsidP="00A6213B">
            <w:pPr>
              <w:rPr>
                <w:szCs w:val="22"/>
              </w:rPr>
            </w:pPr>
            <w:r w:rsidRPr="00BC268B">
              <w:rPr>
                <w:szCs w:val="22"/>
              </w:rPr>
              <w:t>3.1 Wider and more effective use of WIPO’s global IP systems, services, knowledge and data.</w:t>
            </w:r>
          </w:p>
          <w:p w14:paraId="42A18442" w14:textId="77777777" w:rsidR="00BC268B" w:rsidRPr="00BC268B" w:rsidRDefault="00BC268B" w:rsidP="00A6213B">
            <w:pPr>
              <w:rPr>
                <w:szCs w:val="22"/>
              </w:rPr>
            </w:pPr>
          </w:p>
          <w:p w14:paraId="495BC080" w14:textId="77777777" w:rsidR="00BC268B" w:rsidRPr="00BC268B" w:rsidRDefault="00BC268B" w:rsidP="00A6213B">
            <w:pPr>
              <w:rPr>
                <w:szCs w:val="22"/>
              </w:rPr>
            </w:pPr>
            <w:r w:rsidRPr="00BC268B">
              <w:rPr>
                <w:szCs w:val="22"/>
              </w:rPr>
              <w:t>4.2 Development of balanced and effective IP, innovation and creative ecosystems in Member States.</w:t>
            </w:r>
          </w:p>
          <w:p w14:paraId="5FF4D740" w14:textId="77777777" w:rsidR="00BC268B" w:rsidRPr="00BC268B" w:rsidRDefault="00BC268B" w:rsidP="00A6213B">
            <w:pPr>
              <w:rPr>
                <w:szCs w:val="22"/>
              </w:rPr>
            </w:pPr>
          </w:p>
          <w:p w14:paraId="4EF2898A" w14:textId="77777777" w:rsidR="00BC268B" w:rsidRPr="00BC268B" w:rsidRDefault="00BC268B" w:rsidP="00A6213B">
            <w:pPr>
              <w:rPr>
                <w:szCs w:val="22"/>
              </w:rPr>
            </w:pPr>
            <w:r w:rsidRPr="00BC268B">
              <w:rPr>
                <w:szCs w:val="22"/>
              </w:rPr>
              <w:t>4.4 More innovators, creators, SMEs, universities, research institutions and communities leverage IP successfully.</w:t>
            </w:r>
          </w:p>
          <w:p w14:paraId="4993646D" w14:textId="77777777" w:rsidR="00BC268B" w:rsidRPr="00BC268B" w:rsidRDefault="00BC268B" w:rsidP="00A6213B">
            <w:pPr>
              <w:rPr>
                <w:szCs w:val="22"/>
              </w:rPr>
            </w:pPr>
          </w:p>
        </w:tc>
      </w:tr>
      <w:tr w:rsidR="00BC268B" w:rsidRPr="00BC268B" w14:paraId="03D5A78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2E4927" w14:textId="77777777" w:rsidR="00BC268B" w:rsidRPr="00BC268B" w:rsidRDefault="00BC268B" w:rsidP="00B35A84">
            <w:pPr>
              <w:rPr>
                <w:szCs w:val="22"/>
              </w:rPr>
            </w:pPr>
            <w:r w:rsidRPr="00BC268B">
              <w:rPr>
                <w:rFonts w:eastAsia="Times New Roman"/>
                <w:b/>
                <w:i/>
                <w:szCs w:val="22"/>
                <w:lang w:eastAsia="en-US"/>
              </w:rPr>
              <w:t>Recommendation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B953ED" w14:textId="77777777" w:rsidR="00BC268B" w:rsidRPr="00BC268B" w:rsidRDefault="00BC268B" w:rsidP="00B35A84">
            <w:pPr>
              <w:rPr>
                <w:szCs w:val="22"/>
              </w:rPr>
            </w:pPr>
            <w:r w:rsidRPr="00BC268B">
              <w:rPr>
                <w:b/>
                <w:i/>
                <w:szCs w:val="22"/>
              </w:rPr>
              <w:t>Link to Expected Results</w:t>
            </w:r>
          </w:p>
        </w:tc>
      </w:tr>
      <w:tr w:rsidR="00BC268B" w:rsidRPr="00BC268B" w14:paraId="103CE34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689C130" w14:textId="77777777" w:rsidR="00BC268B" w:rsidRPr="00BC268B" w:rsidRDefault="00BC268B" w:rsidP="00B35A84">
            <w:pPr>
              <w:rPr>
                <w:szCs w:val="22"/>
              </w:rPr>
            </w:pPr>
            <w:r w:rsidRPr="00BC268B">
              <w:rPr>
                <w:szCs w:val="22"/>
              </w:rPr>
              <w:t>To request WIPO to undertake, upon request of Member States, new studies to assess the economic, social and cultural impact of the use of intellectual property systems in these States.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DC516AB" w14:textId="77777777" w:rsidR="00BC268B" w:rsidRPr="00BC268B" w:rsidRDefault="00BC268B" w:rsidP="00924258">
            <w:pPr>
              <w:rPr>
                <w:szCs w:val="22"/>
              </w:rPr>
            </w:pPr>
            <w:r w:rsidRPr="00BC268B">
              <w:rPr>
                <w:szCs w:val="22"/>
              </w:rPr>
              <w:t>3.1 Wider and more effective use of WIPO’s global IP systems, services, knowledge and data.</w:t>
            </w:r>
          </w:p>
          <w:p w14:paraId="6D037BDB" w14:textId="77777777" w:rsidR="00BC268B" w:rsidRPr="00BC268B" w:rsidRDefault="00BC268B" w:rsidP="00924258">
            <w:pPr>
              <w:rPr>
                <w:szCs w:val="22"/>
              </w:rPr>
            </w:pPr>
          </w:p>
          <w:p w14:paraId="39B36351" w14:textId="77777777" w:rsidR="00BC268B" w:rsidRPr="00BC268B" w:rsidRDefault="00BC268B" w:rsidP="00924258">
            <w:pPr>
              <w:rPr>
                <w:szCs w:val="22"/>
              </w:rPr>
            </w:pPr>
            <w:r w:rsidRPr="00BC268B">
              <w:rPr>
                <w:szCs w:val="22"/>
              </w:rPr>
              <w:t>3.3 Knowledge transfer and technology adaptation is facilitated through WIPO’s IP-based platforms and tools to address global challenges.</w:t>
            </w:r>
          </w:p>
          <w:p w14:paraId="31F5DD7D" w14:textId="77777777" w:rsidR="00BC268B" w:rsidRPr="00BC268B" w:rsidRDefault="00BC268B" w:rsidP="00924258">
            <w:pPr>
              <w:rPr>
                <w:szCs w:val="22"/>
              </w:rPr>
            </w:pPr>
          </w:p>
          <w:p w14:paraId="403ECDB1" w14:textId="77777777" w:rsidR="00BC268B" w:rsidRPr="00BC268B" w:rsidRDefault="00BC268B" w:rsidP="00924258">
            <w:pPr>
              <w:rPr>
                <w:szCs w:val="22"/>
              </w:rPr>
            </w:pPr>
            <w:r w:rsidRPr="00BC268B">
              <w:rPr>
                <w:szCs w:val="22"/>
              </w:rPr>
              <w:t>4.2 Development of balanced and effective IP, innovation and creative ecosystems in Member States.</w:t>
            </w:r>
          </w:p>
          <w:p w14:paraId="4465CB81" w14:textId="77777777" w:rsidR="00BC268B" w:rsidRPr="00BC268B" w:rsidRDefault="00BC268B" w:rsidP="00924258">
            <w:pPr>
              <w:rPr>
                <w:szCs w:val="22"/>
              </w:rPr>
            </w:pPr>
          </w:p>
        </w:tc>
      </w:tr>
      <w:tr w:rsidR="00BC268B" w:rsidRPr="00BC268B" w14:paraId="51FEF3E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E8560B" w14:textId="77777777" w:rsidR="00BC268B" w:rsidRPr="00BC268B" w:rsidRDefault="00BC268B" w:rsidP="00B35A84">
            <w:pPr>
              <w:rPr>
                <w:szCs w:val="22"/>
              </w:rPr>
            </w:pPr>
            <w:r w:rsidRPr="00BC268B">
              <w:rPr>
                <w:rFonts w:eastAsia="Times New Roman"/>
                <w:b/>
                <w:i/>
                <w:szCs w:val="22"/>
                <w:lang w:eastAsia="en-US"/>
              </w:rPr>
              <w:t>Recommendation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399467" w14:textId="77777777" w:rsidR="00BC268B" w:rsidRPr="00BC268B" w:rsidRDefault="00BC268B" w:rsidP="00B35A84">
            <w:pPr>
              <w:rPr>
                <w:szCs w:val="22"/>
              </w:rPr>
            </w:pPr>
            <w:r w:rsidRPr="00BC268B">
              <w:rPr>
                <w:b/>
                <w:i/>
                <w:szCs w:val="22"/>
              </w:rPr>
              <w:t>Link to Expected Results</w:t>
            </w:r>
          </w:p>
        </w:tc>
      </w:tr>
      <w:tr w:rsidR="00BC268B" w:rsidRPr="00BC268B" w14:paraId="62653F7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E0DA5C" w14:textId="77777777" w:rsidR="00BC268B" w:rsidRPr="00BC268B" w:rsidRDefault="00BC268B" w:rsidP="00B35A84">
            <w:pPr>
              <w:rPr>
                <w:szCs w:val="22"/>
              </w:rPr>
            </w:pPr>
            <w:r w:rsidRPr="00BC268B">
              <w:rPr>
                <w:szCs w:val="22"/>
              </w:rPr>
              <w:t>To exchange experiences on open collaborative projects such as the Human Genome Project as well as on IP models.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925E0A7" w14:textId="77777777" w:rsidR="00BC268B" w:rsidRPr="00BC268B" w:rsidRDefault="00BC268B" w:rsidP="00DF7014">
            <w:pPr>
              <w:rPr>
                <w:szCs w:val="22"/>
              </w:rPr>
            </w:pPr>
            <w:r w:rsidRPr="00BC268B">
              <w:rPr>
                <w:szCs w:val="22"/>
              </w:rPr>
              <w:t xml:space="preserve">3.1 Wider and more effective use of WIPO’s global IP systems, services, knowledge and data. </w:t>
            </w:r>
          </w:p>
          <w:p w14:paraId="5D28295A" w14:textId="77777777" w:rsidR="00BC268B" w:rsidRPr="00BC268B" w:rsidRDefault="00BC268B" w:rsidP="00DF7014">
            <w:pPr>
              <w:rPr>
                <w:szCs w:val="22"/>
              </w:rPr>
            </w:pPr>
          </w:p>
          <w:p w14:paraId="68C754DC" w14:textId="77777777" w:rsidR="00BC268B" w:rsidRPr="00BC268B" w:rsidRDefault="00BC268B" w:rsidP="00DF7014">
            <w:pPr>
              <w:rPr>
                <w:szCs w:val="22"/>
              </w:rPr>
            </w:pPr>
            <w:r w:rsidRPr="00BC268B">
              <w:rPr>
                <w:szCs w:val="22"/>
              </w:rPr>
              <w:t>3.3 Knowledge transfer and technology adaptation is facilitated through WIPO’s IP-based platforms and tools to address global challenges.</w:t>
            </w:r>
          </w:p>
          <w:p w14:paraId="420F5CBB" w14:textId="77777777" w:rsidR="00BC268B" w:rsidRPr="00BC268B" w:rsidRDefault="00BC268B" w:rsidP="00DF7014">
            <w:pPr>
              <w:rPr>
                <w:szCs w:val="22"/>
              </w:rPr>
            </w:pPr>
          </w:p>
        </w:tc>
      </w:tr>
      <w:tr w:rsidR="00BC268B" w:rsidRPr="00BC268B" w14:paraId="04A9053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4151CF" w14:textId="77777777" w:rsidR="00BC268B" w:rsidRPr="00BC268B" w:rsidRDefault="00BC268B" w:rsidP="00B35A84">
            <w:pPr>
              <w:rPr>
                <w:szCs w:val="22"/>
              </w:rPr>
            </w:pPr>
            <w:r w:rsidRPr="00BC268B">
              <w:rPr>
                <w:rFonts w:eastAsia="Times New Roman"/>
                <w:b/>
                <w:i/>
                <w:szCs w:val="22"/>
                <w:lang w:eastAsia="en-US"/>
              </w:rPr>
              <w:t>Recommendation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EC6345" w14:textId="77777777" w:rsidR="00BC268B" w:rsidRPr="00BC268B" w:rsidRDefault="00BC268B" w:rsidP="00B35A84">
            <w:pPr>
              <w:rPr>
                <w:szCs w:val="22"/>
              </w:rPr>
            </w:pPr>
            <w:r w:rsidRPr="00BC268B">
              <w:rPr>
                <w:b/>
                <w:i/>
                <w:szCs w:val="22"/>
              </w:rPr>
              <w:t>Link to Expected Results</w:t>
            </w:r>
          </w:p>
        </w:tc>
      </w:tr>
      <w:tr w:rsidR="00BC268B" w:rsidRPr="00BC268B" w14:paraId="49C74C3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339DCD4" w14:textId="77777777" w:rsidR="00BC268B" w:rsidRPr="00BC268B" w:rsidRDefault="00BC268B" w:rsidP="00B35A84">
            <w:pPr>
              <w:rPr>
                <w:szCs w:val="22"/>
              </w:rPr>
            </w:pPr>
            <w:r w:rsidRPr="00BC268B">
              <w:rPr>
                <w:szCs w:val="22"/>
              </w:rPr>
              <w:t>Upon request and as directed by Member States, WIPO may conduct studies on the protection of intellectual property, to identify the possible links and impacts between IP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DD9A6A7" w14:textId="77777777" w:rsidR="00BC268B" w:rsidRPr="00BC268B" w:rsidRDefault="00BC268B" w:rsidP="00DF7014">
            <w:pPr>
              <w:rPr>
                <w:szCs w:val="22"/>
              </w:rPr>
            </w:pPr>
            <w:r w:rsidRPr="00BC268B">
              <w:rPr>
                <w:szCs w:val="22"/>
              </w:rPr>
              <w:t>3.1 Wider and more effective use of WIPO’s global IP systems, services, knowledge and data.</w:t>
            </w:r>
          </w:p>
          <w:p w14:paraId="61DB3540" w14:textId="77777777" w:rsidR="00BC268B" w:rsidRPr="00BC268B" w:rsidRDefault="00BC268B" w:rsidP="00DF7014">
            <w:pPr>
              <w:rPr>
                <w:szCs w:val="22"/>
              </w:rPr>
            </w:pPr>
          </w:p>
          <w:p w14:paraId="3196B743" w14:textId="77777777" w:rsidR="00BC268B" w:rsidRPr="00BC268B" w:rsidRDefault="00BC268B" w:rsidP="00DF7014">
            <w:pPr>
              <w:rPr>
                <w:szCs w:val="22"/>
              </w:rPr>
            </w:pPr>
            <w:r w:rsidRPr="00BC268B">
              <w:rPr>
                <w:szCs w:val="22"/>
              </w:rPr>
              <w:t>3.3 Knowledge transfer and technology adaptation is facilitated through WIPO’s IP-based platforms and tools to address global challenges.</w:t>
            </w:r>
          </w:p>
          <w:p w14:paraId="11C4E664" w14:textId="77777777" w:rsidR="00BC268B" w:rsidRPr="00BC268B" w:rsidRDefault="00BC268B" w:rsidP="00DF7014">
            <w:pPr>
              <w:rPr>
                <w:szCs w:val="22"/>
              </w:rPr>
            </w:pPr>
            <w:r w:rsidRPr="00BC268B">
              <w:rPr>
                <w:szCs w:val="22"/>
              </w:rPr>
              <w:lastRenderedPageBreak/>
              <w:t>4.2 Development of balanced and effective IP, innovation and creative ecosystems in Member States.</w:t>
            </w:r>
          </w:p>
        </w:tc>
      </w:tr>
      <w:tr w:rsidR="00BC268B" w:rsidRPr="00BC268B" w14:paraId="016087A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C2C0AC" w14:textId="77777777" w:rsidR="00BC268B" w:rsidRPr="00BC268B" w:rsidRDefault="00BC268B" w:rsidP="00B35A84">
            <w:pPr>
              <w:rPr>
                <w:szCs w:val="22"/>
              </w:rPr>
            </w:pPr>
            <w:r w:rsidRPr="00BC268B">
              <w:rPr>
                <w:rFonts w:eastAsia="Times New Roman"/>
                <w:b/>
                <w:i/>
                <w:szCs w:val="22"/>
                <w:lang w:eastAsia="en-US"/>
              </w:rPr>
              <w:lastRenderedPageBreak/>
              <w:t>Recommendation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6694A0" w14:textId="77777777" w:rsidR="00BC268B" w:rsidRPr="00BC268B" w:rsidRDefault="00BC268B" w:rsidP="00B35A84">
            <w:pPr>
              <w:rPr>
                <w:szCs w:val="22"/>
              </w:rPr>
            </w:pPr>
            <w:r w:rsidRPr="00BC268B">
              <w:rPr>
                <w:b/>
                <w:i/>
                <w:szCs w:val="22"/>
              </w:rPr>
              <w:t>Link to Expected Results</w:t>
            </w:r>
          </w:p>
        </w:tc>
      </w:tr>
      <w:tr w:rsidR="00BC268B" w:rsidRPr="00BC268B" w14:paraId="1C7AE5D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400C98" w14:textId="77777777" w:rsidR="00BC268B" w:rsidRPr="00BC268B" w:rsidRDefault="00BC268B" w:rsidP="00B35A84">
            <w:pPr>
              <w:rPr>
                <w:szCs w:val="22"/>
              </w:rPr>
            </w:pPr>
            <w:r w:rsidRPr="00BC268B">
              <w:rPr>
                <w:szCs w:val="22"/>
              </w:rPr>
              <w:t>To strengthen WIPO’s capacity to perform objective assessments of the impact of the organization’s activities on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300CA6" w14:textId="77777777" w:rsidR="00BC268B" w:rsidRPr="00BC268B" w:rsidRDefault="00BC268B" w:rsidP="00B35A84">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5961EAD5" w14:textId="77777777" w:rsidR="00BC268B" w:rsidRPr="00BC268B" w:rsidRDefault="00BC268B" w:rsidP="00B35A84">
            <w:pPr>
              <w:rPr>
                <w:szCs w:val="22"/>
              </w:rPr>
            </w:pPr>
          </w:p>
        </w:tc>
      </w:tr>
      <w:tr w:rsidR="00BC268B" w:rsidRPr="00BC268B" w14:paraId="684B02A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D12C1F" w14:textId="77777777" w:rsidR="00BC268B" w:rsidRPr="00BC268B" w:rsidRDefault="00BC268B" w:rsidP="00B35A84">
            <w:pPr>
              <w:rPr>
                <w:szCs w:val="22"/>
              </w:rPr>
            </w:pPr>
            <w:r w:rsidRPr="00BC268B">
              <w:rPr>
                <w:rFonts w:eastAsia="Times New Roman"/>
                <w:b/>
                <w:i/>
                <w:szCs w:val="22"/>
                <w:lang w:eastAsia="en-US"/>
              </w:rPr>
              <w:t>Recommendation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967D20" w14:textId="77777777" w:rsidR="00BC268B" w:rsidRPr="00BC268B" w:rsidRDefault="00BC268B" w:rsidP="00B35A84">
            <w:pPr>
              <w:rPr>
                <w:szCs w:val="22"/>
              </w:rPr>
            </w:pPr>
            <w:r w:rsidRPr="00BC268B">
              <w:rPr>
                <w:b/>
                <w:i/>
                <w:szCs w:val="22"/>
              </w:rPr>
              <w:t>Link to Expected Results</w:t>
            </w:r>
          </w:p>
        </w:tc>
      </w:tr>
      <w:tr w:rsidR="00BC268B" w:rsidRPr="00BC268B" w14:paraId="1388128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B09157" w14:textId="77777777" w:rsidR="00BC268B" w:rsidRPr="00BC268B" w:rsidRDefault="00BC268B" w:rsidP="00B35A84">
            <w:pPr>
              <w:rPr>
                <w:szCs w:val="22"/>
              </w:rPr>
            </w:pPr>
            <w:r w:rsidRPr="00BC268B">
              <w:rPr>
                <w:szCs w:val="22"/>
              </w:rPr>
              <w:t>To request WIPO, within its core competence and mission, to assist developing countries, especially African countries, in cooperation with relevant international organizations, by conducting studies on brain drain and make recommendations accordingly.</w:t>
            </w:r>
          </w:p>
          <w:p w14:paraId="30C46895"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ECFBE2" w14:textId="77777777" w:rsidR="00BC268B" w:rsidRPr="00BC268B" w:rsidRDefault="00BC268B" w:rsidP="00B35A84">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tc>
      </w:tr>
      <w:tr w:rsidR="00BC268B" w:rsidRPr="00BC268B" w14:paraId="76A8C63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3C7207" w14:textId="77777777" w:rsidR="00BC268B" w:rsidRPr="00BC268B" w:rsidRDefault="00BC268B" w:rsidP="00B35A84">
            <w:pPr>
              <w:rPr>
                <w:szCs w:val="22"/>
              </w:rPr>
            </w:pPr>
            <w:r w:rsidRPr="00BC268B">
              <w:rPr>
                <w:rFonts w:eastAsia="Times New Roman"/>
                <w:b/>
                <w:i/>
                <w:szCs w:val="22"/>
                <w:lang w:eastAsia="en-US"/>
              </w:rPr>
              <w:t>Recommendation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EF6955" w14:textId="77777777" w:rsidR="00BC268B" w:rsidRPr="00BC268B" w:rsidRDefault="00BC268B" w:rsidP="00B35A84">
            <w:pPr>
              <w:rPr>
                <w:szCs w:val="22"/>
              </w:rPr>
            </w:pPr>
            <w:r w:rsidRPr="00BC268B">
              <w:rPr>
                <w:b/>
                <w:i/>
                <w:szCs w:val="22"/>
              </w:rPr>
              <w:t>Link to Expected Results</w:t>
            </w:r>
          </w:p>
        </w:tc>
      </w:tr>
      <w:tr w:rsidR="00BC268B" w:rsidRPr="00BC268B" w14:paraId="0F0215A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3C8C169" w14:textId="77777777" w:rsidR="00BC268B" w:rsidRPr="00BC268B" w:rsidRDefault="00BC268B" w:rsidP="00B35A84">
            <w:pPr>
              <w:rPr>
                <w:szCs w:val="22"/>
              </w:rPr>
            </w:pPr>
            <w:r w:rsidRPr="00BC268B">
              <w:rPr>
                <w:szCs w:val="22"/>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14:paraId="07B0B130"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08A4253" w14:textId="77777777" w:rsidR="00BC268B" w:rsidRPr="00BC268B" w:rsidRDefault="00BC268B" w:rsidP="00DA0555">
            <w:pPr>
              <w:rPr>
                <w:szCs w:val="22"/>
              </w:rPr>
            </w:pPr>
            <w:r w:rsidRPr="00BC268B">
              <w:rPr>
                <w:szCs w:val="22"/>
              </w:rPr>
              <w:t>1.1 More effective communication and engagement worldwide to raise awareness of and increase knowledge about the potential of IP to improve the lives of everyone, everywhere.</w:t>
            </w:r>
          </w:p>
          <w:p w14:paraId="1C101A4D" w14:textId="77777777" w:rsidR="00374734" w:rsidRDefault="00374734" w:rsidP="00DA0555">
            <w:pPr>
              <w:rPr>
                <w:szCs w:val="22"/>
              </w:rPr>
            </w:pPr>
          </w:p>
          <w:p w14:paraId="731F335B" w14:textId="2E3756F7" w:rsidR="00BC268B" w:rsidRPr="00BC268B" w:rsidRDefault="00BC268B" w:rsidP="00DA0555">
            <w:pPr>
              <w:rPr>
                <w:szCs w:val="22"/>
              </w:rPr>
            </w:pPr>
            <w:r w:rsidRPr="00BC268B">
              <w:rPr>
                <w:szCs w:val="22"/>
              </w:rPr>
              <w:t>2.4 Effective interaction and partnerships with the UN, IGOs and NGOs in support of global goals to which IP can contribute.</w:t>
            </w:r>
          </w:p>
        </w:tc>
      </w:tr>
      <w:tr w:rsidR="00BC268B" w:rsidRPr="00BC268B" w14:paraId="407B3F2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05A193" w14:textId="77777777" w:rsidR="00BC268B" w:rsidRPr="00BC268B" w:rsidRDefault="00BC268B" w:rsidP="00B35A84">
            <w:pPr>
              <w:rPr>
                <w:szCs w:val="22"/>
              </w:rPr>
            </w:pPr>
            <w:r w:rsidRPr="00BC268B">
              <w:rPr>
                <w:rFonts w:eastAsia="Times New Roman"/>
                <w:b/>
                <w:i/>
                <w:szCs w:val="22"/>
                <w:lang w:eastAsia="en-US"/>
              </w:rPr>
              <w:t>Recommendation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14728D" w14:textId="77777777" w:rsidR="00BC268B" w:rsidRPr="00BC268B" w:rsidRDefault="00BC268B" w:rsidP="00B35A84">
            <w:pPr>
              <w:rPr>
                <w:szCs w:val="22"/>
              </w:rPr>
            </w:pPr>
            <w:r w:rsidRPr="00BC268B">
              <w:rPr>
                <w:b/>
                <w:i/>
                <w:szCs w:val="22"/>
              </w:rPr>
              <w:t>Link to Expected Results</w:t>
            </w:r>
          </w:p>
        </w:tc>
      </w:tr>
      <w:tr w:rsidR="00BC268B" w:rsidRPr="00BC268B" w14:paraId="344918A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3269EC" w14:textId="77777777" w:rsidR="00BC268B" w:rsidRPr="00BC268B" w:rsidRDefault="00BC268B" w:rsidP="00B35A84">
            <w:pPr>
              <w:rPr>
                <w:szCs w:val="22"/>
              </w:rPr>
            </w:pPr>
            <w:r w:rsidRPr="00BC268B">
              <w:rPr>
                <w:szCs w:val="22"/>
              </w:rPr>
              <w:t>To conduct a review of current WIPO technical assistance activities in the area of cooperation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01669C3" w14:textId="77777777" w:rsidR="00BC268B" w:rsidRPr="00BC268B" w:rsidRDefault="00BC268B" w:rsidP="00DF7014">
            <w:pPr>
              <w:rPr>
                <w:szCs w:val="22"/>
              </w:rPr>
            </w:pPr>
            <w:r w:rsidRPr="00BC268B">
              <w:rPr>
                <w:szCs w:val="22"/>
              </w:rPr>
              <w:t>4.1 More effective use of IP to support growth and development of all Member States and their relevant regions and sub-regions, including through the mainstreaming of the Development Agenda recommendations.</w:t>
            </w:r>
          </w:p>
          <w:p w14:paraId="06E42E51" w14:textId="77777777" w:rsidR="00BC268B" w:rsidRPr="00BC268B" w:rsidRDefault="00BC268B" w:rsidP="00DF7014">
            <w:pPr>
              <w:rPr>
                <w:szCs w:val="22"/>
              </w:rPr>
            </w:pPr>
          </w:p>
          <w:p w14:paraId="7AD1900C" w14:textId="77777777" w:rsidR="00BC268B" w:rsidRPr="00BC268B" w:rsidRDefault="00BC268B" w:rsidP="00DF7014">
            <w:pPr>
              <w:rPr>
                <w:szCs w:val="22"/>
              </w:rPr>
            </w:pPr>
            <w:r w:rsidRPr="00BC268B">
              <w:rPr>
                <w:szCs w:val="22"/>
              </w:rPr>
              <w:t>4.2 Development of balanced and effective IP, innovation and creative ecosystems in Member States.</w:t>
            </w:r>
          </w:p>
          <w:p w14:paraId="54900628" w14:textId="77777777" w:rsidR="00BC268B" w:rsidRPr="00BC268B" w:rsidRDefault="00BC268B" w:rsidP="00DF7014">
            <w:pPr>
              <w:rPr>
                <w:szCs w:val="22"/>
              </w:rPr>
            </w:pPr>
          </w:p>
        </w:tc>
      </w:tr>
      <w:tr w:rsidR="00BC268B" w:rsidRPr="00BC268B" w14:paraId="419E050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439CA0" w14:textId="77777777" w:rsidR="00BC268B" w:rsidRPr="00BC268B" w:rsidRDefault="00BC268B" w:rsidP="00B35A84">
            <w:pPr>
              <w:rPr>
                <w:szCs w:val="22"/>
              </w:rPr>
            </w:pPr>
            <w:r w:rsidRPr="00BC268B">
              <w:rPr>
                <w:rFonts w:eastAsia="Times New Roman"/>
                <w:b/>
                <w:i/>
                <w:szCs w:val="22"/>
                <w:lang w:eastAsia="en-US"/>
              </w:rPr>
              <w:t>Recommendation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DC9DCA" w14:textId="77777777" w:rsidR="00BC268B" w:rsidRPr="00BC268B" w:rsidRDefault="00BC268B" w:rsidP="00B35A84">
            <w:pPr>
              <w:rPr>
                <w:szCs w:val="22"/>
              </w:rPr>
            </w:pPr>
            <w:r w:rsidRPr="00BC268B">
              <w:rPr>
                <w:b/>
                <w:i/>
                <w:szCs w:val="22"/>
              </w:rPr>
              <w:t>Link to Expected Results</w:t>
            </w:r>
          </w:p>
        </w:tc>
      </w:tr>
      <w:tr w:rsidR="00BC268B" w:rsidRPr="00BC268B" w14:paraId="265037D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32E129" w14:textId="77777777" w:rsidR="00BC268B" w:rsidRPr="00BC268B" w:rsidRDefault="00BC268B" w:rsidP="00B35A84">
            <w:pPr>
              <w:rPr>
                <w:szCs w:val="22"/>
              </w:rPr>
            </w:pPr>
            <w:r w:rsidRPr="00BC268B">
              <w:rPr>
                <w:szCs w:val="22"/>
              </w:rPr>
              <w:t xml:space="preserve">To enhance measures that ensure wide participation of civil society at large in WIPO activities in accordance with its criteria </w:t>
            </w:r>
            <w:r w:rsidRPr="00BC268B">
              <w:rPr>
                <w:szCs w:val="22"/>
              </w:rPr>
              <w:lastRenderedPageBreak/>
              <w:t>regarding NGO acceptance and accreditation, keeping the issue under review.</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F4CE04" w14:textId="77777777" w:rsidR="00BC268B" w:rsidRPr="00BC268B" w:rsidRDefault="00BC268B" w:rsidP="00DF7014">
            <w:pPr>
              <w:rPr>
                <w:szCs w:val="22"/>
              </w:rPr>
            </w:pPr>
            <w:r w:rsidRPr="00BC268B">
              <w:rPr>
                <w:szCs w:val="22"/>
              </w:rPr>
              <w:lastRenderedPageBreak/>
              <w:t>2.4 Effective interaction and partnerships with the UN, IGOs and NGOs in support of global goals to which IP can contribute.</w:t>
            </w:r>
          </w:p>
          <w:p w14:paraId="72904D69" w14:textId="77777777" w:rsidR="00BC268B" w:rsidRPr="00BC268B" w:rsidRDefault="00BC268B" w:rsidP="00DF7014">
            <w:pPr>
              <w:rPr>
                <w:szCs w:val="22"/>
              </w:rPr>
            </w:pPr>
          </w:p>
          <w:p w14:paraId="24F6ACCF" w14:textId="77777777" w:rsidR="00BC268B" w:rsidRPr="00BC268B" w:rsidRDefault="00BC268B" w:rsidP="00BB152F">
            <w:pPr>
              <w:rPr>
                <w:szCs w:val="22"/>
              </w:rPr>
            </w:pPr>
          </w:p>
        </w:tc>
      </w:tr>
      <w:tr w:rsidR="00BC268B" w:rsidRPr="00BC268B" w14:paraId="5001939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7A5D16" w14:textId="77777777" w:rsidR="00BC268B" w:rsidRPr="00BC268B" w:rsidRDefault="00BC268B" w:rsidP="00B35A84">
            <w:pPr>
              <w:rPr>
                <w:szCs w:val="22"/>
              </w:rPr>
            </w:pPr>
            <w:r w:rsidRPr="00BC268B">
              <w:rPr>
                <w:rFonts w:eastAsia="Times New Roman"/>
                <w:b/>
                <w:i/>
                <w:szCs w:val="22"/>
                <w:lang w:eastAsia="en-US"/>
              </w:rPr>
              <w:lastRenderedPageBreak/>
              <w:t>Recommendation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52011D" w14:textId="77777777" w:rsidR="00BC268B" w:rsidRPr="00BC268B" w:rsidRDefault="00BC268B" w:rsidP="00B35A84">
            <w:pPr>
              <w:rPr>
                <w:szCs w:val="22"/>
              </w:rPr>
            </w:pPr>
            <w:r w:rsidRPr="00BC268B">
              <w:rPr>
                <w:b/>
                <w:i/>
                <w:szCs w:val="22"/>
              </w:rPr>
              <w:t>Link to Expected Results</w:t>
            </w:r>
          </w:p>
        </w:tc>
      </w:tr>
      <w:tr w:rsidR="00BC268B" w:rsidRPr="00BC268B" w14:paraId="3DB6D3A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87204D" w14:textId="77777777" w:rsidR="00BC268B" w:rsidRPr="00BC268B" w:rsidRDefault="00BC268B" w:rsidP="00B35A84">
            <w:pPr>
              <w:rPr>
                <w:szCs w:val="22"/>
              </w:rPr>
            </w:pPr>
            <w:r w:rsidRPr="00BC268B">
              <w:rPr>
                <w:szCs w:val="22"/>
              </w:rPr>
              <w:t>To consider how to improve WIPO’s role in finding partners to fund and execute projects for IP</w:t>
            </w:r>
            <w:r w:rsidRPr="00BC268B">
              <w:rPr>
                <w:szCs w:val="22"/>
              </w:rPr>
              <w:noBreakHyphen/>
              <w:t>related assistance in a transparent and member</w:t>
            </w:r>
            <w:r w:rsidRPr="00BC268B">
              <w:rPr>
                <w:szCs w:val="22"/>
              </w:rPr>
              <w:noBreakHyphen/>
              <w:t>driven process and without prejudice to ongoing WIPO activities.</w:t>
            </w:r>
          </w:p>
          <w:p w14:paraId="45EF2920"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30993D6" w14:textId="77777777" w:rsidR="00BC268B" w:rsidRPr="00BC268B" w:rsidRDefault="00BC268B" w:rsidP="00DF7014">
            <w:pPr>
              <w:rPr>
                <w:szCs w:val="22"/>
              </w:rPr>
            </w:pPr>
            <w:r w:rsidRPr="00BC268B">
              <w:rPr>
                <w:szCs w:val="22"/>
              </w:rPr>
              <w:t>3.3 Knowledge transfer and technology adaptation is facilitated through WIPO’s IP-based platforms and tools to address global challenges.</w:t>
            </w:r>
          </w:p>
          <w:p w14:paraId="217918BD" w14:textId="77777777" w:rsidR="00BC268B" w:rsidRPr="00BC268B" w:rsidRDefault="00BC268B" w:rsidP="00B35A84">
            <w:pPr>
              <w:rPr>
                <w:szCs w:val="22"/>
              </w:rPr>
            </w:pPr>
          </w:p>
        </w:tc>
      </w:tr>
      <w:tr w:rsidR="00BC268B" w:rsidRPr="00BC268B" w14:paraId="1B2230E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E22846" w14:textId="77777777" w:rsidR="00BC268B" w:rsidRPr="00BC268B" w:rsidRDefault="00BC268B" w:rsidP="00B35A84">
            <w:pPr>
              <w:rPr>
                <w:szCs w:val="22"/>
              </w:rPr>
            </w:pPr>
            <w:r w:rsidRPr="00BC268B">
              <w:rPr>
                <w:rFonts w:eastAsia="Times New Roman"/>
                <w:b/>
                <w:i/>
                <w:szCs w:val="22"/>
                <w:lang w:eastAsia="en-US"/>
              </w:rPr>
              <w:t>Recommendation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2FDC45" w14:textId="77777777" w:rsidR="00BC268B" w:rsidRPr="00BC268B" w:rsidRDefault="00BC268B" w:rsidP="00B35A84">
            <w:pPr>
              <w:rPr>
                <w:szCs w:val="22"/>
              </w:rPr>
            </w:pPr>
            <w:r w:rsidRPr="00BC268B">
              <w:rPr>
                <w:b/>
                <w:i/>
                <w:szCs w:val="22"/>
              </w:rPr>
              <w:t>Link to Expected Results</w:t>
            </w:r>
          </w:p>
        </w:tc>
      </w:tr>
      <w:tr w:rsidR="00BC268B" w:rsidRPr="00BC268B" w14:paraId="5B0F35B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9BB3F6D" w14:textId="77777777" w:rsidR="00BC268B" w:rsidRPr="00BC268B" w:rsidRDefault="00BC268B" w:rsidP="00B35A84">
            <w:pPr>
              <w:rPr>
                <w:szCs w:val="22"/>
              </w:rPr>
            </w:pPr>
            <w:r w:rsidRPr="00BC268B">
              <w:rPr>
                <w:szCs w:val="22"/>
              </w:rPr>
              <w:t>In accordance with WIPO’s member</w:t>
            </w:r>
            <w:r w:rsidRPr="00BC268B">
              <w:rPr>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14:paraId="6F7CF7D6"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3CB246" w14:textId="77777777" w:rsidR="00BC268B" w:rsidRPr="00BC268B" w:rsidRDefault="00BC268B" w:rsidP="00DF7014">
            <w:pPr>
              <w:rPr>
                <w:szCs w:val="22"/>
              </w:rPr>
            </w:pPr>
            <w:r w:rsidRPr="00BC268B">
              <w:rPr>
                <w:szCs w:val="22"/>
              </w:rPr>
              <w:t>2.1 Development of balanced and effective international normative frameworks for IP.</w:t>
            </w:r>
          </w:p>
          <w:p w14:paraId="3B8FDFB4" w14:textId="77777777" w:rsidR="00BC268B" w:rsidRPr="00BC268B" w:rsidRDefault="00BC268B" w:rsidP="00DF7014">
            <w:pPr>
              <w:rPr>
                <w:szCs w:val="22"/>
              </w:rPr>
            </w:pPr>
          </w:p>
          <w:p w14:paraId="1985BFAE" w14:textId="77777777" w:rsidR="00BC268B" w:rsidRPr="00BC268B" w:rsidRDefault="00BC268B" w:rsidP="00DF7014">
            <w:pPr>
              <w:rPr>
                <w:szCs w:val="22"/>
              </w:rPr>
            </w:pPr>
            <w:r w:rsidRPr="00BC268B">
              <w:rPr>
                <w:szCs w:val="22"/>
              </w:rPr>
              <w:t>2.2 WIPO brings the international community together to proactively address emerging issues and policy challenges at the global level relating to IP, innovation and creativity.</w:t>
            </w:r>
          </w:p>
          <w:p w14:paraId="3B172E08" w14:textId="77777777" w:rsidR="00BC268B" w:rsidRPr="00BC268B" w:rsidRDefault="00BC268B" w:rsidP="00DF7014">
            <w:pPr>
              <w:rPr>
                <w:szCs w:val="22"/>
              </w:rPr>
            </w:pPr>
          </w:p>
          <w:p w14:paraId="034DCF1D" w14:textId="77777777" w:rsidR="00BC268B" w:rsidRPr="00BC268B" w:rsidRDefault="00BC268B" w:rsidP="00FB5272">
            <w:pPr>
              <w:rPr>
                <w:szCs w:val="22"/>
              </w:rPr>
            </w:pPr>
          </w:p>
        </w:tc>
      </w:tr>
    </w:tbl>
    <w:p w14:paraId="718CB7CC" w14:textId="77777777" w:rsidR="00BC268B" w:rsidRPr="00BC268B" w:rsidRDefault="00BC268B" w:rsidP="00B35A84">
      <w:pPr>
        <w:rPr>
          <w:rFonts w:eastAsia="Times New Roman"/>
          <w:b/>
          <w:i/>
          <w:szCs w:val="22"/>
          <w:lang w:eastAsia="en-US"/>
        </w:rPr>
        <w:sectPr w:rsidR="00BC268B" w:rsidRPr="00BC268B" w:rsidSect="00BC268B">
          <w:headerReference w:type="default" r:id="rId19"/>
          <w:headerReference w:type="first" r:id="rId20"/>
          <w:endnotePr>
            <w:numFmt w:val="decimal"/>
          </w:endnotePr>
          <w:pgSz w:w="16840" w:h="11907" w:orient="landscape" w:code="9"/>
          <w:pgMar w:top="1418" w:right="2381"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BC268B" w:rsidRPr="00BC268B" w14:paraId="4C899FD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7409CA" w14:textId="77777777" w:rsidR="00BC268B" w:rsidRPr="00BC268B" w:rsidRDefault="00BC268B" w:rsidP="00B35A84">
            <w:pPr>
              <w:rPr>
                <w:szCs w:val="22"/>
              </w:rPr>
            </w:pPr>
            <w:r w:rsidRPr="00BC268B">
              <w:rPr>
                <w:rFonts w:eastAsia="Times New Roman"/>
                <w:b/>
                <w:i/>
                <w:szCs w:val="22"/>
                <w:lang w:eastAsia="en-US"/>
              </w:rPr>
              <w:lastRenderedPageBreak/>
              <w:t>Recommendation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A86DD1" w14:textId="77777777" w:rsidR="00BC268B" w:rsidRPr="00BC268B" w:rsidRDefault="00BC268B" w:rsidP="00B35A84">
            <w:pPr>
              <w:rPr>
                <w:szCs w:val="22"/>
              </w:rPr>
            </w:pPr>
            <w:r w:rsidRPr="00BC268B">
              <w:rPr>
                <w:b/>
                <w:i/>
                <w:szCs w:val="22"/>
              </w:rPr>
              <w:t>Link to Expected Results</w:t>
            </w:r>
          </w:p>
        </w:tc>
      </w:tr>
      <w:tr w:rsidR="00BC268B" w:rsidRPr="00BC268B" w14:paraId="612C646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6C544A2" w14:textId="77777777" w:rsidR="00BC268B" w:rsidRPr="00BC268B" w:rsidRDefault="00BC268B" w:rsidP="00B35A84">
            <w:pPr>
              <w:rPr>
                <w:szCs w:val="22"/>
              </w:rPr>
            </w:pPr>
            <w:r w:rsidRPr="00BC268B">
              <w:rPr>
                <w:szCs w:val="22"/>
              </w:rPr>
              <w:t>To approach intellectual property enforcement in the context of broader societal interests and especially development</w:t>
            </w:r>
            <w:r w:rsidRPr="00BC268B">
              <w:rPr>
                <w:szCs w:val="22"/>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14:paraId="68E6D2AA" w14:textId="77777777" w:rsidR="00BC268B" w:rsidRPr="00BC268B" w:rsidRDefault="00BC268B"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A2CBF76" w14:textId="77777777" w:rsidR="00BC268B" w:rsidRPr="00BC268B" w:rsidRDefault="00BC268B" w:rsidP="00FB5272">
            <w:pPr>
              <w:rPr>
                <w:szCs w:val="22"/>
              </w:rPr>
            </w:pPr>
            <w:r w:rsidRPr="00BC268B">
              <w:rPr>
                <w:szCs w:val="22"/>
              </w:rPr>
              <w:t>2.3 International dialogue and cooperation on Building Respect for IP.</w:t>
            </w:r>
          </w:p>
          <w:p w14:paraId="21BA0DCD" w14:textId="77777777" w:rsidR="00BC268B" w:rsidRPr="00BC268B" w:rsidRDefault="00BC268B" w:rsidP="00FB5272">
            <w:pPr>
              <w:rPr>
                <w:szCs w:val="22"/>
              </w:rPr>
            </w:pPr>
          </w:p>
          <w:p w14:paraId="79B035BB" w14:textId="77777777" w:rsidR="00BC268B" w:rsidRPr="00BC268B" w:rsidRDefault="00BC268B" w:rsidP="00DF7014">
            <w:pPr>
              <w:rPr>
                <w:szCs w:val="22"/>
              </w:rPr>
            </w:pPr>
            <w:r w:rsidRPr="00BC268B">
              <w:rPr>
                <w:szCs w:val="22"/>
              </w:rPr>
              <w:t>4.2 Development of balanced and effective IP, innovation and creative ecosystems in Member States.</w:t>
            </w:r>
          </w:p>
          <w:p w14:paraId="780A32FA" w14:textId="77777777" w:rsidR="00BC268B" w:rsidRPr="00BC268B" w:rsidRDefault="00BC268B" w:rsidP="00DF7014">
            <w:pPr>
              <w:rPr>
                <w:szCs w:val="22"/>
              </w:rPr>
            </w:pPr>
          </w:p>
          <w:p w14:paraId="3A529E53" w14:textId="77777777" w:rsidR="00BC268B" w:rsidRPr="00BC268B" w:rsidRDefault="00BC268B" w:rsidP="00DF7014">
            <w:pPr>
              <w:rPr>
                <w:szCs w:val="22"/>
              </w:rPr>
            </w:pPr>
            <w:r w:rsidRPr="00BC268B">
              <w:rPr>
                <w:szCs w:val="22"/>
              </w:rPr>
              <w:t>4.3 Increased IP knowledge and skills in all Member States.</w:t>
            </w:r>
          </w:p>
          <w:p w14:paraId="0E90B996" w14:textId="77777777" w:rsidR="00BC268B" w:rsidRPr="00BC268B" w:rsidRDefault="00BC268B" w:rsidP="00B35A84">
            <w:pPr>
              <w:rPr>
                <w:szCs w:val="22"/>
              </w:rPr>
            </w:pPr>
          </w:p>
        </w:tc>
      </w:tr>
    </w:tbl>
    <w:bookmarkEnd w:id="35"/>
    <w:p w14:paraId="7F14334E" w14:textId="77777777" w:rsidR="00BC268B" w:rsidRPr="00BC268B" w:rsidRDefault="00BC268B" w:rsidP="00C303C2">
      <w:pPr>
        <w:pStyle w:val="Endofdocument-Annex"/>
        <w:tabs>
          <w:tab w:val="left" w:pos="8370"/>
        </w:tabs>
        <w:spacing w:before="720"/>
        <w:rPr>
          <w:szCs w:val="22"/>
        </w:rPr>
      </w:pPr>
      <w:r w:rsidRPr="00BC268B">
        <w:rPr>
          <w:szCs w:val="22"/>
        </w:rPr>
        <w:tab/>
        <w:t>[Annex II follows]</w:t>
      </w:r>
    </w:p>
    <w:p w14:paraId="45013584" w14:textId="77777777" w:rsidR="00BC268B" w:rsidRPr="00BC268B" w:rsidRDefault="00BC268B" w:rsidP="00137472">
      <w:pPr>
        <w:ind w:left="5533"/>
        <w:rPr>
          <w:i/>
          <w:szCs w:val="22"/>
        </w:rPr>
      </w:pPr>
    </w:p>
    <w:p w14:paraId="5A6EDE4C" w14:textId="77777777" w:rsidR="00BC268B" w:rsidRPr="00BC268B" w:rsidRDefault="00BC268B" w:rsidP="00137472">
      <w:pPr>
        <w:ind w:left="5533"/>
        <w:rPr>
          <w:i/>
          <w:szCs w:val="22"/>
        </w:rPr>
      </w:pPr>
      <w:r w:rsidRPr="00BC268B">
        <w:rPr>
          <w:i/>
          <w:szCs w:val="22"/>
        </w:rPr>
        <w:br w:type="page"/>
      </w:r>
    </w:p>
    <w:p w14:paraId="6A52DF2D" w14:textId="77777777" w:rsidR="00BC268B" w:rsidRPr="00BC268B" w:rsidRDefault="00BC268B" w:rsidP="00137472">
      <w:pPr>
        <w:ind w:left="5533"/>
        <w:rPr>
          <w:i/>
          <w:szCs w:val="22"/>
        </w:rPr>
        <w:sectPr w:rsidR="00BC268B" w:rsidRPr="00BC268B" w:rsidSect="00BC268B">
          <w:headerReference w:type="first" r:id="rId21"/>
          <w:endnotePr>
            <w:numFmt w:val="decimal"/>
          </w:endnotePr>
          <w:pgSz w:w="16840" w:h="11907" w:orient="landscape" w:code="9"/>
          <w:pgMar w:top="1418" w:right="2440" w:bottom="1134" w:left="1418" w:header="510" w:footer="1021" w:gutter="0"/>
          <w:cols w:space="720"/>
          <w:titlePg/>
          <w:docGrid w:linePitch="299"/>
        </w:sectPr>
      </w:pPr>
    </w:p>
    <w:p w14:paraId="0848ABD3" w14:textId="77777777" w:rsidR="00BC268B" w:rsidRPr="00BC268B" w:rsidRDefault="00BC268B" w:rsidP="00DD2B02">
      <w:pPr>
        <w:spacing w:after="120"/>
        <w:ind w:left="142"/>
        <w:outlineLvl w:val="0"/>
        <w:rPr>
          <w:b/>
          <w:szCs w:val="22"/>
          <w:lang w:val="en-SG"/>
        </w:rPr>
      </w:pPr>
      <w:r w:rsidRPr="00BC268B">
        <w:rPr>
          <w:b/>
          <w:szCs w:val="22"/>
          <w:lang w:val="en-SG"/>
        </w:rPr>
        <w:lastRenderedPageBreak/>
        <w:t>LIST OF DA PROJECTS AS OF 2024</w:t>
      </w:r>
    </w:p>
    <w:tbl>
      <w:tblPr>
        <w:tblStyle w:val="TableGrid"/>
        <w:tblW w:w="0" w:type="auto"/>
        <w:tblInd w:w="142" w:type="dxa"/>
        <w:tblLook w:val="04A0" w:firstRow="1" w:lastRow="0" w:firstColumn="1" w:lastColumn="0" w:noHBand="0" w:noVBand="1"/>
        <w:tblCaption w:val="DA Projects under Implementation as of December 2023 (8)"/>
      </w:tblPr>
      <w:tblGrid>
        <w:gridCol w:w="814"/>
        <w:gridCol w:w="12016"/>
      </w:tblGrid>
      <w:tr w:rsidR="00BC268B" w:rsidRPr="00BC268B" w14:paraId="4B48A94A" w14:textId="77777777" w:rsidTr="0046416E">
        <w:tc>
          <w:tcPr>
            <w:tcW w:w="12830" w:type="dxa"/>
            <w:gridSpan w:val="2"/>
          </w:tcPr>
          <w:p w14:paraId="66F47566" w14:textId="77777777" w:rsidR="00BC268B" w:rsidRPr="00BC268B" w:rsidRDefault="00BC268B" w:rsidP="006E6FFA">
            <w:pPr>
              <w:rPr>
                <w:b/>
                <w:i/>
                <w:szCs w:val="22"/>
              </w:rPr>
            </w:pPr>
            <w:r w:rsidRPr="00BC268B">
              <w:rPr>
                <w:b/>
                <w:i/>
                <w:szCs w:val="22"/>
              </w:rPr>
              <w:t>Completed and Evaluated DA Projects (43)</w:t>
            </w:r>
          </w:p>
        </w:tc>
      </w:tr>
      <w:tr w:rsidR="00BC268B" w:rsidRPr="00BC268B" w14:paraId="4DD8E5AC" w14:textId="77777777" w:rsidTr="0046416E">
        <w:tc>
          <w:tcPr>
            <w:tcW w:w="814" w:type="dxa"/>
          </w:tcPr>
          <w:p w14:paraId="3D93508D" w14:textId="77777777" w:rsidR="00BC268B" w:rsidRPr="00BC268B" w:rsidRDefault="00BC268B" w:rsidP="006E6FFA">
            <w:pPr>
              <w:outlineLvl w:val="0"/>
              <w:rPr>
                <w:bCs/>
                <w:szCs w:val="22"/>
              </w:rPr>
            </w:pPr>
            <w:r w:rsidRPr="00BC268B">
              <w:rPr>
                <w:bCs/>
                <w:szCs w:val="22"/>
              </w:rPr>
              <w:t>1.</w:t>
            </w:r>
          </w:p>
        </w:tc>
        <w:tc>
          <w:tcPr>
            <w:tcW w:w="12016" w:type="dxa"/>
          </w:tcPr>
          <w:p w14:paraId="578614CD" w14:textId="77777777" w:rsidR="00BC268B" w:rsidRPr="00BC268B" w:rsidRDefault="00BC268B" w:rsidP="006E6FFA">
            <w:pPr>
              <w:outlineLvl w:val="0"/>
              <w:rPr>
                <w:bCs/>
                <w:szCs w:val="22"/>
              </w:rPr>
            </w:pPr>
            <w:r w:rsidRPr="00BC268B">
              <w:rPr>
                <w:bCs/>
                <w:szCs w:val="22"/>
              </w:rPr>
              <w:t>Conference on “Mobilizing Resources for Development”</w:t>
            </w:r>
          </w:p>
        </w:tc>
      </w:tr>
      <w:tr w:rsidR="00BC268B" w:rsidRPr="00BC268B" w14:paraId="4AE424BB" w14:textId="77777777" w:rsidTr="0046416E">
        <w:tc>
          <w:tcPr>
            <w:tcW w:w="814" w:type="dxa"/>
          </w:tcPr>
          <w:p w14:paraId="14EFD23A" w14:textId="77777777" w:rsidR="00BC268B" w:rsidRPr="00BC268B" w:rsidRDefault="00BC268B" w:rsidP="006E6FFA">
            <w:pPr>
              <w:outlineLvl w:val="0"/>
              <w:rPr>
                <w:bCs/>
                <w:szCs w:val="22"/>
              </w:rPr>
            </w:pPr>
            <w:r w:rsidRPr="00BC268B">
              <w:rPr>
                <w:bCs/>
                <w:szCs w:val="22"/>
              </w:rPr>
              <w:t>2.</w:t>
            </w:r>
          </w:p>
        </w:tc>
        <w:tc>
          <w:tcPr>
            <w:tcW w:w="12016" w:type="dxa"/>
          </w:tcPr>
          <w:p w14:paraId="4F60AD46" w14:textId="77777777" w:rsidR="00BC268B" w:rsidRPr="00BC268B" w:rsidRDefault="00BC268B" w:rsidP="006E6FFA">
            <w:pPr>
              <w:outlineLvl w:val="0"/>
              <w:rPr>
                <w:bCs/>
                <w:szCs w:val="22"/>
              </w:rPr>
            </w:pPr>
            <w:r w:rsidRPr="00BC268B">
              <w:rPr>
                <w:bCs/>
                <w:szCs w:val="22"/>
              </w:rPr>
              <w:t>IP Technical Assistance Database (IP TAD)</w:t>
            </w:r>
          </w:p>
        </w:tc>
      </w:tr>
      <w:tr w:rsidR="00BC268B" w:rsidRPr="00BC268B" w14:paraId="1B4ED5B9" w14:textId="77777777" w:rsidTr="0046416E">
        <w:tc>
          <w:tcPr>
            <w:tcW w:w="814" w:type="dxa"/>
          </w:tcPr>
          <w:p w14:paraId="2D61ECA8" w14:textId="77777777" w:rsidR="00BC268B" w:rsidRPr="00BC268B" w:rsidRDefault="00BC268B" w:rsidP="006E6FFA">
            <w:pPr>
              <w:outlineLvl w:val="0"/>
              <w:rPr>
                <w:bCs/>
                <w:szCs w:val="22"/>
              </w:rPr>
            </w:pPr>
            <w:r w:rsidRPr="00BC268B">
              <w:rPr>
                <w:bCs/>
                <w:szCs w:val="22"/>
              </w:rPr>
              <w:t>3.</w:t>
            </w:r>
          </w:p>
        </w:tc>
        <w:tc>
          <w:tcPr>
            <w:tcW w:w="12016" w:type="dxa"/>
          </w:tcPr>
          <w:p w14:paraId="20C0B0E4" w14:textId="77777777" w:rsidR="00BC268B" w:rsidRPr="00BC268B" w:rsidRDefault="00BC268B" w:rsidP="006E6FFA">
            <w:pPr>
              <w:outlineLvl w:val="0"/>
              <w:rPr>
                <w:bCs/>
                <w:szCs w:val="22"/>
              </w:rPr>
            </w:pPr>
            <w:r w:rsidRPr="00BC268B">
              <w:rPr>
                <w:bCs/>
                <w:szCs w:val="22"/>
              </w:rPr>
              <w:t>Specialized Databases’ Access and Support – Phase I</w:t>
            </w:r>
          </w:p>
        </w:tc>
      </w:tr>
      <w:tr w:rsidR="00BC268B" w:rsidRPr="00BC268B" w14:paraId="68B13732" w14:textId="77777777" w:rsidTr="0046416E">
        <w:tc>
          <w:tcPr>
            <w:tcW w:w="814" w:type="dxa"/>
          </w:tcPr>
          <w:p w14:paraId="3A69EB35" w14:textId="77777777" w:rsidR="00BC268B" w:rsidRPr="00BC268B" w:rsidRDefault="00BC268B" w:rsidP="006E6FFA">
            <w:pPr>
              <w:outlineLvl w:val="0"/>
              <w:rPr>
                <w:bCs/>
                <w:szCs w:val="22"/>
              </w:rPr>
            </w:pPr>
            <w:r w:rsidRPr="00BC268B">
              <w:rPr>
                <w:bCs/>
                <w:szCs w:val="22"/>
              </w:rPr>
              <w:t>4.</w:t>
            </w:r>
          </w:p>
        </w:tc>
        <w:tc>
          <w:tcPr>
            <w:tcW w:w="12016" w:type="dxa"/>
          </w:tcPr>
          <w:p w14:paraId="0C71114C" w14:textId="77777777" w:rsidR="00BC268B" w:rsidRPr="00BC268B" w:rsidRDefault="00BC268B" w:rsidP="006E6FFA">
            <w:pPr>
              <w:outlineLvl w:val="0"/>
              <w:rPr>
                <w:bCs/>
                <w:szCs w:val="22"/>
              </w:rPr>
            </w:pPr>
            <w:r w:rsidRPr="00BC268B">
              <w:rPr>
                <w:bCs/>
                <w:szCs w:val="22"/>
              </w:rPr>
              <w:t>IP Development Matchmaking Database (IP DMD)</w:t>
            </w:r>
          </w:p>
        </w:tc>
      </w:tr>
      <w:tr w:rsidR="00BC268B" w:rsidRPr="00BC268B" w14:paraId="4DB0DD3A" w14:textId="77777777" w:rsidTr="0046416E">
        <w:tc>
          <w:tcPr>
            <w:tcW w:w="814" w:type="dxa"/>
          </w:tcPr>
          <w:p w14:paraId="719F67E8" w14:textId="77777777" w:rsidR="00BC268B" w:rsidRPr="00BC268B" w:rsidRDefault="00BC268B" w:rsidP="006E6FFA">
            <w:pPr>
              <w:outlineLvl w:val="0"/>
              <w:rPr>
                <w:bCs/>
                <w:szCs w:val="22"/>
              </w:rPr>
            </w:pPr>
            <w:r w:rsidRPr="00BC268B">
              <w:rPr>
                <w:bCs/>
                <w:szCs w:val="22"/>
              </w:rPr>
              <w:t>5.</w:t>
            </w:r>
          </w:p>
        </w:tc>
        <w:tc>
          <w:tcPr>
            <w:tcW w:w="12016" w:type="dxa"/>
          </w:tcPr>
          <w:p w14:paraId="0B621AF5" w14:textId="77777777" w:rsidR="00BC268B" w:rsidRPr="00BC268B" w:rsidRDefault="00BC268B" w:rsidP="006E6FFA">
            <w:pPr>
              <w:outlineLvl w:val="0"/>
              <w:rPr>
                <w:bCs/>
                <w:szCs w:val="22"/>
              </w:rPr>
            </w:pPr>
            <w:r w:rsidRPr="00BC268B">
              <w:rPr>
                <w:bCs/>
                <w:szCs w:val="22"/>
              </w:rPr>
              <w:t>Establishment of “Start-Up” National IP Academies</w:t>
            </w:r>
          </w:p>
        </w:tc>
      </w:tr>
      <w:tr w:rsidR="00BC268B" w:rsidRPr="00BC268B" w14:paraId="253DC408" w14:textId="77777777" w:rsidTr="0046416E">
        <w:tc>
          <w:tcPr>
            <w:tcW w:w="814" w:type="dxa"/>
          </w:tcPr>
          <w:p w14:paraId="1523EB11" w14:textId="77777777" w:rsidR="00BC268B" w:rsidRPr="00BC268B" w:rsidRDefault="00BC268B" w:rsidP="006E6FFA">
            <w:pPr>
              <w:outlineLvl w:val="0"/>
              <w:rPr>
                <w:bCs/>
                <w:szCs w:val="22"/>
              </w:rPr>
            </w:pPr>
            <w:r w:rsidRPr="00BC268B">
              <w:rPr>
                <w:bCs/>
                <w:szCs w:val="22"/>
              </w:rPr>
              <w:t>6.</w:t>
            </w:r>
          </w:p>
        </w:tc>
        <w:tc>
          <w:tcPr>
            <w:tcW w:w="12016" w:type="dxa"/>
          </w:tcPr>
          <w:p w14:paraId="1DFD9B5B" w14:textId="77777777" w:rsidR="00BC268B" w:rsidRPr="00BC268B" w:rsidRDefault="00BC268B" w:rsidP="006E6FFA">
            <w:pPr>
              <w:outlineLvl w:val="0"/>
              <w:rPr>
                <w:bCs/>
                <w:szCs w:val="22"/>
              </w:rPr>
            </w:pPr>
            <w:r w:rsidRPr="00BC268B">
              <w:rPr>
                <w:bCs/>
                <w:szCs w:val="22"/>
              </w:rPr>
              <w:t>Smart IP Institutions Project</w:t>
            </w:r>
          </w:p>
        </w:tc>
      </w:tr>
      <w:tr w:rsidR="00BC268B" w:rsidRPr="00BC268B" w14:paraId="53F301CD" w14:textId="77777777" w:rsidTr="0046416E">
        <w:tc>
          <w:tcPr>
            <w:tcW w:w="814" w:type="dxa"/>
          </w:tcPr>
          <w:p w14:paraId="4D9635CE" w14:textId="77777777" w:rsidR="00BC268B" w:rsidRPr="00BC268B" w:rsidRDefault="00BC268B" w:rsidP="006E6FFA">
            <w:pPr>
              <w:outlineLvl w:val="0"/>
              <w:rPr>
                <w:bCs/>
                <w:szCs w:val="22"/>
              </w:rPr>
            </w:pPr>
            <w:r w:rsidRPr="00BC268B">
              <w:rPr>
                <w:bCs/>
                <w:szCs w:val="22"/>
              </w:rPr>
              <w:t>7.</w:t>
            </w:r>
          </w:p>
        </w:tc>
        <w:tc>
          <w:tcPr>
            <w:tcW w:w="12016" w:type="dxa"/>
          </w:tcPr>
          <w:p w14:paraId="169B03F1" w14:textId="77777777" w:rsidR="00BC268B" w:rsidRPr="00BC268B" w:rsidRDefault="00BC268B" w:rsidP="006E6FFA">
            <w:pPr>
              <w:outlineLvl w:val="0"/>
              <w:rPr>
                <w:bCs/>
                <w:szCs w:val="22"/>
              </w:rPr>
            </w:pPr>
            <w:r w:rsidRPr="00BC268B">
              <w:rPr>
                <w:bCs/>
                <w:szCs w:val="22"/>
              </w:rPr>
              <w:t>Innovation and Technology Transfer Support Structure for National Institutions</w:t>
            </w:r>
          </w:p>
        </w:tc>
      </w:tr>
      <w:tr w:rsidR="00BC268B" w:rsidRPr="00BC268B" w14:paraId="3F82017D" w14:textId="77777777" w:rsidTr="0046416E">
        <w:tc>
          <w:tcPr>
            <w:tcW w:w="814" w:type="dxa"/>
          </w:tcPr>
          <w:p w14:paraId="2C98F9BA" w14:textId="77777777" w:rsidR="00BC268B" w:rsidRPr="00BC268B" w:rsidRDefault="00BC268B" w:rsidP="006E6FFA">
            <w:pPr>
              <w:outlineLvl w:val="0"/>
              <w:rPr>
                <w:bCs/>
                <w:szCs w:val="22"/>
              </w:rPr>
            </w:pPr>
            <w:r w:rsidRPr="00BC268B">
              <w:rPr>
                <w:bCs/>
                <w:szCs w:val="22"/>
              </w:rPr>
              <w:t>8.</w:t>
            </w:r>
          </w:p>
        </w:tc>
        <w:tc>
          <w:tcPr>
            <w:tcW w:w="12016" w:type="dxa"/>
          </w:tcPr>
          <w:p w14:paraId="03B12FC3" w14:textId="77777777" w:rsidR="00BC268B" w:rsidRPr="00BC268B" w:rsidRDefault="00BC268B" w:rsidP="006E6FFA">
            <w:pPr>
              <w:outlineLvl w:val="0"/>
              <w:rPr>
                <w:bCs/>
                <w:szCs w:val="22"/>
              </w:rPr>
            </w:pPr>
            <w:r w:rsidRPr="00BC268B">
              <w:rPr>
                <w:bCs/>
                <w:szCs w:val="22"/>
              </w:rPr>
              <w:t>Improvement of National, Sub Regional and Regional IP Institutional and User Capacity</w:t>
            </w:r>
          </w:p>
        </w:tc>
      </w:tr>
      <w:tr w:rsidR="00BC268B" w:rsidRPr="00BC268B" w14:paraId="3E969636" w14:textId="77777777" w:rsidTr="0046416E">
        <w:tc>
          <w:tcPr>
            <w:tcW w:w="814" w:type="dxa"/>
          </w:tcPr>
          <w:p w14:paraId="797FF458" w14:textId="77777777" w:rsidR="00BC268B" w:rsidRPr="00BC268B" w:rsidRDefault="00BC268B" w:rsidP="006E6FFA">
            <w:pPr>
              <w:outlineLvl w:val="0"/>
              <w:rPr>
                <w:bCs/>
                <w:szCs w:val="22"/>
              </w:rPr>
            </w:pPr>
            <w:r w:rsidRPr="00BC268B">
              <w:rPr>
                <w:bCs/>
                <w:szCs w:val="22"/>
              </w:rPr>
              <w:t>9.</w:t>
            </w:r>
          </w:p>
        </w:tc>
        <w:tc>
          <w:tcPr>
            <w:tcW w:w="12016" w:type="dxa"/>
          </w:tcPr>
          <w:p w14:paraId="3CCDCF4D" w14:textId="77777777" w:rsidR="00BC268B" w:rsidRPr="00BC268B" w:rsidRDefault="00BC268B" w:rsidP="006E6FFA">
            <w:pPr>
              <w:outlineLvl w:val="0"/>
              <w:rPr>
                <w:bCs/>
                <w:szCs w:val="22"/>
              </w:rPr>
            </w:pPr>
            <w:r w:rsidRPr="00BC268B">
              <w:rPr>
                <w:bCs/>
                <w:szCs w:val="22"/>
              </w:rPr>
              <w:t>IP and the Public Domain</w:t>
            </w:r>
          </w:p>
        </w:tc>
      </w:tr>
      <w:tr w:rsidR="00BC268B" w:rsidRPr="00BC268B" w14:paraId="27FE2C0B" w14:textId="77777777" w:rsidTr="0046416E">
        <w:tc>
          <w:tcPr>
            <w:tcW w:w="814" w:type="dxa"/>
          </w:tcPr>
          <w:p w14:paraId="320D7C45" w14:textId="77777777" w:rsidR="00BC268B" w:rsidRPr="00BC268B" w:rsidRDefault="00BC268B" w:rsidP="006E6FFA">
            <w:pPr>
              <w:outlineLvl w:val="0"/>
              <w:rPr>
                <w:bCs/>
                <w:szCs w:val="22"/>
              </w:rPr>
            </w:pPr>
            <w:r w:rsidRPr="00BC268B">
              <w:rPr>
                <w:bCs/>
                <w:szCs w:val="22"/>
              </w:rPr>
              <w:t>10.</w:t>
            </w:r>
          </w:p>
        </w:tc>
        <w:tc>
          <w:tcPr>
            <w:tcW w:w="12016" w:type="dxa"/>
          </w:tcPr>
          <w:p w14:paraId="4A653710" w14:textId="77777777" w:rsidR="00BC268B" w:rsidRPr="00BC268B" w:rsidRDefault="00BC268B" w:rsidP="006E6FFA">
            <w:pPr>
              <w:outlineLvl w:val="0"/>
              <w:rPr>
                <w:bCs/>
                <w:szCs w:val="22"/>
              </w:rPr>
            </w:pPr>
            <w:r w:rsidRPr="00BC268B">
              <w:rPr>
                <w:bCs/>
                <w:szCs w:val="22"/>
              </w:rPr>
              <w:t>IP and Competition Policy</w:t>
            </w:r>
          </w:p>
        </w:tc>
      </w:tr>
      <w:tr w:rsidR="00BC268B" w:rsidRPr="00BC268B" w14:paraId="647AC152" w14:textId="77777777" w:rsidTr="0046416E">
        <w:tc>
          <w:tcPr>
            <w:tcW w:w="814" w:type="dxa"/>
          </w:tcPr>
          <w:p w14:paraId="5CEC638F" w14:textId="77777777" w:rsidR="00BC268B" w:rsidRPr="00BC268B" w:rsidRDefault="00BC268B" w:rsidP="006E6FFA">
            <w:pPr>
              <w:outlineLvl w:val="0"/>
              <w:rPr>
                <w:bCs/>
                <w:szCs w:val="22"/>
              </w:rPr>
            </w:pPr>
            <w:r w:rsidRPr="00BC268B">
              <w:rPr>
                <w:bCs/>
                <w:szCs w:val="22"/>
              </w:rPr>
              <w:t>11.</w:t>
            </w:r>
          </w:p>
        </w:tc>
        <w:tc>
          <w:tcPr>
            <w:tcW w:w="12016" w:type="dxa"/>
          </w:tcPr>
          <w:p w14:paraId="73B43C50" w14:textId="77777777" w:rsidR="00BC268B" w:rsidRPr="00BC268B" w:rsidRDefault="00BC268B" w:rsidP="006E6FFA">
            <w:pPr>
              <w:outlineLvl w:val="0"/>
              <w:rPr>
                <w:bCs/>
                <w:szCs w:val="22"/>
              </w:rPr>
            </w:pPr>
            <w:r w:rsidRPr="00BC268B">
              <w:rPr>
                <w:bCs/>
                <w:szCs w:val="22"/>
              </w:rPr>
              <w:t>IP, Information and Communication Technologies (ICTs), the Digital Divide and Access to Knowledge</w:t>
            </w:r>
          </w:p>
        </w:tc>
      </w:tr>
      <w:tr w:rsidR="00BC268B" w:rsidRPr="00BC268B" w14:paraId="5D897E53" w14:textId="77777777" w:rsidTr="0046416E">
        <w:tc>
          <w:tcPr>
            <w:tcW w:w="814" w:type="dxa"/>
          </w:tcPr>
          <w:p w14:paraId="54575528" w14:textId="77777777" w:rsidR="00BC268B" w:rsidRPr="00BC268B" w:rsidRDefault="00BC268B" w:rsidP="006E6FFA">
            <w:pPr>
              <w:outlineLvl w:val="0"/>
              <w:rPr>
                <w:bCs/>
                <w:szCs w:val="22"/>
              </w:rPr>
            </w:pPr>
            <w:r w:rsidRPr="00BC268B">
              <w:rPr>
                <w:bCs/>
                <w:szCs w:val="22"/>
              </w:rPr>
              <w:t>12.</w:t>
            </w:r>
          </w:p>
        </w:tc>
        <w:tc>
          <w:tcPr>
            <w:tcW w:w="12016" w:type="dxa"/>
          </w:tcPr>
          <w:p w14:paraId="356ACEBA" w14:textId="77777777" w:rsidR="00BC268B" w:rsidRPr="00BC268B" w:rsidRDefault="00BC268B" w:rsidP="006E6FFA">
            <w:pPr>
              <w:outlineLvl w:val="0"/>
              <w:rPr>
                <w:bCs/>
                <w:szCs w:val="22"/>
              </w:rPr>
            </w:pPr>
            <w:r w:rsidRPr="00BC268B">
              <w:rPr>
                <w:bCs/>
                <w:szCs w:val="22"/>
              </w:rPr>
              <w:t>Developing Tools for Access to Patent information</w:t>
            </w:r>
          </w:p>
        </w:tc>
      </w:tr>
      <w:tr w:rsidR="00BC268B" w:rsidRPr="00BC268B" w14:paraId="517AA27F" w14:textId="77777777" w:rsidTr="0046416E">
        <w:tc>
          <w:tcPr>
            <w:tcW w:w="814" w:type="dxa"/>
          </w:tcPr>
          <w:p w14:paraId="7EC01E4D" w14:textId="77777777" w:rsidR="00BC268B" w:rsidRPr="00BC268B" w:rsidRDefault="00BC268B" w:rsidP="006E6FFA">
            <w:pPr>
              <w:outlineLvl w:val="0"/>
              <w:rPr>
                <w:bCs/>
                <w:szCs w:val="22"/>
              </w:rPr>
            </w:pPr>
            <w:r w:rsidRPr="00BC268B">
              <w:rPr>
                <w:bCs/>
                <w:szCs w:val="22"/>
              </w:rPr>
              <w:t>13.</w:t>
            </w:r>
          </w:p>
        </w:tc>
        <w:tc>
          <w:tcPr>
            <w:tcW w:w="12016" w:type="dxa"/>
          </w:tcPr>
          <w:p w14:paraId="2B575C3F" w14:textId="77777777" w:rsidR="00BC268B" w:rsidRPr="00BC268B" w:rsidRDefault="00BC268B" w:rsidP="006E6FFA">
            <w:pPr>
              <w:outlineLvl w:val="0"/>
              <w:rPr>
                <w:bCs/>
                <w:szCs w:val="22"/>
              </w:rPr>
            </w:pPr>
            <w:r w:rsidRPr="00BC268B">
              <w:rPr>
                <w:bCs/>
                <w:szCs w:val="22"/>
              </w:rPr>
              <w:t>Enhancement of WIPO's Results-Based Management (RBM) Framework to Support the Monitoring and Evaluation of Development Activities</w:t>
            </w:r>
          </w:p>
        </w:tc>
      </w:tr>
      <w:tr w:rsidR="00BC268B" w:rsidRPr="00BC268B" w14:paraId="2525867D" w14:textId="77777777" w:rsidTr="0046416E">
        <w:tc>
          <w:tcPr>
            <w:tcW w:w="814" w:type="dxa"/>
          </w:tcPr>
          <w:p w14:paraId="68B8B228" w14:textId="77777777" w:rsidR="00BC268B" w:rsidRPr="00BC268B" w:rsidRDefault="00BC268B" w:rsidP="006E6FFA">
            <w:pPr>
              <w:outlineLvl w:val="0"/>
              <w:rPr>
                <w:bCs/>
                <w:szCs w:val="22"/>
              </w:rPr>
            </w:pPr>
            <w:r w:rsidRPr="00BC268B">
              <w:rPr>
                <w:bCs/>
                <w:szCs w:val="22"/>
              </w:rPr>
              <w:t>14.</w:t>
            </w:r>
          </w:p>
        </w:tc>
        <w:tc>
          <w:tcPr>
            <w:tcW w:w="12016" w:type="dxa"/>
          </w:tcPr>
          <w:p w14:paraId="1097A870" w14:textId="77777777" w:rsidR="00BC268B" w:rsidRPr="00BC268B" w:rsidRDefault="00BC268B" w:rsidP="006E6FFA">
            <w:pPr>
              <w:outlineLvl w:val="0"/>
              <w:rPr>
                <w:bCs/>
                <w:szCs w:val="22"/>
              </w:rPr>
            </w:pPr>
            <w:r w:rsidRPr="00BC268B">
              <w:rPr>
                <w:bCs/>
                <w:szCs w:val="22"/>
              </w:rPr>
              <w:t>Capacity-Building in the Use of Appropriate Technology-specific Technical and Scientific Information as a Solution for Identified Development Challenges</w:t>
            </w:r>
          </w:p>
        </w:tc>
      </w:tr>
      <w:tr w:rsidR="00BC268B" w:rsidRPr="00BC268B" w14:paraId="2C0556B5" w14:textId="77777777" w:rsidTr="0046416E">
        <w:tc>
          <w:tcPr>
            <w:tcW w:w="814" w:type="dxa"/>
          </w:tcPr>
          <w:p w14:paraId="2BA52CEC" w14:textId="77777777" w:rsidR="00BC268B" w:rsidRPr="00BC268B" w:rsidRDefault="00BC268B" w:rsidP="006E6FFA">
            <w:pPr>
              <w:outlineLvl w:val="0"/>
              <w:rPr>
                <w:bCs/>
                <w:szCs w:val="22"/>
              </w:rPr>
            </w:pPr>
            <w:r w:rsidRPr="00BC268B">
              <w:rPr>
                <w:bCs/>
                <w:szCs w:val="22"/>
              </w:rPr>
              <w:t>15.</w:t>
            </w:r>
          </w:p>
        </w:tc>
        <w:tc>
          <w:tcPr>
            <w:tcW w:w="12016" w:type="dxa"/>
          </w:tcPr>
          <w:p w14:paraId="7AB92675" w14:textId="77777777" w:rsidR="00BC268B" w:rsidRPr="00BC268B" w:rsidRDefault="00BC268B" w:rsidP="006E6FFA">
            <w:pPr>
              <w:outlineLvl w:val="0"/>
              <w:rPr>
                <w:bCs/>
                <w:szCs w:val="22"/>
              </w:rPr>
            </w:pPr>
            <w:r w:rsidRPr="00BC268B">
              <w:rPr>
                <w:bCs/>
                <w:szCs w:val="22"/>
              </w:rPr>
              <w:t>IP and Product Branding for Business Development in Developing Countries and Least Developed Countries (LDCs)</w:t>
            </w:r>
          </w:p>
        </w:tc>
      </w:tr>
      <w:tr w:rsidR="00BC268B" w:rsidRPr="00BC268B" w14:paraId="3F7ABF07" w14:textId="77777777" w:rsidTr="0046416E">
        <w:tc>
          <w:tcPr>
            <w:tcW w:w="814" w:type="dxa"/>
          </w:tcPr>
          <w:p w14:paraId="63DC2F80" w14:textId="77777777" w:rsidR="00BC268B" w:rsidRPr="00BC268B" w:rsidRDefault="00BC268B" w:rsidP="006E6FFA">
            <w:pPr>
              <w:outlineLvl w:val="0"/>
              <w:rPr>
                <w:bCs/>
                <w:szCs w:val="22"/>
              </w:rPr>
            </w:pPr>
            <w:r w:rsidRPr="00BC268B">
              <w:rPr>
                <w:bCs/>
                <w:szCs w:val="22"/>
              </w:rPr>
              <w:t>16.</w:t>
            </w:r>
          </w:p>
        </w:tc>
        <w:tc>
          <w:tcPr>
            <w:tcW w:w="12016" w:type="dxa"/>
          </w:tcPr>
          <w:p w14:paraId="111721DC" w14:textId="77777777" w:rsidR="00BC268B" w:rsidRPr="00BC268B" w:rsidRDefault="00BC268B" w:rsidP="006E6FFA">
            <w:pPr>
              <w:outlineLvl w:val="0"/>
              <w:rPr>
                <w:bCs/>
                <w:szCs w:val="22"/>
              </w:rPr>
            </w:pPr>
            <w:r w:rsidRPr="00BC268B">
              <w:rPr>
                <w:bCs/>
                <w:szCs w:val="22"/>
              </w:rPr>
              <w:t>Patents and the Public Domain</w:t>
            </w:r>
          </w:p>
        </w:tc>
      </w:tr>
      <w:tr w:rsidR="00BC268B" w:rsidRPr="00BC268B" w14:paraId="5F3AD2D4" w14:textId="77777777" w:rsidTr="0046416E">
        <w:tc>
          <w:tcPr>
            <w:tcW w:w="814" w:type="dxa"/>
          </w:tcPr>
          <w:p w14:paraId="62FF3BAB" w14:textId="77777777" w:rsidR="00BC268B" w:rsidRPr="00BC268B" w:rsidRDefault="00BC268B" w:rsidP="006E6FFA">
            <w:pPr>
              <w:outlineLvl w:val="0"/>
              <w:rPr>
                <w:bCs/>
                <w:szCs w:val="22"/>
              </w:rPr>
            </w:pPr>
            <w:r w:rsidRPr="00BC268B">
              <w:rPr>
                <w:bCs/>
                <w:szCs w:val="22"/>
              </w:rPr>
              <w:t>17.</w:t>
            </w:r>
          </w:p>
        </w:tc>
        <w:tc>
          <w:tcPr>
            <w:tcW w:w="12016" w:type="dxa"/>
          </w:tcPr>
          <w:p w14:paraId="74A0FDF0" w14:textId="77777777" w:rsidR="00BC268B" w:rsidRPr="00BC268B" w:rsidRDefault="00BC268B" w:rsidP="006E6FFA">
            <w:pPr>
              <w:outlineLvl w:val="0"/>
              <w:rPr>
                <w:bCs/>
                <w:szCs w:val="22"/>
              </w:rPr>
            </w:pPr>
            <w:r w:rsidRPr="00BC268B">
              <w:rPr>
                <w:bCs/>
                <w:szCs w:val="22"/>
              </w:rPr>
              <w:t>IP and Brain Drain</w:t>
            </w:r>
          </w:p>
        </w:tc>
      </w:tr>
      <w:tr w:rsidR="00BC268B" w:rsidRPr="00BC268B" w14:paraId="5BA5DCC8" w14:textId="77777777" w:rsidTr="0046416E">
        <w:tc>
          <w:tcPr>
            <w:tcW w:w="814" w:type="dxa"/>
          </w:tcPr>
          <w:p w14:paraId="6EB6E58E" w14:textId="77777777" w:rsidR="00BC268B" w:rsidRPr="00BC268B" w:rsidRDefault="00BC268B" w:rsidP="006E6FFA">
            <w:pPr>
              <w:outlineLvl w:val="0"/>
              <w:rPr>
                <w:bCs/>
                <w:szCs w:val="22"/>
              </w:rPr>
            </w:pPr>
            <w:r w:rsidRPr="00BC268B">
              <w:rPr>
                <w:bCs/>
                <w:szCs w:val="22"/>
              </w:rPr>
              <w:t>18.</w:t>
            </w:r>
          </w:p>
        </w:tc>
        <w:tc>
          <w:tcPr>
            <w:tcW w:w="12016" w:type="dxa"/>
          </w:tcPr>
          <w:p w14:paraId="799170EB" w14:textId="77777777" w:rsidR="00BC268B" w:rsidRPr="00BC268B" w:rsidRDefault="00BC268B" w:rsidP="006E6FFA">
            <w:pPr>
              <w:outlineLvl w:val="0"/>
              <w:rPr>
                <w:bCs/>
                <w:szCs w:val="22"/>
              </w:rPr>
            </w:pPr>
            <w:r w:rsidRPr="00BC268B">
              <w:rPr>
                <w:bCs/>
                <w:szCs w:val="22"/>
              </w:rPr>
              <w:t>IP and the Informal Economy</w:t>
            </w:r>
          </w:p>
        </w:tc>
      </w:tr>
      <w:tr w:rsidR="00BC268B" w:rsidRPr="00BC268B" w14:paraId="12D7E62B" w14:textId="77777777" w:rsidTr="0046416E">
        <w:tc>
          <w:tcPr>
            <w:tcW w:w="814" w:type="dxa"/>
          </w:tcPr>
          <w:p w14:paraId="0513D6C7" w14:textId="77777777" w:rsidR="00BC268B" w:rsidRPr="00BC268B" w:rsidRDefault="00BC268B" w:rsidP="006E6FFA">
            <w:pPr>
              <w:outlineLvl w:val="0"/>
              <w:rPr>
                <w:bCs/>
                <w:szCs w:val="22"/>
              </w:rPr>
            </w:pPr>
            <w:r w:rsidRPr="00BC268B">
              <w:rPr>
                <w:bCs/>
                <w:szCs w:val="22"/>
              </w:rPr>
              <w:t>19.</w:t>
            </w:r>
          </w:p>
        </w:tc>
        <w:tc>
          <w:tcPr>
            <w:tcW w:w="12016" w:type="dxa"/>
          </w:tcPr>
          <w:p w14:paraId="652335E8" w14:textId="77777777" w:rsidR="00BC268B" w:rsidRPr="00BC268B" w:rsidRDefault="00BC268B" w:rsidP="006E6FFA">
            <w:pPr>
              <w:outlineLvl w:val="0"/>
              <w:rPr>
                <w:bCs/>
                <w:szCs w:val="22"/>
              </w:rPr>
            </w:pPr>
            <w:r w:rsidRPr="00BC268B">
              <w:rPr>
                <w:bCs/>
                <w:szCs w:val="22"/>
              </w:rPr>
              <w:t>Specialized Databases’ Access and Support – Phase II</w:t>
            </w:r>
          </w:p>
        </w:tc>
      </w:tr>
      <w:tr w:rsidR="00BC268B" w:rsidRPr="00BC268B" w14:paraId="6B474257" w14:textId="77777777" w:rsidTr="0046416E">
        <w:tc>
          <w:tcPr>
            <w:tcW w:w="814" w:type="dxa"/>
          </w:tcPr>
          <w:p w14:paraId="7FA5ADC6" w14:textId="77777777" w:rsidR="00BC268B" w:rsidRPr="00BC268B" w:rsidRDefault="00BC268B" w:rsidP="006E6FFA">
            <w:pPr>
              <w:outlineLvl w:val="0"/>
              <w:rPr>
                <w:bCs/>
                <w:szCs w:val="22"/>
              </w:rPr>
            </w:pPr>
            <w:r w:rsidRPr="00BC268B">
              <w:rPr>
                <w:bCs/>
                <w:szCs w:val="22"/>
              </w:rPr>
              <w:t>20.</w:t>
            </w:r>
          </w:p>
        </w:tc>
        <w:tc>
          <w:tcPr>
            <w:tcW w:w="12016" w:type="dxa"/>
          </w:tcPr>
          <w:p w14:paraId="120880F0" w14:textId="77777777" w:rsidR="00BC268B" w:rsidRPr="00BC268B" w:rsidRDefault="00BC268B" w:rsidP="006E6FFA">
            <w:pPr>
              <w:outlineLvl w:val="0"/>
              <w:rPr>
                <w:bCs/>
                <w:szCs w:val="22"/>
              </w:rPr>
            </w:pPr>
            <w:r w:rsidRPr="00BC268B">
              <w:rPr>
                <w:bCs/>
                <w:szCs w:val="22"/>
              </w:rPr>
              <w:t>Establishment of “Start-Up” National IP Academies – Phase II</w:t>
            </w:r>
          </w:p>
        </w:tc>
      </w:tr>
      <w:tr w:rsidR="00BC268B" w:rsidRPr="00BC268B" w14:paraId="3C3CA0BD" w14:textId="77777777" w:rsidTr="0046416E">
        <w:tc>
          <w:tcPr>
            <w:tcW w:w="814" w:type="dxa"/>
          </w:tcPr>
          <w:p w14:paraId="27C8E491" w14:textId="77777777" w:rsidR="00BC268B" w:rsidRPr="00BC268B" w:rsidRDefault="00BC268B" w:rsidP="006E6FFA">
            <w:pPr>
              <w:outlineLvl w:val="0"/>
              <w:rPr>
                <w:bCs/>
                <w:szCs w:val="22"/>
              </w:rPr>
            </w:pPr>
            <w:r w:rsidRPr="00BC268B">
              <w:rPr>
                <w:bCs/>
                <w:szCs w:val="22"/>
              </w:rPr>
              <w:t>21.</w:t>
            </w:r>
          </w:p>
        </w:tc>
        <w:tc>
          <w:tcPr>
            <w:tcW w:w="12016" w:type="dxa"/>
          </w:tcPr>
          <w:p w14:paraId="60F543F3" w14:textId="77777777" w:rsidR="00BC268B" w:rsidRPr="00BC268B" w:rsidRDefault="00BC268B" w:rsidP="0046416E">
            <w:pPr>
              <w:outlineLvl w:val="0"/>
              <w:rPr>
                <w:bCs/>
                <w:szCs w:val="22"/>
              </w:rPr>
            </w:pPr>
            <w:r w:rsidRPr="00BC268B">
              <w:rPr>
                <w:bCs/>
                <w:szCs w:val="22"/>
              </w:rPr>
              <w:t>IP and Socio-Economic Development</w:t>
            </w:r>
          </w:p>
        </w:tc>
      </w:tr>
      <w:tr w:rsidR="00BC268B" w:rsidRPr="00BC268B" w14:paraId="15A13265" w14:textId="77777777" w:rsidTr="0046416E">
        <w:tc>
          <w:tcPr>
            <w:tcW w:w="814" w:type="dxa"/>
          </w:tcPr>
          <w:p w14:paraId="7CEF35DE" w14:textId="77777777" w:rsidR="00BC268B" w:rsidRPr="00BC268B" w:rsidRDefault="00BC268B" w:rsidP="006E6FFA">
            <w:pPr>
              <w:outlineLvl w:val="0"/>
              <w:rPr>
                <w:bCs/>
                <w:szCs w:val="22"/>
              </w:rPr>
            </w:pPr>
            <w:r w:rsidRPr="00BC268B">
              <w:rPr>
                <w:bCs/>
                <w:szCs w:val="22"/>
              </w:rPr>
              <w:t>22.</w:t>
            </w:r>
          </w:p>
        </w:tc>
        <w:tc>
          <w:tcPr>
            <w:tcW w:w="12016" w:type="dxa"/>
          </w:tcPr>
          <w:p w14:paraId="7FF2833A" w14:textId="77777777" w:rsidR="00BC268B" w:rsidRPr="00BC268B" w:rsidRDefault="00BC268B" w:rsidP="006E6FFA">
            <w:pPr>
              <w:outlineLvl w:val="0"/>
              <w:rPr>
                <w:bCs/>
                <w:szCs w:val="22"/>
              </w:rPr>
            </w:pPr>
            <w:r w:rsidRPr="00BC268B">
              <w:rPr>
                <w:bCs/>
                <w:szCs w:val="22"/>
              </w:rPr>
              <w:t>Developing Tools for Access to Patent Information – Phase II</w:t>
            </w:r>
          </w:p>
        </w:tc>
      </w:tr>
      <w:tr w:rsidR="00BC268B" w:rsidRPr="00BC268B" w14:paraId="47B743A6" w14:textId="77777777" w:rsidTr="0046416E">
        <w:tc>
          <w:tcPr>
            <w:tcW w:w="814" w:type="dxa"/>
          </w:tcPr>
          <w:p w14:paraId="64171CF0" w14:textId="77777777" w:rsidR="00BC268B" w:rsidRPr="00BC268B" w:rsidRDefault="00BC268B" w:rsidP="006E6FFA">
            <w:pPr>
              <w:outlineLvl w:val="0"/>
              <w:rPr>
                <w:bCs/>
                <w:szCs w:val="22"/>
              </w:rPr>
            </w:pPr>
            <w:r w:rsidRPr="00BC268B">
              <w:rPr>
                <w:bCs/>
                <w:szCs w:val="22"/>
              </w:rPr>
              <w:t>23.</w:t>
            </w:r>
          </w:p>
        </w:tc>
        <w:tc>
          <w:tcPr>
            <w:tcW w:w="12016" w:type="dxa"/>
          </w:tcPr>
          <w:p w14:paraId="65BE11A1" w14:textId="77777777" w:rsidR="00BC268B" w:rsidRPr="00BC268B" w:rsidRDefault="00BC268B" w:rsidP="006E6FFA">
            <w:pPr>
              <w:outlineLvl w:val="0"/>
              <w:rPr>
                <w:bCs/>
                <w:szCs w:val="22"/>
              </w:rPr>
            </w:pPr>
            <w:r w:rsidRPr="00BC268B">
              <w:rPr>
                <w:bCs/>
                <w:szCs w:val="22"/>
              </w:rPr>
              <w:t>Strengthening the Capacity of National IP Governmental and Stakeholder Institutions to Manage, Monitor and Promote Creative Industries, and to Enhance the Performance and Network of Copyright Collective Management Organizations</w:t>
            </w:r>
          </w:p>
        </w:tc>
      </w:tr>
      <w:tr w:rsidR="00BC268B" w:rsidRPr="00BC268B" w14:paraId="0C650CE4" w14:textId="77777777" w:rsidTr="0046416E">
        <w:tc>
          <w:tcPr>
            <w:tcW w:w="814" w:type="dxa"/>
          </w:tcPr>
          <w:p w14:paraId="5CAB224D" w14:textId="77777777" w:rsidR="00BC268B" w:rsidRPr="00BC268B" w:rsidRDefault="00BC268B" w:rsidP="006E6FFA">
            <w:pPr>
              <w:outlineLvl w:val="0"/>
              <w:rPr>
                <w:bCs/>
                <w:szCs w:val="22"/>
              </w:rPr>
            </w:pPr>
            <w:r w:rsidRPr="00BC268B">
              <w:rPr>
                <w:bCs/>
                <w:szCs w:val="22"/>
              </w:rPr>
              <w:t>24.</w:t>
            </w:r>
          </w:p>
        </w:tc>
        <w:tc>
          <w:tcPr>
            <w:tcW w:w="12016" w:type="dxa"/>
          </w:tcPr>
          <w:p w14:paraId="2C4FCC80" w14:textId="77777777" w:rsidR="00BC268B" w:rsidRPr="00BC268B" w:rsidRDefault="00BC268B" w:rsidP="006E6FFA">
            <w:pPr>
              <w:outlineLvl w:val="0"/>
              <w:rPr>
                <w:bCs/>
                <w:szCs w:val="22"/>
              </w:rPr>
            </w:pPr>
            <w:r w:rsidRPr="00BC268B">
              <w:rPr>
                <w:bCs/>
                <w:szCs w:val="22"/>
              </w:rPr>
              <w:t>IP and Technology Transfer: Common Challenges- Building Solutions</w:t>
            </w:r>
          </w:p>
        </w:tc>
      </w:tr>
      <w:tr w:rsidR="00BC268B" w:rsidRPr="00BC268B" w14:paraId="17F1D9D6" w14:textId="77777777" w:rsidTr="0046416E">
        <w:tc>
          <w:tcPr>
            <w:tcW w:w="814" w:type="dxa"/>
          </w:tcPr>
          <w:p w14:paraId="1BAC37C2" w14:textId="77777777" w:rsidR="00BC268B" w:rsidRPr="00BC268B" w:rsidRDefault="00BC268B" w:rsidP="006E6FFA">
            <w:pPr>
              <w:outlineLvl w:val="0"/>
              <w:rPr>
                <w:bCs/>
                <w:szCs w:val="22"/>
              </w:rPr>
            </w:pPr>
            <w:r w:rsidRPr="00BC268B">
              <w:rPr>
                <w:bCs/>
                <w:szCs w:val="22"/>
              </w:rPr>
              <w:t>25.</w:t>
            </w:r>
          </w:p>
        </w:tc>
        <w:tc>
          <w:tcPr>
            <w:tcW w:w="12016" w:type="dxa"/>
          </w:tcPr>
          <w:p w14:paraId="38E3D868" w14:textId="77777777" w:rsidR="00BC268B" w:rsidRPr="00BC268B" w:rsidRDefault="00BC268B" w:rsidP="006E6FFA">
            <w:pPr>
              <w:outlineLvl w:val="0"/>
              <w:rPr>
                <w:bCs/>
                <w:szCs w:val="22"/>
              </w:rPr>
            </w:pPr>
            <w:r w:rsidRPr="00BC268B">
              <w:rPr>
                <w:bCs/>
                <w:szCs w:val="22"/>
              </w:rPr>
              <w:t>Open Collaborative Projects and IP Based Models</w:t>
            </w:r>
          </w:p>
        </w:tc>
      </w:tr>
      <w:tr w:rsidR="00BC268B" w:rsidRPr="00BC268B" w14:paraId="480E5465" w14:textId="77777777" w:rsidTr="0046416E">
        <w:trPr>
          <w:trHeight w:hRule="exact" w:val="302"/>
        </w:trPr>
        <w:tc>
          <w:tcPr>
            <w:tcW w:w="814" w:type="dxa"/>
          </w:tcPr>
          <w:p w14:paraId="343EA83B" w14:textId="77777777" w:rsidR="00BC268B" w:rsidRPr="00BC268B" w:rsidRDefault="00BC268B" w:rsidP="006E6FFA">
            <w:pPr>
              <w:outlineLvl w:val="0"/>
              <w:rPr>
                <w:bCs/>
                <w:szCs w:val="22"/>
              </w:rPr>
            </w:pPr>
            <w:r w:rsidRPr="00BC268B">
              <w:rPr>
                <w:bCs/>
                <w:szCs w:val="22"/>
              </w:rPr>
              <w:t>26.</w:t>
            </w:r>
          </w:p>
        </w:tc>
        <w:tc>
          <w:tcPr>
            <w:tcW w:w="12016" w:type="dxa"/>
          </w:tcPr>
          <w:p w14:paraId="62C8AFD4" w14:textId="77777777" w:rsidR="00BC268B" w:rsidRPr="00BC268B" w:rsidRDefault="00BC268B" w:rsidP="006E6FFA">
            <w:pPr>
              <w:spacing w:after="200" w:line="360" w:lineRule="auto"/>
              <w:rPr>
                <w:szCs w:val="22"/>
              </w:rPr>
            </w:pPr>
            <w:r w:rsidRPr="00BC268B">
              <w:rPr>
                <w:bCs/>
                <w:szCs w:val="22"/>
              </w:rPr>
              <w:t>Strengthening and Development of the Audiovisual Sector in Burkina Faso and Certain African Countries</w:t>
            </w:r>
          </w:p>
        </w:tc>
      </w:tr>
      <w:tr w:rsidR="00BC268B" w:rsidRPr="00BC268B" w14:paraId="2154BA5B" w14:textId="77777777" w:rsidTr="0046416E">
        <w:tc>
          <w:tcPr>
            <w:tcW w:w="814" w:type="dxa"/>
          </w:tcPr>
          <w:p w14:paraId="68C8949C" w14:textId="77777777" w:rsidR="00BC268B" w:rsidRPr="00BC268B" w:rsidRDefault="00BC268B" w:rsidP="006E6FFA">
            <w:pPr>
              <w:outlineLvl w:val="0"/>
              <w:rPr>
                <w:bCs/>
                <w:szCs w:val="22"/>
              </w:rPr>
            </w:pPr>
            <w:r w:rsidRPr="00BC268B">
              <w:rPr>
                <w:bCs/>
                <w:szCs w:val="22"/>
              </w:rPr>
              <w:t>27.</w:t>
            </w:r>
          </w:p>
        </w:tc>
        <w:tc>
          <w:tcPr>
            <w:tcW w:w="12016" w:type="dxa"/>
          </w:tcPr>
          <w:p w14:paraId="71FA106B" w14:textId="77777777" w:rsidR="00BC268B" w:rsidRPr="00BC268B" w:rsidRDefault="00BC268B" w:rsidP="006E6FFA">
            <w:pPr>
              <w:outlineLvl w:val="0"/>
              <w:rPr>
                <w:bCs/>
                <w:szCs w:val="22"/>
              </w:rPr>
            </w:pPr>
            <w:r w:rsidRPr="00BC268B">
              <w:rPr>
                <w:bCs/>
                <w:szCs w:val="22"/>
              </w:rPr>
              <w:t>Enhancing South-South Cooperation on IP and Development among Developing Countries and LDCs</w:t>
            </w:r>
          </w:p>
        </w:tc>
      </w:tr>
      <w:tr w:rsidR="00BC268B" w:rsidRPr="00BC268B" w14:paraId="3B2347BA" w14:textId="77777777" w:rsidTr="0046416E">
        <w:tc>
          <w:tcPr>
            <w:tcW w:w="814" w:type="dxa"/>
          </w:tcPr>
          <w:p w14:paraId="4A7DF4AC" w14:textId="77777777" w:rsidR="00BC268B" w:rsidRPr="00BC268B" w:rsidRDefault="00BC268B" w:rsidP="006E6FFA">
            <w:pPr>
              <w:outlineLvl w:val="0"/>
              <w:rPr>
                <w:bCs/>
                <w:szCs w:val="22"/>
              </w:rPr>
            </w:pPr>
            <w:r w:rsidRPr="00BC268B">
              <w:rPr>
                <w:bCs/>
                <w:szCs w:val="22"/>
              </w:rPr>
              <w:t>28.</w:t>
            </w:r>
          </w:p>
        </w:tc>
        <w:tc>
          <w:tcPr>
            <w:tcW w:w="12016" w:type="dxa"/>
          </w:tcPr>
          <w:p w14:paraId="5D204C7D" w14:textId="77777777" w:rsidR="00BC268B" w:rsidRPr="00BC268B" w:rsidRDefault="00BC268B" w:rsidP="0046416E">
            <w:pPr>
              <w:outlineLvl w:val="0"/>
              <w:rPr>
                <w:bCs/>
                <w:szCs w:val="22"/>
              </w:rPr>
            </w:pPr>
            <w:r w:rsidRPr="00BC268B">
              <w:rPr>
                <w:bCs/>
                <w:szCs w:val="22"/>
              </w:rPr>
              <w:t>IP and Design Management for Business Development in Developing and Least Developed Countries (LDCs)</w:t>
            </w:r>
          </w:p>
        </w:tc>
      </w:tr>
      <w:tr w:rsidR="00BC268B" w:rsidRPr="00BC268B" w14:paraId="71852EAD" w14:textId="77777777" w:rsidTr="0046416E">
        <w:tc>
          <w:tcPr>
            <w:tcW w:w="814" w:type="dxa"/>
          </w:tcPr>
          <w:p w14:paraId="53838F20" w14:textId="77777777" w:rsidR="00BC268B" w:rsidRPr="00BC268B" w:rsidRDefault="00BC268B" w:rsidP="006E6FFA">
            <w:pPr>
              <w:outlineLvl w:val="0"/>
              <w:rPr>
                <w:bCs/>
                <w:szCs w:val="22"/>
              </w:rPr>
            </w:pPr>
            <w:r w:rsidRPr="00BC268B">
              <w:rPr>
                <w:bCs/>
                <w:szCs w:val="22"/>
              </w:rPr>
              <w:lastRenderedPageBreak/>
              <w:t>29.</w:t>
            </w:r>
          </w:p>
        </w:tc>
        <w:tc>
          <w:tcPr>
            <w:tcW w:w="12016" w:type="dxa"/>
          </w:tcPr>
          <w:p w14:paraId="79168F52" w14:textId="77777777" w:rsidR="00BC268B" w:rsidRPr="00BC268B" w:rsidRDefault="00BC268B" w:rsidP="00DB65FF">
            <w:pPr>
              <w:outlineLvl w:val="0"/>
              <w:rPr>
                <w:bCs/>
                <w:szCs w:val="22"/>
              </w:rPr>
            </w:pPr>
            <w:r w:rsidRPr="00BC268B">
              <w:rPr>
                <w:bCs/>
                <w:szCs w:val="22"/>
              </w:rPr>
              <w:t>Capacity-Building in the Use of Appropriate Technology Specific Technical and Scientific Information as a Solution for Identified Development Challenges - Phase II</w:t>
            </w:r>
          </w:p>
        </w:tc>
      </w:tr>
      <w:tr w:rsidR="00BC268B" w:rsidRPr="00BC268B" w14:paraId="5CDAE5B4" w14:textId="77777777" w:rsidTr="0046416E">
        <w:tc>
          <w:tcPr>
            <w:tcW w:w="814" w:type="dxa"/>
          </w:tcPr>
          <w:p w14:paraId="1D5CA6A6" w14:textId="77777777" w:rsidR="00BC268B" w:rsidRPr="00BC268B" w:rsidRDefault="00BC268B" w:rsidP="006E6FFA">
            <w:pPr>
              <w:outlineLvl w:val="0"/>
              <w:rPr>
                <w:bCs/>
                <w:szCs w:val="22"/>
              </w:rPr>
            </w:pPr>
            <w:r w:rsidRPr="00BC268B">
              <w:rPr>
                <w:bCs/>
                <w:szCs w:val="22"/>
              </w:rPr>
              <w:t>30.</w:t>
            </w:r>
          </w:p>
        </w:tc>
        <w:tc>
          <w:tcPr>
            <w:tcW w:w="12016" w:type="dxa"/>
          </w:tcPr>
          <w:p w14:paraId="0671F544" w14:textId="77777777" w:rsidR="00BC268B" w:rsidRPr="00BC268B" w:rsidRDefault="00BC268B" w:rsidP="006E6FFA">
            <w:pPr>
              <w:outlineLvl w:val="0"/>
              <w:rPr>
                <w:bCs/>
                <w:szCs w:val="22"/>
              </w:rPr>
            </w:pPr>
            <w:r w:rsidRPr="00BC268B">
              <w:rPr>
                <w:bCs/>
                <w:szCs w:val="22"/>
              </w:rPr>
              <w:t>IP and Socio-Economic Development - Phase II</w:t>
            </w:r>
          </w:p>
        </w:tc>
      </w:tr>
      <w:tr w:rsidR="00BC268B" w:rsidRPr="00BC268B" w14:paraId="4D7FD6EB" w14:textId="77777777" w:rsidTr="0046416E">
        <w:tc>
          <w:tcPr>
            <w:tcW w:w="814" w:type="dxa"/>
          </w:tcPr>
          <w:p w14:paraId="54AB067A" w14:textId="77777777" w:rsidR="00BC268B" w:rsidRPr="00BC268B" w:rsidRDefault="00BC268B" w:rsidP="006E6FFA">
            <w:pPr>
              <w:outlineLvl w:val="0"/>
              <w:rPr>
                <w:bCs/>
                <w:szCs w:val="22"/>
              </w:rPr>
            </w:pPr>
            <w:r w:rsidRPr="00BC268B">
              <w:rPr>
                <w:bCs/>
                <w:szCs w:val="22"/>
              </w:rPr>
              <w:t>31.</w:t>
            </w:r>
          </w:p>
        </w:tc>
        <w:tc>
          <w:tcPr>
            <w:tcW w:w="12016" w:type="dxa"/>
          </w:tcPr>
          <w:p w14:paraId="4024593A" w14:textId="77777777" w:rsidR="00BC268B" w:rsidRPr="00BC268B" w:rsidRDefault="00BC268B" w:rsidP="006E6FFA">
            <w:pPr>
              <w:outlineLvl w:val="0"/>
              <w:rPr>
                <w:bCs/>
                <w:szCs w:val="22"/>
              </w:rPr>
            </w:pPr>
            <w:r w:rsidRPr="00BC268B">
              <w:rPr>
                <w:bCs/>
                <w:szCs w:val="22"/>
              </w:rPr>
              <w:t>Strengthening and Development of the Audiovisual Sector in Burkina Faso and Certain African Countries - Phase II</w:t>
            </w:r>
          </w:p>
        </w:tc>
      </w:tr>
      <w:tr w:rsidR="00BC268B" w:rsidRPr="00BC268B" w14:paraId="2DE00AD2" w14:textId="77777777" w:rsidTr="0046416E">
        <w:tc>
          <w:tcPr>
            <w:tcW w:w="814" w:type="dxa"/>
          </w:tcPr>
          <w:p w14:paraId="3C64CED6" w14:textId="77777777" w:rsidR="00BC268B" w:rsidRPr="00BC268B" w:rsidRDefault="00BC268B" w:rsidP="006E6FFA">
            <w:pPr>
              <w:outlineLvl w:val="0"/>
              <w:rPr>
                <w:bCs/>
                <w:szCs w:val="22"/>
              </w:rPr>
            </w:pPr>
            <w:r w:rsidRPr="00BC268B">
              <w:rPr>
                <w:bCs/>
                <w:szCs w:val="22"/>
              </w:rPr>
              <w:t>32.</w:t>
            </w:r>
          </w:p>
        </w:tc>
        <w:tc>
          <w:tcPr>
            <w:tcW w:w="12016" w:type="dxa"/>
          </w:tcPr>
          <w:p w14:paraId="025FBCF1" w14:textId="77777777" w:rsidR="00BC268B" w:rsidRPr="00BC268B" w:rsidRDefault="00BC268B" w:rsidP="000E6AD1">
            <w:pPr>
              <w:outlineLvl w:val="0"/>
              <w:rPr>
                <w:bCs/>
                <w:szCs w:val="22"/>
              </w:rPr>
            </w:pPr>
            <w:r w:rsidRPr="00BC268B">
              <w:rPr>
                <w:bCs/>
                <w:szCs w:val="22"/>
              </w:rPr>
              <w:t>Cooperation on Development and IP Rights Education and Professional Training with Judicial Training Institutions in Developing and Least Developed Countries</w:t>
            </w:r>
          </w:p>
        </w:tc>
      </w:tr>
      <w:tr w:rsidR="00BC268B" w:rsidRPr="00BC268B" w14:paraId="75029BC2" w14:textId="77777777" w:rsidTr="0046416E">
        <w:tc>
          <w:tcPr>
            <w:tcW w:w="814" w:type="dxa"/>
          </w:tcPr>
          <w:p w14:paraId="070BE6A6" w14:textId="77777777" w:rsidR="00BC268B" w:rsidRPr="00BC268B" w:rsidRDefault="00BC268B" w:rsidP="006E6FFA">
            <w:pPr>
              <w:outlineLvl w:val="0"/>
              <w:rPr>
                <w:bCs/>
                <w:szCs w:val="22"/>
              </w:rPr>
            </w:pPr>
            <w:r w:rsidRPr="00BC268B">
              <w:rPr>
                <w:bCs/>
                <w:szCs w:val="22"/>
              </w:rPr>
              <w:t>33.</w:t>
            </w:r>
          </w:p>
        </w:tc>
        <w:tc>
          <w:tcPr>
            <w:tcW w:w="12016" w:type="dxa"/>
          </w:tcPr>
          <w:p w14:paraId="6E9C15F0" w14:textId="77777777" w:rsidR="00BC268B" w:rsidRPr="00BC268B" w:rsidRDefault="00BC268B" w:rsidP="006E6FFA">
            <w:pPr>
              <w:outlineLvl w:val="0"/>
              <w:rPr>
                <w:bCs/>
                <w:szCs w:val="22"/>
              </w:rPr>
            </w:pPr>
            <w:r w:rsidRPr="00BC268B">
              <w:rPr>
                <w:bCs/>
                <w:szCs w:val="22"/>
              </w:rPr>
              <w:t>IP, Tourism and Culture: Supporting Development Objectives and Promoting Cultural Heritage in Egypt and Other Developing Countries</w:t>
            </w:r>
          </w:p>
        </w:tc>
      </w:tr>
      <w:tr w:rsidR="00BC268B" w:rsidRPr="00BC268B" w14:paraId="05214E8E" w14:textId="77777777" w:rsidTr="0046416E">
        <w:tc>
          <w:tcPr>
            <w:tcW w:w="814" w:type="dxa"/>
          </w:tcPr>
          <w:p w14:paraId="001E602F" w14:textId="77777777" w:rsidR="00BC268B" w:rsidRPr="00BC268B" w:rsidRDefault="00BC268B" w:rsidP="006E6FFA">
            <w:pPr>
              <w:outlineLvl w:val="0"/>
              <w:rPr>
                <w:bCs/>
                <w:szCs w:val="22"/>
              </w:rPr>
            </w:pPr>
            <w:r w:rsidRPr="00BC268B">
              <w:rPr>
                <w:bCs/>
                <w:szCs w:val="22"/>
              </w:rPr>
              <w:t>34.</w:t>
            </w:r>
          </w:p>
        </w:tc>
        <w:tc>
          <w:tcPr>
            <w:tcW w:w="12016" w:type="dxa"/>
          </w:tcPr>
          <w:p w14:paraId="285CA48C" w14:textId="77777777" w:rsidR="00BC268B" w:rsidRPr="00BC268B" w:rsidRDefault="00BC268B" w:rsidP="006E6FFA">
            <w:pPr>
              <w:outlineLvl w:val="0"/>
              <w:rPr>
                <w:bCs/>
                <w:szCs w:val="22"/>
              </w:rPr>
            </w:pPr>
            <w:r w:rsidRPr="00BC268B">
              <w:rPr>
                <w:bCs/>
                <w:szCs w:val="22"/>
              </w:rPr>
              <w:t>The Use of Information in the Public Domain for Economic Development</w:t>
            </w:r>
          </w:p>
        </w:tc>
      </w:tr>
      <w:tr w:rsidR="00BC268B" w:rsidRPr="00BC268B" w14:paraId="6EEF3356" w14:textId="77777777" w:rsidTr="0046416E">
        <w:tc>
          <w:tcPr>
            <w:tcW w:w="814" w:type="dxa"/>
          </w:tcPr>
          <w:p w14:paraId="69CF4838" w14:textId="77777777" w:rsidR="00BC268B" w:rsidRPr="00BC268B" w:rsidRDefault="00BC268B" w:rsidP="006E6FFA">
            <w:pPr>
              <w:outlineLvl w:val="0"/>
              <w:rPr>
                <w:bCs/>
                <w:szCs w:val="22"/>
              </w:rPr>
            </w:pPr>
            <w:r w:rsidRPr="00BC268B">
              <w:rPr>
                <w:bCs/>
                <w:szCs w:val="22"/>
              </w:rPr>
              <w:t>35.</w:t>
            </w:r>
          </w:p>
        </w:tc>
        <w:tc>
          <w:tcPr>
            <w:tcW w:w="12016" w:type="dxa"/>
          </w:tcPr>
          <w:p w14:paraId="501273BE" w14:textId="77777777" w:rsidR="00BC268B" w:rsidRPr="00BC268B" w:rsidRDefault="00BC268B" w:rsidP="000E6AD1">
            <w:pPr>
              <w:outlineLvl w:val="0"/>
              <w:rPr>
                <w:bCs/>
                <w:szCs w:val="22"/>
              </w:rPr>
            </w:pPr>
            <w:r w:rsidRPr="00BC268B">
              <w:rPr>
                <w:bCs/>
                <w:szCs w:val="22"/>
              </w:rPr>
              <w:t xml:space="preserve">IP Management and Transfer of Technology: Promoting the Effective Use of IP in Developing Countries, Least Developed Countries and Countries with Economies in Transition </w:t>
            </w:r>
          </w:p>
        </w:tc>
      </w:tr>
      <w:tr w:rsidR="00BC268B" w:rsidRPr="00BC268B" w14:paraId="5B94A999" w14:textId="77777777" w:rsidTr="0046416E">
        <w:tc>
          <w:tcPr>
            <w:tcW w:w="814" w:type="dxa"/>
          </w:tcPr>
          <w:p w14:paraId="699158FC" w14:textId="77777777" w:rsidR="00BC268B" w:rsidRPr="00BC268B" w:rsidRDefault="00BC268B" w:rsidP="006E6FFA">
            <w:pPr>
              <w:outlineLvl w:val="0"/>
              <w:rPr>
                <w:bCs/>
                <w:szCs w:val="22"/>
              </w:rPr>
            </w:pPr>
            <w:r w:rsidRPr="00BC268B">
              <w:rPr>
                <w:bCs/>
                <w:szCs w:val="22"/>
              </w:rPr>
              <w:t>36.</w:t>
            </w:r>
          </w:p>
        </w:tc>
        <w:tc>
          <w:tcPr>
            <w:tcW w:w="12016" w:type="dxa"/>
          </w:tcPr>
          <w:p w14:paraId="080FA75F" w14:textId="77777777" w:rsidR="00BC268B" w:rsidRPr="00BC268B" w:rsidRDefault="00BC268B" w:rsidP="000E6AD1">
            <w:pPr>
              <w:outlineLvl w:val="0"/>
              <w:rPr>
                <w:bCs/>
                <w:szCs w:val="22"/>
              </w:rPr>
            </w:pPr>
            <w:r w:rsidRPr="00BC268B">
              <w:rPr>
                <w:szCs w:val="22"/>
              </w:rPr>
              <w:t>Enhancing the Use of IP for Mobile Applications in the Software Sector</w:t>
            </w:r>
          </w:p>
        </w:tc>
      </w:tr>
      <w:tr w:rsidR="00BC268B" w:rsidRPr="00BC268B" w14:paraId="56D20214" w14:textId="77777777" w:rsidTr="0046416E">
        <w:tc>
          <w:tcPr>
            <w:tcW w:w="814" w:type="dxa"/>
          </w:tcPr>
          <w:p w14:paraId="713B345C" w14:textId="77777777" w:rsidR="00BC268B" w:rsidRPr="00BC268B" w:rsidRDefault="00BC268B" w:rsidP="006E6FFA">
            <w:pPr>
              <w:outlineLvl w:val="0"/>
              <w:rPr>
                <w:bCs/>
                <w:szCs w:val="22"/>
              </w:rPr>
            </w:pPr>
            <w:r w:rsidRPr="00BC268B">
              <w:rPr>
                <w:bCs/>
                <w:szCs w:val="22"/>
              </w:rPr>
              <w:t>37.</w:t>
            </w:r>
          </w:p>
        </w:tc>
        <w:tc>
          <w:tcPr>
            <w:tcW w:w="12016" w:type="dxa"/>
          </w:tcPr>
          <w:p w14:paraId="0754AF34" w14:textId="77777777" w:rsidR="00BC268B" w:rsidRPr="00BC268B" w:rsidRDefault="00BC268B" w:rsidP="006E6FFA">
            <w:pPr>
              <w:outlineLvl w:val="0"/>
              <w:rPr>
                <w:bCs/>
                <w:szCs w:val="22"/>
              </w:rPr>
            </w:pPr>
            <w:r w:rsidRPr="00BC268B">
              <w:rPr>
                <w:bCs/>
                <w:szCs w:val="22"/>
              </w:rPr>
              <w:t>Tools for Successful DA Project Proposals</w:t>
            </w:r>
          </w:p>
        </w:tc>
      </w:tr>
      <w:tr w:rsidR="00BC268B" w:rsidRPr="00BC268B" w14:paraId="3D831912" w14:textId="77777777" w:rsidTr="0046416E">
        <w:tc>
          <w:tcPr>
            <w:tcW w:w="814" w:type="dxa"/>
          </w:tcPr>
          <w:p w14:paraId="51A6AF34" w14:textId="77777777" w:rsidR="00BC268B" w:rsidRPr="00BC268B" w:rsidRDefault="00BC268B" w:rsidP="006E6FFA">
            <w:pPr>
              <w:outlineLvl w:val="0"/>
              <w:rPr>
                <w:bCs/>
                <w:szCs w:val="22"/>
              </w:rPr>
            </w:pPr>
            <w:r w:rsidRPr="00BC268B">
              <w:rPr>
                <w:bCs/>
                <w:szCs w:val="22"/>
              </w:rPr>
              <w:t>38.</w:t>
            </w:r>
          </w:p>
        </w:tc>
        <w:tc>
          <w:tcPr>
            <w:tcW w:w="12016" w:type="dxa"/>
          </w:tcPr>
          <w:p w14:paraId="029C33FD" w14:textId="77777777" w:rsidR="00BC268B" w:rsidRPr="00BC268B" w:rsidRDefault="00BC268B" w:rsidP="006E6FFA">
            <w:pPr>
              <w:outlineLvl w:val="0"/>
              <w:rPr>
                <w:bCs/>
                <w:szCs w:val="22"/>
              </w:rPr>
            </w:pPr>
            <w:r w:rsidRPr="00BC268B">
              <w:rPr>
                <w:bCs/>
                <w:szCs w:val="22"/>
              </w:rPr>
              <w:t>Increasing the Role of Women in Innovation and Entrepreneurship, Encouraging Women in Developing Countries to Use the IP System</w:t>
            </w:r>
          </w:p>
        </w:tc>
      </w:tr>
      <w:tr w:rsidR="00BC268B" w:rsidRPr="00BC268B" w14:paraId="31327337" w14:textId="77777777" w:rsidTr="0046416E">
        <w:tc>
          <w:tcPr>
            <w:tcW w:w="814" w:type="dxa"/>
          </w:tcPr>
          <w:p w14:paraId="6965AF2A" w14:textId="77777777" w:rsidR="00BC268B" w:rsidRPr="00BC268B" w:rsidRDefault="00BC268B" w:rsidP="006E6FFA">
            <w:pPr>
              <w:outlineLvl w:val="0"/>
              <w:rPr>
                <w:bCs/>
                <w:szCs w:val="22"/>
              </w:rPr>
            </w:pPr>
            <w:r w:rsidRPr="00BC268B">
              <w:rPr>
                <w:bCs/>
                <w:szCs w:val="22"/>
              </w:rPr>
              <w:t>39.</w:t>
            </w:r>
          </w:p>
        </w:tc>
        <w:tc>
          <w:tcPr>
            <w:tcW w:w="12016" w:type="dxa"/>
          </w:tcPr>
          <w:p w14:paraId="7CFDD71D" w14:textId="77777777" w:rsidR="00BC268B" w:rsidRPr="00BC268B" w:rsidRDefault="00BC268B" w:rsidP="006E6FFA">
            <w:pPr>
              <w:outlineLvl w:val="0"/>
              <w:rPr>
                <w:bCs/>
                <w:szCs w:val="22"/>
              </w:rPr>
            </w:pPr>
            <w:r w:rsidRPr="00BC268B">
              <w:rPr>
                <w:bCs/>
                <w:szCs w:val="22"/>
              </w:rPr>
              <w:t>IP and Gastronomic Tourism in Peru and Other Developing Countries:  Promoting the Development of Gastronomic Tourism through IP</w:t>
            </w:r>
          </w:p>
        </w:tc>
      </w:tr>
      <w:tr w:rsidR="00BC268B" w:rsidRPr="00BC268B" w14:paraId="6045F505" w14:textId="77777777" w:rsidTr="0046416E">
        <w:tc>
          <w:tcPr>
            <w:tcW w:w="814" w:type="dxa"/>
          </w:tcPr>
          <w:p w14:paraId="777ACC3C" w14:textId="77777777" w:rsidR="00BC268B" w:rsidRPr="00BC268B" w:rsidRDefault="00BC268B" w:rsidP="00275F8B">
            <w:pPr>
              <w:outlineLvl w:val="0"/>
              <w:rPr>
                <w:bCs/>
                <w:szCs w:val="22"/>
              </w:rPr>
            </w:pPr>
            <w:r w:rsidRPr="00BC268B">
              <w:rPr>
                <w:bCs/>
                <w:szCs w:val="22"/>
              </w:rPr>
              <w:t>40.</w:t>
            </w:r>
          </w:p>
        </w:tc>
        <w:tc>
          <w:tcPr>
            <w:tcW w:w="12016" w:type="dxa"/>
          </w:tcPr>
          <w:p w14:paraId="3CFA1009" w14:textId="77777777" w:rsidR="00BC268B" w:rsidRPr="00BC268B" w:rsidRDefault="00BC268B" w:rsidP="00275F8B">
            <w:pPr>
              <w:outlineLvl w:val="0"/>
              <w:rPr>
                <w:bCs/>
                <w:szCs w:val="22"/>
              </w:rPr>
            </w:pPr>
            <w:r w:rsidRPr="00BC268B">
              <w:rPr>
                <w:bCs/>
                <w:szCs w:val="22"/>
              </w:rPr>
              <w:t>Copyright and the Distribution of Content in the Digital Environment</w:t>
            </w:r>
          </w:p>
        </w:tc>
      </w:tr>
      <w:tr w:rsidR="00BC268B" w:rsidRPr="00BC268B" w14:paraId="5E02451A" w14:textId="77777777" w:rsidTr="0046416E">
        <w:tc>
          <w:tcPr>
            <w:tcW w:w="814" w:type="dxa"/>
          </w:tcPr>
          <w:p w14:paraId="76D5B327" w14:textId="77777777" w:rsidR="00BC268B" w:rsidRPr="00BC268B" w:rsidRDefault="00BC268B" w:rsidP="00242270">
            <w:pPr>
              <w:outlineLvl w:val="0"/>
              <w:rPr>
                <w:bCs/>
                <w:szCs w:val="22"/>
              </w:rPr>
            </w:pPr>
            <w:r w:rsidRPr="00BC268B">
              <w:rPr>
                <w:bCs/>
                <w:szCs w:val="22"/>
              </w:rPr>
              <w:t>41.</w:t>
            </w:r>
          </w:p>
        </w:tc>
        <w:tc>
          <w:tcPr>
            <w:tcW w:w="12016" w:type="dxa"/>
          </w:tcPr>
          <w:p w14:paraId="7F46E669" w14:textId="77777777" w:rsidR="00BC268B" w:rsidRPr="00BC268B" w:rsidRDefault="00BC268B" w:rsidP="00242270">
            <w:pPr>
              <w:outlineLvl w:val="0"/>
              <w:rPr>
                <w:bCs/>
                <w:szCs w:val="22"/>
              </w:rPr>
            </w:pPr>
            <w:r w:rsidRPr="00BC268B">
              <w:rPr>
                <w:bCs/>
                <w:szCs w:val="22"/>
              </w:rPr>
              <w:t xml:space="preserve">Identifying and Using Inventions in the Public Domain </w:t>
            </w:r>
          </w:p>
        </w:tc>
      </w:tr>
      <w:tr w:rsidR="00BC268B" w:rsidRPr="00BC268B" w14:paraId="7111B308" w14:textId="77777777" w:rsidTr="0046416E">
        <w:tc>
          <w:tcPr>
            <w:tcW w:w="814" w:type="dxa"/>
          </w:tcPr>
          <w:p w14:paraId="1821D322" w14:textId="77777777" w:rsidR="00BC268B" w:rsidRPr="00BC268B" w:rsidRDefault="00BC268B" w:rsidP="00242270">
            <w:pPr>
              <w:outlineLvl w:val="0"/>
              <w:rPr>
                <w:bCs/>
                <w:szCs w:val="22"/>
              </w:rPr>
            </w:pPr>
            <w:r w:rsidRPr="00BC268B">
              <w:rPr>
                <w:bCs/>
                <w:szCs w:val="22"/>
              </w:rPr>
              <w:t>42.</w:t>
            </w:r>
          </w:p>
        </w:tc>
        <w:tc>
          <w:tcPr>
            <w:tcW w:w="12016" w:type="dxa"/>
          </w:tcPr>
          <w:p w14:paraId="64AD8D46" w14:textId="77777777" w:rsidR="00BC268B" w:rsidRPr="00BC268B" w:rsidRDefault="00BC268B" w:rsidP="00242270">
            <w:pPr>
              <w:outlineLvl w:val="0"/>
              <w:rPr>
                <w:bCs/>
                <w:szCs w:val="22"/>
              </w:rPr>
            </w:pPr>
            <w:r w:rsidRPr="00BC268B">
              <w:rPr>
                <w:bCs/>
                <w:szCs w:val="22"/>
              </w:rPr>
              <w:t xml:space="preserve">Registration of the Collective Marks of Local Enterprises as a Cross-Cutting Economic Development Issue </w:t>
            </w:r>
          </w:p>
        </w:tc>
      </w:tr>
      <w:tr w:rsidR="00BC268B" w:rsidRPr="00BC268B" w14:paraId="637112C5" w14:textId="77777777" w:rsidTr="0046416E">
        <w:tc>
          <w:tcPr>
            <w:tcW w:w="814" w:type="dxa"/>
          </w:tcPr>
          <w:p w14:paraId="4F0E3CBB" w14:textId="77777777" w:rsidR="00BC268B" w:rsidRPr="00BC268B" w:rsidRDefault="00BC268B" w:rsidP="00242270">
            <w:pPr>
              <w:outlineLvl w:val="0"/>
              <w:rPr>
                <w:bCs/>
                <w:szCs w:val="22"/>
              </w:rPr>
            </w:pPr>
            <w:r w:rsidRPr="00BC268B">
              <w:rPr>
                <w:bCs/>
                <w:szCs w:val="22"/>
              </w:rPr>
              <w:t>43.</w:t>
            </w:r>
          </w:p>
        </w:tc>
        <w:tc>
          <w:tcPr>
            <w:tcW w:w="12016" w:type="dxa"/>
          </w:tcPr>
          <w:p w14:paraId="703CB177" w14:textId="77777777" w:rsidR="00BC268B" w:rsidRPr="00BC268B" w:rsidRDefault="00BC268B" w:rsidP="00242270">
            <w:pPr>
              <w:outlineLvl w:val="0"/>
              <w:rPr>
                <w:bCs/>
                <w:szCs w:val="22"/>
              </w:rPr>
            </w:pPr>
            <w:r w:rsidRPr="00BC268B">
              <w:rPr>
                <w:szCs w:val="22"/>
              </w:rPr>
              <w:t>Enhancing the use of IP for Mobile Applications in the Software Sector</w:t>
            </w:r>
            <w:r w:rsidRPr="00BC268B">
              <w:rPr>
                <w:bCs/>
                <w:szCs w:val="22"/>
              </w:rPr>
              <w:t xml:space="preserve"> – Phase II </w:t>
            </w:r>
          </w:p>
        </w:tc>
      </w:tr>
      <w:tr w:rsidR="00BC268B" w:rsidRPr="00BC268B" w14:paraId="446ED59E" w14:textId="77777777" w:rsidTr="0046416E">
        <w:tc>
          <w:tcPr>
            <w:tcW w:w="12830" w:type="dxa"/>
            <w:gridSpan w:val="2"/>
          </w:tcPr>
          <w:p w14:paraId="03EA092E" w14:textId="77777777" w:rsidR="00BC268B" w:rsidRPr="00BC268B" w:rsidRDefault="00BC268B" w:rsidP="00275F8B">
            <w:pPr>
              <w:outlineLvl w:val="0"/>
              <w:rPr>
                <w:bCs/>
                <w:szCs w:val="22"/>
              </w:rPr>
            </w:pPr>
            <w:r w:rsidRPr="00BC268B">
              <w:rPr>
                <w:b/>
                <w:i/>
                <w:szCs w:val="22"/>
              </w:rPr>
              <w:t>DA Projects under Implementation as of December 2024 (12)</w:t>
            </w:r>
          </w:p>
        </w:tc>
      </w:tr>
      <w:tr w:rsidR="00BC268B" w:rsidRPr="00BC268B" w14:paraId="0A996910" w14:textId="77777777" w:rsidTr="0046416E">
        <w:tc>
          <w:tcPr>
            <w:tcW w:w="814" w:type="dxa"/>
          </w:tcPr>
          <w:p w14:paraId="6B05F92B" w14:textId="77777777" w:rsidR="00BC268B" w:rsidRPr="00BC268B" w:rsidRDefault="00BC268B" w:rsidP="00242270">
            <w:pPr>
              <w:outlineLvl w:val="0"/>
              <w:rPr>
                <w:bCs/>
                <w:szCs w:val="22"/>
              </w:rPr>
            </w:pPr>
            <w:r w:rsidRPr="00BC268B">
              <w:rPr>
                <w:bCs/>
                <w:szCs w:val="22"/>
              </w:rPr>
              <w:t>1.</w:t>
            </w:r>
          </w:p>
        </w:tc>
        <w:tc>
          <w:tcPr>
            <w:tcW w:w="12016" w:type="dxa"/>
          </w:tcPr>
          <w:p w14:paraId="5F34E09A" w14:textId="77777777" w:rsidR="00BC268B" w:rsidRPr="00BC268B" w:rsidRDefault="00BC268B" w:rsidP="00242270">
            <w:pPr>
              <w:outlineLvl w:val="0"/>
              <w:rPr>
                <w:bCs/>
                <w:szCs w:val="22"/>
              </w:rPr>
            </w:pPr>
            <w:bookmarkStart w:id="36" w:name="_Hlk190175762"/>
            <w:r w:rsidRPr="00BC268B">
              <w:rPr>
                <w:bCs/>
                <w:szCs w:val="22"/>
              </w:rPr>
              <w:t>Development of the Music Sector and New Economic Models of Music in Burkina Faso and in Certain Countries of the West African Economic and Monetary Union (WAEMU)</w:t>
            </w:r>
            <w:bookmarkEnd w:id="36"/>
          </w:p>
        </w:tc>
      </w:tr>
      <w:tr w:rsidR="00BC268B" w:rsidRPr="00BC268B" w14:paraId="091DD256" w14:textId="77777777" w:rsidTr="0046416E">
        <w:tc>
          <w:tcPr>
            <w:tcW w:w="814" w:type="dxa"/>
          </w:tcPr>
          <w:p w14:paraId="3A603A9E" w14:textId="77777777" w:rsidR="00BC268B" w:rsidRPr="00BC268B" w:rsidRDefault="00BC268B" w:rsidP="00242270">
            <w:pPr>
              <w:outlineLvl w:val="0"/>
              <w:rPr>
                <w:bCs/>
                <w:szCs w:val="22"/>
              </w:rPr>
            </w:pPr>
            <w:r w:rsidRPr="00BC268B">
              <w:rPr>
                <w:bCs/>
                <w:szCs w:val="22"/>
              </w:rPr>
              <w:t>2.</w:t>
            </w:r>
          </w:p>
        </w:tc>
        <w:tc>
          <w:tcPr>
            <w:tcW w:w="12016" w:type="dxa"/>
          </w:tcPr>
          <w:p w14:paraId="18B594E5" w14:textId="77777777" w:rsidR="00BC268B" w:rsidRPr="00BC268B" w:rsidRDefault="00BC268B" w:rsidP="00242270">
            <w:pPr>
              <w:outlineLvl w:val="0"/>
              <w:rPr>
                <w:bCs/>
                <w:szCs w:val="22"/>
              </w:rPr>
            </w:pPr>
            <w:r w:rsidRPr="00BC268B">
              <w:rPr>
                <w:bCs/>
                <w:szCs w:val="22"/>
              </w:rPr>
              <w:t>Promoting the Use of IP in Developing Countries in Creative Industries in the Digital Era</w:t>
            </w:r>
          </w:p>
        </w:tc>
      </w:tr>
      <w:tr w:rsidR="00BC268B" w:rsidRPr="00BC268B" w14:paraId="5AED2918" w14:textId="77777777" w:rsidTr="0046416E">
        <w:tc>
          <w:tcPr>
            <w:tcW w:w="814" w:type="dxa"/>
          </w:tcPr>
          <w:p w14:paraId="581AE91C" w14:textId="77777777" w:rsidR="00BC268B" w:rsidRPr="00BC268B" w:rsidRDefault="00BC268B" w:rsidP="00242270">
            <w:pPr>
              <w:outlineLvl w:val="0"/>
              <w:rPr>
                <w:bCs/>
                <w:szCs w:val="22"/>
              </w:rPr>
            </w:pPr>
            <w:r w:rsidRPr="00BC268B">
              <w:rPr>
                <w:bCs/>
                <w:szCs w:val="22"/>
              </w:rPr>
              <w:t>3.</w:t>
            </w:r>
          </w:p>
        </w:tc>
        <w:tc>
          <w:tcPr>
            <w:tcW w:w="12016" w:type="dxa"/>
          </w:tcPr>
          <w:p w14:paraId="1B6DB609" w14:textId="77777777" w:rsidR="00BC268B" w:rsidRPr="00BC268B" w:rsidRDefault="00BC268B" w:rsidP="00242270">
            <w:pPr>
              <w:outlineLvl w:val="0"/>
              <w:rPr>
                <w:bCs/>
                <w:szCs w:val="22"/>
              </w:rPr>
            </w:pPr>
            <w:r w:rsidRPr="00BC268B">
              <w:rPr>
                <w:bCs/>
                <w:szCs w:val="22"/>
              </w:rPr>
              <w:t>Systematization of Statistical Data and the Design and Implementation of a Methodology for Developing Impact Assessments on the Use of the IP System</w:t>
            </w:r>
          </w:p>
        </w:tc>
      </w:tr>
      <w:tr w:rsidR="00BC268B" w:rsidRPr="00BC268B" w14:paraId="4D1264DF" w14:textId="77777777" w:rsidTr="0046416E">
        <w:tc>
          <w:tcPr>
            <w:tcW w:w="814" w:type="dxa"/>
          </w:tcPr>
          <w:p w14:paraId="574E75E7" w14:textId="77777777" w:rsidR="00BC268B" w:rsidRPr="00BC268B" w:rsidRDefault="00BC268B" w:rsidP="00242270">
            <w:pPr>
              <w:outlineLvl w:val="0"/>
              <w:rPr>
                <w:bCs/>
                <w:szCs w:val="22"/>
              </w:rPr>
            </w:pPr>
            <w:r w:rsidRPr="00BC268B">
              <w:rPr>
                <w:bCs/>
                <w:szCs w:val="22"/>
              </w:rPr>
              <w:t>4.</w:t>
            </w:r>
          </w:p>
        </w:tc>
        <w:tc>
          <w:tcPr>
            <w:tcW w:w="12016" w:type="dxa"/>
          </w:tcPr>
          <w:p w14:paraId="780E063E" w14:textId="77777777" w:rsidR="00BC268B" w:rsidRPr="00BC268B" w:rsidRDefault="00BC268B" w:rsidP="00242270">
            <w:pPr>
              <w:outlineLvl w:val="0"/>
              <w:rPr>
                <w:bCs/>
                <w:szCs w:val="22"/>
              </w:rPr>
            </w:pPr>
            <w:r w:rsidRPr="00BC268B">
              <w:rPr>
                <w:bCs/>
                <w:szCs w:val="22"/>
              </w:rPr>
              <w:t>Empowering Small Businesses Through IP:  Developing Strategies for Supporting Geographical Indications or Collective Marks in the Post-registration Period</w:t>
            </w:r>
          </w:p>
        </w:tc>
      </w:tr>
      <w:tr w:rsidR="00BC268B" w:rsidRPr="00BC268B" w14:paraId="71B6B547" w14:textId="77777777" w:rsidTr="0046416E">
        <w:tc>
          <w:tcPr>
            <w:tcW w:w="814" w:type="dxa"/>
          </w:tcPr>
          <w:p w14:paraId="55B48BAA" w14:textId="77777777" w:rsidR="00BC268B" w:rsidRPr="00BC268B" w:rsidRDefault="00BC268B" w:rsidP="00242270">
            <w:pPr>
              <w:outlineLvl w:val="0"/>
              <w:rPr>
                <w:bCs/>
                <w:szCs w:val="22"/>
              </w:rPr>
            </w:pPr>
            <w:r w:rsidRPr="00BC268B">
              <w:rPr>
                <w:bCs/>
                <w:szCs w:val="22"/>
              </w:rPr>
              <w:t>5.</w:t>
            </w:r>
          </w:p>
        </w:tc>
        <w:tc>
          <w:tcPr>
            <w:tcW w:w="12016" w:type="dxa"/>
          </w:tcPr>
          <w:p w14:paraId="0A5ECBA2" w14:textId="77777777" w:rsidR="00BC268B" w:rsidRPr="00BC268B" w:rsidRDefault="00BC268B" w:rsidP="00242270">
            <w:pPr>
              <w:outlineLvl w:val="0"/>
              <w:rPr>
                <w:bCs/>
                <w:szCs w:val="22"/>
              </w:rPr>
            </w:pPr>
            <w:r w:rsidRPr="00BC268B">
              <w:rPr>
                <w:szCs w:val="22"/>
              </w:rPr>
              <w:t>Reducing Work-Related Accidents and Occupational Diseases through Innovation and IP</w:t>
            </w:r>
          </w:p>
        </w:tc>
      </w:tr>
      <w:tr w:rsidR="00BC268B" w:rsidRPr="00BC268B" w14:paraId="4DAB8F4A" w14:textId="77777777" w:rsidTr="0046416E">
        <w:tc>
          <w:tcPr>
            <w:tcW w:w="814" w:type="dxa"/>
          </w:tcPr>
          <w:p w14:paraId="0955642D" w14:textId="77777777" w:rsidR="00BC268B" w:rsidRPr="00BC268B" w:rsidRDefault="00BC268B" w:rsidP="00242270">
            <w:pPr>
              <w:outlineLvl w:val="0"/>
              <w:rPr>
                <w:bCs/>
                <w:szCs w:val="22"/>
              </w:rPr>
            </w:pPr>
            <w:r w:rsidRPr="00BC268B">
              <w:rPr>
                <w:bCs/>
                <w:szCs w:val="22"/>
              </w:rPr>
              <w:t>6.</w:t>
            </w:r>
          </w:p>
        </w:tc>
        <w:tc>
          <w:tcPr>
            <w:tcW w:w="12016" w:type="dxa"/>
          </w:tcPr>
          <w:p w14:paraId="2BF0BDBC" w14:textId="77777777" w:rsidR="00BC268B" w:rsidRPr="00BC268B" w:rsidRDefault="00BC268B" w:rsidP="00242270">
            <w:pPr>
              <w:outlineLvl w:val="0"/>
              <w:rPr>
                <w:bCs/>
                <w:szCs w:val="22"/>
              </w:rPr>
            </w:pPr>
            <w:r w:rsidRPr="00BC268B">
              <w:rPr>
                <w:bCs/>
                <w:szCs w:val="22"/>
              </w:rPr>
              <w:t>IP and Gastronomic Tourism in Peru and other Developing Countries: Promoting the Development of Gastronomic Tourism through IP – Phase II</w:t>
            </w:r>
          </w:p>
        </w:tc>
      </w:tr>
      <w:tr w:rsidR="00BC268B" w:rsidRPr="00BC268B" w14:paraId="7F82D91B" w14:textId="77777777" w:rsidTr="0046416E">
        <w:tc>
          <w:tcPr>
            <w:tcW w:w="814" w:type="dxa"/>
          </w:tcPr>
          <w:p w14:paraId="49A4FA5A" w14:textId="77777777" w:rsidR="00BC268B" w:rsidRPr="00BC268B" w:rsidRDefault="00BC268B" w:rsidP="00242270">
            <w:pPr>
              <w:outlineLvl w:val="0"/>
              <w:rPr>
                <w:bCs/>
                <w:szCs w:val="22"/>
              </w:rPr>
            </w:pPr>
            <w:r w:rsidRPr="00BC268B">
              <w:rPr>
                <w:bCs/>
                <w:szCs w:val="22"/>
              </w:rPr>
              <w:t>7.</w:t>
            </w:r>
          </w:p>
        </w:tc>
        <w:tc>
          <w:tcPr>
            <w:tcW w:w="12016" w:type="dxa"/>
          </w:tcPr>
          <w:p w14:paraId="59251AD2" w14:textId="77777777" w:rsidR="00BC268B" w:rsidRPr="00BC268B" w:rsidRDefault="00BC268B" w:rsidP="00242270">
            <w:pPr>
              <w:outlineLvl w:val="0"/>
              <w:rPr>
                <w:bCs/>
                <w:szCs w:val="22"/>
              </w:rPr>
            </w:pPr>
            <w:r w:rsidRPr="00BC268B">
              <w:rPr>
                <w:bCs/>
                <w:szCs w:val="22"/>
              </w:rPr>
              <w:t>IP and Innovation Collaboration as a Foundation for Technology Transfer and Bringing Research Output to Market</w:t>
            </w:r>
          </w:p>
        </w:tc>
      </w:tr>
      <w:tr w:rsidR="00BC268B" w:rsidRPr="00BC268B" w14:paraId="4BA550C3" w14:textId="77777777" w:rsidTr="0046416E">
        <w:tc>
          <w:tcPr>
            <w:tcW w:w="814" w:type="dxa"/>
          </w:tcPr>
          <w:p w14:paraId="59CFD373" w14:textId="77777777" w:rsidR="00BC268B" w:rsidRPr="00BC268B" w:rsidRDefault="00BC268B" w:rsidP="00242270">
            <w:pPr>
              <w:outlineLvl w:val="0"/>
              <w:rPr>
                <w:bCs/>
                <w:szCs w:val="22"/>
              </w:rPr>
            </w:pPr>
            <w:r w:rsidRPr="00BC268B">
              <w:rPr>
                <w:bCs/>
                <w:szCs w:val="22"/>
              </w:rPr>
              <w:t>8.</w:t>
            </w:r>
          </w:p>
        </w:tc>
        <w:tc>
          <w:tcPr>
            <w:tcW w:w="12016" w:type="dxa"/>
          </w:tcPr>
          <w:p w14:paraId="14EFB953" w14:textId="77777777" w:rsidR="00BC268B" w:rsidRPr="00BC268B" w:rsidRDefault="00BC268B" w:rsidP="00242270">
            <w:pPr>
              <w:outlineLvl w:val="0"/>
              <w:rPr>
                <w:bCs/>
                <w:szCs w:val="22"/>
              </w:rPr>
            </w:pPr>
            <w:bookmarkStart w:id="37" w:name="_Hlk190177025"/>
            <w:r w:rsidRPr="00BC268B">
              <w:rPr>
                <w:bCs/>
                <w:szCs w:val="22"/>
              </w:rPr>
              <w:t>Text and Data Mining (TDM) to Support Research and Innovation in Universities and Other Research-Oriented Institutions in Africa</w:t>
            </w:r>
            <w:bookmarkEnd w:id="37"/>
          </w:p>
        </w:tc>
      </w:tr>
      <w:tr w:rsidR="00BC268B" w:rsidRPr="00BC268B" w14:paraId="3C0BD974" w14:textId="77777777" w:rsidTr="0046416E">
        <w:tc>
          <w:tcPr>
            <w:tcW w:w="814" w:type="dxa"/>
          </w:tcPr>
          <w:p w14:paraId="201817BE" w14:textId="77777777" w:rsidR="00BC268B" w:rsidRPr="00BC268B" w:rsidRDefault="00BC268B" w:rsidP="00242270">
            <w:pPr>
              <w:outlineLvl w:val="0"/>
              <w:rPr>
                <w:bCs/>
                <w:szCs w:val="22"/>
              </w:rPr>
            </w:pPr>
            <w:r w:rsidRPr="00BC268B">
              <w:rPr>
                <w:bCs/>
                <w:szCs w:val="22"/>
              </w:rPr>
              <w:lastRenderedPageBreak/>
              <w:t>9.</w:t>
            </w:r>
          </w:p>
        </w:tc>
        <w:tc>
          <w:tcPr>
            <w:tcW w:w="12016" w:type="dxa"/>
          </w:tcPr>
          <w:p w14:paraId="575391C3" w14:textId="77777777" w:rsidR="00BC268B" w:rsidRPr="00BC268B" w:rsidRDefault="00BC268B" w:rsidP="00242270">
            <w:pPr>
              <w:outlineLvl w:val="0"/>
              <w:rPr>
                <w:szCs w:val="22"/>
              </w:rPr>
            </w:pPr>
            <w:r w:rsidRPr="00BC268B">
              <w:rPr>
                <w:bCs/>
                <w:szCs w:val="22"/>
              </w:rPr>
              <w:t>Empowering Youth (K-12) to Innovate for a Better Future</w:t>
            </w:r>
          </w:p>
        </w:tc>
      </w:tr>
      <w:tr w:rsidR="00BC268B" w:rsidRPr="00BC268B" w14:paraId="431DAFC0" w14:textId="77777777" w:rsidTr="0046416E">
        <w:tc>
          <w:tcPr>
            <w:tcW w:w="814" w:type="dxa"/>
          </w:tcPr>
          <w:p w14:paraId="2DA21B65" w14:textId="77777777" w:rsidR="00BC268B" w:rsidRPr="00BC268B" w:rsidRDefault="00BC268B" w:rsidP="00242270">
            <w:pPr>
              <w:outlineLvl w:val="0"/>
              <w:rPr>
                <w:bCs/>
                <w:szCs w:val="22"/>
              </w:rPr>
            </w:pPr>
            <w:r w:rsidRPr="00BC268B">
              <w:rPr>
                <w:bCs/>
                <w:szCs w:val="22"/>
              </w:rPr>
              <w:t>10.</w:t>
            </w:r>
          </w:p>
        </w:tc>
        <w:tc>
          <w:tcPr>
            <w:tcW w:w="12016" w:type="dxa"/>
          </w:tcPr>
          <w:p w14:paraId="3F01CCE1" w14:textId="77777777" w:rsidR="00BC268B" w:rsidRPr="00BC268B" w:rsidRDefault="00BC268B" w:rsidP="00242270">
            <w:pPr>
              <w:outlineLvl w:val="0"/>
              <w:rPr>
                <w:szCs w:val="22"/>
              </w:rPr>
            </w:pPr>
            <w:bookmarkStart w:id="38" w:name="_Hlk190184250"/>
            <w:r w:rsidRPr="00BC268B">
              <w:rPr>
                <w:bCs/>
                <w:szCs w:val="22"/>
              </w:rPr>
              <w:t>Development of Strategies and Tools to Address Online Copyright Piracy in the African Digital Market</w:t>
            </w:r>
            <w:bookmarkEnd w:id="38"/>
          </w:p>
        </w:tc>
      </w:tr>
      <w:tr w:rsidR="00BC268B" w:rsidRPr="00BC268B" w14:paraId="35FE555F" w14:textId="77777777" w:rsidTr="0046416E">
        <w:tc>
          <w:tcPr>
            <w:tcW w:w="814" w:type="dxa"/>
          </w:tcPr>
          <w:p w14:paraId="64EC34AF" w14:textId="77777777" w:rsidR="00BC268B" w:rsidRPr="00BC268B" w:rsidRDefault="00BC268B" w:rsidP="00242270">
            <w:pPr>
              <w:outlineLvl w:val="0"/>
              <w:rPr>
                <w:bCs/>
                <w:szCs w:val="22"/>
              </w:rPr>
            </w:pPr>
            <w:r w:rsidRPr="00BC268B">
              <w:rPr>
                <w:bCs/>
                <w:szCs w:val="22"/>
              </w:rPr>
              <w:t>11.</w:t>
            </w:r>
          </w:p>
        </w:tc>
        <w:tc>
          <w:tcPr>
            <w:tcW w:w="12016" w:type="dxa"/>
          </w:tcPr>
          <w:p w14:paraId="54AE18E8" w14:textId="77777777" w:rsidR="00BC268B" w:rsidRPr="00BC268B" w:rsidRDefault="00BC268B" w:rsidP="00242270">
            <w:pPr>
              <w:outlineLvl w:val="0"/>
              <w:rPr>
                <w:szCs w:val="22"/>
              </w:rPr>
            </w:pPr>
            <w:r w:rsidRPr="00BC268B">
              <w:rPr>
                <w:bCs/>
                <w:szCs w:val="22"/>
              </w:rPr>
              <w:t>Copyright and the Distribution of Content in the Digital Environment – Phase II</w:t>
            </w:r>
          </w:p>
        </w:tc>
      </w:tr>
      <w:tr w:rsidR="00BC268B" w:rsidRPr="00BC268B" w14:paraId="65FF0040" w14:textId="77777777" w:rsidTr="0046416E">
        <w:tc>
          <w:tcPr>
            <w:tcW w:w="814" w:type="dxa"/>
          </w:tcPr>
          <w:p w14:paraId="791DF639" w14:textId="77777777" w:rsidR="00BC268B" w:rsidRPr="00BC268B" w:rsidRDefault="00BC268B" w:rsidP="00242270">
            <w:pPr>
              <w:outlineLvl w:val="0"/>
              <w:rPr>
                <w:bCs/>
                <w:szCs w:val="22"/>
              </w:rPr>
            </w:pPr>
            <w:r w:rsidRPr="00BC268B">
              <w:rPr>
                <w:bCs/>
                <w:szCs w:val="22"/>
              </w:rPr>
              <w:t>12.</w:t>
            </w:r>
          </w:p>
        </w:tc>
        <w:tc>
          <w:tcPr>
            <w:tcW w:w="12016" w:type="dxa"/>
          </w:tcPr>
          <w:p w14:paraId="0D7BEB4F" w14:textId="77777777" w:rsidR="00BC268B" w:rsidRPr="00BC268B" w:rsidRDefault="00BC268B" w:rsidP="00242270">
            <w:pPr>
              <w:outlineLvl w:val="0"/>
              <w:rPr>
                <w:szCs w:val="22"/>
              </w:rPr>
            </w:pPr>
            <w:r w:rsidRPr="00BC268B">
              <w:rPr>
                <w:bCs/>
                <w:szCs w:val="22"/>
              </w:rPr>
              <w:t>IP and Unlocking the Potential of Non-Agricultural Geographical Indications for the Empowerment of Local Communities and Preservation or Revival of Local Arts and Traditions</w:t>
            </w:r>
          </w:p>
        </w:tc>
      </w:tr>
      <w:tr w:rsidR="00BC268B" w:rsidRPr="00BC268B" w14:paraId="236A4088" w14:textId="77777777" w:rsidTr="0046416E">
        <w:tc>
          <w:tcPr>
            <w:tcW w:w="12830" w:type="dxa"/>
            <w:gridSpan w:val="2"/>
          </w:tcPr>
          <w:p w14:paraId="02B98D31" w14:textId="77777777" w:rsidR="00BC268B" w:rsidRPr="00BC268B" w:rsidRDefault="00BC268B" w:rsidP="00492CC3">
            <w:pPr>
              <w:outlineLvl w:val="0"/>
              <w:rPr>
                <w:bCs/>
                <w:szCs w:val="22"/>
              </w:rPr>
            </w:pPr>
            <w:r w:rsidRPr="00BC268B">
              <w:rPr>
                <w:b/>
                <w:i/>
                <w:szCs w:val="22"/>
              </w:rPr>
              <w:t>DA Projects approved in 2024 (7)</w:t>
            </w:r>
          </w:p>
        </w:tc>
      </w:tr>
      <w:tr w:rsidR="00BC268B" w:rsidRPr="00BC268B" w14:paraId="05A7D726" w14:textId="77777777" w:rsidTr="0046416E">
        <w:tc>
          <w:tcPr>
            <w:tcW w:w="814" w:type="dxa"/>
          </w:tcPr>
          <w:p w14:paraId="3E3A6FEF" w14:textId="77777777" w:rsidR="00BC268B" w:rsidRPr="00BC268B" w:rsidRDefault="00BC268B" w:rsidP="00242270">
            <w:pPr>
              <w:outlineLvl w:val="0"/>
              <w:rPr>
                <w:bCs/>
                <w:szCs w:val="22"/>
              </w:rPr>
            </w:pPr>
            <w:r w:rsidRPr="00BC268B">
              <w:rPr>
                <w:bCs/>
                <w:szCs w:val="22"/>
              </w:rPr>
              <w:t>1.</w:t>
            </w:r>
          </w:p>
        </w:tc>
        <w:tc>
          <w:tcPr>
            <w:tcW w:w="12016" w:type="dxa"/>
          </w:tcPr>
          <w:p w14:paraId="62E4FC17" w14:textId="77777777" w:rsidR="00BC268B" w:rsidRPr="00BC268B" w:rsidRDefault="00BC268B" w:rsidP="00242270">
            <w:pPr>
              <w:outlineLvl w:val="0"/>
              <w:rPr>
                <w:bCs/>
                <w:szCs w:val="22"/>
              </w:rPr>
            </w:pPr>
            <w:r w:rsidRPr="00BC268B">
              <w:rPr>
                <w:bCs/>
                <w:szCs w:val="22"/>
              </w:rPr>
              <w:t xml:space="preserve">Enhancing the Capacities of National IP Offices in Times of Crisis </w:t>
            </w:r>
          </w:p>
        </w:tc>
      </w:tr>
      <w:tr w:rsidR="00BC268B" w:rsidRPr="00BC268B" w14:paraId="6E6521BC" w14:textId="77777777" w:rsidTr="0046416E">
        <w:tc>
          <w:tcPr>
            <w:tcW w:w="814" w:type="dxa"/>
          </w:tcPr>
          <w:p w14:paraId="12F589A6" w14:textId="77777777" w:rsidR="00BC268B" w:rsidRPr="00BC268B" w:rsidRDefault="00BC268B" w:rsidP="00242270">
            <w:pPr>
              <w:outlineLvl w:val="0"/>
              <w:rPr>
                <w:bCs/>
                <w:szCs w:val="22"/>
              </w:rPr>
            </w:pPr>
            <w:r w:rsidRPr="00BC268B">
              <w:rPr>
                <w:bCs/>
                <w:szCs w:val="22"/>
              </w:rPr>
              <w:t>2.</w:t>
            </w:r>
          </w:p>
        </w:tc>
        <w:tc>
          <w:tcPr>
            <w:tcW w:w="12016" w:type="dxa"/>
          </w:tcPr>
          <w:p w14:paraId="70AE6BA9" w14:textId="77777777" w:rsidR="00BC268B" w:rsidRPr="00BC268B" w:rsidRDefault="00BC268B" w:rsidP="00242270">
            <w:pPr>
              <w:outlineLvl w:val="0"/>
              <w:rPr>
                <w:bCs/>
                <w:szCs w:val="22"/>
              </w:rPr>
            </w:pPr>
            <w:r w:rsidRPr="00BC268B">
              <w:rPr>
                <w:bCs/>
                <w:szCs w:val="22"/>
              </w:rPr>
              <w:t xml:space="preserve">Enhancing IP Education Capacities of Artistic and Creative Academic Institutions to Foster Creativity </w:t>
            </w:r>
          </w:p>
        </w:tc>
      </w:tr>
      <w:tr w:rsidR="00BC268B" w:rsidRPr="00BC268B" w14:paraId="6446F69E" w14:textId="77777777" w:rsidTr="0046416E">
        <w:tc>
          <w:tcPr>
            <w:tcW w:w="814" w:type="dxa"/>
          </w:tcPr>
          <w:p w14:paraId="38CC2681" w14:textId="77777777" w:rsidR="00BC268B" w:rsidRPr="00BC268B" w:rsidRDefault="00BC268B" w:rsidP="00242270">
            <w:pPr>
              <w:outlineLvl w:val="0"/>
              <w:rPr>
                <w:bCs/>
                <w:szCs w:val="22"/>
              </w:rPr>
            </w:pPr>
            <w:r w:rsidRPr="00BC268B">
              <w:rPr>
                <w:bCs/>
                <w:szCs w:val="22"/>
              </w:rPr>
              <w:t>3.</w:t>
            </w:r>
          </w:p>
        </w:tc>
        <w:tc>
          <w:tcPr>
            <w:tcW w:w="12016" w:type="dxa"/>
          </w:tcPr>
          <w:p w14:paraId="0AEDEA6C" w14:textId="77777777" w:rsidR="00BC268B" w:rsidRPr="00BC268B" w:rsidRDefault="00BC268B" w:rsidP="00242270">
            <w:pPr>
              <w:outlineLvl w:val="0"/>
              <w:rPr>
                <w:bCs/>
                <w:szCs w:val="22"/>
              </w:rPr>
            </w:pPr>
            <w:r w:rsidRPr="00BC268B">
              <w:rPr>
                <w:bCs/>
                <w:szCs w:val="22"/>
              </w:rPr>
              <w:t xml:space="preserve">Sustaining and Strengthening the Role of Collective Marks as a Tool for Economic, Cultural, and Social Development through a Holistic Developmental Approach </w:t>
            </w:r>
          </w:p>
        </w:tc>
      </w:tr>
      <w:tr w:rsidR="00BC268B" w:rsidRPr="00BC268B" w14:paraId="4C7EC39E" w14:textId="77777777" w:rsidTr="0046416E">
        <w:tc>
          <w:tcPr>
            <w:tcW w:w="814" w:type="dxa"/>
          </w:tcPr>
          <w:p w14:paraId="116FECE2" w14:textId="77777777" w:rsidR="00BC268B" w:rsidRPr="00BC268B" w:rsidRDefault="00BC268B" w:rsidP="00242270">
            <w:pPr>
              <w:outlineLvl w:val="0"/>
              <w:rPr>
                <w:bCs/>
                <w:szCs w:val="22"/>
              </w:rPr>
            </w:pPr>
            <w:r w:rsidRPr="00BC268B">
              <w:rPr>
                <w:bCs/>
                <w:szCs w:val="22"/>
              </w:rPr>
              <w:t>4.</w:t>
            </w:r>
          </w:p>
        </w:tc>
        <w:tc>
          <w:tcPr>
            <w:tcW w:w="12016" w:type="dxa"/>
          </w:tcPr>
          <w:p w14:paraId="0DDF59A5" w14:textId="77777777" w:rsidR="00BC268B" w:rsidRPr="00BC268B" w:rsidRDefault="00BC268B" w:rsidP="00242270">
            <w:pPr>
              <w:outlineLvl w:val="0"/>
              <w:rPr>
                <w:bCs/>
                <w:szCs w:val="22"/>
              </w:rPr>
            </w:pPr>
            <w:r w:rsidRPr="00BC268B">
              <w:rPr>
                <w:bCs/>
                <w:szCs w:val="22"/>
              </w:rPr>
              <w:t xml:space="preserve">Implementing Alternative Dispute Resolution Services in Copyright Offices </w:t>
            </w:r>
          </w:p>
        </w:tc>
      </w:tr>
      <w:tr w:rsidR="00BC268B" w:rsidRPr="00BC268B" w14:paraId="5380A2EF" w14:textId="77777777" w:rsidTr="0046416E">
        <w:tc>
          <w:tcPr>
            <w:tcW w:w="814" w:type="dxa"/>
          </w:tcPr>
          <w:p w14:paraId="3623527A" w14:textId="77777777" w:rsidR="00BC268B" w:rsidRPr="00BC268B" w:rsidRDefault="00BC268B" w:rsidP="00242270">
            <w:pPr>
              <w:outlineLvl w:val="0"/>
              <w:rPr>
                <w:bCs/>
                <w:szCs w:val="22"/>
              </w:rPr>
            </w:pPr>
            <w:r w:rsidRPr="00BC268B">
              <w:rPr>
                <w:bCs/>
                <w:szCs w:val="22"/>
              </w:rPr>
              <w:t>5.</w:t>
            </w:r>
          </w:p>
        </w:tc>
        <w:tc>
          <w:tcPr>
            <w:tcW w:w="12016" w:type="dxa"/>
          </w:tcPr>
          <w:p w14:paraId="041FD024" w14:textId="77777777" w:rsidR="00BC268B" w:rsidRPr="00BC268B" w:rsidRDefault="00BC268B" w:rsidP="00242270">
            <w:pPr>
              <w:outlineLvl w:val="0"/>
              <w:rPr>
                <w:bCs/>
                <w:szCs w:val="22"/>
              </w:rPr>
            </w:pPr>
            <w:r w:rsidRPr="00BC268B">
              <w:rPr>
                <w:bCs/>
                <w:szCs w:val="22"/>
              </w:rPr>
              <w:t xml:space="preserve">Creation of National IP Strategies Outlook and Resource Hub at WIPO </w:t>
            </w:r>
          </w:p>
        </w:tc>
      </w:tr>
      <w:tr w:rsidR="00BC268B" w:rsidRPr="00BC268B" w14:paraId="190DF72B" w14:textId="77777777" w:rsidTr="0046416E">
        <w:tc>
          <w:tcPr>
            <w:tcW w:w="814" w:type="dxa"/>
          </w:tcPr>
          <w:p w14:paraId="08F78AF6" w14:textId="77777777" w:rsidR="00BC268B" w:rsidRPr="00BC268B" w:rsidRDefault="00BC268B" w:rsidP="00242270">
            <w:pPr>
              <w:outlineLvl w:val="0"/>
              <w:rPr>
                <w:bCs/>
                <w:szCs w:val="22"/>
              </w:rPr>
            </w:pPr>
            <w:r w:rsidRPr="00BC268B">
              <w:rPr>
                <w:bCs/>
                <w:szCs w:val="22"/>
              </w:rPr>
              <w:t>6.</w:t>
            </w:r>
          </w:p>
        </w:tc>
        <w:tc>
          <w:tcPr>
            <w:tcW w:w="12016" w:type="dxa"/>
          </w:tcPr>
          <w:p w14:paraId="1B9AB492" w14:textId="77777777" w:rsidR="00BC268B" w:rsidRPr="00BC268B" w:rsidRDefault="00BC268B" w:rsidP="00242270">
            <w:pPr>
              <w:outlineLvl w:val="0"/>
              <w:rPr>
                <w:bCs/>
                <w:szCs w:val="22"/>
              </w:rPr>
            </w:pPr>
            <w:r w:rsidRPr="00BC268B">
              <w:rPr>
                <w:bCs/>
                <w:szCs w:val="22"/>
              </w:rPr>
              <w:t>Empowering Young Lusophone Musicians in the Era of Music Streaming</w:t>
            </w:r>
          </w:p>
        </w:tc>
      </w:tr>
      <w:tr w:rsidR="00BC268B" w:rsidRPr="00BC268B" w14:paraId="07089288" w14:textId="77777777" w:rsidTr="0046416E">
        <w:tc>
          <w:tcPr>
            <w:tcW w:w="814" w:type="dxa"/>
          </w:tcPr>
          <w:p w14:paraId="47CFF3F4" w14:textId="77777777" w:rsidR="00BC268B" w:rsidRPr="00BC268B" w:rsidRDefault="00BC268B" w:rsidP="00242270">
            <w:pPr>
              <w:outlineLvl w:val="0"/>
              <w:rPr>
                <w:bCs/>
                <w:szCs w:val="22"/>
              </w:rPr>
            </w:pPr>
            <w:r w:rsidRPr="00BC268B">
              <w:rPr>
                <w:bCs/>
                <w:szCs w:val="22"/>
              </w:rPr>
              <w:t>7.</w:t>
            </w:r>
          </w:p>
        </w:tc>
        <w:tc>
          <w:tcPr>
            <w:tcW w:w="12016" w:type="dxa"/>
          </w:tcPr>
          <w:p w14:paraId="0FCEAE7C" w14:textId="77777777" w:rsidR="00BC268B" w:rsidRPr="00BC268B" w:rsidRDefault="00BC268B" w:rsidP="00242270">
            <w:pPr>
              <w:outlineLvl w:val="0"/>
              <w:rPr>
                <w:bCs/>
                <w:szCs w:val="22"/>
              </w:rPr>
            </w:pPr>
            <w:r w:rsidRPr="00BC268B">
              <w:rPr>
                <w:bCs/>
                <w:szCs w:val="22"/>
              </w:rPr>
              <w:t xml:space="preserve">Empowering and Celebrating IP Examiners </w:t>
            </w:r>
          </w:p>
        </w:tc>
      </w:tr>
    </w:tbl>
    <w:p w14:paraId="6EEA29D2" w14:textId="600CC33A" w:rsidR="00BC268B" w:rsidRPr="00BC268B" w:rsidRDefault="00374734" w:rsidP="00374734">
      <w:pPr>
        <w:tabs>
          <w:tab w:val="left" w:pos="6663"/>
          <w:tab w:val="left" w:pos="8370"/>
        </w:tabs>
        <w:spacing w:before="720"/>
        <w:ind w:left="5528"/>
        <w:rPr>
          <w:szCs w:val="22"/>
        </w:rPr>
      </w:pPr>
      <w:r>
        <w:rPr>
          <w:szCs w:val="22"/>
        </w:rPr>
        <w:tab/>
      </w:r>
      <w:r>
        <w:rPr>
          <w:szCs w:val="22"/>
        </w:rPr>
        <w:tab/>
      </w:r>
      <w:r w:rsidR="00BC268B" w:rsidRPr="00BC268B">
        <w:rPr>
          <w:szCs w:val="22"/>
        </w:rPr>
        <w:t>[End of Annex</w:t>
      </w:r>
      <w:r w:rsidR="00071E56">
        <w:rPr>
          <w:szCs w:val="22"/>
        </w:rPr>
        <w:t>es</w:t>
      </w:r>
      <w:r w:rsidR="00BC268B" w:rsidRPr="00BC268B">
        <w:rPr>
          <w:szCs w:val="22"/>
        </w:rPr>
        <w:t xml:space="preserve"> and of document]</w:t>
      </w:r>
    </w:p>
    <w:p w14:paraId="43876F2A" w14:textId="77777777" w:rsidR="002928D3" w:rsidRDefault="002928D3" w:rsidP="0062702A">
      <w:pPr>
        <w:spacing w:after="220"/>
      </w:pPr>
    </w:p>
    <w:sectPr w:rsidR="002928D3" w:rsidSect="00374734">
      <w:headerReference w:type="default" r:id="rId22"/>
      <w:headerReference w:type="first" r:id="rId23"/>
      <w:endnotePr>
        <w:numFmt w:val="decimal"/>
      </w:endnotePr>
      <w:pgSz w:w="16840" w:h="11907" w:orient="landscape" w:code="9"/>
      <w:pgMar w:top="1418" w:right="709" w:bottom="1134" w:left="1418" w:header="454"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2036" w14:textId="77777777" w:rsidR="00A63A79" w:rsidRDefault="00A63A79">
      <w:r>
        <w:separator/>
      </w:r>
    </w:p>
  </w:endnote>
  <w:endnote w:type="continuationSeparator" w:id="0">
    <w:p w14:paraId="5805CF4E" w14:textId="77777777" w:rsidR="00A63A79" w:rsidRDefault="00A63A79" w:rsidP="003B38C1">
      <w:r>
        <w:separator/>
      </w:r>
    </w:p>
    <w:p w14:paraId="71EED381" w14:textId="77777777" w:rsidR="00A63A79" w:rsidRPr="003B38C1" w:rsidRDefault="00A63A79" w:rsidP="003B38C1">
      <w:pPr>
        <w:spacing w:after="60"/>
        <w:rPr>
          <w:sz w:val="17"/>
        </w:rPr>
      </w:pPr>
      <w:r>
        <w:rPr>
          <w:sz w:val="17"/>
        </w:rPr>
        <w:t>[Endnote continued from previous page]</w:t>
      </w:r>
    </w:p>
  </w:endnote>
  <w:endnote w:type="continuationNotice" w:id="1">
    <w:p w14:paraId="71335DE9" w14:textId="77777777" w:rsidR="00A63A79" w:rsidRPr="003B38C1" w:rsidRDefault="00A63A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9203" w14:textId="77777777" w:rsidR="00A63A79" w:rsidRDefault="00A63A79">
      <w:r>
        <w:separator/>
      </w:r>
    </w:p>
  </w:footnote>
  <w:footnote w:type="continuationSeparator" w:id="0">
    <w:p w14:paraId="59D90C09" w14:textId="77777777" w:rsidR="00A63A79" w:rsidRDefault="00A63A79" w:rsidP="008B60B2">
      <w:r>
        <w:separator/>
      </w:r>
    </w:p>
    <w:p w14:paraId="76AF99D2" w14:textId="77777777" w:rsidR="00A63A79" w:rsidRPr="00ED77FB" w:rsidRDefault="00A63A79" w:rsidP="008B60B2">
      <w:pPr>
        <w:spacing w:after="60"/>
        <w:rPr>
          <w:sz w:val="17"/>
          <w:szCs w:val="17"/>
        </w:rPr>
      </w:pPr>
      <w:r w:rsidRPr="00ED77FB">
        <w:rPr>
          <w:sz w:val="17"/>
          <w:szCs w:val="17"/>
        </w:rPr>
        <w:t>[Footnote continued from previous page]</w:t>
      </w:r>
    </w:p>
  </w:footnote>
  <w:footnote w:type="continuationNotice" w:id="1">
    <w:p w14:paraId="0D8CBC4D" w14:textId="77777777" w:rsidR="00A63A79" w:rsidRPr="00ED77FB" w:rsidRDefault="00A63A79" w:rsidP="008B60B2">
      <w:pPr>
        <w:spacing w:before="60"/>
        <w:jc w:val="right"/>
        <w:rPr>
          <w:sz w:val="17"/>
          <w:szCs w:val="17"/>
        </w:rPr>
      </w:pPr>
      <w:r w:rsidRPr="00ED77FB">
        <w:rPr>
          <w:sz w:val="17"/>
          <w:szCs w:val="17"/>
        </w:rPr>
        <w:t>[Footnote continued on next page]</w:t>
      </w:r>
    </w:p>
  </w:footnote>
  <w:footnote w:id="2">
    <w:p w14:paraId="24DF4715"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The Medium-Term Strategic Plan (MTSP) 2022 – 2026 is available at:  </w:t>
      </w:r>
      <w:hyperlink r:id="rId1" w:history="1">
        <w:r w:rsidRPr="00A47A6B">
          <w:rPr>
            <w:rStyle w:val="Hyperlink"/>
            <w:szCs w:val="18"/>
          </w:rPr>
          <w:t>www.wipo.int/meetings/en/doc_details.jsp?doc_id=541373</w:t>
        </w:r>
      </w:hyperlink>
      <w:r w:rsidRPr="00A47A6B">
        <w:rPr>
          <w:szCs w:val="18"/>
        </w:rPr>
        <w:t xml:space="preserve"> </w:t>
      </w:r>
    </w:p>
  </w:footnote>
  <w:footnote w:id="3">
    <w:p w14:paraId="24B6AC93" w14:textId="77777777" w:rsidR="00BC268B" w:rsidRPr="00A47A6B" w:rsidRDefault="00BC268B" w:rsidP="002367C0">
      <w:pPr>
        <w:pStyle w:val="FootnoteText"/>
        <w:rPr>
          <w:iCs/>
          <w:color w:val="000000" w:themeColor="text1"/>
          <w:szCs w:val="18"/>
        </w:rPr>
      </w:pPr>
      <w:r w:rsidRPr="00A47A6B">
        <w:rPr>
          <w:rStyle w:val="FootnoteReference"/>
          <w:szCs w:val="18"/>
        </w:rPr>
        <w:footnoteRef/>
      </w:r>
      <w:r w:rsidRPr="00A47A6B">
        <w:rPr>
          <w:szCs w:val="18"/>
        </w:rPr>
        <w:t xml:space="preserve"> </w:t>
      </w:r>
      <w:r w:rsidRPr="00A47A6B">
        <w:rPr>
          <w:iCs/>
          <w:color w:val="000000" w:themeColor="text1"/>
          <w:szCs w:val="18"/>
        </w:rPr>
        <w:t xml:space="preserve">The Regional Conference was organized in collaboration with the Government of Côte d’Ivoire, the African Union Commission (AUC), the International Trade Centre (ITC), the </w:t>
      </w:r>
      <w:r w:rsidRPr="00A47A6B">
        <w:rPr>
          <w:color w:val="000000" w:themeColor="text1"/>
          <w:szCs w:val="18"/>
        </w:rPr>
        <w:t>African Regional Intellectual Property Organization</w:t>
      </w:r>
      <w:r w:rsidRPr="00A47A6B">
        <w:rPr>
          <w:iCs/>
          <w:color w:val="000000" w:themeColor="text1"/>
          <w:szCs w:val="18"/>
        </w:rPr>
        <w:t xml:space="preserve"> (ARIPO) and </w:t>
      </w:r>
      <w:r w:rsidRPr="00A47A6B">
        <w:rPr>
          <w:color w:val="000000" w:themeColor="text1"/>
          <w:szCs w:val="18"/>
        </w:rPr>
        <w:t>the African Intellectual Property Organization</w:t>
      </w:r>
      <w:r w:rsidRPr="00A47A6B">
        <w:rPr>
          <w:iCs/>
          <w:color w:val="000000" w:themeColor="text1"/>
          <w:szCs w:val="18"/>
        </w:rPr>
        <w:t xml:space="preserve"> (OAPI), under the WIPO-ARIPO-OAPI (W.A.O) Tripartite Cooperation Agreement, with financial support from the Japan Patent Office (JPO).  It was attended by a total of 123 participants from 43 African countries. </w:t>
      </w:r>
    </w:p>
  </w:footnote>
  <w:footnote w:id="4">
    <w:p w14:paraId="0F0742DF" w14:textId="77777777" w:rsidR="00BC268B" w:rsidRPr="00A47A6B" w:rsidRDefault="00BC268B" w:rsidP="002367C0">
      <w:pPr>
        <w:pStyle w:val="FootnoteText"/>
        <w:rPr>
          <w:szCs w:val="18"/>
        </w:rPr>
      </w:pPr>
      <w:r w:rsidRPr="00A47A6B">
        <w:rPr>
          <w:rStyle w:val="FootnoteReference"/>
          <w:szCs w:val="18"/>
        </w:rPr>
        <w:footnoteRef/>
      </w:r>
      <w:r w:rsidRPr="00A47A6B">
        <w:rPr>
          <w:rStyle w:val="FootnoteReference"/>
          <w:szCs w:val="18"/>
        </w:rPr>
        <w:t xml:space="preserve"> </w:t>
      </w:r>
      <w:r w:rsidRPr="00A47A6B">
        <w:rPr>
          <w:iCs/>
          <w:color w:val="000000" w:themeColor="text1"/>
          <w:szCs w:val="18"/>
        </w:rPr>
        <w:t xml:space="preserve">The meeting was held in cooperation with the League of Arab States (LAS) for the benefit of Arab countries members of LAS.  It addressed the issue of AI and its impacts on IP and discussed how IP could be best used to support AI development.  </w:t>
      </w:r>
    </w:p>
  </w:footnote>
  <w:footnote w:id="5">
    <w:p w14:paraId="249D12B8"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w:t>
      </w:r>
      <w:r w:rsidRPr="00A47A6B">
        <w:rPr>
          <w:iCs/>
          <w:color w:val="000000" w:themeColor="text1"/>
          <w:szCs w:val="18"/>
        </w:rPr>
        <w:t xml:space="preserve">This initiative </w:t>
      </w:r>
      <w:r>
        <w:rPr>
          <w:iCs/>
          <w:color w:val="000000" w:themeColor="text1"/>
          <w:szCs w:val="18"/>
        </w:rPr>
        <w:t>benefitted</w:t>
      </w:r>
      <w:r w:rsidRPr="00A47A6B">
        <w:rPr>
          <w:iCs/>
          <w:color w:val="000000" w:themeColor="text1"/>
          <w:szCs w:val="18"/>
        </w:rPr>
        <w:t xml:space="preserve"> women </w:t>
      </w:r>
      <w:r w:rsidRPr="00A47A6B">
        <w:rPr>
          <w:szCs w:val="18"/>
        </w:rPr>
        <w:t xml:space="preserve">in the creative sector across South Asia, including in Bangladesh, India, Nepal, Pakistan and Sri Lanka.  </w:t>
      </w:r>
    </w:p>
  </w:footnote>
  <w:footnote w:id="6">
    <w:p w14:paraId="38E3EF0A"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Course was attended by 24 staff members from IP Offices in Latin America.  </w:t>
      </w:r>
    </w:p>
  </w:footnote>
  <w:footnote w:id="7">
    <w:p w14:paraId="1B563671"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More information about the Workshop can be found at:  </w:t>
      </w:r>
      <w:hyperlink r:id="rId2" w:history="1">
        <w:r w:rsidRPr="00A47A6B">
          <w:rPr>
            <w:rStyle w:val="Hyperlink"/>
            <w:szCs w:val="18"/>
          </w:rPr>
          <w:t>Technical Assistance Database:  Activity Details</w:t>
        </w:r>
      </w:hyperlink>
      <w:r w:rsidRPr="00A47A6B">
        <w:rPr>
          <w:szCs w:val="18"/>
        </w:rPr>
        <w:t xml:space="preserve">  </w:t>
      </w:r>
    </w:p>
  </w:footnote>
  <w:footnote w:id="8">
    <w:p w14:paraId="55733E6D"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This new Programme of Action for 2022–2031 acknowledges the critical importance of science, technology and innovation, including inclusive and enabling innovation ecosystems, in achieving the Sustainable Development Goals.  It contains more specific targets and actions relating to IP, innovation and creativity.  </w:t>
      </w:r>
    </w:p>
  </w:footnote>
  <w:footnote w:id="9">
    <w:p w14:paraId="412ED056"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Package is available at:</w:t>
      </w:r>
      <w:r>
        <w:rPr>
          <w:szCs w:val="18"/>
        </w:rPr>
        <w:t xml:space="preserve"> </w:t>
      </w:r>
      <w:r w:rsidRPr="00A47A6B">
        <w:rPr>
          <w:szCs w:val="18"/>
        </w:rPr>
        <w:t xml:space="preserve"> </w:t>
      </w:r>
      <w:hyperlink r:id="rId3" w:anchor=":~:text=Launched%20in%20July%202022%2C%20the,to%20graduating%20and%20graduated%20LDCs" w:history="1">
        <w:r w:rsidRPr="00A47A6B">
          <w:rPr>
            <w:rStyle w:val="Hyperlink"/>
            <w:szCs w:val="18"/>
          </w:rPr>
          <w:t>WIPO</w:t>
        </w:r>
        <w:r>
          <w:rPr>
            <w:rStyle w:val="Hyperlink"/>
            <w:szCs w:val="18"/>
          </w:rPr>
          <w:t>’</w:t>
        </w:r>
        <w:r w:rsidRPr="00A47A6B">
          <w:rPr>
            <w:rStyle w:val="Hyperlink"/>
            <w:szCs w:val="18"/>
          </w:rPr>
          <w:t>s Graduation Support package for LDCs</w:t>
        </w:r>
      </w:hyperlink>
    </w:p>
  </w:footnote>
  <w:footnote w:id="10">
    <w:p w14:paraId="3BFB4CEF"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Including the six official languages of the United Nations (Arabic, Chinese, English, French, Russian and Spanish).  </w:t>
      </w:r>
    </w:p>
  </w:footnote>
  <w:footnote w:id="11">
    <w:p w14:paraId="32C3308F"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Albania, Bulgaria, Cabo Verde, Croatia, Cuba, Georgia, Kyrgyzstan, the Lao People’s Democratic Republic, the Republic of Moldova, Mongolia, Oman, Pakistan, the Philippines, Saudi Arabia, Tajikistan and Ukraine.</w:t>
      </w:r>
    </w:p>
  </w:footnote>
  <w:footnote w:id="12">
    <w:p w14:paraId="052ABF96"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new Joint Master’s programs are being delivered in partnership with the Tsinghua University in China, the Maqsut Narikbayev University in Kazakhstan and the National Law University-Delhi in India.</w:t>
      </w:r>
    </w:p>
  </w:footnote>
  <w:footnote w:id="13">
    <w:p w14:paraId="5404849B"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Colloquium was held in conjunction with the second IP Scholars Africa Conference, organized by the WIPO Academy in collaboration with the World Trade Organization and the </w:t>
      </w:r>
      <w:bookmarkStart w:id="22" w:name="_Hlk188886020"/>
      <w:r w:rsidRPr="00A47A6B">
        <w:rPr>
          <w:szCs w:val="18"/>
        </w:rPr>
        <w:t>University of Cape Town.</w:t>
      </w:r>
      <w:bookmarkEnd w:id="22"/>
    </w:p>
  </w:footnote>
  <w:footnote w:id="14">
    <w:p w14:paraId="4C60011B"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In this regard, to facilitate discussions, a roster of topics with proposals from Member States has been established and is being periodically updated.  Member States are invited to submit their proposals for IP and development-related topics at any time.</w:t>
      </w:r>
      <w:r>
        <w:rPr>
          <w:szCs w:val="18"/>
        </w:rPr>
        <w:t xml:space="preserve">  The Roster is </w:t>
      </w:r>
      <w:r w:rsidRPr="00A47A6B">
        <w:rPr>
          <w:szCs w:val="18"/>
        </w:rPr>
        <w:t xml:space="preserve">available at </w:t>
      </w:r>
      <w:hyperlink r:id="rId4" w:history="1">
        <w:r w:rsidRPr="00A47A6B">
          <w:rPr>
            <w:rStyle w:val="Hyperlink"/>
            <w:szCs w:val="18"/>
          </w:rPr>
          <w:t>www.wipo.int/export/sites/www/ip-development/en/agenda/docs/roster-of-topics-on-ip-and-development.pdf</w:t>
        </w:r>
      </w:hyperlink>
      <w:r w:rsidRPr="00A47A6B">
        <w:rPr>
          <w:szCs w:val="18"/>
        </w:rPr>
        <w:t>)</w:t>
      </w:r>
    </w:p>
  </w:footnote>
  <w:footnote w:id="15">
    <w:p w14:paraId="1A1737A3"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Secretariat’s presentation is available at:  </w:t>
      </w:r>
      <w:hyperlink r:id="rId5" w:history="1">
        <w:r w:rsidRPr="00A47A6B">
          <w:rPr>
            <w:rStyle w:val="Hyperlink"/>
            <w:szCs w:val="18"/>
          </w:rPr>
          <w:t>Building the Capacity of Universities to Manage and Commercialise IP: Transferring IP and Technology – Secretariat’s Presentation</w:t>
        </w:r>
      </w:hyperlink>
    </w:p>
  </w:footnote>
  <w:footnote w:id="16">
    <w:p w14:paraId="07BE1EFE"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Following requests made by the Committee at its twenty-sixth and thirtieth sessions.</w:t>
      </w:r>
    </w:p>
  </w:footnote>
  <w:footnote w:id="17">
    <w:p w14:paraId="23B7A149"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See document CDIP/32/9</w:t>
      </w:r>
      <w:r>
        <w:rPr>
          <w:szCs w:val="18"/>
        </w:rPr>
        <w:t>,</w:t>
      </w:r>
      <w:r w:rsidRPr="00A47A6B">
        <w:rPr>
          <w:szCs w:val="18"/>
        </w:rPr>
        <w:t xml:space="preserve"> available at:  </w:t>
      </w:r>
      <w:hyperlink r:id="rId6" w:history="1">
        <w:r w:rsidRPr="00A47A6B">
          <w:rPr>
            <w:rStyle w:val="Hyperlink"/>
            <w:szCs w:val="18"/>
          </w:rPr>
          <w:t>www.wipo.int/meetings/en/doc_details.jsp?doc_id=628277</w:t>
        </w:r>
      </w:hyperlink>
    </w:p>
  </w:footnote>
  <w:footnote w:id="18">
    <w:p w14:paraId="56B32B09"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Secretariat’s Presentation is available at:  </w:t>
      </w:r>
      <w:hyperlink r:id="rId7" w:history="1">
        <w:r w:rsidRPr="00A47A6B">
          <w:rPr>
            <w:rStyle w:val="Hyperlink"/>
            <w:szCs w:val="18"/>
          </w:rPr>
          <w:t>www.wipo.int/meetings/en/doc_details.jsp?doc_id=639845</w:t>
        </w:r>
      </w:hyperlink>
    </w:p>
  </w:footnote>
  <w:footnote w:id="19">
    <w:p w14:paraId="3286D6FB"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compilation of sub-topics proposed by Member States </w:t>
      </w:r>
      <w:r w:rsidRPr="00A47A6B">
        <w:rPr>
          <w:bCs/>
          <w:szCs w:val="18"/>
        </w:rPr>
        <w:t xml:space="preserve">for the International Conference on IP and Development, contained in document </w:t>
      </w:r>
      <w:r w:rsidRPr="00A47A6B">
        <w:rPr>
          <w:szCs w:val="18"/>
        </w:rPr>
        <w:t>CDIP/31/12 REV, is available at</w:t>
      </w:r>
      <w:r>
        <w:rPr>
          <w:szCs w:val="18"/>
        </w:rPr>
        <w:t xml:space="preserve">:  </w:t>
      </w:r>
      <w:hyperlink r:id="rId8" w:history="1">
        <w:r w:rsidRPr="001856CF">
          <w:rPr>
            <w:rStyle w:val="Hyperlink"/>
            <w:szCs w:val="18"/>
          </w:rPr>
          <w:t>www.wipo.int/meetings/en/doc_details.jsp?doc_id=621473</w:t>
        </w:r>
      </w:hyperlink>
      <w:r w:rsidRPr="00A47A6B">
        <w:rPr>
          <w:szCs w:val="18"/>
        </w:rPr>
        <w:t>.</w:t>
      </w:r>
    </w:p>
  </w:footnote>
  <w:footnote w:id="20">
    <w:p w14:paraId="79F2256F"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The Database was established in June 2013, as agreed by the Committee at its sixth session, and is available at</w:t>
      </w:r>
      <w:r>
        <w:rPr>
          <w:szCs w:val="18"/>
        </w:rPr>
        <w:t xml:space="preserve">: </w:t>
      </w:r>
      <w:r w:rsidRPr="00A47A6B">
        <w:rPr>
          <w:szCs w:val="18"/>
        </w:rPr>
        <w:t xml:space="preserve"> </w:t>
      </w:r>
      <w:hyperlink r:id="rId9" w:history="1">
        <w:r w:rsidRPr="00A47A6B">
          <w:rPr>
            <w:rStyle w:val="Hyperlink"/>
            <w:szCs w:val="18"/>
          </w:rPr>
          <w:t>Flexibilities in the Intellectual Property System</w:t>
        </w:r>
      </w:hyperlink>
      <w:r w:rsidRPr="00A47A6B">
        <w:rPr>
          <w:szCs w:val="18"/>
        </w:rPr>
        <w:t xml:space="preserve"> </w:t>
      </w:r>
    </w:p>
  </w:footnote>
  <w:footnote w:id="21">
    <w:p w14:paraId="599313C0"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w:t>
      </w:r>
      <w:r>
        <w:rPr>
          <w:szCs w:val="18"/>
        </w:rPr>
        <w:t>See</w:t>
      </w:r>
      <w:r w:rsidRPr="00A47A6B">
        <w:rPr>
          <w:szCs w:val="18"/>
        </w:rPr>
        <w:t xml:space="preserve"> document CDIP/20/5</w:t>
      </w:r>
      <w:r>
        <w:rPr>
          <w:szCs w:val="18"/>
        </w:rPr>
        <w:t>,</w:t>
      </w:r>
      <w:r w:rsidRPr="00A47A6B">
        <w:rPr>
          <w:szCs w:val="18"/>
        </w:rPr>
        <w:t xml:space="preserve"> available at:  </w:t>
      </w:r>
      <w:hyperlink r:id="rId10" w:history="1">
        <w:r w:rsidRPr="00A47A6B">
          <w:rPr>
            <w:rStyle w:val="Hyperlink"/>
            <w:szCs w:val="18"/>
          </w:rPr>
          <w:t>www.wipo.int/meetings/en/doc_details.jsp?doc_id=387181</w:t>
        </w:r>
      </w:hyperlink>
    </w:p>
  </w:footnote>
  <w:footnote w:id="22">
    <w:p w14:paraId="7A699379"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Updates notified by Member States could refer to:  (i) a modification of one or several articles already included in the Database;  and/or (ii) a previously non-existing article newly adopted in their national law pertaining to the flexibilities contained in the Database.</w:t>
      </w:r>
    </w:p>
  </w:footnote>
  <w:footnote w:id="23">
    <w:p w14:paraId="3F4B8A49"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Further information can be found at:  </w:t>
      </w:r>
      <w:hyperlink r:id="rId11" w:history="1">
        <w:r w:rsidRPr="00A47A6B">
          <w:rPr>
            <w:rStyle w:val="Hyperlink"/>
            <w:szCs w:val="18"/>
          </w:rPr>
          <w:t>Closing The Gender Gap In IP: Women and the Sustainable Development Goals</w:t>
        </w:r>
      </w:hyperlink>
    </w:p>
  </w:footnote>
  <w:footnote w:id="24">
    <w:p w14:paraId="5004D9C7"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This figure indicates the number of participants who joined the session via the platform.  In addition, a large number of participants followed the sessions via live webcasting.  </w:t>
      </w:r>
    </w:p>
  </w:footnote>
  <w:footnote w:id="25">
    <w:p w14:paraId="6523772A" w14:textId="77777777" w:rsidR="00BC268B" w:rsidRPr="00A47A6B" w:rsidRDefault="00BC268B" w:rsidP="002367C0">
      <w:pPr>
        <w:pStyle w:val="FootnoteText"/>
        <w:rPr>
          <w:color w:val="000000" w:themeColor="text1"/>
          <w:szCs w:val="18"/>
        </w:rPr>
      </w:pPr>
      <w:r w:rsidRPr="00A47A6B">
        <w:rPr>
          <w:rStyle w:val="FootnoteReference"/>
          <w:szCs w:val="18"/>
        </w:rPr>
        <w:footnoteRef/>
      </w:r>
      <w:r w:rsidRPr="00A47A6B">
        <w:rPr>
          <w:szCs w:val="18"/>
        </w:rPr>
        <w:t xml:space="preserve"> </w:t>
      </w:r>
      <w:r w:rsidRPr="00A47A6B">
        <w:rPr>
          <w:color w:val="000000" w:themeColor="text1"/>
          <w:szCs w:val="18"/>
        </w:rPr>
        <w:t xml:space="preserve">Details on the Conference are available at:  </w:t>
      </w:r>
      <w:hyperlink r:id="rId12" w:history="1">
        <w:r w:rsidRPr="00A47A6B">
          <w:rPr>
            <w:rStyle w:val="Hyperlink"/>
            <w:szCs w:val="18"/>
          </w:rPr>
          <w:t>www.wipo.int/meetings/en/details.jsp?meeting_id=76488</w:t>
        </w:r>
      </w:hyperlink>
    </w:p>
  </w:footnote>
  <w:footnote w:id="26">
    <w:p w14:paraId="1C9F783A"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In discussing the completion of this project at its thirty-second session, the Committee also agreed to its continuation by approving a project proposal on “Sustaining and Strengthening the Role of Collective Marks as a Tool for Economic, Cultural, and Social Development through a Holistic Developmental Approach”, submitted by the Philippines, Brazil and the Plurinational State of Bolivia, as contained in document CDIP/32/8 REV</w:t>
      </w:r>
      <w:r>
        <w:rPr>
          <w:szCs w:val="18"/>
        </w:rPr>
        <w:t xml:space="preserve">., is </w:t>
      </w:r>
      <w:r w:rsidRPr="00A47A6B">
        <w:rPr>
          <w:szCs w:val="18"/>
        </w:rPr>
        <w:t xml:space="preserve">available at:  </w:t>
      </w:r>
      <w:hyperlink r:id="rId13" w:history="1">
        <w:r w:rsidRPr="00A47A6B">
          <w:rPr>
            <w:rStyle w:val="Hyperlink"/>
            <w:szCs w:val="18"/>
          </w:rPr>
          <w:t>www.wipo.int/meetings/en/doc_details.jsp?doc_id=630655</w:t>
        </w:r>
      </w:hyperlink>
      <w:r w:rsidRPr="00A47A6B">
        <w:rPr>
          <w:szCs w:val="18"/>
        </w:rPr>
        <w:t xml:space="preserve"> </w:t>
      </w:r>
    </w:p>
  </w:footnote>
  <w:footnote w:id="27">
    <w:p w14:paraId="2CD4071D"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See document CDIP/33/8</w:t>
      </w:r>
      <w:r>
        <w:rPr>
          <w:szCs w:val="18"/>
        </w:rPr>
        <w:t>,</w:t>
      </w:r>
      <w:r w:rsidRPr="00A47A6B">
        <w:rPr>
          <w:szCs w:val="18"/>
        </w:rPr>
        <w:t xml:space="preserve"> available at:  </w:t>
      </w:r>
      <w:hyperlink r:id="rId14" w:history="1">
        <w:r w:rsidRPr="00A47A6B">
          <w:rPr>
            <w:rStyle w:val="Hyperlink"/>
            <w:szCs w:val="18"/>
          </w:rPr>
          <w:t>www.wipo.int/meetings/en/doc_details.jsp?doc_id=637020</w:t>
        </w:r>
      </w:hyperlink>
      <w:r w:rsidRPr="00A47A6B">
        <w:rPr>
          <w:szCs w:val="18"/>
        </w:rPr>
        <w:t xml:space="preserve"> </w:t>
      </w:r>
    </w:p>
  </w:footnote>
  <w:footnote w:id="28">
    <w:p w14:paraId="5D21A64B"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See document CDIP/33/3</w:t>
      </w:r>
      <w:r>
        <w:rPr>
          <w:szCs w:val="18"/>
        </w:rPr>
        <w:t>,</w:t>
      </w:r>
      <w:r w:rsidRPr="00A47A6B">
        <w:rPr>
          <w:szCs w:val="18"/>
        </w:rPr>
        <w:t xml:space="preserve"> available at:  </w:t>
      </w:r>
      <w:hyperlink r:id="rId15" w:history="1">
        <w:r w:rsidRPr="00A47A6B">
          <w:rPr>
            <w:rStyle w:val="Hyperlink"/>
            <w:szCs w:val="18"/>
          </w:rPr>
          <w:t>www.wipo.int/meetings/en/doc_details.jsp?doc_id=637071</w:t>
        </w:r>
      </w:hyperlink>
      <w:r w:rsidRPr="00A47A6B">
        <w:rPr>
          <w:szCs w:val="18"/>
        </w:rPr>
        <w:t xml:space="preserve"> </w:t>
      </w:r>
    </w:p>
  </w:footnote>
  <w:footnote w:id="29">
    <w:p w14:paraId="6EF58560"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See document CDIP/33/2</w:t>
      </w:r>
      <w:r>
        <w:rPr>
          <w:szCs w:val="18"/>
        </w:rPr>
        <w:t>,</w:t>
      </w:r>
      <w:r w:rsidRPr="00A47A6B">
        <w:rPr>
          <w:szCs w:val="18"/>
        </w:rPr>
        <w:t xml:space="preserve"> available at:  </w:t>
      </w:r>
      <w:hyperlink r:id="rId16" w:history="1">
        <w:r w:rsidRPr="00A47A6B">
          <w:rPr>
            <w:rStyle w:val="Hyperlink"/>
            <w:szCs w:val="18"/>
          </w:rPr>
          <w:t>www.wipo.int/meetings/en/doc_details.jsp?doc_id=637348</w:t>
        </w:r>
      </w:hyperlink>
      <w:r w:rsidRPr="00A47A6B">
        <w:rPr>
          <w:szCs w:val="18"/>
        </w:rPr>
        <w:t xml:space="preserve">  </w:t>
      </w:r>
    </w:p>
  </w:footnote>
  <w:footnote w:id="30">
    <w:p w14:paraId="5C0AB6EC"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See document CDIP/33/4 CORR.</w:t>
      </w:r>
      <w:r>
        <w:rPr>
          <w:szCs w:val="18"/>
        </w:rPr>
        <w:t>,</w:t>
      </w:r>
      <w:r w:rsidRPr="00A47A6B">
        <w:rPr>
          <w:szCs w:val="18"/>
        </w:rPr>
        <w:t xml:space="preserve"> available at:  </w:t>
      </w:r>
      <w:hyperlink r:id="rId17" w:history="1">
        <w:r w:rsidRPr="00A47A6B">
          <w:rPr>
            <w:rStyle w:val="Hyperlink"/>
            <w:szCs w:val="18"/>
          </w:rPr>
          <w:t>www.wipo.int/meetings/en/doc_details.jsp?doc_id=639846</w:t>
        </w:r>
      </w:hyperlink>
      <w:r w:rsidRPr="00A47A6B">
        <w:rPr>
          <w:szCs w:val="18"/>
        </w:rPr>
        <w:t xml:space="preserve"> </w:t>
      </w:r>
    </w:p>
  </w:footnote>
  <w:footnote w:id="31">
    <w:p w14:paraId="2218701A" w14:textId="77777777" w:rsidR="00BC268B" w:rsidRPr="00A47A6B" w:rsidRDefault="00BC268B" w:rsidP="002367C0">
      <w:pPr>
        <w:pStyle w:val="FootnoteText"/>
        <w:rPr>
          <w:szCs w:val="18"/>
        </w:rPr>
      </w:pPr>
      <w:r w:rsidRPr="00A47A6B">
        <w:rPr>
          <w:rStyle w:val="FootnoteReference"/>
          <w:szCs w:val="18"/>
        </w:rPr>
        <w:footnoteRef/>
      </w:r>
      <w:r w:rsidRPr="00A47A6B">
        <w:rPr>
          <w:szCs w:val="18"/>
        </w:rPr>
        <w:t xml:space="preserve"> See document CDIP/32/3</w:t>
      </w:r>
      <w:r>
        <w:rPr>
          <w:szCs w:val="18"/>
        </w:rPr>
        <w:t>,</w:t>
      </w:r>
      <w:r w:rsidRPr="00A47A6B">
        <w:rPr>
          <w:szCs w:val="18"/>
        </w:rPr>
        <w:t xml:space="preserve"> available at:  </w:t>
      </w:r>
      <w:hyperlink r:id="rId18" w:history="1">
        <w:r w:rsidRPr="00A47A6B">
          <w:rPr>
            <w:rStyle w:val="Hyperlink"/>
            <w:szCs w:val="18"/>
          </w:rPr>
          <w:t>www.wipo.int/meetings/en/doc_details.jsp?doc_id=628927</w:t>
        </w:r>
      </w:hyperlink>
      <w:r w:rsidRPr="00A47A6B">
        <w:rPr>
          <w:szCs w:val="18"/>
        </w:rPr>
        <w:t xml:space="preserve"> </w:t>
      </w:r>
    </w:p>
  </w:footnote>
  <w:footnote w:id="32">
    <w:p w14:paraId="1E914C4C"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Course is available in English, Spanish and Arabic.  </w:t>
      </w:r>
    </w:p>
  </w:footnote>
  <w:footnote w:id="33">
    <w:p w14:paraId="4728B196" w14:textId="77777777" w:rsidR="00BC268B" w:rsidRPr="00A47A6B" w:rsidRDefault="00BC268B" w:rsidP="00BB7D8F">
      <w:pPr>
        <w:pStyle w:val="FootnoteText"/>
        <w:rPr>
          <w:szCs w:val="18"/>
        </w:rPr>
      </w:pPr>
      <w:r w:rsidRPr="00A47A6B">
        <w:rPr>
          <w:rStyle w:val="FootnoteReference"/>
          <w:szCs w:val="18"/>
        </w:rPr>
        <w:footnoteRef/>
      </w:r>
      <w:r w:rsidRPr="00A47A6B">
        <w:rPr>
          <w:szCs w:val="18"/>
        </w:rPr>
        <w:t xml:space="preserve"> IP-TAD provides information on technical assistance activities undertaken by WIPO where the beneficiary countries were either developing countries, LDCs or countries with economies in transition.  </w:t>
      </w:r>
    </w:p>
  </w:footnote>
  <w:footnote w:id="34">
    <w:p w14:paraId="7F31A73F" w14:textId="77777777" w:rsidR="00BC268B" w:rsidRPr="00A47A6B" w:rsidRDefault="00BC268B" w:rsidP="00BB7D8F">
      <w:pPr>
        <w:pStyle w:val="FootnoteText"/>
        <w:rPr>
          <w:szCs w:val="18"/>
        </w:rPr>
      </w:pPr>
      <w:r w:rsidRPr="00A47A6B">
        <w:rPr>
          <w:rStyle w:val="FootnoteReference"/>
          <w:szCs w:val="18"/>
        </w:rPr>
        <w:footnoteRef/>
      </w:r>
      <w:r w:rsidRPr="00A47A6B">
        <w:rPr>
          <w:szCs w:val="18"/>
        </w:rPr>
        <w:t xml:space="preserve"> These consultants do not work at WIPO headquarters or in WIPO External Offices.</w:t>
      </w:r>
    </w:p>
  </w:footnote>
  <w:footnote w:id="35">
    <w:p w14:paraId="2EEA2156"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See document </w:t>
      </w:r>
      <w:hyperlink r:id="rId19" w:history="1">
        <w:r w:rsidRPr="00A47A6B">
          <w:rPr>
            <w:szCs w:val="18"/>
          </w:rPr>
          <w:t>CDIP/28/5</w:t>
        </w:r>
      </w:hyperlink>
      <w:r>
        <w:rPr>
          <w:szCs w:val="18"/>
        </w:rPr>
        <w:t>,</w:t>
      </w:r>
      <w:r w:rsidRPr="00A47A6B">
        <w:rPr>
          <w:szCs w:val="18"/>
        </w:rPr>
        <w:t xml:space="preserve"> available at:  </w:t>
      </w:r>
      <w:hyperlink r:id="rId20" w:history="1">
        <w:r w:rsidRPr="00A47A6B">
          <w:rPr>
            <w:rStyle w:val="Hyperlink"/>
            <w:szCs w:val="18"/>
          </w:rPr>
          <w:t>www.wipo.int/meetings/en/doc_details.jsp?doc_id=570471</w:t>
        </w:r>
      </w:hyperlink>
      <w:r w:rsidRPr="00A47A6B">
        <w:rPr>
          <w:szCs w:val="18"/>
        </w:rPr>
        <w:t xml:space="preserve"> </w:t>
      </w:r>
    </w:p>
  </w:footnote>
  <w:footnote w:id="36">
    <w:p w14:paraId="670DA70C"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See document CDIP/33/10</w:t>
      </w:r>
      <w:r>
        <w:rPr>
          <w:szCs w:val="18"/>
        </w:rPr>
        <w:t>,</w:t>
      </w:r>
      <w:r w:rsidRPr="00A47A6B">
        <w:rPr>
          <w:szCs w:val="18"/>
        </w:rPr>
        <w:t xml:space="preserve"> available at:  </w:t>
      </w:r>
      <w:hyperlink r:id="rId21" w:history="1">
        <w:r w:rsidRPr="00A47A6B">
          <w:rPr>
            <w:rStyle w:val="Hyperlink"/>
            <w:szCs w:val="18"/>
          </w:rPr>
          <w:t>www.wipo.int/meetings/en/doc_details.jsp?doc_id=636891</w:t>
        </w:r>
      </w:hyperlink>
    </w:p>
  </w:footnote>
  <w:footnote w:id="37">
    <w:p w14:paraId="11CE6A27"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WIPO Cooperation Hub </w:t>
      </w:r>
      <w:r>
        <w:rPr>
          <w:szCs w:val="18"/>
        </w:rPr>
        <w:t xml:space="preserve">is </w:t>
      </w:r>
      <w:r w:rsidRPr="00A47A6B">
        <w:rPr>
          <w:szCs w:val="18"/>
        </w:rPr>
        <w:t xml:space="preserve">available at:  </w:t>
      </w:r>
      <w:hyperlink r:id="rId22" w:history="1">
        <w:r w:rsidRPr="00A47A6B">
          <w:rPr>
            <w:rStyle w:val="Hyperlink"/>
            <w:szCs w:val="18"/>
          </w:rPr>
          <w:t>WIPO Cooperation Hub</w:t>
        </w:r>
      </w:hyperlink>
    </w:p>
  </w:footnote>
  <w:footnote w:id="38">
    <w:p w14:paraId="36CB1822"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Catalogue DA Projects and Outputs </w:t>
      </w:r>
      <w:r>
        <w:rPr>
          <w:szCs w:val="18"/>
        </w:rPr>
        <w:t xml:space="preserve">is </w:t>
      </w:r>
      <w:r w:rsidRPr="00A47A6B">
        <w:rPr>
          <w:szCs w:val="18"/>
        </w:rPr>
        <w:t xml:space="preserve">available at:  </w:t>
      </w:r>
      <w:hyperlink r:id="rId23" w:history="1">
        <w:r w:rsidRPr="00A47A6B">
          <w:rPr>
            <w:rStyle w:val="Hyperlink"/>
            <w:szCs w:val="18"/>
          </w:rPr>
          <w:t>Catalogue DA Projects</w:t>
        </w:r>
      </w:hyperlink>
    </w:p>
  </w:footnote>
  <w:footnote w:id="39">
    <w:p w14:paraId="2869B282"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Guidebook </w:t>
      </w:r>
      <w:r>
        <w:rPr>
          <w:szCs w:val="18"/>
        </w:rPr>
        <w:t xml:space="preserve">is </w:t>
      </w:r>
      <w:r w:rsidRPr="00A47A6B">
        <w:rPr>
          <w:szCs w:val="18"/>
        </w:rPr>
        <w:t xml:space="preserve">available at:  </w:t>
      </w:r>
      <w:hyperlink r:id="rId24" w:history="1">
        <w:r w:rsidRPr="00A47A6B">
          <w:rPr>
            <w:rStyle w:val="Hyperlink"/>
            <w:szCs w:val="18"/>
          </w:rPr>
          <w:t>Development Agenda Guidebook</w:t>
        </w:r>
      </w:hyperlink>
      <w:r w:rsidRPr="00A47A6B">
        <w:rPr>
          <w:szCs w:val="18"/>
        </w:rPr>
        <w:t xml:space="preserve"> </w:t>
      </w:r>
    </w:p>
  </w:footnote>
  <w:footnote w:id="40">
    <w:p w14:paraId="79F1FD1D" w14:textId="77777777" w:rsidR="00BC268B" w:rsidRPr="00A47A6B" w:rsidRDefault="00BC268B" w:rsidP="00EC4E9A">
      <w:pPr>
        <w:pStyle w:val="FootnoteText"/>
        <w:rPr>
          <w:szCs w:val="18"/>
        </w:rPr>
      </w:pPr>
      <w:r w:rsidRPr="00A47A6B">
        <w:rPr>
          <w:rStyle w:val="FootnoteReference"/>
          <w:szCs w:val="18"/>
        </w:rPr>
        <w:footnoteRef/>
      </w:r>
      <w:r w:rsidRPr="00A47A6B">
        <w:rPr>
          <w:szCs w:val="18"/>
        </w:rPr>
        <w:t xml:space="preserve"> The key partner for the project is the Korean Invention Promotions Association.  The project is funded by FIT Korea.</w:t>
      </w:r>
    </w:p>
  </w:footnote>
  <w:footnote w:id="41">
    <w:p w14:paraId="53884436"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Cameroon, The Gambia, the Islamic Republic of Iran and Tunisia.</w:t>
      </w:r>
    </w:p>
  </w:footnote>
  <w:footnote w:id="42">
    <w:p w14:paraId="2DAD9D11"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Further information about this Program </w:t>
      </w:r>
      <w:r>
        <w:rPr>
          <w:szCs w:val="18"/>
        </w:rPr>
        <w:t xml:space="preserve">is </w:t>
      </w:r>
      <w:r w:rsidRPr="00A47A6B">
        <w:rPr>
          <w:szCs w:val="18"/>
        </w:rPr>
        <w:t xml:space="preserve">available at:  </w:t>
      </w:r>
      <w:hyperlink r:id="rId25" w:history="1">
        <w:r w:rsidRPr="00A47A6B">
          <w:rPr>
            <w:rStyle w:val="Hyperlink"/>
            <w:szCs w:val="18"/>
          </w:rPr>
          <w:t>IP4Youth&amp;Teachers program</w:t>
        </w:r>
      </w:hyperlink>
      <w:r w:rsidRPr="00A47A6B">
        <w:rPr>
          <w:szCs w:val="18"/>
        </w:rPr>
        <w:t xml:space="preserve"> </w:t>
      </w:r>
    </w:p>
  </w:footnote>
  <w:footnote w:id="43">
    <w:p w14:paraId="786F59A8"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Chile, Jordan, Malaysia and Uganda.</w:t>
      </w:r>
    </w:p>
  </w:footnote>
  <w:footnote w:id="44">
    <w:p w14:paraId="62CF82FB" w14:textId="77777777" w:rsidR="00BC268B" w:rsidRPr="00A47A6B" w:rsidRDefault="00BC268B" w:rsidP="00A264B3">
      <w:pPr>
        <w:pStyle w:val="FootnoteText"/>
        <w:rPr>
          <w:szCs w:val="18"/>
        </w:rPr>
      </w:pPr>
      <w:r w:rsidRPr="00A47A6B">
        <w:rPr>
          <w:rStyle w:val="FootnoteReference"/>
          <w:szCs w:val="18"/>
        </w:rPr>
        <w:footnoteRef/>
      </w:r>
      <w:r w:rsidRPr="00A47A6B">
        <w:rPr>
          <w:szCs w:val="18"/>
        </w:rPr>
        <w:t xml:space="preserve"> Three in Africa, one in Asia and the Pacific, eight in Latin America and the Caribbean, and four in Europe/the Eurasian region.</w:t>
      </w:r>
    </w:p>
  </w:footnote>
  <w:footnote w:id="45">
    <w:p w14:paraId="4DE0C840" w14:textId="77777777" w:rsidR="00BC268B" w:rsidRPr="00A47A6B" w:rsidRDefault="00BC268B" w:rsidP="00A264B3">
      <w:pPr>
        <w:pStyle w:val="FootnoteText"/>
        <w:rPr>
          <w:szCs w:val="18"/>
        </w:rPr>
      </w:pPr>
      <w:r w:rsidRPr="00A47A6B">
        <w:rPr>
          <w:rStyle w:val="FootnoteReference"/>
          <w:szCs w:val="18"/>
        </w:rPr>
        <w:footnoteRef/>
      </w:r>
      <w:r w:rsidRPr="00A47A6B">
        <w:rPr>
          <w:szCs w:val="18"/>
        </w:rPr>
        <w:t xml:space="preserve"> The PATENTSCOPE database </w:t>
      </w:r>
      <w:r>
        <w:rPr>
          <w:szCs w:val="18"/>
        </w:rPr>
        <w:t xml:space="preserve">is </w:t>
      </w:r>
      <w:r w:rsidRPr="00A47A6B">
        <w:rPr>
          <w:szCs w:val="18"/>
        </w:rPr>
        <w:t xml:space="preserve">available at:  </w:t>
      </w:r>
      <w:hyperlink r:id="rId26" w:history="1">
        <w:r w:rsidRPr="00A47A6B">
          <w:rPr>
            <w:rStyle w:val="Hyperlink"/>
            <w:szCs w:val="18"/>
          </w:rPr>
          <w:t>PATENTSCOPE database</w:t>
        </w:r>
      </w:hyperlink>
    </w:p>
  </w:footnote>
  <w:footnote w:id="46">
    <w:p w14:paraId="436F1CC3" w14:textId="77777777" w:rsidR="00BC268B" w:rsidRPr="00A47A6B" w:rsidRDefault="00BC268B" w:rsidP="00A264B3">
      <w:pPr>
        <w:pStyle w:val="FootnoteText"/>
        <w:rPr>
          <w:szCs w:val="18"/>
        </w:rPr>
      </w:pPr>
      <w:r w:rsidRPr="00A47A6B">
        <w:rPr>
          <w:rStyle w:val="FootnoteReference"/>
          <w:szCs w:val="18"/>
        </w:rPr>
        <w:footnoteRef/>
      </w:r>
      <w:r w:rsidRPr="00A47A6B">
        <w:rPr>
          <w:szCs w:val="18"/>
        </w:rPr>
        <w:t xml:space="preserve"> The maximum number of applications was 9,921, while the minimum number was 2,567.</w:t>
      </w:r>
    </w:p>
  </w:footnote>
  <w:footnote w:id="47">
    <w:p w14:paraId="18AF32B1"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Seven in Africa, seven in the Arab region, ten in Asia and the Pacific, eleven in Latin America and the Caribbean, and 27 in the transition countries.</w:t>
      </w:r>
    </w:p>
  </w:footnote>
  <w:footnote w:id="48">
    <w:p w14:paraId="14387F94" w14:textId="77777777" w:rsidR="00BC268B" w:rsidRPr="00A47A6B" w:rsidRDefault="00BC268B" w:rsidP="00A264B3">
      <w:pPr>
        <w:pStyle w:val="FootnoteText"/>
        <w:rPr>
          <w:szCs w:val="18"/>
        </w:rPr>
      </w:pPr>
      <w:r w:rsidRPr="00A47A6B">
        <w:rPr>
          <w:rStyle w:val="FootnoteReference"/>
          <w:szCs w:val="18"/>
        </w:rPr>
        <w:footnoteRef/>
      </w:r>
      <w:r w:rsidRPr="00A47A6B">
        <w:rPr>
          <w:szCs w:val="18"/>
        </w:rPr>
        <w:t xml:space="preserve"> Technical assistance activities continued, including:  (i) specific projects targeting the needs of underrepresented user groups (such as young people and women);  (ii) in-person PCT and/or ePCT workshops;  and (iii) PCT and ePCT webinars and trainings.  See document PCT/WG/18/9</w:t>
      </w:r>
      <w:r>
        <w:rPr>
          <w:szCs w:val="18"/>
        </w:rPr>
        <w:t>,</w:t>
      </w:r>
      <w:r w:rsidRPr="00A47A6B">
        <w:rPr>
          <w:szCs w:val="18"/>
        </w:rPr>
        <w:t xml:space="preserve"> available at:  </w:t>
      </w:r>
      <w:hyperlink r:id="rId27" w:history="1">
        <w:r w:rsidRPr="00A47A6B">
          <w:rPr>
            <w:rStyle w:val="Hyperlink"/>
            <w:szCs w:val="18"/>
          </w:rPr>
          <w:t>www.wipo.int/meetings/en/doc_details.jsp?doc_id=640446</w:t>
        </w:r>
      </w:hyperlink>
    </w:p>
  </w:footnote>
  <w:footnote w:id="49">
    <w:p w14:paraId="56830AFC"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IPGAP </w:t>
      </w:r>
      <w:r>
        <w:rPr>
          <w:szCs w:val="18"/>
        </w:rPr>
        <w:t xml:space="preserve">is </w:t>
      </w:r>
      <w:r w:rsidRPr="00A47A6B">
        <w:rPr>
          <w:szCs w:val="18"/>
        </w:rPr>
        <w:t xml:space="preserve">available at:  </w:t>
      </w:r>
      <w:hyperlink r:id="rId28" w:history="1">
        <w:r w:rsidRPr="00A47A6B">
          <w:rPr>
            <w:rStyle w:val="Hyperlink"/>
            <w:szCs w:val="18"/>
          </w:rPr>
          <w:t>IPGAP</w:t>
        </w:r>
      </w:hyperlink>
      <w:r w:rsidRPr="00A47A6B">
        <w:rPr>
          <w:szCs w:val="18"/>
        </w:rPr>
        <w:t xml:space="preserve"> </w:t>
      </w:r>
    </w:p>
  </w:footnote>
  <w:footnote w:id="50">
    <w:p w14:paraId="7C49448D"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IPGAP Database is available at:  </w:t>
      </w:r>
      <w:hyperlink r:id="rId29" w:anchor="ipgap-database" w:history="1">
        <w:r w:rsidRPr="00A47A6B">
          <w:rPr>
            <w:rStyle w:val="Hyperlink"/>
            <w:szCs w:val="18"/>
          </w:rPr>
          <w:t>IPGAP Database</w:t>
        </w:r>
      </w:hyperlink>
    </w:p>
  </w:footnote>
  <w:footnote w:id="51">
    <w:p w14:paraId="21D7E1B7"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Further information about the GREM is available at:  </w:t>
      </w:r>
      <w:hyperlink r:id="rId30" w:history="1">
        <w:r w:rsidRPr="00A47A6B">
          <w:rPr>
            <w:rStyle w:val="Hyperlink"/>
            <w:szCs w:val="18"/>
          </w:rPr>
          <w:t>WIPO to Host First IPGAP Global Research Experts Meeting on Improving Gender and Diversity in IP and Innovation</w:t>
        </w:r>
      </w:hyperlink>
      <w:r w:rsidRPr="00A47A6B">
        <w:rPr>
          <w:szCs w:val="18"/>
        </w:rPr>
        <w:t xml:space="preserve"> </w:t>
      </w:r>
    </w:p>
  </w:footnote>
  <w:footnote w:id="52">
    <w:p w14:paraId="71FAF322"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joint message for IWD 2024 is available at:  </w:t>
      </w:r>
      <w:hyperlink r:id="rId31" w:history="1">
        <w:r w:rsidRPr="00A47A6B">
          <w:rPr>
            <w:rStyle w:val="Hyperlink"/>
            <w:szCs w:val="18"/>
          </w:rPr>
          <w:t>2024 International Women's Day. Invest in women: Accelerate progress</w:t>
        </w:r>
      </w:hyperlink>
    </w:p>
  </w:footnote>
  <w:footnote w:id="53">
    <w:p w14:paraId="434E4E65" w14:textId="77777777" w:rsidR="00BC268B" w:rsidRPr="00A47A6B" w:rsidRDefault="00BC268B" w:rsidP="00B1279D">
      <w:pPr>
        <w:pStyle w:val="FootnoteText"/>
        <w:rPr>
          <w:szCs w:val="18"/>
        </w:rPr>
      </w:pPr>
      <w:r w:rsidRPr="00A47A6B">
        <w:rPr>
          <w:rStyle w:val="FootnoteReference"/>
          <w:szCs w:val="18"/>
        </w:rPr>
        <w:footnoteRef/>
      </w:r>
      <w:r w:rsidRPr="00A47A6B">
        <w:rPr>
          <w:szCs w:val="18"/>
        </w:rPr>
        <w:t xml:space="preserve"> See document SCP/36/12</w:t>
      </w:r>
      <w:r>
        <w:rPr>
          <w:szCs w:val="18"/>
        </w:rPr>
        <w:t>,</w:t>
      </w:r>
      <w:r w:rsidRPr="00A47A6B">
        <w:rPr>
          <w:szCs w:val="18"/>
        </w:rPr>
        <w:t xml:space="preserve"> available at:  </w:t>
      </w:r>
      <w:hyperlink r:id="rId32" w:history="1">
        <w:r w:rsidRPr="00A47A6B">
          <w:rPr>
            <w:rStyle w:val="Hyperlink"/>
            <w:szCs w:val="18"/>
          </w:rPr>
          <w:t>www.wipo.int/meetings/en/doc_details.jsp?doc_id=637591</w:t>
        </w:r>
      </w:hyperlink>
      <w:r w:rsidRPr="00A47A6B">
        <w:rPr>
          <w:szCs w:val="18"/>
        </w:rPr>
        <w:t xml:space="preserve"> </w:t>
      </w:r>
    </w:p>
  </w:footnote>
  <w:footnote w:id="54">
    <w:p w14:paraId="2E225A06"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See document </w:t>
      </w:r>
      <w:r w:rsidRPr="00A47A6B">
        <w:rPr>
          <w:color w:val="000000" w:themeColor="text1"/>
          <w:szCs w:val="18"/>
        </w:rPr>
        <w:t>PCT/A/56/2</w:t>
      </w:r>
      <w:r>
        <w:rPr>
          <w:color w:val="000000" w:themeColor="text1"/>
          <w:szCs w:val="18"/>
        </w:rPr>
        <w:t>,</w:t>
      </w:r>
      <w:r w:rsidRPr="00A47A6B">
        <w:rPr>
          <w:color w:val="000000" w:themeColor="text1"/>
          <w:szCs w:val="18"/>
        </w:rPr>
        <w:t xml:space="preserve"> available at:  </w:t>
      </w:r>
      <w:hyperlink r:id="rId33" w:history="1">
        <w:r w:rsidRPr="00A47A6B">
          <w:rPr>
            <w:rStyle w:val="Hyperlink"/>
            <w:szCs w:val="18"/>
          </w:rPr>
          <w:t>www.wipo.int/meetings/en/doc_details.jsp?doc_id=629283</w:t>
        </w:r>
      </w:hyperlink>
    </w:p>
  </w:footnote>
  <w:footnote w:id="55">
    <w:p w14:paraId="76E47024" w14:textId="77777777" w:rsidR="00BC268B" w:rsidRPr="00BC4667" w:rsidRDefault="00BC268B" w:rsidP="00A30C46">
      <w:pPr>
        <w:pStyle w:val="FootnoteText"/>
        <w:rPr>
          <w:szCs w:val="18"/>
        </w:rPr>
      </w:pPr>
      <w:r w:rsidRPr="00A47A6B">
        <w:rPr>
          <w:rStyle w:val="FootnoteReference"/>
          <w:szCs w:val="18"/>
        </w:rPr>
        <w:footnoteRef/>
      </w:r>
      <w:r w:rsidRPr="00A47A6B">
        <w:rPr>
          <w:szCs w:val="18"/>
        </w:rPr>
        <w:t xml:space="preserve"> One from Africa; </w:t>
      </w:r>
      <w:r>
        <w:rPr>
          <w:szCs w:val="18"/>
        </w:rPr>
        <w:t xml:space="preserve"> </w:t>
      </w:r>
      <w:r w:rsidRPr="00A47A6B">
        <w:rPr>
          <w:szCs w:val="18"/>
        </w:rPr>
        <w:t>four from Asia and the Pac</w:t>
      </w:r>
      <w:r w:rsidRPr="00BC4667">
        <w:rPr>
          <w:szCs w:val="18"/>
        </w:rPr>
        <w:t xml:space="preserve">ific;  one from Latin America;  and one from the transition countries. </w:t>
      </w:r>
    </w:p>
  </w:footnote>
  <w:footnote w:id="56">
    <w:p w14:paraId="34AF1EB9" w14:textId="77777777" w:rsidR="00BC268B" w:rsidRPr="00A47A6B" w:rsidRDefault="00BC268B" w:rsidP="00A30C46">
      <w:pPr>
        <w:pStyle w:val="FootnoteText"/>
        <w:rPr>
          <w:szCs w:val="18"/>
        </w:rPr>
      </w:pPr>
      <w:r w:rsidRPr="00BC4667">
        <w:rPr>
          <w:rStyle w:val="FootnoteReference"/>
          <w:szCs w:val="18"/>
        </w:rPr>
        <w:footnoteRef/>
      </w:r>
      <w:r w:rsidRPr="00BC4667">
        <w:rPr>
          <w:szCs w:val="18"/>
        </w:rPr>
        <w:t xml:space="preserve"> Some activities were related to two or three types</w:t>
      </w:r>
      <w:r w:rsidRPr="00A47A6B">
        <w:rPr>
          <w:szCs w:val="18"/>
        </w:rPr>
        <w:t xml:space="preserve"> of IP.</w:t>
      </w:r>
    </w:p>
  </w:footnote>
  <w:footnote w:id="57">
    <w:p w14:paraId="3D3A6C9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project is funded by Funds-In-Trust Japan Industrial Property Global.  It began with Côte d’Ivoire and Ghana and is expected to expand to cover other West African countries.  Further information about the mobile application is available at:</w:t>
      </w:r>
      <w:r>
        <w:rPr>
          <w:szCs w:val="18"/>
        </w:rPr>
        <w:t xml:space="preserve"> </w:t>
      </w:r>
      <w:r w:rsidRPr="00A47A6B">
        <w:rPr>
          <w:szCs w:val="18"/>
        </w:rPr>
        <w:t xml:space="preserve"> </w:t>
      </w:r>
      <w:hyperlink r:id="rId34" w:history="1">
        <w:r w:rsidRPr="00A47A6B">
          <w:rPr>
            <w:rStyle w:val="Hyperlink"/>
            <w:szCs w:val="18"/>
          </w:rPr>
          <w:t>WIPO and ECOWAS Unveil the AfricDeezayn Mobile App</w:t>
        </w:r>
      </w:hyperlink>
      <w:r w:rsidRPr="00A47A6B">
        <w:rPr>
          <w:szCs w:val="18"/>
        </w:rPr>
        <w:t xml:space="preserve">  </w:t>
      </w:r>
    </w:p>
  </w:footnote>
  <w:footnote w:id="58">
    <w:p w14:paraId="0565688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w:t>
      </w:r>
      <w:r w:rsidRPr="00A47A6B">
        <w:rPr>
          <w:iCs/>
          <w:szCs w:val="18"/>
        </w:rPr>
        <w:t>This capacity-building project for the beekeepers was made possible with funding from the WIPO Build Back Fund.</w:t>
      </w:r>
    </w:p>
  </w:footnote>
  <w:footnote w:id="59">
    <w:p w14:paraId="1E66C97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implementation of field projects is often carried out with the support of WIPO Member States, in particular with the financial support of the WIPO Funds-In-Trust China, and in collaboration with external partners, such as the Food and Agriculture Organization (FAO).</w:t>
      </w:r>
    </w:p>
  </w:footnote>
  <w:footnote w:id="60">
    <w:p w14:paraId="684AF72C"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Summary by the Chair is available at:  </w:t>
      </w:r>
      <w:hyperlink r:id="rId35" w:history="1">
        <w:r w:rsidRPr="00A47A6B">
          <w:rPr>
            <w:rStyle w:val="Hyperlink"/>
            <w:szCs w:val="18"/>
          </w:rPr>
          <w:t>www.wipo.int/meetings/en/doc_details.jsp?doc_id=628928</w:t>
        </w:r>
      </w:hyperlink>
      <w:r w:rsidRPr="00A47A6B">
        <w:rPr>
          <w:szCs w:val="18"/>
        </w:rPr>
        <w:t xml:space="preserve"> </w:t>
      </w:r>
    </w:p>
  </w:footnote>
  <w:footnote w:id="61">
    <w:p w14:paraId="1EF94E3E"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SCT/46/5</w:t>
      </w:r>
      <w:r>
        <w:rPr>
          <w:szCs w:val="18"/>
        </w:rPr>
        <w:t>,</w:t>
      </w:r>
      <w:r w:rsidRPr="00A47A6B">
        <w:rPr>
          <w:szCs w:val="18"/>
        </w:rPr>
        <w:t xml:space="preserve"> available at: </w:t>
      </w:r>
      <w:r>
        <w:rPr>
          <w:szCs w:val="18"/>
        </w:rPr>
        <w:t xml:space="preserve"> </w:t>
      </w:r>
      <w:hyperlink r:id="rId36" w:history="1">
        <w:r w:rsidRPr="001856CF">
          <w:rPr>
            <w:rStyle w:val="Hyperlink"/>
            <w:szCs w:val="18"/>
          </w:rPr>
          <w:t>www.wipo.int/meetings/en/doc_details.jsp?doc_id=590831</w:t>
        </w:r>
      </w:hyperlink>
      <w:r w:rsidRPr="00A47A6B">
        <w:rPr>
          <w:szCs w:val="18"/>
        </w:rPr>
        <w:t xml:space="preserve">  </w:t>
      </w:r>
    </w:p>
  </w:footnote>
  <w:footnote w:id="62">
    <w:p w14:paraId="5D3B72A5"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about the Diplomatic Conference is available at:  </w:t>
      </w:r>
      <w:hyperlink r:id="rId37" w:history="1">
        <w:r w:rsidRPr="00A47A6B">
          <w:rPr>
            <w:rStyle w:val="Hyperlink"/>
            <w:szCs w:val="18"/>
          </w:rPr>
          <w:t>Diplomatic Conference to Conclude and Adopt a Design Law Treaty</w:t>
        </w:r>
      </w:hyperlink>
      <w:r w:rsidRPr="00A47A6B">
        <w:rPr>
          <w:szCs w:val="18"/>
        </w:rPr>
        <w:t xml:space="preserve">  </w:t>
      </w:r>
    </w:p>
  </w:footnote>
  <w:footnote w:id="63">
    <w:p w14:paraId="4CAA00C7"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strategies, tools and initiatives included: i) workshops and training for relevant authorities and local actors contributing to rural and local development initiatives, and groups of producers on the collective management of quality schemes for origin products protected by a geographical indication in Algeria, Brazil, Pakistan and Uganda; ii) a short documentary video produced in Brazil on the geographical indication “Mel do Aroeira de Norte de Minas”, to promote the benefits of the geographical indications system and increase consumer awareness;  iii) a flyer on the geographical indication “Sindhri Mango”, printed in Urdu, English and Sindhi; </w:t>
      </w:r>
      <w:r>
        <w:rPr>
          <w:szCs w:val="18"/>
        </w:rPr>
        <w:t xml:space="preserve"> </w:t>
      </w:r>
      <w:r w:rsidRPr="00A47A6B">
        <w:rPr>
          <w:szCs w:val="18"/>
        </w:rPr>
        <w:t>and iv) a flyer on the geographical indication “Rwenzori Mountains of the Moon Coffee”, developed in cooperation with the producers’ group and printed to raise awareness of the geographical indication product among producers and consumers.</w:t>
      </w:r>
    </w:p>
  </w:footnote>
  <w:footnote w:id="64">
    <w:p w14:paraId="30ECAE28"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WIPO CLIP Platform was created as part of the initiative WIPO for Creators (WFC), which is an open public</w:t>
      </w:r>
      <w:r>
        <w:rPr>
          <w:szCs w:val="18"/>
        </w:rPr>
        <w:noBreakHyphen/>
      </w:r>
      <w:r w:rsidRPr="00A47A6B">
        <w:rPr>
          <w:szCs w:val="18"/>
        </w:rPr>
        <w:t>private partnership launched by WIPO and the Music Rights Awareness Foundation, to raise awareness and deepen</w:t>
      </w:r>
      <w:r w:rsidRPr="00A47A6B">
        <w:rPr>
          <w:iCs/>
          <w:szCs w:val="18"/>
        </w:rPr>
        <w:t xml:space="preserve"> understanding of IP rights among creators.  </w:t>
      </w:r>
    </w:p>
  </w:footnote>
  <w:footnote w:id="65">
    <w:p w14:paraId="02E20289"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It was provided 15 times to 10 developing countries and LDCs, and to three countries with economies in transition.  </w:t>
      </w:r>
    </w:p>
  </w:footnote>
  <w:footnote w:id="66">
    <w:p w14:paraId="3387F89E"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about the WIPO CLIP Platform </w:t>
      </w:r>
      <w:r>
        <w:rPr>
          <w:szCs w:val="18"/>
        </w:rPr>
        <w:t xml:space="preserve">is </w:t>
      </w:r>
      <w:r w:rsidRPr="00A47A6B">
        <w:rPr>
          <w:szCs w:val="18"/>
        </w:rPr>
        <w:t>available at:</w:t>
      </w:r>
      <w:r>
        <w:rPr>
          <w:szCs w:val="18"/>
        </w:rPr>
        <w:t xml:space="preserve"> </w:t>
      </w:r>
      <w:r w:rsidRPr="00A47A6B">
        <w:rPr>
          <w:szCs w:val="18"/>
        </w:rPr>
        <w:t xml:space="preserve"> </w:t>
      </w:r>
      <w:hyperlink r:id="rId38" w:history="1">
        <w:r w:rsidRPr="00A47A6B">
          <w:rPr>
            <w:rStyle w:val="Hyperlink"/>
            <w:szCs w:val="18"/>
          </w:rPr>
          <w:t>WIPO CLIP Platform</w:t>
        </w:r>
      </w:hyperlink>
      <w:r w:rsidRPr="00A47A6B">
        <w:rPr>
          <w:szCs w:val="18"/>
        </w:rPr>
        <w:t>.</w:t>
      </w:r>
    </w:p>
  </w:footnote>
  <w:footnote w:id="67">
    <w:p w14:paraId="02599DBF"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w:t>
      </w:r>
      <w:r w:rsidRPr="00A47A6B">
        <w:rPr>
          <w:iCs/>
          <w:szCs w:val="18"/>
        </w:rPr>
        <w:t>Arabic, Chinese, English, French, Portuguese, Russian and Spanish.</w:t>
      </w:r>
    </w:p>
  </w:footnote>
  <w:footnote w:id="68">
    <w:p w14:paraId="4305526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first two “CLIP Champions” were creators from Cabo Verde and Senegal.  </w:t>
      </w:r>
    </w:p>
  </w:footnote>
  <w:footnote w:id="69">
    <w:p w14:paraId="3E37CF4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celebration featured the Nigerian artist and singer-songwriter Mr. Cobhams Asuquo.</w:t>
      </w:r>
    </w:p>
  </w:footnote>
  <w:footnote w:id="70">
    <w:p w14:paraId="7E16CF2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ABC International Excellence Award for Accessible Publishing is available at:  </w:t>
      </w:r>
      <w:hyperlink r:id="rId39" w:history="1">
        <w:r w:rsidRPr="00A47A6B">
          <w:rPr>
            <w:rStyle w:val="Hyperlink"/>
            <w:szCs w:val="18"/>
          </w:rPr>
          <w:t>ABC International Excellence Award for Accessible Publishing</w:t>
        </w:r>
      </w:hyperlink>
    </w:p>
  </w:footnote>
  <w:footnote w:id="71">
    <w:p w14:paraId="4C16ADA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Conference is available at:  </w:t>
      </w:r>
      <w:hyperlink r:id="rId40" w:history="1">
        <w:r w:rsidRPr="00A47A6B">
          <w:rPr>
            <w:rStyle w:val="Hyperlink"/>
            <w:szCs w:val="18"/>
          </w:rPr>
          <w:t>“Right to Read” Conference</w:t>
        </w:r>
      </w:hyperlink>
      <w:r w:rsidRPr="00A47A6B">
        <w:rPr>
          <w:szCs w:val="18"/>
        </w:rPr>
        <w:t xml:space="preserve">  </w:t>
      </w:r>
    </w:p>
  </w:footnote>
  <w:footnote w:id="72">
    <w:p w14:paraId="1D11352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Cook Islands, Fiji, Kiribati, Marshall Islands, Papua New Guinea, Samoa, Solomon Islands, Tonga, and Vanuatu.</w:t>
      </w:r>
    </w:p>
  </w:footnote>
  <w:footnote w:id="73">
    <w:p w14:paraId="38306C8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More information is available at:  </w:t>
      </w:r>
      <w:hyperlink r:id="rId41" w:history="1">
        <w:r w:rsidRPr="00A47A6B">
          <w:rPr>
            <w:rStyle w:val="Hyperlink"/>
            <w:szCs w:val="18"/>
          </w:rPr>
          <w:t>www.wipo.int/global-awards/en/</w:t>
        </w:r>
      </w:hyperlink>
      <w:r w:rsidRPr="00A47A6B">
        <w:rPr>
          <w:szCs w:val="18"/>
        </w:rPr>
        <w:t xml:space="preserve">  </w:t>
      </w:r>
    </w:p>
  </w:footnote>
  <w:footnote w:id="74">
    <w:p w14:paraId="34BFAD8A" w14:textId="77777777" w:rsidR="00BC268B" w:rsidRPr="00A47A6B" w:rsidRDefault="00BC268B" w:rsidP="00CB5717">
      <w:pPr>
        <w:pStyle w:val="FootnoteText"/>
        <w:rPr>
          <w:szCs w:val="18"/>
        </w:rPr>
      </w:pPr>
      <w:r w:rsidRPr="00A47A6B">
        <w:rPr>
          <w:rStyle w:val="FootnoteReference"/>
          <w:szCs w:val="18"/>
        </w:rPr>
        <w:footnoteRef/>
      </w:r>
      <w:r w:rsidRPr="00A47A6B">
        <w:rPr>
          <w:szCs w:val="18"/>
        </w:rPr>
        <w:t xml:space="preserve"> Further information about WIPO National Awards is available at:  </w:t>
      </w:r>
      <w:hyperlink r:id="rId42" w:history="1">
        <w:r w:rsidRPr="00A47A6B">
          <w:rPr>
            <w:rStyle w:val="Hyperlink"/>
            <w:szCs w:val="18"/>
          </w:rPr>
          <w:t>WIPO National Awards</w:t>
        </w:r>
      </w:hyperlink>
      <w:r w:rsidRPr="00A47A6B">
        <w:rPr>
          <w:szCs w:val="18"/>
        </w:rPr>
        <w:t xml:space="preserve"> </w:t>
      </w:r>
    </w:p>
  </w:footnote>
  <w:footnote w:id="75">
    <w:p w14:paraId="387159B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Summary by the Chair is available at:  </w:t>
      </w:r>
      <w:hyperlink r:id="rId43" w:history="1">
        <w:r w:rsidRPr="00A47A6B">
          <w:rPr>
            <w:rStyle w:val="Hyperlink"/>
            <w:szCs w:val="18"/>
          </w:rPr>
          <w:t>www.wipo.int/meetings/en/doc_details.jsp?doc_id=630104</w:t>
        </w:r>
      </w:hyperlink>
    </w:p>
  </w:footnote>
  <w:footnote w:id="76">
    <w:p w14:paraId="6F8B2EA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SCCR/45/3</w:t>
      </w:r>
      <w:r>
        <w:rPr>
          <w:szCs w:val="18"/>
        </w:rPr>
        <w:t>,</w:t>
      </w:r>
      <w:r w:rsidRPr="00A47A6B">
        <w:rPr>
          <w:szCs w:val="18"/>
        </w:rPr>
        <w:t xml:space="preserve"> available at:  </w:t>
      </w:r>
      <w:hyperlink r:id="rId44" w:history="1">
        <w:r w:rsidRPr="00A47A6B">
          <w:rPr>
            <w:rStyle w:val="Hyperlink"/>
            <w:szCs w:val="18"/>
          </w:rPr>
          <w:t>www.wipo.int/meetings/en/doc_details.jsp?doc_id=627732</w:t>
        </w:r>
      </w:hyperlink>
    </w:p>
  </w:footnote>
  <w:footnote w:id="77">
    <w:p w14:paraId="498A65F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SCCR/44/7</w:t>
      </w:r>
      <w:r>
        <w:rPr>
          <w:szCs w:val="18"/>
        </w:rPr>
        <w:t>,</w:t>
      </w:r>
      <w:r w:rsidRPr="00A47A6B">
        <w:rPr>
          <w:szCs w:val="18"/>
        </w:rPr>
        <w:t xml:space="preserve"> available at:  </w:t>
      </w:r>
      <w:hyperlink r:id="rId45" w:history="1">
        <w:r w:rsidRPr="00A47A6B">
          <w:rPr>
            <w:rStyle w:val="Hyperlink"/>
            <w:szCs w:val="18"/>
          </w:rPr>
          <w:t>www.wipo.int/meetings/en/doc_details.jsp?doc_id=622591</w:t>
        </w:r>
      </w:hyperlink>
    </w:p>
  </w:footnote>
  <w:footnote w:id="78">
    <w:p w14:paraId="5D7744C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Work Plan is available at:  </w:t>
      </w:r>
      <w:hyperlink r:id="rId46" w:history="1">
        <w:r w:rsidRPr="00A47A6B">
          <w:rPr>
            <w:rStyle w:val="Hyperlink"/>
            <w:szCs w:val="18"/>
          </w:rPr>
          <w:t>Draft Work Plan on Copyright in the Digital Environment</w:t>
        </w:r>
      </w:hyperlink>
      <w:r w:rsidRPr="00A47A6B">
        <w:rPr>
          <w:szCs w:val="18"/>
        </w:rPr>
        <w:t xml:space="preserve">  </w:t>
      </w:r>
    </w:p>
  </w:footnote>
  <w:footnote w:id="79">
    <w:p w14:paraId="43970E3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SCCR/45/6</w:t>
      </w:r>
      <w:r>
        <w:rPr>
          <w:szCs w:val="18"/>
        </w:rPr>
        <w:t>,</w:t>
      </w:r>
      <w:r w:rsidRPr="00A47A6B">
        <w:rPr>
          <w:szCs w:val="18"/>
        </w:rPr>
        <w:t xml:space="preserve"> available at:  </w:t>
      </w:r>
      <w:hyperlink r:id="rId47" w:history="1">
        <w:r w:rsidRPr="00A47A6B">
          <w:rPr>
            <w:rStyle w:val="Hyperlink"/>
            <w:szCs w:val="18"/>
          </w:rPr>
          <w:t>www.wipo.int/meetings/en/doc_details.jsp?doc_id=629766</w:t>
        </w:r>
      </w:hyperlink>
      <w:r w:rsidRPr="00A47A6B">
        <w:rPr>
          <w:szCs w:val="18"/>
        </w:rPr>
        <w:t xml:space="preserve">.  </w:t>
      </w:r>
    </w:p>
  </w:footnote>
  <w:footnote w:id="80">
    <w:p w14:paraId="15083D9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SCCR/44/5</w:t>
      </w:r>
      <w:r>
        <w:rPr>
          <w:szCs w:val="18"/>
        </w:rPr>
        <w:t>,</w:t>
      </w:r>
      <w:r w:rsidRPr="00A47A6B">
        <w:rPr>
          <w:szCs w:val="18"/>
        </w:rPr>
        <w:t xml:space="preserve"> available at:  </w:t>
      </w:r>
      <w:hyperlink r:id="rId48" w:history="1">
        <w:r w:rsidRPr="00A47A6B">
          <w:rPr>
            <w:rStyle w:val="Hyperlink"/>
            <w:szCs w:val="18"/>
          </w:rPr>
          <w:t>www.wipo.int/meetings/en/doc_details.jsp?doc_id=622473</w:t>
        </w:r>
      </w:hyperlink>
      <w:r w:rsidRPr="00A47A6B">
        <w:rPr>
          <w:szCs w:val="18"/>
        </w:rPr>
        <w:t xml:space="preserve">  </w:t>
      </w:r>
    </w:p>
  </w:footnote>
  <w:footnote w:id="81">
    <w:p w14:paraId="7830019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Toolkit is available at:  </w:t>
      </w:r>
      <w:hyperlink r:id="rId49" w:history="1">
        <w:r w:rsidRPr="00A47A6B">
          <w:rPr>
            <w:rStyle w:val="Hyperlink"/>
            <w:szCs w:val="18"/>
          </w:rPr>
          <w:t>WIPO Toolkit on Artist’s Resale Right (Part II)</w:t>
        </w:r>
      </w:hyperlink>
      <w:r w:rsidRPr="00A47A6B">
        <w:rPr>
          <w:szCs w:val="18"/>
        </w:rPr>
        <w:t xml:space="preserve">  </w:t>
      </w:r>
    </w:p>
  </w:footnote>
  <w:footnote w:id="82">
    <w:p w14:paraId="64B9734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SCCR/45/7</w:t>
      </w:r>
      <w:r>
        <w:rPr>
          <w:szCs w:val="18"/>
        </w:rPr>
        <w:t>,</w:t>
      </w:r>
      <w:r w:rsidRPr="00A47A6B">
        <w:rPr>
          <w:szCs w:val="18"/>
        </w:rPr>
        <w:t xml:space="preserve"> available at:  </w:t>
      </w:r>
      <w:hyperlink r:id="rId50" w:history="1">
        <w:r w:rsidRPr="00A47A6B">
          <w:rPr>
            <w:rStyle w:val="Hyperlink"/>
            <w:szCs w:val="18"/>
          </w:rPr>
          <w:t>www.wipo.int/meetings/en/doc_details.jsp?doc_id=629405</w:t>
        </w:r>
      </w:hyperlink>
      <w:r w:rsidRPr="00A47A6B">
        <w:rPr>
          <w:szCs w:val="18"/>
        </w:rPr>
        <w:t xml:space="preserve">  </w:t>
      </w:r>
    </w:p>
  </w:footnote>
  <w:footnote w:id="83">
    <w:p w14:paraId="3988C6B5"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 13/11, available at:  </w:t>
      </w:r>
      <w:hyperlink r:id="rId51" w:history="1">
        <w:r w:rsidRPr="00A47A6B">
          <w:rPr>
            <w:rStyle w:val="Hyperlink"/>
            <w:szCs w:val="18"/>
          </w:rPr>
          <w:t>www.wipo.int/meetings/en/doc_details.jsp?doc_id=272841</w:t>
        </w:r>
      </w:hyperlink>
      <w:r w:rsidRPr="00A47A6B">
        <w:rPr>
          <w:szCs w:val="18"/>
        </w:rPr>
        <w:t xml:space="preserve">  </w:t>
      </w:r>
    </w:p>
  </w:footnote>
  <w:footnote w:id="84">
    <w:p w14:paraId="4F3BEC0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All capacity-building tools developed are available on the project’s webpage at:</w:t>
      </w:r>
      <w:r>
        <w:rPr>
          <w:szCs w:val="18"/>
        </w:rPr>
        <w:t xml:space="preserve"> </w:t>
      </w:r>
      <w:r w:rsidRPr="00A47A6B">
        <w:rPr>
          <w:szCs w:val="18"/>
        </w:rPr>
        <w:t xml:space="preserve"> </w:t>
      </w:r>
      <w:hyperlink r:id="rId52" w:history="1">
        <w:r w:rsidRPr="00A47A6B">
          <w:rPr>
            <w:rStyle w:val="Hyperlink"/>
            <w:szCs w:val="18"/>
          </w:rPr>
          <w:t>Intellectual Property Rights for Mobile Applications</w:t>
        </w:r>
      </w:hyperlink>
      <w:r w:rsidRPr="00A47A6B">
        <w:rPr>
          <w:szCs w:val="18"/>
        </w:rPr>
        <w:t xml:space="preserve">  </w:t>
      </w:r>
    </w:p>
  </w:footnote>
  <w:footnote w:id="85">
    <w:p w14:paraId="48DA1C4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project is focused on the audiovisual market in Latin America.  The beneficiary countries are Brazil, Costa Rica, Argentina, Ecuador, Peru and Uruguay.</w:t>
      </w:r>
    </w:p>
  </w:footnote>
  <w:footnote w:id="86">
    <w:p w14:paraId="727B02C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beneficiary countries are Chile, Indonesia, United Arab Emirates, and Uruguay.  </w:t>
      </w:r>
    </w:p>
  </w:footnote>
  <w:footnote w:id="87">
    <w:p w14:paraId="7425FD87"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All capacity-building tools developed are available on the project’s webpage at: </w:t>
      </w:r>
      <w:hyperlink r:id="rId53" w:history="1">
        <w:r w:rsidRPr="00A47A6B">
          <w:rPr>
            <w:rStyle w:val="Hyperlink"/>
            <w:szCs w:val="18"/>
          </w:rPr>
          <w:t>IP for Creative Industries in Developing Countries</w:t>
        </w:r>
      </w:hyperlink>
      <w:r w:rsidRPr="00A47A6B">
        <w:rPr>
          <w:szCs w:val="18"/>
        </w:rPr>
        <w:t xml:space="preserve">  </w:t>
      </w:r>
    </w:p>
  </w:footnote>
  <w:footnote w:id="88">
    <w:p w14:paraId="707C2CA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first workshop is being organized in collaboration with the Université Félix Houphouët-Boigny in Côte d’Ivoire and is scheduled to take place in February 2025.</w:t>
      </w:r>
    </w:p>
  </w:footnote>
  <w:footnote w:id="89">
    <w:p w14:paraId="66C94826"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w:t>
      </w:r>
      <w:r>
        <w:rPr>
          <w:szCs w:val="18"/>
        </w:rPr>
        <w:t xml:space="preserve">is </w:t>
      </w:r>
      <w:r w:rsidRPr="00A47A6B">
        <w:rPr>
          <w:szCs w:val="18"/>
        </w:rPr>
        <w:t>available at:</w:t>
      </w:r>
      <w:r>
        <w:rPr>
          <w:szCs w:val="18"/>
        </w:rPr>
        <w:t xml:space="preserve"> </w:t>
      </w:r>
      <w:r w:rsidRPr="00A47A6B">
        <w:rPr>
          <w:szCs w:val="18"/>
        </w:rPr>
        <w:t xml:space="preserve"> </w:t>
      </w:r>
      <w:hyperlink r:id="rId54" w:history="1">
        <w:r w:rsidRPr="00A47A6B">
          <w:rPr>
            <w:rStyle w:val="Hyperlink"/>
            <w:szCs w:val="18"/>
          </w:rPr>
          <w:t>STANDARD ST.26</w:t>
        </w:r>
      </w:hyperlink>
      <w:r w:rsidRPr="00A47A6B">
        <w:rPr>
          <w:szCs w:val="18"/>
        </w:rPr>
        <w:t xml:space="preserve"> </w:t>
      </w:r>
    </w:p>
  </w:footnote>
  <w:footnote w:id="90">
    <w:p w14:paraId="52E1B90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WIPO Conversations is available at:  </w:t>
      </w:r>
      <w:hyperlink r:id="rId55" w:history="1">
        <w:r w:rsidRPr="00A47A6B">
          <w:rPr>
            <w:rStyle w:val="Hyperlink"/>
            <w:szCs w:val="18"/>
          </w:rPr>
          <w:t>Intellectual Property for Frontier Technologies</w:t>
        </w:r>
      </w:hyperlink>
    </w:p>
  </w:footnote>
  <w:footnote w:id="91">
    <w:p w14:paraId="3884894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Toolkit is available at:  </w:t>
      </w:r>
      <w:hyperlink r:id="rId56" w:history="1">
        <w:r w:rsidRPr="00A47A6B">
          <w:rPr>
            <w:rStyle w:val="Hyperlink"/>
            <w:szCs w:val="18"/>
          </w:rPr>
          <w:t>Getting the innovation ecosystem ready for AI</w:t>
        </w:r>
      </w:hyperlink>
      <w:r w:rsidRPr="00A47A6B">
        <w:rPr>
          <w:szCs w:val="18"/>
        </w:rPr>
        <w:t xml:space="preserve">  </w:t>
      </w:r>
    </w:p>
  </w:footnote>
  <w:footnote w:id="92">
    <w:p w14:paraId="4F94328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Guide is available at:  </w:t>
      </w:r>
      <w:hyperlink r:id="rId57" w:history="1">
        <w:r w:rsidRPr="00A47A6B">
          <w:rPr>
            <w:rStyle w:val="Hyperlink"/>
            <w:szCs w:val="18"/>
          </w:rPr>
          <w:t>Generative AI: Navigating Intellectual Property</w:t>
        </w:r>
      </w:hyperlink>
      <w:r w:rsidRPr="00A47A6B">
        <w:rPr>
          <w:szCs w:val="18"/>
        </w:rPr>
        <w:t xml:space="preserve">  </w:t>
      </w:r>
    </w:p>
  </w:footnote>
  <w:footnote w:id="93">
    <w:p w14:paraId="0364346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w:t>
      </w:r>
      <w:r w:rsidRPr="00A47A6B">
        <w:rPr>
          <w:szCs w:val="18"/>
          <w:lang w:val="en" w:eastAsia="ja-JP"/>
        </w:rPr>
        <w:t xml:space="preserve">More information is available at: </w:t>
      </w:r>
      <w:r>
        <w:rPr>
          <w:szCs w:val="18"/>
          <w:lang w:val="en" w:eastAsia="ja-JP"/>
        </w:rPr>
        <w:t xml:space="preserve"> </w:t>
      </w:r>
      <w:hyperlink r:id="rId58" w:history="1">
        <w:r w:rsidRPr="00A47A6B">
          <w:rPr>
            <w:rStyle w:val="Hyperlink"/>
            <w:szCs w:val="18"/>
          </w:rPr>
          <w:t>IP Office Business Solutions</w:t>
        </w:r>
      </w:hyperlink>
    </w:p>
  </w:footnote>
  <w:footnote w:id="94">
    <w:p w14:paraId="363BEDF9" w14:textId="77777777" w:rsidR="00BC268B" w:rsidRPr="00A47A6B" w:rsidRDefault="00BC268B" w:rsidP="00C76E20">
      <w:pPr>
        <w:pStyle w:val="FootnoteText"/>
        <w:rPr>
          <w:szCs w:val="18"/>
        </w:rPr>
      </w:pPr>
      <w:r w:rsidRPr="00A47A6B">
        <w:rPr>
          <w:rStyle w:val="FootnoteReference"/>
          <w:szCs w:val="18"/>
        </w:rPr>
        <w:footnoteRef/>
      </w:r>
      <w:r w:rsidRPr="00A47A6B">
        <w:rPr>
          <w:szCs w:val="18"/>
        </w:rPr>
        <w:t xml:space="preserve"> Further information on the Webinar is available at:  </w:t>
      </w:r>
      <w:hyperlink r:id="rId59" w:history="1">
        <w:r w:rsidRPr="00A47A6B">
          <w:rPr>
            <w:rStyle w:val="Hyperlink"/>
            <w:szCs w:val="18"/>
          </w:rPr>
          <w:t>www.wipo.int/meetings/en/details.jsp?meeting_id=83813</w:t>
        </w:r>
      </w:hyperlink>
    </w:p>
  </w:footnote>
  <w:footnote w:id="95">
    <w:p w14:paraId="34254206"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Symposium is available at:  </w:t>
      </w:r>
      <w:hyperlink r:id="rId60" w:history="1">
        <w:r>
          <w:rPr>
            <w:rStyle w:val="Hyperlink"/>
            <w:szCs w:val="18"/>
          </w:rPr>
          <w:t>Joint Technical Symposium</w:t>
        </w:r>
      </w:hyperlink>
      <w:r w:rsidRPr="00A47A6B">
        <w:rPr>
          <w:szCs w:val="18"/>
        </w:rPr>
        <w:t xml:space="preserve"> </w:t>
      </w:r>
    </w:p>
  </w:footnote>
  <w:footnote w:id="96">
    <w:p w14:paraId="1462AE7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Initiative is available at:  </w:t>
      </w:r>
      <w:hyperlink r:id="rId61" w:history="1">
        <w:r w:rsidRPr="00A47A6B">
          <w:rPr>
            <w:rStyle w:val="Hyperlink"/>
            <w:szCs w:val="18"/>
          </w:rPr>
          <w:t>Global Initiative on AI for Health</w:t>
        </w:r>
      </w:hyperlink>
      <w:r w:rsidRPr="00A47A6B">
        <w:rPr>
          <w:szCs w:val="18"/>
        </w:rPr>
        <w:t xml:space="preserve"> </w:t>
      </w:r>
    </w:p>
  </w:footnote>
  <w:footnote w:id="97">
    <w:p w14:paraId="28CC7768"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this event is available at:  </w:t>
      </w:r>
      <w:hyperlink r:id="rId62" w:history="1">
        <w:r w:rsidRPr="00A47A6B">
          <w:rPr>
            <w:rStyle w:val="Hyperlink"/>
            <w:szCs w:val="18"/>
          </w:rPr>
          <w:t>World Summit on the Information Society (WSIS)+20 Forum High-Level Event 2024</w:t>
        </w:r>
      </w:hyperlink>
      <w:r w:rsidRPr="00A47A6B">
        <w:rPr>
          <w:szCs w:val="18"/>
        </w:rPr>
        <w:t xml:space="preserve"> </w:t>
      </w:r>
    </w:p>
  </w:footnote>
  <w:footnote w:id="98">
    <w:p w14:paraId="470D98A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this event is available at:  </w:t>
      </w:r>
      <w:hyperlink r:id="rId63" w:history="1">
        <w:r w:rsidRPr="00A47A6B">
          <w:rPr>
            <w:rStyle w:val="Hyperlink"/>
            <w:szCs w:val="18"/>
          </w:rPr>
          <w:t>AI for Good Global Summit</w:t>
        </w:r>
      </w:hyperlink>
      <w:r w:rsidRPr="00A47A6B">
        <w:rPr>
          <w:szCs w:val="18"/>
        </w:rPr>
        <w:t xml:space="preserve"> </w:t>
      </w:r>
    </w:p>
  </w:footnote>
  <w:footnote w:id="99">
    <w:p w14:paraId="6FA58678"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Through the </w:t>
      </w:r>
      <w:r w:rsidRPr="00A47A6B">
        <w:rPr>
          <w:iCs/>
          <w:szCs w:val="18"/>
        </w:rPr>
        <w:t xml:space="preserve">International Association for the Protection of Intellectual Property and other international and national networks.  </w:t>
      </w:r>
    </w:p>
  </w:footnote>
  <w:footnote w:id="100">
    <w:p w14:paraId="3C24A0F5"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Strategy is available at:  </w:t>
      </w:r>
      <w:hyperlink r:id="rId64" w:history="1">
        <w:r w:rsidRPr="00A47A6B">
          <w:rPr>
            <w:rStyle w:val="Hyperlink"/>
            <w:szCs w:val="18"/>
          </w:rPr>
          <w:t>IP and Youth Empowerment Strategy (IP-YES!)</w:t>
        </w:r>
      </w:hyperlink>
    </w:p>
  </w:footnote>
  <w:footnote w:id="101">
    <w:p w14:paraId="643F981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Hub is available at:  </w:t>
      </w:r>
      <w:hyperlink r:id="rId65" w:history="1">
        <w:r w:rsidRPr="00A47A6B">
          <w:rPr>
            <w:rStyle w:val="Hyperlink"/>
            <w:szCs w:val="18"/>
          </w:rPr>
          <w:t>TANIT Youth Innovation Hub</w:t>
        </w:r>
      </w:hyperlink>
    </w:p>
  </w:footnote>
  <w:footnote w:id="102">
    <w:p w14:paraId="76BB8AD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Forum is available at:  </w:t>
      </w:r>
      <w:hyperlink r:id="rId66" w:history="1">
        <w:r w:rsidRPr="00A47A6B">
          <w:rPr>
            <w:rStyle w:val="Hyperlink"/>
            <w:szCs w:val="18"/>
          </w:rPr>
          <w:t>ECOSOC Youth Forum</w:t>
        </w:r>
      </w:hyperlink>
    </w:p>
  </w:footnote>
  <w:footnote w:id="103">
    <w:p w14:paraId="13C95E8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Bootcamp is available at:  </w:t>
      </w:r>
      <w:hyperlink r:id="rId67" w:history="1">
        <w:r w:rsidRPr="00A47A6B">
          <w:rPr>
            <w:rStyle w:val="Hyperlink"/>
            <w:szCs w:val="18"/>
          </w:rPr>
          <w:t>Online Branding Bootcamp for Young Content Creators</w:t>
        </w:r>
      </w:hyperlink>
    </w:p>
  </w:footnote>
  <w:footnote w:id="104">
    <w:p w14:paraId="2F3D0CF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Dialogue is available at:  </w:t>
      </w:r>
      <w:hyperlink r:id="rId68" w:history="1">
        <w:r w:rsidRPr="00A47A6B">
          <w:rPr>
            <w:rStyle w:val="Hyperlink"/>
            <w:szCs w:val="18"/>
          </w:rPr>
          <w:t>Intergenerational Dialogue during the WIPO Assemblies</w:t>
        </w:r>
      </w:hyperlink>
    </w:p>
  </w:footnote>
  <w:footnote w:id="105">
    <w:p w14:paraId="5427D725"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United Kingdom Intellectual Property Office;  Asahi Group Holdings, Ltd.;  Chengdu Intellectual Property Exchange Center Co., Ltd.;  Contemporary Amperex Technology Co., Limited;  GCL (group) Holdings Co., Ltd.;  Huawei;  and Xiaomi Corporation.</w:t>
      </w:r>
    </w:p>
  </w:footnote>
  <w:footnote w:id="106">
    <w:p w14:paraId="177577BE"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WIPO GREEN Partners is available at:  </w:t>
      </w:r>
      <w:hyperlink r:id="rId69" w:history="1">
        <w:r w:rsidRPr="00A47A6B">
          <w:rPr>
            <w:rStyle w:val="Hyperlink"/>
            <w:szCs w:val="18"/>
          </w:rPr>
          <w:t>WIPO GREEN Partners</w:t>
        </w:r>
      </w:hyperlink>
      <w:r w:rsidRPr="00A47A6B">
        <w:rPr>
          <w:szCs w:val="18"/>
        </w:rPr>
        <w:t xml:space="preserve"> </w:t>
      </w:r>
    </w:p>
  </w:footnote>
  <w:footnote w:id="107">
    <w:p w14:paraId="107F6A9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Book is available at:  </w:t>
      </w:r>
      <w:hyperlink r:id="rId70" w:history="1">
        <w:r w:rsidRPr="00A47A6B">
          <w:rPr>
            <w:rStyle w:val="Hyperlink"/>
            <w:szCs w:val="18"/>
          </w:rPr>
          <w:t>Green Technology Book</w:t>
        </w:r>
      </w:hyperlink>
    </w:p>
  </w:footnote>
  <w:footnote w:id="108">
    <w:p w14:paraId="032845E0"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Collection is available at:  </w:t>
      </w:r>
      <w:hyperlink r:id="rId71" w:history="1">
        <w:r w:rsidRPr="00A47A6B">
          <w:rPr>
            <w:rStyle w:val="Hyperlink"/>
            <w:szCs w:val="18"/>
          </w:rPr>
          <w:t>Green Technology Book Full Collection</w:t>
        </w:r>
      </w:hyperlink>
    </w:p>
  </w:footnote>
  <w:footnote w:id="109">
    <w:p w14:paraId="3B0D45E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Acceleration Projects is available at:  </w:t>
      </w:r>
      <w:hyperlink r:id="rId72" w:history="1">
        <w:r w:rsidRPr="00A47A6B">
          <w:rPr>
            <w:rStyle w:val="Hyperlink"/>
            <w:szCs w:val="18"/>
          </w:rPr>
          <w:t>WIPO GREEN Acceleration Projects</w:t>
        </w:r>
      </w:hyperlink>
      <w:r w:rsidRPr="00A47A6B">
        <w:rPr>
          <w:szCs w:val="18"/>
        </w:rPr>
        <w:t xml:space="preserve"> </w:t>
      </w:r>
    </w:p>
  </w:footnote>
  <w:footnote w:id="110">
    <w:p w14:paraId="073F196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Project is available at:  </w:t>
      </w:r>
      <w:hyperlink r:id="rId73" w:history="1">
        <w:r w:rsidRPr="00A47A6B">
          <w:rPr>
            <w:rStyle w:val="Hyperlink"/>
            <w:szCs w:val="18"/>
          </w:rPr>
          <w:t>Climate smart agriculture in Latin America</w:t>
        </w:r>
      </w:hyperlink>
      <w:r w:rsidRPr="00A47A6B">
        <w:rPr>
          <w:szCs w:val="18"/>
        </w:rPr>
        <w:t xml:space="preserve"> </w:t>
      </w:r>
    </w:p>
  </w:footnote>
  <w:footnote w:id="111">
    <w:p w14:paraId="1ABEE355"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These climate change needs include energy, water, pollution and waste challenges, and can be found in the China Cities collection on the WIPO GREEN database, which is available at:  </w:t>
      </w:r>
      <w:hyperlink r:id="rId74" w:history="1">
        <w:r w:rsidRPr="00A47A6B">
          <w:rPr>
            <w:rStyle w:val="Hyperlink"/>
            <w:szCs w:val="18"/>
          </w:rPr>
          <w:t>China Cities collection</w:t>
        </w:r>
      </w:hyperlink>
    </w:p>
  </w:footnote>
  <w:footnote w:id="112">
    <w:p w14:paraId="2823F5F8" w14:textId="77777777" w:rsidR="00BC268B" w:rsidRPr="00A47A6B" w:rsidRDefault="00BC268B" w:rsidP="002E3FEF">
      <w:pPr>
        <w:pStyle w:val="FootnoteText"/>
        <w:rPr>
          <w:szCs w:val="18"/>
        </w:rPr>
      </w:pPr>
      <w:r w:rsidRPr="00A47A6B">
        <w:rPr>
          <w:rStyle w:val="FootnoteReference"/>
          <w:szCs w:val="18"/>
        </w:rPr>
        <w:footnoteRef/>
      </w:r>
      <w:r w:rsidRPr="00A47A6B">
        <w:rPr>
          <w:szCs w:val="18"/>
        </w:rPr>
        <w:t xml:space="preserve"> Further information on the Project is available at:  </w:t>
      </w:r>
      <w:hyperlink r:id="rId75" w:history="1">
        <w:r w:rsidRPr="00A47A6B">
          <w:rPr>
            <w:rStyle w:val="Hyperlink"/>
            <w:szCs w:val="18"/>
          </w:rPr>
          <w:t>WIPO GREEN Project in Tajikistan</w:t>
        </w:r>
      </w:hyperlink>
      <w:r w:rsidRPr="00A47A6B">
        <w:rPr>
          <w:szCs w:val="18"/>
        </w:rPr>
        <w:t xml:space="preserve"> </w:t>
      </w:r>
    </w:p>
  </w:footnote>
  <w:footnote w:id="113">
    <w:p w14:paraId="069FE68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this initiative is available at:  </w:t>
      </w:r>
      <w:hyperlink r:id="rId76" w:history="1">
        <w:r w:rsidRPr="00A47A6B">
          <w:rPr>
            <w:rStyle w:val="Hyperlink"/>
            <w:szCs w:val="18"/>
          </w:rPr>
          <w:t>IPO GREEN</w:t>
        </w:r>
      </w:hyperlink>
      <w:r w:rsidRPr="00A47A6B">
        <w:rPr>
          <w:szCs w:val="18"/>
        </w:rPr>
        <w:t xml:space="preserve"> </w:t>
      </w:r>
    </w:p>
  </w:footnote>
  <w:footnote w:id="114">
    <w:p w14:paraId="3F5B0B01" w14:textId="77777777" w:rsidR="00BC268B" w:rsidRPr="00A47A6B" w:rsidRDefault="00BC268B" w:rsidP="008854FE">
      <w:pPr>
        <w:pStyle w:val="FootnoteText"/>
        <w:rPr>
          <w:szCs w:val="18"/>
        </w:rPr>
      </w:pPr>
      <w:r w:rsidRPr="00A47A6B">
        <w:rPr>
          <w:rStyle w:val="FootnoteReference"/>
          <w:szCs w:val="18"/>
        </w:rPr>
        <w:footnoteRef/>
      </w:r>
      <w:r w:rsidRPr="00A47A6B">
        <w:rPr>
          <w:szCs w:val="18"/>
        </w:rPr>
        <w:t xml:space="preserve"> Further information on the Webinar Series is available at:  </w:t>
      </w:r>
      <w:hyperlink r:id="rId77" w:history="1">
        <w:r w:rsidRPr="00A47A6B">
          <w:rPr>
            <w:rStyle w:val="Hyperlink"/>
            <w:szCs w:val="18"/>
          </w:rPr>
          <w:t>IPO Green Webinar Series</w:t>
        </w:r>
      </w:hyperlink>
      <w:r w:rsidRPr="00A47A6B">
        <w:rPr>
          <w:szCs w:val="18"/>
        </w:rPr>
        <w:t xml:space="preserve"> </w:t>
      </w:r>
    </w:p>
  </w:footnote>
  <w:footnote w:id="115">
    <w:p w14:paraId="22C1EFE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Five Member States from the Asia and the Pacific region, three from the Latin American and Caribbean region, and one from the African region.</w:t>
      </w:r>
    </w:p>
  </w:footnote>
  <w:footnote w:id="116">
    <w:p w14:paraId="051DD9F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One in the African region, </w:t>
      </w:r>
      <w:r w:rsidRPr="00A47A6B">
        <w:rPr>
          <w:bCs/>
          <w:szCs w:val="18"/>
        </w:rPr>
        <w:t>three</w:t>
      </w:r>
      <w:r w:rsidRPr="00A47A6B">
        <w:rPr>
          <w:szCs w:val="18"/>
        </w:rPr>
        <w:t xml:space="preserve"> in the Arab region, </w:t>
      </w:r>
      <w:r w:rsidRPr="00A47A6B">
        <w:rPr>
          <w:bCs/>
          <w:szCs w:val="18"/>
        </w:rPr>
        <w:t xml:space="preserve">one </w:t>
      </w:r>
      <w:r w:rsidRPr="00A47A6B">
        <w:rPr>
          <w:szCs w:val="18"/>
        </w:rPr>
        <w:t>in the Asia and the Pacific region, and four in the Latin American and Caribbean region.</w:t>
      </w:r>
    </w:p>
  </w:footnote>
  <w:footnote w:id="117">
    <w:p w14:paraId="653EEF0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these Activities is available at:  </w:t>
      </w:r>
      <w:hyperlink r:id="rId78" w:history="1">
        <w:r w:rsidRPr="00A47A6B">
          <w:rPr>
            <w:rStyle w:val="Hyperlink"/>
            <w:szCs w:val="18"/>
          </w:rPr>
          <w:t>Training and Awareness-raising Activities</w:t>
        </w:r>
      </w:hyperlink>
      <w:r w:rsidRPr="00A47A6B">
        <w:rPr>
          <w:szCs w:val="18"/>
        </w:rPr>
        <w:t xml:space="preserve"> </w:t>
      </w:r>
    </w:p>
  </w:footnote>
  <w:footnote w:id="118">
    <w:p w14:paraId="3A63EE41"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Further information on the annual meeting is available at: </w:t>
      </w:r>
      <w:r w:rsidRPr="00A47A6B">
        <w:rPr>
          <w:rStyle w:val="Hyperlink"/>
          <w:szCs w:val="18"/>
        </w:rPr>
        <w:t xml:space="preserve"> </w:t>
      </w:r>
      <w:hyperlink r:id="rId79" w:history="1">
        <w:r w:rsidRPr="00A47A6B">
          <w:rPr>
            <w:rStyle w:val="Hyperlink"/>
            <w:szCs w:val="18"/>
          </w:rPr>
          <w:t>Coordination Meeting with Private Sectors Associations on IP Enforcement</w:t>
        </w:r>
      </w:hyperlink>
      <w:r w:rsidRPr="00A47A6B">
        <w:rPr>
          <w:rStyle w:val="Hyperlink"/>
          <w:szCs w:val="18"/>
        </w:rPr>
        <w:t xml:space="preserve"> </w:t>
      </w:r>
    </w:p>
  </w:footnote>
  <w:footnote w:id="119">
    <w:p w14:paraId="26B7F4E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is available at:  </w:t>
      </w:r>
      <w:hyperlink r:id="rId80" w:history="1">
        <w:r w:rsidRPr="00A47A6B">
          <w:rPr>
            <w:rStyle w:val="Hyperlink"/>
            <w:szCs w:val="18"/>
          </w:rPr>
          <w:t>Respect for Intellectual Property</w:t>
        </w:r>
      </w:hyperlink>
    </w:p>
  </w:footnote>
  <w:footnote w:id="120">
    <w:p w14:paraId="7A3A173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this initiative is available at:  </w:t>
      </w:r>
      <w:hyperlink r:id="rId81" w:history="1">
        <w:r w:rsidRPr="00A47A6B">
          <w:rPr>
            <w:rStyle w:val="Hyperlink"/>
            <w:szCs w:val="18"/>
          </w:rPr>
          <w:t>WIPO Photography Prize for Indigenous Youth 2024</w:t>
        </w:r>
      </w:hyperlink>
      <w:r w:rsidRPr="00A47A6B">
        <w:rPr>
          <w:szCs w:val="18"/>
        </w:rPr>
        <w:t xml:space="preserve"> </w:t>
      </w:r>
    </w:p>
  </w:footnote>
  <w:footnote w:id="121">
    <w:p w14:paraId="219A14D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Program is available at:  </w:t>
      </w:r>
      <w:hyperlink r:id="rId82" w:history="1">
        <w:r w:rsidRPr="00A47A6B">
          <w:rPr>
            <w:rStyle w:val="Hyperlink"/>
            <w:szCs w:val="18"/>
          </w:rPr>
          <w:t>Indigenous and Local Community WEP</w:t>
        </w:r>
      </w:hyperlink>
      <w:r w:rsidRPr="00A47A6B">
        <w:rPr>
          <w:szCs w:val="18"/>
        </w:rPr>
        <w:t xml:space="preserve"> </w:t>
      </w:r>
    </w:p>
  </w:footnote>
  <w:footnote w:id="122">
    <w:p w14:paraId="2F1D5C6F"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Program is available at:  </w:t>
      </w:r>
      <w:hyperlink r:id="rId83" w:history="1">
        <w:r w:rsidRPr="00A47A6B">
          <w:rPr>
            <w:rStyle w:val="Hyperlink"/>
            <w:szCs w:val="18"/>
          </w:rPr>
          <w:t>Training, Mentoring and Matchmaking Program on Intellectual Property for Women Entrepreneurs from Local Communities in the CEBS Region</w:t>
        </w:r>
      </w:hyperlink>
      <w:r w:rsidRPr="00A47A6B">
        <w:rPr>
          <w:szCs w:val="18"/>
        </w:rPr>
        <w:t xml:space="preserve"> </w:t>
      </w:r>
    </w:p>
  </w:footnote>
  <w:footnote w:id="123">
    <w:p w14:paraId="146FE53E" w14:textId="77777777" w:rsidR="00BC268B" w:rsidRPr="00A47A6B" w:rsidRDefault="00BC268B" w:rsidP="00083947">
      <w:pPr>
        <w:pStyle w:val="FootnoteText"/>
        <w:rPr>
          <w:szCs w:val="18"/>
        </w:rPr>
      </w:pPr>
      <w:r w:rsidRPr="00A47A6B">
        <w:rPr>
          <w:rStyle w:val="FootnoteReference"/>
          <w:szCs w:val="18"/>
        </w:rPr>
        <w:footnoteRef/>
      </w:r>
      <w:r w:rsidRPr="00A47A6B">
        <w:rPr>
          <w:szCs w:val="18"/>
        </w:rPr>
        <w:t xml:space="preserve"> Further information on the Virtual Exhibition is available at:  </w:t>
      </w:r>
      <w:hyperlink r:id="rId84" w:history="1">
        <w:r w:rsidRPr="00A47A6B">
          <w:rPr>
            <w:rStyle w:val="Hyperlink"/>
            <w:szCs w:val="18"/>
          </w:rPr>
          <w:t>WIPO Virtual Exhibition on Traditional Knowledge</w:t>
        </w:r>
      </w:hyperlink>
      <w:r w:rsidRPr="00A47A6B">
        <w:rPr>
          <w:szCs w:val="18"/>
        </w:rPr>
        <w:t xml:space="preserve"> </w:t>
      </w:r>
    </w:p>
  </w:footnote>
  <w:footnote w:id="124">
    <w:p w14:paraId="23BA49F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Treaty is available at: </w:t>
      </w:r>
      <w:hyperlink r:id="rId85" w:history="1">
        <w:r w:rsidRPr="00A47A6B">
          <w:rPr>
            <w:rStyle w:val="Hyperlink"/>
            <w:szCs w:val="18"/>
          </w:rPr>
          <w:t>WIPO Treaty on Intellectual Property, Genetic Resources and Associated Traditional Knowledge</w:t>
        </w:r>
      </w:hyperlink>
      <w:r w:rsidRPr="00A47A6B">
        <w:rPr>
          <w:szCs w:val="18"/>
        </w:rPr>
        <w:t xml:space="preserve"> </w:t>
      </w:r>
    </w:p>
  </w:footnote>
  <w:footnote w:id="125">
    <w:p w14:paraId="3CB4B61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All session documents are accessible at:  </w:t>
      </w:r>
      <w:hyperlink r:id="rId86" w:history="1">
        <w:r w:rsidRPr="00A47A6B">
          <w:rPr>
            <w:rStyle w:val="Hyperlink"/>
            <w:szCs w:val="18"/>
          </w:rPr>
          <w:t>www.wipo.int/meetings/en/details.jsp?meeting_id=80916</w:t>
        </w:r>
      </w:hyperlink>
      <w:r w:rsidRPr="00A47A6B">
        <w:rPr>
          <w:szCs w:val="18"/>
        </w:rPr>
        <w:t xml:space="preserve"> </w:t>
      </w:r>
    </w:p>
  </w:footnote>
  <w:footnote w:id="126">
    <w:p w14:paraId="7BBB5C8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All session documents are accessible at:  </w:t>
      </w:r>
      <w:hyperlink r:id="rId87" w:history="1">
        <w:r w:rsidRPr="00A47A6B">
          <w:rPr>
            <w:rStyle w:val="Hyperlink"/>
            <w:szCs w:val="18"/>
          </w:rPr>
          <w:t>www.wipo.int/meetings/en/details.jsp?meeting_id=80927</w:t>
        </w:r>
      </w:hyperlink>
    </w:p>
  </w:footnote>
  <w:footnote w:id="127">
    <w:p w14:paraId="5DD8EF98"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Summary by the Chair is available at:  </w:t>
      </w:r>
      <w:hyperlink r:id="rId88" w:history="1">
        <w:r w:rsidRPr="00A47A6B">
          <w:rPr>
            <w:rStyle w:val="Hyperlink"/>
            <w:szCs w:val="18"/>
          </w:rPr>
          <w:t>www.wipo.int/meetings/en/doc_details.jsp?doc_id=628371</w:t>
        </w:r>
      </w:hyperlink>
    </w:p>
  </w:footnote>
  <w:footnote w:id="128">
    <w:p w14:paraId="666C8A89"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All session documents are accessible at:  </w:t>
      </w:r>
      <w:hyperlink r:id="rId89" w:history="1">
        <w:r w:rsidRPr="00A47A6B">
          <w:rPr>
            <w:rStyle w:val="Hyperlink"/>
            <w:szCs w:val="18"/>
          </w:rPr>
          <w:t>https://www.wipo.int/meetings/en/details.jsp?meeting_id=76048</w:t>
        </w:r>
      </w:hyperlink>
      <w:r w:rsidRPr="00A47A6B">
        <w:rPr>
          <w:rStyle w:val="Hyperlink"/>
          <w:szCs w:val="18"/>
        </w:rPr>
        <w:t xml:space="preserve"> </w:t>
      </w:r>
    </w:p>
  </w:footnote>
  <w:footnote w:id="129">
    <w:p w14:paraId="6D0B8E5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WIPO webpage on IP and Competition Policy </w:t>
      </w:r>
      <w:r>
        <w:rPr>
          <w:szCs w:val="18"/>
        </w:rPr>
        <w:t xml:space="preserve">is </w:t>
      </w:r>
      <w:r w:rsidRPr="00A47A6B">
        <w:rPr>
          <w:szCs w:val="18"/>
        </w:rPr>
        <w:t xml:space="preserve">available at:  </w:t>
      </w:r>
      <w:hyperlink r:id="rId90" w:history="1">
        <w:r w:rsidRPr="00A47A6B">
          <w:rPr>
            <w:rStyle w:val="Hyperlink"/>
            <w:szCs w:val="18"/>
          </w:rPr>
          <w:t>IP and Competition Policy</w:t>
        </w:r>
      </w:hyperlink>
      <w:r w:rsidRPr="00A47A6B">
        <w:rPr>
          <w:szCs w:val="18"/>
        </w:rPr>
        <w:t xml:space="preserve"> </w:t>
      </w:r>
    </w:p>
  </w:footnote>
  <w:footnote w:id="130">
    <w:p w14:paraId="6F5FD6D9"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Botswana, Cambodia, Islamic Republic of Iran, South Africa, Trinidad and Tobago and Zimbabwe.  </w:t>
      </w:r>
    </w:p>
  </w:footnote>
  <w:footnote w:id="131">
    <w:p w14:paraId="4AC234C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w:t>
      </w:r>
      <w:r>
        <w:rPr>
          <w:szCs w:val="18"/>
        </w:rPr>
        <w:t>Platform is a</w:t>
      </w:r>
      <w:r w:rsidRPr="00A47A6B">
        <w:rPr>
          <w:szCs w:val="18"/>
        </w:rPr>
        <w:t xml:space="preserve">vailable at:  </w:t>
      </w:r>
      <w:hyperlink r:id="rId91" w:history="1">
        <w:r w:rsidRPr="00A47A6B">
          <w:rPr>
            <w:rStyle w:val="Hyperlink"/>
            <w:szCs w:val="18"/>
          </w:rPr>
          <w:t>SME Support Institutions Platform (SSIP)</w:t>
        </w:r>
      </w:hyperlink>
    </w:p>
  </w:footnote>
  <w:footnote w:id="132">
    <w:p w14:paraId="17705A97" w14:textId="77777777" w:rsidR="00BC268B" w:rsidRPr="00A47A6B" w:rsidRDefault="00BC268B" w:rsidP="00286C95">
      <w:pPr>
        <w:pStyle w:val="FootnoteText"/>
        <w:rPr>
          <w:szCs w:val="18"/>
        </w:rPr>
      </w:pPr>
      <w:r w:rsidRPr="00A47A6B">
        <w:rPr>
          <w:rStyle w:val="FootnoteReference"/>
          <w:szCs w:val="18"/>
        </w:rPr>
        <w:footnoteRef/>
      </w:r>
      <w:r w:rsidRPr="00A47A6B">
        <w:rPr>
          <w:szCs w:val="18"/>
        </w:rPr>
        <w:t xml:space="preserve"> Further information about the WIPO IP Diagnostics can be found at:  </w:t>
      </w:r>
      <w:hyperlink r:id="rId92" w:history="1">
        <w:r w:rsidRPr="00A47A6B">
          <w:rPr>
            <w:rStyle w:val="Hyperlink"/>
            <w:szCs w:val="18"/>
          </w:rPr>
          <w:t>WIPO IP Diagnostics</w:t>
        </w:r>
      </w:hyperlink>
    </w:p>
  </w:footnote>
  <w:footnote w:id="133">
    <w:p w14:paraId="4C501C96" w14:textId="77777777" w:rsidR="00BC268B" w:rsidRPr="00A47A6B" w:rsidRDefault="00BC268B" w:rsidP="00A30C46">
      <w:pPr>
        <w:pStyle w:val="FootnoteText"/>
        <w:rPr>
          <w:szCs w:val="18"/>
          <w:lang w:val="es-ES"/>
        </w:rPr>
      </w:pPr>
      <w:r w:rsidRPr="00A47A6B">
        <w:rPr>
          <w:rStyle w:val="FootnoteReference"/>
          <w:szCs w:val="18"/>
        </w:rPr>
        <w:footnoteRef/>
      </w:r>
      <w:r w:rsidRPr="00A47A6B">
        <w:rPr>
          <w:szCs w:val="18"/>
          <w:lang w:val="es-ES"/>
        </w:rPr>
        <w:t xml:space="preserve"> Costa Rica, Dominican Republic, El Salvador, Guatemala, Honduras and Panama.  </w:t>
      </w:r>
    </w:p>
  </w:footnote>
  <w:footnote w:id="134">
    <w:p w14:paraId="3865762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Chile, Colombia, Ecuador, Kenya, Morocco, Peru, the Philippines, Singapore and South Africa.</w:t>
      </w:r>
    </w:p>
  </w:footnote>
  <w:footnote w:id="135">
    <w:p w14:paraId="2772202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National workshops in Chile, Honduras and Kenya.</w:t>
      </w:r>
    </w:p>
  </w:footnote>
  <w:footnote w:id="136">
    <w:p w14:paraId="6047CF7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w:t>
      </w:r>
      <w:r>
        <w:rPr>
          <w:szCs w:val="18"/>
        </w:rPr>
        <w:t xml:space="preserve"> is</w:t>
      </w:r>
      <w:r w:rsidRPr="00A47A6B">
        <w:rPr>
          <w:szCs w:val="18"/>
        </w:rPr>
        <w:t xml:space="preserve"> available at:</w:t>
      </w:r>
      <w:r>
        <w:rPr>
          <w:szCs w:val="18"/>
        </w:rPr>
        <w:t xml:space="preserve"> </w:t>
      </w:r>
      <w:r w:rsidRPr="00A47A6B">
        <w:rPr>
          <w:szCs w:val="18"/>
        </w:rPr>
        <w:t xml:space="preserve"> </w:t>
      </w:r>
      <w:hyperlink r:id="rId93" w:history="1">
        <w:r w:rsidRPr="00A47A6B">
          <w:rPr>
            <w:rStyle w:val="Hyperlink"/>
            <w:szCs w:val="18"/>
          </w:rPr>
          <w:t>Hands-on IP Finance Series</w:t>
        </w:r>
      </w:hyperlink>
      <w:r w:rsidRPr="00A47A6B">
        <w:rPr>
          <w:szCs w:val="18"/>
        </w:rPr>
        <w:t xml:space="preserve">  </w:t>
      </w:r>
    </w:p>
  </w:footnote>
  <w:footnote w:id="137">
    <w:p w14:paraId="3DEF89AF"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w:t>
      </w:r>
      <w:r>
        <w:rPr>
          <w:szCs w:val="18"/>
        </w:rPr>
        <w:t xml:space="preserve">is </w:t>
      </w:r>
      <w:r w:rsidRPr="00A47A6B">
        <w:rPr>
          <w:szCs w:val="18"/>
        </w:rPr>
        <w:t>available at:</w:t>
      </w:r>
      <w:r>
        <w:rPr>
          <w:szCs w:val="18"/>
        </w:rPr>
        <w:t xml:space="preserve"> </w:t>
      </w:r>
      <w:r w:rsidRPr="00A47A6B">
        <w:rPr>
          <w:szCs w:val="18"/>
        </w:rPr>
        <w:t xml:space="preserve"> </w:t>
      </w:r>
      <w:hyperlink r:id="rId94" w:history="1">
        <w:r w:rsidRPr="00A47A6B">
          <w:rPr>
            <w:rStyle w:val="Hyperlink"/>
            <w:szCs w:val="18"/>
          </w:rPr>
          <w:t>The WIPO ASEAN IP Valuation Project</w:t>
        </w:r>
      </w:hyperlink>
    </w:p>
  </w:footnote>
  <w:footnote w:id="138">
    <w:p w14:paraId="2981DCE9"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on the TISC directory is available at:  </w:t>
      </w:r>
      <w:hyperlink r:id="rId95" w:history="1">
        <w:r w:rsidRPr="00A47A6B">
          <w:rPr>
            <w:rStyle w:val="Hyperlink"/>
            <w:szCs w:val="18"/>
          </w:rPr>
          <w:t>Directory of Technology and Innovation Support Centers</w:t>
        </w:r>
      </w:hyperlink>
    </w:p>
  </w:footnote>
  <w:footnote w:id="139">
    <w:p w14:paraId="7604A46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w:t>
      </w:r>
      <w:r>
        <w:rPr>
          <w:szCs w:val="18"/>
        </w:rPr>
        <w:t>Further information on the guide is a</w:t>
      </w:r>
      <w:r w:rsidRPr="00A47A6B">
        <w:rPr>
          <w:szCs w:val="18"/>
        </w:rPr>
        <w:t xml:space="preserve">vailable at:  </w:t>
      </w:r>
      <w:hyperlink r:id="rId96" w:history="1">
        <w:r w:rsidRPr="00A47A6B">
          <w:rPr>
            <w:rStyle w:val="Hyperlink"/>
            <w:szCs w:val="18"/>
          </w:rPr>
          <w:t>Incentives in Technology Transfer</w:t>
        </w:r>
      </w:hyperlink>
      <w:r w:rsidRPr="00A47A6B">
        <w:rPr>
          <w:szCs w:val="18"/>
        </w:rPr>
        <w:t xml:space="preserve"> </w:t>
      </w:r>
    </w:p>
  </w:footnote>
  <w:footnote w:id="140">
    <w:p w14:paraId="2B248B8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w:t>
      </w:r>
      <w:r>
        <w:rPr>
          <w:szCs w:val="18"/>
        </w:rPr>
        <w:t xml:space="preserve"> on the </w:t>
      </w:r>
      <w:r w:rsidRPr="00D33B06">
        <w:rPr>
          <w:bCs/>
        </w:rPr>
        <w:t>Dictionary</w:t>
      </w:r>
      <w:r w:rsidRPr="00A47A6B">
        <w:rPr>
          <w:szCs w:val="18"/>
        </w:rPr>
        <w:t xml:space="preserve"> is available at:  </w:t>
      </w:r>
      <w:hyperlink r:id="rId97" w:history="1">
        <w:r>
          <w:rPr>
            <w:rStyle w:val="Hyperlink"/>
            <w:szCs w:val="18"/>
          </w:rPr>
          <w:t>World Gender Name Dictionary</w:t>
        </w:r>
      </w:hyperlink>
    </w:p>
  </w:footnote>
  <w:footnote w:id="141">
    <w:p w14:paraId="340A11E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One meeting was co-organized with the IP Office in Spain.  The other was co-organized with the WIPO Patent and Technology Sector (PTS).  </w:t>
      </w:r>
    </w:p>
  </w:footnote>
  <w:footnote w:id="142">
    <w:p w14:paraId="015DFD40"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publication is available at:  </w:t>
      </w:r>
      <w:hyperlink r:id="rId98" w:history="1">
        <w:r w:rsidRPr="00A47A6B">
          <w:rPr>
            <w:rStyle w:val="Hyperlink"/>
            <w:szCs w:val="18"/>
          </w:rPr>
          <w:t>The Unequal Geographical Distribution of Innovative Activity (Chapter 2) - Intellectual Property, Innovation and Economic Inequality</w:t>
        </w:r>
      </w:hyperlink>
    </w:p>
  </w:footnote>
  <w:footnote w:id="143">
    <w:p w14:paraId="0DC93F6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about the Forum is available at:  </w:t>
      </w:r>
      <w:hyperlink r:id="rId99" w:history="1">
        <w:r w:rsidRPr="00A47A6B">
          <w:rPr>
            <w:rStyle w:val="Hyperlink"/>
            <w:szCs w:val="18"/>
          </w:rPr>
          <w:t>IP Judges Forum 2024</w:t>
        </w:r>
      </w:hyperlink>
    </w:p>
  </w:footnote>
  <w:footnote w:id="144">
    <w:p w14:paraId="7C92A41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Symposium was organized in conjunction with the Supreme People’s Court of China.</w:t>
      </w:r>
    </w:p>
  </w:footnote>
  <w:footnote w:id="145">
    <w:p w14:paraId="20AD0E5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Cuba, Egypt, the Philippines, Poland, Ukraine and the United Republic of Tanzania.  </w:t>
      </w:r>
    </w:p>
  </w:footnote>
  <w:footnote w:id="146">
    <w:p w14:paraId="2A0CAA2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website of WIPO Lex is available at:  </w:t>
      </w:r>
      <w:hyperlink r:id="rId100" w:history="1">
        <w:r w:rsidRPr="00A47A6B">
          <w:rPr>
            <w:rStyle w:val="Hyperlink"/>
            <w:szCs w:val="18"/>
          </w:rPr>
          <w:t>WIPO Lex</w:t>
        </w:r>
      </w:hyperlink>
      <w:r w:rsidRPr="00A47A6B">
        <w:rPr>
          <w:szCs w:val="18"/>
        </w:rPr>
        <w:t xml:space="preserve"> </w:t>
      </w:r>
    </w:p>
  </w:footnote>
  <w:footnote w:id="147">
    <w:p w14:paraId="42E76B23" w14:textId="77777777" w:rsidR="00BC268B" w:rsidRPr="00A47A6B" w:rsidRDefault="00BC268B" w:rsidP="00A30C46">
      <w:pPr>
        <w:pStyle w:val="FootnoteText"/>
        <w:rPr>
          <w:szCs w:val="18"/>
        </w:rPr>
      </w:pPr>
      <w:r w:rsidRPr="00A47A6B">
        <w:rPr>
          <w:rStyle w:val="FootnoteReference"/>
          <w:szCs w:val="18"/>
        </w:rPr>
        <w:footnoteRef/>
      </w:r>
      <w:r w:rsidRPr="00A47A6B">
        <w:rPr>
          <w:rStyle w:val="null"/>
          <w:szCs w:val="18"/>
        </w:rPr>
        <w:t xml:space="preserve"> It now includes landmark IP decisions </w:t>
      </w:r>
      <w:r w:rsidRPr="00A47A6B">
        <w:rPr>
          <w:szCs w:val="18"/>
        </w:rPr>
        <w:t xml:space="preserve">from </w:t>
      </w:r>
      <w:r w:rsidRPr="00A47A6B">
        <w:rPr>
          <w:rStyle w:val="null"/>
          <w:szCs w:val="18"/>
        </w:rPr>
        <w:t>Argentina, Belize, the Czech Republic, the European Patent Office, Germany, Latvia, Panama, Paraguay, Poland, Portugal, and Trinidad and Tobago.</w:t>
      </w:r>
    </w:p>
  </w:footnote>
  <w:footnote w:id="148">
    <w:p w14:paraId="4305EB9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is available at:  </w:t>
      </w:r>
      <w:hyperlink r:id="rId101" w:history="1">
        <w:r w:rsidRPr="00A47A6B">
          <w:rPr>
            <w:rStyle w:val="Hyperlink"/>
            <w:szCs w:val="18"/>
          </w:rPr>
          <w:t>SEP Case Law Collection</w:t>
        </w:r>
      </w:hyperlink>
      <w:r w:rsidRPr="00A47A6B">
        <w:rPr>
          <w:szCs w:val="18"/>
        </w:rPr>
        <w:t xml:space="preserve"> </w:t>
      </w:r>
    </w:p>
  </w:footnote>
  <w:footnote w:id="149">
    <w:p w14:paraId="552AE8F3"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is available at:  </w:t>
      </w:r>
      <w:hyperlink r:id="rId102" w:history="1">
        <w:r w:rsidRPr="00A47A6B">
          <w:rPr>
            <w:rStyle w:val="Hyperlink"/>
            <w:szCs w:val="18"/>
          </w:rPr>
          <w:t>WIPO ADR Young</w:t>
        </w:r>
      </w:hyperlink>
      <w:r w:rsidRPr="00A47A6B">
        <w:rPr>
          <w:szCs w:val="18"/>
        </w:rPr>
        <w:t xml:space="preserve"> </w:t>
      </w:r>
    </w:p>
  </w:footnote>
  <w:footnote w:id="150">
    <w:p w14:paraId="6A3792DC"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Comprising networks of Member States of ARIPO, ASEAN, </w:t>
      </w:r>
      <w:r w:rsidRPr="00A47A6B">
        <w:rPr>
          <w:szCs w:val="18"/>
          <w:lang w:val="en-GB"/>
        </w:rPr>
        <w:t>CATI-CARD (Central America and the Dominican Republic), as well as certain countries</w:t>
      </w:r>
      <w:r w:rsidRPr="00A47A6B">
        <w:rPr>
          <w:szCs w:val="18"/>
        </w:rPr>
        <w:t xml:space="preserve"> in the Arab region and certain countries in Asia (all having national TISC networks).</w:t>
      </w:r>
    </w:p>
  </w:footnote>
  <w:footnote w:id="151">
    <w:p w14:paraId="7109E0EE"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eTISC platform is available at:  </w:t>
      </w:r>
      <w:hyperlink r:id="rId103" w:history="1">
        <w:r w:rsidRPr="00A47A6B">
          <w:rPr>
            <w:rStyle w:val="Hyperlink"/>
            <w:szCs w:val="18"/>
          </w:rPr>
          <w:t xml:space="preserve">eTISC Platform </w:t>
        </w:r>
      </w:hyperlink>
    </w:p>
  </w:footnote>
  <w:footnote w:id="152">
    <w:p w14:paraId="2306F097"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Database Reports portal is available at:</w:t>
      </w:r>
      <w:r>
        <w:rPr>
          <w:szCs w:val="18"/>
        </w:rPr>
        <w:t xml:space="preserve"> </w:t>
      </w:r>
      <w:r w:rsidRPr="00A47A6B">
        <w:rPr>
          <w:szCs w:val="18"/>
        </w:rPr>
        <w:t xml:space="preserve"> </w:t>
      </w:r>
      <w:hyperlink r:id="rId104" w:history="1">
        <w:r w:rsidRPr="00A47A6B">
          <w:rPr>
            <w:rStyle w:val="Hyperlink"/>
            <w:szCs w:val="18"/>
          </w:rPr>
          <w:t>Database Reports</w:t>
        </w:r>
      </w:hyperlink>
    </w:p>
  </w:footnote>
  <w:footnote w:id="153">
    <w:p w14:paraId="5C489A82"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WIPO INSPIRE is available at:</w:t>
      </w:r>
      <w:r>
        <w:rPr>
          <w:szCs w:val="18"/>
        </w:rPr>
        <w:t xml:space="preserve"> </w:t>
      </w:r>
      <w:r w:rsidRPr="00A47A6B">
        <w:rPr>
          <w:szCs w:val="18"/>
        </w:rPr>
        <w:t xml:space="preserve"> </w:t>
      </w:r>
      <w:hyperlink r:id="rId105" w:history="1">
        <w:r w:rsidRPr="00A47A6B">
          <w:rPr>
            <w:rStyle w:val="Hyperlink"/>
            <w:szCs w:val="18"/>
          </w:rPr>
          <w:t>WIPO INSPIRE</w:t>
        </w:r>
      </w:hyperlink>
    </w:p>
  </w:footnote>
  <w:footnote w:id="154">
    <w:p w14:paraId="685C5C45"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The TISC webpage is available at:  </w:t>
      </w:r>
      <w:hyperlink r:id="rId106" w:history="1">
        <w:r w:rsidRPr="00A47A6B">
          <w:rPr>
            <w:rStyle w:val="Hyperlink"/>
            <w:szCs w:val="18"/>
          </w:rPr>
          <w:t>Technology and Innovation Support Centers</w:t>
        </w:r>
      </w:hyperlink>
    </w:p>
  </w:footnote>
  <w:footnote w:id="155">
    <w:p w14:paraId="3A4CA440" w14:textId="77777777" w:rsidR="00BC268B" w:rsidRPr="00A47A6B" w:rsidRDefault="00BC268B">
      <w:pPr>
        <w:pStyle w:val="FootnoteText"/>
        <w:rPr>
          <w:szCs w:val="18"/>
        </w:rPr>
      </w:pPr>
      <w:r w:rsidRPr="00A47A6B">
        <w:rPr>
          <w:rStyle w:val="FootnoteReference"/>
          <w:szCs w:val="18"/>
        </w:rPr>
        <w:footnoteRef/>
      </w:r>
      <w:r w:rsidRPr="00A47A6B">
        <w:rPr>
          <w:szCs w:val="18"/>
        </w:rPr>
        <w:t xml:space="preserve"> Launched in 2022 to facilitate TISC data and performance monitoring.  Further information is available at:  </w:t>
      </w:r>
      <w:hyperlink r:id="rId107" w:history="1">
        <w:r w:rsidRPr="00A47A6B">
          <w:rPr>
            <w:rStyle w:val="Hyperlink"/>
            <w:szCs w:val="18"/>
          </w:rPr>
          <w:t>tppm.wipo.int</w:t>
        </w:r>
      </w:hyperlink>
      <w:r w:rsidRPr="00A47A6B">
        <w:rPr>
          <w:szCs w:val="18"/>
        </w:rPr>
        <w:t xml:space="preserve"> </w:t>
      </w:r>
    </w:p>
  </w:footnote>
  <w:footnote w:id="156">
    <w:p w14:paraId="2945F548"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WIPO’s patent landscape reports are available at:</w:t>
      </w:r>
      <w:r>
        <w:rPr>
          <w:szCs w:val="18"/>
        </w:rPr>
        <w:t xml:space="preserve">  </w:t>
      </w:r>
      <w:hyperlink r:id="rId108" w:tgtFrame="_blank" w:tooltip="http://www.wipo.int/patentscope/en/programs/patent_landscapes/" w:history="1">
        <w:r>
          <w:rPr>
            <w:rStyle w:val="Hyperlink"/>
            <w:szCs w:val="18"/>
          </w:rPr>
          <w:t>Patent Analytics</w:t>
        </w:r>
      </w:hyperlink>
    </w:p>
  </w:footnote>
  <w:footnote w:id="157">
    <w:p w14:paraId="7BDF9050"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Generative AI patent landscape report received over 75,000 unique visitors in total in 2024 (a record for a WIPO patent landscape report), and the SDG report over 7,000.</w:t>
      </w:r>
    </w:p>
  </w:footnote>
  <w:footnote w:id="158">
    <w:p w14:paraId="4AB0400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Learners can track their progress and certify their completion of the e-tutorial.</w:t>
      </w:r>
    </w:p>
  </w:footnote>
  <w:footnote w:id="159">
    <w:p w14:paraId="6694326A"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portal is available at:</w:t>
      </w:r>
      <w:r>
        <w:rPr>
          <w:szCs w:val="18"/>
        </w:rPr>
        <w:t xml:space="preserve"> </w:t>
      </w:r>
      <w:r w:rsidRPr="00A47A6B">
        <w:rPr>
          <w:szCs w:val="18"/>
        </w:rPr>
        <w:t xml:space="preserve"> </w:t>
      </w:r>
      <w:hyperlink r:id="rId109" w:tgtFrame="_blank" w:tooltip="https://inspire.wipo.int/patent-register-portal" w:history="1">
        <w:r w:rsidRPr="00A47A6B">
          <w:rPr>
            <w:rStyle w:val="Hyperlink"/>
            <w:szCs w:val="18"/>
          </w:rPr>
          <w:t>inspire.wipo.int/patent-register-portal</w:t>
        </w:r>
      </w:hyperlink>
    </w:p>
  </w:footnote>
  <w:footnote w:id="160">
    <w:p w14:paraId="5E5EF45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Guide is available at:  </w:t>
      </w:r>
      <w:hyperlink r:id="rId110" w:history="1">
        <w:r w:rsidRPr="00A47A6B">
          <w:rPr>
            <w:rStyle w:val="Hyperlink"/>
            <w:szCs w:val="18"/>
          </w:rPr>
          <w:t>Identifying Inventions in the Public Domain</w:t>
        </w:r>
      </w:hyperlink>
      <w:r w:rsidRPr="00A47A6B">
        <w:rPr>
          <w:szCs w:val="18"/>
        </w:rPr>
        <w:t xml:space="preserve"> </w:t>
      </w:r>
    </w:p>
  </w:footnote>
  <w:footnote w:id="161">
    <w:p w14:paraId="7BD13DD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Guide is available at:  </w:t>
      </w:r>
      <w:hyperlink r:id="rId111" w:history="1">
        <w:r w:rsidRPr="00A47A6B">
          <w:rPr>
            <w:rStyle w:val="Hyperlink"/>
            <w:szCs w:val="18"/>
          </w:rPr>
          <w:t>Using Inventions in the Public Domain</w:t>
        </w:r>
      </w:hyperlink>
      <w:r w:rsidRPr="00A47A6B">
        <w:rPr>
          <w:szCs w:val="18"/>
        </w:rPr>
        <w:t xml:space="preserve"> </w:t>
      </w:r>
    </w:p>
  </w:footnote>
  <w:footnote w:id="162">
    <w:p w14:paraId="253D774F"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manual and toolkit were developed in 2022 and are available at:  </w:t>
      </w:r>
      <w:hyperlink r:id="rId112" w:history="1">
        <w:r w:rsidRPr="00A47A6B">
          <w:rPr>
            <w:rStyle w:val="Hyperlink"/>
            <w:szCs w:val="18"/>
          </w:rPr>
          <w:t>Technology Transfer Training Needs Assessment</w:t>
        </w:r>
      </w:hyperlink>
      <w:r w:rsidRPr="00A47A6B">
        <w:rPr>
          <w:szCs w:val="18"/>
        </w:rPr>
        <w:t xml:space="preserve"> </w:t>
      </w:r>
    </w:p>
  </w:footnote>
  <w:footnote w:id="163">
    <w:p w14:paraId="4216D94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The Guide is available at:  </w:t>
      </w:r>
      <w:hyperlink r:id="rId113" w:history="1">
        <w:r w:rsidRPr="00A47A6B">
          <w:rPr>
            <w:rStyle w:val="Hyperlink"/>
            <w:szCs w:val="18"/>
          </w:rPr>
          <w:t>Incentives in Technology Transfer</w:t>
        </w:r>
      </w:hyperlink>
      <w:r w:rsidRPr="00A47A6B">
        <w:rPr>
          <w:szCs w:val="18"/>
        </w:rPr>
        <w:t xml:space="preserve"> </w:t>
      </w:r>
    </w:p>
  </w:footnote>
  <w:footnote w:id="164">
    <w:p w14:paraId="01997E5D"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The Guide is available at:  </w:t>
      </w:r>
      <w:hyperlink r:id="rId114" w:history="1">
        <w:r w:rsidRPr="00A47A6B">
          <w:rPr>
            <w:rStyle w:val="Hyperlink"/>
            <w:szCs w:val="18"/>
          </w:rPr>
          <w:t>The Informal Economy in Developing Nations:  Hidden Engine of Innovation?</w:t>
        </w:r>
      </w:hyperlink>
      <w:r w:rsidRPr="00A47A6B">
        <w:rPr>
          <w:szCs w:val="18"/>
        </w:rPr>
        <w:t xml:space="preserve"> </w:t>
      </w:r>
    </w:p>
  </w:footnote>
  <w:footnote w:id="165">
    <w:p w14:paraId="789170E7"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The project was implemented by the WIPO Academy in four pilot countries from 2016 to 2018.  It was mainstreamed into a CJE program, coordinated by the WIPO Judicial Institute, after the Project’s completion in December 2018.</w:t>
      </w:r>
    </w:p>
  </w:footnote>
  <w:footnote w:id="166">
    <w:p w14:paraId="7EA533D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Further information is available at:  </w:t>
      </w:r>
      <w:hyperlink r:id="rId115" w:history="1">
        <w:r w:rsidRPr="00A47A6B">
          <w:rPr>
            <w:rStyle w:val="Hyperlink"/>
            <w:szCs w:val="18"/>
          </w:rPr>
          <w:t>Judicial Education on IP</w:t>
        </w:r>
      </w:hyperlink>
      <w:r w:rsidRPr="00A47A6B">
        <w:rPr>
          <w:szCs w:val="18"/>
        </w:rPr>
        <w:t xml:space="preserve"> </w:t>
      </w:r>
    </w:p>
  </w:footnote>
  <w:footnote w:id="167">
    <w:p w14:paraId="22C1E5DE"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website of the project is available at:  </w:t>
      </w:r>
      <w:hyperlink r:id="rId116" w:history="1">
        <w:r w:rsidRPr="00A47A6B">
          <w:rPr>
            <w:rStyle w:val="Hyperlink"/>
            <w:szCs w:val="18"/>
          </w:rPr>
          <w:t>Women in Innovation and Entrepreneurship</w:t>
        </w:r>
      </w:hyperlink>
      <w:r w:rsidRPr="00A47A6B">
        <w:rPr>
          <w:szCs w:val="18"/>
        </w:rPr>
        <w:t xml:space="preserve"> </w:t>
      </w:r>
    </w:p>
  </w:footnote>
  <w:footnote w:id="168">
    <w:p w14:paraId="039C42C1"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CDIP/30/6</w:t>
      </w:r>
      <w:r>
        <w:rPr>
          <w:szCs w:val="18"/>
        </w:rPr>
        <w:t>,</w:t>
      </w:r>
      <w:r w:rsidRPr="00A47A6B">
        <w:rPr>
          <w:szCs w:val="18"/>
        </w:rPr>
        <w:t xml:space="preserve"> available at:  </w:t>
      </w:r>
      <w:hyperlink r:id="rId117" w:history="1">
        <w:r w:rsidRPr="00A47A6B">
          <w:rPr>
            <w:rStyle w:val="Hyperlink"/>
            <w:szCs w:val="18"/>
          </w:rPr>
          <w:t>www.wipo.int/meetings/en/doc_details.jsp?doc_id=600731</w:t>
        </w:r>
      </w:hyperlink>
      <w:r w:rsidRPr="00A47A6B">
        <w:rPr>
          <w:szCs w:val="18"/>
        </w:rPr>
        <w:t xml:space="preserve"> </w:t>
      </w:r>
    </w:p>
  </w:footnote>
  <w:footnote w:id="169">
    <w:p w14:paraId="1CB9961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CDIP/30/11</w:t>
      </w:r>
      <w:r>
        <w:rPr>
          <w:szCs w:val="18"/>
        </w:rPr>
        <w:t>,</w:t>
      </w:r>
      <w:r w:rsidRPr="00A47A6B">
        <w:rPr>
          <w:szCs w:val="18"/>
        </w:rPr>
        <w:t xml:space="preserve"> available at:  </w:t>
      </w:r>
      <w:hyperlink r:id="rId118" w:history="1">
        <w:r w:rsidRPr="00A47A6B">
          <w:rPr>
            <w:rStyle w:val="Hyperlink"/>
            <w:szCs w:val="18"/>
          </w:rPr>
          <w:t>www.wipo.int/meetings/en/doc_details.jsp?doc_id=601651</w:t>
        </w:r>
      </w:hyperlink>
      <w:r w:rsidRPr="00A47A6B">
        <w:rPr>
          <w:szCs w:val="18"/>
        </w:rPr>
        <w:t xml:space="preserve"> </w:t>
      </w:r>
    </w:p>
  </w:footnote>
  <w:footnote w:id="170">
    <w:p w14:paraId="16BEED9C"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CDIP/32/5 available at: </w:t>
      </w:r>
      <w:r>
        <w:rPr>
          <w:szCs w:val="18"/>
        </w:rPr>
        <w:t xml:space="preserve"> </w:t>
      </w:r>
      <w:hyperlink r:id="rId119" w:history="1">
        <w:r w:rsidRPr="001856CF">
          <w:rPr>
            <w:rStyle w:val="Hyperlink"/>
            <w:szCs w:val="18"/>
          </w:rPr>
          <w:t>www.wipo.int/meetings/en/doc_details.jsp?doc_id=627738</w:t>
        </w:r>
      </w:hyperlink>
      <w:r w:rsidRPr="00A47A6B">
        <w:rPr>
          <w:szCs w:val="18"/>
        </w:rPr>
        <w:t xml:space="preserve">   </w:t>
      </w:r>
    </w:p>
  </w:footnote>
  <w:footnote w:id="171">
    <w:p w14:paraId="35AE2E9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Guide is available at:</w:t>
      </w:r>
      <w:r>
        <w:rPr>
          <w:szCs w:val="18"/>
        </w:rPr>
        <w:t xml:space="preserve"> </w:t>
      </w:r>
      <w:r w:rsidRPr="00A47A6B">
        <w:rPr>
          <w:szCs w:val="18"/>
        </w:rPr>
        <w:t xml:space="preserve"> </w:t>
      </w:r>
      <w:hyperlink r:id="rId120" w:history="1">
        <w:r w:rsidRPr="00A47A6B">
          <w:rPr>
            <w:rStyle w:val="Hyperlink"/>
            <w:szCs w:val="18"/>
          </w:rPr>
          <w:t>Identifying Inventions in the Public Domain</w:t>
        </w:r>
      </w:hyperlink>
      <w:r w:rsidRPr="00A47A6B">
        <w:rPr>
          <w:szCs w:val="18"/>
        </w:rPr>
        <w:t xml:space="preserve"> </w:t>
      </w:r>
    </w:p>
  </w:footnote>
  <w:footnote w:id="172">
    <w:p w14:paraId="763D7A0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The Guide is available at: </w:t>
      </w:r>
      <w:r>
        <w:rPr>
          <w:szCs w:val="18"/>
        </w:rPr>
        <w:t xml:space="preserve"> </w:t>
      </w:r>
      <w:hyperlink r:id="rId121" w:history="1">
        <w:r w:rsidRPr="00A47A6B">
          <w:rPr>
            <w:rStyle w:val="Hyperlink"/>
            <w:szCs w:val="18"/>
          </w:rPr>
          <w:t>Using Inventions in the Public Domain</w:t>
        </w:r>
      </w:hyperlink>
      <w:r w:rsidRPr="00A47A6B">
        <w:rPr>
          <w:szCs w:val="18"/>
        </w:rPr>
        <w:t xml:space="preserve"> </w:t>
      </w:r>
    </w:p>
  </w:footnote>
  <w:footnote w:id="173">
    <w:p w14:paraId="2F7EE9A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CDIP/31/5 REV.</w:t>
      </w:r>
      <w:r>
        <w:rPr>
          <w:szCs w:val="18"/>
        </w:rPr>
        <w:t>,</w:t>
      </w:r>
      <w:r w:rsidRPr="00A47A6B">
        <w:rPr>
          <w:szCs w:val="18"/>
        </w:rPr>
        <w:t xml:space="preserve"> available at:  </w:t>
      </w:r>
      <w:hyperlink r:id="rId122" w:history="1">
        <w:r w:rsidRPr="00A47A6B">
          <w:rPr>
            <w:rStyle w:val="Hyperlink"/>
            <w:szCs w:val="18"/>
          </w:rPr>
          <w:t>www.wipo.int/meetings/en/doc_details.jsp?doc_id=625184</w:t>
        </w:r>
      </w:hyperlink>
      <w:r w:rsidRPr="00A47A6B">
        <w:rPr>
          <w:szCs w:val="18"/>
        </w:rPr>
        <w:t xml:space="preserve"> </w:t>
      </w:r>
    </w:p>
  </w:footnote>
  <w:footnote w:id="174">
    <w:p w14:paraId="32D5C132"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Over 25 per cent of WIPO membership.</w:t>
      </w:r>
    </w:p>
  </w:footnote>
  <w:footnote w:id="175">
    <w:p w14:paraId="4D6170B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CDIP/30/8 REV.</w:t>
      </w:r>
      <w:r>
        <w:rPr>
          <w:szCs w:val="18"/>
        </w:rPr>
        <w:t>,</w:t>
      </w:r>
      <w:r w:rsidRPr="00A47A6B">
        <w:rPr>
          <w:szCs w:val="18"/>
        </w:rPr>
        <w:t xml:space="preserve"> available at:  </w:t>
      </w:r>
      <w:hyperlink r:id="rId123" w:history="1">
        <w:r w:rsidRPr="00A47A6B">
          <w:rPr>
            <w:rStyle w:val="Hyperlink"/>
            <w:szCs w:val="18"/>
          </w:rPr>
          <w:t>www.wipo.int/meetings/en/doc_details.jsp?doc_id=607672</w:t>
        </w:r>
      </w:hyperlink>
      <w:r w:rsidRPr="00A47A6B">
        <w:rPr>
          <w:szCs w:val="18"/>
        </w:rPr>
        <w:t xml:space="preserve"> </w:t>
      </w:r>
    </w:p>
  </w:footnote>
  <w:footnote w:id="176">
    <w:p w14:paraId="2E2EA068"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CDIP/31/INF/5</w:t>
      </w:r>
      <w:r>
        <w:rPr>
          <w:szCs w:val="18"/>
        </w:rPr>
        <w:t>,</w:t>
      </w:r>
      <w:r w:rsidRPr="00A47A6B">
        <w:rPr>
          <w:szCs w:val="18"/>
        </w:rPr>
        <w:t xml:space="preserve"> available at:  </w:t>
      </w:r>
      <w:hyperlink r:id="rId124" w:history="1">
        <w:r w:rsidRPr="00A47A6B">
          <w:rPr>
            <w:rStyle w:val="Hyperlink"/>
            <w:szCs w:val="18"/>
          </w:rPr>
          <w:t>www.wipo.int/meetings/en/doc_details.jsp?doc_id=621667</w:t>
        </w:r>
      </w:hyperlink>
      <w:r w:rsidRPr="00A47A6B">
        <w:rPr>
          <w:szCs w:val="18"/>
        </w:rPr>
        <w:t xml:space="preserve"> </w:t>
      </w:r>
    </w:p>
  </w:footnote>
  <w:footnote w:id="177">
    <w:p w14:paraId="4DCC93E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CDIP/29/9 available at:  </w:t>
      </w:r>
      <w:hyperlink r:id="rId125" w:history="1">
        <w:r w:rsidRPr="00A47A6B">
          <w:rPr>
            <w:rStyle w:val="Hyperlink"/>
            <w:szCs w:val="18"/>
          </w:rPr>
          <w:t>www.wipo.int/meetings/en/doc_details.jsp?doc_id=582427</w:t>
        </w:r>
      </w:hyperlink>
      <w:r w:rsidRPr="00A47A6B">
        <w:rPr>
          <w:szCs w:val="18"/>
        </w:rPr>
        <w:t xml:space="preserve"> </w:t>
      </w:r>
    </w:p>
  </w:footnote>
  <w:footnote w:id="178">
    <w:p w14:paraId="3C527110"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See document CDIP/33/4 CORR.</w:t>
      </w:r>
      <w:r>
        <w:rPr>
          <w:szCs w:val="18"/>
        </w:rPr>
        <w:t>,</w:t>
      </w:r>
      <w:r w:rsidRPr="00A47A6B">
        <w:rPr>
          <w:szCs w:val="18"/>
        </w:rPr>
        <w:t xml:space="preserve"> available at:  </w:t>
      </w:r>
      <w:hyperlink r:id="rId126" w:history="1">
        <w:r w:rsidRPr="00A47A6B">
          <w:rPr>
            <w:rStyle w:val="Hyperlink"/>
            <w:szCs w:val="18"/>
          </w:rPr>
          <w:t>www.wipo.int/meetings/en/doc_details.jsp?doc_id=639846</w:t>
        </w:r>
      </w:hyperlink>
    </w:p>
  </w:footnote>
  <w:footnote w:id="179">
    <w:p w14:paraId="41C8477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Over 130,000 since it was launched.</w:t>
      </w:r>
    </w:p>
  </w:footnote>
  <w:footnote w:id="180">
    <w:p w14:paraId="3B6B1D44"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Over 40 long forms, more than 140 shorts and 70 TikTok videos.</w:t>
      </w:r>
    </w:p>
  </w:footnote>
  <w:footnote w:id="181">
    <w:p w14:paraId="174E7C8B" w14:textId="77777777" w:rsidR="00BC268B" w:rsidRPr="00A47A6B" w:rsidRDefault="00BC268B" w:rsidP="00A30C46">
      <w:pPr>
        <w:pStyle w:val="FootnoteText"/>
        <w:rPr>
          <w:szCs w:val="18"/>
        </w:rPr>
      </w:pPr>
      <w:r w:rsidRPr="00A47A6B">
        <w:rPr>
          <w:rStyle w:val="FootnoteReference"/>
          <w:szCs w:val="18"/>
        </w:rPr>
        <w:footnoteRef/>
      </w:r>
      <w:r w:rsidRPr="00A47A6B">
        <w:rPr>
          <w:szCs w:val="18"/>
        </w:rPr>
        <w:t xml:space="preserve"> In 2024, the Ethics Office responded to 182 requests for ethics advice, through in-person and virtual meetings or in writing.  Out of these 182 requests, 10 concerned issues of potential, actual or perceived conflicts of interest.</w:t>
      </w:r>
    </w:p>
  </w:footnote>
  <w:footnote w:id="182">
    <w:p w14:paraId="390C94DF" w14:textId="77777777" w:rsidR="00BC268B" w:rsidRPr="00A57A52" w:rsidRDefault="00BC268B" w:rsidP="00A30C46">
      <w:pPr>
        <w:pStyle w:val="FootnoteText"/>
        <w:rPr>
          <w:szCs w:val="18"/>
        </w:rPr>
      </w:pPr>
      <w:r w:rsidRPr="00A47A6B">
        <w:rPr>
          <w:rStyle w:val="FootnoteReference"/>
          <w:szCs w:val="18"/>
        </w:rPr>
        <w:footnoteRef/>
      </w:r>
      <w:r w:rsidRPr="00A47A6B">
        <w:rPr>
          <w:szCs w:val="18"/>
        </w:rPr>
        <w:t xml:space="preserve"> </w:t>
      </w:r>
      <w:r w:rsidRPr="00A47A6B">
        <w:rPr>
          <w:iCs/>
          <w:szCs w:val="18"/>
        </w:rPr>
        <w:t>Botswana, Estonia, and Paraguay.</w:t>
      </w:r>
    </w:p>
  </w:footnote>
  <w:footnote w:id="183">
    <w:p w14:paraId="32B80794" w14:textId="77777777" w:rsidR="00BC268B" w:rsidRPr="00843EF3" w:rsidRDefault="00BC268B" w:rsidP="00B35A84">
      <w:pPr>
        <w:pStyle w:val="FootnoteText"/>
      </w:pPr>
      <w:r w:rsidRPr="00843EF3">
        <w:rPr>
          <w:rStyle w:val="FootnoteReference"/>
        </w:rPr>
        <w:footnoteRef/>
      </w:r>
      <w:r w:rsidRPr="00843EF3">
        <w:t xml:space="preserve"> </w:t>
      </w:r>
      <w:r>
        <w:t xml:space="preserve">The </w:t>
      </w:r>
      <w:r w:rsidRPr="00843EF3">
        <w:t>DA Recommendations ma</w:t>
      </w:r>
      <w:r>
        <w:t>rked with an *asterisk are the R</w:t>
      </w:r>
      <w:r w:rsidRPr="00843EF3">
        <w:t xml:space="preserve">ecommendations identified by the 2007 General Assembly for immediate implementation. </w:t>
      </w:r>
    </w:p>
  </w:footnote>
  <w:footnote w:id="184">
    <w:p w14:paraId="59078711" w14:textId="77777777" w:rsidR="00BC268B" w:rsidRPr="00BC787B" w:rsidRDefault="00BC268B" w:rsidP="00B35A84">
      <w:pPr>
        <w:pStyle w:val="FootnoteText"/>
      </w:pPr>
      <w:r w:rsidRPr="00843EF3">
        <w:rPr>
          <w:rStyle w:val="FootnoteReference"/>
        </w:rPr>
        <w:footnoteRef/>
      </w:r>
      <w:r w:rsidRPr="00843EF3">
        <w:t xml:space="preserve"> </w:t>
      </w:r>
      <w:r>
        <w:t xml:space="preserve">The Expected results are articulated in the WIPO Medium-Term Strategic Plan (MTSP) 2022-2026, available </w:t>
      </w:r>
      <w:r w:rsidRPr="00455935">
        <w:t>at: </w:t>
      </w:r>
      <w:r>
        <w:t xml:space="preserve"> </w:t>
      </w:r>
      <w:hyperlink r:id="rId127" w:history="1">
        <w:r w:rsidRPr="00455935">
          <w:rPr>
            <w:rStyle w:val="Hyperlink"/>
          </w:rPr>
          <w:t>www.wipo.int/meetings/en/doc_details.jsp?doc_id=541373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C842" w14:textId="2AD2BB5B" w:rsidR="00EC4E49" w:rsidRDefault="00A63A79" w:rsidP="00477D6B">
    <w:pPr>
      <w:jc w:val="right"/>
    </w:pPr>
    <w:bookmarkStart w:id="3" w:name="Code2"/>
    <w:bookmarkEnd w:id="3"/>
    <w:r>
      <w:t>WO/GA/58/</w:t>
    </w:r>
  </w:p>
  <w:p w14:paraId="5AA4573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DB24DD0" w14:textId="77777777" w:rsidR="00EC4E49" w:rsidRDefault="00EC4E49" w:rsidP="00477D6B">
    <w:pPr>
      <w:jc w:val="right"/>
    </w:pPr>
  </w:p>
  <w:p w14:paraId="6C60224A"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6EE2" w14:textId="77777777" w:rsidR="003E0908" w:rsidRDefault="003E0908"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200BA1CE" w14:textId="77777777" w:rsidR="003E0908" w:rsidRDefault="003E0908" w:rsidP="00477D6B">
    <w:pPr>
      <w:jc w:val="right"/>
    </w:pPr>
  </w:p>
  <w:p w14:paraId="794B1D2C" w14:textId="77777777" w:rsidR="003E0908" w:rsidRDefault="003E090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31E5" w14:textId="77777777" w:rsidR="003E0908" w:rsidRPr="00BC268B" w:rsidRDefault="003E0908" w:rsidP="00BC26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69E6" w14:textId="77777777" w:rsidR="00BC268B" w:rsidRPr="002326AB" w:rsidRDefault="00BC268B" w:rsidP="00477D6B">
    <w:pPr>
      <w:jc w:val="right"/>
      <w:rPr>
        <w:caps/>
      </w:rPr>
    </w:pPr>
    <w:r>
      <w:rPr>
        <w:caps/>
      </w:rPr>
      <w:t>CDIP/34/2</w:t>
    </w:r>
  </w:p>
  <w:p w14:paraId="664C6469" w14:textId="77777777" w:rsidR="00BC268B" w:rsidRDefault="00BC268B"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1BB4F167" w14:textId="77777777" w:rsidR="00BC268B" w:rsidRDefault="00BC268B" w:rsidP="00477D6B">
    <w:pPr>
      <w:jc w:val="right"/>
    </w:pPr>
  </w:p>
  <w:p w14:paraId="079DCD6B" w14:textId="77777777" w:rsidR="00BC268B" w:rsidRDefault="00BC268B" w:rsidP="00FE564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B199" w14:textId="77777777" w:rsidR="00BC268B" w:rsidRPr="002326AB" w:rsidRDefault="00BC268B" w:rsidP="00477D6B">
    <w:pPr>
      <w:jc w:val="right"/>
      <w:rPr>
        <w:caps/>
      </w:rPr>
    </w:pPr>
    <w:r>
      <w:rPr>
        <w:caps/>
      </w:rPr>
      <w:t>CDIP/34/2</w:t>
    </w:r>
  </w:p>
  <w:p w14:paraId="76DF02F6" w14:textId="77777777" w:rsidR="00BC268B" w:rsidRDefault="00BC268B" w:rsidP="00477D6B">
    <w:pPr>
      <w:jc w:val="right"/>
    </w:pPr>
    <w:r>
      <w:t xml:space="preserve">Annex I, page </w:t>
    </w:r>
    <w:r>
      <w:fldChar w:fldCharType="begin"/>
    </w:r>
    <w:r>
      <w:instrText xml:space="preserve"> PAGE  \* MERGEFORMAT </w:instrText>
    </w:r>
    <w:r>
      <w:fldChar w:fldCharType="separate"/>
    </w:r>
    <w:r>
      <w:rPr>
        <w:noProof/>
      </w:rPr>
      <w:t>12</w:t>
    </w:r>
    <w:r>
      <w:fldChar w:fldCharType="end"/>
    </w:r>
  </w:p>
  <w:p w14:paraId="6481830A" w14:textId="77777777" w:rsidR="00BC268B" w:rsidRDefault="00BC268B" w:rsidP="00477D6B">
    <w:pPr>
      <w:jc w:val="right"/>
    </w:pPr>
  </w:p>
  <w:p w14:paraId="578CF138" w14:textId="77777777" w:rsidR="00BC268B" w:rsidRDefault="00BC268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D3C9" w14:textId="77777777" w:rsidR="00BC268B" w:rsidRDefault="00BC268B" w:rsidP="00F0409C">
    <w:pPr>
      <w:pStyle w:val="Header"/>
      <w:jc w:val="right"/>
      <w:rPr>
        <w:lang w:val="fr-CH"/>
      </w:rPr>
    </w:pPr>
    <w:r>
      <w:rPr>
        <w:lang w:val="fr-CH"/>
      </w:rPr>
      <w:t>CDIP/34/2</w:t>
    </w:r>
  </w:p>
  <w:p w14:paraId="288297FE" w14:textId="77777777" w:rsidR="00BC268B" w:rsidRDefault="00BC268B" w:rsidP="00F0544D">
    <w:pPr>
      <w:jc w:val="right"/>
    </w:pPr>
    <w:r>
      <w:t>ANNEX I</w:t>
    </w:r>
  </w:p>
  <w:p w14:paraId="350DBA2D" w14:textId="77777777" w:rsidR="00BC268B" w:rsidRDefault="00BC26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559B" w14:textId="77777777" w:rsidR="00BC268B" w:rsidRDefault="00BC268B" w:rsidP="00F0409C">
    <w:pPr>
      <w:pStyle w:val="Header"/>
      <w:jc w:val="right"/>
      <w:rPr>
        <w:lang w:val="fr-CH"/>
      </w:rPr>
    </w:pPr>
    <w:r>
      <w:rPr>
        <w:lang w:val="fr-CH"/>
      </w:rPr>
      <w:t>CDIP/34/2</w:t>
    </w:r>
  </w:p>
  <w:p w14:paraId="12D1FF91" w14:textId="77777777" w:rsidR="00BC268B" w:rsidRDefault="00BC268B" w:rsidP="00613DE2">
    <w:pPr>
      <w:jc w:val="right"/>
    </w:pPr>
    <w:r>
      <w:t xml:space="preserve">Annex I, page </w:t>
    </w:r>
    <w:r>
      <w:fldChar w:fldCharType="begin"/>
    </w:r>
    <w:r>
      <w:instrText xml:space="preserve"> PAGE  \* MERGEFORMAT </w:instrText>
    </w:r>
    <w:r>
      <w:fldChar w:fldCharType="separate"/>
    </w:r>
    <w:r>
      <w:rPr>
        <w:noProof/>
      </w:rPr>
      <w:t>13</w:t>
    </w:r>
    <w:r>
      <w:fldChar w:fldCharType="end"/>
    </w:r>
  </w:p>
  <w:p w14:paraId="1D461281" w14:textId="77777777" w:rsidR="00BC268B" w:rsidRDefault="00BC26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A7BC" w14:textId="77777777" w:rsidR="006957F5" w:rsidRPr="002326AB" w:rsidRDefault="006957F5" w:rsidP="00477D6B">
    <w:pPr>
      <w:jc w:val="right"/>
      <w:rPr>
        <w:caps/>
      </w:rPr>
    </w:pPr>
    <w:r>
      <w:rPr>
        <w:caps/>
      </w:rPr>
      <w:t>CDIP/34/2</w:t>
    </w:r>
  </w:p>
  <w:p w14:paraId="76F38F1E" w14:textId="55D5CD4D" w:rsidR="006957F5" w:rsidRDefault="006957F5" w:rsidP="00477D6B">
    <w:pPr>
      <w:jc w:val="right"/>
    </w:pPr>
    <w:r>
      <w:t xml:space="preserve">Annex II, page </w:t>
    </w:r>
    <w:r>
      <w:fldChar w:fldCharType="begin"/>
    </w:r>
    <w:r>
      <w:instrText xml:space="preserve"> PAGE  \* MERGEFORMAT </w:instrText>
    </w:r>
    <w:r>
      <w:fldChar w:fldCharType="separate"/>
    </w:r>
    <w:r>
      <w:rPr>
        <w:noProof/>
      </w:rPr>
      <w:t>12</w:t>
    </w:r>
    <w:r>
      <w:fldChar w:fldCharType="end"/>
    </w:r>
  </w:p>
  <w:p w14:paraId="78C65819" w14:textId="77777777" w:rsidR="006957F5" w:rsidRDefault="006957F5" w:rsidP="00477D6B">
    <w:pPr>
      <w:jc w:val="right"/>
    </w:pPr>
  </w:p>
  <w:p w14:paraId="6C2EADFE" w14:textId="77777777" w:rsidR="006957F5" w:rsidRDefault="006957F5"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775E" w14:textId="77777777" w:rsidR="00A66FB9" w:rsidRDefault="00A66FB9" w:rsidP="00F0409C">
    <w:pPr>
      <w:pStyle w:val="Header"/>
      <w:jc w:val="right"/>
      <w:rPr>
        <w:lang w:val="fr-CH"/>
      </w:rPr>
    </w:pPr>
    <w:r>
      <w:rPr>
        <w:lang w:val="fr-CH"/>
      </w:rPr>
      <w:t>CDIP/34/2</w:t>
    </w:r>
  </w:p>
  <w:p w14:paraId="3CB559E3" w14:textId="6D4E5745" w:rsidR="00A66FB9" w:rsidRDefault="00A66FB9" w:rsidP="00A66FB9">
    <w:pPr>
      <w:pStyle w:val="Header"/>
      <w:jc w:val="right"/>
    </w:pPr>
    <w:r>
      <w:t>ANNEX II</w:t>
    </w:r>
  </w:p>
  <w:p w14:paraId="76D24582" w14:textId="77777777" w:rsidR="00A66FB9" w:rsidRDefault="00A66FB9" w:rsidP="00A66FB9">
    <w:pPr>
      <w:pStyle w:val="Header"/>
      <w:jc w:val="right"/>
    </w:pPr>
  </w:p>
  <w:p w14:paraId="4713594D" w14:textId="77777777" w:rsidR="00A66FB9" w:rsidRDefault="00A66FB9" w:rsidP="00A66F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90E9D"/>
    <w:multiLevelType w:val="hybridMultilevel"/>
    <w:tmpl w:val="27962F14"/>
    <w:lvl w:ilvl="0" w:tplc="2F5C67E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6032FF"/>
    <w:multiLevelType w:val="multilevel"/>
    <w:tmpl w:val="8EC24A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7BCCE462"/>
    <w:lvl w:ilvl="0" w:tplc="2D4625C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B3DF9"/>
    <w:multiLevelType w:val="multilevel"/>
    <w:tmpl w:val="8EC24A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624F00"/>
    <w:multiLevelType w:val="hybridMultilevel"/>
    <w:tmpl w:val="176A9284"/>
    <w:lvl w:ilvl="0" w:tplc="0ED418A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C60BB"/>
    <w:multiLevelType w:val="hybridMultilevel"/>
    <w:tmpl w:val="A5FADEF4"/>
    <w:lvl w:ilvl="0" w:tplc="EE64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34E778A"/>
    <w:multiLevelType w:val="hybridMultilevel"/>
    <w:tmpl w:val="1144BD52"/>
    <w:lvl w:ilvl="0" w:tplc="893079D2">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C5F8E"/>
    <w:multiLevelType w:val="hybridMultilevel"/>
    <w:tmpl w:val="F80208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EB4014"/>
    <w:multiLevelType w:val="hybridMultilevel"/>
    <w:tmpl w:val="1F5C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E777B"/>
    <w:multiLevelType w:val="hybridMultilevel"/>
    <w:tmpl w:val="6AF266D0"/>
    <w:lvl w:ilvl="0" w:tplc="BD1678F8">
      <w:start w:val="1"/>
      <w:numFmt w:val="lowerRoman"/>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7C5B48"/>
    <w:multiLevelType w:val="multilevel"/>
    <w:tmpl w:val="86A634A6"/>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297763"/>
    <w:multiLevelType w:val="hybridMultilevel"/>
    <w:tmpl w:val="E0E65368"/>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C52C7"/>
    <w:multiLevelType w:val="hybridMultilevel"/>
    <w:tmpl w:val="AA260F3C"/>
    <w:lvl w:ilvl="0" w:tplc="C400A762">
      <w:start w:val="1"/>
      <w:numFmt w:val="decimal"/>
      <w:lvlText w:val="%1."/>
      <w:lvlJc w:val="left"/>
      <w:pPr>
        <w:ind w:left="360" w:hanging="360"/>
      </w:pPr>
      <w:rPr>
        <w:rFonts w:ascii="Arial" w:hAnsi="Arial" w:cs="Arial"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A78CF"/>
    <w:multiLevelType w:val="hybridMultilevel"/>
    <w:tmpl w:val="61020F12"/>
    <w:lvl w:ilvl="0" w:tplc="6ADE3FDC">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E552B6"/>
    <w:multiLevelType w:val="hybridMultilevel"/>
    <w:tmpl w:val="D1A2D424"/>
    <w:lvl w:ilvl="0" w:tplc="16EA4D9C">
      <w:start w:val="1"/>
      <w:numFmt w:val="lowerRoman"/>
      <w:lvlText w:val="(%1)"/>
      <w:lvlJc w:val="left"/>
      <w:pPr>
        <w:ind w:left="720" w:hanging="360"/>
      </w:pPr>
      <w:rPr>
        <w:rFonts w:ascii="Arial" w:eastAsia="SimSun" w:hAnsi="Arial" w:cs="Arial"/>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110D2"/>
    <w:multiLevelType w:val="hybridMultilevel"/>
    <w:tmpl w:val="8F4AB70C"/>
    <w:lvl w:ilvl="0" w:tplc="F2985558">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9"/>
  </w:num>
  <w:num w:numId="2" w16cid:durableId="648050909">
    <w:abstractNumId w:val="15"/>
  </w:num>
  <w:num w:numId="3" w16cid:durableId="1931624398">
    <w:abstractNumId w:val="0"/>
  </w:num>
  <w:num w:numId="4" w16cid:durableId="614560832">
    <w:abstractNumId w:val="18"/>
  </w:num>
  <w:num w:numId="5" w16cid:durableId="1109159100">
    <w:abstractNumId w:val="3"/>
  </w:num>
  <w:num w:numId="6" w16cid:durableId="677997887">
    <w:abstractNumId w:val="10"/>
  </w:num>
  <w:num w:numId="7" w16cid:durableId="1107197219">
    <w:abstractNumId w:val="4"/>
  </w:num>
  <w:num w:numId="8" w16cid:durableId="138036234">
    <w:abstractNumId w:val="2"/>
  </w:num>
  <w:num w:numId="9" w16cid:durableId="1964921700">
    <w:abstractNumId w:val="19"/>
  </w:num>
  <w:num w:numId="10" w16cid:durableId="1892811917">
    <w:abstractNumId w:val="13"/>
  </w:num>
  <w:num w:numId="11" w16cid:durableId="1677809202">
    <w:abstractNumId w:val="14"/>
  </w:num>
  <w:num w:numId="12" w16cid:durableId="845822426">
    <w:abstractNumId w:val="5"/>
  </w:num>
  <w:num w:numId="13" w16cid:durableId="1846555104">
    <w:abstractNumId w:val="22"/>
  </w:num>
  <w:num w:numId="14" w16cid:durableId="1554807787">
    <w:abstractNumId w:val="16"/>
  </w:num>
  <w:num w:numId="15" w16cid:durableId="888298894">
    <w:abstractNumId w:val="21"/>
  </w:num>
  <w:num w:numId="16" w16cid:durableId="962737910">
    <w:abstractNumId w:val="25"/>
  </w:num>
  <w:num w:numId="17" w16cid:durableId="1931229223">
    <w:abstractNumId w:val="6"/>
  </w:num>
  <w:num w:numId="18" w16cid:durableId="924386970">
    <w:abstractNumId w:val="7"/>
  </w:num>
  <w:num w:numId="19" w16cid:durableId="732505586">
    <w:abstractNumId w:val="11"/>
  </w:num>
  <w:num w:numId="20" w16cid:durableId="196048387">
    <w:abstractNumId w:val="20"/>
  </w:num>
  <w:num w:numId="21" w16cid:durableId="2133159930">
    <w:abstractNumId w:val="26"/>
  </w:num>
  <w:num w:numId="22" w16cid:durableId="1000348967">
    <w:abstractNumId w:val="1"/>
  </w:num>
  <w:num w:numId="23" w16cid:durableId="627473012">
    <w:abstractNumId w:val="23"/>
  </w:num>
  <w:num w:numId="24" w16cid:durableId="565191902">
    <w:abstractNumId w:val="24"/>
  </w:num>
  <w:num w:numId="25" w16cid:durableId="1538547302">
    <w:abstractNumId w:val="12"/>
  </w:num>
  <w:num w:numId="26" w16cid:durableId="421879970">
    <w:abstractNumId w:val="8"/>
  </w:num>
  <w:num w:numId="27" w16cid:durableId="470750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9"/>
    <w:rsid w:val="0001647B"/>
    <w:rsid w:val="00043CAA"/>
    <w:rsid w:val="00071E56"/>
    <w:rsid w:val="00075432"/>
    <w:rsid w:val="000811D7"/>
    <w:rsid w:val="000968ED"/>
    <w:rsid w:val="000F5E56"/>
    <w:rsid w:val="001024FE"/>
    <w:rsid w:val="00125C11"/>
    <w:rsid w:val="001362EE"/>
    <w:rsid w:val="00142868"/>
    <w:rsid w:val="001832A6"/>
    <w:rsid w:val="001940F7"/>
    <w:rsid w:val="001C6808"/>
    <w:rsid w:val="001E4002"/>
    <w:rsid w:val="001F6342"/>
    <w:rsid w:val="002121FA"/>
    <w:rsid w:val="00221BF0"/>
    <w:rsid w:val="00257500"/>
    <w:rsid w:val="002634C4"/>
    <w:rsid w:val="0028002A"/>
    <w:rsid w:val="002928D3"/>
    <w:rsid w:val="002F1FE6"/>
    <w:rsid w:val="002F4E68"/>
    <w:rsid w:val="0030499F"/>
    <w:rsid w:val="003059F9"/>
    <w:rsid w:val="00312F7F"/>
    <w:rsid w:val="003223E0"/>
    <w:rsid w:val="003228B7"/>
    <w:rsid w:val="003508A3"/>
    <w:rsid w:val="00355215"/>
    <w:rsid w:val="003673CF"/>
    <w:rsid w:val="00374734"/>
    <w:rsid w:val="003845C1"/>
    <w:rsid w:val="003A6F89"/>
    <w:rsid w:val="003B38C1"/>
    <w:rsid w:val="003D53E4"/>
    <w:rsid w:val="003E0908"/>
    <w:rsid w:val="003E3392"/>
    <w:rsid w:val="00423E3E"/>
    <w:rsid w:val="00427AF4"/>
    <w:rsid w:val="004400E2"/>
    <w:rsid w:val="00461632"/>
    <w:rsid w:val="004647DA"/>
    <w:rsid w:val="0047368E"/>
    <w:rsid w:val="00474062"/>
    <w:rsid w:val="00477D6B"/>
    <w:rsid w:val="004D39C4"/>
    <w:rsid w:val="005207B1"/>
    <w:rsid w:val="00524B1F"/>
    <w:rsid w:val="0053057A"/>
    <w:rsid w:val="0053312F"/>
    <w:rsid w:val="00560A29"/>
    <w:rsid w:val="0059092E"/>
    <w:rsid w:val="00594D27"/>
    <w:rsid w:val="005A14E1"/>
    <w:rsid w:val="005A60A3"/>
    <w:rsid w:val="005F42DB"/>
    <w:rsid w:val="00601760"/>
    <w:rsid w:val="00605827"/>
    <w:rsid w:val="00606D2E"/>
    <w:rsid w:val="0062702A"/>
    <w:rsid w:val="00646050"/>
    <w:rsid w:val="006713CA"/>
    <w:rsid w:val="00676C5C"/>
    <w:rsid w:val="00695558"/>
    <w:rsid w:val="006957F5"/>
    <w:rsid w:val="006C0B5B"/>
    <w:rsid w:val="006D5E0F"/>
    <w:rsid w:val="007058FB"/>
    <w:rsid w:val="00731047"/>
    <w:rsid w:val="007323BD"/>
    <w:rsid w:val="0074245B"/>
    <w:rsid w:val="007564C2"/>
    <w:rsid w:val="007607E8"/>
    <w:rsid w:val="0076183F"/>
    <w:rsid w:val="007734F9"/>
    <w:rsid w:val="007865F0"/>
    <w:rsid w:val="007B6A58"/>
    <w:rsid w:val="007D1613"/>
    <w:rsid w:val="00801759"/>
    <w:rsid w:val="00860CB8"/>
    <w:rsid w:val="00873EE5"/>
    <w:rsid w:val="008B2CC1"/>
    <w:rsid w:val="008B4B5E"/>
    <w:rsid w:val="008B60B2"/>
    <w:rsid w:val="0090731E"/>
    <w:rsid w:val="00916EE2"/>
    <w:rsid w:val="00927876"/>
    <w:rsid w:val="00946A93"/>
    <w:rsid w:val="00951317"/>
    <w:rsid w:val="00966A22"/>
    <w:rsid w:val="0096722F"/>
    <w:rsid w:val="00980843"/>
    <w:rsid w:val="00984DCD"/>
    <w:rsid w:val="009B0F94"/>
    <w:rsid w:val="009D0DD1"/>
    <w:rsid w:val="009E02BF"/>
    <w:rsid w:val="009E2791"/>
    <w:rsid w:val="009E3F6F"/>
    <w:rsid w:val="009F3BF9"/>
    <w:rsid w:val="009F499F"/>
    <w:rsid w:val="00A247F6"/>
    <w:rsid w:val="00A42DAF"/>
    <w:rsid w:val="00A45BD8"/>
    <w:rsid w:val="00A63A79"/>
    <w:rsid w:val="00A66FB9"/>
    <w:rsid w:val="00A77470"/>
    <w:rsid w:val="00A778BF"/>
    <w:rsid w:val="00A804DC"/>
    <w:rsid w:val="00A85B8E"/>
    <w:rsid w:val="00A9118D"/>
    <w:rsid w:val="00A91D27"/>
    <w:rsid w:val="00AC205C"/>
    <w:rsid w:val="00AF5C73"/>
    <w:rsid w:val="00B05A69"/>
    <w:rsid w:val="00B40598"/>
    <w:rsid w:val="00B50B99"/>
    <w:rsid w:val="00B62CD9"/>
    <w:rsid w:val="00B83ED7"/>
    <w:rsid w:val="00B9497C"/>
    <w:rsid w:val="00B9734B"/>
    <w:rsid w:val="00BC268B"/>
    <w:rsid w:val="00BC780D"/>
    <w:rsid w:val="00BF310C"/>
    <w:rsid w:val="00BF42FA"/>
    <w:rsid w:val="00C11BFE"/>
    <w:rsid w:val="00C94629"/>
    <w:rsid w:val="00CB5F42"/>
    <w:rsid w:val="00CC5400"/>
    <w:rsid w:val="00CE65D4"/>
    <w:rsid w:val="00CF7EBD"/>
    <w:rsid w:val="00D45252"/>
    <w:rsid w:val="00D71B4D"/>
    <w:rsid w:val="00D87788"/>
    <w:rsid w:val="00D93D55"/>
    <w:rsid w:val="00DB0700"/>
    <w:rsid w:val="00DF5340"/>
    <w:rsid w:val="00E161A2"/>
    <w:rsid w:val="00E335FE"/>
    <w:rsid w:val="00E5021F"/>
    <w:rsid w:val="00E661BB"/>
    <w:rsid w:val="00E671A6"/>
    <w:rsid w:val="00E81104"/>
    <w:rsid w:val="00E913BB"/>
    <w:rsid w:val="00EC4E49"/>
    <w:rsid w:val="00ED77A5"/>
    <w:rsid w:val="00ED77FB"/>
    <w:rsid w:val="00F021A6"/>
    <w:rsid w:val="00F11D94"/>
    <w:rsid w:val="00F16203"/>
    <w:rsid w:val="00F45B69"/>
    <w:rsid w:val="00F66152"/>
    <w:rsid w:val="00F66167"/>
    <w:rsid w:val="00F86682"/>
    <w:rsid w:val="00FA34F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E33FE"/>
  <w15:docId w15:val="{6720D646-51F3-4A5B-9ED2-57A64501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360" w:hanging="360"/>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tabs>
        <w:tab w:val="clear" w:pos="567"/>
      </w:tabs>
      <w:ind w:left="720" w:hanging="36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A63A79"/>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7564C2"/>
    <w:rPr>
      <w:rFonts w:ascii="Arial" w:eastAsia="SimSun" w:hAnsi="Arial" w:cs="Arial"/>
      <w:sz w:val="22"/>
      <w:lang w:val="en-US" w:eastAsia="zh-CN"/>
    </w:rPr>
  </w:style>
  <w:style w:type="paragraph" w:styleId="ListParagraph">
    <w:name w:val="List Paragraph"/>
    <w:basedOn w:val="Normal"/>
    <w:uiPriority w:val="34"/>
    <w:qFormat/>
    <w:rsid w:val="00860CB8"/>
    <w:pPr>
      <w:spacing w:after="160" w:line="278" w:lineRule="auto"/>
      <w:ind w:left="720"/>
      <w:contextualSpacing/>
    </w:pPr>
    <w:rPr>
      <w:rFonts w:asciiTheme="minorHAnsi" w:eastAsiaTheme="minorHAnsi" w:hAnsiTheme="minorHAnsi" w:cstheme="minorBidi"/>
      <w:kern w:val="2"/>
      <w:sz w:val="24"/>
      <w:szCs w:val="24"/>
      <w:lang w:val="fr-CH" w:eastAsia="en-US"/>
      <w14:ligatures w14:val="standardContextual"/>
    </w:rPr>
  </w:style>
  <w:style w:type="character" w:styleId="Strong">
    <w:name w:val="Strong"/>
    <w:basedOn w:val="DefaultParagraphFont"/>
    <w:qFormat/>
    <w:rsid w:val="003E0908"/>
    <w:rPr>
      <w:b/>
      <w:bCs/>
    </w:rPr>
  </w:style>
  <w:style w:type="character" w:styleId="Hyperlink">
    <w:name w:val="Hyperlink"/>
    <w:basedOn w:val="DefaultParagraphFont"/>
    <w:uiPriority w:val="99"/>
    <w:unhideWhenUsed/>
    <w:rsid w:val="003E0908"/>
    <w:rPr>
      <w:color w:val="0000FF" w:themeColor="hyperlink"/>
      <w:u w:val="single"/>
    </w:rPr>
  </w:style>
  <w:style w:type="character" w:customStyle="1" w:styleId="Endofdocument-AnnexChar">
    <w:name w:val="[End of document - Annex] Char"/>
    <w:link w:val="Endofdocument-Annex"/>
    <w:rsid w:val="003E0908"/>
    <w:rPr>
      <w:rFonts w:ascii="Arial" w:eastAsia="SimSun" w:hAnsi="Arial" w:cs="Arial"/>
      <w:sz w:val="22"/>
      <w:lang w:val="en-US" w:eastAsia="zh-CN"/>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BC268B"/>
    <w:rPr>
      <w:vertAlign w:val="superscript"/>
    </w:rPr>
  </w:style>
  <w:style w:type="character" w:styleId="FollowedHyperlink">
    <w:name w:val="FollowedHyperlink"/>
    <w:basedOn w:val="DefaultParagraphFont"/>
    <w:semiHidden/>
    <w:unhideWhenUsed/>
    <w:rsid w:val="00BC268B"/>
    <w:rPr>
      <w:color w:val="800080" w:themeColor="followedHyperlink"/>
      <w:u w:val="single"/>
    </w:rPr>
  </w:style>
  <w:style w:type="character" w:customStyle="1" w:styleId="FootnoteTextChar">
    <w:name w:val="Footnote Text Char"/>
    <w:basedOn w:val="DefaultParagraphFont"/>
    <w:link w:val="FootnoteText"/>
    <w:rsid w:val="00BC268B"/>
    <w:rPr>
      <w:rFonts w:ascii="Arial" w:eastAsia="SimSun" w:hAnsi="Arial" w:cs="Arial"/>
      <w:sz w:val="18"/>
      <w:lang w:val="en-US" w:eastAsia="zh-CN"/>
    </w:rPr>
  </w:style>
  <w:style w:type="character" w:customStyle="1" w:styleId="ONUMFSChar">
    <w:name w:val="ONUM FS Char"/>
    <w:basedOn w:val="DefaultParagraphFont"/>
    <w:link w:val="ONUMFS"/>
    <w:rsid w:val="00BC268B"/>
    <w:rPr>
      <w:rFonts w:ascii="Arial" w:eastAsia="SimSun" w:hAnsi="Arial" w:cs="Arial"/>
      <w:sz w:val="22"/>
      <w:lang w:val="en-US" w:eastAsia="zh-CN"/>
    </w:rPr>
  </w:style>
  <w:style w:type="character" w:customStyle="1" w:styleId="null">
    <w:name w:val="null"/>
    <w:basedOn w:val="DefaultParagraphFont"/>
    <w:rsid w:val="00BC268B"/>
  </w:style>
  <w:style w:type="character" w:styleId="CommentReference">
    <w:name w:val="annotation reference"/>
    <w:basedOn w:val="DefaultParagraphFont"/>
    <w:semiHidden/>
    <w:unhideWhenUsed/>
    <w:rsid w:val="00BC268B"/>
    <w:rPr>
      <w:sz w:val="16"/>
      <w:szCs w:val="16"/>
    </w:rPr>
  </w:style>
  <w:style w:type="character" w:customStyle="1" w:styleId="CommentTextChar">
    <w:name w:val="Comment Text Char"/>
    <w:basedOn w:val="DefaultParagraphFont"/>
    <w:semiHidden/>
    <w:rsid w:val="00BC268B"/>
    <w:rPr>
      <w:rFonts w:ascii="Arial" w:eastAsia="SimSun" w:hAnsi="Arial" w:cs="Arial"/>
      <w:sz w:val="18"/>
      <w:lang w:val="en-US" w:eastAsia="zh-CN"/>
    </w:rPr>
  </w:style>
  <w:style w:type="paragraph" w:styleId="BalloonText">
    <w:name w:val="Balloon Text"/>
    <w:basedOn w:val="Normal"/>
    <w:link w:val="BalloonTextChar"/>
    <w:unhideWhenUsed/>
    <w:rsid w:val="00BC268B"/>
    <w:rPr>
      <w:rFonts w:ascii="Segoe UI" w:hAnsi="Segoe UI" w:cs="Segoe UI"/>
      <w:sz w:val="18"/>
      <w:szCs w:val="18"/>
    </w:rPr>
  </w:style>
  <w:style w:type="character" w:customStyle="1" w:styleId="BalloonTextChar">
    <w:name w:val="Balloon Text Char"/>
    <w:basedOn w:val="DefaultParagraphFont"/>
    <w:link w:val="BalloonText"/>
    <w:rsid w:val="00BC268B"/>
    <w:rPr>
      <w:rFonts w:ascii="Segoe UI" w:eastAsia="SimSun" w:hAnsi="Segoe UI" w:cs="Segoe UI"/>
      <w:sz w:val="18"/>
      <w:szCs w:val="18"/>
      <w:lang w:val="en-US" w:eastAsia="zh-CN"/>
    </w:rPr>
  </w:style>
  <w:style w:type="character" w:customStyle="1" w:styleId="A6">
    <w:name w:val="A6"/>
    <w:basedOn w:val="DefaultParagraphFont"/>
    <w:uiPriority w:val="99"/>
    <w:rsid w:val="00BC268B"/>
    <w:rPr>
      <w:color w:val="000000"/>
    </w:rPr>
  </w:style>
  <w:style w:type="character" w:customStyle="1" w:styleId="HeaderChar">
    <w:name w:val="Header Char"/>
    <w:basedOn w:val="DefaultParagraphFont"/>
    <w:link w:val="Header"/>
    <w:rsid w:val="00BC268B"/>
    <w:rPr>
      <w:rFonts w:ascii="Arial" w:eastAsia="SimSun" w:hAnsi="Arial" w:cs="Arial"/>
      <w:sz w:val="22"/>
      <w:lang w:val="en-US" w:eastAsia="zh-CN"/>
    </w:rPr>
  </w:style>
  <w:style w:type="table" w:styleId="TableGrid">
    <w:name w:val="Table Grid"/>
    <w:basedOn w:val="TableNormal"/>
    <w:rsid w:val="00BC26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C268B"/>
  </w:style>
  <w:style w:type="character" w:styleId="Emphasis">
    <w:name w:val="Emphasis"/>
    <w:basedOn w:val="DefaultParagraphFont"/>
    <w:uiPriority w:val="20"/>
    <w:qFormat/>
    <w:rsid w:val="00BC268B"/>
    <w:rPr>
      <w:i/>
      <w:iCs/>
    </w:rPr>
  </w:style>
  <w:style w:type="paragraph" w:customStyle="1" w:styleId="paragraph">
    <w:name w:val="paragraph"/>
    <w:basedOn w:val="Normal"/>
    <w:rsid w:val="00BC268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C268B"/>
  </w:style>
  <w:style w:type="character" w:customStyle="1" w:styleId="eop">
    <w:name w:val="eop"/>
    <w:basedOn w:val="DefaultParagraphFont"/>
    <w:rsid w:val="00BC268B"/>
  </w:style>
  <w:style w:type="character" w:styleId="UnresolvedMention">
    <w:name w:val="Unresolved Mention"/>
    <w:basedOn w:val="DefaultParagraphFont"/>
    <w:uiPriority w:val="99"/>
    <w:semiHidden/>
    <w:unhideWhenUsed/>
    <w:rsid w:val="00BC268B"/>
    <w:rPr>
      <w:color w:val="605E5C"/>
      <w:shd w:val="clear" w:color="auto" w:fill="E1DFDD"/>
    </w:rPr>
  </w:style>
  <w:style w:type="character" w:customStyle="1" w:styleId="bumpedfont20">
    <w:name w:val="bumpedfont20"/>
    <w:basedOn w:val="DefaultParagraphFont"/>
    <w:rsid w:val="00BC268B"/>
  </w:style>
  <w:style w:type="paragraph" w:customStyle="1" w:styleId="xmsonormal">
    <w:name w:val="x_msonormal"/>
    <w:basedOn w:val="Normal"/>
    <w:rsid w:val="00BC268B"/>
    <w:rPr>
      <w:rFonts w:ascii="Calibri" w:eastAsiaTheme="minorHAnsi" w:hAnsi="Calibri" w:cs="Calibri"/>
      <w:szCs w:val="22"/>
      <w:lang w:eastAsia="en-US"/>
    </w:rPr>
  </w:style>
  <w:style w:type="paragraph" w:customStyle="1" w:styleId="Default">
    <w:name w:val="Default"/>
    <w:basedOn w:val="Normal"/>
    <w:rsid w:val="00BC268B"/>
    <w:pPr>
      <w:autoSpaceDE w:val="0"/>
      <w:autoSpaceDN w:val="0"/>
    </w:pPr>
    <w:rPr>
      <w:rFonts w:eastAsiaTheme="minorEastAsia"/>
      <w:color w:val="000000"/>
      <w:sz w:val="24"/>
      <w:szCs w:val="24"/>
    </w:rPr>
  </w:style>
  <w:style w:type="character" w:customStyle="1" w:styleId="Heading4Char">
    <w:name w:val="Heading 4 Char"/>
    <w:basedOn w:val="DefaultParagraphFont"/>
    <w:link w:val="Heading4"/>
    <w:rsid w:val="00BC268B"/>
    <w:rPr>
      <w:rFonts w:ascii="Arial" w:eastAsia="SimSun" w:hAnsi="Arial" w:cs="Arial"/>
      <w:bCs/>
      <w:i/>
      <w:sz w:val="22"/>
      <w:szCs w:val="28"/>
      <w:lang w:val="en-US" w:eastAsia="zh-CN"/>
    </w:rPr>
  </w:style>
  <w:style w:type="paragraph" w:customStyle="1" w:styleId="TableParagraph">
    <w:name w:val="Table Paragraph"/>
    <w:basedOn w:val="Normal"/>
    <w:uiPriority w:val="1"/>
    <w:qFormat/>
    <w:rsid w:val="00BC268B"/>
    <w:pPr>
      <w:widowControl w:val="0"/>
      <w:autoSpaceDE w:val="0"/>
      <w:autoSpaceDN w:val="0"/>
    </w:pPr>
    <w:rPr>
      <w:rFonts w:eastAsia="Arial"/>
      <w:szCs w:val="22"/>
      <w:lang w:eastAsia="en-US"/>
    </w:rPr>
  </w:style>
  <w:style w:type="paragraph" w:styleId="Revision">
    <w:name w:val="Revision"/>
    <w:hidden/>
    <w:uiPriority w:val="99"/>
    <w:semiHidden/>
    <w:rsid w:val="00BC268B"/>
    <w:rPr>
      <w:rFonts w:ascii="Arial" w:eastAsia="SimSun" w:hAnsi="Arial" w:cs="Arial"/>
      <w:sz w:val="22"/>
      <w:lang w:val="en-US" w:eastAsia="zh-CN"/>
    </w:rPr>
  </w:style>
  <w:style w:type="paragraph" w:styleId="NormalWeb">
    <w:name w:val="Normal (Web)"/>
    <w:basedOn w:val="Normal"/>
    <w:uiPriority w:val="99"/>
    <w:unhideWhenUsed/>
    <w:rsid w:val="00BC268B"/>
    <w:rPr>
      <w:rFonts w:ascii="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BC268B"/>
    <w:rPr>
      <w:b/>
      <w:bCs/>
      <w:sz w:val="20"/>
    </w:rPr>
  </w:style>
  <w:style w:type="character" w:customStyle="1" w:styleId="CommentTextChar1">
    <w:name w:val="Comment Text Char1"/>
    <w:basedOn w:val="DefaultParagraphFont"/>
    <w:link w:val="CommentText"/>
    <w:semiHidden/>
    <w:rsid w:val="00BC268B"/>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BC268B"/>
    <w:rPr>
      <w:rFonts w:ascii="Arial" w:eastAsia="SimSun" w:hAnsi="Arial" w:cs="Arial"/>
      <w:b/>
      <w:bCs/>
      <w:sz w:val="18"/>
      <w:lang w:val="en-US" w:eastAsia="zh-CN"/>
    </w:rPr>
  </w:style>
  <w:style w:type="numbering" w:customStyle="1" w:styleId="CurrentList1">
    <w:name w:val="Current List1"/>
    <w:uiPriority w:val="99"/>
    <w:rsid w:val="00BC268B"/>
    <w:pPr>
      <w:numPr>
        <w:numId w:val="24"/>
      </w:numPr>
    </w:pPr>
  </w:style>
  <w:style w:type="character" w:customStyle="1" w:styleId="lead">
    <w:name w:val="lead"/>
    <w:basedOn w:val="DefaultParagraphFont"/>
    <w:rsid w:val="00BC268B"/>
  </w:style>
  <w:style w:type="paragraph" w:styleId="NoSpacing">
    <w:name w:val="No Spacing"/>
    <w:uiPriority w:val="1"/>
    <w:qFormat/>
    <w:rsid w:val="00BC268B"/>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acatalogue.wipo.int/projects/DA_10_23_31_36_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about-wipo/en/assemblies/2021/a_62/index.html" TargetMode="Externa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en/search.jsf" TargetMode="External"/><Relationship Id="rId117" Type="http://schemas.openxmlformats.org/officeDocument/2006/relationships/hyperlink" Target="https://www.wipo.int/meetings/en/doc_details.jsp?doc_id=600731" TargetMode="External"/><Relationship Id="rId21" Type="http://schemas.openxmlformats.org/officeDocument/2006/relationships/hyperlink" Target="http://www.wipo.int/meetings/en/doc_details.jsp?doc_id=636891" TargetMode="External"/><Relationship Id="rId42" Type="http://schemas.openxmlformats.org/officeDocument/2006/relationships/hyperlink" Target="https://www.wipo.int/en/web/awards/national" TargetMode="External"/><Relationship Id="rId47" Type="http://schemas.openxmlformats.org/officeDocument/2006/relationships/hyperlink" Target="http://www.wipo.int/meetings/en/doc_details.jsp?doc_id=629766" TargetMode="External"/><Relationship Id="rId63" Type="http://schemas.openxmlformats.org/officeDocument/2006/relationships/hyperlink" Target="https://aiforgood.itu.int/summit24/" TargetMode="External"/><Relationship Id="rId68" Type="http://schemas.openxmlformats.org/officeDocument/2006/relationships/hyperlink" Target="https://www.wipo.int/en/web/youth-engagement/w/news/2024/inter-generational-dialogue-in-the-life-sciences-sector-1" TargetMode="External"/><Relationship Id="rId84" Type="http://schemas.openxmlformats.org/officeDocument/2006/relationships/hyperlink" Target="https://www.wipo.int/tk/en/news/tk/2024/news_0001.html" TargetMode="External"/><Relationship Id="rId89" Type="http://schemas.openxmlformats.org/officeDocument/2006/relationships/hyperlink" Target="https://www.wipo.int/meetings/en/details.jsp?meeting_id=76048" TargetMode="External"/><Relationship Id="rId112" Type="http://schemas.openxmlformats.org/officeDocument/2006/relationships/hyperlink" Target="http://www.wipo.int/publications/en/details.jsp?id=4586" TargetMode="External"/><Relationship Id="rId16" Type="http://schemas.openxmlformats.org/officeDocument/2006/relationships/hyperlink" Target="http://www.wipo.int/meetings/en/doc_details.jsp?doc_id=637348" TargetMode="External"/><Relationship Id="rId107" Type="http://schemas.openxmlformats.org/officeDocument/2006/relationships/hyperlink" Target="https://tppm.wipo.int/" TargetMode="External"/><Relationship Id="rId11" Type="http://schemas.openxmlformats.org/officeDocument/2006/relationships/hyperlink" Target="https://www.wipo.int/web/gender/w/news/2024/closing-the-gender-gap-in-ip-women-and-the-sustainable-development-goals" TargetMode="External"/><Relationship Id="rId32" Type="http://schemas.openxmlformats.org/officeDocument/2006/relationships/hyperlink" Target="https://www.wipo.int/meetings/en/doc_details.jsp?doc_id=637591" TargetMode="External"/><Relationship Id="rId37" Type="http://schemas.openxmlformats.org/officeDocument/2006/relationships/hyperlink" Target="https://www.wipo.int/diplomatic-conferences/en/design-law/index.html" TargetMode="External"/><Relationship Id="rId53" Type="http://schemas.openxmlformats.org/officeDocument/2006/relationships/hyperlink" Target="https://www.wipo.int/cooperation/en/technical_assistance/developing-countries.html" TargetMode="External"/><Relationship Id="rId58" Type="http://schemas.openxmlformats.org/officeDocument/2006/relationships/hyperlink" Target="http://www.wipo.int/global_ip/en/activities/ip_office_business_solutions/" TargetMode="External"/><Relationship Id="rId74"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79" Type="http://schemas.openxmlformats.org/officeDocument/2006/relationships/hyperlink" Target="https://www.wipo.int/meetings/en/details.jsp?meeting_id=85468" TargetMode="External"/><Relationship Id="rId102" Type="http://schemas.openxmlformats.org/officeDocument/2006/relationships/hyperlink" Target="https://www.wipo.int/amc/en/center/wipoadryoung/index.html" TargetMode="External"/><Relationship Id="rId123" Type="http://schemas.openxmlformats.org/officeDocument/2006/relationships/hyperlink" Target="http://www.wipo.int/meetings/en/doc_details.jsp?doc_id=607672" TargetMode="External"/><Relationship Id="rId5" Type="http://schemas.openxmlformats.org/officeDocument/2006/relationships/hyperlink" Target="https://www.wipo.int/meetings/en/doc_details.jsp?doc_id=630523" TargetMode="External"/><Relationship Id="rId90" Type="http://schemas.openxmlformats.org/officeDocument/2006/relationships/hyperlink" Target="http://www.wipo.int/ip-competition/en/" TargetMode="External"/><Relationship Id="rId95" Type="http://schemas.openxmlformats.org/officeDocument/2006/relationships/hyperlink" Target="http://www.wipo.int/tisc/en/search/" TargetMode="External"/><Relationship Id="rId22" Type="http://schemas.openxmlformats.org/officeDocument/2006/relationships/hyperlink" Target="http://www.wipo.int/cooperation/en/south_south/" TargetMode="External"/><Relationship Id="rId27" Type="http://schemas.openxmlformats.org/officeDocument/2006/relationships/hyperlink" Target="https://www.wipo.int/meetings/en/doc_details.jsp?doc_id=640446" TargetMode="External"/><Relationship Id="rId43" Type="http://schemas.openxmlformats.org/officeDocument/2006/relationships/hyperlink" Target="https://www.wipo.int/meetings/en/doc_details.jsp?doc_id=630104" TargetMode="External"/><Relationship Id="rId48" Type="http://schemas.openxmlformats.org/officeDocument/2006/relationships/hyperlink" Target="https://www.wipo.int/meetings/en/doc_details.jsp?doc_id=622473" TargetMode="External"/><Relationship Id="rId64" Type="http://schemas.openxmlformats.org/officeDocument/2006/relationships/hyperlink" Target="https://www.wipo.int/publications/en/details.jsp?id=4741" TargetMode="External"/><Relationship Id="rId69" Type="http://schemas.openxmlformats.org/officeDocument/2006/relationships/hyperlink" Target="https://www3.wipo.int/wipogreen/en/partners/" TargetMode="External"/><Relationship Id="rId113" Type="http://schemas.openxmlformats.org/officeDocument/2006/relationships/hyperlink" Target="http://www.wipo.int/publications/en/details.jsp?id=4714" TargetMode="External"/><Relationship Id="rId118" Type="http://schemas.openxmlformats.org/officeDocument/2006/relationships/hyperlink" Target="http://www.wipo.int/meetings/en/doc_details.jsp?doc_id=601651" TargetMode="External"/><Relationship Id="rId80" Type="http://schemas.openxmlformats.org/officeDocument/2006/relationships/hyperlink" Target="https://respectforip.org/" TargetMode="External"/><Relationship Id="rId85" Type="http://schemas.openxmlformats.org/officeDocument/2006/relationships/hyperlink" Target="https://www.wipo.int/tk/en/wipo-gratk-treaty.html" TargetMode="External"/><Relationship Id="rId12" Type="http://schemas.openxmlformats.org/officeDocument/2006/relationships/hyperlink" Target="http://www.wipo.int/meetings/en/details.jsp?meeting_id=76488" TargetMode="External"/><Relationship Id="rId17" Type="http://schemas.openxmlformats.org/officeDocument/2006/relationships/hyperlink" Target="http://www.wipo.int/meetings/en/doc_details.jsp?doc_id=639846" TargetMode="External"/><Relationship Id="rId33" Type="http://schemas.openxmlformats.org/officeDocument/2006/relationships/hyperlink" Target="https://www.wipo.int/meetings/en/doc_details.jsp?doc_id=629283" TargetMode="External"/><Relationship Id="rId38" Type="http://schemas.openxmlformats.org/officeDocument/2006/relationships/hyperlink" Target="http://www.wipo.int/wipoforcreators/en/news/2023/news_0006.html" TargetMode="External"/><Relationship Id="rId59" Type="http://schemas.openxmlformats.org/officeDocument/2006/relationships/hyperlink" Target="http://www.wipo.int/meetings/en/details.jsp?meeting_id=83813" TargetMode="External"/><Relationship Id="rId103" Type="http://schemas.openxmlformats.org/officeDocument/2006/relationships/hyperlink" Target="https://etisc.wipo.int/" TargetMode="External"/><Relationship Id="rId108" Type="http://schemas.openxmlformats.org/officeDocument/2006/relationships/hyperlink" Target="http://www.wipo.int/patentscope/en/programs/patent_landscapes/" TargetMode="External"/><Relationship Id="rId124" Type="http://schemas.openxmlformats.org/officeDocument/2006/relationships/hyperlink" Target="http://www.wipo.int/meetings/en/doc_details.jsp?doc_id=621667" TargetMode="External"/><Relationship Id="rId54" Type="http://schemas.openxmlformats.org/officeDocument/2006/relationships/hyperlink" Target="https://www.wipo.int/export/sites/www/standards/en/pdf/03-26-01_v1_6.pdf" TargetMode="External"/><Relationship Id="rId70" Type="http://schemas.openxmlformats.org/officeDocument/2006/relationships/hyperlink" Target="https://www.wipo.int/web/green-technology-book" TargetMode="External"/><Relationship Id="rId75" Type="http://schemas.openxmlformats.org/officeDocument/2006/relationships/hyperlink" Target="https://www3.wipo.int/wipogreen/en/news/2024/news_0015.html" TargetMode="External"/><Relationship Id="rId91" Type="http://schemas.openxmlformats.org/officeDocument/2006/relationships/hyperlink" Target="https://www.wipo.int/en/web/business/sme-support-institutions-platform-search" TargetMode="External"/><Relationship Id="rId96" Type="http://schemas.openxmlformats.org/officeDocument/2006/relationships/hyperlink" Target="https://www.wipo.int/publications/en/details.jsp?id=4714"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s://www.wipo.int/meetings/en/doc_details.jsp?doc_id=628277" TargetMode="External"/><Relationship Id="rId23" Type="http://schemas.openxmlformats.org/officeDocument/2006/relationships/hyperlink" Target="https://dacatalogue.wipo.int/projects" TargetMode="External"/><Relationship Id="rId28" Type="http://schemas.openxmlformats.org/officeDocument/2006/relationships/hyperlink" Target="https://www.wipo.int/export/sites/www/women-and-ip/en/docs/rn2023-1_ipgap.pdf" TargetMode="External"/><Relationship Id="rId49" Type="http://schemas.openxmlformats.org/officeDocument/2006/relationships/hyperlink" Target="https://www.wipo.int/meetings/en/doc_details.jsp?doc_id=629427" TargetMode="External"/><Relationship Id="rId114" Type="http://schemas.openxmlformats.org/officeDocument/2006/relationships/hyperlink" Target="http://www.cambridge.org/core/books/informal-economy-in-developing-nations/C7494C6FD7EE4DC86BBADB4A7B87BCE3" TargetMode="External"/><Relationship Id="rId119" Type="http://schemas.openxmlformats.org/officeDocument/2006/relationships/hyperlink" Target="http://www.wipo.int/meetings/en/doc_details.jsp?doc_id=627738" TargetMode="External"/><Relationship Id="rId44" Type="http://schemas.openxmlformats.org/officeDocument/2006/relationships/hyperlink" Target="https://www.wipo.int/meetings/en/doc_details.jsp?doc_id=627732" TargetMode="External"/><Relationship Id="rId60" Type="http://schemas.openxmlformats.org/officeDocument/2006/relationships/hyperlink" Target="https://www.wipo.int/en/web/global-health/w/news/2024/who-wipo-wto-to-host-symposium-on-boosting-manufacturing-for-non-communicable-diseases" TargetMode="External"/><Relationship Id="rId65" Type="http://schemas.openxmlformats.org/officeDocument/2006/relationships/hyperlink" Target="https://www.wipo.int/en/web/wipo-academy/w/news/2024/empowering-tunisian-youth-through-ip" TargetMode="External"/><Relationship Id="rId81" Type="http://schemas.openxmlformats.org/officeDocument/2006/relationships/hyperlink" Target="https://www.wipo.int/tk/en/news/tk/2024/news_0008.html" TargetMode="External"/><Relationship Id="rId86" Type="http://schemas.openxmlformats.org/officeDocument/2006/relationships/hyperlink" Target="http://www.wipo.int/meetings/en/details.jsp?meeting_id=80916" TargetMode="External"/><Relationship Id="rId13" Type="http://schemas.openxmlformats.org/officeDocument/2006/relationships/hyperlink" Target="http://www.wipo.int/meetings/en/doc_details.jsp?doc_id=630655" TargetMode="External"/><Relationship Id="rId18" Type="http://schemas.openxmlformats.org/officeDocument/2006/relationships/hyperlink" Target="http://www.wipo.int/meetings/en/doc_details.jsp?doc_id=628927" TargetMode="External"/><Relationship Id="rId39" Type="http://schemas.openxmlformats.org/officeDocument/2006/relationships/hyperlink" Target="https://www.accessiblebooksconsortium.org/en/w/news/2024/abc-international-excellence-awards-recognize-gerbera-ediciones-argentina-and-round-table-on-information-access-australia-and-new-zealand" TargetMode="External"/><Relationship Id="rId109" Type="http://schemas.openxmlformats.org/officeDocument/2006/relationships/hyperlink" Target="https://inspire.wipo.int/patent-register-portal" TargetMode="External"/><Relationship Id="rId34" Type="http://schemas.openxmlformats.org/officeDocument/2006/relationships/hyperlink" Target="https://www.wipo.int/about-wipo/en/offices/nigeria/news/2024/news_0001.html" TargetMode="External"/><Relationship Id="rId50" Type="http://schemas.openxmlformats.org/officeDocument/2006/relationships/hyperlink" Target="http://www.wipo.int/meetings/en/doc_details.jsp?doc_id=629405" TargetMode="External"/><Relationship Id="rId55" Type="http://schemas.openxmlformats.org/officeDocument/2006/relationships/hyperlink" Target="https://www.wipo.int/about-ip/en/frontier_technologies/" TargetMode="External"/><Relationship Id="rId76" Type="http://schemas.openxmlformats.org/officeDocument/2006/relationships/hyperlink" Target="https://www3.wipo.int/wipogreen/en/ipo-green/" TargetMode="External"/><Relationship Id="rId97" Type="http://schemas.openxmlformats.org/officeDocument/2006/relationships/hyperlink" Target="http://www.wipo.int/about-ip/en/ip_innovation_economics/gender_innovation_gap/gender_dictionary.html" TargetMode="External"/><Relationship Id="rId104" Type="http://schemas.openxmlformats.org/officeDocument/2006/relationships/hyperlink" Target="file:///\\adi.wipo.int\wipodata\MARKS\OrgDacd\Shared\CDIP%20Meetings\CDIP_34th_Session_May%205-9,%202025\Documents\CDIP_34_2_DG%20Report\inspire.wipo.int\wipo-inspire" TargetMode="External"/><Relationship Id="rId120" Type="http://schemas.openxmlformats.org/officeDocument/2006/relationships/hyperlink" Target="http://www.wipo.int/publications/en/details.jsp?id=4501" TargetMode="External"/><Relationship Id="rId125" Type="http://schemas.openxmlformats.org/officeDocument/2006/relationships/hyperlink" Target="http://www.wipo.int/meetings/en/doc_details.jsp?doc_id=582427" TargetMode="External"/><Relationship Id="rId7" Type="http://schemas.openxmlformats.org/officeDocument/2006/relationships/hyperlink" Target="https://www.wipo.int/meetings/en/doc_details.jsp?doc_id=639845" TargetMode="External"/><Relationship Id="rId71" Type="http://schemas.openxmlformats.org/officeDocument/2006/relationships/hyperlink" Target="https://wipogreen.wipo.int/wipogreen-database/collection-collections/146441" TargetMode="External"/><Relationship Id="rId92" Type="http://schemas.openxmlformats.org/officeDocument/2006/relationships/hyperlink" Target="https://www.wipo.int/en/web/wipo-ip-diagnostics" TargetMode="External"/><Relationship Id="rId2" Type="http://schemas.openxmlformats.org/officeDocument/2006/relationships/hyperlink" Target="http://www.wipo.int/tad/en/activitydetails.jsp?id=28332" TargetMode="External"/><Relationship Id="rId29" Type="http://schemas.openxmlformats.org/officeDocument/2006/relationships/hyperlink" Target="http://www.wipo.int/web/gender/" TargetMode="External"/><Relationship Id="rId24" Type="http://schemas.openxmlformats.org/officeDocument/2006/relationships/hyperlink" Target="https://dacatalogue.wipo.int/projectfiles/DA_01_05_01/Guidebook/EN/Development%20Agenda%20Guidebook_E.pdf" TargetMode="External"/><Relationship Id="rId40" Type="http://schemas.openxmlformats.org/officeDocument/2006/relationships/hyperlink" Target="https://www.accessiblebooksconsortium.org/en/w/news/2024/right-to-read-conference-champions-access-for-the-visually-impaired-across-pacific-islands" TargetMode="External"/><Relationship Id="rId45" Type="http://schemas.openxmlformats.org/officeDocument/2006/relationships/hyperlink" Target="https://www.wipo.int/meetings/en/doc_details.jsp?doc_id=622591" TargetMode="External"/><Relationship Id="rId66" Type="http://schemas.openxmlformats.org/officeDocument/2006/relationships/hyperlink" Target="https://www.wipo.int/en/web/director-general/w/daren-tang/news/2024/news_0020" TargetMode="External"/><Relationship Id="rId87" Type="http://schemas.openxmlformats.org/officeDocument/2006/relationships/hyperlink" Target="http://www.wipo.int/meetings/en/details.jsp?meeting_id=80927" TargetMode="External"/><Relationship Id="rId110" Type="http://schemas.openxmlformats.org/officeDocument/2006/relationships/hyperlink" Target="http://www.wipo.int/publications/en/details.jsp?id=4501" TargetMode="External"/><Relationship Id="rId115" Type="http://schemas.openxmlformats.org/officeDocument/2006/relationships/hyperlink" Target="https://welc.wipo.int/jtip/?lang=de" TargetMode="External"/><Relationship Id="rId61" Type="http://schemas.openxmlformats.org/officeDocument/2006/relationships/hyperlink" Target="https://www.who.int/initiatives/global-initiative-on-ai-for-health" TargetMode="External"/><Relationship Id="rId82" Type="http://schemas.openxmlformats.org/officeDocument/2006/relationships/hyperlink" Target="https://www.wipo.int/tk/en/women_entrepreneurs/" TargetMode="External"/><Relationship Id="rId19" Type="http://schemas.openxmlformats.org/officeDocument/2006/relationships/hyperlink" Target="https://www.wipo.int/meetings/en/doc_details.jsp?doc_id=570471" TargetMode="External"/><Relationship Id="rId14" Type="http://schemas.openxmlformats.org/officeDocument/2006/relationships/hyperlink" Target="http://www.wipo.int/meetings/en/doc_details.jsp?doc_id=637020" TargetMode="External"/><Relationship Id="rId30" Type="http://schemas.openxmlformats.org/officeDocument/2006/relationships/hyperlink" Target="https://www.wipo.int/meetings/en/details.jsp?meeting_id=84409" TargetMode="External"/><Relationship Id="rId35" Type="http://schemas.openxmlformats.org/officeDocument/2006/relationships/hyperlink" Target="https://www.wipo.int/meetings/en/doc_details.jsp?doc_id=628928" TargetMode="External"/><Relationship Id="rId56" Type="http://schemas.openxmlformats.org/officeDocument/2006/relationships/hyperlink" Target="https://www.wipo.int/publications/en/details.jsp?id=4711" TargetMode="External"/><Relationship Id="rId77" Type="http://schemas.openxmlformats.org/officeDocument/2006/relationships/hyperlink" Target="https://c.connectedviews.com/01/Search/WIPOwebinars?search=ipogreen" TargetMode="External"/><Relationship Id="rId100" Type="http://schemas.openxmlformats.org/officeDocument/2006/relationships/hyperlink" Target="http://www.wipo.int/wipolex" TargetMode="External"/><Relationship Id="rId105" Type="http://schemas.openxmlformats.org/officeDocument/2006/relationships/hyperlink" Target="https://inspire.wipo.int/" TargetMode="External"/><Relationship Id="rId126" Type="http://schemas.openxmlformats.org/officeDocument/2006/relationships/hyperlink" Target="http://www.wipo.int/meetings/en/doc_details.jsp?doc_id=639846" TargetMode="External"/><Relationship Id="rId8" Type="http://schemas.openxmlformats.org/officeDocument/2006/relationships/hyperlink" Target="http://www.wipo.int/meetings/en/doc_details.jsp?doc_id=621473" TargetMode="External"/><Relationship Id="rId51" Type="http://schemas.openxmlformats.org/officeDocument/2006/relationships/hyperlink" Target="http://www.wipo.int/meetings/en/doc_details.jsp?doc_id=272841" TargetMode="External"/><Relationship Id="rId72" Type="http://schemas.openxmlformats.org/officeDocument/2006/relationships/hyperlink" Target="https://www3.wipo.int/wipogreen/en/projects/" TargetMode="External"/><Relationship Id="rId93" Type="http://schemas.openxmlformats.org/officeDocument/2006/relationships/hyperlink" Target="http://www.wipo.int/publications/en/series/index.jsp?id=243" TargetMode="External"/><Relationship Id="rId98" Type="http://schemas.openxmlformats.org/officeDocument/2006/relationships/hyperlink" Target="https://www.cambridge.org/core/books/intellectual-property-innovation-and-economic-inequality/unequal-geographical-distribution-of-innovative-activity/B74A11D5A24E92A882237B67920396EE" TargetMode="External"/><Relationship Id="rId121" Type="http://schemas.openxmlformats.org/officeDocument/2006/relationships/hyperlink" Target="http://www.wipo.int/publications/en/details.jsp?id=4502" TargetMode="External"/><Relationship Id="rId3" Type="http://schemas.openxmlformats.org/officeDocument/2006/relationships/hyperlink" Target="https://www.un.org/ldcportal/content/wipos-graduation-support-package-ldcs" TargetMode="External"/><Relationship Id="rId25" Type="http://schemas.openxmlformats.org/officeDocument/2006/relationships/hyperlink" Target="https://welc.wipo.int/ipedu/" TargetMode="External"/><Relationship Id="rId46" Type="http://schemas.openxmlformats.org/officeDocument/2006/relationships/hyperlink" Target="http://www.wipo.int/meetings/en/doc_details.jsp?doc_id=629272" TargetMode="External"/><Relationship Id="rId67" Type="http://schemas.openxmlformats.org/officeDocument/2006/relationships/hyperlink" Target="https://www.wipo.int/meetings/en/2024/online-branding-bootcamp.html" TargetMode="External"/><Relationship Id="rId116" Type="http://schemas.openxmlformats.org/officeDocument/2006/relationships/hyperlink" Target="http://www.wipo.int/women-inventors/en/index.html" TargetMode="External"/><Relationship Id="rId20" Type="http://schemas.openxmlformats.org/officeDocument/2006/relationships/hyperlink" Target="http://www.wipo.int/meetings/en/doc_details.jsp?doc_id=570471" TargetMode="External"/><Relationship Id="rId41" Type="http://schemas.openxmlformats.org/officeDocument/2006/relationships/hyperlink" Target="http://www.wipo.int/global-awards/en/" TargetMode="External"/><Relationship Id="rId62" Type="http://schemas.openxmlformats.org/officeDocument/2006/relationships/hyperlink" Target="https://www.itu.int/net4/wsis/forum/2024/" TargetMode="External"/><Relationship Id="rId83" Type="http://schemas.openxmlformats.org/officeDocument/2006/relationships/hyperlink" Target="https://www.wipo.int/meetings/en/details.jsp?meeting_id=76108" TargetMode="External"/><Relationship Id="rId88" Type="http://schemas.openxmlformats.org/officeDocument/2006/relationships/hyperlink" Target="https://www.wipo.int/meetings/en/doc_details.jsp?doc_id=628371" TargetMode="External"/><Relationship Id="rId111" Type="http://schemas.openxmlformats.org/officeDocument/2006/relationships/hyperlink" Target="http://www.wipo.int/publications/en/details.jsp?id=4502" TargetMode="External"/><Relationship Id="rId15" Type="http://schemas.openxmlformats.org/officeDocument/2006/relationships/hyperlink" Target="http://www.wipo.int/meetings/en/doc_details.jsp?doc_id=637071" TargetMode="External"/><Relationship Id="rId36" Type="http://schemas.openxmlformats.org/officeDocument/2006/relationships/hyperlink" Target="http://www.wipo.int/meetings/en/doc_details.jsp?doc_id=590831" TargetMode="External"/><Relationship Id="rId57" Type="http://schemas.openxmlformats.org/officeDocument/2006/relationships/hyperlink" Target="https://www.wipo.int/about-ip/en/frontier_technologies/news/2024/news_0002.html" TargetMode="External"/><Relationship Id="rId106" Type="http://schemas.openxmlformats.org/officeDocument/2006/relationships/hyperlink" Target="http://www.wipo.int/tisc/en/" TargetMode="External"/><Relationship Id="rId127" Type="http://schemas.openxmlformats.org/officeDocument/2006/relationships/hyperlink" Target="http://www.wipo.int/meetings/en/doc_details.jsp?doc_id=541373" TargetMode="External"/><Relationship Id="rId10" Type="http://schemas.openxmlformats.org/officeDocument/2006/relationships/hyperlink" Target="http://www.wipo.int/meetings/en/doc_details.jsp?doc_id=387181" TargetMode="External"/><Relationship Id="rId31" Type="http://schemas.openxmlformats.org/officeDocument/2006/relationships/hyperlink" Target="https://www.wipo.int/documents/d/gender/docs-en-iwd-joint-message-2024.pdf" TargetMode="External"/><Relationship Id="rId52" Type="http://schemas.openxmlformats.org/officeDocument/2006/relationships/hyperlink" Target="https://www.wipo.int/en/web/mobile-apps/index" TargetMode="External"/><Relationship Id="rId73" Type="http://schemas.openxmlformats.org/officeDocument/2006/relationships/hyperlink" Target="https://www3.wipo.int/wipogreen/en/projects/" TargetMode="External"/><Relationship Id="rId78" Type="http://schemas.openxmlformats.org/officeDocument/2006/relationships/hyperlink" Target="http://www.wipo.int/respect-for-ip/en/activities/current.html" TargetMode="External"/><Relationship Id="rId94" Type="http://schemas.openxmlformats.org/officeDocument/2006/relationships/hyperlink" Target="https://www.aseanip.org/home/2024/09/20/the-wipo-asean-ip-valuation-project" TargetMode="External"/><Relationship Id="rId99" Type="http://schemas.openxmlformats.org/officeDocument/2006/relationships/hyperlink" Target="https://www.wipo.int/meetings/en/2024/judgesforum2024.html" TargetMode="External"/><Relationship Id="rId101" Type="http://schemas.openxmlformats.org/officeDocument/2006/relationships/hyperlink" Target="http://www.wipo.int/wipolex/en/collections/profile/sep_caselaw" TargetMode="External"/><Relationship Id="rId122" Type="http://schemas.openxmlformats.org/officeDocument/2006/relationships/hyperlink" Target="http://www.wipo.int/meetings/en/doc_details.jsp?doc_id=625184" TargetMode="External"/><Relationship Id="rId4" Type="http://schemas.openxmlformats.org/officeDocument/2006/relationships/hyperlink" Target="https://www.wipo.int/export/sites/www/ip-development/en/agenda/docs/roster-of-topics-on-ip-and-development.pdf" TargetMode="External"/><Relationship Id="rId9" Type="http://schemas.openxmlformats.org/officeDocument/2006/relationships/hyperlink" Target="http://www.wipo.int/ip-development/en/agenda/flexibilities/databa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735F9D62-BA52-4576-A242-16B410B65F39}">
  <ds:schemaRefs>
    <ds:schemaRef ds:uri="b1a73aef-ce8f-442d-a5fc-a13bc475f3fd"/>
    <ds:schemaRef ds:uri="http://www.w3.org/XML/1998/namespace"/>
    <ds:schemaRef ds:uri="http://schemas.microsoft.com/office/2006/documentManagement/types"/>
    <ds:schemaRef ds:uri="http://purl.org/dc/terms/"/>
    <ds:schemaRef ds:uri="781c9f64-295c-457e-9e5f-c4eb841d6909"/>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WO_GA_58 (E).dotm</Template>
  <TotalTime>3</TotalTime>
  <Pages>65</Pages>
  <Words>28822</Words>
  <Characters>164288</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WO/GA/58/7</vt:lpstr>
    </vt:vector>
  </TitlesOfParts>
  <Company>WIPO</Company>
  <LinksUpToDate>false</LinksUpToDate>
  <CharactersWithSpaces>192725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WO/GA/58/7</dc:title>
  <dc:creator>WIPO</dc:creator>
  <cp:keywords>FOR OFFICIAL USE ONLY</cp:keywords>
  <cp:lastModifiedBy>MARIN-CUDRAZ DAVI Nicoletta</cp:lastModifiedBy>
  <cp:revision>5</cp:revision>
  <cp:lastPrinted>2011-02-15T11:56:00Z</cp:lastPrinted>
  <dcterms:created xsi:type="dcterms:W3CDTF">2025-05-18T16:21:00Z</dcterms:created>
  <dcterms:modified xsi:type="dcterms:W3CDTF">2025-05-27T14:15:00Z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