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73BE" w14:textId="77777777" w:rsidR="008B2CC1" w:rsidRPr="008B2CC1" w:rsidRDefault="00873EE5" w:rsidP="00F11D94">
      <w:pPr>
        <w:spacing w:after="120"/>
        <w:jc w:val="right"/>
      </w:pPr>
      <w:r>
        <w:rPr>
          <w:noProof/>
          <w:sz w:val="28"/>
          <w:szCs w:val="28"/>
          <w:lang w:val="fr-CH" w:eastAsia="fr-CH"/>
        </w:rPr>
        <w:drawing>
          <wp:inline distT="0" distB="0" distL="0" distR="0" wp14:anchorId="00B5B1B6" wp14:editId="556F49A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2969E197" wp14:editId="5E00333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0C778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11F871" w14:textId="46D69F5D"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CC5400">
        <w:rPr>
          <w:rFonts w:ascii="Arial Black" w:hAnsi="Arial Black"/>
          <w:caps/>
          <w:sz w:val="15"/>
          <w:szCs w:val="15"/>
        </w:rPr>
        <w:t>8</w:t>
      </w:r>
      <w:r>
        <w:rPr>
          <w:rFonts w:ascii="Arial Black" w:hAnsi="Arial Black"/>
          <w:caps/>
          <w:sz w:val="15"/>
          <w:szCs w:val="15"/>
        </w:rPr>
        <w:t>/</w:t>
      </w:r>
      <w:bookmarkStart w:id="0" w:name="Code"/>
      <w:bookmarkEnd w:id="0"/>
      <w:r w:rsidR="00C54079">
        <w:rPr>
          <w:rFonts w:ascii="Arial Black" w:hAnsi="Arial Black"/>
          <w:caps/>
          <w:sz w:val="15"/>
          <w:szCs w:val="15"/>
        </w:rPr>
        <w:t>1</w:t>
      </w:r>
      <w:r w:rsidR="0063585F">
        <w:rPr>
          <w:rFonts w:ascii="Arial Black" w:hAnsi="Arial Black"/>
          <w:caps/>
          <w:sz w:val="15"/>
          <w:szCs w:val="15"/>
        </w:rPr>
        <w:t>1</w:t>
      </w:r>
    </w:p>
    <w:p w14:paraId="7D74FEA2" w14:textId="526C6A9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C54079">
        <w:rPr>
          <w:rFonts w:ascii="Arial Black" w:hAnsi="Arial Black"/>
          <w:caps/>
          <w:sz w:val="15"/>
          <w:szCs w:val="15"/>
        </w:rPr>
        <w:t xml:space="preserve"> English</w:t>
      </w:r>
    </w:p>
    <w:bookmarkEnd w:id="1"/>
    <w:p w14:paraId="0C598929" w14:textId="37C14344"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C54079">
        <w:rPr>
          <w:rFonts w:ascii="Arial Black" w:hAnsi="Arial Black"/>
          <w:caps/>
          <w:sz w:val="15"/>
          <w:szCs w:val="15"/>
        </w:rPr>
        <w:t>May 7, 2025</w:t>
      </w:r>
    </w:p>
    <w:bookmarkEnd w:id="2"/>
    <w:p w14:paraId="61EFAA8E" w14:textId="77777777" w:rsidR="008B2CC1" w:rsidRPr="003845C1" w:rsidRDefault="00A9118D" w:rsidP="00CE65D4">
      <w:pPr>
        <w:spacing w:after="600"/>
        <w:rPr>
          <w:b/>
          <w:sz w:val="28"/>
          <w:szCs w:val="28"/>
        </w:rPr>
      </w:pPr>
      <w:r w:rsidRPr="00A9118D">
        <w:rPr>
          <w:b/>
          <w:sz w:val="28"/>
          <w:szCs w:val="28"/>
        </w:rPr>
        <w:t>WIPO General Assembly</w:t>
      </w:r>
    </w:p>
    <w:p w14:paraId="426F006C" w14:textId="77777777" w:rsidR="008B2CC1" w:rsidRPr="003845C1" w:rsidRDefault="00801759" w:rsidP="008B2CC1">
      <w:pPr>
        <w:rPr>
          <w:b/>
          <w:sz w:val="24"/>
          <w:szCs w:val="24"/>
        </w:rPr>
      </w:pPr>
      <w:r w:rsidRPr="00A9118D">
        <w:rPr>
          <w:b/>
          <w:sz w:val="24"/>
          <w:szCs w:val="24"/>
        </w:rPr>
        <w:t>Fifty-</w:t>
      </w:r>
      <w:r w:rsidR="00CC5400">
        <w:rPr>
          <w:b/>
          <w:sz w:val="24"/>
          <w:szCs w:val="24"/>
        </w:rPr>
        <w:t>Eight</w:t>
      </w:r>
      <w:r w:rsidR="00A77470">
        <w:rPr>
          <w:b/>
          <w:sz w:val="24"/>
          <w:szCs w:val="24"/>
        </w:rPr>
        <w:t>h</w:t>
      </w:r>
      <w:r w:rsidRPr="00A9118D">
        <w:rPr>
          <w:b/>
          <w:sz w:val="24"/>
          <w:szCs w:val="24"/>
        </w:rPr>
        <w:t xml:space="preserve"> (</w:t>
      </w:r>
      <w:r w:rsidR="00CC5400">
        <w:rPr>
          <w:b/>
          <w:sz w:val="24"/>
          <w:szCs w:val="24"/>
        </w:rPr>
        <w:t>27</w:t>
      </w:r>
      <w:r w:rsidRPr="00A154C3">
        <w:rPr>
          <w:b/>
          <w:sz w:val="24"/>
          <w:szCs w:val="24"/>
          <w:vertAlign w:val="superscript"/>
        </w:rPr>
        <w:t>t</w:t>
      </w:r>
      <w:r w:rsidR="00CC5400">
        <w:rPr>
          <w:b/>
          <w:sz w:val="24"/>
          <w:szCs w:val="24"/>
          <w:vertAlign w:val="superscript"/>
        </w:rPr>
        <w:t>h</w:t>
      </w:r>
      <w:r>
        <w:rPr>
          <w:b/>
          <w:sz w:val="24"/>
          <w:szCs w:val="24"/>
        </w:rPr>
        <w:t xml:space="preserve"> </w:t>
      </w:r>
      <w:r w:rsidR="00CC5400">
        <w:rPr>
          <w:b/>
          <w:sz w:val="24"/>
          <w:szCs w:val="24"/>
        </w:rPr>
        <w:t>O</w:t>
      </w:r>
      <w:r w:rsidRPr="00A9118D">
        <w:rPr>
          <w:b/>
          <w:sz w:val="24"/>
          <w:szCs w:val="24"/>
        </w:rPr>
        <w:t>rdinary</w:t>
      </w:r>
      <w:r w:rsidR="00A9118D" w:rsidRPr="00A9118D">
        <w:rPr>
          <w:b/>
          <w:sz w:val="24"/>
          <w:szCs w:val="24"/>
        </w:rPr>
        <w:t>) Session</w:t>
      </w:r>
    </w:p>
    <w:p w14:paraId="37700C39" w14:textId="77777777" w:rsidR="008B2CC1" w:rsidRPr="009F3BF9" w:rsidRDefault="00A9118D" w:rsidP="00CE65D4">
      <w:pPr>
        <w:spacing w:after="720"/>
      </w:pPr>
      <w:r w:rsidRPr="00A9118D">
        <w:rPr>
          <w:b/>
          <w:sz w:val="24"/>
          <w:szCs w:val="24"/>
        </w:rPr>
        <w:t xml:space="preserve">Geneva, July </w:t>
      </w:r>
      <w:r w:rsidR="00CC5400">
        <w:rPr>
          <w:b/>
          <w:sz w:val="24"/>
          <w:szCs w:val="24"/>
        </w:rPr>
        <w:t>8</w:t>
      </w:r>
      <w:r w:rsidR="00801759" w:rsidRPr="00A9118D">
        <w:rPr>
          <w:b/>
          <w:sz w:val="24"/>
          <w:szCs w:val="24"/>
        </w:rPr>
        <w:t xml:space="preserve"> to </w:t>
      </w:r>
      <w:r w:rsidR="00801759">
        <w:rPr>
          <w:b/>
          <w:sz w:val="24"/>
          <w:szCs w:val="24"/>
        </w:rPr>
        <w:t>17, 202</w:t>
      </w:r>
      <w:r w:rsidR="00CC5400">
        <w:rPr>
          <w:b/>
          <w:sz w:val="24"/>
          <w:szCs w:val="24"/>
        </w:rPr>
        <w:t>5</w:t>
      </w:r>
    </w:p>
    <w:p w14:paraId="6091AA24" w14:textId="1F2D3F00" w:rsidR="008B2CC1" w:rsidRPr="009F3BF9" w:rsidRDefault="00C54079" w:rsidP="00CE65D4">
      <w:pPr>
        <w:spacing w:after="360"/>
        <w:rPr>
          <w:caps/>
          <w:sz w:val="24"/>
        </w:rPr>
      </w:pPr>
      <w:bookmarkStart w:id="3" w:name="TitleOfDoc"/>
      <w:r>
        <w:rPr>
          <w:caps/>
          <w:sz w:val="24"/>
        </w:rPr>
        <w:t>WIPO ARBITRATION AND MEDI</w:t>
      </w:r>
      <w:r w:rsidR="00AF1B65">
        <w:rPr>
          <w:caps/>
          <w:sz w:val="24"/>
        </w:rPr>
        <w:t>A</w:t>
      </w:r>
      <w:r>
        <w:rPr>
          <w:caps/>
          <w:sz w:val="24"/>
        </w:rPr>
        <w:t>TION CENTER, INCLUDING DOMAIN NAMES</w:t>
      </w:r>
    </w:p>
    <w:p w14:paraId="17B7EB92" w14:textId="40C8CC80" w:rsidR="00C54079" w:rsidRPr="006F6660" w:rsidRDefault="00C54079" w:rsidP="00C54079">
      <w:pPr>
        <w:spacing w:after="960"/>
        <w:rPr>
          <w:i/>
        </w:rPr>
      </w:pPr>
      <w:bookmarkStart w:id="4" w:name="Prepared"/>
      <w:bookmarkEnd w:id="3"/>
      <w:r>
        <w:rPr>
          <w:i/>
        </w:rPr>
        <w:t>Document prepared by the Secretariat</w:t>
      </w:r>
      <w:bookmarkEnd w:id="4"/>
    </w:p>
    <w:p w14:paraId="05D4F7DD" w14:textId="079A6619" w:rsidR="00C54079" w:rsidRPr="006F6660" w:rsidRDefault="00C54079" w:rsidP="00C54079">
      <w:pPr>
        <w:pStyle w:val="ListParagraph"/>
        <w:spacing w:after="240"/>
        <w:ind w:left="0"/>
        <w:rPr>
          <w:rFonts w:eastAsia="SimSun" w:cs="Arial"/>
        </w:rPr>
      </w:pPr>
      <w:r w:rsidRPr="3B768E39">
        <w:rPr>
          <w:rFonts w:cs="Arial"/>
          <w:snapToGrid w:val="0"/>
        </w:rPr>
        <w:t>1.</w:t>
      </w:r>
      <w:r>
        <w:rPr>
          <w:rFonts w:cs="Arial"/>
          <w:snapToGrid w:val="0"/>
          <w:szCs w:val="22"/>
        </w:rPr>
        <w:tab/>
      </w:r>
      <w:r w:rsidRPr="3B768E39">
        <w:rPr>
          <w:rFonts w:cs="Arial"/>
          <w:snapToGrid w:val="0"/>
        </w:rPr>
        <w:t xml:space="preserve">The WIPO Arbitration and Mediation Center (Center) </w:t>
      </w:r>
      <w:r w:rsidR="00FA6D6D" w:rsidRPr="00FA6D6D">
        <w:rPr>
          <w:rFonts w:cs="Arial"/>
          <w:snapToGrid w:val="0"/>
        </w:rPr>
        <w:t xml:space="preserve">leads WIPO’s efforts to provide avenues for alternative dispute resolution of IP disputes around the world, as part of WIPO’s support for Member States to strengthen and develop their intellectual property (IP), innovation and creative ecosystems.  </w:t>
      </w:r>
    </w:p>
    <w:p w14:paraId="5635991F" w14:textId="77777777" w:rsidR="00C54079" w:rsidRDefault="00C54079" w:rsidP="00C54079">
      <w:pPr>
        <w:spacing w:after="240"/>
        <w:rPr>
          <w:snapToGrid w:val="0"/>
          <w:szCs w:val="22"/>
        </w:rPr>
      </w:pPr>
      <w:r>
        <w:rPr>
          <w:snapToGrid w:val="0"/>
          <w:szCs w:val="22"/>
        </w:rPr>
        <w:t>2.</w:t>
      </w:r>
      <w:r>
        <w:rPr>
          <w:snapToGrid w:val="0"/>
          <w:szCs w:val="22"/>
        </w:rPr>
        <w:tab/>
      </w:r>
      <w:r w:rsidRPr="005D7022">
        <w:rPr>
          <w:snapToGrid w:val="0"/>
          <w:szCs w:val="22"/>
        </w:rPr>
        <w:t>Within this framework, the present document provides an update on the Center</w:t>
      </w:r>
      <w:r>
        <w:rPr>
          <w:snapToGrid w:val="0"/>
          <w:szCs w:val="22"/>
        </w:rPr>
        <w:t>’</w:t>
      </w:r>
      <w:r w:rsidRPr="005D7022">
        <w:rPr>
          <w:snapToGrid w:val="0"/>
          <w:szCs w:val="22"/>
        </w:rPr>
        <w:t xml:space="preserve">s </w:t>
      </w:r>
      <w:r w:rsidRPr="005D7022">
        <w:rPr>
          <w:snapToGrid w:val="0"/>
        </w:rPr>
        <w:t xml:space="preserve">activities as an international resource </w:t>
      </w:r>
      <w:r w:rsidRPr="005D7022">
        <w:rPr>
          <w:snapToGrid w:val="0"/>
          <w:szCs w:val="22"/>
        </w:rPr>
        <w:t>for time- and cost-efficient alternatives to court litigation of IP and technology disputes, acting as an administrator of cases as well as a provider of legal and technology-related expertise in alternative dispute resolution (ADR).</w:t>
      </w:r>
    </w:p>
    <w:p w14:paraId="6140312C" w14:textId="20F68E4F" w:rsidR="00C54079" w:rsidRPr="005D7022" w:rsidRDefault="00C54079" w:rsidP="00C54079">
      <w:pPr>
        <w:spacing w:after="240"/>
        <w:rPr>
          <w:b/>
          <w:bCs/>
          <w:caps/>
        </w:rPr>
      </w:pPr>
      <w:r w:rsidRPr="546F7EB4">
        <w:rPr>
          <w:snapToGrid w:val="0"/>
        </w:rPr>
        <w:t>3.</w:t>
      </w:r>
      <w:r>
        <w:rPr>
          <w:snapToGrid w:val="0"/>
          <w:szCs w:val="22"/>
        </w:rPr>
        <w:tab/>
      </w:r>
      <w:r w:rsidRPr="005D7022">
        <w:rPr>
          <w:snapToGrid w:val="0"/>
        </w:rPr>
        <w:t xml:space="preserve">This document also provides an update on </w:t>
      </w:r>
      <w:r w:rsidRPr="005C45C3">
        <w:rPr>
          <w:snapToGrid w:val="0"/>
        </w:rPr>
        <w:t xml:space="preserve">the domain name-related activities of WIPO, as previously reported in document </w:t>
      </w:r>
      <w:hyperlink r:id="rId12" w:history="1">
        <w:r w:rsidRPr="005C45C3">
          <w:rPr>
            <w:rStyle w:val="Hyperlink"/>
            <w:snapToGrid w:val="0"/>
          </w:rPr>
          <w:t>WO/GA/57/10</w:t>
        </w:r>
      </w:hyperlink>
      <w:r w:rsidRPr="005C45C3">
        <w:rPr>
          <w:snapToGrid w:val="0"/>
        </w:rPr>
        <w:t>.  It covers</w:t>
      </w:r>
      <w:r w:rsidRPr="005D7022">
        <w:rPr>
          <w:snapToGrid w:val="0"/>
        </w:rPr>
        <w:t xml:space="preserve"> the Center</w:t>
      </w:r>
      <w:r>
        <w:rPr>
          <w:snapToGrid w:val="0"/>
        </w:rPr>
        <w:t>’</w:t>
      </w:r>
      <w:r w:rsidRPr="005D7022">
        <w:rPr>
          <w:snapToGrid w:val="0"/>
        </w:rPr>
        <w:t>s administration of domain name disputes</w:t>
      </w:r>
      <w:r w:rsidRPr="546F7EB4">
        <w:rPr>
          <w:snapToGrid w:val="0"/>
        </w:rPr>
        <w:t xml:space="preserve"> under different policies and various related aspects of the Internet Domain Name System (DNS), as well as selected policy developments, including rights protection mechanisms (RPMs) for the introduction of new generic</w:t>
      </w:r>
      <w:r w:rsidRPr="005D7022">
        <w:rPr>
          <w:snapToGrid w:val="0"/>
          <w:szCs w:val="22"/>
        </w:rPr>
        <w:t xml:space="preserve"> </w:t>
      </w:r>
      <w:r w:rsidR="004512B4">
        <w:rPr>
          <w:snapToGrid w:val="0"/>
        </w:rPr>
        <w:t>t</w:t>
      </w:r>
      <w:r w:rsidRPr="546F7EB4">
        <w:rPr>
          <w:snapToGrid w:val="0"/>
        </w:rPr>
        <w:t>op-</w:t>
      </w:r>
      <w:r w:rsidR="004512B4">
        <w:rPr>
          <w:snapToGrid w:val="0"/>
        </w:rPr>
        <w:t>l</w:t>
      </w:r>
      <w:r w:rsidRPr="546F7EB4">
        <w:rPr>
          <w:snapToGrid w:val="0"/>
        </w:rPr>
        <w:t>evel</w:t>
      </w:r>
      <w:r w:rsidR="00AE03E7">
        <w:rPr>
          <w:snapToGrid w:val="0"/>
        </w:rPr>
        <w:t xml:space="preserve"> </w:t>
      </w:r>
      <w:r w:rsidR="004512B4">
        <w:rPr>
          <w:snapToGrid w:val="0"/>
        </w:rPr>
        <w:t>d</w:t>
      </w:r>
      <w:r w:rsidRPr="546F7EB4">
        <w:rPr>
          <w:snapToGrid w:val="0"/>
        </w:rPr>
        <w:t>omains (gTLDs), the impending review by the Internet Corporation for Assigned Names and Numbers (ICANN) of the Uniform Domain Name Dispute Resolution Policy (UDRP) and other RPMs, and the status of the recommendations made by the Member States of WIPO in the context of the Second WIPO Internet Domain Name Process.</w:t>
      </w:r>
      <w:r w:rsidRPr="005D7022">
        <w:br w:type="page"/>
      </w:r>
    </w:p>
    <w:p w14:paraId="76AB48F0" w14:textId="77777777" w:rsidR="00C54079" w:rsidRPr="006F6660" w:rsidRDefault="00C54079" w:rsidP="00C54079">
      <w:pPr>
        <w:pStyle w:val="Heading2"/>
        <w:keepNext w:val="0"/>
        <w:widowControl w:val="0"/>
        <w:spacing w:after="220"/>
      </w:pPr>
      <w:r w:rsidRPr="006F6660">
        <w:lastRenderedPageBreak/>
        <w:t>I.</w:t>
      </w:r>
      <w:r w:rsidRPr="006F6660">
        <w:tab/>
        <w:t>MEDIATION and ARBITRATION OF IP DISPUTES</w:t>
      </w:r>
    </w:p>
    <w:p w14:paraId="241A04DE" w14:textId="77777777" w:rsidR="00C54079" w:rsidRPr="006F6660" w:rsidRDefault="00C54079" w:rsidP="00C54079">
      <w:pPr>
        <w:pStyle w:val="Heading2"/>
        <w:spacing w:after="220"/>
        <w:ind w:left="547"/>
      </w:pPr>
      <w:r w:rsidRPr="006F6660">
        <w:t>A.</w:t>
      </w:r>
      <w:r w:rsidRPr="006F6660">
        <w:tab/>
        <w:t>CASE ADMINISTRATION</w:t>
      </w:r>
    </w:p>
    <w:p w14:paraId="15397EDC" w14:textId="3852931D" w:rsidR="00C54079" w:rsidRPr="005D7022" w:rsidRDefault="00C54079" w:rsidP="00C54079">
      <w:pPr>
        <w:spacing w:after="240"/>
      </w:pPr>
      <w:r w:rsidRPr="5479E9A9">
        <w:rPr>
          <w:snapToGrid w:val="0"/>
        </w:rPr>
        <w:t>4.</w:t>
      </w:r>
      <w:r>
        <w:rPr>
          <w:snapToGrid w:val="0"/>
          <w:szCs w:val="22"/>
        </w:rPr>
        <w:tab/>
      </w:r>
      <w:r w:rsidRPr="5479E9A9">
        <w:rPr>
          <w:snapToGrid w:val="0"/>
        </w:rPr>
        <w:t>In 2024, the Center was involved in the resolution of 858 IP, innovation, and technology disputes.</w:t>
      </w:r>
      <w:r>
        <w:rPr>
          <w:snapToGrid w:val="0"/>
          <w:szCs w:val="22"/>
        </w:rPr>
        <w:t xml:space="preserve">  </w:t>
      </w:r>
      <w:r w:rsidRPr="5479E9A9">
        <w:rPr>
          <w:snapToGrid w:val="0"/>
        </w:rPr>
        <w:t xml:space="preserve">This represents a 25 per cent increase from </w:t>
      </w:r>
      <w:r w:rsidRPr="00CF2ADB">
        <w:rPr>
          <w:snapToGrid w:val="0"/>
        </w:rPr>
        <w:t>2023</w:t>
      </w:r>
      <w:r w:rsidRPr="5479E9A9">
        <w:rPr>
          <w:snapToGrid w:val="0"/>
        </w:rPr>
        <w:t xml:space="preserve"> </w:t>
      </w:r>
      <w:r w:rsidRPr="00747C43">
        <w:rPr>
          <w:snapToGrid w:val="0"/>
        </w:rPr>
        <w:t>and a 370</w:t>
      </w:r>
      <w:r w:rsidRPr="00747C43" w:rsidDel="001F1F47">
        <w:t> per cent</w:t>
      </w:r>
      <w:r w:rsidRPr="00747C43">
        <w:t xml:space="preserve"> </w:t>
      </w:r>
      <w:r w:rsidR="00ED4900">
        <w:t xml:space="preserve">increase </w:t>
      </w:r>
      <w:r w:rsidRPr="00747C43">
        <w:t xml:space="preserve">over </w:t>
      </w:r>
      <w:r w:rsidRPr="00747C43" w:rsidDel="00C742B2">
        <w:t xml:space="preserve">the last </w:t>
      </w:r>
      <w:r w:rsidRPr="00747C43" w:rsidDel="002E326E">
        <w:t>five</w:t>
      </w:r>
      <w:r w:rsidRPr="00747C43" w:rsidDel="00C742B2">
        <w:t xml:space="preserve"> years</w:t>
      </w:r>
      <w:r w:rsidRPr="00747C43">
        <w:rPr>
          <w:snapToGrid w:val="0"/>
        </w:rPr>
        <w:t>.  These disputes were referred to the Center under the WIPO</w:t>
      </w:r>
      <w:r w:rsidRPr="5479E9A9">
        <w:rPr>
          <w:snapToGrid w:val="0"/>
        </w:rPr>
        <w:t xml:space="preserve"> Mediation, Arbitration, Expedited Arbitration, or Expert Determination Rules, and Good Offices</w:t>
      </w:r>
      <w:r>
        <w:t xml:space="preserve"> (WIPO ADR Rules</w:t>
      </w:r>
      <w:r w:rsidRPr="00CF2ADB">
        <w:rPr>
          <w:snapToGrid w:val="0"/>
        </w:rPr>
        <w:t>),</w:t>
      </w:r>
      <w:r w:rsidRPr="5479E9A9">
        <w:rPr>
          <w:snapToGrid w:val="0"/>
        </w:rPr>
        <w:t xml:space="preserve"> as well as its co</w:t>
      </w:r>
      <w:r>
        <w:rPr>
          <w:snapToGrid w:val="0"/>
          <w:szCs w:val="22"/>
        </w:rPr>
        <w:noBreakHyphen/>
      </w:r>
      <w:r w:rsidRPr="5479E9A9">
        <w:rPr>
          <w:snapToGrid w:val="0"/>
        </w:rPr>
        <w:t>administration schemes with national IP and copyright offices and courts.</w:t>
      </w:r>
    </w:p>
    <w:p w14:paraId="59C478F7" w14:textId="77777777" w:rsidR="00C54079" w:rsidRPr="00A07643" w:rsidRDefault="00C54079" w:rsidP="00C54079">
      <w:pPr>
        <w:pStyle w:val="Heading3"/>
        <w:spacing w:after="220"/>
        <w:ind w:left="1166"/>
        <w:rPr>
          <w:rStyle w:val="FootnoteReference"/>
          <w:u w:val="none"/>
        </w:rPr>
      </w:pPr>
      <w:r w:rsidRPr="006270CE">
        <w:rPr>
          <w:u w:val="none"/>
        </w:rPr>
        <w:t>(a)</w:t>
      </w:r>
      <w:r w:rsidRPr="006270CE">
        <w:rPr>
          <w:u w:val="none"/>
        </w:rPr>
        <w:tab/>
      </w:r>
      <w:bookmarkStart w:id="5" w:name="_Hlk190866936"/>
      <w:r w:rsidRPr="004B4BD9">
        <w:t>WIPO Mediation, Arbitration, Expert Determination, and Good Offices</w:t>
      </w:r>
      <w:bookmarkEnd w:id="5"/>
    </w:p>
    <w:p w14:paraId="61617AAA" w14:textId="6DC6D764" w:rsidR="00C54079" w:rsidRDefault="00C54079" w:rsidP="00C54079">
      <w:pPr>
        <w:pStyle w:val="ListParagraph"/>
        <w:widowControl w:val="0"/>
        <w:shd w:val="clear" w:color="auto" w:fill="FFFFFF" w:themeFill="background1"/>
        <w:spacing w:after="240"/>
        <w:ind w:left="0"/>
        <w:rPr>
          <w:shd w:val="clear" w:color="auto" w:fill="FFFFFF" w:themeFill="background1"/>
        </w:rPr>
      </w:pPr>
      <w:r w:rsidRPr="006F6660">
        <w:t>5.</w:t>
      </w:r>
      <w:r>
        <w:tab/>
      </w:r>
      <w:r w:rsidRPr="006F6660">
        <w:t>The mediation, arbitration and expert determination procedures offered by the Center aim to meet parties</w:t>
      </w:r>
      <w:r>
        <w:t>’</w:t>
      </w:r>
      <w:r w:rsidRPr="006F6660">
        <w:t xml:space="preserve"> needs for time- and cost</w:t>
      </w:r>
      <w:r>
        <w:t>-</w:t>
      </w:r>
      <w:r w:rsidRPr="006F6660">
        <w:t xml:space="preserve">effectiveness in the resolution of IP and technology disputes. </w:t>
      </w:r>
      <w:r>
        <w:t xml:space="preserve"> </w:t>
      </w:r>
      <w:r w:rsidRPr="006F6660">
        <w:t xml:space="preserve">The Center is engaged in the management of cases under those procedures, which includes </w:t>
      </w:r>
      <w:r w:rsidRPr="008B5273">
        <w:t>procedural guidance</w:t>
      </w:r>
      <w:r w:rsidRPr="006F6660">
        <w:t>,</w:t>
      </w:r>
      <w:r w:rsidRPr="006F6660">
        <w:rPr>
          <w:rStyle w:val="FootnoteReference"/>
        </w:rPr>
        <w:footnoteReference w:id="2"/>
      </w:r>
      <w:r w:rsidRPr="006F6660">
        <w:t xml:space="preserve"> </w:t>
      </w:r>
      <w:r w:rsidRPr="008B5273">
        <w:t>training</w:t>
      </w:r>
      <w:r w:rsidRPr="006F6660">
        <w:t>,</w:t>
      </w:r>
      <w:r w:rsidRPr="006F6660">
        <w:rPr>
          <w:rStyle w:val="FootnoteReference"/>
          <w:rFonts w:eastAsia="SimSun"/>
        </w:rPr>
        <w:footnoteReference w:id="3"/>
      </w:r>
      <w:r w:rsidRPr="006F6660">
        <w:t xml:space="preserve"> appointing and supporting qualified mediators,</w:t>
      </w:r>
      <w:r>
        <w:t xml:space="preserve"> </w:t>
      </w:r>
      <w:r w:rsidRPr="006F6660">
        <w:t>arbitrators, and experts, and maintaining up</w:t>
      </w:r>
      <w:r>
        <w:t>-</w:t>
      </w:r>
      <w:r w:rsidRPr="006F6660">
        <w:t>to</w:t>
      </w:r>
      <w:r w:rsidRPr="006F6660">
        <w:noBreakHyphen/>
        <w:t>date case infrastructure.</w:t>
      </w:r>
      <w:r>
        <w:t xml:space="preserve"> </w:t>
      </w:r>
      <w:r w:rsidRPr="006F6660">
        <w:t xml:space="preserve"> Cases are filed with the Center based on a prior contract clause or, increasingly, a post-dispute submission agreement</w:t>
      </w:r>
      <w:r>
        <w:t xml:space="preserve"> </w:t>
      </w:r>
      <w:r w:rsidRPr="006F6660">
        <w:t xml:space="preserve">(including court referrals), and also by unilateral request under </w:t>
      </w:r>
      <w:hyperlink r:id="rId13" w:history="1">
        <w:r w:rsidRPr="009E1257">
          <w:rPr>
            <w:rStyle w:val="Hyperlink"/>
          </w:rPr>
          <w:t>Article 4 of the WIPO Mediation Rules</w:t>
        </w:r>
      </w:hyperlink>
      <w:r w:rsidRPr="006F6660">
        <w:t>.</w:t>
      </w:r>
      <w:r w:rsidRPr="006F6660">
        <w:rPr>
          <w:rStyle w:val="FootnoteReference"/>
        </w:rPr>
        <w:footnoteReference w:id="4"/>
      </w:r>
      <w:r w:rsidRPr="006B70E3">
        <w:rPr>
          <w:shd w:val="clear" w:color="auto" w:fill="FFFFFF" w:themeFill="background1"/>
        </w:rPr>
        <w:t xml:space="preserve"> </w:t>
      </w:r>
    </w:p>
    <w:p w14:paraId="73ABAAEA" w14:textId="77777777" w:rsidR="00C54079" w:rsidRDefault="00C54079" w:rsidP="00C54079">
      <w:pPr>
        <w:pStyle w:val="ListParagraph"/>
        <w:widowControl w:val="0"/>
        <w:shd w:val="clear" w:color="auto" w:fill="FFFFFF" w:themeFill="background1"/>
        <w:spacing w:after="240"/>
        <w:ind w:left="0"/>
        <w:rPr>
          <w:shd w:val="clear" w:color="auto" w:fill="FFFFFF" w:themeFill="background1"/>
        </w:rPr>
      </w:pPr>
    </w:p>
    <w:p w14:paraId="1BC8C713" w14:textId="7F640AE2" w:rsidR="00C54079" w:rsidRDefault="00C54079" w:rsidP="008264FB">
      <w:pPr>
        <w:pStyle w:val="ListParagraph"/>
        <w:numPr>
          <w:ilvl w:val="0"/>
          <w:numId w:val="7"/>
        </w:numPr>
        <w:spacing w:after="160"/>
        <w:ind w:left="0" w:firstLine="0"/>
      </w:pPr>
      <w:r w:rsidRPr="002C0202">
        <w:t>In 2024</w:t>
      </w:r>
      <w:r w:rsidRPr="006F6660">
        <w:t xml:space="preserve">, </w:t>
      </w:r>
      <w:r w:rsidRPr="00CF3732">
        <w:t>287 disputes</w:t>
      </w:r>
      <w:r w:rsidRPr="00120330">
        <w:t xml:space="preserve"> were referred to procedures under the WIPO ADR Rules covering a wide spectrum of IP areas, including copyright and digital content (48</w:t>
      </w:r>
      <w:r w:rsidR="004C06B6">
        <w:t> </w:t>
      </w:r>
      <w:r>
        <w:t>per cent</w:t>
      </w:r>
      <w:r w:rsidRPr="00120330">
        <w:t>), trademarks (29</w:t>
      </w:r>
      <w:r w:rsidR="004C06B6">
        <w:t> </w:t>
      </w:r>
      <w:r>
        <w:t>per</w:t>
      </w:r>
      <w:r w:rsidR="004C06B6">
        <w:t> </w:t>
      </w:r>
      <w:r>
        <w:t>cent</w:t>
      </w:r>
      <w:r w:rsidRPr="00120330">
        <w:t>), and patents (10</w:t>
      </w:r>
      <w:r w:rsidR="004C06B6">
        <w:t> </w:t>
      </w:r>
      <w:r>
        <w:t>per</w:t>
      </w:r>
      <w:r w:rsidR="004C06B6">
        <w:t> </w:t>
      </w:r>
      <w:r>
        <w:t>cent)</w:t>
      </w:r>
      <w:r w:rsidRPr="00120330">
        <w:t>.</w:t>
      </w:r>
      <w:r>
        <w:t xml:space="preserve">  S</w:t>
      </w:r>
      <w:r w:rsidRPr="006F6660">
        <w:t>mall and medium-sized enterprises (SMEs),</w:t>
      </w:r>
      <w:r w:rsidRPr="00BD25EB">
        <w:rPr>
          <w:vertAlign w:val="superscript"/>
        </w:rPr>
        <w:footnoteReference w:id="5"/>
      </w:r>
      <w:r w:rsidRPr="00BD25EB">
        <w:rPr>
          <w:vertAlign w:val="superscript"/>
        </w:rPr>
        <w:t xml:space="preserve"> </w:t>
      </w:r>
      <w:r w:rsidRPr="00120330">
        <w:t>including startups, creators, and innovators, accounted for 50</w:t>
      </w:r>
      <w:r>
        <w:t xml:space="preserve"> per cent of the parties in dispute.  </w:t>
      </w:r>
      <w:r w:rsidRPr="00120330">
        <w:t>This was followed by large-sized companies (37</w:t>
      </w:r>
      <w:r w:rsidR="004C06B6">
        <w:t> </w:t>
      </w:r>
      <w:r>
        <w:t>per</w:t>
      </w:r>
      <w:r w:rsidR="004C06B6">
        <w:t> </w:t>
      </w:r>
      <w:r>
        <w:t>cent</w:t>
      </w:r>
      <w:r w:rsidRPr="00120330">
        <w:t>), and other entities such as</w:t>
      </w:r>
      <w:r w:rsidRPr="006F6660">
        <w:t xml:space="preserve"> collective management organizations (CMOs), </w:t>
      </w:r>
      <w:r w:rsidRPr="00120330">
        <w:t xml:space="preserve">universities, and </w:t>
      </w:r>
      <w:r>
        <w:t>r</w:t>
      </w:r>
      <w:r w:rsidRPr="002C0202">
        <w:t xml:space="preserve">esearch and </w:t>
      </w:r>
      <w:r>
        <w:t>d</w:t>
      </w:r>
      <w:r w:rsidRPr="002C0202">
        <w:t xml:space="preserve">evelopment </w:t>
      </w:r>
      <w:r>
        <w:t>(</w:t>
      </w:r>
      <w:r w:rsidRPr="00120330">
        <w:t>R&amp;D</w:t>
      </w:r>
      <w:r>
        <w:t>)</w:t>
      </w:r>
      <w:r w:rsidRPr="00120330">
        <w:t xml:space="preserve"> centers.</w:t>
      </w:r>
      <w:r>
        <w:t xml:space="preserve">  Parties in dispute came</w:t>
      </w:r>
      <w:r w:rsidRPr="006F6660">
        <w:t xml:space="preserve"> from </w:t>
      </w:r>
      <w:r w:rsidRPr="052011B5">
        <w:t>62</w:t>
      </w:r>
      <w:r w:rsidRPr="006F6660">
        <w:t xml:space="preserve"> countries </w:t>
      </w:r>
      <w:r w:rsidR="009E1257">
        <w:t>across the globe.</w:t>
      </w:r>
      <w:r>
        <w:t xml:space="preserve">  </w:t>
      </w:r>
    </w:p>
    <w:p w14:paraId="0089E552" w14:textId="77777777" w:rsidR="00C54079" w:rsidRDefault="00C54079" w:rsidP="00C54079">
      <w:pPr>
        <w:pStyle w:val="ListParagraph"/>
      </w:pPr>
    </w:p>
    <w:p w14:paraId="5AB1DECE" w14:textId="4FE5E4BC" w:rsidR="00914D44" w:rsidRPr="00054537" w:rsidRDefault="00914D44" w:rsidP="00914D44">
      <w:pPr>
        <w:pStyle w:val="ListParagraph"/>
        <w:numPr>
          <w:ilvl w:val="0"/>
          <w:numId w:val="7"/>
        </w:numPr>
        <w:spacing w:after="160"/>
        <w:ind w:left="0" w:firstLine="0"/>
      </w:pPr>
      <w:r>
        <w:t xml:space="preserve">The main business sectors involved in disputes under the WIPO ADR Rules </w:t>
      </w:r>
      <w:r w:rsidRPr="00120330">
        <w:t xml:space="preserve">included creative industries (collective management, video games and esports, entertainment, software). </w:t>
      </w:r>
      <w:r>
        <w:t xml:space="preserve"> </w:t>
      </w:r>
      <w:r w:rsidRPr="00120330">
        <w:t>Other sectors involved were information and communication technology (</w:t>
      </w:r>
      <w:r>
        <w:t>standard essential patents (SEP)/fair reasonable and non-discriminatory (</w:t>
      </w:r>
      <w:r w:rsidRPr="002C0202">
        <w:t>FRAND</w:t>
      </w:r>
      <w:r>
        <w:t>)</w:t>
      </w:r>
      <w:r w:rsidRPr="002C0202">
        <w:t xml:space="preserve"> determinations</w:t>
      </w:r>
      <w:r w:rsidRPr="00120330">
        <w:t xml:space="preserve">, telecommunications), life sciences (biotechnology and pharmaceuticals), fashion (luxury goods), and </w:t>
      </w:r>
      <w:r w:rsidR="00ED4900">
        <w:t>r</w:t>
      </w:r>
      <w:r w:rsidR="00ED4900" w:rsidRPr="002C0202">
        <w:t xml:space="preserve">esearch and </w:t>
      </w:r>
      <w:r w:rsidR="00ED4900">
        <w:t>d</w:t>
      </w:r>
      <w:r w:rsidR="00ED4900" w:rsidRPr="002C0202">
        <w:t>evelopment</w:t>
      </w:r>
      <w:r w:rsidR="00ED4900" w:rsidRPr="00120330">
        <w:t xml:space="preserve"> </w:t>
      </w:r>
      <w:r w:rsidR="00ED4900">
        <w:t>(</w:t>
      </w:r>
      <w:r w:rsidRPr="00120330">
        <w:t>R&amp;D</w:t>
      </w:r>
      <w:r w:rsidR="00ED4900">
        <w:t>)</w:t>
      </w:r>
      <w:r w:rsidRPr="00120330">
        <w:t xml:space="preserve">/green </w:t>
      </w:r>
      <w:r w:rsidRPr="00525553">
        <w:t>technology.</w:t>
      </w:r>
      <w:r>
        <w:t xml:space="preserve">  Such c</w:t>
      </w:r>
      <w:r w:rsidRPr="002C0202">
        <w:t xml:space="preserve">ases involved </w:t>
      </w:r>
      <w:r w:rsidRPr="00D376C1">
        <w:t>copyright</w:t>
      </w:r>
      <w:r>
        <w:t>, patent</w:t>
      </w:r>
      <w:r w:rsidRPr="00D376C1">
        <w:t xml:space="preserve"> and trademark infringement, </w:t>
      </w:r>
      <w:r w:rsidRPr="002C0202">
        <w:t xml:space="preserve">R&amp;D agreements, </w:t>
      </w:r>
      <w:r w:rsidRPr="00A32EEE">
        <w:rPr>
          <w:szCs w:val="18"/>
          <w:shd w:val="clear" w:color="auto" w:fill="FFFFFF" w:themeFill="background1"/>
        </w:rPr>
        <w:t>breach of contract, royalty adjustments and payments, trademark co-existence agreements</w:t>
      </w:r>
      <w:r>
        <w:rPr>
          <w:szCs w:val="18"/>
          <w:shd w:val="clear" w:color="auto" w:fill="FFFFFF" w:themeFill="background1"/>
        </w:rPr>
        <w:t>,</w:t>
      </w:r>
      <w:r w:rsidRPr="002C0202">
        <w:t xml:space="preserve"> patent licensing agreements including </w:t>
      </w:r>
      <w:r>
        <w:t>SEP</w:t>
      </w:r>
      <w:r w:rsidRPr="00525553">
        <w:t>/</w:t>
      </w:r>
      <w:r w:rsidRPr="002C0202">
        <w:t xml:space="preserve">FRAND determinations, life sciences development and distribution agreements, </w:t>
      </w:r>
      <w:r w:rsidRPr="00A32EEE">
        <w:rPr>
          <w:szCs w:val="18"/>
          <w:shd w:val="clear" w:color="auto" w:fill="FFFFFF" w:themeFill="background1"/>
        </w:rPr>
        <w:t xml:space="preserve">removal of content from online platforms, </w:t>
      </w:r>
      <w:r w:rsidR="000B20D3">
        <w:rPr>
          <w:szCs w:val="18"/>
          <w:shd w:val="clear" w:color="auto" w:fill="FFFFFF" w:themeFill="background1"/>
        </w:rPr>
        <w:t xml:space="preserve">requests for </w:t>
      </w:r>
      <w:r w:rsidRPr="00A32EEE">
        <w:rPr>
          <w:szCs w:val="18"/>
          <w:shd w:val="clear" w:color="auto" w:fill="FFFFFF" w:themeFill="background1"/>
        </w:rPr>
        <w:t>specific performance, damage claims, trademark oppositions pending before IP offices</w:t>
      </w:r>
      <w:r w:rsidRPr="002C0202">
        <w:t xml:space="preserve">, geographical indications, software development and licensing, </w:t>
      </w:r>
      <w:r w:rsidRPr="00D376C1">
        <w:t xml:space="preserve">and </w:t>
      </w:r>
      <w:r w:rsidRPr="002C0202">
        <w:t>IP valuation</w:t>
      </w:r>
      <w:r w:rsidRPr="00525553">
        <w:t>.</w:t>
      </w:r>
    </w:p>
    <w:p w14:paraId="3B9934B3" w14:textId="77777777" w:rsidR="00C54079" w:rsidRPr="00054537" w:rsidRDefault="00C54079" w:rsidP="00C54079">
      <w:pPr>
        <w:pStyle w:val="ListParagraph"/>
        <w:spacing w:after="160"/>
        <w:ind w:left="0"/>
      </w:pPr>
    </w:p>
    <w:p w14:paraId="7F8789AB" w14:textId="1330C3F6" w:rsidR="00C54079" w:rsidRPr="005C45C3" w:rsidRDefault="00C54079" w:rsidP="00C54079">
      <w:pPr>
        <w:pStyle w:val="ListParagraph"/>
        <w:numPr>
          <w:ilvl w:val="0"/>
          <w:numId w:val="7"/>
        </w:numPr>
        <w:spacing w:after="160"/>
        <w:ind w:left="0" w:firstLine="0"/>
        <w:rPr>
          <w:rFonts w:cs="Arial"/>
          <w:shd w:val="clear" w:color="auto" w:fill="FFFFFF" w:themeFill="background1"/>
        </w:rPr>
      </w:pPr>
      <w:r>
        <w:t xml:space="preserve">The Center undertook initiatives to further streamline the conduct of WIPO ADR proceedings.  To add efficiency to their arbitration proceedings, many parties used the Center’s </w:t>
      </w:r>
      <w:r>
        <w:lastRenderedPageBreak/>
        <w:t>enhanced</w:t>
      </w:r>
      <w:r w:rsidR="00BD25EB">
        <w:t xml:space="preserve"> </w:t>
      </w:r>
      <w:hyperlink r:id="rId14" w:history="1">
        <w:r w:rsidR="00BD25EB" w:rsidRPr="00BD25EB">
          <w:rPr>
            <w:rStyle w:val="Hyperlink"/>
          </w:rPr>
          <w:t xml:space="preserve">WIPO </w:t>
        </w:r>
        <w:proofErr w:type="spellStart"/>
        <w:r w:rsidR="00BD25EB" w:rsidRPr="00BD25EB">
          <w:rPr>
            <w:rStyle w:val="Hyperlink"/>
          </w:rPr>
          <w:t>eADR</w:t>
        </w:r>
        <w:proofErr w:type="spellEnd"/>
      </w:hyperlink>
      <w:r>
        <w:t xml:space="preserve"> electronic case facility.</w:t>
      </w:r>
      <w:r w:rsidRPr="546F7EB4">
        <w:rPr>
          <w:vertAlign w:val="superscript"/>
        </w:rPr>
        <w:footnoteReference w:id="6"/>
      </w:r>
      <w:r>
        <w:t xml:space="preserve">  In addition, most arbitration hearings and mediation meetings continued to be conducted remotely or in hybrid format using WIPO-hosted facilities and support.  </w:t>
      </w:r>
      <w:r w:rsidRPr="005C45C3">
        <w:rPr>
          <w:rFonts w:cs="Arial"/>
        </w:rPr>
        <w:t xml:space="preserve">To assist parties and neutrals in the preparation of such remote meetings and hearings, the Center continued to update the </w:t>
      </w:r>
      <w:hyperlink r:id="rId15" w:history="1">
        <w:r w:rsidRPr="005C45C3">
          <w:rPr>
            <w:rStyle w:val="Hyperlink"/>
            <w:rFonts w:cs="Arial"/>
          </w:rPr>
          <w:t>WIPO Checklist for the Online Conduct of Mediation and Arbitration Proceedings</w:t>
        </w:r>
      </w:hyperlink>
      <w:r w:rsidRPr="005C45C3">
        <w:rPr>
          <w:rFonts w:cs="Arial"/>
        </w:rPr>
        <w:t>.</w:t>
      </w:r>
    </w:p>
    <w:p w14:paraId="0DB972BD" w14:textId="77777777" w:rsidR="00C54079" w:rsidRPr="00054537" w:rsidRDefault="00C54079" w:rsidP="00C54079">
      <w:pPr>
        <w:pStyle w:val="ListParagraph"/>
        <w:spacing w:after="160"/>
        <w:ind w:left="0"/>
        <w:rPr>
          <w:rFonts w:asciiTheme="minorBidi" w:hAnsiTheme="minorBidi" w:cstheme="minorBidi"/>
          <w:shd w:val="clear" w:color="auto" w:fill="FFFFFF" w:themeFill="background1"/>
        </w:rPr>
      </w:pPr>
    </w:p>
    <w:p w14:paraId="1E737BD4" w14:textId="674CE9F0" w:rsidR="00C54079" w:rsidRDefault="00C54079" w:rsidP="00C54079">
      <w:pPr>
        <w:pStyle w:val="ListParagraph"/>
        <w:widowControl w:val="0"/>
        <w:numPr>
          <w:ilvl w:val="0"/>
          <w:numId w:val="7"/>
        </w:numPr>
        <w:spacing w:after="160"/>
        <w:ind w:left="0" w:firstLine="0"/>
      </w:pPr>
      <w:r>
        <w:t>Since the last Assemblies, the Center noted an increase in cases referred to WIPO Mediation by national courts.  For example, under the framework collaboration between the Supreme People’s Court of China (SPC) and WIPO, the SPC and the Center, in coordination with the WIPO Office in China, collaborate in the area of mediation to help resolve international IP and technology disputes in China.</w:t>
      </w:r>
      <w:r w:rsidR="00FC2BAA">
        <w:rPr>
          <w:rStyle w:val="FootnoteReference"/>
        </w:rPr>
        <w:footnoteReference w:id="7"/>
      </w:r>
      <w:r w:rsidR="00FC2BAA">
        <w:t xml:space="preserve">  </w:t>
      </w:r>
      <w:r w:rsidRPr="00A8669E">
        <w:t xml:space="preserve">In France, since 2023 the Center collaborates with the </w:t>
      </w:r>
      <w:r w:rsidRPr="00A8669E">
        <w:rPr>
          <w:i/>
          <w:iCs/>
        </w:rPr>
        <w:t xml:space="preserve">Tribunal </w:t>
      </w:r>
      <w:proofErr w:type="spellStart"/>
      <w:r w:rsidRPr="00A8669E">
        <w:rPr>
          <w:i/>
          <w:iCs/>
        </w:rPr>
        <w:t>judiciaire</w:t>
      </w:r>
      <w:proofErr w:type="spellEnd"/>
      <w:r w:rsidRPr="00A8669E">
        <w:rPr>
          <w:i/>
          <w:iCs/>
        </w:rPr>
        <w:t xml:space="preserve"> de Paris</w:t>
      </w:r>
      <w:r w:rsidRPr="00A8669E">
        <w:t xml:space="preserve"> to facilitate referral to WIPO Mediation of suitable IP cases pending before the court.</w:t>
      </w:r>
      <w:r w:rsidR="00FC2BAA">
        <w:rPr>
          <w:rStyle w:val="FootnoteReference"/>
        </w:rPr>
        <w:footnoteReference w:id="8"/>
      </w:r>
      <w:r w:rsidR="00FC2BAA">
        <w:t xml:space="preserve">  </w:t>
      </w:r>
      <w:r>
        <w:t xml:space="preserve">The Center also </w:t>
      </w:r>
      <w:hyperlink r:id="rId16">
        <w:r w:rsidRPr="052011B5">
          <w:rPr>
            <w:rStyle w:val="Hyperlink"/>
          </w:rPr>
          <w:t>collaborates with the Judiciary of the United Republic of Tanzania</w:t>
        </w:r>
      </w:hyperlink>
      <w:r>
        <w:t>, where the Center makes available WIPO online meeting tools and support in mediation cases before the Judiciary of the United Republic of Tanzania.</w:t>
      </w:r>
      <w:r w:rsidR="00FC2BAA">
        <w:rPr>
          <w:rStyle w:val="FootnoteReference"/>
        </w:rPr>
        <w:footnoteReference w:id="9"/>
      </w:r>
      <w:r>
        <w:t xml:space="preserve">  </w:t>
      </w:r>
    </w:p>
    <w:p w14:paraId="7031E7A7" w14:textId="77777777" w:rsidR="00FC2BAA" w:rsidRDefault="00FC2BAA" w:rsidP="00FC2BAA">
      <w:pPr>
        <w:pStyle w:val="ListParagraph"/>
        <w:widowControl w:val="0"/>
        <w:spacing w:after="160"/>
        <w:ind w:left="0"/>
      </w:pPr>
    </w:p>
    <w:p w14:paraId="4501E399" w14:textId="25C17A88" w:rsidR="00FC2BAA" w:rsidRDefault="00FC2BAA" w:rsidP="00FC2BAA">
      <w:pPr>
        <w:pStyle w:val="ListParagraph"/>
        <w:widowControl w:val="0"/>
        <w:numPr>
          <w:ilvl w:val="0"/>
          <w:numId w:val="7"/>
        </w:numPr>
        <w:spacing w:after="240"/>
        <w:ind w:left="0" w:firstLine="0"/>
      </w:pPr>
      <w:r>
        <w:t xml:space="preserve">The Center aims to promote efficient and effective </w:t>
      </w:r>
      <w:hyperlink r:id="rId17" w:history="1">
        <w:r w:rsidRPr="546F7EB4">
          <w:rPr>
            <w:rStyle w:val="Hyperlink"/>
          </w:rPr>
          <w:t>resolution of disputes in the digital environment</w:t>
        </w:r>
      </w:hyperlink>
      <w:r>
        <w:t>, which is critical to maintaining the integrity of online content-sharing services and protecting the rights of content creators and users alike.  In particular, the Center observed a rise in disputes filed by users and rights holders against online platforms and search engines.</w:t>
      </w:r>
      <w:r>
        <w:rPr>
          <w:rStyle w:val="FootnoteReference"/>
        </w:rPr>
        <w:footnoteReference w:id="10"/>
      </w:r>
      <w:r>
        <w:t xml:space="preserve"> In the </w:t>
      </w:r>
      <w:r w:rsidRPr="00EC213C">
        <w:t xml:space="preserve">period, </w:t>
      </w:r>
      <w:r>
        <w:t xml:space="preserve">a number of </w:t>
      </w:r>
      <w:r w:rsidRPr="00EC213C">
        <w:t xml:space="preserve">disputes </w:t>
      </w:r>
      <w:r>
        <w:t xml:space="preserve">were also referred to </w:t>
      </w:r>
      <w:r w:rsidRPr="00EC213C">
        <w:t xml:space="preserve">the </w:t>
      </w:r>
      <w:r>
        <w:t xml:space="preserve">WIPO-MCST </w:t>
      </w:r>
      <w:r w:rsidRPr="00EC213C">
        <w:t>Mediation Promotion Scheme</w:t>
      </w:r>
      <w:r>
        <w:t xml:space="preserve">, offered in the framework of the </w:t>
      </w:r>
      <w:r w:rsidRPr="00EC213C">
        <w:t>Funds-in-Trust for the promotion of ADR for copyright disputes (FIT-ROK/ADR)</w:t>
      </w:r>
      <w:r>
        <w:t xml:space="preserve">, established in the context of the </w:t>
      </w:r>
      <w:hyperlink r:id="rId18" w:history="1">
        <w:r w:rsidRPr="00F2514B">
          <w:rPr>
            <w:rStyle w:val="Hyperlink"/>
          </w:rPr>
          <w:t>collaboration between the Ministry of Culture, Sports, and Tourism of the Republic of Korea (MCST) and the Center</w:t>
        </w:r>
      </w:hyperlink>
      <w:r w:rsidRPr="00EC213C">
        <w:t>.</w:t>
      </w:r>
      <w:r>
        <w:t xml:space="preserve">  </w:t>
      </w:r>
      <w:r w:rsidRPr="00EC213C">
        <w:t>Through this scheme, parties involved in such disputes receive financial assistance to cover mediation costs, enhancing access to alternative dispute resolution mechanisms.</w:t>
      </w:r>
    </w:p>
    <w:p w14:paraId="77E91CC7" w14:textId="77777777" w:rsidR="00FC2BAA" w:rsidRDefault="00FC2BAA" w:rsidP="00FC2BAA">
      <w:pPr>
        <w:pStyle w:val="ListParagraph"/>
        <w:widowControl w:val="0"/>
        <w:spacing w:after="160"/>
        <w:ind w:left="0"/>
      </w:pPr>
    </w:p>
    <w:p w14:paraId="0446F64D" w14:textId="0D768F36" w:rsidR="00C54079" w:rsidRPr="00D7262E" w:rsidRDefault="00C54079" w:rsidP="00C54079">
      <w:pPr>
        <w:pStyle w:val="ListParagraph"/>
        <w:widowControl w:val="0"/>
        <w:numPr>
          <w:ilvl w:val="0"/>
          <w:numId w:val="7"/>
        </w:numPr>
        <w:spacing w:after="160"/>
        <w:ind w:left="0" w:firstLine="0"/>
      </w:pPr>
      <w:r>
        <w:t xml:space="preserve">During the </w:t>
      </w:r>
      <w:r w:rsidR="00B5123D">
        <w:t xml:space="preserve">reporting </w:t>
      </w:r>
      <w:r>
        <w:t>period, the Center continued to administer cases referred by parties to WIPO Mediation under collaboration programs with IP offices.  For example, under its collaboration with the Intellectual Property Office of Singapore (IPOS), the Center administered IPOS trademark disputes referred to WIPO Mediation</w:t>
      </w:r>
      <w:r w:rsidRPr="00204517">
        <w:rPr>
          <w:rFonts w:eastAsia="Arial"/>
          <w:color w:val="000000" w:themeColor="text1"/>
        </w:rPr>
        <w:t xml:space="preserve">.  In 2024, </w:t>
      </w:r>
      <w:r w:rsidRPr="00204517">
        <w:rPr>
          <w:rFonts w:eastAsia="Arial" w:cs="Arial"/>
          <w:color w:val="000000" w:themeColor="text1"/>
        </w:rPr>
        <w:t xml:space="preserve">WIPO and IPOS also collaborated </w:t>
      </w:r>
      <w:r w:rsidR="008629F9">
        <w:rPr>
          <w:rFonts w:eastAsia="Arial" w:cs="Arial"/>
          <w:color w:val="000000" w:themeColor="text1"/>
        </w:rPr>
        <w:t>on</w:t>
      </w:r>
      <w:r w:rsidRPr="00204517">
        <w:rPr>
          <w:rFonts w:eastAsia="Arial" w:cs="Arial"/>
          <w:color w:val="000000" w:themeColor="text1"/>
        </w:rPr>
        <w:t xml:space="preserve"> </w:t>
      </w:r>
      <w:r w:rsidRPr="00204517">
        <w:rPr>
          <w:rFonts w:eastAsia="Arial"/>
          <w:color w:val="000000" w:themeColor="text1"/>
        </w:rPr>
        <w:t xml:space="preserve">the WIPO-Singapore ASEAN Mediation </w:t>
      </w:r>
      <w:proofErr w:type="spellStart"/>
      <w:r w:rsidRPr="00204517">
        <w:rPr>
          <w:rFonts w:eastAsia="Arial"/>
          <w:color w:val="000000" w:themeColor="text1"/>
        </w:rPr>
        <w:t>Programme</w:t>
      </w:r>
      <w:proofErr w:type="spellEnd"/>
      <w:r w:rsidRPr="00204517">
        <w:rPr>
          <w:rFonts w:eastAsia="Arial"/>
          <w:color w:val="000000" w:themeColor="text1"/>
        </w:rPr>
        <w:t xml:space="preserve"> (AMP), which was renewed in 2025 in an</w:t>
      </w:r>
      <w:r>
        <w:t xml:space="preserve"> expanded form (AMP+) to encourage </w:t>
      </w:r>
      <w:r w:rsidR="000F26F8">
        <w:t>additional</w:t>
      </w:r>
      <w:r>
        <w:t xml:space="preserve"> up-take from the ASEAN </w:t>
      </w:r>
      <w:r w:rsidRPr="00A8669E">
        <w:t>region.</w:t>
      </w:r>
      <w:r w:rsidRPr="00A8669E">
        <w:rPr>
          <w:vertAlign w:val="superscript"/>
        </w:rPr>
        <w:footnoteReference w:id="11"/>
      </w:r>
      <w:r w:rsidR="00FC2BAA">
        <w:t xml:space="preserve">  </w:t>
      </w:r>
      <w:r w:rsidRPr="00A8669E">
        <w:rPr>
          <w:rFonts w:eastAsia="Arial" w:cs="Arial"/>
          <w:color w:val="000000" w:themeColor="text1"/>
        </w:rPr>
        <w:t>The</w:t>
      </w:r>
      <w:r w:rsidRPr="00204517">
        <w:rPr>
          <w:rFonts w:eastAsia="Arial" w:cs="Arial"/>
          <w:color w:val="000000" w:themeColor="text1"/>
        </w:rPr>
        <w:t xml:space="preserve"> Center also collaborates with the Intellectual Property Office of the Philippines (IPOPHL) </w:t>
      </w:r>
      <w:r w:rsidRPr="00204517">
        <w:rPr>
          <w:rFonts w:eastAsia="Arial" w:cs="Arial"/>
          <w:color w:val="000000" w:themeColor="text1"/>
        </w:rPr>
        <w:lastRenderedPageBreak/>
        <w:t>concerning the administration of mediation proceedings involving IP rights in the Philippines, including under the IPOPHL Mediation Outside Litigation scheme, and has administered cases referred to WIPO Mediation under this program.  Under the collaboration between the Center and the Moroccan Office of Industrial and Commercial Property (OMPIC), the Center and OMPIC developed a mediation option for IP and technology cases and co-administers cases under this program.</w:t>
      </w:r>
    </w:p>
    <w:p w14:paraId="3163A3EB" w14:textId="77777777" w:rsidR="00C54079" w:rsidRPr="006F6660" w:rsidRDefault="00C54079" w:rsidP="00A8669E">
      <w:pPr>
        <w:pStyle w:val="ListParagraph"/>
        <w:widowControl w:val="0"/>
        <w:spacing w:after="240" w:line="259" w:lineRule="auto"/>
        <w:ind w:left="0"/>
      </w:pPr>
    </w:p>
    <w:p w14:paraId="56942DD6" w14:textId="650B30E5" w:rsidR="00C54079" w:rsidRPr="00A8669E" w:rsidRDefault="00EC5DEB" w:rsidP="00A8669E">
      <w:pPr>
        <w:pStyle w:val="ListParagraph"/>
        <w:widowControl w:val="0"/>
        <w:numPr>
          <w:ilvl w:val="0"/>
          <w:numId w:val="7"/>
        </w:numPr>
        <w:spacing w:after="240"/>
        <w:ind w:left="0" w:firstLine="0"/>
        <w:rPr>
          <w:rFonts w:eastAsia="Arial" w:cs="Arial"/>
        </w:rPr>
      </w:pPr>
      <w:r>
        <w:rPr>
          <w:rFonts w:eastAsia="Arial" w:cs="Arial"/>
        </w:rPr>
        <w:t>T</w:t>
      </w:r>
      <w:r w:rsidR="00C54079" w:rsidRPr="00A8669E">
        <w:rPr>
          <w:rFonts w:eastAsia="Arial" w:cs="Arial"/>
        </w:rPr>
        <w:t xml:space="preserve">he Center noted particular interest by users and IP authorities in its </w:t>
      </w:r>
      <w:hyperlink r:id="rId19" w:history="1">
        <w:r w:rsidR="00C54079" w:rsidRPr="00A8669E">
          <w:rPr>
            <w:rStyle w:val="Hyperlink"/>
          </w:rPr>
          <w:t>services for disputes concerning FRAND licensing terms</w:t>
        </w:r>
      </w:hyperlink>
      <w:r w:rsidR="00C54079" w:rsidRPr="00A8669E">
        <w:t xml:space="preserve"> for SEPs.  </w:t>
      </w:r>
      <w:r w:rsidR="00C54079" w:rsidRPr="00A8669E">
        <w:rPr>
          <w:rFonts w:eastAsia="Arial" w:cs="Arial"/>
        </w:rPr>
        <w:t>To date, the Center has administered more than 85 SEP-related mediations involving SMEs, patent pools and large companies, with parties from over 20 jurisdictions.  In 2024, this included the use of WIPO Mediation to facilitate the licensing of large telecom patent portfolios involving SEP holders and implementers from Asia and Europe.  Reflecting this growing case experience, including cases pending before multiple courts, the Center makes available guidance to facilitate referral of such issues to WIPO mediation, arbitration, and expert determination</w:t>
      </w:r>
      <w:r w:rsidR="00C54079" w:rsidRPr="00A8669E">
        <w:t>.</w:t>
      </w:r>
      <w:r w:rsidR="00C54079" w:rsidRPr="00A8669E">
        <w:rPr>
          <w:rStyle w:val="FootnoteReference"/>
          <w:rFonts w:eastAsia="Arial" w:cs="Arial"/>
        </w:rPr>
        <w:footnoteReference w:id="12"/>
      </w:r>
      <w:r w:rsidR="00C54079" w:rsidRPr="00A8669E">
        <w:t xml:space="preserve">  </w:t>
      </w:r>
      <w:r w:rsidR="00B5123D">
        <w:rPr>
          <w:rFonts w:eastAsia="Arial" w:cs="Arial"/>
        </w:rPr>
        <w:t>In</w:t>
      </w:r>
      <w:r w:rsidR="00B5123D" w:rsidRPr="00A8669E">
        <w:rPr>
          <w:rFonts w:eastAsia="Arial" w:cs="Arial"/>
        </w:rPr>
        <w:t xml:space="preserve"> </w:t>
      </w:r>
      <w:r w:rsidR="00C54079" w:rsidRPr="00A8669E">
        <w:rPr>
          <w:rFonts w:eastAsia="Arial" w:cs="Arial"/>
        </w:rPr>
        <w:t xml:space="preserve">the </w:t>
      </w:r>
      <w:r w:rsidR="00B5123D">
        <w:rPr>
          <w:rFonts w:eastAsia="Arial" w:cs="Arial"/>
        </w:rPr>
        <w:t xml:space="preserve">same </w:t>
      </w:r>
      <w:r w:rsidR="00C54079" w:rsidRPr="00A8669E">
        <w:rPr>
          <w:rFonts w:eastAsia="Arial" w:cs="Arial"/>
        </w:rPr>
        <w:t>period, WIPO and the United States Patent and Trademark Office</w:t>
      </w:r>
      <w:r w:rsidR="00C54079" w:rsidRPr="00A8669E">
        <w:t> </w:t>
      </w:r>
      <w:r w:rsidR="00C54079" w:rsidRPr="00A8669E">
        <w:rPr>
          <w:rFonts w:eastAsia="Arial" w:cs="Arial"/>
        </w:rPr>
        <w:t>(USPTO) continued to partner on stakeholder outreach to further raise awareness of WIPO ADR services relating to SEPs, including for SMEs.</w:t>
      </w:r>
      <w:r w:rsidR="00A8669E">
        <w:rPr>
          <w:rFonts w:eastAsia="Arial" w:cs="Arial"/>
        </w:rPr>
        <w:t xml:space="preserve">  </w:t>
      </w:r>
      <w:r w:rsidR="00C54079" w:rsidRPr="00A8669E">
        <w:rPr>
          <w:rFonts w:eastAsia="Arial" w:cs="Arial"/>
        </w:rPr>
        <w:t xml:space="preserve">In addition, in 2024 the Center and the Canadian Intellectual Property Office (CIPO) </w:t>
      </w:r>
      <w:proofErr w:type="gramStart"/>
      <w:r w:rsidR="00C54079" w:rsidRPr="00A8669E">
        <w:rPr>
          <w:rFonts w:eastAsia="Arial" w:cs="Arial"/>
        </w:rPr>
        <w:t>entered into</w:t>
      </w:r>
      <w:proofErr w:type="gramEnd"/>
      <w:r w:rsidR="00C54079" w:rsidRPr="00A8669E">
        <w:rPr>
          <w:rFonts w:eastAsia="Arial" w:cs="Arial"/>
        </w:rPr>
        <w:t xml:space="preserve"> a</w:t>
      </w:r>
      <w:r w:rsidR="000F26F8">
        <w:rPr>
          <w:rFonts w:eastAsia="Arial" w:cs="Arial"/>
        </w:rPr>
        <w:t xml:space="preserve"> </w:t>
      </w:r>
      <w:r w:rsidR="00C54079" w:rsidRPr="00A8669E">
        <w:rPr>
          <w:rFonts w:eastAsia="Arial" w:cs="Arial"/>
        </w:rPr>
        <w:t>collaboration to promote ADR in the area of SEPs.</w:t>
      </w:r>
    </w:p>
    <w:p w14:paraId="0DAF3ED1" w14:textId="77777777" w:rsidR="00C54079" w:rsidRDefault="00C54079" w:rsidP="00C54079">
      <w:pPr>
        <w:pStyle w:val="ListParagraph"/>
        <w:widowControl w:val="0"/>
        <w:spacing w:after="240"/>
        <w:ind w:left="0"/>
        <w:rPr>
          <w:rFonts w:eastAsia="Arial" w:cs="Arial"/>
        </w:rPr>
      </w:pPr>
    </w:p>
    <w:p w14:paraId="0D08DAE7" w14:textId="4192BCA3" w:rsidR="00C54079" w:rsidRDefault="00C54079" w:rsidP="00C54079">
      <w:pPr>
        <w:pStyle w:val="ListParagraph"/>
        <w:widowControl w:val="0"/>
        <w:numPr>
          <w:ilvl w:val="0"/>
          <w:numId w:val="7"/>
        </w:numPr>
        <w:spacing w:after="240"/>
        <w:ind w:left="0" w:firstLine="0"/>
        <w:rPr>
          <w:rFonts w:eastAsia="Arial" w:cs="Arial"/>
        </w:rPr>
      </w:pPr>
      <w:r w:rsidRPr="657826D9">
        <w:rPr>
          <w:rFonts w:eastAsia="Arial" w:cs="Arial"/>
        </w:rPr>
        <w:t xml:space="preserve">The Center regularly administers </w:t>
      </w:r>
      <w:hyperlink r:id="rId20" w:history="1">
        <w:r w:rsidRPr="546F7EB4">
          <w:rPr>
            <w:rStyle w:val="Hyperlink"/>
          </w:rPr>
          <w:t>life sciences mediation and arbitration cases</w:t>
        </w:r>
      </w:hyperlink>
      <w:r w:rsidRPr="657826D9">
        <w:rPr>
          <w:rFonts w:eastAsia="Arial" w:cs="Arial"/>
        </w:rPr>
        <w:t>, with parties across the sector including pharmaceutical, biotech, diagnostics and medical devices companies, and R&amp;D institutions.  The Center’s growing caseload in this area includes high</w:t>
      </w:r>
      <w:r>
        <w:noBreakHyphen/>
      </w:r>
      <w:r w:rsidRPr="657826D9">
        <w:rPr>
          <w:rFonts w:eastAsia="Arial" w:cs="Arial"/>
        </w:rPr>
        <w:t>value pharma patent, licensing, and distribution cases</w:t>
      </w:r>
      <w:r>
        <w:t xml:space="preserve">.  </w:t>
      </w:r>
      <w:r w:rsidR="00B5123D">
        <w:rPr>
          <w:rFonts w:eastAsia="Arial"/>
        </w:rPr>
        <w:t>During this time</w:t>
      </w:r>
      <w:r w:rsidRPr="00054537">
        <w:rPr>
          <w:rFonts w:eastAsia="Arial"/>
        </w:rPr>
        <w:t xml:space="preserve">, </w:t>
      </w:r>
      <w:r>
        <w:t xml:space="preserve">the Center </w:t>
      </w:r>
      <w:r w:rsidRPr="657826D9">
        <w:rPr>
          <w:rFonts w:eastAsia="Arial" w:cs="Arial"/>
        </w:rPr>
        <w:t>continued to promote the use of WIPO Mediation to facilitate international life sciences licensing and other transactions (Deal Mediation), in collaboration with stakeholders in Africa, Asia, Europe and North America</w:t>
      </w:r>
      <w:r w:rsidRPr="76E5C3E6">
        <w:rPr>
          <w:rFonts w:eastAsia="Arial" w:cs="Arial"/>
        </w:rPr>
        <w:t>.</w:t>
      </w:r>
      <w:r w:rsidRPr="76E5C3E6">
        <w:rPr>
          <w:rStyle w:val="FootnoteReference"/>
          <w:rFonts w:eastAsia="Arial" w:cs="Arial"/>
        </w:rPr>
        <w:footnoteReference w:id="13"/>
      </w:r>
      <w:r w:rsidRPr="0C20ADF8">
        <w:rPr>
          <w:rFonts w:eastAsia="Arial" w:cs="Arial"/>
        </w:rPr>
        <w:t xml:space="preserve"> </w:t>
      </w:r>
      <w:r>
        <w:t xml:space="preserve"> </w:t>
      </w:r>
      <w:r w:rsidRPr="000A238B">
        <w:rPr>
          <w:rFonts w:eastAsia="Arial" w:cs="Arial"/>
        </w:rPr>
        <w:t xml:space="preserve">The Center makes available the publication </w:t>
      </w:r>
      <w:hyperlink r:id="rId21" w:history="1">
        <w:r w:rsidRPr="000A238B">
          <w:rPr>
            <w:rStyle w:val="Hyperlink"/>
          </w:rPr>
          <w:t>WIPO ADR for Life Sciences Disputes Management and Resolution</w:t>
        </w:r>
      </w:hyperlink>
      <w:r w:rsidRPr="000A238B">
        <w:t xml:space="preserve"> </w:t>
      </w:r>
      <w:r w:rsidRPr="000A238B">
        <w:rPr>
          <w:rFonts w:eastAsia="Arial" w:cs="Arial"/>
        </w:rPr>
        <w:t>that presents WIPO ADR options tailored to life sciences.</w:t>
      </w:r>
      <w:r w:rsidRPr="0E1AED42">
        <w:rPr>
          <w:rFonts w:eastAsia="Arial" w:cs="Arial"/>
        </w:rPr>
        <w:t xml:space="preserve"> </w:t>
      </w:r>
    </w:p>
    <w:p w14:paraId="27C277EE" w14:textId="77777777" w:rsidR="00C54079" w:rsidRPr="006F6660" w:rsidRDefault="00C54079" w:rsidP="00C54079">
      <w:pPr>
        <w:pStyle w:val="ListParagraph"/>
        <w:widowControl w:val="0"/>
        <w:spacing w:after="240"/>
        <w:ind w:left="0"/>
      </w:pPr>
    </w:p>
    <w:p w14:paraId="6A7FBF26" w14:textId="695F2CE6" w:rsidR="00C54079" w:rsidRDefault="00C54079" w:rsidP="00C54079">
      <w:pPr>
        <w:pStyle w:val="ListParagraph"/>
        <w:widowControl w:val="0"/>
        <w:numPr>
          <w:ilvl w:val="0"/>
          <w:numId w:val="7"/>
        </w:numPr>
        <w:spacing w:after="240"/>
        <w:ind w:left="0" w:firstLine="0"/>
        <w:contextualSpacing w:val="0"/>
      </w:pPr>
      <w:r w:rsidRPr="00115F25">
        <w:t xml:space="preserve">The Center has observed an increase in requests for </w:t>
      </w:r>
      <w:hyperlink r:id="rId22" w:history="1">
        <w:r w:rsidR="00115F25" w:rsidRPr="00115F25">
          <w:rPr>
            <w:rStyle w:val="Hyperlink"/>
          </w:rPr>
          <w:t>ADR services for disputes in the areas of video games and esports</w:t>
        </w:r>
      </w:hyperlink>
      <w:r w:rsidRPr="00115F25">
        <w:t>, reflecting the dynamic nature of th</w:t>
      </w:r>
      <w:r w:rsidR="00115F25">
        <w:t>ese</w:t>
      </w:r>
      <w:r w:rsidRPr="00115F25">
        <w:t xml:space="preserve"> expanding field</w:t>
      </w:r>
      <w:r w:rsidR="00115F25" w:rsidRPr="00115F25">
        <w:t>s</w:t>
      </w:r>
      <w:r w:rsidRPr="00115F25">
        <w:t>.  Disputes in this sector include copyright</w:t>
      </w:r>
      <w:r w:rsidRPr="006019D1">
        <w:t xml:space="preserve"> issues related to game storylines, designs, IP infringement, IP and software licensing disputes, musical works, and trademark disputes.  In response to this growing need, the Center </w:t>
      </w:r>
      <w:r>
        <w:t>collaborates</w:t>
      </w:r>
      <w:r w:rsidRPr="006019D1">
        <w:t xml:space="preserve"> with industry stakeholders and other WIPO divisions to develop and implement specialized ADR options tailored specifically to the challenges of the video game and e</w:t>
      </w:r>
      <w:r>
        <w:t>s</w:t>
      </w:r>
      <w:r w:rsidRPr="006019D1">
        <w:t xml:space="preserve">ports sectors. </w:t>
      </w:r>
      <w:r>
        <w:t xml:space="preserve"> In 2024, the Center established a collaboration with the Esports Integrity Commission (ESIC), leading to the development and launch of the </w:t>
      </w:r>
      <w:hyperlink r:id="rId23" w:history="1">
        <w:r w:rsidRPr="00723BEC">
          <w:rPr>
            <w:rStyle w:val="Hyperlink"/>
          </w:rPr>
          <w:t>International Games and Esports Tribunal (IGET)</w:t>
        </w:r>
      </w:hyperlink>
      <w:r>
        <w:t>, a not-for-profit dispute resolution body designed to meet the unique needs of the global video games and esports industries.  IGET represents a pioneering effort to provide tailored, professional, and accessible ADR services for stakeholders in gaming and esports.</w:t>
      </w:r>
    </w:p>
    <w:p w14:paraId="41D4FEE7" w14:textId="58A3FE07" w:rsidR="00C54079" w:rsidRPr="00376CC3" w:rsidRDefault="00C54079" w:rsidP="00C54079">
      <w:pPr>
        <w:pStyle w:val="ListParagraph"/>
        <w:widowControl w:val="0"/>
        <w:numPr>
          <w:ilvl w:val="0"/>
          <w:numId w:val="7"/>
        </w:numPr>
        <w:spacing w:after="240"/>
        <w:ind w:left="0" w:firstLine="0"/>
        <w:contextualSpacing w:val="0"/>
        <w:rPr>
          <w:rFonts w:eastAsia="Arial" w:cs="Arial"/>
        </w:rPr>
      </w:pPr>
      <w:r w:rsidRPr="00376CC3">
        <w:rPr>
          <w:rFonts w:eastAsiaTheme="minorHAnsi" w:cs="Arial"/>
          <w:szCs w:val="22"/>
        </w:rPr>
        <w:t xml:space="preserve">As </w:t>
      </w:r>
      <w:r w:rsidRPr="00A35E75">
        <w:rPr>
          <w:rFonts w:eastAsiaTheme="minorHAnsi" w:cs="Arial"/>
          <w:szCs w:val="22"/>
        </w:rPr>
        <w:t>artificial intelligence (AI)</w:t>
      </w:r>
      <w:r w:rsidRPr="00376CC3">
        <w:rPr>
          <w:rFonts w:eastAsiaTheme="minorHAnsi" w:cs="Arial"/>
          <w:szCs w:val="22"/>
        </w:rPr>
        <w:t xml:space="preserve"> evolves, disputes over the ownership, licensing, and </w:t>
      </w:r>
      <w:r w:rsidRPr="00376CC3">
        <w:rPr>
          <w:rFonts w:eastAsiaTheme="minorHAnsi" w:cs="Arial"/>
          <w:szCs w:val="22"/>
        </w:rPr>
        <w:lastRenderedPageBreak/>
        <w:t xml:space="preserve">infringement of AI-generated content are becoming more common.  The Center supports the voluntary resolution of these disputes through ADR, </w:t>
      </w:r>
      <w:r w:rsidRPr="00A35E75">
        <w:rPr>
          <w:rFonts w:eastAsiaTheme="minorHAnsi" w:cs="Arial"/>
          <w:szCs w:val="22"/>
        </w:rPr>
        <w:t xml:space="preserve">offering swift, efficient </w:t>
      </w:r>
      <w:hyperlink r:id="rId24" w:history="1">
        <w:r w:rsidRPr="00A35E75">
          <w:rPr>
            <w:rStyle w:val="Hyperlink"/>
            <w:rFonts w:eastAsiaTheme="minorHAnsi" w:cs="Arial"/>
            <w:szCs w:val="22"/>
          </w:rPr>
          <w:t>solutions tailored to the digital landscape</w:t>
        </w:r>
      </w:hyperlink>
      <w:r w:rsidRPr="00376CC3">
        <w:rPr>
          <w:rFonts w:eastAsiaTheme="minorHAnsi" w:cs="Arial"/>
          <w:szCs w:val="22"/>
        </w:rPr>
        <w:t xml:space="preserve"> while safeguarding relationships and creators’ rights.</w:t>
      </w:r>
      <w:r w:rsidR="00B476A0">
        <w:rPr>
          <w:rFonts w:eastAsiaTheme="minorHAnsi" w:cs="Arial"/>
          <w:szCs w:val="22"/>
        </w:rPr>
        <w:t xml:space="preserve">  </w:t>
      </w:r>
      <w:r w:rsidRPr="00376CC3">
        <w:rPr>
          <w:rFonts w:eastAsiaTheme="minorHAnsi" w:cs="Arial"/>
          <w:szCs w:val="22"/>
        </w:rPr>
        <w:t>In this context, the Center has been involved in the resolution of disputes concerning IP rights infringement, particularly related to copyright issues in training AI models.</w:t>
      </w:r>
    </w:p>
    <w:p w14:paraId="2343C58D" w14:textId="307167CA" w:rsidR="00C54079" w:rsidRDefault="00B476A0" w:rsidP="00C54079">
      <w:pPr>
        <w:pStyle w:val="ListParagraph"/>
        <w:widowControl w:val="0"/>
        <w:numPr>
          <w:ilvl w:val="0"/>
          <w:numId w:val="7"/>
        </w:numPr>
        <w:spacing w:after="240"/>
        <w:ind w:left="0" w:firstLine="0"/>
      </w:pPr>
      <w:r>
        <w:t>The Center has observed a growing mediation and arbitration caseload relating to</w:t>
      </w:r>
      <w:r w:rsidR="00C54079">
        <w:t xml:space="preserve"> </w:t>
      </w:r>
      <w:hyperlink r:id="rId25" w:history="1">
        <w:r>
          <w:rPr>
            <w:rStyle w:val="Hyperlink"/>
          </w:rPr>
          <w:t>green technology and sustainability</w:t>
        </w:r>
      </w:hyperlink>
      <w:r w:rsidR="00C54079">
        <w:t>,</w:t>
      </w:r>
      <w:r>
        <w:t xml:space="preserve"> such as in</w:t>
      </w:r>
      <w:r w:rsidR="00C54079">
        <w:t xml:space="preserve"> renewable energies, irrigation and other agriculture-related technologies.  Such disputes often involved parties from different jurisdictions and related to IP and other commercial issues.  The Center works with WIPO Green and relevant industry stakeholders to further promote the efficient resolution of such disputes through WIPO ADR.</w:t>
      </w:r>
    </w:p>
    <w:p w14:paraId="79FE7FB2" w14:textId="5803C161" w:rsidR="00C54079" w:rsidRPr="006F6660" w:rsidRDefault="00C54079" w:rsidP="00C54079">
      <w:pPr>
        <w:pStyle w:val="Heading3"/>
        <w:spacing w:after="220"/>
        <w:ind w:left="1166"/>
      </w:pPr>
      <w:r w:rsidRPr="006270CE">
        <w:rPr>
          <w:u w:val="none"/>
        </w:rPr>
        <w:t>(b)</w:t>
      </w:r>
      <w:r w:rsidRPr="006270CE">
        <w:rPr>
          <w:u w:val="none"/>
        </w:rPr>
        <w:tab/>
      </w:r>
      <w:r w:rsidRPr="00AD0EEC">
        <w:t>WIPO ADR Co-administration Program</w:t>
      </w:r>
      <w:r>
        <w:t xml:space="preserve"> with IP and Copyright Offices</w:t>
      </w:r>
    </w:p>
    <w:p w14:paraId="3375C8D3" w14:textId="7A466BB2" w:rsidR="00C54079" w:rsidRDefault="00C54079" w:rsidP="00C54079">
      <w:pPr>
        <w:pStyle w:val="ListParagraph"/>
        <w:widowControl w:val="0"/>
        <w:numPr>
          <w:ilvl w:val="0"/>
          <w:numId w:val="7"/>
        </w:numPr>
        <w:spacing w:after="240"/>
        <w:ind w:left="0" w:firstLine="0"/>
        <w:contextualSpacing w:val="0"/>
      </w:pPr>
      <w:r w:rsidRPr="007A77E1">
        <w:t xml:space="preserve">In 2024, the </w:t>
      </w:r>
      <w:r>
        <w:t>Center</w:t>
      </w:r>
      <w:r w:rsidRPr="007A77E1">
        <w:t xml:space="preserve"> supported the resolution of 559 disputes under the </w:t>
      </w:r>
      <w:hyperlink r:id="rId26" w:history="1">
        <w:r w:rsidRPr="00CB7B5A">
          <w:rPr>
            <w:rStyle w:val="Hyperlink"/>
          </w:rPr>
          <w:t>WIPO ADR Co-administration Program with IP and Copyright Offices</w:t>
        </w:r>
      </w:hyperlink>
      <w:r>
        <w:t xml:space="preserve">, representing </w:t>
      </w:r>
      <w:r w:rsidRPr="00642AE5">
        <w:t>an increase of 53</w:t>
      </w:r>
      <w:r w:rsidR="009A6314">
        <w:t> </w:t>
      </w:r>
      <w:r>
        <w:t>per</w:t>
      </w:r>
      <w:r w:rsidR="009A6314">
        <w:t> </w:t>
      </w:r>
      <w:r>
        <w:t>cent</w:t>
      </w:r>
      <w:r w:rsidRPr="00642AE5">
        <w:t xml:space="preserve"> compared with 2023.</w:t>
      </w:r>
    </w:p>
    <w:p w14:paraId="48A6158D" w14:textId="1B254B30" w:rsidR="00C54079" w:rsidRPr="006F6660" w:rsidRDefault="00C54079" w:rsidP="00C54079">
      <w:pPr>
        <w:pStyle w:val="ListParagraph"/>
        <w:widowControl w:val="0"/>
        <w:numPr>
          <w:ilvl w:val="0"/>
          <w:numId w:val="7"/>
        </w:numPr>
        <w:spacing w:after="240"/>
        <w:ind w:left="0" w:firstLine="0"/>
        <w:contextualSpacing w:val="0"/>
      </w:pPr>
      <w:r>
        <w:rPr>
          <w:szCs w:val="22"/>
        </w:rPr>
        <w:t>When t</w:t>
      </w:r>
      <w:r w:rsidRPr="001C2A39">
        <w:rPr>
          <w:szCs w:val="22"/>
        </w:rPr>
        <w:t xml:space="preserve">he </w:t>
      </w:r>
      <w:r>
        <w:rPr>
          <w:szCs w:val="22"/>
        </w:rPr>
        <w:t>Center</w:t>
      </w:r>
      <w:r w:rsidRPr="001C2A39">
        <w:rPr>
          <w:szCs w:val="22"/>
        </w:rPr>
        <w:t xml:space="preserve"> </w:t>
      </w:r>
      <w:r>
        <w:rPr>
          <w:szCs w:val="22"/>
        </w:rPr>
        <w:t xml:space="preserve">started </w:t>
      </w:r>
      <w:r w:rsidRPr="001C2A39">
        <w:rPr>
          <w:szCs w:val="22"/>
        </w:rPr>
        <w:t xml:space="preserve">working with IP </w:t>
      </w:r>
      <w:r>
        <w:rPr>
          <w:szCs w:val="22"/>
        </w:rPr>
        <w:t>o</w:t>
      </w:r>
      <w:r w:rsidRPr="001C2A39">
        <w:rPr>
          <w:szCs w:val="22"/>
        </w:rPr>
        <w:t>ffices to promote ADR as a viable alternative to litigation</w:t>
      </w:r>
      <w:r>
        <w:rPr>
          <w:szCs w:val="22"/>
        </w:rPr>
        <w:t xml:space="preserve">, </w:t>
      </w:r>
      <w:r w:rsidRPr="001C2A39">
        <w:rPr>
          <w:szCs w:val="22"/>
        </w:rPr>
        <w:t xml:space="preserve">early </w:t>
      </w:r>
      <w:r w:rsidRPr="00E00358">
        <w:t xml:space="preserve">collaborations primarily focused on capacity-building and raising awareness about </w:t>
      </w:r>
      <w:r>
        <w:t>ADR</w:t>
      </w:r>
      <w:r w:rsidRPr="00E00358">
        <w:t xml:space="preserve"> for IP disputes.</w:t>
      </w:r>
      <w:r>
        <w:t xml:space="preserve">  A</w:t>
      </w:r>
      <w:r w:rsidRPr="00E00358">
        <w:t>s demand for more efficient and specialized dispute resolution mechanisms grew and technology advanced, the scope of cooperation expanded.</w:t>
      </w:r>
      <w:r>
        <w:t xml:space="preserve">  </w:t>
      </w:r>
      <w:r w:rsidRPr="006F6660">
        <w:t>With the support of the</w:t>
      </w:r>
      <w:r w:rsidR="00CB7B5A">
        <w:t xml:space="preserve"> MCST</w:t>
      </w:r>
      <w:r w:rsidR="00013D13">
        <w:t>’s</w:t>
      </w:r>
      <w:r w:rsidRPr="006F6660">
        <w:t xml:space="preserve"> FIT-ROK/ADR, the Center developed and implemented online tools to assist IP </w:t>
      </w:r>
      <w:r>
        <w:t>o</w:t>
      </w:r>
      <w:r w:rsidRPr="006F6660">
        <w:t>ffices in the administration and tracking of disputes referred to mediation and conciliation services provided by</w:t>
      </w:r>
      <w:r w:rsidR="007B26E5">
        <w:t xml:space="preserve"> these</w:t>
      </w:r>
      <w:r w:rsidRPr="006F6660">
        <w:t xml:space="preserve"> </w:t>
      </w:r>
      <w:r>
        <w:t>O</w:t>
      </w:r>
      <w:r w:rsidRPr="006F6660">
        <w:t xml:space="preserve">ffices. </w:t>
      </w:r>
      <w:r>
        <w:t xml:space="preserve"> </w:t>
      </w:r>
      <w:r w:rsidRPr="00E00358">
        <w:t xml:space="preserve">These tools include electronic filing systems that allow case submission, streamlining administrative processes. </w:t>
      </w:r>
      <w:r>
        <w:t xml:space="preserve"> </w:t>
      </w:r>
      <w:r w:rsidRPr="00E00358">
        <w:t xml:space="preserve">Online case tracking systems enhance efficiency, enabling staff of IP </w:t>
      </w:r>
      <w:r w:rsidR="00013D13">
        <w:t>O</w:t>
      </w:r>
      <w:r w:rsidRPr="00E00358">
        <w:t xml:space="preserve">ffices to record case progress in real-time. </w:t>
      </w:r>
      <w:r>
        <w:t xml:space="preserve"> </w:t>
      </w:r>
      <w:r w:rsidRPr="00E00358">
        <w:t>Video conferencing platforms expedite hearings, allowing for remote participation.</w:t>
      </w:r>
      <w:r>
        <w:t xml:space="preserve">  </w:t>
      </w:r>
      <w:r w:rsidRPr="006F6660">
        <w:t>This has significantly increased the efficiency of the provision of such services, benefiting users by resolving disputes in a timely and cost</w:t>
      </w:r>
      <w:r>
        <w:noBreakHyphen/>
      </w:r>
      <w:r w:rsidRPr="006F6660">
        <w:t>effective manner.</w:t>
      </w:r>
      <w:r w:rsidRPr="008F7862">
        <w:t xml:space="preserve"> </w:t>
      </w:r>
      <w:r>
        <w:t xml:space="preserve"> </w:t>
      </w:r>
      <w:r w:rsidRPr="00642AE5">
        <w:t xml:space="preserve">Since 2021, the Center has collaborated with IP </w:t>
      </w:r>
      <w:r>
        <w:t>o</w:t>
      </w:r>
      <w:r w:rsidRPr="00642AE5">
        <w:t xml:space="preserve">ffices in the co-administration of over 1,300 disputes and hosted </w:t>
      </w:r>
      <w:r>
        <w:t>some</w:t>
      </w:r>
      <w:r w:rsidRPr="00642AE5">
        <w:t xml:space="preserve"> 2,000 online case hearings.</w:t>
      </w:r>
    </w:p>
    <w:p w14:paraId="2695A654" w14:textId="57233E61" w:rsidR="00C54079" w:rsidRDefault="00C54079" w:rsidP="00C54079">
      <w:pPr>
        <w:pStyle w:val="ListParagraph"/>
        <w:widowControl w:val="0"/>
        <w:numPr>
          <w:ilvl w:val="0"/>
          <w:numId w:val="7"/>
        </w:numPr>
        <w:spacing w:after="240"/>
        <w:ind w:left="0" w:firstLine="0"/>
        <w:contextualSpacing w:val="0"/>
      </w:pPr>
      <w:r>
        <w:t>T</w:t>
      </w:r>
      <w:r w:rsidRPr="004B24CC">
        <w:t xml:space="preserve">he </w:t>
      </w:r>
      <w:r>
        <w:t>Center</w:t>
      </w:r>
      <w:r w:rsidRPr="004B24CC">
        <w:t xml:space="preserve"> </w:t>
      </w:r>
      <w:r>
        <w:t xml:space="preserve">also </w:t>
      </w:r>
      <w:r w:rsidRPr="004B24CC">
        <w:t xml:space="preserve">helps IP </w:t>
      </w:r>
      <w:r>
        <w:t>o</w:t>
      </w:r>
      <w:r w:rsidRPr="004B24CC">
        <w:t xml:space="preserve">ffices establish or enhance ADR services locally. </w:t>
      </w:r>
      <w:r>
        <w:t xml:space="preserve"> </w:t>
      </w:r>
      <w:r w:rsidRPr="004B24CC">
        <w:t xml:space="preserve">This support includes training </w:t>
      </w:r>
      <w:r>
        <w:t>IP O</w:t>
      </w:r>
      <w:r w:rsidRPr="004B24CC">
        <w:t>ffice</w:t>
      </w:r>
      <w:r>
        <w:t>s</w:t>
      </w:r>
      <w:r w:rsidRPr="004B24CC">
        <w:t xml:space="preserve"> staff in ADR to build internal capacity and equip professionals with the skills to handle disputes effectively. </w:t>
      </w:r>
      <w:r>
        <w:t xml:space="preserve"> T</w:t>
      </w:r>
      <w:r w:rsidRPr="004B24CC">
        <w:t xml:space="preserve">hrough joint outreach activities, WIPO and IP </w:t>
      </w:r>
      <w:r w:rsidR="00013D13">
        <w:t>O</w:t>
      </w:r>
      <w:r w:rsidRPr="004B24CC">
        <w:t>ffices promote ADR mechanisms as a reliable alternative to litigation</w:t>
      </w:r>
      <w:r>
        <w:t>.</w:t>
      </w:r>
    </w:p>
    <w:p w14:paraId="561AB1C4" w14:textId="10A243FF" w:rsidR="00C54079" w:rsidRDefault="00C54079" w:rsidP="00C54079">
      <w:pPr>
        <w:pStyle w:val="ListParagraph"/>
        <w:widowControl w:val="0"/>
        <w:numPr>
          <w:ilvl w:val="0"/>
          <w:numId w:val="7"/>
        </w:numPr>
        <w:spacing w:after="240"/>
        <w:ind w:left="0" w:firstLine="0"/>
        <w:contextualSpacing w:val="0"/>
      </w:pPr>
      <w:r w:rsidRPr="00E00358">
        <w:t xml:space="preserve">The </w:t>
      </w:r>
      <w:r>
        <w:t xml:space="preserve">Center </w:t>
      </w:r>
      <w:r w:rsidRPr="00E00358">
        <w:t xml:space="preserve">has expanded its Co-administration Program with IP and Copyright Offices in response to increased interest from Member States. </w:t>
      </w:r>
      <w:r>
        <w:t xml:space="preserve"> </w:t>
      </w:r>
      <w:r w:rsidR="004F0C1B">
        <w:t>In 2024, f</w:t>
      </w:r>
      <w:r w:rsidRPr="00E00358">
        <w:t xml:space="preserve">ollowing successful collaborations in recent years with the National Institute of Copyright of Mexico (INDAUTOR) and the National Directorate of Copyright of </w:t>
      </w:r>
      <w:r w:rsidRPr="00FC56EE">
        <w:t xml:space="preserve">Colombia (DNDA), the Center supported in building ADR capacity and co-administering </w:t>
      </w:r>
      <w:r w:rsidRPr="008B21AE">
        <w:t xml:space="preserve">cases </w:t>
      </w:r>
      <w:r w:rsidR="0016153F" w:rsidRPr="008B21AE">
        <w:t xml:space="preserve">with </w:t>
      </w:r>
      <w:r w:rsidRPr="008B21AE">
        <w:t>the</w:t>
      </w:r>
      <w:r w:rsidRPr="00626E6B">
        <w:t xml:space="preserve"> National Copyright Office</w:t>
      </w:r>
      <w:r w:rsidRPr="00E00358">
        <w:t xml:space="preserve"> of the Dominican Republic (ONDA), </w:t>
      </w:r>
      <w:r w:rsidRPr="006F6660">
        <w:t xml:space="preserve">the Registry of Intellectual Property of Guatemala (RPI), the </w:t>
      </w:r>
      <w:r w:rsidRPr="00E00358">
        <w:t xml:space="preserve">Kenya Copyright Board (KECOBO), the Business and Intellectual Property Authority of Namibia (BIPA), the </w:t>
      </w:r>
      <w:r w:rsidRPr="006F6660">
        <w:t xml:space="preserve">National Directorate of Intellectual Property of Paraguay (DINAPI), and the </w:t>
      </w:r>
      <w:r w:rsidRPr="00E00358">
        <w:t xml:space="preserve">National Institute for the Defense of Competition and Protection of </w:t>
      </w:r>
      <w:r w:rsidRPr="006F6660">
        <w:t xml:space="preserve">Intellectual Property </w:t>
      </w:r>
      <w:r w:rsidRPr="00E00358">
        <w:t>of Peru (INDECOPI).</w:t>
      </w:r>
    </w:p>
    <w:p w14:paraId="59229075" w14:textId="635651B3" w:rsidR="00C54079" w:rsidRDefault="00C54079" w:rsidP="00C54079">
      <w:pPr>
        <w:pStyle w:val="ListParagraph"/>
        <w:widowControl w:val="0"/>
        <w:numPr>
          <w:ilvl w:val="0"/>
          <w:numId w:val="7"/>
        </w:numPr>
        <w:spacing w:after="240"/>
        <w:ind w:left="0" w:firstLine="0"/>
        <w:contextualSpacing w:val="0"/>
      </w:pPr>
      <w:r>
        <w:t xml:space="preserve">As part of this </w:t>
      </w:r>
      <w:r w:rsidR="009A6314">
        <w:t>p</w:t>
      </w:r>
      <w:r>
        <w:t>rogram</w:t>
      </w:r>
      <w:r w:rsidR="009A6314">
        <w:t>,</w:t>
      </w:r>
      <w:r>
        <w:t xml:space="preserve"> the Center is collaborating also with the </w:t>
      </w:r>
      <w:r w:rsidRPr="00565F7C">
        <w:t xml:space="preserve">National Office of Copyrights and Related Rights </w:t>
      </w:r>
      <w:r>
        <w:t xml:space="preserve">of Algeria </w:t>
      </w:r>
      <w:r w:rsidRPr="00565F7C">
        <w:t>(ONDA)</w:t>
      </w:r>
      <w:r>
        <w:t xml:space="preserve">, the </w:t>
      </w:r>
      <w:r w:rsidRPr="00565F7C">
        <w:t>Belize Intellectual Property Office (BELIPO)</w:t>
      </w:r>
      <w:r>
        <w:t xml:space="preserve">, the </w:t>
      </w:r>
      <w:r w:rsidRPr="006B67DC">
        <w:t>Ministry of Culture of Brazil</w:t>
      </w:r>
      <w:r>
        <w:t xml:space="preserve">, the </w:t>
      </w:r>
      <w:r w:rsidRPr="006B67DC">
        <w:t xml:space="preserve">National Service of Intellectual Rights </w:t>
      </w:r>
      <w:r>
        <w:t xml:space="preserve">of Ecuador </w:t>
      </w:r>
      <w:r w:rsidRPr="006B67DC">
        <w:t>(SENADI)</w:t>
      </w:r>
      <w:r>
        <w:t xml:space="preserve">, the </w:t>
      </w:r>
      <w:r w:rsidRPr="006B67DC">
        <w:t xml:space="preserve">National Center of Registries </w:t>
      </w:r>
      <w:r>
        <w:t xml:space="preserve">of El Salvador </w:t>
      </w:r>
      <w:r w:rsidRPr="006B67DC">
        <w:t>(CNR)</w:t>
      </w:r>
      <w:r>
        <w:t xml:space="preserve">, the </w:t>
      </w:r>
      <w:r w:rsidRPr="006B67DC">
        <w:t>Copyright Society of Tanzania (COSOTA)</w:t>
      </w:r>
      <w:r>
        <w:t xml:space="preserve">, the </w:t>
      </w:r>
      <w:r w:rsidRPr="00C56F24">
        <w:t>Intellectual Property Office of Trinidad and Tobago</w:t>
      </w:r>
      <w:r>
        <w:t xml:space="preserve"> (TTIPO), and the </w:t>
      </w:r>
      <w:r w:rsidRPr="006B67DC">
        <w:lastRenderedPageBreak/>
        <w:t>Uganda Registration Services Bureau (URSB)</w:t>
      </w:r>
      <w:r>
        <w:t>.</w:t>
      </w:r>
      <w:r>
        <w:rPr>
          <w:rStyle w:val="FootnoteReference"/>
        </w:rPr>
        <w:footnoteReference w:id="14"/>
      </w:r>
    </w:p>
    <w:p w14:paraId="1E0CB3B2" w14:textId="77777777" w:rsidR="00C54079" w:rsidRPr="006F6660" w:rsidRDefault="00C54079" w:rsidP="00C54079">
      <w:pPr>
        <w:pStyle w:val="ListParagraph"/>
        <w:widowControl w:val="0"/>
        <w:spacing w:after="240"/>
        <w:ind w:left="0" w:firstLine="567"/>
        <w:contextualSpacing w:val="0"/>
      </w:pPr>
      <w:r w:rsidRPr="006F6660">
        <w:t>B.</w:t>
      </w:r>
      <w:r w:rsidRPr="006F6660">
        <w:tab/>
        <w:t>COLLABORATION WITH INTELLECTUAL PROPERTY OFFICES AND COURTS</w:t>
      </w:r>
    </w:p>
    <w:p w14:paraId="68566950" w14:textId="3C670528" w:rsidR="00C54079" w:rsidRDefault="00C54079" w:rsidP="00C54079">
      <w:pPr>
        <w:pStyle w:val="ListParagraph"/>
        <w:widowControl w:val="0"/>
        <w:numPr>
          <w:ilvl w:val="0"/>
          <w:numId w:val="7"/>
        </w:numPr>
        <w:spacing w:after="240"/>
        <w:ind w:left="0" w:firstLine="0"/>
        <w:contextualSpacing w:val="0"/>
      </w:pPr>
      <w:r>
        <w:t xml:space="preserve">A </w:t>
      </w:r>
      <w:r w:rsidRPr="006F6660">
        <w:t>core area of the Center</w:t>
      </w:r>
      <w:r>
        <w:t>’</w:t>
      </w:r>
      <w:r w:rsidRPr="006F6660">
        <w:t xml:space="preserve">s activity is the collaboration with </w:t>
      </w:r>
      <w:r w:rsidRPr="00C430F2">
        <w:t>IP and copyright offices and courts</w:t>
      </w:r>
      <w:r w:rsidRPr="006F6660">
        <w:t xml:space="preserve"> globally.</w:t>
      </w:r>
      <w:r>
        <w:t xml:space="preserve">  </w:t>
      </w:r>
      <w:r w:rsidRPr="006F6660">
        <w:t xml:space="preserve">Since the </w:t>
      </w:r>
      <w:r>
        <w:t>2024</w:t>
      </w:r>
      <w:r w:rsidRPr="006F6660">
        <w:t xml:space="preserve"> Assemblies, the </w:t>
      </w:r>
      <w:r w:rsidRPr="0013496E">
        <w:t xml:space="preserve">Center has </w:t>
      </w:r>
      <w:proofErr w:type="gramStart"/>
      <w:r w:rsidRPr="0013496E">
        <w:t>entered into</w:t>
      </w:r>
      <w:proofErr w:type="gramEnd"/>
      <w:r w:rsidRPr="0013496E">
        <w:t xml:space="preserve"> 1</w:t>
      </w:r>
      <w:r w:rsidR="00CF3732" w:rsidRPr="0013496E">
        <w:t>1</w:t>
      </w:r>
      <w:r w:rsidRPr="0013496E">
        <w:t xml:space="preserve"> new initiatives with IP and judicial authorities in Member States to promote and</w:t>
      </w:r>
      <w:r w:rsidRPr="006F6660">
        <w:t xml:space="preserve"> help introduce time and cost</w:t>
      </w:r>
      <w:r w:rsidRPr="006F6660">
        <w:noBreakHyphen/>
        <w:t>efficient ADR options for IP and technology disputes outside the courts or other adjudicative bodies.</w:t>
      </w:r>
      <w:r w:rsidRPr="006F6660">
        <w:rPr>
          <w:rStyle w:val="FootnoteReference"/>
        </w:rPr>
        <w:footnoteReference w:id="15"/>
      </w:r>
      <w:r>
        <w:t xml:space="preserve">  </w:t>
      </w:r>
    </w:p>
    <w:p w14:paraId="5612FE00" w14:textId="54919CD2" w:rsidR="00C54079" w:rsidRDefault="00C54079" w:rsidP="00C54079">
      <w:pPr>
        <w:pStyle w:val="ListParagraph"/>
        <w:widowControl w:val="0"/>
        <w:numPr>
          <w:ilvl w:val="0"/>
          <w:numId w:val="7"/>
        </w:numPr>
        <w:spacing w:after="240"/>
        <w:ind w:left="0" w:firstLine="0"/>
        <w:contextualSpacing w:val="0"/>
      </w:pPr>
      <w:r>
        <w:t xml:space="preserve">Such new collaborations included </w:t>
      </w:r>
      <w:r w:rsidRPr="00B82EDC">
        <w:t>the African Regional Intellectual Property Organization (ARIPO), the Austrian Patent Office, the Belize Intellectual Property Office (BELIPO), Ministry of Culture of Brazil, the Intellectual Property Office of Ireland (IPOI), the Department of Intellectual Property (DIP) of Lao People</w:t>
      </w:r>
      <w:r>
        <w:t>’</w:t>
      </w:r>
      <w:r w:rsidRPr="00B82EDC">
        <w:t xml:space="preserve">s Democratic Republic, the Autonomous Service of Intellectual Property of Venezuela (SAPI), and the Canadian Intellectual Property Office (CIPO, focusing on ADR related to SEPs). </w:t>
      </w:r>
      <w:r>
        <w:t xml:space="preserve"> </w:t>
      </w:r>
      <w:r w:rsidRPr="00B82EDC">
        <w:t xml:space="preserve">The </w:t>
      </w:r>
      <w:r>
        <w:t xml:space="preserve">Center </w:t>
      </w:r>
      <w:r w:rsidRPr="00B82EDC">
        <w:t>also concluded collaboration agreements with the Specialized Court on Intellectual Property of the Federal Tribunal of Administrative Justice of Mexico and with the Qatar International Court and Dispute Resolution Center (QICDRC) to promote ADR for IP disputes.</w:t>
      </w:r>
      <w:r>
        <w:t xml:space="preserve">  </w:t>
      </w:r>
      <w:r w:rsidRPr="00FE4767">
        <w:t xml:space="preserve">Overall, the </w:t>
      </w:r>
      <w:r w:rsidR="009365DF">
        <w:t>Center</w:t>
      </w:r>
      <w:r w:rsidRPr="00FE4767">
        <w:t xml:space="preserve"> now works with 95 national entities.</w:t>
      </w:r>
      <w:r w:rsidR="007B26E5" w:rsidRPr="006F6660">
        <w:rPr>
          <w:vertAlign w:val="superscript"/>
        </w:rPr>
        <w:footnoteReference w:id="16"/>
      </w:r>
    </w:p>
    <w:p w14:paraId="31A71AF8" w14:textId="0CE49FA6" w:rsidR="00C54079" w:rsidRPr="006F6660" w:rsidRDefault="00C54079" w:rsidP="00C54079">
      <w:pPr>
        <w:pStyle w:val="ListParagraph"/>
        <w:widowControl w:val="0"/>
        <w:numPr>
          <w:ilvl w:val="0"/>
          <w:numId w:val="7"/>
        </w:numPr>
        <w:spacing w:after="240"/>
        <w:ind w:left="0" w:firstLine="0"/>
        <w:contextualSpacing w:val="0"/>
      </w:pPr>
      <w:r w:rsidRPr="006F6660">
        <w:t xml:space="preserve">In the </w:t>
      </w:r>
      <w:r w:rsidR="00B5123D">
        <w:t xml:space="preserve">reporting </w:t>
      </w:r>
      <w:r w:rsidRPr="006F6660">
        <w:t xml:space="preserve">period, </w:t>
      </w:r>
      <w:r>
        <w:t>collaboration programs</w:t>
      </w:r>
      <w:r w:rsidRPr="006F6660">
        <w:t xml:space="preserve"> included </w:t>
      </w:r>
      <w:r w:rsidR="00A22118">
        <w:t xml:space="preserve">IP mediation training of judges, IP Offices staff and mediators, </w:t>
      </w:r>
      <w:r w:rsidRPr="006F6660">
        <w:t>the development of country</w:t>
      </w:r>
      <w:r w:rsidRPr="006F6660">
        <w:noBreakHyphen/>
        <w:t xml:space="preserve">tailored </w:t>
      </w:r>
      <w:r>
        <w:t xml:space="preserve">outreach and </w:t>
      </w:r>
      <w:r w:rsidRPr="006F6660">
        <w:t>information materials for interested</w:t>
      </w:r>
      <w:r>
        <w:t xml:space="preserve"> stakeholders c</w:t>
      </w:r>
      <w:r w:rsidRPr="006F6660">
        <w:t xml:space="preserve">oncerning ADR options, assistance in the drafting of ADR clauses in connection with model R&amp;D </w:t>
      </w:r>
      <w:r>
        <w:t>a</w:t>
      </w:r>
      <w:r w:rsidRPr="006F6660">
        <w:t xml:space="preserve">greements, and joint </w:t>
      </w:r>
      <w:r w:rsidR="00A22118">
        <w:t xml:space="preserve">outreach </w:t>
      </w:r>
      <w:r w:rsidRPr="006F6660">
        <w:t>events for stakeholders.</w:t>
      </w:r>
      <w:r w:rsidRPr="006F6660">
        <w:rPr>
          <w:rStyle w:val="FootnoteReference"/>
        </w:rPr>
        <w:footnoteReference w:id="17"/>
      </w:r>
      <w:r w:rsidRPr="006F6660">
        <w:rPr>
          <w:rStyle w:val="FootnoteReference"/>
        </w:rPr>
        <w:t xml:space="preserve"> </w:t>
      </w:r>
    </w:p>
    <w:p w14:paraId="72C2752E" w14:textId="77777777" w:rsidR="00C54079" w:rsidRPr="006F6660" w:rsidRDefault="00C54079" w:rsidP="00C54079">
      <w:pPr>
        <w:pStyle w:val="ListParagraph"/>
        <w:widowControl w:val="0"/>
        <w:numPr>
          <w:ilvl w:val="0"/>
          <w:numId w:val="7"/>
        </w:numPr>
        <w:spacing w:after="240"/>
        <w:ind w:left="0" w:firstLine="0"/>
        <w:contextualSpacing w:val="0"/>
      </w:pPr>
      <w:r w:rsidRPr="006F6660">
        <w:t xml:space="preserve">Some </w:t>
      </w:r>
      <w:r>
        <w:t>IP offices</w:t>
      </w:r>
      <w:r w:rsidRPr="006F6660">
        <w:t xml:space="preserve"> have developed ADR options, or encourage parties to use such options, in the context of proceedings pending before them, notably trademark opposition proceedings. </w:t>
      </w:r>
      <w:r>
        <w:t xml:space="preserve"> </w:t>
      </w:r>
      <w:r w:rsidRPr="006F6660">
        <w:t xml:space="preserve">The Center worked with </w:t>
      </w:r>
      <w:r>
        <w:t>IP offices</w:t>
      </w:r>
      <w:r w:rsidRPr="006F6660">
        <w:t xml:space="preserve"> </w:t>
      </w:r>
      <w:r>
        <w:t>o</w:t>
      </w:r>
      <w:r w:rsidRPr="006F6660">
        <w:t xml:space="preserve">n the development of mediation options for such proceedings and collaborated with </w:t>
      </w:r>
      <w:r>
        <w:t>IP offices</w:t>
      </w:r>
      <w:r w:rsidRPr="006F6660">
        <w:t xml:space="preserve"> in the administration of cases submitted by parties </w:t>
      </w:r>
      <w:r w:rsidRPr="006F6660">
        <w:lastRenderedPageBreak/>
        <w:t xml:space="preserve">under such </w:t>
      </w:r>
      <w:r>
        <w:t>programs</w:t>
      </w:r>
      <w:r w:rsidRPr="006F6660">
        <w:t>.</w:t>
      </w:r>
      <w:r w:rsidRPr="006F6660">
        <w:rPr>
          <w:rStyle w:val="FootnoteReference"/>
        </w:rPr>
        <w:footnoteReference w:id="18"/>
      </w:r>
      <w:r w:rsidRPr="006F6660">
        <w:t xml:space="preserve"> </w:t>
      </w:r>
      <w:r>
        <w:t xml:space="preserve"> </w:t>
      </w:r>
      <w:r w:rsidRPr="006F6660">
        <w:t xml:space="preserve">In the area of </w:t>
      </w:r>
      <w:r w:rsidRPr="006F6660">
        <w:rPr>
          <w:shd w:val="clear" w:color="auto" w:fill="FFFFFF" w:themeFill="background1"/>
        </w:rPr>
        <w:t xml:space="preserve">copyright, some </w:t>
      </w:r>
      <w:r>
        <w:t>IP offices</w:t>
      </w:r>
      <w:r w:rsidRPr="006F6660">
        <w:t xml:space="preserve"> </w:t>
      </w:r>
      <w:r w:rsidRPr="006F6660">
        <w:rPr>
          <w:shd w:val="clear" w:color="auto" w:fill="FFFFFF" w:themeFill="background1"/>
        </w:rPr>
        <w:t>now resort to the</w:t>
      </w:r>
      <w:r w:rsidRPr="006F6660">
        <w:t xml:space="preserve"> Center as administrator or co</w:t>
      </w:r>
      <w:r w:rsidRPr="006F6660">
        <w:noBreakHyphen/>
        <w:t>administrator of pending cases, often involving CMOs or other copyright owners, and users.</w:t>
      </w:r>
      <w:r w:rsidRPr="006F6660">
        <w:rPr>
          <w:rStyle w:val="FootnoteReference"/>
        </w:rPr>
        <w:footnoteReference w:id="19"/>
      </w:r>
      <w:r w:rsidRPr="006F6660">
        <w:rPr>
          <w:rStyle w:val="FootnoteReference"/>
        </w:rPr>
        <w:t xml:space="preserve"> </w:t>
      </w:r>
    </w:p>
    <w:p w14:paraId="291664CB" w14:textId="77777777" w:rsidR="00C54079" w:rsidRPr="006F6660" w:rsidRDefault="00C54079" w:rsidP="00C54079">
      <w:pPr>
        <w:pStyle w:val="ListParagraph"/>
        <w:widowControl w:val="0"/>
        <w:numPr>
          <w:ilvl w:val="0"/>
          <w:numId w:val="7"/>
        </w:numPr>
        <w:spacing w:after="240"/>
        <w:ind w:left="0" w:firstLine="0"/>
        <w:contextualSpacing w:val="0"/>
      </w:pPr>
      <w:r w:rsidRPr="006F6660">
        <w:t xml:space="preserve">Additionally, the Center collaborated with </w:t>
      </w:r>
      <w:r>
        <w:t>IP offices</w:t>
      </w:r>
      <w:r w:rsidRPr="006F6660">
        <w:t xml:space="preserve"> in the development of R&amp;D model agreements that include options for WIPO </w:t>
      </w:r>
      <w:r>
        <w:t>M</w:t>
      </w:r>
      <w:r w:rsidRPr="006F6660">
        <w:t xml:space="preserve">ediation and WIPO </w:t>
      </w:r>
      <w:r>
        <w:t>A</w:t>
      </w:r>
      <w:r w:rsidRPr="006F6660">
        <w:t>rbitration.</w:t>
      </w:r>
      <w:r w:rsidRPr="006F6660">
        <w:rPr>
          <w:rStyle w:val="FootnoteReference"/>
        </w:rPr>
        <w:footnoteReference w:id="20"/>
      </w:r>
      <w:r w:rsidRPr="006F6660">
        <w:rPr>
          <w:rStyle w:val="FootnoteReference"/>
        </w:rPr>
        <w:t xml:space="preserve"> </w:t>
      </w:r>
    </w:p>
    <w:p w14:paraId="5B25759E" w14:textId="2FB631FB" w:rsidR="00C54079" w:rsidRPr="006F6660" w:rsidRDefault="00C54079" w:rsidP="00C54079">
      <w:pPr>
        <w:pStyle w:val="ListParagraph"/>
        <w:widowControl w:val="0"/>
        <w:numPr>
          <w:ilvl w:val="0"/>
          <w:numId w:val="7"/>
        </w:numPr>
        <w:spacing w:after="240"/>
        <w:ind w:left="0" w:firstLine="0"/>
        <w:contextualSpacing w:val="0"/>
      </w:pPr>
      <w:r w:rsidRPr="006F6660">
        <w:t xml:space="preserve">Reflecting the growing scope and nature of these collaborative efforts, the Center </w:t>
      </w:r>
      <w:r>
        <w:t>makes available the</w:t>
      </w:r>
      <w:r w:rsidRPr="006F6660">
        <w:t xml:space="preserve"> </w:t>
      </w:r>
      <w:hyperlink r:id="rId27" w:history="1">
        <w:r w:rsidRPr="00A70404">
          <w:rPr>
            <w:rStyle w:val="Hyperlink"/>
          </w:rPr>
          <w:t>WIPO Guide on Alternative Dispute Resolution for Intellectual Property Offices</w:t>
        </w:r>
        <w:r w:rsidRPr="00A70404" w:rsidDel="008334B0">
          <w:rPr>
            <w:rStyle w:val="Hyperlink"/>
          </w:rPr>
          <w:t xml:space="preserve"> </w:t>
        </w:r>
        <w:r w:rsidRPr="00A70404">
          <w:rPr>
            <w:rStyle w:val="Hyperlink"/>
          </w:rPr>
          <w:t xml:space="preserve"> and Courts</w:t>
        </w:r>
      </w:hyperlink>
      <w:r w:rsidRPr="006F6660">
        <w:t xml:space="preserve">. </w:t>
      </w:r>
      <w:r>
        <w:t xml:space="preserve"> </w:t>
      </w:r>
      <w:r w:rsidRPr="006F6660">
        <w:t xml:space="preserve">The Guide also presents options for interested </w:t>
      </w:r>
      <w:r>
        <w:t>IP offices</w:t>
      </w:r>
      <w:r w:rsidRPr="006F6660" w:rsidDel="008334B0">
        <w:t xml:space="preserve"> </w:t>
      </w:r>
      <w:r w:rsidRPr="006F6660">
        <w:t>and courts to integrate ADR, especially mediation, into their processes.</w:t>
      </w:r>
    </w:p>
    <w:p w14:paraId="471E1F3E" w14:textId="77777777" w:rsidR="00C54079" w:rsidRPr="006F6660" w:rsidRDefault="00C54079" w:rsidP="00C54079">
      <w:pPr>
        <w:pStyle w:val="Heading2"/>
        <w:spacing w:after="220"/>
        <w:ind w:left="540"/>
      </w:pPr>
      <w:r w:rsidRPr="006F6660">
        <w:t>C.</w:t>
      </w:r>
      <w:r w:rsidRPr="006F6660">
        <w:tab/>
        <w:t xml:space="preserve">ADR </w:t>
      </w:r>
      <w:r>
        <w:t>OUTREACH AND</w:t>
      </w:r>
      <w:r w:rsidRPr="006F6660">
        <w:t xml:space="preserve"> INFORMATION RESOURCES</w:t>
      </w:r>
    </w:p>
    <w:p w14:paraId="69A15620" w14:textId="7E21900F" w:rsidR="00C54079" w:rsidRPr="006F6660" w:rsidRDefault="00C54079" w:rsidP="00C54079">
      <w:pPr>
        <w:pStyle w:val="ListParagraph"/>
        <w:widowControl w:val="0"/>
        <w:numPr>
          <w:ilvl w:val="0"/>
          <w:numId w:val="7"/>
        </w:numPr>
        <w:spacing w:after="240"/>
        <w:ind w:left="0" w:firstLine="0"/>
        <w:contextualSpacing w:val="0"/>
        <w:rPr>
          <w:szCs w:val="22"/>
        </w:rPr>
      </w:pPr>
      <w:r w:rsidRPr="0B1EA5E2">
        <w:t>Since the last Assemblies, to meet with increased demand for online ADR resources and training, the Center continued using outreach channels, such as its ADR Highlights newsletter</w:t>
      </w:r>
      <w:r>
        <w:t>,</w:t>
      </w:r>
      <w:r w:rsidRPr="006F6660">
        <w:rPr>
          <w:vertAlign w:val="superscript"/>
        </w:rPr>
        <w:footnoteReference w:id="21"/>
      </w:r>
      <w:r w:rsidRPr="0B1EA5E2">
        <w:t xml:space="preserve"> while expanding or opening social and other online avenues for users or potential users of WIPO ADR services.</w:t>
      </w:r>
      <w:r>
        <w:t xml:space="preserve">  </w:t>
      </w:r>
      <w:r w:rsidRPr="0B1EA5E2">
        <w:t>For example, the Center</w:t>
      </w:r>
      <w:r>
        <w:rPr>
          <w:szCs w:val="22"/>
        </w:rPr>
        <w:t>’</w:t>
      </w:r>
      <w:r w:rsidRPr="0B1EA5E2">
        <w:t xml:space="preserve">s </w:t>
      </w:r>
      <w:hyperlink r:id="rId28" w:history="1">
        <w:r w:rsidRPr="0B1EA5E2">
          <w:rPr>
            <w:rStyle w:val="Hyperlink"/>
          </w:rPr>
          <w:t>WIPO ADR Young</w:t>
        </w:r>
      </w:hyperlink>
      <w:r w:rsidRPr="0B1EA5E2">
        <w:t xml:space="preserve"> is a networking and training forum for young </w:t>
      </w:r>
      <w:r w:rsidRPr="006B12DD">
        <w:t>professionals in the IP</w:t>
      </w:r>
      <w:r w:rsidRPr="006B12DD">
        <w:rPr>
          <w:szCs w:val="22"/>
        </w:rPr>
        <w:t xml:space="preserve"> </w:t>
      </w:r>
      <w:r w:rsidRPr="006B12DD">
        <w:t>and dispute resolution communities, which has so far attracted over 1,700 members</w:t>
      </w:r>
      <w:r>
        <w:t>.</w:t>
      </w:r>
      <w:r w:rsidRPr="0B1EA5E2">
        <w:t xml:space="preserve"> </w:t>
      </w:r>
    </w:p>
    <w:p w14:paraId="6D720A33" w14:textId="71313333" w:rsidR="00C54079" w:rsidRPr="006F6660" w:rsidRDefault="00B5123D" w:rsidP="00C54079">
      <w:pPr>
        <w:pStyle w:val="ListParagraph"/>
        <w:widowControl w:val="0"/>
        <w:numPr>
          <w:ilvl w:val="0"/>
          <w:numId w:val="7"/>
        </w:numPr>
        <w:spacing w:after="240"/>
        <w:ind w:left="0" w:firstLine="0"/>
        <w:contextualSpacing w:val="0"/>
        <w:rPr>
          <w:szCs w:val="22"/>
        </w:rPr>
      </w:pPr>
      <w:r>
        <w:rPr>
          <w:szCs w:val="22"/>
        </w:rPr>
        <w:t>W</w:t>
      </w:r>
      <w:r w:rsidR="00C54079" w:rsidRPr="006F6660">
        <w:rPr>
          <w:szCs w:val="22"/>
        </w:rPr>
        <w:t xml:space="preserve">ith </w:t>
      </w:r>
      <w:r w:rsidR="00C54079">
        <w:rPr>
          <w:szCs w:val="22"/>
        </w:rPr>
        <w:t>over</w:t>
      </w:r>
      <w:r w:rsidR="00C54079" w:rsidRPr="006F6660">
        <w:rPr>
          <w:szCs w:val="22"/>
        </w:rPr>
        <w:t xml:space="preserve"> 2</w:t>
      </w:r>
      <w:r w:rsidR="00C54079">
        <w:rPr>
          <w:szCs w:val="22"/>
        </w:rPr>
        <w:t>3</w:t>
      </w:r>
      <w:r w:rsidR="00C54079" w:rsidRPr="006F6660">
        <w:rPr>
          <w:szCs w:val="22"/>
        </w:rPr>
        <w:t xml:space="preserve">,000 followers, </w:t>
      </w:r>
      <w:r w:rsidR="00C54079" w:rsidRPr="00562BAE">
        <w:rPr>
          <w:szCs w:val="22"/>
        </w:rPr>
        <w:t xml:space="preserve">the </w:t>
      </w:r>
      <w:hyperlink r:id="rId29" w:history="1">
        <w:r w:rsidR="00C54079" w:rsidRPr="0B1EA5E2">
          <w:rPr>
            <w:rStyle w:val="Hyperlink"/>
          </w:rPr>
          <w:t>Center’s LinkedIn page</w:t>
        </w:r>
      </w:hyperlink>
      <w:r w:rsidR="00C54079" w:rsidRPr="006F6660">
        <w:rPr>
          <w:szCs w:val="22"/>
        </w:rPr>
        <w:t xml:space="preserve"> acts as a platform for the IP, technology, and ADR community to keep current with WIPO ADR developments, events, and publications. </w:t>
      </w:r>
      <w:r w:rsidR="00C54079">
        <w:rPr>
          <w:szCs w:val="22"/>
        </w:rPr>
        <w:t xml:space="preserve"> </w:t>
      </w:r>
      <w:r w:rsidR="00C54079" w:rsidRPr="006F6660">
        <w:rPr>
          <w:szCs w:val="22"/>
        </w:rPr>
        <w:t xml:space="preserve">The Center also continued its </w:t>
      </w:r>
      <w:hyperlink r:id="rId30" w:history="1">
        <w:r w:rsidR="00C54079" w:rsidRPr="004675E1">
          <w:rPr>
            <w:rStyle w:val="Hyperlink"/>
            <w:bCs/>
            <w:szCs w:val="22"/>
          </w:rPr>
          <w:t>WIPOD Arbitration and Mediation Matters podcast</w:t>
        </w:r>
      </w:hyperlink>
      <w:r w:rsidR="00C54079" w:rsidRPr="006F6660">
        <w:rPr>
          <w:bCs/>
          <w:szCs w:val="22"/>
        </w:rPr>
        <w:t xml:space="preserve"> program</w:t>
      </w:r>
      <w:r w:rsidR="00C54079" w:rsidRPr="00AF4027">
        <w:rPr>
          <w:bCs/>
          <w:szCs w:val="22"/>
        </w:rPr>
        <w:t xml:space="preserve">, with over </w:t>
      </w:r>
      <w:r w:rsidR="00C54079">
        <w:rPr>
          <w:bCs/>
          <w:szCs w:val="22"/>
        </w:rPr>
        <w:t>4,800</w:t>
      </w:r>
      <w:r w:rsidR="00C54079" w:rsidRPr="00AF4027">
        <w:rPr>
          <w:bCs/>
          <w:szCs w:val="22"/>
        </w:rPr>
        <w:t xml:space="preserve"> streams</w:t>
      </w:r>
      <w:r w:rsidR="00C54079" w:rsidRPr="006F6660">
        <w:rPr>
          <w:bCs/>
          <w:szCs w:val="22"/>
        </w:rPr>
        <w:t>, featuring interviews with IP and ADR practitioners.</w:t>
      </w:r>
      <w:r w:rsidR="00C54079" w:rsidRPr="006F6660" w:rsidDel="00BA642A">
        <w:rPr>
          <w:szCs w:val="22"/>
        </w:rPr>
        <w:t xml:space="preserve"> </w:t>
      </w:r>
    </w:p>
    <w:p w14:paraId="4AFE3B0A" w14:textId="3F938A57" w:rsidR="00C54079" w:rsidRPr="00FE4767" w:rsidRDefault="00C54079" w:rsidP="00C54079">
      <w:pPr>
        <w:pStyle w:val="ListParagraph"/>
        <w:widowControl w:val="0"/>
        <w:numPr>
          <w:ilvl w:val="0"/>
          <w:numId w:val="7"/>
        </w:numPr>
        <w:spacing w:after="240"/>
        <w:ind w:left="0" w:firstLine="0"/>
      </w:pPr>
      <w:r w:rsidRPr="21ABB8BF">
        <w:t xml:space="preserve">The Center continued to organize and participate in events, including </w:t>
      </w:r>
      <w:hyperlink r:id="rId31" w:history="1">
        <w:r w:rsidRPr="21ABB8BF">
          <w:rPr>
            <w:rStyle w:val="Hyperlink"/>
          </w:rPr>
          <w:t>webinars</w:t>
        </w:r>
      </w:hyperlink>
      <w:r w:rsidRPr="21ABB8BF">
        <w:t>, IP ADR clinics, and online WIPO Mediation and Arbitration</w:t>
      </w:r>
      <w:r>
        <w:rPr>
          <w:szCs w:val="22"/>
        </w:rPr>
        <w:t xml:space="preserve"> </w:t>
      </w:r>
      <w:r w:rsidRPr="21ABB8BF">
        <w:t xml:space="preserve">Workshops, which are made available to stakeholders with content </w:t>
      </w:r>
      <w:r w:rsidRPr="21ABB8BF">
        <w:rPr>
          <w:shd w:val="clear" w:color="auto" w:fill="FFFFFF" w:themeFill="background1"/>
        </w:rPr>
        <w:t>tailored to their area of interest in a range of languages.</w:t>
      </w:r>
      <w:r w:rsidRPr="546F7EB4">
        <w:rPr>
          <w:shd w:val="clear" w:color="auto" w:fill="FFFFFF" w:themeFill="background1"/>
          <w:vertAlign w:val="superscript"/>
        </w:rPr>
        <w:footnoteReference w:id="22"/>
      </w:r>
      <w:r w:rsidRPr="21ABB8BF">
        <w:rPr>
          <w:shd w:val="clear" w:color="auto" w:fill="FFFFFF" w:themeFill="background1"/>
        </w:rPr>
        <w:t xml:space="preserve">  Topics included digital copyright</w:t>
      </w:r>
      <w:r w:rsidRPr="00723FE1">
        <w:t>,</w:t>
      </w:r>
      <w:r w:rsidRPr="00723FE1">
        <w:rPr>
          <w:shd w:val="clear" w:color="auto" w:fill="FFFFFF" w:themeFill="background1"/>
        </w:rPr>
        <w:t xml:space="preserve"> </w:t>
      </w:r>
      <w:r w:rsidRPr="00723FE1">
        <w:t>e</w:t>
      </w:r>
      <w:r w:rsidR="00723FE1">
        <w:t>s</w:t>
      </w:r>
      <w:r w:rsidRPr="00723FE1">
        <w:t>ports,</w:t>
      </w:r>
      <w:r>
        <w:t xml:space="preserve"> </w:t>
      </w:r>
      <w:r w:rsidRPr="21ABB8BF">
        <w:t>fashion,</w:t>
      </w:r>
      <w:r>
        <w:t xml:space="preserve"> </w:t>
      </w:r>
      <w:r w:rsidRPr="21ABB8BF">
        <w:t>green technology and sustainability</w:t>
      </w:r>
      <w:r>
        <w:t>,</w:t>
      </w:r>
      <w:r w:rsidRPr="21ABB8BF">
        <w:rPr>
          <w:shd w:val="clear" w:color="auto" w:fill="FFFFFF" w:themeFill="background1"/>
        </w:rPr>
        <w:t xml:space="preserve"> IP valuation, life sciences, R&amp;D, </w:t>
      </w:r>
      <w:r w:rsidRPr="21ABB8BF">
        <w:t>SEP/FRAND</w:t>
      </w:r>
      <w:r w:rsidRPr="21ABB8BF">
        <w:rPr>
          <w:shd w:val="clear" w:color="auto" w:fill="FFFFFF" w:themeFill="background1"/>
        </w:rPr>
        <w:t xml:space="preserve"> disputes</w:t>
      </w:r>
      <w:r w:rsidRPr="21ABB8BF">
        <w:t xml:space="preserve">, and </w:t>
      </w:r>
      <w:r>
        <w:t>v</w:t>
      </w:r>
      <w:r w:rsidRPr="21ABB8BF">
        <w:t>ideo games</w:t>
      </w:r>
      <w:r>
        <w:rPr>
          <w:szCs w:val="22"/>
        </w:rPr>
        <w:t>.</w:t>
      </w:r>
      <w:r w:rsidRPr="21ABB8BF">
        <w:rPr>
          <w:shd w:val="clear" w:color="auto" w:fill="FFFFFF" w:themeFill="background1"/>
        </w:rPr>
        <w:t xml:space="preserve">  Center events also targeted specific audiences, such as SMEs, </w:t>
      </w:r>
      <w:r w:rsidRPr="00FE4767">
        <w:rPr>
          <w:shd w:val="clear" w:color="auto" w:fill="FFFFFF" w:themeFill="background1"/>
        </w:rPr>
        <w:t xml:space="preserve">entrepreneurs, youth and women. </w:t>
      </w:r>
      <w:bookmarkStart w:id="11" w:name="_Hlk158654583"/>
      <w:r w:rsidRPr="00FE4767">
        <w:rPr>
          <w:shd w:val="clear" w:color="auto" w:fill="FFFFFF" w:themeFill="background1"/>
        </w:rPr>
        <w:t xml:space="preserve"> </w:t>
      </w:r>
      <w:r w:rsidR="0013496E" w:rsidRPr="0013496E">
        <w:rPr>
          <w:shd w:val="clear" w:color="auto" w:fill="FFFFFF" w:themeFill="background1"/>
        </w:rPr>
        <w:t>In 2024, the</w:t>
      </w:r>
      <w:r w:rsidR="0013496E">
        <w:rPr>
          <w:shd w:val="clear" w:color="auto" w:fill="FFFFFF" w:themeFill="background1"/>
        </w:rPr>
        <w:t xml:space="preserve"> Center </w:t>
      </w:r>
      <w:r w:rsidR="0013496E">
        <w:rPr>
          <w:shd w:val="clear" w:color="auto" w:fill="FFFFFF" w:themeFill="background1"/>
        </w:rPr>
        <w:lastRenderedPageBreak/>
        <w:t>organized/</w:t>
      </w:r>
      <w:r w:rsidR="0013496E" w:rsidRPr="0013496E">
        <w:rPr>
          <w:shd w:val="clear" w:color="auto" w:fill="FFFFFF" w:themeFill="background1"/>
        </w:rPr>
        <w:t>participat</w:t>
      </w:r>
      <w:r w:rsidR="0013496E">
        <w:rPr>
          <w:shd w:val="clear" w:color="auto" w:fill="FFFFFF" w:themeFill="background1"/>
        </w:rPr>
        <w:t>ed</w:t>
      </w:r>
      <w:r w:rsidR="0013496E" w:rsidRPr="0013496E">
        <w:rPr>
          <w:shd w:val="clear" w:color="auto" w:fill="FFFFFF" w:themeFill="background1"/>
        </w:rPr>
        <w:t xml:space="preserve"> in over 100 events, both virtual and in-person, with more than 12,000 registrants from over 135 countries.</w:t>
      </w:r>
      <w:bookmarkEnd w:id="11"/>
    </w:p>
    <w:p w14:paraId="162BD9DC" w14:textId="77777777" w:rsidR="00C54079" w:rsidRPr="00FE4767" w:rsidRDefault="00C54079" w:rsidP="00C54079">
      <w:pPr>
        <w:pStyle w:val="ListParagraph"/>
        <w:widowControl w:val="0"/>
        <w:spacing w:after="240"/>
        <w:ind w:left="0"/>
      </w:pPr>
    </w:p>
    <w:p w14:paraId="2B517DA0" w14:textId="160DF953" w:rsidR="00C54079" w:rsidRPr="00FE4767" w:rsidRDefault="00C54079" w:rsidP="00C54079">
      <w:pPr>
        <w:pStyle w:val="ListParagraph"/>
        <w:widowControl w:val="0"/>
        <w:numPr>
          <w:ilvl w:val="0"/>
          <w:numId w:val="7"/>
        </w:numPr>
        <w:spacing w:after="240"/>
        <w:ind w:left="0" w:firstLine="0"/>
        <w:contextualSpacing w:val="0"/>
        <w:rPr>
          <w:szCs w:val="22"/>
        </w:rPr>
      </w:pPr>
      <w:r w:rsidRPr="00FE4767">
        <w:rPr>
          <w:szCs w:val="22"/>
        </w:rPr>
        <w:t xml:space="preserve">Under the </w:t>
      </w:r>
      <w:hyperlink r:id="rId32" w:history="1">
        <w:r w:rsidRPr="00FE4767">
          <w:rPr>
            <w:rStyle w:val="Hyperlink"/>
            <w:szCs w:val="22"/>
          </w:rPr>
          <w:t>WIPO Mediation Pledge for IP and Technology Disputes</w:t>
        </w:r>
      </w:hyperlink>
      <w:r w:rsidRPr="00FE4767">
        <w:rPr>
          <w:szCs w:val="22"/>
        </w:rPr>
        <w:t xml:space="preserve">, signatories and collaborating entities agree to promote mediation as an alternative to court litigation to reduce the impact of disputes on innovation and creative processes.  Over </w:t>
      </w:r>
      <w:r w:rsidRPr="00FE4767">
        <w:t>930</w:t>
      </w:r>
      <w:r w:rsidRPr="00FE4767">
        <w:rPr>
          <w:szCs w:val="22"/>
        </w:rPr>
        <w:t xml:space="preserve"> participants have signed </w:t>
      </w:r>
      <w:r w:rsidRPr="00FE4767">
        <w:t>the Pledge</w:t>
      </w:r>
      <w:r w:rsidRPr="00FE4767">
        <w:rPr>
          <w:szCs w:val="22"/>
        </w:rPr>
        <w:t xml:space="preserve">, including </w:t>
      </w:r>
      <w:r w:rsidRPr="00FE4767">
        <w:t>37</w:t>
      </w:r>
      <w:r w:rsidRPr="00FE4767">
        <w:rPr>
          <w:szCs w:val="22"/>
        </w:rPr>
        <w:t xml:space="preserve"> Member State </w:t>
      </w:r>
      <w:r w:rsidRPr="00FE4767">
        <w:t>IP offices</w:t>
      </w:r>
      <w:r w:rsidRPr="00FE4767">
        <w:rPr>
          <w:szCs w:val="22"/>
        </w:rPr>
        <w:t xml:space="preserve"> and ADR industry associations.</w:t>
      </w:r>
    </w:p>
    <w:p w14:paraId="704D3F82" w14:textId="77777777" w:rsidR="00C54079" w:rsidRPr="005B4F4B" w:rsidRDefault="00C54079" w:rsidP="00C54079">
      <w:pPr>
        <w:pStyle w:val="Heading2"/>
        <w:keepNext w:val="0"/>
        <w:widowControl w:val="0"/>
        <w:spacing w:after="220"/>
      </w:pPr>
      <w:r w:rsidRPr="005B4F4B">
        <w:t>II.</w:t>
      </w:r>
      <w:r w:rsidRPr="005B4F4B">
        <w:tab/>
        <w:t>DOMAIN NAME CASE ADMINISTRATION</w:t>
      </w:r>
    </w:p>
    <w:p w14:paraId="5E8A5D01" w14:textId="77777777" w:rsidR="00C54079" w:rsidRPr="005B4F4B" w:rsidRDefault="00C54079" w:rsidP="00C54079">
      <w:pPr>
        <w:pStyle w:val="Heading2"/>
        <w:ind w:left="540"/>
      </w:pPr>
      <w:r w:rsidRPr="005B4F4B">
        <w:t>A.</w:t>
      </w:r>
      <w:r w:rsidRPr="005B4F4B">
        <w:tab/>
        <w:t>UDRP</w:t>
      </w:r>
    </w:p>
    <w:p w14:paraId="7D1ED616" w14:textId="19B68C97" w:rsidR="00C54079" w:rsidRDefault="00C54079" w:rsidP="00C54079">
      <w:pPr>
        <w:pStyle w:val="ListParagraph"/>
        <w:numPr>
          <w:ilvl w:val="0"/>
          <w:numId w:val="7"/>
        </w:numPr>
        <w:spacing w:before="240" w:after="240"/>
        <w:ind w:left="0" w:firstLine="0"/>
        <w:contextualSpacing w:val="0"/>
        <w:rPr>
          <w:rFonts w:cs="Arial"/>
          <w:szCs w:val="24"/>
        </w:rPr>
      </w:pPr>
      <w:r w:rsidRPr="005B4F4B">
        <w:rPr>
          <w:rFonts w:cs="Arial"/>
          <w:szCs w:val="24"/>
        </w:rPr>
        <w:t xml:space="preserve">The DNS raises </w:t>
      </w:r>
      <w:proofErr w:type="gramStart"/>
      <w:r>
        <w:rPr>
          <w:rFonts w:cs="Arial"/>
          <w:szCs w:val="24"/>
        </w:rPr>
        <w:t>a number of</w:t>
      </w:r>
      <w:proofErr w:type="gramEnd"/>
      <w:r>
        <w:rPr>
          <w:rFonts w:cs="Arial"/>
          <w:szCs w:val="24"/>
        </w:rPr>
        <w:t xml:space="preserve"> </w:t>
      </w:r>
      <w:r w:rsidRPr="005B4F4B">
        <w:rPr>
          <w:rFonts w:cs="Arial"/>
          <w:szCs w:val="24"/>
        </w:rPr>
        <w:t xml:space="preserve">challenges for the protection of IP, which, due to the global nature of the Internet, call for an international approach. </w:t>
      </w:r>
      <w:r>
        <w:rPr>
          <w:rFonts w:cs="Arial"/>
          <w:szCs w:val="24"/>
        </w:rPr>
        <w:t xml:space="preserve"> </w:t>
      </w:r>
      <w:r w:rsidRPr="005B4F4B">
        <w:rPr>
          <w:rFonts w:cs="Arial"/>
          <w:szCs w:val="24"/>
        </w:rPr>
        <w:t xml:space="preserve">WIPO has addressed these challenges since 1998 by developing solutions, notably in the </w:t>
      </w:r>
      <w:hyperlink r:id="rId33" w:history="1">
        <w:r w:rsidRPr="00023EFD">
          <w:rPr>
            <w:rStyle w:val="Hyperlink"/>
            <w:rFonts w:cs="Arial"/>
            <w:szCs w:val="24"/>
          </w:rPr>
          <w:t>First</w:t>
        </w:r>
      </w:hyperlink>
      <w:r w:rsidRPr="005B4F4B">
        <w:rPr>
          <w:rFonts w:cs="Arial"/>
          <w:szCs w:val="24"/>
        </w:rPr>
        <w:t xml:space="preserve"> and </w:t>
      </w:r>
      <w:hyperlink r:id="rId34" w:history="1">
        <w:r w:rsidRPr="00023EFD">
          <w:rPr>
            <w:rStyle w:val="Hyperlink"/>
            <w:rFonts w:cs="Arial"/>
            <w:szCs w:val="24"/>
          </w:rPr>
          <w:t>Second</w:t>
        </w:r>
      </w:hyperlink>
      <w:r w:rsidRPr="005B4F4B">
        <w:rPr>
          <w:rFonts w:cs="Arial"/>
          <w:szCs w:val="24"/>
        </w:rPr>
        <w:t xml:space="preserve"> WIPO Internet Domain Name Processes. </w:t>
      </w:r>
      <w:r>
        <w:rPr>
          <w:rFonts w:cs="Arial"/>
          <w:szCs w:val="24"/>
        </w:rPr>
        <w:t xml:space="preserve"> Through the Center, </w:t>
      </w:r>
      <w:r w:rsidRPr="005B4F4B">
        <w:rPr>
          <w:rFonts w:cs="Arial"/>
          <w:szCs w:val="24"/>
        </w:rPr>
        <w:t>WIPO provides trademark owners with efficient international mechanisms to deal with the bad</w:t>
      </w:r>
      <w:r w:rsidRPr="005B4F4B">
        <w:rPr>
          <w:rFonts w:cs="Arial"/>
          <w:szCs w:val="24"/>
        </w:rPr>
        <w:noBreakHyphen/>
        <w:t xml:space="preserve">faith registration and use of domain names corresponding to their trademark rights. </w:t>
      </w:r>
      <w:r>
        <w:rPr>
          <w:rFonts w:cs="Arial"/>
          <w:szCs w:val="24"/>
        </w:rPr>
        <w:t xml:space="preserve"> </w:t>
      </w:r>
      <w:r w:rsidRPr="005B4F4B">
        <w:rPr>
          <w:rFonts w:cs="Arial"/>
          <w:szCs w:val="24"/>
        </w:rPr>
        <w:t xml:space="preserve">The main mechanism administered by </w:t>
      </w:r>
      <w:r>
        <w:rPr>
          <w:rFonts w:cs="Arial"/>
          <w:szCs w:val="24"/>
        </w:rPr>
        <w:t>WIPO</w:t>
      </w:r>
      <w:r w:rsidRPr="005B4F4B">
        <w:rPr>
          <w:rFonts w:cs="Arial"/>
          <w:szCs w:val="24"/>
        </w:rPr>
        <w:t xml:space="preserve">, the UDRP, was adopted by ICANN </w:t>
      </w:r>
      <w:proofErr w:type="gramStart"/>
      <w:r w:rsidRPr="005B4F4B">
        <w:rPr>
          <w:rFonts w:cs="Arial"/>
          <w:szCs w:val="24"/>
        </w:rPr>
        <w:t>on the basis of</w:t>
      </w:r>
      <w:proofErr w:type="gramEnd"/>
      <w:r w:rsidRPr="005B4F4B">
        <w:rPr>
          <w:rFonts w:cs="Arial"/>
          <w:szCs w:val="24"/>
        </w:rPr>
        <w:t xml:space="preserve"> recommendations made by WIPO in the First WIPO Process.</w:t>
      </w:r>
    </w:p>
    <w:p w14:paraId="23080B52" w14:textId="4CF2589E" w:rsidR="00C54079" w:rsidRPr="00670377" w:rsidRDefault="00C54079" w:rsidP="00C54079">
      <w:pPr>
        <w:pStyle w:val="ListParagraph"/>
        <w:numPr>
          <w:ilvl w:val="0"/>
          <w:numId w:val="7"/>
        </w:numPr>
        <w:spacing w:before="240" w:after="240"/>
        <w:ind w:left="0" w:firstLine="0"/>
        <w:contextualSpacing w:val="0"/>
        <w:rPr>
          <w:rFonts w:cs="Arial"/>
          <w:szCs w:val="24"/>
        </w:rPr>
      </w:pPr>
      <w:r w:rsidRPr="00670377">
        <w:rPr>
          <w:rFonts w:cs="Arial"/>
        </w:rPr>
        <w:t>Cybersquatting – the abuse of a trademark in a domain name – is a global problem.  Named parties to WIPO cases covered 133 countries in 2024, to total 188 since the UDRP’s inception.</w:t>
      </w:r>
      <w:r w:rsidR="008B21AE">
        <w:rPr>
          <w:rFonts w:cs="Arial"/>
        </w:rPr>
        <w:t xml:space="preserve">  Based on </w:t>
      </w:r>
      <w:r w:rsidRPr="00670377">
        <w:rPr>
          <w:rFonts w:cs="Arial"/>
        </w:rPr>
        <w:t>the language</w:t>
      </w:r>
      <w:r w:rsidR="008B21AE">
        <w:rPr>
          <w:rFonts w:cs="Arial"/>
        </w:rPr>
        <w:t xml:space="preserve"> </w:t>
      </w:r>
      <w:r w:rsidRPr="00670377">
        <w:rPr>
          <w:rFonts w:cs="Arial"/>
        </w:rPr>
        <w:t>of the registration agreement of the domain name at issue, WIPO so far has conducted UDRP proceedings in over 30 languages.</w:t>
      </w:r>
      <w:r w:rsidRPr="00670377">
        <w:rPr>
          <w:rStyle w:val="FootnoteReference"/>
          <w:rFonts w:eastAsia="SimSun" w:cs="Arial"/>
        </w:rPr>
        <w:footnoteReference w:id="23"/>
      </w:r>
    </w:p>
    <w:p w14:paraId="06A7100D" w14:textId="64227D9C" w:rsidR="00C54079" w:rsidRPr="00670377" w:rsidRDefault="00C54079" w:rsidP="00C54079">
      <w:pPr>
        <w:pStyle w:val="ListParagraph"/>
        <w:numPr>
          <w:ilvl w:val="0"/>
          <w:numId w:val="7"/>
        </w:numPr>
        <w:spacing w:after="240"/>
        <w:ind w:left="0" w:firstLine="0"/>
        <w:contextualSpacing w:val="0"/>
        <w:rPr>
          <w:rFonts w:cs="Arial"/>
          <w:szCs w:val="24"/>
        </w:rPr>
      </w:pPr>
      <w:r w:rsidRPr="00670377">
        <w:rPr>
          <w:rFonts w:cs="Arial"/>
        </w:rPr>
        <w:t>With a greater number of people spending more time online every year, infringers have been finding an increasingly target-rich environment.  Brand owners continue to step up their brand enforcement on the Internet as they further shift to providing their goods and services online.  Limited in scope to clear cases of bad faith, the UDRP remains in high demand.</w:t>
      </w:r>
      <w:r w:rsidRPr="00670377">
        <w:rPr>
          <w:rStyle w:val="FootnoteReference"/>
          <w:rFonts w:eastAsia="SimSun" w:cs="Arial"/>
        </w:rPr>
        <w:footnoteReference w:id="24"/>
      </w:r>
      <w:r w:rsidRPr="00670377">
        <w:rPr>
          <w:rFonts w:cs="Arial"/>
        </w:rPr>
        <w:t xml:space="preserve">  Since December 1999, WIPO has administered over 75,000 UDRP-based cases.</w:t>
      </w:r>
      <w:r w:rsidRPr="00670377">
        <w:rPr>
          <w:rFonts w:cs="Arial"/>
          <w:vertAlign w:val="superscript"/>
        </w:rPr>
        <w:footnoteReference w:id="25"/>
      </w:r>
      <w:r w:rsidRPr="00670377">
        <w:rPr>
          <w:rFonts w:cs="Arial"/>
        </w:rPr>
        <w:t xml:space="preserve">  Increasingly, filings from brand owners include alleged fraudulent email or phishing schemes, impersonation, and other illicit uses of consumer-facing websites (e.g., counterfeits) associated with the disputed domain names.  In 2024</w:t>
      </w:r>
      <w:r w:rsidR="004A315B">
        <w:rPr>
          <w:rFonts w:cs="Arial"/>
        </w:rPr>
        <w:t>,</w:t>
      </w:r>
      <w:r w:rsidRPr="00670377">
        <w:rPr>
          <w:rFonts w:cs="Arial"/>
        </w:rPr>
        <w:t xml:space="preserve"> brand owners filed 6,168 UDRP-based complaints with WIPO, </w:t>
      </w:r>
      <w:r w:rsidRPr="00670377">
        <w:t>the second largest number of filings ever received by the Center, underscoring the continued importance of the UDRP for brand owners</w:t>
      </w:r>
      <w:r w:rsidRPr="00670377">
        <w:rPr>
          <w:rFonts w:cs="Arial"/>
        </w:rPr>
        <w:t xml:space="preserve">.  The total number of domain names in WIPO UDRP-based cases </w:t>
      </w:r>
      <w:r w:rsidR="00B5123D">
        <w:rPr>
          <w:rFonts w:cs="Arial"/>
        </w:rPr>
        <w:t>is over</w:t>
      </w:r>
      <w:r w:rsidRPr="00670377">
        <w:rPr>
          <w:rFonts w:cs="Arial"/>
        </w:rPr>
        <w:t xml:space="preserve"> 133,000.  The scope of the risks for consumers can also be seen in the top sectors for complainant business activity, including retail, banking and finance, biotechnology and pharmaceuticals, Internet and information technology, heavy industry and machinery, and fashion.  </w:t>
      </w:r>
    </w:p>
    <w:p w14:paraId="521F6C3B" w14:textId="160D672A" w:rsidR="00C54079" w:rsidRPr="005B4F4B" w:rsidRDefault="00C54079" w:rsidP="00C54079">
      <w:pPr>
        <w:pStyle w:val="ListParagraph"/>
        <w:numPr>
          <w:ilvl w:val="0"/>
          <w:numId w:val="7"/>
        </w:numPr>
        <w:spacing w:after="240"/>
        <w:ind w:left="0" w:firstLine="0"/>
        <w:contextualSpacing w:val="0"/>
        <w:rPr>
          <w:rFonts w:cs="Arial"/>
          <w:szCs w:val="24"/>
        </w:rPr>
      </w:pPr>
      <w:r w:rsidRPr="0B1EA5E2">
        <w:rPr>
          <w:rFonts w:cs="Arial"/>
        </w:rPr>
        <w:t xml:space="preserve">All WIPO UDRP panel decisions are posted on the Center’s website.  The free, online </w:t>
      </w:r>
      <w:hyperlink r:id="rId35" w:history="1">
        <w:r w:rsidRPr="0B1EA5E2">
          <w:rPr>
            <w:rStyle w:val="Hyperlink"/>
            <w:rFonts w:cs="Arial"/>
          </w:rPr>
          <w:t xml:space="preserve">WIPO </w:t>
        </w:r>
        <w:r w:rsidRPr="00B148BB">
          <w:rPr>
            <w:rStyle w:val="Hyperlink"/>
            <w:rFonts w:cs="Arial"/>
          </w:rPr>
          <w:t>Overview of WIPO Panel Views on Selected UDRP Questions</w:t>
        </w:r>
      </w:hyperlink>
      <w:r w:rsidRPr="005B4F4B">
        <w:rPr>
          <w:rFonts w:cs="Arial"/>
        </w:rPr>
        <w:t xml:space="preserve"> </w:t>
      </w:r>
      <w:r w:rsidRPr="0B1EA5E2">
        <w:rPr>
          <w:rFonts w:cs="Arial"/>
        </w:rPr>
        <w:t xml:space="preserve">remains a vital and globally-consulted jurisprudential overview of decision trends on important case issues covering 100 topics, including reference to almost 1,000 representative decisions from over 265 WIPO </w:t>
      </w:r>
      <w:r w:rsidR="00D3577B">
        <w:rPr>
          <w:rFonts w:cs="Arial"/>
        </w:rPr>
        <w:lastRenderedPageBreak/>
        <w:t>pa</w:t>
      </w:r>
      <w:r w:rsidRPr="0B1EA5E2">
        <w:rPr>
          <w:rFonts w:cs="Arial"/>
        </w:rPr>
        <w:t>nelists.</w:t>
      </w:r>
      <w:r w:rsidRPr="0B1EA5E2">
        <w:rPr>
          <w:rStyle w:val="FootnoteReference"/>
          <w:rFonts w:cs="Arial"/>
        </w:rPr>
        <w:footnoteReference w:id="26"/>
      </w:r>
      <w:r w:rsidRPr="0B1EA5E2">
        <w:rPr>
          <w:rFonts w:cs="Arial"/>
        </w:rPr>
        <w:t xml:space="preserve">  To facilitate access to decisions according to subject matter, WIPO also offers an online searchable </w:t>
      </w:r>
      <w:hyperlink r:id="rId36" w:history="1">
        <w:r w:rsidRPr="00C94A97">
          <w:rPr>
            <w:rStyle w:val="Hyperlink"/>
            <w:rFonts w:cs="Arial"/>
          </w:rPr>
          <w:t>Legal Index of WIPO UDRP Decisions</w:t>
        </w:r>
      </w:hyperlink>
      <w:r w:rsidRPr="0B1EA5E2">
        <w:rPr>
          <w:rFonts w:cs="Arial"/>
        </w:rPr>
        <w:t>.  These WIPO resources are accessible free of charge.</w:t>
      </w:r>
    </w:p>
    <w:p w14:paraId="1A880567" w14:textId="502C104A" w:rsidR="00C54079" w:rsidRPr="00670377" w:rsidRDefault="00C54079" w:rsidP="00C54079">
      <w:pPr>
        <w:pStyle w:val="ListParagraph"/>
        <w:numPr>
          <w:ilvl w:val="0"/>
          <w:numId w:val="7"/>
        </w:numPr>
        <w:spacing w:after="240"/>
        <w:ind w:left="0" w:firstLine="0"/>
        <w:contextualSpacing w:val="0"/>
        <w:rPr>
          <w:rFonts w:cs="Arial"/>
          <w:szCs w:val="24"/>
        </w:rPr>
      </w:pPr>
      <w:r w:rsidRPr="00670377">
        <w:rPr>
          <w:rFonts w:cs="Arial"/>
        </w:rPr>
        <w:t>Mindful of WIPO’s foundational role in the UDRP, the Center actively monitors developments in the DNS with a view to adjusting its resources and practices.  The Center regularly participates and organizes domain name dispute resolution events to update interested parties and</w:t>
      </w:r>
      <w:r w:rsidR="00723FE1">
        <w:rPr>
          <w:rFonts w:cs="Arial"/>
        </w:rPr>
        <w:t xml:space="preserve"> WIPO</w:t>
      </w:r>
      <w:r w:rsidRPr="00670377">
        <w:rPr>
          <w:rFonts w:cs="Arial"/>
        </w:rPr>
        <w:t xml:space="preserve"> </w:t>
      </w:r>
      <w:r w:rsidR="00D3577B">
        <w:rPr>
          <w:rFonts w:cs="Arial"/>
        </w:rPr>
        <w:t>d</w:t>
      </w:r>
      <w:r w:rsidRPr="00670377">
        <w:rPr>
          <w:rFonts w:cs="Arial"/>
        </w:rPr>
        <w:t xml:space="preserve">omain </w:t>
      </w:r>
      <w:r w:rsidR="00D3577B">
        <w:rPr>
          <w:rFonts w:cs="Arial"/>
        </w:rPr>
        <w:t>n</w:t>
      </w:r>
      <w:r w:rsidRPr="00670377">
        <w:rPr>
          <w:rFonts w:cs="Arial"/>
        </w:rPr>
        <w:t xml:space="preserve">ame </w:t>
      </w:r>
      <w:r w:rsidR="00D3577B">
        <w:rPr>
          <w:rFonts w:cs="Arial"/>
        </w:rPr>
        <w:t>p</w:t>
      </w:r>
      <w:r w:rsidRPr="00670377">
        <w:rPr>
          <w:rFonts w:cs="Arial"/>
        </w:rPr>
        <w:t>anelists.  In 2025, the UDRP will pass 25 years of successful operation and</w:t>
      </w:r>
      <w:r w:rsidR="00723FE1">
        <w:rPr>
          <w:rFonts w:cs="Arial"/>
        </w:rPr>
        <w:t xml:space="preserve"> in </w:t>
      </w:r>
      <w:r w:rsidRPr="00670377">
        <w:rPr>
          <w:rFonts w:cs="Arial"/>
        </w:rPr>
        <w:t>April</w:t>
      </w:r>
      <w:r w:rsidR="00D73E3A">
        <w:rPr>
          <w:rFonts w:cs="Arial"/>
        </w:rPr>
        <w:t xml:space="preserve"> </w:t>
      </w:r>
      <w:r w:rsidRPr="00670377">
        <w:rPr>
          <w:rFonts w:cs="Arial"/>
        </w:rPr>
        <w:t xml:space="preserve">the Center </w:t>
      </w:r>
      <w:r w:rsidR="00D73E3A">
        <w:rPr>
          <w:rFonts w:cs="Arial"/>
        </w:rPr>
        <w:t>hosted</w:t>
      </w:r>
      <w:r w:rsidRPr="00670377">
        <w:rPr>
          <w:rFonts w:cs="Arial"/>
        </w:rPr>
        <w:t xml:space="preserve"> a </w:t>
      </w:r>
      <w:hyperlink r:id="rId37" w:history="1">
        <w:r w:rsidRPr="009365DF">
          <w:rPr>
            <w:rStyle w:val="Hyperlink"/>
            <w:rFonts w:cs="Arial"/>
          </w:rPr>
          <w:t>conference in Geneva</w:t>
        </w:r>
      </w:hyperlink>
      <w:r w:rsidRPr="00670377">
        <w:rPr>
          <w:rFonts w:cs="Arial"/>
        </w:rPr>
        <w:t xml:space="preserve"> to commemorate this milestone.  The event </w:t>
      </w:r>
      <w:r w:rsidR="00D73E3A">
        <w:rPr>
          <w:rFonts w:cs="Arial"/>
        </w:rPr>
        <w:t>took</w:t>
      </w:r>
      <w:r w:rsidR="00264B65">
        <w:rPr>
          <w:rFonts w:cs="Arial"/>
        </w:rPr>
        <w:t xml:space="preserve"> </w:t>
      </w:r>
      <w:r w:rsidRPr="00670377">
        <w:rPr>
          <w:rFonts w:cs="Arial"/>
        </w:rPr>
        <w:t>stock and look</w:t>
      </w:r>
      <w:r w:rsidR="00D73E3A">
        <w:rPr>
          <w:rFonts w:cs="Arial"/>
        </w:rPr>
        <w:t>ed</w:t>
      </w:r>
      <w:r w:rsidRPr="00670377">
        <w:rPr>
          <w:rFonts w:cs="Arial"/>
        </w:rPr>
        <w:t xml:space="preserve"> ahead in terms of UDRP jurisprudence, relevant Internet developments, and a range of other topical items such as blockchain domains and the potential impacts of AI on the DNS industry and rights enforcement mechanisms.</w:t>
      </w:r>
      <w:r w:rsidRPr="00670377">
        <w:rPr>
          <w:rStyle w:val="FootnoteReference"/>
          <w:rFonts w:cs="Arial"/>
        </w:rPr>
        <w:footnoteReference w:id="27"/>
      </w:r>
    </w:p>
    <w:p w14:paraId="6F43FE75" w14:textId="77777777" w:rsidR="00C54079" w:rsidRPr="005B4F4B" w:rsidRDefault="00C54079" w:rsidP="00C54079">
      <w:pPr>
        <w:pStyle w:val="Heading3"/>
        <w:spacing w:after="240"/>
        <w:ind w:firstLine="562"/>
        <w:rPr>
          <w:u w:val="none"/>
        </w:rPr>
      </w:pPr>
      <w:r w:rsidRPr="005B4F4B">
        <w:rPr>
          <w:u w:val="none"/>
        </w:rPr>
        <w:t>B.</w:t>
      </w:r>
      <w:r w:rsidRPr="005B4F4B">
        <w:rPr>
          <w:u w:val="none"/>
        </w:rPr>
        <w:tab/>
        <w:t>COUNTRY CODE TOP</w:t>
      </w:r>
      <w:r w:rsidRPr="005B4F4B">
        <w:rPr>
          <w:u w:val="none"/>
        </w:rPr>
        <w:noBreakHyphen/>
        <w:t>LEVEL DOMAINS (CCTLDS)</w:t>
      </w:r>
    </w:p>
    <w:p w14:paraId="1E85B7A1" w14:textId="6B30E762" w:rsidR="00C54079" w:rsidRPr="00D3577B" w:rsidRDefault="00C54079" w:rsidP="00C54079">
      <w:pPr>
        <w:pStyle w:val="ListParagraph"/>
        <w:numPr>
          <w:ilvl w:val="0"/>
          <w:numId w:val="7"/>
        </w:numPr>
        <w:spacing w:after="240"/>
        <w:ind w:left="0" w:firstLine="0"/>
        <w:contextualSpacing w:val="0"/>
        <w:rPr>
          <w:rFonts w:cs="Arial"/>
        </w:rPr>
      </w:pPr>
      <w:r w:rsidRPr="00D3577B">
        <w:rPr>
          <w:rFonts w:cs="Arial"/>
        </w:rPr>
        <w:t xml:space="preserve">The application of the UDRP is mandated for domain names registered in gTLDs (such as .com), and more recently introduced </w:t>
      </w:r>
      <w:r w:rsidR="00E13928">
        <w:rPr>
          <w:rFonts w:cs="Arial"/>
        </w:rPr>
        <w:t>n</w:t>
      </w:r>
      <w:r w:rsidRPr="00D3577B">
        <w:rPr>
          <w:rFonts w:cs="Arial"/>
        </w:rPr>
        <w:t xml:space="preserve">ew gTLDs.  The Center also </w:t>
      </w:r>
      <w:hyperlink r:id="rId38" w:history="1">
        <w:r w:rsidRPr="00D3577B">
          <w:rPr>
            <w:rFonts w:cs="Arial"/>
          </w:rPr>
          <w:t>assists national ccTLD registries</w:t>
        </w:r>
      </w:hyperlink>
      <w:r w:rsidRPr="00D3577B">
        <w:rPr>
          <w:rFonts w:cs="Arial"/>
        </w:rPr>
        <w:t xml:space="preserve"> in their establishment of registration conditions and dispute resolution procedures that conform with best practices in registry management and IP protection.  Some ccTLD registries adopt the UDRP directly, while others have adopted UDRP-based procedures that take account of relevant national considerations.  </w:t>
      </w:r>
      <w:r w:rsidRPr="00D3577B">
        <w:t xml:space="preserve">Moreover, </w:t>
      </w:r>
      <w:r w:rsidR="009C3F4A" w:rsidRPr="00D3577B">
        <w:t>i</w:t>
      </w:r>
      <w:r w:rsidRPr="00D3577B">
        <w:t>n July 2024, the Center organized a</w:t>
      </w:r>
      <w:r w:rsidR="00D73E3A" w:rsidRPr="00D3577B">
        <w:t xml:space="preserve"> side event</w:t>
      </w:r>
      <w:r w:rsidR="00F30518">
        <w:t xml:space="preserve"> titled</w:t>
      </w:r>
      <w:r w:rsidR="00D73E3A" w:rsidRPr="00D3577B">
        <w:t xml:space="preserve"> </w:t>
      </w:r>
      <w:r w:rsidR="00723FE1" w:rsidRPr="00D3577B">
        <w:t>“</w:t>
      </w:r>
      <w:r w:rsidR="00F17916" w:rsidRPr="00D3577B">
        <w:t>C</w:t>
      </w:r>
      <w:r w:rsidRPr="00D3577B">
        <w:t>ountry code Top</w:t>
      </w:r>
      <w:r w:rsidR="00EE2D98" w:rsidRPr="00D3577B">
        <w:t>-</w:t>
      </w:r>
      <w:r w:rsidRPr="00D3577B">
        <w:t>Level Domains (ccTLDs) – Expanded Services for Member States</w:t>
      </w:r>
      <w:r w:rsidR="00D73E3A" w:rsidRPr="00D3577B">
        <w:t>”</w:t>
      </w:r>
      <w:r w:rsidRPr="00D3577B">
        <w:t xml:space="preserve"> at the 2024 WIPO General Assembly regarding the Center’s ccTLD Program and collaborative opportunities for IP </w:t>
      </w:r>
      <w:r w:rsidR="009C3F4A" w:rsidRPr="00D3577B">
        <w:t>O</w:t>
      </w:r>
      <w:r w:rsidRPr="00D3577B">
        <w:t xml:space="preserve">ffices and ccTLD </w:t>
      </w:r>
      <w:r w:rsidR="009C3F4A" w:rsidRPr="00D3577B">
        <w:t>R</w:t>
      </w:r>
      <w:r w:rsidRPr="00D3577B">
        <w:t>egistries to empower brands and build trustworthy ecommerce ecosystems</w:t>
      </w:r>
      <w:r w:rsidR="004A315B" w:rsidRPr="00D3577B">
        <w:t>.</w:t>
      </w:r>
    </w:p>
    <w:p w14:paraId="0AE26F56" w14:textId="2ACC2735" w:rsidR="00C54079" w:rsidRPr="00E85D2C" w:rsidRDefault="00C54079" w:rsidP="00C54079">
      <w:pPr>
        <w:pStyle w:val="ListParagraph"/>
        <w:numPr>
          <w:ilvl w:val="0"/>
          <w:numId w:val="7"/>
        </w:numPr>
        <w:spacing w:after="240"/>
        <w:ind w:left="0" w:firstLine="0"/>
        <w:contextualSpacing w:val="0"/>
      </w:pPr>
      <w:r w:rsidRPr="00E85D2C">
        <w:t>WIPO provides dispute resolution services to 8</w:t>
      </w:r>
      <w:r w:rsidR="00FD1305">
        <w:t>7</w:t>
      </w:r>
      <w:r w:rsidRPr="00E85D2C">
        <w:t xml:space="preserve"> ccTLD registries, having begun accepting cases for the .</w:t>
      </w:r>
      <w:bookmarkStart w:id="12" w:name="_Hlk187395100"/>
      <w:r w:rsidRPr="00E85D2C">
        <w:t>AD (Andorra), .CV (Cabo Verde), .LV (Latvia), and .RW (Rwanda)</w:t>
      </w:r>
      <w:bookmarkEnd w:id="12"/>
      <w:r w:rsidRPr="00E85D2C">
        <w:t xml:space="preserve"> ccTLDs in 2024.</w:t>
      </w:r>
      <w:r w:rsidRPr="00E85D2C">
        <w:rPr>
          <w:vertAlign w:val="superscript"/>
        </w:rPr>
        <w:footnoteReference w:id="28"/>
      </w:r>
      <w:r w:rsidRPr="00E85D2C">
        <w:t xml:space="preserve"> </w:t>
      </w:r>
      <w:bookmarkStart w:id="13" w:name="_Hlk156395694"/>
      <w:r w:rsidRPr="00E85D2C">
        <w:t xml:space="preserve"> Moreover, in September 2024 the Center signed a Memorandum of Understanding with La </w:t>
      </w:r>
      <w:proofErr w:type="spellStart"/>
      <w:r w:rsidRPr="00E85D2C">
        <w:t>Dirección</w:t>
      </w:r>
      <w:proofErr w:type="spellEnd"/>
      <w:r w:rsidRPr="00E85D2C">
        <w:t xml:space="preserve"> Nacional del </w:t>
      </w:r>
      <w:proofErr w:type="spellStart"/>
      <w:r w:rsidRPr="00E85D2C">
        <w:t>Registro</w:t>
      </w:r>
      <w:proofErr w:type="spellEnd"/>
      <w:r w:rsidRPr="00E85D2C">
        <w:t xml:space="preserve"> de </w:t>
      </w:r>
      <w:proofErr w:type="spellStart"/>
      <w:r w:rsidRPr="00E85D2C">
        <w:t>Dominios</w:t>
      </w:r>
      <w:proofErr w:type="spellEnd"/>
      <w:r w:rsidRPr="00E85D2C">
        <w:t xml:space="preserve"> de Internet (NIC Argentina) regarding the provision of assistance in best practices and procedures for the protection of </w:t>
      </w:r>
      <w:r w:rsidR="0016153F">
        <w:t>IP</w:t>
      </w:r>
      <w:r w:rsidR="004A315B">
        <w:t xml:space="preserve"> </w:t>
      </w:r>
      <w:r w:rsidRPr="00E85D2C">
        <w:t xml:space="preserve">in .AR domain names.  In 2024, the Center </w:t>
      </w:r>
      <w:r w:rsidR="004A315B">
        <w:t xml:space="preserve">also </w:t>
      </w:r>
      <w:r w:rsidRPr="00E85D2C">
        <w:t xml:space="preserve">provided policy support to </w:t>
      </w:r>
      <w:proofErr w:type="gramStart"/>
      <w:r w:rsidRPr="00E85D2C">
        <w:t>a number of</w:t>
      </w:r>
      <w:proofErr w:type="gramEnd"/>
      <w:r w:rsidRPr="00E85D2C">
        <w:t xml:space="preserve"> ccTLD registries.  This included collaborating with relevant authorities to promote efficiency and harmonization of domain name dispute resolution mechanisms, for example by updating the registration conditions, administrative processes, </w:t>
      </w:r>
      <w:r w:rsidR="00115F25">
        <w:t>p</w:t>
      </w:r>
      <w:r w:rsidRPr="00E85D2C">
        <w:t xml:space="preserve">olicies, </w:t>
      </w:r>
      <w:r w:rsidR="00115F25">
        <w:t>r</w:t>
      </w:r>
      <w:r w:rsidRPr="00E85D2C">
        <w:t xml:space="preserve">ules, and/or WIPO Supplemental Rules for </w:t>
      </w:r>
      <w:bookmarkEnd w:id="13"/>
      <w:r w:rsidRPr="00E85D2C">
        <w:t>.DO (Dominican Republic), .NL (Netherlands</w:t>
      </w:r>
      <w:r w:rsidR="00994244">
        <w:t xml:space="preserve"> </w:t>
      </w:r>
      <w:r w:rsidR="006734C6">
        <w:t>(Kingdom of the)</w:t>
      </w:r>
      <w:r w:rsidRPr="00E85D2C">
        <w:t>), and .UA (Ukraine).</w:t>
      </w:r>
    </w:p>
    <w:p w14:paraId="2BD5F389" w14:textId="32224AC0" w:rsidR="00C54079" w:rsidRPr="00B206F4" w:rsidRDefault="00C54079" w:rsidP="00C54079">
      <w:pPr>
        <w:pStyle w:val="ListParagraph"/>
        <w:numPr>
          <w:ilvl w:val="0"/>
          <w:numId w:val="7"/>
        </w:numPr>
        <w:spacing w:after="240"/>
        <w:ind w:left="0" w:firstLine="0"/>
        <w:contextualSpacing w:val="0"/>
      </w:pPr>
      <w:r w:rsidRPr="004B7021">
        <w:t>For all ccTLDs concerned, WIPO offers extensive online party resources, including eligibility criteria for registration, supported characters, and multilingual model pleadings and filing information,</w:t>
      </w:r>
      <w:r w:rsidRPr="000D3353">
        <w:rPr>
          <w:vertAlign w:val="superscript"/>
        </w:rPr>
        <w:footnoteReference w:id="29"/>
      </w:r>
      <w:r w:rsidRPr="00E85D2C">
        <w:rPr>
          <w:vertAlign w:val="superscript"/>
        </w:rPr>
        <w:t xml:space="preserve"> </w:t>
      </w:r>
      <w:r w:rsidRPr="004B7021">
        <w:t xml:space="preserve">as well as </w:t>
      </w:r>
      <w:hyperlink r:id="rId39" w:history="1">
        <w:r w:rsidR="00B53906">
          <w:rPr>
            <w:rStyle w:val="Hyperlink"/>
          </w:rPr>
          <w:t>summaries of relevant differences</w:t>
        </w:r>
      </w:hyperlink>
      <w:r w:rsidR="00B53906">
        <w:t xml:space="preserve"> </w:t>
      </w:r>
      <w:r w:rsidR="00B53906" w:rsidRPr="00B53906">
        <w:t>between the respective UDRP</w:t>
      </w:r>
      <w:r w:rsidR="00B53906" w:rsidRPr="00B53906">
        <w:noBreakHyphen/>
        <w:t>based ccTLD policies and the UDRP</w:t>
      </w:r>
      <w:r w:rsidRPr="004B7021">
        <w:t>.</w:t>
      </w:r>
      <w:r w:rsidR="00B53906">
        <w:t xml:space="preserve">  </w:t>
      </w:r>
      <w:r w:rsidRPr="004B7021">
        <w:t xml:space="preserve">This information is summarized in the </w:t>
      </w:r>
      <w:hyperlink r:id="rId40" w:history="1">
        <w:r w:rsidRPr="00B206F4">
          <w:rPr>
            <w:rStyle w:val="Hyperlink"/>
          </w:rPr>
          <w:t>Guide to WIPO’s services for country code top-level domain registries</w:t>
        </w:r>
      </w:hyperlink>
      <w:r w:rsidRPr="00B206F4">
        <w:t>.</w:t>
      </w:r>
    </w:p>
    <w:p w14:paraId="49EC9893" w14:textId="77777777" w:rsidR="00C54079" w:rsidRPr="00B206F4" w:rsidRDefault="00C54079" w:rsidP="00C54079">
      <w:pPr>
        <w:pStyle w:val="Heading2"/>
        <w:ind w:firstLine="567"/>
      </w:pPr>
      <w:r w:rsidRPr="00B206F4">
        <w:t>C.</w:t>
      </w:r>
      <w:r w:rsidRPr="00B206F4">
        <w:tab/>
        <w:t>Information Technology and Support</w:t>
      </w:r>
    </w:p>
    <w:p w14:paraId="14A61606" w14:textId="77777777" w:rsidR="00C54079" w:rsidRPr="00B206F4" w:rsidRDefault="00C54079" w:rsidP="00C54079">
      <w:pPr>
        <w:keepNext/>
        <w:tabs>
          <w:tab w:val="left" w:pos="0"/>
        </w:tabs>
      </w:pPr>
    </w:p>
    <w:p w14:paraId="42A796C2" w14:textId="37035B5F" w:rsidR="00C54079" w:rsidRDefault="00C54079" w:rsidP="00C54079">
      <w:pPr>
        <w:pStyle w:val="ListParagraph"/>
        <w:numPr>
          <w:ilvl w:val="0"/>
          <w:numId w:val="7"/>
        </w:numPr>
        <w:spacing w:after="240"/>
        <w:ind w:left="0" w:firstLine="0"/>
        <w:contextualSpacing w:val="0"/>
      </w:pPr>
      <w:r w:rsidRPr="00B206F4">
        <w:t>WIPO is committed to ensuring accessibility to all stakeholders interacting with the Center’s services.  In furtherance of this goal, the Center made available in 2024 a new pilot e</w:t>
      </w:r>
      <w:r w:rsidR="00723FE1">
        <w:t>-</w:t>
      </w:r>
      <w:r w:rsidRPr="00B206F4">
        <w:t xml:space="preserve">filing mechanism and is currently developing a new case management system to improve the </w:t>
      </w:r>
      <w:r w:rsidRPr="00B206F4">
        <w:lastRenderedPageBreak/>
        <w:t xml:space="preserve">user experience and achieve efficiency gains.  Moreover, the Center has published several updates to its public website providing general guidance on UDRP filings on specific procedural or technical issues, such as domain name status and </w:t>
      </w:r>
      <w:proofErr w:type="spellStart"/>
      <w:r w:rsidRPr="00B206F4">
        <w:t>WhoIs</w:t>
      </w:r>
      <w:proofErr w:type="spellEnd"/>
      <w:r w:rsidRPr="00B206F4">
        <w:t xml:space="preserve"> information.</w:t>
      </w:r>
      <w:r w:rsidRPr="00B206F4">
        <w:rPr>
          <w:vertAlign w:val="superscript"/>
        </w:rPr>
        <w:footnoteReference w:id="30"/>
      </w:r>
    </w:p>
    <w:p w14:paraId="324F5B42" w14:textId="77777777" w:rsidR="00C54079" w:rsidRPr="00B206F4" w:rsidRDefault="00C54079" w:rsidP="00C54079">
      <w:pPr>
        <w:pStyle w:val="Heading2"/>
        <w:ind w:firstLine="567"/>
      </w:pPr>
      <w:r w:rsidRPr="00B206F4">
        <w:t>D.</w:t>
      </w:r>
      <w:r w:rsidRPr="00B206F4">
        <w:tab/>
        <w:t>Web 3.0</w:t>
      </w:r>
    </w:p>
    <w:p w14:paraId="296CB118" w14:textId="77777777" w:rsidR="00C54079" w:rsidRPr="00B206F4" w:rsidRDefault="00C54079" w:rsidP="00C54079">
      <w:pPr>
        <w:keepNext/>
        <w:tabs>
          <w:tab w:val="left" w:pos="540"/>
        </w:tabs>
      </w:pPr>
    </w:p>
    <w:p w14:paraId="49D2AF73" w14:textId="26227864" w:rsidR="00C54079" w:rsidRPr="004B7021" w:rsidRDefault="00C54079" w:rsidP="00C54079">
      <w:pPr>
        <w:pStyle w:val="ListParagraph"/>
        <w:numPr>
          <w:ilvl w:val="0"/>
          <w:numId w:val="7"/>
        </w:numPr>
        <w:spacing w:after="240"/>
        <w:ind w:left="0" w:firstLine="0"/>
        <w:contextualSpacing w:val="0"/>
      </w:pPr>
      <w:r w:rsidRPr="00B206F4">
        <w:t xml:space="preserve">The Center is engaged in ongoing discussions with relevant registries and registrars concerning the application of </w:t>
      </w:r>
      <w:r w:rsidR="008D5447" w:rsidRPr="546F7EB4">
        <w:rPr>
          <w:snapToGrid w:val="0"/>
        </w:rPr>
        <w:t>RPMs</w:t>
      </w:r>
      <w:r w:rsidR="008D5447" w:rsidRPr="00B206F4" w:rsidDel="008D5447">
        <w:t xml:space="preserve"> </w:t>
      </w:r>
      <w:r w:rsidRPr="00B206F4">
        <w:t xml:space="preserve">such as the UDRP to “Web 3.0” and blockchain domains.  So far the Center is assisting Web 3.0 operator </w:t>
      </w:r>
      <w:proofErr w:type="spellStart"/>
      <w:r w:rsidRPr="00B206F4">
        <w:t>Namebase</w:t>
      </w:r>
      <w:proofErr w:type="spellEnd"/>
      <w:r w:rsidRPr="00B206F4">
        <w:t xml:space="preserve"> and new gTLD </w:t>
      </w:r>
      <w:proofErr w:type="gramStart"/>
      <w:r w:rsidRPr="00B206F4">
        <w:t>operator .ART</w:t>
      </w:r>
      <w:proofErr w:type="gramEnd"/>
      <w:r w:rsidRPr="00B206F4">
        <w:t xml:space="preserve"> in the application of the UDRP to second level domain names under the respective Web 3.0 registries.</w:t>
      </w:r>
    </w:p>
    <w:p w14:paraId="32A19E6D" w14:textId="77777777" w:rsidR="00C54079" w:rsidRDefault="00C54079" w:rsidP="00C54079">
      <w:pPr>
        <w:pStyle w:val="Heading2"/>
      </w:pPr>
      <w:r w:rsidRPr="005B4F4B">
        <w:t>III.</w:t>
      </w:r>
      <w:r w:rsidRPr="005B4F4B">
        <w:tab/>
        <w:t xml:space="preserve">POLICY DEVELOPMENTS IN THE DNS </w:t>
      </w:r>
    </w:p>
    <w:p w14:paraId="7D4798A8" w14:textId="77777777" w:rsidR="00C54079" w:rsidRPr="00C84A18" w:rsidRDefault="00C54079" w:rsidP="00C54079"/>
    <w:p w14:paraId="3EB855CC" w14:textId="11CBF047" w:rsidR="00C54079" w:rsidRDefault="00C54079" w:rsidP="00C54079">
      <w:pPr>
        <w:pStyle w:val="ListParagraph"/>
        <w:numPr>
          <w:ilvl w:val="0"/>
          <w:numId w:val="7"/>
        </w:numPr>
        <w:spacing w:after="240"/>
        <w:ind w:left="0" w:firstLine="0"/>
        <w:contextualSpacing w:val="0"/>
      </w:pPr>
      <w:proofErr w:type="gramStart"/>
      <w:r w:rsidRPr="004B7021">
        <w:t>A number of</w:t>
      </w:r>
      <w:proofErr w:type="gramEnd"/>
      <w:r w:rsidRPr="004B7021">
        <w:t xml:space="preserve"> policy developments in relation to ICANN present both opportunities and challenges for owners and users of IP rights. </w:t>
      </w:r>
      <w:r>
        <w:t xml:space="preserve"> </w:t>
      </w:r>
      <w:r w:rsidRPr="004B7021">
        <w:t>One is ICANN</w:t>
      </w:r>
      <w:r>
        <w:t>’</w:t>
      </w:r>
      <w:r w:rsidRPr="004B7021">
        <w:t xml:space="preserve">s introduction </w:t>
      </w:r>
      <w:r>
        <w:t xml:space="preserve">in 2012 </w:t>
      </w:r>
      <w:r w:rsidRPr="004B7021">
        <w:t xml:space="preserve">of a significant number of new gTLDs. </w:t>
      </w:r>
      <w:r>
        <w:t xml:space="preserve"> </w:t>
      </w:r>
      <w:r w:rsidRPr="004B7021">
        <w:t xml:space="preserve">Such new gTLDs may be of an </w:t>
      </w:r>
      <w:r>
        <w:t>“</w:t>
      </w:r>
      <w:r w:rsidRPr="004B7021">
        <w:t>open</w:t>
      </w:r>
      <w:r>
        <w:t>”</w:t>
      </w:r>
      <w:r w:rsidRPr="004B7021">
        <w:t xml:space="preserve"> nature (similar to .com), or may take on more specific or restrictive characteristics, for example taking the form</w:t>
      </w:r>
      <w:r>
        <w:t xml:space="preserve"> </w:t>
      </w:r>
      <w:proofErr w:type="gramStart"/>
      <w:r w:rsidRPr="004B7021">
        <w:t>of .</w:t>
      </w:r>
      <w:proofErr w:type="gramEnd"/>
      <w:r w:rsidRPr="004B7021">
        <w:t xml:space="preserve">[brand], .[city], .[community], .[culture], .[industry], or .[language]. </w:t>
      </w:r>
      <w:r>
        <w:t xml:space="preserve"> </w:t>
      </w:r>
      <w:r w:rsidRPr="004B7021">
        <w:t>A noteworthy element of this growth of the DNS concerns Internationalized Domain Names (IDNs) at the top level – expanding the DNS</w:t>
      </w:r>
      <w:r>
        <w:t>’</w:t>
      </w:r>
      <w:r w:rsidRPr="004B7021">
        <w:t xml:space="preserve"> linguistic availability. </w:t>
      </w:r>
      <w:r>
        <w:t xml:space="preserve"> </w:t>
      </w:r>
      <w:r w:rsidRPr="004B7021">
        <w:t>Also, ICANN</w:t>
      </w:r>
      <w:r>
        <w:t>’</w:t>
      </w:r>
      <w:r w:rsidRPr="004B7021">
        <w:t>s expansion of the DNS raises rights protection questions in connection with the Second WIPO Process.</w:t>
      </w:r>
    </w:p>
    <w:p w14:paraId="40C05B2F" w14:textId="77777777" w:rsidR="00C54079" w:rsidRPr="005B4F4B" w:rsidRDefault="00C54079" w:rsidP="00C54079">
      <w:pPr>
        <w:pStyle w:val="Heading2"/>
        <w:ind w:left="1170" w:hanging="630"/>
      </w:pPr>
      <w:r>
        <w:t>A</w:t>
      </w:r>
      <w:r w:rsidRPr="005B4F4B">
        <w:t>.</w:t>
      </w:r>
      <w:r w:rsidRPr="005B4F4B">
        <w:tab/>
        <w:t>ICANN</w:t>
      </w:r>
      <w:r>
        <w:t>’</w:t>
      </w:r>
      <w:r w:rsidRPr="005B4F4B">
        <w:t>S PLANNED REVISION OF THE WIPO-INITIATED UDRP AND OTHER RPMS</w:t>
      </w:r>
    </w:p>
    <w:p w14:paraId="2E76FF61" w14:textId="30E0D7D8" w:rsidR="00C54079" w:rsidRPr="00B206F4" w:rsidRDefault="00C54079" w:rsidP="00C54079">
      <w:pPr>
        <w:widowControl w:val="0"/>
        <w:spacing w:before="240" w:after="240"/>
        <w:rPr>
          <w:vertAlign w:val="superscript"/>
        </w:rPr>
      </w:pPr>
      <w:r>
        <w:t>4</w:t>
      </w:r>
      <w:r w:rsidR="008264FB">
        <w:t>3</w:t>
      </w:r>
      <w:r>
        <w:t>.</w:t>
      </w:r>
      <w:r>
        <w:tab/>
      </w:r>
      <w:r w:rsidRPr="004B7021">
        <w:t xml:space="preserve">Accommodating the dynamic development of the DNS, the UDRP has been offering a highly effective alternative to court litigation for trademark owners, domain name registrants, and registration authorities. </w:t>
      </w:r>
      <w:r>
        <w:t xml:space="preserve"> </w:t>
      </w:r>
      <w:r w:rsidRPr="004B7021">
        <w:t>Despite its success, in 2011</w:t>
      </w:r>
      <w:r w:rsidR="001E2A3C">
        <w:t>,</w:t>
      </w:r>
      <w:r w:rsidRPr="004B7021">
        <w:t xml:space="preserve"> ICANN</w:t>
      </w:r>
      <w:r>
        <w:t>’</w:t>
      </w:r>
      <w:r w:rsidRPr="004B7021">
        <w:t>s Generic Names Supporting Organization (GNSO) decided to review the UDRP following the launch of new gTLDs.</w:t>
      </w:r>
      <w:r w:rsidRPr="000D3353">
        <w:rPr>
          <w:vertAlign w:val="superscript"/>
        </w:rPr>
        <w:footnoteReference w:id="31"/>
      </w:r>
      <w:r w:rsidRPr="000D3353">
        <w:rPr>
          <w:vertAlign w:val="superscript"/>
        </w:rPr>
        <w:t xml:space="preserve"> </w:t>
      </w:r>
      <w:r w:rsidRPr="004B7021">
        <w:t xml:space="preserve"> </w:t>
      </w:r>
      <w:r>
        <w:t xml:space="preserve"> </w:t>
      </w:r>
      <w:hyperlink r:id="rId41" w:history="1">
        <w:r w:rsidRPr="00111D17">
          <w:rPr>
            <w:rStyle w:val="Hyperlink"/>
          </w:rPr>
          <w:t>ICANN</w:t>
        </w:r>
        <w:r>
          <w:rPr>
            <w:rStyle w:val="Hyperlink"/>
          </w:rPr>
          <w:t>’</w:t>
        </w:r>
        <w:r w:rsidRPr="00111D17">
          <w:rPr>
            <w:rStyle w:val="Hyperlink"/>
          </w:rPr>
          <w:t>s 2015 Preliminary Issue Report</w:t>
        </w:r>
      </w:hyperlink>
      <w:r w:rsidRPr="004B7021">
        <w:t xml:space="preserve"> describes a range of complex substantive and process questions. </w:t>
      </w:r>
      <w:r>
        <w:t xml:space="preserve"> </w:t>
      </w:r>
      <w:r w:rsidRPr="004B7021">
        <w:t>The Center provided observations highlighting the UDRP</w:t>
      </w:r>
      <w:r>
        <w:t>’</w:t>
      </w:r>
      <w:r w:rsidRPr="004B7021">
        <w:t xml:space="preserve">s long-proven success and the risks associated with any attempted ICANN revision of the UDRP. </w:t>
      </w:r>
      <w:r>
        <w:t xml:space="preserve"> </w:t>
      </w:r>
      <w:r w:rsidRPr="004B7021">
        <w:t>Following a public comment period, ICANN published its Final Issue Report in January 2016 recommending that the GNSO launch a Policy Development Process (PDP) to review all RPMs in two phases;</w:t>
      </w:r>
      <w:r>
        <w:t xml:space="preserve"> </w:t>
      </w:r>
      <w:r w:rsidRPr="004B7021">
        <w:t xml:space="preserve"> the now</w:t>
      </w:r>
      <w:r w:rsidRPr="004B7021">
        <w:noBreakHyphen/>
        <w:t xml:space="preserve">concluded initial phase issued a </w:t>
      </w:r>
      <w:hyperlink r:id="rId42" w:history="1">
        <w:r w:rsidRPr="00413F4E">
          <w:rPr>
            <w:rStyle w:val="Hyperlink"/>
          </w:rPr>
          <w:t>Final Report</w:t>
        </w:r>
      </w:hyperlink>
      <w:r w:rsidRPr="004B7021">
        <w:t xml:space="preserve"> focused on RPMs developed for the New gTLD Program, notably the TMCH (including </w:t>
      </w:r>
      <w:r>
        <w:t>“</w:t>
      </w:r>
      <w:r w:rsidRPr="004B7021">
        <w:t>Sunrise</w:t>
      </w:r>
      <w:r>
        <w:t>”</w:t>
      </w:r>
      <w:r w:rsidRPr="004B7021">
        <w:t xml:space="preserve"> and </w:t>
      </w:r>
      <w:r>
        <w:t>“</w:t>
      </w:r>
      <w:r w:rsidRPr="004B7021">
        <w:t>Claims</w:t>
      </w:r>
      <w:r>
        <w:t>”</w:t>
      </w:r>
      <w:r w:rsidRPr="004B7021">
        <w:t xml:space="preserve"> RPMs) and URS resulting in a range of operational and procedural suggestions for changes to </w:t>
      </w:r>
      <w:r w:rsidRPr="00413F4E">
        <w:t>those items.</w:t>
      </w:r>
      <w:r w:rsidRPr="00413F4E">
        <w:rPr>
          <w:vertAlign w:val="superscript"/>
        </w:rPr>
        <w:footnoteReference w:id="32"/>
      </w:r>
      <w:r w:rsidRPr="004B7021">
        <w:t xml:space="preserve"> </w:t>
      </w:r>
      <w:r>
        <w:t xml:space="preserve"> </w:t>
      </w:r>
      <w:r w:rsidRPr="004B7021">
        <w:t xml:space="preserve">The </w:t>
      </w:r>
      <w:r w:rsidRPr="00413F4E">
        <w:t>Phase I Final Report contained</w:t>
      </w:r>
      <w:r w:rsidRPr="004B7021">
        <w:t xml:space="preserve"> 35 consensus recommendations</w:t>
      </w:r>
      <w:r w:rsidRPr="0070734E">
        <w:rPr>
          <w:vertAlign w:val="superscript"/>
        </w:rPr>
        <w:footnoteReference w:id="33"/>
      </w:r>
      <w:r w:rsidRPr="004B7021">
        <w:t xml:space="preserve"> and was approved by the GNSO Council and </w:t>
      </w:r>
      <w:r w:rsidRPr="00B206F4">
        <w:t>ICANN Board for implementation in several stages.</w:t>
      </w:r>
      <w:r w:rsidRPr="00B206F4">
        <w:rPr>
          <w:vertAlign w:val="superscript"/>
        </w:rPr>
        <w:footnoteReference w:id="34"/>
      </w:r>
      <w:r w:rsidRPr="00B206F4">
        <w:rPr>
          <w:vertAlign w:val="superscript"/>
        </w:rPr>
        <w:t xml:space="preserve">  </w:t>
      </w:r>
    </w:p>
    <w:p w14:paraId="262FF5E5" w14:textId="1F62CB53" w:rsidR="00C54079" w:rsidRDefault="00C54079" w:rsidP="00C54079">
      <w:pPr>
        <w:widowControl w:val="0"/>
        <w:spacing w:before="240" w:after="240"/>
      </w:pPr>
      <w:r w:rsidRPr="00B206F4">
        <w:t>4</w:t>
      </w:r>
      <w:r w:rsidR="008264FB">
        <w:t>4</w:t>
      </w:r>
      <w:r w:rsidRPr="00B206F4">
        <w:t>.</w:t>
      </w:r>
      <w:r w:rsidRPr="00B206F4">
        <w:tab/>
        <w:t xml:space="preserve">Phase II (now anticipated to begin chartering work sometime in 2025 or 2026) will focus </w:t>
      </w:r>
      <w:r w:rsidRPr="00B206F4">
        <w:lastRenderedPageBreak/>
        <w:t>on the UDRP.</w:t>
      </w:r>
      <w:r w:rsidRPr="00B206F4">
        <w:rPr>
          <w:vertAlign w:val="superscript"/>
        </w:rPr>
        <w:footnoteReference w:id="35"/>
      </w:r>
      <w:r w:rsidRPr="00D3577B">
        <w:t xml:space="preserve">  </w:t>
      </w:r>
      <w:r w:rsidRPr="00B206F4">
        <w:t>This is a matter of serious concern, noting also the accreditation by ICANN of further UDRP providers and the uncertainty of how the UDRP may evolve in this ICANN</w:t>
      </w:r>
      <w:r w:rsidRPr="004B7021">
        <w:t xml:space="preserve"> process, and the Center continues to closely follow ICANN stakeholders</w:t>
      </w:r>
      <w:r>
        <w:t>’</w:t>
      </w:r>
      <w:r w:rsidRPr="004B7021">
        <w:t xml:space="preserve"> intentions with regard to the UDRP and trademark RPMs generally.</w:t>
      </w:r>
      <w:r>
        <w:t xml:space="preserve"> </w:t>
      </w:r>
      <w:r w:rsidRPr="004B7021">
        <w:t xml:space="preserve"> In this effort, the Center </w:t>
      </w:r>
      <w:r>
        <w:t>continues consultations with</w:t>
      </w:r>
      <w:r w:rsidRPr="004B7021">
        <w:t xml:space="preserve"> stakeholders such as </w:t>
      </w:r>
      <w:r>
        <w:t xml:space="preserve">the </w:t>
      </w:r>
      <w:r w:rsidRPr="004B7021">
        <w:t>E</w:t>
      </w:r>
      <w:r>
        <w:t>uropean Communities Trademark Association (E</w:t>
      </w:r>
      <w:r w:rsidRPr="004B7021">
        <w:t>CTA</w:t>
      </w:r>
      <w:r>
        <w:t>)</w:t>
      </w:r>
      <w:r w:rsidRPr="004B7021">
        <w:t xml:space="preserve">, </w:t>
      </w:r>
      <w:r>
        <w:t>the International Trademark Association (INTA),</w:t>
      </w:r>
      <w:r w:rsidRPr="004B7021">
        <w:t xml:space="preserve"> and MARQUES, in addition to ICANN. </w:t>
      </w:r>
      <w:r>
        <w:t xml:space="preserve"> </w:t>
      </w:r>
      <w:r w:rsidRPr="004B7021">
        <w:t>Notably with respect to the UDRP, calls have been made from within ICANN</w:t>
      </w:r>
      <w:r>
        <w:t>’</w:t>
      </w:r>
      <w:r w:rsidRPr="004B7021">
        <w:t>s constituent bodies for a</w:t>
      </w:r>
      <w:r>
        <w:t xml:space="preserve"> focused consultative </w:t>
      </w:r>
      <w:r w:rsidRPr="004B7021">
        <w:t xml:space="preserve">expert-led initial review of the UDRP to be undertaken by the WIPO Secretariat </w:t>
      </w:r>
      <w:r w:rsidRPr="00EF55E5">
        <w:t xml:space="preserve">to </w:t>
      </w:r>
      <w:r>
        <w:t>assess the UDRP’s operation to inform ICANN’s policy process within the existing UDRP framework</w:t>
      </w:r>
      <w:r w:rsidRPr="004B7021">
        <w:t>.</w:t>
      </w:r>
      <w:r w:rsidRPr="000D3353">
        <w:rPr>
          <w:vertAlign w:val="superscript"/>
        </w:rPr>
        <w:footnoteReference w:id="36"/>
      </w:r>
      <w:r>
        <w:t xml:space="preserve"> </w:t>
      </w:r>
    </w:p>
    <w:p w14:paraId="18F91AE0" w14:textId="79562CA7" w:rsidR="00C54079" w:rsidRPr="00B206F4" w:rsidRDefault="00C54079" w:rsidP="00C54079">
      <w:pPr>
        <w:widowControl w:val="0"/>
        <w:spacing w:before="240" w:after="240"/>
      </w:pPr>
      <w:r w:rsidRPr="00B206F4">
        <w:t>4</w:t>
      </w:r>
      <w:r w:rsidR="008264FB">
        <w:t>5</w:t>
      </w:r>
      <w:r w:rsidRPr="00B206F4">
        <w:t>.</w:t>
      </w:r>
      <w:r w:rsidRPr="00B206F4">
        <w:tab/>
        <w:t xml:space="preserve">In anticipation of ICANN’s review of the UDRP, the Center is undertaking a </w:t>
      </w:r>
      <w:hyperlink r:id="rId43" w:history="1">
        <w:r w:rsidRPr="00224807">
          <w:rPr>
            <w:rStyle w:val="Hyperlink"/>
          </w:rPr>
          <w:t>focused consultative process</w:t>
        </w:r>
      </w:hyperlink>
      <w:r w:rsidRPr="00B206F4">
        <w:t xml:space="preserve"> to produce a report on jurisprudential and operational experiences with the UDRP to identify areas where consensus exists for future policy recommendations or practice updates.  This project has so far consisted of an international consultative process with industry leaders and experts to identify best practices, consensus, and potential areas for improvement of the UDRP.  A draft report is presently being prepared and is expected to be shared for broader public input</w:t>
      </w:r>
      <w:r w:rsidR="00B2533F">
        <w:t>, and a</w:t>
      </w:r>
      <w:r w:rsidRPr="00B206F4">
        <w:t xml:space="preserve"> final report will be </w:t>
      </w:r>
      <w:r w:rsidR="00B2533F">
        <w:t>transmitted to</w:t>
      </w:r>
      <w:r w:rsidRPr="00B206F4">
        <w:t xml:space="preserve"> ICANN for consideration in any UDRP review undertaken by its GNSO.</w:t>
      </w:r>
    </w:p>
    <w:p w14:paraId="2788BE32" w14:textId="77777777" w:rsidR="00C54079" w:rsidRPr="00B206F4" w:rsidRDefault="00C54079" w:rsidP="00C54079">
      <w:pPr>
        <w:pStyle w:val="Heading2"/>
        <w:ind w:left="540"/>
      </w:pPr>
      <w:r w:rsidRPr="00B206F4">
        <w:t>B.</w:t>
      </w:r>
      <w:r w:rsidRPr="00B206F4">
        <w:tab/>
        <w:t>NEW GTLDS</w:t>
      </w:r>
    </w:p>
    <w:p w14:paraId="43F54E31" w14:textId="04DD49D5" w:rsidR="00C54079" w:rsidRDefault="00C54079" w:rsidP="00C54079">
      <w:pPr>
        <w:widowControl w:val="0"/>
        <w:spacing w:before="240" w:after="240"/>
      </w:pPr>
      <w:r>
        <w:t>4</w:t>
      </w:r>
      <w:r w:rsidR="008264FB">
        <w:t>6</w:t>
      </w:r>
      <w:r w:rsidRPr="00B206F4">
        <w:t>.</w:t>
      </w:r>
      <w:r w:rsidRPr="00B206F4">
        <w:tab/>
        <w:t>ICANN implementation of its New gTLD Program, formally approved in June 2011,</w:t>
      </w:r>
      <w:r w:rsidRPr="00B206F4">
        <w:rPr>
          <w:rStyle w:val="FootnoteReference"/>
        </w:rPr>
        <w:footnoteReference w:id="37"/>
      </w:r>
      <w:r w:rsidRPr="00B206F4">
        <w:t xml:space="preserve"> was detailed in its iterative </w:t>
      </w:r>
      <w:hyperlink r:id="rId44" w:history="1">
        <w:r w:rsidRPr="00224807">
          <w:rPr>
            <w:rStyle w:val="Hyperlink"/>
          </w:rPr>
          <w:t>Applicant Guidebook</w:t>
        </w:r>
      </w:hyperlink>
      <w:r w:rsidRPr="00B206F4">
        <w:t xml:space="preserve">.  Delegation of the first new gTLDs into the Internet’s Root Zone took place in October 2013, with nearly </w:t>
      </w:r>
      <w:proofErr w:type="gramStart"/>
      <w:r w:rsidRPr="00B206F4">
        <w:t>all of</w:t>
      </w:r>
      <w:proofErr w:type="gramEnd"/>
      <w:r w:rsidRPr="00B206F4">
        <w:t xml:space="preserve"> the unique over 1,200 gTLDs delegated by 2021,</w:t>
      </w:r>
      <w:r w:rsidRPr="00B206F4">
        <w:rPr>
          <w:vertAlign w:val="superscript"/>
        </w:rPr>
        <w:footnoteReference w:id="38"/>
      </w:r>
      <w:r w:rsidRPr="00B206F4">
        <w:t xml:space="preserve"> only a few remain to launch.  Together, these New gTLDs appear to have so far attracted nearly 42 million second-level registrations.</w:t>
      </w:r>
      <w:r w:rsidRPr="00B206F4">
        <w:rPr>
          <w:rStyle w:val="FootnoteReference"/>
        </w:rPr>
        <w:footnoteReference w:id="39"/>
      </w:r>
      <w:r w:rsidRPr="00B206F4">
        <w:t xml:space="preserve">  ICANN concluded its “New gTLD Subsequent Procedures Policy Development Process” (PDP) in 2020.</w:t>
      </w:r>
      <w:r w:rsidRPr="00B206F4">
        <w:rPr>
          <w:rStyle w:val="FootnoteReference"/>
        </w:rPr>
        <w:footnoteReference w:id="40"/>
      </w:r>
      <w:r w:rsidRPr="00B206F4">
        <w:t xml:space="preserve">  While topics such as “Mitigating DNS Abuse” remain under consideration, further ICANN processes including GNSO Council and ICANN Board consideration have seen this Subsequent Procedures process move towards an Operational Design Phase to prepare for future New gTLD rounds.  In July 2023, </w:t>
      </w:r>
      <w:hyperlink r:id="rId45" w:anchor="section1.b/" w:history="1">
        <w:r w:rsidRPr="00224807">
          <w:rPr>
            <w:rStyle w:val="Hyperlink"/>
          </w:rPr>
          <w:t>ICANN approved further rounds of new gTLDs</w:t>
        </w:r>
      </w:hyperlink>
      <w:r w:rsidRPr="00B206F4">
        <w:t>, which is expected to culminate in the completion of the next Applicant Guidebook in July 2025 and with New gTLD applications to follow in April 2026.</w:t>
      </w:r>
    </w:p>
    <w:p w14:paraId="34C59953" w14:textId="5A2B7373" w:rsidR="00C54079" w:rsidRPr="004B7021" w:rsidRDefault="00C54079" w:rsidP="00C54079">
      <w:pPr>
        <w:widowControl w:val="0"/>
        <w:spacing w:before="240" w:after="240"/>
      </w:pPr>
      <w:r w:rsidRPr="0B1EA5E2">
        <w:t>4</w:t>
      </w:r>
      <w:r w:rsidR="008264FB">
        <w:t>7</w:t>
      </w:r>
      <w:r>
        <w:rPr>
          <w:szCs w:val="22"/>
        </w:rPr>
        <w:t>.</w:t>
      </w:r>
      <w:r>
        <w:rPr>
          <w:szCs w:val="22"/>
        </w:rPr>
        <w:tab/>
      </w:r>
      <w:r w:rsidRPr="0B1EA5E2">
        <w:t xml:space="preserve">The Center remains committed to working with stakeholders to attempt to safeguard the observance of general principles of IP protection in new gTLDs. </w:t>
      </w:r>
      <w:r>
        <w:rPr>
          <w:szCs w:val="22"/>
        </w:rPr>
        <w:t xml:space="preserve"> </w:t>
      </w:r>
      <w:r w:rsidRPr="0B1EA5E2">
        <w:t xml:space="preserve">A number of the RPMs </w:t>
      </w:r>
      <w:r w:rsidRPr="0B1EA5E2">
        <w:lastRenderedPageBreak/>
        <w:t>emerged from a series of ICANN committees and processes for new gTLDs.</w:t>
      </w:r>
      <w:r w:rsidRPr="0B1EA5E2">
        <w:rPr>
          <w:rStyle w:val="FootnoteReference"/>
        </w:rPr>
        <w:footnoteReference w:id="41"/>
      </w:r>
      <w:r w:rsidRPr="005B4F4B">
        <w:rPr>
          <w:szCs w:val="22"/>
        </w:rPr>
        <w:t xml:space="preserve"> </w:t>
      </w:r>
      <w:r>
        <w:rPr>
          <w:szCs w:val="22"/>
        </w:rPr>
        <w:t xml:space="preserve"> </w:t>
      </w:r>
      <w:r w:rsidRPr="0B1EA5E2">
        <w:t xml:space="preserve">As described </w:t>
      </w:r>
      <w:r w:rsidRPr="546F7EB4">
        <w:rPr>
          <w:i/>
          <w:iCs/>
        </w:rPr>
        <w:t>inter alia</w:t>
      </w:r>
      <w:r w:rsidRPr="0B1EA5E2">
        <w:t xml:space="preserve"> in </w:t>
      </w:r>
      <w:hyperlink r:id="rId46" w:history="1">
        <w:r w:rsidRPr="0B1EA5E2">
          <w:rPr>
            <w:rStyle w:val="Hyperlink"/>
          </w:rPr>
          <w:t>Document SCT/46/3</w:t>
        </w:r>
      </w:hyperlink>
      <w:r w:rsidRPr="0B1EA5E2">
        <w:t>, ICANN</w:t>
      </w:r>
      <w:r>
        <w:rPr>
          <w:szCs w:val="22"/>
        </w:rPr>
        <w:t>’</w:t>
      </w:r>
      <w:r w:rsidRPr="0B1EA5E2">
        <w:t>s RPMs for gTLDs include the Pre</w:t>
      </w:r>
      <w:r>
        <w:rPr>
          <w:szCs w:val="22"/>
        </w:rPr>
        <w:noBreakHyphen/>
      </w:r>
      <w:r w:rsidRPr="0B1EA5E2">
        <w:t>Delegation Dispute Resolution Procedure whereby trademark owners can lodge Legal Rights Objections (LRO) to New gTLD applications thought to infringe their rights</w:t>
      </w:r>
      <w:r w:rsidRPr="00B73ED3">
        <w:rPr>
          <w:szCs w:val="22"/>
        </w:rPr>
        <w:t>,</w:t>
      </w:r>
      <w:r w:rsidRPr="0B1EA5E2">
        <w:rPr>
          <w:rStyle w:val="FootnoteReference"/>
        </w:rPr>
        <w:footnoteReference w:id="42"/>
      </w:r>
      <w:r w:rsidRPr="0B1EA5E2">
        <w:t xml:space="preserve"> and the Post</w:t>
      </w:r>
      <w:r>
        <w:rPr>
          <w:szCs w:val="22"/>
        </w:rPr>
        <w:t>-</w:t>
      </w:r>
      <w:r w:rsidRPr="0B1EA5E2">
        <w:t xml:space="preserve">Delegation Dispute Resolution Procedure (PDDRP), which allows for the filing of a complaint with respect to an approved new gTLD registry operator whose manner of operation or use of its registry is alleged to cause or materially contribute to </w:t>
      </w:r>
      <w:r w:rsidRPr="00B206F4">
        <w:t>trademark abuse</w:t>
      </w:r>
      <w:r w:rsidRPr="00B206F4">
        <w:rPr>
          <w:szCs w:val="22"/>
        </w:rPr>
        <w:t>.</w:t>
      </w:r>
      <w:r w:rsidRPr="00B206F4">
        <w:rPr>
          <w:vertAlign w:val="superscript"/>
        </w:rPr>
        <w:footnoteReference w:id="43"/>
      </w:r>
      <w:r w:rsidRPr="00B206F4">
        <w:rPr>
          <w:szCs w:val="22"/>
        </w:rPr>
        <w:t xml:space="preserve">  </w:t>
      </w:r>
      <w:r w:rsidRPr="00B206F4">
        <w:t>Recently,</w:t>
      </w:r>
      <w:hyperlink r:id="rId47" w:history="1">
        <w:r w:rsidRPr="00906584">
          <w:rPr>
            <w:rStyle w:val="Hyperlink"/>
          </w:rPr>
          <w:t xml:space="preserve"> ICANN sought input</w:t>
        </w:r>
      </w:hyperlink>
      <w:r w:rsidRPr="00B206F4">
        <w:t xml:space="preserve"> regarding the dispute resolution and appeal procedures in connection to the expected launch of the Next Round of new gTLDs in April 2026.  Noting the Center’s expertise and experience with the previous round of new gTLDs, the Center confirmed its intent to provide dispute resolution services for the Next Round of LROs and signaled its willingness to do so for string confusion objections.  The Center continues to monitor and support the fair and predictable delegation of </w:t>
      </w:r>
      <w:r w:rsidR="00E13928">
        <w:t>n</w:t>
      </w:r>
      <w:r w:rsidRPr="00B206F4">
        <w:t>ew gTLDs, and trademark-related objections, to ensure intellectual property rights</w:t>
      </w:r>
      <w:r w:rsidR="001912E1">
        <w:t xml:space="preserve"> </w:t>
      </w:r>
      <w:r w:rsidRPr="00B206F4">
        <w:t>and disputes remain properly accounted in ICANN’s delegation process.</w:t>
      </w:r>
      <w:r w:rsidRPr="0B1EA5E2">
        <w:t xml:space="preserve">  </w:t>
      </w:r>
      <w:r w:rsidR="0011725F">
        <w:t>Concerning</w:t>
      </w:r>
      <w:r w:rsidR="004B324F">
        <w:t xml:space="preserve"> </w:t>
      </w:r>
      <w:r w:rsidRPr="0B1EA5E2">
        <w:t>second level RPMs, ICANN</w:t>
      </w:r>
      <w:r>
        <w:rPr>
          <w:szCs w:val="22"/>
        </w:rPr>
        <w:t>’</w:t>
      </w:r>
      <w:r w:rsidRPr="0B1EA5E2">
        <w:t xml:space="preserve">s New gTLD Program includes a Trademark Clearinghouse (TMCH) that serves as </w:t>
      </w:r>
      <w:r w:rsidRPr="00B73ED3">
        <w:t xml:space="preserve">a centralized repository of authenticated trademark data which may be invoked as the basis </w:t>
      </w:r>
      <w:r w:rsidRPr="00A32EEE">
        <w:t>for using new gTLD RPMs.</w:t>
      </w:r>
      <w:r w:rsidRPr="00B73ED3">
        <w:t xml:space="preserve"> </w:t>
      </w:r>
      <w:r>
        <w:t xml:space="preserve"> </w:t>
      </w:r>
      <w:r w:rsidRPr="00B73ED3">
        <w:t xml:space="preserve">Further, while </w:t>
      </w:r>
      <w:r w:rsidRPr="00772566">
        <w:t>the</w:t>
      </w:r>
      <w:r>
        <w:t xml:space="preserve"> </w:t>
      </w:r>
      <w:r w:rsidRPr="00D03DD1">
        <w:t xml:space="preserve">UDRP remains available as a curative tool for </w:t>
      </w:r>
      <w:r>
        <w:t>n</w:t>
      </w:r>
      <w:r w:rsidRPr="00D03DD1">
        <w:t xml:space="preserve">ew gTLD disputes involving the </w:t>
      </w:r>
      <w:r>
        <w:t xml:space="preserve">requested </w:t>
      </w:r>
      <w:r w:rsidRPr="00D03DD1">
        <w:t xml:space="preserve">transfer of a disputed domain name to the trademark owner, ICANN has introduced </w:t>
      </w:r>
      <w:r w:rsidRPr="00772566">
        <w:t xml:space="preserve">the </w:t>
      </w:r>
      <w:r>
        <w:t xml:space="preserve">temporary-suspension-based </w:t>
      </w:r>
      <w:r w:rsidRPr="00772566">
        <w:t>Uniform Rapid Suspension System, which is</w:t>
      </w:r>
      <w:r w:rsidRPr="00D03DD1">
        <w:t xml:space="preserve"> intended to be a lighter second</w:t>
      </w:r>
      <w:r w:rsidRPr="00D03DD1">
        <w:noBreakHyphen/>
        <w:t>level RPM for appropriate cases</w:t>
      </w:r>
      <w:r>
        <w:t>.</w:t>
      </w:r>
      <w:r w:rsidRPr="00D03DD1">
        <w:rPr>
          <w:rStyle w:val="FootnoteReference"/>
        </w:rPr>
        <w:footnoteReference w:id="44"/>
      </w:r>
      <w:r w:rsidRPr="00D03DD1">
        <w:t xml:space="preserve"> </w:t>
      </w:r>
    </w:p>
    <w:p w14:paraId="1B97D1BB" w14:textId="77777777" w:rsidR="00C54079" w:rsidRPr="00F17916" w:rsidRDefault="00C54079" w:rsidP="00C54079">
      <w:pPr>
        <w:pStyle w:val="Heading2"/>
        <w:ind w:left="540"/>
      </w:pPr>
      <w:r w:rsidRPr="00E27B7B">
        <w:t>C.</w:t>
      </w:r>
      <w:r w:rsidRPr="00E27B7B">
        <w:tab/>
      </w:r>
      <w:r w:rsidRPr="00A32EEE">
        <w:t>PRIVACY ReGULATION and the “WHOIS DATABASE” / Registration Data Access Protocol (RDAP)</w:t>
      </w:r>
    </w:p>
    <w:p w14:paraId="2A55BED6" w14:textId="2DAD949B" w:rsidR="00C54079" w:rsidRDefault="00C54079" w:rsidP="00C54079">
      <w:pPr>
        <w:widowControl w:val="0"/>
        <w:spacing w:before="240"/>
        <w:rPr>
          <w:szCs w:val="22"/>
        </w:rPr>
      </w:pPr>
      <w:r w:rsidRPr="00F17916">
        <w:t>4</w:t>
      </w:r>
      <w:r w:rsidR="008264FB">
        <w:t>8</w:t>
      </w:r>
      <w:r w:rsidRPr="00F17916">
        <w:rPr>
          <w:szCs w:val="22"/>
        </w:rPr>
        <w:t>.</w:t>
      </w:r>
      <w:r w:rsidRPr="00F17916">
        <w:rPr>
          <w:szCs w:val="22"/>
        </w:rPr>
        <w:tab/>
      </w:r>
      <w:r w:rsidRPr="00F17916">
        <w:t>As a result of the European Union</w:t>
      </w:r>
      <w:r w:rsidRPr="00F17916">
        <w:rPr>
          <w:szCs w:val="22"/>
        </w:rPr>
        <w:t>’</w:t>
      </w:r>
      <w:r w:rsidRPr="00F17916">
        <w:t>s General Data Protection Regulation (GDPR),</w:t>
      </w:r>
      <w:r w:rsidRPr="00F17916">
        <w:rPr>
          <w:rStyle w:val="FootnoteReference"/>
        </w:rPr>
        <w:footnoteReference w:id="45"/>
      </w:r>
      <w:r w:rsidRPr="00F17916">
        <w:t xml:space="preserve"> which came into force on May 25, 2018, </w:t>
      </w:r>
      <w:proofErr w:type="gramStart"/>
      <w:r w:rsidRPr="00F17916">
        <w:t>publicly-available</w:t>
      </w:r>
      <w:proofErr w:type="gramEnd"/>
      <w:r w:rsidRPr="00F17916">
        <w:t xml:space="preserve"> </w:t>
      </w:r>
      <w:proofErr w:type="spellStart"/>
      <w:r w:rsidRPr="00F17916">
        <w:t>WhoIs</w:t>
      </w:r>
      <w:proofErr w:type="spellEnd"/>
      <w:r w:rsidRPr="00F17916">
        <w:t xml:space="preserve"> data generally no longer includes full contact details of domain name registrants. </w:t>
      </w:r>
      <w:r w:rsidRPr="00F17916">
        <w:rPr>
          <w:szCs w:val="22"/>
        </w:rPr>
        <w:t xml:space="preserve"> </w:t>
      </w:r>
      <w:r w:rsidRPr="00F17916">
        <w:t xml:space="preserve">Instead, publicly available </w:t>
      </w:r>
      <w:proofErr w:type="spellStart"/>
      <w:r w:rsidRPr="00F17916">
        <w:t>WhoIs</w:t>
      </w:r>
      <w:proofErr w:type="spellEnd"/>
      <w:r w:rsidRPr="00F17916">
        <w:t xml:space="preserve"> data is largely redacted, or if available, is often limited to the “registrant organization” (for legal persons) and country.  Moreover, in practice, </w:t>
      </w:r>
      <w:proofErr w:type="gramStart"/>
      <w:r w:rsidRPr="00F17916">
        <w:t>a majority of</w:t>
      </w:r>
      <w:proofErr w:type="gramEnd"/>
      <w:r w:rsidRPr="00F17916">
        <w:t xml:space="preserve"> registration data currently reflects a “privacy” or “proxy” service as the Registered Name Holder (registrant).</w:t>
      </w:r>
      <w:r w:rsidRPr="00F17916">
        <w:rPr>
          <w:szCs w:val="22"/>
        </w:rPr>
        <w:t xml:space="preserve">  </w:t>
      </w:r>
      <w:r w:rsidRPr="00F17916">
        <w:t xml:space="preserve">However, </w:t>
      </w:r>
      <w:proofErr w:type="gramStart"/>
      <w:r w:rsidRPr="00F17916">
        <w:t>in order to</w:t>
      </w:r>
      <w:proofErr w:type="gramEnd"/>
      <w:r w:rsidRPr="00F17916">
        <w:t xml:space="preserve"> facilitate contact with the domain name registrant, the concerned registrar</w:t>
      </w:r>
      <w:r w:rsidRPr="0B1EA5E2">
        <w:t xml:space="preserve"> is required to provide an </w:t>
      </w:r>
      <w:r>
        <w:rPr>
          <w:szCs w:val="22"/>
        </w:rPr>
        <w:t>“</w:t>
      </w:r>
      <w:r w:rsidRPr="0B1EA5E2">
        <w:t>anonymized</w:t>
      </w:r>
      <w:r>
        <w:rPr>
          <w:szCs w:val="22"/>
        </w:rPr>
        <w:t>”</w:t>
      </w:r>
      <w:r w:rsidRPr="0B1EA5E2">
        <w:t xml:space="preserve"> email address or web</w:t>
      </w:r>
      <w:r w:rsidRPr="0B1EA5E2">
        <w:noBreakHyphen/>
        <w:t xml:space="preserve">based contact form. </w:t>
      </w:r>
      <w:r>
        <w:rPr>
          <w:szCs w:val="22"/>
        </w:rPr>
        <w:t xml:space="preserve"> </w:t>
      </w:r>
      <w:r w:rsidRPr="0B1EA5E2">
        <w:t xml:space="preserve">In addition, where a UDRP complaint has been submitted to a UDRP provider, registrars are instructed by ICANN to provide registrant contact information on request from such provider (and at the same time </w:t>
      </w:r>
      <w:r>
        <w:rPr>
          <w:szCs w:val="22"/>
        </w:rPr>
        <w:t>“</w:t>
      </w:r>
      <w:r w:rsidRPr="0B1EA5E2">
        <w:t>lock</w:t>
      </w:r>
      <w:r>
        <w:rPr>
          <w:szCs w:val="22"/>
        </w:rPr>
        <w:t>”</w:t>
      </w:r>
      <w:r w:rsidRPr="0B1EA5E2">
        <w:t xml:space="preserve"> the domain name</w:t>
      </w:r>
      <w:r>
        <w:rPr>
          <w:szCs w:val="22"/>
        </w:rPr>
        <w:t>’</w:t>
      </w:r>
      <w:r w:rsidRPr="0B1EA5E2">
        <w:t xml:space="preserve">s registration and registrar details), further to due process requirements codified in the UDRP Rules. </w:t>
      </w:r>
      <w:r>
        <w:rPr>
          <w:szCs w:val="22"/>
        </w:rPr>
        <w:t xml:space="preserve"> </w:t>
      </w:r>
      <w:r w:rsidRPr="0B1EA5E2">
        <w:t xml:space="preserve">An ICANN </w:t>
      </w:r>
      <w:r>
        <w:rPr>
          <w:szCs w:val="22"/>
        </w:rPr>
        <w:t>“</w:t>
      </w:r>
      <w:r w:rsidRPr="0B1EA5E2">
        <w:t>Temporary [contract] Specification</w:t>
      </w:r>
      <w:r>
        <w:rPr>
          <w:szCs w:val="22"/>
        </w:rPr>
        <w:t>”</w:t>
      </w:r>
      <w:r w:rsidRPr="0B1EA5E2">
        <w:t xml:space="preserve"> for gTLD Registration Data </w:t>
      </w:r>
      <w:r w:rsidRPr="0B1EA5E2">
        <w:lastRenderedPageBreak/>
        <w:t>expressly acknowledges that registrars must provide full Registration Data to UDRP providers.</w:t>
      </w:r>
      <w:r w:rsidRPr="0B1EA5E2">
        <w:rPr>
          <w:rStyle w:val="FootnoteReference"/>
        </w:rPr>
        <w:footnoteReference w:id="46"/>
      </w:r>
      <w:r w:rsidRPr="004B7021">
        <w:rPr>
          <w:szCs w:val="22"/>
        </w:rPr>
        <w:t xml:space="preserve"> </w:t>
      </w:r>
      <w:r>
        <w:rPr>
          <w:szCs w:val="22"/>
        </w:rPr>
        <w:t xml:space="preserve"> </w:t>
      </w:r>
      <w:r w:rsidRPr="0B1EA5E2">
        <w:t>This appears to be on the recognition that UDRP providers meet the GDPR</w:t>
      </w:r>
      <w:r>
        <w:rPr>
          <w:szCs w:val="22"/>
        </w:rPr>
        <w:t>’</w:t>
      </w:r>
      <w:r w:rsidRPr="0B1EA5E2">
        <w:t xml:space="preserve">s Article 6(1)(f) </w:t>
      </w:r>
      <w:r>
        <w:rPr>
          <w:szCs w:val="22"/>
        </w:rPr>
        <w:t>“</w:t>
      </w:r>
      <w:r w:rsidRPr="0B1EA5E2">
        <w:t>legitimate purposes</w:t>
      </w:r>
      <w:r>
        <w:rPr>
          <w:szCs w:val="22"/>
        </w:rPr>
        <w:t>”</w:t>
      </w:r>
      <w:r w:rsidRPr="0B1EA5E2">
        <w:t xml:space="preserve"> and Article 6(1)(b) </w:t>
      </w:r>
      <w:r>
        <w:rPr>
          <w:szCs w:val="22"/>
        </w:rPr>
        <w:t>“</w:t>
      </w:r>
      <w:r w:rsidRPr="0B1EA5E2">
        <w:t>performance of a contract</w:t>
      </w:r>
      <w:r>
        <w:rPr>
          <w:szCs w:val="22"/>
        </w:rPr>
        <w:t>”</w:t>
      </w:r>
      <w:r w:rsidRPr="0B1EA5E2">
        <w:t xml:space="preserve"> criteria,</w:t>
      </w:r>
      <w:r w:rsidRPr="0B1EA5E2">
        <w:rPr>
          <w:rStyle w:val="FootnoteReference"/>
        </w:rPr>
        <w:footnoteReference w:id="47"/>
      </w:r>
      <w:r w:rsidRPr="0B1EA5E2">
        <w:t xml:space="preserve"> such that registrars have been required to provide </w:t>
      </w:r>
      <w:proofErr w:type="spellStart"/>
      <w:r w:rsidRPr="0B1EA5E2">
        <w:t>WhoIs</w:t>
      </w:r>
      <w:proofErr w:type="spellEnd"/>
      <w:r w:rsidRPr="0B1EA5E2">
        <w:t xml:space="preserve"> data to UDRP providers. </w:t>
      </w:r>
      <w:r>
        <w:rPr>
          <w:szCs w:val="22"/>
        </w:rPr>
        <w:t xml:space="preserve"> </w:t>
      </w:r>
      <w:r w:rsidRPr="0B1EA5E2">
        <w:t xml:space="preserve">In July 2018, the GNSO initiated the </w:t>
      </w:r>
      <w:hyperlink r:id="rId48" w:history="1">
        <w:r w:rsidRPr="00906584">
          <w:rPr>
            <w:rStyle w:val="Hyperlink"/>
          </w:rPr>
          <w:t>Expedited PDP (EPDP)</w:t>
        </w:r>
      </w:hyperlink>
      <w:r w:rsidRPr="0B1EA5E2">
        <w:t xml:space="preserve"> to review the </w:t>
      </w:r>
      <w:r>
        <w:rPr>
          <w:szCs w:val="22"/>
        </w:rPr>
        <w:t>“</w:t>
      </w:r>
      <w:r w:rsidRPr="0B1EA5E2">
        <w:t>Temporary [contract] Specification</w:t>
      </w:r>
      <w:r>
        <w:rPr>
          <w:szCs w:val="22"/>
        </w:rPr>
        <w:t>”</w:t>
      </w:r>
      <w:r w:rsidRPr="0B1EA5E2">
        <w:t xml:space="preserve"> and discuss a standardized access model to non</w:t>
      </w:r>
      <w:r>
        <w:rPr>
          <w:szCs w:val="22"/>
        </w:rPr>
        <w:t>-</w:t>
      </w:r>
      <w:r w:rsidRPr="0B1EA5E2">
        <w:t>public registration data</w:t>
      </w:r>
      <w:r>
        <w:rPr>
          <w:szCs w:val="22"/>
        </w:rPr>
        <w:t>.</w:t>
      </w:r>
      <w:r w:rsidRPr="004B7021">
        <w:rPr>
          <w:szCs w:val="22"/>
        </w:rPr>
        <w:t xml:space="preserve">  </w:t>
      </w:r>
      <w:r w:rsidRPr="0B1EA5E2">
        <w:t xml:space="preserve">A Final Report was submitted to the GNSO Council in July 2020 including </w:t>
      </w:r>
      <w:r w:rsidRPr="00D925CE">
        <w:t xml:space="preserve">the </w:t>
      </w:r>
      <w:hyperlink r:id="rId49" w:history="1">
        <w:r w:rsidRPr="00906584">
          <w:rPr>
            <w:rStyle w:val="Hyperlink"/>
          </w:rPr>
          <w:t>EPDP Team’s recommendations for a System for Standardized Access/Disclosure (SSAD)</w:t>
        </w:r>
      </w:hyperlink>
      <w:r w:rsidRPr="00D925CE">
        <w:t xml:space="preserve"> on which a number of concerns were raised by governments and IP stakeholders and for which consultations are still underway</w:t>
      </w:r>
      <w:r w:rsidRPr="004B7021">
        <w:rPr>
          <w:szCs w:val="22"/>
        </w:rPr>
        <w:t xml:space="preserve">. </w:t>
      </w:r>
      <w:r>
        <w:rPr>
          <w:szCs w:val="22"/>
        </w:rPr>
        <w:t xml:space="preserve"> </w:t>
      </w:r>
      <w:r w:rsidRPr="0B1EA5E2">
        <w:t>The Center continues to monitor SSAD-related policy discussions, which remain ongoing.</w:t>
      </w:r>
      <w:r w:rsidRPr="0B1EA5E2">
        <w:rPr>
          <w:rStyle w:val="FootnoteReference"/>
        </w:rPr>
        <w:footnoteReference w:id="48"/>
      </w:r>
      <w:r w:rsidRPr="004B7021">
        <w:rPr>
          <w:szCs w:val="22"/>
        </w:rPr>
        <w:t xml:space="preserve"> </w:t>
      </w:r>
      <w:r>
        <w:rPr>
          <w:szCs w:val="22"/>
        </w:rPr>
        <w:t xml:space="preserve"> </w:t>
      </w:r>
    </w:p>
    <w:p w14:paraId="3686F1A8" w14:textId="6927E78F" w:rsidR="00C54079" w:rsidRPr="00F17916" w:rsidRDefault="00C54079" w:rsidP="00C54079">
      <w:pPr>
        <w:widowControl w:val="0"/>
        <w:spacing w:before="240"/>
        <w:rPr>
          <w:szCs w:val="22"/>
        </w:rPr>
      </w:pPr>
      <w:r w:rsidRPr="0B1EA5E2">
        <w:t>4</w:t>
      </w:r>
      <w:r w:rsidR="008264FB">
        <w:t>9</w:t>
      </w:r>
      <w:r>
        <w:rPr>
          <w:szCs w:val="22"/>
        </w:rPr>
        <w:t>.</w:t>
      </w:r>
      <w:r>
        <w:rPr>
          <w:szCs w:val="22"/>
        </w:rPr>
        <w:tab/>
      </w:r>
      <w:r w:rsidRPr="0B1EA5E2">
        <w:t xml:space="preserve">Most recently, ICANN </w:t>
      </w:r>
      <w:hyperlink r:id="rId50" w:history="1">
        <w:r w:rsidRPr="0B1EA5E2">
          <w:rPr>
            <w:rStyle w:val="Hyperlink"/>
          </w:rPr>
          <w:t>launched a Registration Data Request Service (RDRS)</w:t>
        </w:r>
      </w:hyperlink>
      <w:r w:rsidRPr="0B1EA5E2">
        <w:t>, which is a new centralized service that introduces a more consistent and standardized format to submit requests to participating registrars for access to non</w:t>
      </w:r>
      <w:r>
        <w:rPr>
          <w:szCs w:val="22"/>
        </w:rPr>
        <w:t>-</w:t>
      </w:r>
      <w:r w:rsidRPr="0B1EA5E2">
        <w:t>public registration data related to gTLDs</w:t>
      </w:r>
      <w:r>
        <w:rPr>
          <w:szCs w:val="22"/>
        </w:rPr>
        <w:t>.</w:t>
      </w:r>
      <w:r w:rsidRPr="004B7021">
        <w:rPr>
          <w:szCs w:val="22"/>
        </w:rPr>
        <w:t xml:space="preserve"> </w:t>
      </w:r>
      <w:r>
        <w:rPr>
          <w:szCs w:val="22"/>
        </w:rPr>
        <w:t xml:space="preserve"> </w:t>
      </w:r>
      <w:r w:rsidRPr="00F17916">
        <w:t>ICANN’s RDRS is mid-way through its pilot program, and serious questions remain as to its future.</w:t>
      </w:r>
      <w:r w:rsidRPr="00F17916">
        <w:rPr>
          <w:szCs w:val="22"/>
        </w:rPr>
        <w:t xml:space="preserve">  </w:t>
      </w:r>
      <w:r w:rsidRPr="00F17916">
        <w:t xml:space="preserve">The Center has published an updated </w:t>
      </w:r>
      <w:hyperlink r:id="rId51" w:history="1">
        <w:r w:rsidRPr="00F17916">
          <w:rPr>
            <w:rStyle w:val="Hyperlink"/>
          </w:rPr>
          <w:t>FAQ webpage</w:t>
        </w:r>
      </w:hyperlink>
      <w:r w:rsidRPr="00F17916">
        <w:t xml:space="preserve"> which raises awareness of ICANN</w:t>
      </w:r>
      <w:r w:rsidRPr="00F17916">
        <w:rPr>
          <w:szCs w:val="22"/>
        </w:rPr>
        <w:t>’</w:t>
      </w:r>
      <w:r w:rsidRPr="00F17916">
        <w:t>s RDRS and</w:t>
      </w:r>
      <w:r w:rsidRPr="0B1EA5E2">
        <w:t xml:space="preserve"> discusses potential UDRP case implications. </w:t>
      </w:r>
      <w:r>
        <w:rPr>
          <w:szCs w:val="22"/>
        </w:rPr>
        <w:t xml:space="preserve"> </w:t>
      </w:r>
      <w:r w:rsidRPr="0B1EA5E2">
        <w:t xml:space="preserve">Touching in some respects on EPDP and </w:t>
      </w:r>
      <w:proofErr w:type="spellStart"/>
      <w:r w:rsidRPr="0B1EA5E2">
        <w:t>WhoIs</w:t>
      </w:r>
      <w:proofErr w:type="spellEnd"/>
      <w:r w:rsidRPr="0B1EA5E2">
        <w:t>-related issues, the European Union</w:t>
      </w:r>
      <w:r w:rsidRPr="004B7021">
        <w:rPr>
          <w:szCs w:val="22"/>
        </w:rPr>
        <w:t xml:space="preserve"> </w:t>
      </w:r>
      <w:r w:rsidRPr="0B1EA5E2">
        <w:t xml:space="preserve">has adopted a </w:t>
      </w:r>
      <w:hyperlink r:id="rId52" w:history="1">
        <w:r w:rsidRPr="0B1EA5E2">
          <w:rPr>
            <w:rStyle w:val="Hyperlink"/>
          </w:rPr>
          <w:t>revised directive on measures for a high common level of cybersecurity across the Union</w:t>
        </w:r>
      </w:hyperlink>
      <w:r w:rsidRPr="0B1EA5E2">
        <w:t xml:space="preserve"> (NIS2 Directive) to be transposed into the national law of Member States of the European Union</w:t>
      </w:r>
      <w:r>
        <w:rPr>
          <w:szCs w:val="22"/>
        </w:rPr>
        <w:t xml:space="preserve">, </w:t>
      </w:r>
      <w:r w:rsidRPr="0B1EA5E2">
        <w:t xml:space="preserve">which is anticipated to potentially impact </w:t>
      </w:r>
      <w:proofErr w:type="spellStart"/>
      <w:r w:rsidRPr="0B1EA5E2">
        <w:t>WhoIs</w:t>
      </w:r>
      <w:proofErr w:type="spellEnd"/>
      <w:r w:rsidRPr="0B1EA5E2">
        <w:t xml:space="preserve">-related practices and </w:t>
      </w:r>
      <w:r w:rsidRPr="00F17916">
        <w:t>requests.</w:t>
      </w:r>
      <w:r w:rsidRPr="00F17916">
        <w:rPr>
          <w:szCs w:val="22"/>
        </w:rPr>
        <w:t xml:space="preserve">  </w:t>
      </w:r>
      <w:r w:rsidRPr="00F17916">
        <w:t xml:space="preserve">Notably in this respect the European Data Protection Board has released </w:t>
      </w:r>
      <w:proofErr w:type="gramStart"/>
      <w:r w:rsidRPr="00F17916">
        <w:t>a number of</w:t>
      </w:r>
      <w:proofErr w:type="gramEnd"/>
      <w:r w:rsidRPr="00F17916">
        <w:t xml:space="preserve"> privacy and data protection guidelines, recommendations, and best practices.</w:t>
      </w:r>
      <w:r w:rsidRPr="00F17916">
        <w:rPr>
          <w:rStyle w:val="FootnoteReference"/>
        </w:rPr>
        <w:footnoteReference w:id="49"/>
      </w:r>
    </w:p>
    <w:p w14:paraId="71F192AB" w14:textId="70ED88AA" w:rsidR="00C54079" w:rsidRPr="00F17916" w:rsidRDefault="008264FB" w:rsidP="00C54079">
      <w:pPr>
        <w:widowControl w:val="0"/>
        <w:spacing w:before="240" w:after="240"/>
        <w:rPr>
          <w:szCs w:val="22"/>
        </w:rPr>
      </w:pPr>
      <w:r>
        <w:t>50</w:t>
      </w:r>
      <w:r w:rsidR="00C54079" w:rsidRPr="00F17916">
        <w:rPr>
          <w:szCs w:val="22"/>
        </w:rPr>
        <w:t>.</w:t>
      </w:r>
      <w:r w:rsidR="00C54079" w:rsidRPr="00F17916">
        <w:rPr>
          <w:szCs w:val="22"/>
        </w:rPr>
        <w:tab/>
      </w:r>
      <w:r w:rsidR="00C54079" w:rsidRPr="00F17916">
        <w:t xml:space="preserve">The Center continues to closely monitor the impact of the data protection regulations on UDRP proceedings. </w:t>
      </w:r>
      <w:r w:rsidR="00C54079" w:rsidRPr="00F17916">
        <w:rPr>
          <w:szCs w:val="22"/>
        </w:rPr>
        <w:t xml:space="preserve"> </w:t>
      </w:r>
      <w:r w:rsidR="00C54079" w:rsidRPr="00F17916">
        <w:t>Separate from the Center</w:t>
      </w:r>
      <w:r w:rsidR="00C54079" w:rsidRPr="00F17916">
        <w:rPr>
          <w:szCs w:val="22"/>
        </w:rPr>
        <w:t>’</w:t>
      </w:r>
      <w:r w:rsidR="00C54079" w:rsidRPr="00F17916">
        <w:t xml:space="preserve">s UDRP function, with a view to addressing broader IP enforcement concerns occasioned by GDPR implementation, as noted above with respect to the proposed SSAD for </w:t>
      </w:r>
      <w:proofErr w:type="spellStart"/>
      <w:r w:rsidR="00C54079" w:rsidRPr="00F17916">
        <w:t>WhoIs</w:t>
      </w:r>
      <w:proofErr w:type="spellEnd"/>
      <w:r w:rsidR="00C54079" w:rsidRPr="00F17916">
        <w:t xml:space="preserve"> queries, a range of discussions continue on a </w:t>
      </w:r>
      <w:hyperlink r:id="rId53" w:history="1">
        <w:r w:rsidR="00C54079" w:rsidRPr="00906584">
          <w:rPr>
            <w:rStyle w:val="Hyperlink"/>
          </w:rPr>
          <w:t xml:space="preserve">possible </w:t>
        </w:r>
        <w:proofErr w:type="spellStart"/>
        <w:r w:rsidR="00C54079" w:rsidRPr="00906584">
          <w:rPr>
            <w:rStyle w:val="Hyperlink"/>
          </w:rPr>
          <w:t>WhoIs</w:t>
        </w:r>
        <w:proofErr w:type="spellEnd"/>
        <w:r w:rsidR="00C54079" w:rsidRPr="00906584">
          <w:rPr>
            <w:rStyle w:val="Hyperlink"/>
          </w:rPr>
          <w:t xml:space="preserve"> </w:t>
        </w:r>
        <w:r w:rsidR="00C54079" w:rsidRPr="00906584">
          <w:rPr>
            <w:rStyle w:val="Hyperlink"/>
            <w:szCs w:val="22"/>
          </w:rPr>
          <w:t>“</w:t>
        </w:r>
        <w:r w:rsidR="00C54079" w:rsidRPr="00906584">
          <w:rPr>
            <w:rStyle w:val="Hyperlink"/>
          </w:rPr>
          <w:t>accreditation and access</w:t>
        </w:r>
        <w:r w:rsidR="00C54079" w:rsidRPr="00906584">
          <w:rPr>
            <w:rStyle w:val="Hyperlink"/>
            <w:szCs w:val="22"/>
          </w:rPr>
          <w:t>”</w:t>
        </w:r>
        <w:r w:rsidR="00C54079" w:rsidRPr="00906584">
          <w:rPr>
            <w:rStyle w:val="Hyperlink"/>
          </w:rPr>
          <w:t xml:space="preserve"> model</w:t>
        </w:r>
      </w:hyperlink>
      <w:r w:rsidR="00C54079" w:rsidRPr="00F17916">
        <w:t>, including as to a potential WIPO role to certify IP owners</w:t>
      </w:r>
      <w:r w:rsidR="00C54079" w:rsidRPr="00F17916">
        <w:rPr>
          <w:szCs w:val="22"/>
        </w:rPr>
        <w:t>’</w:t>
      </w:r>
      <w:r w:rsidR="00C54079" w:rsidRPr="00F17916">
        <w:t xml:space="preserve"> rights for such access.</w:t>
      </w:r>
    </w:p>
    <w:p w14:paraId="5B94A5C0" w14:textId="733D2FA3" w:rsidR="00C54079" w:rsidRPr="004B7021" w:rsidRDefault="00C54079" w:rsidP="00C54079">
      <w:pPr>
        <w:widowControl w:val="0"/>
        <w:spacing w:before="240" w:after="240"/>
        <w:rPr>
          <w:szCs w:val="22"/>
        </w:rPr>
      </w:pPr>
      <w:r w:rsidRPr="00F17916">
        <w:t>5</w:t>
      </w:r>
      <w:r w:rsidR="008264FB">
        <w:t>1</w:t>
      </w:r>
      <w:r w:rsidRPr="00F17916">
        <w:t>.</w:t>
      </w:r>
      <w:r w:rsidRPr="00F17916">
        <w:rPr>
          <w:szCs w:val="22"/>
        </w:rPr>
        <w:tab/>
      </w:r>
      <w:r w:rsidRPr="00F17916">
        <w:t xml:space="preserve">Following discussions regarding </w:t>
      </w:r>
      <w:proofErr w:type="spellStart"/>
      <w:r w:rsidRPr="00F17916">
        <w:t>WhoIs</w:t>
      </w:r>
      <w:proofErr w:type="spellEnd"/>
      <w:r w:rsidRPr="00F17916">
        <w:t xml:space="preserve"> terminology, protocols, and security, ICANN published draft gTLD Registration Data Access Protocol profiles in 2015 and 2016.</w:t>
      </w:r>
      <w:r w:rsidRPr="00F17916">
        <w:rPr>
          <w:rStyle w:val="FootnoteReference"/>
        </w:rPr>
        <w:footnoteReference w:id="50"/>
      </w:r>
      <w:r w:rsidRPr="00F17916">
        <w:t xml:space="preserve">  The gTLD Registries Stakeholder Group with support from the Registrar Stakeholder Group proposed a modified RDAP plan with a first phase pilot program beginning in 2017.  In 2019, ICANN issued a legal notification to gTLD Registries and Registrars regarding a requirement to implement an RDAP service by August 26, 2019.  A Ramp-Up period for the RDAP began in August 2023 and ended in February 2024.  The </w:t>
      </w:r>
      <w:proofErr w:type="spellStart"/>
      <w:r w:rsidRPr="00F17916">
        <w:t>WhoIs</w:t>
      </w:r>
      <w:proofErr w:type="spellEnd"/>
      <w:r w:rsidRPr="00F17916">
        <w:t xml:space="preserve"> Sunset Date was January 28, 2025, wherein the RDAP system became mandatory</w:t>
      </w:r>
      <w:r w:rsidR="00CC371E">
        <w:t>,</w:t>
      </w:r>
      <w:r w:rsidRPr="00F17916">
        <w:t xml:space="preserve"> and the legacy </w:t>
      </w:r>
      <w:proofErr w:type="spellStart"/>
      <w:r w:rsidRPr="00F17916">
        <w:t>WhoIs</w:t>
      </w:r>
      <w:proofErr w:type="spellEnd"/>
      <w:r w:rsidRPr="00F17916">
        <w:t xml:space="preserve"> system optional.</w:t>
      </w:r>
      <w:r w:rsidRPr="00F17916">
        <w:rPr>
          <w:rStyle w:val="FootnoteReference"/>
        </w:rPr>
        <w:footnoteReference w:id="51"/>
      </w:r>
      <w:r w:rsidRPr="00F17916">
        <w:t xml:space="preserve">  The Center continues to monitor the access of Registration Data and the impact of the transition from </w:t>
      </w:r>
      <w:proofErr w:type="spellStart"/>
      <w:r w:rsidRPr="00F17916">
        <w:t>WhoIs</w:t>
      </w:r>
      <w:proofErr w:type="spellEnd"/>
      <w:r w:rsidRPr="00F17916">
        <w:t xml:space="preserve"> to RDAP.</w:t>
      </w:r>
    </w:p>
    <w:p w14:paraId="70A7ABDC" w14:textId="77777777" w:rsidR="00C54079" w:rsidRPr="005B4F4B" w:rsidRDefault="00C54079" w:rsidP="00C54079">
      <w:pPr>
        <w:pStyle w:val="Heading2"/>
        <w:ind w:left="540"/>
      </w:pPr>
      <w:r>
        <w:lastRenderedPageBreak/>
        <w:t>D</w:t>
      </w:r>
      <w:r w:rsidRPr="005B4F4B">
        <w:t>.</w:t>
      </w:r>
      <w:r w:rsidRPr="005B4F4B">
        <w:tab/>
        <w:t>OTHER IDENTIFIERS</w:t>
      </w:r>
    </w:p>
    <w:p w14:paraId="6B791373" w14:textId="6E567E22" w:rsidR="00C54079" w:rsidRPr="004B7021" w:rsidRDefault="00C54079" w:rsidP="00C54079">
      <w:pPr>
        <w:spacing w:before="240" w:after="240"/>
        <w:rPr>
          <w:szCs w:val="22"/>
        </w:rPr>
      </w:pPr>
      <w:r>
        <w:rPr>
          <w:szCs w:val="22"/>
        </w:rPr>
        <w:t>5</w:t>
      </w:r>
      <w:r w:rsidR="008264FB">
        <w:rPr>
          <w:szCs w:val="22"/>
        </w:rPr>
        <w:t>2</w:t>
      </w:r>
      <w:r>
        <w:rPr>
          <w:szCs w:val="22"/>
        </w:rPr>
        <w:t>.</w:t>
      </w:r>
      <w:r>
        <w:rPr>
          <w:szCs w:val="22"/>
        </w:rPr>
        <w:tab/>
      </w:r>
      <w:r w:rsidRPr="004B7021">
        <w:rPr>
          <w:szCs w:val="22"/>
        </w:rPr>
        <w:t>In connection with the above, there are further developments taking place at ICANN in relation to the protection of non</w:t>
      </w:r>
      <w:r w:rsidRPr="004B7021">
        <w:rPr>
          <w:szCs w:val="22"/>
        </w:rPr>
        <w:noBreakHyphen/>
        <w:t>trademark identifiers.</w:t>
      </w:r>
    </w:p>
    <w:p w14:paraId="1EEC1EC9" w14:textId="77777777" w:rsidR="00C54079" w:rsidRPr="005B4F4B" w:rsidRDefault="00C54079" w:rsidP="00C54079">
      <w:pPr>
        <w:pStyle w:val="Heading3"/>
        <w:keepNext w:val="0"/>
        <w:widowControl w:val="0"/>
        <w:spacing w:after="220"/>
        <w:ind w:left="562" w:firstLine="562"/>
      </w:pPr>
      <w:r w:rsidRPr="005B4F4B">
        <w:rPr>
          <w:u w:val="none"/>
        </w:rPr>
        <w:t>(a)</w:t>
      </w:r>
      <w:r w:rsidRPr="005B4F4B">
        <w:rPr>
          <w:u w:val="none"/>
        </w:rPr>
        <w:tab/>
      </w:r>
      <w:r w:rsidRPr="005B4F4B">
        <w:t xml:space="preserve">International Governmental Organizations </w:t>
      </w:r>
      <w:r w:rsidRPr="005B4F4B">
        <w:rPr>
          <w:szCs w:val="22"/>
        </w:rPr>
        <w:t>(IGOs)</w:t>
      </w:r>
    </w:p>
    <w:p w14:paraId="6365D02C" w14:textId="2EE9A207" w:rsidR="00C54079" w:rsidRPr="004B7021" w:rsidRDefault="00C54079" w:rsidP="00C54079">
      <w:pPr>
        <w:rPr>
          <w:szCs w:val="22"/>
        </w:rPr>
      </w:pPr>
      <w:r>
        <w:rPr>
          <w:szCs w:val="22"/>
        </w:rPr>
        <w:t>5</w:t>
      </w:r>
      <w:r w:rsidR="008264FB">
        <w:rPr>
          <w:szCs w:val="22"/>
        </w:rPr>
        <w:t>3</w:t>
      </w:r>
      <w:r>
        <w:rPr>
          <w:szCs w:val="22"/>
        </w:rPr>
        <w:t>.</w:t>
      </w:r>
      <w:r>
        <w:rPr>
          <w:szCs w:val="22"/>
        </w:rPr>
        <w:tab/>
      </w:r>
      <w:r w:rsidRPr="004B7021">
        <w:rPr>
          <w:szCs w:val="22"/>
        </w:rPr>
        <w:t xml:space="preserve">As previously reported </w:t>
      </w:r>
      <w:r w:rsidRPr="007F2F9E">
        <w:rPr>
          <w:i/>
          <w:iCs/>
          <w:szCs w:val="22"/>
        </w:rPr>
        <w:t>inter alia</w:t>
      </w:r>
      <w:r w:rsidRPr="004B7021">
        <w:rPr>
          <w:szCs w:val="22"/>
        </w:rPr>
        <w:t xml:space="preserve"> in </w:t>
      </w:r>
      <w:hyperlink r:id="rId54" w:history="1">
        <w:r w:rsidRPr="00B53D5E">
          <w:rPr>
            <w:rStyle w:val="Hyperlink"/>
            <w:szCs w:val="22"/>
          </w:rPr>
          <w:t>Document SCT</w:t>
        </w:r>
        <w:r>
          <w:rPr>
            <w:rStyle w:val="Hyperlink"/>
            <w:szCs w:val="22"/>
          </w:rPr>
          <w:t>/</w:t>
        </w:r>
        <w:r w:rsidRPr="00B53D5E">
          <w:rPr>
            <w:rStyle w:val="Hyperlink"/>
            <w:szCs w:val="22"/>
          </w:rPr>
          <w:t>46/3</w:t>
        </w:r>
      </w:hyperlink>
      <w:r w:rsidRPr="004B7021">
        <w:rPr>
          <w:szCs w:val="22"/>
        </w:rPr>
        <w:t xml:space="preserve">, </w:t>
      </w:r>
      <w:r>
        <w:rPr>
          <w:szCs w:val="22"/>
        </w:rPr>
        <w:t>a</w:t>
      </w:r>
      <w:r w:rsidRPr="004B7021">
        <w:rPr>
          <w:szCs w:val="22"/>
        </w:rPr>
        <w:t>n ICANN Working Group arrived at a set of recommendations to provide IGOs access to the UDRP, and these recommendations were approved unanimously by th</w:t>
      </w:r>
      <w:r w:rsidRPr="000E0D2D">
        <w:rPr>
          <w:szCs w:val="22"/>
        </w:rPr>
        <w:t>e GNSO</w:t>
      </w:r>
      <w:r w:rsidRPr="004B7021">
        <w:rPr>
          <w:szCs w:val="22"/>
        </w:rPr>
        <w:t xml:space="preserve"> Council on September 27, 2018. </w:t>
      </w:r>
      <w:r>
        <w:rPr>
          <w:szCs w:val="22"/>
        </w:rPr>
        <w:t xml:space="preserve"> </w:t>
      </w:r>
      <w:r w:rsidRPr="004B7021">
        <w:rPr>
          <w:szCs w:val="22"/>
        </w:rPr>
        <w:t>On January 27, 2019, the recommendations were adopted by the ICANN Board and ICANN was directed to implement the recommendations</w:t>
      </w:r>
      <w:r>
        <w:rPr>
          <w:szCs w:val="22"/>
        </w:rPr>
        <w:t>.  S</w:t>
      </w:r>
      <w:r w:rsidRPr="004B7021">
        <w:rPr>
          <w:szCs w:val="22"/>
        </w:rPr>
        <w:t>o far, ICANN implementation work on these policy recommendations remains outstanding.</w:t>
      </w:r>
      <w:r>
        <w:rPr>
          <w:szCs w:val="22"/>
        </w:rPr>
        <w:t xml:space="preserve"> </w:t>
      </w:r>
      <w:r w:rsidRPr="004B7021">
        <w:rPr>
          <w:szCs w:val="22"/>
        </w:rPr>
        <w:t xml:space="preserve"> Together with other involved IGOs, the Center continues to closely monitor implementation developments in this longstanding ICANN file</w:t>
      </w:r>
      <w:r w:rsidRPr="003469A3">
        <w:rPr>
          <w:szCs w:val="22"/>
        </w:rPr>
        <w:t xml:space="preserve">, </w:t>
      </w:r>
      <w:r w:rsidRPr="00F17916">
        <w:rPr>
          <w:szCs w:val="22"/>
        </w:rPr>
        <w:t xml:space="preserve">which is expected </w:t>
      </w:r>
      <w:r w:rsidR="00166853">
        <w:rPr>
          <w:szCs w:val="22"/>
        </w:rPr>
        <w:t>to</w:t>
      </w:r>
      <w:r w:rsidRPr="00F17916">
        <w:rPr>
          <w:szCs w:val="22"/>
        </w:rPr>
        <w:t xml:space="preserve"> get underway in the course of 2025.</w:t>
      </w:r>
    </w:p>
    <w:p w14:paraId="53F008F1" w14:textId="77777777" w:rsidR="00C54079" w:rsidRPr="005B4F4B" w:rsidRDefault="00C54079" w:rsidP="00C54079">
      <w:pPr>
        <w:pStyle w:val="Heading3"/>
        <w:ind w:left="567" w:firstLine="567"/>
        <w:rPr>
          <w:u w:val="none"/>
        </w:rPr>
      </w:pPr>
      <w:r w:rsidRPr="005B4F4B">
        <w:rPr>
          <w:u w:val="none"/>
        </w:rPr>
        <w:t>(b)</w:t>
      </w:r>
      <w:r w:rsidRPr="005B4F4B">
        <w:rPr>
          <w:u w:val="none"/>
        </w:rPr>
        <w:tab/>
      </w:r>
      <w:r w:rsidRPr="005B4F4B">
        <w:t>Geographical Terms</w:t>
      </w:r>
    </w:p>
    <w:p w14:paraId="3A93E10A" w14:textId="1B64F528" w:rsidR="00C54079" w:rsidRDefault="00C54079" w:rsidP="00C54079">
      <w:pPr>
        <w:spacing w:before="240" w:after="240"/>
        <w:ind w:right="-143"/>
        <w:rPr>
          <w:szCs w:val="22"/>
        </w:rPr>
      </w:pPr>
      <w:r w:rsidRPr="0B1EA5E2">
        <w:t>5</w:t>
      </w:r>
      <w:r w:rsidR="008264FB">
        <w:t>4</w:t>
      </w:r>
      <w:r>
        <w:rPr>
          <w:szCs w:val="22"/>
        </w:rPr>
        <w:t>.</w:t>
      </w:r>
      <w:r>
        <w:rPr>
          <w:szCs w:val="22"/>
        </w:rPr>
        <w:tab/>
      </w:r>
      <w:r w:rsidRPr="0B1EA5E2">
        <w:t xml:space="preserve">Concerning </w:t>
      </w:r>
      <w:r w:rsidRPr="00F17916">
        <w:t xml:space="preserve">geographical terms, the </w:t>
      </w:r>
      <w:r w:rsidRPr="000E0D2D">
        <w:t>GAC</w:t>
      </w:r>
      <w:r w:rsidRPr="00F17916">
        <w:t xml:space="preserve"> in particular has expressed concerns about their use and protection in the new gTLDs.</w:t>
      </w:r>
      <w:r w:rsidRPr="00F17916">
        <w:rPr>
          <w:vertAlign w:val="superscript"/>
        </w:rPr>
        <w:footnoteReference w:id="52"/>
      </w:r>
      <w:r w:rsidRPr="00F17916">
        <w:rPr>
          <w:szCs w:val="22"/>
        </w:rPr>
        <w:t xml:space="preserve">  </w:t>
      </w:r>
      <w:r w:rsidRPr="00F17916">
        <w:t>Concerning the top level,</w:t>
      </w:r>
      <w:r w:rsidRPr="00F17916">
        <w:rPr>
          <w:rStyle w:val="FootnoteReference"/>
        </w:rPr>
        <w:footnoteReference w:id="53"/>
      </w:r>
      <w:r w:rsidRPr="00F17916">
        <w:t xml:space="preserve"> ICANN’s Applicant Guidebook provides that “applications for strings that are country or territory names will not be approved, as they are not available under the New gTLD Program in this application round”.</w:t>
      </w:r>
      <w:r w:rsidRPr="00F17916">
        <w:rPr>
          <w:rStyle w:val="FootnoteReference"/>
        </w:rPr>
        <w:footnoteReference w:id="54"/>
      </w:r>
      <w:r w:rsidRPr="00F17916">
        <w:t xml:space="preserve"> Applied for strings which are considered by ICANN to be certain other geographical names, e.g., capital city names, should be accompanied by documentation of support or non</w:t>
      </w:r>
      <w:r w:rsidR="00CC371E">
        <w:t>-</w:t>
      </w:r>
      <w:r w:rsidRPr="00F17916">
        <w:t>objection from the relevant governments or public authorities.  A new ICANN’s Applicant Guidebook is expected to be published in May 2025.</w:t>
      </w:r>
      <w:r w:rsidRPr="00F17916">
        <w:rPr>
          <w:rStyle w:val="FootnoteReference"/>
        </w:rPr>
        <w:footnoteReference w:id="55"/>
      </w:r>
      <w:r w:rsidRPr="004B7021">
        <w:rPr>
          <w:szCs w:val="22"/>
        </w:rPr>
        <w:t xml:space="preserve"> </w:t>
      </w:r>
      <w:r>
        <w:rPr>
          <w:szCs w:val="22"/>
        </w:rPr>
        <w:t xml:space="preserve"> </w:t>
      </w:r>
    </w:p>
    <w:p w14:paraId="562D0E27" w14:textId="5F231A8E" w:rsidR="00C54079" w:rsidRPr="004B7021" w:rsidRDefault="00C54079" w:rsidP="00C54079">
      <w:pPr>
        <w:spacing w:before="240" w:after="240"/>
        <w:ind w:right="-143"/>
        <w:rPr>
          <w:szCs w:val="22"/>
        </w:rPr>
      </w:pPr>
      <w:r w:rsidRPr="0B1EA5E2">
        <w:t>5</w:t>
      </w:r>
      <w:r w:rsidR="008264FB">
        <w:t>5</w:t>
      </w:r>
      <w:r w:rsidRPr="0B1EA5E2">
        <w:t>.</w:t>
      </w:r>
      <w:r>
        <w:rPr>
          <w:szCs w:val="22"/>
        </w:rPr>
        <w:tab/>
      </w:r>
      <w:r w:rsidRPr="0B1EA5E2">
        <w:t xml:space="preserve">GAC members have expressed further reservations regarding </w:t>
      </w:r>
      <w:proofErr w:type="gramStart"/>
      <w:r w:rsidRPr="0B1EA5E2">
        <w:t>a number of</w:t>
      </w:r>
      <w:proofErr w:type="gramEnd"/>
      <w:r w:rsidRPr="0B1EA5E2">
        <w:t xml:space="preserve"> new gTLD applications on grounds of correspondence to geographical or other </w:t>
      </w:r>
      <w:r>
        <w:rPr>
          <w:iCs/>
          <w:szCs w:val="22"/>
        </w:rPr>
        <w:t>“</w:t>
      </w:r>
      <w:r w:rsidRPr="0B1EA5E2">
        <w:t>sensitive</w:t>
      </w:r>
      <w:r>
        <w:rPr>
          <w:iCs/>
          <w:szCs w:val="22"/>
        </w:rPr>
        <w:t>”</w:t>
      </w:r>
      <w:r w:rsidRPr="0B1EA5E2">
        <w:t xml:space="preserve"> terms, advising the ICANN Board not to proceed beyond initial evaluation, and seeking Board clarification on the scope for applicants to modify their new gTLD applications to address specific GAC concerns.</w:t>
      </w:r>
      <w:r w:rsidRPr="0B1EA5E2">
        <w:rPr>
          <w:rStyle w:val="FootnoteReference"/>
        </w:rPr>
        <w:footnoteReference w:id="56"/>
      </w:r>
    </w:p>
    <w:p w14:paraId="1984DFFD" w14:textId="2E22AF1D" w:rsidR="00C54079" w:rsidRPr="00365196" w:rsidRDefault="00C54079" w:rsidP="00C54079">
      <w:pPr>
        <w:rPr>
          <w:szCs w:val="22"/>
        </w:rPr>
      </w:pPr>
      <w:r w:rsidRPr="0B1EA5E2">
        <w:lastRenderedPageBreak/>
        <w:t>5</w:t>
      </w:r>
      <w:r w:rsidR="008264FB">
        <w:t>6</w:t>
      </w:r>
      <w:r>
        <w:rPr>
          <w:szCs w:val="22"/>
        </w:rPr>
        <w:t>.</w:t>
      </w:r>
      <w:r>
        <w:rPr>
          <w:szCs w:val="22"/>
        </w:rPr>
        <w:tab/>
      </w:r>
      <w:r w:rsidRPr="0B1EA5E2">
        <w:t xml:space="preserve">Concerning possible future new gTLD rounds, a so-called Work Track 5 </w:t>
      </w:r>
      <w:r>
        <w:rPr>
          <w:szCs w:val="22"/>
        </w:rPr>
        <w:t>“</w:t>
      </w:r>
      <w:r w:rsidRPr="0B1EA5E2">
        <w:t>cross community</w:t>
      </w:r>
      <w:r>
        <w:rPr>
          <w:szCs w:val="22"/>
        </w:rPr>
        <w:t>”</w:t>
      </w:r>
      <w:r w:rsidRPr="0B1EA5E2">
        <w:t xml:space="preserve"> working group had submitted </w:t>
      </w:r>
      <w:r w:rsidRPr="00C867B8">
        <w:t xml:space="preserve">a </w:t>
      </w:r>
      <w:hyperlink r:id="rId55" w:history="1">
        <w:r w:rsidRPr="00C867B8">
          <w:rPr>
            <w:rStyle w:val="Hyperlink"/>
          </w:rPr>
          <w:t xml:space="preserve">Final Report to the New gTLD Subsequent Procedures PDP Working Group </w:t>
        </w:r>
      </w:hyperlink>
      <w:r w:rsidRPr="00C867B8">
        <w:t xml:space="preserve">on the subject of geographic names at the top level. </w:t>
      </w:r>
      <w:r w:rsidRPr="00C867B8">
        <w:rPr>
          <w:szCs w:val="22"/>
        </w:rPr>
        <w:t xml:space="preserve"> </w:t>
      </w:r>
      <w:r w:rsidRPr="00C867B8">
        <w:t>While overall ICANN</w:t>
      </w:r>
      <w:r w:rsidRPr="00C867B8">
        <w:rPr>
          <w:szCs w:val="22"/>
        </w:rPr>
        <w:t>’</w:t>
      </w:r>
      <w:r w:rsidRPr="00C867B8">
        <w:t>s next application round appears likely to maintain the status of the 2014 round, the broader subject of geographical names remains a top</w:t>
      </w:r>
      <w:r w:rsidRPr="0B1EA5E2">
        <w:t xml:space="preserve">ic of interest to </w:t>
      </w:r>
      <w:proofErr w:type="gramStart"/>
      <w:r w:rsidRPr="0B1EA5E2">
        <w:t>a number of</w:t>
      </w:r>
      <w:proofErr w:type="gramEnd"/>
      <w:r w:rsidRPr="0B1EA5E2">
        <w:t xml:space="preserve"> ICANN stakeholders, including governments and potential applicants.</w:t>
      </w:r>
      <w:r w:rsidRPr="0B1EA5E2">
        <w:rPr>
          <w:rStyle w:val="FootnoteReference"/>
        </w:rPr>
        <w:footnoteReference w:id="57"/>
      </w:r>
      <w:bookmarkStart w:id="14" w:name="_Hlk156398678"/>
    </w:p>
    <w:bookmarkEnd w:id="14"/>
    <w:p w14:paraId="19919D04" w14:textId="603B07D1" w:rsidR="00C54079" w:rsidRPr="004B7021" w:rsidRDefault="00C54079" w:rsidP="00C54079">
      <w:pPr>
        <w:spacing w:before="240" w:after="240"/>
        <w:ind w:right="-143"/>
        <w:rPr>
          <w:szCs w:val="22"/>
        </w:rPr>
      </w:pPr>
      <w:r w:rsidRPr="0B1EA5E2">
        <w:t>5</w:t>
      </w:r>
      <w:r w:rsidR="008264FB">
        <w:t>7</w:t>
      </w:r>
      <w:r>
        <w:rPr>
          <w:szCs w:val="22"/>
        </w:rPr>
        <w:t>.</w:t>
      </w:r>
      <w:r>
        <w:rPr>
          <w:szCs w:val="22"/>
        </w:rPr>
        <w:tab/>
      </w:r>
      <w:r w:rsidRPr="0B1EA5E2">
        <w:t xml:space="preserve">In December 2016, ICANN authorized the release of all previously-reserved 2-character domain names at the second level in new gTLDs provided that registry operators first allow respective governments a thirty-day period to acquire such domain names; </w:t>
      </w:r>
      <w:r>
        <w:rPr>
          <w:szCs w:val="22"/>
        </w:rPr>
        <w:t xml:space="preserve"> </w:t>
      </w:r>
      <w:r w:rsidRPr="0B1EA5E2">
        <w:t>require registrants to represent that they would not falsely imply government affiliation in connection with the use of such 2-character domain name;</w:t>
      </w:r>
      <w:r>
        <w:rPr>
          <w:szCs w:val="22"/>
        </w:rPr>
        <w:t xml:space="preserve"> </w:t>
      </w:r>
      <w:r w:rsidRPr="0B1EA5E2">
        <w:t xml:space="preserve"> and provide a means for post-registration complaints.</w:t>
      </w:r>
      <w:r w:rsidRPr="0B1EA5E2">
        <w:rPr>
          <w:rStyle w:val="FootnoteReference"/>
        </w:rPr>
        <w:footnoteReference w:id="58"/>
      </w:r>
      <w:r w:rsidRPr="004B7021">
        <w:rPr>
          <w:szCs w:val="22"/>
        </w:rPr>
        <w:t xml:space="preserve"> </w:t>
      </w:r>
      <w:r>
        <w:rPr>
          <w:szCs w:val="22"/>
        </w:rPr>
        <w:t xml:space="preserve"> </w:t>
      </w:r>
      <w:r w:rsidRPr="0B1EA5E2">
        <w:t xml:space="preserve">In this context, the Center </w:t>
      </w:r>
      <w:hyperlink r:id="rId56" w:history="1">
        <w:r w:rsidRPr="0B1EA5E2">
          <w:rPr>
            <w:rStyle w:val="Hyperlink"/>
          </w:rPr>
          <w:t>submitted comments to ICANN</w:t>
        </w:r>
      </w:hyperlink>
      <w:r w:rsidRPr="0B1EA5E2">
        <w:t xml:space="preserve"> noting that the Second WIPO Process considered the possibility of exploring measures for the UDRP to apply to third-level registrations in order to </w:t>
      </w:r>
      <w:r w:rsidRPr="00F17916">
        <w:t xml:space="preserve">mitigate the potential for trademark abuse. </w:t>
      </w:r>
      <w:r w:rsidRPr="00F17916">
        <w:rPr>
          <w:szCs w:val="22"/>
        </w:rPr>
        <w:t xml:space="preserve"> </w:t>
      </w:r>
      <w:r w:rsidRPr="00F17916">
        <w:t xml:space="preserve">ICANN did not react to this Center submission. </w:t>
      </w:r>
      <w:r w:rsidRPr="00F17916">
        <w:rPr>
          <w:szCs w:val="22"/>
        </w:rPr>
        <w:t xml:space="preserve"> </w:t>
      </w:r>
      <w:r w:rsidRPr="00F17916">
        <w:t xml:space="preserve">Since ICANN’s release, including in recent discussions, </w:t>
      </w:r>
      <w:proofErr w:type="gramStart"/>
      <w:r w:rsidRPr="00F17916">
        <w:t>a number of</w:t>
      </w:r>
      <w:proofErr w:type="gramEnd"/>
      <w:r w:rsidRPr="00F17916">
        <w:rPr>
          <w:szCs w:val="22"/>
        </w:rPr>
        <w:t xml:space="preserve"> </w:t>
      </w:r>
      <w:r w:rsidRPr="00F17916">
        <w:t>GAC members have asked ICANN to provide coordinated information on related requests and delegations</w:t>
      </w:r>
      <w:r w:rsidRPr="00F17916">
        <w:rPr>
          <w:szCs w:val="22"/>
        </w:rPr>
        <w:t>.</w:t>
      </w:r>
      <w:r w:rsidRPr="00F17916">
        <w:rPr>
          <w:rStyle w:val="FootnoteReference"/>
        </w:rPr>
        <w:footnoteReference w:id="59"/>
      </w:r>
      <w:r w:rsidRPr="00F17916">
        <w:rPr>
          <w:szCs w:val="22"/>
        </w:rPr>
        <w:t xml:space="preserve">  </w:t>
      </w:r>
      <w:r w:rsidRPr="00F17916">
        <w:t>It is anticipated that a similar process may be used for country names at the second level (currently still blocked).</w:t>
      </w:r>
    </w:p>
    <w:p w14:paraId="02416D76" w14:textId="5EE8DEAF" w:rsidR="00C54079" w:rsidRPr="004B7021" w:rsidRDefault="00C54079" w:rsidP="00C54079">
      <w:pPr>
        <w:spacing w:before="240" w:after="240"/>
        <w:rPr>
          <w:szCs w:val="24"/>
        </w:rPr>
      </w:pPr>
      <w:r w:rsidRPr="0B1EA5E2">
        <w:t>5</w:t>
      </w:r>
      <w:r w:rsidR="008264FB">
        <w:t>8</w:t>
      </w:r>
      <w:r>
        <w:rPr>
          <w:szCs w:val="22"/>
        </w:rPr>
        <w:t>.</w:t>
      </w:r>
      <w:r>
        <w:rPr>
          <w:szCs w:val="22"/>
        </w:rPr>
        <w:tab/>
      </w:r>
      <w:r w:rsidRPr="0B1EA5E2">
        <w:t>On these and other DNS-related issues, the Center has endeavored to apprise relevant sectors within the Secretariat, including in support of the work of the Standing Committee on the Law of Trademarks, Industrial Designs and Geographical Indications (SCT).</w:t>
      </w:r>
      <w:r w:rsidRPr="0B1EA5E2">
        <w:rPr>
          <w:rStyle w:val="FootnoteReference"/>
        </w:rPr>
        <w:footnoteReference w:id="60"/>
      </w:r>
      <w:r w:rsidRPr="004B7021">
        <w:rPr>
          <w:szCs w:val="22"/>
        </w:rPr>
        <w:t xml:space="preserve"> </w:t>
      </w:r>
      <w:r>
        <w:rPr>
          <w:szCs w:val="22"/>
        </w:rPr>
        <w:t xml:space="preserve"> </w:t>
      </w:r>
      <w:r w:rsidRPr="0B1EA5E2">
        <w:t>The Secretariat</w:t>
      </w:r>
      <w:r w:rsidRPr="0B1EA5E2">
        <w:rPr>
          <w:color w:val="000000"/>
        </w:rPr>
        <w:t xml:space="preserve"> will continue to monitor these developments and provide input where appropriate.</w:t>
      </w:r>
    </w:p>
    <w:p w14:paraId="2310F487" w14:textId="42CC7159" w:rsidR="00C54079" w:rsidRPr="006F6660" w:rsidRDefault="00C54079" w:rsidP="00AC373A">
      <w:pPr>
        <w:pStyle w:val="DecisionInvitingPara"/>
        <w:ind w:left="5533"/>
        <w:rPr>
          <w:rFonts w:cs="Arial"/>
          <w:sz w:val="22"/>
        </w:rPr>
      </w:pPr>
      <w:r>
        <w:rPr>
          <w:rFonts w:cs="Arial"/>
          <w:sz w:val="22"/>
        </w:rPr>
        <w:t>5</w:t>
      </w:r>
      <w:r w:rsidR="008264FB">
        <w:rPr>
          <w:rFonts w:cs="Arial"/>
          <w:sz w:val="22"/>
        </w:rPr>
        <w:t>9</w:t>
      </w:r>
      <w:r w:rsidRPr="00EF55E5">
        <w:rPr>
          <w:rFonts w:cs="Arial"/>
          <w:sz w:val="22"/>
        </w:rPr>
        <w:t>.</w:t>
      </w:r>
      <w:r w:rsidRPr="006F6660">
        <w:rPr>
          <w:rFonts w:cs="Arial"/>
        </w:rPr>
        <w:tab/>
      </w:r>
      <w:r w:rsidRPr="006F6660">
        <w:rPr>
          <w:rFonts w:cs="Arial"/>
          <w:sz w:val="22"/>
        </w:rPr>
        <w:t xml:space="preserve">The WIPO General Assembly is invited to take note of the document </w:t>
      </w:r>
      <w:r>
        <w:rPr>
          <w:rFonts w:cs="Arial"/>
          <w:sz w:val="22"/>
        </w:rPr>
        <w:t>“</w:t>
      </w:r>
      <w:r w:rsidRPr="006F6660">
        <w:rPr>
          <w:rFonts w:cs="Arial"/>
          <w:sz w:val="22"/>
        </w:rPr>
        <w:t>WIPO Arbitration and Mediation Center, Including Domain Names</w:t>
      </w:r>
      <w:r>
        <w:rPr>
          <w:rFonts w:cs="Arial"/>
          <w:sz w:val="22"/>
        </w:rPr>
        <w:t>”</w:t>
      </w:r>
      <w:r w:rsidRPr="006F6660">
        <w:rPr>
          <w:rFonts w:cs="Arial"/>
          <w:sz w:val="22"/>
        </w:rPr>
        <w:t xml:space="preserve"> (document WO/GA/5</w:t>
      </w:r>
      <w:r w:rsidR="00905A5A">
        <w:rPr>
          <w:rFonts w:cs="Arial"/>
          <w:sz w:val="22"/>
        </w:rPr>
        <w:t>8</w:t>
      </w:r>
      <w:r w:rsidRPr="006F6660">
        <w:rPr>
          <w:rFonts w:cs="Arial"/>
          <w:sz w:val="22"/>
        </w:rPr>
        <w:t>/1</w:t>
      </w:r>
      <w:r w:rsidR="00547D0C">
        <w:rPr>
          <w:rFonts w:cs="Arial"/>
          <w:sz w:val="22"/>
        </w:rPr>
        <w:t>1</w:t>
      </w:r>
      <w:r w:rsidRPr="006F6660">
        <w:rPr>
          <w:rFonts w:cs="Arial"/>
          <w:sz w:val="22"/>
        </w:rPr>
        <w:t>).</w:t>
      </w:r>
    </w:p>
    <w:p w14:paraId="5C819C69" w14:textId="77777777" w:rsidR="00C54079" w:rsidRPr="006F6660" w:rsidRDefault="00C54079" w:rsidP="00C54079">
      <w:pPr>
        <w:pStyle w:val="DecisionInvitingPara"/>
        <w:ind w:left="5530"/>
        <w:rPr>
          <w:rFonts w:cs="Arial"/>
          <w:sz w:val="22"/>
        </w:rPr>
      </w:pPr>
    </w:p>
    <w:p w14:paraId="735A4FEB" w14:textId="77777777" w:rsidR="00C54079" w:rsidRPr="006F6660" w:rsidRDefault="00C54079" w:rsidP="00C54079">
      <w:pPr>
        <w:pStyle w:val="DecisionInvitingPara"/>
        <w:ind w:left="0"/>
        <w:rPr>
          <w:rFonts w:cs="Arial"/>
          <w:sz w:val="22"/>
        </w:rPr>
      </w:pPr>
    </w:p>
    <w:p w14:paraId="4CA2A31B" w14:textId="28CF87EE" w:rsidR="002928D3" w:rsidRDefault="00C54079" w:rsidP="0042648F">
      <w:pPr>
        <w:pStyle w:val="DecisionInvitingPara"/>
        <w:spacing w:before="120"/>
        <w:ind w:left="5530"/>
      </w:pPr>
      <w:r w:rsidRPr="006F6660">
        <w:rPr>
          <w:rFonts w:cs="Arial"/>
          <w:i w:val="0"/>
          <w:sz w:val="22"/>
        </w:rPr>
        <w:t>[End of document]</w:t>
      </w:r>
      <w:r w:rsidRPr="005B4F4B" w:rsidDel="004715E6">
        <w:rPr>
          <w:rFonts w:cs="Arial"/>
          <w:i w:val="0"/>
          <w:sz w:val="22"/>
        </w:rPr>
        <w:t xml:space="preserve"> </w:t>
      </w:r>
    </w:p>
    <w:sectPr w:rsidR="002928D3" w:rsidSect="00C54079">
      <w:headerReference w:type="default" r:id="rId5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C343" w14:textId="77777777" w:rsidR="00EC11A5" w:rsidRDefault="00EC11A5">
      <w:r>
        <w:separator/>
      </w:r>
    </w:p>
  </w:endnote>
  <w:endnote w:type="continuationSeparator" w:id="0">
    <w:p w14:paraId="41FFDB7C" w14:textId="77777777" w:rsidR="00EC11A5" w:rsidRDefault="00EC11A5" w:rsidP="003B38C1">
      <w:r>
        <w:separator/>
      </w:r>
    </w:p>
    <w:p w14:paraId="0F93F353" w14:textId="77777777" w:rsidR="00EC11A5" w:rsidRPr="003B38C1" w:rsidRDefault="00EC11A5" w:rsidP="003B38C1">
      <w:pPr>
        <w:spacing w:after="60"/>
        <w:rPr>
          <w:sz w:val="17"/>
        </w:rPr>
      </w:pPr>
      <w:r>
        <w:rPr>
          <w:sz w:val="17"/>
        </w:rPr>
        <w:t>[Endnote continued from previous page]</w:t>
      </w:r>
    </w:p>
  </w:endnote>
  <w:endnote w:type="continuationNotice" w:id="1">
    <w:p w14:paraId="720C2885" w14:textId="77777777" w:rsidR="00EC11A5" w:rsidRPr="003B38C1" w:rsidRDefault="00EC11A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8768" w14:textId="77777777" w:rsidR="00EC11A5" w:rsidRDefault="00EC11A5">
      <w:r>
        <w:separator/>
      </w:r>
    </w:p>
  </w:footnote>
  <w:footnote w:type="continuationSeparator" w:id="0">
    <w:p w14:paraId="7892EBF0" w14:textId="77777777" w:rsidR="00EC11A5" w:rsidRDefault="00EC11A5" w:rsidP="008B60B2">
      <w:r>
        <w:separator/>
      </w:r>
    </w:p>
    <w:p w14:paraId="3772471B" w14:textId="77777777" w:rsidR="00EC11A5" w:rsidRPr="00ED77FB" w:rsidRDefault="00EC11A5" w:rsidP="008B60B2">
      <w:pPr>
        <w:spacing w:after="60"/>
        <w:rPr>
          <w:sz w:val="17"/>
          <w:szCs w:val="17"/>
        </w:rPr>
      </w:pPr>
      <w:r w:rsidRPr="00ED77FB">
        <w:rPr>
          <w:sz w:val="17"/>
          <w:szCs w:val="17"/>
        </w:rPr>
        <w:t>[Footnote continued from previous page]</w:t>
      </w:r>
    </w:p>
  </w:footnote>
  <w:footnote w:type="continuationNotice" w:id="1">
    <w:p w14:paraId="50E4B390" w14:textId="77777777" w:rsidR="00EC11A5" w:rsidRPr="00ED77FB" w:rsidRDefault="00EC11A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995DA4E" w14:textId="502160DC"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r>
      <w:r w:rsidRPr="00C54079">
        <w:rPr>
          <w:color w:val="000000"/>
          <w:szCs w:val="18"/>
          <w:shd w:val="clear" w:color="auto" w:fill="FFFFFF"/>
        </w:rPr>
        <w:t xml:space="preserve">The Center provides </w:t>
      </w:r>
      <w:r w:rsidRPr="00C54079">
        <w:rPr>
          <w:color w:val="000000"/>
        </w:rPr>
        <w:t>procedural assistance (Good Offices)</w:t>
      </w:r>
      <w:r w:rsidRPr="00C54079">
        <w:rPr>
          <w:color w:val="000000"/>
          <w:szCs w:val="18"/>
          <w:shd w:val="clear" w:color="auto" w:fill="FFFFFF"/>
        </w:rPr>
        <w:t xml:space="preserve"> to parties involved in an IP or technology dispute, to facilitate direct settlement between them or the submission of their dispute to WIPO mediation, arbitration, or expert determination, as alternatives to court litigation</w:t>
      </w:r>
      <w:r w:rsidRPr="00C54079">
        <w:rPr>
          <w:szCs w:val="18"/>
        </w:rPr>
        <w:t xml:space="preserve">.  See </w:t>
      </w:r>
      <w:hyperlink r:id="rId1" w:history="1">
        <w:r w:rsidRPr="00C54079">
          <w:rPr>
            <w:rStyle w:val="Hyperlink"/>
            <w:szCs w:val="18"/>
          </w:rPr>
          <w:t>https://www.wipo.int/amc/en/goodoffices</w:t>
        </w:r>
      </w:hyperlink>
      <w:r w:rsidRPr="00C54079">
        <w:rPr>
          <w:szCs w:val="18"/>
        </w:rPr>
        <w:t>.</w:t>
      </w:r>
    </w:p>
  </w:footnote>
  <w:footnote w:id="3">
    <w:p w14:paraId="14E4BD27" w14:textId="79926D59"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All workshops and other events organized by the Center are listed at </w:t>
      </w:r>
      <w:hyperlink r:id="rId2" w:history="1">
        <w:r w:rsidRPr="00C54079">
          <w:rPr>
            <w:rStyle w:val="Hyperlink"/>
            <w:szCs w:val="18"/>
          </w:rPr>
          <w:t>https://www.wipo.int/amc/en/events</w:t>
        </w:r>
      </w:hyperlink>
      <w:r w:rsidRPr="00C54079">
        <w:rPr>
          <w:szCs w:val="18"/>
        </w:rPr>
        <w:t>.</w:t>
      </w:r>
    </w:p>
  </w:footnote>
  <w:footnote w:id="4">
    <w:p w14:paraId="26393A57" w14:textId="341E6363"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The Center makes available </w:t>
      </w:r>
      <w:r w:rsidRPr="00C54079">
        <w:t>recommended model clauses and submission agreements</w:t>
      </w:r>
      <w:r w:rsidRPr="00C54079">
        <w:rPr>
          <w:szCs w:val="18"/>
        </w:rPr>
        <w:t xml:space="preserve">, as well as an </w:t>
      </w:r>
      <w:r w:rsidRPr="00C54079">
        <w:t>online clause generator</w:t>
      </w:r>
      <w:r w:rsidRPr="00C54079">
        <w:rPr>
          <w:szCs w:val="18"/>
        </w:rPr>
        <w:t xml:space="preserve"> that allows parties to build core clauses and submission agreements.  See </w:t>
      </w:r>
      <w:r>
        <w:fldChar w:fldCharType="begin"/>
      </w:r>
      <w:r>
        <w:instrText>HYPERLINK "https://www.wipo.int/amc/en/clauses"</w:instrText>
      </w:r>
      <w:r>
        <w:fldChar w:fldCharType="separate"/>
      </w:r>
      <w:r w:rsidRPr="00C54079">
        <w:rPr>
          <w:rStyle w:val="Hyperlink"/>
          <w:szCs w:val="18"/>
        </w:rPr>
        <w:t>https://www.wipo.int/amc/en/clauses</w:t>
      </w:r>
      <w:r>
        <w:fldChar w:fldCharType="end"/>
      </w:r>
      <w:bookmarkStart w:id="6" w:name="_Hlk163636111"/>
      <w:r w:rsidRPr="00C54079">
        <w:rPr>
          <w:szCs w:val="18"/>
        </w:rPr>
        <w:t xml:space="preserve"> and </w:t>
      </w:r>
      <w:bookmarkStart w:id="7" w:name="_Hlk163636257"/>
      <w:r w:rsidRPr="00C54079">
        <w:rPr>
          <w:szCs w:val="18"/>
        </w:rPr>
        <w:fldChar w:fldCharType="begin"/>
      </w:r>
      <w:r w:rsidRPr="00C54079">
        <w:rPr>
          <w:szCs w:val="18"/>
        </w:rPr>
        <w:instrText>HYPERLINK "https://amc.wipo.int/clause-generator/"</w:instrText>
      </w:r>
      <w:r w:rsidR="00B76A1D" w:rsidRPr="00C54079">
        <w:rPr>
          <w:szCs w:val="18"/>
        </w:rPr>
      </w:r>
      <w:r w:rsidRPr="00C54079">
        <w:rPr>
          <w:szCs w:val="18"/>
        </w:rPr>
        <w:fldChar w:fldCharType="separate"/>
      </w:r>
      <w:r w:rsidRPr="00C54079">
        <w:rPr>
          <w:rStyle w:val="Hyperlink"/>
          <w:szCs w:val="18"/>
        </w:rPr>
        <w:t>https://amc.wipo.int/clause-generator/</w:t>
      </w:r>
      <w:bookmarkEnd w:id="7"/>
      <w:r w:rsidRPr="00C54079">
        <w:rPr>
          <w:szCs w:val="18"/>
        </w:rPr>
        <w:fldChar w:fldCharType="end"/>
      </w:r>
      <w:r w:rsidRPr="00C54079">
        <w:rPr>
          <w:szCs w:val="18"/>
        </w:rPr>
        <w:t>.</w:t>
      </w:r>
      <w:bookmarkEnd w:id="6"/>
    </w:p>
  </w:footnote>
  <w:footnote w:id="5">
    <w:p w14:paraId="7C7FE5C8" w14:textId="479744F9"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The Center offers reduced administration and registration fees in cases involving SMEs.  See </w:t>
      </w:r>
      <w:r>
        <w:fldChar w:fldCharType="begin"/>
      </w:r>
      <w:r>
        <w:instrText>HYPERLINK "http://www.wipo.int/amc/en/center/specific-sectors/smes/"</w:instrText>
      </w:r>
      <w:r>
        <w:fldChar w:fldCharType="separate"/>
      </w:r>
      <w:r w:rsidRPr="00C54079">
        <w:rPr>
          <w:rStyle w:val="Hyperlink"/>
          <w:szCs w:val="18"/>
        </w:rPr>
        <w:t>https://www.wipo.int/amc/en/center/specific-sectors/smes/</w:t>
      </w:r>
      <w:r>
        <w:fldChar w:fldCharType="end"/>
      </w:r>
      <w:r w:rsidRPr="00C54079">
        <w:rPr>
          <w:szCs w:val="18"/>
        </w:rPr>
        <w:t>.</w:t>
      </w:r>
    </w:p>
  </w:footnote>
  <w:footnote w:id="6">
    <w:p w14:paraId="6112FA4E" w14:textId="0F96C37D"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WIPO </w:t>
      </w:r>
      <w:proofErr w:type="spellStart"/>
      <w:r w:rsidRPr="00C54079">
        <w:rPr>
          <w:szCs w:val="18"/>
        </w:rPr>
        <w:t>eADR</w:t>
      </w:r>
      <w:proofErr w:type="spellEnd"/>
      <w:r w:rsidRPr="00C54079">
        <w:rPr>
          <w:szCs w:val="18"/>
        </w:rPr>
        <w:t xml:space="preserve"> enables parties and neutrals to share and access all case-related submissions through a single and secure portal.  In the period, WIPO’s </w:t>
      </w:r>
      <w:proofErr w:type="spellStart"/>
      <w:r w:rsidRPr="00C54079">
        <w:rPr>
          <w:szCs w:val="18"/>
        </w:rPr>
        <w:t>eADR</w:t>
      </w:r>
      <w:proofErr w:type="spellEnd"/>
      <w:r w:rsidRPr="00C54079">
        <w:rPr>
          <w:szCs w:val="18"/>
        </w:rPr>
        <w:t xml:space="preserve"> facility was also used by the America’s Cup Arbitration Panel </w:t>
      </w:r>
      <w:r w:rsidRPr="00C54079">
        <w:rPr>
          <w:szCs w:val="18"/>
        </w:rPr>
        <w:t>in the course of the 37</w:t>
      </w:r>
      <w:r w:rsidRPr="00C54079">
        <w:rPr>
          <w:szCs w:val="18"/>
          <w:vertAlign w:val="superscript"/>
        </w:rPr>
        <w:t>th</w:t>
      </w:r>
      <w:r w:rsidRPr="00C54079">
        <w:rPr>
          <w:szCs w:val="18"/>
        </w:rPr>
        <w:t xml:space="preserve"> edition of the America’s Cup sailing race series.  See </w:t>
      </w:r>
      <w:hyperlink r:id="rId3" w:history="1">
        <w:r w:rsidRPr="00C54079">
          <w:rPr>
            <w:rStyle w:val="Hyperlink"/>
            <w:szCs w:val="18"/>
          </w:rPr>
          <w:t>https://www.wipo.int/amc/en/center/background.html</w:t>
        </w:r>
      </w:hyperlink>
      <w:r w:rsidRPr="00C54079">
        <w:rPr>
          <w:szCs w:val="18"/>
        </w:rPr>
        <w:t>.</w:t>
      </w:r>
    </w:p>
  </w:footnote>
  <w:footnote w:id="7">
    <w:p w14:paraId="5CA3C7B0" w14:textId="5E139F15" w:rsidR="00FC2BAA" w:rsidRDefault="00FC2BAA">
      <w:pPr>
        <w:pStyle w:val="FootnoteText"/>
      </w:pPr>
      <w:r>
        <w:rPr>
          <w:rStyle w:val="FootnoteReference"/>
        </w:rPr>
        <w:footnoteRef/>
      </w:r>
      <w:r>
        <w:t xml:space="preserve"> </w:t>
      </w:r>
      <w:r>
        <w:tab/>
        <w:t xml:space="preserve">So far, more than 150 international cases pending before courts in </w:t>
      </w:r>
      <w:r w:rsidRPr="00747C43">
        <w:t>Shanghai, Fujian, Hainan, Guangdong, Chongqing, and Sichuan have been</w:t>
      </w:r>
      <w:r>
        <w:t xml:space="preserve"> referred to the WIPO Arbitration and Mediation Shanghai Service, including trademark, patent, copyright, ICT and other commercial cases, with parties from </w:t>
      </w:r>
      <w:r w:rsidRPr="00A8669E">
        <w:t xml:space="preserve">18 jurisdictions in Asia, </w:t>
      </w:r>
      <w:r w:rsidR="008629F9" w:rsidRPr="00A8669E">
        <w:t>Europe</w:t>
      </w:r>
      <w:r w:rsidR="008629F9">
        <w:t xml:space="preserve">, </w:t>
      </w:r>
      <w:r w:rsidR="008629F9" w:rsidRPr="00A8669E">
        <w:t>North</w:t>
      </w:r>
      <w:r w:rsidRPr="00A8669E">
        <w:t xml:space="preserve"> America, and Oceania.  </w:t>
      </w:r>
    </w:p>
  </w:footnote>
  <w:footnote w:id="8">
    <w:p w14:paraId="4B9C0CC1" w14:textId="4A9BE773" w:rsidR="00FC2BAA" w:rsidRDefault="00FC2BAA">
      <w:pPr>
        <w:pStyle w:val="FootnoteText"/>
      </w:pPr>
      <w:r>
        <w:rPr>
          <w:rStyle w:val="FootnoteReference"/>
        </w:rPr>
        <w:footnoteRef/>
      </w:r>
      <w:r>
        <w:t xml:space="preserve"> </w:t>
      </w:r>
      <w:r>
        <w:tab/>
      </w:r>
      <w:r w:rsidRPr="00A8669E">
        <w:t>To date, the Center has administered 18 patent, copyright</w:t>
      </w:r>
      <w:r>
        <w:t>, trademark, industrial designs, and unfair competition cases referred under this program, involving parties from eleven jurisdictions in Asia, Europe, and North America.</w:t>
      </w:r>
    </w:p>
  </w:footnote>
  <w:footnote w:id="9">
    <w:p w14:paraId="08C8B46F" w14:textId="79872067" w:rsidR="00FC2BAA" w:rsidRDefault="00FC2BAA">
      <w:pPr>
        <w:pStyle w:val="FootnoteText"/>
      </w:pPr>
      <w:r>
        <w:rPr>
          <w:rStyle w:val="FootnoteReference"/>
        </w:rPr>
        <w:footnoteRef/>
      </w:r>
      <w:r>
        <w:t xml:space="preserve"> </w:t>
      </w:r>
      <w:r>
        <w:tab/>
        <w:t xml:space="preserve">To date, the Center has assisted in the co-administration of some 28 mediation cases involving parties from the United Republic of Tanzania, as well as </w:t>
      </w:r>
      <w:r>
        <w:t>a number of other jurisdictions in Africa, Asia, Europe</w:t>
      </w:r>
      <w:r w:rsidR="00F2514B">
        <w:t>,</w:t>
      </w:r>
      <w:r>
        <w:t xml:space="preserve"> and North America.</w:t>
      </w:r>
    </w:p>
  </w:footnote>
  <w:footnote w:id="10">
    <w:p w14:paraId="74852E3C" w14:textId="298B9865" w:rsidR="00FC2BAA" w:rsidRDefault="00FC2BAA" w:rsidP="00FC2BAA">
      <w:pPr>
        <w:pStyle w:val="FootnoteText"/>
      </w:pPr>
      <w:r>
        <w:rPr>
          <w:rStyle w:val="FootnoteReference"/>
        </w:rPr>
        <w:footnoteRef/>
      </w:r>
      <w:r>
        <w:t xml:space="preserve"> </w:t>
      </w:r>
      <w:r>
        <w:tab/>
      </w:r>
      <w:r>
        <w:t xml:space="preserve">In light of recent legislative developments in the European Union concerning unlawful content found on online platforms, which includes issues related to IP, the Center has tailored its WIPO Expert Determination Rules to address disputes related to such infringements.  The scope of </w:t>
      </w:r>
      <w:r w:rsidRPr="0082385C">
        <w:t>the WIPO Expert Determination for Copyright and Trademarks Infringement Rules (WIPO EDCTI Rules) covers dispu</w:t>
      </w:r>
      <w:r>
        <w:t xml:space="preserve">tes between users and copyright or trademark holders, and online platforms.  This </w:t>
      </w:r>
      <w:hyperlink r:id="rId4" w:history="1">
        <w:r w:rsidRPr="546F7EB4">
          <w:rPr>
            <w:rStyle w:val="Hyperlink"/>
          </w:rPr>
          <w:t>dispute resolution procedure</w:t>
        </w:r>
      </w:hyperlink>
      <w:r>
        <w:t xml:space="preserve"> is part of a multi-tiered process that includes internal procedures made available by the online platforms, and leaves open the option to submit the disputes to the courts.</w:t>
      </w:r>
    </w:p>
  </w:footnote>
  <w:footnote w:id="11">
    <w:p w14:paraId="30197C52" w14:textId="20E6E73C" w:rsidR="00C54079" w:rsidRPr="00C54079" w:rsidRDefault="00C54079" w:rsidP="00C54079">
      <w:pPr>
        <w:pStyle w:val="FootnoteText"/>
      </w:pPr>
      <w:r w:rsidRPr="00C54079">
        <w:rPr>
          <w:rStyle w:val="FootnoteReference"/>
        </w:rPr>
        <w:footnoteRef/>
      </w:r>
      <w:r w:rsidRPr="00C54079">
        <w:t xml:space="preserve"> </w:t>
      </w:r>
      <w:r w:rsidRPr="00C54079">
        <w:rPr>
          <w:szCs w:val="18"/>
        </w:rPr>
        <w:tab/>
      </w:r>
      <w:r w:rsidRPr="00C54079">
        <w:t xml:space="preserve">Under AMP+, eligible parties may claim funding to mediate IP or technology-related disputes or contract negotiations.  Summaries of case examples are available at </w:t>
      </w:r>
      <w:r w:rsidR="00A30FA3">
        <w:fldChar w:fldCharType="begin"/>
      </w:r>
      <w:r w:rsidR="00A30FA3">
        <w:instrText>HYPERLINK "https://isomer-user-content.by.gov.sg/61/51abcc4e-78e9-40d2-acea-894f1b81f528/Mediation%20Cases.pdf"</w:instrText>
      </w:r>
      <w:r w:rsidR="00A30FA3">
        <w:fldChar w:fldCharType="separate"/>
      </w:r>
      <w:r w:rsidR="00A30FA3" w:rsidRPr="001A5232">
        <w:rPr>
          <w:rStyle w:val="Hyperlink"/>
        </w:rPr>
        <w:t>https://isomer-user-content.by.gov.sg/61/51abcc4e-78e9-40d2-acea-894f1b81f528/Mediation%20Cases.pdf</w:t>
      </w:r>
      <w:r w:rsidR="00A30FA3">
        <w:fldChar w:fldCharType="end"/>
      </w:r>
      <w:r w:rsidR="00A30FA3">
        <w:t>;</w:t>
      </w:r>
      <w:r w:rsidRPr="00C54079">
        <w:t xml:space="preserve"> for further information on AMP+ see </w:t>
      </w:r>
      <w:hyperlink r:id="rId5">
        <w:r w:rsidRPr="00C54079">
          <w:rPr>
            <w:rStyle w:val="Hyperlink"/>
          </w:rPr>
          <w:t xml:space="preserve">WIPO-ASEAN Mediation </w:t>
        </w:r>
        <w:proofErr w:type="spellStart"/>
        <w:r w:rsidRPr="00C54079">
          <w:rPr>
            <w:rStyle w:val="Hyperlink"/>
          </w:rPr>
          <w:t>Programme</w:t>
        </w:r>
        <w:proofErr w:type="spellEnd"/>
        <w:r w:rsidRPr="00C54079">
          <w:rPr>
            <w:rStyle w:val="Hyperlink"/>
          </w:rPr>
          <w:t xml:space="preserve"> (AMP+).</w:t>
        </w:r>
      </w:hyperlink>
    </w:p>
  </w:footnote>
  <w:footnote w:id="12">
    <w:p w14:paraId="5CC3248A" w14:textId="542897AA" w:rsidR="00C54079" w:rsidRPr="00C54079" w:rsidRDefault="00C54079" w:rsidP="00C54079">
      <w:pPr>
        <w:pStyle w:val="FootnoteText"/>
      </w:pPr>
      <w:r w:rsidRPr="00C54079">
        <w:rPr>
          <w:rStyle w:val="FootnoteReference"/>
        </w:rPr>
        <w:footnoteRef/>
      </w:r>
      <w:r w:rsidRPr="00C54079">
        <w:t xml:space="preserve"> </w:t>
      </w:r>
      <w:r w:rsidRPr="00C54079">
        <w:rPr>
          <w:szCs w:val="18"/>
        </w:rPr>
        <w:tab/>
      </w:r>
      <w:r w:rsidRPr="00C54079">
        <w:t xml:space="preserve">See </w:t>
      </w:r>
      <w:r>
        <w:fldChar w:fldCharType="begin"/>
      </w:r>
      <w:r>
        <w:instrText>HYPERLINK "https://www.wipo.int/export/sites/www/amc/en/docs/2022/wipo_adr_options_for_frand_disputes_management_resolution.pdf"</w:instrText>
      </w:r>
      <w:r>
        <w:fldChar w:fldCharType="separate"/>
      </w:r>
      <w:r w:rsidRPr="00C54079">
        <w:rPr>
          <w:rStyle w:val="Hyperlink"/>
          <w:szCs w:val="18"/>
        </w:rPr>
        <w:t>https://www.wipo.int/export/sites/www/amc/en/docs/2022/wipo_adr_options_for_frand_disputes_management_resolution.pdf</w:t>
      </w:r>
      <w:r>
        <w:fldChar w:fldCharType="end"/>
      </w:r>
      <w:r w:rsidRPr="00C54079">
        <w:rPr>
          <w:rFonts w:eastAsia="Arial"/>
          <w:szCs w:val="18"/>
        </w:rPr>
        <w:t>.</w:t>
      </w:r>
      <w:r w:rsidRPr="00C54079">
        <w:t xml:space="preserve">  T</w:t>
      </w:r>
      <w:r w:rsidRPr="00C54079">
        <w:rPr>
          <w:color w:val="000000" w:themeColor="text1"/>
        </w:rPr>
        <w:t>he publication seeks to assist parties and neutrals to better understand and make use of available dispute resolution options when negotiating or drafting FRAND licensing agreements.  It covers key elements that parties may wish to consider to shape the ADR process, notably to address large SEP portfolios in the telecom, Internet of Things, and connected mobility sectors, and to manage time and cost of proceedings.  Tailored model submission agreements are also included.</w:t>
      </w:r>
      <w:r w:rsidRPr="00C54079">
        <w:t xml:space="preserve">  </w:t>
      </w:r>
    </w:p>
  </w:footnote>
  <w:footnote w:id="13">
    <w:p w14:paraId="455D984D" w14:textId="5FEBD086" w:rsidR="00C54079" w:rsidRPr="00C54079" w:rsidRDefault="00C54079" w:rsidP="00C54079">
      <w:pPr>
        <w:pStyle w:val="FootnoteText"/>
      </w:pPr>
      <w:r w:rsidRPr="00C54079">
        <w:rPr>
          <w:rStyle w:val="FootnoteReference"/>
        </w:rPr>
        <w:footnoteRef/>
      </w:r>
      <w:r w:rsidRPr="00C54079">
        <w:t xml:space="preserve"> </w:t>
      </w:r>
      <w:r w:rsidRPr="00C54079">
        <w:rPr>
          <w:szCs w:val="18"/>
        </w:rPr>
        <w:tab/>
      </w:r>
      <w:r w:rsidRPr="00C54079">
        <w:t xml:space="preserve">The Center notes a growing use of WIPO mediation and arbitration clauses by life sciences stakeholders.  For example, WIPO mediation and arbitration options are included in more than 75 licensing and sub-licensing agreements concluded by the Medicines Patent Pool (MPP) with licensees in some 25 jurisdictions, see </w:t>
      </w:r>
      <w:r>
        <w:fldChar w:fldCharType="begin"/>
      </w:r>
      <w:r>
        <w:instrText>HYPERLINK "https://medicinespatentpool.org/progress-achievements/licences"</w:instrText>
      </w:r>
      <w:r>
        <w:fldChar w:fldCharType="separate"/>
      </w:r>
      <w:r w:rsidRPr="00C54079">
        <w:rPr>
          <w:rStyle w:val="Hyperlink"/>
          <w:szCs w:val="18"/>
        </w:rPr>
        <w:t>https://medicinespatentpool.org/progress-achievements/licences</w:t>
      </w:r>
      <w:r>
        <w:fldChar w:fldCharType="end"/>
      </w:r>
      <w:r w:rsidR="00B15F31">
        <w:t>.</w:t>
      </w:r>
      <w:r w:rsidRPr="00C54079">
        <w:t xml:space="preserve">  </w:t>
      </w:r>
    </w:p>
  </w:footnote>
  <w:footnote w:id="14">
    <w:p w14:paraId="6B7B7587" w14:textId="77777777" w:rsidR="00C54079" w:rsidRPr="00C54079" w:rsidRDefault="00C54079" w:rsidP="00C54079">
      <w:pPr>
        <w:pStyle w:val="ListParagraph"/>
        <w:widowControl w:val="0"/>
        <w:spacing w:after="240"/>
        <w:ind w:left="0"/>
        <w:contextualSpacing w:val="0"/>
        <w:rPr>
          <w:rFonts w:eastAsia="SimSun" w:cs="Arial"/>
          <w:sz w:val="18"/>
          <w:szCs w:val="18"/>
          <w:lang w:eastAsia="zh-CN"/>
        </w:rPr>
      </w:pPr>
      <w:r w:rsidRPr="00C54079">
        <w:rPr>
          <w:rStyle w:val="FootnoteReference"/>
          <w:rFonts w:cs="Arial"/>
          <w:sz w:val="18"/>
          <w:szCs w:val="18"/>
        </w:rPr>
        <w:footnoteRef/>
      </w:r>
      <w:r w:rsidRPr="00C54079">
        <w:rPr>
          <w:rFonts w:cs="Arial"/>
        </w:rPr>
        <w:t xml:space="preserve"> </w:t>
      </w:r>
      <w:r w:rsidRPr="00C54079">
        <w:rPr>
          <w:rFonts w:cs="Arial"/>
        </w:rPr>
        <w:tab/>
      </w:r>
      <w:r w:rsidRPr="00C54079">
        <w:rPr>
          <w:rFonts w:eastAsia="SimSun" w:cs="Arial"/>
          <w:sz w:val="18"/>
          <w:szCs w:val="18"/>
          <w:lang w:eastAsia="zh-CN"/>
        </w:rPr>
        <w:t>In 2024 a WIPO Development Agenda proposal was submitted by BIPA to the Committee on Development and Intellectual Property (CDIP) to support four countries in implementing the Co-administration Program.  This proposal was approved by WIPO Member States and its implementation is in progress.</w:t>
      </w:r>
    </w:p>
  </w:footnote>
  <w:footnote w:id="15">
    <w:p w14:paraId="343B6842" w14:textId="39D52362"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The African Regional Intellectual Property Organization (ARIPO), the Belize Intellectual Property Office (BELIPO), the Ministry of Culture of Brazil, the Canadian Intellectual Property Office (CIPO), the Chongqing High People’s Court (China), the Sichuan High People’s Court (China), the Intellectual Property Office of Ireland (IPOI), the Federal Tribunal of Administrative Justice of Mexico, the Qatar International Court and Dispute Resolution Center</w:t>
      </w:r>
      <w:r w:rsidR="00264B65">
        <w:rPr>
          <w:szCs w:val="18"/>
        </w:rPr>
        <w:t xml:space="preserve"> (QICDRC)</w:t>
      </w:r>
      <w:r w:rsidRPr="00C54079">
        <w:rPr>
          <w:szCs w:val="18"/>
        </w:rPr>
        <w:t xml:space="preserve">, the Uganda Registration Services Bureau (URSB), and the Autonomous Intellectual Property Service of Venezuela (SAPI). </w:t>
      </w:r>
    </w:p>
  </w:footnote>
  <w:footnote w:id="16">
    <w:p w14:paraId="1217ABBC" w14:textId="74E4A62C" w:rsidR="007B26E5" w:rsidRPr="00C54079" w:rsidRDefault="007B26E5" w:rsidP="007B26E5">
      <w:pPr>
        <w:pStyle w:val="FootnoteText"/>
        <w:rPr>
          <w:szCs w:val="18"/>
        </w:rPr>
      </w:pPr>
      <w:r w:rsidRPr="00C54079">
        <w:rPr>
          <w:rStyle w:val="FootnoteReference"/>
          <w:szCs w:val="18"/>
        </w:rPr>
        <w:footnoteRef/>
      </w:r>
      <w:r w:rsidRPr="00C54079">
        <w:rPr>
          <w:szCs w:val="18"/>
        </w:rPr>
        <w:t xml:space="preserve"> </w:t>
      </w:r>
      <w:r>
        <w:rPr>
          <w:szCs w:val="18"/>
        </w:rPr>
        <w:tab/>
      </w:r>
      <w:r w:rsidR="009365DF">
        <w:rPr>
          <w:szCs w:val="18"/>
        </w:rPr>
        <w:t xml:space="preserve">These </w:t>
      </w:r>
      <w:r w:rsidRPr="00C54079">
        <w:rPr>
          <w:szCs w:val="18"/>
        </w:rPr>
        <w:t>IP offices and courts</w:t>
      </w:r>
      <w:r w:rsidR="009365DF">
        <w:rPr>
          <w:szCs w:val="18"/>
        </w:rPr>
        <w:t xml:space="preserve"> are </w:t>
      </w:r>
      <w:r w:rsidRPr="00C54079">
        <w:rPr>
          <w:szCs w:val="18"/>
        </w:rPr>
        <w:t xml:space="preserve">in the African Regional Intellectual Property Organization (ARIPO), Albania, Algeria, Argentina, Australia, Austria, Belarus, Belize, Botswana, Brazil, Bulgaria, Canada, Chile, China, Colombia, Costa Rica, Cuba, the Czech Republic, the Dominican Republic, Ecuador, Egypt, El Salvador, the Eurasian Patent Organization (EAPO), France, Georgia, Greece, Guatemala, Hungary, India, Indonesia, Ireland, Israel, Italy, Kazakhstan, Kenya, the Republic of Korea, Kyrgyzstan, </w:t>
      </w:r>
      <w:r w:rsidR="007A2D7A">
        <w:rPr>
          <w:szCs w:val="18"/>
        </w:rPr>
        <w:t xml:space="preserve">the </w:t>
      </w:r>
      <w:r w:rsidRPr="00C54079">
        <w:rPr>
          <w:szCs w:val="18"/>
        </w:rPr>
        <w:t>Lao People’s Democratic Republic, Lithuania, Mexico, Morocco, Namibia, New Zealand, Nigeria, Paraguay, the Patent Office of the Cooperation Council for the Arab States of the Gulf (GCC Patent Office), Peru, the Philippines, Poland, Qatar, Romania, the Russian Federation, Saudi Arabia, Serbia, Singapore, Slovakia, Spain, Switzerland,</w:t>
      </w:r>
      <w:r w:rsidRPr="00C54079">
        <w:rPr>
          <w:szCs w:val="18"/>
          <w:shd w:val="clear" w:color="auto" w:fill="FFFFFF" w:themeFill="background1"/>
        </w:rPr>
        <w:t xml:space="preserve"> Thailand, Trinidad and Tobago, Türkiye, Ukraine, the United Kingdom, </w:t>
      </w:r>
      <w:r w:rsidR="00C108EA">
        <w:rPr>
          <w:szCs w:val="18"/>
          <w:shd w:val="clear" w:color="auto" w:fill="FFFFFF" w:themeFill="background1"/>
        </w:rPr>
        <w:t xml:space="preserve">the </w:t>
      </w:r>
      <w:r w:rsidR="00722CB8" w:rsidRPr="00C54079">
        <w:rPr>
          <w:szCs w:val="18"/>
        </w:rPr>
        <w:t xml:space="preserve">United Republic of </w:t>
      </w:r>
      <w:r w:rsidR="00722CB8" w:rsidRPr="00C54079">
        <w:rPr>
          <w:szCs w:val="18"/>
          <w:shd w:val="clear" w:color="auto" w:fill="FFFFFF" w:themeFill="background1"/>
        </w:rPr>
        <w:t>Tanzania</w:t>
      </w:r>
      <w:r w:rsidR="00722CB8">
        <w:rPr>
          <w:szCs w:val="18"/>
          <w:shd w:val="clear" w:color="auto" w:fill="FFFFFF" w:themeFill="background1"/>
        </w:rPr>
        <w:t>,</w:t>
      </w:r>
      <w:r w:rsidR="00722CB8" w:rsidRPr="00C54079">
        <w:rPr>
          <w:szCs w:val="18"/>
          <w:shd w:val="clear" w:color="auto" w:fill="FFFFFF" w:themeFill="background1"/>
        </w:rPr>
        <w:t xml:space="preserve"> </w:t>
      </w:r>
      <w:r w:rsidRPr="00C54079">
        <w:rPr>
          <w:szCs w:val="18"/>
          <w:shd w:val="clear" w:color="auto" w:fill="FFFFFF" w:themeFill="background1"/>
        </w:rPr>
        <w:t>the United States of America, Uruguay, and Venezuela</w:t>
      </w:r>
      <w:r w:rsidR="009418BD" w:rsidRPr="009418BD">
        <w:rPr>
          <w:szCs w:val="18"/>
          <w:shd w:val="clear" w:color="auto" w:fill="FFFFFF" w:themeFill="background1"/>
        </w:rPr>
        <w:t xml:space="preserve"> </w:t>
      </w:r>
      <w:r w:rsidR="009418BD">
        <w:rPr>
          <w:szCs w:val="18"/>
          <w:shd w:val="clear" w:color="auto" w:fill="FFFFFF" w:themeFill="background1"/>
        </w:rPr>
        <w:t>(</w:t>
      </w:r>
      <w:r w:rsidR="009418BD" w:rsidRPr="00C54079">
        <w:rPr>
          <w:szCs w:val="18"/>
          <w:shd w:val="clear" w:color="auto" w:fill="FFFFFF" w:themeFill="background1"/>
        </w:rPr>
        <w:t>Bolivarian Republic of</w:t>
      </w:r>
      <w:r w:rsidR="009418BD">
        <w:rPr>
          <w:szCs w:val="18"/>
          <w:shd w:val="clear" w:color="auto" w:fill="FFFFFF" w:themeFill="background1"/>
        </w:rPr>
        <w:t>)</w:t>
      </w:r>
      <w:r w:rsidRPr="00C54079">
        <w:rPr>
          <w:szCs w:val="18"/>
          <w:shd w:val="clear" w:color="auto" w:fill="FFFFFF" w:themeFill="background1"/>
        </w:rPr>
        <w:t xml:space="preserve">.  See </w:t>
      </w:r>
      <w:r>
        <w:fldChar w:fldCharType="begin"/>
      </w:r>
      <w:r>
        <w:instrText>HYPERLINK "https://www.wipo.int/amc/en/center/specific-sectors/ipoffices/"</w:instrText>
      </w:r>
      <w:r>
        <w:fldChar w:fldCharType="separate"/>
      </w:r>
      <w:r w:rsidRPr="00C54079">
        <w:rPr>
          <w:rStyle w:val="Hyperlink"/>
          <w:szCs w:val="18"/>
        </w:rPr>
        <w:t>https://www.wipo.int/amc/en/center/specific-sectors/ipoffices/</w:t>
      </w:r>
      <w:r>
        <w:fldChar w:fldCharType="end"/>
      </w:r>
      <w:r w:rsidRPr="00C54079">
        <w:rPr>
          <w:szCs w:val="18"/>
          <w:shd w:val="clear" w:color="auto" w:fill="FFFFFF" w:themeFill="background1"/>
        </w:rPr>
        <w:t xml:space="preserve">. </w:t>
      </w:r>
    </w:p>
  </w:footnote>
  <w:footnote w:id="17">
    <w:p w14:paraId="661B8BCF" w14:textId="6E4A912B" w:rsidR="00C54079" w:rsidRPr="00C54079" w:rsidRDefault="00C54079" w:rsidP="00C54079">
      <w:pPr>
        <w:pStyle w:val="FootnoteText"/>
        <w:rPr>
          <w:szCs w:val="18"/>
        </w:rPr>
      </w:pPr>
      <w:r w:rsidRPr="00C54079">
        <w:rPr>
          <w:rStyle w:val="FootnoteReference"/>
          <w:szCs w:val="18"/>
        </w:rPr>
        <w:footnoteRef/>
      </w:r>
      <w:r w:rsidRPr="00C54079">
        <w:rPr>
          <w:szCs w:val="18"/>
        </w:rPr>
        <w:tab/>
        <w:t xml:space="preserve">In the period, the Center organized ADR training and outreach events with IP offices and courts of </w:t>
      </w:r>
      <w:bookmarkStart w:id="8" w:name="_Hlk159948627"/>
      <w:r w:rsidRPr="00C54079">
        <w:rPr>
          <w:szCs w:val="18"/>
        </w:rPr>
        <w:t xml:space="preserve">Algeria, the African Regional Intellectual Property Organization (ARIPO), Australia, Canada, China, Colombia, Cuba, </w:t>
      </w:r>
      <w:r w:rsidR="0009014E">
        <w:rPr>
          <w:szCs w:val="18"/>
        </w:rPr>
        <w:t xml:space="preserve">the </w:t>
      </w:r>
      <w:r w:rsidRPr="00C54079">
        <w:rPr>
          <w:szCs w:val="18"/>
        </w:rPr>
        <w:t xml:space="preserve">Dominican Republic, Egypt, France, Guatemala, India, Kenya, Mexico, Namibia, Nigeria, Paraguay, Poland, Peru, Qatar, </w:t>
      </w:r>
      <w:r w:rsidR="0009014E">
        <w:rPr>
          <w:szCs w:val="18"/>
        </w:rPr>
        <w:t xml:space="preserve">the </w:t>
      </w:r>
      <w:r w:rsidRPr="00C54079">
        <w:rPr>
          <w:szCs w:val="18"/>
        </w:rPr>
        <w:t xml:space="preserve">Republic of Korea, Saudi Arabia, Singapore, Spain, Trinidad and Tobago, Türkiye, Ukraine, the United Kingdom, </w:t>
      </w:r>
      <w:r w:rsidR="0009014E">
        <w:rPr>
          <w:szCs w:val="18"/>
        </w:rPr>
        <w:t xml:space="preserve">the </w:t>
      </w:r>
      <w:r w:rsidR="00B946DD" w:rsidRPr="00C54079">
        <w:rPr>
          <w:szCs w:val="18"/>
        </w:rPr>
        <w:t xml:space="preserve">United Republic of Tanzania, </w:t>
      </w:r>
      <w:r w:rsidRPr="00C54079">
        <w:rPr>
          <w:szCs w:val="18"/>
        </w:rPr>
        <w:t xml:space="preserve">and the United States of America. </w:t>
      </w:r>
      <w:bookmarkEnd w:id="8"/>
    </w:p>
  </w:footnote>
  <w:footnote w:id="18">
    <w:p w14:paraId="49CF6A40" w14:textId="4752AE2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r>
      <w:bookmarkStart w:id="9" w:name="_Hlk159937683"/>
      <w:r w:rsidRPr="00C54079">
        <w:rPr>
          <w:szCs w:val="18"/>
        </w:rPr>
        <w:t xml:space="preserve">As noted under </w:t>
      </w:r>
      <w:r w:rsidRPr="0013496E">
        <w:rPr>
          <w:szCs w:val="18"/>
        </w:rPr>
        <w:t xml:space="preserve">paragraph </w:t>
      </w:r>
      <w:r w:rsidR="00D908FE">
        <w:rPr>
          <w:szCs w:val="18"/>
        </w:rPr>
        <w:t>1</w:t>
      </w:r>
      <w:r w:rsidR="009013CE">
        <w:rPr>
          <w:szCs w:val="18"/>
        </w:rPr>
        <w:t>1</w:t>
      </w:r>
      <w:r w:rsidRPr="0013496E">
        <w:rPr>
          <w:szCs w:val="18"/>
        </w:rPr>
        <w:t>, above</w:t>
      </w:r>
      <w:r w:rsidRPr="00C54079">
        <w:rPr>
          <w:szCs w:val="18"/>
        </w:rPr>
        <w:t xml:space="preserve">, under its collaboration with IPOS, the Center participated in the development of mediation options for IPOS trademark and other proceedings, and an expert determination option for IPOS patent proceedings, and it administers such proceedings, including online case administration tools.  The Center also collaborates with the IPOPHL concerning the administration of mediation proceedings involving IP rights in the Philippines, including recently under the IPOPHL Mediation Outside Litigation scheme, and administers cases referred to WIPO Mediation under these arrangements.  </w:t>
      </w:r>
      <w:bookmarkEnd w:id="9"/>
      <w:r w:rsidRPr="00C54079">
        <w:rPr>
          <w:szCs w:val="18"/>
        </w:rPr>
        <w:t>In addition, the Trademark Trial and Appeal Board (TTAB) and the Patent Trial and Appeal Board (PTAB) of the USPTO encourage parties to consider ADR as a means of settling issues raised in those proceedings; the Center is one of the listed dispute resolution service providers.  Under its collaboration with the Polish Patent Office (PPO), the Center participated in the development of a WIPO mediation option that has become available for pending trademark opposition proceedings.</w:t>
      </w:r>
      <w:bookmarkStart w:id="10" w:name="_Hlk159938345"/>
      <w:r w:rsidRPr="00C54079">
        <w:rPr>
          <w:szCs w:val="18"/>
        </w:rPr>
        <w:t xml:space="preserve">  Under the collaboration between the Center and OMPIC, the Center and OMPIC developed a mediation option for IP and technology cases, co</w:t>
      </w:r>
      <w:r w:rsidRPr="00C54079">
        <w:rPr>
          <w:szCs w:val="18"/>
        </w:rPr>
        <w:noBreakHyphen/>
        <w:t>administered by the Center and OMPIC.</w:t>
      </w:r>
      <w:bookmarkEnd w:id="10"/>
      <w:r w:rsidRPr="00C54079">
        <w:rPr>
          <w:szCs w:val="18"/>
        </w:rPr>
        <w:t xml:space="preserve">  In collaboration with the Center, TTIPO offers a voluntary mediation option to parties to resolve trademark oppositions pending before TTIPO through mediation under the </w:t>
      </w:r>
      <w:r>
        <w:fldChar w:fldCharType="begin"/>
      </w:r>
      <w:r>
        <w:instrText>HYPERLINK "https://www.wipo.int/amc/en/mediation/rules/"</w:instrText>
      </w:r>
      <w:r>
        <w:fldChar w:fldCharType="separate"/>
      </w:r>
      <w:r w:rsidRPr="00C54079">
        <w:rPr>
          <w:szCs w:val="18"/>
        </w:rPr>
        <w:t>WIPO Mediation Rules</w:t>
      </w:r>
      <w:r>
        <w:fldChar w:fldCharType="end"/>
      </w:r>
      <w:r w:rsidRPr="00C54079">
        <w:rPr>
          <w:szCs w:val="18"/>
        </w:rPr>
        <w:t>.</w:t>
      </w:r>
    </w:p>
  </w:footnote>
  <w:footnote w:id="19">
    <w:p w14:paraId="352C023A" w14:textId="7BB4B994" w:rsidR="00C54079" w:rsidRPr="00C54079" w:rsidRDefault="00C54079" w:rsidP="00C54079">
      <w:pPr>
        <w:pStyle w:val="FootnoteText"/>
        <w:rPr>
          <w:szCs w:val="18"/>
        </w:rPr>
      </w:pPr>
      <w:r w:rsidRPr="0013496E">
        <w:rPr>
          <w:rStyle w:val="FootnoteReference"/>
          <w:szCs w:val="18"/>
        </w:rPr>
        <w:footnoteRef/>
      </w:r>
      <w:r w:rsidRPr="0013496E">
        <w:rPr>
          <w:szCs w:val="18"/>
        </w:rPr>
        <w:t xml:space="preserve"> </w:t>
      </w:r>
      <w:r w:rsidRPr="0013496E">
        <w:rPr>
          <w:szCs w:val="18"/>
        </w:rPr>
        <w:tab/>
        <w:t>See paragraph</w:t>
      </w:r>
      <w:r w:rsidR="0013496E" w:rsidRPr="0013496E">
        <w:rPr>
          <w:szCs w:val="18"/>
        </w:rPr>
        <w:t>s</w:t>
      </w:r>
      <w:r w:rsidRPr="0013496E">
        <w:rPr>
          <w:szCs w:val="18"/>
        </w:rPr>
        <w:t xml:space="preserve"> </w:t>
      </w:r>
      <w:r w:rsidR="0013496E" w:rsidRPr="0013496E">
        <w:rPr>
          <w:szCs w:val="18"/>
        </w:rPr>
        <w:t>1</w:t>
      </w:r>
      <w:r w:rsidR="009013CE">
        <w:rPr>
          <w:szCs w:val="18"/>
        </w:rPr>
        <w:t>7</w:t>
      </w:r>
      <w:r w:rsidR="0013496E" w:rsidRPr="0013496E">
        <w:rPr>
          <w:szCs w:val="18"/>
        </w:rPr>
        <w:t>-2</w:t>
      </w:r>
      <w:r w:rsidR="009013CE">
        <w:rPr>
          <w:szCs w:val="18"/>
        </w:rPr>
        <w:t>1</w:t>
      </w:r>
      <w:r w:rsidR="0013496E" w:rsidRPr="0013496E">
        <w:rPr>
          <w:szCs w:val="18"/>
        </w:rPr>
        <w:t xml:space="preserve"> </w:t>
      </w:r>
      <w:r w:rsidRPr="0013496E">
        <w:rPr>
          <w:szCs w:val="18"/>
        </w:rPr>
        <w:t>above for related information.</w:t>
      </w:r>
      <w:r w:rsidRPr="00C54079">
        <w:rPr>
          <w:szCs w:val="18"/>
          <w:shd w:val="clear" w:color="auto" w:fill="FFFFFF" w:themeFill="background1"/>
        </w:rPr>
        <w:t xml:space="preserve"> </w:t>
      </w:r>
    </w:p>
  </w:footnote>
  <w:footnote w:id="20">
    <w:p w14:paraId="745E30E7" w14:textId="14FA8E04" w:rsidR="00C54079" w:rsidRPr="00C54079" w:rsidRDefault="00C54079" w:rsidP="00C54079">
      <w:pPr>
        <w:pStyle w:val="FootnoteText"/>
        <w:rPr>
          <w:szCs w:val="18"/>
        </w:rPr>
      </w:pPr>
      <w:r w:rsidRPr="00C54079">
        <w:rPr>
          <w:rStyle w:val="FootnoteReference"/>
          <w:szCs w:val="18"/>
        </w:rPr>
        <w:footnoteRef/>
      </w:r>
      <w:r w:rsidRPr="00C54079">
        <w:rPr>
          <w:szCs w:val="18"/>
        </w:rPr>
        <w:tab/>
      </w:r>
      <w:r w:rsidRPr="00C54079">
        <w:rPr>
          <w:szCs w:val="18"/>
          <w:shd w:val="clear" w:color="auto" w:fill="FFFFFF" w:themeFill="background1"/>
        </w:rPr>
        <w:t xml:space="preserve">For example, the EU DESCA 2020 Model Consortium Agreement, the </w:t>
      </w:r>
      <w:r w:rsidRPr="00C54079">
        <w:rPr>
          <w:szCs w:val="18"/>
          <w:shd w:val="clear" w:color="auto" w:fill="FFFFFF" w:themeFill="background1"/>
          <w:lang w:val="en"/>
        </w:rPr>
        <w:t xml:space="preserve">Intellectual Property Agreement Guide (IPAG) Model Agreements in Austria, the Sample Agreements for Research and Development Cooperation in Germany, and the model R&amp;D agreements </w:t>
      </w:r>
      <w:r w:rsidRPr="00C54079">
        <w:rPr>
          <w:szCs w:val="18"/>
          <w:shd w:val="clear" w:color="auto" w:fill="FFFFFF" w:themeFill="background1"/>
        </w:rPr>
        <w:t xml:space="preserve">with the </w:t>
      </w:r>
      <w:r w:rsidRPr="00C54079">
        <w:rPr>
          <w:bCs/>
          <w:szCs w:val="18"/>
          <w:shd w:val="clear" w:color="auto" w:fill="FFFFFF" w:themeFill="background1"/>
        </w:rPr>
        <w:t>Spanish Patent and Trademark Office</w:t>
      </w:r>
      <w:r w:rsidRPr="00C54079">
        <w:rPr>
          <w:szCs w:val="18"/>
          <w:shd w:val="clear" w:color="auto" w:fill="FFFFFF" w:themeFill="background1"/>
        </w:rPr>
        <w:t xml:space="preserve"> (OEPM).  Most recently, </w:t>
      </w:r>
      <w:r w:rsidRPr="00C54079">
        <w:rPr>
          <w:szCs w:val="18"/>
          <w:lang w:val="en"/>
        </w:rPr>
        <w:t>the Baltic Technology Transfer Offices Network Cooperation Agreement, concluded in 2022 in collaboration with WIPO, recommends WIPO Mediation followed, in the absence of a settlement, by court litigation.  The Australia’s Higher Education Research Commercialization (HERC) IP Framework Model License and Research Agreements recommend mediation followed, in the absence of a settlement, by court proceedings or WIPO Arbitration.</w:t>
      </w:r>
      <w:r w:rsidRPr="00C54079">
        <w:rPr>
          <w:szCs w:val="18"/>
          <w:shd w:val="clear" w:color="auto" w:fill="FFFFFF" w:themeFill="background1"/>
          <w:lang w:val="en"/>
        </w:rPr>
        <w:t xml:space="preserve">  For further information see </w:t>
      </w:r>
      <w:r>
        <w:fldChar w:fldCharType="begin"/>
      </w:r>
      <w:r>
        <w:instrText>HYPERLINK "https://www.wipo.int/amc/en/center/specific-sectors/rd/"</w:instrText>
      </w:r>
      <w:r>
        <w:fldChar w:fldCharType="separate"/>
      </w:r>
      <w:r w:rsidRPr="00C54079">
        <w:rPr>
          <w:rStyle w:val="Hyperlink"/>
          <w:szCs w:val="18"/>
          <w:shd w:val="clear" w:color="auto" w:fill="FFFFFF" w:themeFill="background1"/>
          <w:lang w:val="en"/>
        </w:rPr>
        <w:t>https://www.wipo.int/amc/en/center/specific-sectors/rd/</w:t>
      </w:r>
      <w:r>
        <w:fldChar w:fldCharType="end"/>
      </w:r>
      <w:r w:rsidRPr="00C54079">
        <w:rPr>
          <w:szCs w:val="18"/>
          <w:shd w:val="clear" w:color="auto" w:fill="FFFFFF" w:themeFill="background1"/>
          <w:lang w:val="en"/>
        </w:rPr>
        <w:t>.</w:t>
      </w:r>
    </w:p>
  </w:footnote>
  <w:footnote w:id="21">
    <w:p w14:paraId="5C86F2D8" w14:textId="4DAE9834"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Subscribers to WIPO ADR Highlights increased to over 8,500; all editions are available at </w:t>
      </w:r>
      <w:r>
        <w:fldChar w:fldCharType="begin"/>
      </w:r>
      <w:r>
        <w:instrText>HYPERLINK "https://www.wipo.int/newsletters-archive/en/adr_highlights.html"</w:instrText>
      </w:r>
      <w:r>
        <w:fldChar w:fldCharType="separate"/>
      </w:r>
      <w:r w:rsidRPr="00C54079">
        <w:rPr>
          <w:rStyle w:val="Hyperlink"/>
          <w:szCs w:val="18"/>
        </w:rPr>
        <w:t>https://www.wipo.int/newsletters-archive/en/adr_highlights.html</w:t>
      </w:r>
      <w:r>
        <w:fldChar w:fldCharType="end"/>
      </w:r>
      <w:r w:rsidRPr="00C54079">
        <w:rPr>
          <w:szCs w:val="18"/>
        </w:rPr>
        <w:t xml:space="preserve">. </w:t>
      </w:r>
    </w:p>
  </w:footnote>
  <w:footnote w:id="22">
    <w:p w14:paraId="401F3C15"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To date, Center webinars have been delivered in Chinese, Dutch, English, French, German, Italian, Japanese, Korean, Russian, Spanish, and Swedish.  </w:t>
      </w:r>
    </w:p>
  </w:footnote>
  <w:footnote w:id="23">
    <w:p w14:paraId="0950D5E3"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In alphabetical order, Arabic, Bulgarian, Chinese, Croatian, Czech, Danish, Dutch, English, Estonian, Finnish, French, German, Greek, Hebrew, Hungarian, Indonesian, Italian, Japanese, Korean, Malaysian, Norwegian, Polish, Portuguese, Romanian, Russian, Slovak, Spanish, Swedish, Thai, Turkish, Ukrainian, and Vietnamese.</w:t>
      </w:r>
    </w:p>
  </w:footnote>
  <w:footnote w:id="24">
    <w:p w14:paraId="7D2A1A49" w14:textId="4CA456BF" w:rsidR="00C54079" w:rsidRPr="00C54079" w:rsidRDefault="00C54079" w:rsidP="00C54079">
      <w:pPr>
        <w:pStyle w:val="FootnoteText"/>
        <w:rPr>
          <w:szCs w:val="18"/>
        </w:rPr>
      </w:pPr>
      <w:r w:rsidRPr="00C54079">
        <w:rPr>
          <w:rStyle w:val="FootnoteReference"/>
          <w:szCs w:val="18"/>
        </w:rPr>
        <w:footnoteRef/>
      </w:r>
      <w:r w:rsidRPr="00C54079">
        <w:rPr>
          <w:szCs w:val="18"/>
        </w:rPr>
        <w:tab/>
        <w:t xml:space="preserve">The UDRP does not prevent either party from submitting a dispute to a competent court of justice; however, very few cases that have been decided under the UDRP have been brought before a court.  See Selected UDRP-related Court Cases at </w:t>
      </w:r>
      <w:r>
        <w:fldChar w:fldCharType="begin"/>
      </w:r>
      <w:r>
        <w:instrText>HYPERLINK "https://www.wipo.int/amc/en/domains/challenged"</w:instrText>
      </w:r>
      <w:r>
        <w:fldChar w:fldCharType="separate"/>
      </w:r>
      <w:r w:rsidRPr="00C54079">
        <w:rPr>
          <w:rStyle w:val="Hyperlink"/>
          <w:szCs w:val="18"/>
        </w:rPr>
        <w:t>https://www.wipo.int/amc/en/domains/challenged</w:t>
      </w:r>
      <w:r>
        <w:fldChar w:fldCharType="end"/>
      </w:r>
      <w:r w:rsidRPr="00C54079">
        <w:rPr>
          <w:szCs w:val="18"/>
        </w:rPr>
        <w:t>.</w:t>
      </w:r>
    </w:p>
  </w:footnote>
  <w:footnote w:id="25">
    <w:p w14:paraId="533F64E5" w14:textId="4AFB453E" w:rsidR="00C54079" w:rsidRPr="00C54079" w:rsidRDefault="00C54079" w:rsidP="00C54079">
      <w:pPr>
        <w:pStyle w:val="FootnoteText"/>
        <w:rPr>
          <w:color w:val="000000"/>
          <w:szCs w:val="18"/>
        </w:rPr>
      </w:pPr>
      <w:r w:rsidRPr="00C54079">
        <w:rPr>
          <w:rStyle w:val="FootnoteReference"/>
          <w:szCs w:val="18"/>
        </w:rPr>
        <w:footnoteRef/>
      </w:r>
      <w:r w:rsidRPr="00C54079">
        <w:rPr>
          <w:szCs w:val="18"/>
        </w:rPr>
        <w:t xml:space="preserve"> </w:t>
      </w:r>
      <w:r w:rsidRPr="00C54079">
        <w:rPr>
          <w:szCs w:val="18"/>
        </w:rPr>
        <w:tab/>
        <w:t xml:space="preserve">The Center makes available a wide range of online real-time statistics to assist WIPO UDRP case parties and neutrals, trademark attorneys, domain name registrants, domain name policy makers, media, and academics.  See </w:t>
      </w:r>
      <w:r>
        <w:fldChar w:fldCharType="begin"/>
      </w:r>
      <w:r>
        <w:instrText>HYPERLINK "https://www.wipo.int/amc/en/domains/statistics"</w:instrText>
      </w:r>
      <w:r>
        <w:fldChar w:fldCharType="separate"/>
      </w:r>
      <w:r w:rsidRPr="00C54079">
        <w:rPr>
          <w:rStyle w:val="Hyperlink"/>
          <w:szCs w:val="18"/>
        </w:rPr>
        <w:t>https://www.wipo.int/amc/en/domains/statistics</w:t>
      </w:r>
      <w:r>
        <w:fldChar w:fldCharType="end"/>
      </w:r>
      <w:r w:rsidRPr="00C54079">
        <w:rPr>
          <w:szCs w:val="18"/>
        </w:rPr>
        <w:t xml:space="preserve">. </w:t>
      </w:r>
    </w:p>
  </w:footnote>
  <w:footnote w:id="26">
    <w:p w14:paraId="420E8121"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The increased scope of WIPO Overview 3.0 reflects a wide range of DNS and UDRP case evolutions.  The WIPO Overview is instrumental in developing and maintaining consistency of WIPO UDRP jurisprudence.  </w:t>
      </w:r>
    </w:p>
  </w:footnote>
  <w:footnote w:id="27">
    <w:p w14:paraId="417CA3F5" w14:textId="18F9F3FA"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"https://www.wipo.int/amc/en/events/workshops/2025/domainname"</w:instrText>
      </w:r>
      <w:r>
        <w:fldChar w:fldCharType="separate"/>
      </w:r>
      <w:r w:rsidRPr="00C54079">
        <w:rPr>
          <w:rStyle w:val="Hyperlink"/>
        </w:rPr>
        <w:t>https://www.wipo.int/amc/en/events/workshops/2025/domainname</w:t>
      </w:r>
      <w:r>
        <w:fldChar w:fldCharType="end"/>
      </w:r>
      <w:r w:rsidRPr="00C54079">
        <w:t>.</w:t>
      </w:r>
    </w:p>
  </w:footnote>
  <w:footnote w:id="28">
    <w:p w14:paraId="65AAC717" w14:textId="5FF50520" w:rsidR="00C54079" w:rsidRPr="00C54079" w:rsidRDefault="00C54079" w:rsidP="00C54079">
      <w:pPr>
        <w:pStyle w:val="FootnoteText"/>
        <w:rPr>
          <w:szCs w:val="18"/>
        </w:rPr>
      </w:pPr>
      <w:r w:rsidRPr="00C54079">
        <w:rPr>
          <w:rStyle w:val="FootnoteReference"/>
          <w:szCs w:val="18"/>
        </w:rPr>
        <w:footnoteRef/>
      </w:r>
      <w:r w:rsidRPr="00C54079">
        <w:rPr>
          <w:szCs w:val="18"/>
        </w:rPr>
        <w:tab/>
        <w:t xml:space="preserve">The full list of ccTLDs that have retained the Center as domain name dispute resolution provider is available at </w:t>
      </w:r>
      <w:r>
        <w:fldChar w:fldCharType="begin"/>
      </w:r>
      <w:r>
        <w:instrText>HYPERLINK "https://www.wipo.int/amc/en/domains/cctld"</w:instrText>
      </w:r>
      <w:r>
        <w:fldChar w:fldCharType="separate"/>
      </w:r>
      <w:r w:rsidRPr="00C54079">
        <w:rPr>
          <w:rStyle w:val="Hyperlink"/>
          <w:szCs w:val="18"/>
        </w:rPr>
        <w:t>https://www.wipo.int/amc/en/domains/cctld</w:t>
      </w:r>
      <w:r>
        <w:fldChar w:fldCharType="end"/>
      </w:r>
      <w:r w:rsidRPr="00C54079">
        <w:rPr>
          <w:szCs w:val="18"/>
        </w:rPr>
        <w:t xml:space="preserve">. </w:t>
      </w:r>
    </w:p>
  </w:footnote>
  <w:footnote w:id="29">
    <w:p w14:paraId="63A4BC6F"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For example, the Center’s page dedicated to .CH (Switzerland) is available in German and Italian, in addition to English, French, and Spanish.</w:t>
      </w:r>
    </w:p>
  </w:footnote>
  <w:footnote w:id="30">
    <w:p w14:paraId="74B0C0CA" w14:textId="03FC1069" w:rsidR="00C54079" w:rsidRPr="00C54079" w:rsidRDefault="00C54079" w:rsidP="00C54079">
      <w:pPr>
        <w:pStyle w:val="FootnoteText"/>
      </w:pPr>
      <w:r w:rsidRPr="00C54079">
        <w:rPr>
          <w:rStyle w:val="FootnoteReference"/>
        </w:rPr>
        <w:footnoteRef/>
      </w:r>
      <w:r w:rsidRPr="00C54079">
        <w:t xml:space="preserve"> </w:t>
      </w:r>
      <w:r w:rsidRPr="00C54079">
        <w:tab/>
        <w:t xml:space="preserve">See e.g., </w:t>
      </w:r>
      <w:r>
        <w:fldChar w:fldCharType="begin"/>
      </w:r>
      <w:r>
        <w:instrText>HYPERLINK "https://www.wipo.int/amc/en/domains/gdpr/"</w:instrText>
      </w:r>
      <w:r>
        <w:fldChar w:fldCharType="separate"/>
      </w:r>
      <w:r w:rsidRPr="00C54079">
        <w:rPr>
          <w:rStyle w:val="Hyperlink"/>
        </w:rPr>
        <w:t>https://www.wipo.int/amc/en/domains/gdpr/</w:t>
      </w:r>
      <w:r>
        <w:fldChar w:fldCharType="end"/>
      </w:r>
      <w:r w:rsidRPr="00C54079">
        <w:t xml:space="preserve">, </w:t>
      </w:r>
      <w:hyperlink r:id="rId6" w:history="1">
        <w:r w:rsidRPr="00C54079">
          <w:rPr>
            <w:rStyle w:val="Hyperlink"/>
          </w:rPr>
          <w:t>https://www.wipo.int/amc/en/domains/expiry.html</w:t>
        </w:r>
      </w:hyperlink>
      <w:r w:rsidRPr="00C54079">
        <w:t xml:space="preserve">, and </w:t>
      </w:r>
      <w:hyperlink r:id="rId7" w:history="1">
        <w:r w:rsidRPr="00C54079">
          <w:rPr>
            <w:rStyle w:val="Hyperlink"/>
          </w:rPr>
          <w:t>https://www.wipo.int/amc/en/domains/lop/</w:t>
        </w:r>
      </w:hyperlink>
      <w:r w:rsidRPr="00C54079">
        <w:t>.</w:t>
      </w:r>
    </w:p>
  </w:footnote>
  <w:footnote w:id="31">
    <w:p w14:paraId="3BE0F45A" w14:textId="38C55198" w:rsidR="00C54079" w:rsidRPr="00C54079" w:rsidRDefault="00C54079" w:rsidP="00C54079">
      <w:pPr>
        <w:pStyle w:val="FootnoteText"/>
        <w:rPr>
          <w:szCs w:val="18"/>
        </w:rPr>
      </w:pPr>
      <w:r w:rsidRPr="00C54079">
        <w:rPr>
          <w:rStyle w:val="FootnoteReference"/>
          <w:szCs w:val="18"/>
        </w:rPr>
        <w:footnoteRef/>
      </w:r>
      <w:r w:rsidRPr="00C54079">
        <w:rPr>
          <w:rStyle w:val="FootnoteReference"/>
          <w:szCs w:val="18"/>
        </w:rPr>
        <w:t xml:space="preserve"> </w:t>
      </w:r>
      <w:r w:rsidRPr="00C54079">
        <w:rPr>
          <w:szCs w:val="18"/>
        </w:rPr>
        <w:tab/>
        <w:t xml:space="preserve">Despite discussions in 2011 in which </w:t>
      </w:r>
      <w:r w:rsidRPr="00C54079">
        <w:rPr>
          <w:szCs w:val="18"/>
        </w:rPr>
        <w:t xml:space="preserve">the clear majority of participants were of the opinion that more harm than good could result from any review of the UDRP by ICANN as a registration-driven body.  See </w:t>
      </w:r>
      <w:hyperlink r:id="rId8" w:history="1">
        <w:r w:rsidRPr="00C54079">
          <w:rPr>
            <w:rStyle w:val="Hyperlink"/>
            <w:szCs w:val="18"/>
          </w:rPr>
          <w:t>https://community.icann.org/display/gnsoudrpdt/Webinar+on+the+Current+State+of+the+UDRP</w:t>
        </w:r>
      </w:hyperlink>
      <w:r w:rsidRPr="00C54079">
        <w:rPr>
          <w:szCs w:val="18"/>
        </w:rPr>
        <w:t xml:space="preserve">;  </w:t>
      </w:r>
      <w:proofErr w:type="spellStart"/>
      <w:r w:rsidRPr="00C54079">
        <w:rPr>
          <w:szCs w:val="18"/>
        </w:rPr>
        <w:t>see</w:t>
      </w:r>
      <w:proofErr w:type="spellEnd"/>
      <w:r w:rsidRPr="00C54079">
        <w:rPr>
          <w:szCs w:val="18"/>
        </w:rPr>
        <w:t xml:space="preserve"> also more generally document </w:t>
      </w:r>
      <w:hyperlink r:id="rId9" w:history="1">
        <w:r w:rsidRPr="00C54079">
          <w:rPr>
            <w:rStyle w:val="Hyperlink"/>
            <w:szCs w:val="18"/>
          </w:rPr>
          <w:t>WO/GA/39/10</w:t>
        </w:r>
      </w:hyperlink>
      <w:r w:rsidRPr="00C54079">
        <w:rPr>
          <w:szCs w:val="18"/>
        </w:rPr>
        <w:t>, paragraph 31.</w:t>
      </w:r>
    </w:p>
  </w:footnote>
  <w:footnote w:id="32">
    <w:p w14:paraId="400AFAFC" w14:textId="71329503"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Final Report at </w:t>
      </w:r>
      <w:r>
        <w:fldChar w:fldCharType="begin"/>
      </w:r>
      <w:r>
        <w:instrText>HYPERLINK "https://gnso.icann.org/sites/default/files/file/field-file-attach/council-recommendations-rpm-pdp-phase-1-report-10feb21-en.pdf"</w:instrText>
      </w:r>
      <w:r>
        <w:fldChar w:fldCharType="separate"/>
      </w:r>
      <w:r w:rsidRPr="00C54079">
        <w:rPr>
          <w:rStyle w:val="Hyperlink"/>
          <w:szCs w:val="18"/>
        </w:rPr>
        <w:t>https://gnso.icann.org/sites/default/files/file/field-file-attach/council-recommendations-rpm-pdp-phase-1-report-10feb21-en.pdf</w:t>
      </w:r>
      <w:r>
        <w:fldChar w:fldCharType="end"/>
      </w:r>
      <w:r w:rsidRPr="00C54079">
        <w:rPr>
          <w:szCs w:val="18"/>
        </w:rPr>
        <w:t xml:space="preserve">. </w:t>
      </w:r>
    </w:p>
    <w:p w14:paraId="004B6AAB" w14:textId="517A165B" w:rsidR="00C54079" w:rsidRPr="00C54079" w:rsidRDefault="00C54079" w:rsidP="00C54079">
      <w:pPr>
        <w:pStyle w:val="FootnoteText"/>
        <w:rPr>
          <w:szCs w:val="18"/>
        </w:rPr>
      </w:pPr>
      <w:r w:rsidRPr="00C54079">
        <w:rPr>
          <w:szCs w:val="18"/>
        </w:rPr>
        <w:t xml:space="preserve">See also presentation to the GNSO Council at </w:t>
      </w:r>
      <w:hyperlink r:id="rId10" w:history="1">
        <w:r w:rsidRPr="00C54079">
          <w:rPr>
            <w:rStyle w:val="Hyperlink"/>
            <w:szCs w:val="18"/>
          </w:rPr>
          <w:t>https://gnso.icann.org/sites/default/files/policy/2021/presentation/presentation-gnso-rpm-final-report-11Jan21-en.pdf</w:t>
        </w:r>
      </w:hyperlink>
      <w:r w:rsidRPr="00C54079">
        <w:rPr>
          <w:szCs w:val="18"/>
        </w:rPr>
        <w:t>.</w:t>
      </w:r>
    </w:p>
  </w:footnote>
  <w:footnote w:id="33">
    <w:p w14:paraId="6847E2C8"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These comprised the following four categories of recommendations: to Maintain Status Quo (9), to Modify Operational Practice (10), to Create New Policies and Procedures (15), and for Overarching Data Collection (1).</w:t>
      </w:r>
    </w:p>
  </w:footnote>
  <w:footnote w:id="34">
    <w:p w14:paraId="28D4097F" w14:textId="6718FDAF"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w:t>
      </w:r>
      <w:r>
        <w:fldChar w:fldCharType="begin"/>
      </w:r>
      <w:r>
        <w:instrText>HYPERLINK "https://www.icann.org/resources/board-material/resolutions-2022-01-16-en" \l "2.a."</w:instrText>
      </w:r>
      <w:r>
        <w:fldChar w:fldCharType="separate"/>
      </w:r>
      <w:r w:rsidRPr="00C54079">
        <w:rPr>
          <w:rStyle w:val="Hyperlink"/>
          <w:szCs w:val="18"/>
        </w:rPr>
        <w:t>https://www.icann.org/resources/board-material/resolutions-2022-01-16-en#2.a.</w:t>
      </w:r>
      <w:r>
        <w:fldChar w:fldCharType="end"/>
      </w:r>
      <w:r w:rsidRPr="00C54079">
        <w:rPr>
          <w:szCs w:val="18"/>
        </w:rPr>
        <w:t>.</w:t>
      </w:r>
    </w:p>
  </w:footnote>
  <w:footnote w:id="35">
    <w:p w14:paraId="697D1225" w14:textId="6DB35E3D"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w:t>
      </w:r>
      <w:r>
        <w:fldChar w:fldCharType="begin"/>
      </w:r>
      <w:r>
        <w:instrText>HYPERLINK "https://gnso.icann.org/en/issues/new-gtlds/rpm-final-issue-11jan16-en.pdf"</w:instrText>
      </w:r>
      <w:r>
        <w:fldChar w:fldCharType="separate"/>
      </w:r>
      <w:r w:rsidRPr="00C54079">
        <w:rPr>
          <w:rStyle w:val="Hyperlink"/>
          <w:szCs w:val="18"/>
        </w:rPr>
        <w:t>https://gnso.icann.org/en/issues/new-gtlds/rpm-final-issue-11jan16-en.pdf</w:t>
      </w:r>
      <w:r>
        <w:fldChar w:fldCharType="end"/>
      </w:r>
      <w:r w:rsidRPr="00C54079">
        <w:rPr>
          <w:szCs w:val="18"/>
        </w:rPr>
        <w:t>.  See also the ICANN GAC Communiqué 74, which states: “Following the public comment period on the Policy Status Report relating to the UDRP, the GAC received input from some GAC Members in relation to whether the scope of the UDRP could be extended to address Geographical Indications.  The GAC therefore intends to consider the matter in preparation for discussion at subsequent meetings.”</w:t>
      </w:r>
    </w:p>
  </w:footnote>
  <w:footnote w:id="36">
    <w:p w14:paraId="7E2DFA71"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w:t>
      </w:r>
      <w:r w:rsidRPr="00C54079">
        <w:rPr>
          <w:i/>
          <w:iCs/>
          <w:szCs w:val="18"/>
        </w:rPr>
        <w:t>inter alia</w:t>
      </w:r>
      <w:r w:rsidRPr="00C54079">
        <w:rPr>
          <w:szCs w:val="18"/>
        </w:rPr>
        <w:t>, the ICANN GAC Communiqué 74, stating: “The GAC received an update on the status of a planned review of the UDRP, and in particular notes reference to section 13.1 of the ICANN Bylaws which calls on and indeed encourages, the Board and constituent bodies to seek advice from relevant public bodies with existing expertise that resides outside of ICANN (notably the World Intellectual Property Organization—WIPO, as author and</w:t>
      </w:r>
    </w:p>
    <w:p w14:paraId="44EDBB8F" w14:textId="77777777" w:rsidR="00C54079" w:rsidRPr="00C54079" w:rsidRDefault="00C54079" w:rsidP="00C54079">
      <w:pPr>
        <w:pStyle w:val="FootnoteText"/>
        <w:rPr>
          <w:szCs w:val="18"/>
        </w:rPr>
      </w:pPr>
      <w:r w:rsidRPr="00C54079">
        <w:rPr>
          <w:szCs w:val="18"/>
        </w:rPr>
        <w:t>steward of the UDRP) to inform the policy process and looks forward to further exploring this provision prior to any review of the UDRP.”</w:t>
      </w:r>
    </w:p>
  </w:footnote>
  <w:footnote w:id="37">
    <w:p w14:paraId="33C8B617" w14:textId="5CD566BC"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"http://www.icann.org/en/minutes/resolutions-20jun11-en.htm"</w:instrText>
      </w:r>
      <w:r>
        <w:fldChar w:fldCharType="separate"/>
      </w:r>
      <w:r w:rsidRPr="00C54079">
        <w:rPr>
          <w:rStyle w:val="Hyperlink"/>
        </w:rPr>
        <w:t>www.icann.org/en/minutes/resolutions-20jun11-en.htm</w:t>
      </w:r>
      <w:r>
        <w:fldChar w:fldCharType="end"/>
      </w:r>
      <w:r w:rsidRPr="00C54079">
        <w:t xml:space="preserve">.  For further background including references, see document </w:t>
      </w:r>
      <w:hyperlink r:id="rId11" w:history="1">
        <w:r w:rsidRPr="00C54079">
          <w:rPr>
            <w:rStyle w:val="Hyperlink"/>
          </w:rPr>
          <w:t>WO/GA/39/10</w:t>
        </w:r>
      </w:hyperlink>
      <w:r w:rsidRPr="00C54079">
        <w:t>, in particular paragraph 14.</w:t>
      </w:r>
    </w:p>
  </w:footnote>
  <w:footnote w:id="38">
    <w:p w14:paraId="7B625BA9" w14:textId="193CB9F3"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Delegated new gTLDs are listed at </w:t>
      </w:r>
      <w:r>
        <w:fldChar w:fldCharType="begin"/>
      </w:r>
      <w:r>
        <w:instrText>HYPERLINK "https://newgtlds.icann.org/en/program-status/delegated-strings"</w:instrText>
      </w:r>
      <w:r>
        <w:fldChar w:fldCharType="separate"/>
      </w:r>
      <w:r w:rsidRPr="00C54079">
        <w:rPr>
          <w:rStyle w:val="Hyperlink"/>
          <w:szCs w:val="18"/>
        </w:rPr>
        <w:t>https://newgtlds.icann.org/en/program-status/delegated-strings</w:t>
      </w:r>
      <w:r>
        <w:fldChar w:fldCharType="end"/>
      </w:r>
      <w:r w:rsidRPr="00C54079">
        <w:rPr>
          <w:szCs w:val="18"/>
        </w:rPr>
        <w:t xml:space="preserve">.  </w:t>
      </w:r>
    </w:p>
  </w:footnote>
  <w:footnote w:id="39">
    <w:p w14:paraId="07636872" w14:textId="760F9691"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"https://ntldstats.com/"</w:instrText>
      </w:r>
      <w:r>
        <w:fldChar w:fldCharType="separate"/>
      </w:r>
      <w:r w:rsidRPr="00C54079">
        <w:rPr>
          <w:rStyle w:val="Hyperlink"/>
        </w:rPr>
        <w:t>ntldstats.com</w:t>
      </w:r>
      <w:r>
        <w:fldChar w:fldCharType="end"/>
      </w:r>
      <w:r w:rsidRPr="00C54079">
        <w:t>.</w:t>
      </w:r>
    </w:p>
  </w:footnote>
  <w:footnote w:id="40">
    <w:p w14:paraId="0BAA8F3F" w14:textId="157E45C2" w:rsidR="00C54079" w:rsidRPr="00C54079" w:rsidRDefault="00C54079" w:rsidP="00C54079">
      <w:pPr>
        <w:pStyle w:val="FootnoteText"/>
      </w:pPr>
      <w:r w:rsidRPr="00C54079">
        <w:rPr>
          <w:rStyle w:val="FootnoteReference"/>
        </w:rPr>
        <w:footnoteRef/>
      </w:r>
      <w:r w:rsidRPr="00C54079">
        <w:t xml:space="preserve"> </w:t>
      </w:r>
      <w:r w:rsidRPr="00C54079">
        <w:tab/>
        <w:t xml:space="preserve">See the New gTLD Subsequent Procedures PDP January 2021 Newsletter at:  </w:t>
      </w:r>
      <w:r>
        <w:fldChar w:fldCharType="begin"/>
      </w:r>
      <w:r>
        <w:instrText>HYPERLINK "https://myemail.constantcontact.com/Read-the-SubPro-PDP-Newsletter---January-2021-Edition.html?soid=1122025845763&amp;aid=qJxZ65sQtok"</w:instrText>
      </w:r>
      <w:r>
        <w:fldChar w:fldCharType="separate"/>
      </w:r>
      <w:r w:rsidRPr="00C54079">
        <w:rPr>
          <w:rStyle w:val="Hyperlink"/>
        </w:rPr>
        <w:t>https://myemail.constantcontact.com/Read-the-SubPro-PDP-Newsletter---January-2021-Edition.html?soid=1122025845763&amp;aid=qJxZ65sQtok</w:t>
      </w:r>
      <w:r>
        <w:fldChar w:fldCharType="end"/>
      </w:r>
      <w:r w:rsidRPr="00C54079">
        <w:t xml:space="preserve">.  For the Working Group Final Report submitted on January 18, 2021, see </w:t>
      </w:r>
      <w:hyperlink r:id="rId12" w:history="1">
        <w:r w:rsidRPr="00C54079">
          <w:rPr>
            <w:rStyle w:val="Hyperlink"/>
          </w:rPr>
          <w:t>https://gnso.icann.org/sites/default/files/file/field-file-attach/final-report-newgtld-subsequent-procedures-pdp-02feb21-en.pdf</w:t>
        </w:r>
      </w:hyperlink>
      <w:r w:rsidRPr="00C54079">
        <w:t>.</w:t>
      </w:r>
    </w:p>
  </w:footnote>
  <w:footnote w:id="41">
    <w:p w14:paraId="7FC78A4B" w14:textId="437FBFFB" w:rsidR="00C54079" w:rsidRPr="00C54079" w:rsidRDefault="00C54079" w:rsidP="00C54079">
      <w:pPr>
        <w:pStyle w:val="FootnoteText"/>
        <w:rPr>
          <w:szCs w:val="18"/>
        </w:rPr>
      </w:pPr>
      <w:r w:rsidRPr="00C54079">
        <w:rPr>
          <w:rStyle w:val="FootnoteReference"/>
          <w:szCs w:val="18"/>
        </w:rPr>
        <w:footnoteRef/>
      </w:r>
      <w:r w:rsidRPr="00C54079">
        <w:rPr>
          <w:rStyle w:val="FootnoteReference"/>
          <w:szCs w:val="18"/>
        </w:rPr>
        <w:t xml:space="preserve"> </w:t>
      </w:r>
      <w:r w:rsidRPr="00C54079">
        <w:rPr>
          <w:szCs w:val="18"/>
        </w:rPr>
        <w:tab/>
        <w:t xml:space="preserve">For further background including references, see </w:t>
      </w:r>
      <w:r>
        <w:fldChar w:fldCharType="begin"/>
      </w:r>
      <w:r>
        <w:instrText>HYPERLINK "https://www.wipo.int/edocs/mdocs/govbody/en/wo_ga_39/wo_ga_39_10.pdf"</w:instrText>
      </w:r>
      <w:r>
        <w:fldChar w:fldCharType="separate"/>
      </w:r>
      <w:r w:rsidRPr="00C54079">
        <w:rPr>
          <w:rStyle w:val="Hyperlink"/>
          <w:szCs w:val="18"/>
        </w:rPr>
        <w:t>WO/GA/39/10</w:t>
      </w:r>
      <w:r>
        <w:fldChar w:fldCharType="end"/>
      </w:r>
      <w:r w:rsidRPr="00C54079">
        <w:rPr>
          <w:szCs w:val="18"/>
        </w:rPr>
        <w:t>, in particular paragraphs 23 to 30.  It is noted here that ICANN rejected a proposal for a “Globally Protected Marks List”.</w:t>
      </w:r>
    </w:p>
  </w:footnote>
  <w:footnote w:id="42">
    <w:p w14:paraId="25114B98" w14:textId="77777777" w:rsidR="00C54079" w:rsidRPr="00C54079" w:rsidRDefault="00C54079" w:rsidP="00C54079">
      <w:pPr>
        <w:pStyle w:val="FootnoteText"/>
        <w:rPr>
          <w:szCs w:val="18"/>
        </w:rPr>
      </w:pPr>
      <w:r w:rsidRPr="00C54079">
        <w:rPr>
          <w:rStyle w:val="FootnoteReference"/>
          <w:szCs w:val="18"/>
        </w:rPr>
        <w:footnoteRef/>
      </w:r>
      <w:r w:rsidRPr="00C54079">
        <w:rPr>
          <w:rStyle w:val="FootnoteReference"/>
          <w:szCs w:val="18"/>
        </w:rPr>
        <w:t xml:space="preserve"> </w:t>
      </w:r>
      <w:r w:rsidRPr="00C54079">
        <w:rPr>
          <w:szCs w:val="18"/>
        </w:rPr>
        <w:tab/>
        <w:t xml:space="preserve">Other objection grounds recognized by ICANN were: “String Confusion Objections”, “Community Objections”, and “Limited Public Interest Objections”.  The Applicant Guidebook further includes </w:t>
      </w:r>
      <w:r w:rsidRPr="00C54079">
        <w:rPr>
          <w:szCs w:val="18"/>
        </w:rPr>
        <w:t>a number of other procedures which governments could avail themselves of following ICANN announcement of new gTLD applications.  Notably, section 1.1.2.4 provides for “GAC Early Warning,” and section 1.1.2.7 provides for “Receipt of GAC Advice on New gTLDs” for the ICANN Board’s consideration.</w:t>
      </w:r>
    </w:p>
  </w:footnote>
  <w:footnote w:id="43">
    <w:p w14:paraId="238DD2DF" w14:textId="4B20610F"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w:t>
      </w:r>
      <w:r>
        <w:fldChar w:fldCharType="begin"/>
      </w:r>
      <w:r>
        <w:instrText>HYPERLINK "https://www.wipo.int/amc/en/docs/icann130309.pdf"</w:instrText>
      </w:r>
      <w:r>
        <w:fldChar w:fldCharType="separate"/>
      </w:r>
      <w:r w:rsidRPr="00C54079">
        <w:rPr>
          <w:rStyle w:val="Hyperlink"/>
          <w:szCs w:val="18"/>
        </w:rPr>
        <w:t>https://www.wipo.int/amc/en/docs/icann130309.pdf</w:t>
      </w:r>
      <w:r>
        <w:fldChar w:fldCharType="end"/>
      </w:r>
      <w:r w:rsidRPr="00C54079">
        <w:rPr>
          <w:szCs w:val="18"/>
        </w:rPr>
        <w:t>.</w:t>
      </w:r>
    </w:p>
  </w:footnote>
  <w:footnote w:id="44">
    <w:p w14:paraId="7AE43034" w14:textId="22C1226F"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The Center communicated to ICANN in April 2009 a discussion draft of an “Expedited (Domain Name) Suspension Mechanism”, (see </w:t>
      </w:r>
      <w:r>
        <w:fldChar w:fldCharType="begin"/>
      </w:r>
      <w:r>
        <w:instrText>HYPERLINK "http://www.wipo.int/amc/en/docs/icann030409.pdf"</w:instrText>
      </w:r>
      <w:r>
        <w:fldChar w:fldCharType="separate"/>
      </w:r>
      <w:r w:rsidRPr="00C54079">
        <w:rPr>
          <w:rStyle w:val="Hyperlink"/>
          <w:szCs w:val="18"/>
        </w:rPr>
        <w:t>https://www.wipo.int/amc/en/docs/icann030409.pdf</w:t>
      </w:r>
      <w:r>
        <w:fldChar w:fldCharType="end"/>
      </w:r>
      <w:r w:rsidRPr="00C54079">
        <w:rPr>
          <w:szCs w:val="18"/>
        </w:rPr>
        <w:t xml:space="preserve">) and has made subsequent </w:t>
      </w:r>
      <w:r w:rsidRPr="00D3577B">
        <w:rPr>
          <w:szCs w:val="18"/>
        </w:rPr>
        <w:t xml:space="preserve">proposals for a streamlined mechanism based on this model at ICANN Meetings (see </w:t>
      </w:r>
      <w:hyperlink r:id="rId13" w:history="1">
        <w:r w:rsidRPr="00D3577B">
          <w:rPr>
            <w:rStyle w:val="Hyperlink"/>
            <w:szCs w:val="18"/>
          </w:rPr>
          <w:t>https://prague44.icann.org/node/31773</w:t>
        </w:r>
      </w:hyperlink>
      <w:r w:rsidRPr="00D3577B">
        <w:rPr>
          <w:szCs w:val="18"/>
        </w:rPr>
        <w:t xml:space="preserve"> and </w:t>
      </w:r>
      <w:hyperlink r:id="rId14" w:history="1">
        <w:r w:rsidR="00F34E3E" w:rsidRPr="000938C8">
          <w:rPr>
            <w:rStyle w:val="Hyperlink"/>
          </w:rPr>
          <w:t>https://archive.icann.org/en/meetings/toronto2012/node/34325.html</w:t>
        </w:r>
      </w:hyperlink>
      <w:r w:rsidRPr="00D3577B">
        <w:rPr>
          <w:szCs w:val="18"/>
        </w:rPr>
        <w:t>).  Such proposals took account of</w:t>
      </w:r>
      <w:r w:rsidRPr="00C54079">
        <w:rPr>
          <w:szCs w:val="18"/>
        </w:rPr>
        <w:t xml:space="preserve"> the need to strike a balance between the protection of trademark rights recognized by law, the practical interests of good-faith registration authorities to minimize operational burdens, and the legitimate expectations of </w:t>
      </w:r>
      <w:r w:rsidRPr="00C54079">
        <w:rPr>
          <w:i/>
          <w:iCs/>
          <w:szCs w:val="18"/>
        </w:rPr>
        <w:t>bona fide</w:t>
      </w:r>
      <w:r w:rsidRPr="00C54079">
        <w:rPr>
          <w:szCs w:val="18"/>
        </w:rPr>
        <w:t xml:space="preserve"> domain name registrants.  </w:t>
      </w:r>
    </w:p>
  </w:footnote>
  <w:footnote w:id="45">
    <w:p w14:paraId="1F1A3301" w14:textId="77777777"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Regulation (EU) 2016/679 of the European Parliament and of the Council of 27 April 2016 on the protection of natural persons </w:t>
      </w:r>
      <w:r w:rsidRPr="00C54079">
        <w:rPr>
          <w:szCs w:val="18"/>
        </w:rPr>
        <w:t>with regard to the processing of personal data and on the free movement of such data, and repealing Directive 95/46/EC (General Data Protection Regulation).</w:t>
      </w:r>
    </w:p>
  </w:footnote>
  <w:footnote w:id="46">
    <w:p w14:paraId="4B23676F" w14:textId="19EE04DB"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See https://</w:t>
      </w:r>
      <w:r>
        <w:fldChar w:fldCharType="begin"/>
      </w:r>
      <w:r>
        <w:instrText>HYPERLINK "http://www.icann.org/resources/pages/gtld-registration-data-specs-en"</w:instrText>
      </w:r>
      <w:r>
        <w:fldChar w:fldCharType="separate"/>
      </w:r>
      <w:r w:rsidRPr="00C54079">
        <w:rPr>
          <w:rStyle w:val="Hyperlink"/>
          <w:szCs w:val="18"/>
        </w:rPr>
        <w:t>www.icann.org/resources/pages/gtld-registration-data-specs-en</w:t>
      </w:r>
      <w:r>
        <w:fldChar w:fldCharType="end"/>
      </w:r>
      <w:r w:rsidRPr="00C54079">
        <w:rPr>
          <w:szCs w:val="18"/>
        </w:rPr>
        <w:t xml:space="preserve">, at Annex F.  See also </w:t>
      </w:r>
      <w:hyperlink r:id="rId15" w:history="1">
        <w:r w:rsidRPr="00C54079">
          <w:rPr>
            <w:rStyle w:val="Hyperlink"/>
            <w:szCs w:val="18"/>
          </w:rPr>
          <w:t>https://www.icann.org/en/announcements/details/icann-board-reaffirms-temporary-specification-for-gtld-registration-data-29-1-2019-en</w:t>
        </w:r>
      </w:hyperlink>
      <w:r w:rsidRPr="00C54079">
        <w:rPr>
          <w:szCs w:val="18"/>
        </w:rPr>
        <w:t>.</w:t>
      </w:r>
    </w:p>
  </w:footnote>
  <w:footnote w:id="47">
    <w:p w14:paraId="2843DE66" w14:textId="4F4CC75E" w:rsidR="00C54079" w:rsidRPr="00C54079" w:rsidRDefault="00C54079" w:rsidP="00C54079">
      <w:pPr>
        <w:pStyle w:val="FootnoteText"/>
        <w:rPr>
          <w:szCs w:val="18"/>
        </w:rPr>
      </w:pPr>
      <w:r w:rsidRPr="00C54079">
        <w:rPr>
          <w:rStyle w:val="FootnoteReference"/>
          <w:szCs w:val="18"/>
        </w:rPr>
        <w:footnoteRef/>
      </w:r>
      <w:r w:rsidRPr="00C54079">
        <w:rPr>
          <w:szCs w:val="18"/>
        </w:rPr>
        <w:tab/>
        <w:t xml:space="preserve">In 2018, the Center published informal WIPO guidance for parties on the practical impact of the GDPR on UDRP proceedings.  See </w:t>
      </w:r>
      <w:r>
        <w:fldChar w:fldCharType="begin"/>
      </w:r>
      <w:r>
        <w:instrText>HYPERLINK "https://www.wipo.int/amc/en/domains/gdpr"</w:instrText>
      </w:r>
      <w:r>
        <w:fldChar w:fldCharType="separate"/>
      </w:r>
      <w:r w:rsidRPr="00C54079">
        <w:rPr>
          <w:rStyle w:val="Hyperlink"/>
          <w:szCs w:val="18"/>
        </w:rPr>
        <w:t>https://www.wipo.int/amc/en/domains/gdpr</w:t>
      </w:r>
      <w:r>
        <w:fldChar w:fldCharType="end"/>
      </w:r>
      <w:r w:rsidRPr="00C54079">
        <w:rPr>
          <w:szCs w:val="18"/>
        </w:rPr>
        <w:t xml:space="preserve">.  </w:t>
      </w:r>
    </w:p>
  </w:footnote>
  <w:footnote w:id="48">
    <w:p w14:paraId="29D6E7B3" w14:textId="64B4C68F"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See </w:t>
      </w:r>
      <w:r>
        <w:fldChar w:fldCharType="begin"/>
      </w:r>
      <w:r>
        <w:instrText>HYPERLINK "https://gnso.icann.org/sites/default/files/file/field-file-attach/policy-briefing-icann70-03mar21-en.pdf"</w:instrText>
      </w:r>
      <w:r>
        <w:fldChar w:fldCharType="separate"/>
      </w:r>
      <w:r w:rsidRPr="00C54079">
        <w:rPr>
          <w:rStyle w:val="Hyperlink"/>
          <w:szCs w:val="18"/>
        </w:rPr>
        <w:t>https://gnso.icann.org/sites/default/files/file/field-file-attach/policy-briefing-icann70-03mar21-en.pdf</w:t>
      </w:r>
      <w:r>
        <w:fldChar w:fldCharType="end"/>
      </w:r>
      <w:r w:rsidRPr="00C54079">
        <w:rPr>
          <w:szCs w:val="18"/>
        </w:rPr>
        <w:t>.  See also the Governmental Advisory Committee (GAC) Minority Statement on the Final Report of Phase 2 of the EPDP on gTLD Registration Data at</w:t>
      </w:r>
      <w:r w:rsidR="00606956">
        <w:rPr>
          <w:szCs w:val="18"/>
        </w:rPr>
        <w:t xml:space="preserve">: </w:t>
      </w:r>
      <w:hyperlink r:id="rId16" w:history="1">
        <w:r w:rsidR="00606956" w:rsidRPr="00C867B8">
          <w:rPr>
            <w:rStyle w:val="Hyperlink"/>
          </w:rPr>
          <w:t>https://gac.icann.org/statement/public/gac-minority-statement-epdp-phase2-24aug20.pdf</w:t>
        </w:r>
      </w:hyperlink>
      <w:r w:rsidRPr="00C867B8">
        <w:rPr>
          <w:szCs w:val="18"/>
        </w:rPr>
        <w:t>.</w:t>
      </w:r>
    </w:p>
  </w:footnote>
  <w:footnote w:id="49">
    <w:p w14:paraId="34837FE4" w14:textId="07060867"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"https://www.edpb.europa.eu/our-work-tools/general-guidance/guidelines-recommendations-best-practices_en"</w:instrText>
      </w:r>
      <w:r>
        <w:fldChar w:fldCharType="separate"/>
      </w:r>
      <w:r w:rsidRPr="00C54079">
        <w:rPr>
          <w:rStyle w:val="Hyperlink"/>
        </w:rPr>
        <w:t>https://www.edpb.europa.eu/our-work-tools/general-guidance/guidelines-recommendations-best-practices_en</w:t>
      </w:r>
      <w:r>
        <w:fldChar w:fldCharType="end"/>
      </w:r>
      <w:r w:rsidRPr="00C54079">
        <w:t xml:space="preserve"> and </w:t>
      </w:r>
      <w:hyperlink r:id="rId17" w:history="1">
        <w:r w:rsidRPr="00C54079">
          <w:rPr>
            <w:rStyle w:val="Hyperlink"/>
          </w:rPr>
          <w:t>https://ec.europa.eu/newsroom/dae/redirection/document/108437</w:t>
        </w:r>
      </w:hyperlink>
      <w:r w:rsidRPr="00C54079">
        <w:t>.</w:t>
      </w:r>
    </w:p>
  </w:footnote>
  <w:footnote w:id="50">
    <w:p w14:paraId="1FFA620E" w14:textId="10E9D270"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"https://www.icann.org/resources/pages/rdap-background-2018-08-31-en"</w:instrText>
      </w:r>
      <w:r>
        <w:fldChar w:fldCharType="separate"/>
      </w:r>
      <w:r w:rsidRPr="00C54079">
        <w:rPr>
          <w:rStyle w:val="Hyperlink"/>
        </w:rPr>
        <w:t>https://www.icann.org/resources/pages/rdap-background-2018-08-31-en</w:t>
      </w:r>
      <w:r>
        <w:fldChar w:fldCharType="end"/>
      </w:r>
      <w:r w:rsidRPr="00C54079">
        <w:t>.</w:t>
      </w:r>
    </w:p>
  </w:footnote>
  <w:footnote w:id="51">
    <w:p w14:paraId="639066DC" w14:textId="6B53D50B" w:rsidR="00C54079" w:rsidRPr="00C54079" w:rsidRDefault="00C54079" w:rsidP="00C54079">
      <w:pPr>
        <w:pStyle w:val="FootnoteText"/>
      </w:pPr>
      <w:r w:rsidRPr="00C54079">
        <w:rPr>
          <w:rStyle w:val="FootnoteReference"/>
        </w:rPr>
        <w:footnoteRef/>
      </w:r>
      <w:r w:rsidRPr="00C54079">
        <w:t xml:space="preserve"> </w:t>
      </w:r>
      <w:r w:rsidRPr="00C54079">
        <w:tab/>
        <w:t xml:space="preserve">See </w:t>
      </w:r>
      <w:r>
        <w:fldChar w:fldCharType="begin"/>
      </w:r>
      <w:r>
        <w:instrText>HYPERLINK "https://www.icann.org/resources/pages/global-amendment-2023-en"</w:instrText>
      </w:r>
      <w:r>
        <w:fldChar w:fldCharType="separate"/>
      </w:r>
      <w:r w:rsidRPr="00C54079">
        <w:rPr>
          <w:rStyle w:val="Hyperlink"/>
        </w:rPr>
        <w:t>https://www.icann.org/resources/pages/global-amendment-2023-en</w:t>
      </w:r>
      <w:r>
        <w:fldChar w:fldCharType="end"/>
      </w:r>
      <w:r w:rsidRPr="00C54079">
        <w:t>.</w:t>
      </w:r>
    </w:p>
  </w:footnote>
  <w:footnote w:id="52">
    <w:p w14:paraId="35C6F378" w14:textId="76F1B81F" w:rsidR="00C54079" w:rsidRPr="00C867B8" w:rsidRDefault="00C54079" w:rsidP="00C54079">
      <w:pPr>
        <w:pStyle w:val="FootnoteText"/>
        <w:rPr>
          <w:szCs w:val="18"/>
        </w:rPr>
      </w:pPr>
      <w:r w:rsidRPr="00C54079">
        <w:rPr>
          <w:rStyle w:val="FootnoteReference"/>
          <w:szCs w:val="18"/>
        </w:rPr>
        <w:footnoteRef/>
      </w:r>
      <w:r w:rsidRPr="00C54079">
        <w:rPr>
          <w:rStyle w:val="FootnoteReference"/>
          <w:szCs w:val="18"/>
        </w:rPr>
        <w:t xml:space="preserve"> </w:t>
      </w:r>
      <w:r w:rsidRPr="00C54079">
        <w:rPr>
          <w:szCs w:val="18"/>
        </w:rPr>
        <w:tab/>
        <w:t xml:space="preserve">In 2007, the GAC issued the “GAC Principles regarding New gTLDs”, which states inter alia that ICANN should avoid delegation of </w:t>
      </w:r>
      <w:r w:rsidR="00E13928">
        <w:rPr>
          <w:szCs w:val="18"/>
        </w:rPr>
        <w:t>n</w:t>
      </w:r>
      <w:r w:rsidRPr="00C54079">
        <w:rPr>
          <w:szCs w:val="18"/>
        </w:rPr>
        <w:t>ew gTLDs concerning country, territory or place names, and regional language or people descriptions, unless in agreement with the relevant governments or public authorities.  Those GAC Principles further stated that new registries should adopt procedures for blocking/challenge of names with national or geographical significance at the second level upon demand of governments</w:t>
      </w:r>
      <w:r w:rsidRPr="00C867B8">
        <w:rPr>
          <w:szCs w:val="18"/>
        </w:rPr>
        <w:t xml:space="preserve">.  See </w:t>
      </w:r>
      <w:r>
        <w:fldChar w:fldCharType="begin"/>
      </w:r>
      <w:r>
        <w:instrText>HYPERLINK "https://archive.icann.org/en/topics/new-gtlds/gac-principles-regarding-new-gtlds-28mar07-en.pdf"</w:instrText>
      </w:r>
      <w:r>
        <w:fldChar w:fldCharType="separate"/>
      </w:r>
      <w:r w:rsidRPr="00C867B8">
        <w:rPr>
          <w:rStyle w:val="Hyperlink"/>
          <w:szCs w:val="18"/>
        </w:rPr>
        <w:t>https://archive.icann.org/en/topics/new-gtlds/gac-principles-regarding-new-gtlds-28mar07-en.pdf</w:t>
      </w:r>
      <w:r>
        <w:fldChar w:fldCharType="end"/>
      </w:r>
      <w:r w:rsidRPr="00C867B8">
        <w:rPr>
          <w:szCs w:val="18"/>
        </w:rPr>
        <w:t xml:space="preserve">.  See also </w:t>
      </w:r>
      <w:hyperlink r:id="rId18" w:history="1">
        <w:r w:rsidRPr="00C867B8">
          <w:rPr>
            <w:rStyle w:val="Hyperlink"/>
            <w:szCs w:val="18"/>
          </w:rPr>
          <w:t>gac.icann.org/</w:t>
        </w:r>
        <w:proofErr w:type="spellStart"/>
        <w:r w:rsidRPr="00C867B8">
          <w:rPr>
            <w:rStyle w:val="Hyperlink"/>
            <w:szCs w:val="18"/>
          </w:rPr>
          <w:t>contentMigrated</w:t>
        </w:r>
        <w:proofErr w:type="spellEnd"/>
        <w:r w:rsidRPr="00C867B8">
          <w:rPr>
            <w:rStyle w:val="Hyperlink"/>
            <w:szCs w:val="18"/>
          </w:rPr>
          <w:t>/icann63-barcelona-communique.</w:t>
        </w:r>
      </w:hyperlink>
    </w:p>
  </w:footnote>
  <w:footnote w:id="53">
    <w:p w14:paraId="2C770B80" w14:textId="2C0699AD" w:rsidR="00C54079" w:rsidRPr="00C867B8" w:rsidRDefault="00C54079" w:rsidP="00C54079">
      <w:pPr>
        <w:pStyle w:val="FootnoteText"/>
      </w:pPr>
      <w:r w:rsidRPr="00C867B8">
        <w:rPr>
          <w:rStyle w:val="FootnoteReference"/>
        </w:rPr>
        <w:footnoteRef/>
      </w:r>
      <w:r w:rsidRPr="00C867B8">
        <w:t xml:space="preserve"> </w:t>
      </w:r>
      <w:r w:rsidRPr="00C867B8">
        <w:tab/>
        <w:t xml:space="preserve">Concerning second-level registrations, ICANN’s base registry agreement includes a “Schedule of Reserved Names at the Second Level in gTLD Registries” which makes provision for certain country and territory names.  See </w:t>
      </w:r>
      <w:r w:rsidR="00606956">
        <w:fldChar w:fldCharType="begin"/>
      </w:r>
      <w:r w:rsidR="00606956">
        <w:instrText>HYPERLINK "https://newgtlds.icann.org/sites/default/files/base-agreement-specs-04jun12-en.pdf"</w:instrText>
      </w:r>
      <w:r w:rsidR="00606956">
        <w:fldChar w:fldCharType="separate"/>
      </w:r>
      <w:r w:rsidR="00606956" w:rsidRPr="00C867B8">
        <w:rPr>
          <w:rStyle w:val="Hyperlink"/>
        </w:rPr>
        <w:t>https://newgtlds.icann.org/sites/default/files/base-agreement-specs-04jun12-en.pdf</w:t>
      </w:r>
      <w:r w:rsidR="00606956">
        <w:fldChar w:fldCharType="end"/>
      </w:r>
      <w:r w:rsidRPr="00C867B8">
        <w:t xml:space="preserve"> at Specification 5.</w:t>
      </w:r>
    </w:p>
  </w:footnote>
  <w:footnote w:id="54">
    <w:p w14:paraId="6E00FD39" w14:textId="4EF5756E" w:rsidR="00C54079" w:rsidRPr="00C867B8" w:rsidRDefault="00C54079" w:rsidP="00C54079">
      <w:pPr>
        <w:pStyle w:val="FootnoteText"/>
      </w:pPr>
      <w:r w:rsidRPr="00C867B8">
        <w:rPr>
          <w:rStyle w:val="FootnoteReference"/>
        </w:rPr>
        <w:footnoteRef/>
      </w:r>
      <w:r w:rsidRPr="00C867B8">
        <w:t xml:space="preserve"> </w:t>
      </w:r>
      <w:r w:rsidRPr="00C867B8">
        <w:tab/>
        <w:t xml:space="preserve">See </w:t>
      </w:r>
      <w:r>
        <w:fldChar w:fldCharType="begin"/>
      </w:r>
      <w:r>
        <w:instrText>HYPERLINK "https://newgtlds.icann.org/sites/default/files/evaluation-procedures-04jun12-en.pdf"</w:instrText>
      </w:r>
      <w:r>
        <w:fldChar w:fldCharType="separate"/>
      </w:r>
      <w:r w:rsidRPr="00C867B8">
        <w:rPr>
          <w:rStyle w:val="Hyperlink"/>
        </w:rPr>
        <w:t>newgtlds.icann.org/en/applicants/agb/evaluation-procedures-04jun12-en.pdf</w:t>
      </w:r>
      <w:r>
        <w:fldChar w:fldCharType="end"/>
      </w:r>
      <w:r w:rsidRPr="00C867B8">
        <w:t>, from section 2.2.1.4.1 “Treatment of Country or Territory Names”.</w:t>
      </w:r>
    </w:p>
  </w:footnote>
  <w:footnote w:id="55">
    <w:p w14:paraId="36FF57BD" w14:textId="522C1564" w:rsidR="00C54079" w:rsidRPr="00C54079" w:rsidRDefault="00C54079" w:rsidP="00C54079">
      <w:pPr>
        <w:pStyle w:val="FootnoteText"/>
      </w:pPr>
      <w:r w:rsidRPr="00C867B8">
        <w:rPr>
          <w:rStyle w:val="FootnoteReference"/>
        </w:rPr>
        <w:footnoteRef/>
      </w:r>
      <w:r w:rsidRPr="00C867B8">
        <w:t xml:space="preserve"> </w:t>
      </w:r>
      <w:r w:rsidRPr="00C867B8">
        <w:tab/>
        <w:t xml:space="preserve">See </w:t>
      </w:r>
      <w:r>
        <w:fldChar w:fldCharType="begin"/>
      </w:r>
      <w:r>
        <w:instrText>HYPERLINK "https://newgtlds.icann.org/sites/default/files/evaluation-procedures-04jun12-en.pdf"</w:instrText>
      </w:r>
      <w:r>
        <w:fldChar w:fldCharType="separate"/>
      </w:r>
      <w:r w:rsidRPr="00C867B8">
        <w:rPr>
          <w:rStyle w:val="Hyperlink"/>
        </w:rPr>
        <w:t>newgtlds.icann.org/en/applicants/agb/evaluation-procedures-04jun12-en.pdf</w:t>
      </w:r>
      <w:r>
        <w:fldChar w:fldCharType="end"/>
      </w:r>
      <w:r w:rsidRPr="00C867B8">
        <w:t>,</w:t>
      </w:r>
      <w:r w:rsidRPr="00C54079">
        <w:t xml:space="preserve"> from section 2.2.1.4.2 “Geographic Names Requiring Government Support”, and newgtldprogram.icann.org/</w:t>
      </w:r>
      <w:proofErr w:type="spellStart"/>
      <w:r w:rsidRPr="00C54079">
        <w:t>en</w:t>
      </w:r>
      <w:proofErr w:type="spellEnd"/>
      <w:r w:rsidRPr="00C54079">
        <w:t>.</w:t>
      </w:r>
    </w:p>
  </w:footnote>
  <w:footnote w:id="56">
    <w:p w14:paraId="7CD5B404" w14:textId="3AB5B2A4" w:rsidR="00C54079" w:rsidRPr="00C54079" w:rsidRDefault="00C54079" w:rsidP="00C54079">
      <w:pPr>
        <w:pStyle w:val="FootnoteText"/>
        <w:shd w:val="clear" w:color="auto" w:fill="FFFFFF" w:themeFill="background1"/>
        <w:rPr>
          <w:color w:val="000000" w:themeColor="text1"/>
          <w:szCs w:val="18"/>
        </w:rPr>
      </w:pPr>
      <w:r w:rsidRPr="00C54079">
        <w:rPr>
          <w:rStyle w:val="FootnoteReference"/>
          <w:szCs w:val="18"/>
        </w:rPr>
        <w:footnoteRef/>
      </w:r>
      <w:r w:rsidRPr="00C54079">
        <w:rPr>
          <w:szCs w:val="18"/>
        </w:rPr>
        <w:t xml:space="preserve"> </w:t>
      </w:r>
      <w:r w:rsidRPr="00C54079">
        <w:rPr>
          <w:szCs w:val="18"/>
        </w:rPr>
        <w:tab/>
        <w:t xml:space="preserve">See </w:t>
      </w:r>
      <w:r>
        <w:fldChar w:fldCharType="begin"/>
      </w:r>
      <w:r>
        <w:instrText>HYPERLINK "https://www.icann.org/en/system/files/correspondence/gac-to-board-27mar14-en.pdf"</w:instrText>
      </w:r>
      <w:r>
        <w:fldChar w:fldCharType="separate"/>
      </w:r>
      <w:r w:rsidRPr="00C54079">
        <w:rPr>
          <w:rStyle w:val="Hyperlink"/>
          <w:szCs w:val="18"/>
        </w:rPr>
        <w:t>https://www.icann.org/en/system/files/correspondence/gac-to-board-27mar14-en.pdf</w:t>
      </w:r>
      <w:r>
        <w:fldChar w:fldCharType="end"/>
      </w:r>
      <w:r w:rsidRPr="00C54079">
        <w:rPr>
          <w:szCs w:val="18"/>
        </w:rPr>
        <w:t xml:space="preserve">, at “4.  Specific Strings”.  While the Board has accepted the GAC’s advice against proceeding with certain applications, it has sought further information from the GAC, as well as public comments, on a range of additional safeguards sought by the GAC concerning </w:t>
      </w:r>
      <w:r w:rsidRPr="00C54079">
        <w:rPr>
          <w:iCs/>
          <w:szCs w:val="18"/>
        </w:rPr>
        <w:t xml:space="preserve">several broad categories of new gTLD applications such as for those new gTLDs which correspond to regulated industries or dictionary terms.  </w:t>
      </w:r>
      <w:r w:rsidRPr="00C54079">
        <w:rPr>
          <w:szCs w:val="18"/>
        </w:rPr>
        <w:t xml:space="preserve">See </w:t>
      </w:r>
      <w:hyperlink r:id="rId19" w:history="1">
        <w:r w:rsidRPr="00C54079">
          <w:rPr>
            <w:rStyle w:val="Hyperlink"/>
            <w:szCs w:val="18"/>
          </w:rPr>
          <w:t>https://www.icann.org/en/system/files/correspondence/gac-to-board-11apr13-en.pdf</w:t>
        </w:r>
      </w:hyperlink>
      <w:r w:rsidRPr="00C54079">
        <w:rPr>
          <w:szCs w:val="18"/>
        </w:rPr>
        <w:t xml:space="preserve">.  Concerning the “amazon” application, ICANN entered into a Registry Agreement in December 2019 granting Amazon EU </w:t>
      </w:r>
      <w:proofErr w:type="spellStart"/>
      <w:r w:rsidRPr="00C54079">
        <w:rPr>
          <w:szCs w:val="18"/>
        </w:rPr>
        <w:t>S.à</w:t>
      </w:r>
      <w:proofErr w:type="spellEnd"/>
      <w:r w:rsidRPr="00C54079">
        <w:rPr>
          <w:szCs w:val="18"/>
        </w:rPr>
        <w:t xml:space="preserve"> </w:t>
      </w:r>
      <w:proofErr w:type="spellStart"/>
      <w:r w:rsidRPr="00C54079">
        <w:rPr>
          <w:szCs w:val="18"/>
        </w:rPr>
        <w:t>r.l</w:t>
      </w:r>
      <w:proofErr w:type="spellEnd"/>
      <w:r w:rsidRPr="00C54079">
        <w:rPr>
          <w:szCs w:val="18"/>
        </w:rPr>
        <w:t xml:space="preserve">. the authority to operate the .amazon new gTLD.  See </w:t>
      </w:r>
      <w:hyperlink r:id="rId20" w:history="1">
        <w:r w:rsidRPr="00C54079">
          <w:rPr>
            <w:rStyle w:val="Hyperlink"/>
            <w:szCs w:val="18"/>
          </w:rPr>
          <w:t>https://www.icann.org/resources/agreement/amazon-2019-12-19-en</w:t>
        </w:r>
      </w:hyperlink>
      <w:r w:rsidRPr="00C54079">
        <w:rPr>
          <w:szCs w:val="18"/>
        </w:rPr>
        <w:t xml:space="preserve">.  </w:t>
      </w:r>
      <w:r w:rsidRPr="00C54079">
        <w:rPr>
          <w:iCs/>
          <w:szCs w:val="18"/>
        </w:rPr>
        <w:t xml:space="preserve">A GAC Sub-group on Geographic Names (a Sub-group of the GAC Working Group on Future New gTLDs) has developed a draft document for future new gTLD rounds outlining several public policy aspects related to geographic names, which is subject to further ICANN discussions.  </w:t>
      </w:r>
      <w:r w:rsidRPr="00C54079">
        <w:rPr>
          <w:szCs w:val="18"/>
        </w:rPr>
        <w:t xml:space="preserve">See </w:t>
      </w:r>
      <w:hyperlink r:id="rId21" w:history="1">
        <w:r w:rsidRPr="00C54079">
          <w:rPr>
            <w:rStyle w:val="Hyperlink"/>
          </w:rPr>
          <w:t>https://gac.icann.org/download/attachments/35455403/Geo%20names%20in%20new%20gTLDs%20Updated%20%20V3%20%2029%20august%202014%5B4%5D.pdf?version=1&amp;modificationDate=1411549504000&amp;api=v2</w:t>
        </w:r>
      </w:hyperlink>
      <w:r w:rsidRPr="00C54079">
        <w:rPr>
          <w:color w:val="000000" w:themeColor="text1"/>
          <w:szCs w:val="18"/>
        </w:rPr>
        <w:t xml:space="preserve">.  See also </w:t>
      </w:r>
      <w:hyperlink r:id="rId22" w:anchor="1.c." w:history="1">
        <w:r w:rsidRPr="00C54079">
          <w:rPr>
            <w:rStyle w:val="Hyperlink"/>
            <w:szCs w:val="18"/>
          </w:rPr>
          <w:t>https://www.icann.org/resources/board-material/resolutions-2019-05-15-en#1.c.</w:t>
        </w:r>
      </w:hyperlink>
      <w:r w:rsidRPr="00C54079">
        <w:rPr>
          <w:szCs w:val="18"/>
        </w:rPr>
        <w:t>.</w:t>
      </w:r>
    </w:p>
  </w:footnote>
  <w:footnote w:id="57">
    <w:p w14:paraId="2D67ECCC" w14:textId="4C798499" w:rsidR="00C54079" w:rsidRPr="00C54079" w:rsidRDefault="00C54079" w:rsidP="00C54079">
      <w:pPr>
        <w:pStyle w:val="FootnoteText"/>
      </w:pPr>
      <w:r w:rsidRPr="00C54079">
        <w:rPr>
          <w:rStyle w:val="FootnoteReference"/>
        </w:rPr>
        <w:footnoteRef/>
      </w:r>
      <w:r w:rsidRPr="00C54079">
        <w:t xml:space="preserve"> </w:t>
      </w:r>
      <w:r w:rsidRPr="00C54079">
        <w:tab/>
      </w:r>
      <w:r w:rsidRPr="00C54079">
        <w:rPr>
          <w:szCs w:val="22"/>
        </w:rPr>
        <w:t>In 2023, the European Parliament and Council approved a Regulation for the protection of geographical indications (GIs) relating to craft and industrial products including in the DNS, see</w:t>
      </w:r>
      <w:r w:rsidRPr="00C54079">
        <w:rPr>
          <w:szCs w:val="18"/>
        </w:rPr>
        <w:t xml:space="preserve"> at </w:t>
      </w:r>
      <w:r>
        <w:fldChar w:fldCharType="begin"/>
      </w:r>
      <w:r>
        <w:instrText>HYPERLINK "https://eur-lex.europa.eu/legal-content/EN/TXT/?uri=CELEX%3A32023R2411"</w:instrText>
      </w:r>
      <w:r>
        <w:fldChar w:fldCharType="separate"/>
      </w:r>
      <w:r w:rsidRPr="00C54079">
        <w:rPr>
          <w:rStyle w:val="Hyperlink"/>
          <w:szCs w:val="18"/>
        </w:rPr>
        <w:t>https://eur-lex.europa.eu/legal-content/EN/TXT/?uri=CELEX%3A32023R2411</w:t>
      </w:r>
      <w:r>
        <w:fldChar w:fldCharType="end"/>
      </w:r>
      <w:r w:rsidRPr="00C54079">
        <w:rPr>
          <w:szCs w:val="18"/>
        </w:rPr>
        <w:t xml:space="preserve">. </w:t>
      </w:r>
      <w:r w:rsidRPr="00C54079">
        <w:t xml:space="preserve">A similar proposed Regulation on wine, spirits, and agricultural products, which includes some provisions on domain names, has been approved by the European Parliament, see </w:t>
      </w:r>
      <w:hyperlink r:id="rId23" w:history="1">
        <w:r w:rsidRPr="00C54079">
          <w:rPr>
            <w:rStyle w:val="Hyperlink"/>
            <w:szCs w:val="18"/>
          </w:rPr>
          <w:t>https://www.europarl.europa.eu/doceo/document/TA-9-2024-0101_EN.html</w:t>
        </w:r>
      </w:hyperlink>
      <w:r w:rsidRPr="00C54079">
        <w:rPr>
          <w:szCs w:val="18"/>
        </w:rPr>
        <w:t xml:space="preserve">, and the Council of the European Union. </w:t>
      </w:r>
      <w:r w:rsidRPr="00C54079">
        <w:t>While a number of European ccTLDs already account for GIs in their ADR systems, in their current formulation, the approved Regulations impact a number of European ccTLDs’ ADR policies insofar as they will need to be updated.</w:t>
      </w:r>
    </w:p>
  </w:footnote>
  <w:footnote w:id="58">
    <w:p w14:paraId="06F424F4" w14:textId="64D4E1DE" w:rsidR="00C54079" w:rsidRPr="00C54079" w:rsidRDefault="00C54079" w:rsidP="00C54079">
      <w:pPr>
        <w:pStyle w:val="FootnoteText"/>
        <w:rPr>
          <w:szCs w:val="18"/>
        </w:rPr>
      </w:pPr>
      <w:r w:rsidRPr="00C54079">
        <w:rPr>
          <w:rStyle w:val="FootnoteReference"/>
          <w:szCs w:val="18"/>
        </w:rPr>
        <w:footnoteRef/>
      </w:r>
      <w:r w:rsidRPr="00C54079">
        <w:rPr>
          <w:szCs w:val="18"/>
        </w:rPr>
        <w:t xml:space="preserve"> </w:t>
      </w:r>
      <w:r w:rsidRPr="00C54079">
        <w:rPr>
          <w:szCs w:val="18"/>
        </w:rPr>
        <w:tab/>
        <w:t xml:space="preserve">Together these comprise ICANN’s so-called “confusion mitigation” plans.  See e.g., </w:t>
      </w:r>
      <w:r>
        <w:fldChar w:fldCharType="begin"/>
      </w:r>
      <w:r>
        <w:instrText>HYPERLINK "http://www.icann.org/en/system/files/files/two-character-ltr-ltr-authorization-release-13dec16-en.pdf"</w:instrText>
      </w:r>
      <w:r>
        <w:fldChar w:fldCharType="separate"/>
      </w:r>
      <w:r w:rsidRPr="00C54079">
        <w:rPr>
          <w:rStyle w:val="Hyperlink"/>
          <w:szCs w:val="18"/>
        </w:rPr>
        <w:t>www.icann.org/en/system/files/files/two-character-ltr-ltr-authorization-release-13dec16-en.pdf</w:t>
      </w:r>
      <w:r>
        <w:fldChar w:fldCharType="end"/>
      </w:r>
      <w:r w:rsidRPr="00C54079">
        <w:rPr>
          <w:szCs w:val="18"/>
        </w:rPr>
        <w:t xml:space="preserve"> and </w:t>
      </w:r>
      <w:hyperlink r:id="rId24" w:history="1">
        <w:r w:rsidRPr="00C54079">
          <w:rPr>
            <w:rStyle w:val="Hyperlink"/>
            <w:szCs w:val="18"/>
          </w:rPr>
          <w:t>https://www.icann.org/en/system/files/files/implementation-memo-two-character-ascii-labels-22jan19-en.pdf</w:t>
        </w:r>
      </w:hyperlink>
      <w:r w:rsidRPr="00C54079">
        <w:rPr>
          <w:szCs w:val="18"/>
        </w:rPr>
        <w:t>.</w:t>
      </w:r>
    </w:p>
  </w:footnote>
  <w:footnote w:id="59">
    <w:p w14:paraId="5F3A6C1F" w14:textId="0CDD1F4D" w:rsidR="00C54079" w:rsidRPr="00C54079" w:rsidRDefault="00C54079" w:rsidP="00C54079">
      <w:pPr>
        <w:pStyle w:val="FootnoteText"/>
      </w:pPr>
      <w:r w:rsidRPr="00C54079">
        <w:rPr>
          <w:rStyle w:val="FootnoteReference"/>
        </w:rPr>
        <w:footnoteRef/>
      </w:r>
      <w:r w:rsidRPr="00C54079">
        <w:t xml:space="preserve"> </w:t>
      </w:r>
      <w:r w:rsidRPr="00C54079">
        <w:tab/>
        <w:t xml:space="preserve">See the Survey of the existing state of play of geographical indications, country names, and other geographical terms in the domain name system prepared by the Center with the SCT Secretariat on March 12, 2018 and was submitted to document </w:t>
      </w:r>
      <w:r>
        <w:fldChar w:fldCharType="begin"/>
      </w:r>
      <w:r>
        <w:instrText>HYPERLINK "https://www.wipo.int/edocs/mdocs/sct/en/sct_39/sct_39_7.pdf"</w:instrText>
      </w:r>
      <w:r>
        <w:fldChar w:fldCharType="separate"/>
      </w:r>
      <w:r w:rsidRPr="00C54079">
        <w:rPr>
          <w:rStyle w:val="Hyperlink"/>
        </w:rPr>
        <w:t>SCT/39/7</w:t>
      </w:r>
      <w:r>
        <w:fldChar w:fldCharType="end"/>
      </w:r>
      <w:r w:rsidRPr="00C54079">
        <w:t>.</w:t>
      </w:r>
    </w:p>
  </w:footnote>
  <w:footnote w:id="60">
    <w:p w14:paraId="5F52C60A" w14:textId="643B7E2C" w:rsidR="00C54079" w:rsidRPr="00C54079" w:rsidRDefault="00C54079" w:rsidP="00C54079">
      <w:pPr>
        <w:pStyle w:val="FootnoteText"/>
        <w:rPr>
          <w:b/>
          <w:szCs w:val="18"/>
        </w:rPr>
      </w:pPr>
      <w:r w:rsidRPr="00C54079">
        <w:rPr>
          <w:rStyle w:val="FootnoteReference"/>
          <w:szCs w:val="18"/>
        </w:rPr>
        <w:footnoteRef/>
      </w:r>
      <w:r w:rsidRPr="00C54079">
        <w:rPr>
          <w:rStyle w:val="FootnoteReference"/>
          <w:szCs w:val="18"/>
        </w:rPr>
        <w:t xml:space="preserve"> </w:t>
      </w:r>
      <w:r w:rsidR="00953130" w:rsidRPr="00953130">
        <w:rPr>
          <w:szCs w:val="18"/>
          <w:vertAlign w:val="superscript"/>
        </w:rPr>
        <w:t>.</w:t>
      </w:r>
      <w:r w:rsidRPr="00C54079">
        <w:rPr>
          <w:szCs w:val="18"/>
        </w:rPr>
        <w:tab/>
        <w:t xml:space="preserve">See </w:t>
      </w:r>
      <w:r w:rsidRPr="00C54079">
        <w:rPr>
          <w:iCs/>
          <w:szCs w:val="18"/>
        </w:rPr>
        <w:t>e.g.,</w:t>
      </w:r>
      <w:r w:rsidRPr="00C54079">
        <w:rPr>
          <w:szCs w:val="18"/>
        </w:rPr>
        <w:t xml:space="preserve"> documents </w:t>
      </w:r>
      <w:r>
        <w:fldChar w:fldCharType="begin"/>
      </w:r>
      <w:r>
        <w:instrText>HYPERLINK "https://www.wipo.int/edocs/mdocs/geoind/en/sct_37/sct_37_4.pdf"</w:instrText>
      </w:r>
      <w:r>
        <w:fldChar w:fldCharType="separate"/>
      </w:r>
      <w:r w:rsidRPr="00C54079">
        <w:rPr>
          <w:rStyle w:val="Hyperlink"/>
          <w:szCs w:val="18"/>
        </w:rPr>
        <w:t>SCT/37/4</w:t>
      </w:r>
      <w:r>
        <w:fldChar w:fldCharType="end"/>
      </w:r>
      <w:r w:rsidRPr="00C54079">
        <w:rPr>
          <w:szCs w:val="18"/>
        </w:rPr>
        <w:t xml:space="preserve">, </w:t>
      </w:r>
      <w:hyperlink r:id="rId25" w:history="1">
        <w:r w:rsidRPr="00C54079">
          <w:rPr>
            <w:rStyle w:val="Hyperlink"/>
            <w:szCs w:val="18"/>
          </w:rPr>
          <w:t>SCT/37/5</w:t>
        </w:r>
      </w:hyperlink>
      <w:r w:rsidRPr="00C54079">
        <w:rPr>
          <w:szCs w:val="18"/>
        </w:rPr>
        <w:t xml:space="preserve">, </w:t>
      </w:r>
      <w:hyperlink r:id="rId26" w:history="1">
        <w:r w:rsidRPr="00C54079">
          <w:rPr>
            <w:rStyle w:val="Hyperlink"/>
            <w:szCs w:val="18"/>
          </w:rPr>
          <w:t>SCT/38/3</w:t>
        </w:r>
      </w:hyperlink>
      <w:r w:rsidRPr="00C54079">
        <w:rPr>
          <w:szCs w:val="18"/>
        </w:rPr>
        <w:t xml:space="preserve">, </w:t>
      </w:r>
      <w:hyperlink r:id="rId27" w:history="1">
        <w:r w:rsidRPr="00C54079">
          <w:rPr>
            <w:rStyle w:val="Hyperlink"/>
            <w:szCs w:val="18"/>
          </w:rPr>
          <w:t>SCT/39/5</w:t>
        </w:r>
      </w:hyperlink>
      <w:r w:rsidRPr="00C54079">
        <w:rPr>
          <w:szCs w:val="18"/>
        </w:rPr>
        <w:t xml:space="preserve">, </w:t>
      </w:r>
      <w:hyperlink r:id="rId28" w:history="1">
        <w:r w:rsidRPr="00C54079">
          <w:rPr>
            <w:rStyle w:val="Hyperlink"/>
            <w:szCs w:val="18"/>
          </w:rPr>
          <w:t>SCT/40/4</w:t>
        </w:r>
      </w:hyperlink>
      <w:r w:rsidRPr="00C54079">
        <w:rPr>
          <w:szCs w:val="18"/>
        </w:rPr>
        <w:t xml:space="preserve">, </w:t>
      </w:r>
      <w:hyperlink r:id="rId29" w:history="1">
        <w:r w:rsidRPr="00C54079">
          <w:rPr>
            <w:rStyle w:val="Hyperlink"/>
            <w:szCs w:val="18"/>
          </w:rPr>
          <w:t>SCT/41/5</w:t>
        </w:r>
      </w:hyperlink>
      <w:r w:rsidRPr="00C54079">
        <w:rPr>
          <w:szCs w:val="18"/>
        </w:rPr>
        <w:t xml:space="preserve">, </w:t>
      </w:r>
      <w:hyperlink r:id="rId30" w:history="1">
        <w:r w:rsidRPr="00C54079">
          <w:rPr>
            <w:rStyle w:val="Hyperlink"/>
            <w:szCs w:val="18"/>
          </w:rPr>
          <w:t>SCT/42/3</w:t>
        </w:r>
      </w:hyperlink>
      <w:r w:rsidRPr="00C54079">
        <w:rPr>
          <w:szCs w:val="18"/>
        </w:rPr>
        <w:t xml:space="preserve">, </w:t>
      </w:r>
      <w:hyperlink r:id="rId31" w:history="1">
        <w:r w:rsidRPr="00C54079">
          <w:rPr>
            <w:rStyle w:val="Hyperlink"/>
            <w:szCs w:val="18"/>
          </w:rPr>
          <w:t>SCT/43/4</w:t>
        </w:r>
      </w:hyperlink>
      <w:r w:rsidRPr="00C54079">
        <w:rPr>
          <w:szCs w:val="18"/>
        </w:rPr>
        <w:t xml:space="preserve">, </w:t>
      </w:r>
      <w:hyperlink r:id="rId32" w:history="1">
        <w:r w:rsidRPr="00C54079">
          <w:rPr>
            <w:rStyle w:val="Hyperlink"/>
            <w:szCs w:val="18"/>
          </w:rPr>
          <w:t>SCT/44/2</w:t>
        </w:r>
      </w:hyperlink>
      <w:r w:rsidRPr="00C54079">
        <w:rPr>
          <w:szCs w:val="18"/>
        </w:rPr>
        <w:t xml:space="preserve">, </w:t>
      </w:r>
      <w:hyperlink r:id="rId33" w:history="1">
        <w:r w:rsidRPr="00C54079">
          <w:rPr>
            <w:rStyle w:val="Hyperlink"/>
            <w:szCs w:val="18"/>
          </w:rPr>
          <w:t>SC</w:t>
        </w:r>
        <w:r w:rsidRPr="00C54079">
          <w:rPr>
            <w:rStyle w:val="Hyperlink"/>
            <w:szCs w:val="18"/>
          </w:rPr>
          <w:t>T</w:t>
        </w:r>
        <w:r w:rsidRPr="00C54079">
          <w:rPr>
            <w:rStyle w:val="Hyperlink"/>
            <w:szCs w:val="18"/>
          </w:rPr>
          <w:t>/45/3</w:t>
        </w:r>
      </w:hyperlink>
      <w:r w:rsidRPr="00C54079">
        <w:rPr>
          <w:szCs w:val="18"/>
        </w:rPr>
        <w:t xml:space="preserve">, </w:t>
      </w:r>
      <w:hyperlink r:id="rId34" w:history="1">
        <w:r w:rsidRPr="00C54079">
          <w:rPr>
            <w:rStyle w:val="Hyperlink"/>
            <w:szCs w:val="18"/>
          </w:rPr>
          <w:t>SCT/46/3</w:t>
        </w:r>
      </w:hyperlink>
      <w:r w:rsidRPr="00C54079">
        <w:rPr>
          <w:szCs w:val="18"/>
        </w:rPr>
        <w:t xml:space="preserve">, </w:t>
      </w:r>
      <w:hyperlink r:id="rId35" w:history="1">
        <w:r w:rsidRPr="00C54079">
          <w:rPr>
            <w:rStyle w:val="Hyperlink"/>
            <w:szCs w:val="18"/>
          </w:rPr>
          <w:t>SCT/47/2</w:t>
        </w:r>
      </w:hyperlink>
      <w:r w:rsidRPr="00C54079">
        <w:rPr>
          <w:szCs w:val="18"/>
        </w:rPr>
        <w:t xml:space="preserve">, and </w:t>
      </w:r>
      <w:hyperlink r:id="rId36" w:history="1">
        <w:r w:rsidRPr="00C54079">
          <w:rPr>
            <w:rStyle w:val="Hyperlink"/>
            <w:szCs w:val="18"/>
          </w:rPr>
          <w:t>SCT/48/2</w:t>
        </w:r>
      </w:hyperlink>
      <w:r w:rsidRPr="00C54079">
        <w:rPr>
          <w:szCs w:val="18"/>
        </w:rPr>
        <w:t xml:space="preserve">.  See also meeting </w:t>
      </w:r>
      <w:hyperlink r:id="rId37" w:history="1">
        <w:r w:rsidRPr="00C54079">
          <w:rPr>
            <w:rStyle w:val="Hyperlink"/>
            <w:szCs w:val="18"/>
          </w:rPr>
          <w:t>SCT/IS/GEO/GE/17</w:t>
        </w:r>
      </w:hyperlink>
      <w:r w:rsidRPr="00C54079">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895C" w14:textId="3E1F6B20" w:rsidR="00EC4E49" w:rsidRDefault="00C54079" w:rsidP="00477D6B">
    <w:pPr>
      <w:jc w:val="right"/>
    </w:pPr>
    <w:bookmarkStart w:id="15" w:name="Code2"/>
    <w:bookmarkEnd w:id="15"/>
    <w:r>
      <w:t>WO/GA/58/1</w:t>
    </w:r>
    <w:r w:rsidR="0063585F">
      <w:t>1</w:t>
    </w:r>
  </w:p>
  <w:p w14:paraId="2CAC7CC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03C4093" w14:textId="77777777" w:rsidR="00EC4E49" w:rsidRDefault="00EC4E49" w:rsidP="00477D6B">
    <w:pPr>
      <w:jc w:val="right"/>
    </w:pPr>
  </w:p>
  <w:p w14:paraId="5286368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A27031"/>
    <w:multiLevelType w:val="hybridMultilevel"/>
    <w:tmpl w:val="FFFFFFFF"/>
    <w:lvl w:ilvl="0" w:tplc="83302EC4">
      <w:start w:val="5"/>
      <w:numFmt w:val="decimal"/>
      <w:lvlText w:val="%1."/>
      <w:lvlJc w:val="left"/>
      <w:pPr>
        <w:ind w:left="360" w:hanging="360"/>
      </w:pPr>
    </w:lvl>
    <w:lvl w:ilvl="1" w:tplc="73168474">
      <w:start w:val="1"/>
      <w:numFmt w:val="lowerLetter"/>
      <w:lvlText w:val="%2."/>
      <w:lvlJc w:val="left"/>
      <w:pPr>
        <w:ind w:left="1440" w:hanging="360"/>
      </w:pPr>
    </w:lvl>
    <w:lvl w:ilvl="2" w:tplc="ECD8D328">
      <w:start w:val="1"/>
      <w:numFmt w:val="lowerRoman"/>
      <w:lvlText w:val="%3."/>
      <w:lvlJc w:val="right"/>
      <w:pPr>
        <w:ind w:left="2160" w:hanging="180"/>
      </w:pPr>
    </w:lvl>
    <w:lvl w:ilvl="3" w:tplc="3B00D1B2">
      <w:start w:val="1"/>
      <w:numFmt w:val="decimal"/>
      <w:lvlText w:val="%4."/>
      <w:lvlJc w:val="left"/>
      <w:pPr>
        <w:ind w:left="2880" w:hanging="360"/>
      </w:pPr>
    </w:lvl>
    <w:lvl w:ilvl="4" w:tplc="3A008A98">
      <w:start w:val="1"/>
      <w:numFmt w:val="lowerLetter"/>
      <w:lvlText w:val="%5."/>
      <w:lvlJc w:val="left"/>
      <w:pPr>
        <w:ind w:left="3600" w:hanging="360"/>
      </w:pPr>
    </w:lvl>
    <w:lvl w:ilvl="5" w:tplc="5B5E9040">
      <w:start w:val="1"/>
      <w:numFmt w:val="lowerRoman"/>
      <w:lvlText w:val="%6."/>
      <w:lvlJc w:val="right"/>
      <w:pPr>
        <w:ind w:left="4320" w:hanging="180"/>
      </w:pPr>
    </w:lvl>
    <w:lvl w:ilvl="6" w:tplc="63F8A3AE">
      <w:start w:val="1"/>
      <w:numFmt w:val="decimal"/>
      <w:lvlText w:val="%7."/>
      <w:lvlJc w:val="left"/>
      <w:pPr>
        <w:ind w:left="5040" w:hanging="360"/>
      </w:pPr>
    </w:lvl>
    <w:lvl w:ilvl="7" w:tplc="C318183C">
      <w:start w:val="1"/>
      <w:numFmt w:val="lowerLetter"/>
      <w:lvlText w:val="%8."/>
      <w:lvlJc w:val="left"/>
      <w:pPr>
        <w:ind w:left="5760" w:hanging="360"/>
      </w:pPr>
    </w:lvl>
    <w:lvl w:ilvl="8" w:tplc="FD9E4A24">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B5786D"/>
    <w:multiLevelType w:val="hybridMultilevel"/>
    <w:tmpl w:val="158629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81862"/>
    <w:multiLevelType w:val="hybridMultilevel"/>
    <w:tmpl w:val="61D6E5F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47F9"/>
    <w:multiLevelType w:val="hybridMultilevel"/>
    <w:tmpl w:val="353487DA"/>
    <w:lvl w:ilvl="0" w:tplc="0409000F">
      <w:start w:val="3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390467"/>
    <w:multiLevelType w:val="hybridMultilevel"/>
    <w:tmpl w:val="723615C6"/>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B12FE"/>
    <w:multiLevelType w:val="hybridMultilevel"/>
    <w:tmpl w:val="680CF70A"/>
    <w:lvl w:ilvl="0" w:tplc="0DCA3D0C">
      <w:start w:val="6"/>
      <w:numFmt w:val="decimal"/>
      <w:lvlText w:val="%1."/>
      <w:lvlJc w:val="left"/>
      <w:pPr>
        <w:ind w:left="927" w:hanging="360"/>
      </w:pPr>
      <w:rPr>
        <w:rFonts w:hint="default"/>
        <w:b w:val="0"/>
        <w:i w:val="0"/>
      </w:rPr>
    </w:lvl>
    <w:lvl w:ilvl="1" w:tplc="547A3AD2">
      <w:start w:val="1"/>
      <w:numFmt w:val="lowerLetter"/>
      <w:lvlText w:val="(%2)"/>
      <w:lvlJc w:val="left"/>
      <w:pPr>
        <w:ind w:left="2043" w:hanging="576"/>
      </w:pPr>
      <w:rPr>
        <w:rFonts w:hint="default"/>
        <w:u w:val="none"/>
      </w:rPr>
    </w:lvl>
    <w:lvl w:ilvl="2" w:tplc="0409001B">
      <w:start w:val="1"/>
      <w:numFmt w:val="lowerRoman"/>
      <w:lvlText w:val="%3."/>
      <w:lvlJc w:val="right"/>
      <w:pPr>
        <w:ind w:left="2547" w:hanging="180"/>
      </w:pPr>
    </w:lvl>
    <w:lvl w:ilvl="3" w:tplc="0409000F">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0" w15:restartNumberingAfterBreak="0">
    <w:nsid w:val="24810EEB"/>
    <w:multiLevelType w:val="hybridMultilevel"/>
    <w:tmpl w:val="194CFCD0"/>
    <w:lvl w:ilvl="0" w:tplc="0409000F">
      <w:start w:val="3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AB46547"/>
    <w:multiLevelType w:val="hybridMultilevel"/>
    <w:tmpl w:val="C3B6C018"/>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13FEE"/>
    <w:multiLevelType w:val="hybridMultilevel"/>
    <w:tmpl w:val="9F2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46BDC"/>
    <w:multiLevelType w:val="hybridMultilevel"/>
    <w:tmpl w:val="FFFFFFFF"/>
    <w:lvl w:ilvl="0" w:tplc="14267670">
      <w:start w:val="5"/>
      <w:numFmt w:val="decimal"/>
      <w:lvlText w:val="%1."/>
      <w:lvlJc w:val="left"/>
      <w:pPr>
        <w:ind w:left="360" w:hanging="360"/>
      </w:pPr>
    </w:lvl>
    <w:lvl w:ilvl="1" w:tplc="110C77B8">
      <w:start w:val="1"/>
      <w:numFmt w:val="lowerLetter"/>
      <w:lvlText w:val="%2."/>
      <w:lvlJc w:val="left"/>
      <w:pPr>
        <w:ind w:left="1440" w:hanging="360"/>
      </w:pPr>
    </w:lvl>
    <w:lvl w:ilvl="2" w:tplc="4B44CE4A">
      <w:start w:val="1"/>
      <w:numFmt w:val="lowerRoman"/>
      <w:lvlText w:val="%3."/>
      <w:lvlJc w:val="right"/>
      <w:pPr>
        <w:ind w:left="2160" w:hanging="180"/>
      </w:pPr>
    </w:lvl>
    <w:lvl w:ilvl="3" w:tplc="6D140EAE">
      <w:start w:val="1"/>
      <w:numFmt w:val="decimal"/>
      <w:lvlText w:val="%4."/>
      <w:lvlJc w:val="left"/>
      <w:pPr>
        <w:ind w:left="2880" w:hanging="360"/>
      </w:pPr>
    </w:lvl>
    <w:lvl w:ilvl="4" w:tplc="81F2B252">
      <w:start w:val="1"/>
      <w:numFmt w:val="lowerLetter"/>
      <w:lvlText w:val="%5."/>
      <w:lvlJc w:val="left"/>
      <w:pPr>
        <w:ind w:left="3600" w:hanging="360"/>
      </w:pPr>
    </w:lvl>
    <w:lvl w:ilvl="5" w:tplc="A4605EDC">
      <w:start w:val="1"/>
      <w:numFmt w:val="lowerRoman"/>
      <w:lvlText w:val="%6."/>
      <w:lvlJc w:val="right"/>
      <w:pPr>
        <w:ind w:left="4320" w:hanging="180"/>
      </w:pPr>
    </w:lvl>
    <w:lvl w:ilvl="6" w:tplc="7766E72E">
      <w:start w:val="1"/>
      <w:numFmt w:val="decimal"/>
      <w:lvlText w:val="%7."/>
      <w:lvlJc w:val="left"/>
      <w:pPr>
        <w:ind w:left="5040" w:hanging="360"/>
      </w:pPr>
    </w:lvl>
    <w:lvl w:ilvl="7" w:tplc="5F6E69AC">
      <w:start w:val="1"/>
      <w:numFmt w:val="lowerLetter"/>
      <w:lvlText w:val="%8."/>
      <w:lvlJc w:val="left"/>
      <w:pPr>
        <w:ind w:left="5760" w:hanging="360"/>
      </w:pPr>
    </w:lvl>
    <w:lvl w:ilvl="8" w:tplc="7AC6943C">
      <w:start w:val="1"/>
      <w:numFmt w:val="lowerRoman"/>
      <w:lvlText w:val="%9."/>
      <w:lvlJc w:val="right"/>
      <w:pPr>
        <w:ind w:left="6480" w:hanging="180"/>
      </w:pPr>
    </w:lvl>
  </w:abstractNum>
  <w:abstractNum w:abstractNumId="14" w15:restartNumberingAfterBreak="0">
    <w:nsid w:val="36F05D7F"/>
    <w:multiLevelType w:val="hybridMultilevel"/>
    <w:tmpl w:val="371CAEB8"/>
    <w:lvl w:ilvl="0" w:tplc="D6A636DA">
      <w:start w:val="11"/>
      <w:numFmt w:val="decimal"/>
      <w:lvlText w:val="%1."/>
      <w:lvlJc w:val="left"/>
      <w:pPr>
        <w:ind w:left="-207" w:hanging="360"/>
      </w:pPr>
      <w:rPr>
        <w:rFonts w:hint="default"/>
      </w:r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5" w15:restartNumberingAfterBreak="0">
    <w:nsid w:val="3B4B684D"/>
    <w:multiLevelType w:val="hybridMultilevel"/>
    <w:tmpl w:val="F37679AC"/>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8D0C3"/>
    <w:multiLevelType w:val="hybridMultilevel"/>
    <w:tmpl w:val="FFFFFFFF"/>
    <w:lvl w:ilvl="0" w:tplc="FDD6B768">
      <w:start w:val="5"/>
      <w:numFmt w:val="decimal"/>
      <w:lvlText w:val="%1."/>
      <w:lvlJc w:val="left"/>
      <w:pPr>
        <w:ind w:left="360" w:hanging="360"/>
      </w:pPr>
    </w:lvl>
    <w:lvl w:ilvl="1" w:tplc="8C7A9DD8">
      <w:start w:val="1"/>
      <w:numFmt w:val="lowerLetter"/>
      <w:lvlText w:val="%2."/>
      <w:lvlJc w:val="left"/>
      <w:pPr>
        <w:ind w:left="1440" w:hanging="360"/>
      </w:pPr>
    </w:lvl>
    <w:lvl w:ilvl="2" w:tplc="0B42607A">
      <w:start w:val="1"/>
      <w:numFmt w:val="lowerRoman"/>
      <w:lvlText w:val="%3."/>
      <w:lvlJc w:val="right"/>
      <w:pPr>
        <w:ind w:left="2160" w:hanging="180"/>
      </w:pPr>
    </w:lvl>
    <w:lvl w:ilvl="3" w:tplc="C0CCF3E2">
      <w:start w:val="1"/>
      <w:numFmt w:val="decimal"/>
      <w:lvlText w:val="%4."/>
      <w:lvlJc w:val="left"/>
      <w:pPr>
        <w:ind w:left="2880" w:hanging="360"/>
      </w:pPr>
    </w:lvl>
    <w:lvl w:ilvl="4" w:tplc="CB062C36">
      <w:start w:val="1"/>
      <w:numFmt w:val="lowerLetter"/>
      <w:lvlText w:val="%5."/>
      <w:lvlJc w:val="left"/>
      <w:pPr>
        <w:ind w:left="3600" w:hanging="360"/>
      </w:pPr>
    </w:lvl>
    <w:lvl w:ilvl="5" w:tplc="663A25F8">
      <w:start w:val="1"/>
      <w:numFmt w:val="lowerRoman"/>
      <w:lvlText w:val="%6."/>
      <w:lvlJc w:val="right"/>
      <w:pPr>
        <w:ind w:left="4320" w:hanging="180"/>
      </w:pPr>
    </w:lvl>
    <w:lvl w:ilvl="6" w:tplc="E3142A78">
      <w:start w:val="1"/>
      <w:numFmt w:val="decimal"/>
      <w:lvlText w:val="%7."/>
      <w:lvlJc w:val="left"/>
      <w:pPr>
        <w:ind w:left="5040" w:hanging="360"/>
      </w:pPr>
    </w:lvl>
    <w:lvl w:ilvl="7" w:tplc="A18E4A8E">
      <w:start w:val="1"/>
      <w:numFmt w:val="lowerLetter"/>
      <w:lvlText w:val="%8."/>
      <w:lvlJc w:val="left"/>
      <w:pPr>
        <w:ind w:left="5760" w:hanging="360"/>
      </w:pPr>
    </w:lvl>
    <w:lvl w:ilvl="8" w:tplc="84064F36">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703099"/>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A65F6"/>
    <w:multiLevelType w:val="hybridMultilevel"/>
    <w:tmpl w:val="2CF2BFE4"/>
    <w:lvl w:ilvl="0" w:tplc="0409001B">
      <w:start w:val="1"/>
      <w:numFmt w:val="lowerRoman"/>
      <w:lvlText w:val="%1."/>
      <w:lvlJc w:val="righ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5C586E"/>
    <w:multiLevelType w:val="hybridMultilevel"/>
    <w:tmpl w:val="D3A29912"/>
    <w:lvl w:ilvl="0" w:tplc="5F3CF8B4">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FD7D71"/>
    <w:multiLevelType w:val="hybridMultilevel"/>
    <w:tmpl w:val="21482CFA"/>
    <w:lvl w:ilvl="0" w:tplc="1474E7D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21B8A"/>
    <w:multiLevelType w:val="hybridMultilevel"/>
    <w:tmpl w:val="9070AE5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249170">
    <w:abstractNumId w:val="6"/>
  </w:num>
  <w:num w:numId="2" w16cid:durableId="648050909">
    <w:abstractNumId w:val="17"/>
  </w:num>
  <w:num w:numId="3" w16cid:durableId="1931624398">
    <w:abstractNumId w:val="0"/>
  </w:num>
  <w:num w:numId="4" w16cid:durableId="614560832">
    <w:abstractNumId w:val="20"/>
  </w:num>
  <w:num w:numId="5" w16cid:durableId="1109159100">
    <w:abstractNumId w:val="2"/>
  </w:num>
  <w:num w:numId="6" w16cid:durableId="677997887">
    <w:abstractNumId w:val="7"/>
  </w:num>
  <w:num w:numId="7" w16cid:durableId="1687291637">
    <w:abstractNumId w:val="9"/>
  </w:num>
  <w:num w:numId="8" w16cid:durableId="1905292140">
    <w:abstractNumId w:val="18"/>
  </w:num>
  <w:num w:numId="9" w16cid:durableId="356741539">
    <w:abstractNumId w:val="19"/>
  </w:num>
  <w:num w:numId="10" w16cid:durableId="1341195835">
    <w:abstractNumId w:val="12"/>
  </w:num>
  <w:num w:numId="11" w16cid:durableId="528026259">
    <w:abstractNumId w:val="14"/>
  </w:num>
  <w:num w:numId="12" w16cid:durableId="1270239941">
    <w:abstractNumId w:val="5"/>
  </w:num>
  <w:num w:numId="13" w16cid:durableId="2007246944">
    <w:abstractNumId w:val="4"/>
  </w:num>
  <w:num w:numId="14" w16cid:durableId="1857956961">
    <w:abstractNumId w:val="21"/>
  </w:num>
  <w:num w:numId="15" w16cid:durableId="1780754507">
    <w:abstractNumId w:val="10"/>
  </w:num>
  <w:num w:numId="16" w16cid:durableId="747381410">
    <w:abstractNumId w:val="11"/>
  </w:num>
  <w:num w:numId="17" w16cid:durableId="1867596128">
    <w:abstractNumId w:val="8"/>
  </w:num>
  <w:num w:numId="18" w16cid:durableId="1832137073">
    <w:abstractNumId w:val="15"/>
  </w:num>
  <w:num w:numId="19" w16cid:durableId="279150387">
    <w:abstractNumId w:val="3"/>
  </w:num>
  <w:num w:numId="20" w16cid:durableId="1850830244">
    <w:abstractNumId w:val="22"/>
  </w:num>
  <w:num w:numId="21" w16cid:durableId="1441029404">
    <w:abstractNumId w:val="23"/>
  </w:num>
  <w:num w:numId="22" w16cid:durableId="1095980204">
    <w:abstractNumId w:val="16"/>
  </w:num>
  <w:num w:numId="23" w16cid:durableId="667682732">
    <w:abstractNumId w:val="1"/>
  </w:num>
  <w:num w:numId="24" w16cid:durableId="1966347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79"/>
    <w:rsid w:val="00012915"/>
    <w:rsid w:val="00013D13"/>
    <w:rsid w:val="0001647B"/>
    <w:rsid w:val="00024E7D"/>
    <w:rsid w:val="00036411"/>
    <w:rsid w:val="00043CAA"/>
    <w:rsid w:val="00045A6B"/>
    <w:rsid w:val="000563EC"/>
    <w:rsid w:val="00056615"/>
    <w:rsid w:val="000670EE"/>
    <w:rsid w:val="00075432"/>
    <w:rsid w:val="00082C49"/>
    <w:rsid w:val="000860ED"/>
    <w:rsid w:val="0009014E"/>
    <w:rsid w:val="00091C40"/>
    <w:rsid w:val="000968ED"/>
    <w:rsid w:val="000B20D3"/>
    <w:rsid w:val="000B614B"/>
    <w:rsid w:val="000B7F26"/>
    <w:rsid w:val="000E0D2D"/>
    <w:rsid w:val="000F26F8"/>
    <w:rsid w:val="000F5E56"/>
    <w:rsid w:val="001024FE"/>
    <w:rsid w:val="00115F25"/>
    <w:rsid w:val="0011725F"/>
    <w:rsid w:val="0013496E"/>
    <w:rsid w:val="001362EE"/>
    <w:rsid w:val="00142756"/>
    <w:rsid w:val="00142868"/>
    <w:rsid w:val="0016153F"/>
    <w:rsid w:val="00166853"/>
    <w:rsid w:val="001751CC"/>
    <w:rsid w:val="001832A6"/>
    <w:rsid w:val="001912E1"/>
    <w:rsid w:val="00194177"/>
    <w:rsid w:val="001C6808"/>
    <w:rsid w:val="001D4238"/>
    <w:rsid w:val="001E2A3C"/>
    <w:rsid w:val="001F6342"/>
    <w:rsid w:val="00202EF2"/>
    <w:rsid w:val="0020306B"/>
    <w:rsid w:val="0020401D"/>
    <w:rsid w:val="002121FA"/>
    <w:rsid w:val="00217275"/>
    <w:rsid w:val="00224807"/>
    <w:rsid w:val="002634C4"/>
    <w:rsid w:val="00264B65"/>
    <w:rsid w:val="0027402A"/>
    <w:rsid w:val="00286AA0"/>
    <w:rsid w:val="002928D3"/>
    <w:rsid w:val="0029553B"/>
    <w:rsid w:val="002F1FE6"/>
    <w:rsid w:val="002F3FD8"/>
    <w:rsid w:val="002F4E68"/>
    <w:rsid w:val="002F5833"/>
    <w:rsid w:val="0030499F"/>
    <w:rsid w:val="00312F7F"/>
    <w:rsid w:val="00317134"/>
    <w:rsid w:val="003228B7"/>
    <w:rsid w:val="00323ABB"/>
    <w:rsid w:val="00331CA9"/>
    <w:rsid w:val="003508A3"/>
    <w:rsid w:val="003673CF"/>
    <w:rsid w:val="003755D0"/>
    <w:rsid w:val="00383687"/>
    <w:rsid w:val="003845C1"/>
    <w:rsid w:val="003A6F89"/>
    <w:rsid w:val="003B38C1"/>
    <w:rsid w:val="003E3392"/>
    <w:rsid w:val="00423E3E"/>
    <w:rsid w:val="0042648F"/>
    <w:rsid w:val="00427AF4"/>
    <w:rsid w:val="004400E2"/>
    <w:rsid w:val="004512B4"/>
    <w:rsid w:val="00461632"/>
    <w:rsid w:val="004647DA"/>
    <w:rsid w:val="0047368E"/>
    <w:rsid w:val="00474062"/>
    <w:rsid w:val="0047550F"/>
    <w:rsid w:val="00476C53"/>
    <w:rsid w:val="00477D6B"/>
    <w:rsid w:val="004870EA"/>
    <w:rsid w:val="00494E9C"/>
    <w:rsid w:val="004A315B"/>
    <w:rsid w:val="004B324F"/>
    <w:rsid w:val="004C06B6"/>
    <w:rsid w:val="004D10C1"/>
    <w:rsid w:val="004D39C4"/>
    <w:rsid w:val="004E60B1"/>
    <w:rsid w:val="004F0C1B"/>
    <w:rsid w:val="004F2557"/>
    <w:rsid w:val="0051128F"/>
    <w:rsid w:val="005207B1"/>
    <w:rsid w:val="00525CB9"/>
    <w:rsid w:val="0053057A"/>
    <w:rsid w:val="00533FA1"/>
    <w:rsid w:val="00547583"/>
    <w:rsid w:val="00547D0C"/>
    <w:rsid w:val="00560A29"/>
    <w:rsid w:val="00575A8E"/>
    <w:rsid w:val="0057703B"/>
    <w:rsid w:val="00586009"/>
    <w:rsid w:val="00594D27"/>
    <w:rsid w:val="00597747"/>
    <w:rsid w:val="005A6EFD"/>
    <w:rsid w:val="005C45C3"/>
    <w:rsid w:val="005F5BEE"/>
    <w:rsid w:val="005F7437"/>
    <w:rsid w:val="00600F60"/>
    <w:rsid w:val="00601760"/>
    <w:rsid w:val="00605827"/>
    <w:rsid w:val="00606956"/>
    <w:rsid w:val="00606D2E"/>
    <w:rsid w:val="00626E6B"/>
    <w:rsid w:val="0062702A"/>
    <w:rsid w:val="00630C66"/>
    <w:rsid w:val="00630FFC"/>
    <w:rsid w:val="0063585F"/>
    <w:rsid w:val="00646050"/>
    <w:rsid w:val="00651949"/>
    <w:rsid w:val="00652D42"/>
    <w:rsid w:val="006713CA"/>
    <w:rsid w:val="006734C6"/>
    <w:rsid w:val="00676C5C"/>
    <w:rsid w:val="00695558"/>
    <w:rsid w:val="006B1C30"/>
    <w:rsid w:val="006B33EF"/>
    <w:rsid w:val="006C0B5B"/>
    <w:rsid w:val="006C7C0A"/>
    <w:rsid w:val="006D5E0F"/>
    <w:rsid w:val="006E1D7A"/>
    <w:rsid w:val="006F339A"/>
    <w:rsid w:val="007058FB"/>
    <w:rsid w:val="00722CB8"/>
    <w:rsid w:val="00723FE1"/>
    <w:rsid w:val="007321E2"/>
    <w:rsid w:val="00745BA0"/>
    <w:rsid w:val="00747C43"/>
    <w:rsid w:val="007607E8"/>
    <w:rsid w:val="00762B77"/>
    <w:rsid w:val="007734F9"/>
    <w:rsid w:val="00773C8C"/>
    <w:rsid w:val="0077464B"/>
    <w:rsid w:val="007A2D7A"/>
    <w:rsid w:val="007A435A"/>
    <w:rsid w:val="007A7021"/>
    <w:rsid w:val="007A72E7"/>
    <w:rsid w:val="007B26E5"/>
    <w:rsid w:val="007B3675"/>
    <w:rsid w:val="007B508F"/>
    <w:rsid w:val="007B6A58"/>
    <w:rsid w:val="007D1613"/>
    <w:rsid w:val="007D31C9"/>
    <w:rsid w:val="007D7666"/>
    <w:rsid w:val="007F3AEF"/>
    <w:rsid w:val="00801759"/>
    <w:rsid w:val="008020E8"/>
    <w:rsid w:val="00803A3D"/>
    <w:rsid w:val="0082385C"/>
    <w:rsid w:val="008264FB"/>
    <w:rsid w:val="00842EF7"/>
    <w:rsid w:val="008629F9"/>
    <w:rsid w:val="00873EE5"/>
    <w:rsid w:val="00880BF5"/>
    <w:rsid w:val="008A7192"/>
    <w:rsid w:val="008B21AE"/>
    <w:rsid w:val="008B2CC1"/>
    <w:rsid w:val="008B4B5E"/>
    <w:rsid w:val="008B60B2"/>
    <w:rsid w:val="008C2BB0"/>
    <w:rsid w:val="008D5447"/>
    <w:rsid w:val="008E5D52"/>
    <w:rsid w:val="009013CE"/>
    <w:rsid w:val="00905A5A"/>
    <w:rsid w:val="00906584"/>
    <w:rsid w:val="0090731E"/>
    <w:rsid w:val="00914D44"/>
    <w:rsid w:val="00916EE2"/>
    <w:rsid w:val="00931D2F"/>
    <w:rsid w:val="009365DF"/>
    <w:rsid w:val="009418BD"/>
    <w:rsid w:val="009453B4"/>
    <w:rsid w:val="00953130"/>
    <w:rsid w:val="00957B86"/>
    <w:rsid w:val="0096409D"/>
    <w:rsid w:val="00966A22"/>
    <w:rsid w:val="0096722F"/>
    <w:rsid w:val="00980843"/>
    <w:rsid w:val="00983038"/>
    <w:rsid w:val="00994244"/>
    <w:rsid w:val="00995748"/>
    <w:rsid w:val="009A6314"/>
    <w:rsid w:val="009A7DA7"/>
    <w:rsid w:val="009C00B2"/>
    <w:rsid w:val="009C3F4A"/>
    <w:rsid w:val="009D06FE"/>
    <w:rsid w:val="009D0DD1"/>
    <w:rsid w:val="009E02BF"/>
    <w:rsid w:val="009E1257"/>
    <w:rsid w:val="009E2791"/>
    <w:rsid w:val="009E3F6F"/>
    <w:rsid w:val="009F3BF9"/>
    <w:rsid w:val="009F499F"/>
    <w:rsid w:val="00A20B94"/>
    <w:rsid w:val="00A22118"/>
    <w:rsid w:val="00A22D55"/>
    <w:rsid w:val="00A30FA3"/>
    <w:rsid w:val="00A32EEE"/>
    <w:rsid w:val="00A42DAF"/>
    <w:rsid w:val="00A45BD8"/>
    <w:rsid w:val="00A554A0"/>
    <w:rsid w:val="00A75415"/>
    <w:rsid w:val="00A77470"/>
    <w:rsid w:val="00A778BF"/>
    <w:rsid w:val="00A85B8E"/>
    <w:rsid w:val="00A8669E"/>
    <w:rsid w:val="00A9118D"/>
    <w:rsid w:val="00A9693C"/>
    <w:rsid w:val="00AC05C0"/>
    <w:rsid w:val="00AC1F74"/>
    <w:rsid w:val="00AC205C"/>
    <w:rsid w:val="00AC373A"/>
    <w:rsid w:val="00AE03E7"/>
    <w:rsid w:val="00AE1741"/>
    <w:rsid w:val="00AE48AB"/>
    <w:rsid w:val="00AF1B65"/>
    <w:rsid w:val="00AF5C73"/>
    <w:rsid w:val="00B05A69"/>
    <w:rsid w:val="00B11D56"/>
    <w:rsid w:val="00B1323C"/>
    <w:rsid w:val="00B153A6"/>
    <w:rsid w:val="00B15F31"/>
    <w:rsid w:val="00B2533F"/>
    <w:rsid w:val="00B308AA"/>
    <w:rsid w:val="00B40598"/>
    <w:rsid w:val="00B476A0"/>
    <w:rsid w:val="00B50B99"/>
    <w:rsid w:val="00B5123D"/>
    <w:rsid w:val="00B53906"/>
    <w:rsid w:val="00B5395A"/>
    <w:rsid w:val="00B62CD9"/>
    <w:rsid w:val="00B65298"/>
    <w:rsid w:val="00B657CB"/>
    <w:rsid w:val="00B714C0"/>
    <w:rsid w:val="00B76A1D"/>
    <w:rsid w:val="00B930EB"/>
    <w:rsid w:val="00B946DD"/>
    <w:rsid w:val="00B9734B"/>
    <w:rsid w:val="00B97502"/>
    <w:rsid w:val="00BC780D"/>
    <w:rsid w:val="00BD25EB"/>
    <w:rsid w:val="00BF230C"/>
    <w:rsid w:val="00BF6003"/>
    <w:rsid w:val="00C108EA"/>
    <w:rsid w:val="00C10B6F"/>
    <w:rsid w:val="00C1116A"/>
    <w:rsid w:val="00C11BFE"/>
    <w:rsid w:val="00C54079"/>
    <w:rsid w:val="00C867B8"/>
    <w:rsid w:val="00C878E0"/>
    <w:rsid w:val="00C90F4B"/>
    <w:rsid w:val="00C94629"/>
    <w:rsid w:val="00CA7059"/>
    <w:rsid w:val="00CB4A9B"/>
    <w:rsid w:val="00CB7B5A"/>
    <w:rsid w:val="00CC371E"/>
    <w:rsid w:val="00CC463E"/>
    <w:rsid w:val="00CC509F"/>
    <w:rsid w:val="00CC5400"/>
    <w:rsid w:val="00CC54E6"/>
    <w:rsid w:val="00CE65D4"/>
    <w:rsid w:val="00CF3732"/>
    <w:rsid w:val="00D10476"/>
    <w:rsid w:val="00D33737"/>
    <w:rsid w:val="00D3577B"/>
    <w:rsid w:val="00D45252"/>
    <w:rsid w:val="00D50488"/>
    <w:rsid w:val="00D60549"/>
    <w:rsid w:val="00D609DE"/>
    <w:rsid w:val="00D610CA"/>
    <w:rsid w:val="00D71B4D"/>
    <w:rsid w:val="00D73E3A"/>
    <w:rsid w:val="00D908FE"/>
    <w:rsid w:val="00D93D55"/>
    <w:rsid w:val="00D94C2B"/>
    <w:rsid w:val="00DB22D9"/>
    <w:rsid w:val="00DB2CE4"/>
    <w:rsid w:val="00DF5340"/>
    <w:rsid w:val="00E04DA7"/>
    <w:rsid w:val="00E13928"/>
    <w:rsid w:val="00E15227"/>
    <w:rsid w:val="00E161A2"/>
    <w:rsid w:val="00E335FE"/>
    <w:rsid w:val="00E5021F"/>
    <w:rsid w:val="00E671A6"/>
    <w:rsid w:val="00E852DD"/>
    <w:rsid w:val="00E934D2"/>
    <w:rsid w:val="00EC11A5"/>
    <w:rsid w:val="00EC213C"/>
    <w:rsid w:val="00EC4E49"/>
    <w:rsid w:val="00EC5DEB"/>
    <w:rsid w:val="00ED4900"/>
    <w:rsid w:val="00ED77FB"/>
    <w:rsid w:val="00EE2D98"/>
    <w:rsid w:val="00F01E1D"/>
    <w:rsid w:val="00F021A6"/>
    <w:rsid w:val="00F11D94"/>
    <w:rsid w:val="00F159A8"/>
    <w:rsid w:val="00F17916"/>
    <w:rsid w:val="00F23E45"/>
    <w:rsid w:val="00F2514B"/>
    <w:rsid w:val="00F26482"/>
    <w:rsid w:val="00F30518"/>
    <w:rsid w:val="00F34E3E"/>
    <w:rsid w:val="00F433F5"/>
    <w:rsid w:val="00F45B69"/>
    <w:rsid w:val="00F5268F"/>
    <w:rsid w:val="00F56D42"/>
    <w:rsid w:val="00F637DB"/>
    <w:rsid w:val="00F66152"/>
    <w:rsid w:val="00F66167"/>
    <w:rsid w:val="00F8096A"/>
    <w:rsid w:val="00FA0ACC"/>
    <w:rsid w:val="00FA6D6D"/>
    <w:rsid w:val="00FB1685"/>
    <w:rsid w:val="00FC2BAA"/>
    <w:rsid w:val="00FC56EE"/>
    <w:rsid w:val="00FD1305"/>
    <w:rsid w:val="00FD6CBA"/>
    <w:rsid w:val="00FF23F8"/>
    <w:rsid w:val="00FF43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8275C"/>
  <w15:docId w15:val="{53870FE8-B028-4944-AC6E-CA88CD09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uiPriority w:val="99"/>
    <w:rsid w:val="00C54079"/>
    <w:rPr>
      <w:rFonts w:ascii="Arial" w:eastAsia="SimSun" w:hAnsi="Arial" w:cs="Arial"/>
      <w:sz w:val="18"/>
      <w:lang w:val="en-US" w:eastAsia="zh-CN"/>
    </w:rPr>
  </w:style>
  <w:style w:type="paragraph" w:customStyle="1" w:styleId="DecisionInvitingPara">
    <w:name w:val="Decision Inviting Para."/>
    <w:basedOn w:val="Normal"/>
    <w:rsid w:val="00C54079"/>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C54079"/>
    <w:rPr>
      <w:vertAlign w:val="superscript"/>
    </w:rPr>
  </w:style>
  <w:style w:type="character" w:customStyle="1" w:styleId="ONUMEChar">
    <w:name w:val="ONUM E Char"/>
    <w:link w:val="ONUME"/>
    <w:rsid w:val="00C54079"/>
    <w:rPr>
      <w:rFonts w:ascii="Arial" w:eastAsia="SimSun" w:hAnsi="Arial" w:cs="Arial"/>
      <w:sz w:val="22"/>
      <w:lang w:val="en-US" w:eastAsia="zh-CN"/>
    </w:rPr>
  </w:style>
  <w:style w:type="paragraph" w:styleId="ListParagraph">
    <w:name w:val="List Paragraph"/>
    <w:basedOn w:val="Normal"/>
    <w:uiPriority w:val="34"/>
    <w:qFormat/>
    <w:rsid w:val="00C54079"/>
    <w:pPr>
      <w:ind w:left="720"/>
      <w:contextualSpacing/>
    </w:pPr>
    <w:rPr>
      <w:rFonts w:eastAsia="Times New Roman" w:cs="Times New Roman"/>
      <w:lang w:eastAsia="en-US"/>
    </w:rPr>
  </w:style>
  <w:style w:type="character" w:styleId="Hyperlink">
    <w:name w:val="Hyperlink"/>
    <w:basedOn w:val="DefaultParagraphFont"/>
    <w:unhideWhenUsed/>
    <w:rsid w:val="00C54079"/>
    <w:rPr>
      <w:color w:val="0000FF" w:themeColor="hyperlink"/>
      <w:u w:val="single"/>
    </w:rPr>
  </w:style>
  <w:style w:type="paragraph" w:customStyle="1" w:styleId="paragraph">
    <w:name w:val="paragraph"/>
    <w:basedOn w:val="Normal"/>
    <w:rsid w:val="00C5407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54079"/>
  </w:style>
  <w:style w:type="paragraph" w:styleId="BalloonText">
    <w:name w:val="Balloon Text"/>
    <w:basedOn w:val="Normal"/>
    <w:link w:val="BalloonTextChar"/>
    <w:semiHidden/>
    <w:unhideWhenUsed/>
    <w:rsid w:val="00C54079"/>
    <w:rPr>
      <w:rFonts w:ascii="Segoe UI" w:hAnsi="Segoe UI" w:cs="Segoe UI"/>
      <w:sz w:val="18"/>
      <w:szCs w:val="18"/>
    </w:rPr>
  </w:style>
  <w:style w:type="character" w:customStyle="1" w:styleId="BalloonTextChar">
    <w:name w:val="Balloon Text Char"/>
    <w:basedOn w:val="DefaultParagraphFont"/>
    <w:link w:val="BalloonText"/>
    <w:semiHidden/>
    <w:rsid w:val="00C54079"/>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54079"/>
    <w:rPr>
      <w:color w:val="800080" w:themeColor="followedHyperlink"/>
      <w:u w:val="single"/>
    </w:rPr>
  </w:style>
  <w:style w:type="character" w:styleId="CommentReference">
    <w:name w:val="annotation reference"/>
    <w:basedOn w:val="DefaultParagraphFont"/>
    <w:semiHidden/>
    <w:unhideWhenUsed/>
    <w:rsid w:val="00C54079"/>
    <w:rPr>
      <w:sz w:val="16"/>
      <w:szCs w:val="16"/>
    </w:rPr>
  </w:style>
  <w:style w:type="paragraph" w:styleId="CommentSubject">
    <w:name w:val="annotation subject"/>
    <w:basedOn w:val="CommentText"/>
    <w:next w:val="CommentText"/>
    <w:link w:val="CommentSubjectChar"/>
    <w:semiHidden/>
    <w:unhideWhenUsed/>
    <w:rsid w:val="00C54079"/>
    <w:rPr>
      <w:b/>
      <w:bCs/>
      <w:sz w:val="20"/>
    </w:rPr>
  </w:style>
  <w:style w:type="character" w:customStyle="1" w:styleId="CommentTextChar">
    <w:name w:val="Comment Text Char"/>
    <w:basedOn w:val="DefaultParagraphFont"/>
    <w:link w:val="CommentText"/>
    <w:semiHidden/>
    <w:rsid w:val="00C5407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54079"/>
    <w:rPr>
      <w:rFonts w:ascii="Arial" w:eastAsia="SimSun" w:hAnsi="Arial" w:cs="Arial"/>
      <w:b/>
      <w:bCs/>
      <w:sz w:val="18"/>
      <w:lang w:val="en-US" w:eastAsia="zh-CN"/>
    </w:rPr>
  </w:style>
  <w:style w:type="paragraph" w:styleId="Revision">
    <w:name w:val="Revision"/>
    <w:hidden/>
    <w:uiPriority w:val="99"/>
    <w:semiHidden/>
    <w:rsid w:val="00C54079"/>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54079"/>
    <w:rPr>
      <w:color w:val="605E5C"/>
      <w:shd w:val="clear" w:color="auto" w:fill="E1DFDD"/>
    </w:rPr>
  </w:style>
  <w:style w:type="paragraph" w:styleId="NormalWeb">
    <w:name w:val="Normal (Web)"/>
    <w:basedOn w:val="Normal"/>
    <w:semiHidden/>
    <w:unhideWhenUsed/>
    <w:rsid w:val="00C54079"/>
    <w:rPr>
      <w:rFonts w:ascii="Times New Roman" w:hAnsi="Times New Roman" w:cs="Times New Roman"/>
      <w:sz w:val="24"/>
      <w:szCs w:val="24"/>
    </w:rPr>
  </w:style>
  <w:style w:type="character" w:customStyle="1" w:styleId="Heading3Char">
    <w:name w:val="Heading 3 Char"/>
    <w:basedOn w:val="DefaultParagraphFont"/>
    <w:link w:val="Heading3"/>
    <w:rsid w:val="00C54079"/>
    <w:rPr>
      <w:rFonts w:ascii="Arial" w:eastAsia="SimSun" w:hAnsi="Arial" w:cs="Arial"/>
      <w:bCs/>
      <w:sz w:val="22"/>
      <w:szCs w:val="26"/>
      <w:u w:val="single"/>
      <w:lang w:val="en-US" w:eastAsia="zh-CN"/>
    </w:rPr>
  </w:style>
  <w:style w:type="character" w:customStyle="1" w:styleId="Heading2Char">
    <w:name w:val="Heading 2 Char"/>
    <w:basedOn w:val="DefaultParagraphFont"/>
    <w:link w:val="Heading2"/>
    <w:rsid w:val="00C54079"/>
    <w:rPr>
      <w:rFonts w:ascii="Arial" w:eastAsia="SimSun"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2489">
      <w:bodyDiv w:val="1"/>
      <w:marLeft w:val="0"/>
      <w:marRight w:val="0"/>
      <w:marTop w:val="0"/>
      <w:marBottom w:val="0"/>
      <w:divBdr>
        <w:top w:val="none" w:sz="0" w:space="0" w:color="auto"/>
        <w:left w:val="none" w:sz="0" w:space="0" w:color="auto"/>
        <w:bottom w:val="none" w:sz="0" w:space="0" w:color="auto"/>
        <w:right w:val="none" w:sz="0" w:space="0" w:color="auto"/>
      </w:divBdr>
      <w:divsChild>
        <w:div w:id="1597202933">
          <w:marLeft w:val="0"/>
          <w:marRight w:val="0"/>
          <w:marTop w:val="0"/>
          <w:marBottom w:val="0"/>
          <w:divBdr>
            <w:top w:val="none" w:sz="0" w:space="0" w:color="auto"/>
            <w:left w:val="none" w:sz="0" w:space="0" w:color="auto"/>
            <w:bottom w:val="none" w:sz="0" w:space="0" w:color="auto"/>
            <w:right w:val="none" w:sz="0" w:space="0" w:color="auto"/>
          </w:divBdr>
        </w:div>
      </w:divsChild>
    </w:div>
    <w:div w:id="1146239950">
      <w:bodyDiv w:val="1"/>
      <w:marLeft w:val="0"/>
      <w:marRight w:val="0"/>
      <w:marTop w:val="0"/>
      <w:marBottom w:val="0"/>
      <w:divBdr>
        <w:top w:val="none" w:sz="0" w:space="0" w:color="auto"/>
        <w:left w:val="none" w:sz="0" w:space="0" w:color="auto"/>
        <w:bottom w:val="none" w:sz="0" w:space="0" w:color="auto"/>
        <w:right w:val="none" w:sz="0" w:space="0" w:color="auto"/>
      </w:divBdr>
      <w:divsChild>
        <w:div w:id="199028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mc/en/mediation/rules" TargetMode="External"/><Relationship Id="rId18" Type="http://schemas.openxmlformats.org/officeDocument/2006/relationships/hyperlink" Target="https://www.wipo.int/amc/en/center/specific-sectors/ipoffices/korea/mcst/" TargetMode="External"/><Relationship Id="rId26" Type="http://schemas.openxmlformats.org/officeDocument/2006/relationships/hyperlink" Target="https://www.wipo.int/amc/en/center/specific-sectors/ipoffices/co-administration_program.html" TargetMode="External"/><Relationship Id="rId39" Type="http://schemas.openxmlformats.org/officeDocument/2006/relationships/hyperlink" Target="https://www.wipo.int/amc/en/domains/cctld/" TargetMode="External"/><Relationship Id="rId21" Type="http://schemas.openxmlformats.org/officeDocument/2006/relationships/hyperlink" Target="https://www.wipo.int/publications/en/details.jsp?id=4639" TargetMode="External"/><Relationship Id="rId34" Type="http://schemas.openxmlformats.org/officeDocument/2006/relationships/hyperlink" Target="https://www.wipo.int/amc/en/processes/process2/report" TargetMode="External"/><Relationship Id="rId42" Type="http://schemas.openxmlformats.org/officeDocument/2006/relationships/hyperlink" Target="https://gnso.icann.org/sites/default/files/file/field-file-attach/rpm-phase-1-proposed-24nov20-en.pdf" TargetMode="External"/><Relationship Id="rId47" Type="http://schemas.openxmlformats.org/officeDocument/2006/relationships/hyperlink" Target="https://www.icann.org/en/announcements/details/icann-request-for-information-dispute-resolution-service-providers-for-the-next-round-04-11-2024-en" TargetMode="External"/><Relationship Id="rId50" Type="http://schemas.openxmlformats.org/officeDocument/2006/relationships/hyperlink" Target="https://www.icann.org/resources/press-material/release-2023-11-28-en" TargetMode="External"/><Relationship Id="rId55" Type="http://schemas.openxmlformats.org/officeDocument/2006/relationships/hyperlink" Target="https://icann-community.atlassian.net/wiki/pages/viewpageattachments.action?pageId=109086961&amp;preview=/109086961/109127580/Work%20Track%205%20Final%20Report%20to%20the%20New%20gTLD%20SubPro%20PDP%20WG%20-%2022%20October%202019.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amc/en/center/specific-sectors/ipoffices/national-courts/tanzania/index.html" TargetMode="External"/><Relationship Id="rId29" Type="http://schemas.openxmlformats.org/officeDocument/2006/relationships/hyperlink" Target="https://www.linkedin.com/showcase/wipo-arbitration-and-mediation-center/?viewAsMember=true" TargetMode="External"/><Relationship Id="rId11" Type="http://schemas.openxmlformats.org/officeDocument/2006/relationships/image" Target="media/image1.png"/><Relationship Id="rId24" Type="http://schemas.openxmlformats.org/officeDocument/2006/relationships/hyperlink" Target="https://www.wipo.int/amc/en/center/specific-sectors/artificial-intelligence/" TargetMode="External"/><Relationship Id="rId32" Type="http://schemas.openxmlformats.org/officeDocument/2006/relationships/hyperlink" Target="https://www.wipo.int/amc/en/mediation/pledge.html" TargetMode="External"/><Relationship Id="rId37" Type="http://schemas.openxmlformats.org/officeDocument/2006/relationships/hyperlink" Target="https://www.wipo.int/amc/en/events/workshops/2025/domainname" TargetMode="External"/><Relationship Id="rId40" Type="http://schemas.openxmlformats.org/officeDocument/2006/relationships/hyperlink" Target="https://www.wipo.int/edocs/pubdocs/en/wipo_pub_1069.pdf" TargetMode="External"/><Relationship Id="rId45" Type="http://schemas.openxmlformats.org/officeDocument/2006/relationships/hyperlink" Target="http://www.icann.org/en/board-activities-and-meetings/materials/approved-resolutions-special-meeting-of-the-icann-board-27-07-2023-en" TargetMode="External"/><Relationship Id="rId53" Type="http://schemas.openxmlformats.org/officeDocument/2006/relationships/hyperlink" Target="https://www.icann.org/en/system/files/files/framework-elements-unified-access-model-for-discussion-18jun18-en.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wipo.int/amc/en/center/specific-sectors/ict/fr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amc/en/eadr/" TargetMode="External"/><Relationship Id="rId22" Type="http://schemas.openxmlformats.org/officeDocument/2006/relationships/hyperlink" Target="https://www.wipo.int/amc/en/center/specific-sectors/videogames" TargetMode="External"/><Relationship Id="rId27" Type="http://schemas.openxmlformats.org/officeDocument/2006/relationships/hyperlink" Target="https://www.wipo.int/publications/en/details.jsp?id=4613&amp;plang=EN" TargetMode="External"/><Relationship Id="rId30" Type="http://schemas.openxmlformats.org/officeDocument/2006/relationships/hyperlink" Target="https://www.wipo.int/podcasts/en/amc" TargetMode="External"/><Relationship Id="rId35" Type="http://schemas.openxmlformats.org/officeDocument/2006/relationships/hyperlink" Target="https://www.wipo.int/amc/en/domains/search/overview3.0/" TargetMode="External"/><Relationship Id="rId43" Type="http://schemas.openxmlformats.org/officeDocument/2006/relationships/hyperlink" Target="https://www.wipo.int/amc/en/domains/resources/wipo-icaudrpreview.html" TargetMode="External"/><Relationship Id="rId48" Type="http://schemas.openxmlformats.org/officeDocument/2006/relationships/hyperlink" Target="https://gnso.icann.org/en/group-activities/active/gtld-registration-data-epdp" TargetMode="External"/><Relationship Id="rId56" Type="http://schemas.openxmlformats.org/officeDocument/2006/relationships/hyperlink" Target="https://forum.icann.org/lists/comments-proposed-measures-two-char-08jul16/pdfECmcS9knuk.pdf" TargetMode="External"/><Relationship Id="rId8" Type="http://schemas.openxmlformats.org/officeDocument/2006/relationships/webSettings" Target="webSettings.xml"/><Relationship Id="rId51" Type="http://schemas.openxmlformats.org/officeDocument/2006/relationships/hyperlink" Target="https://www.wipo.int/amc/en/domains/gdpr" TargetMode="External"/><Relationship Id="rId3" Type="http://schemas.openxmlformats.org/officeDocument/2006/relationships/customXml" Target="../customXml/item3.xml"/><Relationship Id="rId12" Type="http://schemas.openxmlformats.org/officeDocument/2006/relationships/hyperlink" Target="https://www.wipo.int/edocs/mdocs/govbody/en/wo_ga_57/wo_ga_57_10.pdf" TargetMode="External"/><Relationship Id="rId17" Type="http://schemas.openxmlformats.org/officeDocument/2006/relationships/hyperlink" Target="https://www.wipo.int/amc/en/center/copyright/digitalcopyright" TargetMode="External"/><Relationship Id="rId25" Type="http://schemas.openxmlformats.org/officeDocument/2006/relationships/hyperlink" Target="https://www.wipo.int/amc/en/center/specific-sectors/greentechnology-sustainability/" TargetMode="External"/><Relationship Id="rId33" Type="http://schemas.openxmlformats.org/officeDocument/2006/relationships/hyperlink" Target="https://www.wipo.int/amc/en/processes/process1/report" TargetMode="External"/><Relationship Id="rId38" Type="http://schemas.openxmlformats.org/officeDocument/2006/relationships/hyperlink" Target="https://www.wipo.int/amc/en/domains/cctld/" TargetMode="External"/><Relationship Id="rId46" Type="http://schemas.openxmlformats.org/officeDocument/2006/relationships/hyperlink" Target="https://www.wipo.int/edocs/mdocs/sct/en/sct_46/sct_46_3.pdf" TargetMode="External"/><Relationship Id="rId59" Type="http://schemas.openxmlformats.org/officeDocument/2006/relationships/theme" Target="theme/theme1.xml"/><Relationship Id="rId20" Type="http://schemas.openxmlformats.org/officeDocument/2006/relationships/hyperlink" Target="https://www.wipo.int/amc/en/center/specific-sectors/lifesciences/" TargetMode="External"/><Relationship Id="rId41" Type="http://schemas.openxmlformats.org/officeDocument/2006/relationships/hyperlink" Target="https://gnso.icann.org/en/issues/new-gtlds/rpm-prelim-issue-09oct15-en.pdf" TargetMode="External"/><Relationship Id="rId54" Type="http://schemas.openxmlformats.org/officeDocument/2006/relationships/hyperlink" Target="https://www.wipo.int/edocs/mdocs/sct/en/sct_46/sct_46_3.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ipo.int/amc/en/eadr/checklist/index.html" TargetMode="External"/><Relationship Id="rId23" Type="http://schemas.openxmlformats.org/officeDocument/2006/relationships/hyperlink" Target="https://www.wipo.int/amc/en/center/specific-sectors/videogames/iget.html" TargetMode="External"/><Relationship Id="rId28" Type="http://schemas.openxmlformats.org/officeDocument/2006/relationships/hyperlink" Target="https://www.wipo.int/amc/en/center/wipoadryoung" TargetMode="External"/><Relationship Id="rId36" Type="http://schemas.openxmlformats.org/officeDocument/2006/relationships/hyperlink" Target="https://www.wipo.int/amc/en/domains/search/legalindex/" TargetMode="External"/><Relationship Id="rId49" Type="http://schemas.openxmlformats.org/officeDocument/2006/relationships/hyperlink" Target="https://gnso.icann.org/en/group-activities/active/gtld-registration-data-epdp-phase-2"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wipo.int/amc/en/events/webinar.html" TargetMode="External"/><Relationship Id="rId44" Type="http://schemas.openxmlformats.org/officeDocument/2006/relationships/hyperlink" Target="https://newgtlds.icann.org/en/applicants/agb" TargetMode="External"/><Relationship Id="rId52" Type="http://schemas.openxmlformats.org/officeDocument/2006/relationships/hyperlink" Target="https://digital-strategy.ec.europa.eu/en/policies/nis2-directiv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prague44.icann.org/node/31773" TargetMode="External"/><Relationship Id="rId18" Type="http://schemas.openxmlformats.org/officeDocument/2006/relationships/hyperlink" Target="https://gac.icann.org/contentMigrated/icann63-barcelona-communique" TargetMode="External"/><Relationship Id="rId26" Type="http://schemas.openxmlformats.org/officeDocument/2006/relationships/hyperlink" Target="https://www.wipo.int/edocs/mdocs/sct/en/sct_38/sct_38_3.pdf" TargetMode="External"/><Relationship Id="rId21" Type="http://schemas.openxmlformats.org/officeDocument/2006/relationships/hyperlink" Target="https://gac.icann.org/download/attachments/35455403/Geo%20names%20in%20new%20gTLDs%20Updated%20%20V3%20%2029%20august%202014%5B4%5D.pdf?version=1&amp;modificationDate=1411549504000&amp;api=v2" TargetMode="External"/><Relationship Id="rId34" Type="http://schemas.openxmlformats.org/officeDocument/2006/relationships/hyperlink" Target="https://www.wipo.int/edocs/mdocs/sct/en/sct_46/sct_46_3.pdf" TargetMode="External"/><Relationship Id="rId7" Type="http://schemas.openxmlformats.org/officeDocument/2006/relationships/hyperlink" Target="https://www.wipo.int/amc/en/domains/lop/" TargetMode="External"/><Relationship Id="rId12" Type="http://schemas.openxmlformats.org/officeDocument/2006/relationships/hyperlink" Target="https://gnso.icann.org/sites/default/files/file/field-file-attach/final-report-newgtld-subsequent-procedures-pdp-02feb21-en.pdf" TargetMode="External"/><Relationship Id="rId17" Type="http://schemas.openxmlformats.org/officeDocument/2006/relationships/hyperlink" Target="https://ec.europa.eu/newsroom/dae/redirection/document/108437" TargetMode="External"/><Relationship Id="rId25" Type="http://schemas.openxmlformats.org/officeDocument/2006/relationships/hyperlink" Target="https://www.wipo.int/edocs/mdocs/sct/en/sct_37/sct_37_5.pdf" TargetMode="External"/><Relationship Id="rId33" Type="http://schemas.openxmlformats.org/officeDocument/2006/relationships/hyperlink" Target="https://www.wipo.int/edocs/mdocs/sct/en/sct_45/sct_45_3.pdf" TargetMode="External"/><Relationship Id="rId2" Type="http://schemas.openxmlformats.org/officeDocument/2006/relationships/hyperlink" Target="http://www.wipo.int/amc/en/events" TargetMode="External"/><Relationship Id="rId16" Type="http://schemas.openxmlformats.org/officeDocument/2006/relationships/hyperlink" Target="https://gac.icann.org/statement/public/gac-minority-statement-epdp-phase2-24aug20.pdf" TargetMode="External"/><Relationship Id="rId20" Type="http://schemas.openxmlformats.org/officeDocument/2006/relationships/hyperlink" Target="https://www.icann.org/resources/agreement/amazon-2019-12-19-en" TargetMode="External"/><Relationship Id="rId29" Type="http://schemas.openxmlformats.org/officeDocument/2006/relationships/hyperlink" Target="https://www.wipo.int/edocs/mdocs/sct/en/sct_41/sct_41_5.pdf" TargetMode="External"/><Relationship Id="rId1" Type="http://schemas.openxmlformats.org/officeDocument/2006/relationships/hyperlink" Target="https://www.wipo.int/amc/en/goodoffices" TargetMode="External"/><Relationship Id="rId6" Type="http://schemas.openxmlformats.org/officeDocument/2006/relationships/hyperlink" Target="https://www.wipo.int/amc/en/domains/expiry.html" TargetMode="External"/><Relationship Id="rId11" Type="http://schemas.openxmlformats.org/officeDocument/2006/relationships/hyperlink" Target="https://www.wipo.int/edocs/mdocs/govbody/en/wo_ga_39/wo_ga_39_10.pdf" TargetMode="External"/><Relationship Id="rId24" Type="http://schemas.openxmlformats.org/officeDocument/2006/relationships/hyperlink" Target="https://www.icann.org/en/system/files/files/implementation-memo-two-character-ascii-labels-22jan19-en.pdf" TargetMode="External"/><Relationship Id="rId32" Type="http://schemas.openxmlformats.org/officeDocument/2006/relationships/hyperlink" Target="https://www.wipo.int/edocs/mdocs/sct/en/sct_44/sct_44_2.pdf" TargetMode="External"/><Relationship Id="rId37" Type="http://schemas.openxmlformats.org/officeDocument/2006/relationships/hyperlink" Target="https://www.wipo.int/meetings/en/details.jsp?meeting_id=42547&amp;la=ES" TargetMode="External"/><Relationship Id="rId5" Type="http://schemas.openxmlformats.org/officeDocument/2006/relationships/hyperlink" Target="https://www.wipo.int/en/web/office-singapore/w/news/2025/wipo-asean-mediation-programme-amp-" TargetMode="External"/><Relationship Id="rId15" Type="http://schemas.openxmlformats.org/officeDocument/2006/relationships/hyperlink" Target="https://www.icann.org/en/announcements/details/icann-board-reaffirms-temporary-specification-for-gtld-registration-data-29-1-2019-en" TargetMode="External"/><Relationship Id="rId23" Type="http://schemas.openxmlformats.org/officeDocument/2006/relationships/hyperlink" Target="https://www.europarl.europa.eu/doceo/document/TA-9-2024-0101_EN.html" TargetMode="External"/><Relationship Id="rId28" Type="http://schemas.openxmlformats.org/officeDocument/2006/relationships/hyperlink" Target="https://www.wipo.int/edocs/mdocs/sct/en/sct_40/sct_40_4.pdf" TargetMode="External"/><Relationship Id="rId36" Type="http://schemas.openxmlformats.org/officeDocument/2006/relationships/hyperlink" Target="https://www.wipo.int/edocs/mdocs/sct/en/sct_48/sct_48_2.pdf" TargetMode="External"/><Relationship Id="rId10" Type="http://schemas.openxmlformats.org/officeDocument/2006/relationships/hyperlink" Target="https://gnso.icann.org/sites/default/files/policy/2021/presentation/presentation-gnso-rpm-final-report-11Jan21-en.pdf" TargetMode="External"/><Relationship Id="rId19" Type="http://schemas.openxmlformats.org/officeDocument/2006/relationships/hyperlink" Target="https://www.icann.org/en/system/files/correspondence/gac-to-board-11apr13-en.pdf" TargetMode="External"/><Relationship Id="rId31" Type="http://schemas.openxmlformats.org/officeDocument/2006/relationships/hyperlink" Target="https://www.wipo.int/edocs/mdocs/sct/en/sct_43/sct_43_4.pdf" TargetMode="External"/><Relationship Id="rId4" Type="http://schemas.openxmlformats.org/officeDocument/2006/relationships/hyperlink" Target="https://www.wipo.int/amc/en/center/copyright/digitalcopyright/index.html" TargetMode="External"/><Relationship Id="rId9" Type="http://schemas.openxmlformats.org/officeDocument/2006/relationships/hyperlink" Target="https://www.wipo.int/edocs/mdocs/govbody/en/wo_ga_39/wo_ga_39_10.pdf" TargetMode="External"/><Relationship Id="rId14" Type="http://schemas.openxmlformats.org/officeDocument/2006/relationships/hyperlink" Target="https://archive.icann.org/en/meetings/toronto2012/node/34325.html" TargetMode="External"/><Relationship Id="rId22" Type="http://schemas.openxmlformats.org/officeDocument/2006/relationships/hyperlink" Target="https://www.icann.org/resources/board-material/resolutions-2019-05-15-en" TargetMode="External"/><Relationship Id="rId27" Type="http://schemas.openxmlformats.org/officeDocument/2006/relationships/hyperlink" Target="https://www.wipo.int/edocs/mdocs/sct/en/sct_39/sct_39_5.pdf" TargetMode="External"/><Relationship Id="rId30" Type="http://schemas.openxmlformats.org/officeDocument/2006/relationships/hyperlink" Target="https://www.wipo.int/edocs/mdocs/sct/en/sct_42/sct_42_3.pdf" TargetMode="External"/><Relationship Id="rId35" Type="http://schemas.openxmlformats.org/officeDocument/2006/relationships/hyperlink" Target="https://www.wipo.int/edocs/mdocs/sct/en/sct_47/sct_47_2.pdf" TargetMode="External"/><Relationship Id="rId8" Type="http://schemas.openxmlformats.org/officeDocument/2006/relationships/hyperlink" Target="https://community.icann.org/display/gnsoudrpdt/Webinar+on+the+Current+State+of+the+UDRP" TargetMode="External"/><Relationship Id="rId3" Type="http://schemas.openxmlformats.org/officeDocument/2006/relationships/hyperlink" Target="https://www.wipo.int/amc/en/center/backgrou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F9D62-BA52-4576-A242-16B410B65F39}">
  <ds:schemaRefs>
    <ds:schemaRef ds:uri="b1a73aef-ce8f-442d-a5fc-a13bc475f3f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781c9f64-295c-457e-9e5f-c4eb841d690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3.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7CE69-8AEA-4568-875F-7C97B779A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(E)</Template>
  <TotalTime>75</TotalTime>
  <Pages>15</Pages>
  <Words>6111</Words>
  <Characters>39173</Characters>
  <Application>Microsoft Office Word</Application>
  <DocSecurity>0</DocSecurity>
  <Lines>326</Lines>
  <Paragraphs>90</Paragraphs>
  <ScaleCrop>false</ScaleCrop>
  <HeadingPairs>
    <vt:vector size="2" baseType="variant">
      <vt:variant>
        <vt:lpstr>Title</vt:lpstr>
      </vt:variant>
      <vt:variant>
        <vt:i4>1</vt:i4>
      </vt:variant>
    </vt:vector>
  </HeadingPairs>
  <TitlesOfParts>
    <vt:vector size="1" baseType="lpstr">
      <vt:lpstr>WO/GA/58/17</vt:lpstr>
    </vt:vector>
  </TitlesOfParts>
  <Company>WIPO</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WO/GA/58/17</dc:title>
  <dc:creator>WIPO</dc:creator>
  <cp:keywords/>
  <cp:lastModifiedBy>SAKOTIC Masa</cp:lastModifiedBy>
  <cp:revision>15</cp:revision>
  <cp:lastPrinted>2025-05-07T14:46:00Z</cp:lastPrinted>
  <dcterms:created xsi:type="dcterms:W3CDTF">2025-05-05T13:37:00Z</dcterms:created>
  <dcterms:modified xsi:type="dcterms:W3CDTF">2025-05-07T14:46:00Z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