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244B" w14:textId="77777777" w:rsidR="007F3E6C" w:rsidRPr="007B6B33" w:rsidRDefault="007F3E6C" w:rsidP="007F3E6C">
      <w:pPr>
        <w:spacing w:after="120"/>
        <w:jc w:val="right"/>
        <w:rPr>
          <w:color w:val="auto"/>
        </w:rPr>
      </w:pPr>
      <w:r w:rsidRPr="008C7247">
        <w:rPr>
          <w:noProof/>
          <w:color w:val="auto"/>
          <w:sz w:val="28"/>
          <w:szCs w:val="28"/>
        </w:rPr>
        <w:drawing>
          <wp:inline distT="0" distB="0" distL="0" distR="0" wp14:anchorId="5F0242A6" wp14:editId="74C3D52F">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8C7247">
        <w:rPr>
          <w:rFonts w:ascii="Arial Black" w:hAnsi="Arial Black"/>
          <w:caps/>
          <w:noProof/>
          <w:color w:val="auto"/>
          <w:sz w:val="15"/>
          <w:szCs w:val="15"/>
        </w:rPr>
        <mc:AlternateContent>
          <mc:Choice Requires="wps">
            <w:drawing>
              <wp:inline distT="0" distB="0" distL="0" distR="0" wp14:anchorId="17D66815" wp14:editId="1763B8C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7E91F57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78784382" w14:textId="44825A54" w:rsidR="007F3E6C" w:rsidRPr="007B6B33" w:rsidRDefault="007F3E6C" w:rsidP="007F3E6C">
      <w:pPr>
        <w:jc w:val="right"/>
        <w:rPr>
          <w:rFonts w:ascii="Arial Black" w:hAnsi="Arial Black"/>
          <w:caps/>
          <w:color w:val="auto"/>
          <w:sz w:val="15"/>
          <w:szCs w:val="15"/>
        </w:rPr>
      </w:pPr>
      <w:r w:rsidRPr="007B6B33">
        <w:rPr>
          <w:rFonts w:ascii="Arial Black" w:hAnsi="Arial Black"/>
          <w:caps/>
          <w:color w:val="auto"/>
          <w:sz w:val="15"/>
          <w:szCs w:val="15"/>
        </w:rPr>
        <w:t>WO/GA/5</w:t>
      </w:r>
      <w:r w:rsidR="00D45135" w:rsidRPr="007B6B33">
        <w:rPr>
          <w:rFonts w:ascii="Arial Black" w:hAnsi="Arial Black"/>
          <w:caps/>
          <w:color w:val="auto"/>
          <w:sz w:val="15"/>
          <w:szCs w:val="15"/>
        </w:rPr>
        <w:t>7</w:t>
      </w:r>
      <w:r w:rsidRPr="007B6B33">
        <w:rPr>
          <w:rFonts w:ascii="Arial Black" w:hAnsi="Arial Black"/>
          <w:caps/>
          <w:color w:val="auto"/>
          <w:sz w:val="15"/>
          <w:szCs w:val="15"/>
        </w:rPr>
        <w:t>/</w:t>
      </w:r>
      <w:bookmarkStart w:id="0" w:name="Code"/>
      <w:bookmarkEnd w:id="0"/>
      <w:r w:rsidR="00D45135" w:rsidRPr="007B6B33">
        <w:rPr>
          <w:rFonts w:ascii="Arial Black" w:hAnsi="Arial Black"/>
          <w:caps/>
          <w:color w:val="auto"/>
          <w:sz w:val="15"/>
          <w:szCs w:val="15"/>
        </w:rPr>
        <w:t>1</w:t>
      </w:r>
    </w:p>
    <w:p w14:paraId="38C2D281" w14:textId="77777777" w:rsidR="007F3E6C" w:rsidRPr="007B6B33" w:rsidRDefault="007F3E6C" w:rsidP="007F3E6C">
      <w:pPr>
        <w:jc w:val="right"/>
        <w:rPr>
          <w:rFonts w:ascii="Arial Black" w:hAnsi="Arial Black"/>
          <w:caps/>
          <w:color w:val="auto"/>
          <w:sz w:val="15"/>
          <w:szCs w:val="15"/>
        </w:rPr>
      </w:pPr>
      <w:r w:rsidRPr="007B6B33">
        <w:rPr>
          <w:rFonts w:ascii="Arial Black" w:hAnsi="Arial Black"/>
          <w:caps/>
          <w:color w:val="auto"/>
          <w:sz w:val="15"/>
          <w:szCs w:val="15"/>
        </w:rPr>
        <w:t xml:space="preserve">ORIGINAL: </w:t>
      </w:r>
      <w:bookmarkStart w:id="1" w:name="Original"/>
      <w:r w:rsidRPr="007B6B33">
        <w:rPr>
          <w:rFonts w:ascii="Arial Black" w:hAnsi="Arial Black"/>
          <w:caps/>
          <w:color w:val="auto"/>
          <w:sz w:val="15"/>
          <w:szCs w:val="15"/>
        </w:rPr>
        <w:t>English</w:t>
      </w:r>
    </w:p>
    <w:bookmarkEnd w:id="1"/>
    <w:p w14:paraId="25127781" w14:textId="400BD019" w:rsidR="007F3E6C" w:rsidRPr="00FA1329" w:rsidRDefault="007F3E6C" w:rsidP="007F3E6C">
      <w:pPr>
        <w:spacing w:after="1200"/>
        <w:jc w:val="right"/>
        <w:rPr>
          <w:rFonts w:ascii="Arial Black" w:hAnsi="Arial Black"/>
          <w:caps/>
          <w:color w:val="auto"/>
          <w:sz w:val="15"/>
          <w:szCs w:val="15"/>
        </w:rPr>
      </w:pPr>
      <w:r w:rsidRPr="007B6B33">
        <w:rPr>
          <w:rFonts w:ascii="Arial Black" w:hAnsi="Arial Black"/>
          <w:caps/>
          <w:color w:val="auto"/>
          <w:sz w:val="15"/>
          <w:szCs w:val="15"/>
        </w:rPr>
        <w:t xml:space="preserve">DATE: </w:t>
      </w:r>
      <w:bookmarkStart w:id="2" w:name="Date"/>
      <w:r w:rsidR="00C84614">
        <w:rPr>
          <w:rFonts w:ascii="Arial Black" w:hAnsi="Arial Black"/>
          <w:caps/>
          <w:color w:val="auto"/>
          <w:sz w:val="15"/>
          <w:szCs w:val="15"/>
        </w:rPr>
        <w:t xml:space="preserve"> </w:t>
      </w:r>
      <w:r w:rsidR="008C7247" w:rsidRPr="00FA1329">
        <w:rPr>
          <w:rFonts w:ascii="Arial Black" w:hAnsi="Arial Black"/>
          <w:caps/>
          <w:color w:val="auto"/>
          <w:sz w:val="15"/>
          <w:szCs w:val="15"/>
        </w:rPr>
        <w:t xml:space="preserve">may </w:t>
      </w:r>
      <w:r w:rsidR="001958C8">
        <w:rPr>
          <w:rFonts w:ascii="Arial Black" w:hAnsi="Arial Black"/>
          <w:caps/>
          <w:color w:val="auto"/>
          <w:sz w:val="15"/>
          <w:szCs w:val="15"/>
        </w:rPr>
        <w:t>10</w:t>
      </w:r>
      <w:r w:rsidRPr="00FA1329">
        <w:rPr>
          <w:rFonts w:ascii="Arial Black" w:hAnsi="Arial Black"/>
          <w:caps/>
          <w:color w:val="auto"/>
          <w:sz w:val="15"/>
          <w:szCs w:val="15"/>
        </w:rPr>
        <w:t>, 202</w:t>
      </w:r>
      <w:r w:rsidR="00621BA7" w:rsidRPr="00FA1329">
        <w:rPr>
          <w:rFonts w:ascii="Arial Black" w:hAnsi="Arial Black"/>
          <w:caps/>
          <w:color w:val="auto"/>
          <w:sz w:val="15"/>
          <w:szCs w:val="15"/>
        </w:rPr>
        <w:t>4</w:t>
      </w:r>
    </w:p>
    <w:bookmarkEnd w:id="2"/>
    <w:p w14:paraId="507F6522" w14:textId="77777777" w:rsidR="007F3E6C" w:rsidRPr="007B6B33" w:rsidRDefault="007F3E6C" w:rsidP="007F3E6C">
      <w:pPr>
        <w:spacing w:after="600"/>
        <w:rPr>
          <w:b/>
          <w:color w:val="auto"/>
          <w:sz w:val="28"/>
          <w:szCs w:val="28"/>
        </w:rPr>
      </w:pPr>
      <w:r w:rsidRPr="007B6B33">
        <w:rPr>
          <w:b/>
          <w:color w:val="auto"/>
          <w:sz w:val="28"/>
          <w:szCs w:val="28"/>
        </w:rPr>
        <w:t>WIPO General Assembly</w:t>
      </w:r>
    </w:p>
    <w:p w14:paraId="425797F4" w14:textId="2CC47F0F" w:rsidR="007F3E6C" w:rsidRPr="007B6B33" w:rsidRDefault="007F3E6C" w:rsidP="007F3E6C">
      <w:pPr>
        <w:rPr>
          <w:b/>
          <w:color w:val="auto"/>
          <w:sz w:val="24"/>
          <w:szCs w:val="24"/>
        </w:rPr>
      </w:pPr>
      <w:r w:rsidRPr="007B6B33">
        <w:rPr>
          <w:b/>
          <w:color w:val="auto"/>
          <w:sz w:val="24"/>
          <w:szCs w:val="24"/>
        </w:rPr>
        <w:t>Fifty-</w:t>
      </w:r>
      <w:r w:rsidR="00D45135" w:rsidRPr="007B6B33">
        <w:rPr>
          <w:b/>
          <w:color w:val="auto"/>
          <w:sz w:val="24"/>
          <w:szCs w:val="24"/>
        </w:rPr>
        <w:t>Sevent</w:t>
      </w:r>
      <w:r w:rsidRPr="007B6B33">
        <w:rPr>
          <w:b/>
          <w:color w:val="auto"/>
          <w:sz w:val="24"/>
          <w:szCs w:val="24"/>
        </w:rPr>
        <w:t>h (</w:t>
      </w:r>
      <w:r w:rsidR="001D673E" w:rsidRPr="003618E5">
        <w:rPr>
          <w:b/>
          <w:color w:val="auto"/>
          <w:sz w:val="24"/>
          <w:szCs w:val="24"/>
        </w:rPr>
        <w:t>31</w:t>
      </w:r>
      <w:r w:rsidR="001D673E" w:rsidRPr="003618E5">
        <w:rPr>
          <w:b/>
          <w:color w:val="auto"/>
          <w:sz w:val="24"/>
          <w:szCs w:val="24"/>
          <w:vertAlign w:val="superscript"/>
        </w:rPr>
        <w:t>st</w:t>
      </w:r>
      <w:r w:rsidR="001D673E" w:rsidRPr="003618E5">
        <w:rPr>
          <w:b/>
          <w:color w:val="auto"/>
          <w:sz w:val="24"/>
          <w:szCs w:val="24"/>
        </w:rPr>
        <w:t xml:space="preserve"> Extraordinary</w:t>
      </w:r>
      <w:r w:rsidRPr="007B6B33">
        <w:rPr>
          <w:b/>
          <w:color w:val="auto"/>
          <w:sz w:val="24"/>
          <w:szCs w:val="24"/>
        </w:rPr>
        <w:t>) Session</w:t>
      </w:r>
    </w:p>
    <w:p w14:paraId="356D33DF" w14:textId="327AA96E" w:rsidR="007F3E6C" w:rsidRPr="007B6B33" w:rsidRDefault="007F3E6C" w:rsidP="007F3E6C">
      <w:pPr>
        <w:spacing w:after="720"/>
        <w:rPr>
          <w:color w:val="auto"/>
        </w:rPr>
      </w:pPr>
      <w:r w:rsidRPr="007B6B33">
        <w:rPr>
          <w:b/>
          <w:color w:val="auto"/>
          <w:sz w:val="24"/>
          <w:szCs w:val="24"/>
        </w:rPr>
        <w:t xml:space="preserve">Geneva, July </w:t>
      </w:r>
      <w:r w:rsidR="00621BA7" w:rsidRPr="007B6B33">
        <w:rPr>
          <w:b/>
          <w:color w:val="auto"/>
          <w:sz w:val="24"/>
          <w:szCs w:val="24"/>
        </w:rPr>
        <w:t>9</w:t>
      </w:r>
      <w:r w:rsidRPr="007B6B33">
        <w:rPr>
          <w:b/>
          <w:color w:val="auto"/>
          <w:sz w:val="24"/>
          <w:szCs w:val="24"/>
        </w:rPr>
        <w:t xml:space="preserve"> to 1</w:t>
      </w:r>
      <w:r w:rsidR="00621BA7" w:rsidRPr="007B6B33">
        <w:rPr>
          <w:b/>
          <w:color w:val="auto"/>
          <w:sz w:val="24"/>
          <w:szCs w:val="24"/>
        </w:rPr>
        <w:t>7</w:t>
      </w:r>
      <w:r w:rsidRPr="007B6B33">
        <w:rPr>
          <w:b/>
          <w:color w:val="auto"/>
          <w:sz w:val="24"/>
          <w:szCs w:val="24"/>
        </w:rPr>
        <w:t>, 202</w:t>
      </w:r>
      <w:r w:rsidR="00621BA7" w:rsidRPr="007B6B33">
        <w:rPr>
          <w:b/>
          <w:color w:val="auto"/>
          <w:sz w:val="24"/>
          <w:szCs w:val="24"/>
        </w:rPr>
        <w:t>4</w:t>
      </w:r>
    </w:p>
    <w:p w14:paraId="24989889" w14:textId="77777777" w:rsidR="007F3E6C" w:rsidRPr="007B6B33" w:rsidRDefault="007F3E6C" w:rsidP="007F3E6C">
      <w:pPr>
        <w:spacing w:after="360"/>
        <w:rPr>
          <w:caps/>
          <w:color w:val="auto"/>
          <w:sz w:val="24"/>
        </w:rPr>
      </w:pPr>
      <w:bookmarkStart w:id="3" w:name="TitleOfDoc"/>
      <w:r w:rsidRPr="007B6B33">
        <w:rPr>
          <w:caps/>
          <w:color w:val="auto"/>
          <w:sz w:val="24"/>
        </w:rPr>
        <w:t>REport by the WIPO INDEPENDENT ADVISORY OVERSIGHT cOMMITTEE (iaoc)</w:t>
      </w:r>
    </w:p>
    <w:p w14:paraId="0D2093EB" w14:textId="77777777" w:rsidR="007F3E6C" w:rsidRPr="007B6B33" w:rsidRDefault="007F3E6C" w:rsidP="007F3E6C">
      <w:pPr>
        <w:spacing w:after="960"/>
        <w:rPr>
          <w:i/>
          <w:color w:val="auto"/>
        </w:rPr>
      </w:pPr>
      <w:bookmarkStart w:id="4" w:name="Prepared"/>
      <w:bookmarkEnd w:id="3"/>
      <w:r w:rsidRPr="007B6B33">
        <w:rPr>
          <w:i/>
          <w:color w:val="auto"/>
        </w:rPr>
        <w:t>prepared by the WIPO Independent Advisory Oversight Committee (IAOC)</w:t>
      </w:r>
    </w:p>
    <w:bookmarkEnd w:id="4"/>
    <w:p w14:paraId="2DE109AE" w14:textId="137BDD5A" w:rsidR="007F3E6C" w:rsidRPr="007B6B33" w:rsidRDefault="007F3E6C" w:rsidP="007F3E6C">
      <w:pPr>
        <w:pStyle w:val="ONUME"/>
        <w:numPr>
          <w:ilvl w:val="0"/>
          <w:numId w:val="33"/>
        </w:numPr>
      </w:pPr>
      <w:r w:rsidRPr="007B6B33">
        <w:rPr>
          <w:rFonts w:eastAsia="Times New Roman"/>
          <w:szCs w:val="22"/>
          <w:lang w:eastAsia="en-US"/>
        </w:rPr>
        <w:t xml:space="preserve">The present document contains the </w:t>
      </w:r>
      <w:r w:rsidRPr="007B6B33">
        <w:t>“Report by the WIPO Independent Advisory Oversight Committee (IAOC)” (document WO/PBC/3</w:t>
      </w:r>
      <w:r w:rsidR="00315755" w:rsidRPr="007B6B33">
        <w:t>7</w:t>
      </w:r>
      <w:r w:rsidRPr="007B6B33">
        <w:t>/2), submitted to the WIPO Program and Budget Committee (PBC) at its Thirty-S</w:t>
      </w:r>
      <w:r w:rsidR="00315755" w:rsidRPr="007B6B33">
        <w:t>even</w:t>
      </w:r>
      <w:r w:rsidRPr="007B6B33">
        <w:t>th Session (June 1</w:t>
      </w:r>
      <w:r w:rsidR="00621BA7" w:rsidRPr="007B6B33">
        <w:t>0</w:t>
      </w:r>
      <w:r w:rsidRPr="007B6B33">
        <w:t xml:space="preserve"> to </w:t>
      </w:r>
      <w:r w:rsidR="00621BA7" w:rsidRPr="007B6B33">
        <w:t>14</w:t>
      </w:r>
      <w:r w:rsidRPr="007B6B33">
        <w:t>, 202</w:t>
      </w:r>
      <w:r w:rsidR="00621BA7" w:rsidRPr="007B6B33">
        <w:t>4</w:t>
      </w:r>
      <w:r w:rsidRPr="007B6B33">
        <w:t>).</w:t>
      </w:r>
    </w:p>
    <w:p w14:paraId="2D3D211E" w14:textId="73A87AA7" w:rsidR="007F3E6C" w:rsidRPr="007B6B33" w:rsidRDefault="007F3E6C" w:rsidP="007F3E6C">
      <w:pPr>
        <w:pStyle w:val="ONUME"/>
      </w:pPr>
      <w:r w:rsidRPr="007B6B33">
        <w:t>Any decisions of the PBC in respect of that document will appear in the “List of Decisions adopted by the Program and Budget Committee” (document A/6</w:t>
      </w:r>
      <w:r w:rsidR="00621BA7" w:rsidRPr="007B6B33">
        <w:t>5</w:t>
      </w:r>
      <w:r w:rsidRPr="007B6B33">
        <w:t>/</w:t>
      </w:r>
      <w:r w:rsidR="00D45135" w:rsidRPr="007B6B33">
        <w:t>6</w:t>
      </w:r>
      <w:r w:rsidRPr="007B6B33">
        <w:t>).</w:t>
      </w:r>
    </w:p>
    <w:p w14:paraId="708023A8" w14:textId="77777777" w:rsidR="007F3E6C" w:rsidRDefault="007F3E6C" w:rsidP="007F3E6C">
      <w:pPr>
        <w:autoSpaceDE w:val="0"/>
        <w:autoSpaceDN w:val="0"/>
        <w:adjustRightInd w:val="0"/>
        <w:ind w:left="5520"/>
        <w:rPr>
          <w:rFonts w:eastAsia="Times New Roman"/>
          <w:color w:val="auto"/>
        </w:rPr>
      </w:pPr>
    </w:p>
    <w:p w14:paraId="6C76C75E" w14:textId="77777777" w:rsidR="00C84614" w:rsidRPr="007B6B33" w:rsidRDefault="00C84614" w:rsidP="007F3E6C">
      <w:pPr>
        <w:autoSpaceDE w:val="0"/>
        <w:autoSpaceDN w:val="0"/>
        <w:adjustRightInd w:val="0"/>
        <w:ind w:left="5520"/>
        <w:rPr>
          <w:rFonts w:eastAsia="Times New Roman"/>
          <w:color w:val="auto"/>
        </w:rPr>
      </w:pPr>
    </w:p>
    <w:p w14:paraId="2C62A28A" w14:textId="53F6FE80" w:rsidR="007F3E6C" w:rsidRPr="007B6B33" w:rsidRDefault="007F3E6C" w:rsidP="007F3E6C">
      <w:pPr>
        <w:autoSpaceDE w:val="0"/>
        <w:autoSpaceDN w:val="0"/>
        <w:adjustRightInd w:val="0"/>
        <w:ind w:left="5520"/>
        <w:rPr>
          <w:color w:val="auto"/>
        </w:rPr>
      </w:pPr>
      <w:r w:rsidRPr="007B6B33">
        <w:rPr>
          <w:rFonts w:eastAsia="Times New Roman"/>
          <w:color w:val="auto"/>
        </w:rPr>
        <w:t>[Document WO/PBC/3</w:t>
      </w:r>
      <w:r w:rsidR="00621BA7" w:rsidRPr="007B6B33">
        <w:rPr>
          <w:rFonts w:eastAsia="Times New Roman"/>
          <w:color w:val="auto"/>
        </w:rPr>
        <w:t>7</w:t>
      </w:r>
      <w:r w:rsidRPr="007B6B33">
        <w:rPr>
          <w:rFonts w:eastAsia="Times New Roman"/>
          <w:color w:val="auto"/>
        </w:rPr>
        <w:t>/2 follows]</w:t>
      </w:r>
    </w:p>
    <w:p w14:paraId="0D975C6B" w14:textId="7589DD92" w:rsidR="000F075B" w:rsidRPr="007B6B33" w:rsidRDefault="007F3E6C" w:rsidP="007F3E6C">
      <w:pPr>
        <w:spacing w:after="160"/>
        <w:ind w:left="0" w:right="0" w:firstLine="0"/>
        <w:rPr>
          <w:color w:val="auto"/>
        </w:rPr>
      </w:pPr>
      <w:r w:rsidRPr="007B6B33">
        <w:rPr>
          <w:rFonts w:ascii="Arial Black" w:hAnsi="Arial Black"/>
          <w:color w:val="auto"/>
        </w:rPr>
        <w:br w:type="page"/>
      </w:r>
      <w:r w:rsidR="00046A56" w:rsidRPr="008C7247">
        <w:rPr>
          <w:rFonts w:ascii="Arial Black" w:eastAsia="Calibri" w:hAnsi="Arial Black" w:cs="Calibri"/>
          <w:noProof/>
          <w:color w:val="auto"/>
        </w:rPr>
        <w:lastRenderedPageBreak/>
        <mc:AlternateContent>
          <mc:Choice Requires="wpg">
            <w:drawing>
              <wp:inline distT="0" distB="0" distL="0" distR="0" wp14:anchorId="03A8A246" wp14:editId="35798085">
                <wp:extent cx="6068440" cy="1365663"/>
                <wp:effectExtent l="0" t="0" r="0" b="0"/>
                <wp:docPr id="8552" name="Group 85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68440" cy="1365663"/>
                          <a:chOff x="0" y="0"/>
                          <a:chExt cx="6014939" cy="1529863"/>
                        </a:xfrm>
                      </wpg:grpSpPr>
                      <wps:wsp>
                        <wps:cNvPr id="9" name="Rectangle 9"/>
                        <wps:cNvSpPr/>
                        <wps:spPr>
                          <a:xfrm>
                            <a:off x="5963099" y="1354586"/>
                            <a:ext cx="51840" cy="175277"/>
                          </a:xfrm>
                          <a:prstGeom prst="rect">
                            <a:avLst/>
                          </a:prstGeom>
                          <a:ln>
                            <a:noFill/>
                          </a:ln>
                        </wps:spPr>
                        <wps:txbx>
                          <w:txbxContent>
                            <w:p w14:paraId="27D4460A" w14:textId="77777777" w:rsidR="00B40017" w:rsidRPr="007B6B33" w:rsidRDefault="00B40017">
                              <w:pPr>
                                <w:spacing w:after="160"/>
                                <w:ind w:left="0" w:right="0" w:firstLine="0"/>
                              </w:pPr>
                              <w:r w:rsidRPr="007B6B33">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9"/>
                          <a:stretch>
                            <a:fillRect/>
                          </a:stretch>
                        </pic:blipFill>
                        <pic:spPr>
                          <a:xfrm>
                            <a:off x="2876550" y="0"/>
                            <a:ext cx="3084195" cy="1308100"/>
                          </a:xfrm>
                          <a:prstGeom prst="rect">
                            <a:avLst/>
                          </a:prstGeom>
                        </pic:spPr>
                      </pic:pic>
                      <wps:wsp>
                        <wps:cNvPr id="48" name="Shape 48"/>
                        <wps:cNvSpPr/>
                        <wps:spPr>
                          <a:xfrm>
                            <a:off x="0" y="1437385"/>
                            <a:ext cx="5935980" cy="0"/>
                          </a:xfrm>
                          <a:custGeom>
                            <a:avLst/>
                            <a:gdLst/>
                            <a:ahLst/>
                            <a:cxnLst/>
                            <a:rect l="0" t="0" r="0" b="0"/>
                            <a:pathLst>
                              <a:path w="5935980">
                                <a:moveTo>
                                  <a:pt x="5935980" y="0"/>
                                </a:moveTo>
                                <a:lnTo>
                                  <a:pt x="0"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A8A246" id="Group 8552" o:spid="_x0000_s1026" alt="&quot;&quot;" style="width:477.85pt;height:107.55pt;mso-position-horizontal-relative:char;mso-position-vertical-relative:line" coordsize="60149,152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">
                <v:rect id="Rectangle 9" o:spid="_x0000_s1027" style="position:absolute;left:59630;top:1354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7D4460A" w14:textId="77777777" w:rsidR="00B40017" w:rsidRPr="007B6B33" w:rsidRDefault="00B40017">
                        <w:pPr>
                          <w:spacing w:after="160"/>
                          <w:ind w:left="0" w:right="0" w:firstLine="0"/>
                        </w:pPr>
                        <w:r w:rsidRPr="007B6B33">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8" type="#_x0000_t75" style="position:absolute;left:28765;width:30842;height:13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">
                  <v:imagedata r:id="rId10" o:title=""/>
                </v:shape>
                <v:shape id="Shape 48" o:spid="_x0000_s1029" style="position:absolute;top:14373;width:59359;height:0;visibility:visible;mso-wrap-style:square;v-text-anchor:top" coordsize="5935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" path="m5935980,l,e" filled="f" strokeweight=".5pt">
                  <v:stroke miterlimit="66585f" joinstyle="miter"/>
                  <v:path arrowok="t" textboxrect="0,0,5935980,0"/>
                </v:shape>
                <w10:anchorlock/>
              </v:group>
            </w:pict>
          </mc:Fallback>
        </mc:AlternateContent>
      </w:r>
    </w:p>
    <w:tbl>
      <w:tblPr>
        <w:tblW w:w="9929" w:type="dxa"/>
        <w:tblInd w:w="-108" w:type="dxa"/>
        <w:tblBorders>
          <w:top w:val="nil"/>
          <w:left w:val="nil"/>
          <w:bottom w:val="nil"/>
          <w:right w:val="nil"/>
        </w:tblBorders>
        <w:tblLayout w:type="fixed"/>
        <w:tblLook w:val="0000" w:firstRow="0" w:lastRow="0" w:firstColumn="0" w:lastColumn="0" w:noHBand="0" w:noVBand="0"/>
      </w:tblPr>
      <w:tblGrid>
        <w:gridCol w:w="9929"/>
      </w:tblGrid>
      <w:tr w:rsidR="001259E0" w:rsidRPr="007B6B33" w14:paraId="471BD12B" w14:textId="77777777" w:rsidTr="00BF403D">
        <w:trPr>
          <w:trHeight w:val="105"/>
        </w:trPr>
        <w:tc>
          <w:tcPr>
            <w:tcW w:w="9929" w:type="dxa"/>
            <w:shd w:val="clear" w:color="auto" w:fill="auto"/>
          </w:tcPr>
          <w:p w14:paraId="02C127AD" w14:textId="60E3063E" w:rsidR="003D6209" w:rsidRPr="007B6B33" w:rsidRDefault="003D6209" w:rsidP="003D6209">
            <w:pPr>
              <w:autoSpaceDE w:val="0"/>
              <w:autoSpaceDN w:val="0"/>
              <w:adjustRightInd w:val="0"/>
              <w:spacing w:after="0" w:line="240" w:lineRule="auto"/>
              <w:ind w:left="0" w:right="0" w:firstLine="0"/>
              <w:jc w:val="right"/>
              <w:rPr>
                <w:rFonts w:ascii="Arial Black" w:eastAsiaTheme="minorEastAsia" w:hAnsi="Arial Black" w:cs="Arial Black"/>
                <w:color w:val="auto"/>
                <w:sz w:val="15"/>
                <w:szCs w:val="15"/>
              </w:rPr>
            </w:pPr>
            <w:r w:rsidRPr="007B6B33">
              <w:rPr>
                <w:rFonts w:ascii="Arial Black" w:eastAsiaTheme="minorEastAsia" w:hAnsi="Arial Black" w:cs="Arial Black"/>
                <w:color w:val="auto"/>
                <w:sz w:val="24"/>
                <w:szCs w:val="24"/>
              </w:rPr>
              <w:t xml:space="preserve"> </w:t>
            </w:r>
            <w:r w:rsidRPr="007B6B33">
              <w:rPr>
                <w:rFonts w:ascii="Arial Black" w:eastAsiaTheme="minorEastAsia" w:hAnsi="Arial Black" w:cs="Arial Black"/>
                <w:b/>
                <w:bCs/>
                <w:color w:val="auto"/>
                <w:sz w:val="15"/>
                <w:szCs w:val="15"/>
              </w:rPr>
              <w:t>WO/PBC/</w:t>
            </w:r>
            <w:r w:rsidR="00BF403D" w:rsidRPr="007B6B33">
              <w:rPr>
                <w:rFonts w:ascii="Arial Black" w:eastAsiaTheme="minorEastAsia" w:hAnsi="Arial Black" w:cs="Arial Black"/>
                <w:b/>
                <w:bCs/>
                <w:color w:val="auto"/>
                <w:sz w:val="15"/>
                <w:szCs w:val="15"/>
              </w:rPr>
              <w:t>3</w:t>
            </w:r>
            <w:r w:rsidR="00C76D45" w:rsidRPr="007B6B33">
              <w:rPr>
                <w:rFonts w:ascii="Arial Black" w:eastAsiaTheme="minorEastAsia" w:hAnsi="Arial Black" w:cs="Arial Black"/>
                <w:b/>
                <w:bCs/>
                <w:color w:val="auto"/>
                <w:sz w:val="15"/>
                <w:szCs w:val="15"/>
              </w:rPr>
              <w:t>7</w:t>
            </w:r>
            <w:r w:rsidRPr="007B6B33">
              <w:rPr>
                <w:rFonts w:ascii="Arial Black" w:eastAsiaTheme="minorEastAsia" w:hAnsi="Arial Black" w:cs="Arial Black"/>
                <w:b/>
                <w:bCs/>
                <w:color w:val="auto"/>
                <w:sz w:val="15"/>
                <w:szCs w:val="15"/>
              </w:rPr>
              <w:t>/</w:t>
            </w:r>
            <w:r w:rsidR="00BF403D" w:rsidRPr="007B6B33">
              <w:rPr>
                <w:rFonts w:ascii="Arial Black" w:eastAsiaTheme="minorEastAsia" w:hAnsi="Arial Black" w:cs="Arial Black"/>
                <w:b/>
                <w:bCs/>
                <w:color w:val="auto"/>
                <w:sz w:val="15"/>
                <w:szCs w:val="15"/>
              </w:rPr>
              <w:t>2</w:t>
            </w:r>
            <w:r w:rsidRPr="007B6B33">
              <w:rPr>
                <w:rFonts w:ascii="Arial Black" w:eastAsiaTheme="minorEastAsia" w:hAnsi="Arial Black" w:cs="Arial Black"/>
                <w:b/>
                <w:bCs/>
                <w:color w:val="auto"/>
                <w:sz w:val="15"/>
                <w:szCs w:val="15"/>
              </w:rPr>
              <w:t xml:space="preserve"> </w:t>
            </w:r>
          </w:p>
        </w:tc>
      </w:tr>
      <w:tr w:rsidR="001259E0" w:rsidRPr="007B6B33" w14:paraId="1B24D285" w14:textId="77777777" w:rsidTr="003D6209">
        <w:trPr>
          <w:trHeight w:val="105"/>
        </w:trPr>
        <w:tc>
          <w:tcPr>
            <w:tcW w:w="9929" w:type="dxa"/>
          </w:tcPr>
          <w:p w14:paraId="113436BE" w14:textId="77777777" w:rsidR="003D6209" w:rsidRPr="007B6B33" w:rsidRDefault="003D6209" w:rsidP="003D6209">
            <w:pPr>
              <w:autoSpaceDE w:val="0"/>
              <w:autoSpaceDN w:val="0"/>
              <w:adjustRightInd w:val="0"/>
              <w:spacing w:after="0" w:line="240" w:lineRule="auto"/>
              <w:ind w:left="0" w:right="0" w:firstLine="0"/>
              <w:jc w:val="right"/>
              <w:rPr>
                <w:rFonts w:ascii="Arial Black" w:eastAsiaTheme="minorEastAsia" w:hAnsi="Arial Black" w:cs="Arial Black"/>
                <w:color w:val="auto"/>
                <w:sz w:val="15"/>
                <w:szCs w:val="15"/>
              </w:rPr>
            </w:pPr>
            <w:r w:rsidRPr="007B6B33">
              <w:rPr>
                <w:rFonts w:ascii="Arial Black" w:eastAsiaTheme="minorEastAsia" w:hAnsi="Arial Black" w:cs="Arial Black"/>
                <w:b/>
                <w:bCs/>
                <w:color w:val="auto"/>
                <w:sz w:val="15"/>
                <w:szCs w:val="15"/>
              </w:rPr>
              <w:t xml:space="preserve">ORIGINAL:  ENGLISH </w:t>
            </w:r>
          </w:p>
        </w:tc>
      </w:tr>
      <w:tr w:rsidR="001259E0" w:rsidRPr="007B6B33" w14:paraId="7C264DAC" w14:textId="77777777" w:rsidTr="00BF403D">
        <w:trPr>
          <w:trHeight w:val="105"/>
        </w:trPr>
        <w:tc>
          <w:tcPr>
            <w:tcW w:w="9929" w:type="dxa"/>
            <w:shd w:val="clear" w:color="auto" w:fill="auto"/>
          </w:tcPr>
          <w:p w14:paraId="6EACF455" w14:textId="354BDE73" w:rsidR="003D6209" w:rsidRPr="007B6B33" w:rsidRDefault="003D6209" w:rsidP="001D3C7A">
            <w:pPr>
              <w:autoSpaceDE w:val="0"/>
              <w:autoSpaceDN w:val="0"/>
              <w:adjustRightInd w:val="0"/>
              <w:spacing w:after="0" w:line="240" w:lineRule="auto"/>
              <w:ind w:left="0" w:right="0" w:firstLine="0"/>
              <w:jc w:val="right"/>
              <w:rPr>
                <w:rFonts w:ascii="Arial Black" w:eastAsiaTheme="minorEastAsia" w:hAnsi="Arial Black" w:cs="Arial Black"/>
                <w:color w:val="auto"/>
                <w:sz w:val="15"/>
                <w:szCs w:val="15"/>
              </w:rPr>
            </w:pPr>
            <w:r w:rsidRPr="007B6B33">
              <w:rPr>
                <w:rFonts w:ascii="Arial Black" w:eastAsiaTheme="minorEastAsia" w:hAnsi="Arial Black" w:cs="Arial Black"/>
                <w:b/>
                <w:bCs/>
                <w:color w:val="auto"/>
                <w:sz w:val="15"/>
                <w:szCs w:val="15"/>
              </w:rPr>
              <w:t xml:space="preserve">DATE:  </w:t>
            </w:r>
            <w:r w:rsidR="00FA1329" w:rsidRPr="00FA1329">
              <w:rPr>
                <w:rFonts w:ascii="Arial Black" w:hAnsi="Arial Black"/>
                <w:caps/>
                <w:color w:val="auto"/>
                <w:sz w:val="15"/>
                <w:szCs w:val="15"/>
              </w:rPr>
              <w:t xml:space="preserve">may </w:t>
            </w:r>
            <w:r w:rsidR="00FA1329">
              <w:rPr>
                <w:rFonts w:ascii="Arial Black" w:hAnsi="Arial Black"/>
                <w:caps/>
                <w:color w:val="auto"/>
                <w:sz w:val="15"/>
                <w:szCs w:val="15"/>
              </w:rPr>
              <w:t>8</w:t>
            </w:r>
            <w:r w:rsidR="00FA1329" w:rsidRPr="00FA1329">
              <w:rPr>
                <w:rFonts w:ascii="Arial Black" w:hAnsi="Arial Black"/>
                <w:caps/>
                <w:color w:val="auto"/>
                <w:sz w:val="15"/>
                <w:szCs w:val="15"/>
              </w:rPr>
              <w:t>, 2024</w:t>
            </w:r>
          </w:p>
        </w:tc>
      </w:tr>
    </w:tbl>
    <w:p w14:paraId="647EB5CB" w14:textId="77777777" w:rsidR="003D6209" w:rsidRPr="007B6B33" w:rsidRDefault="003D6209" w:rsidP="00656D69">
      <w:pPr>
        <w:spacing w:after="1325" w:line="265" w:lineRule="auto"/>
        <w:ind w:left="0" w:right="56" w:firstLine="0"/>
        <w:rPr>
          <w:rFonts w:ascii="Arial Black" w:hAnsi="Arial Black"/>
          <w:color w:val="auto"/>
          <w:sz w:val="10"/>
          <w:szCs w:val="10"/>
        </w:rPr>
      </w:pPr>
    </w:p>
    <w:p w14:paraId="6C1125C1" w14:textId="77777777" w:rsidR="000F075B" w:rsidRPr="007B6B33" w:rsidRDefault="00046A56">
      <w:pPr>
        <w:spacing w:after="561"/>
        <w:ind w:left="2" w:right="0" w:firstLine="0"/>
        <w:rPr>
          <w:color w:val="auto"/>
        </w:rPr>
      </w:pPr>
      <w:r w:rsidRPr="007B6B33">
        <w:rPr>
          <w:b/>
          <w:color w:val="auto"/>
          <w:sz w:val="28"/>
        </w:rPr>
        <w:t xml:space="preserve">Program and Budget Committee </w:t>
      </w:r>
    </w:p>
    <w:p w14:paraId="68E2445D" w14:textId="17C7F7C8" w:rsidR="000F075B" w:rsidRPr="007B6B33" w:rsidRDefault="00046A56">
      <w:pPr>
        <w:spacing w:after="0" w:line="265" w:lineRule="auto"/>
        <w:ind w:left="-3" w:right="0"/>
        <w:rPr>
          <w:color w:val="auto"/>
        </w:rPr>
      </w:pPr>
      <w:r w:rsidRPr="007B6B33">
        <w:rPr>
          <w:b/>
          <w:color w:val="auto"/>
          <w:sz w:val="24"/>
        </w:rPr>
        <w:t>Thirty-</w:t>
      </w:r>
      <w:r w:rsidR="00BF403D" w:rsidRPr="007B6B33">
        <w:rPr>
          <w:b/>
          <w:color w:val="auto"/>
          <w:sz w:val="24"/>
        </w:rPr>
        <w:t>S</w:t>
      </w:r>
      <w:r w:rsidR="00C76D45" w:rsidRPr="007B6B33">
        <w:rPr>
          <w:b/>
          <w:color w:val="auto"/>
          <w:sz w:val="24"/>
        </w:rPr>
        <w:t>even</w:t>
      </w:r>
      <w:r w:rsidR="00BF403D" w:rsidRPr="007B6B33">
        <w:rPr>
          <w:b/>
          <w:color w:val="auto"/>
          <w:sz w:val="24"/>
        </w:rPr>
        <w:t xml:space="preserve">th </w:t>
      </w:r>
      <w:r w:rsidRPr="007B6B33">
        <w:rPr>
          <w:b/>
          <w:color w:val="auto"/>
          <w:sz w:val="24"/>
        </w:rPr>
        <w:t xml:space="preserve">Session </w:t>
      </w:r>
    </w:p>
    <w:p w14:paraId="4B658950" w14:textId="33307C64" w:rsidR="000F075B" w:rsidRPr="007B6B33" w:rsidRDefault="00046A56">
      <w:pPr>
        <w:spacing w:after="702" w:line="265" w:lineRule="auto"/>
        <w:ind w:left="-3" w:right="0"/>
        <w:rPr>
          <w:color w:val="auto"/>
        </w:rPr>
      </w:pPr>
      <w:r w:rsidRPr="007B6B33">
        <w:rPr>
          <w:b/>
          <w:color w:val="auto"/>
          <w:sz w:val="24"/>
        </w:rPr>
        <w:t xml:space="preserve">Geneva, </w:t>
      </w:r>
      <w:r w:rsidR="00BF403D" w:rsidRPr="007B6B33">
        <w:rPr>
          <w:b/>
          <w:color w:val="auto"/>
          <w:sz w:val="24"/>
        </w:rPr>
        <w:t>June 1</w:t>
      </w:r>
      <w:r w:rsidR="00C76D45" w:rsidRPr="007B6B33">
        <w:rPr>
          <w:b/>
          <w:color w:val="auto"/>
          <w:sz w:val="24"/>
        </w:rPr>
        <w:t>0</w:t>
      </w:r>
      <w:r w:rsidR="00BF403D" w:rsidRPr="007B6B33">
        <w:rPr>
          <w:b/>
          <w:color w:val="auto"/>
          <w:sz w:val="24"/>
        </w:rPr>
        <w:t xml:space="preserve"> to </w:t>
      </w:r>
      <w:r w:rsidR="00C76D45" w:rsidRPr="007B6B33">
        <w:rPr>
          <w:b/>
          <w:color w:val="auto"/>
          <w:sz w:val="24"/>
        </w:rPr>
        <w:t>1</w:t>
      </w:r>
      <w:r w:rsidR="00315755" w:rsidRPr="007B6B33">
        <w:rPr>
          <w:b/>
          <w:color w:val="auto"/>
          <w:sz w:val="24"/>
        </w:rPr>
        <w:t>4</w:t>
      </w:r>
      <w:r w:rsidR="00BF403D" w:rsidRPr="007B6B33">
        <w:rPr>
          <w:b/>
          <w:color w:val="auto"/>
          <w:sz w:val="24"/>
        </w:rPr>
        <w:t>, 202</w:t>
      </w:r>
      <w:r w:rsidR="00C76D45" w:rsidRPr="007B6B33">
        <w:rPr>
          <w:b/>
          <w:color w:val="auto"/>
          <w:sz w:val="24"/>
        </w:rPr>
        <w:t>4</w:t>
      </w:r>
    </w:p>
    <w:p w14:paraId="1151A0A0" w14:textId="77777777" w:rsidR="000F075B" w:rsidRPr="007B6B33" w:rsidRDefault="00046A56">
      <w:pPr>
        <w:spacing w:after="328"/>
        <w:ind w:left="2" w:right="0" w:firstLine="0"/>
        <w:rPr>
          <w:color w:val="auto"/>
        </w:rPr>
      </w:pPr>
      <w:r w:rsidRPr="007B6B33">
        <w:rPr>
          <w:color w:val="auto"/>
          <w:sz w:val="24"/>
        </w:rPr>
        <w:t xml:space="preserve">REPORT BY THE WIPO INDEPENDENT ADVISORY OVERSIGHT COMMITTEE (IAOC)   </w:t>
      </w:r>
    </w:p>
    <w:p w14:paraId="038BD672" w14:textId="77777777" w:rsidR="000F075B" w:rsidRPr="007B6B33" w:rsidRDefault="00046A56">
      <w:pPr>
        <w:spacing w:after="969"/>
        <w:ind w:right="1"/>
        <w:rPr>
          <w:color w:val="auto"/>
        </w:rPr>
      </w:pPr>
      <w:r w:rsidRPr="007B6B33">
        <w:rPr>
          <w:i/>
          <w:color w:val="auto"/>
        </w:rPr>
        <w:t xml:space="preserve">prepared by the WIPO Independent Advisory Oversight Committee (IAOC) </w:t>
      </w:r>
    </w:p>
    <w:p w14:paraId="26AE8F5C" w14:textId="094B36E6" w:rsidR="000F075B" w:rsidRPr="007B6B33" w:rsidRDefault="00046A56" w:rsidP="00FA1329">
      <w:pPr>
        <w:numPr>
          <w:ilvl w:val="0"/>
          <w:numId w:val="1"/>
        </w:numPr>
        <w:ind w:left="0" w:right="44" w:firstLine="2"/>
        <w:rPr>
          <w:color w:val="auto"/>
        </w:rPr>
      </w:pPr>
      <w:r w:rsidRPr="007B6B33">
        <w:rPr>
          <w:color w:val="auto"/>
        </w:rPr>
        <w:t xml:space="preserve">This document contains the Report by the WIPO Independent Advisory Oversight Committee (IAOC), prepared by the IAOC and covering the period from </w:t>
      </w:r>
      <w:r w:rsidR="00FE57CF" w:rsidRPr="007B6B33">
        <w:rPr>
          <w:color w:val="auto"/>
        </w:rPr>
        <w:t>Ma</w:t>
      </w:r>
      <w:r w:rsidR="00C76D45" w:rsidRPr="007B6B33">
        <w:rPr>
          <w:color w:val="auto"/>
        </w:rPr>
        <w:t xml:space="preserve">rch 25, </w:t>
      </w:r>
      <w:proofErr w:type="gramStart"/>
      <w:r w:rsidR="00C76D45" w:rsidRPr="007B6B33">
        <w:rPr>
          <w:color w:val="auto"/>
        </w:rPr>
        <w:t>2023</w:t>
      </w:r>
      <w:proofErr w:type="gramEnd"/>
      <w:r w:rsidR="00C76D45" w:rsidRPr="007B6B33">
        <w:rPr>
          <w:color w:val="auto"/>
        </w:rPr>
        <w:t xml:space="preserve"> </w:t>
      </w:r>
      <w:r w:rsidR="00CD3B90" w:rsidRPr="007B6B33">
        <w:rPr>
          <w:color w:val="auto"/>
        </w:rPr>
        <w:t>to March</w:t>
      </w:r>
      <w:r w:rsidR="001D673E">
        <w:rPr>
          <w:color w:val="auto"/>
        </w:rPr>
        <w:t> </w:t>
      </w:r>
      <w:r w:rsidR="00CD3B90" w:rsidRPr="007B6B33">
        <w:rPr>
          <w:color w:val="auto"/>
        </w:rPr>
        <w:t>2</w:t>
      </w:r>
      <w:r w:rsidR="00C76D45" w:rsidRPr="007B6B33">
        <w:rPr>
          <w:color w:val="auto"/>
        </w:rPr>
        <w:t>2</w:t>
      </w:r>
      <w:r w:rsidR="00CD3B90" w:rsidRPr="007B6B33">
        <w:rPr>
          <w:color w:val="auto"/>
        </w:rPr>
        <w:t>, 202</w:t>
      </w:r>
      <w:r w:rsidR="00C76D45" w:rsidRPr="007B6B33">
        <w:rPr>
          <w:color w:val="auto"/>
        </w:rPr>
        <w:t>4</w:t>
      </w:r>
      <w:r w:rsidR="00CD3B90" w:rsidRPr="007B6B33">
        <w:rPr>
          <w:color w:val="auto"/>
        </w:rPr>
        <w:t>.</w:t>
      </w:r>
    </w:p>
    <w:p w14:paraId="11BE7BE4" w14:textId="77777777" w:rsidR="000F075B" w:rsidRPr="007B6B33" w:rsidRDefault="000F075B">
      <w:pPr>
        <w:spacing w:after="21"/>
        <w:ind w:left="2" w:right="0" w:firstLine="0"/>
        <w:rPr>
          <w:color w:val="auto"/>
        </w:rPr>
      </w:pPr>
    </w:p>
    <w:p w14:paraId="53A38789" w14:textId="6F888128" w:rsidR="000F075B" w:rsidRPr="007B6B33" w:rsidRDefault="00046A56">
      <w:pPr>
        <w:numPr>
          <w:ilvl w:val="0"/>
          <w:numId w:val="1"/>
        </w:numPr>
        <w:ind w:hanging="566"/>
        <w:rPr>
          <w:color w:val="auto"/>
        </w:rPr>
      </w:pPr>
      <w:r w:rsidRPr="007B6B33">
        <w:rPr>
          <w:color w:val="auto"/>
        </w:rPr>
        <w:t>The following decision paragraph is proposed:</w:t>
      </w:r>
    </w:p>
    <w:p w14:paraId="439364F7" w14:textId="77777777" w:rsidR="00FE57CF" w:rsidRPr="007B6B33" w:rsidRDefault="00FE57CF" w:rsidP="002F432F">
      <w:pPr>
        <w:spacing w:after="21"/>
        <w:ind w:left="2" w:right="0" w:firstLine="0"/>
        <w:rPr>
          <w:color w:val="auto"/>
        </w:rPr>
      </w:pPr>
    </w:p>
    <w:p w14:paraId="08953B8A" w14:textId="4C651F7F" w:rsidR="000F075B" w:rsidRPr="007B6B33" w:rsidRDefault="00046A56">
      <w:pPr>
        <w:pStyle w:val="Heading3"/>
        <w:tabs>
          <w:tab w:val="center" w:pos="5630"/>
          <w:tab w:val="center" w:pos="7333"/>
        </w:tabs>
        <w:spacing w:after="3"/>
        <w:ind w:left="0" w:firstLine="0"/>
        <w:rPr>
          <w:color w:val="auto"/>
        </w:rPr>
      </w:pPr>
      <w:r w:rsidRPr="007B6B33">
        <w:rPr>
          <w:rFonts w:ascii="Calibri" w:eastAsia="Calibri" w:hAnsi="Calibri" w:cs="Calibri"/>
          <w:b w:val="0"/>
          <w:color w:val="auto"/>
        </w:rPr>
        <w:tab/>
      </w:r>
      <w:r w:rsidRPr="007B6B33">
        <w:rPr>
          <w:b w:val="0"/>
          <w:i/>
          <w:color w:val="auto"/>
        </w:rPr>
        <w:t>3.</w:t>
      </w:r>
      <w:r w:rsidRPr="007B6B33">
        <w:rPr>
          <w:b w:val="0"/>
          <w:i/>
          <w:color w:val="auto"/>
        </w:rPr>
        <w:tab/>
        <w:t xml:space="preserve">The Program and Budget </w:t>
      </w:r>
    </w:p>
    <w:p w14:paraId="6019CE82" w14:textId="2B0BB552" w:rsidR="000F075B" w:rsidRPr="007B6B33" w:rsidRDefault="00046A56">
      <w:pPr>
        <w:spacing w:after="3"/>
        <w:ind w:left="5546" w:right="1"/>
        <w:rPr>
          <w:color w:val="auto"/>
        </w:rPr>
      </w:pPr>
      <w:r w:rsidRPr="007B6B33">
        <w:rPr>
          <w:i/>
          <w:color w:val="auto"/>
        </w:rPr>
        <w:t>Committee (PBC) recommended to the WIPO General Assembly to take note of the “Report by the WIPO Independent Advisory Oversight Committee (IAOC)” (document WO/PBC/</w:t>
      </w:r>
      <w:r w:rsidR="00CD3B90" w:rsidRPr="007B6B33">
        <w:rPr>
          <w:i/>
          <w:color w:val="auto"/>
        </w:rPr>
        <w:t>3</w:t>
      </w:r>
      <w:r w:rsidR="00C76D45" w:rsidRPr="007B6B33">
        <w:rPr>
          <w:i/>
          <w:color w:val="auto"/>
        </w:rPr>
        <w:t>7</w:t>
      </w:r>
      <w:r w:rsidRPr="007B6B33">
        <w:rPr>
          <w:i/>
          <w:color w:val="auto"/>
        </w:rPr>
        <w:t>/</w:t>
      </w:r>
      <w:r w:rsidR="00CD3B90" w:rsidRPr="007B6B33">
        <w:rPr>
          <w:i/>
          <w:color w:val="auto"/>
        </w:rPr>
        <w:t>2).</w:t>
      </w:r>
    </w:p>
    <w:p w14:paraId="591445F7" w14:textId="77777777" w:rsidR="000F075B" w:rsidRPr="007B6B33" w:rsidRDefault="000F075B" w:rsidP="002F432F">
      <w:pPr>
        <w:spacing w:after="21"/>
        <w:ind w:left="2" w:right="0" w:firstLine="0"/>
        <w:rPr>
          <w:color w:val="auto"/>
        </w:rPr>
      </w:pPr>
    </w:p>
    <w:p w14:paraId="79CCEE6B" w14:textId="77777777" w:rsidR="000F075B" w:rsidRPr="007B6B33" w:rsidRDefault="000F075B">
      <w:pPr>
        <w:spacing w:after="0"/>
        <w:ind w:left="2" w:right="0" w:firstLine="0"/>
        <w:rPr>
          <w:color w:val="auto"/>
        </w:rPr>
      </w:pPr>
    </w:p>
    <w:p w14:paraId="45E368F8" w14:textId="04F81234" w:rsidR="000F075B" w:rsidRPr="007B6B33" w:rsidRDefault="00046A56">
      <w:pPr>
        <w:ind w:left="5546" w:right="115"/>
        <w:rPr>
          <w:color w:val="auto"/>
        </w:rPr>
      </w:pPr>
      <w:r w:rsidRPr="007B6B33">
        <w:rPr>
          <w:color w:val="auto"/>
        </w:rPr>
        <w:t xml:space="preserve">[Report by the WIPO Independent </w:t>
      </w:r>
    </w:p>
    <w:p w14:paraId="403ED3BA" w14:textId="6AC96216" w:rsidR="0098295D" w:rsidRPr="007B6B33" w:rsidRDefault="00046A56">
      <w:pPr>
        <w:ind w:left="5546" w:right="115"/>
        <w:rPr>
          <w:color w:val="auto"/>
        </w:rPr>
      </w:pPr>
      <w:r w:rsidRPr="007B6B33">
        <w:rPr>
          <w:color w:val="auto"/>
        </w:rPr>
        <w:t>Advisory Oversight Committee follows]</w:t>
      </w:r>
    </w:p>
    <w:p w14:paraId="4AC4CA2C" w14:textId="77777777" w:rsidR="0098295D" w:rsidRPr="007B6B33" w:rsidRDefault="0098295D">
      <w:pPr>
        <w:spacing w:after="160"/>
        <w:ind w:left="0" w:right="0" w:firstLine="0"/>
        <w:rPr>
          <w:color w:val="auto"/>
        </w:rPr>
      </w:pPr>
      <w:r w:rsidRPr="007B6B33">
        <w:rPr>
          <w:color w:val="auto"/>
        </w:rPr>
        <w:br w:type="page"/>
      </w:r>
    </w:p>
    <w:p w14:paraId="665D7431" w14:textId="77777777" w:rsidR="000F075B" w:rsidRPr="007B6B33" w:rsidRDefault="000F075B">
      <w:pPr>
        <w:spacing w:after="0"/>
        <w:ind w:left="0" w:right="1" w:firstLine="0"/>
        <w:jc w:val="center"/>
        <w:rPr>
          <w:color w:val="auto"/>
        </w:rPr>
      </w:pPr>
    </w:p>
    <w:p w14:paraId="2A3F738A" w14:textId="77777777" w:rsidR="000F075B" w:rsidRPr="007B6B33" w:rsidRDefault="000F075B">
      <w:pPr>
        <w:spacing w:after="0"/>
        <w:ind w:left="0" w:right="1" w:firstLine="0"/>
        <w:jc w:val="center"/>
        <w:rPr>
          <w:color w:val="auto"/>
        </w:rPr>
      </w:pPr>
    </w:p>
    <w:p w14:paraId="3CE3E904" w14:textId="77777777" w:rsidR="000F075B" w:rsidRPr="007B6B33" w:rsidRDefault="000F075B">
      <w:pPr>
        <w:spacing w:after="0"/>
        <w:ind w:left="0" w:right="1" w:firstLine="0"/>
        <w:jc w:val="center"/>
        <w:rPr>
          <w:color w:val="auto"/>
        </w:rPr>
      </w:pPr>
    </w:p>
    <w:p w14:paraId="0E6F08B6" w14:textId="77777777" w:rsidR="000F075B" w:rsidRPr="007B6B33" w:rsidRDefault="000F075B">
      <w:pPr>
        <w:spacing w:after="0"/>
        <w:ind w:left="0" w:right="1" w:firstLine="0"/>
        <w:jc w:val="center"/>
        <w:rPr>
          <w:color w:val="auto"/>
        </w:rPr>
      </w:pPr>
    </w:p>
    <w:p w14:paraId="54ADE1D1" w14:textId="77777777" w:rsidR="000F075B" w:rsidRPr="007B6B33" w:rsidRDefault="000F075B">
      <w:pPr>
        <w:spacing w:after="0"/>
        <w:ind w:left="0" w:right="1" w:firstLine="0"/>
        <w:jc w:val="center"/>
        <w:rPr>
          <w:color w:val="auto"/>
        </w:rPr>
      </w:pPr>
    </w:p>
    <w:p w14:paraId="2DBCF581" w14:textId="77777777" w:rsidR="000F075B" w:rsidRPr="007B6B33" w:rsidRDefault="000F075B">
      <w:pPr>
        <w:spacing w:after="0"/>
        <w:ind w:left="0" w:right="1" w:firstLine="0"/>
        <w:jc w:val="center"/>
        <w:rPr>
          <w:color w:val="auto"/>
        </w:rPr>
      </w:pPr>
    </w:p>
    <w:p w14:paraId="452322E4" w14:textId="77777777" w:rsidR="000F075B" w:rsidRPr="007B6B33" w:rsidRDefault="000F075B">
      <w:pPr>
        <w:spacing w:after="0"/>
        <w:ind w:left="0" w:right="1" w:firstLine="0"/>
        <w:jc w:val="center"/>
        <w:rPr>
          <w:color w:val="auto"/>
        </w:rPr>
      </w:pPr>
    </w:p>
    <w:p w14:paraId="6FFE542D" w14:textId="77777777" w:rsidR="000F075B" w:rsidRPr="007B6B33" w:rsidRDefault="00046A56" w:rsidP="009E506A">
      <w:pPr>
        <w:spacing w:after="0"/>
        <w:ind w:left="10" w:right="44"/>
        <w:jc w:val="center"/>
        <w:rPr>
          <w:color w:val="auto"/>
        </w:rPr>
      </w:pPr>
      <w:r w:rsidRPr="007B6B33">
        <w:rPr>
          <w:color w:val="auto"/>
        </w:rPr>
        <w:t>ANNUAL REPORT BY THE WIPO</w:t>
      </w:r>
    </w:p>
    <w:p w14:paraId="0AF029E7" w14:textId="77777777" w:rsidR="005C2B55" w:rsidRPr="007B6B33" w:rsidRDefault="00046A56" w:rsidP="009E506A">
      <w:pPr>
        <w:ind w:left="0" w:right="44" w:firstLine="0"/>
        <w:jc w:val="center"/>
        <w:rPr>
          <w:color w:val="auto"/>
        </w:rPr>
      </w:pPr>
      <w:r w:rsidRPr="007B6B33">
        <w:rPr>
          <w:color w:val="auto"/>
        </w:rPr>
        <w:t>INDEPENDENT ADVISORY OVERSIGHT COMMITTEE (IAOC)</w:t>
      </w:r>
    </w:p>
    <w:p w14:paraId="3A843798" w14:textId="2DE024DA" w:rsidR="000F075B" w:rsidRPr="007B6B33" w:rsidRDefault="00046A56" w:rsidP="009E506A">
      <w:pPr>
        <w:ind w:left="0" w:right="44" w:firstLine="0"/>
        <w:jc w:val="center"/>
        <w:rPr>
          <w:color w:val="auto"/>
        </w:rPr>
      </w:pPr>
      <w:r w:rsidRPr="007B6B33">
        <w:rPr>
          <w:color w:val="auto"/>
        </w:rPr>
        <w:t xml:space="preserve">FOR THE PERIOD </w:t>
      </w:r>
      <w:r w:rsidR="00FE57CF" w:rsidRPr="007B6B33">
        <w:rPr>
          <w:color w:val="auto"/>
        </w:rPr>
        <w:t>MA</w:t>
      </w:r>
      <w:r w:rsidR="00E71D83" w:rsidRPr="007B6B33">
        <w:rPr>
          <w:color w:val="auto"/>
        </w:rPr>
        <w:t>RCH 25</w:t>
      </w:r>
      <w:r w:rsidRPr="007B6B33">
        <w:rPr>
          <w:color w:val="auto"/>
        </w:rPr>
        <w:t xml:space="preserve">, </w:t>
      </w:r>
      <w:proofErr w:type="gramStart"/>
      <w:r w:rsidRPr="007B6B33">
        <w:rPr>
          <w:color w:val="auto"/>
        </w:rPr>
        <w:t>202</w:t>
      </w:r>
      <w:r w:rsidR="00E71D83" w:rsidRPr="007B6B33">
        <w:rPr>
          <w:color w:val="auto"/>
        </w:rPr>
        <w:t>3</w:t>
      </w:r>
      <w:proofErr w:type="gramEnd"/>
      <w:r w:rsidR="003159DC" w:rsidRPr="007B6B33">
        <w:rPr>
          <w:color w:val="auto"/>
        </w:rPr>
        <w:t xml:space="preserve"> </w:t>
      </w:r>
      <w:r w:rsidR="00D92D15" w:rsidRPr="007B6B33">
        <w:rPr>
          <w:color w:val="auto"/>
        </w:rPr>
        <w:t>TO</w:t>
      </w:r>
      <w:r w:rsidR="00CD3B90" w:rsidRPr="007B6B33">
        <w:rPr>
          <w:color w:val="auto"/>
        </w:rPr>
        <w:t xml:space="preserve"> M</w:t>
      </w:r>
      <w:r w:rsidR="00E71D83" w:rsidRPr="007B6B33">
        <w:rPr>
          <w:color w:val="auto"/>
        </w:rPr>
        <w:t>ARCH</w:t>
      </w:r>
      <w:r w:rsidR="00CD3B90" w:rsidRPr="007B6B33">
        <w:rPr>
          <w:color w:val="auto"/>
        </w:rPr>
        <w:t xml:space="preserve"> 2</w:t>
      </w:r>
      <w:r w:rsidR="00E71D83" w:rsidRPr="007B6B33">
        <w:rPr>
          <w:color w:val="auto"/>
        </w:rPr>
        <w:t>2</w:t>
      </w:r>
      <w:r w:rsidR="00CD3B90" w:rsidRPr="007B6B33">
        <w:rPr>
          <w:color w:val="auto"/>
        </w:rPr>
        <w:t>, 202</w:t>
      </w:r>
      <w:r w:rsidR="00E71D83" w:rsidRPr="007B6B33">
        <w:rPr>
          <w:color w:val="auto"/>
        </w:rPr>
        <w:t>4</w:t>
      </w:r>
    </w:p>
    <w:p w14:paraId="7D55904A" w14:textId="77777777" w:rsidR="000F075B" w:rsidRPr="007B6B33" w:rsidRDefault="000F075B" w:rsidP="002F432F">
      <w:pPr>
        <w:spacing w:after="0"/>
        <w:ind w:left="0" w:right="0" w:firstLine="0"/>
        <w:rPr>
          <w:color w:val="auto"/>
        </w:rPr>
      </w:pPr>
    </w:p>
    <w:p w14:paraId="568D716D" w14:textId="47486109" w:rsidR="000F075B" w:rsidRPr="007B6B33" w:rsidRDefault="00CD3B90">
      <w:pPr>
        <w:spacing w:after="0"/>
        <w:ind w:left="10" w:right="184"/>
        <w:jc w:val="center"/>
        <w:rPr>
          <w:color w:val="auto"/>
        </w:rPr>
      </w:pPr>
      <w:r w:rsidRPr="007B6B33">
        <w:rPr>
          <w:color w:val="auto"/>
        </w:rPr>
        <w:t>[</w:t>
      </w:r>
      <w:r w:rsidR="00AA2DEB" w:rsidRPr="00FA1329">
        <w:rPr>
          <w:color w:val="auto"/>
        </w:rPr>
        <w:t xml:space="preserve">MAY </w:t>
      </w:r>
      <w:r w:rsidR="00FA1329">
        <w:rPr>
          <w:color w:val="auto"/>
        </w:rPr>
        <w:t>8</w:t>
      </w:r>
      <w:r w:rsidRPr="00FA1329">
        <w:rPr>
          <w:color w:val="auto"/>
        </w:rPr>
        <w:t>, 202</w:t>
      </w:r>
      <w:r w:rsidR="00E71D83" w:rsidRPr="00FA1329">
        <w:rPr>
          <w:color w:val="auto"/>
        </w:rPr>
        <w:t>4</w:t>
      </w:r>
      <w:r w:rsidR="00046A56" w:rsidRPr="007B6B33">
        <w:rPr>
          <w:color w:val="auto"/>
        </w:rPr>
        <w:t>]</w:t>
      </w:r>
    </w:p>
    <w:p w14:paraId="0B4536E5" w14:textId="77777777" w:rsidR="000F075B" w:rsidRPr="007B6B33" w:rsidRDefault="000F075B">
      <w:pPr>
        <w:spacing w:after="0"/>
        <w:ind w:left="0" w:right="1" w:firstLine="0"/>
        <w:jc w:val="center"/>
        <w:rPr>
          <w:color w:val="auto"/>
        </w:rPr>
      </w:pPr>
    </w:p>
    <w:p w14:paraId="7957AFED" w14:textId="77777777" w:rsidR="000F075B" w:rsidRPr="007B6B33" w:rsidRDefault="000F075B">
      <w:pPr>
        <w:spacing w:after="18"/>
        <w:ind w:left="0" w:right="1" w:firstLine="0"/>
        <w:jc w:val="center"/>
        <w:rPr>
          <w:color w:val="auto"/>
        </w:rPr>
      </w:pPr>
    </w:p>
    <w:p w14:paraId="340514E7" w14:textId="77777777" w:rsidR="000F075B" w:rsidRPr="007B6B33" w:rsidRDefault="000F075B">
      <w:pPr>
        <w:spacing w:after="45"/>
        <w:ind w:left="2" w:right="0" w:firstLine="0"/>
        <w:rPr>
          <w:color w:val="auto"/>
        </w:rPr>
      </w:pPr>
    </w:p>
    <w:p w14:paraId="41FFBADC" w14:textId="77777777" w:rsidR="000F075B" w:rsidRPr="007B6B33" w:rsidRDefault="00046A56">
      <w:pPr>
        <w:spacing w:after="0"/>
        <w:ind w:left="2" w:right="0" w:firstLine="0"/>
        <w:rPr>
          <w:color w:val="auto"/>
        </w:rPr>
      </w:pPr>
      <w:r w:rsidRPr="007B6B33">
        <w:rPr>
          <w:color w:val="auto"/>
          <w:sz w:val="16"/>
        </w:rPr>
        <w:t xml:space="preserve">  </w:t>
      </w:r>
      <w:r w:rsidRPr="007B6B33">
        <w:rPr>
          <w:color w:val="auto"/>
          <w:sz w:val="16"/>
        </w:rPr>
        <w:tab/>
        <w:t xml:space="preserve"> </w:t>
      </w:r>
      <w:r w:rsidRPr="007B6B33">
        <w:rPr>
          <w:color w:val="auto"/>
        </w:rPr>
        <w:t xml:space="preserve"> </w:t>
      </w:r>
      <w:r w:rsidRPr="007B6B33">
        <w:rPr>
          <w:color w:val="auto"/>
        </w:rPr>
        <w:tab/>
        <w:t xml:space="preserve"> </w:t>
      </w:r>
      <w:r w:rsidRPr="007B6B33">
        <w:rPr>
          <w:color w:val="auto"/>
        </w:rPr>
        <w:br w:type="page"/>
      </w:r>
    </w:p>
    <w:p w14:paraId="0AB054B4" w14:textId="77777777" w:rsidR="000F075B" w:rsidRPr="007B6B33" w:rsidRDefault="000F075B" w:rsidP="00623835">
      <w:pPr>
        <w:spacing w:after="17"/>
        <w:ind w:left="0" w:right="0" w:firstLine="0"/>
        <w:jc w:val="center"/>
      </w:pPr>
    </w:p>
    <w:sdt>
      <w:sdtPr>
        <w:id w:val="699747013"/>
        <w:docPartObj>
          <w:docPartGallery w:val="Table of Contents"/>
        </w:docPartObj>
      </w:sdtPr>
      <w:sdtEndPr/>
      <w:sdtContent>
        <w:p w14:paraId="29AE3B82" w14:textId="77777777" w:rsidR="000F075B" w:rsidRPr="007B6B33" w:rsidRDefault="00046A56">
          <w:pPr>
            <w:spacing w:after="555"/>
            <w:ind w:left="0" w:right="188" w:firstLine="0"/>
            <w:jc w:val="center"/>
          </w:pPr>
          <w:r w:rsidRPr="007B6B33">
            <w:rPr>
              <w:b/>
              <w:sz w:val="24"/>
            </w:rPr>
            <w:t xml:space="preserve">Contents </w:t>
          </w:r>
          <w:r w:rsidRPr="007B6B33">
            <w:t xml:space="preserve"> </w:t>
          </w:r>
        </w:p>
        <w:p w14:paraId="1C2DB3F5" w14:textId="7A9E010A" w:rsidR="000F075B" w:rsidRPr="007B6B33" w:rsidRDefault="000F075B">
          <w:pPr>
            <w:spacing w:after="0"/>
            <w:ind w:left="2" w:right="0" w:firstLine="0"/>
          </w:pPr>
        </w:p>
        <w:p w14:paraId="2367FA1A" w14:textId="18A13063" w:rsidR="00695C0F" w:rsidRPr="00502F1C" w:rsidRDefault="00046A56">
          <w:pPr>
            <w:pStyle w:val="TOC1"/>
            <w:tabs>
              <w:tab w:val="left" w:pos="605"/>
              <w:tab w:val="right" w:leader="dot" w:pos="9754"/>
            </w:tabs>
            <w:rPr>
              <w:rFonts w:asciiTheme="minorHAnsi" w:eastAsiaTheme="minorEastAsia" w:hAnsiTheme="minorHAnsi" w:cstheme="minorBidi"/>
              <w:noProof/>
              <w:color w:val="auto"/>
              <w:kern w:val="2"/>
              <w:lang w:eastAsia="fr-CH"/>
              <w14:ligatures w14:val="standardContextual"/>
            </w:rPr>
          </w:pPr>
          <w:r w:rsidRPr="007B6B33">
            <w:fldChar w:fldCharType="begin"/>
          </w:r>
          <w:r w:rsidRPr="007B6B33">
            <w:instrText xml:space="preserve"> TOC \o "1-2" \h \z \u </w:instrText>
          </w:r>
          <w:r w:rsidRPr="007B6B33">
            <w:fldChar w:fldCharType="separate"/>
          </w:r>
          <w:hyperlink w:anchor="_Toc164688951" w:history="1">
            <w:r w:rsidR="00695C0F" w:rsidRPr="00502F1C">
              <w:rPr>
                <w:rStyle w:val="Hyperlink"/>
                <w:noProof/>
              </w:rPr>
              <w:t xml:space="preserve">I.  </w:t>
            </w:r>
            <w:r w:rsidR="00695C0F" w:rsidRPr="00502F1C">
              <w:rPr>
                <w:rFonts w:asciiTheme="minorHAnsi" w:eastAsiaTheme="minorEastAsia" w:hAnsiTheme="minorHAnsi" w:cstheme="minorBidi"/>
                <w:noProof/>
                <w:color w:val="auto"/>
                <w:kern w:val="2"/>
                <w:lang w:eastAsia="fr-CH"/>
                <w14:ligatures w14:val="standardContextual"/>
              </w:rPr>
              <w:tab/>
            </w:r>
            <w:r w:rsidR="00695C0F" w:rsidRPr="00502F1C">
              <w:rPr>
                <w:rStyle w:val="Hyperlink"/>
                <w:noProof/>
              </w:rPr>
              <w:t>INTRODUCTION</w:t>
            </w:r>
            <w:r w:rsidR="00695C0F" w:rsidRPr="00502F1C">
              <w:rPr>
                <w:noProof/>
                <w:webHidden/>
              </w:rPr>
              <w:tab/>
            </w:r>
            <w:r w:rsidR="00695C0F" w:rsidRPr="00502F1C">
              <w:rPr>
                <w:noProof/>
                <w:webHidden/>
              </w:rPr>
              <w:fldChar w:fldCharType="begin"/>
            </w:r>
            <w:r w:rsidR="00695C0F" w:rsidRPr="00502F1C">
              <w:rPr>
                <w:noProof/>
                <w:webHidden/>
              </w:rPr>
              <w:instrText xml:space="preserve"> PAGEREF _Toc164688951 \h </w:instrText>
            </w:r>
            <w:r w:rsidR="00695C0F" w:rsidRPr="00502F1C">
              <w:rPr>
                <w:noProof/>
                <w:webHidden/>
              </w:rPr>
            </w:r>
            <w:r w:rsidR="00695C0F" w:rsidRPr="00502F1C">
              <w:rPr>
                <w:noProof/>
                <w:webHidden/>
              </w:rPr>
              <w:fldChar w:fldCharType="separate"/>
            </w:r>
            <w:r w:rsidR="00746B92">
              <w:rPr>
                <w:noProof/>
                <w:webHidden/>
              </w:rPr>
              <w:t>3</w:t>
            </w:r>
            <w:r w:rsidR="00695C0F" w:rsidRPr="00502F1C">
              <w:rPr>
                <w:noProof/>
                <w:webHidden/>
              </w:rPr>
              <w:fldChar w:fldCharType="end"/>
            </w:r>
          </w:hyperlink>
        </w:p>
        <w:p w14:paraId="66F27316" w14:textId="30622203" w:rsidR="00695C0F" w:rsidRPr="00502F1C" w:rsidRDefault="000366F3">
          <w:pPr>
            <w:pStyle w:val="TOC1"/>
            <w:tabs>
              <w:tab w:val="left" w:pos="605"/>
              <w:tab w:val="right" w:leader="dot" w:pos="9754"/>
            </w:tabs>
            <w:rPr>
              <w:rFonts w:asciiTheme="minorHAnsi" w:eastAsiaTheme="minorEastAsia" w:hAnsiTheme="minorHAnsi" w:cstheme="minorBidi"/>
              <w:noProof/>
              <w:color w:val="auto"/>
              <w:kern w:val="2"/>
              <w:lang w:eastAsia="fr-CH"/>
              <w14:ligatures w14:val="standardContextual"/>
            </w:rPr>
          </w:pPr>
          <w:hyperlink w:anchor="_Toc164688952" w:history="1">
            <w:r w:rsidR="00695C0F" w:rsidRPr="00502F1C">
              <w:rPr>
                <w:rStyle w:val="Hyperlink"/>
                <w:noProof/>
              </w:rPr>
              <w:t xml:space="preserve">II.  </w:t>
            </w:r>
            <w:r w:rsidR="00695C0F" w:rsidRPr="00502F1C">
              <w:rPr>
                <w:rFonts w:asciiTheme="minorHAnsi" w:eastAsiaTheme="minorEastAsia" w:hAnsiTheme="minorHAnsi" w:cstheme="minorBidi"/>
                <w:noProof/>
                <w:color w:val="auto"/>
                <w:kern w:val="2"/>
                <w:lang w:eastAsia="fr-CH"/>
                <w14:ligatures w14:val="standardContextual"/>
              </w:rPr>
              <w:tab/>
            </w:r>
            <w:r w:rsidR="00695C0F" w:rsidRPr="00502F1C">
              <w:rPr>
                <w:rStyle w:val="Hyperlink"/>
                <w:noProof/>
              </w:rPr>
              <w:t>QUARTERLY SESSIONS, COMPOSITION AND WORKING METHODS</w:t>
            </w:r>
            <w:r w:rsidR="00695C0F" w:rsidRPr="00502F1C">
              <w:rPr>
                <w:noProof/>
                <w:webHidden/>
              </w:rPr>
              <w:tab/>
            </w:r>
            <w:r w:rsidR="00695C0F" w:rsidRPr="00502F1C">
              <w:rPr>
                <w:noProof/>
                <w:webHidden/>
              </w:rPr>
              <w:fldChar w:fldCharType="begin"/>
            </w:r>
            <w:r w:rsidR="00695C0F" w:rsidRPr="00502F1C">
              <w:rPr>
                <w:noProof/>
                <w:webHidden/>
              </w:rPr>
              <w:instrText xml:space="preserve"> PAGEREF _Toc164688952 \h </w:instrText>
            </w:r>
            <w:r w:rsidR="00695C0F" w:rsidRPr="00502F1C">
              <w:rPr>
                <w:noProof/>
                <w:webHidden/>
              </w:rPr>
            </w:r>
            <w:r w:rsidR="00695C0F" w:rsidRPr="00502F1C">
              <w:rPr>
                <w:noProof/>
                <w:webHidden/>
              </w:rPr>
              <w:fldChar w:fldCharType="separate"/>
            </w:r>
            <w:r w:rsidR="00746B92">
              <w:rPr>
                <w:noProof/>
                <w:webHidden/>
              </w:rPr>
              <w:t>3</w:t>
            </w:r>
            <w:r w:rsidR="00695C0F" w:rsidRPr="00502F1C">
              <w:rPr>
                <w:noProof/>
                <w:webHidden/>
              </w:rPr>
              <w:fldChar w:fldCharType="end"/>
            </w:r>
          </w:hyperlink>
        </w:p>
        <w:p w14:paraId="7E36034E" w14:textId="31D37F6B" w:rsidR="00695C0F" w:rsidRPr="00502F1C" w:rsidRDefault="000366F3">
          <w:pPr>
            <w:pStyle w:val="TOC1"/>
            <w:tabs>
              <w:tab w:val="left" w:pos="660"/>
              <w:tab w:val="right" w:leader="dot" w:pos="9754"/>
            </w:tabs>
            <w:rPr>
              <w:rFonts w:asciiTheme="minorHAnsi" w:eastAsiaTheme="minorEastAsia" w:hAnsiTheme="minorHAnsi" w:cstheme="minorBidi"/>
              <w:noProof/>
              <w:color w:val="auto"/>
              <w:kern w:val="2"/>
              <w:lang w:eastAsia="fr-CH"/>
              <w14:ligatures w14:val="standardContextual"/>
            </w:rPr>
          </w:pPr>
          <w:hyperlink w:anchor="_Toc164688953" w:history="1">
            <w:r w:rsidR="00695C0F" w:rsidRPr="00502F1C">
              <w:rPr>
                <w:rStyle w:val="Hyperlink"/>
                <w:noProof/>
              </w:rPr>
              <w:t xml:space="preserve">III.  </w:t>
            </w:r>
            <w:r w:rsidR="00695C0F" w:rsidRPr="00502F1C">
              <w:rPr>
                <w:rFonts w:asciiTheme="minorHAnsi" w:eastAsiaTheme="minorEastAsia" w:hAnsiTheme="minorHAnsi" w:cstheme="minorBidi"/>
                <w:noProof/>
                <w:color w:val="auto"/>
                <w:kern w:val="2"/>
                <w:lang w:eastAsia="fr-CH"/>
                <w14:ligatures w14:val="standardContextual"/>
              </w:rPr>
              <w:tab/>
            </w:r>
            <w:r w:rsidR="00695C0F" w:rsidRPr="00502F1C">
              <w:rPr>
                <w:rStyle w:val="Hyperlink"/>
                <w:noProof/>
              </w:rPr>
              <w:t>MATTERS DISCUSSED AND REVIEWED</w:t>
            </w:r>
            <w:r w:rsidR="00695C0F" w:rsidRPr="00502F1C">
              <w:rPr>
                <w:noProof/>
                <w:webHidden/>
              </w:rPr>
              <w:tab/>
            </w:r>
            <w:r w:rsidR="00695C0F" w:rsidRPr="00502F1C">
              <w:rPr>
                <w:noProof/>
                <w:webHidden/>
              </w:rPr>
              <w:fldChar w:fldCharType="begin"/>
            </w:r>
            <w:r w:rsidR="00695C0F" w:rsidRPr="00502F1C">
              <w:rPr>
                <w:noProof/>
                <w:webHidden/>
              </w:rPr>
              <w:instrText xml:space="preserve"> PAGEREF _Toc164688953 \h </w:instrText>
            </w:r>
            <w:r w:rsidR="00695C0F" w:rsidRPr="00502F1C">
              <w:rPr>
                <w:noProof/>
                <w:webHidden/>
              </w:rPr>
            </w:r>
            <w:r w:rsidR="00695C0F" w:rsidRPr="00502F1C">
              <w:rPr>
                <w:noProof/>
                <w:webHidden/>
              </w:rPr>
              <w:fldChar w:fldCharType="separate"/>
            </w:r>
            <w:r w:rsidR="00746B92">
              <w:rPr>
                <w:noProof/>
                <w:webHidden/>
              </w:rPr>
              <w:t>4</w:t>
            </w:r>
            <w:r w:rsidR="00695C0F" w:rsidRPr="00502F1C">
              <w:rPr>
                <w:noProof/>
                <w:webHidden/>
              </w:rPr>
              <w:fldChar w:fldCharType="end"/>
            </w:r>
          </w:hyperlink>
        </w:p>
        <w:p w14:paraId="7929D240" w14:textId="3EAE5AB6" w:rsidR="00695C0F" w:rsidRPr="00502F1C" w:rsidRDefault="000366F3">
          <w:pPr>
            <w:pStyle w:val="TOC2"/>
            <w:tabs>
              <w:tab w:val="left" w:pos="1320"/>
              <w:tab w:val="right" w:leader="dot" w:pos="9754"/>
            </w:tabs>
            <w:rPr>
              <w:rFonts w:asciiTheme="minorHAnsi" w:eastAsiaTheme="minorEastAsia" w:hAnsiTheme="minorHAnsi" w:cstheme="minorBidi"/>
              <w:noProof/>
              <w:color w:val="auto"/>
              <w:kern w:val="2"/>
              <w:lang w:eastAsia="fr-CH"/>
              <w14:ligatures w14:val="standardContextual"/>
            </w:rPr>
          </w:pPr>
          <w:hyperlink w:anchor="_Toc164688954" w:history="1">
            <w:r w:rsidR="00695C0F" w:rsidRPr="00502F1C">
              <w:rPr>
                <w:rStyle w:val="Hyperlink"/>
                <w:noProof/>
              </w:rPr>
              <w:t xml:space="preserve">A.  </w:t>
            </w:r>
            <w:r w:rsidR="00695C0F" w:rsidRPr="00502F1C">
              <w:rPr>
                <w:rFonts w:asciiTheme="minorHAnsi" w:eastAsiaTheme="minorEastAsia" w:hAnsiTheme="minorHAnsi" w:cstheme="minorBidi"/>
                <w:noProof/>
                <w:color w:val="auto"/>
                <w:kern w:val="2"/>
                <w:lang w:eastAsia="fr-CH"/>
                <w14:ligatures w14:val="standardContextual"/>
              </w:rPr>
              <w:tab/>
            </w:r>
            <w:r w:rsidR="00695C0F" w:rsidRPr="00502F1C">
              <w:rPr>
                <w:rStyle w:val="Hyperlink"/>
                <w:noProof/>
              </w:rPr>
              <w:t>Internal Oversight</w:t>
            </w:r>
            <w:r w:rsidR="00695C0F" w:rsidRPr="00502F1C">
              <w:rPr>
                <w:noProof/>
                <w:webHidden/>
              </w:rPr>
              <w:tab/>
            </w:r>
            <w:r w:rsidR="00695C0F" w:rsidRPr="00502F1C">
              <w:rPr>
                <w:noProof/>
                <w:webHidden/>
              </w:rPr>
              <w:fldChar w:fldCharType="begin"/>
            </w:r>
            <w:r w:rsidR="00695C0F" w:rsidRPr="00502F1C">
              <w:rPr>
                <w:noProof/>
                <w:webHidden/>
              </w:rPr>
              <w:instrText xml:space="preserve"> PAGEREF _Toc164688954 \h </w:instrText>
            </w:r>
            <w:r w:rsidR="00695C0F" w:rsidRPr="00502F1C">
              <w:rPr>
                <w:noProof/>
                <w:webHidden/>
              </w:rPr>
            </w:r>
            <w:r w:rsidR="00695C0F" w:rsidRPr="00502F1C">
              <w:rPr>
                <w:noProof/>
                <w:webHidden/>
              </w:rPr>
              <w:fldChar w:fldCharType="separate"/>
            </w:r>
            <w:r w:rsidR="00746B92">
              <w:rPr>
                <w:noProof/>
                <w:webHidden/>
              </w:rPr>
              <w:t>4</w:t>
            </w:r>
            <w:r w:rsidR="00695C0F" w:rsidRPr="00502F1C">
              <w:rPr>
                <w:noProof/>
                <w:webHidden/>
              </w:rPr>
              <w:fldChar w:fldCharType="end"/>
            </w:r>
          </w:hyperlink>
        </w:p>
        <w:p w14:paraId="5473D876" w14:textId="2585BDDE" w:rsidR="00695C0F" w:rsidRPr="00502F1C" w:rsidRDefault="000366F3">
          <w:pPr>
            <w:pStyle w:val="TOC2"/>
            <w:tabs>
              <w:tab w:val="left" w:pos="1320"/>
              <w:tab w:val="right" w:leader="dot" w:pos="9754"/>
            </w:tabs>
            <w:rPr>
              <w:rFonts w:asciiTheme="minorHAnsi" w:eastAsiaTheme="minorEastAsia" w:hAnsiTheme="minorHAnsi" w:cstheme="minorBidi"/>
              <w:noProof/>
              <w:color w:val="auto"/>
              <w:kern w:val="2"/>
              <w:lang w:eastAsia="fr-CH"/>
              <w14:ligatures w14:val="standardContextual"/>
            </w:rPr>
          </w:pPr>
          <w:hyperlink w:anchor="_Toc164688955" w:history="1">
            <w:r w:rsidR="00695C0F" w:rsidRPr="00502F1C">
              <w:rPr>
                <w:rStyle w:val="Hyperlink"/>
                <w:noProof/>
              </w:rPr>
              <w:t xml:space="preserve">B.  </w:t>
            </w:r>
            <w:r w:rsidR="00695C0F" w:rsidRPr="00502F1C">
              <w:rPr>
                <w:rFonts w:asciiTheme="minorHAnsi" w:eastAsiaTheme="minorEastAsia" w:hAnsiTheme="minorHAnsi" w:cstheme="minorBidi"/>
                <w:noProof/>
                <w:color w:val="auto"/>
                <w:kern w:val="2"/>
                <w:lang w:eastAsia="fr-CH"/>
                <w14:ligatures w14:val="standardContextual"/>
              </w:rPr>
              <w:tab/>
            </w:r>
            <w:r w:rsidR="00695C0F" w:rsidRPr="00502F1C">
              <w:rPr>
                <w:rStyle w:val="Hyperlink"/>
                <w:noProof/>
              </w:rPr>
              <w:t>External Audit</w:t>
            </w:r>
            <w:r w:rsidR="00695C0F" w:rsidRPr="00502F1C">
              <w:rPr>
                <w:noProof/>
                <w:webHidden/>
              </w:rPr>
              <w:tab/>
            </w:r>
            <w:r w:rsidR="00695C0F" w:rsidRPr="00502F1C">
              <w:rPr>
                <w:noProof/>
                <w:webHidden/>
              </w:rPr>
              <w:fldChar w:fldCharType="begin"/>
            </w:r>
            <w:r w:rsidR="00695C0F" w:rsidRPr="00502F1C">
              <w:rPr>
                <w:noProof/>
                <w:webHidden/>
              </w:rPr>
              <w:instrText xml:space="preserve"> PAGEREF _Toc164688955 \h </w:instrText>
            </w:r>
            <w:r w:rsidR="00695C0F" w:rsidRPr="00502F1C">
              <w:rPr>
                <w:noProof/>
                <w:webHidden/>
              </w:rPr>
            </w:r>
            <w:r w:rsidR="00695C0F" w:rsidRPr="00502F1C">
              <w:rPr>
                <w:noProof/>
                <w:webHidden/>
              </w:rPr>
              <w:fldChar w:fldCharType="separate"/>
            </w:r>
            <w:r w:rsidR="00746B92">
              <w:rPr>
                <w:noProof/>
                <w:webHidden/>
              </w:rPr>
              <w:t>6</w:t>
            </w:r>
            <w:r w:rsidR="00695C0F" w:rsidRPr="00502F1C">
              <w:rPr>
                <w:noProof/>
                <w:webHidden/>
              </w:rPr>
              <w:fldChar w:fldCharType="end"/>
            </w:r>
          </w:hyperlink>
        </w:p>
        <w:p w14:paraId="7B440067" w14:textId="00F204B1" w:rsidR="00695C0F" w:rsidRPr="00502F1C" w:rsidRDefault="000366F3">
          <w:pPr>
            <w:pStyle w:val="TOC2"/>
            <w:tabs>
              <w:tab w:val="left" w:pos="1320"/>
              <w:tab w:val="right" w:leader="dot" w:pos="9754"/>
            </w:tabs>
            <w:rPr>
              <w:rStyle w:val="Hyperlink"/>
              <w:noProof/>
              <w:color w:val="auto"/>
            </w:rPr>
          </w:pPr>
          <w:hyperlink w:anchor="_Toc164688956" w:history="1">
            <w:r w:rsidR="00695C0F" w:rsidRPr="00502F1C">
              <w:rPr>
                <w:rStyle w:val="Hyperlink"/>
                <w:noProof/>
              </w:rPr>
              <w:t xml:space="preserve">C.  </w:t>
            </w:r>
            <w:r w:rsidR="00695C0F" w:rsidRPr="00502F1C">
              <w:rPr>
                <w:rFonts w:eastAsiaTheme="minorEastAsia"/>
                <w:noProof/>
                <w:color w:val="auto"/>
                <w:kern w:val="2"/>
                <w:lang w:eastAsia="fr-CH"/>
                <w14:ligatures w14:val="standardContextual"/>
              </w:rPr>
              <w:tab/>
            </w:r>
            <w:r w:rsidR="00695C0F" w:rsidRPr="00502F1C">
              <w:rPr>
                <w:rStyle w:val="Hyperlink"/>
                <w:noProof/>
              </w:rPr>
              <w:t>Financial Reporting</w:t>
            </w:r>
            <w:r w:rsidR="00695C0F" w:rsidRPr="00502F1C">
              <w:rPr>
                <w:noProof/>
                <w:webHidden/>
              </w:rPr>
              <w:tab/>
            </w:r>
            <w:r w:rsidR="00695C0F" w:rsidRPr="00502F1C">
              <w:rPr>
                <w:noProof/>
                <w:webHidden/>
              </w:rPr>
              <w:fldChar w:fldCharType="begin"/>
            </w:r>
            <w:r w:rsidR="00695C0F" w:rsidRPr="00502F1C">
              <w:rPr>
                <w:noProof/>
                <w:webHidden/>
              </w:rPr>
              <w:instrText xml:space="preserve"> PAGEREF _Toc164688956 \h </w:instrText>
            </w:r>
            <w:r w:rsidR="00695C0F" w:rsidRPr="00502F1C">
              <w:rPr>
                <w:noProof/>
                <w:webHidden/>
              </w:rPr>
            </w:r>
            <w:r w:rsidR="00695C0F" w:rsidRPr="00502F1C">
              <w:rPr>
                <w:noProof/>
                <w:webHidden/>
              </w:rPr>
              <w:fldChar w:fldCharType="separate"/>
            </w:r>
            <w:r w:rsidR="00746B92">
              <w:rPr>
                <w:noProof/>
                <w:webHidden/>
              </w:rPr>
              <w:t>6</w:t>
            </w:r>
            <w:r w:rsidR="00695C0F" w:rsidRPr="00502F1C">
              <w:rPr>
                <w:noProof/>
                <w:webHidden/>
              </w:rPr>
              <w:fldChar w:fldCharType="end"/>
            </w:r>
          </w:hyperlink>
        </w:p>
        <w:p w14:paraId="0FB5C232" w14:textId="184841F3" w:rsidR="00920876" w:rsidRPr="00502F1C" w:rsidRDefault="00920876">
          <w:pPr>
            <w:pStyle w:val="TOC2"/>
            <w:tabs>
              <w:tab w:val="left" w:pos="1320"/>
              <w:tab w:val="right" w:leader="dot" w:pos="9754"/>
            </w:tabs>
            <w:rPr>
              <w:rFonts w:eastAsiaTheme="minorEastAsia"/>
              <w:noProof/>
              <w:color w:val="auto"/>
              <w:kern w:val="2"/>
              <w:lang w:eastAsia="fr-CH"/>
              <w14:ligatures w14:val="standardContextual"/>
            </w:rPr>
          </w:pPr>
          <w:r w:rsidRPr="00502F1C">
            <w:rPr>
              <w:rFonts w:eastAsiaTheme="minorEastAsia"/>
              <w:noProof/>
              <w:color w:val="auto"/>
              <w:kern w:val="2"/>
              <w:lang w:eastAsia="fr-CH"/>
              <w14:ligatures w14:val="standardContextual"/>
            </w:rPr>
            <w:t xml:space="preserve">D.  </w:t>
          </w:r>
          <w:r w:rsidRPr="00502F1C">
            <w:rPr>
              <w:rFonts w:eastAsiaTheme="minorEastAsia"/>
              <w:noProof/>
              <w:color w:val="auto"/>
              <w:kern w:val="2"/>
              <w:lang w:eastAsia="fr-CH"/>
              <w14:ligatures w14:val="standardContextual"/>
            </w:rPr>
            <w:tab/>
            <w:t>Risk Management and Internal Control</w:t>
          </w:r>
          <w:r w:rsidR="001D1F6A" w:rsidRPr="00502F1C">
            <w:rPr>
              <w:rFonts w:eastAsiaTheme="minorEastAsia"/>
              <w:noProof/>
              <w:color w:val="auto"/>
              <w:kern w:val="2"/>
              <w:lang w:eastAsia="fr-CH"/>
              <w14:ligatures w14:val="standardContextual"/>
            </w:rPr>
            <w:t>s</w:t>
          </w:r>
          <w:r w:rsidR="001D1F6A" w:rsidRPr="00502F1C">
            <w:rPr>
              <w:rFonts w:eastAsiaTheme="minorEastAsia"/>
              <w:noProof/>
              <w:color w:val="auto"/>
              <w:kern w:val="2"/>
              <w:lang w:eastAsia="fr-CH"/>
              <w14:ligatures w14:val="standardContextual"/>
            </w:rPr>
            <w:tab/>
          </w:r>
          <w:r w:rsidR="00E131BB" w:rsidRPr="00502F1C">
            <w:rPr>
              <w:rFonts w:eastAsiaTheme="minorEastAsia"/>
              <w:noProof/>
              <w:color w:val="auto"/>
              <w:kern w:val="2"/>
              <w:lang w:eastAsia="fr-CH"/>
              <w14:ligatures w14:val="standardContextual"/>
            </w:rPr>
            <w:t>7</w:t>
          </w:r>
        </w:p>
        <w:p w14:paraId="66C8F59F" w14:textId="7FE4D62C" w:rsidR="000D677E" w:rsidRPr="00502F1C" w:rsidRDefault="000D677E">
          <w:pPr>
            <w:pStyle w:val="TOC2"/>
            <w:tabs>
              <w:tab w:val="left" w:pos="1320"/>
              <w:tab w:val="right" w:leader="dot" w:pos="9754"/>
            </w:tabs>
            <w:rPr>
              <w:rFonts w:eastAsiaTheme="minorEastAsia"/>
              <w:noProof/>
              <w:color w:val="auto"/>
              <w:kern w:val="2"/>
              <w:lang w:eastAsia="fr-CH"/>
              <w14:ligatures w14:val="standardContextual"/>
            </w:rPr>
          </w:pPr>
          <w:r w:rsidRPr="00502F1C">
            <w:rPr>
              <w:rFonts w:eastAsiaTheme="minorEastAsia"/>
              <w:noProof/>
              <w:color w:val="auto"/>
              <w:kern w:val="2"/>
              <w:lang w:eastAsia="fr-CH"/>
              <w14:ligatures w14:val="standardContextual"/>
            </w:rPr>
            <w:t xml:space="preserve">E.  </w:t>
          </w:r>
          <w:r w:rsidRPr="00502F1C">
            <w:rPr>
              <w:rFonts w:eastAsiaTheme="minorEastAsia"/>
              <w:noProof/>
              <w:color w:val="auto"/>
              <w:kern w:val="2"/>
              <w:lang w:eastAsia="fr-CH"/>
              <w14:ligatures w14:val="standardContextual"/>
            </w:rPr>
            <w:tab/>
          </w:r>
          <w:r w:rsidR="00D3384A" w:rsidRPr="00502F1C">
            <w:rPr>
              <w:rFonts w:eastAsiaTheme="minorEastAsia"/>
              <w:noProof/>
              <w:color w:val="auto"/>
              <w:kern w:val="2"/>
              <w:lang w:eastAsia="fr-CH"/>
              <w14:ligatures w14:val="standardContextual"/>
            </w:rPr>
            <w:t>Implementation of Oversight Recommendations</w:t>
          </w:r>
          <w:r w:rsidR="00D3384A" w:rsidRPr="00502F1C">
            <w:rPr>
              <w:rFonts w:eastAsiaTheme="minorEastAsia"/>
              <w:noProof/>
              <w:color w:val="auto"/>
              <w:kern w:val="2"/>
              <w:lang w:eastAsia="fr-CH"/>
              <w14:ligatures w14:val="standardContextual"/>
            </w:rPr>
            <w:tab/>
            <w:t>9</w:t>
          </w:r>
        </w:p>
        <w:p w14:paraId="7AD071F1" w14:textId="2F137CE9" w:rsidR="00695C0F" w:rsidRPr="00502F1C" w:rsidRDefault="000366F3">
          <w:pPr>
            <w:pStyle w:val="TOC2"/>
            <w:tabs>
              <w:tab w:val="left" w:pos="1320"/>
              <w:tab w:val="right" w:leader="dot" w:pos="9754"/>
            </w:tabs>
            <w:rPr>
              <w:rStyle w:val="Hyperlink"/>
              <w:noProof/>
              <w:color w:val="auto"/>
              <w:u w:val="none"/>
            </w:rPr>
          </w:pPr>
          <w:hyperlink w:anchor="_Toc164688957" w:history="1">
            <w:r w:rsidR="00695C0F" w:rsidRPr="00502F1C">
              <w:rPr>
                <w:rStyle w:val="Hyperlink"/>
                <w:noProof/>
                <w:color w:val="auto"/>
                <w:u w:val="none"/>
              </w:rPr>
              <w:t xml:space="preserve">F.  </w:t>
            </w:r>
            <w:r w:rsidR="00695C0F" w:rsidRPr="00502F1C">
              <w:rPr>
                <w:rFonts w:eastAsiaTheme="minorEastAsia"/>
                <w:noProof/>
                <w:color w:val="auto"/>
                <w:kern w:val="2"/>
                <w:lang w:eastAsia="fr-CH"/>
                <w14:ligatures w14:val="standardContextual"/>
              </w:rPr>
              <w:tab/>
            </w:r>
            <w:r w:rsidR="00695C0F" w:rsidRPr="00502F1C">
              <w:rPr>
                <w:rStyle w:val="Hyperlink"/>
                <w:noProof/>
                <w:color w:val="auto"/>
                <w:u w:val="none"/>
              </w:rPr>
              <w:t>Ethics and Ombudsperson</w:t>
            </w:r>
            <w:r w:rsidR="00695C0F" w:rsidRPr="00502F1C">
              <w:rPr>
                <w:noProof/>
                <w:webHidden/>
                <w:color w:val="auto"/>
              </w:rPr>
              <w:tab/>
            </w:r>
            <w:r w:rsidR="00695C0F" w:rsidRPr="00502F1C">
              <w:rPr>
                <w:noProof/>
                <w:webHidden/>
                <w:color w:val="auto"/>
              </w:rPr>
              <w:fldChar w:fldCharType="begin"/>
            </w:r>
            <w:r w:rsidR="00695C0F" w:rsidRPr="00502F1C">
              <w:rPr>
                <w:noProof/>
                <w:webHidden/>
                <w:color w:val="auto"/>
              </w:rPr>
              <w:instrText xml:space="preserve"> PAGEREF _Toc164688957 \h </w:instrText>
            </w:r>
            <w:r w:rsidR="00695C0F" w:rsidRPr="00502F1C">
              <w:rPr>
                <w:noProof/>
                <w:webHidden/>
                <w:color w:val="auto"/>
              </w:rPr>
            </w:r>
            <w:r w:rsidR="00695C0F" w:rsidRPr="00502F1C">
              <w:rPr>
                <w:noProof/>
                <w:webHidden/>
                <w:color w:val="auto"/>
              </w:rPr>
              <w:fldChar w:fldCharType="separate"/>
            </w:r>
            <w:r w:rsidR="00746B92">
              <w:rPr>
                <w:noProof/>
                <w:webHidden/>
                <w:color w:val="auto"/>
              </w:rPr>
              <w:t>10</w:t>
            </w:r>
            <w:r w:rsidR="00695C0F" w:rsidRPr="00502F1C">
              <w:rPr>
                <w:noProof/>
                <w:webHidden/>
                <w:color w:val="auto"/>
              </w:rPr>
              <w:fldChar w:fldCharType="end"/>
            </w:r>
          </w:hyperlink>
        </w:p>
        <w:p w14:paraId="654F32A3" w14:textId="21B742CE" w:rsidR="00A66FB2" w:rsidRPr="00502F1C" w:rsidRDefault="00A66FB2">
          <w:pPr>
            <w:pStyle w:val="TOC2"/>
            <w:tabs>
              <w:tab w:val="left" w:pos="1320"/>
              <w:tab w:val="right" w:leader="dot" w:pos="9754"/>
            </w:tabs>
            <w:rPr>
              <w:rStyle w:val="Hyperlink"/>
              <w:noProof/>
              <w:color w:val="auto"/>
              <w:u w:val="none"/>
            </w:rPr>
          </w:pPr>
          <w:r w:rsidRPr="00502F1C">
            <w:rPr>
              <w:rStyle w:val="Hyperlink"/>
              <w:noProof/>
              <w:color w:val="auto"/>
              <w:u w:val="none"/>
            </w:rPr>
            <w:t xml:space="preserve">G.  </w:t>
          </w:r>
          <w:r w:rsidRPr="00502F1C">
            <w:rPr>
              <w:rStyle w:val="Hyperlink"/>
              <w:noProof/>
              <w:color w:val="auto"/>
              <w:u w:val="none"/>
            </w:rPr>
            <w:tab/>
            <w:t>HR Management</w:t>
          </w:r>
          <w:r w:rsidRPr="00502F1C">
            <w:rPr>
              <w:rStyle w:val="Hyperlink"/>
              <w:noProof/>
              <w:color w:val="auto"/>
              <w:u w:val="none"/>
            </w:rPr>
            <w:tab/>
          </w:r>
          <w:r w:rsidR="00E32CA8" w:rsidRPr="00502F1C">
            <w:rPr>
              <w:rStyle w:val="Hyperlink"/>
              <w:noProof/>
              <w:color w:val="auto"/>
              <w:u w:val="none"/>
            </w:rPr>
            <w:t>11</w:t>
          </w:r>
        </w:p>
        <w:p w14:paraId="745DE8EC" w14:textId="4447FC08" w:rsidR="00E32CA8" w:rsidRPr="00502F1C" w:rsidRDefault="00E32CA8">
          <w:pPr>
            <w:pStyle w:val="TOC2"/>
            <w:tabs>
              <w:tab w:val="left" w:pos="1320"/>
              <w:tab w:val="right" w:leader="dot" w:pos="9754"/>
            </w:tabs>
            <w:rPr>
              <w:rFonts w:asciiTheme="minorHAnsi" w:eastAsiaTheme="minorEastAsia" w:hAnsiTheme="minorHAnsi" w:cstheme="minorBidi"/>
              <w:noProof/>
              <w:color w:val="auto"/>
              <w:kern w:val="2"/>
              <w:lang w:eastAsia="fr-CH"/>
              <w14:ligatures w14:val="standardContextual"/>
            </w:rPr>
          </w:pPr>
          <w:r w:rsidRPr="00502F1C">
            <w:rPr>
              <w:rStyle w:val="Hyperlink"/>
              <w:noProof/>
              <w:color w:val="auto"/>
              <w:u w:val="none"/>
            </w:rPr>
            <w:t xml:space="preserve">H.  </w:t>
          </w:r>
          <w:r w:rsidRPr="00502F1C">
            <w:rPr>
              <w:rStyle w:val="Hyperlink"/>
              <w:noProof/>
              <w:color w:val="auto"/>
              <w:u w:val="none"/>
            </w:rPr>
            <w:tab/>
            <w:t>Other Matters</w:t>
          </w:r>
          <w:r w:rsidRPr="00502F1C">
            <w:rPr>
              <w:rStyle w:val="Hyperlink"/>
              <w:noProof/>
              <w:color w:val="auto"/>
              <w:u w:val="none"/>
            </w:rPr>
            <w:tab/>
            <w:t>11</w:t>
          </w:r>
        </w:p>
        <w:p w14:paraId="63122624" w14:textId="16D1BCDA" w:rsidR="00695C0F" w:rsidRPr="00502F1C" w:rsidRDefault="000366F3">
          <w:pPr>
            <w:pStyle w:val="TOC1"/>
            <w:tabs>
              <w:tab w:val="left" w:pos="660"/>
              <w:tab w:val="right" w:leader="dot" w:pos="9754"/>
            </w:tabs>
            <w:rPr>
              <w:rFonts w:asciiTheme="minorHAnsi" w:eastAsiaTheme="minorEastAsia" w:hAnsiTheme="minorHAnsi" w:cstheme="minorBidi"/>
              <w:noProof/>
              <w:color w:val="auto"/>
              <w:kern w:val="2"/>
              <w:lang w:eastAsia="fr-CH"/>
              <w14:ligatures w14:val="standardContextual"/>
            </w:rPr>
          </w:pPr>
          <w:hyperlink w:anchor="_Toc164688959" w:history="1">
            <w:r w:rsidR="00695C0F" w:rsidRPr="00502F1C">
              <w:rPr>
                <w:rStyle w:val="Hyperlink"/>
                <w:noProof/>
              </w:rPr>
              <w:t xml:space="preserve">IV.  </w:t>
            </w:r>
            <w:r w:rsidR="00695C0F" w:rsidRPr="00502F1C">
              <w:rPr>
                <w:rFonts w:asciiTheme="minorHAnsi" w:eastAsiaTheme="minorEastAsia" w:hAnsiTheme="minorHAnsi" w:cstheme="minorBidi"/>
                <w:noProof/>
                <w:color w:val="auto"/>
                <w:kern w:val="2"/>
                <w:lang w:eastAsia="fr-CH"/>
                <w14:ligatures w14:val="standardContextual"/>
              </w:rPr>
              <w:tab/>
            </w:r>
            <w:r w:rsidR="00695C0F" w:rsidRPr="00502F1C">
              <w:rPr>
                <w:rStyle w:val="Hyperlink"/>
                <w:noProof/>
              </w:rPr>
              <w:t>CLOSING REMARKS</w:t>
            </w:r>
            <w:r w:rsidR="00695C0F" w:rsidRPr="00502F1C">
              <w:rPr>
                <w:noProof/>
                <w:webHidden/>
              </w:rPr>
              <w:tab/>
            </w:r>
            <w:r w:rsidR="00695C0F" w:rsidRPr="00502F1C">
              <w:rPr>
                <w:noProof/>
                <w:webHidden/>
              </w:rPr>
              <w:fldChar w:fldCharType="begin"/>
            </w:r>
            <w:r w:rsidR="00695C0F" w:rsidRPr="00502F1C">
              <w:rPr>
                <w:noProof/>
                <w:webHidden/>
              </w:rPr>
              <w:instrText xml:space="preserve"> PAGEREF _Toc164688959 \h </w:instrText>
            </w:r>
            <w:r w:rsidR="00695C0F" w:rsidRPr="00502F1C">
              <w:rPr>
                <w:noProof/>
                <w:webHidden/>
              </w:rPr>
            </w:r>
            <w:r w:rsidR="00695C0F" w:rsidRPr="00502F1C">
              <w:rPr>
                <w:noProof/>
                <w:webHidden/>
              </w:rPr>
              <w:fldChar w:fldCharType="separate"/>
            </w:r>
            <w:r w:rsidR="00746B92">
              <w:rPr>
                <w:noProof/>
                <w:webHidden/>
              </w:rPr>
              <w:t>13</w:t>
            </w:r>
            <w:r w:rsidR="00695C0F" w:rsidRPr="00502F1C">
              <w:rPr>
                <w:noProof/>
                <w:webHidden/>
              </w:rPr>
              <w:fldChar w:fldCharType="end"/>
            </w:r>
          </w:hyperlink>
        </w:p>
        <w:p w14:paraId="337B28B4" w14:textId="4A4E0BA5" w:rsidR="000F075B" w:rsidRPr="007B6B33" w:rsidRDefault="00046A56">
          <w:r w:rsidRPr="007B6B33">
            <w:fldChar w:fldCharType="end"/>
          </w:r>
        </w:p>
      </w:sdtContent>
    </w:sdt>
    <w:p w14:paraId="16D55F6E" w14:textId="77777777" w:rsidR="000F075B" w:rsidRPr="007B6B33" w:rsidRDefault="000F075B">
      <w:pPr>
        <w:spacing w:after="0"/>
        <w:ind w:left="0" w:right="0" w:firstLine="0"/>
      </w:pPr>
    </w:p>
    <w:p w14:paraId="12BAB0DE" w14:textId="77777777" w:rsidR="000F075B" w:rsidRPr="007B6B33" w:rsidRDefault="000F075B">
      <w:pPr>
        <w:spacing w:after="0"/>
        <w:ind w:left="0" w:right="0" w:firstLine="0"/>
      </w:pPr>
    </w:p>
    <w:p w14:paraId="1F1FE714" w14:textId="77777777" w:rsidR="000F075B" w:rsidRPr="007B6B33" w:rsidRDefault="000F075B">
      <w:pPr>
        <w:spacing w:after="103"/>
        <w:ind w:left="0" w:right="0" w:firstLine="0"/>
      </w:pPr>
    </w:p>
    <w:p w14:paraId="25F0A71C" w14:textId="77777777" w:rsidR="000F075B" w:rsidRPr="007B6B33" w:rsidRDefault="000F075B">
      <w:pPr>
        <w:spacing w:after="0"/>
        <w:ind w:left="0" w:right="0" w:firstLine="0"/>
      </w:pPr>
    </w:p>
    <w:p w14:paraId="1C47A388" w14:textId="77777777" w:rsidR="000F075B" w:rsidRPr="007B6B33" w:rsidRDefault="000F075B">
      <w:pPr>
        <w:spacing w:after="0"/>
        <w:ind w:left="0" w:right="0" w:firstLine="0"/>
      </w:pPr>
    </w:p>
    <w:p w14:paraId="03596164" w14:textId="77777777" w:rsidR="000F075B" w:rsidRPr="007B6B33" w:rsidRDefault="000F075B">
      <w:pPr>
        <w:spacing w:after="0"/>
        <w:ind w:left="0" w:right="0" w:firstLine="0"/>
      </w:pPr>
    </w:p>
    <w:p w14:paraId="16F9E9A9" w14:textId="77777777" w:rsidR="000F075B" w:rsidRPr="007B6B33" w:rsidRDefault="00046A56" w:rsidP="00B40017">
      <w:pPr>
        <w:spacing w:after="0"/>
        <w:ind w:left="0" w:right="0" w:firstLine="0"/>
        <w:sectPr w:rsidR="000F075B" w:rsidRPr="007B6B33" w:rsidSect="0040005F">
          <w:headerReference w:type="even" r:id="rId11"/>
          <w:headerReference w:type="default" r:id="rId12"/>
          <w:headerReference w:type="first" r:id="rId13"/>
          <w:pgSz w:w="11906" w:h="16841"/>
          <w:pgMar w:top="763" w:right="848" w:bottom="325" w:left="1294" w:header="720" w:footer="720" w:gutter="0"/>
          <w:cols w:space="720"/>
          <w:titlePg/>
          <w:docGrid w:linePitch="299"/>
        </w:sectPr>
      </w:pPr>
      <w:r w:rsidRPr="007B6B33">
        <w:t xml:space="preserve">  </w:t>
      </w:r>
      <w:r w:rsidR="00B40017" w:rsidRPr="007B6B33">
        <w:t xml:space="preserve"> </w:t>
      </w:r>
    </w:p>
    <w:p w14:paraId="0C85B1F1" w14:textId="77777777" w:rsidR="000F075B" w:rsidRPr="007B6B33" w:rsidRDefault="00046A56">
      <w:pPr>
        <w:pStyle w:val="Heading1"/>
        <w:tabs>
          <w:tab w:val="center" w:pos="1564"/>
        </w:tabs>
        <w:ind w:left="0" w:firstLine="0"/>
      </w:pPr>
      <w:bookmarkStart w:id="5" w:name="_Toc164688951"/>
      <w:r w:rsidRPr="007B6B33">
        <w:lastRenderedPageBreak/>
        <w:t xml:space="preserve">I.  </w:t>
      </w:r>
      <w:r w:rsidRPr="007B6B33">
        <w:tab/>
        <w:t>INTRODUCTION</w:t>
      </w:r>
      <w:bookmarkEnd w:id="5"/>
      <w:r w:rsidRPr="007B6B33">
        <w:rPr>
          <w:b w:val="0"/>
        </w:rPr>
        <w:t xml:space="preserve"> </w:t>
      </w:r>
      <w:r w:rsidRPr="007B6B33">
        <w:t xml:space="preserve"> </w:t>
      </w:r>
    </w:p>
    <w:p w14:paraId="00083136" w14:textId="77777777" w:rsidR="000F075B" w:rsidRPr="007B6B33" w:rsidRDefault="000F075B" w:rsidP="00623835">
      <w:pPr>
        <w:spacing w:after="16"/>
        <w:ind w:right="0"/>
      </w:pPr>
    </w:p>
    <w:p w14:paraId="5554A31B" w14:textId="77777777" w:rsidR="000F075B" w:rsidRPr="007B6B33" w:rsidRDefault="00046A56" w:rsidP="005C2B55">
      <w:pPr>
        <w:numPr>
          <w:ilvl w:val="0"/>
          <w:numId w:val="2"/>
        </w:numPr>
        <w:ind w:left="0" w:right="32"/>
      </w:pPr>
      <w:r w:rsidRPr="007B6B33">
        <w:t>Pursuant to its Terms of Reference</w:t>
      </w:r>
      <w:r w:rsidR="00385E95" w:rsidRPr="007B6B33">
        <w:t xml:space="preserve"> (</w:t>
      </w:r>
      <w:proofErr w:type="spellStart"/>
      <w:r w:rsidR="00385E95" w:rsidRPr="007B6B33">
        <w:t>ToR</w:t>
      </w:r>
      <w:proofErr w:type="spellEnd"/>
      <w:r w:rsidR="00385E95" w:rsidRPr="007B6B33">
        <w:t>)</w:t>
      </w:r>
      <w:r w:rsidRPr="007B6B33">
        <w:t>, the WIPO Independent Advisory Oversight Committee (IAOC) submits an annual report to the Program and Budget Committee (PBC) and to the WIPO General Assembly.</w:t>
      </w:r>
    </w:p>
    <w:p w14:paraId="2B022F62" w14:textId="77777777" w:rsidR="000F075B" w:rsidRPr="007B6B33" w:rsidRDefault="000F075B" w:rsidP="00623835">
      <w:pPr>
        <w:spacing w:after="16"/>
        <w:ind w:right="0"/>
      </w:pPr>
    </w:p>
    <w:p w14:paraId="0DE08B49" w14:textId="429B10FD" w:rsidR="000F075B" w:rsidRPr="007B6B33" w:rsidRDefault="00046A56" w:rsidP="005C2B55">
      <w:pPr>
        <w:numPr>
          <w:ilvl w:val="0"/>
          <w:numId w:val="2"/>
        </w:numPr>
        <w:ind w:left="0" w:right="32"/>
      </w:pPr>
      <w:r w:rsidRPr="007B6B33">
        <w:t>The IAOC (</w:t>
      </w:r>
      <w:r w:rsidR="00B92DDF" w:rsidRPr="007B6B33">
        <w:t>also</w:t>
      </w:r>
      <w:r w:rsidRPr="007B6B33">
        <w:t xml:space="preserve"> referred to as “the Committee”) was established in 2005.  It is a subsidiary body of the WIPO General Assembly and of the PBC.  It serves in an independent</w:t>
      </w:r>
      <w:r w:rsidR="00557C0C" w:rsidRPr="007B6B33">
        <w:t xml:space="preserve"> </w:t>
      </w:r>
      <w:r w:rsidRPr="007B6B33">
        <w:t>expert advisory capacity and assists the Assembly and the PBC in fulfilling their oversight responsibilities.</w:t>
      </w:r>
    </w:p>
    <w:p w14:paraId="7A4C2A56" w14:textId="77777777" w:rsidR="000F075B" w:rsidRPr="007B6B33" w:rsidRDefault="000F075B" w:rsidP="00623835">
      <w:pPr>
        <w:spacing w:after="16"/>
        <w:ind w:right="0"/>
      </w:pPr>
    </w:p>
    <w:p w14:paraId="570115A2" w14:textId="0F6194AF" w:rsidR="000F075B" w:rsidRPr="007B6B33" w:rsidRDefault="00046A56" w:rsidP="005C2B55">
      <w:pPr>
        <w:numPr>
          <w:ilvl w:val="0"/>
          <w:numId w:val="2"/>
        </w:numPr>
        <w:ind w:left="0" w:right="32"/>
      </w:pPr>
      <w:r w:rsidRPr="007B6B33">
        <w:t>The present report covers the period fro</w:t>
      </w:r>
      <w:r w:rsidR="00E55BDF" w:rsidRPr="007B6B33">
        <w:t xml:space="preserve">m </w:t>
      </w:r>
      <w:r w:rsidR="00557C0C" w:rsidRPr="007B6B33">
        <w:t>Ma</w:t>
      </w:r>
      <w:r w:rsidR="00D92D15" w:rsidRPr="007B6B33">
        <w:t>rch</w:t>
      </w:r>
      <w:r w:rsidR="00557C0C" w:rsidRPr="007B6B33">
        <w:t xml:space="preserve"> 2</w:t>
      </w:r>
      <w:r w:rsidR="00D92D15" w:rsidRPr="007B6B33">
        <w:t>5</w:t>
      </w:r>
      <w:r w:rsidRPr="007B6B33">
        <w:t xml:space="preserve">, </w:t>
      </w:r>
      <w:proofErr w:type="gramStart"/>
      <w:r w:rsidRPr="007B6B33">
        <w:t>202</w:t>
      </w:r>
      <w:r w:rsidR="00D92D15" w:rsidRPr="007B6B33">
        <w:t>3</w:t>
      </w:r>
      <w:proofErr w:type="gramEnd"/>
      <w:r w:rsidR="00E55BDF" w:rsidRPr="007B6B33">
        <w:t xml:space="preserve"> to</w:t>
      </w:r>
      <w:r w:rsidR="00CD3B90" w:rsidRPr="007B6B33">
        <w:t xml:space="preserve"> March 2</w:t>
      </w:r>
      <w:r w:rsidR="00D92D15" w:rsidRPr="007B6B33">
        <w:t>2</w:t>
      </w:r>
      <w:r w:rsidR="00CD3B90" w:rsidRPr="007B6B33">
        <w:t>, 202</w:t>
      </w:r>
      <w:r w:rsidR="00D92D15" w:rsidRPr="007B6B33">
        <w:t>4</w:t>
      </w:r>
      <w:r w:rsidRPr="007B6B33">
        <w:t>.  Section II of this report provides an overview of the Committee’s quarterly sessions, composition of the Committee and working methods.  Section III details matters discussed and reviewed by the Committee during the reporting period.</w:t>
      </w:r>
    </w:p>
    <w:p w14:paraId="5FA7D35F" w14:textId="77777777" w:rsidR="000F075B" w:rsidRPr="007B6B33" w:rsidRDefault="000F075B" w:rsidP="00623835">
      <w:pPr>
        <w:spacing w:after="16"/>
        <w:ind w:right="0"/>
      </w:pPr>
    </w:p>
    <w:p w14:paraId="4464D674" w14:textId="77777777" w:rsidR="000F075B" w:rsidRPr="007B6B33" w:rsidRDefault="00046A56" w:rsidP="005C2B55">
      <w:pPr>
        <w:pStyle w:val="Heading1"/>
        <w:tabs>
          <w:tab w:val="center" w:pos="4266"/>
        </w:tabs>
        <w:ind w:left="0" w:right="32" w:firstLine="0"/>
      </w:pPr>
      <w:bookmarkStart w:id="6" w:name="_Toc164688952"/>
      <w:r w:rsidRPr="007B6B33">
        <w:t xml:space="preserve">II.  </w:t>
      </w:r>
      <w:r w:rsidRPr="007B6B33">
        <w:tab/>
        <w:t>QUARTERLY SESSIONS, COMPOSITION AND WORKING METHODS</w:t>
      </w:r>
      <w:bookmarkEnd w:id="6"/>
    </w:p>
    <w:p w14:paraId="6B83EC0A" w14:textId="77777777" w:rsidR="000F075B" w:rsidRPr="007B6B33" w:rsidRDefault="000F075B" w:rsidP="00623835">
      <w:pPr>
        <w:spacing w:after="16"/>
        <w:ind w:right="0"/>
      </w:pPr>
    </w:p>
    <w:p w14:paraId="3F033BE9" w14:textId="77777777" w:rsidR="000F075B" w:rsidRPr="007B6B33" w:rsidRDefault="00046A56" w:rsidP="005C2B55">
      <w:pPr>
        <w:pStyle w:val="Heading4"/>
        <w:tabs>
          <w:tab w:val="center" w:pos="1650"/>
        </w:tabs>
        <w:spacing w:after="3"/>
        <w:ind w:left="0" w:right="32" w:firstLine="0"/>
      </w:pPr>
      <w:r w:rsidRPr="007B6B33">
        <w:rPr>
          <w:u w:val="none"/>
        </w:rPr>
        <w:tab/>
      </w:r>
      <w:r w:rsidRPr="007B6B33">
        <w:rPr>
          <w:i/>
          <w:u w:val="none"/>
        </w:rPr>
        <w:t>Quarterly Sessions</w:t>
      </w:r>
    </w:p>
    <w:p w14:paraId="7A1E3248" w14:textId="77777777" w:rsidR="000F075B" w:rsidRPr="007B6B33" w:rsidRDefault="000F075B" w:rsidP="00623835">
      <w:pPr>
        <w:spacing w:after="16"/>
        <w:ind w:right="0"/>
      </w:pPr>
    </w:p>
    <w:p w14:paraId="737BEFC9" w14:textId="289E0D85" w:rsidR="000F075B" w:rsidRPr="007B6B33" w:rsidRDefault="00046A56" w:rsidP="009E506A">
      <w:pPr>
        <w:pStyle w:val="ListParagraph"/>
        <w:numPr>
          <w:ilvl w:val="0"/>
          <w:numId w:val="2"/>
        </w:numPr>
        <w:ind w:left="0"/>
      </w:pPr>
      <w:r w:rsidRPr="007B6B33">
        <w:t xml:space="preserve">During the reporting period, the Committee held </w:t>
      </w:r>
      <w:r w:rsidR="00D92D15" w:rsidRPr="007B6B33">
        <w:t>four</w:t>
      </w:r>
      <w:r w:rsidR="00A1014E" w:rsidRPr="007B6B33">
        <w:t xml:space="preserve"> </w:t>
      </w:r>
      <w:r w:rsidRPr="007B6B33">
        <w:t xml:space="preserve">quarterly sessions:  from </w:t>
      </w:r>
      <w:r w:rsidR="00503346" w:rsidRPr="007B6B33">
        <w:t xml:space="preserve">May 30 to June 2, 2023 </w:t>
      </w:r>
      <w:r w:rsidRPr="007B6B33">
        <w:t>(</w:t>
      </w:r>
      <w:r w:rsidR="00557C0C" w:rsidRPr="007B6B33">
        <w:t>6</w:t>
      </w:r>
      <w:r w:rsidR="00503346" w:rsidRPr="007B6B33">
        <w:t>9</w:t>
      </w:r>
      <w:r w:rsidR="00A1014E" w:rsidRPr="007B6B33">
        <w:rPr>
          <w:vertAlign w:val="superscript"/>
        </w:rPr>
        <w:t>th</w:t>
      </w:r>
      <w:r w:rsidR="00A1014E" w:rsidRPr="007B6B33">
        <w:t xml:space="preserve"> </w:t>
      </w:r>
      <w:r w:rsidRPr="007B6B33">
        <w:t>session</w:t>
      </w:r>
      <w:proofErr w:type="gramStart"/>
      <w:r w:rsidRPr="007B6B33">
        <w:t xml:space="preserve">); </w:t>
      </w:r>
      <w:r w:rsidR="00395748" w:rsidRPr="007B6B33">
        <w:t xml:space="preserve"> </w:t>
      </w:r>
      <w:r w:rsidRPr="007B6B33">
        <w:t>from</w:t>
      </w:r>
      <w:proofErr w:type="gramEnd"/>
      <w:r w:rsidRPr="007B6B33">
        <w:t xml:space="preserve"> </w:t>
      </w:r>
      <w:r w:rsidR="00503346" w:rsidRPr="007B6B33">
        <w:t>September 11 to 15</w:t>
      </w:r>
      <w:r w:rsidRPr="007B6B33">
        <w:t>, 202</w:t>
      </w:r>
      <w:r w:rsidR="00503346" w:rsidRPr="007B6B33">
        <w:t>3</w:t>
      </w:r>
      <w:r w:rsidRPr="007B6B33">
        <w:t xml:space="preserve"> (</w:t>
      </w:r>
      <w:r w:rsidR="00503346" w:rsidRPr="007B6B33">
        <w:t>70</w:t>
      </w:r>
      <w:r w:rsidR="00A1014E" w:rsidRPr="007B6B33">
        <w:rPr>
          <w:vertAlign w:val="superscript"/>
        </w:rPr>
        <w:t>th</w:t>
      </w:r>
      <w:r w:rsidR="00A1014E" w:rsidRPr="007B6B33">
        <w:t xml:space="preserve"> </w:t>
      </w:r>
      <w:r w:rsidRPr="007B6B33">
        <w:t>session);</w:t>
      </w:r>
      <w:r w:rsidR="00667E88" w:rsidRPr="007B6B33">
        <w:t xml:space="preserve"> </w:t>
      </w:r>
      <w:r w:rsidR="00A1014E" w:rsidRPr="007B6B33">
        <w:t xml:space="preserve"> </w:t>
      </w:r>
      <w:r w:rsidR="00503346" w:rsidRPr="007B6B33">
        <w:t>from December 11 to 15, 2023 (71</w:t>
      </w:r>
      <w:r w:rsidR="00503346" w:rsidRPr="007B6B33">
        <w:rPr>
          <w:vertAlign w:val="superscript"/>
        </w:rPr>
        <w:t>st</w:t>
      </w:r>
      <w:r w:rsidR="00503346" w:rsidRPr="007B6B33">
        <w:t xml:space="preserve"> session);  </w:t>
      </w:r>
      <w:r w:rsidR="00A1014E" w:rsidRPr="007B6B33">
        <w:t xml:space="preserve">and </w:t>
      </w:r>
      <w:r w:rsidRPr="007B6B33">
        <w:t xml:space="preserve">from </w:t>
      </w:r>
      <w:r w:rsidR="00557C0C" w:rsidRPr="007B6B33">
        <w:t xml:space="preserve">March </w:t>
      </w:r>
      <w:r w:rsidR="00503346" w:rsidRPr="007B6B33">
        <w:t>18</w:t>
      </w:r>
      <w:r w:rsidRPr="007B6B33">
        <w:t xml:space="preserve"> to </w:t>
      </w:r>
      <w:r w:rsidR="00557C0C" w:rsidRPr="007B6B33">
        <w:t>2</w:t>
      </w:r>
      <w:r w:rsidR="00503346" w:rsidRPr="007B6B33">
        <w:t>2</w:t>
      </w:r>
      <w:r w:rsidRPr="007B6B33">
        <w:t>, 202</w:t>
      </w:r>
      <w:r w:rsidR="00503346" w:rsidRPr="007B6B33">
        <w:t>4</w:t>
      </w:r>
      <w:r w:rsidRPr="007B6B33">
        <w:t xml:space="preserve"> (</w:t>
      </w:r>
      <w:r w:rsidR="00503346" w:rsidRPr="007B6B33">
        <w:t>72</w:t>
      </w:r>
      <w:r w:rsidR="00503346" w:rsidRPr="007B6B33">
        <w:rPr>
          <w:vertAlign w:val="superscript"/>
        </w:rPr>
        <w:t>nd</w:t>
      </w:r>
      <w:r w:rsidR="00A1014E" w:rsidRPr="007B6B33">
        <w:t xml:space="preserve"> </w:t>
      </w:r>
      <w:r w:rsidRPr="007B6B33">
        <w:t xml:space="preserve">session).  In line with its </w:t>
      </w:r>
      <w:proofErr w:type="spellStart"/>
      <w:r w:rsidR="00385E95" w:rsidRPr="007B6B33">
        <w:t>ToR</w:t>
      </w:r>
      <w:proofErr w:type="spellEnd"/>
      <w:r w:rsidRPr="007B6B33">
        <w:t>, the Committee held information meetings with representatives of Member States following all sessions.  All the session reports are published on the WIPO website.</w:t>
      </w:r>
    </w:p>
    <w:p w14:paraId="74AAE721" w14:textId="77777777" w:rsidR="000F075B" w:rsidRPr="007B6B33" w:rsidRDefault="000F075B" w:rsidP="00623835">
      <w:pPr>
        <w:spacing w:after="16"/>
        <w:ind w:right="0"/>
      </w:pPr>
    </w:p>
    <w:p w14:paraId="5B71D998" w14:textId="77777777" w:rsidR="000F075B" w:rsidRPr="007B6B33" w:rsidRDefault="00046A56" w:rsidP="005C2B55">
      <w:pPr>
        <w:pStyle w:val="Heading4"/>
        <w:tabs>
          <w:tab w:val="center" w:pos="3339"/>
        </w:tabs>
        <w:spacing w:after="3"/>
        <w:ind w:left="0" w:right="32" w:firstLine="0"/>
      </w:pPr>
      <w:r w:rsidRPr="007B6B33">
        <w:rPr>
          <w:u w:val="none"/>
        </w:rPr>
        <w:tab/>
      </w:r>
      <w:r w:rsidRPr="007B6B33">
        <w:rPr>
          <w:i/>
          <w:u w:val="none"/>
        </w:rPr>
        <w:t>Composition and Selection Process for new Members</w:t>
      </w:r>
    </w:p>
    <w:p w14:paraId="39B578C2" w14:textId="77777777" w:rsidR="000F075B" w:rsidRPr="007B6B33" w:rsidRDefault="000F075B" w:rsidP="00623835">
      <w:pPr>
        <w:spacing w:after="16"/>
        <w:ind w:right="0"/>
      </w:pPr>
    </w:p>
    <w:p w14:paraId="01E66A78" w14:textId="1506FADB" w:rsidR="000F075B" w:rsidRPr="007B6B33" w:rsidRDefault="00046A56" w:rsidP="00483112">
      <w:pPr>
        <w:numPr>
          <w:ilvl w:val="0"/>
          <w:numId w:val="3"/>
        </w:numPr>
        <w:spacing w:after="37"/>
        <w:ind w:left="0" w:right="32"/>
      </w:pPr>
      <w:r w:rsidRPr="007B6B33">
        <w:t>The IAOC comprises seven members drawn from WIPO’s Groups</w:t>
      </w:r>
      <w:r w:rsidR="00B84A93" w:rsidRPr="007B6B33">
        <w:t xml:space="preserve"> of Member States</w:t>
      </w:r>
      <w:r w:rsidRPr="007B6B33">
        <w:t xml:space="preserve">.  The members serve in their personal capacity and independently of Member States.  In conformity with its </w:t>
      </w:r>
      <w:proofErr w:type="spellStart"/>
      <w:r w:rsidRPr="007B6B33">
        <w:t>T</w:t>
      </w:r>
      <w:r w:rsidR="00385E95" w:rsidRPr="007B6B33">
        <w:t>oR</w:t>
      </w:r>
      <w:proofErr w:type="spellEnd"/>
      <w:r w:rsidRPr="007B6B33">
        <w:t xml:space="preserve"> and Rules of Procedure, at its </w:t>
      </w:r>
      <w:r w:rsidR="00EB2860" w:rsidRPr="007B6B33">
        <w:t>71</w:t>
      </w:r>
      <w:r w:rsidR="00EB2860" w:rsidRPr="007B6B33">
        <w:rPr>
          <w:vertAlign w:val="superscript"/>
        </w:rPr>
        <w:t>st</w:t>
      </w:r>
      <w:r w:rsidR="00EB2860" w:rsidRPr="007B6B33">
        <w:t xml:space="preserve"> </w:t>
      </w:r>
      <w:r w:rsidRPr="007B6B33">
        <w:t>session in December 202</w:t>
      </w:r>
      <w:r w:rsidR="00EB2860" w:rsidRPr="007B6B33">
        <w:t>3</w:t>
      </w:r>
      <w:r w:rsidRPr="007B6B33">
        <w:t xml:space="preserve">, the Committee elected </w:t>
      </w:r>
      <w:bookmarkStart w:id="7" w:name="_Hlk127806171"/>
      <w:r w:rsidR="00EB2860" w:rsidRPr="007B6B33">
        <w:t xml:space="preserve">Mr. Bert </w:t>
      </w:r>
      <w:proofErr w:type="spellStart"/>
      <w:r w:rsidR="00EB2860" w:rsidRPr="007B6B33">
        <w:t>Keuppens</w:t>
      </w:r>
      <w:proofErr w:type="spellEnd"/>
      <w:r w:rsidR="00EB2860" w:rsidRPr="007B6B33">
        <w:t xml:space="preserve"> </w:t>
      </w:r>
      <w:bookmarkEnd w:id="7"/>
      <w:r w:rsidR="00EB2860" w:rsidRPr="007B6B33">
        <w:t xml:space="preserve">as Chair and </w:t>
      </w:r>
      <w:r w:rsidR="00484E97" w:rsidRPr="007B6B33">
        <w:t xml:space="preserve">Mr. </w:t>
      </w:r>
      <w:r w:rsidR="00EB2860" w:rsidRPr="007B6B33">
        <w:t xml:space="preserve">David </w:t>
      </w:r>
      <w:proofErr w:type="spellStart"/>
      <w:r w:rsidR="00EB2860" w:rsidRPr="007B6B33">
        <w:t>Kanja</w:t>
      </w:r>
      <w:proofErr w:type="spellEnd"/>
      <w:r w:rsidR="00484E97" w:rsidRPr="007B6B33">
        <w:t xml:space="preserve"> </w:t>
      </w:r>
      <w:r w:rsidRPr="007B6B33">
        <w:t xml:space="preserve">as </w:t>
      </w:r>
      <w:r w:rsidR="00EB2860" w:rsidRPr="007B6B33">
        <w:t>Vice-</w:t>
      </w:r>
      <w:r w:rsidRPr="007B6B33">
        <w:t>Chair</w:t>
      </w:r>
      <w:r w:rsidR="00EB2860" w:rsidRPr="007B6B33">
        <w:t>.</w:t>
      </w:r>
      <w:r w:rsidRPr="007B6B33">
        <w:t xml:space="preserve">  </w:t>
      </w:r>
      <w:r w:rsidR="00484E97" w:rsidRPr="007B6B33">
        <w:t xml:space="preserve">Mr. </w:t>
      </w:r>
      <w:proofErr w:type="spellStart"/>
      <w:r w:rsidR="00EB2860" w:rsidRPr="007B6B33">
        <w:t>Igors</w:t>
      </w:r>
      <w:proofErr w:type="spellEnd"/>
      <w:r w:rsidR="00EB2860" w:rsidRPr="007B6B33">
        <w:t xml:space="preserve"> </w:t>
      </w:r>
      <w:proofErr w:type="spellStart"/>
      <w:r w:rsidR="00EB2860" w:rsidRPr="007B6B33">
        <w:t>Ludboržs</w:t>
      </w:r>
      <w:proofErr w:type="spellEnd"/>
      <w:r w:rsidR="00EB2860" w:rsidRPr="007B6B33">
        <w:t xml:space="preserve"> </w:t>
      </w:r>
      <w:r w:rsidRPr="007B6B33">
        <w:t>was the Chair</w:t>
      </w:r>
      <w:r w:rsidR="00EB2860" w:rsidRPr="007B6B33">
        <w:t>, presiding over the 69</w:t>
      </w:r>
      <w:r w:rsidR="00EB2860" w:rsidRPr="007B6B33">
        <w:rPr>
          <w:vertAlign w:val="superscript"/>
        </w:rPr>
        <w:t>th</w:t>
      </w:r>
      <w:r w:rsidR="00EB2860" w:rsidRPr="007B6B33">
        <w:t xml:space="preserve"> to 71</w:t>
      </w:r>
      <w:r w:rsidR="00EB2860" w:rsidRPr="007B6B33">
        <w:rPr>
          <w:vertAlign w:val="superscript"/>
        </w:rPr>
        <w:t>st</w:t>
      </w:r>
      <w:r w:rsidR="00EB2860" w:rsidRPr="007B6B33">
        <w:t xml:space="preserve"> </w:t>
      </w:r>
      <w:r w:rsidRPr="007B6B33">
        <w:t>sessions</w:t>
      </w:r>
      <w:r w:rsidR="00EB2860" w:rsidRPr="007B6B33">
        <w:t xml:space="preserve">, with Mr. </w:t>
      </w:r>
      <w:proofErr w:type="spellStart"/>
      <w:r w:rsidR="00EB2860" w:rsidRPr="007B6B33">
        <w:t>Keuppens</w:t>
      </w:r>
      <w:proofErr w:type="spellEnd"/>
      <w:r w:rsidR="00EB2860" w:rsidRPr="007B6B33">
        <w:t xml:space="preserve"> as Vice-Chair</w:t>
      </w:r>
      <w:r w:rsidRPr="007B6B33">
        <w:t>.</w:t>
      </w:r>
    </w:p>
    <w:p w14:paraId="7F8F35B6" w14:textId="77777777" w:rsidR="000F075B" w:rsidRPr="007B6B33" w:rsidRDefault="000F075B" w:rsidP="00623835">
      <w:pPr>
        <w:spacing w:after="16"/>
        <w:ind w:right="0"/>
      </w:pPr>
    </w:p>
    <w:p w14:paraId="340C8932" w14:textId="1A3797AD" w:rsidR="000F075B" w:rsidRPr="007B6B33" w:rsidRDefault="00046A56" w:rsidP="00483112">
      <w:pPr>
        <w:numPr>
          <w:ilvl w:val="0"/>
          <w:numId w:val="3"/>
        </w:numPr>
        <w:ind w:left="0" w:right="32"/>
      </w:pPr>
      <w:r w:rsidRPr="007B6B33">
        <w:t xml:space="preserve">In accordance with the selection process described in </w:t>
      </w:r>
      <w:r w:rsidR="0003781D" w:rsidRPr="007B6B33">
        <w:t>Annex IV, WIPO Financial Regulations and Rules</w:t>
      </w:r>
      <w:r w:rsidRPr="007B6B33">
        <w:t>, the Committee currently consists of the following members:</w:t>
      </w:r>
    </w:p>
    <w:p w14:paraId="5FF81A4E" w14:textId="77777777" w:rsidR="000F075B" w:rsidRPr="007B6B33" w:rsidRDefault="000F075B" w:rsidP="00623835">
      <w:pPr>
        <w:spacing w:after="16"/>
        <w:ind w:right="0"/>
      </w:pPr>
    </w:p>
    <w:p w14:paraId="4C1605B1" w14:textId="10AF046E" w:rsidR="000F075B" w:rsidRPr="007B6B33" w:rsidRDefault="004D6C2F" w:rsidP="005C2B55">
      <w:pPr>
        <w:numPr>
          <w:ilvl w:val="1"/>
          <w:numId w:val="3"/>
        </w:numPr>
        <w:ind w:left="1171" w:right="32" w:hanging="427"/>
      </w:pPr>
      <w:r w:rsidRPr="007B6B33">
        <w:t xml:space="preserve">Mr. Bert </w:t>
      </w:r>
      <w:proofErr w:type="spellStart"/>
      <w:r w:rsidRPr="007B6B33">
        <w:t>Keuppens</w:t>
      </w:r>
      <w:proofErr w:type="spellEnd"/>
      <w:r w:rsidR="00046A56" w:rsidRPr="007B6B33">
        <w:t>, Chair</w:t>
      </w:r>
      <w:r w:rsidRPr="007B6B33">
        <w:t xml:space="preserve"> (Group B</w:t>
      </w:r>
      <w:proofErr w:type="gramStart"/>
      <w:r w:rsidRPr="007B6B33">
        <w:t>);</w:t>
      </w:r>
      <w:proofErr w:type="gramEnd"/>
    </w:p>
    <w:p w14:paraId="4403DCC9" w14:textId="0FD7FAAF" w:rsidR="00D407D2" w:rsidRPr="007B6B33" w:rsidRDefault="00D407D2" w:rsidP="00D407D2">
      <w:pPr>
        <w:numPr>
          <w:ilvl w:val="1"/>
          <w:numId w:val="3"/>
        </w:numPr>
        <w:ind w:left="1171" w:right="32" w:hanging="427"/>
      </w:pPr>
      <w:r w:rsidRPr="007B6B33">
        <w:t xml:space="preserve">Mr. David </w:t>
      </w:r>
      <w:proofErr w:type="spellStart"/>
      <w:r w:rsidRPr="007B6B33">
        <w:t>Kanja</w:t>
      </w:r>
      <w:proofErr w:type="spellEnd"/>
      <w:r w:rsidR="0063494C" w:rsidRPr="007B6B33">
        <w:t>, Vice-Chair</w:t>
      </w:r>
      <w:r w:rsidRPr="007B6B33">
        <w:t xml:space="preserve"> (African Group</w:t>
      </w:r>
      <w:proofErr w:type="gramStart"/>
      <w:r w:rsidRPr="007B6B33">
        <w:t>);</w:t>
      </w:r>
      <w:proofErr w:type="gramEnd"/>
    </w:p>
    <w:p w14:paraId="73228770" w14:textId="77777777" w:rsidR="00D407D2" w:rsidRPr="007B6B33" w:rsidRDefault="00D407D2" w:rsidP="00D407D2">
      <w:pPr>
        <w:numPr>
          <w:ilvl w:val="1"/>
          <w:numId w:val="3"/>
        </w:numPr>
        <w:ind w:left="1171" w:right="32" w:hanging="427"/>
      </w:pPr>
      <w:r w:rsidRPr="007B6B33">
        <w:t xml:space="preserve">Mr. Kamlesh </w:t>
      </w:r>
      <w:proofErr w:type="spellStart"/>
      <w:r w:rsidRPr="007B6B33">
        <w:t>Vikamsey</w:t>
      </w:r>
      <w:proofErr w:type="spellEnd"/>
      <w:r w:rsidRPr="007B6B33">
        <w:t xml:space="preserve"> (Asia and the Pacific Group</w:t>
      </w:r>
      <w:proofErr w:type="gramStart"/>
      <w:r w:rsidRPr="007B6B33">
        <w:t>);</w:t>
      </w:r>
      <w:proofErr w:type="gramEnd"/>
    </w:p>
    <w:p w14:paraId="049FB254" w14:textId="77777777" w:rsidR="00962F96" w:rsidRPr="007B6B33" w:rsidRDefault="004D6C2F" w:rsidP="00962F96">
      <w:pPr>
        <w:numPr>
          <w:ilvl w:val="1"/>
          <w:numId w:val="3"/>
        </w:numPr>
        <w:ind w:left="1171" w:right="32" w:hanging="427"/>
      </w:pPr>
      <w:bookmarkStart w:id="8" w:name="_Hlk127806646"/>
      <w:r w:rsidRPr="007B6B33">
        <w:t>M</w:t>
      </w:r>
      <w:r w:rsidR="00C87529" w:rsidRPr="007B6B33">
        <w:t>r</w:t>
      </w:r>
      <w:r w:rsidRPr="007B6B33">
        <w:t xml:space="preserve">. </w:t>
      </w:r>
      <w:r w:rsidR="00C87529" w:rsidRPr="007B6B33">
        <w:t xml:space="preserve">Danil </w:t>
      </w:r>
      <w:proofErr w:type="spellStart"/>
      <w:r w:rsidR="007A323A" w:rsidRPr="007B6B33">
        <w:t>Kerimi</w:t>
      </w:r>
      <w:proofErr w:type="spellEnd"/>
      <w:r w:rsidRPr="007B6B33">
        <w:t xml:space="preserve"> (Group of Central Asian, Caucasus and Eastern European States </w:t>
      </w:r>
      <w:r w:rsidR="001B182E" w:rsidRPr="007B6B33">
        <w:t>(</w:t>
      </w:r>
      <w:r w:rsidRPr="007B6B33">
        <w:t>CACEEC</w:t>
      </w:r>
      <w:r w:rsidR="001B182E" w:rsidRPr="007B6B33">
        <w:t>)</w:t>
      </w:r>
      <w:proofErr w:type="gramStart"/>
      <w:r w:rsidRPr="007B6B33">
        <w:t>);</w:t>
      </w:r>
      <w:proofErr w:type="gramEnd"/>
      <w:r w:rsidR="00962F96" w:rsidRPr="007B6B33">
        <w:t xml:space="preserve"> </w:t>
      </w:r>
    </w:p>
    <w:p w14:paraId="58E58155" w14:textId="7483F01E" w:rsidR="00962F96" w:rsidRPr="007B6B33" w:rsidRDefault="00962F96" w:rsidP="00962F96">
      <w:pPr>
        <w:numPr>
          <w:ilvl w:val="1"/>
          <w:numId w:val="3"/>
        </w:numPr>
        <w:ind w:left="1171" w:right="32" w:hanging="427"/>
      </w:pPr>
      <w:r w:rsidRPr="007B6B33">
        <w:t xml:space="preserve">Mr. </w:t>
      </w:r>
      <w:proofErr w:type="spellStart"/>
      <w:r w:rsidRPr="007B6B33">
        <w:t>Igors</w:t>
      </w:r>
      <w:proofErr w:type="spellEnd"/>
      <w:r w:rsidRPr="007B6B33">
        <w:t xml:space="preserve"> </w:t>
      </w:r>
      <w:proofErr w:type="spellStart"/>
      <w:r w:rsidRPr="007B6B33">
        <w:t>Ludboržs</w:t>
      </w:r>
      <w:proofErr w:type="spellEnd"/>
      <w:r w:rsidRPr="007B6B33">
        <w:t xml:space="preserve"> (Group of Central European and Baltic States (CEBS)</w:t>
      </w:r>
      <w:proofErr w:type="gramStart"/>
      <w:r w:rsidRPr="007B6B33">
        <w:t>);</w:t>
      </w:r>
      <w:proofErr w:type="gramEnd"/>
    </w:p>
    <w:p w14:paraId="4AAA0DA1" w14:textId="4C37C529" w:rsidR="00D407D2" w:rsidRPr="007B6B33" w:rsidRDefault="00D407D2" w:rsidP="00D407D2">
      <w:pPr>
        <w:numPr>
          <w:ilvl w:val="1"/>
          <w:numId w:val="3"/>
        </w:numPr>
        <w:ind w:left="1171" w:right="32" w:hanging="427"/>
      </w:pPr>
      <w:r w:rsidRPr="007B6B33">
        <w:t xml:space="preserve">Mr. Guan </w:t>
      </w:r>
      <w:r w:rsidR="00EB2860" w:rsidRPr="007B6B33">
        <w:t xml:space="preserve">Jian </w:t>
      </w:r>
      <w:r w:rsidRPr="007B6B33">
        <w:t>(China</w:t>
      </w:r>
      <w:proofErr w:type="gramStart"/>
      <w:r w:rsidRPr="007B6B33">
        <w:t>);  and</w:t>
      </w:r>
      <w:proofErr w:type="gramEnd"/>
      <w:r w:rsidRPr="007B6B33">
        <w:t xml:space="preserve"> </w:t>
      </w:r>
    </w:p>
    <w:p w14:paraId="095F550E" w14:textId="3535382A" w:rsidR="000F075B" w:rsidRPr="007B6B33" w:rsidRDefault="00046A56" w:rsidP="005C2B55">
      <w:pPr>
        <w:numPr>
          <w:ilvl w:val="1"/>
          <w:numId w:val="3"/>
        </w:numPr>
        <w:ind w:left="1171" w:right="32" w:hanging="427"/>
      </w:pPr>
      <w:r w:rsidRPr="007B6B33">
        <w:t>M</w:t>
      </w:r>
      <w:r w:rsidR="007A323A" w:rsidRPr="007B6B33">
        <w:t>r</w:t>
      </w:r>
      <w:r w:rsidRPr="007B6B33">
        <w:t xml:space="preserve">. </w:t>
      </w:r>
      <w:r w:rsidR="007A323A" w:rsidRPr="007B6B33">
        <w:t xml:space="preserve">German </w:t>
      </w:r>
      <w:proofErr w:type="spellStart"/>
      <w:r w:rsidR="007A323A" w:rsidRPr="007B6B33">
        <w:t>Deffit</w:t>
      </w:r>
      <w:proofErr w:type="spellEnd"/>
      <w:r w:rsidR="007A323A" w:rsidRPr="007B6B33">
        <w:t xml:space="preserve"> </w:t>
      </w:r>
      <w:r w:rsidRPr="007B6B33">
        <w:t>(Group of Countries of Latin America and the Caribbean</w:t>
      </w:r>
      <w:r w:rsidR="00777ECA" w:rsidRPr="007B6B33">
        <w:t xml:space="preserve"> </w:t>
      </w:r>
      <w:r w:rsidR="001B182E" w:rsidRPr="007B6B33">
        <w:t>(</w:t>
      </w:r>
      <w:r w:rsidR="00777ECA" w:rsidRPr="007B6B33">
        <w:t>GR</w:t>
      </w:r>
      <w:r w:rsidR="00D407D2" w:rsidRPr="007B6B33">
        <w:t>U</w:t>
      </w:r>
      <w:r w:rsidR="00777ECA" w:rsidRPr="007B6B33">
        <w:t>LAC</w:t>
      </w:r>
      <w:r w:rsidR="001B182E" w:rsidRPr="007B6B33">
        <w:t>)</w:t>
      </w:r>
      <w:r w:rsidRPr="007B6B33">
        <w:t>)</w:t>
      </w:r>
      <w:r w:rsidR="00D407D2" w:rsidRPr="007B6B33">
        <w:t>.</w:t>
      </w:r>
    </w:p>
    <w:bookmarkEnd w:id="8"/>
    <w:p w14:paraId="7581BBAC" w14:textId="77777777" w:rsidR="000F075B" w:rsidRPr="007B6B33" w:rsidRDefault="000F075B" w:rsidP="00623835">
      <w:pPr>
        <w:spacing w:after="0"/>
        <w:ind w:right="32"/>
      </w:pPr>
    </w:p>
    <w:p w14:paraId="0D09AF79" w14:textId="2A435823" w:rsidR="000F075B" w:rsidRPr="007B6B33" w:rsidRDefault="00046A56" w:rsidP="00F37A3F">
      <w:pPr>
        <w:ind w:left="0" w:right="32"/>
      </w:pPr>
      <w:r w:rsidRPr="007B6B33">
        <w:t xml:space="preserve">The composition reflects a proper mix and balance of skills, </w:t>
      </w:r>
      <w:r w:rsidR="00380620" w:rsidRPr="007B6B33">
        <w:t>expertise,</w:t>
      </w:r>
      <w:r w:rsidRPr="007B6B33">
        <w:t xml:space="preserve"> and experience.</w:t>
      </w:r>
    </w:p>
    <w:p w14:paraId="479D5D58" w14:textId="09A22142" w:rsidR="00EA41C9" w:rsidRPr="007B6B33" w:rsidRDefault="00EA41C9">
      <w:pPr>
        <w:spacing w:after="160"/>
        <w:ind w:left="0" w:right="0" w:firstLine="0"/>
      </w:pPr>
      <w:r w:rsidRPr="007B6B33">
        <w:br w:type="page"/>
      </w:r>
    </w:p>
    <w:p w14:paraId="15359FD6" w14:textId="75849A89" w:rsidR="000F075B" w:rsidRPr="007B6B33" w:rsidRDefault="00046A56" w:rsidP="00907EDC">
      <w:pPr>
        <w:pStyle w:val="Heading5"/>
        <w:tabs>
          <w:tab w:val="center" w:pos="1440"/>
        </w:tabs>
        <w:ind w:left="720" w:firstLine="0"/>
      </w:pPr>
      <w:r w:rsidRPr="007B6B33">
        <w:lastRenderedPageBreak/>
        <w:t xml:space="preserve">Working Methods  </w:t>
      </w:r>
    </w:p>
    <w:p w14:paraId="45419794" w14:textId="77777777" w:rsidR="000F075B" w:rsidRPr="007B6B33" w:rsidRDefault="000F075B" w:rsidP="00623835">
      <w:pPr>
        <w:spacing w:after="0"/>
        <w:ind w:right="32"/>
      </w:pPr>
    </w:p>
    <w:p w14:paraId="0060E382" w14:textId="52D37D85" w:rsidR="000F075B" w:rsidRPr="007B6B33" w:rsidRDefault="00046A56" w:rsidP="00A61270">
      <w:pPr>
        <w:numPr>
          <w:ilvl w:val="0"/>
          <w:numId w:val="3"/>
        </w:numPr>
        <w:ind w:left="0" w:right="32"/>
      </w:pPr>
      <w:r w:rsidRPr="007B6B33">
        <w:t>The Committee provid</w:t>
      </w:r>
      <w:r w:rsidR="008A4BAD" w:rsidRPr="007B6B33">
        <w:t>es</w:t>
      </w:r>
      <w:r w:rsidRPr="007B6B33">
        <w:t xml:space="preserve"> expert advice through its engagement with WIPO’s Director General</w:t>
      </w:r>
      <w:r w:rsidR="00D66F25">
        <w:t>,</w:t>
      </w:r>
      <w:r w:rsidRPr="007B6B33">
        <w:t xml:space="preserve"> </w:t>
      </w:r>
      <w:r w:rsidR="00CA39A9" w:rsidRPr="007B6B33">
        <w:t xml:space="preserve">the Secretariat </w:t>
      </w:r>
      <w:proofErr w:type="gramStart"/>
      <w:r w:rsidR="00CA39A9" w:rsidRPr="007B6B33">
        <w:t>staff</w:t>
      </w:r>
      <w:proofErr w:type="gramEnd"/>
      <w:r w:rsidRPr="007B6B33">
        <w:t xml:space="preserve"> and the External Auditor, mainly </w:t>
      </w:r>
      <w:r w:rsidR="00380620" w:rsidRPr="007B6B33">
        <w:t>based on</w:t>
      </w:r>
      <w:r w:rsidRPr="007B6B33">
        <w:t xml:space="preserve"> reports, </w:t>
      </w:r>
      <w:r w:rsidR="00380620" w:rsidRPr="007B6B33">
        <w:t>presentations,</w:t>
      </w:r>
      <w:r w:rsidRPr="007B6B33">
        <w:t xml:space="preserve"> and information with which it is provided.  It further deliberates on relevant matters to reach its assessments and conclusions.</w:t>
      </w:r>
    </w:p>
    <w:p w14:paraId="1F5EA6F7" w14:textId="77777777" w:rsidR="00542022" w:rsidRPr="007B6B33" w:rsidRDefault="00542022" w:rsidP="00542022">
      <w:pPr>
        <w:ind w:right="32"/>
      </w:pPr>
    </w:p>
    <w:p w14:paraId="351A7BD8" w14:textId="7B795FBB" w:rsidR="000A2482" w:rsidRPr="007B6B33" w:rsidRDefault="000A2482" w:rsidP="00483112">
      <w:pPr>
        <w:numPr>
          <w:ilvl w:val="0"/>
          <w:numId w:val="4"/>
        </w:numPr>
        <w:ind w:left="0" w:right="32"/>
        <w:rPr>
          <w:color w:val="auto"/>
        </w:rPr>
      </w:pPr>
      <w:r w:rsidRPr="007B6B33">
        <w:rPr>
          <w:color w:val="auto"/>
        </w:rPr>
        <w:t xml:space="preserve">During the reporting period, the Committee </w:t>
      </w:r>
      <w:r w:rsidR="00FA6D76" w:rsidRPr="007B6B33">
        <w:rPr>
          <w:color w:val="auto"/>
        </w:rPr>
        <w:t xml:space="preserve">had </w:t>
      </w:r>
      <w:r w:rsidRPr="007B6B33">
        <w:rPr>
          <w:color w:val="auto"/>
        </w:rPr>
        <w:t xml:space="preserve">briefings </w:t>
      </w:r>
      <w:r w:rsidRPr="00585451">
        <w:rPr>
          <w:color w:val="auto"/>
        </w:rPr>
        <w:t xml:space="preserve">from </w:t>
      </w:r>
      <w:r w:rsidR="00585451">
        <w:rPr>
          <w:color w:val="auto"/>
        </w:rPr>
        <w:t xml:space="preserve">either </w:t>
      </w:r>
      <w:r w:rsidRPr="00585451">
        <w:rPr>
          <w:color w:val="auto"/>
        </w:rPr>
        <w:t xml:space="preserve">the Director General </w:t>
      </w:r>
      <w:r w:rsidRPr="007B6B33">
        <w:rPr>
          <w:color w:val="auto"/>
        </w:rPr>
        <w:t xml:space="preserve">or the Assistant Director General, Administration, Finance and Management Sector, </w:t>
      </w:r>
      <w:r w:rsidR="00FA6D76" w:rsidRPr="007B6B33">
        <w:rPr>
          <w:color w:val="auto"/>
        </w:rPr>
        <w:t xml:space="preserve">on various matters, including an update on the </w:t>
      </w:r>
      <w:r w:rsidR="00E607E0">
        <w:rPr>
          <w:color w:val="auto"/>
        </w:rPr>
        <w:t xml:space="preserve">implementation of the </w:t>
      </w:r>
      <w:r w:rsidR="00FA6D76" w:rsidRPr="007B6B33">
        <w:rPr>
          <w:color w:val="auto"/>
        </w:rPr>
        <w:t>Medium-Term Strateg</w:t>
      </w:r>
      <w:r w:rsidR="00E607E0">
        <w:rPr>
          <w:color w:val="auto"/>
        </w:rPr>
        <w:t xml:space="preserve">ic </w:t>
      </w:r>
      <w:proofErr w:type="spellStart"/>
      <w:r w:rsidR="00E607E0">
        <w:rPr>
          <w:color w:val="auto"/>
        </w:rPr>
        <w:t>Plan</w:t>
      </w:r>
      <w:r w:rsidR="00FA6D76" w:rsidRPr="007B6B33">
        <w:rPr>
          <w:color w:val="auto"/>
        </w:rPr>
        <w:t>and</w:t>
      </w:r>
      <w:proofErr w:type="spellEnd"/>
      <w:r w:rsidR="00FA6D76" w:rsidRPr="007B6B33">
        <w:rPr>
          <w:color w:val="auto"/>
        </w:rPr>
        <w:t xml:space="preserve"> Change Management, WIPO’s work to contribute towards the Sustainable Development Goals, the broadening vision and </w:t>
      </w:r>
      <w:r w:rsidR="007C772A">
        <w:rPr>
          <w:color w:val="auto"/>
        </w:rPr>
        <w:t>impact”</w:t>
      </w:r>
      <w:r w:rsidR="007C772A" w:rsidRPr="007B6B33">
        <w:rPr>
          <w:color w:val="auto"/>
        </w:rPr>
        <w:t xml:space="preserve"> </w:t>
      </w:r>
      <w:r w:rsidR="00FA6D76" w:rsidRPr="007B6B33">
        <w:rPr>
          <w:color w:val="auto"/>
        </w:rPr>
        <w:t>of intellectual property in the world, and the impact of global events on the Organization.</w:t>
      </w:r>
    </w:p>
    <w:p w14:paraId="33BA7B85" w14:textId="77777777" w:rsidR="000A2482" w:rsidRPr="007B6B33" w:rsidRDefault="000A2482" w:rsidP="007F1480">
      <w:pPr>
        <w:ind w:left="0" w:right="32" w:firstLine="0"/>
        <w:rPr>
          <w:color w:val="auto"/>
        </w:rPr>
      </w:pPr>
    </w:p>
    <w:p w14:paraId="6D24DE43" w14:textId="033E0DC6" w:rsidR="000F075B" w:rsidRPr="007B6B33" w:rsidRDefault="00046A56" w:rsidP="009E506A">
      <w:pPr>
        <w:spacing w:after="16"/>
        <w:ind w:left="0" w:right="32" w:firstLine="0"/>
      </w:pPr>
      <w:r w:rsidRPr="007B6B33">
        <w:tab/>
      </w:r>
      <w:r w:rsidRPr="007B6B33">
        <w:rPr>
          <w:i/>
        </w:rPr>
        <w:t xml:space="preserve">IAOC Self-Assessment </w:t>
      </w:r>
      <w:r w:rsidRPr="007B6B33">
        <w:t xml:space="preserve"> </w:t>
      </w:r>
    </w:p>
    <w:p w14:paraId="3A6F9173" w14:textId="77777777" w:rsidR="000F075B" w:rsidRPr="007B6B33" w:rsidRDefault="000F075B" w:rsidP="00623835">
      <w:pPr>
        <w:spacing w:after="0"/>
        <w:ind w:right="32"/>
      </w:pPr>
    </w:p>
    <w:p w14:paraId="6F19DFDF" w14:textId="251BC560" w:rsidR="000A2482" w:rsidRPr="007B6B33" w:rsidRDefault="00F8092A" w:rsidP="000C6E6B">
      <w:pPr>
        <w:numPr>
          <w:ilvl w:val="0"/>
          <w:numId w:val="4"/>
        </w:numPr>
        <w:ind w:left="0" w:right="32"/>
      </w:pPr>
      <w:r w:rsidRPr="007B6B33">
        <w:t>At its 71</w:t>
      </w:r>
      <w:r w:rsidRPr="007B6B33">
        <w:rPr>
          <w:vertAlign w:val="superscript"/>
        </w:rPr>
        <w:t>st</w:t>
      </w:r>
      <w:r w:rsidRPr="007B6B33">
        <w:t xml:space="preserve"> session, </w:t>
      </w:r>
      <w:r w:rsidR="00046A56" w:rsidRPr="007B6B33">
        <w:t xml:space="preserve">the Committee conducted </w:t>
      </w:r>
      <w:r w:rsidRPr="007B6B33">
        <w:t xml:space="preserve">its annual </w:t>
      </w:r>
      <w:r w:rsidR="00046A56" w:rsidRPr="007B6B33">
        <w:t xml:space="preserve">self-assessment </w:t>
      </w:r>
      <w:r w:rsidR="00A6250B" w:rsidRPr="007B6B33">
        <w:t>exer</w:t>
      </w:r>
      <w:r w:rsidR="00635B2A" w:rsidRPr="007B6B33">
        <w:t>cise</w:t>
      </w:r>
      <w:r w:rsidRPr="007B6B33">
        <w:t>, in accordan</w:t>
      </w:r>
      <w:r w:rsidR="000A2482" w:rsidRPr="007B6B33">
        <w:t xml:space="preserve">ce with the requirements of its </w:t>
      </w:r>
      <w:proofErr w:type="spellStart"/>
      <w:r w:rsidR="000A2482" w:rsidRPr="007B6B33">
        <w:t>ToR</w:t>
      </w:r>
      <w:proofErr w:type="spellEnd"/>
      <w:r w:rsidRPr="007B6B33">
        <w:t xml:space="preserve">.  </w:t>
      </w:r>
      <w:r w:rsidR="000A2482" w:rsidRPr="007B6B33">
        <w:t xml:space="preserve">The Committee decided to adopt the use of the </w:t>
      </w:r>
      <w:r w:rsidRPr="007B6B33">
        <w:t xml:space="preserve">Joint Inspection Unit’s (JIU) </w:t>
      </w:r>
      <w:r w:rsidR="000A2482" w:rsidRPr="007B6B33">
        <w:t>13 criteria for good practices for Audit and Oversight Committees in the United Nations system organizations.</w:t>
      </w:r>
      <w:r w:rsidR="00EA41C9" w:rsidRPr="007B6B33">
        <w:t xml:space="preserve">  </w:t>
      </w:r>
      <w:r w:rsidRPr="007B6B33">
        <w:t xml:space="preserve">Overall, the Committee concluded it was functioning effectively </w:t>
      </w:r>
      <w:r w:rsidR="0006161F">
        <w:t>in the</w:t>
      </w:r>
      <w:r w:rsidRPr="007B6B33">
        <w:t xml:space="preserve"> discharged </w:t>
      </w:r>
      <w:r w:rsidR="0006161F">
        <w:t xml:space="preserve">of </w:t>
      </w:r>
      <w:r w:rsidRPr="007B6B33">
        <w:t xml:space="preserve">its mandate.  </w:t>
      </w:r>
      <w:r w:rsidR="000C3FF9" w:rsidRPr="009E1905">
        <w:t>Nevertheless</w:t>
      </w:r>
      <w:r w:rsidRPr="007B6B33">
        <w:t xml:space="preserve">, </w:t>
      </w:r>
      <w:r w:rsidR="00836B06" w:rsidRPr="007B6B33">
        <w:t>several</w:t>
      </w:r>
      <w:r w:rsidR="000A2482" w:rsidRPr="007B6B33">
        <w:t xml:space="preserve"> possible improvements were agreed upon.  Among these </w:t>
      </w:r>
      <w:r w:rsidRPr="007B6B33">
        <w:t>we</w:t>
      </w:r>
      <w:r w:rsidR="000A2482" w:rsidRPr="007B6B33">
        <w:t xml:space="preserve">re the desire </w:t>
      </w:r>
      <w:r w:rsidR="00121617">
        <w:t xml:space="preserve">not only </w:t>
      </w:r>
      <w:r w:rsidR="000A2482" w:rsidRPr="007B6B33">
        <w:t xml:space="preserve">to brief the representatives of Member States in an information meeting, but also, starting from its </w:t>
      </w:r>
      <w:bookmarkStart w:id="9" w:name="_Hlk164952904"/>
      <w:r w:rsidR="000A2482" w:rsidRPr="007B6B33">
        <w:t>71</w:t>
      </w:r>
      <w:r w:rsidR="000A2482" w:rsidRPr="007B6B33">
        <w:rPr>
          <w:vertAlign w:val="superscript"/>
        </w:rPr>
        <w:t>st</w:t>
      </w:r>
      <w:r w:rsidR="000A2482" w:rsidRPr="007B6B33">
        <w:t xml:space="preserve"> </w:t>
      </w:r>
      <w:bookmarkEnd w:id="9"/>
      <w:r w:rsidR="000A2482" w:rsidRPr="007B6B33">
        <w:t xml:space="preserve">session, </w:t>
      </w:r>
      <w:r w:rsidR="00121617">
        <w:t>to</w:t>
      </w:r>
      <w:r w:rsidR="003E23F4" w:rsidRPr="007B6B33">
        <w:t xml:space="preserve"> </w:t>
      </w:r>
      <w:r w:rsidR="000A2482" w:rsidRPr="007B6B33">
        <w:t xml:space="preserve">debrief the Director General on </w:t>
      </w:r>
      <w:r w:rsidR="00DB6299">
        <w:t>the Committee’s</w:t>
      </w:r>
      <w:r w:rsidR="000A2482" w:rsidRPr="007B6B33">
        <w:t xml:space="preserve"> proceedings, which does not infringe on </w:t>
      </w:r>
      <w:r w:rsidR="00DB6299">
        <w:t>its</w:t>
      </w:r>
      <w:r w:rsidR="000A2482" w:rsidRPr="007B6B33">
        <w:t xml:space="preserve"> independence.  </w:t>
      </w:r>
      <w:r w:rsidR="00CB6166" w:rsidRPr="007B6B33">
        <w:t xml:space="preserve">The Committee agreed </w:t>
      </w:r>
      <w:r w:rsidR="00CB6166" w:rsidRPr="007B6B33">
        <w:rPr>
          <w:i/>
          <w:iCs/>
        </w:rPr>
        <w:t>inter alia</w:t>
      </w:r>
      <w:r w:rsidR="00CB6166" w:rsidRPr="007B6B33">
        <w:t xml:space="preserve"> to further improve </w:t>
      </w:r>
      <w:r w:rsidR="000A2482" w:rsidRPr="007B6B33">
        <w:t xml:space="preserve">the rolling agenda </w:t>
      </w:r>
      <w:r w:rsidR="00CB6166" w:rsidRPr="007B6B33">
        <w:t>it had previously used</w:t>
      </w:r>
      <w:r w:rsidR="000A2482" w:rsidRPr="007B6B33">
        <w:t xml:space="preserve"> as its annual workplan.</w:t>
      </w:r>
      <w:r w:rsidR="003E23F4" w:rsidRPr="007B6B33">
        <w:t xml:space="preserve"> The details of this assessment are attached to the 71</w:t>
      </w:r>
      <w:r w:rsidR="003E23F4" w:rsidRPr="007B6B33">
        <w:rPr>
          <w:vertAlign w:val="superscript"/>
        </w:rPr>
        <w:t xml:space="preserve">st  </w:t>
      </w:r>
      <w:r w:rsidR="003E23F4" w:rsidRPr="007B6B33">
        <w:t xml:space="preserve"> Session Report</w:t>
      </w:r>
    </w:p>
    <w:p w14:paraId="5A3CA09C" w14:textId="4EAE6991" w:rsidR="000A2482" w:rsidRPr="007B6B33" w:rsidRDefault="000A2482" w:rsidP="00142481">
      <w:pPr>
        <w:pStyle w:val="ListParagraph"/>
        <w:ind w:left="0" w:right="32" w:firstLine="0"/>
      </w:pPr>
    </w:p>
    <w:p w14:paraId="6A23422A" w14:textId="77777777" w:rsidR="000F075B" w:rsidRPr="007B6B33" w:rsidRDefault="00046A56" w:rsidP="005C2B55">
      <w:pPr>
        <w:pStyle w:val="Heading1"/>
        <w:tabs>
          <w:tab w:val="center" w:pos="2810"/>
        </w:tabs>
        <w:ind w:left="0" w:right="32" w:firstLine="0"/>
      </w:pPr>
      <w:bookmarkStart w:id="10" w:name="_Toc164688953"/>
      <w:r w:rsidRPr="007B6B33">
        <w:t xml:space="preserve">III.  </w:t>
      </w:r>
      <w:r w:rsidRPr="007B6B33">
        <w:tab/>
        <w:t>MATTERS DISCUSSED AND REVIEWED</w:t>
      </w:r>
      <w:bookmarkEnd w:id="10"/>
      <w:r w:rsidRPr="007B6B33">
        <w:t xml:space="preserve">  </w:t>
      </w:r>
    </w:p>
    <w:p w14:paraId="65AE3B0B" w14:textId="77777777" w:rsidR="000F075B" w:rsidRPr="007B6B33" w:rsidRDefault="000F075B" w:rsidP="00623835">
      <w:pPr>
        <w:spacing w:after="0"/>
        <w:ind w:right="32"/>
      </w:pPr>
    </w:p>
    <w:p w14:paraId="681C0383" w14:textId="77777777" w:rsidR="000F075B" w:rsidRPr="007B6B33" w:rsidRDefault="00046A56" w:rsidP="005A1A01">
      <w:pPr>
        <w:pStyle w:val="Heading2"/>
        <w:tabs>
          <w:tab w:val="center" w:pos="1589"/>
        </w:tabs>
        <w:ind w:left="0" w:firstLine="0"/>
      </w:pPr>
      <w:bookmarkStart w:id="11" w:name="_Toc164688954"/>
      <w:r w:rsidRPr="007B6B33">
        <w:rPr>
          <w:u w:val="none"/>
        </w:rPr>
        <w:t xml:space="preserve">A.  </w:t>
      </w:r>
      <w:r w:rsidRPr="007B6B33">
        <w:rPr>
          <w:u w:val="none"/>
        </w:rPr>
        <w:tab/>
      </w:r>
      <w:r w:rsidRPr="007B6B33">
        <w:t>Internal Oversight</w:t>
      </w:r>
      <w:bookmarkEnd w:id="11"/>
      <w:r w:rsidRPr="007B6B33">
        <w:rPr>
          <w:u w:val="none"/>
        </w:rPr>
        <w:t xml:space="preserve">  </w:t>
      </w:r>
    </w:p>
    <w:p w14:paraId="15BFB5B9" w14:textId="77777777" w:rsidR="003545B0" w:rsidRPr="007B6B33" w:rsidRDefault="003545B0" w:rsidP="005A1A01">
      <w:pPr>
        <w:spacing w:after="0"/>
        <w:ind w:right="0"/>
      </w:pPr>
    </w:p>
    <w:p w14:paraId="582865C6" w14:textId="073950C3" w:rsidR="000F075B" w:rsidRPr="007B6B33" w:rsidRDefault="00046A56" w:rsidP="005A1A01">
      <w:pPr>
        <w:pStyle w:val="Heading5"/>
        <w:tabs>
          <w:tab w:val="center" w:pos="1440"/>
        </w:tabs>
        <w:ind w:left="720" w:firstLine="0"/>
      </w:pPr>
      <w:r w:rsidRPr="007B6B33">
        <w:tab/>
        <w:t xml:space="preserve">Internal Oversight Plan  </w:t>
      </w:r>
    </w:p>
    <w:p w14:paraId="20D53DD0" w14:textId="77777777" w:rsidR="000F075B" w:rsidRPr="007B6B33" w:rsidRDefault="000F075B" w:rsidP="005A1A01">
      <w:pPr>
        <w:spacing w:after="16"/>
        <w:ind w:left="1" w:right="0" w:firstLine="0"/>
      </w:pPr>
      <w:bookmarkStart w:id="12" w:name="_Hlk164773857"/>
    </w:p>
    <w:p w14:paraId="2FB12915" w14:textId="13B2FFEA" w:rsidR="003545B0" w:rsidRPr="007B6B33" w:rsidRDefault="0043785A" w:rsidP="005A1A01">
      <w:pPr>
        <w:numPr>
          <w:ilvl w:val="0"/>
          <w:numId w:val="4"/>
        </w:numPr>
        <w:spacing w:after="0"/>
        <w:ind w:left="0" w:right="0"/>
      </w:pPr>
      <w:r w:rsidRPr="007B6B33">
        <w:t>T</w:t>
      </w:r>
      <w:r w:rsidR="00046A56" w:rsidRPr="007B6B33">
        <w:t xml:space="preserve">he Committee reviewed the implementation </w:t>
      </w:r>
      <w:r w:rsidRPr="007B6B33">
        <w:t>of the 202</w:t>
      </w:r>
      <w:r w:rsidR="006B378B" w:rsidRPr="007B6B33">
        <w:t>3</w:t>
      </w:r>
      <w:r w:rsidRPr="007B6B33">
        <w:t xml:space="preserve"> Oversight Annual Workplan</w:t>
      </w:r>
      <w:r w:rsidR="009945E9" w:rsidRPr="007B6B33">
        <w:t>,</w:t>
      </w:r>
      <w:r w:rsidRPr="007B6B33">
        <w:t xml:space="preserve"> </w:t>
      </w:r>
      <w:r w:rsidR="00046A56" w:rsidRPr="007B6B33">
        <w:t xml:space="preserve">based on quarterly </w:t>
      </w:r>
      <w:r w:rsidR="00B143E7">
        <w:t>Internal Oversight Division (</w:t>
      </w:r>
      <w:r w:rsidR="00046A56" w:rsidRPr="007B6B33">
        <w:t>IOD</w:t>
      </w:r>
      <w:r w:rsidR="00B143E7">
        <w:t>)</w:t>
      </w:r>
      <w:r w:rsidR="00046A56" w:rsidRPr="007B6B33">
        <w:t xml:space="preserve"> Activity Reports submitted for each session.</w:t>
      </w:r>
      <w:r w:rsidR="00F37A3F" w:rsidRPr="007B6B33">
        <w:t xml:space="preserve">  </w:t>
      </w:r>
      <w:r w:rsidR="00331129" w:rsidRPr="007B6B33">
        <w:t>At the 72</w:t>
      </w:r>
      <w:r w:rsidR="00331129" w:rsidRPr="007B6B33">
        <w:rPr>
          <w:vertAlign w:val="superscript"/>
        </w:rPr>
        <w:t>nd</w:t>
      </w:r>
      <w:r w:rsidR="00331129" w:rsidRPr="007B6B33">
        <w:t xml:space="preserve"> session, t</w:t>
      </w:r>
      <w:r w:rsidR="00331129" w:rsidRPr="007B6B33">
        <w:rPr>
          <w:color w:val="auto"/>
        </w:rPr>
        <w:t>he Director, IOD, presented to the Committee the draft 2023 Annual Report.</w:t>
      </w:r>
      <w:r w:rsidR="00AD3A29">
        <w:rPr>
          <w:color w:val="auto"/>
        </w:rPr>
        <w:t xml:space="preserve"> </w:t>
      </w:r>
      <w:r w:rsidR="00331129" w:rsidRPr="007B6B33">
        <w:rPr>
          <w:color w:val="auto"/>
        </w:rPr>
        <w:t xml:space="preserve"> </w:t>
      </w:r>
      <w:r w:rsidR="003E23F4" w:rsidRPr="007B6B33">
        <w:rPr>
          <w:color w:val="auto"/>
        </w:rPr>
        <w:t>The Committee also reviewed and approved the 2024 Workplan.</w:t>
      </w:r>
      <w:r w:rsidR="00AD3A29">
        <w:rPr>
          <w:color w:val="auto"/>
        </w:rPr>
        <w:t xml:space="preserve"> </w:t>
      </w:r>
      <w:r w:rsidR="00331129" w:rsidRPr="007B6B33">
        <w:rPr>
          <w:color w:val="auto"/>
        </w:rPr>
        <w:t xml:space="preserve"> The Committee noted </w:t>
      </w:r>
      <w:r w:rsidR="00331129" w:rsidRPr="007B6B33">
        <w:rPr>
          <w:color w:val="000000" w:themeColor="text1"/>
        </w:rPr>
        <w:t xml:space="preserve">that during the </w:t>
      </w:r>
      <w:r w:rsidR="00316A50" w:rsidRPr="007B6B33">
        <w:rPr>
          <w:color w:val="000000" w:themeColor="text1"/>
        </w:rPr>
        <w:t>reporting</w:t>
      </w:r>
      <w:r w:rsidR="003E23F4" w:rsidRPr="007B6B33">
        <w:rPr>
          <w:color w:val="000000" w:themeColor="text1"/>
        </w:rPr>
        <w:t xml:space="preserve"> period covered by the Annual Report</w:t>
      </w:r>
      <w:r w:rsidR="00331129" w:rsidRPr="007B6B33">
        <w:rPr>
          <w:color w:val="000000" w:themeColor="text1"/>
        </w:rPr>
        <w:t>, IOD issued s</w:t>
      </w:r>
      <w:r w:rsidR="00316A50" w:rsidRPr="007B6B33">
        <w:rPr>
          <w:color w:val="000000" w:themeColor="text1"/>
        </w:rPr>
        <w:t>even</w:t>
      </w:r>
      <w:r w:rsidR="00331129" w:rsidRPr="007B6B33">
        <w:rPr>
          <w:color w:val="000000" w:themeColor="text1"/>
        </w:rPr>
        <w:t xml:space="preserve"> internal audit reports, two evaluation reports, 14 full </w:t>
      </w:r>
      <w:r w:rsidR="00331129" w:rsidRPr="007B6B33">
        <w:rPr>
          <w:color w:val="auto"/>
        </w:rPr>
        <w:t>investigation reports, and three Management Implication Reports.  The Committee also noted that IOD made 45 recommendations and closed 78 recommendations in the reporting period.</w:t>
      </w:r>
      <w:r w:rsidR="00FF5C79" w:rsidRPr="007B6B33">
        <w:rPr>
          <w:color w:val="auto"/>
        </w:rPr>
        <w:t xml:space="preserve">  </w:t>
      </w:r>
      <w:r w:rsidR="00C755A8" w:rsidRPr="007B6B33">
        <w:rPr>
          <w:bCs/>
          <w:color w:val="auto"/>
        </w:rPr>
        <w:t>The Committee reviewed the trends in the number of potential misconduct complaints and requested a more consistent use of terms in the report regarding complaints and investigation cases</w:t>
      </w:r>
      <w:r w:rsidR="00D65B04" w:rsidRPr="007B6B33">
        <w:rPr>
          <w:bCs/>
          <w:color w:val="auto"/>
        </w:rPr>
        <w:t>, since not all complaints result in investigations</w:t>
      </w:r>
      <w:r w:rsidR="00AD3A29">
        <w:rPr>
          <w:bCs/>
          <w:color w:val="auto"/>
        </w:rPr>
        <w:t>.</w:t>
      </w:r>
      <w:r w:rsidR="003E32F9" w:rsidRPr="007B6B33">
        <w:rPr>
          <w:bCs/>
          <w:color w:val="auto"/>
        </w:rPr>
        <w:t xml:space="preserve"> </w:t>
      </w:r>
      <w:r w:rsidR="00AD3A29">
        <w:rPr>
          <w:bCs/>
          <w:color w:val="auto"/>
        </w:rPr>
        <w:t xml:space="preserve"> </w:t>
      </w:r>
      <w:r w:rsidR="00C755A8" w:rsidRPr="007B6B33">
        <w:rPr>
          <w:bCs/>
          <w:color w:val="auto"/>
        </w:rPr>
        <w:t xml:space="preserve">The Committee also noted that IOD had </w:t>
      </w:r>
      <w:proofErr w:type="gramStart"/>
      <w:r w:rsidR="00C755A8" w:rsidRPr="007B6B33">
        <w:rPr>
          <w:bCs/>
          <w:color w:val="auto"/>
        </w:rPr>
        <w:t xml:space="preserve">a </w:t>
      </w:r>
      <w:r w:rsidR="00D65B04" w:rsidRPr="007B6B33">
        <w:rPr>
          <w:bCs/>
          <w:color w:val="auto"/>
        </w:rPr>
        <w:t>number of</w:t>
      </w:r>
      <w:proofErr w:type="gramEnd"/>
      <w:r w:rsidR="00D65B04" w:rsidRPr="007B6B33">
        <w:rPr>
          <w:bCs/>
          <w:color w:val="auto"/>
        </w:rPr>
        <w:t xml:space="preserve"> </w:t>
      </w:r>
      <w:r w:rsidR="00C755A8" w:rsidRPr="007B6B33">
        <w:rPr>
          <w:bCs/>
          <w:color w:val="auto"/>
        </w:rPr>
        <w:t>key vacant positions and had developed plans for handling the workload and for filling the vacancies in due course</w:t>
      </w:r>
      <w:r w:rsidR="00FF5C79" w:rsidRPr="007B6B33">
        <w:rPr>
          <w:bCs/>
          <w:color w:val="auto"/>
        </w:rPr>
        <w:t xml:space="preserve">.  </w:t>
      </w:r>
      <w:r w:rsidR="00531F44" w:rsidRPr="007B6B33">
        <w:t>Regarding</w:t>
      </w:r>
      <w:r w:rsidRPr="007B6B33">
        <w:t xml:space="preserve"> the 202</w:t>
      </w:r>
      <w:r w:rsidR="006B378B" w:rsidRPr="007B6B33">
        <w:t>4</w:t>
      </w:r>
      <w:r w:rsidRPr="007B6B33">
        <w:t xml:space="preserve"> Oversight Annual Workplan, t</w:t>
      </w:r>
      <w:r w:rsidR="003545B0" w:rsidRPr="007B6B33">
        <w:t xml:space="preserve">he Committee </w:t>
      </w:r>
      <w:r w:rsidR="00490007" w:rsidRPr="007B6B33">
        <w:t xml:space="preserve">considered </w:t>
      </w:r>
      <w:r w:rsidR="00FA2F70" w:rsidRPr="007B6B33">
        <w:t>it</w:t>
      </w:r>
      <w:r w:rsidR="00490007" w:rsidRPr="007B6B33">
        <w:t xml:space="preserve"> to be well</w:t>
      </w:r>
      <w:r w:rsidR="00676199" w:rsidRPr="007B6B33">
        <w:t>-</w:t>
      </w:r>
      <w:r w:rsidR="00490007" w:rsidRPr="007B6B33">
        <w:t>elaborated</w:t>
      </w:r>
      <w:r w:rsidR="003545B0" w:rsidRPr="007B6B33">
        <w:t xml:space="preserve"> and </w:t>
      </w:r>
      <w:r w:rsidR="00490007" w:rsidRPr="007B6B33">
        <w:t>note</w:t>
      </w:r>
      <w:r w:rsidR="00554C54" w:rsidRPr="007B6B33">
        <w:t>d</w:t>
      </w:r>
      <w:r w:rsidR="0085480A" w:rsidRPr="007B6B33">
        <w:t xml:space="preserve"> that it was better aligned to the Medium-Term Strategic Plan, and that IOD </w:t>
      </w:r>
      <w:r w:rsidR="00D65B04" w:rsidRPr="007B6B33">
        <w:t>had</w:t>
      </w:r>
      <w:r w:rsidR="0085480A" w:rsidRPr="007B6B33">
        <w:t xml:space="preserve"> engaged in extensive consultations prior to </w:t>
      </w:r>
      <w:r w:rsidR="0006269A" w:rsidRPr="007B6B33">
        <w:t xml:space="preserve">its </w:t>
      </w:r>
      <w:r w:rsidR="0085480A" w:rsidRPr="007B6B33">
        <w:t>develop</w:t>
      </w:r>
      <w:r w:rsidR="0006269A" w:rsidRPr="007B6B33">
        <w:t>ment</w:t>
      </w:r>
      <w:r w:rsidR="0085480A" w:rsidRPr="007B6B33">
        <w:t xml:space="preserve">.  </w:t>
      </w:r>
    </w:p>
    <w:p w14:paraId="3A81E046" w14:textId="77777777" w:rsidR="000F075B" w:rsidRDefault="000F075B" w:rsidP="001B0DEA">
      <w:pPr>
        <w:spacing w:after="0"/>
        <w:ind w:right="32"/>
      </w:pPr>
    </w:p>
    <w:p w14:paraId="72D63BBA" w14:textId="1E263FFE" w:rsidR="00C7673B" w:rsidRDefault="00C7673B">
      <w:pPr>
        <w:spacing w:after="160"/>
        <w:ind w:left="0" w:right="0" w:firstLine="0"/>
      </w:pPr>
      <w:r>
        <w:br w:type="page"/>
      </w:r>
    </w:p>
    <w:p w14:paraId="2385A883" w14:textId="77777777" w:rsidR="000F075B" w:rsidRPr="007B6B33" w:rsidRDefault="00046A56" w:rsidP="005C2B55">
      <w:pPr>
        <w:pStyle w:val="Heading5"/>
        <w:ind w:left="715" w:right="32"/>
      </w:pPr>
      <w:r w:rsidRPr="007B6B33">
        <w:lastRenderedPageBreak/>
        <w:t>Internal Audit</w:t>
      </w:r>
    </w:p>
    <w:p w14:paraId="599E5D37" w14:textId="77777777" w:rsidR="000F075B" w:rsidRPr="007B6B33" w:rsidRDefault="000F075B" w:rsidP="001B0DEA">
      <w:pPr>
        <w:spacing w:after="14"/>
        <w:ind w:right="32"/>
      </w:pPr>
    </w:p>
    <w:p w14:paraId="2B6AE697" w14:textId="356FC3E6" w:rsidR="000F075B" w:rsidRPr="007B6B33" w:rsidRDefault="00046A56" w:rsidP="009E506A">
      <w:pPr>
        <w:pStyle w:val="ListParagraph"/>
        <w:numPr>
          <w:ilvl w:val="0"/>
          <w:numId w:val="4"/>
        </w:numPr>
        <w:ind w:left="0" w:right="32"/>
      </w:pPr>
      <w:r w:rsidRPr="007B6B33">
        <w:rPr>
          <w:color w:val="auto"/>
        </w:rPr>
        <w:t xml:space="preserve">During the reporting period, the Committee reviewed, together with IOD and </w:t>
      </w:r>
      <w:r w:rsidR="00C47908" w:rsidRPr="007B6B33">
        <w:rPr>
          <w:color w:val="auto"/>
        </w:rPr>
        <w:t>the Secretar</w:t>
      </w:r>
      <w:r w:rsidR="00265435" w:rsidRPr="007B6B33">
        <w:rPr>
          <w:color w:val="auto"/>
        </w:rPr>
        <w:t>i</w:t>
      </w:r>
      <w:r w:rsidR="00C47908" w:rsidRPr="007B6B33">
        <w:rPr>
          <w:color w:val="auto"/>
        </w:rPr>
        <w:t>at</w:t>
      </w:r>
      <w:r w:rsidRPr="007B6B33">
        <w:rPr>
          <w:color w:val="auto"/>
        </w:rPr>
        <w:t>,</w:t>
      </w:r>
      <w:r w:rsidR="00F37CC4" w:rsidRPr="007B6B33">
        <w:rPr>
          <w:color w:val="auto"/>
        </w:rPr>
        <w:t xml:space="preserve"> </w:t>
      </w:r>
      <w:r w:rsidR="000F68D1" w:rsidRPr="007B6B33">
        <w:rPr>
          <w:color w:val="auto"/>
        </w:rPr>
        <w:t>s</w:t>
      </w:r>
      <w:r w:rsidR="00316A50" w:rsidRPr="007B6B33">
        <w:rPr>
          <w:color w:val="auto"/>
        </w:rPr>
        <w:t xml:space="preserve">even </w:t>
      </w:r>
      <w:r w:rsidR="00F37CC4" w:rsidRPr="007B6B33">
        <w:rPr>
          <w:color w:val="auto"/>
        </w:rPr>
        <w:t>audit reports</w:t>
      </w:r>
      <w:r w:rsidR="00A36DC9" w:rsidRPr="007B6B33">
        <w:rPr>
          <w:color w:val="auto"/>
        </w:rPr>
        <w:t xml:space="preserve">.  </w:t>
      </w:r>
      <w:r w:rsidR="00AA0D0C">
        <w:rPr>
          <w:color w:val="auto"/>
        </w:rPr>
        <w:t>Some of t</w:t>
      </w:r>
      <w:r w:rsidR="00AA0D0C" w:rsidRPr="007B6B33">
        <w:rPr>
          <w:color w:val="auto"/>
        </w:rPr>
        <w:t xml:space="preserve">hese </w:t>
      </w:r>
      <w:r w:rsidR="003E29D4" w:rsidRPr="007B6B33">
        <w:t xml:space="preserve">were </w:t>
      </w:r>
      <w:r w:rsidRPr="007B6B33">
        <w:t>published in unredacted format on the WIPO website, in line with IOD’s Report Publication Policy (IOD/PP/2017).</w:t>
      </w:r>
      <w:r w:rsidR="001B0DEA" w:rsidRPr="007B6B33">
        <w:t xml:space="preserve"> </w:t>
      </w:r>
    </w:p>
    <w:p w14:paraId="3F1D0001" w14:textId="77777777" w:rsidR="000F075B" w:rsidRPr="007B6B33" w:rsidRDefault="000F075B" w:rsidP="001B0DEA">
      <w:pPr>
        <w:spacing w:after="16"/>
        <w:ind w:right="32"/>
      </w:pPr>
    </w:p>
    <w:p w14:paraId="64BD0A04" w14:textId="1C5DD3B1" w:rsidR="004E2861" w:rsidRPr="007B6B33" w:rsidRDefault="004E2861" w:rsidP="008938BF">
      <w:pPr>
        <w:numPr>
          <w:ilvl w:val="1"/>
          <w:numId w:val="23"/>
        </w:numPr>
        <w:ind w:right="32" w:hanging="360"/>
      </w:pPr>
      <w:r w:rsidRPr="007B6B33">
        <w:t>Audit and Evaluation of the Patent Cooperation Treaty (PCT) Operations and Customer Relations - Part I:  Audit of PCT Operations (IOD Ref</w:t>
      </w:r>
      <w:r w:rsidR="008B0AFC" w:rsidRPr="007B6B33">
        <w:t>.</w:t>
      </w:r>
      <w:r w:rsidRPr="007B6B33">
        <w:t>:  IA 2022-05)</w:t>
      </w:r>
    </w:p>
    <w:p w14:paraId="5695F556" w14:textId="568EDEFA" w:rsidR="000F075B" w:rsidRPr="007B6B33" w:rsidRDefault="004E2861" w:rsidP="009E506A">
      <w:pPr>
        <w:numPr>
          <w:ilvl w:val="1"/>
          <w:numId w:val="23"/>
        </w:numPr>
        <w:ind w:right="32" w:hanging="360"/>
      </w:pPr>
      <w:r w:rsidRPr="007B6B33">
        <w:t xml:space="preserve">Audit </w:t>
      </w:r>
      <w:r w:rsidR="0085480A" w:rsidRPr="007B6B33">
        <w:t xml:space="preserve">of </w:t>
      </w:r>
      <w:r w:rsidR="00706463" w:rsidRPr="007B6B33">
        <w:t xml:space="preserve">the WIPO Global Innovation Index </w:t>
      </w:r>
      <w:r w:rsidRPr="007B6B33">
        <w:t xml:space="preserve">(GII) </w:t>
      </w:r>
      <w:r w:rsidR="00046A56" w:rsidRPr="007B6B33">
        <w:t>(</w:t>
      </w:r>
      <w:r w:rsidR="00E36620" w:rsidRPr="007B6B33">
        <w:t>IOD Ref</w:t>
      </w:r>
      <w:r w:rsidR="008B0AFC" w:rsidRPr="007B6B33">
        <w:t>.</w:t>
      </w:r>
      <w:r w:rsidR="00E36620" w:rsidRPr="007B6B33">
        <w:t>:</w:t>
      </w:r>
      <w:r w:rsidR="00615687" w:rsidRPr="007B6B33">
        <w:t xml:space="preserve"> </w:t>
      </w:r>
      <w:r w:rsidR="00E36620" w:rsidRPr="007B6B33">
        <w:t xml:space="preserve"> </w:t>
      </w:r>
      <w:r w:rsidR="00046A56" w:rsidRPr="007B6B33">
        <w:t>IA 20</w:t>
      </w:r>
      <w:r w:rsidR="003545B0" w:rsidRPr="007B6B33">
        <w:t>2</w:t>
      </w:r>
      <w:r w:rsidR="0085480A" w:rsidRPr="007B6B33">
        <w:t>2</w:t>
      </w:r>
      <w:r w:rsidR="00046A56" w:rsidRPr="007B6B33">
        <w:t>-0</w:t>
      </w:r>
      <w:r w:rsidR="00706463" w:rsidRPr="007B6B33">
        <w:t>3</w:t>
      </w:r>
      <w:r w:rsidR="00046A56" w:rsidRPr="007B6B33">
        <w:t xml:space="preserve">) </w:t>
      </w:r>
    </w:p>
    <w:p w14:paraId="3CFF076A" w14:textId="420D0712" w:rsidR="00F37CC4" w:rsidRPr="007B6B33" w:rsidRDefault="004906F7" w:rsidP="009E506A">
      <w:pPr>
        <w:numPr>
          <w:ilvl w:val="1"/>
          <w:numId w:val="23"/>
        </w:numPr>
        <w:ind w:right="32" w:hanging="360"/>
      </w:pPr>
      <w:r w:rsidRPr="007B6B33">
        <w:rPr>
          <w:rFonts w:eastAsia="Times New Roman"/>
          <w:color w:val="000000" w:themeColor="text1"/>
        </w:rPr>
        <w:t xml:space="preserve">Validation of </w:t>
      </w:r>
      <w:r w:rsidR="008B0AFC" w:rsidRPr="007B6B33">
        <w:rPr>
          <w:rFonts w:eastAsia="Times New Roman"/>
          <w:color w:val="000000" w:themeColor="text1"/>
        </w:rPr>
        <w:t xml:space="preserve">the </w:t>
      </w:r>
      <w:r w:rsidRPr="007B6B33">
        <w:rPr>
          <w:rFonts w:eastAsia="Times New Roman"/>
          <w:color w:val="000000" w:themeColor="text1"/>
        </w:rPr>
        <w:t>After</w:t>
      </w:r>
      <w:r w:rsidR="008B0AFC" w:rsidRPr="007B6B33">
        <w:rPr>
          <w:rFonts w:eastAsia="Times New Roman"/>
          <w:color w:val="000000" w:themeColor="text1"/>
        </w:rPr>
        <w:t>-</w:t>
      </w:r>
      <w:r w:rsidRPr="007B6B33">
        <w:rPr>
          <w:rFonts w:eastAsia="Times New Roman"/>
          <w:color w:val="000000" w:themeColor="text1"/>
        </w:rPr>
        <w:t xml:space="preserve">Service Health Insurance (ASHI) Claims Data </w:t>
      </w:r>
      <w:r w:rsidRPr="007B6B33">
        <w:rPr>
          <w:rFonts w:eastAsia="Times New Roman"/>
          <w:color w:val="000000" w:themeColor="text1"/>
        </w:rPr>
        <w:br/>
      </w:r>
      <w:r w:rsidR="00F37CC4" w:rsidRPr="007B6B33">
        <w:rPr>
          <w:rFonts w:eastAsia="Times New Roman"/>
          <w:color w:val="000000" w:themeColor="text1"/>
        </w:rPr>
        <w:t>(</w:t>
      </w:r>
      <w:r w:rsidR="00E36620" w:rsidRPr="007B6B33">
        <w:rPr>
          <w:rFonts w:eastAsia="Times New Roman"/>
          <w:color w:val="000000" w:themeColor="text1"/>
        </w:rPr>
        <w:t>IOD Ref</w:t>
      </w:r>
      <w:r w:rsidR="008B0AFC" w:rsidRPr="007B6B33">
        <w:rPr>
          <w:rFonts w:eastAsia="Times New Roman"/>
          <w:color w:val="000000" w:themeColor="text1"/>
        </w:rPr>
        <w:t>.</w:t>
      </w:r>
      <w:r w:rsidR="00E36620" w:rsidRPr="007B6B33">
        <w:rPr>
          <w:rFonts w:eastAsia="Times New Roman"/>
          <w:color w:val="000000" w:themeColor="text1"/>
        </w:rPr>
        <w:t xml:space="preserve">:  </w:t>
      </w:r>
      <w:r w:rsidR="00F37CC4" w:rsidRPr="007B6B33">
        <w:rPr>
          <w:rFonts w:eastAsia="Times New Roman"/>
          <w:color w:val="000000" w:themeColor="text1"/>
        </w:rPr>
        <w:t>IA 202</w:t>
      </w:r>
      <w:r w:rsidR="008B0AFC" w:rsidRPr="007B6B33">
        <w:rPr>
          <w:rFonts w:eastAsia="Times New Roman"/>
          <w:color w:val="000000" w:themeColor="text1"/>
        </w:rPr>
        <w:t>3</w:t>
      </w:r>
      <w:r w:rsidR="00F37CC4" w:rsidRPr="007B6B33">
        <w:rPr>
          <w:rFonts w:eastAsia="Times New Roman"/>
          <w:color w:val="000000" w:themeColor="text1"/>
        </w:rPr>
        <w:t>-0</w:t>
      </w:r>
      <w:r w:rsidRPr="007B6B33">
        <w:rPr>
          <w:rFonts w:eastAsia="Times New Roman"/>
          <w:color w:val="000000" w:themeColor="text1"/>
        </w:rPr>
        <w:t>6</w:t>
      </w:r>
      <w:r w:rsidR="00F37CC4" w:rsidRPr="007B6B33">
        <w:rPr>
          <w:rFonts w:eastAsia="Times New Roman"/>
          <w:color w:val="000000" w:themeColor="text1"/>
        </w:rPr>
        <w:t>)</w:t>
      </w:r>
    </w:p>
    <w:p w14:paraId="74FAA1F7" w14:textId="77777777" w:rsidR="008B0AFC" w:rsidRPr="007B6B33" w:rsidRDefault="008B0AFC" w:rsidP="008B0AFC">
      <w:pPr>
        <w:numPr>
          <w:ilvl w:val="1"/>
          <w:numId w:val="23"/>
        </w:numPr>
        <w:ind w:right="32" w:hanging="360"/>
      </w:pPr>
      <w:r w:rsidRPr="007B6B33">
        <w:t>Review of the WIPO Singapore Office (IOD Ref.:  IA 2023-03)</w:t>
      </w:r>
    </w:p>
    <w:p w14:paraId="1C697CE6" w14:textId="6F70929E" w:rsidR="000F68D1" w:rsidRPr="007B6B33" w:rsidRDefault="000F68D1" w:rsidP="009E506A">
      <w:pPr>
        <w:numPr>
          <w:ilvl w:val="1"/>
          <w:numId w:val="23"/>
        </w:numPr>
        <w:ind w:right="32" w:hanging="360"/>
      </w:pPr>
      <w:r w:rsidRPr="007B6B33">
        <w:t>Audit of the Madrid Registry (IOD Ref</w:t>
      </w:r>
      <w:r w:rsidR="008B0AFC" w:rsidRPr="007B6B33">
        <w:t>.</w:t>
      </w:r>
      <w:r w:rsidRPr="007B6B33">
        <w:t>:</w:t>
      </w:r>
      <w:r w:rsidR="008B0AFC" w:rsidRPr="007B6B33">
        <w:t xml:space="preserve"> </w:t>
      </w:r>
      <w:r w:rsidRPr="007B6B33">
        <w:t xml:space="preserve"> IA 2023-01)</w:t>
      </w:r>
    </w:p>
    <w:p w14:paraId="2B07F351" w14:textId="63AB5714" w:rsidR="000F68D1" w:rsidRPr="007B6B33" w:rsidRDefault="000F68D1" w:rsidP="009E506A">
      <w:pPr>
        <w:numPr>
          <w:ilvl w:val="1"/>
          <w:numId w:val="23"/>
        </w:numPr>
        <w:ind w:right="32" w:hanging="360"/>
      </w:pPr>
      <w:r w:rsidRPr="007B6B33">
        <w:t xml:space="preserve">Audit of the Implementation of the WIPO Data Privacy Policy and Standards </w:t>
      </w:r>
      <w:r w:rsidR="00316A50" w:rsidRPr="007B6B33">
        <w:br/>
      </w:r>
      <w:r w:rsidRPr="007B6B33">
        <w:t>(IOD Ref</w:t>
      </w:r>
      <w:r w:rsidR="00316A50" w:rsidRPr="007B6B33">
        <w:t>.</w:t>
      </w:r>
      <w:r w:rsidRPr="007B6B33">
        <w:t>: IA 2023-04)</w:t>
      </w:r>
    </w:p>
    <w:p w14:paraId="1DDA7672" w14:textId="77777777" w:rsidR="008B0AFC" w:rsidRPr="007B6B33" w:rsidRDefault="008B0AFC" w:rsidP="008B0AFC">
      <w:pPr>
        <w:numPr>
          <w:ilvl w:val="1"/>
          <w:numId w:val="23"/>
        </w:numPr>
        <w:ind w:right="32" w:hanging="360"/>
      </w:pPr>
      <w:r w:rsidRPr="007B6B33">
        <w:t>Audit of Cloud Management (IOD Ref.:  IA 2023-02)</w:t>
      </w:r>
    </w:p>
    <w:p w14:paraId="708F5CFE" w14:textId="77777777" w:rsidR="00B30B74" w:rsidRDefault="00B30B74" w:rsidP="005C2B55">
      <w:pPr>
        <w:spacing w:after="16"/>
        <w:ind w:left="1" w:right="32" w:firstLine="0"/>
      </w:pPr>
    </w:p>
    <w:p w14:paraId="367AA37F" w14:textId="59DEA8F9" w:rsidR="00D65B04" w:rsidRPr="008D050E" w:rsidRDefault="00D65B04" w:rsidP="00B30B74">
      <w:pPr>
        <w:spacing w:after="16"/>
        <w:ind w:left="1" w:right="32" w:firstLine="719"/>
        <w:rPr>
          <w:i/>
          <w:iCs/>
        </w:rPr>
      </w:pPr>
      <w:r w:rsidRPr="008D050E">
        <w:rPr>
          <w:i/>
          <w:iCs/>
        </w:rPr>
        <w:t>Evaluations</w:t>
      </w:r>
    </w:p>
    <w:p w14:paraId="7E560490" w14:textId="77777777" w:rsidR="00D65B04" w:rsidRPr="007B6B33" w:rsidRDefault="00D65B04" w:rsidP="005C2B55">
      <w:pPr>
        <w:spacing w:after="16"/>
        <w:ind w:left="1" w:right="32" w:firstLine="0"/>
      </w:pPr>
    </w:p>
    <w:p w14:paraId="007A2BE0" w14:textId="6BA71758" w:rsidR="000F075B" w:rsidRPr="007B6B33" w:rsidRDefault="00046A56" w:rsidP="009E506A">
      <w:pPr>
        <w:pStyle w:val="ListParagraph"/>
        <w:numPr>
          <w:ilvl w:val="0"/>
          <w:numId w:val="4"/>
        </w:numPr>
        <w:ind w:left="0" w:right="32"/>
        <w:rPr>
          <w:color w:val="auto"/>
        </w:rPr>
      </w:pPr>
      <w:r w:rsidRPr="007B6B33">
        <w:rPr>
          <w:color w:val="auto"/>
        </w:rPr>
        <w:t xml:space="preserve">During the reporting period, the Committee reviewed, together with IOD and </w:t>
      </w:r>
      <w:r w:rsidR="000372C6" w:rsidRPr="007B6B33">
        <w:rPr>
          <w:color w:val="auto"/>
        </w:rPr>
        <w:t xml:space="preserve">the Secretariat, </w:t>
      </w:r>
      <w:r w:rsidR="004E25BC" w:rsidRPr="007B6B33">
        <w:rPr>
          <w:color w:val="auto"/>
        </w:rPr>
        <w:t>one evaluation report and one advisory report</w:t>
      </w:r>
      <w:r w:rsidRPr="007B6B33">
        <w:rPr>
          <w:color w:val="auto"/>
        </w:rPr>
        <w:t xml:space="preserve">: </w:t>
      </w:r>
    </w:p>
    <w:p w14:paraId="3422033F" w14:textId="77777777" w:rsidR="00F37CC4" w:rsidRPr="007B6B33" w:rsidRDefault="00F37CC4" w:rsidP="00F37CC4">
      <w:pPr>
        <w:ind w:right="32"/>
        <w:rPr>
          <w:color w:val="auto"/>
        </w:rPr>
      </w:pPr>
    </w:p>
    <w:p w14:paraId="7DFBA82B" w14:textId="39A34A9B" w:rsidR="000F075B" w:rsidRPr="007B6B33" w:rsidRDefault="00980E0F" w:rsidP="009E506A">
      <w:pPr>
        <w:numPr>
          <w:ilvl w:val="0"/>
          <w:numId w:val="24"/>
        </w:numPr>
        <w:ind w:right="32" w:hanging="427"/>
        <w:rPr>
          <w:color w:val="auto"/>
        </w:rPr>
      </w:pPr>
      <w:r w:rsidRPr="007B6B33">
        <w:rPr>
          <w:color w:val="auto"/>
        </w:rPr>
        <w:t>Learning from the Implementation of WIPO initiative aimed at Empowering Women Entrepreneurs</w:t>
      </w:r>
      <w:r w:rsidR="0085480A" w:rsidRPr="007B6B33">
        <w:rPr>
          <w:color w:val="auto"/>
        </w:rPr>
        <w:t xml:space="preserve"> </w:t>
      </w:r>
      <w:r w:rsidR="00046A56" w:rsidRPr="007B6B33">
        <w:rPr>
          <w:color w:val="auto"/>
        </w:rPr>
        <w:t>(</w:t>
      </w:r>
      <w:r w:rsidR="00E36620" w:rsidRPr="007B6B33">
        <w:rPr>
          <w:color w:val="auto"/>
        </w:rPr>
        <w:t xml:space="preserve">IOD </w:t>
      </w:r>
      <w:r w:rsidR="004E25BC" w:rsidRPr="007B6B33">
        <w:rPr>
          <w:color w:val="auto"/>
        </w:rPr>
        <w:t>Ref</w:t>
      </w:r>
      <w:r w:rsidR="00316A50" w:rsidRPr="007B6B33">
        <w:rPr>
          <w:color w:val="auto"/>
        </w:rPr>
        <w:t>.</w:t>
      </w:r>
      <w:r w:rsidR="004E25BC" w:rsidRPr="007B6B33">
        <w:rPr>
          <w:color w:val="auto"/>
        </w:rPr>
        <w:t xml:space="preserve">: </w:t>
      </w:r>
      <w:r w:rsidR="00626020" w:rsidRPr="007B6B33">
        <w:rPr>
          <w:color w:val="auto"/>
        </w:rPr>
        <w:t xml:space="preserve"> </w:t>
      </w:r>
      <w:r w:rsidR="004E25BC" w:rsidRPr="007B6B33">
        <w:rPr>
          <w:color w:val="auto"/>
        </w:rPr>
        <w:t>EVAL</w:t>
      </w:r>
      <w:r w:rsidR="00046A56" w:rsidRPr="007B6B33">
        <w:rPr>
          <w:color w:val="auto"/>
        </w:rPr>
        <w:t xml:space="preserve"> 20</w:t>
      </w:r>
      <w:r w:rsidR="003545B0" w:rsidRPr="007B6B33">
        <w:rPr>
          <w:color w:val="auto"/>
        </w:rPr>
        <w:t>2</w:t>
      </w:r>
      <w:r w:rsidRPr="007B6B33">
        <w:rPr>
          <w:color w:val="auto"/>
        </w:rPr>
        <w:t>2</w:t>
      </w:r>
      <w:r w:rsidR="00046A56" w:rsidRPr="007B6B33">
        <w:rPr>
          <w:color w:val="auto"/>
        </w:rPr>
        <w:t>-0</w:t>
      </w:r>
      <w:r w:rsidRPr="007B6B33">
        <w:rPr>
          <w:color w:val="auto"/>
        </w:rPr>
        <w:t>3</w:t>
      </w:r>
      <w:r w:rsidR="00046A56" w:rsidRPr="007B6B33">
        <w:rPr>
          <w:color w:val="auto"/>
        </w:rPr>
        <w:t xml:space="preserve">) </w:t>
      </w:r>
    </w:p>
    <w:p w14:paraId="2CAA7333" w14:textId="5C8D7A02" w:rsidR="00265435" w:rsidRPr="007B6B33" w:rsidRDefault="00316A50" w:rsidP="00265435">
      <w:pPr>
        <w:numPr>
          <w:ilvl w:val="0"/>
          <w:numId w:val="24"/>
        </w:numPr>
        <w:ind w:right="32" w:hanging="427"/>
      </w:pPr>
      <w:r w:rsidRPr="007B6B33">
        <w:t xml:space="preserve">Advisory:  Enabling a more inclusive and diverse environment in the Human Resources Recruitment Process </w:t>
      </w:r>
      <w:r w:rsidR="00265435" w:rsidRPr="007B6B33">
        <w:t>(IOD Ref</w:t>
      </w:r>
      <w:r w:rsidRPr="007B6B33">
        <w:t>.</w:t>
      </w:r>
      <w:r w:rsidR="00265435" w:rsidRPr="007B6B33">
        <w:t xml:space="preserve">:  </w:t>
      </w:r>
      <w:r w:rsidRPr="007B6B33">
        <w:t>EVAL</w:t>
      </w:r>
      <w:r w:rsidR="00265435" w:rsidRPr="007B6B33">
        <w:t xml:space="preserve"> 202</w:t>
      </w:r>
      <w:r w:rsidRPr="007B6B33">
        <w:t>3</w:t>
      </w:r>
      <w:r w:rsidR="00265435" w:rsidRPr="007B6B33">
        <w:t>-0</w:t>
      </w:r>
      <w:r w:rsidRPr="007B6B33">
        <w:t>4</w:t>
      </w:r>
      <w:r w:rsidR="00265435" w:rsidRPr="007B6B33">
        <w:t>)</w:t>
      </w:r>
    </w:p>
    <w:bookmarkEnd w:id="12"/>
    <w:p w14:paraId="4243F442" w14:textId="77777777" w:rsidR="000F68D1" w:rsidRPr="007B6B33" w:rsidRDefault="000F68D1" w:rsidP="005C2B55">
      <w:pPr>
        <w:pStyle w:val="Heading5"/>
        <w:tabs>
          <w:tab w:val="center" w:pos="1395"/>
        </w:tabs>
        <w:ind w:left="0" w:right="32" w:firstLine="0"/>
      </w:pPr>
    </w:p>
    <w:p w14:paraId="238897F2" w14:textId="51804E2D" w:rsidR="000F075B" w:rsidRPr="007B6B33" w:rsidRDefault="00046A56" w:rsidP="005C2B55">
      <w:pPr>
        <w:pStyle w:val="Heading5"/>
        <w:tabs>
          <w:tab w:val="center" w:pos="1395"/>
        </w:tabs>
        <w:ind w:left="0" w:right="32" w:firstLine="0"/>
      </w:pPr>
      <w:r w:rsidRPr="007B6B33">
        <w:t xml:space="preserve">  </w:t>
      </w:r>
      <w:r w:rsidRPr="007B6B33">
        <w:tab/>
      </w:r>
      <w:bookmarkStart w:id="13" w:name="_Hlk164953499"/>
      <w:r w:rsidRPr="007B6B33">
        <w:t>Investigations</w:t>
      </w:r>
      <w:bookmarkEnd w:id="13"/>
      <w:r w:rsidRPr="007B6B33">
        <w:t xml:space="preserve">  </w:t>
      </w:r>
    </w:p>
    <w:p w14:paraId="4A39EB6A" w14:textId="77777777" w:rsidR="000F075B" w:rsidRPr="007B6B33" w:rsidRDefault="000F075B" w:rsidP="005C2B55">
      <w:pPr>
        <w:spacing w:after="14"/>
        <w:ind w:left="3" w:right="32" w:firstLine="0"/>
      </w:pPr>
    </w:p>
    <w:p w14:paraId="2B092CCF" w14:textId="619DE4C6" w:rsidR="00F37A3F" w:rsidRPr="007B6B33" w:rsidRDefault="00046A56" w:rsidP="009E506A">
      <w:pPr>
        <w:pStyle w:val="ListParagraph"/>
        <w:numPr>
          <w:ilvl w:val="0"/>
          <w:numId w:val="4"/>
        </w:numPr>
        <w:ind w:left="0" w:right="32"/>
      </w:pPr>
      <w:r w:rsidRPr="007B6B33">
        <w:t xml:space="preserve">In accordance with the Internal Oversight Charter, </w:t>
      </w:r>
      <w:r w:rsidR="003D6209" w:rsidRPr="007B6B33">
        <w:t xml:space="preserve">at each session </w:t>
      </w:r>
      <w:r w:rsidRPr="007B6B33">
        <w:t>the Committee was apprised on the status of investigation cases and caseload trends, providing a breakdown of complaints received and complaints substantiated by category of misconduct.  In all cases involving a potential conflict of interest on the part of IOD, the</w:t>
      </w:r>
      <w:r w:rsidR="00483112" w:rsidRPr="007B6B33">
        <w:t xml:space="preserve"> </w:t>
      </w:r>
      <w:r w:rsidRPr="007B6B33">
        <w:t xml:space="preserve">Committee reviewed each case in detail and provided advice accordingly. </w:t>
      </w:r>
      <w:r w:rsidR="00441D4D" w:rsidRPr="007B6B33">
        <w:t xml:space="preserve"> </w:t>
      </w:r>
      <w:r w:rsidR="005F2BD2" w:rsidRPr="007B6B33">
        <w:t>Moreover, the Committee discussed with IOD the intake mechanism and screening process for new allegations, with a view to streamlin</w:t>
      </w:r>
      <w:r w:rsidR="004E4568">
        <w:t>ing</w:t>
      </w:r>
      <w:r w:rsidR="005F2BD2" w:rsidRPr="007B6B33">
        <w:t xml:space="preserve"> their processing.</w:t>
      </w:r>
    </w:p>
    <w:p w14:paraId="1A08B8E0" w14:textId="77777777" w:rsidR="000F075B" w:rsidRPr="007B6B33" w:rsidRDefault="000F075B" w:rsidP="009E506A">
      <w:pPr>
        <w:ind w:right="32"/>
        <w:rPr>
          <w:color w:val="auto"/>
        </w:rPr>
      </w:pPr>
    </w:p>
    <w:p w14:paraId="22D80936" w14:textId="7F6B6941" w:rsidR="002611F2" w:rsidRPr="007B6B33" w:rsidRDefault="00046A56" w:rsidP="009E506A">
      <w:pPr>
        <w:pStyle w:val="ListParagraph"/>
        <w:numPr>
          <w:ilvl w:val="0"/>
          <w:numId w:val="4"/>
        </w:numPr>
        <w:ind w:left="0"/>
        <w:rPr>
          <w:b/>
          <w:color w:val="auto"/>
        </w:rPr>
      </w:pPr>
      <w:r w:rsidRPr="007B6B33">
        <w:rPr>
          <w:color w:val="auto"/>
        </w:rPr>
        <w:t>At th</w:t>
      </w:r>
      <w:r w:rsidR="00561CC3" w:rsidRPr="007B6B33">
        <w:rPr>
          <w:color w:val="auto"/>
        </w:rPr>
        <w:t xml:space="preserve">e </w:t>
      </w:r>
      <w:r w:rsidR="00DF4048" w:rsidRPr="007B6B33">
        <w:rPr>
          <w:color w:val="auto"/>
          <w:shd w:val="clear" w:color="auto" w:fill="FFFFFF" w:themeFill="background1"/>
        </w:rPr>
        <w:t>72</w:t>
      </w:r>
      <w:r w:rsidR="00DF4048" w:rsidRPr="007B6B33">
        <w:rPr>
          <w:color w:val="auto"/>
          <w:shd w:val="clear" w:color="auto" w:fill="FFFFFF" w:themeFill="background1"/>
          <w:vertAlign w:val="superscript"/>
        </w:rPr>
        <w:t>nd</w:t>
      </w:r>
      <w:r w:rsidR="003545B0" w:rsidRPr="007B6B33">
        <w:rPr>
          <w:color w:val="auto"/>
          <w:shd w:val="clear" w:color="auto" w:fill="FFFFFF" w:themeFill="background1"/>
        </w:rPr>
        <w:t xml:space="preserve"> </w:t>
      </w:r>
      <w:r w:rsidRPr="007B6B33">
        <w:rPr>
          <w:color w:val="auto"/>
          <w:shd w:val="clear" w:color="auto" w:fill="FFFFFF" w:themeFill="background1"/>
        </w:rPr>
        <w:t>session</w:t>
      </w:r>
      <w:r w:rsidR="00483112" w:rsidRPr="007B6B33">
        <w:rPr>
          <w:color w:val="auto"/>
        </w:rPr>
        <w:t xml:space="preserve"> of the Committee</w:t>
      </w:r>
      <w:r w:rsidRPr="007B6B33">
        <w:rPr>
          <w:color w:val="auto"/>
        </w:rPr>
        <w:t xml:space="preserve">, IOD reported that, as of </w:t>
      </w:r>
      <w:r w:rsidR="00C24F47" w:rsidRPr="007B6B33">
        <w:rPr>
          <w:color w:val="auto"/>
        </w:rPr>
        <w:t xml:space="preserve">February 29, 2024, </w:t>
      </w:r>
      <w:r w:rsidRPr="007B6B33">
        <w:rPr>
          <w:color w:val="auto"/>
        </w:rPr>
        <w:t xml:space="preserve">there were </w:t>
      </w:r>
      <w:r w:rsidR="00C24F47" w:rsidRPr="007B6B33">
        <w:rPr>
          <w:color w:val="auto"/>
        </w:rPr>
        <w:t>11</w:t>
      </w:r>
      <w:r w:rsidR="004E25BC" w:rsidRPr="007B6B33">
        <w:rPr>
          <w:color w:val="auto"/>
        </w:rPr>
        <w:t xml:space="preserve"> </w:t>
      </w:r>
      <w:r w:rsidRPr="007B6B33">
        <w:rPr>
          <w:color w:val="auto"/>
        </w:rPr>
        <w:t xml:space="preserve">pending investigation cases, </w:t>
      </w:r>
      <w:r w:rsidR="00C24F47" w:rsidRPr="007B6B33">
        <w:rPr>
          <w:color w:val="auto"/>
        </w:rPr>
        <w:t>with five</w:t>
      </w:r>
      <w:r w:rsidR="004E25BC" w:rsidRPr="007B6B33">
        <w:rPr>
          <w:color w:val="auto"/>
        </w:rPr>
        <w:t xml:space="preserve"> </w:t>
      </w:r>
      <w:r w:rsidR="00C24F47" w:rsidRPr="007B6B33">
        <w:rPr>
          <w:color w:val="auto"/>
        </w:rPr>
        <w:t>complaints</w:t>
      </w:r>
      <w:r w:rsidR="001936DD" w:rsidRPr="007B6B33">
        <w:rPr>
          <w:color w:val="auto"/>
        </w:rPr>
        <w:t xml:space="preserve"> </w:t>
      </w:r>
      <w:r w:rsidRPr="007B6B33">
        <w:rPr>
          <w:color w:val="auto"/>
        </w:rPr>
        <w:t>under preliminary evaluation</w:t>
      </w:r>
      <w:r w:rsidR="00C24F47" w:rsidRPr="007B6B33">
        <w:rPr>
          <w:color w:val="auto"/>
        </w:rPr>
        <w:t>.  During the period, there were no investigation</w:t>
      </w:r>
      <w:r w:rsidR="00D65B04" w:rsidRPr="007B6B33">
        <w:rPr>
          <w:color w:val="auto"/>
        </w:rPr>
        <w:t>s</w:t>
      </w:r>
      <w:r w:rsidR="00C24F47" w:rsidRPr="007B6B33">
        <w:rPr>
          <w:color w:val="auto"/>
        </w:rPr>
        <w:t xml:space="preserve"> where allegations of misconduct were substantiated.  </w:t>
      </w:r>
    </w:p>
    <w:p w14:paraId="247E42CF" w14:textId="77777777" w:rsidR="00C02D58" w:rsidRDefault="00C02D58" w:rsidP="00023E59">
      <w:pPr>
        <w:ind w:left="0" w:firstLine="0"/>
        <w:rPr>
          <w:b/>
          <w:color w:val="auto"/>
        </w:rPr>
      </w:pPr>
    </w:p>
    <w:p w14:paraId="62930D6C" w14:textId="4DBB4131" w:rsidR="00186602" w:rsidRDefault="00186602" w:rsidP="00186602">
      <w:pPr>
        <w:ind w:left="720" w:firstLine="0"/>
        <w:rPr>
          <w:bCs/>
          <w:i/>
          <w:iCs/>
          <w:color w:val="auto"/>
        </w:rPr>
      </w:pPr>
      <w:r>
        <w:rPr>
          <w:bCs/>
          <w:i/>
          <w:iCs/>
          <w:color w:val="auto"/>
        </w:rPr>
        <w:t>Draft Standard Operating Procedures</w:t>
      </w:r>
    </w:p>
    <w:p w14:paraId="0A30B866" w14:textId="77777777" w:rsidR="00186602" w:rsidRPr="00FA1329" w:rsidRDefault="00186602" w:rsidP="00FA1329">
      <w:pPr>
        <w:ind w:left="720" w:firstLine="0"/>
        <w:rPr>
          <w:bCs/>
          <w:i/>
          <w:iCs/>
          <w:color w:val="auto"/>
        </w:rPr>
      </w:pPr>
    </w:p>
    <w:p w14:paraId="6CCA8207" w14:textId="4B5E4780" w:rsidR="00C02D58" w:rsidRPr="007B6B33" w:rsidRDefault="00C02D58" w:rsidP="00C02D58">
      <w:pPr>
        <w:numPr>
          <w:ilvl w:val="0"/>
          <w:numId w:val="4"/>
        </w:numPr>
        <w:shd w:val="clear" w:color="auto" w:fill="FFFFFF" w:themeFill="background1"/>
        <w:ind w:left="0" w:right="32"/>
        <w:rPr>
          <w:bCs/>
          <w:color w:val="auto"/>
        </w:rPr>
      </w:pPr>
      <w:r w:rsidRPr="007B6B33">
        <w:rPr>
          <w:bCs/>
          <w:color w:val="auto"/>
        </w:rPr>
        <w:t>At its 70</w:t>
      </w:r>
      <w:r w:rsidRPr="007B6B33">
        <w:rPr>
          <w:bCs/>
          <w:color w:val="auto"/>
          <w:vertAlign w:val="superscript"/>
        </w:rPr>
        <w:t>th</w:t>
      </w:r>
      <w:r w:rsidRPr="007B6B33">
        <w:rPr>
          <w:bCs/>
          <w:color w:val="auto"/>
        </w:rPr>
        <w:t xml:space="preserve"> session, the Committee reviewed the two drafts of </w:t>
      </w:r>
      <w:r w:rsidR="002E4D61">
        <w:rPr>
          <w:bCs/>
          <w:color w:val="auto"/>
        </w:rPr>
        <w:t>IOD’s</w:t>
      </w:r>
      <w:r w:rsidR="00D65B04" w:rsidRPr="007B6B33">
        <w:rPr>
          <w:bCs/>
          <w:color w:val="auto"/>
        </w:rPr>
        <w:t xml:space="preserve"> </w:t>
      </w:r>
      <w:r w:rsidRPr="007B6B33">
        <w:rPr>
          <w:bCs/>
          <w:color w:val="auto"/>
        </w:rPr>
        <w:t xml:space="preserve">Standard Operating Procedures, encouraging IOD to reflect on the appropriate standards for conducting joint engagements, and advised that IOD should continue to consider </w:t>
      </w:r>
      <w:r w:rsidR="00E607E0">
        <w:rPr>
          <w:bCs/>
          <w:color w:val="auto"/>
        </w:rPr>
        <w:t xml:space="preserve">the merits of </w:t>
      </w:r>
      <w:r w:rsidRPr="007B6B33">
        <w:rPr>
          <w:bCs/>
          <w:color w:val="auto"/>
        </w:rPr>
        <w:t>extending the implementation deadlines of high-priority and aged recommendations</w:t>
      </w:r>
      <w:r w:rsidR="0095071B" w:rsidRPr="007B6B33">
        <w:rPr>
          <w:bCs/>
          <w:color w:val="auto"/>
        </w:rPr>
        <w:t>.</w:t>
      </w:r>
      <w:r w:rsidRPr="007B6B33">
        <w:rPr>
          <w:bCs/>
          <w:color w:val="auto"/>
        </w:rPr>
        <w:t xml:space="preserve"> </w:t>
      </w:r>
    </w:p>
    <w:p w14:paraId="2FEB39EF" w14:textId="77777777" w:rsidR="00C02D58" w:rsidRDefault="00C02D58" w:rsidP="00C02D58">
      <w:pPr>
        <w:ind w:left="0" w:firstLine="0"/>
        <w:rPr>
          <w:b/>
          <w:color w:val="auto"/>
        </w:rPr>
      </w:pPr>
    </w:p>
    <w:p w14:paraId="3EEACEAF" w14:textId="77777777" w:rsidR="002B1385" w:rsidRDefault="002B1385">
      <w:pPr>
        <w:spacing w:after="160"/>
        <w:ind w:left="0" w:right="0" w:firstLine="0"/>
        <w:rPr>
          <w:bCs/>
          <w:i/>
          <w:iCs/>
          <w:color w:val="auto"/>
        </w:rPr>
      </w:pPr>
      <w:r>
        <w:rPr>
          <w:bCs/>
          <w:i/>
          <w:iCs/>
          <w:color w:val="auto"/>
        </w:rPr>
        <w:br w:type="page"/>
      </w:r>
    </w:p>
    <w:p w14:paraId="73FF0C45" w14:textId="26BD1567" w:rsidR="00186602" w:rsidRDefault="00186602" w:rsidP="00186602">
      <w:pPr>
        <w:ind w:left="720" w:firstLine="0"/>
        <w:rPr>
          <w:bCs/>
          <w:i/>
          <w:iCs/>
          <w:color w:val="auto"/>
        </w:rPr>
      </w:pPr>
      <w:r>
        <w:rPr>
          <w:bCs/>
          <w:i/>
          <w:iCs/>
          <w:color w:val="auto"/>
        </w:rPr>
        <w:lastRenderedPageBreak/>
        <w:t>Private Sessions</w:t>
      </w:r>
    </w:p>
    <w:p w14:paraId="031CC9E3" w14:textId="77777777" w:rsidR="00186602" w:rsidRPr="00FA1329" w:rsidRDefault="00186602" w:rsidP="00FA1329">
      <w:pPr>
        <w:ind w:left="720" w:firstLine="0"/>
        <w:rPr>
          <w:bCs/>
          <w:i/>
          <w:iCs/>
          <w:color w:val="auto"/>
        </w:rPr>
      </w:pPr>
    </w:p>
    <w:p w14:paraId="745FCC0E" w14:textId="4BFDCFAA" w:rsidR="00CA2291" w:rsidRPr="007B6B33" w:rsidRDefault="00CA2291" w:rsidP="00323AF0">
      <w:pPr>
        <w:numPr>
          <w:ilvl w:val="0"/>
          <w:numId w:val="4"/>
        </w:numPr>
        <w:shd w:val="clear" w:color="auto" w:fill="FFFFFF" w:themeFill="background1"/>
        <w:ind w:left="0" w:right="32"/>
        <w:rPr>
          <w:bCs/>
          <w:color w:val="auto"/>
        </w:rPr>
      </w:pPr>
      <w:r w:rsidRPr="007B6B33">
        <w:rPr>
          <w:bCs/>
          <w:color w:val="auto"/>
        </w:rPr>
        <w:t xml:space="preserve">In accordance with its </w:t>
      </w:r>
      <w:proofErr w:type="spellStart"/>
      <w:r w:rsidRPr="007B6B33">
        <w:rPr>
          <w:bCs/>
          <w:color w:val="auto"/>
        </w:rPr>
        <w:t>ToR</w:t>
      </w:r>
      <w:proofErr w:type="spellEnd"/>
      <w:r w:rsidRPr="007B6B33">
        <w:rPr>
          <w:bCs/>
          <w:color w:val="auto"/>
        </w:rPr>
        <w:t>, the Committee met in private sessions with the Director, IOD</w:t>
      </w:r>
      <w:r w:rsidR="00561541">
        <w:rPr>
          <w:bCs/>
          <w:color w:val="auto"/>
        </w:rPr>
        <w:t>.</w:t>
      </w:r>
    </w:p>
    <w:p w14:paraId="55B257B7" w14:textId="77777777" w:rsidR="00561541" w:rsidRPr="007B6B33" w:rsidRDefault="00561541" w:rsidP="001B0DEA">
      <w:pPr>
        <w:spacing w:after="16"/>
        <w:ind w:right="32"/>
      </w:pPr>
    </w:p>
    <w:p w14:paraId="0B6E5F83" w14:textId="77777777" w:rsidR="000F075B" w:rsidRPr="007B6B33" w:rsidRDefault="00046A56" w:rsidP="00483112">
      <w:pPr>
        <w:pStyle w:val="Heading2"/>
        <w:tabs>
          <w:tab w:val="left" w:pos="720"/>
          <w:tab w:val="center" w:pos="1405"/>
        </w:tabs>
        <w:ind w:left="0" w:right="32" w:firstLine="0"/>
        <w:rPr>
          <w:b/>
        </w:rPr>
      </w:pPr>
      <w:bookmarkStart w:id="14" w:name="_Toc164688955"/>
      <w:r w:rsidRPr="007B6B33">
        <w:rPr>
          <w:u w:val="none"/>
        </w:rPr>
        <w:t xml:space="preserve">B.  </w:t>
      </w:r>
      <w:r w:rsidRPr="007B6B33">
        <w:rPr>
          <w:u w:val="none"/>
        </w:rPr>
        <w:tab/>
      </w:r>
      <w:r w:rsidRPr="007B6B33">
        <w:t>External Audit</w:t>
      </w:r>
      <w:bookmarkEnd w:id="14"/>
      <w:r w:rsidRPr="007B6B33">
        <w:rPr>
          <w:u w:val="none"/>
        </w:rPr>
        <w:t xml:space="preserve"> </w:t>
      </w:r>
    </w:p>
    <w:p w14:paraId="2452DAC4" w14:textId="5AC1C59F" w:rsidR="000F075B" w:rsidRPr="007B6B33" w:rsidRDefault="000F075B" w:rsidP="005C2B55">
      <w:pPr>
        <w:spacing w:after="16"/>
        <w:ind w:left="0" w:right="32" w:firstLine="0"/>
      </w:pPr>
    </w:p>
    <w:p w14:paraId="56C742B9" w14:textId="361D4E8B" w:rsidR="00B6405A" w:rsidRPr="007B6B33" w:rsidRDefault="00B6405A" w:rsidP="005C2B55">
      <w:pPr>
        <w:spacing w:after="16"/>
        <w:ind w:left="0" w:right="32" w:firstLine="0"/>
        <w:rPr>
          <w:i/>
          <w:iCs/>
        </w:rPr>
      </w:pPr>
      <w:r w:rsidRPr="007B6B33">
        <w:tab/>
      </w:r>
      <w:r w:rsidRPr="007B6B33">
        <w:rPr>
          <w:i/>
          <w:iCs/>
        </w:rPr>
        <w:t>Selection Process of the External Auditor</w:t>
      </w:r>
    </w:p>
    <w:p w14:paraId="1D5AF8F3" w14:textId="460D3C92" w:rsidR="00B6405A" w:rsidRPr="007B6B33" w:rsidRDefault="00B6405A" w:rsidP="005C2B55">
      <w:pPr>
        <w:spacing w:after="16"/>
        <w:ind w:left="0" w:right="32" w:firstLine="0"/>
      </w:pPr>
    </w:p>
    <w:p w14:paraId="04D99305" w14:textId="23F457D5" w:rsidR="00B6405A" w:rsidRPr="007B6B33" w:rsidRDefault="00B6405A" w:rsidP="00B6405A">
      <w:pPr>
        <w:numPr>
          <w:ilvl w:val="0"/>
          <w:numId w:val="4"/>
        </w:numPr>
        <w:shd w:val="clear" w:color="auto" w:fill="FFFFFF" w:themeFill="background1"/>
        <w:ind w:left="0" w:right="32"/>
        <w:rPr>
          <w:color w:val="auto"/>
        </w:rPr>
      </w:pPr>
      <w:r w:rsidRPr="007B6B33">
        <w:t>At its 69</w:t>
      </w:r>
      <w:r w:rsidRPr="007B6B33">
        <w:rPr>
          <w:vertAlign w:val="superscript"/>
        </w:rPr>
        <w:t>th</w:t>
      </w:r>
      <w:r w:rsidRPr="007B6B33">
        <w:t xml:space="preserve"> session, the </w:t>
      </w:r>
      <w:r w:rsidR="00130FF4" w:rsidRPr="007B6B33">
        <w:t>Secretariat</w:t>
      </w:r>
      <w:r w:rsidRPr="007B6B33">
        <w:t xml:space="preserve"> presented to the Committee document WO</w:t>
      </w:r>
      <w:r w:rsidRPr="007B6B33">
        <w:rPr>
          <w:color w:val="auto"/>
        </w:rPr>
        <w:t>/GA/56/4, “Appointment of the External Auditor</w:t>
      </w:r>
      <w:r w:rsidR="00130FF4" w:rsidRPr="007B6B33">
        <w:rPr>
          <w:color w:val="auto"/>
        </w:rPr>
        <w:t>”</w:t>
      </w:r>
      <w:r w:rsidRPr="007B6B33">
        <w:rPr>
          <w:color w:val="auto"/>
        </w:rPr>
        <w:t xml:space="preserve">, which the Committee found to be quite comprehensive and informative, describing, </w:t>
      </w:r>
      <w:r w:rsidRPr="007B6B33">
        <w:rPr>
          <w:i/>
          <w:iCs/>
          <w:color w:val="auto"/>
        </w:rPr>
        <w:t>inter alia</w:t>
      </w:r>
      <w:r w:rsidRPr="007B6B33">
        <w:rPr>
          <w:color w:val="auto"/>
        </w:rPr>
        <w:t>, the evaluation matrix and evaluation process,</w:t>
      </w:r>
      <w:r w:rsidR="0095071B" w:rsidRPr="007B6B33">
        <w:rPr>
          <w:color w:val="auto"/>
        </w:rPr>
        <w:t xml:space="preserve"> the shortlist of</w:t>
      </w:r>
      <w:r w:rsidRPr="007B6B33">
        <w:rPr>
          <w:color w:val="auto"/>
        </w:rPr>
        <w:t xml:space="preserve"> </w:t>
      </w:r>
      <w:r w:rsidR="00244152" w:rsidRPr="007B6B33">
        <w:rPr>
          <w:color w:val="auto"/>
        </w:rPr>
        <w:t>candidates,</w:t>
      </w:r>
      <w:r w:rsidRPr="007B6B33">
        <w:rPr>
          <w:color w:val="auto"/>
        </w:rPr>
        <w:t xml:space="preserve"> and the eventual recommendations of the Selection Panel. </w:t>
      </w:r>
    </w:p>
    <w:p w14:paraId="168CFF83" w14:textId="77777777" w:rsidR="00B6405A" w:rsidRPr="007B6B33" w:rsidRDefault="00B6405A" w:rsidP="00B6405A">
      <w:pPr>
        <w:shd w:val="clear" w:color="auto" w:fill="FFFFFF" w:themeFill="background1"/>
        <w:ind w:left="0" w:right="32" w:firstLine="0"/>
        <w:rPr>
          <w:color w:val="auto"/>
        </w:rPr>
      </w:pPr>
    </w:p>
    <w:p w14:paraId="2D8CAF3D" w14:textId="7AE9D249" w:rsidR="00AF587D" w:rsidRPr="007B6B33" w:rsidRDefault="00AF587D" w:rsidP="00864C97">
      <w:pPr>
        <w:numPr>
          <w:ilvl w:val="0"/>
          <w:numId w:val="4"/>
        </w:numPr>
        <w:shd w:val="clear" w:color="auto" w:fill="FFFFFF" w:themeFill="background1"/>
        <w:ind w:left="0" w:right="32" w:firstLine="0"/>
        <w:rPr>
          <w:color w:val="auto"/>
        </w:rPr>
      </w:pPr>
      <w:r w:rsidRPr="007B6B33">
        <w:rPr>
          <w:color w:val="auto"/>
        </w:rPr>
        <w:t>At its 72</w:t>
      </w:r>
      <w:r w:rsidRPr="007B6B33">
        <w:rPr>
          <w:color w:val="auto"/>
          <w:vertAlign w:val="superscript"/>
        </w:rPr>
        <w:t>nd</w:t>
      </w:r>
      <w:r w:rsidRPr="007B6B33">
        <w:rPr>
          <w:color w:val="auto"/>
        </w:rPr>
        <w:t xml:space="preserve"> session, the Committee was briefed on some proposed changes to the procedure on the selection of an External </w:t>
      </w:r>
      <w:r w:rsidR="00380620" w:rsidRPr="007B6B33">
        <w:rPr>
          <w:color w:val="auto"/>
        </w:rPr>
        <w:t>Auditor and</w:t>
      </w:r>
      <w:r w:rsidRPr="007B6B33">
        <w:rPr>
          <w:color w:val="auto"/>
        </w:rPr>
        <w:t xml:space="preserve"> gave advice for consideration and discussed the importance of ensuring that all potential conflict of interest situations </w:t>
      </w:r>
      <w:r w:rsidR="0095071B" w:rsidRPr="007B6B33">
        <w:rPr>
          <w:color w:val="auto"/>
        </w:rPr>
        <w:t xml:space="preserve">for Members in the selection process </w:t>
      </w:r>
      <w:r w:rsidRPr="007B6B33">
        <w:rPr>
          <w:color w:val="auto"/>
        </w:rPr>
        <w:t xml:space="preserve">were mitigated while ensuring the participation of all Groups </w:t>
      </w:r>
      <w:r w:rsidR="00AE2B64">
        <w:rPr>
          <w:color w:val="auto"/>
        </w:rPr>
        <w:t xml:space="preserve">of Member States </w:t>
      </w:r>
      <w:r w:rsidRPr="007B6B33">
        <w:rPr>
          <w:color w:val="auto"/>
        </w:rPr>
        <w:t>in the Selection Process.  The matter would be further reviewed, as it was noted there was no urgency, given that the next selection would take place in a distant future.</w:t>
      </w:r>
    </w:p>
    <w:p w14:paraId="6B10DBC6" w14:textId="77777777" w:rsidR="00AF587D" w:rsidRDefault="00AF587D" w:rsidP="00AF587D">
      <w:pPr>
        <w:shd w:val="clear" w:color="auto" w:fill="FFFFFF" w:themeFill="background1"/>
        <w:ind w:left="0" w:right="32" w:firstLine="0"/>
        <w:rPr>
          <w:color w:val="auto"/>
        </w:rPr>
      </w:pPr>
    </w:p>
    <w:p w14:paraId="1CA12311" w14:textId="45CA31E6" w:rsidR="00186602" w:rsidRDefault="00186602" w:rsidP="00186602">
      <w:pPr>
        <w:shd w:val="clear" w:color="auto" w:fill="FFFFFF" w:themeFill="background1"/>
        <w:ind w:left="720" w:right="32" w:firstLine="0"/>
        <w:rPr>
          <w:i/>
          <w:iCs/>
          <w:color w:val="auto"/>
        </w:rPr>
      </w:pPr>
      <w:r>
        <w:rPr>
          <w:i/>
          <w:iCs/>
          <w:color w:val="auto"/>
        </w:rPr>
        <w:t>External Auditor</w:t>
      </w:r>
      <w:r w:rsidR="002421F5">
        <w:rPr>
          <w:i/>
          <w:iCs/>
          <w:color w:val="auto"/>
        </w:rPr>
        <w:t xml:space="preserve"> Sessions</w:t>
      </w:r>
    </w:p>
    <w:p w14:paraId="4E52FAEC" w14:textId="77777777" w:rsidR="00186602" w:rsidRPr="00FA1329" w:rsidRDefault="00186602" w:rsidP="00FA1329">
      <w:pPr>
        <w:shd w:val="clear" w:color="auto" w:fill="FFFFFF" w:themeFill="background1"/>
        <w:ind w:left="720" w:right="32" w:firstLine="0"/>
        <w:rPr>
          <w:i/>
          <w:iCs/>
          <w:color w:val="auto"/>
        </w:rPr>
      </w:pPr>
    </w:p>
    <w:p w14:paraId="1B4C8F93" w14:textId="77354416" w:rsidR="00E65BD0" w:rsidRPr="007B6B33" w:rsidRDefault="00E65BD0" w:rsidP="002546A7">
      <w:pPr>
        <w:pStyle w:val="ListParagraph"/>
        <w:numPr>
          <w:ilvl w:val="0"/>
          <w:numId w:val="4"/>
        </w:numPr>
        <w:spacing w:after="0"/>
        <w:ind w:left="0" w:right="32"/>
        <w:rPr>
          <w:color w:val="auto"/>
        </w:rPr>
      </w:pPr>
      <w:r w:rsidRPr="007B6B33">
        <w:rPr>
          <w:color w:val="auto"/>
        </w:rPr>
        <w:t>T</w:t>
      </w:r>
      <w:r w:rsidR="00046A56" w:rsidRPr="007B6B33">
        <w:rPr>
          <w:color w:val="auto"/>
        </w:rPr>
        <w:t>he Committee met with the representatives of the External Auditor</w:t>
      </w:r>
      <w:r w:rsidR="00341E59" w:rsidRPr="007B6B33">
        <w:rPr>
          <w:color w:val="auto"/>
        </w:rPr>
        <w:t xml:space="preserve">, </w:t>
      </w:r>
      <w:r w:rsidR="00046A56" w:rsidRPr="007B6B33">
        <w:rPr>
          <w:color w:val="auto"/>
        </w:rPr>
        <w:t>National Audit Office (NAO), United Kingdom</w:t>
      </w:r>
      <w:r w:rsidR="00D83A77" w:rsidRPr="007B6B33">
        <w:rPr>
          <w:color w:val="auto"/>
        </w:rPr>
        <w:t>, including in private sessions</w:t>
      </w:r>
      <w:r w:rsidRPr="007B6B33">
        <w:rPr>
          <w:color w:val="auto"/>
        </w:rPr>
        <w:t>, during the 69</w:t>
      </w:r>
      <w:r w:rsidRPr="007B6B33">
        <w:rPr>
          <w:color w:val="auto"/>
          <w:vertAlign w:val="superscript"/>
        </w:rPr>
        <w:t>th</w:t>
      </w:r>
      <w:r w:rsidRPr="007B6B33">
        <w:rPr>
          <w:color w:val="auto"/>
        </w:rPr>
        <w:t>, 71</w:t>
      </w:r>
      <w:r w:rsidRPr="007B6B33">
        <w:rPr>
          <w:color w:val="auto"/>
          <w:vertAlign w:val="superscript"/>
        </w:rPr>
        <w:t>st</w:t>
      </w:r>
      <w:r w:rsidRPr="007B6B33">
        <w:rPr>
          <w:color w:val="auto"/>
        </w:rPr>
        <w:t xml:space="preserve"> and 72</w:t>
      </w:r>
      <w:r w:rsidRPr="007B6B33">
        <w:rPr>
          <w:color w:val="auto"/>
          <w:vertAlign w:val="superscript"/>
        </w:rPr>
        <w:t>nd</w:t>
      </w:r>
      <w:r w:rsidRPr="007B6B33">
        <w:rPr>
          <w:color w:val="auto"/>
        </w:rPr>
        <w:t xml:space="preserve"> sessions.</w:t>
      </w:r>
      <w:r w:rsidRPr="007B6B33">
        <w:rPr>
          <w:i/>
          <w:iCs/>
          <w:color w:val="auto"/>
        </w:rPr>
        <w:t xml:space="preserve">  </w:t>
      </w:r>
      <w:r w:rsidR="00EA7152" w:rsidRPr="007B6B33">
        <w:rPr>
          <w:color w:val="auto"/>
        </w:rPr>
        <w:t>The Committee noted that the audit report and the long-form report on the Audit of WIPO 2022 Financial Statements, which were presented at the 69</w:t>
      </w:r>
      <w:r w:rsidR="00EA7152" w:rsidRPr="007B6B33">
        <w:rPr>
          <w:color w:val="auto"/>
          <w:vertAlign w:val="superscript"/>
        </w:rPr>
        <w:t>th</w:t>
      </w:r>
      <w:r w:rsidR="00EA7152" w:rsidRPr="007B6B33">
        <w:rPr>
          <w:color w:val="auto"/>
        </w:rPr>
        <w:t xml:space="preserve"> session, highlighted key audit findings, as described in the Audit Completion Report.</w:t>
      </w:r>
      <w:r w:rsidR="002A7600" w:rsidRPr="007B6B33">
        <w:rPr>
          <w:color w:val="auto"/>
        </w:rPr>
        <w:t xml:space="preserve">  The Committee also followed up on the actuarial assumptions relating to ASHI, on recommendations that would be</w:t>
      </w:r>
      <w:r w:rsidR="0095071B" w:rsidRPr="007B6B33">
        <w:rPr>
          <w:color w:val="auto"/>
        </w:rPr>
        <w:t xml:space="preserve"> carried </w:t>
      </w:r>
      <w:r w:rsidR="002A7600" w:rsidRPr="007B6B33">
        <w:rPr>
          <w:color w:val="auto"/>
        </w:rPr>
        <w:t xml:space="preserve">forward </w:t>
      </w:r>
      <w:r w:rsidR="00BC6C9C" w:rsidRPr="007B6B33">
        <w:rPr>
          <w:color w:val="auto"/>
        </w:rPr>
        <w:t xml:space="preserve">to 2023, and on the possible </w:t>
      </w:r>
      <w:r w:rsidR="00807022" w:rsidRPr="007B6B33">
        <w:rPr>
          <w:color w:val="auto"/>
        </w:rPr>
        <w:t xml:space="preserve">effect </w:t>
      </w:r>
      <w:r w:rsidR="00BC6C9C" w:rsidRPr="007B6B33">
        <w:rPr>
          <w:color w:val="auto"/>
        </w:rPr>
        <w:t xml:space="preserve">on WIPO of the proposed revisions to IPSAS 47 regarding revenue recognition. </w:t>
      </w:r>
    </w:p>
    <w:p w14:paraId="14F92523" w14:textId="77777777" w:rsidR="00BC6C9C" w:rsidRPr="007B6B33" w:rsidRDefault="00BC6C9C" w:rsidP="00037CF2">
      <w:pPr>
        <w:ind w:left="0" w:firstLine="0"/>
        <w:rPr>
          <w:color w:val="auto"/>
        </w:rPr>
      </w:pPr>
    </w:p>
    <w:p w14:paraId="74653E11" w14:textId="5181ECB6" w:rsidR="00A67990" w:rsidRPr="007B6B33" w:rsidRDefault="00A67990" w:rsidP="008C2968">
      <w:pPr>
        <w:pStyle w:val="ListParagraph"/>
        <w:numPr>
          <w:ilvl w:val="0"/>
          <w:numId w:val="4"/>
        </w:numPr>
        <w:spacing w:after="0"/>
        <w:ind w:left="0" w:right="32"/>
        <w:rPr>
          <w:color w:val="auto"/>
        </w:rPr>
      </w:pPr>
      <w:r w:rsidRPr="007B6B33">
        <w:rPr>
          <w:color w:val="auto"/>
        </w:rPr>
        <w:t>During the 72</w:t>
      </w:r>
      <w:r w:rsidRPr="007B6B33">
        <w:rPr>
          <w:color w:val="auto"/>
          <w:vertAlign w:val="superscript"/>
        </w:rPr>
        <w:t>nd</w:t>
      </w:r>
      <w:r w:rsidRPr="007B6B33">
        <w:rPr>
          <w:color w:val="auto"/>
        </w:rPr>
        <w:t xml:space="preserve"> session, the External Auditor indicated that no substantial risks and issues </w:t>
      </w:r>
      <w:r w:rsidR="0095071B" w:rsidRPr="007B6B33">
        <w:rPr>
          <w:color w:val="auto"/>
        </w:rPr>
        <w:t xml:space="preserve">had been identified </w:t>
      </w:r>
      <w:r w:rsidR="00AE2B64" w:rsidRPr="007B6B33">
        <w:rPr>
          <w:color w:val="auto"/>
        </w:rPr>
        <w:t xml:space="preserve">so far </w:t>
      </w:r>
      <w:r w:rsidR="0095071B" w:rsidRPr="007B6B33">
        <w:rPr>
          <w:color w:val="auto"/>
        </w:rPr>
        <w:t>during the audit work for the 2023 Audit</w:t>
      </w:r>
      <w:r w:rsidR="008C2968" w:rsidRPr="007B6B33">
        <w:rPr>
          <w:color w:val="auto"/>
        </w:rPr>
        <w:t xml:space="preserve">, and that they were </w:t>
      </w:r>
      <w:r w:rsidRPr="007B6B33">
        <w:rPr>
          <w:color w:val="auto"/>
        </w:rPr>
        <w:t>in the process</w:t>
      </w:r>
      <w:r w:rsidR="008C2968" w:rsidRPr="007B6B33">
        <w:rPr>
          <w:color w:val="auto"/>
        </w:rPr>
        <w:t xml:space="preserve"> </w:t>
      </w:r>
      <w:r w:rsidRPr="007B6B33">
        <w:rPr>
          <w:color w:val="auto"/>
        </w:rPr>
        <w:t xml:space="preserve">of completing the final audit. </w:t>
      </w:r>
      <w:r w:rsidR="008C2968" w:rsidRPr="007B6B33">
        <w:rPr>
          <w:color w:val="auto"/>
        </w:rPr>
        <w:t xml:space="preserve"> </w:t>
      </w:r>
      <w:r w:rsidRPr="007B6B33">
        <w:rPr>
          <w:color w:val="auto"/>
        </w:rPr>
        <w:t>The External Auditor welcomed the good interaction with WIPO</w:t>
      </w:r>
      <w:r w:rsidR="008C2968" w:rsidRPr="007B6B33">
        <w:rPr>
          <w:color w:val="auto"/>
        </w:rPr>
        <w:t xml:space="preserve"> </w:t>
      </w:r>
      <w:r w:rsidRPr="007B6B33">
        <w:rPr>
          <w:color w:val="auto"/>
        </w:rPr>
        <w:t xml:space="preserve">and outside parties, such as WIPO’s Actuary. </w:t>
      </w:r>
      <w:r w:rsidR="008C2968" w:rsidRPr="007B6B33">
        <w:rPr>
          <w:color w:val="auto"/>
        </w:rPr>
        <w:t xml:space="preserve"> </w:t>
      </w:r>
      <w:r w:rsidRPr="007B6B33">
        <w:rPr>
          <w:color w:val="auto"/>
        </w:rPr>
        <w:t>The Committee was assured that the</w:t>
      </w:r>
      <w:r w:rsidR="008C2968" w:rsidRPr="007B6B33">
        <w:rPr>
          <w:color w:val="auto"/>
        </w:rPr>
        <w:t xml:space="preserve"> </w:t>
      </w:r>
      <w:r w:rsidRPr="007B6B33">
        <w:rPr>
          <w:color w:val="auto"/>
        </w:rPr>
        <w:t xml:space="preserve">technical teams of the External Auditor would </w:t>
      </w:r>
      <w:r w:rsidR="0095071B" w:rsidRPr="007B6B33">
        <w:rPr>
          <w:color w:val="auto"/>
        </w:rPr>
        <w:t xml:space="preserve">also </w:t>
      </w:r>
      <w:r w:rsidRPr="007B6B33">
        <w:rPr>
          <w:color w:val="auto"/>
        </w:rPr>
        <w:t>review the valuations that had been performed</w:t>
      </w:r>
      <w:r w:rsidR="008C2968" w:rsidRPr="007B6B33">
        <w:rPr>
          <w:color w:val="auto"/>
        </w:rPr>
        <w:t xml:space="preserve"> </w:t>
      </w:r>
      <w:r w:rsidRPr="007B6B33">
        <w:rPr>
          <w:color w:val="auto"/>
        </w:rPr>
        <w:t>by external appraisers.</w:t>
      </w:r>
    </w:p>
    <w:p w14:paraId="5F53EEA4" w14:textId="77777777" w:rsidR="008C2968" w:rsidRPr="007B6B33" w:rsidRDefault="008C2968" w:rsidP="008C2968">
      <w:pPr>
        <w:ind w:left="0" w:firstLine="0"/>
        <w:rPr>
          <w:color w:val="auto"/>
        </w:rPr>
      </w:pPr>
    </w:p>
    <w:p w14:paraId="58B633C6" w14:textId="068A08D0" w:rsidR="00A67990" w:rsidRPr="007B6B33" w:rsidRDefault="00A67990" w:rsidP="008C2968">
      <w:pPr>
        <w:pStyle w:val="ListParagraph"/>
        <w:numPr>
          <w:ilvl w:val="0"/>
          <w:numId w:val="4"/>
        </w:numPr>
        <w:spacing w:after="0"/>
        <w:ind w:left="0" w:right="32"/>
        <w:rPr>
          <w:color w:val="auto"/>
        </w:rPr>
      </w:pPr>
      <w:r w:rsidRPr="007B6B33">
        <w:rPr>
          <w:color w:val="auto"/>
        </w:rPr>
        <w:t xml:space="preserve">The representative of the External </w:t>
      </w:r>
      <w:r w:rsidR="0049477C" w:rsidRPr="007B6B33">
        <w:rPr>
          <w:color w:val="auto"/>
        </w:rPr>
        <w:t>Auditor indicated</w:t>
      </w:r>
      <w:r w:rsidRPr="007B6B33">
        <w:rPr>
          <w:color w:val="auto"/>
        </w:rPr>
        <w:t xml:space="preserve"> that his team was in close</w:t>
      </w:r>
      <w:r w:rsidR="008C2968" w:rsidRPr="007B6B33">
        <w:rPr>
          <w:color w:val="auto"/>
        </w:rPr>
        <w:t xml:space="preserve"> </w:t>
      </w:r>
      <w:r w:rsidRPr="007B6B33">
        <w:rPr>
          <w:color w:val="auto"/>
        </w:rPr>
        <w:t>dialogue with the incoming External Auditor from Indonesia and would ensure a smooth</w:t>
      </w:r>
      <w:r w:rsidR="008C2968" w:rsidRPr="007B6B33">
        <w:rPr>
          <w:color w:val="auto"/>
        </w:rPr>
        <w:t xml:space="preserve"> </w:t>
      </w:r>
      <w:r w:rsidRPr="007B6B33">
        <w:rPr>
          <w:color w:val="auto"/>
        </w:rPr>
        <w:t xml:space="preserve">handover after the completion of the </w:t>
      </w:r>
      <w:r w:rsidR="00807022" w:rsidRPr="007B6B33">
        <w:rPr>
          <w:color w:val="auto"/>
        </w:rPr>
        <w:t xml:space="preserve">2023 </w:t>
      </w:r>
      <w:r w:rsidRPr="007B6B33">
        <w:rPr>
          <w:color w:val="auto"/>
        </w:rPr>
        <w:t>audit.</w:t>
      </w:r>
    </w:p>
    <w:p w14:paraId="463496DB" w14:textId="77777777" w:rsidR="00441C59" w:rsidRPr="007B6B33" w:rsidRDefault="00441C59" w:rsidP="00441C59">
      <w:pPr>
        <w:ind w:left="0" w:firstLine="0"/>
        <w:rPr>
          <w:color w:val="auto"/>
        </w:rPr>
      </w:pPr>
    </w:p>
    <w:p w14:paraId="000683C1" w14:textId="6C417B66" w:rsidR="00BC6C9C" w:rsidRPr="007B6B33" w:rsidRDefault="00A67990" w:rsidP="00891518">
      <w:pPr>
        <w:pStyle w:val="ListParagraph"/>
        <w:numPr>
          <w:ilvl w:val="0"/>
          <w:numId w:val="4"/>
        </w:numPr>
        <w:spacing w:after="0"/>
        <w:ind w:left="0" w:right="32"/>
        <w:rPr>
          <w:color w:val="auto"/>
        </w:rPr>
      </w:pPr>
      <w:r w:rsidRPr="007B6B33">
        <w:rPr>
          <w:color w:val="auto"/>
        </w:rPr>
        <w:t>The External Auditor informed the Committee that a Financial Report and a Long-Form</w:t>
      </w:r>
      <w:r w:rsidR="00441C59" w:rsidRPr="007B6B33">
        <w:rPr>
          <w:color w:val="auto"/>
        </w:rPr>
        <w:t xml:space="preserve"> </w:t>
      </w:r>
      <w:r w:rsidRPr="007B6B33">
        <w:rPr>
          <w:color w:val="auto"/>
        </w:rPr>
        <w:t xml:space="preserve">Report would be issued: </w:t>
      </w:r>
      <w:r w:rsidR="001F6662">
        <w:rPr>
          <w:color w:val="auto"/>
        </w:rPr>
        <w:t xml:space="preserve"> </w:t>
      </w:r>
      <w:r w:rsidRPr="007B6B33">
        <w:rPr>
          <w:color w:val="auto"/>
        </w:rPr>
        <w:t>the latter would look back at the areas which had been reported in</w:t>
      </w:r>
      <w:r w:rsidR="00441C59" w:rsidRPr="007B6B33">
        <w:rPr>
          <w:color w:val="auto"/>
        </w:rPr>
        <w:t xml:space="preserve"> </w:t>
      </w:r>
      <w:r w:rsidRPr="007B6B33">
        <w:rPr>
          <w:color w:val="auto"/>
        </w:rPr>
        <w:t xml:space="preserve">earlier years </w:t>
      </w:r>
      <w:r w:rsidR="0095071B" w:rsidRPr="007B6B33">
        <w:rPr>
          <w:color w:val="auto"/>
        </w:rPr>
        <w:t xml:space="preserve">together </w:t>
      </w:r>
      <w:r w:rsidR="001F6662" w:rsidRPr="007B6B33">
        <w:rPr>
          <w:color w:val="auto"/>
        </w:rPr>
        <w:t>with the</w:t>
      </w:r>
      <w:r w:rsidRPr="007B6B33">
        <w:rPr>
          <w:color w:val="auto"/>
        </w:rPr>
        <w:t xml:space="preserve"> progress that had been achieved in those areas.</w:t>
      </w:r>
    </w:p>
    <w:p w14:paraId="2337F778" w14:textId="031D4C7B" w:rsidR="000F075B" w:rsidRPr="007B6B33" w:rsidRDefault="000F075B" w:rsidP="001936DD">
      <w:pPr>
        <w:spacing w:after="0"/>
        <w:ind w:right="32"/>
        <w:rPr>
          <w:color w:val="auto"/>
        </w:rPr>
      </w:pPr>
    </w:p>
    <w:p w14:paraId="351D7708" w14:textId="77777777" w:rsidR="000F075B" w:rsidRPr="007B6B33" w:rsidRDefault="00046A56" w:rsidP="006E3436">
      <w:pPr>
        <w:pStyle w:val="Heading2"/>
        <w:tabs>
          <w:tab w:val="left" w:pos="720"/>
          <w:tab w:val="center" w:pos="1668"/>
        </w:tabs>
        <w:ind w:left="0" w:right="32" w:firstLine="0"/>
        <w:rPr>
          <w:color w:val="auto"/>
        </w:rPr>
      </w:pPr>
      <w:bookmarkStart w:id="15" w:name="_Toc164688956"/>
      <w:r w:rsidRPr="007B6B33">
        <w:rPr>
          <w:color w:val="auto"/>
          <w:u w:val="none"/>
        </w:rPr>
        <w:t xml:space="preserve">C.  </w:t>
      </w:r>
      <w:r w:rsidR="00483112" w:rsidRPr="007B6B33">
        <w:rPr>
          <w:color w:val="auto"/>
          <w:u w:val="none"/>
        </w:rPr>
        <w:tab/>
      </w:r>
      <w:r w:rsidR="00483112" w:rsidRPr="007B6B33">
        <w:rPr>
          <w:color w:val="auto"/>
          <w:u w:val="none"/>
        </w:rPr>
        <w:tab/>
      </w:r>
      <w:r w:rsidRPr="007B6B33">
        <w:rPr>
          <w:color w:val="auto"/>
        </w:rPr>
        <w:t>Financial Reporting</w:t>
      </w:r>
      <w:bookmarkEnd w:id="15"/>
    </w:p>
    <w:p w14:paraId="466C4FD6" w14:textId="77AF5577" w:rsidR="000F075B" w:rsidRPr="007B6B33" w:rsidRDefault="000F075B" w:rsidP="006E3436">
      <w:pPr>
        <w:spacing w:after="0"/>
        <w:ind w:left="0" w:right="32" w:firstLine="0"/>
      </w:pPr>
    </w:p>
    <w:p w14:paraId="24558E33" w14:textId="1400A955" w:rsidR="006E3436" w:rsidRPr="007B6B33" w:rsidRDefault="006E3436" w:rsidP="006E3436">
      <w:pPr>
        <w:spacing w:after="0" w:line="240" w:lineRule="auto"/>
        <w:ind w:right="648"/>
        <w:rPr>
          <w:bCs/>
          <w:i/>
          <w:iCs/>
        </w:rPr>
      </w:pPr>
      <w:r w:rsidRPr="007B6B33">
        <w:tab/>
      </w:r>
      <w:r w:rsidRPr="007B6B33">
        <w:tab/>
      </w:r>
      <w:r w:rsidRPr="007B6B33">
        <w:rPr>
          <w:i/>
          <w:iCs/>
        </w:rPr>
        <w:t>202</w:t>
      </w:r>
      <w:r w:rsidR="006B378B" w:rsidRPr="007B6B33">
        <w:rPr>
          <w:i/>
          <w:iCs/>
        </w:rPr>
        <w:t>3</w:t>
      </w:r>
      <w:r w:rsidRPr="007B6B33">
        <w:rPr>
          <w:i/>
          <w:iCs/>
        </w:rPr>
        <w:t xml:space="preserve"> WIPO Financial Statements</w:t>
      </w:r>
    </w:p>
    <w:p w14:paraId="3F413204" w14:textId="77777777" w:rsidR="006E3436" w:rsidRPr="007B6B33" w:rsidRDefault="006E3436" w:rsidP="006E3436">
      <w:pPr>
        <w:spacing w:after="0" w:line="240" w:lineRule="auto"/>
        <w:ind w:right="648"/>
        <w:rPr>
          <w:bCs/>
        </w:rPr>
      </w:pPr>
    </w:p>
    <w:p w14:paraId="2DB1FEDC" w14:textId="0062F18A" w:rsidR="00D47C47" w:rsidRPr="007B6B33" w:rsidRDefault="006E3436" w:rsidP="000231CA">
      <w:pPr>
        <w:pStyle w:val="ListParagraph"/>
        <w:numPr>
          <w:ilvl w:val="0"/>
          <w:numId w:val="4"/>
        </w:numPr>
        <w:spacing w:after="19" w:line="240" w:lineRule="auto"/>
        <w:ind w:left="0" w:right="32" w:firstLine="0"/>
        <w:rPr>
          <w:color w:val="auto"/>
        </w:rPr>
      </w:pPr>
      <w:r w:rsidRPr="007B6B33">
        <w:rPr>
          <w:bCs/>
          <w:color w:val="auto"/>
        </w:rPr>
        <w:t xml:space="preserve">At its </w:t>
      </w:r>
      <w:r w:rsidR="00E65BD0" w:rsidRPr="007B6B33">
        <w:rPr>
          <w:bCs/>
          <w:color w:val="auto"/>
        </w:rPr>
        <w:t>72</w:t>
      </w:r>
      <w:r w:rsidR="00E65BD0" w:rsidRPr="007B6B33">
        <w:rPr>
          <w:bCs/>
          <w:color w:val="auto"/>
          <w:vertAlign w:val="superscript"/>
        </w:rPr>
        <w:t>nd</w:t>
      </w:r>
      <w:r w:rsidR="00E65BD0" w:rsidRPr="007B6B33">
        <w:rPr>
          <w:bCs/>
          <w:color w:val="auto"/>
        </w:rPr>
        <w:t xml:space="preserve"> </w:t>
      </w:r>
      <w:r w:rsidRPr="007B6B33">
        <w:rPr>
          <w:bCs/>
          <w:color w:val="auto"/>
        </w:rPr>
        <w:t>session, the Committee was briefed by the Director, Finance Division</w:t>
      </w:r>
      <w:r w:rsidR="00EB0001">
        <w:rPr>
          <w:bCs/>
          <w:color w:val="auto"/>
        </w:rPr>
        <w:t>,</w:t>
      </w:r>
      <w:r w:rsidRPr="007B6B33">
        <w:rPr>
          <w:bCs/>
          <w:color w:val="auto"/>
        </w:rPr>
        <w:t xml:space="preserve"> </w:t>
      </w:r>
      <w:r w:rsidR="003200C9" w:rsidRPr="007B6B33">
        <w:rPr>
          <w:bCs/>
          <w:color w:val="auto"/>
        </w:rPr>
        <w:t xml:space="preserve">on </w:t>
      </w:r>
      <w:r w:rsidRPr="007B6B33">
        <w:rPr>
          <w:bCs/>
          <w:color w:val="auto"/>
        </w:rPr>
        <w:t>the draft 202</w:t>
      </w:r>
      <w:r w:rsidR="00E65BD0" w:rsidRPr="007B6B33">
        <w:rPr>
          <w:bCs/>
          <w:color w:val="auto"/>
        </w:rPr>
        <w:t>3</w:t>
      </w:r>
      <w:r w:rsidRPr="007B6B33">
        <w:rPr>
          <w:bCs/>
          <w:color w:val="auto"/>
        </w:rPr>
        <w:t xml:space="preserve"> Statement of Financial Performance and Statement of Financial Position</w:t>
      </w:r>
      <w:r w:rsidR="003200C9" w:rsidRPr="007B6B33">
        <w:rPr>
          <w:bCs/>
          <w:color w:val="auto"/>
        </w:rPr>
        <w:t>s</w:t>
      </w:r>
      <w:r w:rsidRPr="007B6B33">
        <w:rPr>
          <w:bCs/>
          <w:color w:val="auto"/>
        </w:rPr>
        <w:t>,</w:t>
      </w:r>
      <w:r w:rsidR="00D47C47" w:rsidRPr="007B6B33">
        <w:rPr>
          <w:bCs/>
          <w:color w:val="auto"/>
        </w:rPr>
        <w:t xml:space="preserve"> and </w:t>
      </w:r>
      <w:r w:rsidR="00D47C47" w:rsidRPr="007B6B33">
        <w:rPr>
          <w:color w:val="auto"/>
        </w:rPr>
        <w:t xml:space="preserve">noted </w:t>
      </w:r>
      <w:r w:rsidR="00D47C47" w:rsidRPr="007B6B33">
        <w:rPr>
          <w:color w:val="auto"/>
        </w:rPr>
        <w:lastRenderedPageBreak/>
        <w:t xml:space="preserve">that operating income had decreased marginally, </w:t>
      </w:r>
      <w:r w:rsidR="00D47C47" w:rsidRPr="00FA1329">
        <w:rPr>
          <w:i/>
          <w:iCs/>
          <w:color w:val="auto"/>
        </w:rPr>
        <w:t>inter alia</w:t>
      </w:r>
      <w:r w:rsidR="00D47C47" w:rsidRPr="007B6B33">
        <w:rPr>
          <w:color w:val="auto"/>
        </w:rPr>
        <w:t>, due to a decrease in PCT and Madrid filings, a matter which was being monitored</w:t>
      </w:r>
      <w:r w:rsidR="00EB0001" w:rsidRPr="00EB0001">
        <w:rPr>
          <w:color w:val="auto"/>
        </w:rPr>
        <w:t xml:space="preserve"> </w:t>
      </w:r>
      <w:r w:rsidR="00EB0001" w:rsidRPr="007B6B33">
        <w:rPr>
          <w:color w:val="auto"/>
        </w:rPr>
        <w:t>closely</w:t>
      </w:r>
      <w:r w:rsidR="00D47C47" w:rsidRPr="007B6B33">
        <w:rPr>
          <w:color w:val="auto"/>
        </w:rPr>
        <w:t>.  A significant increase in investment income more than offset the reduction in revenues for a net positive result in the order of 114 million Swiss francs.  The draft Financial Statements also reflected an increase in the ASHI liability due to a reduction in the discount rate used by the actuary to determine the present value of the liability on an annual basis.  Fluctuations in the liability were based on the assumptions being used, following strict implementation of IPSAS requirements.</w:t>
      </w:r>
    </w:p>
    <w:p w14:paraId="75F2338F" w14:textId="77777777" w:rsidR="00D47C47" w:rsidRPr="007B6B33" w:rsidRDefault="00D47C47" w:rsidP="00D47C47">
      <w:pPr>
        <w:pStyle w:val="ListParagraph"/>
        <w:spacing w:after="19" w:line="240" w:lineRule="auto"/>
        <w:ind w:left="0" w:right="32" w:firstLine="0"/>
        <w:rPr>
          <w:color w:val="auto"/>
        </w:rPr>
      </w:pPr>
    </w:p>
    <w:p w14:paraId="4BCA32B3" w14:textId="77777777" w:rsidR="00E477CA" w:rsidRDefault="00D47C47" w:rsidP="00343F26">
      <w:pPr>
        <w:pStyle w:val="ListParagraph"/>
        <w:numPr>
          <w:ilvl w:val="0"/>
          <w:numId w:val="4"/>
        </w:numPr>
        <w:spacing w:after="19" w:line="240" w:lineRule="auto"/>
        <w:ind w:left="0" w:right="32" w:firstLine="0"/>
        <w:rPr>
          <w:color w:val="auto"/>
        </w:rPr>
      </w:pPr>
      <w:r w:rsidRPr="007B6B33">
        <w:rPr>
          <w:color w:val="auto"/>
        </w:rPr>
        <w:t xml:space="preserve">The Committee </w:t>
      </w:r>
      <w:r w:rsidR="00D12542" w:rsidRPr="007B6B33">
        <w:rPr>
          <w:color w:val="auto"/>
        </w:rPr>
        <w:t xml:space="preserve">also </w:t>
      </w:r>
      <w:r w:rsidRPr="007B6B33">
        <w:rPr>
          <w:color w:val="auto"/>
        </w:rPr>
        <w:t>discussed the reduction of the value of the real estate properties</w:t>
      </w:r>
      <w:r w:rsidR="00D12542" w:rsidRPr="007B6B33">
        <w:rPr>
          <w:color w:val="auto"/>
        </w:rPr>
        <w:t xml:space="preserve"> </w:t>
      </w:r>
      <w:r w:rsidRPr="007B6B33">
        <w:rPr>
          <w:color w:val="auto"/>
        </w:rPr>
        <w:t>based on a recent appraisal due to fluctuations on the yield of commercial properties in the</w:t>
      </w:r>
      <w:r w:rsidR="00D12542" w:rsidRPr="007B6B33">
        <w:rPr>
          <w:color w:val="auto"/>
        </w:rPr>
        <w:t xml:space="preserve"> </w:t>
      </w:r>
      <w:r w:rsidRPr="007B6B33">
        <w:rPr>
          <w:color w:val="auto"/>
        </w:rPr>
        <w:t>city of Geneva.</w:t>
      </w:r>
      <w:r w:rsidR="00D12542" w:rsidRPr="007B6B33">
        <w:rPr>
          <w:color w:val="auto"/>
        </w:rPr>
        <w:t xml:space="preserve">  </w:t>
      </w:r>
    </w:p>
    <w:p w14:paraId="2707E27B" w14:textId="77777777" w:rsidR="00E477CA" w:rsidRPr="007913B1" w:rsidRDefault="00E477CA" w:rsidP="007913B1">
      <w:pPr>
        <w:ind w:left="0" w:firstLine="0"/>
        <w:rPr>
          <w:color w:val="auto"/>
        </w:rPr>
      </w:pPr>
    </w:p>
    <w:p w14:paraId="3AD3967C" w14:textId="6ED8F26D" w:rsidR="000F075B" w:rsidRPr="007B6B33" w:rsidRDefault="00D47C47" w:rsidP="00343F26">
      <w:pPr>
        <w:pStyle w:val="ListParagraph"/>
        <w:numPr>
          <w:ilvl w:val="0"/>
          <w:numId w:val="4"/>
        </w:numPr>
        <w:spacing w:after="19" w:line="240" w:lineRule="auto"/>
        <w:ind w:left="0" w:right="32" w:firstLine="0"/>
        <w:rPr>
          <w:color w:val="auto"/>
        </w:rPr>
      </w:pPr>
      <w:r w:rsidRPr="007B6B33">
        <w:rPr>
          <w:color w:val="auto"/>
        </w:rPr>
        <w:t xml:space="preserve">The Committee discussed with the </w:t>
      </w:r>
      <w:r w:rsidR="00D12542" w:rsidRPr="007B6B33">
        <w:rPr>
          <w:color w:val="auto"/>
        </w:rPr>
        <w:t>Secretariat</w:t>
      </w:r>
      <w:r w:rsidRPr="007B6B33">
        <w:rPr>
          <w:color w:val="auto"/>
        </w:rPr>
        <w:t xml:space="preserve"> changes to accounting policies</w:t>
      </w:r>
      <w:r w:rsidR="00D12542" w:rsidRPr="007B6B33">
        <w:rPr>
          <w:color w:val="auto"/>
        </w:rPr>
        <w:t xml:space="preserve"> </w:t>
      </w:r>
      <w:r w:rsidRPr="007B6B33">
        <w:rPr>
          <w:color w:val="auto"/>
        </w:rPr>
        <w:t xml:space="preserve">and accounting standards. </w:t>
      </w:r>
      <w:r w:rsidR="00D12542" w:rsidRPr="007B6B33">
        <w:rPr>
          <w:color w:val="auto"/>
        </w:rPr>
        <w:t xml:space="preserve"> </w:t>
      </w:r>
      <w:r w:rsidRPr="007B6B33">
        <w:rPr>
          <w:color w:val="auto"/>
        </w:rPr>
        <w:t>In the year 2023, one new standard, IPSAS 43 (Operating</w:t>
      </w:r>
      <w:r w:rsidR="00D12542" w:rsidRPr="007B6B33">
        <w:rPr>
          <w:color w:val="auto"/>
        </w:rPr>
        <w:t xml:space="preserve"> </w:t>
      </w:r>
      <w:r w:rsidRPr="007B6B33">
        <w:rPr>
          <w:color w:val="auto"/>
        </w:rPr>
        <w:t>Leases), had been adopted and six new IPSAS policies were being analyzed for</w:t>
      </w:r>
      <w:r w:rsidR="00D12542" w:rsidRPr="007B6B33">
        <w:rPr>
          <w:color w:val="auto"/>
        </w:rPr>
        <w:t xml:space="preserve"> </w:t>
      </w:r>
      <w:r w:rsidRPr="007B6B33">
        <w:rPr>
          <w:color w:val="auto"/>
        </w:rPr>
        <w:t xml:space="preserve">implementation between 2024 </w:t>
      </w:r>
      <w:r w:rsidR="00791A75">
        <w:rPr>
          <w:color w:val="auto"/>
        </w:rPr>
        <w:t>and</w:t>
      </w:r>
      <w:r w:rsidR="00791A75" w:rsidRPr="007B6B33">
        <w:rPr>
          <w:color w:val="auto"/>
        </w:rPr>
        <w:t xml:space="preserve"> </w:t>
      </w:r>
      <w:r w:rsidRPr="007B6B33">
        <w:rPr>
          <w:color w:val="auto"/>
        </w:rPr>
        <w:t>2026</w:t>
      </w:r>
      <w:r w:rsidR="001851FF" w:rsidRPr="007B6B33">
        <w:rPr>
          <w:color w:val="auto"/>
        </w:rPr>
        <w:t>.</w:t>
      </w:r>
    </w:p>
    <w:p w14:paraId="3D84AFE4" w14:textId="69B259B7" w:rsidR="00D12542" w:rsidRPr="007B6B33" w:rsidRDefault="00D12542" w:rsidP="001851FF">
      <w:pPr>
        <w:ind w:left="0" w:firstLine="0"/>
        <w:rPr>
          <w:i/>
          <w:iCs/>
          <w:color w:val="auto"/>
        </w:rPr>
      </w:pPr>
    </w:p>
    <w:p w14:paraId="41015CD4" w14:textId="40AC126D" w:rsidR="00F807F3" w:rsidRPr="007B6B33" w:rsidRDefault="00F807F3" w:rsidP="00F807F3">
      <w:pPr>
        <w:spacing w:after="0" w:line="240" w:lineRule="auto"/>
        <w:ind w:right="648"/>
        <w:rPr>
          <w:bCs/>
          <w:i/>
          <w:iCs/>
        </w:rPr>
      </w:pPr>
      <w:r w:rsidRPr="007B6B33">
        <w:tab/>
      </w:r>
      <w:r w:rsidRPr="007B6B33">
        <w:tab/>
      </w:r>
      <w:r w:rsidRPr="007B6B33">
        <w:rPr>
          <w:i/>
          <w:iCs/>
        </w:rPr>
        <w:t>Meeting with the Actuary</w:t>
      </w:r>
    </w:p>
    <w:p w14:paraId="6C52F81F" w14:textId="77777777" w:rsidR="00F807F3" w:rsidRPr="007B6B33" w:rsidRDefault="00F807F3" w:rsidP="00F807F3">
      <w:pPr>
        <w:spacing w:after="0" w:line="240" w:lineRule="auto"/>
        <w:ind w:right="648"/>
        <w:rPr>
          <w:bCs/>
        </w:rPr>
      </w:pPr>
    </w:p>
    <w:p w14:paraId="7F9D5A01" w14:textId="13D941C1" w:rsidR="00F807F3" w:rsidRPr="007B6B33" w:rsidRDefault="00F807F3" w:rsidP="007E0E2F">
      <w:pPr>
        <w:pStyle w:val="ListParagraph"/>
        <w:numPr>
          <w:ilvl w:val="0"/>
          <w:numId w:val="4"/>
        </w:numPr>
        <w:spacing w:after="0" w:line="240" w:lineRule="auto"/>
        <w:ind w:left="0" w:right="648" w:firstLine="0"/>
        <w:rPr>
          <w:bCs/>
          <w:color w:val="auto"/>
        </w:rPr>
      </w:pPr>
      <w:r w:rsidRPr="007B6B33">
        <w:rPr>
          <w:bCs/>
          <w:color w:val="auto"/>
        </w:rPr>
        <w:t>At its 70</w:t>
      </w:r>
      <w:r w:rsidRPr="007B6B33">
        <w:rPr>
          <w:bCs/>
          <w:color w:val="auto"/>
          <w:vertAlign w:val="superscript"/>
        </w:rPr>
        <w:t>th</w:t>
      </w:r>
      <w:r w:rsidRPr="007B6B33">
        <w:rPr>
          <w:bCs/>
          <w:color w:val="auto"/>
        </w:rPr>
        <w:t xml:space="preserve"> session, the Committee reviewed and discussed with the Actuary, the appropriateness of the assumptions used to calculate the ASHI liability and reviewed a table of comparable assumptions used by other Geneva-based UN institutions.  It should be recalled that the ASHI liability was highly sensitive to the underlying assumptions, as in the Financial Statements of 2022, this liability had decreased by 105.1 million Swiss francs, mainly because of the increase of the discount rate from 0.5 per cent to 2.5 per cent.  The Committee also </w:t>
      </w:r>
      <w:r w:rsidR="001D673E">
        <w:rPr>
          <w:bCs/>
          <w:color w:val="auto"/>
        </w:rPr>
        <w:t>i</w:t>
      </w:r>
      <w:r w:rsidRPr="007B6B33">
        <w:rPr>
          <w:bCs/>
          <w:color w:val="auto"/>
        </w:rPr>
        <w:t xml:space="preserve">nquired about the interaction between WIPO’s Actuary and the External Auditor’s Actuary. </w:t>
      </w:r>
    </w:p>
    <w:p w14:paraId="6748BBE3" w14:textId="77777777" w:rsidR="00F807F3" w:rsidRPr="007B6B33" w:rsidRDefault="00F807F3" w:rsidP="00F807F3">
      <w:pPr>
        <w:pStyle w:val="ListParagraph"/>
        <w:spacing w:after="0" w:line="240" w:lineRule="auto"/>
        <w:ind w:left="0" w:right="648" w:firstLine="0"/>
        <w:rPr>
          <w:bCs/>
          <w:color w:val="auto"/>
        </w:rPr>
      </w:pPr>
    </w:p>
    <w:p w14:paraId="3FB2D5B5" w14:textId="0E4B12EF" w:rsidR="00F807F3" w:rsidRPr="007B6B33" w:rsidRDefault="00F807F3" w:rsidP="00F807F3">
      <w:pPr>
        <w:pStyle w:val="ListParagraph"/>
        <w:spacing w:after="0" w:line="240" w:lineRule="auto"/>
        <w:ind w:right="648" w:firstLine="0"/>
        <w:rPr>
          <w:bCs/>
          <w:i/>
          <w:iCs/>
          <w:color w:val="auto"/>
        </w:rPr>
      </w:pPr>
      <w:bookmarkStart w:id="16" w:name="_Hlk164955110"/>
      <w:r w:rsidRPr="007B6B33">
        <w:rPr>
          <w:bCs/>
          <w:i/>
          <w:iCs/>
          <w:color w:val="auto"/>
        </w:rPr>
        <w:t>Investment Governance Framework and Policies</w:t>
      </w:r>
    </w:p>
    <w:bookmarkEnd w:id="16"/>
    <w:p w14:paraId="712209E1" w14:textId="77777777" w:rsidR="00F807F3" w:rsidRPr="007B6B33" w:rsidRDefault="00F807F3" w:rsidP="00F807F3">
      <w:pPr>
        <w:spacing w:after="0" w:line="240" w:lineRule="auto"/>
        <w:ind w:right="648"/>
        <w:rPr>
          <w:bCs/>
          <w:color w:val="auto"/>
        </w:rPr>
      </w:pPr>
    </w:p>
    <w:p w14:paraId="605B1CBE" w14:textId="2C411D65" w:rsidR="00C476D2" w:rsidRPr="007B6B33" w:rsidRDefault="00E262D6" w:rsidP="00F807F3">
      <w:pPr>
        <w:pStyle w:val="ListParagraph"/>
        <w:numPr>
          <w:ilvl w:val="0"/>
          <w:numId w:val="4"/>
        </w:numPr>
        <w:spacing w:after="0" w:line="240" w:lineRule="auto"/>
        <w:ind w:left="0" w:right="648" w:firstLine="0"/>
        <w:rPr>
          <w:bCs/>
          <w:color w:val="auto"/>
        </w:rPr>
      </w:pPr>
      <w:r w:rsidRPr="007B6B33">
        <w:rPr>
          <w:bCs/>
          <w:color w:val="auto"/>
        </w:rPr>
        <w:t>As a follow-up to an earlier request, a</w:t>
      </w:r>
      <w:r w:rsidR="00F807F3" w:rsidRPr="007B6B33">
        <w:rPr>
          <w:bCs/>
          <w:color w:val="auto"/>
        </w:rPr>
        <w:t xml:space="preserve">t each of its sessions, the </w:t>
      </w:r>
      <w:r w:rsidRPr="007B6B33">
        <w:rPr>
          <w:bCs/>
          <w:color w:val="auto"/>
        </w:rPr>
        <w:t>Committee was</w:t>
      </w:r>
      <w:r w:rsidR="00F807F3" w:rsidRPr="007B6B33">
        <w:rPr>
          <w:bCs/>
          <w:color w:val="auto"/>
        </w:rPr>
        <w:t xml:space="preserve"> provided with updates </w:t>
      </w:r>
      <w:r w:rsidRPr="007B6B33">
        <w:rPr>
          <w:bCs/>
          <w:color w:val="auto"/>
        </w:rPr>
        <w:t xml:space="preserve">from the </w:t>
      </w:r>
      <w:r w:rsidR="00CC1B7D" w:rsidRPr="007B6B33">
        <w:rPr>
          <w:bCs/>
          <w:color w:val="auto"/>
        </w:rPr>
        <w:t>Secretariat o</w:t>
      </w:r>
      <w:r w:rsidR="00F807F3" w:rsidRPr="007B6B33">
        <w:rPr>
          <w:bCs/>
          <w:color w:val="auto"/>
        </w:rPr>
        <w:t xml:space="preserve">n </w:t>
      </w:r>
      <w:r w:rsidRPr="007B6B33">
        <w:rPr>
          <w:bCs/>
          <w:color w:val="auto"/>
        </w:rPr>
        <w:t xml:space="preserve">WIPO’s Investment Policy and Governance Framework, with </w:t>
      </w:r>
      <w:r w:rsidR="00E477CA" w:rsidRPr="007B6B33">
        <w:rPr>
          <w:bCs/>
          <w:color w:val="auto"/>
        </w:rPr>
        <w:t>a focus</w:t>
      </w:r>
      <w:r w:rsidRPr="007B6B33">
        <w:rPr>
          <w:bCs/>
          <w:color w:val="auto"/>
        </w:rPr>
        <w:t xml:space="preserve"> on the Core and Strategic Cash portfolios and Investment Funds benchmarks.  The Committee was informed that </w:t>
      </w:r>
      <w:r w:rsidR="003E6E9F" w:rsidRPr="007B6B33">
        <w:rPr>
          <w:bCs/>
          <w:color w:val="auto"/>
        </w:rPr>
        <w:t>the Secretaria</w:t>
      </w:r>
      <w:r w:rsidRPr="007B6B33">
        <w:rPr>
          <w:bCs/>
          <w:color w:val="auto"/>
        </w:rPr>
        <w:t xml:space="preserve">t had begun and continued to explore ways of strengthening governance over investments, following the advice it had received from the Committee to improve the governance framework. </w:t>
      </w:r>
      <w:r w:rsidR="00C476D2" w:rsidRPr="007B6B33">
        <w:rPr>
          <w:bCs/>
          <w:color w:val="auto"/>
        </w:rPr>
        <w:t xml:space="preserve"> Furthermore, the Committee was informed that WIPO had engaged the World Bank Treasury to conduct a peer review during September and October 2023. </w:t>
      </w:r>
    </w:p>
    <w:p w14:paraId="6AE7F213" w14:textId="77777777" w:rsidR="00C476D2" w:rsidRPr="007B6B33" w:rsidRDefault="00C476D2" w:rsidP="00C476D2">
      <w:pPr>
        <w:pStyle w:val="ListParagraph"/>
        <w:spacing w:after="0" w:line="240" w:lineRule="auto"/>
        <w:ind w:left="0" w:right="648" w:firstLine="0"/>
        <w:rPr>
          <w:bCs/>
          <w:color w:val="auto"/>
        </w:rPr>
      </w:pPr>
    </w:p>
    <w:p w14:paraId="16AB7E9F" w14:textId="64377F2B" w:rsidR="00871F83" w:rsidRPr="007B6B33" w:rsidRDefault="00F20B58" w:rsidP="0052088C">
      <w:pPr>
        <w:pStyle w:val="ListParagraph"/>
        <w:numPr>
          <w:ilvl w:val="0"/>
          <w:numId w:val="4"/>
        </w:numPr>
        <w:spacing w:after="0" w:line="240" w:lineRule="auto"/>
        <w:ind w:left="0" w:right="648" w:firstLine="0"/>
        <w:rPr>
          <w:bCs/>
          <w:color w:val="auto"/>
        </w:rPr>
      </w:pPr>
      <w:r>
        <w:rPr>
          <w:bCs/>
          <w:color w:val="auto"/>
        </w:rPr>
        <w:t>T</w:t>
      </w:r>
      <w:r w:rsidR="00C476D2" w:rsidRPr="007B6B33">
        <w:rPr>
          <w:bCs/>
          <w:color w:val="auto"/>
        </w:rPr>
        <w:t xml:space="preserve">he Committee </w:t>
      </w:r>
      <w:r>
        <w:rPr>
          <w:bCs/>
          <w:color w:val="auto"/>
        </w:rPr>
        <w:t>h</w:t>
      </w:r>
      <w:r w:rsidR="00F807F3" w:rsidRPr="007B6B33">
        <w:rPr>
          <w:bCs/>
          <w:color w:val="auto"/>
        </w:rPr>
        <w:t>as</w:t>
      </w:r>
      <w:r>
        <w:rPr>
          <w:bCs/>
          <w:color w:val="auto"/>
        </w:rPr>
        <w:t xml:space="preserve"> been</w:t>
      </w:r>
      <w:r w:rsidR="00F807F3" w:rsidRPr="007B6B33">
        <w:rPr>
          <w:bCs/>
          <w:color w:val="auto"/>
        </w:rPr>
        <w:t xml:space="preserve"> </w:t>
      </w:r>
      <w:r w:rsidR="00C476D2" w:rsidRPr="007B6B33">
        <w:rPr>
          <w:bCs/>
          <w:color w:val="auto"/>
        </w:rPr>
        <w:t>apprised that the portfolio performance was in-lin</w:t>
      </w:r>
      <w:r w:rsidR="00AE018A" w:rsidRPr="007B6B33">
        <w:rPr>
          <w:bCs/>
          <w:color w:val="auto"/>
        </w:rPr>
        <w:t xml:space="preserve">e </w:t>
      </w:r>
      <w:r w:rsidR="00C476D2" w:rsidRPr="007B6B33">
        <w:rPr>
          <w:bCs/>
          <w:color w:val="auto"/>
        </w:rPr>
        <w:t xml:space="preserve">with the </w:t>
      </w:r>
      <w:r w:rsidR="00807022" w:rsidRPr="007B6B33">
        <w:rPr>
          <w:bCs/>
          <w:color w:val="auto"/>
        </w:rPr>
        <w:t xml:space="preserve">approved </w:t>
      </w:r>
      <w:r w:rsidR="00C476D2" w:rsidRPr="007B6B33">
        <w:rPr>
          <w:bCs/>
          <w:color w:val="auto"/>
        </w:rPr>
        <w:t>investment performance benchmarks</w:t>
      </w:r>
      <w:r w:rsidR="00AE018A" w:rsidRPr="007B6B33">
        <w:rPr>
          <w:bCs/>
          <w:color w:val="auto"/>
        </w:rPr>
        <w:t xml:space="preserve">.  </w:t>
      </w:r>
      <w:r w:rsidR="00871F83" w:rsidRPr="007B6B33">
        <w:rPr>
          <w:bCs/>
          <w:color w:val="auto"/>
        </w:rPr>
        <w:t xml:space="preserve">Regarding the governance framework, the Committee was </w:t>
      </w:r>
      <w:r>
        <w:rPr>
          <w:bCs/>
          <w:color w:val="auto"/>
        </w:rPr>
        <w:t xml:space="preserve">periodically </w:t>
      </w:r>
      <w:r w:rsidR="00871F83" w:rsidRPr="007B6B33">
        <w:rPr>
          <w:bCs/>
          <w:color w:val="auto"/>
        </w:rPr>
        <w:t xml:space="preserve">updated on the status of work with the Reserve Advisory &amp; Management Partnership (RAMP), which is part of the World Bank Treasury.  </w:t>
      </w:r>
      <w:r w:rsidR="00492591">
        <w:rPr>
          <w:bCs/>
          <w:color w:val="auto"/>
        </w:rPr>
        <w:t xml:space="preserve">The review was </w:t>
      </w:r>
      <w:r w:rsidR="00871F83" w:rsidRPr="007B6B33">
        <w:rPr>
          <w:bCs/>
          <w:color w:val="auto"/>
        </w:rPr>
        <w:t>complete</w:t>
      </w:r>
      <w:r w:rsidR="00492591">
        <w:rPr>
          <w:bCs/>
          <w:color w:val="auto"/>
        </w:rPr>
        <w:t xml:space="preserve">d, and </w:t>
      </w:r>
      <w:proofErr w:type="gramStart"/>
      <w:r w:rsidR="00492591">
        <w:rPr>
          <w:bCs/>
          <w:color w:val="auto"/>
        </w:rPr>
        <w:t>a number of</w:t>
      </w:r>
      <w:proofErr w:type="gramEnd"/>
      <w:r w:rsidR="00492591">
        <w:rPr>
          <w:bCs/>
          <w:color w:val="auto"/>
        </w:rPr>
        <w:t xml:space="preserve"> recommendations were issued.  T</w:t>
      </w:r>
      <w:r w:rsidR="00871F83" w:rsidRPr="007B6B33">
        <w:rPr>
          <w:bCs/>
          <w:color w:val="auto"/>
        </w:rPr>
        <w:t xml:space="preserve">he Committee was informed that the advice from RAMP to include one or more external experts in WIPO’s internal Advisory Committee on Investments (ACI) </w:t>
      </w:r>
      <w:r w:rsidR="00231B12" w:rsidRPr="007B6B33">
        <w:rPr>
          <w:bCs/>
          <w:color w:val="auto"/>
        </w:rPr>
        <w:t>is under consideration</w:t>
      </w:r>
      <w:r w:rsidR="00492591">
        <w:rPr>
          <w:bCs/>
          <w:color w:val="auto"/>
        </w:rPr>
        <w:t xml:space="preserve"> among other recommendations.</w:t>
      </w:r>
    </w:p>
    <w:p w14:paraId="4C256849" w14:textId="77777777" w:rsidR="00871F83" w:rsidRPr="007B6B33" w:rsidRDefault="00871F83" w:rsidP="00FF5C26">
      <w:pPr>
        <w:ind w:left="0" w:firstLine="0"/>
        <w:rPr>
          <w:bCs/>
          <w:color w:val="auto"/>
        </w:rPr>
      </w:pPr>
    </w:p>
    <w:p w14:paraId="01AF4773" w14:textId="01B2B092" w:rsidR="00231B12" w:rsidRPr="007B6B33" w:rsidRDefault="00D87BA0" w:rsidP="00C7673B">
      <w:pPr>
        <w:pStyle w:val="ListParagraph"/>
        <w:spacing w:after="0" w:line="240" w:lineRule="auto"/>
        <w:ind w:right="648" w:firstLine="0"/>
        <w:rPr>
          <w:bCs/>
          <w:i/>
          <w:iCs/>
          <w:color w:val="auto"/>
        </w:rPr>
      </w:pPr>
      <w:r w:rsidRPr="00AE0F41">
        <w:rPr>
          <w:bCs/>
          <w:i/>
          <w:iCs/>
          <w:color w:val="auto"/>
        </w:rPr>
        <w:t>Segregation of ASHI assets and Overall Performance</w:t>
      </w:r>
    </w:p>
    <w:p w14:paraId="798366FA" w14:textId="77777777" w:rsidR="00D87BA0" w:rsidRPr="00AE0F41" w:rsidRDefault="00D87BA0" w:rsidP="00AE0F41">
      <w:pPr>
        <w:spacing w:after="0" w:line="240" w:lineRule="auto"/>
        <w:ind w:right="648"/>
        <w:rPr>
          <w:bCs/>
          <w:i/>
          <w:iCs/>
          <w:color w:val="auto"/>
        </w:rPr>
      </w:pPr>
    </w:p>
    <w:p w14:paraId="6260E178" w14:textId="097D00EF" w:rsidR="00A67DC0" w:rsidRPr="007B6B33" w:rsidRDefault="00871F83" w:rsidP="00F807F3">
      <w:pPr>
        <w:pStyle w:val="ListParagraph"/>
        <w:numPr>
          <w:ilvl w:val="0"/>
          <w:numId w:val="4"/>
        </w:numPr>
        <w:spacing w:after="0" w:line="240" w:lineRule="auto"/>
        <w:ind w:left="0" w:right="648" w:firstLine="0"/>
        <w:rPr>
          <w:bCs/>
          <w:color w:val="auto"/>
        </w:rPr>
      </w:pPr>
      <w:r w:rsidRPr="007B6B33">
        <w:rPr>
          <w:bCs/>
          <w:color w:val="auto"/>
        </w:rPr>
        <w:t xml:space="preserve">The </w:t>
      </w:r>
      <w:r w:rsidR="00F66C09" w:rsidRPr="007B6B33">
        <w:rPr>
          <w:bCs/>
          <w:color w:val="auto"/>
        </w:rPr>
        <w:t xml:space="preserve">Secretariat </w:t>
      </w:r>
      <w:r w:rsidRPr="007B6B33">
        <w:rPr>
          <w:bCs/>
          <w:color w:val="auto"/>
        </w:rPr>
        <w:t xml:space="preserve">informed the Committee of the different options being explored to segregate the ASHI assets.  This included establishing a separate foundation, a matter which would be further discussed by the Committee </w:t>
      </w:r>
      <w:r w:rsidR="00380620" w:rsidRPr="007B6B33">
        <w:rPr>
          <w:bCs/>
          <w:color w:val="auto"/>
        </w:rPr>
        <w:t>to</w:t>
      </w:r>
      <w:r w:rsidRPr="007B6B33">
        <w:rPr>
          <w:bCs/>
          <w:color w:val="auto"/>
        </w:rPr>
        <w:t xml:space="preserve"> provide guidance.  </w:t>
      </w:r>
    </w:p>
    <w:p w14:paraId="39B694D5" w14:textId="77777777" w:rsidR="00A67DC0" w:rsidRPr="007B6B33" w:rsidRDefault="00A67DC0" w:rsidP="00A02D9E">
      <w:pPr>
        <w:ind w:left="0" w:firstLine="0"/>
        <w:rPr>
          <w:bCs/>
          <w:color w:val="auto"/>
        </w:rPr>
      </w:pPr>
    </w:p>
    <w:p w14:paraId="5C79E90D" w14:textId="2919B11E" w:rsidR="00A67DC0" w:rsidRPr="007B6B33" w:rsidRDefault="00A67DC0" w:rsidP="00F807F3">
      <w:pPr>
        <w:pStyle w:val="ListParagraph"/>
        <w:numPr>
          <w:ilvl w:val="0"/>
          <w:numId w:val="4"/>
        </w:numPr>
        <w:spacing w:after="0" w:line="240" w:lineRule="auto"/>
        <w:ind w:left="0" w:right="648" w:firstLine="0"/>
        <w:rPr>
          <w:bCs/>
          <w:color w:val="auto"/>
        </w:rPr>
      </w:pPr>
      <w:r w:rsidRPr="007B6B33">
        <w:rPr>
          <w:bCs/>
          <w:color w:val="auto"/>
        </w:rPr>
        <w:t xml:space="preserve">The Committee was also given an update on the Organization’s overall performance, which suggested that both the income and the expenditure were within target </w:t>
      </w:r>
      <w:r w:rsidRPr="007B6B33">
        <w:rPr>
          <w:bCs/>
          <w:color w:val="auto"/>
        </w:rPr>
        <w:lastRenderedPageBreak/>
        <w:t xml:space="preserve">levels, although this could be impacted by the final valuation at the year-end of the ASHI liabilities. </w:t>
      </w:r>
    </w:p>
    <w:p w14:paraId="36531841" w14:textId="0F8D890A" w:rsidR="00097EE0" w:rsidRPr="007B6B33" w:rsidRDefault="00097EE0" w:rsidP="00097EE0">
      <w:pPr>
        <w:pStyle w:val="ListParagraph"/>
        <w:spacing w:after="0" w:line="240" w:lineRule="auto"/>
        <w:ind w:left="0" w:right="648" w:firstLine="0"/>
        <w:rPr>
          <w:bCs/>
          <w:color w:val="auto"/>
        </w:rPr>
      </w:pPr>
    </w:p>
    <w:p w14:paraId="6240DEB9" w14:textId="741B78A2" w:rsidR="000F075B" w:rsidRDefault="00046A56" w:rsidP="00BB58AB">
      <w:pPr>
        <w:spacing w:after="0" w:line="240" w:lineRule="auto"/>
        <w:ind w:left="0" w:right="-648" w:firstLine="0"/>
      </w:pPr>
      <w:r w:rsidRPr="007B6B33">
        <w:t xml:space="preserve">D.  </w:t>
      </w:r>
      <w:r w:rsidRPr="007B6B33">
        <w:tab/>
      </w:r>
      <w:r w:rsidRPr="007B6B33">
        <w:rPr>
          <w:u w:val="single"/>
        </w:rPr>
        <w:t>Risk Management and Internal Controls</w:t>
      </w:r>
      <w:r w:rsidR="001C7BFD" w:rsidRPr="007B6B33">
        <w:t xml:space="preserve"> </w:t>
      </w:r>
    </w:p>
    <w:p w14:paraId="0165F298" w14:textId="77777777" w:rsidR="00907EDC" w:rsidRPr="007B6B33" w:rsidRDefault="00907EDC" w:rsidP="00BB58AB">
      <w:pPr>
        <w:spacing w:after="0" w:line="240" w:lineRule="auto"/>
        <w:ind w:left="0" w:right="-648" w:firstLine="0"/>
      </w:pPr>
    </w:p>
    <w:p w14:paraId="603F949B" w14:textId="7268446E" w:rsidR="005F3A57" w:rsidRPr="007B6B33" w:rsidRDefault="00B933E3" w:rsidP="00BB58AB">
      <w:pPr>
        <w:pStyle w:val="ListParagraph"/>
        <w:numPr>
          <w:ilvl w:val="0"/>
          <w:numId w:val="4"/>
        </w:numPr>
        <w:spacing w:after="0" w:line="240" w:lineRule="auto"/>
        <w:ind w:left="0" w:right="-648"/>
      </w:pPr>
      <w:r w:rsidRPr="007B6B33">
        <w:rPr>
          <w:bCs/>
        </w:rPr>
        <w:t xml:space="preserve">During </w:t>
      </w:r>
      <w:r w:rsidR="00916C26" w:rsidRPr="007B6B33">
        <w:rPr>
          <w:bCs/>
        </w:rPr>
        <w:t>the 6</w:t>
      </w:r>
      <w:r w:rsidR="00EE1A7B" w:rsidRPr="007B6B33">
        <w:rPr>
          <w:bCs/>
        </w:rPr>
        <w:t>9</w:t>
      </w:r>
      <w:r w:rsidR="00916C26" w:rsidRPr="007B6B33">
        <w:rPr>
          <w:bCs/>
          <w:vertAlign w:val="superscript"/>
        </w:rPr>
        <w:t>th</w:t>
      </w:r>
      <w:r w:rsidR="00916C26" w:rsidRPr="007B6B33">
        <w:rPr>
          <w:bCs/>
        </w:rPr>
        <w:t xml:space="preserve"> </w:t>
      </w:r>
      <w:r w:rsidRPr="007B6B33">
        <w:rPr>
          <w:bCs/>
        </w:rPr>
        <w:t>session</w:t>
      </w:r>
      <w:r w:rsidR="0097384D" w:rsidRPr="007B6B33">
        <w:rPr>
          <w:bCs/>
        </w:rPr>
        <w:t>,</w:t>
      </w:r>
      <w:r w:rsidR="00DA7F4A" w:rsidRPr="007B6B33">
        <w:rPr>
          <w:bCs/>
        </w:rPr>
        <w:t xml:space="preserve"> </w:t>
      </w:r>
      <w:r w:rsidR="00EE1A7B" w:rsidRPr="007B6B33">
        <w:rPr>
          <w:bCs/>
        </w:rPr>
        <w:t xml:space="preserve">the Committee received the 2022 Annual </w:t>
      </w:r>
      <w:r w:rsidR="003200C9" w:rsidRPr="007B6B33">
        <w:rPr>
          <w:bCs/>
        </w:rPr>
        <w:t xml:space="preserve">Management </w:t>
      </w:r>
      <w:r w:rsidR="00EE1A7B" w:rsidRPr="007B6B33">
        <w:rPr>
          <w:bCs/>
        </w:rPr>
        <w:t>Progress Report (as of March 9, 2023), and the WIPO Assurance Summary 2022 (as of February 24, 2023)</w:t>
      </w:r>
      <w:r w:rsidR="005F3A57" w:rsidRPr="007B6B33">
        <w:rPr>
          <w:bCs/>
        </w:rPr>
        <w:t xml:space="preserve"> and took note of the progress in risk management processes, including the identification of key controls, as well as the use of data analytics and the ongoing consultation with the IOD. </w:t>
      </w:r>
    </w:p>
    <w:p w14:paraId="40DC1566" w14:textId="77777777" w:rsidR="005F3A57" w:rsidRPr="007B6B33" w:rsidRDefault="005F3A57" w:rsidP="005F3A57">
      <w:pPr>
        <w:pStyle w:val="ListParagraph"/>
        <w:ind w:left="0" w:firstLine="0"/>
      </w:pPr>
    </w:p>
    <w:p w14:paraId="22C94E48" w14:textId="6ACBDFE5" w:rsidR="00A43D8F" w:rsidRPr="007B6B33" w:rsidRDefault="00796205" w:rsidP="009E506A">
      <w:pPr>
        <w:pStyle w:val="ListParagraph"/>
        <w:numPr>
          <w:ilvl w:val="0"/>
          <w:numId w:val="4"/>
        </w:numPr>
        <w:ind w:left="0"/>
      </w:pPr>
      <w:r w:rsidRPr="007B6B33">
        <w:rPr>
          <w:bCs/>
        </w:rPr>
        <w:t>At the 70</w:t>
      </w:r>
      <w:r w:rsidRPr="007B6B33">
        <w:rPr>
          <w:bCs/>
          <w:vertAlign w:val="superscript"/>
        </w:rPr>
        <w:t>th</w:t>
      </w:r>
      <w:r w:rsidRPr="007B6B33">
        <w:rPr>
          <w:bCs/>
        </w:rPr>
        <w:t xml:space="preserve"> session, the </w:t>
      </w:r>
      <w:r w:rsidR="00085F48" w:rsidRPr="007B6B33">
        <w:rPr>
          <w:bCs/>
        </w:rPr>
        <w:t>Secretariat</w:t>
      </w:r>
      <w:r w:rsidRPr="007B6B33">
        <w:rPr>
          <w:bCs/>
        </w:rPr>
        <w:t xml:space="preserve"> presented to the Committee an update on Performance and Enterprise Risk Management (ERM), including Top Risks and Mitigation Measures</w:t>
      </w:r>
      <w:r w:rsidR="00A43D8F" w:rsidRPr="007B6B33">
        <w:rPr>
          <w:bCs/>
        </w:rPr>
        <w:t xml:space="preserve">, and received advice regarding further finetuning definitions used to measure WIPO’s Performance Results, in particular differentiating between output, </w:t>
      </w:r>
      <w:r w:rsidR="00380620" w:rsidRPr="007B6B33">
        <w:rPr>
          <w:bCs/>
        </w:rPr>
        <w:t>outcome,</w:t>
      </w:r>
      <w:r w:rsidR="00A43D8F" w:rsidRPr="007B6B33">
        <w:rPr>
          <w:bCs/>
        </w:rPr>
        <w:t xml:space="preserve"> and impact.  </w:t>
      </w:r>
      <w:r w:rsidR="00737474" w:rsidRPr="007B6B33">
        <w:rPr>
          <w:bCs/>
        </w:rPr>
        <w:t xml:space="preserve">The Committee took note of the update on ERM’s Top Risks matrix and discussed the assessment and feasibility of reaching target residual risk levels in some cases and discussed with the </w:t>
      </w:r>
      <w:r w:rsidR="00085F48" w:rsidRPr="007B6B33">
        <w:rPr>
          <w:bCs/>
        </w:rPr>
        <w:t>Secretariat</w:t>
      </w:r>
      <w:r w:rsidR="00737474" w:rsidRPr="007B6B33">
        <w:rPr>
          <w:bCs/>
        </w:rPr>
        <w:t xml:space="preserve"> the progress of achieving the expected results and the evolving risk in the different Strategic Pillars and Foundations of the WIPO’s Results Framework.</w:t>
      </w:r>
    </w:p>
    <w:p w14:paraId="1FCCE491" w14:textId="77777777" w:rsidR="00A43D8F" w:rsidRPr="007B6B33" w:rsidRDefault="00A43D8F" w:rsidP="006B3357">
      <w:pPr>
        <w:ind w:left="0" w:firstLine="0"/>
        <w:rPr>
          <w:bCs/>
        </w:rPr>
      </w:pPr>
    </w:p>
    <w:p w14:paraId="4E270024" w14:textId="663C4587" w:rsidR="000944AF" w:rsidRPr="007B6B33" w:rsidRDefault="000944AF" w:rsidP="00A43D8F">
      <w:pPr>
        <w:pStyle w:val="ListParagraph"/>
        <w:rPr>
          <w:bCs/>
          <w:i/>
          <w:iCs/>
        </w:rPr>
      </w:pPr>
      <w:r w:rsidRPr="007B6B33">
        <w:rPr>
          <w:bCs/>
          <w:i/>
          <w:iCs/>
        </w:rPr>
        <w:t>Update on Business Continuity</w:t>
      </w:r>
    </w:p>
    <w:p w14:paraId="1F54166E" w14:textId="77777777" w:rsidR="000944AF" w:rsidRPr="007B6B33" w:rsidRDefault="000944AF" w:rsidP="006B3357">
      <w:pPr>
        <w:ind w:left="0" w:firstLine="0"/>
        <w:rPr>
          <w:bCs/>
        </w:rPr>
      </w:pPr>
    </w:p>
    <w:p w14:paraId="01031A5C" w14:textId="2D512640" w:rsidR="00A43D8F" w:rsidRPr="007B6B33" w:rsidRDefault="000944AF" w:rsidP="009E506A">
      <w:pPr>
        <w:pStyle w:val="ListParagraph"/>
        <w:numPr>
          <w:ilvl w:val="0"/>
          <w:numId w:val="4"/>
        </w:numPr>
        <w:ind w:left="0"/>
      </w:pPr>
      <w:r w:rsidRPr="007B6B33">
        <w:t>During the 70</w:t>
      </w:r>
      <w:r w:rsidRPr="007B6B33">
        <w:rPr>
          <w:vertAlign w:val="superscript"/>
        </w:rPr>
        <w:t>th</w:t>
      </w:r>
      <w:r w:rsidRPr="007B6B33">
        <w:t xml:space="preserve"> session, in a meeting with the Business Continuity Coordinator, the Committee received an overview regarding the existing Business Continuity Plans that were in place, as well as those that continued to be developed and tested</w:t>
      </w:r>
      <w:r w:rsidR="00991081" w:rsidRPr="007B6B33">
        <w:t>, and noted</w:t>
      </w:r>
      <w:r w:rsidR="00D87BA0" w:rsidRPr="007B6B33">
        <w:t xml:space="preserve"> that, </w:t>
      </w:r>
      <w:r w:rsidR="00991081" w:rsidRPr="007B6B33">
        <w:t>at the time</w:t>
      </w:r>
      <w:r w:rsidR="00D87BA0" w:rsidRPr="007B6B33">
        <w:t>,</w:t>
      </w:r>
      <w:r w:rsidR="00991081" w:rsidRPr="007B6B33">
        <w:t xml:space="preserve"> there were 22 Functional Business Continuity Plans consisting of 50 section/process-level Action Plans, which were elaborated and continued to be updated where deemed necessary. </w:t>
      </w:r>
    </w:p>
    <w:p w14:paraId="6F16E408" w14:textId="77777777" w:rsidR="00A43D8F" w:rsidRPr="007B6B33" w:rsidRDefault="00A43D8F" w:rsidP="006B3357">
      <w:pPr>
        <w:ind w:left="0" w:firstLine="0"/>
        <w:rPr>
          <w:bCs/>
        </w:rPr>
      </w:pPr>
    </w:p>
    <w:p w14:paraId="3AC4AF7F" w14:textId="57550DC8" w:rsidR="00242814" w:rsidRPr="007B6B33" w:rsidRDefault="00242814" w:rsidP="00242814">
      <w:pPr>
        <w:pStyle w:val="ListParagraph"/>
        <w:rPr>
          <w:bCs/>
          <w:i/>
          <w:iCs/>
        </w:rPr>
      </w:pPr>
      <w:r w:rsidRPr="007B6B33">
        <w:rPr>
          <w:bCs/>
          <w:i/>
          <w:iCs/>
        </w:rPr>
        <w:t xml:space="preserve">Update on </w:t>
      </w:r>
      <w:r w:rsidR="002A76F9" w:rsidRPr="007B6B33">
        <w:rPr>
          <w:bCs/>
          <w:i/>
          <w:iCs/>
        </w:rPr>
        <w:t>Cyber</w:t>
      </w:r>
      <w:r w:rsidR="008E3D17" w:rsidRPr="007B6B33">
        <w:rPr>
          <w:bCs/>
          <w:i/>
          <w:iCs/>
        </w:rPr>
        <w:t>security</w:t>
      </w:r>
    </w:p>
    <w:p w14:paraId="268D7474" w14:textId="77777777" w:rsidR="00242814" w:rsidRPr="007B6B33" w:rsidRDefault="00242814" w:rsidP="006B3357">
      <w:pPr>
        <w:ind w:left="0" w:firstLine="0"/>
        <w:rPr>
          <w:bCs/>
        </w:rPr>
      </w:pPr>
    </w:p>
    <w:p w14:paraId="474F5CE2" w14:textId="10BC383F" w:rsidR="00242814" w:rsidRPr="007B5A1D" w:rsidRDefault="00242814" w:rsidP="00242814">
      <w:pPr>
        <w:pStyle w:val="ListParagraph"/>
        <w:numPr>
          <w:ilvl w:val="0"/>
          <w:numId w:val="4"/>
        </w:numPr>
        <w:ind w:left="0"/>
      </w:pPr>
      <w:r w:rsidRPr="007B6B33">
        <w:rPr>
          <w:bCs/>
        </w:rPr>
        <w:t>At the 70</w:t>
      </w:r>
      <w:r w:rsidRPr="007B6B33">
        <w:rPr>
          <w:bCs/>
          <w:vertAlign w:val="superscript"/>
        </w:rPr>
        <w:t>th</w:t>
      </w:r>
      <w:r w:rsidRPr="007B6B33">
        <w:rPr>
          <w:bCs/>
        </w:rPr>
        <w:t xml:space="preserve"> session, the Committee was briefed about the three lines </w:t>
      </w:r>
      <w:r w:rsidR="00D87BA0" w:rsidRPr="007B6B33">
        <w:rPr>
          <w:bCs/>
        </w:rPr>
        <w:t xml:space="preserve">of defense </w:t>
      </w:r>
      <w:r w:rsidRPr="007B6B33">
        <w:rPr>
          <w:bCs/>
        </w:rPr>
        <w:t xml:space="preserve">applied to Cybersecurity in WIPO.  </w:t>
      </w:r>
      <w:r w:rsidRPr="007B5A1D">
        <w:t xml:space="preserve">The first line comprises IT Operations and perimeter </w:t>
      </w:r>
      <w:proofErr w:type="gramStart"/>
      <w:r w:rsidRPr="007B5A1D">
        <w:t>controls;  the</w:t>
      </w:r>
      <w:proofErr w:type="gramEnd"/>
      <w:r w:rsidRPr="007B5A1D">
        <w:t xml:space="preserve"> second line comprises compliance and risk functions;  and the third line comprises internal assurance.  The Committee inquired about the </w:t>
      </w:r>
      <w:r w:rsidR="00D87BA0" w:rsidRPr="007B5A1D">
        <w:t>functioning of</w:t>
      </w:r>
      <w:r w:rsidRPr="007B5A1D">
        <w:t xml:space="preserve"> the first and second lines, </w:t>
      </w:r>
      <w:r w:rsidR="00904F23" w:rsidRPr="007B5A1D">
        <w:t>and</w:t>
      </w:r>
      <w:r w:rsidRPr="007B5A1D">
        <w:t xml:space="preserve"> discussed the organizational set-up of the IT function, and the segregation of duties between the IT Operations side and the Information Security side.  This discussion was initiated in view of the Committee’s expanded mandate under its </w:t>
      </w:r>
      <w:proofErr w:type="spellStart"/>
      <w:r w:rsidRPr="007B5A1D">
        <w:t>ToR</w:t>
      </w:r>
      <w:proofErr w:type="spellEnd"/>
      <w:r w:rsidRPr="007B5A1D">
        <w:t xml:space="preserve"> to include addressing Cybersecurity. </w:t>
      </w:r>
    </w:p>
    <w:p w14:paraId="67F3882C" w14:textId="3A99AC09" w:rsidR="00242814" w:rsidRPr="007B5A1D" w:rsidRDefault="00242814" w:rsidP="00242814"/>
    <w:p w14:paraId="2209FA38" w14:textId="45AE7206" w:rsidR="003F2EEF" w:rsidRPr="00511944" w:rsidRDefault="003F2EEF" w:rsidP="003F2EEF">
      <w:pPr>
        <w:ind w:left="730"/>
        <w:rPr>
          <w:i/>
          <w:iCs/>
        </w:rPr>
      </w:pPr>
      <w:r w:rsidRPr="00511944">
        <w:rPr>
          <w:i/>
          <w:iCs/>
        </w:rPr>
        <w:t>Update on IT Security</w:t>
      </w:r>
    </w:p>
    <w:p w14:paraId="097C9EAC" w14:textId="77777777" w:rsidR="003F2EEF" w:rsidRPr="00511944" w:rsidRDefault="003F2EEF" w:rsidP="006B3357"/>
    <w:p w14:paraId="5D96E5D9" w14:textId="1FC68608" w:rsidR="003F2EEF" w:rsidRPr="00511944" w:rsidRDefault="003F2EEF" w:rsidP="003F2EEF">
      <w:pPr>
        <w:pStyle w:val="ListParagraph"/>
        <w:numPr>
          <w:ilvl w:val="0"/>
          <w:numId w:val="4"/>
        </w:numPr>
        <w:ind w:left="0"/>
      </w:pPr>
      <w:r w:rsidRPr="007B6B33">
        <w:t xml:space="preserve">At the same session, the Committee received </w:t>
      </w:r>
      <w:r w:rsidRPr="00511944">
        <w:t xml:space="preserve">an update on Security and Information Assurance by the Acting Chief Security Officer.  The update was focused on the strategic security plans, and on the Data Privacy program.  Cybersecurity Risks were also discussed.  The Committee advised on the necessity of documenting “good enough” choices regarding acceptable levels of Cybersecurity </w:t>
      </w:r>
      <w:r w:rsidR="00C43C8E" w:rsidRPr="00511944">
        <w:t>Risks and</w:t>
      </w:r>
      <w:r w:rsidRPr="00511944">
        <w:t xml:space="preserve"> was informed that the Information Security operations met the ISO standards (27001 and 27002).  The Committee welcomed the planned IOD audit on Cybersecurity, to be conducted with the support of an outside consultant. </w:t>
      </w:r>
    </w:p>
    <w:p w14:paraId="797D8998" w14:textId="120479D5" w:rsidR="00B129EA" w:rsidRPr="00511944" w:rsidRDefault="00B129EA" w:rsidP="00B129EA">
      <w:pPr>
        <w:pStyle w:val="ListParagraph"/>
        <w:ind w:left="0" w:firstLine="0"/>
      </w:pPr>
    </w:p>
    <w:p w14:paraId="373EFCEE" w14:textId="77777777" w:rsidR="002B1385" w:rsidRDefault="002B1385">
      <w:pPr>
        <w:spacing w:after="160"/>
        <w:ind w:left="0" w:right="0" w:firstLine="0"/>
        <w:rPr>
          <w:i/>
          <w:iCs/>
        </w:rPr>
      </w:pPr>
      <w:r>
        <w:rPr>
          <w:i/>
          <w:iCs/>
        </w:rPr>
        <w:br w:type="page"/>
      </w:r>
    </w:p>
    <w:p w14:paraId="36746ECB" w14:textId="5107E73D" w:rsidR="00B915AB" w:rsidRPr="00511944" w:rsidRDefault="00B915AB" w:rsidP="00B915AB">
      <w:pPr>
        <w:pStyle w:val="ListParagraph"/>
        <w:ind w:left="0" w:firstLine="720"/>
        <w:rPr>
          <w:i/>
          <w:iCs/>
        </w:rPr>
      </w:pPr>
      <w:r w:rsidRPr="00511944">
        <w:rPr>
          <w:i/>
          <w:iCs/>
        </w:rPr>
        <w:lastRenderedPageBreak/>
        <w:t>Security and Information Assurance</w:t>
      </w:r>
    </w:p>
    <w:p w14:paraId="6E227596" w14:textId="77777777" w:rsidR="00B915AB" w:rsidRPr="00511944" w:rsidRDefault="00B915AB" w:rsidP="00B915AB">
      <w:pPr>
        <w:rPr>
          <w:i/>
          <w:iCs/>
        </w:rPr>
      </w:pPr>
    </w:p>
    <w:p w14:paraId="5490E734" w14:textId="130EECC7" w:rsidR="00B915AB" w:rsidRPr="00511944" w:rsidRDefault="00B915AB" w:rsidP="003552D2">
      <w:pPr>
        <w:pStyle w:val="ListParagraph"/>
        <w:numPr>
          <w:ilvl w:val="0"/>
          <w:numId w:val="4"/>
        </w:numPr>
        <w:ind w:left="0" w:firstLine="0"/>
      </w:pPr>
      <w:r w:rsidRPr="00511944">
        <w:t>At the 72</w:t>
      </w:r>
      <w:r w:rsidRPr="00511944">
        <w:rPr>
          <w:vertAlign w:val="superscript"/>
        </w:rPr>
        <w:t>nd</w:t>
      </w:r>
      <w:r w:rsidRPr="00511944">
        <w:t xml:space="preserve"> session, the Committee received an update on Security and Information Assurance, which covered arrangements for headquarters, External Offices, as well as Diplomatic Conferences.  The Committee discussed the concluded and upcoming audits of WIPO’s IT systems, including the results of the regular penetration testing, and was assured that the staff is sensitized to the importance of the topic, and that random phishing simulations were conducted periodically.  </w:t>
      </w:r>
      <w:r w:rsidRPr="007C61FA">
        <w:t xml:space="preserve">The Committee was informed that the staff is </w:t>
      </w:r>
      <w:r w:rsidR="00380620" w:rsidRPr="007C61FA">
        <w:t>assured</w:t>
      </w:r>
      <w:r w:rsidRPr="007C61FA">
        <w:t xml:space="preserve"> on the level of overall security and recommended that the</w:t>
      </w:r>
      <w:r w:rsidRPr="00511944">
        <w:t xml:space="preserve"> addition of one or more external experts in WIPO’s overall ICT governance framework be </w:t>
      </w:r>
      <w:r w:rsidR="00380620" w:rsidRPr="00511944">
        <w:t>considered.</w:t>
      </w:r>
    </w:p>
    <w:p w14:paraId="5DF741D4" w14:textId="77777777" w:rsidR="00B915AB" w:rsidRPr="00240964" w:rsidRDefault="00B915AB" w:rsidP="00B129EA">
      <w:pPr>
        <w:pStyle w:val="ListParagraph"/>
        <w:ind w:left="0" w:firstLine="0"/>
      </w:pPr>
    </w:p>
    <w:p w14:paraId="72F4A648" w14:textId="62AC8EC2" w:rsidR="003F2EEF" w:rsidRPr="00240964" w:rsidRDefault="0098490E" w:rsidP="0098490E">
      <w:pPr>
        <w:ind w:left="730"/>
        <w:rPr>
          <w:i/>
          <w:iCs/>
        </w:rPr>
      </w:pPr>
      <w:r w:rsidRPr="00240964">
        <w:rPr>
          <w:i/>
          <w:iCs/>
        </w:rPr>
        <w:t>Update on Procurement, including Anti-Fraud and Anti-Corruption Measures</w:t>
      </w:r>
    </w:p>
    <w:p w14:paraId="3625AA2C" w14:textId="77777777" w:rsidR="003F2EEF" w:rsidRPr="00240964" w:rsidRDefault="003F2EEF" w:rsidP="003F2EEF"/>
    <w:p w14:paraId="1ED4F73D" w14:textId="6E17B134" w:rsidR="0098490E" w:rsidRPr="00240964" w:rsidRDefault="0098490E" w:rsidP="0098490E">
      <w:pPr>
        <w:pStyle w:val="ListParagraph"/>
        <w:numPr>
          <w:ilvl w:val="0"/>
          <w:numId w:val="4"/>
        </w:numPr>
        <w:ind w:left="0"/>
      </w:pPr>
      <w:r w:rsidRPr="00240964">
        <w:t>At its 70</w:t>
      </w:r>
      <w:r w:rsidRPr="00240964">
        <w:rPr>
          <w:vertAlign w:val="superscript"/>
        </w:rPr>
        <w:t>th</w:t>
      </w:r>
      <w:r w:rsidRPr="00240964">
        <w:t xml:space="preserve"> session, </w:t>
      </w:r>
      <w:r w:rsidRPr="007B6B33">
        <w:rPr>
          <w:bCs/>
        </w:rPr>
        <w:t>t</w:t>
      </w:r>
      <w:r w:rsidRPr="007B6B33">
        <w:t xml:space="preserve">he Director, Procurement and Travel </w:t>
      </w:r>
      <w:r w:rsidRPr="008228F8">
        <w:t>Division</w:t>
      </w:r>
      <w:r w:rsidR="009C0DDD" w:rsidRPr="008228F8">
        <w:t>,</w:t>
      </w:r>
      <w:r w:rsidRPr="008228F8">
        <w:t xml:space="preserve"> provided</w:t>
      </w:r>
      <w:r w:rsidRPr="00240964">
        <w:t xml:space="preserve"> the Committee with an update on Procurement in WIPO, as well as an update on the Anti-Fraud and Anti-Corruption Measures in Procurement.  The measures consisted of the WIPO Regulatory Framework, standard requirement </w:t>
      </w:r>
      <w:r w:rsidR="00D87BA0" w:rsidRPr="00240964">
        <w:t xml:space="preserve">for </w:t>
      </w:r>
      <w:r w:rsidRPr="00240964">
        <w:t>suppliers, checks and monitoring, and training.  The Committee took note of the system automation and the digitalization in procurement, which resulted in improvements on lead time and client satisfaction with the service quality</w:t>
      </w:r>
      <w:r w:rsidR="00D87BA0" w:rsidRPr="00240964">
        <w:t xml:space="preserve">. </w:t>
      </w:r>
      <w:r w:rsidR="00240964">
        <w:t xml:space="preserve"> </w:t>
      </w:r>
      <w:r w:rsidR="00D87BA0" w:rsidRPr="00240964">
        <w:t>The Committee</w:t>
      </w:r>
      <w:r w:rsidRPr="00240964">
        <w:t xml:space="preserve"> welcomed the continuous digitalization of the procurement process, enhancement of the supplier performance management and a formulation of rules and procedures for the purchase of IT services. </w:t>
      </w:r>
    </w:p>
    <w:p w14:paraId="583A7815" w14:textId="77777777" w:rsidR="0098490E" w:rsidRPr="00240964" w:rsidRDefault="0098490E" w:rsidP="0098490E"/>
    <w:p w14:paraId="1E1432C5" w14:textId="5BDEB816" w:rsidR="006246B1" w:rsidRPr="00633577" w:rsidRDefault="006246B1" w:rsidP="006246B1">
      <w:pPr>
        <w:ind w:firstLine="708"/>
        <w:rPr>
          <w:i/>
          <w:iCs/>
        </w:rPr>
      </w:pPr>
      <w:r w:rsidRPr="00633577">
        <w:rPr>
          <w:i/>
          <w:iCs/>
        </w:rPr>
        <w:t>Anti-Fraud Activities and Prevention of Financial Malpractice</w:t>
      </w:r>
    </w:p>
    <w:p w14:paraId="6191F174" w14:textId="77777777" w:rsidR="003D6C6E" w:rsidRPr="00633577" w:rsidRDefault="003D6C6E" w:rsidP="003D6C6E">
      <w:pPr>
        <w:rPr>
          <w:i/>
          <w:iCs/>
        </w:rPr>
      </w:pPr>
    </w:p>
    <w:p w14:paraId="3125BF59" w14:textId="0C51BB94" w:rsidR="006246B1" w:rsidRPr="00633577" w:rsidRDefault="006246B1" w:rsidP="00C7696C">
      <w:pPr>
        <w:pStyle w:val="ListParagraph"/>
        <w:numPr>
          <w:ilvl w:val="0"/>
          <w:numId w:val="4"/>
        </w:numPr>
        <w:ind w:left="0"/>
      </w:pPr>
      <w:r w:rsidRPr="00633577">
        <w:t xml:space="preserve">In line with its revised </w:t>
      </w:r>
      <w:proofErr w:type="spellStart"/>
      <w:r w:rsidR="001D673E">
        <w:t>ToR</w:t>
      </w:r>
      <w:proofErr w:type="spellEnd"/>
      <w:r w:rsidRPr="00633577">
        <w:t>, which includes a review of anti-fraud activities, the Committee was briefed at its 72</w:t>
      </w:r>
      <w:r w:rsidRPr="00633577">
        <w:rPr>
          <w:vertAlign w:val="superscript"/>
        </w:rPr>
        <w:t>nd</w:t>
      </w:r>
      <w:r w:rsidRPr="00633577">
        <w:t xml:space="preserve"> session on WIPO's strategies for preventing fraud and financial malpractice.  The strategies included maintaining a strong treasury management system</w:t>
      </w:r>
      <w:r w:rsidR="00B22A89">
        <w:t xml:space="preserve"> </w:t>
      </w:r>
      <w:proofErr w:type="spellStart"/>
      <w:r w:rsidR="00B22A89">
        <w:t>and</w:t>
      </w:r>
      <w:r w:rsidRPr="00633577">
        <w:t>a</w:t>
      </w:r>
      <w:proofErr w:type="spellEnd"/>
      <w:r w:rsidRPr="00633577">
        <w:t xml:space="preserve"> robust accountability framework as well as ensuring that staff were sufficiently trained on current fraud trends.  The Committee stressed the critical importance of closely following trends and utilizing technologies to strengthen the policies to prevent fraud and financial malpractice.  The Committee was also informed that the Organization periodically undertakes fraud risk assessments and that WIPO rated itself as well-protected yet remains vigilant in areas with greater risk experience of fraud, particularly on cybersecurity and abuse of confidential information. </w:t>
      </w:r>
    </w:p>
    <w:p w14:paraId="4C5710EA" w14:textId="77777777" w:rsidR="006246B1" w:rsidRPr="00633577" w:rsidRDefault="006246B1" w:rsidP="0098490E"/>
    <w:p w14:paraId="480531D8" w14:textId="0297BA56" w:rsidR="0098490E" w:rsidRPr="00633577" w:rsidRDefault="0098490E" w:rsidP="0098490E">
      <w:pPr>
        <w:ind w:left="730"/>
        <w:rPr>
          <w:i/>
          <w:iCs/>
        </w:rPr>
      </w:pPr>
      <w:r w:rsidRPr="00633577">
        <w:rPr>
          <w:i/>
          <w:iCs/>
        </w:rPr>
        <w:t>Update on Data Management in Procurement</w:t>
      </w:r>
    </w:p>
    <w:p w14:paraId="20FF7A68" w14:textId="77777777" w:rsidR="0098490E" w:rsidRPr="00633577" w:rsidRDefault="0098490E" w:rsidP="0098490E"/>
    <w:p w14:paraId="310AB23E" w14:textId="32DB7B71" w:rsidR="0098490E" w:rsidRPr="00633577" w:rsidRDefault="0098490E" w:rsidP="0098490E">
      <w:pPr>
        <w:pStyle w:val="ListParagraph"/>
        <w:numPr>
          <w:ilvl w:val="0"/>
          <w:numId w:val="4"/>
        </w:numPr>
        <w:ind w:left="0"/>
      </w:pPr>
      <w:r w:rsidRPr="00633577">
        <w:t>The update on Data Management in Procurement</w:t>
      </w:r>
      <w:r w:rsidR="008228F8">
        <w:t>,</w:t>
      </w:r>
      <w:r w:rsidRPr="00633577">
        <w:t xml:space="preserve"> which was presented at the 70</w:t>
      </w:r>
      <w:r w:rsidRPr="00633577">
        <w:rPr>
          <w:vertAlign w:val="superscript"/>
        </w:rPr>
        <w:t>th</w:t>
      </w:r>
      <w:r w:rsidRPr="00633577">
        <w:t xml:space="preserve"> session</w:t>
      </w:r>
      <w:r w:rsidR="008228F8">
        <w:t>,</w:t>
      </w:r>
      <w:r w:rsidRPr="00633577">
        <w:t xml:space="preserve"> gave the Committee the chance to take note of key principles of Data governance, including roles and responsibilities.  The Committee advised about the necessity of including other relevant actors, such as the Chief Data Officer and the Data Protection Officer, in WIPO’s Data Governance in Procurement. </w:t>
      </w:r>
    </w:p>
    <w:p w14:paraId="3E6C2C21" w14:textId="00FC942C" w:rsidR="00242814" w:rsidRPr="007B6B33" w:rsidRDefault="00242814" w:rsidP="00C24F91">
      <w:pPr>
        <w:pStyle w:val="ListParagraph"/>
        <w:ind w:left="0" w:firstLine="0"/>
      </w:pPr>
    </w:p>
    <w:p w14:paraId="62AD3FCD" w14:textId="7D6A42ED" w:rsidR="000F075B" w:rsidRPr="007B6B33" w:rsidRDefault="00046A56" w:rsidP="009E506A">
      <w:pPr>
        <w:spacing w:after="197"/>
        <w:ind w:right="32"/>
        <w:rPr>
          <w:b/>
        </w:rPr>
      </w:pPr>
      <w:r w:rsidRPr="007B6B33">
        <w:t xml:space="preserve">E.  </w:t>
      </w:r>
      <w:r w:rsidRPr="007B6B33">
        <w:tab/>
      </w:r>
      <w:r w:rsidRPr="007B6B33">
        <w:rPr>
          <w:u w:val="single"/>
        </w:rPr>
        <w:t>Implementation of Oversight Recommendations</w:t>
      </w:r>
    </w:p>
    <w:p w14:paraId="2B758067" w14:textId="7B25B90B" w:rsidR="000F075B" w:rsidRPr="007B6B33" w:rsidRDefault="00933DE6" w:rsidP="00844D67">
      <w:pPr>
        <w:pStyle w:val="ListParagraph"/>
        <w:numPr>
          <w:ilvl w:val="0"/>
          <w:numId w:val="4"/>
        </w:numPr>
        <w:spacing w:after="16"/>
        <w:ind w:left="0" w:right="32"/>
      </w:pPr>
      <w:r w:rsidRPr="007B6B33">
        <w:t>At each of the sessions</w:t>
      </w:r>
      <w:r w:rsidR="00046A56" w:rsidRPr="007B6B33">
        <w:t xml:space="preserve"> during the reporting period, the Committee reviewed with IOD the implementation status of </w:t>
      </w:r>
      <w:r w:rsidR="00EC5E09" w:rsidRPr="007B6B33">
        <w:t xml:space="preserve">all </w:t>
      </w:r>
      <w:r w:rsidR="00046A56" w:rsidRPr="007B6B33">
        <w:t>oversight recommendations</w:t>
      </w:r>
      <w:r w:rsidR="004D0E30" w:rsidRPr="007B6B33">
        <w:t xml:space="preserve"> (including JIU-, External Auditor-, and IAOC recommendations)</w:t>
      </w:r>
      <w:r w:rsidRPr="007B6B33">
        <w:t xml:space="preserve">, taking note of the </w:t>
      </w:r>
      <w:r w:rsidR="00046A56" w:rsidRPr="007B6B33">
        <w:t xml:space="preserve">movements and closures, </w:t>
      </w:r>
      <w:r w:rsidRPr="007B6B33">
        <w:t xml:space="preserve">and focusing on </w:t>
      </w:r>
      <w:r w:rsidR="00046A56" w:rsidRPr="007B6B33">
        <w:t>high</w:t>
      </w:r>
      <w:r w:rsidR="00CC659B" w:rsidRPr="007B6B33">
        <w:t>-</w:t>
      </w:r>
      <w:r w:rsidR="00046A56" w:rsidRPr="007B6B33">
        <w:t xml:space="preserve">priority recommendations that </w:t>
      </w:r>
      <w:r w:rsidR="00634B31">
        <w:t xml:space="preserve">had </w:t>
      </w:r>
      <w:r w:rsidR="00046A56" w:rsidRPr="007B6B33">
        <w:t xml:space="preserve">remained outstanding for long </w:t>
      </w:r>
      <w:r w:rsidRPr="007B6B33">
        <w:t xml:space="preserve">periods of </w:t>
      </w:r>
      <w:r w:rsidR="00046A56" w:rsidRPr="007B6B33">
        <w:t xml:space="preserve">time. </w:t>
      </w:r>
    </w:p>
    <w:p w14:paraId="55CBBC98" w14:textId="77777777" w:rsidR="000F075B" w:rsidRPr="007B6B33" w:rsidRDefault="000F075B" w:rsidP="00844D67">
      <w:pPr>
        <w:spacing w:after="16"/>
        <w:ind w:left="0" w:right="32" w:firstLine="0"/>
      </w:pPr>
    </w:p>
    <w:p w14:paraId="57992C58" w14:textId="3695C84D" w:rsidR="004D0E30" w:rsidRPr="007B6B33" w:rsidRDefault="003545B0" w:rsidP="00844D67">
      <w:pPr>
        <w:pStyle w:val="ListParagraph"/>
        <w:numPr>
          <w:ilvl w:val="0"/>
          <w:numId w:val="4"/>
        </w:numPr>
        <w:tabs>
          <w:tab w:val="left" w:pos="720"/>
        </w:tabs>
        <w:spacing w:after="0" w:line="240" w:lineRule="auto"/>
        <w:ind w:left="0" w:right="29"/>
      </w:pPr>
      <w:r w:rsidRPr="007B6B33">
        <w:lastRenderedPageBreak/>
        <w:t xml:space="preserve">At </w:t>
      </w:r>
      <w:r w:rsidR="003034BD" w:rsidRPr="007B6B33">
        <w:t>the</w:t>
      </w:r>
      <w:r w:rsidRPr="007B6B33">
        <w:t xml:space="preserve"> </w:t>
      </w:r>
      <w:r w:rsidR="00F9791B" w:rsidRPr="007B6B33">
        <w:t>6</w:t>
      </w:r>
      <w:r w:rsidR="00933DE6" w:rsidRPr="007B6B33">
        <w:t>9</w:t>
      </w:r>
      <w:r w:rsidR="00F9791B" w:rsidRPr="007B6B33">
        <w:rPr>
          <w:vertAlign w:val="superscript"/>
        </w:rPr>
        <w:t>th</w:t>
      </w:r>
      <w:r w:rsidR="00F9791B" w:rsidRPr="007B6B33">
        <w:t xml:space="preserve"> </w:t>
      </w:r>
      <w:r w:rsidR="004D0E30" w:rsidRPr="007B6B33">
        <w:t>and 70</w:t>
      </w:r>
      <w:r w:rsidR="004D0E30" w:rsidRPr="007B6B33">
        <w:rPr>
          <w:vertAlign w:val="superscript"/>
        </w:rPr>
        <w:t>th</w:t>
      </w:r>
      <w:r w:rsidR="004D0E30" w:rsidRPr="007B6B33">
        <w:t xml:space="preserve"> </w:t>
      </w:r>
      <w:r w:rsidRPr="007B6B33">
        <w:t>session</w:t>
      </w:r>
      <w:r w:rsidR="004D0E30" w:rsidRPr="007B6B33">
        <w:t>s</w:t>
      </w:r>
      <w:r w:rsidRPr="007B6B33">
        <w:t xml:space="preserve">, the </w:t>
      </w:r>
      <w:r w:rsidR="001830F0" w:rsidRPr="007B6B33">
        <w:t>Committee re</w:t>
      </w:r>
      <w:r w:rsidR="00933DE6" w:rsidRPr="007B6B33">
        <w:t xml:space="preserve">viewed in the presence of the concerned staff of the Secretariat, the aged open recommendations that had been issued from 2017 to 2019, and the high-priority recommendations issued from 2021 to 2023.  The Committee </w:t>
      </w:r>
      <w:r w:rsidR="001830F0" w:rsidRPr="007B6B33">
        <w:t xml:space="preserve">noted that </w:t>
      </w:r>
      <w:r w:rsidR="00933DE6" w:rsidRPr="007B6B33">
        <w:t>some recommendations were dependent on the implementation of other actions, which subsequently contributed to the delay in full</w:t>
      </w:r>
      <w:r w:rsidR="00634B31">
        <w:t>y</w:t>
      </w:r>
      <w:r w:rsidR="00933DE6" w:rsidRPr="007B6B33">
        <w:t xml:space="preserve"> </w:t>
      </w:r>
      <w:r w:rsidR="00634B31">
        <w:t>implement</w:t>
      </w:r>
      <w:r w:rsidR="00A3385D">
        <w:t>ing</w:t>
      </w:r>
      <w:r w:rsidR="00634B31">
        <w:t xml:space="preserve"> </w:t>
      </w:r>
      <w:proofErr w:type="gramStart"/>
      <w:r w:rsidR="00634B31">
        <w:t>them</w:t>
      </w:r>
      <w:r w:rsidR="00933DE6" w:rsidRPr="007B6B33">
        <w:t>, and</w:t>
      </w:r>
      <w:proofErr w:type="gramEnd"/>
      <w:r w:rsidR="00933DE6" w:rsidRPr="007B6B33">
        <w:t xml:space="preserve"> advised that the criteria – as well as the responsibility for closing recommendations – be made clear </w:t>
      </w:r>
      <w:r w:rsidR="004D0E30" w:rsidRPr="007B6B33">
        <w:t xml:space="preserve">and understood by all concerned. </w:t>
      </w:r>
    </w:p>
    <w:p w14:paraId="2A470403" w14:textId="77777777" w:rsidR="004D0E30" w:rsidRPr="007B6B33" w:rsidRDefault="004D0E30" w:rsidP="004D0E30">
      <w:pPr>
        <w:ind w:left="0" w:firstLine="0"/>
      </w:pPr>
    </w:p>
    <w:p w14:paraId="4A69F5F2" w14:textId="374CFB25" w:rsidR="00D01AAA" w:rsidRPr="007B6B33" w:rsidRDefault="004D0E30" w:rsidP="00844D67">
      <w:pPr>
        <w:pStyle w:val="ListParagraph"/>
        <w:numPr>
          <w:ilvl w:val="0"/>
          <w:numId w:val="4"/>
        </w:numPr>
        <w:tabs>
          <w:tab w:val="left" w:pos="720"/>
        </w:tabs>
        <w:spacing w:after="0" w:line="240" w:lineRule="auto"/>
        <w:ind w:left="0" w:right="29"/>
      </w:pPr>
      <w:r w:rsidRPr="007B6B33">
        <w:t>During the 71</w:t>
      </w:r>
      <w:r w:rsidRPr="007B6B33">
        <w:rPr>
          <w:vertAlign w:val="superscript"/>
        </w:rPr>
        <w:t>st</w:t>
      </w:r>
      <w:r w:rsidRPr="007B6B33">
        <w:t xml:space="preserve"> session, the Committee observed that some older recommendations remained outstanding, </w:t>
      </w:r>
      <w:r w:rsidRPr="007B6B33">
        <w:rPr>
          <w:i/>
          <w:iCs/>
        </w:rPr>
        <w:t>inter alia</w:t>
      </w:r>
      <w:r w:rsidRPr="007B6B33">
        <w:t>, due to the need to implement some IT solutions</w:t>
      </w:r>
      <w:r w:rsidR="00634B31">
        <w:t>,</w:t>
      </w:r>
      <w:r w:rsidRPr="007B6B33">
        <w:t xml:space="preserve"> which required more time</w:t>
      </w:r>
      <w:r w:rsidR="00D741D0">
        <w:t>;</w:t>
      </w:r>
      <w:r w:rsidRPr="00637B08">
        <w:t xml:space="preserve"> notwithstanding</w:t>
      </w:r>
      <w:r w:rsidRPr="007B6B33">
        <w:t>, the Secretariat continued to follow-up on all open oversight recommendations and the Committee was pleased with the good progress made in following up on</w:t>
      </w:r>
      <w:r w:rsidR="00634B31">
        <w:t>,</w:t>
      </w:r>
      <w:r w:rsidRPr="007B6B33">
        <w:t xml:space="preserve"> and implementing</w:t>
      </w:r>
      <w:r w:rsidR="00634B31">
        <w:t>,</w:t>
      </w:r>
      <w:r w:rsidRPr="007B6B33">
        <w:t xml:space="preserve"> </w:t>
      </w:r>
      <w:r w:rsidR="00D01AAA" w:rsidRPr="007B6B33">
        <w:t xml:space="preserve">recommendations.  </w:t>
      </w:r>
    </w:p>
    <w:p w14:paraId="5E0D3395" w14:textId="77777777" w:rsidR="00D01AAA" w:rsidRPr="007B6B33" w:rsidRDefault="00D01AAA" w:rsidP="00D01AAA">
      <w:pPr>
        <w:ind w:left="0" w:firstLine="0"/>
      </w:pPr>
    </w:p>
    <w:p w14:paraId="23BDBE44" w14:textId="77777777" w:rsidR="000F075B" w:rsidRPr="007B6B33" w:rsidRDefault="00046A56" w:rsidP="005C2B55">
      <w:pPr>
        <w:pStyle w:val="Heading2"/>
        <w:tabs>
          <w:tab w:val="center" w:pos="2004"/>
        </w:tabs>
        <w:ind w:left="0" w:right="32" w:firstLine="0"/>
      </w:pPr>
      <w:bookmarkStart w:id="17" w:name="_Toc164688957"/>
      <w:r w:rsidRPr="007B6B33">
        <w:rPr>
          <w:u w:val="none"/>
        </w:rPr>
        <w:t xml:space="preserve">F.  </w:t>
      </w:r>
      <w:r w:rsidRPr="007B6B33">
        <w:rPr>
          <w:u w:val="none"/>
        </w:rPr>
        <w:tab/>
      </w:r>
      <w:r w:rsidRPr="007B6B33">
        <w:t>Ethics and Ombudsperson</w:t>
      </w:r>
      <w:bookmarkEnd w:id="17"/>
      <w:r w:rsidR="001B0DEA" w:rsidRPr="007B6B33">
        <w:rPr>
          <w:u w:val="none"/>
        </w:rPr>
        <w:t xml:space="preserve"> </w:t>
      </w:r>
    </w:p>
    <w:p w14:paraId="41390946" w14:textId="77777777" w:rsidR="000F075B" w:rsidRPr="007B6B33" w:rsidRDefault="000F075B" w:rsidP="001B0DEA">
      <w:pPr>
        <w:spacing w:after="0"/>
        <w:ind w:right="32"/>
      </w:pPr>
    </w:p>
    <w:p w14:paraId="4425A2B6" w14:textId="77777777" w:rsidR="003945C2" w:rsidRPr="007B6B33" w:rsidRDefault="003945C2" w:rsidP="009E506A">
      <w:pPr>
        <w:pStyle w:val="Heading2"/>
        <w:tabs>
          <w:tab w:val="left" w:pos="720"/>
          <w:tab w:val="center" w:pos="2659"/>
        </w:tabs>
        <w:spacing w:after="0" w:line="240" w:lineRule="auto"/>
        <w:ind w:left="0" w:right="32" w:firstLine="0"/>
        <w:rPr>
          <w:b/>
        </w:rPr>
      </w:pPr>
      <w:r w:rsidRPr="007B6B33">
        <w:rPr>
          <w:u w:val="none"/>
        </w:rPr>
        <w:tab/>
      </w:r>
      <w:bookmarkStart w:id="18" w:name="_Toc164688958"/>
      <w:r w:rsidR="00046A56" w:rsidRPr="007B6B33">
        <w:rPr>
          <w:i/>
          <w:u w:val="none"/>
        </w:rPr>
        <w:t>Ethics Office</w:t>
      </w:r>
      <w:bookmarkEnd w:id="18"/>
      <w:r w:rsidR="00046A56" w:rsidRPr="007B6B33">
        <w:rPr>
          <w:u w:val="none"/>
        </w:rPr>
        <w:t xml:space="preserve"> </w:t>
      </w:r>
    </w:p>
    <w:p w14:paraId="72E0099D" w14:textId="77777777" w:rsidR="000F075B" w:rsidRPr="007B6B33" w:rsidRDefault="000F075B" w:rsidP="001B0DEA">
      <w:pPr>
        <w:spacing w:after="0" w:line="240" w:lineRule="auto"/>
        <w:ind w:right="32"/>
      </w:pPr>
    </w:p>
    <w:p w14:paraId="702AE9EC" w14:textId="29734E39" w:rsidR="00021666" w:rsidRPr="007B6B33" w:rsidRDefault="00D01B1A" w:rsidP="00844D67">
      <w:pPr>
        <w:numPr>
          <w:ilvl w:val="0"/>
          <w:numId w:val="4"/>
        </w:numPr>
        <w:spacing w:after="0" w:line="240" w:lineRule="auto"/>
        <w:ind w:left="0" w:right="32" w:firstLine="1"/>
      </w:pPr>
      <w:r w:rsidRPr="007B6B33">
        <w:t>At its 69</w:t>
      </w:r>
      <w:r w:rsidRPr="007B6B33">
        <w:rPr>
          <w:vertAlign w:val="superscript"/>
        </w:rPr>
        <w:t>th</w:t>
      </w:r>
      <w:r w:rsidRPr="007B6B33">
        <w:t xml:space="preserve"> session, t</w:t>
      </w:r>
      <w:r w:rsidR="002B1DE8" w:rsidRPr="007B6B33">
        <w:t xml:space="preserve">he </w:t>
      </w:r>
      <w:r w:rsidRPr="007B6B33">
        <w:t>Chief Ethics Officer presented</w:t>
      </w:r>
      <w:r w:rsidR="00021666" w:rsidRPr="007B6B33">
        <w:t xml:space="preserve"> to the Committee</w:t>
      </w:r>
      <w:r w:rsidRPr="007B6B33">
        <w:t xml:space="preserve"> the 2022 Annual </w:t>
      </w:r>
      <w:r w:rsidR="009304AB" w:rsidRPr="007B6B33">
        <w:t xml:space="preserve">Ethics </w:t>
      </w:r>
      <w:r w:rsidRPr="007B6B33">
        <w:t>Report</w:t>
      </w:r>
      <w:r w:rsidR="006001B5">
        <w:t>,</w:t>
      </w:r>
      <w:r w:rsidRPr="007B6B33">
        <w:t xml:space="preserve"> </w:t>
      </w:r>
      <w:r w:rsidR="00021666" w:rsidRPr="007B6B33">
        <w:t xml:space="preserve">which underscored activities in the mandated areas, notably confidential advice and guidance, awareness raising and training, standard-setting and policy development, and the implementation of policies assigned to the Ethics Office.  While recognizing the distinct progress achieved since the Chief Ethics Officer had taken up duties, the </w:t>
      </w:r>
      <w:r w:rsidR="002B1DE8" w:rsidRPr="007B6B33">
        <w:t xml:space="preserve">Committee </w:t>
      </w:r>
      <w:r w:rsidR="00021666" w:rsidRPr="007B6B33">
        <w:t>emphasized the need to prioritize the closing of the inherited long-outstanding recommendation on the gift policy, with the support of other Section</w:t>
      </w:r>
      <w:r w:rsidR="001D673E">
        <w:t>s</w:t>
      </w:r>
      <w:r w:rsidR="00021666" w:rsidRPr="007B6B33">
        <w:t xml:space="preserve"> of the Secretariat. </w:t>
      </w:r>
    </w:p>
    <w:p w14:paraId="404C42AD" w14:textId="77777777" w:rsidR="00021666" w:rsidRPr="007B6B33" w:rsidRDefault="00021666" w:rsidP="00021666">
      <w:pPr>
        <w:spacing w:after="0" w:line="240" w:lineRule="auto"/>
        <w:ind w:left="1" w:right="32" w:firstLine="0"/>
      </w:pPr>
    </w:p>
    <w:p w14:paraId="08A007B9" w14:textId="190B4416" w:rsidR="00490817" w:rsidRPr="007B6B33" w:rsidRDefault="00021666" w:rsidP="00AE12BE">
      <w:pPr>
        <w:numPr>
          <w:ilvl w:val="0"/>
          <w:numId w:val="4"/>
        </w:numPr>
        <w:spacing w:after="0" w:line="240" w:lineRule="auto"/>
        <w:ind w:left="0" w:right="32" w:firstLine="1"/>
      </w:pPr>
      <w:r w:rsidRPr="007B6B33">
        <w:t>At the 70</w:t>
      </w:r>
      <w:r w:rsidRPr="007B6B33">
        <w:rPr>
          <w:vertAlign w:val="superscript"/>
        </w:rPr>
        <w:t>th</w:t>
      </w:r>
      <w:r w:rsidRPr="007B6B33">
        <w:t xml:space="preserve"> session, the Committee gave feedback to the Chief Ethics Officer on the draft Policy to Protect against Retaliation for Reporting Suspected Wrongdoing and for Cooperating with Oversight Activities</w:t>
      </w:r>
      <w:r w:rsidR="00A50223" w:rsidRPr="007B6B33">
        <w:t>.  The Committee was also updated on the ongoing activities of the Ethics Office and welcomed the update on the WIPO Policy on Financial Disclosure and Declaration of Intere</w:t>
      </w:r>
      <w:r w:rsidR="00490817" w:rsidRPr="007B6B33">
        <w:t>sts</w:t>
      </w:r>
      <w:r w:rsidR="00B83840" w:rsidRPr="007B6B33">
        <w:t xml:space="preserve"> (FDDI)</w:t>
      </w:r>
      <w:r w:rsidR="00490817" w:rsidRPr="007B6B33">
        <w:t xml:space="preserve">, as well as </w:t>
      </w:r>
      <w:r w:rsidR="00A50223" w:rsidRPr="007B6B33">
        <w:t xml:space="preserve">the shift from case-management to standard-setting activity.  </w:t>
      </w:r>
      <w:r w:rsidR="00490817" w:rsidRPr="007B6B33">
        <w:t xml:space="preserve">The Chief Ethics Officer informed the Committee that she would be leaving the Organization at the end of October 2023, and that </w:t>
      </w:r>
      <w:r w:rsidR="003E6E9F" w:rsidRPr="007B6B33">
        <w:t>the Secretariat</w:t>
      </w:r>
      <w:r w:rsidR="00490817" w:rsidRPr="007B6B33">
        <w:t xml:space="preserve"> would be </w:t>
      </w:r>
      <w:proofErr w:type="gramStart"/>
      <w:r w:rsidR="00490817" w:rsidRPr="007B6B33">
        <w:t>making arrangements</w:t>
      </w:r>
      <w:proofErr w:type="gramEnd"/>
      <w:r w:rsidR="00490817" w:rsidRPr="007B6B33">
        <w:t xml:space="preserve"> to fill the position during the interim period.  The Committee complimented her on the significant contributions she had made to the Organization in the field of </w:t>
      </w:r>
      <w:proofErr w:type="gramStart"/>
      <w:r w:rsidR="00490817" w:rsidRPr="007B6B33">
        <w:t>Ethics</w:t>
      </w:r>
      <w:proofErr w:type="gramEnd"/>
      <w:r w:rsidR="00490817" w:rsidRPr="007B6B33">
        <w:t>.</w:t>
      </w:r>
    </w:p>
    <w:p w14:paraId="7E54ED1D" w14:textId="77777777" w:rsidR="00490817" w:rsidRPr="007B6B33" w:rsidRDefault="00490817" w:rsidP="004A491E">
      <w:pPr>
        <w:ind w:left="0" w:firstLine="0"/>
      </w:pPr>
    </w:p>
    <w:p w14:paraId="5337E0EE" w14:textId="77777777" w:rsidR="00791A75" w:rsidRPr="00FA1329" w:rsidRDefault="004A491E" w:rsidP="00F34D1B">
      <w:pPr>
        <w:numPr>
          <w:ilvl w:val="0"/>
          <w:numId w:val="4"/>
        </w:numPr>
        <w:spacing w:after="0" w:line="240" w:lineRule="auto"/>
        <w:ind w:left="0" w:right="32" w:firstLine="1"/>
        <w:rPr>
          <w:color w:val="auto"/>
        </w:rPr>
      </w:pPr>
      <w:r w:rsidRPr="007B6B33">
        <w:t>During the 71</w:t>
      </w:r>
      <w:r w:rsidRPr="007B6B33">
        <w:rPr>
          <w:vertAlign w:val="superscript"/>
        </w:rPr>
        <w:t>st</w:t>
      </w:r>
      <w:r w:rsidRPr="007B6B33">
        <w:t xml:space="preserve"> session, the Interim Chief Ethics Officer briefed the Committee</w:t>
      </w:r>
      <w:r w:rsidR="009304AB" w:rsidRPr="007B6B33">
        <w:t xml:space="preserve"> on</w:t>
      </w:r>
      <w:r w:rsidRPr="007B6B33">
        <w:t xml:space="preserve"> his activities since </w:t>
      </w:r>
      <w:r w:rsidR="00B83840" w:rsidRPr="007B6B33">
        <w:t>taking up his function and discussed the challenges of holding the position remotely.  The Committee was also updated on the status of the policy on retaliation (which was expected to be approved by the end of 2023), other policies being developed, and the functioning of the exercise of the FDDI.</w:t>
      </w:r>
      <w:r w:rsidR="00A14975" w:rsidRPr="007B6B33">
        <w:t xml:space="preserve">  </w:t>
      </w:r>
    </w:p>
    <w:p w14:paraId="21BCF83C" w14:textId="77777777" w:rsidR="00791A75" w:rsidRDefault="00791A75" w:rsidP="00FA1329">
      <w:pPr>
        <w:pStyle w:val="ListParagraph"/>
        <w:rPr>
          <w:color w:val="auto"/>
        </w:rPr>
      </w:pPr>
    </w:p>
    <w:p w14:paraId="19AD15F3" w14:textId="2F931634" w:rsidR="001A67B8" w:rsidRPr="007B6B33" w:rsidRDefault="001A67B8" w:rsidP="00F34D1B">
      <w:pPr>
        <w:numPr>
          <w:ilvl w:val="0"/>
          <w:numId w:val="4"/>
        </w:numPr>
        <w:spacing w:after="0" w:line="240" w:lineRule="auto"/>
        <w:ind w:left="0" w:right="32" w:firstLine="1"/>
        <w:rPr>
          <w:color w:val="auto"/>
        </w:rPr>
      </w:pPr>
      <w:r w:rsidRPr="007B6B33">
        <w:rPr>
          <w:color w:val="auto"/>
        </w:rPr>
        <w:t>At the 72</w:t>
      </w:r>
      <w:r w:rsidRPr="007B6B33">
        <w:rPr>
          <w:color w:val="auto"/>
          <w:vertAlign w:val="superscript"/>
        </w:rPr>
        <w:t>nd</w:t>
      </w:r>
      <w:r w:rsidRPr="007B6B33">
        <w:rPr>
          <w:color w:val="auto"/>
        </w:rPr>
        <w:t xml:space="preserve"> session,</w:t>
      </w:r>
      <w:r w:rsidR="00A600CB" w:rsidRPr="007B6B33">
        <w:rPr>
          <w:color w:val="auto"/>
        </w:rPr>
        <w:t xml:space="preserve"> t</w:t>
      </w:r>
      <w:r w:rsidRPr="007B6B33">
        <w:rPr>
          <w:color w:val="auto"/>
        </w:rPr>
        <w:t xml:space="preserve">he Committee was </w:t>
      </w:r>
      <w:r w:rsidR="00A600CB" w:rsidRPr="007B6B33">
        <w:rPr>
          <w:color w:val="auto"/>
        </w:rPr>
        <w:t xml:space="preserve">updated on the activities in the Ethics function, </w:t>
      </w:r>
      <w:r w:rsidRPr="007B6B33">
        <w:rPr>
          <w:color w:val="auto"/>
        </w:rPr>
        <w:t>including the completion of the Policy to Protect Against Retaliation for Reporting Misconduct and for Cooperating with Duly Authorized Audits or Investigations, in line with previous discussions with the IAOC</w:t>
      </w:r>
      <w:r w:rsidR="00A600CB" w:rsidRPr="007B6B33">
        <w:rPr>
          <w:color w:val="auto"/>
        </w:rPr>
        <w:t xml:space="preserve">, and looked </w:t>
      </w:r>
      <w:r w:rsidRPr="007B6B33">
        <w:rPr>
          <w:color w:val="auto"/>
        </w:rPr>
        <w:t xml:space="preserve">forward to being briefed on the outcome of the ongoing discussion on the Policy on Outside Activities by a working group consisting of the Ethics Office, </w:t>
      </w:r>
      <w:r w:rsidR="001D673E" w:rsidRPr="009F0CF3">
        <w:rPr>
          <w:color w:val="auto"/>
        </w:rPr>
        <w:t xml:space="preserve">Human Resources and Management Division </w:t>
      </w:r>
      <w:r w:rsidR="001D673E">
        <w:rPr>
          <w:color w:val="auto"/>
        </w:rPr>
        <w:t>(</w:t>
      </w:r>
      <w:r w:rsidRPr="007B6B33">
        <w:rPr>
          <w:color w:val="auto"/>
        </w:rPr>
        <w:t>HRMD</w:t>
      </w:r>
      <w:r w:rsidR="001D673E">
        <w:rPr>
          <w:color w:val="auto"/>
        </w:rPr>
        <w:t>)</w:t>
      </w:r>
      <w:r w:rsidRPr="007B6B33">
        <w:rPr>
          <w:color w:val="auto"/>
        </w:rPr>
        <w:t xml:space="preserve">, and the Office of the Legal Counsel. </w:t>
      </w:r>
      <w:r w:rsidR="00A600CB" w:rsidRPr="007B6B33">
        <w:rPr>
          <w:color w:val="auto"/>
        </w:rPr>
        <w:t xml:space="preserve"> It was noted that </w:t>
      </w:r>
      <w:r w:rsidRPr="007B6B33">
        <w:rPr>
          <w:color w:val="auto"/>
        </w:rPr>
        <w:t xml:space="preserve">the Ethics Office had made significant progress in providing ethics advice, training, outreach, and developing policies and guidelines. </w:t>
      </w:r>
      <w:r w:rsidR="00A600CB" w:rsidRPr="007B6B33">
        <w:rPr>
          <w:color w:val="auto"/>
        </w:rPr>
        <w:t xml:space="preserve"> </w:t>
      </w:r>
      <w:r w:rsidRPr="007B6B33">
        <w:rPr>
          <w:color w:val="auto"/>
        </w:rPr>
        <w:t xml:space="preserve">The Committee looks forward to receiving further updates on </w:t>
      </w:r>
      <w:r w:rsidR="00380620" w:rsidRPr="007B6B33">
        <w:rPr>
          <w:color w:val="auto"/>
        </w:rPr>
        <w:t>several</w:t>
      </w:r>
      <w:r w:rsidRPr="007B6B33">
        <w:rPr>
          <w:color w:val="auto"/>
        </w:rPr>
        <w:t xml:space="preserve"> outstanding important initiatives, including the policies on FDDI, consensual intimate relationships, as well as on specific cases relating to Protection against Retaliation. </w:t>
      </w:r>
      <w:r w:rsidR="00A600CB" w:rsidRPr="007B6B33">
        <w:rPr>
          <w:color w:val="auto"/>
        </w:rPr>
        <w:t xml:space="preserve"> </w:t>
      </w:r>
      <w:r w:rsidRPr="007B6B33">
        <w:rPr>
          <w:color w:val="auto"/>
        </w:rPr>
        <w:t xml:space="preserve">The Committee discussed the importance of having a strong Ethics function and stressed the need for a smooth handover to the </w:t>
      </w:r>
      <w:r w:rsidR="00896C95">
        <w:rPr>
          <w:color w:val="auto"/>
        </w:rPr>
        <w:t>incoming</w:t>
      </w:r>
      <w:r w:rsidRPr="007B6B33">
        <w:rPr>
          <w:color w:val="auto"/>
        </w:rPr>
        <w:t xml:space="preserve"> Chief Ethics </w:t>
      </w:r>
      <w:r w:rsidR="00896C95">
        <w:rPr>
          <w:color w:val="auto"/>
        </w:rPr>
        <w:t>O</w:t>
      </w:r>
      <w:r w:rsidRPr="007B6B33">
        <w:rPr>
          <w:color w:val="auto"/>
        </w:rPr>
        <w:t>fficer.</w:t>
      </w:r>
      <w:r w:rsidR="00A600CB" w:rsidRPr="007B6B33">
        <w:rPr>
          <w:color w:val="auto"/>
        </w:rPr>
        <w:t xml:space="preserve"> </w:t>
      </w:r>
      <w:r w:rsidRPr="007B6B33">
        <w:rPr>
          <w:color w:val="auto"/>
        </w:rPr>
        <w:t xml:space="preserve"> The Committee noted that the recruitment process for a new Chief Ethics Officer was nearing completion.</w:t>
      </w:r>
    </w:p>
    <w:p w14:paraId="0F7730BB" w14:textId="77777777" w:rsidR="0083016A" w:rsidRPr="007B6B33" w:rsidRDefault="0083016A" w:rsidP="00623835">
      <w:pPr>
        <w:spacing w:after="0"/>
        <w:ind w:right="32"/>
        <w:rPr>
          <w:color w:val="auto"/>
        </w:rPr>
      </w:pPr>
    </w:p>
    <w:p w14:paraId="1F085AA3" w14:textId="77777777" w:rsidR="000F075B" w:rsidRPr="007B6B33" w:rsidRDefault="00046A56" w:rsidP="005C2B55">
      <w:pPr>
        <w:pStyle w:val="Heading5"/>
        <w:tabs>
          <w:tab w:val="center" w:pos="1474"/>
        </w:tabs>
        <w:ind w:left="0" w:right="32" w:firstLine="0"/>
      </w:pPr>
      <w:r w:rsidRPr="007B6B33">
        <w:lastRenderedPageBreak/>
        <w:tab/>
        <w:t>Ombudsperson</w:t>
      </w:r>
      <w:r w:rsidRPr="007B6B33">
        <w:rPr>
          <w:i w:val="0"/>
        </w:rPr>
        <w:t xml:space="preserve"> </w:t>
      </w:r>
    </w:p>
    <w:p w14:paraId="1E89F0D0" w14:textId="77777777" w:rsidR="000F075B" w:rsidRPr="007B6B33" w:rsidRDefault="000F075B" w:rsidP="008E2102">
      <w:pPr>
        <w:spacing w:after="16"/>
        <w:ind w:right="32"/>
      </w:pPr>
    </w:p>
    <w:p w14:paraId="3B5F12FE" w14:textId="79897942" w:rsidR="00742A98" w:rsidRPr="007B6B33" w:rsidRDefault="007E355B" w:rsidP="00EF0145">
      <w:pPr>
        <w:pStyle w:val="ListParagraph"/>
        <w:numPr>
          <w:ilvl w:val="0"/>
          <w:numId w:val="4"/>
        </w:numPr>
        <w:ind w:left="0" w:firstLine="1"/>
      </w:pPr>
      <w:r w:rsidRPr="007B6B33">
        <w:t>During the reporting period, the Committee met with the Interim Ombudsperson, who was in function as of April 7, 2023</w:t>
      </w:r>
      <w:r w:rsidR="00E32C86" w:rsidRPr="007B6B33">
        <w:t xml:space="preserve">, and </w:t>
      </w:r>
      <w:r w:rsidRPr="007B6B33">
        <w:t xml:space="preserve">noted </w:t>
      </w:r>
      <w:r w:rsidR="00896C95">
        <w:t xml:space="preserve">that </w:t>
      </w:r>
      <w:r w:rsidRPr="007B6B33">
        <w:t xml:space="preserve">there was no 2022 Activity Report, as there had not been a handover of any data covering January 1, </w:t>
      </w:r>
      <w:proofErr w:type="gramStart"/>
      <w:r w:rsidRPr="007B6B33">
        <w:t>2022</w:t>
      </w:r>
      <w:proofErr w:type="gramEnd"/>
      <w:r w:rsidRPr="007B6B33">
        <w:t xml:space="preserve"> to March 31, 2023, from the previous Ombudsperson</w:t>
      </w:r>
      <w:r w:rsidR="00896C95">
        <w:t>,</w:t>
      </w:r>
      <w:r w:rsidRPr="007B6B33">
        <w:t xml:space="preserve"> who retired at the end of March 2023.  The Committee was pleased to note at its 69</w:t>
      </w:r>
      <w:r w:rsidRPr="007B6B33">
        <w:rPr>
          <w:vertAlign w:val="superscript"/>
        </w:rPr>
        <w:t>th</w:t>
      </w:r>
      <w:r w:rsidRPr="007B6B33">
        <w:t xml:space="preserve"> session that its recommendation for a peer review of the Ombuds function was underway, and that a decision on the future Ombuds function would be made, taking into consideration the results of the peer review.  At its 70</w:t>
      </w:r>
      <w:r w:rsidRPr="007B6B33">
        <w:rPr>
          <w:vertAlign w:val="superscript"/>
        </w:rPr>
        <w:t>th</w:t>
      </w:r>
      <w:r w:rsidRPr="007B6B33">
        <w:t xml:space="preserve"> s</w:t>
      </w:r>
      <w:r w:rsidR="00F2582C" w:rsidRPr="007B6B33">
        <w:t xml:space="preserve">ession, </w:t>
      </w:r>
      <w:r w:rsidR="00EA6290" w:rsidRPr="007B6B33">
        <w:t xml:space="preserve">the </w:t>
      </w:r>
      <w:r w:rsidRPr="007B6B33">
        <w:t>Committee note</w:t>
      </w:r>
      <w:r w:rsidR="00E32C86" w:rsidRPr="007B6B33">
        <w:t>d</w:t>
      </w:r>
      <w:r w:rsidRPr="007B6B33">
        <w:t xml:space="preserve"> the presentation </w:t>
      </w:r>
      <w:r w:rsidR="00742A98" w:rsidRPr="007B6B33">
        <w:t xml:space="preserve">and update </w:t>
      </w:r>
      <w:r w:rsidRPr="007B6B33">
        <w:t xml:space="preserve">given by the Interim </w:t>
      </w:r>
      <w:r w:rsidR="00EA6290" w:rsidRPr="007B6B33">
        <w:t>Ombudsperson</w:t>
      </w:r>
      <w:r w:rsidR="00742A98" w:rsidRPr="007B6B33">
        <w:t xml:space="preserve">, and discussed the need to clarify for staff the points of intake of staff concerns and complaints, as well as the need to pursue informal conflict resolution whenever feasible. </w:t>
      </w:r>
    </w:p>
    <w:p w14:paraId="496880DA" w14:textId="77777777" w:rsidR="00742A98" w:rsidRPr="007B6B33" w:rsidRDefault="00742A98" w:rsidP="00742A98">
      <w:pPr>
        <w:ind w:left="0" w:firstLine="0"/>
      </w:pPr>
    </w:p>
    <w:p w14:paraId="274E496F" w14:textId="5F11288E" w:rsidR="00971360" w:rsidRPr="007B6B33" w:rsidRDefault="00742A98" w:rsidP="00863036">
      <w:pPr>
        <w:pStyle w:val="ListParagraph"/>
        <w:numPr>
          <w:ilvl w:val="0"/>
          <w:numId w:val="4"/>
        </w:numPr>
        <w:ind w:left="0" w:firstLine="1"/>
        <w:rPr>
          <w:color w:val="auto"/>
        </w:rPr>
      </w:pPr>
      <w:r w:rsidRPr="007B6B33">
        <w:t>In response to an update received from the Ombudsperson at its 71</w:t>
      </w:r>
      <w:r w:rsidRPr="007B6B33">
        <w:rPr>
          <w:vertAlign w:val="superscript"/>
        </w:rPr>
        <w:t>st</w:t>
      </w:r>
      <w:r w:rsidRPr="007B6B33">
        <w:t xml:space="preserve"> session, the Committee advised </w:t>
      </w:r>
      <w:r w:rsidR="007B6B33">
        <w:t xml:space="preserve">that </w:t>
      </w:r>
      <w:r w:rsidRPr="007B6B33">
        <w:t xml:space="preserve">a guideline </w:t>
      </w:r>
      <w:r w:rsidR="007B6B33">
        <w:t>be developed to help</w:t>
      </w:r>
      <w:r w:rsidRPr="007B6B33">
        <w:t xml:space="preserve"> steer staff </w:t>
      </w:r>
      <w:r w:rsidR="007B6B33">
        <w:t>to</w:t>
      </w:r>
      <w:r w:rsidRPr="007B6B33">
        <w:t xml:space="preserve"> the appropriate reporting mechanisms </w:t>
      </w:r>
      <w:r w:rsidR="007B6B33">
        <w:t xml:space="preserve">to address </w:t>
      </w:r>
      <w:r w:rsidRPr="007B6B33">
        <w:t>staff concerns and conflicts as it was still not clear which office could informally address such conflicts or concerns of staff prior to the filing of a complaint with IOD.  It was highlighted that the Office of the Ombudsperson treat</w:t>
      </w:r>
      <w:r w:rsidR="009304AB" w:rsidRPr="007B6B33">
        <w:t>ed</w:t>
      </w:r>
      <w:r w:rsidRPr="007B6B33">
        <w:t xml:space="preserve"> all issues confidentially and </w:t>
      </w:r>
      <w:r w:rsidR="009304AB" w:rsidRPr="007B6B33">
        <w:t xml:space="preserve">did </w:t>
      </w:r>
      <w:r w:rsidRPr="007B6B33">
        <w:t xml:space="preserve">not report them elsewhere. </w:t>
      </w:r>
      <w:r w:rsidR="00D2479E" w:rsidRPr="007B6B33">
        <w:t xml:space="preserve"> </w:t>
      </w:r>
      <w:r w:rsidRPr="007B6B33">
        <w:t>The Interim Ombudsperson shared her views on the varying proposed arrangements for filling the role of a future Ombudsperson in WIPO, considering the high workload of the Office</w:t>
      </w:r>
      <w:r w:rsidR="006A5101" w:rsidRPr="007B6B33">
        <w:t xml:space="preserve">, and indicated that at the end of her tenure, she would submit an Activity Report outlining her recommendations. </w:t>
      </w:r>
      <w:r w:rsidR="002F4B80" w:rsidRPr="007B6B33">
        <w:t xml:space="preserve"> </w:t>
      </w:r>
      <w:r w:rsidR="00D84D11" w:rsidRPr="007B6B33">
        <w:rPr>
          <w:color w:val="auto"/>
        </w:rPr>
        <w:t>At the 72</w:t>
      </w:r>
      <w:r w:rsidR="00D84D11" w:rsidRPr="007B6B33">
        <w:rPr>
          <w:color w:val="auto"/>
          <w:vertAlign w:val="superscript"/>
        </w:rPr>
        <w:t>nd</w:t>
      </w:r>
      <w:r w:rsidR="00D84D11" w:rsidRPr="007B6B33">
        <w:rPr>
          <w:color w:val="auto"/>
        </w:rPr>
        <w:t xml:space="preserve"> session, the Committee was made aware that </w:t>
      </w:r>
      <w:r w:rsidR="00971360" w:rsidRPr="007B6B33">
        <w:rPr>
          <w:color w:val="auto"/>
        </w:rPr>
        <w:t xml:space="preserve">co-sharing arrangements were being considered with other Organizations to fulfill the role of Ombudsperson, and </w:t>
      </w:r>
      <w:r w:rsidR="00D84D11" w:rsidRPr="007B6B33">
        <w:rPr>
          <w:color w:val="auto"/>
        </w:rPr>
        <w:t xml:space="preserve">expressed its </w:t>
      </w:r>
      <w:r w:rsidR="00971360" w:rsidRPr="007B6B33">
        <w:rPr>
          <w:color w:val="auto"/>
        </w:rPr>
        <w:t xml:space="preserve">view that sufficient time would need to be devoted to the function within the Organization in accordance with the benchmarks within the UN </w:t>
      </w:r>
      <w:r w:rsidR="00380620" w:rsidRPr="007B6B33">
        <w:rPr>
          <w:color w:val="auto"/>
        </w:rPr>
        <w:t>system.</w:t>
      </w:r>
    </w:p>
    <w:p w14:paraId="3269A4C9" w14:textId="77777777" w:rsidR="000F243A" w:rsidRPr="007B6B33" w:rsidRDefault="000F243A" w:rsidP="00D84D11">
      <w:pPr>
        <w:spacing w:after="16"/>
        <w:ind w:left="0" w:right="32" w:firstLine="0"/>
        <w:rPr>
          <w:i/>
          <w:iCs/>
          <w:color w:val="auto"/>
        </w:rPr>
      </w:pPr>
    </w:p>
    <w:p w14:paraId="3D319292" w14:textId="04922FB1" w:rsidR="000F075B" w:rsidRPr="007B6B33" w:rsidRDefault="00046A56" w:rsidP="000F243A">
      <w:pPr>
        <w:pStyle w:val="Heading5"/>
        <w:tabs>
          <w:tab w:val="left" w:pos="720"/>
          <w:tab w:val="center" w:pos="1998"/>
        </w:tabs>
        <w:ind w:left="0" w:right="32" w:firstLine="0"/>
        <w:rPr>
          <w:i w:val="0"/>
          <w:iCs/>
        </w:rPr>
      </w:pPr>
      <w:r w:rsidRPr="007B6B33">
        <w:rPr>
          <w:i w:val="0"/>
          <w:iCs/>
        </w:rPr>
        <w:t xml:space="preserve">G.  </w:t>
      </w:r>
      <w:r w:rsidRPr="007B6B33">
        <w:rPr>
          <w:i w:val="0"/>
          <w:iCs/>
        </w:rPr>
        <w:tab/>
      </w:r>
      <w:r w:rsidR="000F243A" w:rsidRPr="007B6B33">
        <w:rPr>
          <w:i w:val="0"/>
          <w:iCs/>
          <w:u w:val="single"/>
        </w:rPr>
        <w:t>HR Management</w:t>
      </w:r>
      <w:r w:rsidR="000F243A" w:rsidRPr="007B6B33">
        <w:rPr>
          <w:i w:val="0"/>
          <w:iCs/>
        </w:rPr>
        <w:t xml:space="preserve"> </w:t>
      </w:r>
    </w:p>
    <w:p w14:paraId="31D0BA8A" w14:textId="773C3BFD" w:rsidR="000F075B" w:rsidRPr="007B6B33" w:rsidRDefault="000F075B" w:rsidP="009E506A"/>
    <w:p w14:paraId="41AC2490" w14:textId="7078E5DE" w:rsidR="00185E71" w:rsidRPr="007B6B33" w:rsidRDefault="00810DAD" w:rsidP="00763F3D">
      <w:pPr>
        <w:pStyle w:val="ListParagraph"/>
        <w:numPr>
          <w:ilvl w:val="0"/>
          <w:numId w:val="4"/>
        </w:numPr>
        <w:ind w:left="1" w:firstLine="0"/>
      </w:pPr>
      <w:r w:rsidRPr="007B6B33">
        <w:t>During</w:t>
      </w:r>
      <w:r w:rsidR="000F243A" w:rsidRPr="007B6B33">
        <w:t xml:space="preserve"> the </w:t>
      </w:r>
      <w:r w:rsidRPr="007B6B33">
        <w:t>reporting period</w:t>
      </w:r>
      <w:r w:rsidR="000F243A" w:rsidRPr="007B6B33">
        <w:t xml:space="preserve">, the Director, HRMD, </w:t>
      </w:r>
      <w:r w:rsidR="00F40FEF" w:rsidRPr="007B6B33">
        <w:t xml:space="preserve">updated the Committee on </w:t>
      </w:r>
      <w:r w:rsidR="00FB6928" w:rsidRPr="007B6B33">
        <w:t>several</w:t>
      </w:r>
      <w:r w:rsidR="00F40FEF" w:rsidRPr="007B6B33">
        <w:t xml:space="preserve"> HR matters, including the</w:t>
      </w:r>
      <w:r w:rsidR="007B6B33">
        <w:t xml:space="preserve"> vacant</w:t>
      </w:r>
      <w:r w:rsidR="00F40FEF" w:rsidRPr="007B6B33">
        <w:t xml:space="preserve"> position </w:t>
      </w:r>
      <w:r w:rsidR="00FB2619" w:rsidRPr="007B6B33">
        <w:t>of Director</w:t>
      </w:r>
      <w:r w:rsidR="00F40FEF" w:rsidRPr="007B6B33">
        <w:t>, IOD</w:t>
      </w:r>
      <w:r w:rsidR="00B708CD" w:rsidRPr="007B6B33">
        <w:t xml:space="preserve">, the status of the recruitment for the position of a Chief Ethics Officer, and the possible arrangements for the Ombuds function at WIPO.  The Committee reviewed the list of pre-screened candidates for the position of Chief Ethics Officer and was informed of the timeline for the recruitment.  </w:t>
      </w:r>
      <w:r w:rsidRPr="007B6B33">
        <w:t xml:space="preserve">At the conclusion of the selection process, the recommendation of the Director General for the position of Chief Ethics Officer was submitted to the IAOC for its advice, in line with its </w:t>
      </w:r>
      <w:proofErr w:type="spellStart"/>
      <w:r w:rsidR="001D673E">
        <w:t>ToR</w:t>
      </w:r>
      <w:proofErr w:type="spellEnd"/>
      <w:r w:rsidR="002925B9" w:rsidRPr="007B6B33">
        <w:t xml:space="preserve">.  </w:t>
      </w:r>
      <w:r w:rsidR="00B708CD" w:rsidRPr="007B6B33">
        <w:t xml:space="preserve">The Committee was </w:t>
      </w:r>
      <w:r w:rsidR="00E95FBD">
        <w:t xml:space="preserve">also </w:t>
      </w:r>
      <w:r w:rsidR="00B708CD" w:rsidRPr="007B6B33">
        <w:t xml:space="preserve">given an update on the </w:t>
      </w:r>
      <w:r w:rsidR="002925B9" w:rsidRPr="007B6B33">
        <w:t xml:space="preserve">flexible working arrangements implemented at the start of 2024, </w:t>
      </w:r>
      <w:r w:rsidR="00B708CD" w:rsidRPr="007B6B33">
        <w:t>remote working</w:t>
      </w:r>
      <w:r w:rsidR="007A7FC1" w:rsidRPr="007B6B33">
        <w:t>, management training initiatives</w:t>
      </w:r>
      <w:r w:rsidR="002925B9" w:rsidRPr="007B6B33">
        <w:t xml:space="preserve"> and its impact on work culture, </w:t>
      </w:r>
      <w:r w:rsidR="00E95FBD">
        <w:t>as well as</w:t>
      </w:r>
      <w:r w:rsidR="002925B9" w:rsidRPr="007B6B33">
        <w:t xml:space="preserve"> the fo</w:t>
      </w:r>
      <w:r w:rsidR="007A7FC1" w:rsidRPr="007B6B33">
        <w:t>llow-up on the staff survey.</w:t>
      </w:r>
      <w:r w:rsidRPr="007B6B33">
        <w:t xml:space="preserve">  </w:t>
      </w:r>
      <w:r w:rsidR="002925B9" w:rsidRPr="007B6B33">
        <w:t>T</w:t>
      </w:r>
      <w:r w:rsidR="00185E71" w:rsidRPr="007B6B33">
        <w:t>he Committee welcomed the implementation of all outstanding</w:t>
      </w:r>
      <w:r w:rsidR="00BA30C3" w:rsidRPr="007B6B33">
        <w:t xml:space="preserve"> </w:t>
      </w:r>
      <w:r w:rsidR="00185E71" w:rsidRPr="007B6B33">
        <w:t xml:space="preserve">HR-related audit </w:t>
      </w:r>
      <w:r w:rsidR="00380620" w:rsidRPr="007B6B33">
        <w:t>recommendations.</w:t>
      </w:r>
    </w:p>
    <w:p w14:paraId="141275F3" w14:textId="77777777" w:rsidR="00185E71" w:rsidRPr="007B6B33" w:rsidRDefault="00185E71" w:rsidP="00B708CD">
      <w:pPr>
        <w:pStyle w:val="ListParagraph"/>
        <w:ind w:left="1" w:firstLine="0"/>
      </w:pPr>
    </w:p>
    <w:p w14:paraId="21534531" w14:textId="7174DF27" w:rsidR="008C250F" w:rsidRPr="007B6B33" w:rsidRDefault="009E1AF1" w:rsidP="008C250F">
      <w:pPr>
        <w:pStyle w:val="Heading5"/>
        <w:tabs>
          <w:tab w:val="left" w:pos="720"/>
          <w:tab w:val="center" w:pos="1998"/>
        </w:tabs>
        <w:ind w:left="0" w:right="32" w:firstLine="0"/>
        <w:rPr>
          <w:i w:val="0"/>
          <w:iCs/>
        </w:rPr>
      </w:pPr>
      <w:r w:rsidRPr="007B6B33">
        <w:rPr>
          <w:i w:val="0"/>
          <w:iCs/>
        </w:rPr>
        <w:t>H</w:t>
      </w:r>
      <w:r w:rsidR="008C250F" w:rsidRPr="007B6B33">
        <w:rPr>
          <w:i w:val="0"/>
          <w:iCs/>
        </w:rPr>
        <w:t xml:space="preserve">.  </w:t>
      </w:r>
      <w:r w:rsidR="008C250F" w:rsidRPr="007B6B33">
        <w:rPr>
          <w:i w:val="0"/>
          <w:iCs/>
        </w:rPr>
        <w:tab/>
      </w:r>
      <w:r w:rsidR="008C250F" w:rsidRPr="007B6B33">
        <w:rPr>
          <w:i w:val="0"/>
          <w:iCs/>
          <w:u w:val="single"/>
        </w:rPr>
        <w:t>Other Matters</w:t>
      </w:r>
      <w:r w:rsidR="008C250F" w:rsidRPr="007B6B33">
        <w:rPr>
          <w:i w:val="0"/>
          <w:iCs/>
        </w:rPr>
        <w:t xml:space="preserve"> </w:t>
      </w:r>
    </w:p>
    <w:p w14:paraId="12922C77" w14:textId="77777777" w:rsidR="008C250F" w:rsidRPr="007B6B33" w:rsidRDefault="008C250F" w:rsidP="008C250F"/>
    <w:p w14:paraId="2F910F42" w14:textId="77777777" w:rsidR="000F075B" w:rsidRPr="007B6B33" w:rsidRDefault="00046A56" w:rsidP="003945C2">
      <w:pPr>
        <w:pStyle w:val="Heading5"/>
        <w:tabs>
          <w:tab w:val="left" w:pos="720"/>
          <w:tab w:val="center" w:pos="1998"/>
        </w:tabs>
        <w:ind w:left="0" w:right="32" w:firstLine="0"/>
      </w:pPr>
      <w:r w:rsidRPr="007B6B33">
        <w:t xml:space="preserve">  </w:t>
      </w:r>
      <w:r w:rsidRPr="007B6B33">
        <w:tab/>
      </w:r>
      <w:r w:rsidR="003945C2" w:rsidRPr="007B6B33">
        <w:tab/>
      </w:r>
      <w:r w:rsidRPr="007B6B33">
        <w:t xml:space="preserve">WIPO Investment Reports </w:t>
      </w:r>
    </w:p>
    <w:p w14:paraId="6B03299F" w14:textId="77777777" w:rsidR="000F075B" w:rsidRPr="007B6B33" w:rsidRDefault="000F075B" w:rsidP="008E2102">
      <w:pPr>
        <w:spacing w:after="16"/>
        <w:ind w:right="32"/>
      </w:pPr>
    </w:p>
    <w:p w14:paraId="5CE7789E" w14:textId="048FFBCB" w:rsidR="007D7500" w:rsidRPr="007B6B33" w:rsidRDefault="00046A56" w:rsidP="004F39FF">
      <w:pPr>
        <w:pStyle w:val="ListParagraph"/>
        <w:numPr>
          <w:ilvl w:val="0"/>
          <w:numId w:val="4"/>
        </w:numPr>
        <w:ind w:left="0" w:right="32" w:firstLine="0"/>
      </w:pPr>
      <w:r w:rsidRPr="007B6B33">
        <w:t xml:space="preserve">As requested by Member States, </w:t>
      </w:r>
      <w:r w:rsidR="003E6E9F" w:rsidRPr="007B6B33">
        <w:t>the Secretariat</w:t>
      </w:r>
      <w:r w:rsidRPr="007B6B33">
        <w:t xml:space="preserve"> submitted to the Committee at each of its sessions the </w:t>
      </w:r>
      <w:r w:rsidR="000D198F" w:rsidRPr="007B6B33">
        <w:t xml:space="preserve">available </w:t>
      </w:r>
      <w:r w:rsidRPr="007B6B33">
        <w:t xml:space="preserve">monthly Investment Performance Reports and the monthly Investment Monitoring Reports, prepared by the Investment Advisors and the Custodian, respectively.  The Committee wishes to clarify that its role is limited to conveying </w:t>
      </w:r>
      <w:r w:rsidR="000A6DF7" w:rsidRPr="007B6B33">
        <w:t xml:space="preserve">to Member States the </w:t>
      </w:r>
      <w:r w:rsidRPr="007B6B33">
        <w:t xml:space="preserve">information contained in the </w:t>
      </w:r>
      <w:r w:rsidR="00F2582C" w:rsidRPr="007B6B33">
        <w:t xml:space="preserve">monthly </w:t>
      </w:r>
      <w:r w:rsidRPr="007B6B33">
        <w:t>Investment Performance Report</w:t>
      </w:r>
      <w:r w:rsidR="00F2582C" w:rsidRPr="007B6B33">
        <w:t>s</w:t>
      </w:r>
      <w:r w:rsidRPr="007B6B33">
        <w:t xml:space="preserve"> and Investment Monitoring </w:t>
      </w:r>
      <w:r w:rsidR="003E29D4" w:rsidRPr="007B6B33">
        <w:t>Reports and</w:t>
      </w:r>
      <w:r w:rsidRPr="007B6B33">
        <w:t xml:space="preserve"> does not provide any assurances in that regard. </w:t>
      </w:r>
    </w:p>
    <w:p w14:paraId="6120BF42" w14:textId="77777777" w:rsidR="00204051" w:rsidRPr="007B6B33" w:rsidRDefault="00204051" w:rsidP="00204051">
      <w:pPr>
        <w:pStyle w:val="ListParagraph"/>
        <w:ind w:left="0" w:right="32" w:firstLine="0"/>
      </w:pPr>
    </w:p>
    <w:p w14:paraId="370B2409" w14:textId="573AD2E6" w:rsidR="007D7500" w:rsidRPr="007B6B33" w:rsidRDefault="0062256C" w:rsidP="00844D67">
      <w:pPr>
        <w:pStyle w:val="ListParagraph"/>
        <w:numPr>
          <w:ilvl w:val="0"/>
          <w:numId w:val="4"/>
        </w:numPr>
        <w:ind w:left="0" w:firstLine="1"/>
      </w:pPr>
      <w:r w:rsidRPr="007B6B33">
        <w:lastRenderedPageBreak/>
        <w:t>Regarding</w:t>
      </w:r>
      <w:r w:rsidR="00046A56" w:rsidRPr="007B6B33">
        <w:t xml:space="preserve"> the periodic reviews of the </w:t>
      </w:r>
      <w:r w:rsidR="009209E5" w:rsidRPr="007B6B33">
        <w:t xml:space="preserve">monthly investment </w:t>
      </w:r>
      <w:r w:rsidR="00046A56" w:rsidRPr="007B6B33">
        <w:t xml:space="preserve">reports from </w:t>
      </w:r>
      <w:r w:rsidR="00EB5FDB" w:rsidRPr="007B6B33">
        <w:t>February 2023</w:t>
      </w:r>
      <w:r w:rsidR="00046A56" w:rsidRPr="007B6B33">
        <w:t xml:space="preserve"> </w:t>
      </w:r>
      <w:r w:rsidR="0070269A" w:rsidRPr="007B6B33">
        <w:t>through</w:t>
      </w:r>
      <w:r w:rsidR="00046A56" w:rsidRPr="007B6B33">
        <w:t xml:space="preserve"> </w:t>
      </w:r>
      <w:r w:rsidR="00046A56" w:rsidRPr="007B6B33">
        <w:rPr>
          <w:color w:val="auto"/>
        </w:rPr>
        <w:t xml:space="preserve">to </w:t>
      </w:r>
      <w:r w:rsidR="00EB5FDB" w:rsidRPr="007B6B33">
        <w:rPr>
          <w:color w:val="auto"/>
        </w:rPr>
        <w:t xml:space="preserve">February </w:t>
      </w:r>
      <w:r w:rsidR="001F695A" w:rsidRPr="007B6B33">
        <w:rPr>
          <w:color w:val="auto"/>
        </w:rPr>
        <w:t>202</w:t>
      </w:r>
      <w:r w:rsidR="00EB5FDB" w:rsidRPr="007B6B33">
        <w:rPr>
          <w:color w:val="auto"/>
        </w:rPr>
        <w:t>4</w:t>
      </w:r>
      <w:r w:rsidR="001F695A" w:rsidRPr="007B6B33">
        <w:rPr>
          <w:color w:val="auto"/>
        </w:rPr>
        <w:t>,</w:t>
      </w:r>
      <w:r w:rsidR="00046A56" w:rsidRPr="007B6B33">
        <w:rPr>
          <w:color w:val="auto"/>
        </w:rPr>
        <w:t xml:space="preserve"> the </w:t>
      </w:r>
      <w:r w:rsidR="00046A56" w:rsidRPr="007B6B33">
        <w:t xml:space="preserve">Committee confirmed that the information provided during </w:t>
      </w:r>
      <w:r w:rsidRPr="007B6B33">
        <w:t xml:space="preserve">the </w:t>
      </w:r>
      <w:r w:rsidR="00046A56" w:rsidRPr="007B6B33">
        <w:t>reporting period showed that, based on the investment market benchmark, all the vehicles in WIPO’s investment portfolio</w:t>
      </w:r>
      <w:r w:rsidR="00F82886" w:rsidRPr="007B6B33">
        <w:t>s</w:t>
      </w:r>
      <w:r w:rsidR="00046A56" w:rsidRPr="007B6B33">
        <w:t xml:space="preserve"> were managed in accordance with the stated Investment Strategy.  In addition, the Committee confirmed that the Custodian did not report any breaches, active or passive, nor justified exceptions.</w:t>
      </w:r>
      <w:r w:rsidR="008E2102" w:rsidRPr="007B6B33">
        <w:t xml:space="preserve"> </w:t>
      </w:r>
    </w:p>
    <w:p w14:paraId="2C0B64C1" w14:textId="4952FCE0" w:rsidR="004372E8" w:rsidRDefault="007D7500" w:rsidP="00626020">
      <w:r w:rsidRPr="007B6B33">
        <w:tab/>
      </w:r>
    </w:p>
    <w:p w14:paraId="4C25032C" w14:textId="77777777" w:rsidR="000F075B" w:rsidRPr="007B6B33" w:rsidRDefault="00046A56" w:rsidP="009E506A">
      <w:pPr>
        <w:pStyle w:val="Heading1"/>
        <w:tabs>
          <w:tab w:val="center" w:pos="1808"/>
        </w:tabs>
        <w:spacing w:after="0" w:line="240" w:lineRule="auto"/>
        <w:ind w:left="0" w:right="32" w:firstLine="0"/>
      </w:pPr>
      <w:bookmarkStart w:id="19" w:name="_Toc164688959"/>
      <w:r w:rsidRPr="007B6B33">
        <w:t xml:space="preserve">IV.  </w:t>
      </w:r>
      <w:r w:rsidRPr="007B6B33">
        <w:tab/>
        <w:t>CLOSING REMARKS</w:t>
      </w:r>
      <w:bookmarkEnd w:id="19"/>
      <w:r w:rsidRPr="007B6B33">
        <w:t xml:space="preserve"> </w:t>
      </w:r>
    </w:p>
    <w:p w14:paraId="42F79EA1" w14:textId="77777777" w:rsidR="000F075B" w:rsidRPr="007B6B33" w:rsidRDefault="000F075B" w:rsidP="00B4322D">
      <w:pPr>
        <w:spacing w:after="0" w:line="240" w:lineRule="auto"/>
        <w:ind w:right="32"/>
      </w:pPr>
    </w:p>
    <w:p w14:paraId="38AA1FBA" w14:textId="7C6704BF" w:rsidR="000F075B" w:rsidRPr="007B6B33" w:rsidRDefault="00046A56" w:rsidP="00B91C90">
      <w:pPr>
        <w:pStyle w:val="ListParagraph"/>
        <w:numPr>
          <w:ilvl w:val="0"/>
          <w:numId w:val="4"/>
        </w:numPr>
        <w:spacing w:after="0"/>
        <w:ind w:left="1" w:right="32" w:firstLine="0"/>
      </w:pPr>
      <w:r w:rsidRPr="007B6B33">
        <w:t xml:space="preserve">The </w:t>
      </w:r>
      <w:r w:rsidR="00FB5FA8" w:rsidRPr="007B6B33">
        <w:t xml:space="preserve">Committee </w:t>
      </w:r>
      <w:r w:rsidRPr="007B6B33">
        <w:t xml:space="preserve">would like to express its appreciation to the Director General, the </w:t>
      </w:r>
      <w:r w:rsidR="0011742F" w:rsidRPr="007B6B33">
        <w:t>Secret</w:t>
      </w:r>
      <w:r w:rsidR="00FB5FA8" w:rsidRPr="007B6B33">
        <w:t>ariat s</w:t>
      </w:r>
      <w:r w:rsidR="0011742F" w:rsidRPr="007B6B33">
        <w:t>taff</w:t>
      </w:r>
      <w:r w:rsidRPr="007B6B33">
        <w:t xml:space="preserve">, </w:t>
      </w:r>
      <w:r w:rsidR="0011742F" w:rsidRPr="007B6B33">
        <w:t>and</w:t>
      </w:r>
      <w:r w:rsidRPr="007B6B33">
        <w:t xml:space="preserve"> the </w:t>
      </w:r>
      <w:r w:rsidR="006B378B" w:rsidRPr="007B6B33">
        <w:t xml:space="preserve">outgoing </w:t>
      </w:r>
      <w:r w:rsidRPr="007B6B33">
        <w:t xml:space="preserve">External Auditor, for their availability, </w:t>
      </w:r>
      <w:r w:rsidR="00FB6928" w:rsidRPr="007B6B33">
        <w:t>clarity,</w:t>
      </w:r>
      <w:r w:rsidRPr="007B6B33">
        <w:t xml:space="preserve"> and openness in their regular interaction with the Committee, and for the information provided</w:t>
      </w:r>
      <w:r w:rsidR="00204051" w:rsidRPr="007B6B33">
        <w:t>.</w:t>
      </w:r>
    </w:p>
    <w:p w14:paraId="718FEAB9" w14:textId="491D9036" w:rsidR="000F075B" w:rsidRPr="007B6B33" w:rsidRDefault="000F075B" w:rsidP="005C2B55">
      <w:pPr>
        <w:spacing w:after="0"/>
        <w:ind w:left="1" w:right="32" w:firstLine="0"/>
      </w:pPr>
    </w:p>
    <w:p w14:paraId="0E324F3F" w14:textId="77777777" w:rsidR="00B50A7E" w:rsidRPr="007B6B33" w:rsidRDefault="00B50A7E" w:rsidP="005C2B55">
      <w:pPr>
        <w:spacing w:after="0"/>
        <w:ind w:left="1" w:right="32" w:firstLine="0"/>
      </w:pPr>
    </w:p>
    <w:p w14:paraId="392CB857" w14:textId="77777777" w:rsidR="000F075B" w:rsidRDefault="00046A56" w:rsidP="00B4322D">
      <w:pPr>
        <w:ind w:left="5730" w:right="32"/>
      </w:pPr>
      <w:r w:rsidRPr="007B6B33">
        <w:t>[End of document]</w:t>
      </w:r>
      <w:r w:rsidR="00B4322D" w:rsidRPr="007B6B33">
        <w:t xml:space="preserve"> </w:t>
      </w:r>
    </w:p>
    <w:sectPr w:rsidR="000F075B" w:rsidSect="000366F3">
      <w:headerReference w:type="even" r:id="rId14"/>
      <w:headerReference w:type="default" r:id="rId15"/>
      <w:footerReference w:type="even" r:id="rId16"/>
      <w:footerReference w:type="default" r:id="rId17"/>
      <w:headerReference w:type="first" r:id="rId18"/>
      <w:footerReference w:type="first" r:id="rId19"/>
      <w:pgSz w:w="11906" w:h="16841"/>
      <w:pgMar w:top="1399" w:right="1038" w:bottom="1038" w:left="1296" w:header="619" w:footer="720" w:gutter="0"/>
      <w:pgNumType w:start="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760D" w14:textId="77777777" w:rsidR="006944EF" w:rsidRPr="007B6B33" w:rsidRDefault="006944EF">
      <w:pPr>
        <w:spacing w:after="0" w:line="240" w:lineRule="auto"/>
      </w:pPr>
      <w:r w:rsidRPr="007B6B33">
        <w:separator/>
      </w:r>
    </w:p>
  </w:endnote>
  <w:endnote w:type="continuationSeparator" w:id="0">
    <w:p w14:paraId="4944E491" w14:textId="77777777" w:rsidR="006944EF" w:rsidRPr="007B6B33" w:rsidRDefault="006944EF">
      <w:pPr>
        <w:spacing w:after="0" w:line="240" w:lineRule="auto"/>
      </w:pPr>
      <w:r w:rsidRPr="007B6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465E" w14:textId="69BAA983" w:rsidR="00BE54F5" w:rsidRPr="007B6B33" w:rsidRDefault="00BE54F5" w:rsidP="00BE5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ED61" w14:textId="64963635" w:rsidR="00BE54F5" w:rsidRPr="007B6B33" w:rsidRDefault="00BE5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4C79" w14:textId="20CDAE03" w:rsidR="00BE54F5" w:rsidRPr="007B6B33" w:rsidRDefault="00BE54F5" w:rsidP="00BE5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A5A2" w14:textId="77777777" w:rsidR="006944EF" w:rsidRPr="007B6B33" w:rsidRDefault="006944EF">
      <w:pPr>
        <w:spacing w:after="0" w:line="240" w:lineRule="auto"/>
      </w:pPr>
      <w:r w:rsidRPr="007B6B33">
        <w:separator/>
      </w:r>
    </w:p>
  </w:footnote>
  <w:footnote w:type="continuationSeparator" w:id="0">
    <w:p w14:paraId="70FF48DA" w14:textId="77777777" w:rsidR="006944EF" w:rsidRPr="007B6B33" w:rsidRDefault="006944EF">
      <w:pPr>
        <w:spacing w:after="0" w:line="240" w:lineRule="auto"/>
      </w:pPr>
      <w:r w:rsidRPr="007B6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7C83" w14:textId="77777777" w:rsidR="00BE54F5" w:rsidRPr="007B6B33" w:rsidRDefault="00BE54F5" w:rsidP="00BE54F5">
    <w:pPr>
      <w:spacing w:after="0"/>
      <w:ind w:left="142" w:righ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1968" w14:textId="275F67C9" w:rsidR="00623835" w:rsidRPr="007B6B33" w:rsidRDefault="00623835" w:rsidP="00623835">
    <w:pPr>
      <w:spacing w:after="5" w:line="238" w:lineRule="auto"/>
      <w:ind w:left="7200" w:right="-16" w:firstLine="0"/>
      <w:jc w:val="right"/>
    </w:pPr>
    <w:r w:rsidRPr="007B6B33">
      <w:t>WO/PBC</w:t>
    </w:r>
    <w:r w:rsidR="00CD3B90" w:rsidRPr="007B6B33">
      <w:t>/3</w:t>
    </w:r>
    <w:r w:rsidR="00C76D45" w:rsidRPr="007B6B33">
      <w:t>7</w:t>
    </w:r>
    <w:r w:rsidR="00CD3B90" w:rsidRPr="007B6B33">
      <w:t>/2</w:t>
    </w:r>
  </w:p>
  <w:p w14:paraId="5B729CE5" w14:textId="77777777" w:rsidR="00623835" w:rsidRPr="007B6B33" w:rsidRDefault="00623835" w:rsidP="00623835">
    <w:pPr>
      <w:spacing w:after="5" w:line="238" w:lineRule="auto"/>
      <w:ind w:left="7200" w:right="-16" w:firstLine="0"/>
      <w:jc w:val="right"/>
    </w:pPr>
    <w:r w:rsidRPr="007B6B33">
      <w:t>page 2</w:t>
    </w:r>
  </w:p>
  <w:p w14:paraId="56F9EF88" w14:textId="77777777" w:rsidR="00623835" w:rsidRPr="007B6B33" w:rsidRDefault="00623835" w:rsidP="00623835">
    <w:pPr>
      <w:spacing w:after="0"/>
      <w:ind w:left="142" w:righ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2DE4" w14:textId="211A1199" w:rsidR="00706319" w:rsidRPr="007B6B33" w:rsidRDefault="00706319" w:rsidP="00BE54F5">
    <w:pPr>
      <w:spacing w:after="5" w:line="238" w:lineRule="auto"/>
      <w:ind w:left="7200" w:right="-16" w:firstLine="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486C" w14:textId="418ABE77" w:rsidR="00BE54F5" w:rsidRPr="007B6B33" w:rsidRDefault="00BE54F5" w:rsidP="00BE54F5">
    <w:pPr>
      <w:spacing w:after="5" w:line="238" w:lineRule="auto"/>
      <w:ind w:left="7200" w:right="-16" w:firstLine="0"/>
      <w:jc w:val="right"/>
    </w:pPr>
    <w:r w:rsidRPr="007B6B33">
      <w:t>WO/PBC/</w:t>
    </w:r>
    <w:r w:rsidR="00CD3B90" w:rsidRPr="007B6B33">
      <w:t>3</w:t>
    </w:r>
    <w:r w:rsidR="005217D8" w:rsidRPr="007B6B33">
      <w:t>7</w:t>
    </w:r>
    <w:r w:rsidR="00CD3B90" w:rsidRPr="007B6B33">
      <w:t>/2</w:t>
    </w:r>
  </w:p>
  <w:p w14:paraId="16E622EA" w14:textId="3522F60B" w:rsidR="00BE54F5" w:rsidRPr="007B6B33" w:rsidRDefault="00BE54F5" w:rsidP="00BE54F5">
    <w:pPr>
      <w:spacing w:after="5" w:line="238" w:lineRule="auto"/>
      <w:ind w:left="7200" w:right="-16" w:firstLine="0"/>
      <w:jc w:val="right"/>
    </w:pPr>
    <w:r w:rsidRPr="007B6B33">
      <w:t xml:space="preserve">page </w:t>
    </w:r>
    <w:r w:rsidRPr="007B6B33">
      <w:fldChar w:fldCharType="begin"/>
    </w:r>
    <w:r w:rsidRPr="007B6B33">
      <w:instrText xml:space="preserve"> PAGE   \* MERGEFORMAT </w:instrText>
    </w:r>
    <w:r w:rsidRPr="007B6B33">
      <w:fldChar w:fldCharType="separate"/>
    </w:r>
    <w:r w:rsidR="008E359E" w:rsidRPr="00FA1329">
      <w:t>10</w:t>
    </w:r>
    <w:r w:rsidRPr="007B6B33">
      <w:fldChar w:fldCharType="end"/>
    </w:r>
  </w:p>
  <w:p w14:paraId="15D63005" w14:textId="77777777" w:rsidR="00BE54F5" w:rsidRPr="007B6B33" w:rsidRDefault="00BE54F5" w:rsidP="00BE54F5">
    <w:pPr>
      <w:spacing w:after="0"/>
      <w:ind w:left="142" w:right="0" w:firstLine="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D2A7" w14:textId="132A5241" w:rsidR="00B40017" w:rsidRPr="007B6B33" w:rsidRDefault="00B40017">
    <w:pPr>
      <w:spacing w:after="5" w:line="238" w:lineRule="auto"/>
      <w:ind w:left="7200" w:right="-16" w:firstLine="0"/>
      <w:jc w:val="right"/>
    </w:pPr>
    <w:r w:rsidRPr="007B6B33">
      <w:t>WO/PBC/</w:t>
    </w:r>
    <w:r w:rsidR="00CD3B90" w:rsidRPr="007B6B33">
      <w:t>3</w:t>
    </w:r>
    <w:r w:rsidR="005217D8" w:rsidRPr="007B6B33">
      <w:t>7</w:t>
    </w:r>
    <w:r w:rsidR="00CD3B90" w:rsidRPr="007B6B33">
      <w:t>/2</w:t>
    </w:r>
  </w:p>
  <w:p w14:paraId="7F220377" w14:textId="32A7DAAD" w:rsidR="00B40017" w:rsidRPr="007B6B33" w:rsidRDefault="00B40017">
    <w:pPr>
      <w:spacing w:after="5" w:line="238" w:lineRule="auto"/>
      <w:ind w:left="7200" w:right="-16" w:firstLine="0"/>
      <w:jc w:val="right"/>
    </w:pPr>
    <w:r w:rsidRPr="007B6B33">
      <w:t xml:space="preserve">page </w:t>
    </w:r>
    <w:r w:rsidRPr="007B6B33">
      <w:fldChar w:fldCharType="begin"/>
    </w:r>
    <w:r w:rsidRPr="007B6B33">
      <w:instrText xml:space="preserve"> PAGE   \* MERGEFORMAT </w:instrText>
    </w:r>
    <w:r w:rsidRPr="007B6B33">
      <w:fldChar w:fldCharType="separate"/>
    </w:r>
    <w:r w:rsidR="008E359E" w:rsidRPr="00FA1329">
      <w:t>9</w:t>
    </w:r>
    <w:r w:rsidRPr="007B6B33">
      <w:fldChar w:fldCharType="end"/>
    </w:r>
  </w:p>
  <w:p w14:paraId="56EBF247" w14:textId="77777777" w:rsidR="00B40017" w:rsidRPr="007B6B33" w:rsidRDefault="00B40017" w:rsidP="00623835">
    <w:pPr>
      <w:spacing w:after="0"/>
      <w:ind w:left="142" w:right="0"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87EE" w14:textId="5BE957F1" w:rsidR="00BE54F5" w:rsidRPr="007B6B33" w:rsidRDefault="00BE54F5" w:rsidP="00BE54F5">
    <w:pPr>
      <w:spacing w:after="5" w:line="238" w:lineRule="auto"/>
      <w:ind w:left="7200" w:right="-16" w:firstLine="0"/>
      <w:jc w:val="right"/>
    </w:pPr>
    <w:r w:rsidRPr="007B6B33">
      <w:t>WO/PBC/</w:t>
    </w:r>
    <w:r w:rsidR="00CD3B90" w:rsidRPr="007B6B33">
      <w:t>3</w:t>
    </w:r>
    <w:r w:rsidR="00D92D15" w:rsidRPr="007B6B33">
      <w:t>7</w:t>
    </w:r>
    <w:r w:rsidR="00CD3B90" w:rsidRPr="007B6B33">
      <w:t>/2</w:t>
    </w:r>
  </w:p>
  <w:p w14:paraId="24E893DF" w14:textId="6C338965" w:rsidR="00BE54F5" w:rsidRPr="007B6B33" w:rsidRDefault="00BE54F5" w:rsidP="00BE54F5">
    <w:pPr>
      <w:spacing w:after="5" w:line="238" w:lineRule="auto"/>
      <w:ind w:left="7200" w:right="-16" w:firstLine="0"/>
      <w:jc w:val="right"/>
    </w:pPr>
    <w:r w:rsidRPr="007B6B33">
      <w:t xml:space="preserve">page </w:t>
    </w:r>
    <w:r w:rsidRPr="007B6B33">
      <w:fldChar w:fldCharType="begin"/>
    </w:r>
    <w:r w:rsidRPr="007B6B33">
      <w:instrText xml:space="preserve"> PAGE   \* MERGEFORMAT </w:instrText>
    </w:r>
    <w:r w:rsidRPr="007B6B33">
      <w:fldChar w:fldCharType="separate"/>
    </w:r>
    <w:r w:rsidR="008E359E" w:rsidRPr="00FA1329">
      <w:t>3</w:t>
    </w:r>
    <w:r w:rsidRPr="007B6B33">
      <w:fldChar w:fldCharType="end"/>
    </w:r>
  </w:p>
  <w:p w14:paraId="097DA6C2" w14:textId="77777777" w:rsidR="00BE54F5" w:rsidRPr="007B6B33" w:rsidRDefault="00BE54F5" w:rsidP="00BE54F5">
    <w:pPr>
      <w:spacing w:after="0"/>
      <w:ind w:left="142" w:right="0"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7049BF"/>
    <w:multiLevelType w:val="hybridMultilevel"/>
    <w:tmpl w:val="B91C1B44"/>
    <w:lvl w:ilvl="0" w:tplc="31BEA9D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D3BB4"/>
    <w:multiLevelType w:val="hybridMultilevel"/>
    <w:tmpl w:val="6E16C312"/>
    <w:lvl w:ilvl="0" w:tplc="1818D338">
      <w:start w:val="1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E6B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3A9B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D0E9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EB4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8B8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6467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863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65D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F10E0F"/>
    <w:multiLevelType w:val="hybridMultilevel"/>
    <w:tmpl w:val="B54A7858"/>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E24310"/>
    <w:multiLevelType w:val="hybridMultilevel"/>
    <w:tmpl w:val="FBEC3A50"/>
    <w:lvl w:ilvl="0" w:tplc="78642F42">
      <w:start w:val="53"/>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834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8C7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8A85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6B4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EB6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8A2E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C98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BC52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CE21F3"/>
    <w:multiLevelType w:val="hybridMultilevel"/>
    <w:tmpl w:val="4AA2ADDE"/>
    <w:lvl w:ilvl="0" w:tplc="9E5C97D4">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A5EAA"/>
    <w:multiLevelType w:val="hybridMultilevel"/>
    <w:tmpl w:val="B9184FC6"/>
    <w:lvl w:ilvl="0" w:tplc="D6D2DFF2">
      <w:start w:val="14"/>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68342">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8DF6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2A55E">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A2D30">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0C6974">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C66B58">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4C7AE">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64D88">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3B19FF"/>
    <w:multiLevelType w:val="hybridMultilevel"/>
    <w:tmpl w:val="F62A35A0"/>
    <w:lvl w:ilvl="0" w:tplc="B7FE277A">
      <w:start w:val="1"/>
      <w:numFmt w:val="decimal"/>
      <w:lvlText w:val="%1."/>
      <w:lvlJc w:val="left"/>
      <w:pPr>
        <w:ind w:left="1495" w:hanging="360"/>
      </w:pPr>
      <w:rPr>
        <w:rFonts w:hint="default"/>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7C6ADB"/>
    <w:multiLevelType w:val="hybridMultilevel"/>
    <w:tmpl w:val="5FA4A152"/>
    <w:lvl w:ilvl="0" w:tplc="6200EF2C">
      <w:start w:val="2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B6D7F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02C22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74BCF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075D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DE62E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D6ED5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CC87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A415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CB5A99"/>
    <w:multiLevelType w:val="hybridMultilevel"/>
    <w:tmpl w:val="D6E6D6B4"/>
    <w:lvl w:ilvl="0" w:tplc="3F4A77BA">
      <w:start w:val="2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49E2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62BC5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4EBDB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4B1C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C4A2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5A37F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E788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AF10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B306D1"/>
    <w:multiLevelType w:val="hybridMultilevel"/>
    <w:tmpl w:val="617EAED0"/>
    <w:lvl w:ilvl="0" w:tplc="0EFAC94E">
      <w:start w:val="4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CC4E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4E6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CC77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67C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8A2C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49E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460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66C8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227EDE"/>
    <w:multiLevelType w:val="hybridMultilevel"/>
    <w:tmpl w:val="0EDA190E"/>
    <w:lvl w:ilvl="0" w:tplc="5A888962">
      <w:start w:val="8"/>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25041D"/>
    <w:multiLevelType w:val="hybridMultilevel"/>
    <w:tmpl w:val="56C8B67A"/>
    <w:lvl w:ilvl="0" w:tplc="2FEE2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7B5D30"/>
    <w:multiLevelType w:val="hybridMultilevel"/>
    <w:tmpl w:val="AA202E98"/>
    <w:lvl w:ilvl="0" w:tplc="ED9E7BF4">
      <w:start w:val="2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47558">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9A69D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74567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68F2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6BA6C">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BAB2">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49E08">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C8329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0A64C6"/>
    <w:multiLevelType w:val="hybridMultilevel"/>
    <w:tmpl w:val="7BD0672A"/>
    <w:lvl w:ilvl="0" w:tplc="0C6AA820">
      <w:start w:val="6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0CBF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A60A78">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448E6C">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AE1CA">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E42656">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482100">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0F786">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AA45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7B707C"/>
    <w:multiLevelType w:val="hybridMultilevel"/>
    <w:tmpl w:val="03D0A2F8"/>
    <w:lvl w:ilvl="0" w:tplc="C242127E">
      <w:start w:val="1"/>
      <w:numFmt w:val="decimal"/>
      <w:lvlText w:val="(%1)"/>
      <w:lvlJc w:val="left"/>
      <w:pPr>
        <w:ind w:left="1740" w:hanging="57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4E235CA0"/>
    <w:multiLevelType w:val="hybridMultilevel"/>
    <w:tmpl w:val="6A9EB6FA"/>
    <w:lvl w:ilvl="0" w:tplc="0FB27EDA">
      <w:start w:val="30"/>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807A0">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69232">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CA212">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AFFCA">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22CA8">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90DBC8">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4B45E">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CCD98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8B7084"/>
    <w:multiLevelType w:val="hybridMultilevel"/>
    <w:tmpl w:val="93B65B30"/>
    <w:lvl w:ilvl="0" w:tplc="D584C604">
      <w:start w:val="37"/>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01C36">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50667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49C5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05F02">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B8A672">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03A1A">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C900A">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BE9740">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DC4162"/>
    <w:multiLevelType w:val="hybridMultilevel"/>
    <w:tmpl w:val="28DE392A"/>
    <w:lvl w:ilvl="0" w:tplc="6C520FA2">
      <w:start w:val="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9456633"/>
    <w:multiLevelType w:val="hybridMultilevel"/>
    <w:tmpl w:val="F3AA6080"/>
    <w:lvl w:ilvl="0" w:tplc="6F989C0E">
      <w:start w:val="19"/>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A9EA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2674CC">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D68DA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6E0DA">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48370">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74FD5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CB956">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56B78C">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CA02A54"/>
    <w:multiLevelType w:val="hybridMultilevel"/>
    <w:tmpl w:val="E3721360"/>
    <w:lvl w:ilvl="0" w:tplc="31BEA9DC">
      <w:start w:val="2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3" w15:restartNumberingAfterBreak="0">
    <w:nsid w:val="5DBB2C4D"/>
    <w:multiLevelType w:val="hybridMultilevel"/>
    <w:tmpl w:val="7D908414"/>
    <w:lvl w:ilvl="0" w:tplc="660A17D6">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E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696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0E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657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AB1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A61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EC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E2F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335F47"/>
    <w:multiLevelType w:val="hybridMultilevel"/>
    <w:tmpl w:val="E208FD62"/>
    <w:lvl w:ilvl="0" w:tplc="4AA29EFA">
      <w:start w:val="33"/>
      <w:numFmt w:val="decimal"/>
      <w:lvlText w:val="%1."/>
      <w:lvlJc w:val="left"/>
      <w:pPr>
        <w:ind w:left="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AEE89A">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8A9EF6">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966FE4">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A7BB8">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4A4BFC">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013F8">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80208">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0AA9C">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6CD21558"/>
    <w:multiLevelType w:val="hybridMultilevel"/>
    <w:tmpl w:val="4FA4C2F6"/>
    <w:lvl w:ilvl="0" w:tplc="7CC4E254">
      <w:start w:val="3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7" w15:restartNumberingAfterBreak="0">
    <w:nsid w:val="6DF75AA2"/>
    <w:multiLevelType w:val="hybridMultilevel"/>
    <w:tmpl w:val="A3EC3398"/>
    <w:lvl w:ilvl="0" w:tplc="A09AA214">
      <w:start w:val="13"/>
      <w:numFmt w:val="decimal"/>
      <w:lvlText w:val="%1."/>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C08F59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9707EE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C4EA14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6C8C95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2D2BD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BE85A5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BD882E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ABC434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E0F7EDE"/>
    <w:multiLevelType w:val="hybridMultilevel"/>
    <w:tmpl w:val="A43888A8"/>
    <w:lvl w:ilvl="0" w:tplc="0422FCF4">
      <w:start w:val="5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6AC10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74DD1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7A4836">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22C3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D64FAE">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CEA364">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32F87C">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E5D2A">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232D3F"/>
    <w:multiLevelType w:val="hybridMultilevel"/>
    <w:tmpl w:val="13086356"/>
    <w:lvl w:ilvl="0" w:tplc="59D4745A">
      <w:start w:val="2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A6232">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88B0A">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24D86A">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873E2">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4F81E">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E00E">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09FDE">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AAD504">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BD52AB"/>
    <w:multiLevelType w:val="hybridMultilevel"/>
    <w:tmpl w:val="6FE66288"/>
    <w:lvl w:ilvl="0" w:tplc="8D684A04">
      <w:start w:val="5"/>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E8126">
      <w:start w:val="1"/>
      <w:numFmt w:val="bullet"/>
      <w:lvlText w:val="-"/>
      <w:lvlJc w:val="left"/>
      <w:pPr>
        <w:ind w:left="1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674004"/>
    <w:multiLevelType w:val="hybridMultilevel"/>
    <w:tmpl w:val="308CCA64"/>
    <w:lvl w:ilvl="0" w:tplc="F3AE0E46">
      <w:start w:val="4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CC60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6433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2629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BA63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4457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602E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4AA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EE00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EDB6B42"/>
    <w:multiLevelType w:val="hybridMultilevel"/>
    <w:tmpl w:val="2460C0B0"/>
    <w:lvl w:ilvl="0" w:tplc="C598FB08">
      <w:start w:val="49"/>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01E64">
      <w:start w:val="1"/>
      <w:numFmt w:val="lowerLetter"/>
      <w:lvlText w:val="%2"/>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16643C">
      <w:start w:val="1"/>
      <w:numFmt w:val="lowerRoman"/>
      <w:lvlText w:val="%3"/>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AF404">
      <w:start w:val="1"/>
      <w:numFmt w:val="decimal"/>
      <w:lvlText w:val="%4"/>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70F31A">
      <w:start w:val="1"/>
      <w:numFmt w:val="lowerLetter"/>
      <w:lvlText w:val="%5"/>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A9084">
      <w:start w:val="1"/>
      <w:numFmt w:val="lowerRoman"/>
      <w:lvlText w:val="%6"/>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C8F7DC">
      <w:start w:val="1"/>
      <w:numFmt w:val="decimal"/>
      <w:lvlText w:val="%7"/>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E7CBC">
      <w:start w:val="1"/>
      <w:numFmt w:val="lowerLetter"/>
      <w:lvlText w:val="%8"/>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2CB1D0">
      <w:start w:val="1"/>
      <w:numFmt w:val="lowerRoman"/>
      <w:lvlText w:val="%9"/>
      <w:lvlJc w:val="left"/>
      <w:pPr>
        <w:ind w:left="6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29292533">
    <w:abstractNumId w:val="23"/>
  </w:num>
  <w:num w:numId="2" w16cid:durableId="278685373">
    <w:abstractNumId w:val="19"/>
  </w:num>
  <w:num w:numId="3" w16cid:durableId="2123498488">
    <w:abstractNumId w:val="30"/>
  </w:num>
  <w:num w:numId="4" w16cid:durableId="1607929399">
    <w:abstractNumId w:val="12"/>
  </w:num>
  <w:num w:numId="5" w16cid:durableId="1131090032">
    <w:abstractNumId w:val="6"/>
  </w:num>
  <w:num w:numId="6" w16cid:durableId="521556862">
    <w:abstractNumId w:val="20"/>
  </w:num>
  <w:num w:numId="7" w16cid:durableId="76218754">
    <w:abstractNumId w:val="5"/>
  </w:num>
  <w:num w:numId="8" w16cid:durableId="721250023">
    <w:abstractNumId w:val="29"/>
  </w:num>
  <w:num w:numId="9" w16cid:durableId="1466386922">
    <w:abstractNumId w:val="14"/>
  </w:num>
  <w:num w:numId="10" w16cid:durableId="1804806885">
    <w:abstractNumId w:val="17"/>
  </w:num>
  <w:num w:numId="11" w16cid:durableId="632910192">
    <w:abstractNumId w:val="24"/>
  </w:num>
  <w:num w:numId="12" w16cid:durableId="717320917">
    <w:abstractNumId w:val="18"/>
  </w:num>
  <w:num w:numId="13" w16cid:durableId="1523282623">
    <w:abstractNumId w:val="31"/>
  </w:num>
  <w:num w:numId="14" w16cid:durableId="1504203278">
    <w:abstractNumId w:val="11"/>
  </w:num>
  <w:num w:numId="15" w16cid:durableId="1369649357">
    <w:abstractNumId w:val="32"/>
  </w:num>
  <w:num w:numId="16" w16cid:durableId="1291588496">
    <w:abstractNumId w:val="4"/>
  </w:num>
  <w:num w:numId="17" w16cid:durableId="1554386573">
    <w:abstractNumId w:val="28"/>
  </w:num>
  <w:num w:numId="18" w16cid:durableId="158663672">
    <w:abstractNumId w:val="15"/>
  </w:num>
  <w:num w:numId="19" w16cid:durableId="1929657587">
    <w:abstractNumId w:val="9"/>
  </w:num>
  <w:num w:numId="20" w16cid:durableId="1718777746">
    <w:abstractNumId w:val="3"/>
  </w:num>
  <w:num w:numId="21" w16cid:durableId="298534155">
    <w:abstractNumId w:val="2"/>
  </w:num>
  <w:num w:numId="22" w16cid:durableId="43910736">
    <w:abstractNumId w:val="27"/>
  </w:num>
  <w:num w:numId="23" w16cid:durableId="8266416">
    <w:abstractNumId w:val="7"/>
  </w:num>
  <w:num w:numId="24" w16cid:durableId="1620526092">
    <w:abstractNumId w:val="21"/>
  </w:num>
  <w:num w:numId="25" w16cid:durableId="1968050183">
    <w:abstractNumId w:val="22"/>
  </w:num>
  <w:num w:numId="26" w16cid:durableId="1625499724">
    <w:abstractNumId w:val="26"/>
  </w:num>
  <w:num w:numId="27" w16cid:durableId="1846822968">
    <w:abstractNumId w:val="10"/>
  </w:num>
  <w:num w:numId="28" w16cid:durableId="1117287995">
    <w:abstractNumId w:val="13"/>
  </w:num>
  <w:num w:numId="29" w16cid:durableId="873348045">
    <w:abstractNumId w:val="1"/>
  </w:num>
  <w:num w:numId="30" w16cid:durableId="1930576297">
    <w:abstractNumId w:val="16"/>
  </w:num>
  <w:num w:numId="31" w16cid:durableId="313873747">
    <w:abstractNumId w:val="8"/>
  </w:num>
  <w:num w:numId="32" w16cid:durableId="65419536">
    <w:abstractNumId w:val="0"/>
  </w:num>
  <w:num w:numId="33" w16cid:durableId="19981481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fr-CH" w:vendorID="64" w:dllVersion="4096"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5B"/>
    <w:rsid w:val="00000A96"/>
    <w:rsid w:val="000077A3"/>
    <w:rsid w:val="000175D5"/>
    <w:rsid w:val="00021666"/>
    <w:rsid w:val="00023E59"/>
    <w:rsid w:val="00030613"/>
    <w:rsid w:val="000309B5"/>
    <w:rsid w:val="0003221A"/>
    <w:rsid w:val="00035F6A"/>
    <w:rsid w:val="000366F3"/>
    <w:rsid w:val="00036D6A"/>
    <w:rsid w:val="000372C6"/>
    <w:rsid w:val="0003781D"/>
    <w:rsid w:val="00037CF2"/>
    <w:rsid w:val="00041D10"/>
    <w:rsid w:val="00046A56"/>
    <w:rsid w:val="00057C5D"/>
    <w:rsid w:val="000609FF"/>
    <w:rsid w:val="0006161F"/>
    <w:rsid w:val="0006269A"/>
    <w:rsid w:val="00064643"/>
    <w:rsid w:val="00065EA0"/>
    <w:rsid w:val="000802D3"/>
    <w:rsid w:val="00081CEC"/>
    <w:rsid w:val="00082283"/>
    <w:rsid w:val="0008257C"/>
    <w:rsid w:val="000851D4"/>
    <w:rsid w:val="00085F48"/>
    <w:rsid w:val="000944AF"/>
    <w:rsid w:val="00097EE0"/>
    <w:rsid w:val="000A2482"/>
    <w:rsid w:val="000A6DF7"/>
    <w:rsid w:val="000B023C"/>
    <w:rsid w:val="000B33A7"/>
    <w:rsid w:val="000B55BD"/>
    <w:rsid w:val="000B7AA2"/>
    <w:rsid w:val="000C0ABE"/>
    <w:rsid w:val="000C1ED3"/>
    <w:rsid w:val="000C24B0"/>
    <w:rsid w:val="000C3FF9"/>
    <w:rsid w:val="000D198F"/>
    <w:rsid w:val="000D4AE4"/>
    <w:rsid w:val="000D677E"/>
    <w:rsid w:val="000D7BFA"/>
    <w:rsid w:val="000E02AD"/>
    <w:rsid w:val="000E1C73"/>
    <w:rsid w:val="000F075B"/>
    <w:rsid w:val="000F1CA8"/>
    <w:rsid w:val="000F243A"/>
    <w:rsid w:val="000F68D1"/>
    <w:rsid w:val="0010023E"/>
    <w:rsid w:val="0010208B"/>
    <w:rsid w:val="001039C3"/>
    <w:rsid w:val="00107F96"/>
    <w:rsid w:val="00110EEB"/>
    <w:rsid w:val="001117CF"/>
    <w:rsid w:val="00113A5C"/>
    <w:rsid w:val="0011742F"/>
    <w:rsid w:val="001209DA"/>
    <w:rsid w:val="00121617"/>
    <w:rsid w:val="00124E5E"/>
    <w:rsid w:val="001259E0"/>
    <w:rsid w:val="00130FF4"/>
    <w:rsid w:val="00131178"/>
    <w:rsid w:val="00142481"/>
    <w:rsid w:val="00166518"/>
    <w:rsid w:val="001675A0"/>
    <w:rsid w:val="001710B7"/>
    <w:rsid w:val="00171E4F"/>
    <w:rsid w:val="001726DC"/>
    <w:rsid w:val="001739AC"/>
    <w:rsid w:val="001830F0"/>
    <w:rsid w:val="001851FF"/>
    <w:rsid w:val="00185413"/>
    <w:rsid w:val="00185E71"/>
    <w:rsid w:val="00186602"/>
    <w:rsid w:val="001901FA"/>
    <w:rsid w:val="00190338"/>
    <w:rsid w:val="001936DD"/>
    <w:rsid w:val="001958C8"/>
    <w:rsid w:val="001A67B8"/>
    <w:rsid w:val="001A6EF6"/>
    <w:rsid w:val="001B0DEA"/>
    <w:rsid w:val="001B182E"/>
    <w:rsid w:val="001B5C16"/>
    <w:rsid w:val="001C6B99"/>
    <w:rsid w:val="001C7BFD"/>
    <w:rsid w:val="001D1F6A"/>
    <w:rsid w:val="001D3C7A"/>
    <w:rsid w:val="001D673E"/>
    <w:rsid w:val="001D7662"/>
    <w:rsid w:val="001E7C02"/>
    <w:rsid w:val="001F6662"/>
    <w:rsid w:val="001F695A"/>
    <w:rsid w:val="002034FB"/>
    <w:rsid w:val="00204051"/>
    <w:rsid w:val="00212E3D"/>
    <w:rsid w:val="00214744"/>
    <w:rsid w:val="00224152"/>
    <w:rsid w:val="002306FC"/>
    <w:rsid w:val="00231B12"/>
    <w:rsid w:val="00240964"/>
    <w:rsid w:val="002421F5"/>
    <w:rsid w:val="00242814"/>
    <w:rsid w:val="00244152"/>
    <w:rsid w:val="00245610"/>
    <w:rsid w:val="00247E35"/>
    <w:rsid w:val="00251C89"/>
    <w:rsid w:val="002526C5"/>
    <w:rsid w:val="00254E4A"/>
    <w:rsid w:val="002611F2"/>
    <w:rsid w:val="00264A24"/>
    <w:rsid w:val="00265435"/>
    <w:rsid w:val="0027649E"/>
    <w:rsid w:val="0028251D"/>
    <w:rsid w:val="0028606F"/>
    <w:rsid w:val="0028719A"/>
    <w:rsid w:val="002925B9"/>
    <w:rsid w:val="0029335F"/>
    <w:rsid w:val="00296B57"/>
    <w:rsid w:val="002A7600"/>
    <w:rsid w:val="002A76F9"/>
    <w:rsid w:val="002B1385"/>
    <w:rsid w:val="002B1DE8"/>
    <w:rsid w:val="002E4D61"/>
    <w:rsid w:val="002F0DBB"/>
    <w:rsid w:val="002F2BE2"/>
    <w:rsid w:val="002F432F"/>
    <w:rsid w:val="002F4B80"/>
    <w:rsid w:val="00301A0A"/>
    <w:rsid w:val="003031E5"/>
    <w:rsid w:val="003034BD"/>
    <w:rsid w:val="003050E4"/>
    <w:rsid w:val="00305758"/>
    <w:rsid w:val="003116DD"/>
    <w:rsid w:val="00314C9D"/>
    <w:rsid w:val="00315755"/>
    <w:rsid w:val="003159DC"/>
    <w:rsid w:val="00316A50"/>
    <w:rsid w:val="003200C9"/>
    <w:rsid w:val="00323AF0"/>
    <w:rsid w:val="003271E2"/>
    <w:rsid w:val="00331129"/>
    <w:rsid w:val="00341E59"/>
    <w:rsid w:val="00350409"/>
    <w:rsid w:val="003545B0"/>
    <w:rsid w:val="00356BC5"/>
    <w:rsid w:val="00361584"/>
    <w:rsid w:val="003621AE"/>
    <w:rsid w:val="00372262"/>
    <w:rsid w:val="00377434"/>
    <w:rsid w:val="00380620"/>
    <w:rsid w:val="00383B3C"/>
    <w:rsid w:val="00383D39"/>
    <w:rsid w:val="00385E95"/>
    <w:rsid w:val="003945C2"/>
    <w:rsid w:val="003949D4"/>
    <w:rsid w:val="00395748"/>
    <w:rsid w:val="00395B19"/>
    <w:rsid w:val="003B18E4"/>
    <w:rsid w:val="003B71EC"/>
    <w:rsid w:val="003C5ED5"/>
    <w:rsid w:val="003C68C6"/>
    <w:rsid w:val="003D04E7"/>
    <w:rsid w:val="003D1ADF"/>
    <w:rsid w:val="003D4127"/>
    <w:rsid w:val="003D6209"/>
    <w:rsid w:val="003D6C6E"/>
    <w:rsid w:val="003E15B7"/>
    <w:rsid w:val="003E23F4"/>
    <w:rsid w:val="003E29D4"/>
    <w:rsid w:val="003E32F9"/>
    <w:rsid w:val="003E5A58"/>
    <w:rsid w:val="003E6E9F"/>
    <w:rsid w:val="003F2EEF"/>
    <w:rsid w:val="003F37C9"/>
    <w:rsid w:val="0040005F"/>
    <w:rsid w:val="0040096A"/>
    <w:rsid w:val="00403FF7"/>
    <w:rsid w:val="004103E0"/>
    <w:rsid w:val="00422777"/>
    <w:rsid w:val="004236E0"/>
    <w:rsid w:val="004312AF"/>
    <w:rsid w:val="00434FBE"/>
    <w:rsid w:val="00435AED"/>
    <w:rsid w:val="00435B30"/>
    <w:rsid w:val="004372E8"/>
    <w:rsid w:val="0043785A"/>
    <w:rsid w:val="00441C59"/>
    <w:rsid w:val="00441D4D"/>
    <w:rsid w:val="00455865"/>
    <w:rsid w:val="00456810"/>
    <w:rsid w:val="00456D48"/>
    <w:rsid w:val="00465102"/>
    <w:rsid w:val="00474573"/>
    <w:rsid w:val="00483112"/>
    <w:rsid w:val="00484E97"/>
    <w:rsid w:val="004850A2"/>
    <w:rsid w:val="00485D5F"/>
    <w:rsid w:val="00490007"/>
    <w:rsid w:val="004906F7"/>
    <w:rsid w:val="00490817"/>
    <w:rsid w:val="00492591"/>
    <w:rsid w:val="0049477C"/>
    <w:rsid w:val="00494D83"/>
    <w:rsid w:val="004956BE"/>
    <w:rsid w:val="004A491E"/>
    <w:rsid w:val="004B346A"/>
    <w:rsid w:val="004B5094"/>
    <w:rsid w:val="004B78DB"/>
    <w:rsid w:val="004C2EBE"/>
    <w:rsid w:val="004D0E30"/>
    <w:rsid w:val="004D153C"/>
    <w:rsid w:val="004D1EE0"/>
    <w:rsid w:val="004D26A8"/>
    <w:rsid w:val="004D6C2F"/>
    <w:rsid w:val="004E21D8"/>
    <w:rsid w:val="004E25BC"/>
    <w:rsid w:val="004E2861"/>
    <w:rsid w:val="004E340D"/>
    <w:rsid w:val="004E3B19"/>
    <w:rsid w:val="004E4568"/>
    <w:rsid w:val="004E7270"/>
    <w:rsid w:val="005000D0"/>
    <w:rsid w:val="00502F1C"/>
    <w:rsid w:val="00503346"/>
    <w:rsid w:val="00504269"/>
    <w:rsid w:val="00505766"/>
    <w:rsid w:val="00511944"/>
    <w:rsid w:val="005217D8"/>
    <w:rsid w:val="005256FE"/>
    <w:rsid w:val="00530587"/>
    <w:rsid w:val="005307A8"/>
    <w:rsid w:val="00531F44"/>
    <w:rsid w:val="00534496"/>
    <w:rsid w:val="00542022"/>
    <w:rsid w:val="005447AC"/>
    <w:rsid w:val="00544BEC"/>
    <w:rsid w:val="00547860"/>
    <w:rsid w:val="00550386"/>
    <w:rsid w:val="005518B5"/>
    <w:rsid w:val="00554C54"/>
    <w:rsid w:val="00557C0C"/>
    <w:rsid w:val="00561541"/>
    <w:rsid w:val="00561ABE"/>
    <w:rsid w:val="00561CC3"/>
    <w:rsid w:val="005678D5"/>
    <w:rsid w:val="00574D8D"/>
    <w:rsid w:val="00584C15"/>
    <w:rsid w:val="00585451"/>
    <w:rsid w:val="0059769C"/>
    <w:rsid w:val="005A149F"/>
    <w:rsid w:val="005A1A01"/>
    <w:rsid w:val="005A20DC"/>
    <w:rsid w:val="005A6E54"/>
    <w:rsid w:val="005C1392"/>
    <w:rsid w:val="005C2B55"/>
    <w:rsid w:val="005C608D"/>
    <w:rsid w:val="005D4F87"/>
    <w:rsid w:val="005D6390"/>
    <w:rsid w:val="005D7D6D"/>
    <w:rsid w:val="005E6C5F"/>
    <w:rsid w:val="005F1C4B"/>
    <w:rsid w:val="005F2BD2"/>
    <w:rsid w:val="005F3A57"/>
    <w:rsid w:val="006001B5"/>
    <w:rsid w:val="006065F8"/>
    <w:rsid w:val="006123DD"/>
    <w:rsid w:val="00615687"/>
    <w:rsid w:val="00621BA7"/>
    <w:rsid w:val="0062256C"/>
    <w:rsid w:val="00623835"/>
    <w:rsid w:val="006242AB"/>
    <w:rsid w:val="006246B1"/>
    <w:rsid w:val="00626020"/>
    <w:rsid w:val="0062730A"/>
    <w:rsid w:val="00631F02"/>
    <w:rsid w:val="00633577"/>
    <w:rsid w:val="0063494C"/>
    <w:rsid w:val="00634B31"/>
    <w:rsid w:val="00635B2A"/>
    <w:rsid w:val="00637B08"/>
    <w:rsid w:val="00637B13"/>
    <w:rsid w:val="00644C65"/>
    <w:rsid w:val="00656D69"/>
    <w:rsid w:val="00667E88"/>
    <w:rsid w:val="0067578A"/>
    <w:rsid w:val="00675FD5"/>
    <w:rsid w:val="00676199"/>
    <w:rsid w:val="006842EA"/>
    <w:rsid w:val="006845F7"/>
    <w:rsid w:val="006944EF"/>
    <w:rsid w:val="00695C0F"/>
    <w:rsid w:val="00695F5D"/>
    <w:rsid w:val="006A0335"/>
    <w:rsid w:val="006A5101"/>
    <w:rsid w:val="006B0E94"/>
    <w:rsid w:val="006B3357"/>
    <w:rsid w:val="006B378B"/>
    <w:rsid w:val="006C57C0"/>
    <w:rsid w:val="006D238C"/>
    <w:rsid w:val="006E29B0"/>
    <w:rsid w:val="006E3436"/>
    <w:rsid w:val="006E5961"/>
    <w:rsid w:val="006E6C68"/>
    <w:rsid w:val="006E7F12"/>
    <w:rsid w:val="006F61D8"/>
    <w:rsid w:val="006F632D"/>
    <w:rsid w:val="00701DE5"/>
    <w:rsid w:val="0070269A"/>
    <w:rsid w:val="0070328D"/>
    <w:rsid w:val="00704DB2"/>
    <w:rsid w:val="00706319"/>
    <w:rsid w:val="00706463"/>
    <w:rsid w:val="00716ACB"/>
    <w:rsid w:val="007273A2"/>
    <w:rsid w:val="00737474"/>
    <w:rsid w:val="00742A98"/>
    <w:rsid w:val="00746B92"/>
    <w:rsid w:val="00777808"/>
    <w:rsid w:val="00777BDF"/>
    <w:rsid w:val="00777ECA"/>
    <w:rsid w:val="00781204"/>
    <w:rsid w:val="00787699"/>
    <w:rsid w:val="00790C51"/>
    <w:rsid w:val="00790D43"/>
    <w:rsid w:val="007913B1"/>
    <w:rsid w:val="00791A75"/>
    <w:rsid w:val="0079292C"/>
    <w:rsid w:val="00796205"/>
    <w:rsid w:val="007A323A"/>
    <w:rsid w:val="007A7060"/>
    <w:rsid w:val="007A7FC1"/>
    <w:rsid w:val="007B5A1D"/>
    <w:rsid w:val="007B6B33"/>
    <w:rsid w:val="007C47AD"/>
    <w:rsid w:val="007C609B"/>
    <w:rsid w:val="007C61FA"/>
    <w:rsid w:val="007C772A"/>
    <w:rsid w:val="007D063F"/>
    <w:rsid w:val="007D1886"/>
    <w:rsid w:val="007D3CE1"/>
    <w:rsid w:val="007D4197"/>
    <w:rsid w:val="007D7500"/>
    <w:rsid w:val="007E03BA"/>
    <w:rsid w:val="007E0EFA"/>
    <w:rsid w:val="007E1306"/>
    <w:rsid w:val="007E355B"/>
    <w:rsid w:val="007E599A"/>
    <w:rsid w:val="007F1480"/>
    <w:rsid w:val="007F3E6C"/>
    <w:rsid w:val="007F484B"/>
    <w:rsid w:val="008045C0"/>
    <w:rsid w:val="00807022"/>
    <w:rsid w:val="00810DAD"/>
    <w:rsid w:val="00816199"/>
    <w:rsid w:val="00817307"/>
    <w:rsid w:val="008220FF"/>
    <w:rsid w:val="008228F8"/>
    <w:rsid w:val="00822964"/>
    <w:rsid w:val="0082379F"/>
    <w:rsid w:val="00824065"/>
    <w:rsid w:val="00824C62"/>
    <w:rsid w:val="0083016A"/>
    <w:rsid w:val="008346D9"/>
    <w:rsid w:val="00836B06"/>
    <w:rsid w:val="00844D67"/>
    <w:rsid w:val="0085480A"/>
    <w:rsid w:val="00855D1A"/>
    <w:rsid w:val="00871F83"/>
    <w:rsid w:val="00872DE8"/>
    <w:rsid w:val="00873179"/>
    <w:rsid w:val="00875232"/>
    <w:rsid w:val="0088220B"/>
    <w:rsid w:val="00883D0D"/>
    <w:rsid w:val="00891518"/>
    <w:rsid w:val="008918A1"/>
    <w:rsid w:val="00892B14"/>
    <w:rsid w:val="00894CBD"/>
    <w:rsid w:val="00896C95"/>
    <w:rsid w:val="008A4BAD"/>
    <w:rsid w:val="008B0AFC"/>
    <w:rsid w:val="008B0F86"/>
    <w:rsid w:val="008C16C7"/>
    <w:rsid w:val="008C250F"/>
    <w:rsid w:val="008C2968"/>
    <w:rsid w:val="008C4D3A"/>
    <w:rsid w:val="008C7247"/>
    <w:rsid w:val="008D050E"/>
    <w:rsid w:val="008D48EF"/>
    <w:rsid w:val="008D6351"/>
    <w:rsid w:val="008E2102"/>
    <w:rsid w:val="008E359E"/>
    <w:rsid w:val="008E3D17"/>
    <w:rsid w:val="008E5017"/>
    <w:rsid w:val="008F378D"/>
    <w:rsid w:val="008F51F7"/>
    <w:rsid w:val="008F71A9"/>
    <w:rsid w:val="00900936"/>
    <w:rsid w:val="00904F23"/>
    <w:rsid w:val="00906265"/>
    <w:rsid w:val="00907EDC"/>
    <w:rsid w:val="00910053"/>
    <w:rsid w:val="00916C26"/>
    <w:rsid w:val="00920876"/>
    <w:rsid w:val="009209E5"/>
    <w:rsid w:val="009304AB"/>
    <w:rsid w:val="009328BB"/>
    <w:rsid w:val="00933DE6"/>
    <w:rsid w:val="00940AF8"/>
    <w:rsid w:val="0094423F"/>
    <w:rsid w:val="009461AC"/>
    <w:rsid w:val="0095071B"/>
    <w:rsid w:val="009575A2"/>
    <w:rsid w:val="009610F6"/>
    <w:rsid w:val="00962F96"/>
    <w:rsid w:val="009652D8"/>
    <w:rsid w:val="00971360"/>
    <w:rsid w:val="0097384D"/>
    <w:rsid w:val="00974D78"/>
    <w:rsid w:val="00980E0F"/>
    <w:rsid w:val="009827D7"/>
    <w:rsid w:val="0098295D"/>
    <w:rsid w:val="0098490E"/>
    <w:rsid w:val="0098602B"/>
    <w:rsid w:val="009860E2"/>
    <w:rsid w:val="00991081"/>
    <w:rsid w:val="009945E9"/>
    <w:rsid w:val="009949F7"/>
    <w:rsid w:val="0099686D"/>
    <w:rsid w:val="009C0DDD"/>
    <w:rsid w:val="009C4356"/>
    <w:rsid w:val="009D0A40"/>
    <w:rsid w:val="009D6CB5"/>
    <w:rsid w:val="009E005A"/>
    <w:rsid w:val="009E1AF1"/>
    <w:rsid w:val="009E46AD"/>
    <w:rsid w:val="009E506A"/>
    <w:rsid w:val="009F4AB0"/>
    <w:rsid w:val="00A02D9E"/>
    <w:rsid w:val="00A1014E"/>
    <w:rsid w:val="00A14975"/>
    <w:rsid w:val="00A14ED1"/>
    <w:rsid w:val="00A3385D"/>
    <w:rsid w:val="00A35EEE"/>
    <w:rsid w:val="00A36DC9"/>
    <w:rsid w:val="00A40D56"/>
    <w:rsid w:val="00A43D8F"/>
    <w:rsid w:val="00A46C84"/>
    <w:rsid w:val="00A50223"/>
    <w:rsid w:val="00A600CB"/>
    <w:rsid w:val="00A61270"/>
    <w:rsid w:val="00A6250B"/>
    <w:rsid w:val="00A66FB2"/>
    <w:rsid w:val="00A67990"/>
    <w:rsid w:val="00A67DC0"/>
    <w:rsid w:val="00A941C8"/>
    <w:rsid w:val="00AA0D0C"/>
    <w:rsid w:val="00AA1ED7"/>
    <w:rsid w:val="00AA2DEB"/>
    <w:rsid w:val="00AA2E37"/>
    <w:rsid w:val="00AA5E58"/>
    <w:rsid w:val="00AA6DB4"/>
    <w:rsid w:val="00AA78CE"/>
    <w:rsid w:val="00AC0A7D"/>
    <w:rsid w:val="00AC3CC9"/>
    <w:rsid w:val="00AC6BDC"/>
    <w:rsid w:val="00AD3A29"/>
    <w:rsid w:val="00AE018A"/>
    <w:rsid w:val="00AE0F41"/>
    <w:rsid w:val="00AE2B64"/>
    <w:rsid w:val="00AE2F84"/>
    <w:rsid w:val="00AE3767"/>
    <w:rsid w:val="00AE4C2D"/>
    <w:rsid w:val="00AF4B6F"/>
    <w:rsid w:val="00AF587D"/>
    <w:rsid w:val="00B01E7A"/>
    <w:rsid w:val="00B02106"/>
    <w:rsid w:val="00B04024"/>
    <w:rsid w:val="00B129EA"/>
    <w:rsid w:val="00B12F2E"/>
    <w:rsid w:val="00B143E7"/>
    <w:rsid w:val="00B14BB3"/>
    <w:rsid w:val="00B1596E"/>
    <w:rsid w:val="00B22A89"/>
    <w:rsid w:val="00B27F82"/>
    <w:rsid w:val="00B30B74"/>
    <w:rsid w:val="00B3233C"/>
    <w:rsid w:val="00B34D22"/>
    <w:rsid w:val="00B36C10"/>
    <w:rsid w:val="00B40017"/>
    <w:rsid w:val="00B4322D"/>
    <w:rsid w:val="00B47CEC"/>
    <w:rsid w:val="00B50A7E"/>
    <w:rsid w:val="00B53262"/>
    <w:rsid w:val="00B5636C"/>
    <w:rsid w:val="00B56740"/>
    <w:rsid w:val="00B56BCC"/>
    <w:rsid w:val="00B57702"/>
    <w:rsid w:val="00B6405A"/>
    <w:rsid w:val="00B6512C"/>
    <w:rsid w:val="00B708CD"/>
    <w:rsid w:val="00B75F21"/>
    <w:rsid w:val="00B76B44"/>
    <w:rsid w:val="00B83840"/>
    <w:rsid w:val="00B84A93"/>
    <w:rsid w:val="00B84C7F"/>
    <w:rsid w:val="00B915AB"/>
    <w:rsid w:val="00B92DDF"/>
    <w:rsid w:val="00B933E3"/>
    <w:rsid w:val="00B94F36"/>
    <w:rsid w:val="00BA30C3"/>
    <w:rsid w:val="00BA4775"/>
    <w:rsid w:val="00BA7DBC"/>
    <w:rsid w:val="00BB58AB"/>
    <w:rsid w:val="00BB6E25"/>
    <w:rsid w:val="00BB78D2"/>
    <w:rsid w:val="00BC44CE"/>
    <w:rsid w:val="00BC6C9C"/>
    <w:rsid w:val="00BC6E81"/>
    <w:rsid w:val="00BC7A88"/>
    <w:rsid w:val="00BD11BE"/>
    <w:rsid w:val="00BE030C"/>
    <w:rsid w:val="00BE47C5"/>
    <w:rsid w:val="00BE4CCA"/>
    <w:rsid w:val="00BE54F5"/>
    <w:rsid w:val="00BF403D"/>
    <w:rsid w:val="00C02D58"/>
    <w:rsid w:val="00C16D12"/>
    <w:rsid w:val="00C17C27"/>
    <w:rsid w:val="00C228A1"/>
    <w:rsid w:val="00C22A67"/>
    <w:rsid w:val="00C24F47"/>
    <w:rsid w:val="00C24F91"/>
    <w:rsid w:val="00C3205B"/>
    <w:rsid w:val="00C35D52"/>
    <w:rsid w:val="00C36096"/>
    <w:rsid w:val="00C4188B"/>
    <w:rsid w:val="00C43C8E"/>
    <w:rsid w:val="00C45BF8"/>
    <w:rsid w:val="00C476D2"/>
    <w:rsid w:val="00C47908"/>
    <w:rsid w:val="00C52F0F"/>
    <w:rsid w:val="00C613E1"/>
    <w:rsid w:val="00C729FF"/>
    <w:rsid w:val="00C73C59"/>
    <w:rsid w:val="00C748F5"/>
    <w:rsid w:val="00C755A8"/>
    <w:rsid w:val="00C7673B"/>
    <w:rsid w:val="00C76D45"/>
    <w:rsid w:val="00C77CAA"/>
    <w:rsid w:val="00C82234"/>
    <w:rsid w:val="00C83F68"/>
    <w:rsid w:val="00C84614"/>
    <w:rsid w:val="00C84698"/>
    <w:rsid w:val="00C87529"/>
    <w:rsid w:val="00C947AF"/>
    <w:rsid w:val="00CA16D9"/>
    <w:rsid w:val="00CA2291"/>
    <w:rsid w:val="00CA39A9"/>
    <w:rsid w:val="00CB4540"/>
    <w:rsid w:val="00CB6166"/>
    <w:rsid w:val="00CC1B7D"/>
    <w:rsid w:val="00CC5530"/>
    <w:rsid w:val="00CC659B"/>
    <w:rsid w:val="00CD3B90"/>
    <w:rsid w:val="00CD4E1A"/>
    <w:rsid w:val="00CE7161"/>
    <w:rsid w:val="00CF0D4B"/>
    <w:rsid w:val="00D01AAA"/>
    <w:rsid w:val="00D01B1A"/>
    <w:rsid w:val="00D0219F"/>
    <w:rsid w:val="00D06C44"/>
    <w:rsid w:val="00D12542"/>
    <w:rsid w:val="00D15769"/>
    <w:rsid w:val="00D17B91"/>
    <w:rsid w:val="00D2479E"/>
    <w:rsid w:val="00D261E6"/>
    <w:rsid w:val="00D33279"/>
    <w:rsid w:val="00D3384A"/>
    <w:rsid w:val="00D407D2"/>
    <w:rsid w:val="00D411F2"/>
    <w:rsid w:val="00D4391F"/>
    <w:rsid w:val="00D45135"/>
    <w:rsid w:val="00D47068"/>
    <w:rsid w:val="00D47C47"/>
    <w:rsid w:val="00D52C91"/>
    <w:rsid w:val="00D616DF"/>
    <w:rsid w:val="00D65B04"/>
    <w:rsid w:val="00D66F25"/>
    <w:rsid w:val="00D675F5"/>
    <w:rsid w:val="00D67736"/>
    <w:rsid w:val="00D738A2"/>
    <w:rsid w:val="00D741D0"/>
    <w:rsid w:val="00D75818"/>
    <w:rsid w:val="00D825E9"/>
    <w:rsid w:val="00D83A77"/>
    <w:rsid w:val="00D84D11"/>
    <w:rsid w:val="00D874C9"/>
    <w:rsid w:val="00D87BA0"/>
    <w:rsid w:val="00D91C15"/>
    <w:rsid w:val="00D9205C"/>
    <w:rsid w:val="00D92D15"/>
    <w:rsid w:val="00DA7F4A"/>
    <w:rsid w:val="00DB5A8E"/>
    <w:rsid w:val="00DB6299"/>
    <w:rsid w:val="00DC7756"/>
    <w:rsid w:val="00DD32C8"/>
    <w:rsid w:val="00DE4648"/>
    <w:rsid w:val="00DF073B"/>
    <w:rsid w:val="00DF4048"/>
    <w:rsid w:val="00DF6725"/>
    <w:rsid w:val="00E01CAF"/>
    <w:rsid w:val="00E03655"/>
    <w:rsid w:val="00E03FD7"/>
    <w:rsid w:val="00E04969"/>
    <w:rsid w:val="00E074A2"/>
    <w:rsid w:val="00E131BB"/>
    <w:rsid w:val="00E13F99"/>
    <w:rsid w:val="00E15AEC"/>
    <w:rsid w:val="00E21736"/>
    <w:rsid w:val="00E262D6"/>
    <w:rsid w:val="00E300EB"/>
    <w:rsid w:val="00E32C86"/>
    <w:rsid w:val="00E32CA8"/>
    <w:rsid w:val="00E32D85"/>
    <w:rsid w:val="00E34D65"/>
    <w:rsid w:val="00E3507A"/>
    <w:rsid w:val="00E36620"/>
    <w:rsid w:val="00E37F0D"/>
    <w:rsid w:val="00E41734"/>
    <w:rsid w:val="00E45DEA"/>
    <w:rsid w:val="00E477CA"/>
    <w:rsid w:val="00E55BDF"/>
    <w:rsid w:val="00E607E0"/>
    <w:rsid w:val="00E65BD0"/>
    <w:rsid w:val="00E719D1"/>
    <w:rsid w:val="00E71D83"/>
    <w:rsid w:val="00E72085"/>
    <w:rsid w:val="00E769E4"/>
    <w:rsid w:val="00E85D6C"/>
    <w:rsid w:val="00E952C9"/>
    <w:rsid w:val="00E95FBD"/>
    <w:rsid w:val="00EA35A7"/>
    <w:rsid w:val="00EA41C9"/>
    <w:rsid w:val="00EA5C16"/>
    <w:rsid w:val="00EA6290"/>
    <w:rsid w:val="00EA7152"/>
    <w:rsid w:val="00EB0001"/>
    <w:rsid w:val="00EB1764"/>
    <w:rsid w:val="00EB1AE1"/>
    <w:rsid w:val="00EB2860"/>
    <w:rsid w:val="00EB48FB"/>
    <w:rsid w:val="00EB5F31"/>
    <w:rsid w:val="00EB5FDB"/>
    <w:rsid w:val="00EC083B"/>
    <w:rsid w:val="00EC0FA4"/>
    <w:rsid w:val="00EC19BC"/>
    <w:rsid w:val="00EC4835"/>
    <w:rsid w:val="00EC5E09"/>
    <w:rsid w:val="00ED180D"/>
    <w:rsid w:val="00ED76CF"/>
    <w:rsid w:val="00EE1A7B"/>
    <w:rsid w:val="00EF23ED"/>
    <w:rsid w:val="00F0272B"/>
    <w:rsid w:val="00F13E1E"/>
    <w:rsid w:val="00F17516"/>
    <w:rsid w:val="00F20B58"/>
    <w:rsid w:val="00F25597"/>
    <w:rsid w:val="00F2582C"/>
    <w:rsid w:val="00F32574"/>
    <w:rsid w:val="00F32FA8"/>
    <w:rsid w:val="00F36AC5"/>
    <w:rsid w:val="00F37A3F"/>
    <w:rsid w:val="00F37CC4"/>
    <w:rsid w:val="00F40FEF"/>
    <w:rsid w:val="00F41787"/>
    <w:rsid w:val="00F44A45"/>
    <w:rsid w:val="00F5263E"/>
    <w:rsid w:val="00F6212B"/>
    <w:rsid w:val="00F66C09"/>
    <w:rsid w:val="00F66FC0"/>
    <w:rsid w:val="00F751FA"/>
    <w:rsid w:val="00F807F3"/>
    <w:rsid w:val="00F8092A"/>
    <w:rsid w:val="00F82886"/>
    <w:rsid w:val="00F82B34"/>
    <w:rsid w:val="00F84CA5"/>
    <w:rsid w:val="00F91763"/>
    <w:rsid w:val="00F92E12"/>
    <w:rsid w:val="00F94289"/>
    <w:rsid w:val="00F9791B"/>
    <w:rsid w:val="00FA0CF4"/>
    <w:rsid w:val="00FA1329"/>
    <w:rsid w:val="00FA2F70"/>
    <w:rsid w:val="00FA456C"/>
    <w:rsid w:val="00FA6D76"/>
    <w:rsid w:val="00FA7546"/>
    <w:rsid w:val="00FB2619"/>
    <w:rsid w:val="00FB5E64"/>
    <w:rsid w:val="00FB5FA8"/>
    <w:rsid w:val="00FB6928"/>
    <w:rsid w:val="00FC36F8"/>
    <w:rsid w:val="00FD56FC"/>
    <w:rsid w:val="00FD63FB"/>
    <w:rsid w:val="00FE57CF"/>
    <w:rsid w:val="00FF11AA"/>
    <w:rsid w:val="00FF295F"/>
    <w:rsid w:val="00FF5C26"/>
    <w:rsid w:val="00FF5C79"/>
    <w:rsid w:val="00FF62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A272D"/>
  <w15:docId w15:val="{4DBEDC6A-8D9B-4A8A-9BF8-DB06E04E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ind w:left="12" w:right="65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7"/>
      <w:ind w:left="10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ind w:left="101" w:hanging="10"/>
      <w:outlineLvl w:val="1"/>
    </w:pPr>
    <w:rPr>
      <w:rFonts w:ascii="Arial" w:eastAsia="Arial" w:hAnsi="Arial" w:cs="Arial"/>
      <w:color w:val="000000"/>
      <w:u w:val="single" w:color="000000"/>
    </w:rPr>
  </w:style>
  <w:style w:type="paragraph" w:styleId="Heading3">
    <w:name w:val="heading 3"/>
    <w:next w:val="Normal"/>
    <w:link w:val="Heading3Char"/>
    <w:uiPriority w:val="9"/>
    <w:unhideWhenUsed/>
    <w:qFormat/>
    <w:pPr>
      <w:keepNext/>
      <w:keepLines/>
      <w:spacing w:after="7"/>
      <w:ind w:left="102"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5"/>
      <w:ind w:left="101" w:hanging="10"/>
      <w:outlineLvl w:val="3"/>
    </w:pPr>
    <w:rPr>
      <w:rFonts w:ascii="Arial" w:eastAsia="Arial" w:hAnsi="Arial" w:cs="Arial"/>
      <w:color w:val="000000"/>
      <w:u w:val="single" w:color="000000"/>
    </w:rPr>
  </w:style>
  <w:style w:type="paragraph" w:styleId="Heading5">
    <w:name w:val="heading 5"/>
    <w:next w:val="Normal"/>
    <w:link w:val="Heading5Char"/>
    <w:uiPriority w:val="9"/>
    <w:unhideWhenUsed/>
    <w:qFormat/>
    <w:pPr>
      <w:keepNext/>
      <w:keepLines/>
      <w:spacing w:after="3"/>
      <w:ind w:left="12" w:hanging="10"/>
      <w:outlineLvl w:val="4"/>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3Char">
    <w:name w:val="Heading 3 Char"/>
    <w:link w:val="Heading3"/>
    <w:rPr>
      <w:rFonts w:ascii="Arial" w:eastAsia="Arial" w:hAnsi="Arial" w:cs="Arial"/>
      <w:b/>
      <w:color w:val="000000"/>
      <w:sz w:val="22"/>
    </w:rPr>
  </w:style>
  <w:style w:type="character" w:customStyle="1" w:styleId="Heading5Char">
    <w:name w:val="Heading 5 Char"/>
    <w:link w:val="Heading5"/>
    <w:rPr>
      <w:rFonts w:ascii="Arial" w:eastAsia="Arial" w:hAnsi="Arial" w:cs="Arial"/>
      <w:i/>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paragraph" w:styleId="TOC1">
    <w:name w:val="toc 1"/>
    <w:hidden/>
    <w:uiPriority w:val="39"/>
    <w:pPr>
      <w:spacing w:after="108"/>
      <w:ind w:left="39" w:right="136" w:hanging="10"/>
    </w:pPr>
    <w:rPr>
      <w:rFonts w:ascii="Arial" w:eastAsia="Arial" w:hAnsi="Arial" w:cs="Arial"/>
      <w:color w:val="000000"/>
    </w:rPr>
  </w:style>
  <w:style w:type="paragraph" w:styleId="TOC2">
    <w:name w:val="toc 2"/>
    <w:hidden/>
    <w:uiPriority w:val="39"/>
    <w:pPr>
      <w:spacing w:after="108"/>
      <w:ind w:left="605" w:right="136" w:hanging="10"/>
    </w:pPr>
    <w:rPr>
      <w:rFonts w:ascii="Arial" w:eastAsia="Arial" w:hAnsi="Arial" w:cs="Arial"/>
      <w:color w:val="000000"/>
    </w:rPr>
  </w:style>
  <w:style w:type="character" w:styleId="Hyperlink">
    <w:name w:val="Hyperlink"/>
    <w:basedOn w:val="DefaultParagraphFont"/>
    <w:uiPriority w:val="99"/>
    <w:unhideWhenUsed/>
    <w:rsid w:val="00777BDF"/>
    <w:rPr>
      <w:color w:val="0563C1" w:themeColor="hyperlink"/>
      <w:u w:val="single"/>
    </w:rPr>
  </w:style>
  <w:style w:type="paragraph" w:styleId="ListParagraph">
    <w:name w:val="List Paragraph"/>
    <w:basedOn w:val="Normal"/>
    <w:uiPriority w:val="34"/>
    <w:qFormat/>
    <w:rsid w:val="00FE57CF"/>
    <w:pPr>
      <w:ind w:left="720"/>
      <w:contextualSpacing/>
    </w:pPr>
  </w:style>
  <w:style w:type="paragraph" w:styleId="BalloonText">
    <w:name w:val="Balloon Text"/>
    <w:basedOn w:val="Normal"/>
    <w:link w:val="BalloonTextChar"/>
    <w:uiPriority w:val="99"/>
    <w:semiHidden/>
    <w:unhideWhenUsed/>
    <w:rsid w:val="00FE5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7CF"/>
    <w:rPr>
      <w:rFonts w:ascii="Segoe UI" w:eastAsia="Arial" w:hAnsi="Segoe UI" w:cs="Segoe UI"/>
      <w:color w:val="000000"/>
      <w:sz w:val="18"/>
      <w:szCs w:val="18"/>
    </w:rPr>
  </w:style>
  <w:style w:type="paragraph" w:styleId="Footer">
    <w:name w:val="footer"/>
    <w:basedOn w:val="Normal"/>
    <w:link w:val="FooterChar"/>
    <w:uiPriority w:val="99"/>
    <w:unhideWhenUsed/>
    <w:rsid w:val="00557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0C"/>
    <w:rPr>
      <w:rFonts w:ascii="Arial" w:eastAsia="Arial" w:hAnsi="Arial" w:cs="Arial"/>
      <w:color w:val="000000"/>
    </w:rPr>
  </w:style>
  <w:style w:type="character" w:styleId="CommentReference">
    <w:name w:val="annotation reference"/>
    <w:basedOn w:val="DefaultParagraphFont"/>
    <w:uiPriority w:val="99"/>
    <w:semiHidden/>
    <w:unhideWhenUsed/>
    <w:rsid w:val="00483112"/>
    <w:rPr>
      <w:sz w:val="16"/>
      <w:szCs w:val="16"/>
    </w:rPr>
  </w:style>
  <w:style w:type="paragraph" w:styleId="CommentText">
    <w:name w:val="annotation text"/>
    <w:basedOn w:val="Normal"/>
    <w:link w:val="CommentTextChar"/>
    <w:uiPriority w:val="99"/>
    <w:unhideWhenUsed/>
    <w:rsid w:val="00483112"/>
    <w:pPr>
      <w:spacing w:line="240" w:lineRule="auto"/>
    </w:pPr>
    <w:rPr>
      <w:sz w:val="20"/>
      <w:szCs w:val="20"/>
    </w:rPr>
  </w:style>
  <w:style w:type="character" w:customStyle="1" w:styleId="CommentTextChar">
    <w:name w:val="Comment Text Char"/>
    <w:basedOn w:val="DefaultParagraphFont"/>
    <w:link w:val="CommentText"/>
    <w:uiPriority w:val="99"/>
    <w:rsid w:val="0048311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3112"/>
    <w:rPr>
      <w:b/>
      <w:bCs/>
    </w:rPr>
  </w:style>
  <w:style w:type="character" w:customStyle="1" w:styleId="CommentSubjectChar">
    <w:name w:val="Comment Subject Char"/>
    <w:basedOn w:val="CommentTextChar"/>
    <w:link w:val="CommentSubject"/>
    <w:uiPriority w:val="99"/>
    <w:semiHidden/>
    <w:rsid w:val="00483112"/>
    <w:rPr>
      <w:rFonts w:ascii="Arial" w:eastAsia="Arial" w:hAnsi="Arial" w:cs="Arial"/>
      <w:b/>
      <w:bCs/>
      <w:color w:val="000000"/>
      <w:sz w:val="20"/>
      <w:szCs w:val="20"/>
    </w:rPr>
  </w:style>
  <w:style w:type="paragraph" w:styleId="Revision">
    <w:name w:val="Revision"/>
    <w:hidden/>
    <w:uiPriority w:val="99"/>
    <w:semiHidden/>
    <w:rsid w:val="00483112"/>
    <w:pPr>
      <w:spacing w:after="0" w:line="240" w:lineRule="auto"/>
    </w:pPr>
    <w:rPr>
      <w:rFonts w:ascii="Arial" w:eastAsia="Arial" w:hAnsi="Arial" w:cs="Arial"/>
      <w:color w:val="000000"/>
    </w:rPr>
  </w:style>
  <w:style w:type="paragraph" w:styleId="BodyText">
    <w:name w:val="Body Text"/>
    <w:basedOn w:val="Normal"/>
    <w:link w:val="BodyTextChar"/>
    <w:uiPriority w:val="99"/>
    <w:semiHidden/>
    <w:unhideWhenUsed/>
    <w:rsid w:val="009F4AB0"/>
    <w:pPr>
      <w:spacing w:after="120" w:line="240" w:lineRule="auto"/>
      <w:ind w:left="0" w:right="0" w:firstLine="0"/>
    </w:pPr>
    <w:rPr>
      <w:rFonts w:eastAsia="SimSun"/>
      <w:color w:val="auto"/>
      <w:szCs w:val="20"/>
      <w:lang w:eastAsia="zh-CN"/>
    </w:rPr>
  </w:style>
  <w:style w:type="character" w:customStyle="1" w:styleId="BodyTextChar">
    <w:name w:val="Body Text Char"/>
    <w:basedOn w:val="DefaultParagraphFont"/>
    <w:link w:val="BodyText"/>
    <w:uiPriority w:val="99"/>
    <w:semiHidden/>
    <w:rsid w:val="009F4AB0"/>
    <w:rPr>
      <w:rFonts w:ascii="Arial" w:eastAsia="SimSun" w:hAnsi="Arial" w:cs="Arial"/>
      <w:szCs w:val="20"/>
      <w:lang w:eastAsia="zh-CN"/>
    </w:rPr>
  </w:style>
  <w:style w:type="paragraph" w:styleId="Header">
    <w:name w:val="header"/>
    <w:basedOn w:val="Normal"/>
    <w:link w:val="HeaderChar"/>
    <w:uiPriority w:val="99"/>
    <w:rsid w:val="002B1DE8"/>
    <w:pPr>
      <w:tabs>
        <w:tab w:val="center" w:pos="4536"/>
        <w:tab w:val="right" w:pos="9072"/>
      </w:tabs>
      <w:spacing w:after="0" w:line="240" w:lineRule="auto"/>
      <w:ind w:left="0" w:right="0" w:firstLine="0"/>
    </w:pPr>
    <w:rPr>
      <w:rFonts w:eastAsia="SimSun"/>
      <w:color w:val="auto"/>
      <w:szCs w:val="20"/>
      <w:lang w:eastAsia="zh-CN"/>
    </w:rPr>
  </w:style>
  <w:style w:type="character" w:customStyle="1" w:styleId="HeaderChar">
    <w:name w:val="Header Char"/>
    <w:basedOn w:val="DefaultParagraphFont"/>
    <w:link w:val="Header"/>
    <w:uiPriority w:val="99"/>
    <w:rsid w:val="002B1DE8"/>
    <w:rPr>
      <w:rFonts w:ascii="Arial" w:eastAsia="SimSun" w:hAnsi="Arial" w:cs="Arial"/>
      <w:szCs w:val="20"/>
      <w:lang w:eastAsia="zh-CN"/>
    </w:rPr>
  </w:style>
  <w:style w:type="paragraph" w:customStyle="1" w:styleId="ONUME">
    <w:name w:val="ONUM E"/>
    <w:basedOn w:val="BodyText"/>
    <w:link w:val="ONUMEChar"/>
    <w:qFormat/>
    <w:rsid w:val="007F3E6C"/>
    <w:pPr>
      <w:numPr>
        <w:numId w:val="32"/>
      </w:numPr>
      <w:spacing w:after="220"/>
    </w:pPr>
  </w:style>
  <w:style w:type="character" w:customStyle="1" w:styleId="ONUMEChar">
    <w:name w:val="ONUM E Char"/>
    <w:link w:val="ONUME"/>
    <w:locked/>
    <w:rsid w:val="007F3E6C"/>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82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301CD-BEBC-40B1-84FA-CFCA29D3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4771</Words>
  <Characters>27200</Characters>
  <Application>Microsoft Office Word</Application>
  <DocSecurity>0</DocSecurity>
  <Lines>226</Lines>
  <Paragraphs>63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WO/GA/54/2</vt:lpstr>
      <vt:lpstr>WO/GA/54/2</vt:lpstr>
      <vt:lpstr>WO/GA/54/2</vt:lpstr>
    </vt:vector>
  </TitlesOfParts>
  <Company>UNDP OAI</Company>
  <LinksUpToDate>false</LinksUpToDate>
  <CharactersWithSpaces>31908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WO/GA/54/2</dc:title>
  <dc:subject>Report by the WIPO Independent Advisory Oversight Committee (IAOC)</dc:subject>
  <dc:creator>IAOC;WIPO</dc:creator>
  <cp:keywords>FOR OFFICIAL USE ONLY</cp:keywords>
  <dc:description/>
  <cp:lastModifiedBy>HÄFLIGER Patience</cp:lastModifiedBy>
  <cp:revision>6</cp:revision>
  <cp:lastPrinted>2024-05-07T14:05:00Z</cp:lastPrinted>
  <dcterms:created xsi:type="dcterms:W3CDTF">2024-05-08T12:37:00Z</dcterms:created>
  <dcterms:modified xsi:type="dcterms:W3CDTF">2024-06-18T14:57:00Z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4794668c-5ee5-4686-9c2b-73efeeb4c774</vt:lpwstr>
  </property>
  <property fmtid="{D5CDD505-2E9C-101B-9397-08002B2CF9AE}" pid="3" name="TCSClassification">
    <vt:lpwstr>FOR OFFICIAL USE ONLY</vt:lpwstr>
  </property>
  <property fmtid="{D5CDD505-2E9C-101B-9397-08002B2CF9AE}" pid="4" name="MSIP_Label_20773ee6-353b-4fb9-a59d-0b94c8c67bea_Enabled">
    <vt:lpwstr>true</vt:lpwstr>
  </property>
  <property fmtid="{D5CDD505-2E9C-101B-9397-08002B2CF9AE}" pid="5" name="MSIP_Label_20773ee6-353b-4fb9-a59d-0b94c8c67bea_SetDate">
    <vt:lpwstr>2023-05-16T09:42:44Z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c5e77c18-2fb2-4dc1-9818-4ada6967a230</vt:lpwstr>
  </property>
  <property fmtid="{D5CDD505-2E9C-101B-9397-08002B2CF9AE}" pid="10" name="MSIP_Label_20773ee6-353b-4fb9-a59d-0b94c8c67bea_ContentBits">
    <vt:lpwstr>0</vt:lpwstr>
  </property>
  <property fmtid="{D5CDD505-2E9C-101B-9397-08002B2CF9AE}" pid="11" name="Classification">
    <vt:lpwstr>For Official Use Only</vt:lpwstr>
  </property>
  <property fmtid="{D5CDD505-2E9C-101B-9397-08002B2CF9AE}" pid="12" name="VisualMarkings">
    <vt:lpwstr>Footer</vt:lpwstr>
  </property>
  <property fmtid="{D5CDD505-2E9C-101B-9397-08002B2CF9AE}" pid="13" name="Alignment">
    <vt:lpwstr>Centre</vt:lpwstr>
  </property>
  <property fmtid="{D5CDD505-2E9C-101B-9397-08002B2CF9AE}" pid="14" name="Language">
    <vt:lpwstr>English</vt:lpwstr>
  </property>
</Properties>
</file>