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4835C" w14:textId="77777777" w:rsidR="00267852" w:rsidRPr="008B2CC1" w:rsidRDefault="00267852" w:rsidP="00267852">
      <w:pPr>
        <w:spacing w:after="120"/>
        <w:jc w:val="right"/>
      </w:pPr>
      <w:r>
        <w:rPr>
          <w:noProof/>
          <w:sz w:val="28"/>
          <w:szCs w:val="28"/>
          <w:lang w:eastAsia="en-US"/>
        </w:rPr>
        <w:drawing>
          <wp:inline distT="0" distB="0" distL="0" distR="0" wp14:anchorId="197A16BC" wp14:editId="7BC6EACF">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Pr="00601760">
        <w:rPr>
          <w:rFonts w:ascii="Arial Black" w:hAnsi="Arial Black"/>
          <w:caps/>
          <w:noProof/>
          <w:sz w:val="15"/>
          <w:szCs w:val="15"/>
          <w:lang w:eastAsia="en-US"/>
        </w:rPr>
        <mc:AlternateContent>
          <mc:Choice Requires="wps">
            <w:drawing>
              <wp:inline distT="0" distB="0" distL="0" distR="0" wp14:anchorId="192AF01A" wp14:editId="1F49D450">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8E2415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73604499" w14:textId="28B23030" w:rsidR="00267852" w:rsidRPr="001024FE" w:rsidRDefault="00267852" w:rsidP="00267852">
      <w:pPr>
        <w:jc w:val="right"/>
        <w:rPr>
          <w:rFonts w:ascii="Arial Black" w:hAnsi="Arial Black"/>
          <w:caps/>
          <w:sz w:val="15"/>
          <w:szCs w:val="15"/>
        </w:rPr>
      </w:pPr>
      <w:r>
        <w:rPr>
          <w:rFonts w:ascii="Arial Black" w:hAnsi="Arial Black"/>
          <w:caps/>
          <w:sz w:val="15"/>
          <w:szCs w:val="15"/>
        </w:rPr>
        <w:t>WO/GA/55/</w:t>
      </w:r>
      <w:bookmarkStart w:id="0" w:name="Code"/>
      <w:r w:rsidR="00FD01E5" w:rsidRPr="00FD01E5">
        <w:rPr>
          <w:rFonts w:ascii="Arial Black" w:hAnsi="Arial Black"/>
          <w:caps/>
          <w:sz w:val="15"/>
          <w:szCs w:val="15"/>
        </w:rPr>
        <w:t>9</w:t>
      </w:r>
    </w:p>
    <w:bookmarkEnd w:id="0"/>
    <w:p w14:paraId="4F349C2A" w14:textId="77777777" w:rsidR="00267852" w:rsidRPr="00CE65D4" w:rsidRDefault="00267852" w:rsidP="00267852">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Pr>
          <w:rFonts w:ascii="Arial Black" w:hAnsi="Arial Black"/>
          <w:caps/>
          <w:sz w:val="15"/>
          <w:szCs w:val="15"/>
        </w:rPr>
        <w:t>ENglish</w:t>
      </w:r>
    </w:p>
    <w:bookmarkEnd w:id="1"/>
    <w:p w14:paraId="3057D764" w14:textId="3FB50A65" w:rsidR="00267852" w:rsidRPr="00CE65D4" w:rsidRDefault="00267852" w:rsidP="00267852">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7B25D6">
        <w:rPr>
          <w:rFonts w:ascii="Arial Black" w:hAnsi="Arial Black"/>
          <w:caps/>
          <w:sz w:val="15"/>
          <w:szCs w:val="15"/>
        </w:rPr>
        <w:t>april 19</w:t>
      </w:r>
      <w:r>
        <w:rPr>
          <w:rFonts w:ascii="Arial Black" w:hAnsi="Arial Black"/>
          <w:caps/>
          <w:sz w:val="15"/>
          <w:szCs w:val="15"/>
        </w:rPr>
        <w:t>, 2022</w:t>
      </w:r>
    </w:p>
    <w:bookmarkEnd w:id="2"/>
    <w:p w14:paraId="34EEF2E4" w14:textId="77777777" w:rsidR="00267852" w:rsidRPr="003845C1" w:rsidRDefault="00267852" w:rsidP="00267852">
      <w:pPr>
        <w:spacing w:after="600"/>
        <w:rPr>
          <w:b/>
          <w:sz w:val="28"/>
          <w:szCs w:val="28"/>
        </w:rPr>
      </w:pPr>
      <w:r w:rsidRPr="00A9118D">
        <w:rPr>
          <w:b/>
          <w:sz w:val="28"/>
          <w:szCs w:val="28"/>
        </w:rPr>
        <w:t>WIPO General Assem</w:t>
      </w:r>
      <w:bookmarkStart w:id="3" w:name="_GoBack"/>
      <w:bookmarkEnd w:id="3"/>
      <w:r w:rsidRPr="00A9118D">
        <w:rPr>
          <w:b/>
          <w:sz w:val="28"/>
          <w:szCs w:val="28"/>
        </w:rPr>
        <w:t>bly</w:t>
      </w:r>
    </w:p>
    <w:p w14:paraId="4DE8ED51" w14:textId="77777777" w:rsidR="00267852" w:rsidRPr="003845C1" w:rsidRDefault="00267852" w:rsidP="00267852">
      <w:pPr>
        <w:rPr>
          <w:b/>
          <w:sz w:val="24"/>
          <w:szCs w:val="24"/>
        </w:rPr>
      </w:pPr>
      <w:r w:rsidRPr="00A9118D">
        <w:rPr>
          <w:b/>
          <w:sz w:val="24"/>
          <w:szCs w:val="24"/>
        </w:rPr>
        <w:t>Fifty-</w:t>
      </w:r>
      <w:r>
        <w:rPr>
          <w:b/>
          <w:sz w:val="24"/>
          <w:szCs w:val="24"/>
        </w:rPr>
        <w:t>F</w:t>
      </w:r>
      <w:r w:rsidRPr="00A9118D">
        <w:rPr>
          <w:b/>
          <w:sz w:val="24"/>
          <w:szCs w:val="24"/>
        </w:rPr>
        <w:t>ifth (30</w:t>
      </w:r>
      <w:r w:rsidRPr="008C13B2">
        <w:rPr>
          <w:b/>
          <w:sz w:val="24"/>
          <w:szCs w:val="24"/>
          <w:vertAlign w:val="superscript"/>
        </w:rPr>
        <w:t>th</w:t>
      </w:r>
      <w:r w:rsidRPr="00A9118D">
        <w:rPr>
          <w:b/>
          <w:sz w:val="24"/>
          <w:szCs w:val="24"/>
        </w:rPr>
        <w:t xml:space="preserve"> Extraordinary) Session</w:t>
      </w:r>
    </w:p>
    <w:p w14:paraId="7BE52A1E" w14:textId="3FDD62B2" w:rsidR="00267852" w:rsidRPr="009F3BF9" w:rsidRDefault="00AC61F9" w:rsidP="00267852">
      <w:pPr>
        <w:spacing w:after="720"/>
      </w:pPr>
      <w:r>
        <w:rPr>
          <w:b/>
          <w:sz w:val="24"/>
          <w:szCs w:val="24"/>
        </w:rPr>
        <w:t>Geneva, July 14</w:t>
      </w:r>
      <w:r w:rsidR="00267852" w:rsidRPr="00A9118D">
        <w:rPr>
          <w:b/>
          <w:sz w:val="24"/>
          <w:szCs w:val="24"/>
        </w:rPr>
        <w:t xml:space="preserve"> to 22, 2022</w:t>
      </w:r>
    </w:p>
    <w:p w14:paraId="218DBE1B" w14:textId="77777777" w:rsidR="00267852" w:rsidRPr="009F3BF9" w:rsidRDefault="00267852" w:rsidP="00267852">
      <w:pPr>
        <w:spacing w:after="360"/>
        <w:rPr>
          <w:caps/>
          <w:sz w:val="24"/>
        </w:rPr>
      </w:pPr>
      <w:bookmarkStart w:id="4" w:name="TitleOfDoc"/>
      <w:r>
        <w:rPr>
          <w:caps/>
          <w:sz w:val="24"/>
        </w:rPr>
        <w:t>Annual Report by the Director of the Internal Oversight Division (IOD)</w:t>
      </w:r>
    </w:p>
    <w:p w14:paraId="55C2D95D" w14:textId="2186C466" w:rsidR="00267852" w:rsidRPr="004D39C4" w:rsidRDefault="00B51973" w:rsidP="00267852">
      <w:pPr>
        <w:spacing w:after="960"/>
        <w:rPr>
          <w:i/>
        </w:rPr>
      </w:pPr>
      <w:bookmarkStart w:id="5" w:name="Prepared"/>
      <w:bookmarkEnd w:id="4"/>
      <w:r>
        <w:rPr>
          <w:i/>
        </w:rPr>
        <w:t>p</w:t>
      </w:r>
      <w:r w:rsidR="00267852">
        <w:rPr>
          <w:i/>
        </w:rPr>
        <w:t>repared by the Secretariat</w:t>
      </w:r>
    </w:p>
    <w:bookmarkEnd w:id="5"/>
    <w:p w14:paraId="2F19B089" w14:textId="18005BDB" w:rsidR="00267852" w:rsidRDefault="00267852" w:rsidP="00267852">
      <w:pPr>
        <w:pStyle w:val="ONUME"/>
        <w:numPr>
          <w:ilvl w:val="0"/>
          <w:numId w:val="4"/>
        </w:numPr>
      </w:pPr>
      <w:r>
        <w:t>The present document contains the “Annual Report by the Director of the Internal Oversight Division (IOD)” (document WO/PB</w:t>
      </w:r>
      <w:r w:rsidRPr="0087559C">
        <w:t>C/3</w:t>
      </w:r>
      <w:r>
        <w:t>4</w:t>
      </w:r>
      <w:r w:rsidRPr="0087559C">
        <w:t>/5), s</w:t>
      </w:r>
      <w:r>
        <w:t xml:space="preserve">ubmitted to the WIPO Program and Budget Committee (PBC) at its Thirty-Fourth Session </w:t>
      </w:r>
      <w:r w:rsidRPr="00826314">
        <w:t>(</w:t>
      </w:r>
      <w:r>
        <w:t>June 27</w:t>
      </w:r>
      <w:r w:rsidRPr="00826314">
        <w:t xml:space="preserve"> to </w:t>
      </w:r>
      <w:r>
        <w:t xml:space="preserve">July </w:t>
      </w:r>
      <w:r w:rsidRPr="00826314">
        <w:t>1, 202</w:t>
      </w:r>
      <w:r>
        <w:t>2</w:t>
      </w:r>
      <w:r w:rsidRPr="00826314">
        <w:t>)</w:t>
      </w:r>
      <w:r w:rsidR="008379BC">
        <w:t>.</w:t>
      </w:r>
    </w:p>
    <w:p w14:paraId="079632E4" w14:textId="77777777" w:rsidR="00267852" w:rsidRDefault="00267852" w:rsidP="00267852">
      <w:pPr>
        <w:pStyle w:val="ONUME"/>
      </w:pPr>
      <w:r>
        <w:t xml:space="preserve">Any decisions of the PBC in respect of that document will appear in the “List of Decisions adopted by the Program and Budget Committee” (document </w:t>
      </w:r>
      <w:r w:rsidRPr="00FC7FEC">
        <w:t>A/6</w:t>
      </w:r>
      <w:r>
        <w:t>3</w:t>
      </w:r>
      <w:r w:rsidRPr="00FC7FEC">
        <w:t>/</w:t>
      </w:r>
      <w:r w:rsidRPr="00FD01E5">
        <w:t>7</w:t>
      </w:r>
      <w:r w:rsidRPr="00FC7FEC">
        <w:t>).</w:t>
      </w:r>
    </w:p>
    <w:p w14:paraId="282B145E" w14:textId="77777777" w:rsidR="00267852" w:rsidRDefault="00267852" w:rsidP="00267852">
      <w:pPr>
        <w:pStyle w:val="ONUME"/>
        <w:numPr>
          <w:ilvl w:val="0"/>
          <w:numId w:val="0"/>
        </w:numPr>
        <w:tabs>
          <w:tab w:val="left" w:pos="6096"/>
        </w:tabs>
        <w:spacing w:after="0"/>
        <w:ind w:left="5533"/>
        <w:rPr>
          <w:i/>
        </w:rPr>
      </w:pPr>
    </w:p>
    <w:p w14:paraId="17B93530" w14:textId="77777777" w:rsidR="00267852" w:rsidRDefault="00267852" w:rsidP="00267852">
      <w:pPr>
        <w:pStyle w:val="Endofdocument-Annex"/>
      </w:pPr>
      <w:r>
        <w:t>[</w:t>
      </w:r>
      <w:r w:rsidRPr="00AD25E7">
        <w:t xml:space="preserve">Document </w:t>
      </w:r>
      <w:r w:rsidRPr="00826314">
        <w:t>WO</w:t>
      </w:r>
      <w:r>
        <w:t>/PBC/34</w:t>
      </w:r>
      <w:r w:rsidRPr="00826314">
        <w:t>/5 follows]</w:t>
      </w:r>
    </w:p>
    <w:p w14:paraId="373A4083" w14:textId="77777777" w:rsidR="00267852" w:rsidRDefault="00267852" w:rsidP="00267852">
      <w:pPr>
        <w:spacing w:after="220"/>
      </w:pPr>
    </w:p>
    <w:p w14:paraId="50C9C5C5" w14:textId="77777777" w:rsidR="00267852" w:rsidRDefault="00267852" w:rsidP="00267852">
      <w:pPr>
        <w:spacing w:after="220"/>
        <w:sectPr w:rsidR="00267852" w:rsidSect="004854F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67B4EAC9" w14:textId="77777777" w:rsidR="00267852" w:rsidRDefault="00267852" w:rsidP="00267852">
      <w:pPr>
        <w:spacing w:after="220"/>
        <w:sectPr w:rsidR="00267852" w:rsidSect="004854FF">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Caption w:val="En tête"/>
        <w:tblDescription w:val="PBC en tête"/>
      </w:tblPr>
      <w:tblGrid>
        <w:gridCol w:w="4513"/>
        <w:gridCol w:w="4337"/>
        <w:gridCol w:w="506"/>
      </w:tblGrid>
      <w:tr w:rsidR="00267852" w:rsidRPr="008B2CC1" w14:paraId="27A75302" w14:textId="77777777" w:rsidTr="004854FF">
        <w:tc>
          <w:tcPr>
            <w:tcW w:w="4513" w:type="dxa"/>
            <w:tcBorders>
              <w:bottom w:val="single" w:sz="4" w:space="0" w:color="auto"/>
            </w:tcBorders>
            <w:tcMar>
              <w:bottom w:w="170" w:type="dxa"/>
            </w:tcMar>
          </w:tcPr>
          <w:p w14:paraId="22A00128" w14:textId="77777777" w:rsidR="00267852" w:rsidRPr="008B2CC1" w:rsidRDefault="00267852" w:rsidP="004854FF"/>
        </w:tc>
        <w:tc>
          <w:tcPr>
            <w:tcW w:w="4337" w:type="dxa"/>
            <w:tcBorders>
              <w:bottom w:val="single" w:sz="4" w:space="0" w:color="auto"/>
            </w:tcBorders>
            <w:tcMar>
              <w:left w:w="0" w:type="dxa"/>
              <w:right w:w="0" w:type="dxa"/>
            </w:tcMar>
          </w:tcPr>
          <w:p w14:paraId="6F5910BA" w14:textId="77777777" w:rsidR="00267852" w:rsidRPr="008B2CC1" w:rsidRDefault="00267852" w:rsidP="004854FF">
            <w:r>
              <w:rPr>
                <w:noProof/>
                <w:lang w:eastAsia="en-US"/>
              </w:rPr>
              <w:drawing>
                <wp:inline distT="0" distB="0" distL="0" distR="0" wp14:anchorId="6E62C3BF" wp14:editId="5DFC698D">
                  <wp:extent cx="1857375" cy="1323975"/>
                  <wp:effectExtent l="0" t="0" r="9525" b="9525"/>
                  <wp:docPr id="3" name="Picture 3"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6E3AE6C" w14:textId="77777777" w:rsidR="00267852" w:rsidRPr="008B2CC1" w:rsidRDefault="00267852" w:rsidP="004854FF">
            <w:pPr>
              <w:jc w:val="right"/>
            </w:pPr>
            <w:r w:rsidRPr="00605827">
              <w:rPr>
                <w:b/>
                <w:sz w:val="40"/>
                <w:szCs w:val="40"/>
              </w:rPr>
              <w:t>E</w:t>
            </w:r>
          </w:p>
        </w:tc>
      </w:tr>
      <w:tr w:rsidR="00267852" w:rsidRPr="001832A6" w14:paraId="750D20B5" w14:textId="77777777" w:rsidTr="004854FF">
        <w:trPr>
          <w:trHeight w:hRule="exact" w:val="357"/>
        </w:trPr>
        <w:tc>
          <w:tcPr>
            <w:tcW w:w="9356" w:type="dxa"/>
            <w:gridSpan w:val="3"/>
            <w:tcBorders>
              <w:top w:val="single" w:sz="4" w:space="0" w:color="auto"/>
            </w:tcBorders>
            <w:tcMar>
              <w:top w:w="170" w:type="dxa"/>
              <w:left w:w="0" w:type="dxa"/>
              <w:right w:w="0" w:type="dxa"/>
            </w:tcMar>
            <w:vAlign w:val="bottom"/>
          </w:tcPr>
          <w:p w14:paraId="59282B2C" w14:textId="77777777" w:rsidR="00267852" w:rsidRPr="0090731E" w:rsidRDefault="00267852" w:rsidP="004854FF">
            <w:pPr>
              <w:jc w:val="right"/>
              <w:rPr>
                <w:rFonts w:ascii="Arial Black" w:hAnsi="Arial Black"/>
                <w:caps/>
                <w:sz w:val="15"/>
              </w:rPr>
            </w:pPr>
            <w:r>
              <w:rPr>
                <w:rFonts w:ascii="Arial Black" w:hAnsi="Arial Black"/>
                <w:caps/>
                <w:sz w:val="15"/>
              </w:rPr>
              <w:t>WO/PBC/34/5</w:t>
            </w:r>
          </w:p>
        </w:tc>
      </w:tr>
      <w:tr w:rsidR="00267852" w:rsidRPr="001832A6" w14:paraId="613F3A83" w14:textId="77777777" w:rsidTr="004854FF">
        <w:trPr>
          <w:trHeight w:hRule="exact" w:val="170"/>
        </w:trPr>
        <w:tc>
          <w:tcPr>
            <w:tcW w:w="9356" w:type="dxa"/>
            <w:gridSpan w:val="3"/>
            <w:noWrap/>
            <w:tcMar>
              <w:left w:w="0" w:type="dxa"/>
              <w:right w:w="0" w:type="dxa"/>
            </w:tcMar>
            <w:vAlign w:val="bottom"/>
          </w:tcPr>
          <w:p w14:paraId="13ACA4E9" w14:textId="77777777" w:rsidR="00267852" w:rsidRPr="0090731E" w:rsidRDefault="00267852" w:rsidP="004854FF">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english  </w:t>
            </w:r>
            <w:r w:rsidRPr="0090731E">
              <w:rPr>
                <w:rFonts w:ascii="Arial Black" w:hAnsi="Arial Black"/>
                <w:caps/>
                <w:sz w:val="15"/>
              </w:rPr>
              <w:t xml:space="preserve"> </w:t>
            </w:r>
          </w:p>
        </w:tc>
      </w:tr>
      <w:tr w:rsidR="00267852" w:rsidRPr="00C0396C" w14:paraId="17631DF9" w14:textId="77777777" w:rsidTr="004854FF">
        <w:trPr>
          <w:trHeight w:hRule="exact" w:val="198"/>
        </w:trPr>
        <w:tc>
          <w:tcPr>
            <w:tcW w:w="9356" w:type="dxa"/>
            <w:gridSpan w:val="3"/>
            <w:tcMar>
              <w:left w:w="0" w:type="dxa"/>
              <w:right w:w="0" w:type="dxa"/>
            </w:tcMar>
            <w:vAlign w:val="bottom"/>
          </w:tcPr>
          <w:p w14:paraId="51B49273" w14:textId="78D505F4" w:rsidR="00267852" w:rsidRPr="00C0396C" w:rsidRDefault="00267852" w:rsidP="00B209D4">
            <w:pPr>
              <w:spacing w:line="1680" w:lineRule="auto"/>
              <w:jc w:val="right"/>
              <w:rPr>
                <w:rFonts w:ascii="Arial Black" w:hAnsi="Arial Black"/>
                <w:b/>
                <w:caps/>
                <w:sz w:val="15"/>
              </w:rPr>
            </w:pPr>
            <w:r w:rsidRPr="00C0396C">
              <w:rPr>
                <w:rFonts w:ascii="Arial Black" w:hAnsi="Arial Black"/>
                <w:b/>
                <w:caps/>
                <w:sz w:val="15"/>
              </w:rPr>
              <w:t xml:space="preserve">DATE: </w:t>
            </w:r>
            <w:r w:rsidR="007B25D6">
              <w:rPr>
                <w:rFonts w:ascii="Arial Black" w:hAnsi="Arial Black"/>
                <w:b/>
                <w:caps/>
                <w:sz w:val="15"/>
              </w:rPr>
              <w:t>april 19</w:t>
            </w:r>
            <w:r w:rsidRPr="00C0396C">
              <w:rPr>
                <w:rFonts w:ascii="Arial Black" w:hAnsi="Arial Black"/>
                <w:b/>
                <w:caps/>
                <w:sz w:val="15"/>
              </w:rPr>
              <w:t xml:space="preserve">, 2022   </w:t>
            </w:r>
          </w:p>
        </w:tc>
      </w:tr>
    </w:tbl>
    <w:p w14:paraId="508184EA" w14:textId="77777777" w:rsidR="00267852" w:rsidRPr="00803E6B" w:rsidRDefault="00267852" w:rsidP="00267852">
      <w:pPr>
        <w:pStyle w:val="Heading1"/>
        <w:spacing w:before="1000" w:after="600"/>
        <w:rPr>
          <w:caps w:val="0"/>
          <w:sz w:val="28"/>
        </w:rPr>
      </w:pPr>
      <w:bookmarkStart w:id="6" w:name="_Toc98252881"/>
      <w:bookmarkStart w:id="7" w:name="_Toc100660218"/>
      <w:r w:rsidRPr="00803E6B">
        <w:rPr>
          <w:caps w:val="0"/>
          <w:sz w:val="28"/>
        </w:rPr>
        <w:t>Program and Budget Committee</w:t>
      </w:r>
      <w:bookmarkEnd w:id="6"/>
      <w:bookmarkEnd w:id="7"/>
    </w:p>
    <w:p w14:paraId="13D4EC56" w14:textId="77777777" w:rsidR="00267852" w:rsidRPr="00803E6B" w:rsidRDefault="00267852" w:rsidP="00267852">
      <w:pPr>
        <w:rPr>
          <w:b/>
          <w:sz w:val="24"/>
        </w:rPr>
      </w:pPr>
      <w:r>
        <w:rPr>
          <w:b/>
          <w:sz w:val="24"/>
        </w:rPr>
        <w:t>Thirty-Fourth</w:t>
      </w:r>
      <w:r w:rsidRPr="00803E6B">
        <w:rPr>
          <w:b/>
          <w:sz w:val="24"/>
        </w:rPr>
        <w:t xml:space="preserve"> Session</w:t>
      </w:r>
    </w:p>
    <w:p w14:paraId="6A7B6539" w14:textId="77777777" w:rsidR="00267852" w:rsidRDefault="00267852" w:rsidP="00267852">
      <w:pPr>
        <w:spacing w:after="720"/>
        <w:rPr>
          <w:b/>
          <w:sz w:val="24"/>
        </w:rPr>
      </w:pPr>
      <w:r w:rsidRPr="00803E6B">
        <w:rPr>
          <w:b/>
          <w:sz w:val="24"/>
        </w:rPr>
        <w:t xml:space="preserve">Geneva, </w:t>
      </w:r>
      <w:r>
        <w:rPr>
          <w:b/>
          <w:sz w:val="24"/>
        </w:rPr>
        <w:t>June 27 to July 1</w:t>
      </w:r>
      <w:r w:rsidRPr="00803E6B">
        <w:rPr>
          <w:b/>
          <w:sz w:val="24"/>
        </w:rPr>
        <w:t>, 20</w:t>
      </w:r>
      <w:r>
        <w:rPr>
          <w:b/>
          <w:sz w:val="24"/>
        </w:rPr>
        <w:t>22</w:t>
      </w:r>
    </w:p>
    <w:p w14:paraId="1AE72E93" w14:textId="77777777" w:rsidR="00267852" w:rsidRDefault="00267852" w:rsidP="00267852">
      <w:pPr>
        <w:spacing w:after="360"/>
        <w:rPr>
          <w:sz w:val="24"/>
        </w:rPr>
      </w:pPr>
      <w:r w:rsidRPr="005170F0">
        <w:rPr>
          <w:sz w:val="24"/>
        </w:rPr>
        <w:t>ANNUAL REPORT BY THE DIRECTOR OF THE INTERNAL OVERSIGHT DIVISION (IOD)</w:t>
      </w:r>
    </w:p>
    <w:p w14:paraId="31F28256" w14:textId="77777777" w:rsidR="00267852" w:rsidRDefault="00267852" w:rsidP="00267852">
      <w:pPr>
        <w:spacing w:after="960"/>
        <w:rPr>
          <w:i/>
          <w:sz w:val="24"/>
        </w:rPr>
      </w:pPr>
      <w:r>
        <w:rPr>
          <w:i/>
          <w:sz w:val="24"/>
        </w:rPr>
        <w:t>prepared by the Secretariat</w:t>
      </w:r>
    </w:p>
    <w:p w14:paraId="3F7EFB47" w14:textId="77777777" w:rsidR="00267852" w:rsidRPr="00C765F0" w:rsidRDefault="00267852" w:rsidP="00267852">
      <w:pPr>
        <w:pStyle w:val="ONUME"/>
        <w:numPr>
          <w:ilvl w:val="0"/>
          <w:numId w:val="5"/>
        </w:numPr>
      </w:pPr>
      <w:r w:rsidRPr="00C765F0">
        <w:t xml:space="preserve">In accordance with </w:t>
      </w:r>
      <w:r w:rsidRPr="000F04D4">
        <w:t xml:space="preserve">paragraph </w:t>
      </w:r>
      <w:r>
        <w:t>47</w:t>
      </w:r>
      <w:r w:rsidRPr="00C765F0">
        <w:t xml:space="preserve"> of the Internal Oversight Charter</w:t>
      </w:r>
      <w:r>
        <w:t xml:space="preserve"> (IOC)</w:t>
      </w:r>
      <w:r w:rsidRPr="00C765F0">
        <w:t xml:space="preserve">, the Director, Internal Oversight Division (IOD), shall </w:t>
      </w:r>
      <w:r>
        <w:t>submit, on an annual basis, a summary report to the World Intellectual Property Organization (WIPO) General Assembly, through</w:t>
      </w:r>
      <w:r w:rsidRPr="00C765F0">
        <w:t xml:space="preserve"> the Program and Budget Committee (PBC).  The report </w:t>
      </w:r>
      <w:r>
        <w:t>shall give an overview on the internal oversight activities conducted during the reporting period</w:t>
      </w:r>
      <w:r w:rsidRPr="00A87220">
        <w:t xml:space="preserve"> </w:t>
      </w:r>
      <w:r>
        <w:t>January 1, 2021</w:t>
      </w:r>
      <w:r w:rsidRPr="000F04D4">
        <w:t xml:space="preserve"> </w:t>
      </w:r>
      <w:r>
        <w:t>to</w:t>
      </w:r>
      <w:r w:rsidRPr="000F04D4">
        <w:t xml:space="preserve"> </w:t>
      </w:r>
      <w:r>
        <w:t>December</w:t>
      </w:r>
      <w:r w:rsidRPr="000F04D4">
        <w:t xml:space="preserve"> 3</w:t>
      </w:r>
      <w:r>
        <w:t>1, 2021.</w:t>
      </w:r>
    </w:p>
    <w:p w14:paraId="057AAB10" w14:textId="77777777" w:rsidR="00267852" w:rsidRPr="00136900" w:rsidRDefault="00267852" w:rsidP="00267852">
      <w:pPr>
        <w:pStyle w:val="ONUME"/>
        <w:numPr>
          <w:ilvl w:val="0"/>
          <w:numId w:val="4"/>
        </w:numPr>
        <w:rPr>
          <w:i/>
        </w:rPr>
      </w:pPr>
      <w:r>
        <w:t>The following decision paragraph is proposed.</w:t>
      </w:r>
    </w:p>
    <w:p w14:paraId="4E01373D" w14:textId="77777777" w:rsidR="00267852" w:rsidRDefault="00267852" w:rsidP="00267852">
      <w:pPr>
        <w:pStyle w:val="ListParagraph"/>
        <w:numPr>
          <w:ilvl w:val="0"/>
          <w:numId w:val="4"/>
        </w:numPr>
        <w:spacing w:after="240"/>
        <w:ind w:left="5529"/>
        <w:rPr>
          <w:i/>
        </w:rPr>
      </w:pPr>
      <w:r w:rsidRPr="00343DBD">
        <w:rPr>
          <w:i/>
        </w:rPr>
        <w:t xml:space="preserve">The Program and Budget Committee (PBC) recommended to the WIPO General Assembly to take note of the “Annual Report by the Director of the Internal Oversight Division (IOD)” (document </w:t>
      </w:r>
      <w:r>
        <w:rPr>
          <w:i/>
        </w:rPr>
        <w:t>WO/PBC/34/5</w:t>
      </w:r>
      <w:r w:rsidRPr="00343DBD">
        <w:rPr>
          <w:i/>
        </w:rPr>
        <w:t>).</w:t>
      </w:r>
    </w:p>
    <w:p w14:paraId="1FB1025E" w14:textId="77777777" w:rsidR="00267852" w:rsidRDefault="00267852" w:rsidP="00267852">
      <w:pPr>
        <w:pStyle w:val="ListParagraph"/>
        <w:spacing w:before="240"/>
        <w:ind w:left="5529"/>
      </w:pPr>
    </w:p>
    <w:p w14:paraId="64B49681" w14:textId="77777777" w:rsidR="00267852" w:rsidRPr="00343DBD" w:rsidRDefault="00267852" w:rsidP="00267852">
      <w:pPr>
        <w:pStyle w:val="ListParagraph"/>
        <w:spacing w:before="240"/>
        <w:ind w:left="5529"/>
        <w:rPr>
          <w:i/>
        </w:rPr>
        <w:sectPr w:rsidR="00267852" w:rsidRPr="00343DBD" w:rsidSect="00E60513">
          <w:endnotePr>
            <w:numFmt w:val="decimal"/>
          </w:endnotePr>
          <w:pgSz w:w="11907" w:h="16840" w:code="9"/>
          <w:pgMar w:top="567" w:right="1134" w:bottom="1418" w:left="1418" w:header="510" w:footer="1021" w:gutter="0"/>
          <w:pgNumType w:start="2"/>
          <w:cols w:space="720"/>
          <w:titlePg/>
          <w:docGrid w:linePitch="299"/>
        </w:sectPr>
      </w:pPr>
      <w:r w:rsidRPr="00B929E3">
        <w:t>[</w:t>
      </w:r>
      <w:r>
        <w:t>Annual Report by Director, I</w:t>
      </w:r>
      <w:r w:rsidRPr="00B929E3">
        <w:t>OD follows]</w:t>
      </w:r>
    </w:p>
    <w:p w14:paraId="7EFEC234" w14:textId="77777777" w:rsidR="00C46B12" w:rsidRDefault="00C46B12" w:rsidP="00C46B12">
      <w:r>
        <w:lastRenderedPageBreak/>
        <w:br w:type="page"/>
      </w:r>
    </w:p>
    <w:p w14:paraId="0E6D41F3" w14:textId="39B94CA4" w:rsidR="00C46B12" w:rsidRPr="004A7813" w:rsidRDefault="00C46B12" w:rsidP="00C46B12">
      <w:pPr>
        <w:jc w:val="center"/>
        <w:rPr>
          <w:b/>
        </w:rPr>
      </w:pPr>
      <w:r>
        <w:rPr>
          <w:b/>
        </w:rPr>
        <w:lastRenderedPageBreak/>
        <w:t>ANNUAL REPORT BY</w:t>
      </w:r>
      <w:r w:rsidRPr="001D2703">
        <w:rPr>
          <w:b/>
        </w:rPr>
        <w:t xml:space="preserve"> THE DIRECTOR OF </w:t>
      </w:r>
      <w:r w:rsidR="00CD447E">
        <w:rPr>
          <w:b/>
        </w:rPr>
        <w:t xml:space="preserve">THE </w:t>
      </w:r>
      <w:r w:rsidRPr="004C7D95">
        <w:rPr>
          <w:rStyle w:val="Heading2Char"/>
          <w:b/>
        </w:rPr>
        <w:t>INTERNAL OVERSIGHT DIVISION</w:t>
      </w:r>
    </w:p>
    <w:p w14:paraId="1087C0E7" w14:textId="77777777" w:rsidR="00C46B12" w:rsidRPr="00DA5DBB" w:rsidRDefault="00C46B12" w:rsidP="00C46B12">
      <w:pPr>
        <w:keepLines/>
      </w:pPr>
    </w:p>
    <w:p w14:paraId="4300052E" w14:textId="77777777" w:rsidR="00FF1E25" w:rsidRDefault="00C46B12" w:rsidP="00FF1E25">
      <w:pPr>
        <w:spacing w:after="720"/>
        <w:jc w:val="center"/>
      </w:pPr>
      <w:r>
        <w:t>J</w:t>
      </w:r>
      <w:r w:rsidR="00267852">
        <w:t>anuary 1, 2021</w:t>
      </w:r>
      <w:r>
        <w:t xml:space="preserve"> to December</w:t>
      </w:r>
      <w:r w:rsidRPr="00DA5DBB">
        <w:t xml:space="preserve"> 3</w:t>
      </w:r>
      <w:r>
        <w:t>1</w:t>
      </w:r>
      <w:r w:rsidR="00267852">
        <w:t>, 2021</w:t>
      </w:r>
    </w:p>
    <w:p w14:paraId="72D39671" w14:textId="77777777" w:rsidR="00C46B12" w:rsidRPr="001D2703" w:rsidRDefault="00C46B12" w:rsidP="00C46B12">
      <w:pPr>
        <w:jc w:val="center"/>
        <w:rPr>
          <w:b/>
        </w:rPr>
      </w:pPr>
      <w:r w:rsidRPr="001D2703">
        <w:rPr>
          <w:b/>
        </w:rPr>
        <w:t>TABLE OF CONTENTS</w:t>
      </w:r>
    </w:p>
    <w:p w14:paraId="41EF3AB5" w14:textId="12710E1C" w:rsidR="00CF744B" w:rsidRDefault="007159D2">
      <w:pPr>
        <w:pStyle w:val="TOC1"/>
        <w:rPr>
          <w:rFonts w:asciiTheme="minorHAnsi" w:eastAsiaTheme="minorEastAsia" w:hAnsiTheme="minorHAnsi" w:cstheme="minorBidi"/>
          <w:noProof/>
          <w:szCs w:val="22"/>
          <w:lang w:eastAsia="en-US"/>
        </w:rPr>
      </w:pPr>
      <w:r>
        <w:fldChar w:fldCharType="begin"/>
      </w:r>
      <w:r>
        <w:instrText xml:space="preserve"> TOC \o "1-1" \h \z \u </w:instrText>
      </w:r>
      <w:r>
        <w:fldChar w:fldCharType="separate"/>
      </w:r>
      <w:hyperlink w:anchor="_Toc100660218" w:history="1">
        <w:r w:rsidR="00CF744B" w:rsidRPr="00855700">
          <w:rPr>
            <w:rStyle w:val="Hyperlink"/>
            <w:noProof/>
          </w:rPr>
          <w:t>Program and Budget Committee</w:t>
        </w:r>
        <w:r w:rsidR="00CF744B">
          <w:rPr>
            <w:noProof/>
            <w:webHidden/>
          </w:rPr>
          <w:tab/>
        </w:r>
        <w:r w:rsidR="00CF744B">
          <w:rPr>
            <w:noProof/>
            <w:webHidden/>
          </w:rPr>
          <w:fldChar w:fldCharType="begin"/>
        </w:r>
        <w:r w:rsidR="00CF744B">
          <w:rPr>
            <w:noProof/>
            <w:webHidden/>
          </w:rPr>
          <w:instrText xml:space="preserve"> PAGEREF _Toc100660218 \h </w:instrText>
        </w:r>
        <w:r w:rsidR="00CF744B">
          <w:rPr>
            <w:noProof/>
            <w:webHidden/>
          </w:rPr>
        </w:r>
        <w:r w:rsidR="00CF744B">
          <w:rPr>
            <w:noProof/>
            <w:webHidden/>
          </w:rPr>
          <w:fldChar w:fldCharType="separate"/>
        </w:r>
        <w:r w:rsidR="00CF744B">
          <w:rPr>
            <w:noProof/>
            <w:webHidden/>
          </w:rPr>
          <w:t>2</w:t>
        </w:r>
        <w:r w:rsidR="00CF744B">
          <w:rPr>
            <w:noProof/>
            <w:webHidden/>
          </w:rPr>
          <w:fldChar w:fldCharType="end"/>
        </w:r>
      </w:hyperlink>
    </w:p>
    <w:p w14:paraId="11AC0F0B" w14:textId="51ED42EC" w:rsidR="00CF744B" w:rsidRDefault="00B90E47">
      <w:pPr>
        <w:pStyle w:val="TOC1"/>
        <w:rPr>
          <w:rFonts w:asciiTheme="minorHAnsi" w:eastAsiaTheme="minorEastAsia" w:hAnsiTheme="minorHAnsi" w:cstheme="minorBidi"/>
          <w:noProof/>
          <w:szCs w:val="22"/>
          <w:lang w:eastAsia="en-US"/>
        </w:rPr>
      </w:pPr>
      <w:hyperlink w:anchor="_Toc100660219" w:history="1">
        <w:r w:rsidR="00CF744B" w:rsidRPr="00855700">
          <w:rPr>
            <w:rStyle w:val="Hyperlink"/>
            <w:noProof/>
          </w:rPr>
          <w:t>LIST OF ACRONYMS</w:t>
        </w:r>
        <w:r w:rsidR="00CF744B">
          <w:rPr>
            <w:noProof/>
            <w:webHidden/>
          </w:rPr>
          <w:tab/>
        </w:r>
        <w:r w:rsidR="00CF744B">
          <w:rPr>
            <w:noProof/>
            <w:webHidden/>
          </w:rPr>
          <w:fldChar w:fldCharType="begin"/>
        </w:r>
        <w:r w:rsidR="00CF744B">
          <w:rPr>
            <w:noProof/>
            <w:webHidden/>
          </w:rPr>
          <w:instrText xml:space="preserve"> PAGEREF _Toc100660219 \h </w:instrText>
        </w:r>
        <w:r w:rsidR="00CF744B">
          <w:rPr>
            <w:noProof/>
            <w:webHidden/>
          </w:rPr>
        </w:r>
        <w:r w:rsidR="00CF744B">
          <w:rPr>
            <w:noProof/>
            <w:webHidden/>
          </w:rPr>
          <w:fldChar w:fldCharType="separate"/>
        </w:r>
        <w:r w:rsidR="00CF744B">
          <w:rPr>
            <w:noProof/>
            <w:webHidden/>
          </w:rPr>
          <w:t>3</w:t>
        </w:r>
        <w:r w:rsidR="00CF744B">
          <w:rPr>
            <w:noProof/>
            <w:webHidden/>
          </w:rPr>
          <w:fldChar w:fldCharType="end"/>
        </w:r>
      </w:hyperlink>
    </w:p>
    <w:p w14:paraId="10C9D1F2" w14:textId="70784B6B" w:rsidR="00CF744B" w:rsidRDefault="00B90E47">
      <w:pPr>
        <w:pStyle w:val="TOC1"/>
        <w:rPr>
          <w:rFonts w:asciiTheme="minorHAnsi" w:eastAsiaTheme="minorEastAsia" w:hAnsiTheme="minorHAnsi" w:cstheme="minorBidi"/>
          <w:noProof/>
          <w:szCs w:val="22"/>
          <w:lang w:eastAsia="en-US"/>
        </w:rPr>
      </w:pPr>
      <w:hyperlink w:anchor="_Toc100660220" w:history="1">
        <w:r w:rsidR="00CF744B" w:rsidRPr="00855700">
          <w:rPr>
            <w:rStyle w:val="Hyperlink"/>
            <w:noProof/>
          </w:rPr>
          <w:t>BACKGROUND</w:t>
        </w:r>
        <w:r w:rsidR="00CF744B">
          <w:rPr>
            <w:noProof/>
            <w:webHidden/>
          </w:rPr>
          <w:tab/>
        </w:r>
        <w:r w:rsidR="00CF744B">
          <w:rPr>
            <w:noProof/>
            <w:webHidden/>
          </w:rPr>
          <w:fldChar w:fldCharType="begin"/>
        </w:r>
        <w:r w:rsidR="00CF744B">
          <w:rPr>
            <w:noProof/>
            <w:webHidden/>
          </w:rPr>
          <w:instrText xml:space="preserve"> PAGEREF _Toc100660220 \h </w:instrText>
        </w:r>
        <w:r w:rsidR="00CF744B">
          <w:rPr>
            <w:noProof/>
            <w:webHidden/>
          </w:rPr>
        </w:r>
        <w:r w:rsidR="00CF744B">
          <w:rPr>
            <w:noProof/>
            <w:webHidden/>
          </w:rPr>
          <w:fldChar w:fldCharType="separate"/>
        </w:r>
        <w:r w:rsidR="00CF744B">
          <w:rPr>
            <w:noProof/>
            <w:webHidden/>
          </w:rPr>
          <w:t>4</w:t>
        </w:r>
        <w:r w:rsidR="00CF744B">
          <w:rPr>
            <w:noProof/>
            <w:webHidden/>
          </w:rPr>
          <w:fldChar w:fldCharType="end"/>
        </w:r>
      </w:hyperlink>
    </w:p>
    <w:p w14:paraId="2987E631" w14:textId="21A19C0D" w:rsidR="00CF744B" w:rsidRDefault="00B90E47">
      <w:pPr>
        <w:pStyle w:val="TOC1"/>
        <w:rPr>
          <w:rFonts w:asciiTheme="minorHAnsi" w:eastAsiaTheme="minorEastAsia" w:hAnsiTheme="minorHAnsi" w:cstheme="minorBidi"/>
          <w:noProof/>
          <w:szCs w:val="22"/>
          <w:lang w:eastAsia="en-US"/>
        </w:rPr>
      </w:pPr>
      <w:hyperlink w:anchor="_Toc100660221" w:history="1">
        <w:r w:rsidR="00CF744B" w:rsidRPr="00855700">
          <w:rPr>
            <w:rStyle w:val="Hyperlink"/>
            <w:noProof/>
          </w:rPr>
          <w:t>SOME HIGHLIGHTS OF THE PERIOD</w:t>
        </w:r>
        <w:r w:rsidR="00CF744B">
          <w:rPr>
            <w:noProof/>
            <w:webHidden/>
          </w:rPr>
          <w:tab/>
        </w:r>
        <w:r w:rsidR="00CF744B">
          <w:rPr>
            <w:noProof/>
            <w:webHidden/>
          </w:rPr>
          <w:fldChar w:fldCharType="begin"/>
        </w:r>
        <w:r w:rsidR="00CF744B">
          <w:rPr>
            <w:noProof/>
            <w:webHidden/>
          </w:rPr>
          <w:instrText xml:space="preserve"> PAGEREF _Toc100660221 \h </w:instrText>
        </w:r>
        <w:r w:rsidR="00CF744B">
          <w:rPr>
            <w:noProof/>
            <w:webHidden/>
          </w:rPr>
        </w:r>
        <w:r w:rsidR="00CF744B">
          <w:rPr>
            <w:noProof/>
            <w:webHidden/>
          </w:rPr>
          <w:fldChar w:fldCharType="separate"/>
        </w:r>
        <w:r w:rsidR="00CF744B">
          <w:rPr>
            <w:noProof/>
            <w:webHidden/>
          </w:rPr>
          <w:t>4</w:t>
        </w:r>
        <w:r w:rsidR="00CF744B">
          <w:rPr>
            <w:noProof/>
            <w:webHidden/>
          </w:rPr>
          <w:fldChar w:fldCharType="end"/>
        </w:r>
      </w:hyperlink>
    </w:p>
    <w:p w14:paraId="5D969EE5" w14:textId="28FC5A82" w:rsidR="00CF744B" w:rsidRDefault="00B90E47">
      <w:pPr>
        <w:pStyle w:val="TOC1"/>
        <w:rPr>
          <w:rFonts w:asciiTheme="minorHAnsi" w:eastAsiaTheme="minorEastAsia" w:hAnsiTheme="minorHAnsi" w:cstheme="minorBidi"/>
          <w:noProof/>
          <w:szCs w:val="22"/>
          <w:lang w:eastAsia="en-US"/>
        </w:rPr>
      </w:pPr>
      <w:hyperlink w:anchor="_Toc100660222" w:history="1">
        <w:r w:rsidR="00CF744B" w:rsidRPr="00855700">
          <w:rPr>
            <w:rStyle w:val="Hyperlink"/>
            <w:noProof/>
          </w:rPr>
          <w:t>PLANNING PRINCIPLES</w:t>
        </w:r>
        <w:r w:rsidR="00CF744B">
          <w:rPr>
            <w:noProof/>
            <w:webHidden/>
          </w:rPr>
          <w:tab/>
        </w:r>
        <w:r w:rsidR="00CF744B">
          <w:rPr>
            <w:noProof/>
            <w:webHidden/>
          </w:rPr>
          <w:fldChar w:fldCharType="begin"/>
        </w:r>
        <w:r w:rsidR="00CF744B">
          <w:rPr>
            <w:noProof/>
            <w:webHidden/>
          </w:rPr>
          <w:instrText xml:space="preserve"> PAGEREF _Toc100660222 \h </w:instrText>
        </w:r>
        <w:r w:rsidR="00CF744B">
          <w:rPr>
            <w:noProof/>
            <w:webHidden/>
          </w:rPr>
        </w:r>
        <w:r w:rsidR="00CF744B">
          <w:rPr>
            <w:noProof/>
            <w:webHidden/>
          </w:rPr>
          <w:fldChar w:fldCharType="separate"/>
        </w:r>
        <w:r w:rsidR="00CF744B">
          <w:rPr>
            <w:noProof/>
            <w:webHidden/>
          </w:rPr>
          <w:t>5</w:t>
        </w:r>
        <w:r w:rsidR="00CF744B">
          <w:rPr>
            <w:noProof/>
            <w:webHidden/>
          </w:rPr>
          <w:fldChar w:fldCharType="end"/>
        </w:r>
      </w:hyperlink>
    </w:p>
    <w:p w14:paraId="765AA0C3" w14:textId="562A11ED" w:rsidR="00CF744B" w:rsidRDefault="00B90E47">
      <w:pPr>
        <w:pStyle w:val="TOC1"/>
        <w:rPr>
          <w:rFonts w:asciiTheme="minorHAnsi" w:eastAsiaTheme="minorEastAsia" w:hAnsiTheme="minorHAnsi" w:cstheme="minorBidi"/>
          <w:noProof/>
          <w:szCs w:val="22"/>
          <w:lang w:eastAsia="en-US"/>
        </w:rPr>
      </w:pPr>
      <w:hyperlink w:anchor="_Toc100660223" w:history="1">
        <w:r w:rsidR="00CF744B" w:rsidRPr="00855700">
          <w:rPr>
            <w:rStyle w:val="Hyperlink"/>
            <w:noProof/>
          </w:rPr>
          <w:t>PROFESSIONAL STANDARDS</w:t>
        </w:r>
        <w:r w:rsidR="00CF744B">
          <w:rPr>
            <w:noProof/>
            <w:webHidden/>
          </w:rPr>
          <w:tab/>
        </w:r>
        <w:r w:rsidR="00CF744B">
          <w:rPr>
            <w:noProof/>
            <w:webHidden/>
          </w:rPr>
          <w:fldChar w:fldCharType="begin"/>
        </w:r>
        <w:r w:rsidR="00CF744B">
          <w:rPr>
            <w:noProof/>
            <w:webHidden/>
          </w:rPr>
          <w:instrText xml:space="preserve"> PAGEREF _Toc100660223 \h </w:instrText>
        </w:r>
        <w:r w:rsidR="00CF744B">
          <w:rPr>
            <w:noProof/>
            <w:webHidden/>
          </w:rPr>
        </w:r>
        <w:r w:rsidR="00CF744B">
          <w:rPr>
            <w:noProof/>
            <w:webHidden/>
          </w:rPr>
          <w:fldChar w:fldCharType="separate"/>
        </w:r>
        <w:r w:rsidR="00CF744B">
          <w:rPr>
            <w:noProof/>
            <w:webHidden/>
          </w:rPr>
          <w:t>5</w:t>
        </w:r>
        <w:r w:rsidR="00CF744B">
          <w:rPr>
            <w:noProof/>
            <w:webHidden/>
          </w:rPr>
          <w:fldChar w:fldCharType="end"/>
        </w:r>
      </w:hyperlink>
    </w:p>
    <w:p w14:paraId="0DD6566C" w14:textId="73E5D7F6" w:rsidR="00CF744B" w:rsidRDefault="00B90E47">
      <w:pPr>
        <w:pStyle w:val="TOC1"/>
        <w:rPr>
          <w:rFonts w:asciiTheme="minorHAnsi" w:eastAsiaTheme="minorEastAsia" w:hAnsiTheme="minorHAnsi" w:cstheme="minorBidi"/>
          <w:noProof/>
          <w:szCs w:val="22"/>
          <w:lang w:eastAsia="en-US"/>
        </w:rPr>
      </w:pPr>
      <w:hyperlink w:anchor="_Toc100660224" w:history="1">
        <w:r w:rsidR="00CF744B" w:rsidRPr="00855700">
          <w:rPr>
            <w:rStyle w:val="Hyperlink"/>
            <w:noProof/>
          </w:rPr>
          <w:t>GENDER MAINSTREAMING</w:t>
        </w:r>
        <w:r w:rsidR="00CF744B">
          <w:rPr>
            <w:noProof/>
            <w:webHidden/>
          </w:rPr>
          <w:tab/>
        </w:r>
        <w:r w:rsidR="00CF744B">
          <w:rPr>
            <w:noProof/>
            <w:webHidden/>
          </w:rPr>
          <w:fldChar w:fldCharType="begin"/>
        </w:r>
        <w:r w:rsidR="00CF744B">
          <w:rPr>
            <w:noProof/>
            <w:webHidden/>
          </w:rPr>
          <w:instrText xml:space="preserve"> PAGEREF _Toc100660224 \h </w:instrText>
        </w:r>
        <w:r w:rsidR="00CF744B">
          <w:rPr>
            <w:noProof/>
            <w:webHidden/>
          </w:rPr>
        </w:r>
        <w:r w:rsidR="00CF744B">
          <w:rPr>
            <w:noProof/>
            <w:webHidden/>
          </w:rPr>
          <w:fldChar w:fldCharType="separate"/>
        </w:r>
        <w:r w:rsidR="00CF744B">
          <w:rPr>
            <w:noProof/>
            <w:webHidden/>
          </w:rPr>
          <w:t>5</w:t>
        </w:r>
        <w:r w:rsidR="00CF744B">
          <w:rPr>
            <w:noProof/>
            <w:webHidden/>
          </w:rPr>
          <w:fldChar w:fldCharType="end"/>
        </w:r>
      </w:hyperlink>
    </w:p>
    <w:p w14:paraId="72BE3131" w14:textId="5C3ACE36" w:rsidR="00CF744B" w:rsidRDefault="00B90E47">
      <w:pPr>
        <w:pStyle w:val="TOC1"/>
        <w:rPr>
          <w:rFonts w:asciiTheme="minorHAnsi" w:eastAsiaTheme="minorEastAsia" w:hAnsiTheme="minorHAnsi" w:cstheme="minorBidi"/>
          <w:noProof/>
          <w:szCs w:val="22"/>
          <w:lang w:eastAsia="en-US"/>
        </w:rPr>
      </w:pPr>
      <w:hyperlink w:anchor="_Toc100660225" w:history="1">
        <w:r w:rsidR="00CF744B" w:rsidRPr="00855700">
          <w:rPr>
            <w:rStyle w:val="Hyperlink"/>
            <w:noProof/>
          </w:rPr>
          <w:t>KEY FINDINGS AND HIGH PRIORITY OVERSIGHT RECOMMENDATIONS</w:t>
        </w:r>
        <w:r w:rsidR="00CF744B">
          <w:rPr>
            <w:noProof/>
            <w:webHidden/>
          </w:rPr>
          <w:tab/>
        </w:r>
        <w:r w:rsidR="00CF744B">
          <w:rPr>
            <w:noProof/>
            <w:webHidden/>
          </w:rPr>
          <w:fldChar w:fldCharType="begin"/>
        </w:r>
        <w:r w:rsidR="00CF744B">
          <w:rPr>
            <w:noProof/>
            <w:webHidden/>
          </w:rPr>
          <w:instrText xml:space="preserve"> PAGEREF _Toc100660225 \h </w:instrText>
        </w:r>
        <w:r w:rsidR="00CF744B">
          <w:rPr>
            <w:noProof/>
            <w:webHidden/>
          </w:rPr>
        </w:r>
        <w:r w:rsidR="00CF744B">
          <w:rPr>
            <w:noProof/>
            <w:webHidden/>
          </w:rPr>
          <w:fldChar w:fldCharType="separate"/>
        </w:r>
        <w:r w:rsidR="00CF744B">
          <w:rPr>
            <w:noProof/>
            <w:webHidden/>
          </w:rPr>
          <w:t>6</w:t>
        </w:r>
        <w:r w:rsidR="00CF744B">
          <w:rPr>
            <w:noProof/>
            <w:webHidden/>
          </w:rPr>
          <w:fldChar w:fldCharType="end"/>
        </w:r>
      </w:hyperlink>
    </w:p>
    <w:p w14:paraId="05721B57" w14:textId="5CA88AF5" w:rsidR="00CF744B" w:rsidRDefault="00B90E47">
      <w:pPr>
        <w:pStyle w:val="TOC1"/>
        <w:rPr>
          <w:rFonts w:asciiTheme="minorHAnsi" w:eastAsiaTheme="minorEastAsia" w:hAnsiTheme="minorHAnsi" w:cstheme="minorBidi"/>
          <w:noProof/>
          <w:szCs w:val="22"/>
          <w:lang w:eastAsia="en-US"/>
        </w:rPr>
      </w:pPr>
      <w:hyperlink w:anchor="_Toc100660226" w:history="1">
        <w:r w:rsidR="00CF744B" w:rsidRPr="00855700">
          <w:rPr>
            <w:rStyle w:val="Hyperlink"/>
            <w:noProof/>
          </w:rPr>
          <w:t>REPORTED ENGAGEMENTS IN 2021</w:t>
        </w:r>
        <w:r w:rsidR="00CF744B">
          <w:rPr>
            <w:noProof/>
            <w:webHidden/>
          </w:rPr>
          <w:tab/>
        </w:r>
        <w:r w:rsidR="00CF744B">
          <w:rPr>
            <w:noProof/>
            <w:webHidden/>
          </w:rPr>
          <w:fldChar w:fldCharType="begin"/>
        </w:r>
        <w:r w:rsidR="00CF744B">
          <w:rPr>
            <w:noProof/>
            <w:webHidden/>
          </w:rPr>
          <w:instrText xml:space="preserve"> PAGEREF _Toc100660226 \h </w:instrText>
        </w:r>
        <w:r w:rsidR="00CF744B">
          <w:rPr>
            <w:noProof/>
            <w:webHidden/>
          </w:rPr>
        </w:r>
        <w:r w:rsidR="00CF744B">
          <w:rPr>
            <w:noProof/>
            <w:webHidden/>
          </w:rPr>
          <w:fldChar w:fldCharType="separate"/>
        </w:r>
        <w:r w:rsidR="00CF744B">
          <w:rPr>
            <w:noProof/>
            <w:webHidden/>
          </w:rPr>
          <w:t>6</w:t>
        </w:r>
        <w:r w:rsidR="00CF744B">
          <w:rPr>
            <w:noProof/>
            <w:webHidden/>
          </w:rPr>
          <w:fldChar w:fldCharType="end"/>
        </w:r>
      </w:hyperlink>
    </w:p>
    <w:p w14:paraId="058F99DF" w14:textId="7BF983A1" w:rsidR="00CF744B" w:rsidRDefault="00B90E47">
      <w:pPr>
        <w:pStyle w:val="TOC1"/>
        <w:rPr>
          <w:rFonts w:asciiTheme="minorHAnsi" w:eastAsiaTheme="minorEastAsia" w:hAnsiTheme="minorHAnsi" w:cstheme="minorBidi"/>
          <w:noProof/>
          <w:szCs w:val="22"/>
          <w:lang w:eastAsia="en-US"/>
        </w:rPr>
      </w:pPr>
      <w:hyperlink w:anchor="_Toc100660227" w:history="1">
        <w:r w:rsidR="00CF744B" w:rsidRPr="00855700">
          <w:rPr>
            <w:rStyle w:val="Hyperlink"/>
            <w:noProof/>
          </w:rPr>
          <w:t>ENGAGEMENTS STARTED END 2021</w:t>
        </w:r>
        <w:r w:rsidR="00CF744B">
          <w:rPr>
            <w:noProof/>
            <w:webHidden/>
          </w:rPr>
          <w:tab/>
        </w:r>
        <w:r w:rsidR="00CF744B">
          <w:rPr>
            <w:noProof/>
            <w:webHidden/>
          </w:rPr>
          <w:fldChar w:fldCharType="begin"/>
        </w:r>
        <w:r w:rsidR="00CF744B">
          <w:rPr>
            <w:noProof/>
            <w:webHidden/>
          </w:rPr>
          <w:instrText xml:space="preserve"> PAGEREF _Toc100660227 \h </w:instrText>
        </w:r>
        <w:r w:rsidR="00CF744B">
          <w:rPr>
            <w:noProof/>
            <w:webHidden/>
          </w:rPr>
        </w:r>
        <w:r w:rsidR="00CF744B">
          <w:rPr>
            <w:noProof/>
            <w:webHidden/>
          </w:rPr>
          <w:fldChar w:fldCharType="separate"/>
        </w:r>
        <w:r w:rsidR="00CF744B">
          <w:rPr>
            <w:noProof/>
            <w:webHidden/>
          </w:rPr>
          <w:t>13</w:t>
        </w:r>
        <w:r w:rsidR="00CF744B">
          <w:rPr>
            <w:noProof/>
            <w:webHidden/>
          </w:rPr>
          <w:fldChar w:fldCharType="end"/>
        </w:r>
      </w:hyperlink>
    </w:p>
    <w:p w14:paraId="710EBB81" w14:textId="3C152653" w:rsidR="00CF744B" w:rsidRDefault="00B90E47">
      <w:pPr>
        <w:pStyle w:val="TOC1"/>
        <w:rPr>
          <w:rFonts w:asciiTheme="minorHAnsi" w:eastAsiaTheme="minorEastAsia" w:hAnsiTheme="minorHAnsi" w:cstheme="minorBidi"/>
          <w:noProof/>
          <w:szCs w:val="22"/>
          <w:lang w:eastAsia="en-US"/>
        </w:rPr>
      </w:pPr>
      <w:hyperlink w:anchor="_Toc100660228" w:history="1">
        <w:r w:rsidR="00CF744B" w:rsidRPr="00855700">
          <w:rPr>
            <w:rStyle w:val="Hyperlink"/>
            <w:noProof/>
          </w:rPr>
          <w:t>INVESTIGATIVE ACTIVITIES</w:t>
        </w:r>
        <w:r w:rsidR="00CF744B">
          <w:rPr>
            <w:noProof/>
            <w:webHidden/>
          </w:rPr>
          <w:tab/>
        </w:r>
        <w:r w:rsidR="00CF744B">
          <w:rPr>
            <w:noProof/>
            <w:webHidden/>
          </w:rPr>
          <w:fldChar w:fldCharType="begin"/>
        </w:r>
        <w:r w:rsidR="00CF744B">
          <w:rPr>
            <w:noProof/>
            <w:webHidden/>
          </w:rPr>
          <w:instrText xml:space="preserve"> PAGEREF _Toc100660228 \h </w:instrText>
        </w:r>
        <w:r w:rsidR="00CF744B">
          <w:rPr>
            <w:noProof/>
            <w:webHidden/>
          </w:rPr>
        </w:r>
        <w:r w:rsidR="00CF744B">
          <w:rPr>
            <w:noProof/>
            <w:webHidden/>
          </w:rPr>
          <w:fldChar w:fldCharType="separate"/>
        </w:r>
        <w:r w:rsidR="00CF744B">
          <w:rPr>
            <w:noProof/>
            <w:webHidden/>
          </w:rPr>
          <w:t>15</w:t>
        </w:r>
        <w:r w:rsidR="00CF744B">
          <w:rPr>
            <w:noProof/>
            <w:webHidden/>
          </w:rPr>
          <w:fldChar w:fldCharType="end"/>
        </w:r>
      </w:hyperlink>
    </w:p>
    <w:p w14:paraId="5D3C263E" w14:textId="2012857D" w:rsidR="00CF744B" w:rsidRDefault="00B90E47">
      <w:pPr>
        <w:pStyle w:val="TOC1"/>
        <w:rPr>
          <w:rFonts w:asciiTheme="minorHAnsi" w:eastAsiaTheme="minorEastAsia" w:hAnsiTheme="minorHAnsi" w:cstheme="minorBidi"/>
          <w:noProof/>
          <w:szCs w:val="22"/>
          <w:lang w:eastAsia="en-US"/>
        </w:rPr>
      </w:pPr>
      <w:hyperlink w:anchor="_Toc100660229" w:history="1">
        <w:r w:rsidR="00CF744B" w:rsidRPr="00855700">
          <w:rPr>
            <w:rStyle w:val="Hyperlink"/>
            <w:noProof/>
          </w:rPr>
          <w:t>INSTANCES WHERE INFORMATION OR ASSISTANCE WAS REFUSED</w:t>
        </w:r>
        <w:r w:rsidR="00CF744B">
          <w:rPr>
            <w:noProof/>
            <w:webHidden/>
          </w:rPr>
          <w:tab/>
        </w:r>
        <w:r w:rsidR="00CF744B">
          <w:rPr>
            <w:noProof/>
            <w:webHidden/>
          </w:rPr>
          <w:fldChar w:fldCharType="begin"/>
        </w:r>
        <w:r w:rsidR="00CF744B">
          <w:rPr>
            <w:noProof/>
            <w:webHidden/>
          </w:rPr>
          <w:instrText xml:space="preserve"> PAGEREF _Toc100660229 \h </w:instrText>
        </w:r>
        <w:r w:rsidR="00CF744B">
          <w:rPr>
            <w:noProof/>
            <w:webHidden/>
          </w:rPr>
        </w:r>
        <w:r w:rsidR="00CF744B">
          <w:rPr>
            <w:noProof/>
            <w:webHidden/>
          </w:rPr>
          <w:fldChar w:fldCharType="separate"/>
        </w:r>
        <w:r w:rsidR="00CF744B">
          <w:rPr>
            <w:noProof/>
            <w:webHidden/>
          </w:rPr>
          <w:t>18</w:t>
        </w:r>
        <w:r w:rsidR="00CF744B">
          <w:rPr>
            <w:noProof/>
            <w:webHidden/>
          </w:rPr>
          <w:fldChar w:fldCharType="end"/>
        </w:r>
      </w:hyperlink>
    </w:p>
    <w:p w14:paraId="67940564" w14:textId="21450091" w:rsidR="00CF744B" w:rsidRDefault="00B90E47">
      <w:pPr>
        <w:pStyle w:val="TOC1"/>
        <w:rPr>
          <w:rFonts w:asciiTheme="minorHAnsi" w:eastAsiaTheme="minorEastAsia" w:hAnsiTheme="minorHAnsi" w:cstheme="minorBidi"/>
          <w:noProof/>
          <w:szCs w:val="22"/>
          <w:lang w:eastAsia="en-US"/>
        </w:rPr>
      </w:pPr>
      <w:hyperlink w:anchor="_Toc100660230" w:history="1">
        <w:r w:rsidR="00CF744B" w:rsidRPr="00855700">
          <w:rPr>
            <w:rStyle w:val="Hyperlink"/>
            <w:noProof/>
          </w:rPr>
          <w:t>STATUS OF IMPLEMENTATION OF OVERSIGHT RECOMMENDATIONS</w:t>
        </w:r>
        <w:r w:rsidR="00CF744B">
          <w:rPr>
            <w:noProof/>
            <w:webHidden/>
          </w:rPr>
          <w:tab/>
        </w:r>
        <w:r w:rsidR="00CF744B">
          <w:rPr>
            <w:noProof/>
            <w:webHidden/>
          </w:rPr>
          <w:fldChar w:fldCharType="begin"/>
        </w:r>
        <w:r w:rsidR="00CF744B">
          <w:rPr>
            <w:noProof/>
            <w:webHidden/>
          </w:rPr>
          <w:instrText xml:space="preserve"> PAGEREF _Toc100660230 \h </w:instrText>
        </w:r>
        <w:r w:rsidR="00CF744B">
          <w:rPr>
            <w:noProof/>
            <w:webHidden/>
          </w:rPr>
        </w:r>
        <w:r w:rsidR="00CF744B">
          <w:rPr>
            <w:noProof/>
            <w:webHidden/>
          </w:rPr>
          <w:fldChar w:fldCharType="separate"/>
        </w:r>
        <w:r w:rsidR="00CF744B">
          <w:rPr>
            <w:noProof/>
            <w:webHidden/>
          </w:rPr>
          <w:t>18</w:t>
        </w:r>
        <w:r w:rsidR="00CF744B">
          <w:rPr>
            <w:noProof/>
            <w:webHidden/>
          </w:rPr>
          <w:fldChar w:fldCharType="end"/>
        </w:r>
      </w:hyperlink>
    </w:p>
    <w:p w14:paraId="349FCA9C" w14:textId="4DA1C51B" w:rsidR="00CF744B" w:rsidRDefault="00B90E47">
      <w:pPr>
        <w:pStyle w:val="TOC1"/>
        <w:rPr>
          <w:rFonts w:asciiTheme="minorHAnsi" w:eastAsiaTheme="minorEastAsia" w:hAnsiTheme="minorHAnsi" w:cstheme="minorBidi"/>
          <w:noProof/>
          <w:szCs w:val="22"/>
          <w:lang w:eastAsia="en-US"/>
        </w:rPr>
      </w:pPr>
      <w:hyperlink w:anchor="_Toc100660231" w:history="1">
        <w:r w:rsidR="00CF744B" w:rsidRPr="00855700">
          <w:rPr>
            <w:rStyle w:val="Hyperlink"/>
            <w:noProof/>
          </w:rPr>
          <w:t>CONSULTATIVE AND ADVISORY OVERSIGHT WORK</w:t>
        </w:r>
        <w:r w:rsidR="00CF744B">
          <w:rPr>
            <w:noProof/>
            <w:webHidden/>
          </w:rPr>
          <w:tab/>
        </w:r>
        <w:r w:rsidR="00CF744B">
          <w:rPr>
            <w:noProof/>
            <w:webHidden/>
          </w:rPr>
          <w:fldChar w:fldCharType="begin"/>
        </w:r>
        <w:r w:rsidR="00CF744B">
          <w:rPr>
            <w:noProof/>
            <w:webHidden/>
          </w:rPr>
          <w:instrText xml:space="preserve"> PAGEREF _Toc100660231 \h </w:instrText>
        </w:r>
        <w:r w:rsidR="00CF744B">
          <w:rPr>
            <w:noProof/>
            <w:webHidden/>
          </w:rPr>
        </w:r>
        <w:r w:rsidR="00CF744B">
          <w:rPr>
            <w:noProof/>
            <w:webHidden/>
          </w:rPr>
          <w:fldChar w:fldCharType="separate"/>
        </w:r>
        <w:r w:rsidR="00CF744B">
          <w:rPr>
            <w:noProof/>
            <w:webHidden/>
          </w:rPr>
          <w:t>20</w:t>
        </w:r>
        <w:r w:rsidR="00CF744B">
          <w:rPr>
            <w:noProof/>
            <w:webHidden/>
          </w:rPr>
          <w:fldChar w:fldCharType="end"/>
        </w:r>
      </w:hyperlink>
    </w:p>
    <w:p w14:paraId="712C911E" w14:textId="13E4C25E" w:rsidR="00CF744B" w:rsidRDefault="00B90E47">
      <w:pPr>
        <w:pStyle w:val="TOC1"/>
        <w:rPr>
          <w:rFonts w:asciiTheme="minorHAnsi" w:eastAsiaTheme="minorEastAsia" w:hAnsiTheme="minorHAnsi" w:cstheme="minorBidi"/>
          <w:noProof/>
          <w:szCs w:val="22"/>
          <w:lang w:eastAsia="en-US"/>
        </w:rPr>
      </w:pPr>
      <w:hyperlink w:anchor="_Toc100660232" w:history="1">
        <w:r w:rsidR="00CF744B" w:rsidRPr="00855700">
          <w:rPr>
            <w:rStyle w:val="Hyperlink"/>
            <w:noProof/>
          </w:rPr>
          <w:t>COOPERATION WITH EXTERNAL OVERSIGHT BODIES</w:t>
        </w:r>
        <w:r w:rsidR="00CF744B">
          <w:rPr>
            <w:noProof/>
            <w:webHidden/>
          </w:rPr>
          <w:tab/>
        </w:r>
        <w:r w:rsidR="00CF744B">
          <w:rPr>
            <w:noProof/>
            <w:webHidden/>
          </w:rPr>
          <w:fldChar w:fldCharType="begin"/>
        </w:r>
        <w:r w:rsidR="00CF744B">
          <w:rPr>
            <w:noProof/>
            <w:webHidden/>
          </w:rPr>
          <w:instrText xml:space="preserve"> PAGEREF _Toc100660232 \h </w:instrText>
        </w:r>
        <w:r w:rsidR="00CF744B">
          <w:rPr>
            <w:noProof/>
            <w:webHidden/>
          </w:rPr>
        </w:r>
        <w:r w:rsidR="00CF744B">
          <w:rPr>
            <w:noProof/>
            <w:webHidden/>
          </w:rPr>
          <w:fldChar w:fldCharType="separate"/>
        </w:r>
        <w:r w:rsidR="00CF744B">
          <w:rPr>
            <w:noProof/>
            <w:webHidden/>
          </w:rPr>
          <w:t>21</w:t>
        </w:r>
        <w:r w:rsidR="00CF744B">
          <w:rPr>
            <w:noProof/>
            <w:webHidden/>
          </w:rPr>
          <w:fldChar w:fldCharType="end"/>
        </w:r>
      </w:hyperlink>
    </w:p>
    <w:p w14:paraId="55C832EB" w14:textId="74C61D4E" w:rsidR="00CF744B" w:rsidRDefault="00B90E47">
      <w:pPr>
        <w:pStyle w:val="TOC1"/>
        <w:rPr>
          <w:rFonts w:asciiTheme="minorHAnsi" w:eastAsiaTheme="minorEastAsia" w:hAnsiTheme="minorHAnsi" w:cstheme="minorBidi"/>
          <w:noProof/>
          <w:szCs w:val="22"/>
          <w:lang w:eastAsia="en-US"/>
        </w:rPr>
      </w:pPr>
      <w:hyperlink w:anchor="_Toc100660233" w:history="1">
        <w:r w:rsidR="00CF744B" w:rsidRPr="00855700">
          <w:rPr>
            <w:rStyle w:val="Hyperlink"/>
            <w:noProof/>
          </w:rPr>
          <w:t>OTHER OVERSIGHT WORK</w:t>
        </w:r>
        <w:r w:rsidR="00CF744B">
          <w:rPr>
            <w:noProof/>
            <w:webHidden/>
          </w:rPr>
          <w:tab/>
        </w:r>
        <w:r w:rsidR="00CF744B">
          <w:rPr>
            <w:noProof/>
            <w:webHidden/>
          </w:rPr>
          <w:fldChar w:fldCharType="begin"/>
        </w:r>
        <w:r w:rsidR="00CF744B">
          <w:rPr>
            <w:noProof/>
            <w:webHidden/>
          </w:rPr>
          <w:instrText xml:space="preserve"> PAGEREF _Toc100660233 \h </w:instrText>
        </w:r>
        <w:r w:rsidR="00CF744B">
          <w:rPr>
            <w:noProof/>
            <w:webHidden/>
          </w:rPr>
        </w:r>
        <w:r w:rsidR="00CF744B">
          <w:rPr>
            <w:noProof/>
            <w:webHidden/>
          </w:rPr>
          <w:fldChar w:fldCharType="separate"/>
        </w:r>
        <w:r w:rsidR="00CF744B">
          <w:rPr>
            <w:noProof/>
            <w:webHidden/>
          </w:rPr>
          <w:t>21</w:t>
        </w:r>
        <w:r w:rsidR="00CF744B">
          <w:rPr>
            <w:noProof/>
            <w:webHidden/>
          </w:rPr>
          <w:fldChar w:fldCharType="end"/>
        </w:r>
      </w:hyperlink>
    </w:p>
    <w:p w14:paraId="7C56477F" w14:textId="6069BB41" w:rsidR="00CF744B" w:rsidRDefault="00B90E47">
      <w:pPr>
        <w:pStyle w:val="TOC1"/>
        <w:rPr>
          <w:rFonts w:asciiTheme="minorHAnsi" w:eastAsiaTheme="minorEastAsia" w:hAnsiTheme="minorHAnsi" w:cstheme="minorBidi"/>
          <w:noProof/>
          <w:szCs w:val="22"/>
          <w:lang w:eastAsia="en-US"/>
        </w:rPr>
      </w:pPr>
      <w:hyperlink w:anchor="_Toc100660234" w:history="1">
        <w:r w:rsidR="00CF744B" w:rsidRPr="00855700">
          <w:rPr>
            <w:rStyle w:val="Hyperlink"/>
            <w:noProof/>
          </w:rPr>
          <w:t>IOD QUALITY ASSURANCE AND IMPROVEMENT PROGRAM</w:t>
        </w:r>
        <w:r w:rsidR="00CF744B">
          <w:rPr>
            <w:noProof/>
            <w:webHidden/>
          </w:rPr>
          <w:tab/>
        </w:r>
        <w:r w:rsidR="00CF744B">
          <w:rPr>
            <w:noProof/>
            <w:webHidden/>
          </w:rPr>
          <w:fldChar w:fldCharType="begin"/>
        </w:r>
        <w:r w:rsidR="00CF744B">
          <w:rPr>
            <w:noProof/>
            <w:webHidden/>
          </w:rPr>
          <w:instrText xml:space="preserve"> PAGEREF _Toc100660234 \h </w:instrText>
        </w:r>
        <w:r w:rsidR="00CF744B">
          <w:rPr>
            <w:noProof/>
            <w:webHidden/>
          </w:rPr>
        </w:r>
        <w:r w:rsidR="00CF744B">
          <w:rPr>
            <w:noProof/>
            <w:webHidden/>
          </w:rPr>
          <w:fldChar w:fldCharType="separate"/>
        </w:r>
        <w:r w:rsidR="00CF744B">
          <w:rPr>
            <w:noProof/>
            <w:webHidden/>
          </w:rPr>
          <w:t>22</w:t>
        </w:r>
        <w:r w:rsidR="00CF744B">
          <w:rPr>
            <w:noProof/>
            <w:webHidden/>
          </w:rPr>
          <w:fldChar w:fldCharType="end"/>
        </w:r>
      </w:hyperlink>
    </w:p>
    <w:p w14:paraId="1501C315" w14:textId="17401421" w:rsidR="00CF744B" w:rsidRDefault="00B90E47">
      <w:pPr>
        <w:pStyle w:val="TOC1"/>
        <w:rPr>
          <w:rFonts w:asciiTheme="minorHAnsi" w:eastAsiaTheme="minorEastAsia" w:hAnsiTheme="minorHAnsi" w:cstheme="minorBidi"/>
          <w:noProof/>
          <w:szCs w:val="22"/>
          <w:lang w:eastAsia="en-US"/>
        </w:rPr>
      </w:pPr>
      <w:hyperlink w:anchor="_Toc100660235" w:history="1">
        <w:r w:rsidR="00CF744B" w:rsidRPr="00855700">
          <w:rPr>
            <w:rStyle w:val="Hyperlink"/>
            <w:noProof/>
          </w:rPr>
          <w:t>OVERSIGHT RESOURCES</w:t>
        </w:r>
        <w:r w:rsidR="00CF744B">
          <w:rPr>
            <w:noProof/>
            <w:webHidden/>
          </w:rPr>
          <w:tab/>
        </w:r>
        <w:r w:rsidR="00CF744B">
          <w:rPr>
            <w:noProof/>
            <w:webHidden/>
          </w:rPr>
          <w:fldChar w:fldCharType="begin"/>
        </w:r>
        <w:r w:rsidR="00CF744B">
          <w:rPr>
            <w:noProof/>
            <w:webHidden/>
          </w:rPr>
          <w:instrText xml:space="preserve"> PAGEREF _Toc100660235 \h </w:instrText>
        </w:r>
        <w:r w:rsidR="00CF744B">
          <w:rPr>
            <w:noProof/>
            <w:webHidden/>
          </w:rPr>
        </w:r>
        <w:r w:rsidR="00CF744B">
          <w:rPr>
            <w:noProof/>
            <w:webHidden/>
          </w:rPr>
          <w:fldChar w:fldCharType="separate"/>
        </w:r>
        <w:r w:rsidR="00CF744B">
          <w:rPr>
            <w:noProof/>
            <w:webHidden/>
          </w:rPr>
          <w:t>23</w:t>
        </w:r>
        <w:r w:rsidR="00CF744B">
          <w:rPr>
            <w:noProof/>
            <w:webHidden/>
          </w:rPr>
          <w:fldChar w:fldCharType="end"/>
        </w:r>
      </w:hyperlink>
    </w:p>
    <w:p w14:paraId="37F22DEE" w14:textId="0BC93B29" w:rsidR="00C46B12" w:rsidRPr="00520248" w:rsidRDefault="007159D2" w:rsidP="00C46B12">
      <w:pPr>
        <w:keepLines/>
        <w:tabs>
          <w:tab w:val="left" w:leader="dot" w:pos="8910"/>
        </w:tabs>
        <w:spacing w:before="240" w:after="120" w:line="360" w:lineRule="auto"/>
        <w:rPr>
          <w:b/>
        </w:rPr>
      </w:pPr>
      <w:r>
        <w:fldChar w:fldCharType="end"/>
      </w:r>
    </w:p>
    <w:p w14:paraId="60D8E205" w14:textId="77777777" w:rsidR="00C46B12" w:rsidRDefault="00C46B12" w:rsidP="00C46B12">
      <w:pPr>
        <w:keepLines/>
        <w:tabs>
          <w:tab w:val="left" w:pos="1134"/>
          <w:tab w:val="left" w:pos="1560"/>
        </w:tabs>
        <w:rPr>
          <w:noProof/>
        </w:rPr>
      </w:pPr>
      <w:r>
        <w:rPr>
          <w:noProof/>
        </w:rPr>
        <w:t xml:space="preserve">ANNEX </w:t>
      </w:r>
      <w:r>
        <w:rPr>
          <w:noProof/>
        </w:rPr>
        <w:tab/>
      </w:r>
      <w:r w:rsidRPr="00DA5DBB">
        <w:rPr>
          <w:noProof/>
        </w:rPr>
        <w:t xml:space="preserve">– </w:t>
      </w:r>
      <w:r>
        <w:rPr>
          <w:noProof/>
        </w:rPr>
        <w:tab/>
        <w:t>List of IOD r</w:t>
      </w:r>
      <w:r w:rsidRPr="00DA5DBB">
        <w:rPr>
          <w:noProof/>
        </w:rPr>
        <w:t>eports</w:t>
      </w:r>
      <w:r>
        <w:rPr>
          <w:noProof/>
        </w:rPr>
        <w:t xml:space="preserve"> </w:t>
      </w:r>
    </w:p>
    <w:p w14:paraId="7B63BC7E" w14:textId="77777777" w:rsidR="00C46B12" w:rsidRDefault="00C46B12" w:rsidP="00C46B12">
      <w:pPr>
        <w:rPr>
          <w:b/>
          <w:bCs/>
          <w:caps/>
          <w:kern w:val="32"/>
          <w:szCs w:val="32"/>
        </w:rPr>
      </w:pPr>
      <w:r>
        <w:br w:type="page"/>
      </w:r>
    </w:p>
    <w:p w14:paraId="3C433671" w14:textId="77777777" w:rsidR="00C46B12" w:rsidRDefault="00C46B12" w:rsidP="00C46B12">
      <w:pPr>
        <w:pStyle w:val="Heading1"/>
      </w:pPr>
      <w:bookmarkStart w:id="8" w:name="_Toc39071243"/>
      <w:bookmarkStart w:id="9" w:name="_Toc100660219"/>
      <w:r>
        <w:lastRenderedPageBreak/>
        <w:t>LIST OF ACRONYMS</w:t>
      </w:r>
      <w:bookmarkEnd w:id="8"/>
      <w:bookmarkEnd w:id="9"/>
    </w:p>
    <w:p w14:paraId="798C72E0" w14:textId="77777777" w:rsidR="007159D2" w:rsidRPr="007159D2" w:rsidRDefault="007159D2" w:rsidP="007159D2"/>
    <w:tbl>
      <w:tblPr>
        <w:tblStyle w:val="TableGridLight"/>
        <w:tblW w:w="0" w:type="auto"/>
        <w:tblLook w:val="01E0" w:firstRow="1" w:lastRow="1" w:firstColumn="1" w:lastColumn="1" w:noHBand="0" w:noVBand="0"/>
        <w:tblCaption w:val="List of acronyms"/>
        <w:tblDescription w:val="List of acronyms used in the document"/>
      </w:tblPr>
      <w:tblGrid>
        <w:gridCol w:w="1701"/>
        <w:gridCol w:w="7230"/>
      </w:tblGrid>
      <w:tr w:rsidR="0066080A" w:rsidRPr="00DF27E3" w14:paraId="73F13E3C" w14:textId="77777777" w:rsidTr="00335B35">
        <w:trPr>
          <w:trHeight w:val="340"/>
          <w:tblHeader/>
        </w:trPr>
        <w:tc>
          <w:tcPr>
            <w:tcW w:w="1701" w:type="dxa"/>
            <w:shd w:val="clear" w:color="auto" w:fill="auto"/>
          </w:tcPr>
          <w:p w14:paraId="1C1FF5CF" w14:textId="77777777" w:rsidR="0066080A" w:rsidRPr="00913CE2" w:rsidRDefault="0066080A" w:rsidP="00524F64">
            <w:pPr>
              <w:tabs>
                <w:tab w:val="right" w:pos="6880"/>
              </w:tabs>
              <w:ind w:left="43"/>
              <w:rPr>
                <w:b/>
              </w:rPr>
            </w:pPr>
            <w:bookmarkStart w:id="10" w:name="_Toc392160703"/>
            <w:bookmarkStart w:id="11" w:name="_Toc392160740"/>
            <w:bookmarkStart w:id="12" w:name="_Toc423530309"/>
            <w:bookmarkStart w:id="13" w:name="_Toc423533365"/>
            <w:bookmarkStart w:id="14" w:name="_Toc423533509"/>
            <w:bookmarkStart w:id="15" w:name="_Toc452648468"/>
            <w:r>
              <w:rPr>
                <w:b/>
              </w:rPr>
              <w:t>AIMS</w:t>
            </w:r>
          </w:p>
        </w:tc>
        <w:tc>
          <w:tcPr>
            <w:tcW w:w="7230" w:type="dxa"/>
            <w:shd w:val="clear" w:color="auto" w:fill="auto"/>
          </w:tcPr>
          <w:p w14:paraId="1125D88C" w14:textId="77777777" w:rsidR="0066080A" w:rsidRDefault="0066080A" w:rsidP="00524F64">
            <w:pPr>
              <w:tabs>
                <w:tab w:val="right" w:pos="6880"/>
              </w:tabs>
              <w:ind w:left="43"/>
            </w:pPr>
            <w:r w:rsidRPr="00544A24">
              <w:rPr>
                <w:szCs w:val="22"/>
              </w:rPr>
              <w:t>Administrative Integrated Management System</w:t>
            </w:r>
          </w:p>
        </w:tc>
      </w:tr>
      <w:tr w:rsidR="003B4645" w:rsidRPr="00DF27E3" w14:paraId="37005FF3" w14:textId="77777777" w:rsidTr="00335B35">
        <w:trPr>
          <w:trHeight w:val="340"/>
          <w:tblHeader/>
        </w:trPr>
        <w:tc>
          <w:tcPr>
            <w:tcW w:w="1701" w:type="dxa"/>
            <w:shd w:val="clear" w:color="auto" w:fill="auto"/>
          </w:tcPr>
          <w:p w14:paraId="76BB9CD3" w14:textId="34877F77" w:rsidR="003B4645" w:rsidRDefault="003B4645" w:rsidP="00524F64">
            <w:pPr>
              <w:tabs>
                <w:tab w:val="right" w:pos="6880"/>
              </w:tabs>
              <w:ind w:left="43"/>
              <w:rPr>
                <w:b/>
              </w:rPr>
            </w:pPr>
            <w:r>
              <w:rPr>
                <w:b/>
              </w:rPr>
              <w:t>BI</w:t>
            </w:r>
          </w:p>
        </w:tc>
        <w:tc>
          <w:tcPr>
            <w:tcW w:w="7230" w:type="dxa"/>
            <w:shd w:val="clear" w:color="auto" w:fill="auto"/>
          </w:tcPr>
          <w:p w14:paraId="167C3B6C" w14:textId="02FA7B4B" w:rsidR="003B4645" w:rsidRPr="00544A24" w:rsidRDefault="003B4645" w:rsidP="00524F64">
            <w:pPr>
              <w:tabs>
                <w:tab w:val="right" w:pos="6880"/>
              </w:tabs>
              <w:ind w:left="43"/>
              <w:rPr>
                <w:szCs w:val="22"/>
              </w:rPr>
            </w:pPr>
            <w:r w:rsidRPr="002060B3">
              <w:t>Behavioral Insights</w:t>
            </w:r>
          </w:p>
        </w:tc>
      </w:tr>
      <w:tr w:rsidR="0066080A" w:rsidRPr="00DF27E3" w14:paraId="3CD2FBD5" w14:textId="77777777" w:rsidTr="00335B35">
        <w:trPr>
          <w:trHeight w:val="340"/>
          <w:tblHeader/>
        </w:trPr>
        <w:tc>
          <w:tcPr>
            <w:tcW w:w="1701" w:type="dxa"/>
            <w:shd w:val="clear" w:color="auto" w:fill="auto"/>
          </w:tcPr>
          <w:p w14:paraId="08ED79AA" w14:textId="77777777" w:rsidR="0066080A" w:rsidRPr="00913CE2" w:rsidRDefault="0066080A" w:rsidP="00524F64">
            <w:pPr>
              <w:tabs>
                <w:tab w:val="right" w:pos="6880"/>
              </w:tabs>
              <w:ind w:left="43"/>
              <w:rPr>
                <w:b/>
                <w:szCs w:val="22"/>
              </w:rPr>
            </w:pPr>
            <w:r>
              <w:rPr>
                <w:b/>
                <w:szCs w:val="22"/>
              </w:rPr>
              <w:t>CDIP</w:t>
            </w:r>
          </w:p>
        </w:tc>
        <w:tc>
          <w:tcPr>
            <w:tcW w:w="7230" w:type="dxa"/>
            <w:shd w:val="clear" w:color="auto" w:fill="auto"/>
          </w:tcPr>
          <w:p w14:paraId="19611799" w14:textId="77777777" w:rsidR="0066080A" w:rsidRPr="00283923" w:rsidRDefault="0066080A" w:rsidP="00524F64">
            <w:pPr>
              <w:tabs>
                <w:tab w:val="right" w:pos="6880"/>
              </w:tabs>
              <w:ind w:left="43"/>
              <w:rPr>
                <w:szCs w:val="22"/>
              </w:rPr>
            </w:pPr>
            <w:r w:rsidRPr="00283923">
              <w:rPr>
                <w:szCs w:val="22"/>
              </w:rPr>
              <w:t>Committee on Development and Intellectual Property</w:t>
            </w:r>
          </w:p>
        </w:tc>
      </w:tr>
      <w:tr w:rsidR="00C93184" w:rsidRPr="00DF27E3" w14:paraId="100E84A1" w14:textId="77777777" w:rsidTr="00335B35">
        <w:trPr>
          <w:trHeight w:val="340"/>
          <w:tblHeader/>
        </w:trPr>
        <w:tc>
          <w:tcPr>
            <w:tcW w:w="1701" w:type="dxa"/>
            <w:shd w:val="clear" w:color="auto" w:fill="auto"/>
          </w:tcPr>
          <w:p w14:paraId="6583F123" w14:textId="47BC9110" w:rsidR="00C93184" w:rsidRDefault="00C93184" w:rsidP="00524F64">
            <w:pPr>
              <w:tabs>
                <w:tab w:val="right" w:pos="6880"/>
              </w:tabs>
              <w:ind w:left="43"/>
              <w:rPr>
                <w:b/>
                <w:szCs w:val="22"/>
              </w:rPr>
            </w:pPr>
            <w:r>
              <w:rPr>
                <w:b/>
                <w:szCs w:val="22"/>
              </w:rPr>
              <w:t>COVID-19</w:t>
            </w:r>
          </w:p>
        </w:tc>
        <w:tc>
          <w:tcPr>
            <w:tcW w:w="7230" w:type="dxa"/>
            <w:shd w:val="clear" w:color="auto" w:fill="auto"/>
          </w:tcPr>
          <w:p w14:paraId="11C6BB5C" w14:textId="69F6DCDA" w:rsidR="00C93184" w:rsidRPr="00DF27E3" w:rsidRDefault="00C93184" w:rsidP="00524F64">
            <w:pPr>
              <w:tabs>
                <w:tab w:val="right" w:pos="6880"/>
              </w:tabs>
              <w:ind w:left="43"/>
              <w:rPr>
                <w:szCs w:val="22"/>
              </w:rPr>
            </w:pPr>
            <w:r>
              <w:rPr>
                <w:szCs w:val="22"/>
              </w:rPr>
              <w:t>Coronavirus disease</w:t>
            </w:r>
          </w:p>
        </w:tc>
      </w:tr>
      <w:tr w:rsidR="0030017C" w:rsidRPr="00DF27E3" w14:paraId="0CF1EA5B" w14:textId="77777777" w:rsidTr="00335B35">
        <w:trPr>
          <w:trHeight w:val="340"/>
          <w:tblHeader/>
        </w:trPr>
        <w:tc>
          <w:tcPr>
            <w:tcW w:w="1701" w:type="dxa"/>
            <w:shd w:val="clear" w:color="auto" w:fill="auto"/>
          </w:tcPr>
          <w:p w14:paraId="126340EB" w14:textId="522450D6" w:rsidR="0030017C" w:rsidRDefault="0030017C" w:rsidP="00524F64">
            <w:pPr>
              <w:tabs>
                <w:tab w:val="right" w:pos="6880"/>
              </w:tabs>
              <w:ind w:left="43"/>
              <w:rPr>
                <w:b/>
                <w:szCs w:val="22"/>
              </w:rPr>
            </w:pPr>
            <w:r>
              <w:rPr>
                <w:b/>
                <w:szCs w:val="22"/>
              </w:rPr>
              <w:t>DAC</w:t>
            </w:r>
          </w:p>
        </w:tc>
        <w:tc>
          <w:tcPr>
            <w:tcW w:w="7230" w:type="dxa"/>
            <w:shd w:val="clear" w:color="auto" w:fill="auto"/>
          </w:tcPr>
          <w:p w14:paraId="04BE2083" w14:textId="519559B0" w:rsidR="0030017C" w:rsidRDefault="0030017C" w:rsidP="00524F64">
            <w:pPr>
              <w:tabs>
                <w:tab w:val="right" w:pos="6880"/>
              </w:tabs>
              <w:ind w:left="43"/>
              <w:rPr>
                <w:szCs w:val="22"/>
              </w:rPr>
            </w:pPr>
            <w:r w:rsidRPr="00EF4A05">
              <w:rPr>
                <w:rFonts w:eastAsia="Times New Roman"/>
                <w:szCs w:val="22"/>
                <w:lang w:eastAsia="en-US"/>
              </w:rPr>
              <w:t>Division for Arab Countries</w:t>
            </w:r>
          </w:p>
        </w:tc>
      </w:tr>
      <w:tr w:rsidR="0066080A" w:rsidRPr="00DF27E3" w14:paraId="3A89ED39" w14:textId="77777777" w:rsidTr="00335B35">
        <w:trPr>
          <w:trHeight w:val="340"/>
          <w:tblHeader/>
        </w:trPr>
        <w:tc>
          <w:tcPr>
            <w:tcW w:w="1701" w:type="dxa"/>
            <w:shd w:val="clear" w:color="auto" w:fill="auto"/>
          </w:tcPr>
          <w:p w14:paraId="03A4C513" w14:textId="77777777" w:rsidR="0066080A" w:rsidRDefault="0066080A" w:rsidP="00524F64">
            <w:pPr>
              <w:tabs>
                <w:tab w:val="right" w:pos="6880"/>
              </w:tabs>
              <w:ind w:left="43"/>
              <w:rPr>
                <w:b/>
                <w:szCs w:val="22"/>
              </w:rPr>
            </w:pPr>
            <w:r>
              <w:rPr>
                <w:b/>
                <w:szCs w:val="22"/>
              </w:rPr>
              <w:t>ERM</w:t>
            </w:r>
          </w:p>
        </w:tc>
        <w:tc>
          <w:tcPr>
            <w:tcW w:w="7230" w:type="dxa"/>
            <w:shd w:val="clear" w:color="auto" w:fill="auto"/>
          </w:tcPr>
          <w:p w14:paraId="632917FB" w14:textId="77777777" w:rsidR="0066080A" w:rsidRPr="00920B7F" w:rsidRDefault="0066080A" w:rsidP="00524F64">
            <w:pPr>
              <w:tabs>
                <w:tab w:val="right" w:pos="6880"/>
              </w:tabs>
              <w:ind w:left="43"/>
            </w:pPr>
            <w:r>
              <w:rPr>
                <w:lang w:val="en"/>
              </w:rPr>
              <w:t>Enterprise Risk Management</w:t>
            </w:r>
          </w:p>
        </w:tc>
      </w:tr>
      <w:tr w:rsidR="0066080A" w:rsidRPr="00DF27E3" w14:paraId="371ABF53" w14:textId="77777777" w:rsidTr="00335B35">
        <w:trPr>
          <w:trHeight w:val="340"/>
          <w:tblHeader/>
        </w:trPr>
        <w:tc>
          <w:tcPr>
            <w:tcW w:w="1701" w:type="dxa"/>
            <w:shd w:val="clear" w:color="auto" w:fill="auto"/>
          </w:tcPr>
          <w:p w14:paraId="585E72E8" w14:textId="77777777" w:rsidR="0066080A" w:rsidRPr="00913CE2" w:rsidRDefault="0066080A" w:rsidP="00524F64">
            <w:pPr>
              <w:ind w:left="43"/>
              <w:rPr>
                <w:b/>
                <w:szCs w:val="22"/>
              </w:rPr>
            </w:pPr>
            <w:r>
              <w:rPr>
                <w:b/>
                <w:szCs w:val="22"/>
              </w:rPr>
              <w:t>HRMD</w:t>
            </w:r>
          </w:p>
        </w:tc>
        <w:tc>
          <w:tcPr>
            <w:tcW w:w="7230" w:type="dxa"/>
            <w:shd w:val="clear" w:color="auto" w:fill="auto"/>
          </w:tcPr>
          <w:p w14:paraId="3A6B07E5" w14:textId="77777777" w:rsidR="0066080A" w:rsidRPr="00DF27E3" w:rsidRDefault="0066080A" w:rsidP="00524F64">
            <w:pPr>
              <w:ind w:left="43"/>
              <w:rPr>
                <w:szCs w:val="22"/>
              </w:rPr>
            </w:pPr>
            <w:r w:rsidRPr="00DF27E3">
              <w:rPr>
                <w:szCs w:val="22"/>
              </w:rPr>
              <w:t>Human Resources Management Department</w:t>
            </w:r>
          </w:p>
        </w:tc>
      </w:tr>
      <w:tr w:rsidR="0066080A" w:rsidRPr="00DF27E3" w14:paraId="4977E2E6" w14:textId="77777777" w:rsidTr="00335B35">
        <w:trPr>
          <w:trHeight w:val="340"/>
          <w:tblHeader/>
        </w:trPr>
        <w:tc>
          <w:tcPr>
            <w:tcW w:w="1701" w:type="dxa"/>
            <w:shd w:val="clear" w:color="auto" w:fill="auto"/>
          </w:tcPr>
          <w:p w14:paraId="182A928B" w14:textId="77777777" w:rsidR="0066080A" w:rsidRPr="00913CE2" w:rsidRDefault="0066080A" w:rsidP="00524F64">
            <w:pPr>
              <w:ind w:left="43"/>
              <w:rPr>
                <w:b/>
                <w:szCs w:val="22"/>
              </w:rPr>
            </w:pPr>
            <w:r>
              <w:rPr>
                <w:b/>
                <w:szCs w:val="22"/>
              </w:rPr>
              <w:t>IAOC</w:t>
            </w:r>
          </w:p>
        </w:tc>
        <w:tc>
          <w:tcPr>
            <w:tcW w:w="7230" w:type="dxa"/>
            <w:shd w:val="clear" w:color="auto" w:fill="auto"/>
          </w:tcPr>
          <w:p w14:paraId="3444AB99" w14:textId="77777777" w:rsidR="0066080A" w:rsidRPr="00DF27E3" w:rsidRDefault="0066080A" w:rsidP="00524F64">
            <w:pPr>
              <w:ind w:left="43"/>
              <w:rPr>
                <w:szCs w:val="22"/>
              </w:rPr>
            </w:pPr>
            <w:r w:rsidRPr="00DF27E3">
              <w:rPr>
                <w:szCs w:val="22"/>
              </w:rPr>
              <w:t>Independent Advisory Oversight Committee</w:t>
            </w:r>
          </w:p>
        </w:tc>
      </w:tr>
      <w:tr w:rsidR="0066080A" w:rsidRPr="00DF27E3" w14:paraId="710D0188" w14:textId="77777777" w:rsidTr="00335B35">
        <w:trPr>
          <w:trHeight w:val="340"/>
          <w:tblHeader/>
        </w:trPr>
        <w:tc>
          <w:tcPr>
            <w:tcW w:w="1701" w:type="dxa"/>
            <w:shd w:val="clear" w:color="auto" w:fill="auto"/>
          </w:tcPr>
          <w:p w14:paraId="44E55687" w14:textId="77777777" w:rsidR="0066080A" w:rsidRPr="00913CE2" w:rsidRDefault="0066080A" w:rsidP="00524F64">
            <w:pPr>
              <w:ind w:left="43"/>
              <w:rPr>
                <w:b/>
                <w:szCs w:val="22"/>
              </w:rPr>
            </w:pPr>
            <w:r>
              <w:rPr>
                <w:b/>
                <w:szCs w:val="22"/>
              </w:rPr>
              <w:t>IOC</w:t>
            </w:r>
          </w:p>
        </w:tc>
        <w:tc>
          <w:tcPr>
            <w:tcW w:w="7230" w:type="dxa"/>
            <w:shd w:val="clear" w:color="auto" w:fill="auto"/>
          </w:tcPr>
          <w:p w14:paraId="2D354E63" w14:textId="77777777" w:rsidR="0066080A" w:rsidRPr="00DF27E3" w:rsidRDefault="0066080A" w:rsidP="00524F64">
            <w:pPr>
              <w:ind w:left="43"/>
              <w:rPr>
                <w:szCs w:val="22"/>
              </w:rPr>
            </w:pPr>
            <w:r w:rsidRPr="00DF27E3">
              <w:rPr>
                <w:szCs w:val="22"/>
              </w:rPr>
              <w:t>Internal Oversight Charter</w:t>
            </w:r>
          </w:p>
        </w:tc>
      </w:tr>
      <w:tr w:rsidR="0066080A" w:rsidRPr="00DF27E3" w14:paraId="6CC64CEF" w14:textId="77777777" w:rsidTr="00335B35">
        <w:trPr>
          <w:trHeight w:val="340"/>
          <w:tblHeader/>
        </w:trPr>
        <w:tc>
          <w:tcPr>
            <w:tcW w:w="1701" w:type="dxa"/>
            <w:shd w:val="clear" w:color="auto" w:fill="auto"/>
          </w:tcPr>
          <w:p w14:paraId="1B00A8E2" w14:textId="77777777" w:rsidR="0066080A" w:rsidRPr="00913CE2" w:rsidRDefault="0066080A" w:rsidP="00524F64">
            <w:pPr>
              <w:ind w:left="43"/>
              <w:rPr>
                <w:b/>
                <w:szCs w:val="22"/>
              </w:rPr>
            </w:pPr>
            <w:r>
              <w:rPr>
                <w:b/>
                <w:szCs w:val="22"/>
              </w:rPr>
              <w:t>IOD</w:t>
            </w:r>
          </w:p>
        </w:tc>
        <w:tc>
          <w:tcPr>
            <w:tcW w:w="7230" w:type="dxa"/>
            <w:shd w:val="clear" w:color="auto" w:fill="auto"/>
          </w:tcPr>
          <w:p w14:paraId="035B9DED" w14:textId="77777777" w:rsidR="0066080A" w:rsidRPr="00DF27E3" w:rsidRDefault="0066080A" w:rsidP="00524F64">
            <w:pPr>
              <w:ind w:left="43"/>
              <w:rPr>
                <w:szCs w:val="22"/>
              </w:rPr>
            </w:pPr>
            <w:r w:rsidRPr="00DF27E3">
              <w:rPr>
                <w:szCs w:val="22"/>
              </w:rPr>
              <w:t>Internal Oversight Division</w:t>
            </w:r>
          </w:p>
        </w:tc>
      </w:tr>
      <w:tr w:rsidR="00D04C9C" w:rsidRPr="00DF27E3" w14:paraId="56C0C790" w14:textId="77777777" w:rsidTr="00335B35">
        <w:trPr>
          <w:trHeight w:val="340"/>
          <w:tblHeader/>
        </w:trPr>
        <w:tc>
          <w:tcPr>
            <w:tcW w:w="1701" w:type="dxa"/>
            <w:shd w:val="clear" w:color="auto" w:fill="auto"/>
          </w:tcPr>
          <w:p w14:paraId="227679D2" w14:textId="0680249D" w:rsidR="00D04C9C" w:rsidRDefault="00D04C9C" w:rsidP="00524F64">
            <w:pPr>
              <w:ind w:left="43"/>
              <w:rPr>
                <w:b/>
                <w:szCs w:val="22"/>
              </w:rPr>
            </w:pPr>
            <w:r>
              <w:rPr>
                <w:b/>
                <w:szCs w:val="22"/>
              </w:rPr>
              <w:t>IP</w:t>
            </w:r>
          </w:p>
        </w:tc>
        <w:tc>
          <w:tcPr>
            <w:tcW w:w="7230" w:type="dxa"/>
            <w:shd w:val="clear" w:color="auto" w:fill="auto"/>
          </w:tcPr>
          <w:p w14:paraId="362C2629" w14:textId="006BEE8A" w:rsidR="00D04C9C" w:rsidRPr="00DF27E3" w:rsidRDefault="00D04C9C" w:rsidP="00524F64">
            <w:pPr>
              <w:ind w:left="43"/>
              <w:rPr>
                <w:szCs w:val="22"/>
              </w:rPr>
            </w:pPr>
            <w:r>
              <w:rPr>
                <w:szCs w:val="22"/>
              </w:rPr>
              <w:t>Intellectual Property</w:t>
            </w:r>
          </w:p>
        </w:tc>
      </w:tr>
      <w:tr w:rsidR="006460F7" w:rsidRPr="00DF27E3" w14:paraId="01B5D760" w14:textId="77777777" w:rsidTr="00335B35">
        <w:trPr>
          <w:trHeight w:val="340"/>
          <w:tblHeader/>
        </w:trPr>
        <w:tc>
          <w:tcPr>
            <w:tcW w:w="1701" w:type="dxa"/>
            <w:shd w:val="clear" w:color="auto" w:fill="auto"/>
          </w:tcPr>
          <w:p w14:paraId="2DF21109" w14:textId="79CF1EDE" w:rsidR="006460F7" w:rsidRDefault="006460F7" w:rsidP="00524F64">
            <w:pPr>
              <w:ind w:left="43"/>
              <w:rPr>
                <w:b/>
                <w:szCs w:val="22"/>
              </w:rPr>
            </w:pPr>
            <w:r>
              <w:rPr>
                <w:b/>
                <w:szCs w:val="22"/>
              </w:rPr>
              <w:t>IT</w:t>
            </w:r>
          </w:p>
        </w:tc>
        <w:tc>
          <w:tcPr>
            <w:tcW w:w="7230" w:type="dxa"/>
            <w:shd w:val="clear" w:color="auto" w:fill="auto"/>
          </w:tcPr>
          <w:p w14:paraId="3A8454CC" w14:textId="26108DD2" w:rsidR="006460F7" w:rsidRPr="00DF27E3" w:rsidRDefault="006460F7" w:rsidP="00524F64">
            <w:pPr>
              <w:ind w:left="43"/>
              <w:rPr>
                <w:szCs w:val="22"/>
              </w:rPr>
            </w:pPr>
            <w:r>
              <w:rPr>
                <w:szCs w:val="22"/>
              </w:rPr>
              <w:t>Information Technology</w:t>
            </w:r>
          </w:p>
        </w:tc>
      </w:tr>
      <w:tr w:rsidR="0066080A" w:rsidRPr="00DF27E3" w14:paraId="58945BA2" w14:textId="77777777" w:rsidTr="00335B35">
        <w:trPr>
          <w:trHeight w:val="340"/>
          <w:tblHeader/>
        </w:trPr>
        <w:tc>
          <w:tcPr>
            <w:tcW w:w="1701" w:type="dxa"/>
            <w:shd w:val="clear" w:color="auto" w:fill="auto"/>
          </w:tcPr>
          <w:p w14:paraId="72218DAE" w14:textId="77777777" w:rsidR="0066080A" w:rsidRPr="00913CE2" w:rsidRDefault="0066080A" w:rsidP="00524F64">
            <w:pPr>
              <w:ind w:left="43"/>
              <w:rPr>
                <w:b/>
                <w:szCs w:val="22"/>
              </w:rPr>
            </w:pPr>
            <w:r>
              <w:rPr>
                <w:b/>
                <w:szCs w:val="22"/>
              </w:rPr>
              <w:t>MIR</w:t>
            </w:r>
          </w:p>
        </w:tc>
        <w:tc>
          <w:tcPr>
            <w:tcW w:w="7230" w:type="dxa"/>
            <w:shd w:val="clear" w:color="auto" w:fill="auto"/>
          </w:tcPr>
          <w:p w14:paraId="0C4545D3" w14:textId="77777777" w:rsidR="0066080A" w:rsidRPr="00DF27E3" w:rsidRDefault="0066080A" w:rsidP="00524F64">
            <w:pPr>
              <w:ind w:left="43"/>
              <w:rPr>
                <w:szCs w:val="22"/>
              </w:rPr>
            </w:pPr>
            <w:r w:rsidRPr="00DF27E3">
              <w:rPr>
                <w:szCs w:val="22"/>
              </w:rPr>
              <w:t>Management Implication Report</w:t>
            </w:r>
          </w:p>
        </w:tc>
      </w:tr>
      <w:tr w:rsidR="000C4E21" w:rsidRPr="00DF27E3" w14:paraId="6CB44B06" w14:textId="77777777" w:rsidTr="00335B35">
        <w:trPr>
          <w:trHeight w:val="340"/>
          <w:tblHeader/>
        </w:trPr>
        <w:tc>
          <w:tcPr>
            <w:tcW w:w="1701" w:type="dxa"/>
            <w:shd w:val="clear" w:color="auto" w:fill="auto"/>
          </w:tcPr>
          <w:p w14:paraId="17107A93" w14:textId="7C816C8D" w:rsidR="000C4E21" w:rsidRDefault="000C4E21" w:rsidP="00524F64">
            <w:pPr>
              <w:ind w:left="43"/>
              <w:rPr>
                <w:b/>
                <w:szCs w:val="22"/>
              </w:rPr>
            </w:pPr>
            <w:r>
              <w:rPr>
                <w:b/>
                <w:szCs w:val="22"/>
              </w:rPr>
              <w:t>MTSP</w:t>
            </w:r>
          </w:p>
        </w:tc>
        <w:tc>
          <w:tcPr>
            <w:tcW w:w="7230" w:type="dxa"/>
            <w:shd w:val="clear" w:color="auto" w:fill="auto"/>
          </w:tcPr>
          <w:p w14:paraId="6E3B1C29" w14:textId="5B875029" w:rsidR="000C4E21" w:rsidRPr="00DF27E3" w:rsidRDefault="000C4E21" w:rsidP="00524F64">
            <w:pPr>
              <w:ind w:left="43"/>
              <w:rPr>
                <w:szCs w:val="22"/>
              </w:rPr>
            </w:pPr>
            <w:r w:rsidRPr="00FD01E5">
              <w:rPr>
                <w:color w:val="323232"/>
                <w:kern w:val="2"/>
              </w:rPr>
              <w:t>Medium Term Strategic Plan</w:t>
            </w:r>
          </w:p>
        </w:tc>
      </w:tr>
      <w:tr w:rsidR="00E16FEA" w:rsidRPr="00DF27E3" w14:paraId="4CCDA8D1" w14:textId="77777777" w:rsidTr="00335B35">
        <w:trPr>
          <w:trHeight w:val="340"/>
          <w:tblHeader/>
        </w:trPr>
        <w:tc>
          <w:tcPr>
            <w:tcW w:w="1701" w:type="dxa"/>
            <w:shd w:val="clear" w:color="auto" w:fill="auto"/>
          </w:tcPr>
          <w:p w14:paraId="4F07707F" w14:textId="1C52011A" w:rsidR="00E16FEA" w:rsidRDefault="00E16FEA" w:rsidP="00524F64">
            <w:pPr>
              <w:ind w:left="43"/>
              <w:rPr>
                <w:b/>
                <w:szCs w:val="22"/>
              </w:rPr>
            </w:pPr>
            <w:r>
              <w:rPr>
                <w:b/>
                <w:szCs w:val="22"/>
              </w:rPr>
              <w:t>NIPS</w:t>
            </w:r>
          </w:p>
        </w:tc>
        <w:tc>
          <w:tcPr>
            <w:tcW w:w="7230" w:type="dxa"/>
            <w:shd w:val="clear" w:color="auto" w:fill="auto"/>
          </w:tcPr>
          <w:p w14:paraId="6B739951" w14:textId="7C34C2FB" w:rsidR="00E16FEA" w:rsidRPr="00DF27E3" w:rsidRDefault="00E16FEA" w:rsidP="00524F64">
            <w:pPr>
              <w:ind w:left="43"/>
              <w:rPr>
                <w:szCs w:val="22"/>
              </w:rPr>
            </w:pPr>
            <w:r>
              <w:rPr>
                <w:szCs w:val="22"/>
              </w:rPr>
              <w:t>National Intellectual Property Strategy</w:t>
            </w:r>
          </w:p>
        </w:tc>
      </w:tr>
      <w:tr w:rsidR="0066080A" w:rsidRPr="00DF27E3" w14:paraId="1AE856E5" w14:textId="77777777" w:rsidTr="00335B35">
        <w:trPr>
          <w:trHeight w:val="340"/>
          <w:tblHeader/>
        </w:trPr>
        <w:tc>
          <w:tcPr>
            <w:tcW w:w="1701" w:type="dxa"/>
            <w:shd w:val="clear" w:color="auto" w:fill="auto"/>
          </w:tcPr>
          <w:p w14:paraId="1B2762BE" w14:textId="77777777" w:rsidR="0066080A" w:rsidRDefault="0066080A" w:rsidP="00524F64">
            <w:pPr>
              <w:ind w:left="43"/>
              <w:rPr>
                <w:b/>
                <w:szCs w:val="22"/>
              </w:rPr>
            </w:pPr>
            <w:r>
              <w:rPr>
                <w:b/>
                <w:szCs w:val="22"/>
              </w:rPr>
              <w:t>OI</w:t>
            </w:r>
          </w:p>
        </w:tc>
        <w:tc>
          <w:tcPr>
            <w:tcW w:w="7230" w:type="dxa"/>
            <w:shd w:val="clear" w:color="auto" w:fill="auto"/>
          </w:tcPr>
          <w:p w14:paraId="5103D3FC" w14:textId="6A2229FA" w:rsidR="0066080A" w:rsidRPr="005E4455" w:rsidRDefault="0066080A" w:rsidP="00524F64">
            <w:pPr>
              <w:ind w:left="43"/>
            </w:pPr>
            <w:r w:rsidRPr="005D42B6">
              <w:t>Office Instruction</w:t>
            </w:r>
          </w:p>
        </w:tc>
      </w:tr>
      <w:tr w:rsidR="0066080A" w:rsidRPr="00DF27E3" w14:paraId="3086A312" w14:textId="77777777" w:rsidTr="00335B35">
        <w:trPr>
          <w:trHeight w:val="340"/>
          <w:tblHeader/>
        </w:trPr>
        <w:tc>
          <w:tcPr>
            <w:tcW w:w="1701" w:type="dxa"/>
            <w:shd w:val="clear" w:color="auto" w:fill="auto"/>
          </w:tcPr>
          <w:p w14:paraId="7687C4A9" w14:textId="77777777" w:rsidR="0066080A" w:rsidRPr="00913CE2" w:rsidRDefault="0066080A" w:rsidP="00524F64">
            <w:pPr>
              <w:ind w:left="43"/>
              <w:rPr>
                <w:b/>
                <w:szCs w:val="22"/>
              </w:rPr>
            </w:pPr>
            <w:r>
              <w:rPr>
                <w:b/>
                <w:szCs w:val="22"/>
              </w:rPr>
              <w:t>PBC</w:t>
            </w:r>
          </w:p>
        </w:tc>
        <w:tc>
          <w:tcPr>
            <w:tcW w:w="7230" w:type="dxa"/>
            <w:shd w:val="clear" w:color="auto" w:fill="auto"/>
          </w:tcPr>
          <w:p w14:paraId="5190868D" w14:textId="77777777" w:rsidR="0066080A" w:rsidRPr="00DF27E3" w:rsidRDefault="0066080A" w:rsidP="00524F64">
            <w:pPr>
              <w:ind w:left="43"/>
              <w:rPr>
                <w:szCs w:val="22"/>
              </w:rPr>
            </w:pPr>
            <w:r w:rsidRPr="00DF27E3">
              <w:rPr>
                <w:szCs w:val="22"/>
              </w:rPr>
              <w:t>Program and Budget Committee</w:t>
            </w:r>
          </w:p>
        </w:tc>
      </w:tr>
      <w:tr w:rsidR="0066080A" w:rsidRPr="00DF27E3" w14:paraId="0D39F8B2" w14:textId="77777777" w:rsidTr="00335B35">
        <w:trPr>
          <w:trHeight w:val="340"/>
          <w:tblHeader/>
        </w:trPr>
        <w:tc>
          <w:tcPr>
            <w:tcW w:w="1701" w:type="dxa"/>
            <w:shd w:val="clear" w:color="auto" w:fill="auto"/>
          </w:tcPr>
          <w:p w14:paraId="382AA6D5" w14:textId="77777777" w:rsidR="0066080A" w:rsidRDefault="0066080A" w:rsidP="00524F64">
            <w:pPr>
              <w:ind w:left="43"/>
              <w:rPr>
                <w:b/>
                <w:szCs w:val="22"/>
              </w:rPr>
            </w:pPr>
            <w:r>
              <w:rPr>
                <w:b/>
                <w:szCs w:val="22"/>
              </w:rPr>
              <w:t>PD</w:t>
            </w:r>
          </w:p>
        </w:tc>
        <w:tc>
          <w:tcPr>
            <w:tcW w:w="7230" w:type="dxa"/>
            <w:shd w:val="clear" w:color="auto" w:fill="auto"/>
          </w:tcPr>
          <w:p w14:paraId="574F032F" w14:textId="77777777" w:rsidR="0066080A" w:rsidRPr="00DF27E3" w:rsidRDefault="0066080A" w:rsidP="00524F64">
            <w:pPr>
              <w:ind w:left="43"/>
              <w:rPr>
                <w:szCs w:val="22"/>
              </w:rPr>
            </w:pPr>
            <w:r>
              <w:rPr>
                <w:szCs w:val="22"/>
              </w:rPr>
              <w:t>Performance Data</w:t>
            </w:r>
          </w:p>
        </w:tc>
      </w:tr>
      <w:tr w:rsidR="006460F7" w:rsidRPr="00DF27E3" w14:paraId="096A8092" w14:textId="77777777" w:rsidTr="00335B35">
        <w:trPr>
          <w:trHeight w:val="340"/>
          <w:tblHeader/>
        </w:trPr>
        <w:tc>
          <w:tcPr>
            <w:tcW w:w="1701" w:type="dxa"/>
            <w:shd w:val="clear" w:color="auto" w:fill="auto"/>
          </w:tcPr>
          <w:p w14:paraId="0C8675ED" w14:textId="31A704BB" w:rsidR="006460F7" w:rsidRDefault="006460F7" w:rsidP="00524F64">
            <w:pPr>
              <w:ind w:left="43"/>
              <w:rPr>
                <w:b/>
                <w:szCs w:val="22"/>
              </w:rPr>
            </w:pPr>
            <w:r>
              <w:rPr>
                <w:b/>
                <w:szCs w:val="22"/>
              </w:rPr>
              <w:t>QAIP</w:t>
            </w:r>
          </w:p>
        </w:tc>
        <w:tc>
          <w:tcPr>
            <w:tcW w:w="7230" w:type="dxa"/>
            <w:shd w:val="clear" w:color="auto" w:fill="auto"/>
          </w:tcPr>
          <w:p w14:paraId="1D66BCED" w14:textId="0787B362" w:rsidR="006460F7" w:rsidRDefault="006460F7" w:rsidP="00524F64">
            <w:pPr>
              <w:ind w:left="43"/>
              <w:rPr>
                <w:szCs w:val="22"/>
              </w:rPr>
            </w:pPr>
            <w:r>
              <w:t>Quality Assurance and Improvement Program</w:t>
            </w:r>
          </w:p>
        </w:tc>
      </w:tr>
      <w:tr w:rsidR="0066080A" w:rsidRPr="00DF27E3" w14:paraId="67A3ED7D" w14:textId="77777777" w:rsidTr="00335B35">
        <w:trPr>
          <w:trHeight w:val="340"/>
          <w:tblHeader/>
        </w:trPr>
        <w:tc>
          <w:tcPr>
            <w:tcW w:w="1701" w:type="dxa"/>
            <w:shd w:val="clear" w:color="auto" w:fill="auto"/>
          </w:tcPr>
          <w:p w14:paraId="27CD01E9" w14:textId="77777777" w:rsidR="0066080A" w:rsidRDefault="0066080A" w:rsidP="00524F64">
            <w:pPr>
              <w:ind w:left="43"/>
              <w:rPr>
                <w:b/>
              </w:rPr>
            </w:pPr>
            <w:r>
              <w:rPr>
                <w:b/>
              </w:rPr>
              <w:t>SMART</w:t>
            </w:r>
          </w:p>
        </w:tc>
        <w:tc>
          <w:tcPr>
            <w:tcW w:w="7230" w:type="dxa"/>
            <w:shd w:val="clear" w:color="auto" w:fill="auto"/>
          </w:tcPr>
          <w:p w14:paraId="7ECF0947" w14:textId="77777777" w:rsidR="0066080A" w:rsidRPr="006319F3" w:rsidRDefault="0066080A" w:rsidP="00524F64">
            <w:pPr>
              <w:ind w:left="43"/>
            </w:pPr>
            <w:r w:rsidRPr="006319F3">
              <w:t>Specific, Measurable, Achievable, Relevant, Time-bound</w:t>
            </w:r>
          </w:p>
        </w:tc>
      </w:tr>
      <w:tr w:rsidR="009E2DB6" w:rsidRPr="00DF27E3" w14:paraId="21A302DD" w14:textId="77777777" w:rsidTr="00335B35">
        <w:trPr>
          <w:trHeight w:val="340"/>
          <w:tblHeader/>
        </w:trPr>
        <w:tc>
          <w:tcPr>
            <w:tcW w:w="1701" w:type="dxa"/>
            <w:shd w:val="clear" w:color="auto" w:fill="auto"/>
          </w:tcPr>
          <w:p w14:paraId="3D8D151D" w14:textId="266B408E" w:rsidR="009E2DB6" w:rsidRDefault="009E2DB6" w:rsidP="00524F64">
            <w:pPr>
              <w:ind w:left="43"/>
              <w:rPr>
                <w:b/>
              </w:rPr>
            </w:pPr>
            <w:r>
              <w:rPr>
                <w:b/>
              </w:rPr>
              <w:t>TA</w:t>
            </w:r>
          </w:p>
        </w:tc>
        <w:tc>
          <w:tcPr>
            <w:tcW w:w="7230" w:type="dxa"/>
            <w:shd w:val="clear" w:color="auto" w:fill="auto"/>
          </w:tcPr>
          <w:p w14:paraId="686FBC98" w14:textId="43795468" w:rsidR="009E2DB6" w:rsidRPr="006319F3" w:rsidRDefault="009E2DB6" w:rsidP="00524F64">
            <w:pPr>
              <w:ind w:left="43"/>
            </w:pPr>
            <w:r>
              <w:t>Technical Assistance</w:t>
            </w:r>
          </w:p>
        </w:tc>
      </w:tr>
      <w:tr w:rsidR="0066080A" w:rsidRPr="00DF27E3" w14:paraId="24945383" w14:textId="77777777" w:rsidTr="00335B35">
        <w:trPr>
          <w:trHeight w:val="340"/>
          <w:tblHeader/>
        </w:trPr>
        <w:tc>
          <w:tcPr>
            <w:tcW w:w="1701" w:type="dxa"/>
            <w:shd w:val="clear" w:color="auto" w:fill="auto"/>
          </w:tcPr>
          <w:p w14:paraId="588A42DD" w14:textId="77777777" w:rsidR="0066080A" w:rsidRPr="00913CE2" w:rsidRDefault="0066080A" w:rsidP="00524F64">
            <w:pPr>
              <w:ind w:left="43"/>
              <w:rPr>
                <w:b/>
                <w:szCs w:val="22"/>
              </w:rPr>
            </w:pPr>
            <w:r>
              <w:rPr>
                <w:b/>
                <w:szCs w:val="22"/>
              </w:rPr>
              <w:t>UN</w:t>
            </w:r>
          </w:p>
        </w:tc>
        <w:tc>
          <w:tcPr>
            <w:tcW w:w="7230" w:type="dxa"/>
            <w:shd w:val="clear" w:color="auto" w:fill="auto"/>
          </w:tcPr>
          <w:p w14:paraId="4B33FD96" w14:textId="77777777" w:rsidR="0066080A" w:rsidRPr="00DF27E3" w:rsidRDefault="0066080A" w:rsidP="00524F64">
            <w:pPr>
              <w:ind w:left="43"/>
              <w:rPr>
                <w:szCs w:val="22"/>
              </w:rPr>
            </w:pPr>
            <w:r w:rsidRPr="00DF27E3">
              <w:rPr>
                <w:szCs w:val="22"/>
              </w:rPr>
              <w:t>United Nations</w:t>
            </w:r>
          </w:p>
        </w:tc>
      </w:tr>
      <w:tr w:rsidR="0066080A" w:rsidRPr="00DF27E3" w14:paraId="36489248" w14:textId="77777777" w:rsidTr="00335B35">
        <w:trPr>
          <w:trHeight w:val="340"/>
          <w:tblHeader/>
        </w:trPr>
        <w:tc>
          <w:tcPr>
            <w:tcW w:w="1701" w:type="dxa"/>
            <w:shd w:val="clear" w:color="auto" w:fill="auto"/>
          </w:tcPr>
          <w:p w14:paraId="69549145" w14:textId="77777777" w:rsidR="0066080A" w:rsidRPr="00913CE2" w:rsidRDefault="0066080A" w:rsidP="00524F64">
            <w:pPr>
              <w:ind w:left="43"/>
              <w:rPr>
                <w:b/>
                <w:szCs w:val="22"/>
              </w:rPr>
            </w:pPr>
            <w:r>
              <w:rPr>
                <w:b/>
                <w:szCs w:val="22"/>
              </w:rPr>
              <w:t>UNEG</w:t>
            </w:r>
          </w:p>
        </w:tc>
        <w:tc>
          <w:tcPr>
            <w:tcW w:w="7230" w:type="dxa"/>
            <w:shd w:val="clear" w:color="auto" w:fill="auto"/>
          </w:tcPr>
          <w:p w14:paraId="6C55E53F" w14:textId="77777777" w:rsidR="0066080A" w:rsidRPr="00DF27E3" w:rsidRDefault="0066080A" w:rsidP="00524F64">
            <w:pPr>
              <w:ind w:left="43"/>
              <w:rPr>
                <w:szCs w:val="22"/>
              </w:rPr>
            </w:pPr>
            <w:r w:rsidRPr="00DF27E3">
              <w:rPr>
                <w:szCs w:val="22"/>
              </w:rPr>
              <w:t>United Nations Evaluation Group</w:t>
            </w:r>
          </w:p>
        </w:tc>
      </w:tr>
      <w:tr w:rsidR="0066080A" w:rsidRPr="00DF27E3" w14:paraId="317B6EF6" w14:textId="77777777" w:rsidTr="00335B35">
        <w:trPr>
          <w:trHeight w:val="340"/>
          <w:tblHeader/>
        </w:trPr>
        <w:tc>
          <w:tcPr>
            <w:tcW w:w="1701" w:type="dxa"/>
            <w:shd w:val="clear" w:color="auto" w:fill="auto"/>
          </w:tcPr>
          <w:p w14:paraId="3B5E29E5" w14:textId="77777777" w:rsidR="0066080A" w:rsidRPr="00913CE2" w:rsidRDefault="0066080A" w:rsidP="00524F64">
            <w:pPr>
              <w:ind w:left="43"/>
              <w:rPr>
                <w:b/>
                <w:szCs w:val="22"/>
              </w:rPr>
            </w:pPr>
            <w:r>
              <w:rPr>
                <w:b/>
                <w:szCs w:val="22"/>
              </w:rPr>
              <w:t>WIPO</w:t>
            </w:r>
          </w:p>
        </w:tc>
        <w:tc>
          <w:tcPr>
            <w:tcW w:w="7230" w:type="dxa"/>
            <w:shd w:val="clear" w:color="auto" w:fill="auto"/>
          </w:tcPr>
          <w:p w14:paraId="267A00BF" w14:textId="77777777" w:rsidR="0066080A" w:rsidRPr="00DF27E3" w:rsidRDefault="0066080A" w:rsidP="00524F64">
            <w:pPr>
              <w:ind w:left="43"/>
              <w:rPr>
                <w:szCs w:val="22"/>
              </w:rPr>
            </w:pPr>
            <w:r w:rsidRPr="00DF27E3">
              <w:rPr>
                <w:szCs w:val="22"/>
              </w:rPr>
              <w:t>World Intellectual Property Organization</w:t>
            </w:r>
          </w:p>
        </w:tc>
      </w:tr>
      <w:tr w:rsidR="00CC620E" w:rsidRPr="00DF27E3" w14:paraId="2342FDF5" w14:textId="77777777" w:rsidTr="00335B35">
        <w:trPr>
          <w:trHeight w:val="340"/>
          <w:tblHeader/>
        </w:trPr>
        <w:tc>
          <w:tcPr>
            <w:tcW w:w="1701" w:type="dxa"/>
            <w:shd w:val="clear" w:color="auto" w:fill="auto"/>
          </w:tcPr>
          <w:p w14:paraId="675CA975" w14:textId="77777777" w:rsidR="00CC620E" w:rsidRDefault="00CC620E" w:rsidP="00524F64">
            <w:pPr>
              <w:ind w:left="43"/>
              <w:rPr>
                <w:b/>
                <w:szCs w:val="22"/>
              </w:rPr>
            </w:pPr>
            <w:r>
              <w:rPr>
                <w:b/>
                <w:szCs w:val="22"/>
              </w:rPr>
              <w:t>WPR</w:t>
            </w:r>
          </w:p>
        </w:tc>
        <w:tc>
          <w:tcPr>
            <w:tcW w:w="7230" w:type="dxa"/>
            <w:shd w:val="clear" w:color="auto" w:fill="auto"/>
          </w:tcPr>
          <w:p w14:paraId="68DDE264" w14:textId="77777777" w:rsidR="00CC620E" w:rsidRPr="00DF27E3" w:rsidRDefault="00CC620E" w:rsidP="00524F64">
            <w:pPr>
              <w:ind w:left="43"/>
              <w:rPr>
                <w:szCs w:val="22"/>
              </w:rPr>
            </w:pPr>
            <w:r>
              <w:rPr>
                <w:szCs w:val="22"/>
              </w:rPr>
              <w:t>WIPO Performance Report</w:t>
            </w:r>
          </w:p>
        </w:tc>
      </w:tr>
    </w:tbl>
    <w:p w14:paraId="5C155B7F" w14:textId="77777777" w:rsidR="00C46B12" w:rsidRDefault="00C46B12" w:rsidP="00C46B12">
      <w:pPr>
        <w:rPr>
          <w:b/>
        </w:rPr>
      </w:pPr>
      <w:r>
        <w:rPr>
          <w:b/>
        </w:rPr>
        <w:br w:type="page"/>
      </w:r>
    </w:p>
    <w:p w14:paraId="3A63F985" w14:textId="77777777" w:rsidR="00C46B12" w:rsidRPr="00186810" w:rsidRDefault="00C46B12" w:rsidP="00C46B12">
      <w:pPr>
        <w:pStyle w:val="Heading1"/>
      </w:pPr>
      <w:bookmarkStart w:id="16" w:name="_Toc420663565"/>
      <w:bookmarkStart w:id="17" w:name="_Toc39071244"/>
      <w:bookmarkStart w:id="18" w:name="_Toc100660220"/>
      <w:bookmarkEnd w:id="10"/>
      <w:bookmarkEnd w:id="11"/>
      <w:bookmarkEnd w:id="12"/>
      <w:bookmarkEnd w:id="13"/>
      <w:bookmarkEnd w:id="14"/>
      <w:bookmarkEnd w:id="15"/>
      <w:r w:rsidRPr="00743C68">
        <w:lastRenderedPageBreak/>
        <w:t>BACKGROUND</w:t>
      </w:r>
      <w:bookmarkEnd w:id="16"/>
      <w:bookmarkEnd w:id="17"/>
      <w:bookmarkEnd w:id="18"/>
    </w:p>
    <w:p w14:paraId="286829C0" w14:textId="6DDE6402" w:rsidR="00C46B12" w:rsidRDefault="00C46B12" w:rsidP="008759ED">
      <w:pPr>
        <w:pStyle w:val="ONUME"/>
        <w:numPr>
          <w:ilvl w:val="0"/>
          <w:numId w:val="11"/>
        </w:numPr>
      </w:pPr>
      <w:r w:rsidRPr="00E32ADE">
        <w:t xml:space="preserve">The purpose of </w:t>
      </w:r>
      <w:r w:rsidR="00C93184">
        <w:t>the World Intellectual Property Organization’s (</w:t>
      </w:r>
      <w:r w:rsidRPr="00E32ADE">
        <w:t>WIPO</w:t>
      </w:r>
      <w:r w:rsidR="00C93184">
        <w:t>)</w:t>
      </w:r>
      <w:r w:rsidRPr="00E32ADE">
        <w:t xml:space="preserve"> Internal Oversight Division (IOD) is to provide independent and </w:t>
      </w:r>
      <w:r w:rsidRPr="00F736B0">
        <w:t>effective</w:t>
      </w:r>
      <w:r w:rsidRPr="00E32ADE">
        <w:t xml:space="preserve"> internal oversight for WIPO, in </w:t>
      </w:r>
      <w:r>
        <w:t>line</w:t>
      </w:r>
      <w:r w:rsidRPr="00E32ADE">
        <w:t xml:space="preserve"> with the provisions </w:t>
      </w:r>
      <w:r>
        <w:t xml:space="preserve">of </w:t>
      </w:r>
      <w:r w:rsidRPr="00E32ADE">
        <w:t>the Internal Oversight Charter</w:t>
      </w:r>
      <w:r>
        <w:t> (IOC).</w:t>
      </w:r>
    </w:p>
    <w:p w14:paraId="3F167AB3" w14:textId="0DC843DC" w:rsidR="00C46B12" w:rsidRDefault="00C46B12" w:rsidP="00F736B0">
      <w:pPr>
        <w:pStyle w:val="ONUME"/>
      </w:pPr>
      <w:r w:rsidRPr="00F736B0">
        <w:t>The</w:t>
      </w:r>
      <w:r w:rsidRPr="00E32ADE">
        <w:t xml:space="preserve"> IOC requires</w:t>
      </w:r>
      <w:r>
        <w:rPr>
          <w:rStyle w:val="FootnoteReference"/>
        </w:rPr>
        <w:footnoteReference w:id="2"/>
      </w:r>
      <w:r w:rsidRPr="00E32ADE">
        <w:t xml:space="preserve"> the Director, IOD</w:t>
      </w:r>
      <w:r w:rsidR="00AD1D8D">
        <w:t>,</w:t>
      </w:r>
      <w:r w:rsidRPr="00E32ADE">
        <w:t xml:space="preserve"> to </w:t>
      </w:r>
      <w:r>
        <w:t>submit, on an annual basis,</w:t>
      </w:r>
      <w:r w:rsidRPr="00E32ADE">
        <w:t xml:space="preserve"> a</w:t>
      </w:r>
      <w:r>
        <w:t xml:space="preserve"> summary</w:t>
      </w:r>
      <w:r w:rsidRPr="00E32ADE">
        <w:t xml:space="preserve"> </w:t>
      </w:r>
      <w:r>
        <w:t>r</w:t>
      </w:r>
      <w:r w:rsidRPr="00E32ADE">
        <w:t>eport</w:t>
      </w:r>
      <w:r>
        <w:t xml:space="preserve"> </w:t>
      </w:r>
      <w:r w:rsidRPr="00E32ADE">
        <w:t xml:space="preserve">to the </w:t>
      </w:r>
      <w:r>
        <w:t>WIPO General Assembly, through the Program and Budget Committee (PBC).  The Annual Report shall give an overview</w:t>
      </w:r>
      <w:r w:rsidRPr="00E32ADE">
        <w:t xml:space="preserve"> of </w:t>
      </w:r>
      <w:r>
        <w:t xml:space="preserve">the internal oversight </w:t>
      </w:r>
      <w:r w:rsidRPr="00E32ADE">
        <w:t xml:space="preserve">activities </w:t>
      </w:r>
      <w:r>
        <w:t>conducted during the reporting period</w:t>
      </w:r>
      <w:r w:rsidRPr="00E32ADE">
        <w:t xml:space="preserve">, including </w:t>
      </w:r>
      <w:r>
        <w:t>the</w:t>
      </w:r>
      <w:r w:rsidRPr="00E32ADE">
        <w:t xml:space="preserve"> scope </w:t>
      </w:r>
      <w:r>
        <w:t xml:space="preserve">and objectives </w:t>
      </w:r>
      <w:r w:rsidRPr="00E32ADE">
        <w:t xml:space="preserve">of such activities, the schedule of work </w:t>
      </w:r>
      <w:r>
        <w:t>undertaken and</w:t>
      </w:r>
      <w:r w:rsidRPr="00E32ADE">
        <w:t xml:space="preserve"> progress on the implementation of </w:t>
      </w:r>
      <w:r>
        <w:t>internal oversight</w:t>
      </w:r>
      <w:r w:rsidRPr="00E32ADE">
        <w:t xml:space="preserve"> recommendations.</w:t>
      </w:r>
      <w:bookmarkStart w:id="19" w:name="_Toc420663566"/>
      <w:bookmarkStart w:id="20" w:name="_Toc328920434"/>
    </w:p>
    <w:p w14:paraId="5C6DF799" w14:textId="77777777" w:rsidR="00C46B12" w:rsidRPr="002F0DAD" w:rsidRDefault="00C46B12" w:rsidP="00F736B0">
      <w:pPr>
        <w:pStyle w:val="ONUME"/>
        <w:rPr>
          <w:b/>
          <w:bCs/>
          <w:caps/>
          <w:kern w:val="32"/>
          <w:szCs w:val="32"/>
        </w:rPr>
      </w:pPr>
      <w:r>
        <w:t xml:space="preserve">In </w:t>
      </w:r>
      <w:r w:rsidRPr="00F736B0">
        <w:t>accordance</w:t>
      </w:r>
      <w:r>
        <w:t xml:space="preserve"> with the IOC, a draft version of the Annual Report has been provided </w:t>
      </w:r>
      <w:r w:rsidRPr="00E32ADE">
        <w:t>to the Director General and the Independent Advisory Oversight Committee (IAOC)</w:t>
      </w:r>
      <w:r>
        <w:t xml:space="preserve"> for their comments</w:t>
      </w:r>
      <w:r w:rsidR="00F01160">
        <w:t xml:space="preserve">, which </w:t>
      </w:r>
      <w:r w:rsidR="00DE7DA7">
        <w:t xml:space="preserve">have </w:t>
      </w:r>
      <w:r>
        <w:t>been taken into account in finalizing the report.</w:t>
      </w:r>
      <w:r w:rsidR="00F01160">
        <w:t xml:space="preserve"> </w:t>
      </w:r>
    </w:p>
    <w:p w14:paraId="01C088DE" w14:textId="77777777" w:rsidR="00C46B12" w:rsidRPr="00E32ADE" w:rsidRDefault="00C46B12" w:rsidP="00C46B12">
      <w:pPr>
        <w:pStyle w:val="Heading1"/>
      </w:pPr>
      <w:bookmarkStart w:id="21" w:name="_Toc39071245"/>
      <w:bookmarkStart w:id="22" w:name="_Toc100660221"/>
      <w:r>
        <w:t>SOME HIGHLIGHTS OF THE PERIOD</w:t>
      </w:r>
      <w:bookmarkEnd w:id="21"/>
      <w:bookmarkEnd w:id="22"/>
    </w:p>
    <w:p w14:paraId="6F5FCBD9" w14:textId="40D55E77" w:rsidR="00FD01E5" w:rsidRDefault="004448FF" w:rsidP="00FD01E5">
      <w:pPr>
        <w:pStyle w:val="ONUME"/>
      </w:pPr>
      <w:r>
        <w:t>The year 2021 inherited the risks and uncertainties caused by the</w:t>
      </w:r>
      <w:r w:rsidR="00C93184">
        <w:t xml:space="preserve"> Coronavirus disease (COVID-19)</w:t>
      </w:r>
      <w:r>
        <w:t xml:space="preserve"> </w:t>
      </w:r>
      <w:r w:rsidR="00852EB9">
        <w:t>Pandemic</w:t>
      </w:r>
      <w:r>
        <w:t xml:space="preserve"> that </w:t>
      </w:r>
      <w:r w:rsidR="00B170D6">
        <w:t xml:space="preserve">had </w:t>
      </w:r>
      <w:r>
        <w:t>significantly affected 2020.</w:t>
      </w:r>
      <w:r w:rsidR="00FD01E5">
        <w:t xml:space="preserve"> </w:t>
      </w:r>
      <w:r>
        <w:t xml:space="preserve"> As such</w:t>
      </w:r>
      <w:r w:rsidR="00D34116">
        <w:t>,</w:t>
      </w:r>
      <w:r>
        <w:t xml:space="preserve"> WIPO continued to take exceptional measures to safeguard lives and minimize the impact of the </w:t>
      </w:r>
      <w:r w:rsidR="00852EB9">
        <w:t>Pandemic</w:t>
      </w:r>
      <w:r>
        <w:t xml:space="preserve"> on our work. </w:t>
      </w:r>
      <w:r w:rsidR="00FD01E5">
        <w:t xml:space="preserve"> </w:t>
      </w:r>
      <w:r>
        <w:t xml:space="preserve">IOD </w:t>
      </w:r>
      <w:r w:rsidRPr="004448FF">
        <w:t xml:space="preserve">would like to </w:t>
      </w:r>
      <w:r>
        <w:t xml:space="preserve">thank all </w:t>
      </w:r>
      <w:r w:rsidRPr="004448FF">
        <w:t xml:space="preserve">WIPO colleagues and external service providers </w:t>
      </w:r>
      <w:r w:rsidR="00376094">
        <w:t xml:space="preserve">who were </w:t>
      </w:r>
      <w:r w:rsidRPr="00376094">
        <w:t>involved</w:t>
      </w:r>
      <w:r w:rsidRPr="004448FF">
        <w:t xml:space="preserve"> in ensuring our safety, and supporting our remote work. </w:t>
      </w:r>
      <w:r w:rsidR="00FD01E5">
        <w:t xml:space="preserve"> </w:t>
      </w:r>
      <w:r w:rsidRPr="004448FF">
        <w:t>Let us hope and look forward to an improved 2022.</w:t>
      </w:r>
    </w:p>
    <w:p w14:paraId="6F7B3026" w14:textId="21DD638D" w:rsidR="00A93860" w:rsidRPr="00BB0E08" w:rsidRDefault="004448FF" w:rsidP="00FD01E5">
      <w:pPr>
        <w:pStyle w:val="ONUME"/>
      </w:pPr>
      <w:r w:rsidRPr="00BB0E08">
        <w:rPr>
          <w:kern w:val="2"/>
        </w:rPr>
        <w:t>IOD notes that 2021 marked the revie</w:t>
      </w:r>
      <w:r w:rsidR="00AD1D8D">
        <w:rPr>
          <w:kern w:val="2"/>
        </w:rPr>
        <w:t>w and adjustment of the results-</w:t>
      </w:r>
      <w:r w:rsidRPr="00BB0E08">
        <w:rPr>
          <w:kern w:val="2"/>
        </w:rPr>
        <w:t>based management framework for the coming years, and the elaboration of a new strategic vision.  A new Medium Term Strategic Plan (MTSP) for 2022-</w:t>
      </w:r>
      <w:r w:rsidR="000C4E21" w:rsidRPr="00BB0E08">
        <w:rPr>
          <w:kern w:val="2"/>
        </w:rPr>
        <w:t xml:space="preserve">2026 </w:t>
      </w:r>
      <w:r w:rsidRPr="00BB0E08">
        <w:rPr>
          <w:kern w:val="2"/>
        </w:rPr>
        <w:t>was issued, introducing a Strategy House with four pillars and a foundation</w:t>
      </w:r>
      <w:r w:rsidRPr="00BB0E08">
        <w:t>.</w:t>
      </w:r>
      <w:r w:rsidR="00FD01E5" w:rsidRPr="00BB0E08">
        <w:t xml:space="preserve"> </w:t>
      </w:r>
      <w:r w:rsidRPr="00BB0E08">
        <w:t xml:space="preserve"> To support this initiative, </w:t>
      </w:r>
      <w:r w:rsidRPr="00BB0E08">
        <w:rPr>
          <w:kern w:val="2"/>
        </w:rPr>
        <w:t>IOD has also established a Strategy for 2022 and 2023, aligned with the MTSP, and will implement a number of strategic initiatives to support the Organization in achieving its strategic focus.</w:t>
      </w:r>
    </w:p>
    <w:p w14:paraId="7E8F795F" w14:textId="1D5D3B4B" w:rsidR="00A93860" w:rsidRPr="0035401B" w:rsidRDefault="00E5144A" w:rsidP="00F736B0">
      <w:pPr>
        <w:pStyle w:val="ONUME"/>
      </w:pPr>
      <w:r w:rsidRPr="00F736B0">
        <w:t>IOD</w:t>
      </w:r>
      <w:r w:rsidRPr="00354CBE">
        <w:t xml:space="preserve"> continue</w:t>
      </w:r>
      <w:r>
        <w:t>s</w:t>
      </w:r>
      <w:r w:rsidRPr="00354CBE">
        <w:t xml:space="preserve"> to support WIPO in strengthening controls, accountability, transparency and learning, by introducing innovative and fit-for-purpose tools and practices that will help move WIPO towards</w:t>
      </w:r>
      <w:r w:rsidR="00D34116">
        <w:t xml:space="preserve"> the</w:t>
      </w:r>
      <w:r w:rsidRPr="00354CBE">
        <w:t xml:space="preserve"> highest standards in risk management and program delivery among others.</w:t>
      </w:r>
      <w:r>
        <w:t xml:space="preserve"> </w:t>
      </w:r>
    </w:p>
    <w:p w14:paraId="61304053" w14:textId="1471F5D3" w:rsidR="005E1266" w:rsidRPr="005E1266" w:rsidRDefault="00A65650" w:rsidP="005E1266">
      <w:pPr>
        <w:pStyle w:val="ONUME"/>
      </w:pPr>
      <w:r w:rsidRPr="00E5144A">
        <w:t>IOD continue</w:t>
      </w:r>
      <w:r w:rsidR="00E5144A">
        <w:t>s</w:t>
      </w:r>
      <w:r w:rsidRPr="00E5144A">
        <w:t xml:space="preserve"> to engage in cross-sectional engagements involving auditors together with investigation and/or evaluation professionals. </w:t>
      </w:r>
      <w:r w:rsidR="00933438">
        <w:t xml:space="preserve"> </w:t>
      </w:r>
      <w:r w:rsidRPr="00E5144A">
        <w:t>These engagements aim at providing a more complete and in-depth review of WIPO Programs.</w:t>
      </w:r>
      <w:r w:rsidR="00FD01E5">
        <w:t xml:space="preserve"> </w:t>
      </w:r>
      <w:r w:rsidR="00933438">
        <w:t xml:space="preserve"> </w:t>
      </w:r>
      <w:r w:rsidR="005E1266" w:rsidRPr="005E1266">
        <w:t xml:space="preserve">The </w:t>
      </w:r>
      <w:r w:rsidR="005E1266" w:rsidRPr="00376094">
        <w:t>Review of Crisis Management</w:t>
      </w:r>
      <w:r w:rsidR="005E1266" w:rsidRPr="005E1266">
        <w:t xml:space="preserve"> during the </w:t>
      </w:r>
      <w:r w:rsidR="00852EB9">
        <w:t>Pandemic</w:t>
      </w:r>
      <w:r w:rsidR="005E1266" w:rsidRPr="005E1266">
        <w:t xml:space="preserve"> is one </w:t>
      </w:r>
      <w:r w:rsidR="004448FF">
        <w:t xml:space="preserve">such engagement that required the collaboration of all three functions of IOD. </w:t>
      </w:r>
    </w:p>
    <w:p w14:paraId="5078177F" w14:textId="374CD4DB" w:rsidR="004448FF" w:rsidRDefault="004448FF" w:rsidP="009C7E22">
      <w:pPr>
        <w:pStyle w:val="ONUME"/>
      </w:pPr>
      <w:r>
        <w:t xml:space="preserve">IOD has expanded its </w:t>
      </w:r>
      <w:r w:rsidR="005C3E37">
        <w:t xml:space="preserve">services to include </w:t>
      </w:r>
      <w:r>
        <w:t xml:space="preserve">advisory </w:t>
      </w:r>
      <w:r w:rsidR="00852EB9">
        <w:t>and consulting</w:t>
      </w:r>
      <w:r w:rsidR="001E6080">
        <w:rPr>
          <w:rStyle w:val="FootnoteReference"/>
        </w:rPr>
        <w:footnoteReference w:id="3"/>
      </w:r>
      <w:r w:rsidR="00852EB9">
        <w:t xml:space="preserve"> </w:t>
      </w:r>
      <w:r>
        <w:t xml:space="preserve">services. </w:t>
      </w:r>
      <w:r w:rsidR="00FD01E5">
        <w:t xml:space="preserve"> </w:t>
      </w:r>
      <w:r>
        <w:t>An example</w:t>
      </w:r>
      <w:r w:rsidR="005C3E37">
        <w:t xml:space="preserve"> of these services</w:t>
      </w:r>
      <w:r>
        <w:t xml:space="preserve"> includes</w:t>
      </w:r>
      <w:r w:rsidR="009C7E22">
        <w:t xml:space="preserve"> providing</w:t>
      </w:r>
      <w:r w:rsidR="009C7E22" w:rsidRPr="009C7E22">
        <w:t xml:space="preserve"> advice</w:t>
      </w:r>
      <w:r w:rsidR="005C3E37">
        <w:t xml:space="preserve"> on the process</w:t>
      </w:r>
      <w:r w:rsidR="009C7E22" w:rsidRPr="009C7E22">
        <w:t xml:space="preserve"> </w:t>
      </w:r>
      <w:r w:rsidR="005C3E37">
        <w:t xml:space="preserve">and quality assurance on the </w:t>
      </w:r>
      <w:r w:rsidR="009C7E22" w:rsidRPr="009C7E22">
        <w:t xml:space="preserve">input for a technical tool </w:t>
      </w:r>
      <w:r w:rsidR="005C3E37">
        <w:t xml:space="preserve">on </w:t>
      </w:r>
      <w:r w:rsidR="009C7E22" w:rsidRPr="009C7E22">
        <w:t>benchmarking and self-evaluation of</w:t>
      </w:r>
      <w:r w:rsidR="00E16FEA">
        <w:t xml:space="preserve"> National Intellectual Property Strategies (NIPS)</w:t>
      </w:r>
      <w:r w:rsidR="009C7E22" w:rsidRPr="009C7E22">
        <w:t>.</w:t>
      </w:r>
    </w:p>
    <w:p w14:paraId="2A2A3376" w14:textId="2014276A" w:rsidR="004448FF" w:rsidRDefault="004448FF" w:rsidP="004448FF">
      <w:pPr>
        <w:pStyle w:val="ONUME"/>
      </w:pPr>
      <w:r>
        <w:t xml:space="preserve">IOD has completed a project to support data analytics and continuous auditing, which will enhance the assurance work of the Division. </w:t>
      </w:r>
      <w:r w:rsidR="00FD01E5">
        <w:t xml:space="preserve"> </w:t>
      </w:r>
      <w:r>
        <w:t xml:space="preserve">This is a first step to support IOD in establishing </w:t>
      </w:r>
      <w:r>
        <w:lastRenderedPageBreak/>
        <w:t>the right conditions to enable an overall opinion on the WIPO Statement o</w:t>
      </w:r>
      <w:r w:rsidR="00852EB9">
        <w:t>n Internal Control</w:t>
      </w:r>
      <w:r>
        <w:t xml:space="preserve"> by</w:t>
      </w:r>
      <w:r w:rsidR="00B51973">
        <w:t> </w:t>
      </w:r>
      <w:r>
        <w:t xml:space="preserve">2025. </w:t>
      </w:r>
    </w:p>
    <w:p w14:paraId="300504EB" w14:textId="77777777" w:rsidR="004448FF" w:rsidRPr="00861AC2" w:rsidRDefault="004448FF" w:rsidP="004448FF">
      <w:pPr>
        <w:pStyle w:val="ONUME"/>
      </w:pPr>
      <w:r>
        <w:t xml:space="preserve">Finally, IOD has completed the migration to a new audit and recommendation management system, with up-to-date technology and new features to support effectiveness and efficiency of oversight engagements and management of recommendations. </w:t>
      </w:r>
    </w:p>
    <w:p w14:paraId="7FD5F2BA" w14:textId="77777777" w:rsidR="00C46B12" w:rsidRPr="00F73A5E" w:rsidRDefault="00C46B12" w:rsidP="00C46B12">
      <w:pPr>
        <w:pStyle w:val="Heading1"/>
      </w:pPr>
      <w:bookmarkStart w:id="23" w:name="_Toc39071246"/>
      <w:bookmarkStart w:id="24" w:name="_Toc100660222"/>
      <w:r w:rsidRPr="00F73A5E">
        <w:t>PLANNING PRINCIPLES</w:t>
      </w:r>
      <w:bookmarkEnd w:id="19"/>
      <w:bookmarkEnd w:id="20"/>
      <w:bookmarkEnd w:id="23"/>
      <w:bookmarkEnd w:id="24"/>
    </w:p>
    <w:p w14:paraId="4DCDD4F0" w14:textId="27D169FE" w:rsidR="00C46B12" w:rsidRPr="00C0396C" w:rsidRDefault="00C46B12" w:rsidP="00F736B0">
      <w:pPr>
        <w:pStyle w:val="ONUME"/>
      </w:pPr>
      <w:r w:rsidRPr="00C0396C">
        <w:t xml:space="preserve">In developing its </w:t>
      </w:r>
      <w:r w:rsidR="00E51F5D" w:rsidRPr="00C0396C">
        <w:t>O</w:t>
      </w:r>
      <w:r w:rsidRPr="00C0396C">
        <w:t xml:space="preserve">versight </w:t>
      </w:r>
      <w:r w:rsidR="00E51F5D" w:rsidRPr="00C0396C">
        <w:t>W</w:t>
      </w:r>
      <w:r w:rsidRPr="00C0396C">
        <w:t xml:space="preserve">ork </w:t>
      </w:r>
      <w:r w:rsidR="00E51F5D" w:rsidRPr="00C0396C">
        <w:t>P</w:t>
      </w:r>
      <w:r w:rsidRPr="00C0396C">
        <w:t xml:space="preserve">lan, IOD considered a number of factors including risk ratings, relevance, country impact, oversight cycle, and feedback received from WIPO Management, Member States, and available resources.  Prior to its finalization, the draft Oversight Work Plan was also submitted to the IAOC for its review and advice </w:t>
      </w:r>
      <w:r w:rsidR="00AF2979">
        <w:t>pursuant to</w:t>
      </w:r>
      <w:r w:rsidRPr="00C0396C">
        <w:t xml:space="preserve"> paragraph 28(a)</w:t>
      </w:r>
      <w:r w:rsidR="00AF2979">
        <w:t xml:space="preserve"> of the IOC</w:t>
      </w:r>
      <w:r w:rsidR="005602A7" w:rsidRPr="00C0396C">
        <w:rPr>
          <w:rStyle w:val="FootnoteReference"/>
        </w:rPr>
        <w:footnoteReference w:id="4"/>
      </w:r>
      <w:r w:rsidRPr="00C0396C">
        <w:t>.</w:t>
      </w:r>
    </w:p>
    <w:p w14:paraId="6C6ECF54" w14:textId="1D7A489D" w:rsidR="00C46B12" w:rsidRPr="00E32ADE" w:rsidRDefault="00C46B12" w:rsidP="00F736B0">
      <w:pPr>
        <w:pStyle w:val="ONUME"/>
      </w:pPr>
      <w:r>
        <w:t xml:space="preserve">In order to </w:t>
      </w:r>
      <w:r w:rsidRPr="00F736B0">
        <w:t>provide</w:t>
      </w:r>
      <w:r>
        <w:t xml:space="preserve"> effective oversight coverage with the efficient use of limited resources, while avoiding potential overlaps,</w:t>
      </w:r>
      <w:r w:rsidRPr="00E32ADE">
        <w:t xml:space="preserve"> IOD also </w:t>
      </w:r>
      <w:r>
        <w:t>considered</w:t>
      </w:r>
      <w:r w:rsidRPr="00E32ADE">
        <w:t xml:space="preserve"> the work done by the External Auditor</w:t>
      </w:r>
      <w:r>
        <w:t xml:space="preserve"> and other oversight bodies such as</w:t>
      </w:r>
      <w:r w:rsidRPr="00E32ADE">
        <w:t xml:space="preserve"> the Joint Inspection Unit </w:t>
      </w:r>
      <w:r>
        <w:t>and</w:t>
      </w:r>
      <w:r w:rsidRPr="00E32ADE">
        <w:t xml:space="preserve"> evaluations commissioned by the Committee on Development and</w:t>
      </w:r>
      <w:r w:rsidR="00FD01E5">
        <w:t xml:space="preserve"> Intellectual Property (CDIP).</w:t>
      </w:r>
    </w:p>
    <w:p w14:paraId="7214C90A" w14:textId="77777777" w:rsidR="00C46B12" w:rsidRPr="00E32ADE" w:rsidRDefault="00C46B12" w:rsidP="00C46B12">
      <w:pPr>
        <w:pStyle w:val="Heading1"/>
      </w:pPr>
      <w:bookmarkStart w:id="25" w:name="_Toc420663567"/>
      <w:bookmarkStart w:id="26" w:name="_Toc39071247"/>
      <w:bookmarkStart w:id="27" w:name="_Toc100660223"/>
      <w:r w:rsidRPr="00E32ADE">
        <w:t>PROFESSIONAL STANDARDS</w:t>
      </w:r>
      <w:bookmarkEnd w:id="25"/>
      <w:bookmarkEnd w:id="26"/>
      <w:bookmarkEnd w:id="27"/>
    </w:p>
    <w:p w14:paraId="22718AD5" w14:textId="34A9BA07" w:rsidR="00A93860" w:rsidRPr="00FF6721" w:rsidRDefault="00A93860" w:rsidP="00500D6F">
      <w:pPr>
        <w:pStyle w:val="ONUME"/>
      </w:pPr>
      <w:r>
        <w:t xml:space="preserve">IOD undertakes </w:t>
      </w:r>
      <w:r w:rsidRPr="00E32ADE">
        <w:t xml:space="preserve">its audit activities </w:t>
      </w:r>
      <w:r w:rsidR="0052183D">
        <w:t>pursuant</w:t>
      </w:r>
      <w:r w:rsidRPr="0052183D">
        <w:t xml:space="preserve"> to</w:t>
      </w:r>
      <w:r w:rsidRPr="00A93860">
        <w:t xml:space="preserve"> the mandatory elements of the</w:t>
      </w:r>
      <w:r w:rsidR="00FD01E5">
        <w:t xml:space="preserve"> </w:t>
      </w:r>
      <w:r w:rsidR="00AF1399">
        <w:t>I</w:t>
      </w:r>
      <w:r w:rsidR="00AF1399" w:rsidRPr="00A93860">
        <w:t>nternational P</w:t>
      </w:r>
      <w:r w:rsidR="00AF1399">
        <w:t>rofessional Practices Framework</w:t>
      </w:r>
      <w:r w:rsidR="00AF1399" w:rsidRPr="00DF27E3">
        <w:rPr>
          <w:szCs w:val="22"/>
        </w:rPr>
        <w:t xml:space="preserve"> </w:t>
      </w:r>
      <w:r w:rsidR="00AF1399">
        <w:rPr>
          <w:szCs w:val="22"/>
        </w:rPr>
        <w:t xml:space="preserve">promulgated by the </w:t>
      </w:r>
      <w:r w:rsidR="00FD01E5" w:rsidRPr="00DF27E3">
        <w:rPr>
          <w:szCs w:val="22"/>
        </w:rPr>
        <w:t>Institute of Internal Auditors</w:t>
      </w:r>
      <w:r w:rsidRPr="00A93860">
        <w:t xml:space="preserve">, including its </w:t>
      </w:r>
      <w:r w:rsidR="00E84238" w:rsidRPr="00AF1399">
        <w:t>International Standards for the Professiona</w:t>
      </w:r>
      <w:r w:rsidR="00500D6F" w:rsidRPr="00AF1399">
        <w:t>l Practice of Internal Auditing</w:t>
      </w:r>
      <w:r w:rsidRPr="00A93860">
        <w:t xml:space="preserve">, </w:t>
      </w:r>
      <w:r w:rsidRPr="00AF1399">
        <w:t>Core Principles for the Professional Practice of Internal Auditing, Definition of Internal Auditing, and Code of Ethics.</w:t>
      </w:r>
      <w:r w:rsidRPr="00A93860">
        <w:t xml:space="preserve"> </w:t>
      </w:r>
    </w:p>
    <w:p w14:paraId="78E7CD24" w14:textId="44307796" w:rsidR="00ED3A15" w:rsidRPr="00AF1399" w:rsidRDefault="00C46B12" w:rsidP="00F736B0">
      <w:pPr>
        <w:pStyle w:val="ONUME"/>
      </w:pPr>
      <w:r w:rsidRPr="00E32ADE">
        <w:t>Similarly, IOD</w:t>
      </w:r>
      <w:r w:rsidR="000F7A31">
        <w:t>’</w:t>
      </w:r>
      <w:r>
        <w:t>s</w:t>
      </w:r>
      <w:r w:rsidRPr="00E32ADE" w:rsidDel="00B10E74">
        <w:t xml:space="preserve"> </w:t>
      </w:r>
      <w:r w:rsidRPr="00E32ADE">
        <w:t>investigative work</w:t>
      </w:r>
      <w:r>
        <w:t xml:space="preserve"> is conducted in line </w:t>
      </w:r>
      <w:r w:rsidRPr="00AF1399">
        <w:t>with the Uniform Principles and Guidelines for Investigations endorsed by the</w:t>
      </w:r>
      <w:r w:rsidR="00AA1ADA" w:rsidRPr="00AF1399">
        <w:rPr>
          <w:szCs w:val="22"/>
        </w:rPr>
        <w:t xml:space="preserve"> Conference of International Investigators</w:t>
      </w:r>
      <w:r w:rsidR="00BE1D92" w:rsidRPr="00AF1399">
        <w:t>.</w:t>
      </w:r>
    </w:p>
    <w:p w14:paraId="6FB5CE05" w14:textId="77777777" w:rsidR="00C46B12" w:rsidRPr="00AF1399" w:rsidRDefault="00C46B12" w:rsidP="00F736B0">
      <w:pPr>
        <w:pStyle w:val="ONUME"/>
      </w:pPr>
      <w:r w:rsidRPr="00AF1399">
        <w:t xml:space="preserve">For evaluation activities, IOD follows the International Standards in Evaluation Practice as set out by </w:t>
      </w:r>
      <w:r w:rsidR="00BE1D92" w:rsidRPr="00AF1399">
        <w:t xml:space="preserve">the </w:t>
      </w:r>
      <w:r w:rsidR="00BE1D92" w:rsidRPr="00AF1399">
        <w:rPr>
          <w:szCs w:val="22"/>
        </w:rPr>
        <w:t>United Nations Evaluation Group</w:t>
      </w:r>
      <w:r w:rsidR="00BE1D92" w:rsidRPr="00AF1399">
        <w:t xml:space="preserve"> (</w:t>
      </w:r>
      <w:r w:rsidR="00ED3A15" w:rsidRPr="00AF1399">
        <w:t>UNEG</w:t>
      </w:r>
      <w:r w:rsidR="00BE1D92" w:rsidRPr="00AF1399">
        <w:t>)</w:t>
      </w:r>
      <w:r w:rsidRPr="00AF1399">
        <w:t>.</w:t>
      </w:r>
    </w:p>
    <w:p w14:paraId="2CAD7E0B" w14:textId="77777777" w:rsidR="001B2E69" w:rsidRDefault="001B2E69" w:rsidP="00342383">
      <w:pPr>
        <w:pStyle w:val="Heading1"/>
      </w:pPr>
      <w:bookmarkStart w:id="28" w:name="_Toc100660224"/>
      <w:r>
        <w:t>GENDER MAINSTREAMING</w:t>
      </w:r>
      <w:bookmarkEnd w:id="28"/>
    </w:p>
    <w:p w14:paraId="16C938F3" w14:textId="02EAA131" w:rsidR="001B2E69" w:rsidRDefault="001B2E69" w:rsidP="00342383">
      <w:pPr>
        <w:pStyle w:val="ONUME"/>
        <w:rPr>
          <w:rFonts w:eastAsiaTheme="minorHAnsi"/>
          <w:lang w:eastAsia="en-US"/>
        </w:rPr>
      </w:pPr>
      <w:r>
        <w:t xml:space="preserve">In the context of </w:t>
      </w:r>
      <w:r w:rsidR="00BE1D92">
        <w:t xml:space="preserve">the </w:t>
      </w:r>
      <w:r w:rsidR="00BE1D92" w:rsidRPr="00376094">
        <w:t xml:space="preserve">UN System-Wide Action Plan </w:t>
      </w:r>
      <w:r w:rsidR="00AD1D8D">
        <w:t>P</w:t>
      </w:r>
      <w:r w:rsidRPr="00376094">
        <w:t xml:space="preserve">erformance </w:t>
      </w:r>
      <w:r w:rsidR="00AD1D8D">
        <w:t>R</w:t>
      </w:r>
      <w:r w:rsidRPr="00376094">
        <w:t>eport</w:t>
      </w:r>
      <w:r w:rsidR="001E6080">
        <w:rPr>
          <w:rStyle w:val="FootnoteReference"/>
        </w:rPr>
        <w:footnoteReference w:id="5"/>
      </w:r>
      <w:r w:rsidR="00852EB9">
        <w:t xml:space="preserve"> </w:t>
      </w:r>
      <w:r>
        <w:t xml:space="preserve">and with respect to gender equality and mainstreaming in IOD’s work, </w:t>
      </w:r>
      <w:r w:rsidR="0021563A">
        <w:t>the current conditions and actions can be reported</w:t>
      </w:r>
      <w:r>
        <w:t xml:space="preserve">: </w:t>
      </w:r>
    </w:p>
    <w:p w14:paraId="409A8AA9" w14:textId="77777777" w:rsidR="001B2E69" w:rsidRDefault="001B2E69" w:rsidP="001B2E69">
      <w:pPr>
        <w:pStyle w:val="ONUME"/>
        <w:numPr>
          <w:ilvl w:val="1"/>
          <w:numId w:val="2"/>
        </w:numPr>
        <w:rPr>
          <w:rFonts w:eastAsiaTheme="minorHAnsi"/>
          <w:lang w:eastAsia="en-US"/>
        </w:rPr>
      </w:pPr>
      <w:r>
        <w:t xml:space="preserve">IOD consults the Gender </w:t>
      </w:r>
      <w:r w:rsidR="00AB1AFA">
        <w:t xml:space="preserve">and Diversity </w:t>
      </w:r>
      <w:r>
        <w:t>Specialist during the annual planning and risk assessment</w:t>
      </w:r>
      <w:r w:rsidR="00BE1D92">
        <w:t>;</w:t>
      </w:r>
    </w:p>
    <w:p w14:paraId="03C63AB5" w14:textId="003BCBB0" w:rsidR="001B2E69" w:rsidRDefault="001B2E69" w:rsidP="001B2E69">
      <w:pPr>
        <w:pStyle w:val="ONUME"/>
        <w:numPr>
          <w:ilvl w:val="1"/>
          <w:numId w:val="2"/>
        </w:numPr>
      </w:pPr>
      <w:r>
        <w:t xml:space="preserve">IOD has included a standing work step on gender mainstreaming issues in its work program for applicable </w:t>
      </w:r>
      <w:r w:rsidR="002D34FF">
        <w:t xml:space="preserve">oversight </w:t>
      </w:r>
      <w:r>
        <w:t>engagements</w:t>
      </w:r>
      <w:r w:rsidR="00A93860">
        <w:t xml:space="preserve">. </w:t>
      </w:r>
      <w:r w:rsidR="00BE1D92">
        <w:t xml:space="preserve"> </w:t>
      </w:r>
      <w:r w:rsidR="00A93860">
        <w:t>In 202</w:t>
      </w:r>
      <w:r w:rsidR="007B6CC3">
        <w:t>1</w:t>
      </w:r>
      <w:r w:rsidR="00A93860">
        <w:t xml:space="preserve">, some elements of gender were included in the report of the </w:t>
      </w:r>
      <w:r w:rsidR="007B6CC3" w:rsidRPr="005E1266">
        <w:t xml:space="preserve">Review of Crisis Management during the </w:t>
      </w:r>
      <w:r w:rsidR="00852EB9">
        <w:t>Pandemic</w:t>
      </w:r>
      <w:r w:rsidR="00BE1D92">
        <w:t>;</w:t>
      </w:r>
    </w:p>
    <w:p w14:paraId="66C6E5E7" w14:textId="1D7A6D88" w:rsidR="001B2E69" w:rsidRDefault="00BE1D92" w:rsidP="001B2E69">
      <w:pPr>
        <w:pStyle w:val="ONUME"/>
        <w:numPr>
          <w:ilvl w:val="1"/>
          <w:numId w:val="2"/>
        </w:numPr>
      </w:pPr>
      <w:r>
        <w:t>The Evaluation S</w:t>
      </w:r>
      <w:r w:rsidR="001B2E69">
        <w:t>ection applies</w:t>
      </w:r>
      <w:r w:rsidR="00EB567E">
        <w:t>,</w:t>
      </w:r>
      <w:r w:rsidR="001B2E69">
        <w:t xml:space="preserve"> where applicable</w:t>
      </w:r>
      <w:r w:rsidR="00EB567E">
        <w:t>,</w:t>
      </w:r>
      <w:r w:rsidR="001B2E69">
        <w:t xml:space="preserve"> the UNEG Guidance on Integrating Human Rights and Gender Equality in Evaluations during all phases of the evaluatio</w:t>
      </w:r>
      <w:r w:rsidR="001B2E69" w:rsidRPr="00BE1D92">
        <w:rPr>
          <w:iCs/>
        </w:rPr>
        <w:t>n</w:t>
      </w:r>
      <w:r>
        <w:rPr>
          <w:iCs/>
        </w:rPr>
        <w:t>;</w:t>
      </w:r>
    </w:p>
    <w:p w14:paraId="776EB8F0" w14:textId="3869CACF" w:rsidR="001B2E69" w:rsidRDefault="001B2E69" w:rsidP="001B2E69">
      <w:pPr>
        <w:pStyle w:val="ONUME"/>
        <w:numPr>
          <w:ilvl w:val="1"/>
          <w:numId w:val="2"/>
        </w:numPr>
      </w:pPr>
      <w:r>
        <w:lastRenderedPageBreak/>
        <w:t xml:space="preserve">A gender focal point has been designated to liaise with the WIPO Gender </w:t>
      </w:r>
      <w:r w:rsidR="00AB1AFA">
        <w:t xml:space="preserve">and Diversity </w:t>
      </w:r>
      <w:r>
        <w:t>Specialist</w:t>
      </w:r>
      <w:r w:rsidR="000C60CF">
        <w:t xml:space="preserve">;  </w:t>
      </w:r>
      <w:r w:rsidR="00BE1D92">
        <w:t>and</w:t>
      </w:r>
    </w:p>
    <w:p w14:paraId="6DB9D036" w14:textId="77777777" w:rsidR="00A93860" w:rsidRPr="001B2E69" w:rsidRDefault="0021563A" w:rsidP="00A93860">
      <w:pPr>
        <w:pStyle w:val="ONUME"/>
        <w:numPr>
          <w:ilvl w:val="1"/>
          <w:numId w:val="2"/>
        </w:numPr>
      </w:pPr>
      <w:r>
        <w:t xml:space="preserve">IOD follows up on the </w:t>
      </w:r>
      <w:r w:rsidR="001B2E69" w:rsidRPr="001B2E69">
        <w:t xml:space="preserve">implementation of the recommendations issued for the audit and evaluation </w:t>
      </w:r>
      <w:r w:rsidR="001D59E1">
        <w:t xml:space="preserve">of </w:t>
      </w:r>
      <w:r w:rsidR="007B6CC3">
        <w:t xml:space="preserve">the </w:t>
      </w:r>
      <w:r w:rsidR="001B2E69" w:rsidRPr="001B2E69">
        <w:t>WIPO Policy on Gender Equality</w:t>
      </w:r>
      <w:r w:rsidR="007B6CC3">
        <w:t xml:space="preserve">. </w:t>
      </w:r>
    </w:p>
    <w:p w14:paraId="0C759FBB" w14:textId="77777777" w:rsidR="00C46B12" w:rsidRPr="00E32ADE" w:rsidRDefault="007159D2" w:rsidP="00C46B12">
      <w:pPr>
        <w:pStyle w:val="Heading1"/>
      </w:pPr>
      <w:bookmarkStart w:id="29" w:name="_Toc420663568"/>
      <w:bookmarkStart w:id="30" w:name="_Toc39071248"/>
      <w:bookmarkStart w:id="31" w:name="_Toc100660225"/>
      <w:r>
        <w:rPr>
          <w:caps w:val="0"/>
        </w:rPr>
        <w:t>KEY FINDIN</w:t>
      </w:r>
      <w:r w:rsidR="00BE6EDF">
        <w:rPr>
          <w:caps w:val="0"/>
        </w:rPr>
        <w:t>G</w:t>
      </w:r>
      <w:r>
        <w:rPr>
          <w:caps w:val="0"/>
        </w:rPr>
        <w:t xml:space="preserve">S </w:t>
      </w:r>
      <w:r w:rsidR="00C46B12" w:rsidRPr="00E32ADE">
        <w:t xml:space="preserve">AND </w:t>
      </w:r>
      <w:r w:rsidR="00C46B12">
        <w:t xml:space="preserve">HIGH PRIORITY OVERSIGHT </w:t>
      </w:r>
      <w:r w:rsidR="00C46B12" w:rsidRPr="00E32ADE">
        <w:t>RECOMMENDATIONS</w:t>
      </w:r>
      <w:bookmarkEnd w:id="29"/>
      <w:bookmarkEnd w:id="30"/>
      <w:bookmarkEnd w:id="31"/>
    </w:p>
    <w:p w14:paraId="177D8301" w14:textId="291394F6" w:rsidR="00D9184E" w:rsidRPr="00D9184E" w:rsidRDefault="00C46B12" w:rsidP="00D9184E">
      <w:pPr>
        <w:pStyle w:val="ONUME"/>
      </w:pPr>
      <w:r w:rsidRPr="00F812A1">
        <w:t xml:space="preserve">This section contains information on key findings and recommendations, </w:t>
      </w:r>
      <w:r>
        <w:t>addressing high</w:t>
      </w:r>
      <w:r w:rsidR="00E16FEA">
        <w:t xml:space="preserve"> </w:t>
      </w:r>
      <w:r w:rsidRPr="00F812A1">
        <w:t xml:space="preserve">priority risks included in </w:t>
      </w:r>
      <w:r>
        <w:t>internal oversight reports:  A</w:t>
      </w:r>
      <w:r w:rsidRPr="00F812A1">
        <w:t xml:space="preserve">udits, </w:t>
      </w:r>
      <w:r>
        <w:t>E</w:t>
      </w:r>
      <w:r w:rsidRPr="00F812A1">
        <w:t xml:space="preserve">valuations and </w:t>
      </w:r>
      <w:r>
        <w:t>M</w:t>
      </w:r>
      <w:r w:rsidRPr="004D7376">
        <w:t xml:space="preserve">anagement </w:t>
      </w:r>
      <w:r>
        <w:t>I</w:t>
      </w:r>
      <w:r w:rsidRPr="004D7376">
        <w:t xml:space="preserve">mplication </w:t>
      </w:r>
      <w:r>
        <w:t>R</w:t>
      </w:r>
      <w:r w:rsidRPr="004D7376">
        <w:t>eports</w:t>
      </w:r>
      <w:r>
        <w:t xml:space="preserve"> (MIRs)</w:t>
      </w:r>
      <w:r w:rsidRPr="00F812A1">
        <w:t xml:space="preserve"> issued during the reporting period.</w:t>
      </w:r>
    </w:p>
    <w:p w14:paraId="45178E70" w14:textId="2F104E61" w:rsidR="00F736B0" w:rsidRPr="00F812A1" w:rsidRDefault="00C46B12" w:rsidP="003652CE">
      <w:pPr>
        <w:pStyle w:val="ONUME"/>
      </w:pPr>
      <w:r w:rsidRPr="00F812A1">
        <w:t xml:space="preserve">The </w:t>
      </w:r>
      <w:r w:rsidRPr="00F736B0">
        <w:t>key</w:t>
      </w:r>
      <w:r w:rsidRPr="00F812A1">
        <w:t xml:space="preserve"> findings and recommendations are related to the following </w:t>
      </w:r>
      <w:r>
        <w:t>reports issued during the reporting period</w:t>
      </w:r>
      <w:r w:rsidRPr="00E04B15">
        <w:rPr>
          <w:rStyle w:val="FootnoteReference"/>
        </w:rPr>
        <w:footnoteReference w:id="6"/>
      </w:r>
      <w:r w:rsidRPr="00C101FD">
        <w:t>:</w:t>
      </w:r>
    </w:p>
    <w:p w14:paraId="33C026B2" w14:textId="77777777" w:rsidR="00EF4A05" w:rsidRPr="00EF4A05" w:rsidRDefault="00EF4A05" w:rsidP="00EF4A05">
      <w:pPr>
        <w:pStyle w:val="ONUME"/>
        <w:numPr>
          <w:ilvl w:val="1"/>
          <w:numId w:val="2"/>
        </w:numPr>
        <w:rPr>
          <w:rFonts w:eastAsia="Times New Roman"/>
          <w:szCs w:val="22"/>
          <w:lang w:eastAsia="en-US"/>
        </w:rPr>
      </w:pPr>
      <w:r w:rsidRPr="00EF4A05">
        <w:rPr>
          <w:rFonts w:eastAsia="Times New Roman"/>
          <w:szCs w:val="22"/>
          <w:lang w:eastAsia="en-US"/>
        </w:rPr>
        <w:t>Audit and Integrity Review of Absence Management</w:t>
      </w:r>
      <w:r>
        <w:rPr>
          <w:rFonts w:eastAsia="Times New Roman"/>
          <w:szCs w:val="22"/>
          <w:lang w:eastAsia="en-US"/>
        </w:rPr>
        <w:t>;</w:t>
      </w:r>
    </w:p>
    <w:p w14:paraId="6D99437E" w14:textId="77777777" w:rsidR="00EF4A05" w:rsidRPr="00EF4A05" w:rsidRDefault="00EF4A05" w:rsidP="00EF4A05">
      <w:pPr>
        <w:pStyle w:val="ONUME"/>
        <w:numPr>
          <w:ilvl w:val="1"/>
          <w:numId w:val="2"/>
        </w:numPr>
        <w:rPr>
          <w:rFonts w:eastAsia="Times New Roman"/>
          <w:szCs w:val="22"/>
          <w:lang w:eastAsia="en-US"/>
        </w:rPr>
      </w:pPr>
      <w:r w:rsidRPr="00EF4A05">
        <w:rPr>
          <w:rFonts w:eastAsia="Times New Roman"/>
          <w:szCs w:val="22"/>
          <w:lang w:eastAsia="en-US"/>
        </w:rPr>
        <w:t xml:space="preserve">Audit of Cybersecurity </w:t>
      </w:r>
      <w:r w:rsidR="00C4224C">
        <w:rPr>
          <w:rFonts w:eastAsia="Times New Roman"/>
          <w:szCs w:val="22"/>
          <w:lang w:eastAsia="en-US"/>
        </w:rPr>
        <w:t xml:space="preserve">Management </w:t>
      </w:r>
      <w:r w:rsidRPr="00EF4A05">
        <w:rPr>
          <w:rFonts w:eastAsia="Times New Roman"/>
          <w:szCs w:val="22"/>
          <w:lang w:eastAsia="en-US"/>
        </w:rPr>
        <w:t>at WIPO</w:t>
      </w:r>
      <w:r>
        <w:rPr>
          <w:rFonts w:eastAsia="Times New Roman"/>
          <w:szCs w:val="22"/>
          <w:lang w:eastAsia="en-US"/>
        </w:rPr>
        <w:t>;</w:t>
      </w:r>
    </w:p>
    <w:p w14:paraId="2BBF27E5" w14:textId="5CB75F9B" w:rsidR="00EF4A05" w:rsidRPr="00EF4A05" w:rsidRDefault="00C4224C" w:rsidP="00C4224C">
      <w:pPr>
        <w:pStyle w:val="ONUME"/>
        <w:numPr>
          <w:ilvl w:val="1"/>
          <w:numId w:val="2"/>
        </w:numPr>
        <w:rPr>
          <w:rFonts w:eastAsia="Times New Roman"/>
          <w:szCs w:val="22"/>
          <w:lang w:eastAsia="en-US"/>
        </w:rPr>
      </w:pPr>
      <w:r w:rsidRPr="00C4224C">
        <w:rPr>
          <w:rFonts w:eastAsia="Times New Roman"/>
          <w:szCs w:val="22"/>
          <w:lang w:eastAsia="en-US"/>
        </w:rPr>
        <w:t xml:space="preserve">Review of WIPO Crisis Management during the </w:t>
      </w:r>
      <w:r w:rsidR="00852EB9">
        <w:rPr>
          <w:rFonts w:eastAsia="Times New Roman"/>
          <w:szCs w:val="22"/>
          <w:lang w:eastAsia="en-US"/>
        </w:rPr>
        <w:t>Pandemic</w:t>
      </w:r>
      <w:r w:rsidR="00EF4A05">
        <w:rPr>
          <w:rFonts w:eastAsia="Times New Roman"/>
          <w:szCs w:val="22"/>
          <w:lang w:eastAsia="en-US"/>
        </w:rPr>
        <w:t>;</w:t>
      </w:r>
    </w:p>
    <w:p w14:paraId="5F6A3E0D" w14:textId="77777777" w:rsidR="00EF4A05" w:rsidRPr="00EF4A05" w:rsidRDefault="00EF4A05" w:rsidP="00EF4A05">
      <w:pPr>
        <w:pStyle w:val="ONUME"/>
        <w:numPr>
          <w:ilvl w:val="1"/>
          <w:numId w:val="2"/>
        </w:numPr>
        <w:rPr>
          <w:rFonts w:eastAsia="Times New Roman"/>
          <w:szCs w:val="22"/>
          <w:lang w:eastAsia="en-US"/>
        </w:rPr>
      </w:pPr>
      <w:r w:rsidRPr="00EF4A05">
        <w:rPr>
          <w:rFonts w:eastAsia="Times New Roman"/>
          <w:szCs w:val="22"/>
          <w:lang w:eastAsia="en-US"/>
        </w:rPr>
        <w:t>Review of Performance Management and Staff Development at WIPO</w:t>
      </w:r>
      <w:r>
        <w:rPr>
          <w:rFonts w:eastAsia="Times New Roman"/>
          <w:szCs w:val="22"/>
          <w:lang w:eastAsia="en-US"/>
        </w:rPr>
        <w:t>;</w:t>
      </w:r>
    </w:p>
    <w:p w14:paraId="09DB6BF7" w14:textId="77777777" w:rsidR="00EF4A05" w:rsidRPr="00EF4A05" w:rsidRDefault="00EF4A05" w:rsidP="00EF4A05">
      <w:pPr>
        <w:pStyle w:val="ONUME"/>
        <w:numPr>
          <w:ilvl w:val="1"/>
          <w:numId w:val="2"/>
        </w:numPr>
        <w:rPr>
          <w:rFonts w:eastAsia="Times New Roman"/>
          <w:szCs w:val="22"/>
          <w:lang w:eastAsia="en-US"/>
        </w:rPr>
      </w:pPr>
      <w:r w:rsidRPr="00EF4A05">
        <w:rPr>
          <w:rFonts w:eastAsia="Times New Roman"/>
          <w:szCs w:val="22"/>
          <w:lang w:eastAsia="en-US"/>
        </w:rPr>
        <w:t>Evaluation of the Regional Division for Arab Countries</w:t>
      </w:r>
      <w:r>
        <w:rPr>
          <w:rFonts w:eastAsia="Times New Roman"/>
          <w:szCs w:val="22"/>
          <w:lang w:eastAsia="en-US"/>
        </w:rPr>
        <w:t>;</w:t>
      </w:r>
    </w:p>
    <w:p w14:paraId="41C9A425" w14:textId="77777777" w:rsidR="00EF4A05" w:rsidRPr="00EF4A05" w:rsidRDefault="00EF4A05" w:rsidP="00EF4A05">
      <w:pPr>
        <w:pStyle w:val="ONUME"/>
        <w:numPr>
          <w:ilvl w:val="1"/>
          <w:numId w:val="2"/>
        </w:numPr>
        <w:rPr>
          <w:rFonts w:eastAsia="Times New Roman"/>
          <w:szCs w:val="22"/>
          <w:lang w:eastAsia="en-US"/>
        </w:rPr>
      </w:pPr>
      <w:r w:rsidRPr="00EF4A05">
        <w:rPr>
          <w:rFonts w:eastAsia="Times New Roman"/>
          <w:szCs w:val="22"/>
          <w:lang w:eastAsia="en-US"/>
        </w:rPr>
        <w:t>Evaluation of WIPO Match</w:t>
      </w:r>
      <w:r>
        <w:rPr>
          <w:rFonts w:eastAsia="Times New Roman"/>
          <w:szCs w:val="22"/>
          <w:lang w:eastAsia="en-US"/>
        </w:rPr>
        <w:t>;</w:t>
      </w:r>
    </w:p>
    <w:p w14:paraId="6FAAE8DE" w14:textId="3B78B3B5" w:rsidR="00EF4A05" w:rsidRPr="00EF4A05" w:rsidRDefault="00EF4A05" w:rsidP="00EF4A05">
      <w:pPr>
        <w:pStyle w:val="ONUME"/>
        <w:numPr>
          <w:ilvl w:val="1"/>
          <w:numId w:val="2"/>
        </w:numPr>
        <w:rPr>
          <w:rFonts w:eastAsia="Times New Roman"/>
          <w:szCs w:val="22"/>
          <w:lang w:eastAsia="en-US"/>
        </w:rPr>
      </w:pPr>
      <w:r w:rsidRPr="00EF4A05">
        <w:rPr>
          <w:rFonts w:eastAsia="Times New Roman"/>
          <w:szCs w:val="22"/>
          <w:lang w:eastAsia="en-US"/>
        </w:rPr>
        <w:t>Evaluation of the Use and I</w:t>
      </w:r>
      <w:r>
        <w:rPr>
          <w:rFonts w:eastAsia="Times New Roman"/>
          <w:szCs w:val="22"/>
          <w:lang w:eastAsia="en-US"/>
        </w:rPr>
        <w:t>mpact of IOD Evaluation Section</w:t>
      </w:r>
      <w:r w:rsidR="000C4E21">
        <w:rPr>
          <w:rFonts w:eastAsia="Times New Roman"/>
          <w:szCs w:val="22"/>
          <w:lang w:eastAsia="en-US"/>
        </w:rPr>
        <w:t xml:space="preserve"> Recommendations</w:t>
      </w:r>
      <w:r>
        <w:rPr>
          <w:rFonts w:eastAsia="Times New Roman"/>
          <w:szCs w:val="22"/>
          <w:lang w:eastAsia="en-US"/>
        </w:rPr>
        <w:t>;</w:t>
      </w:r>
    </w:p>
    <w:p w14:paraId="0AB48D27" w14:textId="059796EB" w:rsidR="00EF4A05" w:rsidRPr="00EF4A05" w:rsidRDefault="00EF4A05" w:rsidP="00EF4A05">
      <w:pPr>
        <w:pStyle w:val="ONUME"/>
        <w:numPr>
          <w:ilvl w:val="1"/>
          <w:numId w:val="2"/>
        </w:numPr>
        <w:rPr>
          <w:rFonts w:eastAsia="Times New Roman"/>
          <w:szCs w:val="22"/>
          <w:lang w:eastAsia="en-US"/>
        </w:rPr>
      </w:pPr>
      <w:r w:rsidRPr="00EF4A05">
        <w:rPr>
          <w:rFonts w:eastAsia="Times New Roman"/>
          <w:szCs w:val="22"/>
          <w:lang w:eastAsia="en-US"/>
        </w:rPr>
        <w:t>Advisory Engagement on National</w:t>
      </w:r>
      <w:r w:rsidR="00D04C9C">
        <w:rPr>
          <w:rFonts w:eastAsia="Times New Roman"/>
          <w:szCs w:val="22"/>
          <w:lang w:eastAsia="en-US"/>
        </w:rPr>
        <w:t xml:space="preserve"> Intellectual Property</w:t>
      </w:r>
      <w:r w:rsidRPr="00EF4A05">
        <w:rPr>
          <w:rFonts w:eastAsia="Times New Roman"/>
          <w:szCs w:val="22"/>
          <w:lang w:eastAsia="en-US"/>
        </w:rPr>
        <w:t xml:space="preserve"> </w:t>
      </w:r>
      <w:r w:rsidR="00D04C9C">
        <w:rPr>
          <w:rFonts w:eastAsia="Times New Roman"/>
          <w:szCs w:val="22"/>
          <w:lang w:eastAsia="en-US"/>
        </w:rPr>
        <w:t>(</w:t>
      </w:r>
      <w:r w:rsidRPr="00EF4A05">
        <w:rPr>
          <w:rFonts w:eastAsia="Times New Roman"/>
          <w:szCs w:val="22"/>
          <w:lang w:eastAsia="en-US"/>
        </w:rPr>
        <w:t>IP</w:t>
      </w:r>
      <w:r w:rsidR="00D04C9C">
        <w:rPr>
          <w:rFonts w:eastAsia="Times New Roman"/>
          <w:szCs w:val="22"/>
          <w:lang w:eastAsia="en-US"/>
        </w:rPr>
        <w:t>)</w:t>
      </w:r>
      <w:r w:rsidRPr="00EF4A05">
        <w:rPr>
          <w:rFonts w:eastAsia="Times New Roman"/>
          <w:szCs w:val="22"/>
          <w:lang w:eastAsia="en-US"/>
        </w:rPr>
        <w:t xml:space="preserve"> Strategy Self</w:t>
      </w:r>
      <w:r w:rsidR="00F20B82">
        <w:rPr>
          <w:rFonts w:eastAsia="Times New Roman"/>
          <w:szCs w:val="22"/>
          <w:lang w:eastAsia="en-US"/>
        </w:rPr>
        <w:noBreakHyphen/>
      </w:r>
      <w:r w:rsidRPr="00EF4A05">
        <w:rPr>
          <w:rFonts w:eastAsia="Times New Roman"/>
          <w:szCs w:val="22"/>
          <w:lang w:eastAsia="en-US"/>
        </w:rPr>
        <w:t>Evaluations</w:t>
      </w:r>
      <w:r>
        <w:rPr>
          <w:rFonts w:eastAsia="Times New Roman"/>
          <w:szCs w:val="22"/>
          <w:lang w:eastAsia="en-US"/>
        </w:rPr>
        <w:t>;</w:t>
      </w:r>
    </w:p>
    <w:p w14:paraId="4B97D86D" w14:textId="77777777" w:rsidR="00EF4A05" w:rsidRPr="00EF4A05" w:rsidRDefault="00EF4A05" w:rsidP="00EF4A05">
      <w:pPr>
        <w:pStyle w:val="ONUME"/>
        <w:numPr>
          <w:ilvl w:val="1"/>
          <w:numId w:val="2"/>
        </w:numPr>
        <w:rPr>
          <w:rFonts w:eastAsia="Times New Roman"/>
          <w:szCs w:val="22"/>
          <w:lang w:eastAsia="en-US"/>
        </w:rPr>
      </w:pPr>
      <w:r w:rsidRPr="00EF4A05">
        <w:rPr>
          <w:rFonts w:eastAsia="Times New Roman"/>
          <w:szCs w:val="22"/>
          <w:lang w:eastAsia="en-US"/>
        </w:rPr>
        <w:t>MIR on Personal data and privacy issues concerning WIPO e-mails to external users</w:t>
      </w:r>
      <w:r>
        <w:rPr>
          <w:rFonts w:eastAsia="Times New Roman"/>
          <w:szCs w:val="22"/>
          <w:lang w:eastAsia="en-US"/>
        </w:rPr>
        <w:t>;  and</w:t>
      </w:r>
    </w:p>
    <w:p w14:paraId="1B569D79" w14:textId="6538B621" w:rsidR="00EF4A05" w:rsidRPr="00EF4A05" w:rsidRDefault="00EF4A05" w:rsidP="00EF4A05">
      <w:pPr>
        <w:pStyle w:val="ONUME"/>
        <w:numPr>
          <w:ilvl w:val="1"/>
          <w:numId w:val="2"/>
        </w:numPr>
      </w:pPr>
      <w:r w:rsidRPr="00EF4A05">
        <w:rPr>
          <w:rFonts w:eastAsia="Times New Roman"/>
          <w:szCs w:val="22"/>
          <w:lang w:eastAsia="en-US"/>
        </w:rPr>
        <w:t xml:space="preserve">MIR on Information contained in the </w:t>
      </w:r>
      <w:r w:rsidR="00B20633" w:rsidRPr="00EF4A05">
        <w:rPr>
          <w:rFonts w:eastAsia="Times New Roman"/>
          <w:szCs w:val="22"/>
          <w:lang w:eastAsia="en-US"/>
        </w:rPr>
        <w:t>PATENTSCOPE</w:t>
      </w:r>
      <w:r w:rsidRPr="00EF4A05">
        <w:rPr>
          <w:rFonts w:eastAsia="Times New Roman"/>
          <w:szCs w:val="22"/>
          <w:lang w:eastAsia="en-US"/>
        </w:rPr>
        <w:t xml:space="preserve"> website</w:t>
      </w:r>
      <w:r>
        <w:rPr>
          <w:rFonts w:eastAsia="Times New Roman"/>
          <w:szCs w:val="22"/>
          <w:lang w:eastAsia="en-US"/>
        </w:rPr>
        <w:t>.</w:t>
      </w:r>
    </w:p>
    <w:p w14:paraId="64E3F68F" w14:textId="64686FBC" w:rsidR="00C46B12" w:rsidRDefault="00C46B12" w:rsidP="00EF4A05">
      <w:pPr>
        <w:pStyle w:val="ONUME"/>
      </w:pPr>
      <w:r>
        <w:t xml:space="preserve">IOD </w:t>
      </w:r>
      <w:r w:rsidRPr="00F736B0">
        <w:t>has</w:t>
      </w:r>
      <w:r>
        <w:t xml:space="preserve"> continued its dialogue with </w:t>
      </w:r>
      <w:r w:rsidRPr="00F812A1">
        <w:t xml:space="preserve">Management </w:t>
      </w:r>
      <w:r>
        <w:t>to</w:t>
      </w:r>
      <w:r w:rsidRPr="00F812A1">
        <w:t xml:space="preserve"> regularly review and update the status of </w:t>
      </w:r>
      <w:r w:rsidR="007E4466">
        <w:t xml:space="preserve">the </w:t>
      </w:r>
      <w:r w:rsidRPr="00F812A1">
        <w:t>implementation of open recommendations</w:t>
      </w:r>
      <w:r>
        <w:t xml:space="preserve">.  </w:t>
      </w:r>
      <w:r w:rsidRPr="00F812A1">
        <w:t>All recommendations are addressed by Management through an action plan with suggested activities, responsible staff</w:t>
      </w:r>
      <w:r w:rsidR="00475956">
        <w:t>,</w:t>
      </w:r>
      <w:r w:rsidRPr="00F812A1">
        <w:t xml:space="preserve"> and a deadline for implementation.  O</w:t>
      </w:r>
      <w:r>
        <w:t>versight</w:t>
      </w:r>
      <w:r w:rsidRPr="00F812A1">
        <w:t xml:space="preserve"> recommendations are managed in the Team</w:t>
      </w:r>
      <w:r w:rsidR="007B6CC3">
        <w:t>Mate+</w:t>
      </w:r>
      <w:r w:rsidRPr="00B55F8F">
        <w:rPr>
          <w:vertAlign w:val="superscript"/>
        </w:rPr>
        <w:footnoteReference w:id="7"/>
      </w:r>
      <w:r w:rsidRPr="00F812A1">
        <w:t xml:space="preserve"> system, </w:t>
      </w:r>
      <w:r>
        <w:t xml:space="preserve">which is </w:t>
      </w:r>
      <w:r w:rsidRPr="00F812A1">
        <w:t>a</w:t>
      </w:r>
      <w:r w:rsidR="00F93631">
        <w:t>ccessible by IOD and</w:t>
      </w:r>
      <w:r w:rsidRPr="00F812A1">
        <w:t xml:space="preserve"> WIPO Management</w:t>
      </w:r>
      <w:r w:rsidR="00F93631">
        <w:t>.</w:t>
      </w:r>
    </w:p>
    <w:p w14:paraId="1876B05B" w14:textId="77777777" w:rsidR="0022519E" w:rsidRDefault="0022519E" w:rsidP="00500A24">
      <w:pPr>
        <w:pStyle w:val="Heading1"/>
      </w:pPr>
      <w:bookmarkStart w:id="32" w:name="_Toc100660226"/>
      <w:r>
        <w:t>REPORTED ENGAGEMENTS</w:t>
      </w:r>
      <w:r w:rsidR="00882193">
        <w:t xml:space="preserve"> IN 202</w:t>
      </w:r>
      <w:r w:rsidR="00C4224C">
        <w:t>1</w:t>
      </w:r>
      <w:bookmarkEnd w:id="32"/>
    </w:p>
    <w:p w14:paraId="1C5855D2" w14:textId="77777777" w:rsidR="008053D2" w:rsidRPr="00500A24" w:rsidRDefault="0022519E" w:rsidP="00315F3C">
      <w:pPr>
        <w:pStyle w:val="Heading2"/>
        <w:rPr>
          <w:lang w:eastAsia="en-US"/>
        </w:rPr>
      </w:pPr>
      <w:bookmarkStart w:id="33" w:name="_Toc476745977"/>
      <w:r w:rsidRPr="00500A24">
        <w:rPr>
          <w:lang w:eastAsia="en-US"/>
        </w:rPr>
        <w:t xml:space="preserve">Audit and Integrity Review of </w:t>
      </w:r>
      <w:r w:rsidR="00C4224C">
        <w:rPr>
          <w:lang w:eastAsia="en-US"/>
        </w:rPr>
        <w:t>Absence Management</w:t>
      </w:r>
    </w:p>
    <w:p w14:paraId="03E12D10" w14:textId="77777777" w:rsidR="004854FF" w:rsidRPr="00EB5AF7" w:rsidRDefault="004854FF" w:rsidP="004854FF">
      <w:pPr>
        <w:pStyle w:val="ONUME"/>
      </w:pPr>
      <w:bookmarkStart w:id="34" w:name="_Toc476745979"/>
      <w:bookmarkEnd w:id="33"/>
      <w:r w:rsidRPr="00EB5AF7">
        <w:t xml:space="preserve">IOD noted a number of positive developments in the management and administration of staff absences including: </w:t>
      </w:r>
    </w:p>
    <w:p w14:paraId="708A7522" w14:textId="718B0BF0" w:rsidR="004854FF" w:rsidRPr="00EB5AF7" w:rsidRDefault="00EB567E" w:rsidP="004854FF">
      <w:pPr>
        <w:pStyle w:val="ONUME"/>
        <w:numPr>
          <w:ilvl w:val="1"/>
          <w:numId w:val="2"/>
        </w:numPr>
      </w:pPr>
      <w:r>
        <w:t>The t</w:t>
      </w:r>
      <w:r w:rsidR="004854FF" w:rsidRPr="00EB567E">
        <w:t>raining</w:t>
      </w:r>
      <w:r w:rsidR="004854FF" w:rsidRPr="00EB5AF7">
        <w:t xml:space="preserve"> </w:t>
      </w:r>
      <w:r>
        <w:t xml:space="preserve">of </w:t>
      </w:r>
      <w:r w:rsidR="004854FF" w:rsidRPr="00EB5AF7">
        <w:t>staff members to access the Administrative Integrated Management System (AIMS) Human Resources (HR)</w:t>
      </w:r>
      <w:r w:rsidR="004854FF" w:rsidRPr="00EB5AF7">
        <w:rPr>
          <w:sz w:val="14"/>
          <w:szCs w:val="14"/>
        </w:rPr>
        <w:t xml:space="preserve"> </w:t>
      </w:r>
      <w:r w:rsidR="004854FF" w:rsidRPr="00EB5AF7">
        <w:t xml:space="preserve">remotely; </w:t>
      </w:r>
    </w:p>
    <w:p w14:paraId="0ABC8DA5" w14:textId="1395AF15" w:rsidR="004854FF" w:rsidRPr="00EB5AF7" w:rsidRDefault="00EB567E" w:rsidP="004854FF">
      <w:pPr>
        <w:pStyle w:val="ONUME"/>
        <w:numPr>
          <w:ilvl w:val="1"/>
          <w:numId w:val="2"/>
        </w:numPr>
      </w:pPr>
      <w:r>
        <w:lastRenderedPageBreak/>
        <w:t>The i</w:t>
      </w:r>
      <w:r w:rsidR="004854FF" w:rsidRPr="00EB5AF7">
        <w:t>ntroduc</w:t>
      </w:r>
      <w:r>
        <w:t>t</w:t>
      </w:r>
      <w:r w:rsidR="004854FF" w:rsidRPr="00EB5AF7">
        <w:t>i</w:t>
      </w:r>
      <w:r>
        <w:t>o</w:t>
      </w:r>
      <w:r w:rsidR="004854FF" w:rsidRPr="00EB5AF7">
        <w:t xml:space="preserve">n of a Payroll validation tool to automate the reconciliation of staff entitlements and salary deductions for sick leave; </w:t>
      </w:r>
      <w:r w:rsidR="004854FF">
        <w:t xml:space="preserve"> </w:t>
      </w:r>
      <w:r w:rsidR="004854FF" w:rsidRPr="00EB5AF7">
        <w:t xml:space="preserve">and </w:t>
      </w:r>
    </w:p>
    <w:p w14:paraId="7E92A2D1" w14:textId="6DA6241E" w:rsidR="004854FF" w:rsidRPr="00EB5AF7" w:rsidRDefault="00EB567E" w:rsidP="004854FF">
      <w:pPr>
        <w:pStyle w:val="ONUME"/>
        <w:numPr>
          <w:ilvl w:val="1"/>
          <w:numId w:val="2"/>
        </w:numPr>
      </w:pPr>
      <w:r>
        <w:t>The i</w:t>
      </w:r>
      <w:r w:rsidR="00E16FEA">
        <w:t>mplement</w:t>
      </w:r>
      <w:r>
        <w:t>at</w:t>
      </w:r>
      <w:r w:rsidR="00E16FEA">
        <w:t>i</w:t>
      </w:r>
      <w:r>
        <w:t>o</w:t>
      </w:r>
      <w:r w:rsidR="00E16FEA">
        <w:t>n</w:t>
      </w:r>
      <w:r>
        <w:t xml:space="preserve"> of</w:t>
      </w:r>
      <w:r w:rsidR="004854FF" w:rsidRPr="00EB5AF7">
        <w:t xml:space="preserve"> guidelines on Return to Work following Long-term Sick Leave. </w:t>
      </w:r>
    </w:p>
    <w:p w14:paraId="5A7D2EC0" w14:textId="77777777" w:rsidR="004854FF" w:rsidRPr="00EB5AF7" w:rsidRDefault="004854FF" w:rsidP="004854FF">
      <w:pPr>
        <w:pStyle w:val="ONUME"/>
      </w:pPr>
      <w:r w:rsidRPr="00EB5AF7">
        <w:t xml:space="preserve">These developments helped in enhancing the efficiency and effectiveness of managing various absences particularly sick leave (certified and uncertified), special leave, and annual leave. </w:t>
      </w:r>
    </w:p>
    <w:p w14:paraId="0F775B49" w14:textId="0C85FE70" w:rsidR="004854FF" w:rsidRPr="00EB5AF7" w:rsidRDefault="004854FF" w:rsidP="004854FF">
      <w:pPr>
        <w:pStyle w:val="ONUME"/>
      </w:pPr>
      <w:r w:rsidRPr="00EB5AF7">
        <w:t xml:space="preserve">Opportunities exist to enhance the management of various absences in the Organization. </w:t>
      </w:r>
      <w:r>
        <w:t xml:space="preserve"> </w:t>
      </w:r>
      <w:r w:rsidRPr="00EB5AF7">
        <w:t xml:space="preserve">For example, </w:t>
      </w:r>
      <w:r w:rsidR="007E4466">
        <w:t xml:space="preserve">the </w:t>
      </w:r>
      <w:r w:rsidR="00AA1ADA" w:rsidRPr="00DF27E3">
        <w:rPr>
          <w:szCs w:val="22"/>
        </w:rPr>
        <w:t>Human Resources Management Department</w:t>
      </w:r>
      <w:r w:rsidR="00AA1ADA" w:rsidRPr="00EB5AF7">
        <w:t xml:space="preserve"> </w:t>
      </w:r>
      <w:r w:rsidR="00AA1ADA">
        <w:t>(</w:t>
      </w:r>
      <w:r w:rsidRPr="00EB5AF7">
        <w:t>HRMD</w:t>
      </w:r>
      <w:r w:rsidR="00AA1ADA">
        <w:t>)</w:t>
      </w:r>
      <w:r w:rsidRPr="00EB5AF7">
        <w:t>, in collaboration with relevant internal stakeholders</w:t>
      </w:r>
      <w:r w:rsidRPr="00EB5AF7">
        <w:rPr>
          <w:b/>
          <w:bCs/>
        </w:rPr>
        <w:t xml:space="preserve">, </w:t>
      </w:r>
      <w:r w:rsidRPr="00EB5AF7">
        <w:t xml:space="preserve">should assess </w:t>
      </w:r>
      <w:r w:rsidR="00726D19">
        <w:t>the relevant Office Instruction </w:t>
      </w:r>
      <w:r w:rsidRPr="00EB5AF7">
        <w:t>(</w:t>
      </w:r>
      <w:r w:rsidRPr="00E41652">
        <w:t>OI</w:t>
      </w:r>
      <w:r w:rsidRPr="00EB5AF7">
        <w:t>) on sick leave, and the current workflows and practices for managing certified sick leave, with a view to identifying and making necessary changes to ensure alignment.</w:t>
      </w:r>
      <w:r>
        <w:t xml:space="preserve"> </w:t>
      </w:r>
      <w:r w:rsidRPr="00EB5AF7">
        <w:t xml:space="preserve"> More specifically, HRMD should strengthen the internal controls over medical appointments by randomly selecting staff members and verifying that their appointment(s) complies with the requirements of the relevant OI. </w:t>
      </w:r>
    </w:p>
    <w:p w14:paraId="70F5C9B2" w14:textId="70FAF044" w:rsidR="004854FF" w:rsidRPr="00E16ED2" w:rsidRDefault="004854FF" w:rsidP="004854FF">
      <w:pPr>
        <w:pStyle w:val="ONUME"/>
      </w:pPr>
      <w:r w:rsidRPr="00EB5AF7">
        <w:t xml:space="preserve">The management of sick leave can be further enhanced by developing a </w:t>
      </w:r>
      <w:r w:rsidR="00E16FEA">
        <w:t>d</w:t>
      </w:r>
      <w:r w:rsidRPr="00EB5AF7">
        <w:t xml:space="preserve">ata migration plan in order to have a more comprehensive, reliable and accurate determination of the progress made in migrating sick leave data in EarthMed. </w:t>
      </w:r>
      <w:r>
        <w:t xml:space="preserve"> </w:t>
      </w:r>
      <w:r w:rsidRPr="00EB5AF7">
        <w:t xml:space="preserve">Further, establishing a mechanism that facilitates comprehensive reporting on the cost of sick leave, which includes both qualitative and quantitative cost elements combined with targeted information sessions and proactive </w:t>
      </w:r>
      <w:r w:rsidRPr="00E16ED2">
        <w:t>information sharing between HRMD (including the Medical Unit) and relevant Program Managers and supervisors</w:t>
      </w:r>
      <w:r w:rsidR="00E16ED2">
        <w:t xml:space="preserve"> (subject to medical confidentiality)</w:t>
      </w:r>
      <w:r w:rsidRPr="00E16ED2">
        <w:t>, would help improve communication and informed operational decisions (e.g. back filling).</w:t>
      </w:r>
    </w:p>
    <w:p w14:paraId="2047AB20" w14:textId="6D58D501" w:rsidR="004854FF" w:rsidRPr="00EB5AF7" w:rsidRDefault="004854FF" w:rsidP="004854FF">
      <w:pPr>
        <w:pStyle w:val="ONUME"/>
      </w:pPr>
      <w:r w:rsidRPr="00E16ED2">
        <w:t xml:space="preserve">In addition, the Organization would benefit from customizing EarthMed to capture relevant and granular medical data that can be analyzed to identify useful trends and statistics, perform root cause analysis, and generate tailored reports.  Other improvements </w:t>
      </w:r>
      <w:r w:rsidR="00EB567E" w:rsidRPr="00E16ED2">
        <w:t xml:space="preserve">would </w:t>
      </w:r>
      <w:r w:rsidRPr="00E16ED2">
        <w:t xml:space="preserve">include completing the development of an interface between AIMS HR and EarthMed </w:t>
      </w:r>
      <w:r w:rsidR="00E16ED2">
        <w:t xml:space="preserve">(subject to medical confidentiality) </w:t>
      </w:r>
      <w:r w:rsidRPr="00E16ED2">
        <w:t>that</w:t>
      </w:r>
      <w:r w:rsidRPr="00EB5AF7">
        <w:t xml:space="preserve"> would enhance the efficiency and effectiveness of managing staff absences.</w:t>
      </w:r>
    </w:p>
    <w:p w14:paraId="787CAF08" w14:textId="12590351" w:rsidR="004854FF" w:rsidRPr="00EB5AF7" w:rsidRDefault="004854FF" w:rsidP="004854FF">
      <w:pPr>
        <w:pStyle w:val="ONUME"/>
      </w:pPr>
      <w:r w:rsidRPr="00EB5AF7">
        <w:t>Finally, adding a checkbox in the AIMS HR absence re</w:t>
      </w:r>
      <w:r w:rsidR="00A078D7">
        <w:t>quest form for leave for family</w:t>
      </w:r>
      <w:r w:rsidR="00AD1D8D">
        <w:noBreakHyphen/>
      </w:r>
      <w:r w:rsidRPr="00EB5AF7">
        <w:t>related emergencies, to serve as a declaration of honor, would reinforce accountability, compliance and consistency with the requirements set out in the relevant OI.</w:t>
      </w:r>
    </w:p>
    <w:p w14:paraId="6253BFE3" w14:textId="77777777" w:rsidR="008053D2" w:rsidRPr="00C0396C" w:rsidRDefault="00C4224C" w:rsidP="00315F3C">
      <w:pPr>
        <w:pStyle w:val="Heading2"/>
        <w:rPr>
          <w:lang w:eastAsia="en-US"/>
        </w:rPr>
      </w:pPr>
      <w:r w:rsidRPr="00C0396C">
        <w:rPr>
          <w:rFonts w:eastAsia="Times New Roman"/>
          <w:szCs w:val="22"/>
          <w:lang w:eastAsia="en-US"/>
        </w:rPr>
        <w:t>Audit of Cybersecurity Management at WIPO</w:t>
      </w:r>
    </w:p>
    <w:p w14:paraId="76C4F6C9" w14:textId="4301026E" w:rsidR="00F52CE2" w:rsidRPr="00C0396C" w:rsidRDefault="004854FF" w:rsidP="00D173B8">
      <w:pPr>
        <w:pStyle w:val="ONUME"/>
      </w:pPr>
      <w:r w:rsidRPr="00C0396C">
        <w:t xml:space="preserve">The </w:t>
      </w:r>
      <w:r w:rsidR="00AD1D8D">
        <w:t>R</w:t>
      </w:r>
      <w:r w:rsidRPr="00C0396C">
        <w:t>eview found that overall, WIPO has established a mature cybersecurity management program, commensurate with WIPO’s risk appetite statement and globally aligned with best practices implemented by organizations and private sector firms with similar information security objectives</w:t>
      </w:r>
      <w:r w:rsidR="009B601D">
        <w:t>,</w:t>
      </w:r>
      <w:r w:rsidRPr="00C0396C">
        <w:t xml:space="preserve"> including a fit-for-purpose Governance Framework and Security Architecture.</w:t>
      </w:r>
      <w:r w:rsidR="00C0396C">
        <w:t xml:space="preserve"> </w:t>
      </w:r>
      <w:r w:rsidR="001E2BD8" w:rsidRPr="00C0396C">
        <w:t xml:space="preserve"> The budget of the Security and Information Assurance Division was found to be aligned with the information security objectives.</w:t>
      </w:r>
    </w:p>
    <w:p w14:paraId="7D3C6A7D" w14:textId="25A4E9E8" w:rsidR="00F52CE2" w:rsidRPr="00C0396C" w:rsidRDefault="00F52CE2" w:rsidP="00F52CE2">
      <w:pPr>
        <w:pStyle w:val="ONUME"/>
      </w:pPr>
      <w:r w:rsidRPr="00C0396C">
        <w:t xml:space="preserve">The cybersecurity posture was found to be overall effective. </w:t>
      </w:r>
      <w:r w:rsidR="00352C83">
        <w:t xml:space="preserve"> </w:t>
      </w:r>
      <w:r w:rsidRPr="00C0396C">
        <w:t>Some non-widespread</w:t>
      </w:r>
      <w:r w:rsidR="006377D1" w:rsidRPr="00C0396C">
        <w:t>,</w:t>
      </w:r>
      <w:r w:rsidR="00C0396C">
        <w:t xml:space="preserve"> non</w:t>
      </w:r>
      <w:r w:rsidR="00C0396C">
        <w:noBreakHyphen/>
      </w:r>
      <w:r w:rsidRPr="00C0396C">
        <w:t xml:space="preserve">critical vulnerabilities were identified and </w:t>
      </w:r>
      <w:r w:rsidR="00D173B8" w:rsidRPr="00C0396C">
        <w:t>are being addressed.</w:t>
      </w:r>
    </w:p>
    <w:p w14:paraId="3BEBF951" w14:textId="5F40A192" w:rsidR="004854FF" w:rsidRPr="00C0396C" w:rsidRDefault="001E2BD8" w:rsidP="004854FF">
      <w:pPr>
        <w:pStyle w:val="ONUME"/>
      </w:pPr>
      <w:r w:rsidRPr="00C0396C">
        <w:t>IOD made</w:t>
      </w:r>
      <w:r w:rsidR="005602A7" w:rsidRPr="00C0396C">
        <w:t xml:space="preserve"> recommendations to further reinforce the cybersecurity </w:t>
      </w:r>
      <w:r w:rsidRPr="00C0396C">
        <w:t>posture</w:t>
      </w:r>
      <w:r w:rsidR="005602A7" w:rsidRPr="00C0396C">
        <w:t xml:space="preserve"> of the Organization, by</w:t>
      </w:r>
      <w:r w:rsidR="009B601D">
        <w:t>,</w:t>
      </w:r>
      <w:r w:rsidR="005602A7" w:rsidRPr="00C0396C">
        <w:t xml:space="preserve"> </w:t>
      </w:r>
      <w:r w:rsidR="005602A7" w:rsidRPr="006500ED">
        <w:t>among other</w:t>
      </w:r>
      <w:r w:rsidR="00484B8E" w:rsidRPr="006500ED">
        <w:t>s</w:t>
      </w:r>
      <w:r w:rsidR="005602A7" w:rsidRPr="006500ED">
        <w:t>,</w:t>
      </w:r>
      <w:r w:rsidR="005602A7" w:rsidRPr="00C0396C">
        <w:t xml:space="preserve"> aligning the</w:t>
      </w:r>
      <w:r w:rsidR="00352C83">
        <w:t xml:space="preserve"> Information and Communication Technology</w:t>
      </w:r>
      <w:r w:rsidR="005602A7" w:rsidRPr="00C0396C">
        <w:t xml:space="preserve"> </w:t>
      </w:r>
      <w:r w:rsidR="00352C83">
        <w:t>S</w:t>
      </w:r>
      <w:r w:rsidR="005602A7" w:rsidRPr="00C0396C">
        <w:t>trategy and Informat</w:t>
      </w:r>
      <w:r w:rsidRPr="00C0396C">
        <w:t>ion Security Strategy, increas</w:t>
      </w:r>
      <w:r w:rsidR="00352C83">
        <w:t>ing</w:t>
      </w:r>
      <w:r w:rsidRPr="00C0396C">
        <w:t xml:space="preserve"> incident drills and cyber war games, </w:t>
      </w:r>
      <w:r w:rsidR="008A4807" w:rsidRPr="00C0396C">
        <w:t>enhancing</w:t>
      </w:r>
      <w:r w:rsidR="00F52CE2" w:rsidRPr="00C0396C">
        <w:t xml:space="preserve"> the Configuration Management Database for inventorying critical assets, </w:t>
      </w:r>
      <w:r w:rsidR="008A4807" w:rsidRPr="00C0396C">
        <w:t>and continuing</w:t>
      </w:r>
      <w:r w:rsidRPr="00C0396C">
        <w:t xml:space="preserve"> to engage with third party service providers to ensure that they take measures to reinforce their respective cybersecurity postures. </w:t>
      </w:r>
    </w:p>
    <w:p w14:paraId="66C87C01" w14:textId="640DF2C3" w:rsidR="008053D2" w:rsidRPr="00C0396C" w:rsidRDefault="00C4224C" w:rsidP="004854FF">
      <w:pPr>
        <w:pStyle w:val="Heading2"/>
        <w:rPr>
          <w:lang w:eastAsia="en-US"/>
        </w:rPr>
      </w:pPr>
      <w:r w:rsidRPr="00C0396C">
        <w:rPr>
          <w:lang w:eastAsia="en-US"/>
        </w:rPr>
        <w:lastRenderedPageBreak/>
        <w:t xml:space="preserve">Review of WIPO Crisis Management during the </w:t>
      </w:r>
      <w:r w:rsidR="00852EB9">
        <w:rPr>
          <w:lang w:eastAsia="en-US"/>
        </w:rPr>
        <w:t>Pandemic</w:t>
      </w:r>
    </w:p>
    <w:p w14:paraId="344A1B90" w14:textId="74EC4CC1" w:rsidR="009D772F" w:rsidRPr="00C0396C" w:rsidRDefault="009D772F" w:rsidP="009D772F">
      <w:pPr>
        <w:pStyle w:val="ONUME"/>
      </w:pPr>
      <w:r w:rsidRPr="00C0396C">
        <w:t>COVID-19</w:t>
      </w:r>
      <w:r w:rsidR="009B601D">
        <w:t>,</w:t>
      </w:r>
      <w:r w:rsidRPr="00C0396C">
        <w:t xml:space="preserve"> which was declared a </w:t>
      </w:r>
      <w:r w:rsidR="00852EB9">
        <w:t>Pandemic</w:t>
      </w:r>
      <w:r w:rsidRPr="00C0396C">
        <w:t xml:space="preserve"> by the World Health Organization on March 11, 2020, posed a significant threat to people, businesses and organizations around the globe.  </w:t>
      </w:r>
      <w:r w:rsidR="00EB567E">
        <w:t>Given</w:t>
      </w:r>
      <w:r w:rsidRPr="00C0396C">
        <w:t xml:space="preserve"> the possibility of similar crises occurring in the future, and the extent and duration of the associated operational disruptions, it is essential that WIPO</w:t>
      </w:r>
      <w:r w:rsidR="0030017C">
        <w:t>’s</w:t>
      </w:r>
      <w:r w:rsidRPr="00C0396C">
        <w:t xml:space="preserve"> response be effective and sustainable to ensure that it continues to deliver on its strategic focus.</w:t>
      </w:r>
    </w:p>
    <w:p w14:paraId="7C295149" w14:textId="654DD967" w:rsidR="009D772F" w:rsidRPr="00C0396C" w:rsidRDefault="009D772F" w:rsidP="008A4807">
      <w:pPr>
        <w:pStyle w:val="ONUME"/>
      </w:pPr>
      <w:r w:rsidRPr="00C0396C">
        <w:t>The review found that WIPO has established a well-functioning Governance Structure for crisis management.  The responsible teams covered operational, tactical and strategic decision</w:t>
      </w:r>
      <w:r w:rsidR="00804C0D">
        <w:noBreakHyphen/>
      </w:r>
      <w:r w:rsidRPr="00C0396C">
        <w:t xml:space="preserve">making and were well integrated in </w:t>
      </w:r>
      <w:r w:rsidR="009B601D" w:rsidRPr="00EB567E">
        <w:t>the</w:t>
      </w:r>
      <w:r w:rsidR="009B601D">
        <w:t xml:space="preserve"> </w:t>
      </w:r>
      <w:r w:rsidRPr="00C0396C">
        <w:t xml:space="preserve">day-to-day activities of the Organization.  Furthermore, IOD found that the existing policies and procedures were adequate in managing the crisis, and management made necessary updates and changes as required.  The Organization successfully applied the WIPO Organizational Resilience Framework </w:t>
      </w:r>
      <w:r w:rsidR="00EB567E">
        <w:t>by deploying</w:t>
      </w:r>
      <w:r w:rsidRPr="00C0396C">
        <w:t xml:space="preserve"> WIPO Crisis Management Plans and </w:t>
      </w:r>
      <w:r w:rsidR="002552E9">
        <w:t xml:space="preserve">taking </w:t>
      </w:r>
      <w:r w:rsidRPr="00C0396C">
        <w:t xml:space="preserve">other relevant actions.  </w:t>
      </w:r>
      <w:r w:rsidR="008A4807" w:rsidRPr="00C0396C">
        <w:t xml:space="preserve">The Organization executed its crisis management policies and procedures and adjusted its systems of Risk Management and Internal Controls to the </w:t>
      </w:r>
      <w:r w:rsidR="003F6F39">
        <w:t xml:space="preserve">conditions of the </w:t>
      </w:r>
      <w:r w:rsidR="00852EB9">
        <w:t>Pandemic</w:t>
      </w:r>
      <w:r w:rsidR="008A4807" w:rsidRPr="00C0396C">
        <w:t xml:space="preserve">.  Going forward, WIPO needs to identify Business </w:t>
      </w:r>
      <w:r w:rsidR="00AD1D8D">
        <w:t>Continuity Focal Points at the s</w:t>
      </w:r>
      <w:r w:rsidR="008A4807" w:rsidRPr="00C0396C">
        <w:t>ector levels, to further enhance the operationalization of the Organizational Resilience Framework.</w:t>
      </w:r>
    </w:p>
    <w:p w14:paraId="5820522F" w14:textId="47ABA86C" w:rsidR="009D772F" w:rsidRPr="00C0396C" w:rsidRDefault="009D772F" w:rsidP="009D772F">
      <w:pPr>
        <w:pStyle w:val="ONUME"/>
      </w:pPr>
      <w:r w:rsidRPr="00C0396C">
        <w:t>IOD supplemented its substantive work with three surveys, aimed at WIPO staff, supervisors and Member States, to capture valuable insights</w:t>
      </w:r>
      <w:r w:rsidR="003F6F39">
        <w:t xml:space="preserve"> on,</w:t>
      </w:r>
      <w:r w:rsidRPr="00C0396C">
        <w:t xml:space="preserve"> and perception </w:t>
      </w:r>
      <w:r w:rsidR="003F6F39">
        <w:t>of,</w:t>
      </w:r>
      <w:r w:rsidRPr="00C0396C">
        <w:t xml:space="preserve"> the Organization’s management of the crisis, and related lessons learned.  The survey results h</w:t>
      </w:r>
      <w:r w:rsidR="002B6DA3">
        <w:t>ighlighted Flexibility and Work-</w:t>
      </w:r>
      <w:r w:rsidRPr="00C0396C">
        <w:t xml:space="preserve">life Balance as a predominant theme from WIPO staff members, while a majority of supervisors mentioned that the crisis helped re-think the operational processes and make them more efficient, economic and effective without compromising the quality of outputs.  </w:t>
      </w:r>
      <w:r w:rsidR="002552E9">
        <w:t>Comments from p</w:t>
      </w:r>
      <w:r w:rsidR="000174F2" w:rsidRPr="00C0396C">
        <w:t xml:space="preserve">articipating </w:t>
      </w:r>
      <w:r w:rsidRPr="00C0396C">
        <w:t>Member States focused on the importance of virtual meetings (hybrid meetings, webinars, online training, among other</w:t>
      </w:r>
      <w:r w:rsidR="003F6F39">
        <w:t xml:space="preserve"> things</w:t>
      </w:r>
      <w:r w:rsidRPr="00C0396C">
        <w:t xml:space="preserve">), and the need to continue with these </w:t>
      </w:r>
      <w:r w:rsidRPr="002552E9">
        <w:t>forma</w:t>
      </w:r>
      <w:r w:rsidRPr="00C0396C">
        <w:t>t</w:t>
      </w:r>
      <w:r w:rsidR="002552E9">
        <w:t>s</w:t>
      </w:r>
      <w:r w:rsidRPr="00C0396C">
        <w:t xml:space="preserve"> </w:t>
      </w:r>
      <w:r w:rsidR="000174F2" w:rsidRPr="00C0396C">
        <w:t xml:space="preserve">where feasible </w:t>
      </w:r>
      <w:r w:rsidRPr="00C0396C">
        <w:t xml:space="preserve">as they have proven to be one of the valuable changes resulting from the </w:t>
      </w:r>
      <w:r w:rsidR="00852EB9">
        <w:t>Pandemic</w:t>
      </w:r>
      <w:r w:rsidRPr="00C0396C">
        <w:t>.</w:t>
      </w:r>
      <w:r w:rsidR="008A4807" w:rsidRPr="00C0396C">
        <w:t xml:space="preserve"> </w:t>
      </w:r>
      <w:r w:rsidR="00C0396C">
        <w:t xml:space="preserve"> </w:t>
      </w:r>
      <w:r w:rsidR="008A4807" w:rsidRPr="00C0396C">
        <w:t xml:space="preserve">The Organization can make further enhancements by assessing external stakeholders’ needs in the area of additional communication and collaboration platforms.  </w:t>
      </w:r>
    </w:p>
    <w:p w14:paraId="51E474A0" w14:textId="2590BF42" w:rsidR="00D173B8" w:rsidRPr="00582879" w:rsidRDefault="00D173B8" w:rsidP="008A4807">
      <w:pPr>
        <w:pStyle w:val="ONUME"/>
      </w:pPr>
      <w:r w:rsidRPr="00C0396C">
        <w:rPr>
          <w:szCs w:val="22"/>
        </w:rPr>
        <w:t xml:space="preserve">IOD identified lessons learned </w:t>
      </w:r>
      <w:r w:rsidR="008A4807" w:rsidRPr="00C0396C">
        <w:rPr>
          <w:szCs w:val="22"/>
        </w:rPr>
        <w:t xml:space="preserve">and made recommendations </w:t>
      </w:r>
      <w:r w:rsidRPr="00C0396C">
        <w:rPr>
          <w:szCs w:val="22"/>
        </w:rPr>
        <w:t xml:space="preserve">in the areas of crisis governance and communication, </w:t>
      </w:r>
      <w:r w:rsidR="008B627C" w:rsidRPr="00C0396C">
        <w:rPr>
          <w:szCs w:val="22"/>
        </w:rPr>
        <w:t xml:space="preserve">human resource management, </w:t>
      </w:r>
      <w:r w:rsidRPr="00C0396C">
        <w:rPr>
          <w:szCs w:val="22"/>
        </w:rPr>
        <w:t>execution of, and compliance with</w:t>
      </w:r>
      <w:r w:rsidR="003F6F39">
        <w:rPr>
          <w:szCs w:val="22"/>
        </w:rPr>
        <w:t>,</w:t>
      </w:r>
      <w:r w:rsidRPr="00C0396C">
        <w:rPr>
          <w:szCs w:val="22"/>
        </w:rPr>
        <w:t xml:space="preserve"> relevant policies and procedures, and internal controls</w:t>
      </w:r>
      <w:r w:rsidR="008A4807" w:rsidRPr="00C0396C">
        <w:rPr>
          <w:szCs w:val="22"/>
        </w:rPr>
        <w:t xml:space="preserve"> </w:t>
      </w:r>
      <w:r w:rsidRPr="00C0396C">
        <w:rPr>
          <w:szCs w:val="22"/>
        </w:rPr>
        <w:t xml:space="preserve">that would help further </w:t>
      </w:r>
      <w:r w:rsidRPr="00582879">
        <w:rPr>
          <w:szCs w:val="22"/>
        </w:rPr>
        <w:t>refine crisis management</w:t>
      </w:r>
      <w:r w:rsidR="00582879" w:rsidRPr="00582879">
        <w:rPr>
          <w:szCs w:val="22"/>
        </w:rPr>
        <w:t xml:space="preserve"> processes</w:t>
      </w:r>
      <w:r w:rsidRPr="00582879">
        <w:rPr>
          <w:szCs w:val="22"/>
        </w:rPr>
        <w:t xml:space="preserve">, and </w:t>
      </w:r>
      <w:r w:rsidR="008A4807" w:rsidRPr="00582879">
        <w:rPr>
          <w:szCs w:val="22"/>
        </w:rPr>
        <w:t xml:space="preserve">benefit the </w:t>
      </w:r>
      <w:r w:rsidR="008A4807" w:rsidRPr="00582879">
        <w:t xml:space="preserve">Organizational Resilience Framework. </w:t>
      </w:r>
    </w:p>
    <w:p w14:paraId="6AFDA7DE" w14:textId="77777777" w:rsidR="00775974" w:rsidRPr="00500A24" w:rsidRDefault="00C4224C" w:rsidP="00315F3C">
      <w:pPr>
        <w:pStyle w:val="Heading2"/>
        <w:rPr>
          <w:lang w:eastAsia="en-US"/>
        </w:rPr>
      </w:pPr>
      <w:r w:rsidRPr="00EF4A05">
        <w:rPr>
          <w:rFonts w:eastAsia="Times New Roman"/>
          <w:szCs w:val="22"/>
          <w:lang w:eastAsia="en-US"/>
        </w:rPr>
        <w:t>Review of Performance Management and Staff Development at WIPO</w:t>
      </w:r>
    </w:p>
    <w:p w14:paraId="201DE4D7" w14:textId="77777777" w:rsidR="009D772F" w:rsidRDefault="009D772F" w:rsidP="009D772F">
      <w:pPr>
        <w:pStyle w:val="ONUME"/>
      </w:pPr>
      <w:r>
        <w:t>The review found that t</w:t>
      </w:r>
      <w:r w:rsidRPr="00922B03">
        <w:t xml:space="preserve">he current </w:t>
      </w:r>
      <w:r>
        <w:t>performance management process at WIPO is</w:t>
      </w:r>
      <w:r w:rsidRPr="00922B03">
        <w:t xml:space="preserve"> based on traditional</w:t>
      </w:r>
      <w:r>
        <w:t xml:space="preserve"> </w:t>
      </w:r>
      <w:r w:rsidRPr="00922B03">
        <w:t>Performance Management principles</w:t>
      </w:r>
      <w:r>
        <w:t>.  Furthermore, the current model has highlighted key issues such as:</w:t>
      </w:r>
    </w:p>
    <w:p w14:paraId="35E0C2E1" w14:textId="77777777" w:rsidR="009D772F" w:rsidRPr="00556D54" w:rsidRDefault="009D772F" w:rsidP="009D772F">
      <w:pPr>
        <w:pStyle w:val="ONUME"/>
        <w:numPr>
          <w:ilvl w:val="1"/>
          <w:numId w:val="2"/>
        </w:numPr>
      </w:pPr>
      <w:r w:rsidRPr="00556D54">
        <w:t>Lack of trust in the performance process;</w:t>
      </w:r>
    </w:p>
    <w:p w14:paraId="0AA1031D" w14:textId="77777777" w:rsidR="009D772F" w:rsidRPr="00556D54" w:rsidRDefault="009D772F" w:rsidP="009D772F">
      <w:pPr>
        <w:pStyle w:val="ONUME"/>
        <w:numPr>
          <w:ilvl w:val="1"/>
          <w:numId w:val="2"/>
        </w:numPr>
      </w:pPr>
      <w:r w:rsidRPr="00556D54">
        <w:t xml:space="preserve">Absence of a continuous feedback culture and fear of having difficult conversations;  </w:t>
      </w:r>
    </w:p>
    <w:p w14:paraId="5E012D0D" w14:textId="36728993" w:rsidR="009D772F" w:rsidRPr="00556D54" w:rsidRDefault="009D772F" w:rsidP="009D772F">
      <w:pPr>
        <w:pStyle w:val="ONUME"/>
        <w:numPr>
          <w:ilvl w:val="1"/>
          <w:numId w:val="2"/>
        </w:numPr>
      </w:pPr>
      <w:r w:rsidRPr="00556D54">
        <w:t>Heavy burden to manage administrative workload for managers, as the</w:t>
      </w:r>
      <w:r w:rsidR="00AD1D8D">
        <w:t xml:space="preserve"> system is complex and not user-</w:t>
      </w:r>
      <w:r w:rsidRPr="00556D54">
        <w:t>friendly;</w:t>
      </w:r>
    </w:p>
    <w:p w14:paraId="6E2A2A6E" w14:textId="77777777" w:rsidR="009D772F" w:rsidRPr="00556D54" w:rsidRDefault="009D772F" w:rsidP="009D772F">
      <w:pPr>
        <w:pStyle w:val="ONUME"/>
        <w:numPr>
          <w:ilvl w:val="1"/>
          <w:numId w:val="2"/>
        </w:numPr>
      </w:pPr>
      <w:r w:rsidRPr="00556D54">
        <w:t>Perception of a “tick-box” exercise with little added value to people;</w:t>
      </w:r>
    </w:p>
    <w:p w14:paraId="62AAAE94" w14:textId="13B7F1F0" w:rsidR="009D772F" w:rsidRPr="00556D54" w:rsidRDefault="009D772F" w:rsidP="0030017C">
      <w:pPr>
        <w:pStyle w:val="ONUME"/>
        <w:numPr>
          <w:ilvl w:val="1"/>
          <w:numId w:val="2"/>
        </w:numPr>
      </w:pPr>
      <w:r w:rsidRPr="00556D54">
        <w:t>From an organizational standpoint, while</w:t>
      </w:r>
      <w:r w:rsidR="0030017C">
        <w:t xml:space="preserve"> the</w:t>
      </w:r>
      <w:r w:rsidRPr="00556D54">
        <w:t xml:space="preserve"> </w:t>
      </w:r>
      <w:r w:rsidR="0030017C" w:rsidRPr="0030017C">
        <w:t>Performance Management and Staff Development System</w:t>
      </w:r>
      <w:r w:rsidRPr="00556D54">
        <w:t xml:space="preserve"> is effective in ensuring alignment in task-related objectives, it is not yet functioning as an integrated tool that encourages development and the growth mindset necessary for WIPO’s strategic ambitions; </w:t>
      </w:r>
      <w:r>
        <w:t xml:space="preserve"> </w:t>
      </w:r>
      <w:r w:rsidRPr="00556D54">
        <w:t>and</w:t>
      </w:r>
    </w:p>
    <w:p w14:paraId="48F83DE7" w14:textId="77777777" w:rsidR="009D772F" w:rsidRPr="00556D54" w:rsidRDefault="009D772F" w:rsidP="009D772F">
      <w:pPr>
        <w:pStyle w:val="ONUME"/>
        <w:numPr>
          <w:ilvl w:val="1"/>
          <w:numId w:val="2"/>
        </w:numPr>
      </w:pPr>
      <w:r w:rsidRPr="00556D54">
        <w:lastRenderedPageBreak/>
        <w:t>Lack of mobility means that certain staff may be “stuck” in a position where they cannot flourish.</w:t>
      </w:r>
    </w:p>
    <w:p w14:paraId="766BB476" w14:textId="61FD1018" w:rsidR="009D772F" w:rsidRDefault="009D772F" w:rsidP="009D772F">
      <w:pPr>
        <w:pStyle w:val="ONUME"/>
      </w:pPr>
      <w:r>
        <w:t>Further, m</w:t>
      </w:r>
      <w:r w:rsidRPr="00922B03">
        <w:t xml:space="preserve">anagers </w:t>
      </w:r>
      <w:r>
        <w:t xml:space="preserve">need to enhance their performance management skills, in particular </w:t>
      </w:r>
      <w:r w:rsidR="003F6F39">
        <w:t>when</w:t>
      </w:r>
      <w:r>
        <w:t xml:space="preserve"> dealing with underperformance.  T</w:t>
      </w:r>
      <w:r w:rsidRPr="00922B03">
        <w:t xml:space="preserve">hey </w:t>
      </w:r>
      <w:r w:rsidR="001F471B">
        <w:t xml:space="preserve">tend to </w:t>
      </w:r>
      <w:r w:rsidR="00484B8E">
        <w:t xml:space="preserve">show reluctance in tackling underperformance, </w:t>
      </w:r>
      <w:r w:rsidR="001F471B">
        <w:t xml:space="preserve">which could result in </w:t>
      </w:r>
      <w:r w:rsidR="00484B8E">
        <w:t>inflate</w:t>
      </w:r>
      <w:r w:rsidR="001F471B">
        <w:t>d</w:t>
      </w:r>
      <w:r w:rsidR="00484B8E">
        <w:t xml:space="preserve"> ratings to </w:t>
      </w:r>
      <w:r w:rsidR="00484B8E" w:rsidRPr="00B20633">
        <w:t>avoid</w:t>
      </w:r>
      <w:r w:rsidR="006500ED" w:rsidRPr="00B20633">
        <w:t>,</w:t>
      </w:r>
      <w:r w:rsidR="00484B8E" w:rsidRPr="00B20633">
        <w:t xml:space="preserve"> </w:t>
      </w:r>
      <w:r w:rsidR="00737142" w:rsidRPr="00B20633">
        <w:t>among others</w:t>
      </w:r>
      <w:r w:rsidR="00737142">
        <w:t xml:space="preserve">, </w:t>
      </w:r>
      <w:r w:rsidR="00484B8E">
        <w:t xml:space="preserve">the administrative burden linked with addressing underperformance. </w:t>
      </w:r>
    </w:p>
    <w:p w14:paraId="1CF70223" w14:textId="46830D4C" w:rsidR="009D772F" w:rsidRDefault="009D772F" w:rsidP="009D772F">
      <w:pPr>
        <w:pStyle w:val="ONUME"/>
      </w:pPr>
      <w:r>
        <w:t xml:space="preserve">Finally, </w:t>
      </w:r>
      <w:r w:rsidR="002552E9">
        <w:t xml:space="preserve">the level of maturity of </w:t>
      </w:r>
      <w:r>
        <w:t xml:space="preserve">WIPO’s current performance </w:t>
      </w:r>
      <w:r w:rsidRPr="002552E9">
        <w:t>management</w:t>
      </w:r>
      <w:r>
        <w:t xml:space="preserve"> </w:t>
      </w:r>
      <w:r w:rsidR="002552E9">
        <w:t xml:space="preserve">was </w:t>
      </w:r>
      <w:r>
        <w:t>assessed against seven pillars (purpose, culture, people, process,</w:t>
      </w:r>
      <w:r w:rsidR="00D04C9C">
        <w:t xml:space="preserve"> Information Technology</w:t>
      </w:r>
      <w:r>
        <w:t xml:space="preserve"> </w:t>
      </w:r>
      <w:r w:rsidR="00D04C9C">
        <w:t>(</w:t>
      </w:r>
      <w:r w:rsidRPr="00D04C9C">
        <w:t>IT</w:t>
      </w:r>
      <w:r w:rsidR="00D04C9C">
        <w:t>)</w:t>
      </w:r>
      <w:r>
        <w:t xml:space="preserve"> system, reward and recognition, and career development)</w:t>
      </w:r>
      <w:r w:rsidR="001F471B">
        <w:t xml:space="preserve">. Most pillars were found to be at the </w:t>
      </w:r>
      <w:r>
        <w:t xml:space="preserve">initial </w:t>
      </w:r>
      <w:r w:rsidR="001F471B">
        <w:t>development</w:t>
      </w:r>
      <w:r w:rsidR="00737142">
        <w:t xml:space="preserve"> </w:t>
      </w:r>
      <w:r>
        <w:t>stage, indicating that more need</w:t>
      </w:r>
      <w:r w:rsidR="001F471B">
        <w:t>ed</w:t>
      </w:r>
      <w:r>
        <w:t xml:space="preserve"> to be done to develop a mature performance management culture</w:t>
      </w:r>
      <w:r w:rsidR="00582879">
        <w:t xml:space="preserve"> in order to</w:t>
      </w:r>
      <w:r w:rsidR="005F7359" w:rsidRPr="00B20633">
        <w:t>,</w:t>
      </w:r>
      <w:r w:rsidRPr="00B20633">
        <w:t xml:space="preserve"> among other</w:t>
      </w:r>
      <w:r w:rsidR="00737142" w:rsidRPr="00B20633">
        <w:t>s</w:t>
      </w:r>
      <w:r w:rsidR="005F7359" w:rsidRPr="00B20633">
        <w:t>,</w:t>
      </w:r>
      <w:r>
        <w:t xml:space="preserve"> effectively achieve the strategic goals of the Organization.  </w:t>
      </w:r>
    </w:p>
    <w:p w14:paraId="4B19C883" w14:textId="77777777" w:rsidR="009D772F" w:rsidRDefault="009D772F" w:rsidP="009D772F">
      <w:pPr>
        <w:pStyle w:val="ONUME"/>
      </w:pPr>
      <w:r>
        <w:t>Going forward, both managers and employees have expressed the need for change including:</w:t>
      </w:r>
    </w:p>
    <w:p w14:paraId="372E3497" w14:textId="77777777" w:rsidR="009D772F" w:rsidRPr="00556D54" w:rsidRDefault="009D772F" w:rsidP="009D772F">
      <w:pPr>
        <w:pStyle w:val="ONUME"/>
        <w:numPr>
          <w:ilvl w:val="1"/>
          <w:numId w:val="2"/>
        </w:numPr>
      </w:pPr>
      <w:r>
        <w:t>M</w:t>
      </w:r>
      <w:r w:rsidRPr="00556D54">
        <w:t>ore objectivity, recognition and development, supported by a more user-centric and simple process;</w:t>
      </w:r>
    </w:p>
    <w:p w14:paraId="02A44705" w14:textId="69C1F1DB" w:rsidR="009D772F" w:rsidRPr="00556D54" w:rsidRDefault="009D772F" w:rsidP="009D772F">
      <w:pPr>
        <w:pStyle w:val="ONUME"/>
        <w:numPr>
          <w:ilvl w:val="1"/>
          <w:numId w:val="2"/>
        </w:numPr>
      </w:pPr>
      <w:r>
        <w:t>A</w:t>
      </w:r>
      <w:r w:rsidRPr="00556D54">
        <w:t xml:space="preserve">dditional support from the </w:t>
      </w:r>
      <w:r w:rsidR="0030017C">
        <w:t>O</w:t>
      </w:r>
      <w:r w:rsidRPr="00556D54">
        <w:t xml:space="preserve">rganization to efficiently address challenges in tackling underperformance; </w:t>
      </w:r>
      <w:r>
        <w:t xml:space="preserve"> </w:t>
      </w:r>
      <w:r w:rsidRPr="00556D54">
        <w:t>and</w:t>
      </w:r>
    </w:p>
    <w:p w14:paraId="73454D33" w14:textId="77777777" w:rsidR="009D772F" w:rsidRPr="00556D54" w:rsidRDefault="009D772F" w:rsidP="009D772F">
      <w:pPr>
        <w:pStyle w:val="ONUME"/>
        <w:numPr>
          <w:ilvl w:val="1"/>
          <w:numId w:val="2"/>
        </w:numPr>
      </w:pPr>
      <w:r w:rsidRPr="00556D54">
        <w:t>The need for a deep cultural evolution of mindsets and behaviors around performance.</w:t>
      </w:r>
    </w:p>
    <w:p w14:paraId="44AF9B2F" w14:textId="6D249F24" w:rsidR="009D772F" w:rsidRDefault="009D772F" w:rsidP="009D772F">
      <w:pPr>
        <w:pStyle w:val="ONUME"/>
      </w:pPr>
      <w:r>
        <w:t>Furthermore, to address key challenges in performance management, the Organization would need to</w:t>
      </w:r>
      <w:r w:rsidR="005F7359">
        <w:t>,</w:t>
      </w:r>
      <w:r>
        <w:t xml:space="preserve"> </w:t>
      </w:r>
      <w:r w:rsidRPr="00B20633">
        <w:t>among others</w:t>
      </w:r>
      <w:r>
        <w:t xml:space="preserve">: </w:t>
      </w:r>
    </w:p>
    <w:p w14:paraId="1FE13C02" w14:textId="77777777" w:rsidR="009D772F" w:rsidRPr="00556D54" w:rsidRDefault="009D772F" w:rsidP="009D772F">
      <w:pPr>
        <w:pStyle w:val="ONUME"/>
        <w:numPr>
          <w:ilvl w:val="1"/>
          <w:numId w:val="2"/>
        </w:numPr>
      </w:pPr>
      <w:r w:rsidRPr="00556D54">
        <w:t xml:space="preserve">Strategically shift towards more customer-centricity; </w:t>
      </w:r>
    </w:p>
    <w:p w14:paraId="1EC7DBB7" w14:textId="77777777" w:rsidR="009D772F" w:rsidRPr="00556D54" w:rsidRDefault="009D772F" w:rsidP="009D772F">
      <w:pPr>
        <w:pStyle w:val="ONUME"/>
        <w:numPr>
          <w:ilvl w:val="1"/>
          <w:numId w:val="2"/>
        </w:numPr>
      </w:pPr>
      <w:r w:rsidRPr="00556D54">
        <w:t xml:space="preserve">Drive towards a “growth mindset”, fueled by a culture of performance and feedback; </w:t>
      </w:r>
    </w:p>
    <w:p w14:paraId="7444BDCA" w14:textId="77777777" w:rsidR="009D772F" w:rsidRPr="00556D54" w:rsidRDefault="009D772F" w:rsidP="009D772F">
      <w:pPr>
        <w:pStyle w:val="ONUME"/>
        <w:numPr>
          <w:ilvl w:val="1"/>
          <w:numId w:val="2"/>
        </w:numPr>
      </w:pPr>
      <w:r w:rsidRPr="00556D54">
        <w:t xml:space="preserve">Be more agile and innovative, which is presently hindered by a lack of flexibility in the current Performance Management process; </w:t>
      </w:r>
      <w:r>
        <w:t xml:space="preserve"> </w:t>
      </w:r>
      <w:r w:rsidRPr="00556D54">
        <w:t xml:space="preserve">and </w:t>
      </w:r>
    </w:p>
    <w:p w14:paraId="0C31E513" w14:textId="10AF06FB" w:rsidR="009D772F" w:rsidRPr="00556D54" w:rsidRDefault="009D772F" w:rsidP="009D772F">
      <w:pPr>
        <w:pStyle w:val="ONUME"/>
        <w:numPr>
          <w:ilvl w:val="1"/>
          <w:numId w:val="2"/>
        </w:numPr>
      </w:pPr>
      <w:r w:rsidRPr="00556D54">
        <w:t xml:space="preserve">Put measures in place to </w:t>
      </w:r>
      <w:r w:rsidRPr="003D7A9F">
        <w:t>upskill</w:t>
      </w:r>
      <w:r w:rsidRPr="00556D54">
        <w:t xml:space="preserve"> management and address the current resistance to move away from traditional professional behaviors</w:t>
      </w:r>
      <w:r w:rsidR="003F6F39">
        <w:t>.</w:t>
      </w:r>
      <w:r w:rsidRPr="00556D54">
        <w:t xml:space="preserve"> </w:t>
      </w:r>
    </w:p>
    <w:p w14:paraId="0129168A" w14:textId="56699027" w:rsidR="009D772F" w:rsidRDefault="009D772F" w:rsidP="00423823">
      <w:pPr>
        <w:pStyle w:val="ONUME"/>
      </w:pPr>
      <w:r>
        <w:t>Finally, it would be</w:t>
      </w:r>
      <w:r w:rsidRPr="005305A3">
        <w:t xml:space="preserve"> crucial </w:t>
      </w:r>
      <w:r>
        <w:t>to establish a</w:t>
      </w:r>
      <w:r w:rsidRPr="005305A3">
        <w:t xml:space="preserve"> new </w:t>
      </w:r>
      <w:r>
        <w:t xml:space="preserve">simplified and flexible performance management model, adapted to WIPO’s environment, supported by clear </w:t>
      </w:r>
      <w:r w:rsidRPr="005305A3">
        <w:t>communication and feedback</w:t>
      </w:r>
      <w:r>
        <w:t xml:space="preserve"> mechanisms.  </w:t>
      </w:r>
      <w:r w:rsidRPr="005305A3">
        <w:t xml:space="preserve">Middle management will be a key enabler to bring the new model to their teams </w:t>
      </w:r>
      <w:r>
        <w:t xml:space="preserve">and apply these precepts to </w:t>
      </w:r>
      <w:r w:rsidRPr="005305A3">
        <w:t xml:space="preserve">day-to-day work. </w:t>
      </w:r>
    </w:p>
    <w:p w14:paraId="20524AEE" w14:textId="77777777" w:rsidR="00B70223" w:rsidRPr="00315F3C" w:rsidRDefault="00C4224C" w:rsidP="00315F3C">
      <w:pPr>
        <w:pStyle w:val="Heading2"/>
        <w:rPr>
          <w:lang w:eastAsia="en-US"/>
        </w:rPr>
      </w:pPr>
      <w:r w:rsidRPr="00EF4A05">
        <w:rPr>
          <w:rFonts w:eastAsia="Times New Roman"/>
          <w:szCs w:val="22"/>
          <w:lang w:eastAsia="en-US"/>
        </w:rPr>
        <w:t>Evaluation of the Regional Division for Arab Countries</w:t>
      </w:r>
      <w:r w:rsidR="004854FF">
        <w:rPr>
          <w:rFonts w:eastAsia="Times New Roman"/>
          <w:szCs w:val="22"/>
          <w:lang w:eastAsia="en-US"/>
        </w:rPr>
        <w:t xml:space="preserve"> (DAC)</w:t>
      </w:r>
    </w:p>
    <w:p w14:paraId="1011590B" w14:textId="1E7F508F" w:rsidR="004854FF" w:rsidRPr="002060B3" w:rsidRDefault="004854FF" w:rsidP="004854FF">
      <w:pPr>
        <w:pStyle w:val="ONUME"/>
      </w:pPr>
      <w:r w:rsidRPr="002060B3">
        <w:t>The</w:t>
      </w:r>
      <w:r>
        <w:t xml:space="preserve"> </w:t>
      </w:r>
      <w:r w:rsidRPr="002060B3">
        <w:t>D</w:t>
      </w:r>
      <w:r>
        <w:t>AC</w:t>
      </w:r>
      <w:r w:rsidRPr="002060B3">
        <w:t xml:space="preserve"> is part of the Regional and National Development Sector at WIPO</w:t>
      </w:r>
      <w:r w:rsidR="005D2437">
        <w:t>.</w:t>
      </w:r>
      <w:r w:rsidR="00C0396C">
        <w:t xml:space="preserve">  </w:t>
      </w:r>
      <w:r w:rsidRPr="002060B3">
        <w:t>The DAC</w:t>
      </w:r>
      <w:r w:rsidR="0030017C">
        <w:t>’s</w:t>
      </w:r>
      <w:r w:rsidRPr="002060B3">
        <w:t xml:space="preserve"> main mandate is t</w:t>
      </w:r>
      <w:r w:rsidR="00AD1D8D">
        <w:t>o coordinate WIPO's development-oriented, demand-</w:t>
      </w:r>
      <w:r w:rsidRPr="002060B3">
        <w:t>driven technical assistance</w:t>
      </w:r>
      <w:r w:rsidR="009E2DB6">
        <w:t xml:space="preserve"> (TA)</w:t>
      </w:r>
      <w:r w:rsidRPr="002060B3">
        <w:t xml:space="preserve"> in collaboration with all relevant WIPO's business units, while accounting for the distinctiveness and priorities of the Member States, the specificities of the region, and gender mainstreaming.  In addition, </w:t>
      </w:r>
      <w:r>
        <w:t xml:space="preserve">the </w:t>
      </w:r>
      <w:r w:rsidRPr="002060B3">
        <w:t xml:space="preserve">DAC is responsible for providing TA to the 22 Arab countries to enable them to modernize their registration operations and better use </w:t>
      </w:r>
      <w:r w:rsidRPr="00D04C9C">
        <w:t>IP</w:t>
      </w:r>
      <w:r w:rsidRPr="002060B3">
        <w:t xml:space="preserve"> assets to reap </w:t>
      </w:r>
      <w:r w:rsidR="003F6F39">
        <w:t xml:space="preserve">the </w:t>
      </w:r>
      <w:r w:rsidRPr="002060B3">
        <w:t>benefits from the IP system.</w:t>
      </w:r>
    </w:p>
    <w:p w14:paraId="0491AC0A" w14:textId="1D8C3B5D" w:rsidR="004854FF" w:rsidRDefault="004854FF" w:rsidP="004854FF">
      <w:pPr>
        <w:pStyle w:val="ONUME"/>
      </w:pPr>
      <w:r w:rsidRPr="002060B3">
        <w:t xml:space="preserve">The purpose of this evaluation </w:t>
      </w:r>
      <w:r w:rsidR="009C7E22">
        <w:t>was</w:t>
      </w:r>
      <w:r w:rsidR="009C7E22" w:rsidRPr="002060B3">
        <w:t xml:space="preserve"> </w:t>
      </w:r>
      <w:r w:rsidRPr="003D7A9F">
        <w:t>formative</w:t>
      </w:r>
      <w:r w:rsidR="009C7E22">
        <w:t>,</w:t>
      </w:r>
      <w:r w:rsidR="00423823">
        <w:t xml:space="preserve"> </w:t>
      </w:r>
      <w:r w:rsidRPr="002060B3">
        <w:t>oriented to lea</w:t>
      </w:r>
      <w:r w:rsidR="00C0396C">
        <w:t>rning and program improvement.</w:t>
      </w:r>
    </w:p>
    <w:p w14:paraId="6381BDD5" w14:textId="3C29B307" w:rsidR="004854FF" w:rsidRPr="002060B3" w:rsidRDefault="003F6F39" w:rsidP="004854FF">
      <w:pPr>
        <w:pStyle w:val="ONUME"/>
      </w:pPr>
      <w:r>
        <w:lastRenderedPageBreak/>
        <w:t>The m</w:t>
      </w:r>
      <w:r w:rsidR="004854FF" w:rsidRPr="002060B3">
        <w:t xml:space="preserve">ajor findings of the report </w:t>
      </w:r>
      <w:r w:rsidR="009E2DB6">
        <w:t>are the following</w:t>
      </w:r>
      <w:r w:rsidR="004854FF" w:rsidRPr="002060B3">
        <w:t>:</w:t>
      </w:r>
    </w:p>
    <w:p w14:paraId="035C6D6F" w14:textId="7C2E70C6" w:rsidR="004854FF" w:rsidRPr="002060B3" w:rsidRDefault="004854FF" w:rsidP="004854FF">
      <w:pPr>
        <w:pStyle w:val="ONUME"/>
        <w:numPr>
          <w:ilvl w:val="1"/>
          <w:numId w:val="2"/>
        </w:numPr>
      </w:pPr>
      <w:r w:rsidRPr="002060B3">
        <w:t xml:space="preserve">The Division’s support to the Member States in the Arab region was relevant to the national priorities and </w:t>
      </w:r>
      <w:r w:rsidR="00C0396C">
        <w:t>was aligned with country needs;</w:t>
      </w:r>
    </w:p>
    <w:p w14:paraId="0BDEFD6A" w14:textId="36925EC4" w:rsidR="004854FF" w:rsidRPr="002060B3" w:rsidRDefault="009E2DB6" w:rsidP="002327F8">
      <w:pPr>
        <w:pStyle w:val="ONUME"/>
        <w:numPr>
          <w:ilvl w:val="1"/>
          <w:numId w:val="2"/>
        </w:numPr>
      </w:pPr>
      <w:r>
        <w:t>P</w:t>
      </w:r>
      <w:r w:rsidR="004854FF" w:rsidRPr="002060B3">
        <w:t>rovided</w:t>
      </w:r>
      <w:r>
        <w:t xml:space="preserve"> TA</w:t>
      </w:r>
      <w:r w:rsidR="004854FF" w:rsidRPr="002060B3">
        <w:t xml:space="preserve"> consisted mostly of </w:t>
      </w:r>
      <w:r w:rsidR="004854FF" w:rsidRPr="00284613">
        <w:rPr>
          <w:i/>
        </w:rPr>
        <w:t>ad-hoc</w:t>
      </w:r>
      <w:r w:rsidR="004854FF" w:rsidRPr="002060B3">
        <w:t xml:space="preserve"> activities identified according to the Member State</w:t>
      </w:r>
      <w:r>
        <w:t>s</w:t>
      </w:r>
      <w:r w:rsidR="004854FF" w:rsidRPr="002060B3">
        <w:t xml:space="preserve">’ priorities with limited integration of the strategic vision of the planned outcomes in each country. </w:t>
      </w:r>
      <w:r>
        <w:t xml:space="preserve"> </w:t>
      </w:r>
      <w:r w:rsidR="000E3787">
        <w:t xml:space="preserve">Some stakeholders highlighted that </w:t>
      </w:r>
      <w:r w:rsidR="000E3787" w:rsidRPr="000E3787">
        <w:t>the selection criteria set up</w:t>
      </w:r>
      <w:r w:rsidR="000E3787">
        <w:t xml:space="preserve"> for TA activities</w:t>
      </w:r>
      <w:r w:rsidR="000E3787" w:rsidRPr="000E3787">
        <w:t xml:space="preserve"> by the DAC </w:t>
      </w:r>
      <w:r w:rsidR="00D11188">
        <w:t>were not</w:t>
      </w:r>
      <w:r w:rsidR="00D11188" w:rsidRPr="00BE1E5C">
        <w:t xml:space="preserve"> clear</w:t>
      </w:r>
      <w:r w:rsidR="00C0396C">
        <w:t>;</w:t>
      </w:r>
    </w:p>
    <w:p w14:paraId="2F7AB183" w14:textId="39D66F36" w:rsidR="000E3787" w:rsidRPr="000E3787" w:rsidRDefault="00D11188" w:rsidP="002327F8">
      <w:pPr>
        <w:pStyle w:val="ONUME"/>
        <w:numPr>
          <w:ilvl w:val="1"/>
          <w:numId w:val="2"/>
        </w:numPr>
      </w:pPr>
      <w:r>
        <w:t>T</w:t>
      </w:r>
      <w:r w:rsidR="004854FF" w:rsidRPr="002060B3">
        <w:t xml:space="preserve">he majority of stakeholders consider the Division as </w:t>
      </w:r>
      <w:r w:rsidR="00AD1D8D">
        <w:t>their main reference for any IP-</w:t>
      </w:r>
      <w:r w:rsidR="004854FF" w:rsidRPr="002060B3">
        <w:t xml:space="preserve">related </w:t>
      </w:r>
      <w:r w:rsidR="00065037" w:rsidRPr="002060B3">
        <w:t>issues.</w:t>
      </w:r>
      <w:r w:rsidR="002327F8">
        <w:t xml:space="preserve"> </w:t>
      </w:r>
      <w:r w:rsidR="00065037">
        <w:t xml:space="preserve"> </w:t>
      </w:r>
      <w:r w:rsidR="00065037" w:rsidRPr="003D7A9F">
        <w:t>However</w:t>
      </w:r>
      <w:r w:rsidR="005D2437" w:rsidRPr="003D7A9F">
        <w:t xml:space="preserve">, </w:t>
      </w:r>
      <w:r w:rsidR="00065037" w:rsidRPr="003D7A9F">
        <w:t>t</w:t>
      </w:r>
      <w:r w:rsidR="005D2437" w:rsidRPr="003D7A9F">
        <w:t xml:space="preserve">he Division tends to </w:t>
      </w:r>
      <w:r>
        <w:t xml:space="preserve">generally focus on </w:t>
      </w:r>
      <w:r w:rsidR="005D2437" w:rsidRPr="003D7A9F">
        <w:t xml:space="preserve">the diplomatic aspects of its functions </w:t>
      </w:r>
      <w:r>
        <w:t>rather than</w:t>
      </w:r>
      <w:r w:rsidR="005D2437" w:rsidRPr="003D7A9F">
        <w:t xml:space="preserve"> project management and technical side</w:t>
      </w:r>
      <w:r w:rsidR="009E2DB6" w:rsidRPr="003D7A9F">
        <w:t>;</w:t>
      </w:r>
      <w:r w:rsidR="000E3787" w:rsidRPr="000E3787">
        <w:t xml:space="preserve"> </w:t>
      </w:r>
    </w:p>
    <w:p w14:paraId="69C10D82" w14:textId="227B00A4" w:rsidR="004854FF" w:rsidRPr="002060B3" w:rsidRDefault="004854FF" w:rsidP="002327F8">
      <w:pPr>
        <w:pStyle w:val="ONUME"/>
        <w:numPr>
          <w:ilvl w:val="1"/>
          <w:numId w:val="2"/>
        </w:numPr>
      </w:pPr>
      <w:r w:rsidRPr="002060B3">
        <w:t xml:space="preserve">The evaluation findings </w:t>
      </w:r>
      <w:r w:rsidR="001A6CA0" w:rsidRPr="000E3787">
        <w:t>noted that the Division relies on self-reporting indicators and some of them do not have a sufficiently clear methodology for data collection and analysis</w:t>
      </w:r>
      <w:r w:rsidR="002327F8">
        <w:t>;</w:t>
      </w:r>
    </w:p>
    <w:p w14:paraId="1F70E0A2" w14:textId="69E1F45C" w:rsidR="000E3787" w:rsidRDefault="00D11188" w:rsidP="002327F8">
      <w:pPr>
        <w:pStyle w:val="ONUME"/>
        <w:numPr>
          <w:ilvl w:val="1"/>
          <w:numId w:val="2"/>
        </w:numPr>
      </w:pPr>
      <w:r>
        <w:t>T</w:t>
      </w:r>
      <w:r w:rsidR="004854FF" w:rsidRPr="002060B3">
        <w:t>he evaluation highlighted some areas that require more attention from the Division and its internal collaborators such as the monitoring and evaluation put</w:t>
      </w:r>
      <w:r>
        <w:t>ting</w:t>
      </w:r>
      <w:r w:rsidR="004854FF" w:rsidRPr="002060B3">
        <w:t xml:space="preserve"> higher emphasis on measuring delivered activities over the results</w:t>
      </w:r>
      <w:r w:rsidR="002327F8">
        <w:t>;  and</w:t>
      </w:r>
    </w:p>
    <w:p w14:paraId="4FC983FE" w14:textId="31B99896" w:rsidR="001A6CA0" w:rsidRDefault="001A6CA0" w:rsidP="002327F8">
      <w:pPr>
        <w:pStyle w:val="ONUME"/>
        <w:numPr>
          <w:ilvl w:val="1"/>
          <w:numId w:val="2"/>
        </w:numPr>
      </w:pPr>
      <w:r w:rsidRPr="001A6CA0">
        <w:t>The Division</w:t>
      </w:r>
      <w:r w:rsidR="009755DB">
        <w:t>’s</w:t>
      </w:r>
      <w:r w:rsidRPr="001A6CA0">
        <w:t xml:space="preserve"> efforts to </w:t>
      </w:r>
      <w:r w:rsidRPr="006500ED">
        <w:t xml:space="preserve">contribute to </w:t>
      </w:r>
      <w:r w:rsidR="004F6DA3">
        <w:t xml:space="preserve">the </w:t>
      </w:r>
      <w:r w:rsidRPr="006500ED">
        <w:t>impact and sustainability</w:t>
      </w:r>
      <w:r w:rsidRPr="003D7A9F">
        <w:t xml:space="preserve"> </w:t>
      </w:r>
      <w:r w:rsidR="005C3E37">
        <w:t>of its</w:t>
      </w:r>
      <w:r w:rsidR="009F05CC">
        <w:t xml:space="preserve"> </w:t>
      </w:r>
      <w:r w:rsidR="005C3E37">
        <w:t>activities has</w:t>
      </w:r>
      <w:r w:rsidR="009F05CC">
        <w:t xml:space="preserve"> been observed</w:t>
      </w:r>
      <w:r w:rsidR="00D11188">
        <w:t xml:space="preserve"> only</w:t>
      </w:r>
      <w:r w:rsidR="009F05CC">
        <w:t xml:space="preserve"> </w:t>
      </w:r>
      <w:r w:rsidRPr="001A6CA0">
        <w:t>in some of the Arab countries.</w:t>
      </w:r>
      <w:r>
        <w:t xml:space="preserve"> </w:t>
      </w:r>
      <w:r w:rsidR="009E2DB6">
        <w:t xml:space="preserve"> </w:t>
      </w:r>
      <w:r w:rsidR="00F763D4">
        <w:t>Such efforts have not</w:t>
      </w:r>
      <w:r w:rsidRPr="001A6CA0">
        <w:t xml:space="preserve"> culminated into widespread endorsement of national strategies and changes in policy</w:t>
      </w:r>
      <w:r>
        <w:t>.</w:t>
      </w:r>
      <w:r w:rsidRPr="001A6CA0">
        <w:t xml:space="preserve">  The Division has</w:t>
      </w:r>
      <w:r>
        <w:t xml:space="preserve"> yet</w:t>
      </w:r>
      <w:r w:rsidRPr="001A6CA0">
        <w:t xml:space="preserve"> </w:t>
      </w:r>
      <w:r>
        <w:t>to develop</w:t>
      </w:r>
      <w:r w:rsidRPr="001A6CA0">
        <w:t xml:space="preserve"> a medium to long-term</w:t>
      </w:r>
      <w:r w:rsidR="00AD1D8D">
        <w:t>,</w:t>
      </w:r>
      <w:r w:rsidRPr="001A6CA0">
        <w:t xml:space="preserve"> results-based</w:t>
      </w:r>
      <w:r w:rsidR="00AD1D8D">
        <w:t>,</w:t>
      </w:r>
      <w:r w:rsidRPr="001A6CA0">
        <w:t xml:space="preserve"> country-specific plan/roadmap with the national IP counterparts</w:t>
      </w:r>
      <w:r w:rsidR="00FC254A">
        <w:t xml:space="preserve"> and a broad use of partnerships</w:t>
      </w:r>
      <w:r w:rsidRPr="001A6CA0">
        <w:t xml:space="preserve"> to facilitate such change.</w:t>
      </w:r>
    </w:p>
    <w:p w14:paraId="14588B8C" w14:textId="545A4AD7" w:rsidR="004854FF" w:rsidRPr="002060B3" w:rsidRDefault="004854FF" w:rsidP="004854FF">
      <w:pPr>
        <w:pStyle w:val="ONUME"/>
      </w:pPr>
      <w:r w:rsidRPr="002060B3">
        <w:t xml:space="preserve">Based on the findings and conclusions of the evaluation, </w:t>
      </w:r>
      <w:r w:rsidR="003D7A9F">
        <w:t xml:space="preserve">the </w:t>
      </w:r>
      <w:r w:rsidRPr="003D7A9F">
        <w:t>major</w:t>
      </w:r>
      <w:r w:rsidRPr="002060B3">
        <w:t xml:space="preserve"> recommendations of the </w:t>
      </w:r>
      <w:r w:rsidR="00AD1D8D">
        <w:t>R</w:t>
      </w:r>
      <w:r w:rsidRPr="002060B3">
        <w:t xml:space="preserve">eport include: </w:t>
      </w:r>
    </w:p>
    <w:p w14:paraId="23EE4863" w14:textId="2CB8C8C9" w:rsidR="004854FF" w:rsidRPr="002060B3" w:rsidRDefault="004854FF" w:rsidP="004854FF">
      <w:pPr>
        <w:pStyle w:val="ONUME"/>
        <w:numPr>
          <w:ilvl w:val="1"/>
          <w:numId w:val="11"/>
        </w:numPr>
      </w:pPr>
      <w:r w:rsidRPr="002060B3">
        <w:t xml:space="preserve">Developing a joint DAC-Country specific outcome-driven medium to longer-term program/plan (3-5 year </w:t>
      </w:r>
      <w:r>
        <w:t>plan</w:t>
      </w:r>
      <w:r w:rsidRPr="002060B3">
        <w:t>) that ensures the coherence of interventions</w:t>
      </w:r>
      <w:r w:rsidR="00737142">
        <w:t xml:space="preserve">, while remaining flexible to emerging needs; </w:t>
      </w:r>
    </w:p>
    <w:p w14:paraId="075BBF3B" w14:textId="17A6D154" w:rsidR="004854FF" w:rsidRPr="002060B3" w:rsidRDefault="004854FF" w:rsidP="004854FF">
      <w:pPr>
        <w:pStyle w:val="ONUME"/>
        <w:numPr>
          <w:ilvl w:val="1"/>
          <w:numId w:val="2"/>
        </w:numPr>
      </w:pPr>
      <w:r w:rsidRPr="002060B3">
        <w:t xml:space="preserve">Revisiting the Division’s Performance Framework in order </w:t>
      </w:r>
      <w:r>
        <w:t>to i</w:t>
      </w:r>
      <w:r w:rsidRPr="002060B3">
        <w:t xml:space="preserve">dentify means of measurement, and </w:t>
      </w:r>
      <w:r w:rsidR="00E53490">
        <w:t xml:space="preserve">to </w:t>
      </w:r>
      <w:r w:rsidRPr="00E53490">
        <w:t>ensure alignment and a</w:t>
      </w:r>
      <w:r w:rsidR="002327F8" w:rsidRPr="00E53490">
        <w:t>void</w:t>
      </w:r>
      <w:r w:rsidR="002327F8">
        <w:t xml:space="preserve"> inconsistencies among them;</w:t>
      </w:r>
    </w:p>
    <w:p w14:paraId="65C3F5ED" w14:textId="1C7B593B" w:rsidR="004854FF" w:rsidRPr="002060B3" w:rsidRDefault="004854FF" w:rsidP="004854FF">
      <w:pPr>
        <w:pStyle w:val="ONUME"/>
        <w:numPr>
          <w:ilvl w:val="1"/>
          <w:numId w:val="2"/>
        </w:numPr>
      </w:pPr>
      <w:r w:rsidRPr="002060B3">
        <w:t>Strengthening partnerships with national and regional counterparts and their res</w:t>
      </w:r>
      <w:r>
        <w:t xml:space="preserve">pective Permanent Missions </w:t>
      </w:r>
      <w:r w:rsidRPr="002060B3">
        <w:t xml:space="preserve">by </w:t>
      </w:r>
      <w:r w:rsidR="001E2CA2">
        <w:t>i</w:t>
      </w:r>
      <w:r w:rsidRPr="002060B3">
        <w:t>ncreasing visibility and developing</w:t>
      </w:r>
      <w:r>
        <w:t xml:space="preserve"> medium to longer</w:t>
      </w:r>
      <w:r w:rsidR="00B17783">
        <w:noBreakHyphen/>
      </w:r>
      <w:r>
        <w:t>term program/</w:t>
      </w:r>
      <w:r w:rsidR="002327F8">
        <w:t>plans of action;  and</w:t>
      </w:r>
    </w:p>
    <w:p w14:paraId="29BE677B" w14:textId="69E6AAE7" w:rsidR="004854FF" w:rsidRPr="002060B3" w:rsidRDefault="004854FF" w:rsidP="009E2DB6">
      <w:pPr>
        <w:pStyle w:val="ONUME"/>
        <w:numPr>
          <w:ilvl w:val="1"/>
          <w:numId w:val="2"/>
        </w:numPr>
      </w:pPr>
      <w:r w:rsidRPr="002060B3">
        <w:t>Fostering close cooperation with other international organizations (</w:t>
      </w:r>
      <w:r w:rsidR="009E2DB6" w:rsidRPr="009E2DB6">
        <w:t>United Nations Conference on Trade and Development</w:t>
      </w:r>
      <w:r w:rsidRPr="002060B3">
        <w:t xml:space="preserve">, </w:t>
      </w:r>
      <w:r w:rsidR="009E2DB6">
        <w:t>World Trade Organization</w:t>
      </w:r>
      <w:r w:rsidR="009E2DB6" w:rsidRPr="002060B3">
        <w:t xml:space="preserve"> </w:t>
      </w:r>
      <w:r w:rsidRPr="002060B3">
        <w:t xml:space="preserve">and others) to </w:t>
      </w:r>
      <w:r w:rsidR="00E53490">
        <w:t xml:space="preserve">pool </w:t>
      </w:r>
      <w:r w:rsidRPr="002060B3">
        <w:t>resources, maximize the impa</w:t>
      </w:r>
      <w:r>
        <w:t xml:space="preserve">ct and ensure sustainability </w:t>
      </w:r>
      <w:r w:rsidRPr="00E53490">
        <w:t>in (i</w:t>
      </w:r>
      <w:r w:rsidR="002327F8" w:rsidRPr="00E53490">
        <w:t>) </w:t>
      </w:r>
      <w:r w:rsidRPr="00E53490">
        <w:t>formulatin</w:t>
      </w:r>
      <w:r w:rsidR="00E53490">
        <w:t>g</w:t>
      </w:r>
      <w:r>
        <w:t xml:space="preserve"> and rolling out NIPS;  (ii</w:t>
      </w:r>
      <w:r w:rsidRPr="002060B3">
        <w:t>) in</w:t>
      </w:r>
      <w:r>
        <w:t>fluencing Innovation Strategies;  and (iii</w:t>
      </w:r>
      <w:r w:rsidR="002327F8">
        <w:t>)</w:t>
      </w:r>
      <w:r w:rsidR="0095619D">
        <w:t xml:space="preserve"> providing complementary</w:t>
      </w:r>
      <w:r w:rsidR="002327F8">
        <w:t> </w:t>
      </w:r>
      <w:r w:rsidRPr="002060B3">
        <w:t>support to address emerging regional needs.</w:t>
      </w:r>
    </w:p>
    <w:p w14:paraId="0894A01F" w14:textId="77777777" w:rsidR="00B70223" w:rsidRPr="00315F3C" w:rsidRDefault="00C4224C" w:rsidP="00315F3C">
      <w:pPr>
        <w:pStyle w:val="Heading2"/>
        <w:rPr>
          <w:lang w:eastAsia="en-US"/>
        </w:rPr>
      </w:pPr>
      <w:r w:rsidRPr="00EF4A05">
        <w:rPr>
          <w:rFonts w:eastAsia="Times New Roman"/>
          <w:szCs w:val="22"/>
          <w:lang w:eastAsia="en-US"/>
        </w:rPr>
        <w:t>Evaluation of WIPO Match</w:t>
      </w:r>
    </w:p>
    <w:p w14:paraId="48CF6ED9" w14:textId="0DEE5605" w:rsidR="004854FF" w:rsidRPr="002060B3" w:rsidRDefault="004854FF" w:rsidP="004854FF">
      <w:pPr>
        <w:pStyle w:val="ONUME"/>
      </w:pPr>
      <w:r w:rsidRPr="002060B3">
        <w:t>"WIPO</w:t>
      </w:r>
      <w:r>
        <w:t xml:space="preserve"> </w:t>
      </w:r>
      <w:r w:rsidRPr="002060B3">
        <w:t xml:space="preserve">Match” is a global stakeholder community that aims at harnessing the industry and private sector's power to promote economic, social, and cultural development in developing countries, </w:t>
      </w:r>
      <w:r w:rsidR="00582879">
        <w:t>l</w:t>
      </w:r>
      <w:r w:rsidRPr="00C74B4E">
        <w:t>east</w:t>
      </w:r>
      <w:r w:rsidR="00B17783">
        <w:t xml:space="preserve"> </w:t>
      </w:r>
      <w:r w:rsidR="00582879">
        <w:t>d</w:t>
      </w:r>
      <w:r w:rsidRPr="00C74B4E">
        <w:t xml:space="preserve">eveloped </w:t>
      </w:r>
      <w:r w:rsidR="00582879">
        <w:t>c</w:t>
      </w:r>
      <w:r w:rsidRPr="00C74B4E">
        <w:t>ountries</w:t>
      </w:r>
      <w:r w:rsidRPr="002060B3">
        <w:t xml:space="preserve">, as well as countries in transition.  It does this by helping IP </w:t>
      </w:r>
      <w:r w:rsidR="000C4E9C">
        <w:t>TA</w:t>
      </w:r>
      <w:r w:rsidRPr="002060B3">
        <w:t xml:space="preserve"> seekers to find relevant providers for projects and local engagements. </w:t>
      </w:r>
    </w:p>
    <w:p w14:paraId="58DC4D67" w14:textId="2D911A55" w:rsidR="0033685D" w:rsidRDefault="004854FF" w:rsidP="004854FF">
      <w:pPr>
        <w:pStyle w:val="ONUME"/>
      </w:pPr>
      <w:r w:rsidRPr="002060B3">
        <w:lastRenderedPageBreak/>
        <w:t xml:space="preserve">The purpose of this evaluation </w:t>
      </w:r>
      <w:r w:rsidRPr="00E53490">
        <w:t>was formative, focused</w:t>
      </w:r>
      <w:r w:rsidRPr="002060B3">
        <w:t xml:space="preserve"> on finding learning opportunities and program improvement.</w:t>
      </w:r>
    </w:p>
    <w:p w14:paraId="169248B4" w14:textId="769BB19B" w:rsidR="004854FF" w:rsidRDefault="00E53490" w:rsidP="004854FF">
      <w:pPr>
        <w:pStyle w:val="ONUME"/>
        <w:rPr>
          <w:rFonts w:eastAsia="Times New Roman" w:cs="Times New Roman"/>
        </w:rPr>
      </w:pPr>
      <w:r>
        <w:rPr>
          <w:rFonts w:eastAsia="Times New Roman" w:cs="Times New Roman"/>
        </w:rPr>
        <w:t>The m</w:t>
      </w:r>
      <w:r w:rsidR="004854FF" w:rsidRPr="00E53490">
        <w:rPr>
          <w:rFonts w:eastAsia="Times New Roman" w:cs="Times New Roman"/>
        </w:rPr>
        <w:t>ajor</w:t>
      </w:r>
      <w:r w:rsidR="004854FF" w:rsidRPr="002060B3">
        <w:rPr>
          <w:rFonts w:eastAsia="Times New Roman" w:cs="Times New Roman"/>
        </w:rPr>
        <w:t xml:space="preserve"> findings of the report </w:t>
      </w:r>
      <w:r w:rsidR="000C4E9C">
        <w:rPr>
          <w:rFonts w:eastAsia="Times New Roman" w:cs="Times New Roman"/>
        </w:rPr>
        <w:t>are the following</w:t>
      </w:r>
      <w:r w:rsidR="004854FF" w:rsidRPr="002060B3">
        <w:rPr>
          <w:rFonts w:eastAsia="Times New Roman" w:cs="Times New Roman"/>
        </w:rPr>
        <w:t>:</w:t>
      </w:r>
    </w:p>
    <w:p w14:paraId="04FBE488" w14:textId="4F39EDB1" w:rsidR="004854FF" w:rsidRPr="00C74B4E" w:rsidRDefault="004854FF" w:rsidP="007E6F3C">
      <w:pPr>
        <w:pStyle w:val="ONUME"/>
        <w:numPr>
          <w:ilvl w:val="1"/>
          <w:numId w:val="2"/>
        </w:numPr>
        <w:rPr>
          <w:rFonts w:eastAsia="Times New Roman" w:cs="Times New Roman"/>
        </w:rPr>
      </w:pPr>
      <w:r w:rsidRPr="00C74B4E">
        <w:rPr>
          <w:rFonts w:eastAsia="Times New Roman"/>
        </w:rPr>
        <w:t>WIPO Match was developed in response to a request from the</w:t>
      </w:r>
      <w:r w:rsidR="007E6F3C">
        <w:rPr>
          <w:rFonts w:eastAsia="Times New Roman"/>
        </w:rPr>
        <w:t xml:space="preserve"> </w:t>
      </w:r>
      <w:r w:rsidRPr="00C74B4E">
        <w:rPr>
          <w:rFonts w:eastAsia="Times New Roman"/>
        </w:rPr>
        <w:t>CDIP and aligned to recommendation 9 of the Development Agenda</w:t>
      </w:r>
      <w:r w:rsidR="00B209D4">
        <w:rPr>
          <w:rFonts w:eastAsia="Times New Roman"/>
        </w:rPr>
        <w:t>;</w:t>
      </w:r>
    </w:p>
    <w:p w14:paraId="5AD50853" w14:textId="0DD5A6FE" w:rsidR="004854FF" w:rsidRPr="002060B3" w:rsidRDefault="004854FF" w:rsidP="004854FF">
      <w:pPr>
        <w:pStyle w:val="ONUME"/>
        <w:numPr>
          <w:ilvl w:val="1"/>
          <w:numId w:val="2"/>
        </w:numPr>
        <w:rPr>
          <w:rFonts w:eastAsia="Times New Roman"/>
        </w:rPr>
      </w:pPr>
      <w:r w:rsidRPr="002060B3">
        <w:rPr>
          <w:rFonts w:eastAsia="Times New Roman"/>
        </w:rPr>
        <w:t xml:space="preserve">WIPO Match’s value proposition has evolved over time and it includes an amalgam of services and proposals that the project is not always in </w:t>
      </w:r>
      <w:r w:rsidR="009755DB">
        <w:rPr>
          <w:rFonts w:eastAsia="Times New Roman"/>
        </w:rPr>
        <w:t xml:space="preserve">a </w:t>
      </w:r>
      <w:r w:rsidRPr="002060B3">
        <w:rPr>
          <w:rFonts w:eastAsia="Times New Roman"/>
        </w:rPr>
        <w:t xml:space="preserve">position to realistically deliver to all platform members. </w:t>
      </w:r>
      <w:r>
        <w:rPr>
          <w:rFonts w:eastAsia="Times New Roman"/>
        </w:rPr>
        <w:t xml:space="preserve"> </w:t>
      </w:r>
      <w:r w:rsidRPr="002060B3">
        <w:rPr>
          <w:rFonts w:eastAsia="Times New Roman"/>
        </w:rPr>
        <w:t>Currently, services and feedback from the program do not reach all seekers</w:t>
      </w:r>
      <w:r w:rsidR="009755DB">
        <w:rPr>
          <w:rFonts w:eastAsia="Times New Roman"/>
        </w:rPr>
        <w:t>, thereby</w:t>
      </w:r>
      <w:r w:rsidRPr="002060B3">
        <w:rPr>
          <w:rFonts w:eastAsia="Times New Roman"/>
        </w:rPr>
        <w:t xml:space="preserve"> limiting the potential for w</w:t>
      </w:r>
      <w:r>
        <w:rPr>
          <w:rFonts w:eastAsia="Times New Roman"/>
        </w:rPr>
        <w:t xml:space="preserve">idespread </w:t>
      </w:r>
      <w:r w:rsidR="001A119F">
        <w:rPr>
          <w:rFonts w:eastAsia="Times New Roman"/>
        </w:rPr>
        <w:t xml:space="preserve">progress </w:t>
      </w:r>
      <w:r>
        <w:rPr>
          <w:rFonts w:eastAsia="Times New Roman"/>
        </w:rPr>
        <w:t>of the project;</w:t>
      </w:r>
    </w:p>
    <w:p w14:paraId="44466BFD" w14:textId="2C604602" w:rsidR="001A119F" w:rsidRDefault="001A119F" w:rsidP="001A119F">
      <w:pPr>
        <w:pStyle w:val="ListParagraph"/>
        <w:numPr>
          <w:ilvl w:val="1"/>
          <w:numId w:val="2"/>
        </w:numPr>
        <w:spacing w:after="220"/>
      </w:pPr>
      <w:r w:rsidRPr="007146BC">
        <w:t>Nevertheless, there are significant efficiency challenges related to the context in which WIPO Match operates, which need to b</w:t>
      </w:r>
      <w:r>
        <w:t>e addressed by the Organization;</w:t>
      </w:r>
    </w:p>
    <w:p w14:paraId="5C9AF088" w14:textId="60967895" w:rsidR="001A119F" w:rsidRDefault="001A119F" w:rsidP="004854FF">
      <w:pPr>
        <w:pStyle w:val="ONUME"/>
        <w:numPr>
          <w:ilvl w:val="1"/>
          <w:numId w:val="2"/>
        </w:numPr>
        <w:rPr>
          <w:rFonts w:eastAsia="Times New Roman"/>
        </w:rPr>
      </w:pPr>
      <w:r>
        <w:t>I</w:t>
      </w:r>
      <w:r w:rsidRPr="007146BC">
        <w:t>nterviewed stakeholders believed that there is room for improvement</w:t>
      </w:r>
      <w:r>
        <w:t xml:space="preserve"> in the operations of WIPO match;</w:t>
      </w:r>
    </w:p>
    <w:p w14:paraId="5D22E39E" w14:textId="3220B0AE" w:rsidR="001A119F" w:rsidRDefault="001A119F" w:rsidP="004854FF">
      <w:pPr>
        <w:pStyle w:val="ONUME"/>
        <w:numPr>
          <w:ilvl w:val="1"/>
          <w:numId w:val="2"/>
        </w:numPr>
        <w:rPr>
          <w:rFonts w:eastAsia="Times New Roman"/>
        </w:rPr>
      </w:pPr>
      <w:r>
        <w:t>Since its inception in ten years until 2019, WIPO match could only catalyze six deals;</w:t>
      </w:r>
    </w:p>
    <w:p w14:paraId="39AD4E51" w14:textId="114D0115" w:rsidR="004854FF" w:rsidRPr="002060B3" w:rsidRDefault="001A119F" w:rsidP="004854FF">
      <w:pPr>
        <w:pStyle w:val="ONUME"/>
        <w:numPr>
          <w:ilvl w:val="1"/>
          <w:numId w:val="2"/>
        </w:numPr>
        <w:rPr>
          <w:rFonts w:eastAsia="Times New Roman"/>
        </w:rPr>
      </w:pPr>
      <w:r>
        <w:rPr>
          <w:rFonts w:eastAsia="Times New Roman"/>
        </w:rPr>
        <w:t>T</w:t>
      </w:r>
      <w:r w:rsidR="004854FF" w:rsidRPr="002060B3">
        <w:rPr>
          <w:rFonts w:eastAsia="Times New Roman"/>
        </w:rPr>
        <w:t xml:space="preserve">he evaluation also found that </w:t>
      </w:r>
      <w:r w:rsidR="007E6F3C">
        <w:rPr>
          <w:rFonts w:eastAsia="Times New Roman"/>
        </w:rPr>
        <w:t xml:space="preserve">the </w:t>
      </w:r>
      <w:r w:rsidR="004854FF" w:rsidRPr="002060B3">
        <w:rPr>
          <w:rFonts w:eastAsia="Times New Roman"/>
        </w:rPr>
        <w:t>criteria</w:t>
      </w:r>
      <w:r w:rsidR="007E6F3C">
        <w:rPr>
          <w:rFonts w:eastAsia="Times New Roman"/>
        </w:rPr>
        <w:t xml:space="preserve"> used to become a member of the platform</w:t>
      </w:r>
      <w:r w:rsidR="004854FF" w:rsidRPr="002060B3">
        <w:rPr>
          <w:rFonts w:eastAsia="Times New Roman"/>
        </w:rPr>
        <w:t xml:space="preserve"> is not clear enough to </w:t>
      </w:r>
      <w:r w:rsidR="00E53490">
        <w:rPr>
          <w:rFonts w:eastAsia="Times New Roman"/>
        </w:rPr>
        <w:t>realize</w:t>
      </w:r>
      <w:r w:rsidR="004854FF" w:rsidRPr="002060B3">
        <w:rPr>
          <w:rFonts w:eastAsia="Times New Roman"/>
        </w:rPr>
        <w:t xml:space="preserve"> </w:t>
      </w:r>
      <w:r w:rsidR="00E53490">
        <w:rPr>
          <w:rFonts w:eastAsia="Times New Roman"/>
        </w:rPr>
        <w:t xml:space="preserve">its </w:t>
      </w:r>
      <w:r w:rsidR="004854FF">
        <w:rPr>
          <w:rFonts w:eastAsia="Times New Roman"/>
        </w:rPr>
        <w:t>full potential;  and</w:t>
      </w:r>
    </w:p>
    <w:p w14:paraId="48A23E0F" w14:textId="6449F6AA" w:rsidR="004854FF" w:rsidRDefault="004854FF" w:rsidP="004854FF">
      <w:pPr>
        <w:pStyle w:val="ONUME"/>
        <w:numPr>
          <w:ilvl w:val="1"/>
          <w:numId w:val="2"/>
        </w:numPr>
        <w:rPr>
          <w:rFonts w:eastAsia="Times New Roman"/>
        </w:rPr>
      </w:pPr>
      <w:r w:rsidRPr="00123659">
        <w:rPr>
          <w:rFonts w:eastAsia="Times New Roman"/>
        </w:rPr>
        <w:t>The WIPO Match web platform technology</w:t>
      </w:r>
      <w:r w:rsidRPr="002060B3">
        <w:rPr>
          <w:rFonts w:eastAsia="Times New Roman"/>
        </w:rPr>
        <w:t xml:space="preserve"> is outdated, and it does not comply with today's platform standards.  The existing web platform limits the project team's efficiency, as several tasks need to be done manually.</w:t>
      </w:r>
    </w:p>
    <w:p w14:paraId="1333ADFA" w14:textId="0059E3CF" w:rsidR="004854FF" w:rsidRPr="00C74B4E" w:rsidRDefault="004854FF" w:rsidP="004854FF">
      <w:pPr>
        <w:pStyle w:val="ONUME"/>
      </w:pPr>
      <w:r w:rsidRPr="002060B3">
        <w:t xml:space="preserve">Based on the findings of the evaluation, </w:t>
      </w:r>
      <w:r w:rsidR="00123659">
        <w:t xml:space="preserve">the </w:t>
      </w:r>
      <w:r w:rsidRPr="00123659">
        <w:t>major re</w:t>
      </w:r>
      <w:r w:rsidRPr="002060B3">
        <w:t>commendations of the report include that:</w:t>
      </w:r>
      <w:r>
        <w:t xml:space="preserve"> </w:t>
      </w:r>
    </w:p>
    <w:p w14:paraId="40A61235" w14:textId="7D0FD784" w:rsidR="004854FF" w:rsidRPr="00123659" w:rsidRDefault="004854FF" w:rsidP="004854FF">
      <w:pPr>
        <w:pStyle w:val="ONUME"/>
        <w:numPr>
          <w:ilvl w:val="1"/>
          <w:numId w:val="2"/>
        </w:numPr>
        <w:rPr>
          <w:rFonts w:cs="Times New Roman"/>
        </w:rPr>
      </w:pPr>
      <w:r w:rsidRPr="009A1B3C">
        <w:rPr>
          <w:rFonts w:cs="Times New Roman"/>
        </w:rPr>
        <w:t>Senior Manage</w:t>
      </w:r>
      <w:r w:rsidR="009A1B3C" w:rsidRPr="00A64E8D">
        <w:rPr>
          <w:rFonts w:cs="Times New Roman"/>
        </w:rPr>
        <w:t>ment</w:t>
      </w:r>
      <w:r w:rsidRPr="002060B3">
        <w:rPr>
          <w:rFonts w:cs="Times New Roman"/>
        </w:rPr>
        <w:t xml:space="preserve"> jointly with the Project Manager s</w:t>
      </w:r>
      <w:r>
        <w:rPr>
          <w:rFonts w:cs="Times New Roman"/>
        </w:rPr>
        <w:t xml:space="preserve">hould strengthen governance by </w:t>
      </w:r>
      <w:r w:rsidRPr="002060B3">
        <w:rPr>
          <w:rFonts w:cs="Times New Roman"/>
        </w:rPr>
        <w:t>establishing a governance structure for decision making and formalizing reporting mechanisms on interim results</w:t>
      </w:r>
      <w:r>
        <w:rPr>
          <w:rFonts w:cs="Times New Roman"/>
        </w:rPr>
        <w:t xml:space="preserve">, challenges and </w:t>
      </w:r>
      <w:r w:rsidRPr="00123659">
        <w:rPr>
          <w:rFonts w:cs="Times New Roman"/>
        </w:rPr>
        <w:t>lessons learn</w:t>
      </w:r>
      <w:r w:rsidR="00123659">
        <w:rPr>
          <w:rFonts w:cs="Times New Roman"/>
        </w:rPr>
        <w:t>ed</w:t>
      </w:r>
      <w:r w:rsidRPr="00123659">
        <w:rPr>
          <w:rFonts w:cs="Times New Roman"/>
        </w:rPr>
        <w:t>;</w:t>
      </w:r>
    </w:p>
    <w:p w14:paraId="3E15528C" w14:textId="08594E98" w:rsidR="004854FF" w:rsidRPr="002060B3" w:rsidRDefault="004854FF" w:rsidP="004854FF">
      <w:pPr>
        <w:pStyle w:val="ONUME"/>
        <w:numPr>
          <w:ilvl w:val="1"/>
          <w:numId w:val="2"/>
        </w:numPr>
        <w:rPr>
          <w:rFonts w:cs="Times New Roman"/>
        </w:rPr>
      </w:pPr>
      <w:r w:rsidRPr="002060B3">
        <w:rPr>
          <w:rFonts w:cs="Times New Roman"/>
        </w:rPr>
        <w:t xml:space="preserve">The </w:t>
      </w:r>
      <w:r w:rsidR="000C4E9C">
        <w:rPr>
          <w:rFonts w:cs="Times New Roman"/>
        </w:rPr>
        <w:t>P</w:t>
      </w:r>
      <w:r w:rsidRPr="002060B3">
        <w:rPr>
          <w:rFonts w:cs="Times New Roman"/>
        </w:rPr>
        <w:t xml:space="preserve">roject </w:t>
      </w:r>
      <w:r w:rsidR="000C4E9C">
        <w:rPr>
          <w:rFonts w:cs="Times New Roman"/>
        </w:rPr>
        <w:t>M</w:t>
      </w:r>
      <w:r w:rsidRPr="002060B3">
        <w:rPr>
          <w:rFonts w:cs="Times New Roman"/>
        </w:rPr>
        <w:t>anager, with the leadership of</w:t>
      </w:r>
      <w:r w:rsidR="000C4E9C">
        <w:rPr>
          <w:rFonts w:cs="Times New Roman"/>
        </w:rPr>
        <w:t xml:space="preserve"> </w:t>
      </w:r>
      <w:r w:rsidRPr="009A1B3C">
        <w:rPr>
          <w:rFonts w:cs="Times New Roman"/>
        </w:rPr>
        <w:t>Senior Manage</w:t>
      </w:r>
      <w:r w:rsidR="009A1B3C" w:rsidRPr="009A1B3C">
        <w:rPr>
          <w:rFonts w:cs="Times New Roman"/>
        </w:rPr>
        <w:t>ment</w:t>
      </w:r>
      <w:r w:rsidRPr="002060B3">
        <w:rPr>
          <w:rFonts w:cs="Times New Roman"/>
        </w:rPr>
        <w:t xml:space="preserve"> and in consultation with relevant stakeholders, should develop a strategy for the effective and efficient management and sustainability of WIPO Match</w:t>
      </w:r>
      <w:r>
        <w:rPr>
          <w:rFonts w:cs="Times New Roman"/>
        </w:rPr>
        <w:t>;  and</w:t>
      </w:r>
    </w:p>
    <w:p w14:paraId="530C8FC9" w14:textId="0D7194E9" w:rsidR="004854FF" w:rsidRPr="00C74B4E" w:rsidRDefault="004854FF" w:rsidP="004854FF">
      <w:pPr>
        <w:pStyle w:val="ONUME"/>
        <w:numPr>
          <w:ilvl w:val="1"/>
          <w:numId w:val="2"/>
        </w:numPr>
        <w:rPr>
          <w:rFonts w:cs="Times New Roman"/>
        </w:rPr>
      </w:pPr>
      <w:r w:rsidRPr="009A1B3C">
        <w:rPr>
          <w:rFonts w:cs="Times New Roman"/>
        </w:rPr>
        <w:t>Senior Management</w:t>
      </w:r>
      <w:r w:rsidR="00D62D67">
        <w:rPr>
          <w:rFonts w:cs="Times New Roman"/>
        </w:rPr>
        <w:t>,</w:t>
      </w:r>
      <w:r>
        <w:rPr>
          <w:rFonts w:cs="Times New Roman"/>
        </w:rPr>
        <w:t xml:space="preserve"> jointly with the P</w:t>
      </w:r>
      <w:r w:rsidRPr="002060B3">
        <w:rPr>
          <w:rFonts w:cs="Times New Roman"/>
        </w:rPr>
        <w:t xml:space="preserve">roject </w:t>
      </w:r>
      <w:r>
        <w:rPr>
          <w:rFonts w:cs="Times New Roman"/>
        </w:rPr>
        <w:t>M</w:t>
      </w:r>
      <w:r w:rsidRPr="002060B3">
        <w:rPr>
          <w:rFonts w:cs="Times New Roman"/>
        </w:rPr>
        <w:t xml:space="preserve">anager </w:t>
      </w:r>
      <w:r w:rsidR="00D62D67">
        <w:rPr>
          <w:rFonts w:cs="Times New Roman"/>
        </w:rPr>
        <w:t xml:space="preserve">and </w:t>
      </w:r>
      <w:r w:rsidRPr="002060B3">
        <w:rPr>
          <w:rFonts w:cs="Times New Roman"/>
        </w:rPr>
        <w:t>in collaboration with HRMD</w:t>
      </w:r>
      <w:r w:rsidR="00D62D67">
        <w:rPr>
          <w:rFonts w:cs="Times New Roman"/>
        </w:rPr>
        <w:t>,</w:t>
      </w:r>
      <w:r w:rsidRPr="002060B3">
        <w:rPr>
          <w:rFonts w:cs="Times New Roman"/>
        </w:rPr>
        <w:t xml:space="preserve"> </w:t>
      </w:r>
      <w:r>
        <w:rPr>
          <w:rFonts w:cs="Times New Roman"/>
        </w:rPr>
        <w:t>should</w:t>
      </w:r>
      <w:r w:rsidRPr="002060B3">
        <w:rPr>
          <w:rFonts w:cs="Times New Roman"/>
        </w:rPr>
        <w:t xml:space="preserve"> revise the job descriptions of all WIPO Match staff members to reflect actual duties and responsibilities.</w:t>
      </w:r>
      <w:r>
        <w:rPr>
          <w:rFonts w:cs="Times New Roman"/>
        </w:rPr>
        <w:t xml:space="preserve"> </w:t>
      </w:r>
      <w:r w:rsidRPr="002060B3">
        <w:rPr>
          <w:rFonts w:cs="Times New Roman"/>
        </w:rPr>
        <w:t xml:space="preserve"> Moreover</w:t>
      </w:r>
      <w:r w:rsidR="003B4645">
        <w:rPr>
          <w:rFonts w:cs="Times New Roman"/>
        </w:rPr>
        <w:t>,</w:t>
      </w:r>
      <w:r w:rsidRPr="002060B3">
        <w:rPr>
          <w:rFonts w:cs="Times New Roman"/>
        </w:rPr>
        <w:t xml:space="preserve"> they should provide adequate resources to realize the vision articulated in the strategy document. </w:t>
      </w:r>
      <w:r>
        <w:rPr>
          <w:rFonts w:cs="Times New Roman"/>
        </w:rPr>
        <w:t xml:space="preserve"> </w:t>
      </w:r>
      <w:r w:rsidR="00123659">
        <w:rPr>
          <w:rFonts w:cs="Times New Roman"/>
        </w:rPr>
        <w:t>An u</w:t>
      </w:r>
      <w:r w:rsidRPr="00123659">
        <w:rPr>
          <w:rFonts w:cs="Times New Roman"/>
        </w:rPr>
        <w:t>pgrading of</w:t>
      </w:r>
      <w:r w:rsidRPr="002060B3">
        <w:rPr>
          <w:rFonts w:cs="Times New Roman"/>
        </w:rPr>
        <w:t xml:space="preserve"> the database to ens</w:t>
      </w:r>
      <w:r>
        <w:rPr>
          <w:rFonts w:cs="Times New Roman"/>
        </w:rPr>
        <w:t>ure that it is fit for purpose</w:t>
      </w:r>
      <w:r w:rsidR="003B4645">
        <w:rPr>
          <w:rFonts w:cs="Times New Roman"/>
        </w:rPr>
        <w:t xml:space="preserve"> might also be required</w:t>
      </w:r>
      <w:r>
        <w:rPr>
          <w:rFonts w:cs="Times New Roman"/>
        </w:rPr>
        <w:t>.</w:t>
      </w:r>
    </w:p>
    <w:p w14:paraId="23F50470" w14:textId="5679D8ED" w:rsidR="00B70223" w:rsidRPr="00315F3C" w:rsidRDefault="00C4224C" w:rsidP="00315F3C">
      <w:pPr>
        <w:pStyle w:val="Heading2"/>
        <w:rPr>
          <w:lang w:eastAsia="en-US"/>
        </w:rPr>
      </w:pPr>
      <w:r w:rsidRPr="00EF4A05">
        <w:rPr>
          <w:rFonts w:eastAsia="Times New Roman"/>
          <w:szCs w:val="22"/>
          <w:lang w:eastAsia="en-US"/>
        </w:rPr>
        <w:t>Evaluation of the Use and I</w:t>
      </w:r>
      <w:r>
        <w:rPr>
          <w:rFonts w:eastAsia="Times New Roman"/>
          <w:szCs w:val="22"/>
          <w:lang w:eastAsia="en-US"/>
        </w:rPr>
        <w:t>mpact of IOD Evaluation Section</w:t>
      </w:r>
      <w:r w:rsidR="003B4645">
        <w:rPr>
          <w:rFonts w:eastAsia="Times New Roman"/>
          <w:szCs w:val="22"/>
          <w:lang w:eastAsia="en-US"/>
        </w:rPr>
        <w:t xml:space="preserve"> RECOMMENDATIONS</w:t>
      </w:r>
    </w:p>
    <w:p w14:paraId="09B7FE2E" w14:textId="7F5558D6" w:rsidR="009D772F" w:rsidRPr="002060B3" w:rsidRDefault="009D772F" w:rsidP="009D772F">
      <w:pPr>
        <w:pStyle w:val="ONUME"/>
      </w:pPr>
      <w:r w:rsidRPr="002060B3">
        <w:t>To support WIPO</w:t>
      </w:r>
      <w:r w:rsidR="003B4645">
        <w:t xml:space="preserve"> in</w:t>
      </w:r>
      <w:r w:rsidRPr="002060B3">
        <w:t xml:space="preserve"> maximizing the impact of </w:t>
      </w:r>
      <w:r>
        <w:t>it</w:t>
      </w:r>
      <w:r w:rsidRPr="002060B3">
        <w:t xml:space="preserve">s services, the IOD Evaluation Section </w:t>
      </w:r>
      <w:r>
        <w:t>developed</w:t>
      </w:r>
      <w:r w:rsidRPr="002060B3">
        <w:t xml:space="preserve"> an evaluation approach using the latest research methods in behavioral science. </w:t>
      </w:r>
    </w:p>
    <w:p w14:paraId="729ED4BE" w14:textId="77777777" w:rsidR="009D772F" w:rsidRPr="002060B3" w:rsidRDefault="009D772F" w:rsidP="009D772F">
      <w:pPr>
        <w:pStyle w:val="ONUME"/>
      </w:pPr>
      <w:r w:rsidRPr="002060B3">
        <w:t>Behavioral Insights (</w:t>
      </w:r>
      <w:r w:rsidRPr="001E6CF4">
        <w:t>BI</w:t>
      </w:r>
      <w:r w:rsidRPr="002060B3">
        <w:t xml:space="preserve">) are lessons derived from the behavioral and social sciences, including decision making, psychology, cognitive science, neuroscience, organizational and group behavior.  Public bodies around the world are increasingly using BI to design and implement better public policies based on evidence of the actual behavior and biases of citizens and businesses.  </w:t>
      </w:r>
    </w:p>
    <w:p w14:paraId="52547967" w14:textId="27998385" w:rsidR="009D772F" w:rsidRPr="002060B3" w:rsidRDefault="009D772F" w:rsidP="009D772F">
      <w:pPr>
        <w:pStyle w:val="ONUME"/>
      </w:pPr>
      <w:r w:rsidRPr="002060B3">
        <w:lastRenderedPageBreak/>
        <w:t>BI help understand how context and other influences can impact decision-making and inform the actual behavior of people and organizations.  The BI approach focuses on understanding what drives the decisions and behaviors of citizens, rather than relying on an assumption of how they should act.  By doing so, it helps ensure that policies reflect actual needs and behaviors for gre</w:t>
      </w:r>
      <w:r>
        <w:t>ater impact and effectiveness.</w:t>
      </w:r>
    </w:p>
    <w:p w14:paraId="0DC25257" w14:textId="448D5550" w:rsidR="009D772F" w:rsidRDefault="009C7E22" w:rsidP="009D772F">
      <w:pPr>
        <w:pStyle w:val="ONUME"/>
      </w:pPr>
      <w:r>
        <w:t>A</w:t>
      </w:r>
      <w:r w:rsidRPr="002060B3">
        <w:t xml:space="preserve"> </w:t>
      </w:r>
      <w:r w:rsidR="009D772F" w:rsidRPr="002060B3">
        <w:t>BI expert</w:t>
      </w:r>
      <w:r w:rsidR="003B4645">
        <w:t>s</w:t>
      </w:r>
      <w:r w:rsidR="0033685D">
        <w:t>’</w:t>
      </w:r>
      <w:r w:rsidR="009D772F" w:rsidRPr="002060B3">
        <w:t xml:space="preserve"> team conducted a behavioral analysis of the evaluation process, defined as the distance between the expected behavior that stakeholders should exhibit and the real behavior that ultimately occurs.  </w:t>
      </w:r>
    </w:p>
    <w:p w14:paraId="72DD98FC" w14:textId="6004E26B" w:rsidR="009D772F" w:rsidRDefault="009D772F" w:rsidP="009D772F">
      <w:pPr>
        <w:pStyle w:val="ONUME"/>
      </w:pPr>
      <w:r>
        <w:t xml:space="preserve">The goal of this document </w:t>
      </w:r>
      <w:r w:rsidR="009C7E22">
        <w:t xml:space="preserve">was </w:t>
      </w:r>
      <w:r w:rsidR="00057F57">
        <w:t xml:space="preserve">to </w:t>
      </w:r>
      <w:r>
        <w:t xml:space="preserve">recognize, identify and address human bias when engaging in evaluation by using the knowledge produced by </w:t>
      </w:r>
      <w:r w:rsidR="003B4645">
        <w:t>BI</w:t>
      </w:r>
      <w:r>
        <w:t xml:space="preserve"> and </w:t>
      </w:r>
      <w:r w:rsidRPr="00123659">
        <w:t>“nudges”</w:t>
      </w:r>
      <w:r>
        <w:t xml:space="preserve"> to increase the usefulness and impact of evaluations. </w:t>
      </w:r>
    </w:p>
    <w:p w14:paraId="779C1A01" w14:textId="798BEBD3" w:rsidR="002327F8" w:rsidRDefault="00446ABF" w:rsidP="002327F8">
      <w:pPr>
        <w:pStyle w:val="ONUME"/>
        <w:rPr>
          <w:bCs/>
          <w:iCs/>
          <w:caps/>
        </w:rPr>
      </w:pPr>
      <w:r>
        <w:t xml:space="preserve">The practical use of this handbook for the </w:t>
      </w:r>
      <w:r w:rsidR="003B4645">
        <w:t>E</w:t>
      </w:r>
      <w:r>
        <w:t xml:space="preserve">valuation </w:t>
      </w:r>
      <w:r w:rsidR="003B4645">
        <w:t>S</w:t>
      </w:r>
      <w:r>
        <w:t xml:space="preserve">ection is that it will reduce biases of stakeholders involved during the evaluation process (design, data collection and reporting). </w:t>
      </w:r>
      <w:r w:rsidR="002327F8">
        <w:t xml:space="preserve"> </w:t>
      </w:r>
      <w:r>
        <w:t>Moreover, the implications for the evaluation are an increase in quality of the process and the products coming from evaluations as well as usefulness of the recommendations;</w:t>
      </w:r>
      <w:r w:rsidR="002327F8">
        <w:t xml:space="preserve"> </w:t>
      </w:r>
      <w:r>
        <w:t xml:space="preserve">including higher implementation rates for recommendations and more impactful improvement actions across the </w:t>
      </w:r>
      <w:r w:rsidR="003B4645">
        <w:t>O</w:t>
      </w:r>
      <w:r>
        <w:t xml:space="preserve">rganization. </w:t>
      </w:r>
    </w:p>
    <w:p w14:paraId="23B0364A" w14:textId="1A11807C" w:rsidR="00B70223" w:rsidRPr="00C4224C" w:rsidRDefault="00C4224C" w:rsidP="00315F3C">
      <w:pPr>
        <w:pStyle w:val="Heading2"/>
        <w:rPr>
          <w:lang w:eastAsia="en-US"/>
        </w:rPr>
      </w:pPr>
      <w:r w:rsidRPr="00EF4A05">
        <w:rPr>
          <w:rFonts w:eastAsia="Times New Roman"/>
          <w:szCs w:val="22"/>
          <w:lang w:eastAsia="en-US"/>
        </w:rPr>
        <w:t>Advisory Engagement on National IP Strategy</w:t>
      </w:r>
      <w:r w:rsidR="001E6CF4">
        <w:rPr>
          <w:rFonts w:eastAsia="Times New Roman"/>
          <w:szCs w:val="22"/>
          <w:lang w:eastAsia="en-US"/>
        </w:rPr>
        <w:t xml:space="preserve"> (NIPS)</w:t>
      </w:r>
      <w:r w:rsidRPr="00EF4A05">
        <w:rPr>
          <w:rFonts w:eastAsia="Times New Roman"/>
          <w:szCs w:val="22"/>
          <w:lang w:eastAsia="en-US"/>
        </w:rPr>
        <w:t xml:space="preserve"> Self-Evaluations</w:t>
      </w:r>
    </w:p>
    <w:p w14:paraId="3A1F8595" w14:textId="34FC9B53" w:rsidR="009D772F" w:rsidRPr="002060B3" w:rsidRDefault="009D772F" w:rsidP="009D772F">
      <w:pPr>
        <w:pStyle w:val="ONUME"/>
      </w:pPr>
      <w:r w:rsidRPr="002060B3">
        <w:t xml:space="preserve">The objective of this assignment </w:t>
      </w:r>
      <w:r>
        <w:t>was</w:t>
      </w:r>
      <w:r w:rsidRPr="002060B3">
        <w:t xml:space="preserve"> to update </w:t>
      </w:r>
      <w:r w:rsidRPr="00123659">
        <w:t>Tool 3:</w:t>
      </w:r>
      <w:r w:rsidRPr="002060B3">
        <w:t xml:space="preserve">  “Benchmarking indicators” of the Methodology for the Development of </w:t>
      </w:r>
      <w:r w:rsidR="003B4645">
        <w:t>NIPS</w:t>
      </w:r>
      <w:r w:rsidRPr="002060B3">
        <w:t>.</w:t>
      </w:r>
      <w:r>
        <w:t xml:space="preserve"> </w:t>
      </w:r>
      <w:r w:rsidRPr="002060B3">
        <w:t xml:space="preserve"> </w:t>
      </w:r>
      <w:r w:rsidRPr="008A7BE9">
        <w:t>The objective of th</w:t>
      </w:r>
      <w:r w:rsidR="009C7E22">
        <w:t>e</w:t>
      </w:r>
      <w:r w:rsidR="005C3E37">
        <w:t xml:space="preserve"> </w:t>
      </w:r>
      <w:r w:rsidR="00801412" w:rsidRPr="002060B3">
        <w:t>assignment</w:t>
      </w:r>
      <w:r w:rsidR="0003292A">
        <w:t xml:space="preserve"> </w:t>
      </w:r>
      <w:r w:rsidR="009C7E22">
        <w:t>was</w:t>
      </w:r>
      <w:r w:rsidR="009C7E22" w:rsidRPr="008A7BE9">
        <w:t xml:space="preserve"> </w:t>
      </w:r>
      <w:r w:rsidRPr="008A7BE9">
        <w:t>to p</w:t>
      </w:r>
      <w:r>
        <w:t>rovide support and guidance to M</w:t>
      </w:r>
      <w:r w:rsidRPr="008A7BE9">
        <w:t xml:space="preserve">ember </w:t>
      </w:r>
      <w:r>
        <w:t>S</w:t>
      </w:r>
      <w:r w:rsidRPr="008A7BE9">
        <w:t xml:space="preserve">tates who are interested in developing and implementing a </w:t>
      </w:r>
      <w:r w:rsidR="003B4645">
        <w:t>NIPS</w:t>
      </w:r>
      <w:r w:rsidRPr="008A7BE9">
        <w:t xml:space="preserve">. </w:t>
      </w:r>
      <w:r>
        <w:t xml:space="preserve"> </w:t>
      </w:r>
    </w:p>
    <w:p w14:paraId="665470A8" w14:textId="0FC035EE" w:rsidR="009D772F" w:rsidRDefault="009D772F" w:rsidP="009D772F">
      <w:pPr>
        <w:pStyle w:val="ONUME"/>
      </w:pPr>
      <w:r w:rsidRPr="008A7BE9">
        <w:t>This</w:t>
      </w:r>
      <w:r w:rsidR="00801412">
        <w:t xml:space="preserve"> </w:t>
      </w:r>
      <w:r w:rsidR="00801412" w:rsidRPr="002060B3">
        <w:t>assignment</w:t>
      </w:r>
      <w:r w:rsidRPr="008A7BE9">
        <w:t xml:space="preserve"> supplement</w:t>
      </w:r>
      <w:r w:rsidR="003B4645">
        <w:t>s</w:t>
      </w:r>
      <w:r>
        <w:t xml:space="preserve"> and</w:t>
      </w:r>
      <w:r w:rsidRPr="008A7BE9">
        <w:t xml:space="preserve"> follows the structure of the</w:t>
      </w:r>
      <w:r w:rsidR="00D04C9C">
        <w:t xml:space="preserve"> </w:t>
      </w:r>
      <w:r w:rsidR="004E517A">
        <w:t>“</w:t>
      </w:r>
      <w:r w:rsidR="00D04C9C">
        <w:t>Methodology for the Development of National IP Strategies</w:t>
      </w:r>
      <w:r w:rsidR="004E517A">
        <w:t>”</w:t>
      </w:r>
      <w:r w:rsidRPr="008A7BE9">
        <w:t xml:space="preserve"> and elaborates on the key elements and issues that should be considered in </w:t>
      </w:r>
      <w:r w:rsidR="004E517A">
        <w:t xml:space="preserve">the </w:t>
      </w:r>
      <w:r w:rsidRPr="008A7BE9">
        <w:t>implementation and monitoring of national IP plans and strategies.</w:t>
      </w:r>
      <w:r>
        <w:t xml:space="preserve"> </w:t>
      </w:r>
      <w:r w:rsidRPr="008A7BE9">
        <w:t xml:space="preserve"> Clarifications, explanations and examples provided in this</w:t>
      </w:r>
      <w:r w:rsidR="00801412">
        <w:t xml:space="preserve"> supplementary document</w:t>
      </w:r>
      <w:r w:rsidRPr="008A7BE9">
        <w:t xml:space="preserve"> aim at assisting national project teams in their understanding of the options available </w:t>
      </w:r>
      <w:r w:rsidRPr="00D04C9C">
        <w:t xml:space="preserve">when setting objectives already from the early stages of development of the </w:t>
      </w:r>
      <w:r w:rsidRPr="00123659">
        <w:t>strategy</w:t>
      </w:r>
      <w:r w:rsidR="00123659">
        <w:t>,</w:t>
      </w:r>
      <w:r w:rsidRPr="00123659">
        <w:t xml:space="preserve"> </w:t>
      </w:r>
      <w:r w:rsidR="00123659">
        <w:t xml:space="preserve">through </w:t>
      </w:r>
      <w:r w:rsidRPr="00123659">
        <w:t xml:space="preserve">to </w:t>
      </w:r>
      <w:r w:rsidR="00123659">
        <w:t xml:space="preserve">the </w:t>
      </w:r>
      <w:r w:rsidRPr="00123659">
        <w:t>implementation</w:t>
      </w:r>
      <w:r w:rsidRPr="00D04C9C">
        <w:t xml:space="preserve"> and monitoring phases.</w:t>
      </w:r>
    </w:p>
    <w:p w14:paraId="5072BA77" w14:textId="54030435" w:rsidR="009D772F" w:rsidRDefault="009D772F" w:rsidP="00801412">
      <w:pPr>
        <w:pStyle w:val="ONUME"/>
      </w:pPr>
      <w:r>
        <w:t xml:space="preserve">The </w:t>
      </w:r>
      <w:r w:rsidR="00801412" w:rsidRPr="00801412">
        <w:t xml:space="preserve">supplementary document </w:t>
      </w:r>
      <w:r>
        <w:t xml:space="preserve">is divided into </w:t>
      </w:r>
      <w:r w:rsidR="000C4041">
        <w:t xml:space="preserve">two </w:t>
      </w:r>
      <w:r>
        <w:t xml:space="preserve">parts: </w:t>
      </w:r>
    </w:p>
    <w:p w14:paraId="5C685479" w14:textId="3596375A" w:rsidR="009D772F" w:rsidRDefault="009D772F" w:rsidP="009D772F">
      <w:pPr>
        <w:pStyle w:val="ONUME"/>
        <w:numPr>
          <w:ilvl w:val="1"/>
          <w:numId w:val="2"/>
        </w:numPr>
      </w:pPr>
      <w:r>
        <w:t>Part I:  provides guidance on the operational aspects of monitoring and self</w:t>
      </w:r>
      <w:r w:rsidR="00B17783">
        <w:noBreakHyphen/>
      </w:r>
      <w:r>
        <w:t>evaluation, with a focus on indicators.  It introduces key conceptual elements, including what constitutes a monitoring and</w:t>
      </w:r>
      <w:r w:rsidR="003B4645">
        <w:t xml:space="preserve"> a</w:t>
      </w:r>
      <w:r>
        <w:t xml:space="preserve"> self-evaluation system, what the requirements for good indicators and benchmarks</w:t>
      </w:r>
      <w:r w:rsidR="003B4645">
        <w:t xml:space="preserve"> are,</w:t>
      </w:r>
      <w:r>
        <w:t xml:space="preserve"> as well as how to design an approach to systematically identify, classify and sort relevant indicators; </w:t>
      </w:r>
      <w:r w:rsidR="00423823">
        <w:t xml:space="preserve"> and</w:t>
      </w:r>
    </w:p>
    <w:p w14:paraId="297D9FB8" w14:textId="32F90D58" w:rsidR="009D772F" w:rsidRDefault="009D772F" w:rsidP="009D772F">
      <w:pPr>
        <w:pStyle w:val="ONUME"/>
        <w:numPr>
          <w:ilvl w:val="1"/>
          <w:numId w:val="2"/>
        </w:numPr>
      </w:pPr>
      <w:r>
        <w:t>Part II:  elaborates on general concepts and applies them throughout the phases of the lifecycle</w:t>
      </w:r>
      <w:r w:rsidR="00423823">
        <w:t xml:space="preserve"> of a </w:t>
      </w:r>
      <w:r w:rsidR="003B4645">
        <w:t>NIPS</w:t>
      </w:r>
      <w:r w:rsidR="00423823">
        <w:t>.</w:t>
      </w:r>
    </w:p>
    <w:p w14:paraId="303D1BFF" w14:textId="2CD51C32" w:rsidR="00423823" w:rsidRDefault="009D772F" w:rsidP="00C871E5">
      <w:pPr>
        <w:pStyle w:val="ONUME"/>
      </w:pPr>
      <w:r>
        <w:t xml:space="preserve">During the advisory </w:t>
      </w:r>
      <w:r w:rsidR="00BB21C8">
        <w:t xml:space="preserve">engagement, </w:t>
      </w:r>
      <w:r>
        <w:t xml:space="preserve">the </w:t>
      </w:r>
      <w:r w:rsidR="003B4645">
        <w:t>E</w:t>
      </w:r>
      <w:r>
        <w:t xml:space="preserve">valuation </w:t>
      </w:r>
      <w:r w:rsidR="003B4645">
        <w:t>S</w:t>
      </w:r>
      <w:r>
        <w:t xml:space="preserve">ection provided input </w:t>
      </w:r>
      <w:r w:rsidR="00BB21C8">
        <w:t>on</w:t>
      </w:r>
      <w:r>
        <w:t xml:space="preserve"> the design of the terms of reference for the consultancy, participated in </w:t>
      </w:r>
      <w:r w:rsidR="00BB21C8">
        <w:t xml:space="preserve">the </w:t>
      </w:r>
      <w:r>
        <w:t xml:space="preserve">panel to select the consultant, </w:t>
      </w:r>
      <w:r w:rsidR="00BB21C8">
        <w:t xml:space="preserve">and </w:t>
      </w:r>
      <w:r>
        <w:t>provided a list of literature review and reference documents to produce part one</w:t>
      </w:r>
      <w:r w:rsidR="009C7E22">
        <w:t xml:space="preserve"> and</w:t>
      </w:r>
      <w:r w:rsidR="00AB0BEF">
        <w:t xml:space="preserve"> part</w:t>
      </w:r>
      <w:r w:rsidR="009C7E22">
        <w:t xml:space="preserve"> </w:t>
      </w:r>
      <w:r>
        <w:t xml:space="preserve">two of the document. </w:t>
      </w:r>
    </w:p>
    <w:p w14:paraId="139990F7" w14:textId="4106DBDF" w:rsidR="005925C7" w:rsidRPr="004F5E6B" w:rsidRDefault="005925C7" w:rsidP="00423823">
      <w:pPr>
        <w:pStyle w:val="Heading2"/>
        <w:rPr>
          <w:lang w:eastAsia="en-US"/>
        </w:rPr>
      </w:pPr>
      <w:r w:rsidRPr="004F5E6B">
        <w:rPr>
          <w:lang w:eastAsia="en-US"/>
        </w:rPr>
        <w:t>Management Implication Report (MIR)</w:t>
      </w:r>
      <w:r w:rsidR="00C4224C" w:rsidRPr="004F5E6B">
        <w:rPr>
          <w:rFonts w:eastAsia="Times New Roman"/>
          <w:szCs w:val="22"/>
          <w:lang w:eastAsia="en-US"/>
        </w:rPr>
        <w:t xml:space="preserve"> on Personal data and privacy issues concerning WIPO e-mails to external users</w:t>
      </w:r>
    </w:p>
    <w:p w14:paraId="055B1B71" w14:textId="77777777" w:rsidR="00C965B7" w:rsidRPr="004F5E6B" w:rsidRDefault="00C965B7" w:rsidP="005E1266">
      <w:pPr>
        <w:pStyle w:val="ONUME"/>
        <w:rPr>
          <w:lang w:eastAsia="en-US"/>
        </w:rPr>
      </w:pPr>
      <w:r w:rsidRPr="004F5E6B">
        <w:rPr>
          <w:lang w:eastAsia="fr-CH"/>
        </w:rPr>
        <w:t xml:space="preserve">IOD found some areas for improvement in relation to efficiency and integrity of personal data and privacy concerns </w:t>
      </w:r>
      <w:r w:rsidRPr="004F5E6B">
        <w:rPr>
          <w:rFonts w:ascii="CIDFont+F1" w:eastAsia="Times New Roman" w:hAnsi="CIDFont+F1" w:cs="CIDFont+F1"/>
          <w:sz w:val="21"/>
          <w:szCs w:val="21"/>
          <w:lang w:eastAsia="fr-CH"/>
        </w:rPr>
        <w:t>related to WIPO’s mass e-mail communications to external users.</w:t>
      </w:r>
    </w:p>
    <w:p w14:paraId="13386B03" w14:textId="77777777" w:rsidR="005925C7" w:rsidRPr="004F5E6B" w:rsidRDefault="00C01E21" w:rsidP="00C965B7">
      <w:pPr>
        <w:pStyle w:val="Heading2"/>
        <w:rPr>
          <w:lang w:eastAsia="en-US"/>
        </w:rPr>
      </w:pPr>
      <w:r w:rsidRPr="004F5E6B">
        <w:rPr>
          <w:lang w:eastAsia="en-US"/>
        </w:rPr>
        <w:lastRenderedPageBreak/>
        <w:t>Management Implication Report (MIR)</w:t>
      </w:r>
      <w:r w:rsidR="00C4224C" w:rsidRPr="004F5E6B">
        <w:rPr>
          <w:lang w:eastAsia="en-US"/>
        </w:rPr>
        <w:t xml:space="preserve"> on Information contained in the Patentscope website</w:t>
      </w:r>
    </w:p>
    <w:p w14:paraId="766E04F7" w14:textId="0C170BF9" w:rsidR="005925C7" w:rsidRPr="004F5E6B" w:rsidRDefault="00C965B7" w:rsidP="00C965B7">
      <w:pPr>
        <w:pStyle w:val="ONUME"/>
        <w:rPr>
          <w:lang w:eastAsia="fr-CH"/>
        </w:rPr>
      </w:pPr>
      <w:r w:rsidRPr="004F5E6B">
        <w:rPr>
          <w:lang w:eastAsia="fr-CH"/>
        </w:rPr>
        <w:t xml:space="preserve">IOD identified </w:t>
      </w:r>
      <w:r w:rsidR="003124BB" w:rsidRPr="004F5E6B">
        <w:rPr>
          <w:lang w:eastAsia="fr-CH"/>
        </w:rPr>
        <w:t>an opportunity</w:t>
      </w:r>
      <w:r w:rsidR="00A9506F" w:rsidRPr="004F5E6B">
        <w:rPr>
          <w:lang w:eastAsia="fr-CH"/>
        </w:rPr>
        <w:t xml:space="preserve"> for improvement </w:t>
      </w:r>
      <w:r w:rsidRPr="004F5E6B">
        <w:rPr>
          <w:lang w:eastAsia="fr-CH"/>
        </w:rPr>
        <w:t xml:space="preserve">related to </w:t>
      </w:r>
      <w:r w:rsidR="003124BB" w:rsidRPr="004F5E6B">
        <w:rPr>
          <w:lang w:eastAsia="fr-CH"/>
        </w:rPr>
        <w:t>the terminology used</w:t>
      </w:r>
      <w:r w:rsidRPr="004F5E6B">
        <w:rPr>
          <w:lang w:eastAsia="fr-CH"/>
        </w:rPr>
        <w:t xml:space="preserve"> in the </w:t>
      </w:r>
      <w:r w:rsidR="00B20633" w:rsidRPr="004F5E6B">
        <w:rPr>
          <w:lang w:eastAsia="fr-CH"/>
        </w:rPr>
        <w:t>PATENTSCOPE</w:t>
      </w:r>
      <w:r w:rsidRPr="004F5E6B">
        <w:rPr>
          <w:lang w:eastAsia="fr-CH"/>
        </w:rPr>
        <w:t xml:space="preserve"> Website.</w:t>
      </w:r>
    </w:p>
    <w:p w14:paraId="75C15E61" w14:textId="1AA5826D" w:rsidR="00882193" w:rsidRPr="002327F8" w:rsidRDefault="00882193" w:rsidP="00315F3C">
      <w:pPr>
        <w:pStyle w:val="Heading1"/>
      </w:pPr>
      <w:bookmarkStart w:id="35" w:name="_Toc100660227"/>
      <w:r w:rsidRPr="00315F3C">
        <w:t>ENGAGEMENTS STARTED END 202</w:t>
      </w:r>
      <w:r w:rsidR="00C4224C">
        <w:t>1</w:t>
      </w:r>
      <w:bookmarkEnd w:id="35"/>
      <w:r w:rsidRPr="00315F3C">
        <w:t xml:space="preserve"> </w:t>
      </w:r>
    </w:p>
    <w:p w14:paraId="164EA9C0" w14:textId="71B3DD29" w:rsidR="00055464" w:rsidRPr="00315F3C" w:rsidRDefault="00055464" w:rsidP="00A64E8D">
      <w:pPr>
        <w:pStyle w:val="ONUME"/>
        <w:rPr>
          <w:caps/>
          <w:lang w:eastAsia="en-US"/>
        </w:rPr>
      </w:pPr>
      <w:r>
        <w:rPr>
          <w:lang w:eastAsia="en-US"/>
        </w:rPr>
        <w:t xml:space="preserve">The following </w:t>
      </w:r>
      <w:r w:rsidR="00C4224C">
        <w:rPr>
          <w:lang w:eastAsia="en-US"/>
        </w:rPr>
        <w:t>engagements were started in 2021</w:t>
      </w:r>
      <w:r>
        <w:rPr>
          <w:lang w:eastAsia="en-US"/>
        </w:rPr>
        <w:t>,</w:t>
      </w:r>
      <w:r w:rsidR="00AB0BEF">
        <w:rPr>
          <w:lang w:eastAsia="en-US"/>
        </w:rPr>
        <w:t xml:space="preserve"> and are</w:t>
      </w:r>
      <w:r>
        <w:rPr>
          <w:lang w:eastAsia="en-US"/>
        </w:rPr>
        <w:t xml:space="preserve"> to be reported </w:t>
      </w:r>
      <w:r w:rsidR="005925C7">
        <w:rPr>
          <w:lang w:eastAsia="en-US"/>
        </w:rPr>
        <w:t>during the course of 202</w:t>
      </w:r>
      <w:r w:rsidR="00C4224C">
        <w:rPr>
          <w:lang w:eastAsia="en-US"/>
        </w:rPr>
        <w:t>2</w:t>
      </w:r>
      <w:r>
        <w:rPr>
          <w:lang w:eastAsia="en-US"/>
        </w:rPr>
        <w:t>.</w:t>
      </w:r>
    </w:p>
    <w:p w14:paraId="62D2DDA0" w14:textId="77777777" w:rsidR="00775974" w:rsidRPr="00882193" w:rsidRDefault="00C4224C" w:rsidP="002327F8">
      <w:pPr>
        <w:pStyle w:val="Heading2"/>
        <w:rPr>
          <w:lang w:eastAsia="en-US"/>
        </w:rPr>
      </w:pPr>
      <w:r>
        <w:rPr>
          <w:lang w:eastAsia="en-US"/>
        </w:rPr>
        <w:t xml:space="preserve">Audit of the Hague Platform </w:t>
      </w:r>
      <w:r w:rsidRPr="002327F8">
        <w:t>Project</w:t>
      </w:r>
    </w:p>
    <w:p w14:paraId="4E8D29C7" w14:textId="4EF0E21E" w:rsidR="00C965B7" w:rsidRPr="002060B3" w:rsidRDefault="001A7272" w:rsidP="00C965B7">
      <w:pPr>
        <w:pStyle w:val="ONUME"/>
        <w:rPr>
          <w:b/>
        </w:rPr>
      </w:pPr>
      <w:bookmarkStart w:id="36" w:name="_Toc39071249"/>
      <w:bookmarkStart w:id="37" w:name="_Toc328920437"/>
      <w:bookmarkEnd w:id="34"/>
      <w:r>
        <w:t>T</w:t>
      </w:r>
      <w:r w:rsidR="00C965B7" w:rsidRPr="002060B3">
        <w:t>he</w:t>
      </w:r>
      <w:r w:rsidR="00C965B7">
        <w:t xml:space="preserve"> </w:t>
      </w:r>
      <w:r w:rsidR="00C965B7" w:rsidRPr="002060B3">
        <w:t xml:space="preserve">Hague Platform Project was initiated to align with the evolving business and strategy of the Hague Registry, by developing a customer-focused modern global IP platform that is specifically developed for, and focused on, </w:t>
      </w:r>
      <w:r w:rsidR="0033685D">
        <w:t>t</w:t>
      </w:r>
      <w:r w:rsidR="0033685D" w:rsidRPr="002060B3">
        <w:t>he</w:t>
      </w:r>
      <w:r w:rsidR="0003292A">
        <w:t xml:space="preserve"> Hague System’s</w:t>
      </w:r>
      <w:r w:rsidR="00C965B7" w:rsidRPr="002060B3">
        <w:t xml:space="preserve"> specific requirements.  This included</w:t>
      </w:r>
      <w:r w:rsidR="005F7359">
        <w:t>,</w:t>
      </w:r>
      <w:r w:rsidR="00C965B7" w:rsidRPr="002060B3">
        <w:t xml:space="preserve"> </w:t>
      </w:r>
      <w:r w:rsidR="00C965B7" w:rsidRPr="006500ED">
        <w:t>among other</w:t>
      </w:r>
      <w:r w:rsidR="00BB21C8" w:rsidRPr="006500ED">
        <w:t xml:space="preserve"> things</w:t>
      </w:r>
      <w:r w:rsidR="00C965B7" w:rsidRPr="006500ED">
        <w:t>,</w:t>
      </w:r>
      <w:r w:rsidR="00C965B7" w:rsidRPr="002060B3">
        <w:t xml:space="preserve"> stable, reliable, maintainable, resilient, scalable, secure, multilingual, responsive and accessible applications and systems to meet the needs of both its core internal and diverse (and widening) external customer bases.  The aim of the Hague Platform Project was therefore to implement a business-needs driven IT system.</w:t>
      </w:r>
      <w:r w:rsidR="00423823">
        <w:t xml:space="preserve"> </w:t>
      </w:r>
      <w:r w:rsidR="00C965B7" w:rsidRPr="002060B3">
        <w:t xml:space="preserve"> </w:t>
      </w:r>
      <w:r w:rsidR="006905B2">
        <w:t xml:space="preserve">The objectives of the </w:t>
      </w:r>
      <w:r w:rsidR="006905B2" w:rsidRPr="009A1B3C">
        <w:t xml:space="preserve">audit </w:t>
      </w:r>
      <w:r w:rsidR="004C6FCB">
        <w:t>were</w:t>
      </w:r>
      <w:r w:rsidR="006905B2" w:rsidRPr="009A1B3C">
        <w:t xml:space="preserve"> to:</w:t>
      </w:r>
      <w:r w:rsidR="006905B2">
        <w:t xml:space="preserve"> </w:t>
      </w:r>
    </w:p>
    <w:p w14:paraId="18888B4A" w14:textId="40E3B228" w:rsidR="00C965B7" w:rsidRPr="002060B3" w:rsidRDefault="00C965B7" w:rsidP="00C965B7">
      <w:pPr>
        <w:pStyle w:val="ONUME"/>
        <w:numPr>
          <w:ilvl w:val="1"/>
          <w:numId w:val="2"/>
        </w:numPr>
      </w:pPr>
      <w:r w:rsidRPr="002060B3">
        <w:t xml:space="preserve">Review the Hague Platform Project implementation, </w:t>
      </w:r>
      <w:r w:rsidRPr="009A1B3C">
        <w:t>to assess effective</w:t>
      </w:r>
      <w:r w:rsidR="009A1B3C" w:rsidRPr="009A1B3C">
        <w:t>ness</w:t>
      </w:r>
      <w:r w:rsidRPr="009A1B3C">
        <w:t xml:space="preserve"> and efficien</w:t>
      </w:r>
      <w:r w:rsidR="009A1B3C" w:rsidRPr="009A1B3C">
        <w:t>cy of</w:t>
      </w:r>
      <w:r w:rsidRPr="009A1B3C">
        <w:t xml:space="preserve"> project governance and management including </w:t>
      </w:r>
      <w:r w:rsidR="00BB21C8">
        <w:t xml:space="preserve">an </w:t>
      </w:r>
      <w:r w:rsidRPr="009A1B3C">
        <w:t>assessment of whether the objectives/expected benefits set out in the project documents</w:t>
      </w:r>
      <w:r w:rsidRPr="002060B3">
        <w:t xml:space="preserve"> have been achieved efficiently, </w:t>
      </w:r>
      <w:r w:rsidRPr="00123659">
        <w:t xml:space="preserve">including </w:t>
      </w:r>
      <w:r w:rsidR="00123659">
        <w:t xml:space="preserve">with respect to </w:t>
      </w:r>
      <w:r w:rsidRPr="00123659">
        <w:t>resources and time considerations</w:t>
      </w:r>
      <w:r w:rsidRPr="002060B3">
        <w:t>;</w:t>
      </w:r>
    </w:p>
    <w:p w14:paraId="4954611C" w14:textId="77777777" w:rsidR="00C965B7" w:rsidRPr="002060B3" w:rsidRDefault="00C965B7" w:rsidP="00C965B7">
      <w:pPr>
        <w:pStyle w:val="ONUME"/>
        <w:numPr>
          <w:ilvl w:val="1"/>
          <w:numId w:val="2"/>
        </w:numPr>
      </w:pPr>
      <w:r w:rsidRPr="002060B3">
        <w:t>Verify compliance with Organization’s tailored PRINCE2</w:t>
      </w:r>
      <w:r w:rsidRPr="002060B3">
        <w:rPr>
          <w:vertAlign w:val="superscript"/>
        </w:rPr>
        <w:t>®</w:t>
      </w:r>
      <w:r w:rsidRPr="002060B3">
        <w:t xml:space="preserve"> project management principles and practices, and WIPO regulations, rules and operating practices where applicable; </w:t>
      </w:r>
    </w:p>
    <w:p w14:paraId="451E5719" w14:textId="77777777" w:rsidR="00C965B7" w:rsidRPr="002060B3" w:rsidRDefault="00C965B7" w:rsidP="00C965B7">
      <w:pPr>
        <w:pStyle w:val="ONUME"/>
        <w:numPr>
          <w:ilvl w:val="1"/>
          <w:numId w:val="2"/>
        </w:numPr>
      </w:pPr>
      <w:r w:rsidRPr="002060B3">
        <w:t xml:space="preserve">Determine the degree of compliance of the solution architecture and technical operational state with WIPO enterprise requirements; </w:t>
      </w:r>
    </w:p>
    <w:p w14:paraId="38003173" w14:textId="77777777" w:rsidR="00C965B7" w:rsidRPr="002060B3" w:rsidRDefault="00C965B7" w:rsidP="00C965B7">
      <w:pPr>
        <w:pStyle w:val="ONUME"/>
        <w:numPr>
          <w:ilvl w:val="1"/>
          <w:numId w:val="2"/>
        </w:numPr>
      </w:pPr>
      <w:r w:rsidRPr="002060B3">
        <w:t>Assess whether platform design and technology choices are fit-for-purpose, and can cater for the evolving needs of the Hague Registry in a sustainable manner;</w:t>
      </w:r>
    </w:p>
    <w:p w14:paraId="7A75DAAC" w14:textId="354309E0" w:rsidR="00C965B7" w:rsidRPr="002060B3" w:rsidRDefault="00C965B7" w:rsidP="00C965B7">
      <w:pPr>
        <w:pStyle w:val="ONUME"/>
        <w:numPr>
          <w:ilvl w:val="1"/>
          <w:numId w:val="2"/>
        </w:numPr>
      </w:pPr>
      <w:r w:rsidRPr="002060B3">
        <w:t>Verify whether there are lessons learned from the project that could benefit subsequent projects such as the Hague Externalization Project, and other WIPO projects;  and</w:t>
      </w:r>
    </w:p>
    <w:p w14:paraId="1652E6C8" w14:textId="77777777" w:rsidR="00C965B7" w:rsidRPr="002060B3" w:rsidRDefault="00C965B7" w:rsidP="00C965B7">
      <w:pPr>
        <w:pStyle w:val="ONUME"/>
        <w:numPr>
          <w:ilvl w:val="1"/>
          <w:numId w:val="2"/>
        </w:numPr>
      </w:pPr>
      <w:r w:rsidRPr="002060B3">
        <w:t>Verify whether the Hague Information Systems Division h</w:t>
      </w:r>
      <w:r>
        <w:t>as adequate resources and skill</w:t>
      </w:r>
      <w:r>
        <w:noBreakHyphen/>
      </w:r>
      <w:r w:rsidRPr="002060B3">
        <w:t>sets to sustainably and effectively operate and manage the platform going forward.</w:t>
      </w:r>
    </w:p>
    <w:p w14:paraId="056C4886" w14:textId="1485124D" w:rsidR="00C965B7" w:rsidRDefault="00C965B7" w:rsidP="00C965B7">
      <w:pPr>
        <w:pStyle w:val="ONUME"/>
      </w:pPr>
      <w:r w:rsidRPr="002060B3">
        <w:t xml:space="preserve">The audit </w:t>
      </w:r>
      <w:r w:rsidR="006905B2">
        <w:t xml:space="preserve">scope </w:t>
      </w:r>
      <w:r w:rsidR="006905B2" w:rsidRPr="009A1B3C">
        <w:t>cover</w:t>
      </w:r>
      <w:r w:rsidR="004C6FCB">
        <w:t>ed</w:t>
      </w:r>
      <w:r w:rsidR="006905B2">
        <w:t xml:space="preserve"> the whole lifecycle</w:t>
      </w:r>
      <w:r w:rsidR="00BB21C8">
        <w:t xml:space="preserve"> of the project</w:t>
      </w:r>
      <w:r w:rsidR="006905B2">
        <w:t>, post implementation and realized benefits</w:t>
      </w:r>
      <w:r w:rsidR="00CA41A8">
        <w:t xml:space="preserve">. </w:t>
      </w:r>
      <w:r w:rsidR="00423823">
        <w:t xml:space="preserve"> </w:t>
      </w:r>
      <w:r w:rsidR="00CA41A8">
        <w:t xml:space="preserve">The audit </w:t>
      </w:r>
      <w:r w:rsidRPr="002060B3">
        <w:t>is being conducted with the support of external consultants specialized in reviewing the design an</w:t>
      </w:r>
      <w:r>
        <w:t>d development of IT platforms.</w:t>
      </w:r>
    </w:p>
    <w:p w14:paraId="2626E332" w14:textId="77777777" w:rsidR="006905B2" w:rsidRPr="0003292A" w:rsidRDefault="006905B2" w:rsidP="006905B2">
      <w:pPr>
        <w:pStyle w:val="Heading2"/>
        <w:rPr>
          <w:rFonts w:eastAsia="Times New Roman"/>
          <w:color w:val="000000"/>
          <w:szCs w:val="22"/>
          <w:lang w:eastAsia="en-US"/>
        </w:rPr>
      </w:pPr>
      <w:r w:rsidRPr="0003292A">
        <w:rPr>
          <w:rFonts w:eastAsia="Times New Roman"/>
          <w:color w:val="000000"/>
          <w:szCs w:val="22"/>
          <w:lang w:eastAsia="en-US"/>
        </w:rPr>
        <w:t xml:space="preserve">Audit of Enterprise Risk Management (ERM) </w:t>
      </w:r>
    </w:p>
    <w:p w14:paraId="3CE6B694" w14:textId="047C0928" w:rsidR="001D59E1" w:rsidRPr="000A0B7A" w:rsidRDefault="001D59E1" w:rsidP="001D59E1">
      <w:pPr>
        <w:pStyle w:val="ONUME"/>
        <w:rPr>
          <w:lang w:val="en"/>
        </w:rPr>
      </w:pPr>
      <w:r w:rsidRPr="0035185D">
        <w:rPr>
          <w:lang w:val="en"/>
        </w:rPr>
        <w:t>WIPO</w:t>
      </w:r>
      <w:r w:rsidR="0003292A">
        <w:rPr>
          <w:lang w:val="en"/>
        </w:rPr>
        <w:t>’s</w:t>
      </w:r>
      <w:r w:rsidRPr="0035185D">
        <w:rPr>
          <w:lang w:val="en"/>
        </w:rPr>
        <w:t xml:space="preserve"> Risk Management Framework</w:t>
      </w:r>
      <w:r w:rsidRPr="001F5174">
        <w:rPr>
          <w:lang w:val="en"/>
        </w:rPr>
        <w:t xml:space="preserve"> is guided by the risk appetite noted by </w:t>
      </w:r>
      <w:r w:rsidR="0035185D">
        <w:rPr>
          <w:lang w:val="en"/>
        </w:rPr>
        <w:t xml:space="preserve">the </w:t>
      </w:r>
      <w:r w:rsidRPr="001F5174">
        <w:rPr>
          <w:lang w:val="en"/>
        </w:rPr>
        <w:t xml:space="preserve">Member States in the </w:t>
      </w:r>
      <w:r w:rsidRPr="00DA4996">
        <w:rPr>
          <w:lang w:val="en"/>
        </w:rPr>
        <w:t>WIPO Risk Appetite Statement</w:t>
      </w:r>
      <w:r w:rsidRPr="001F5174">
        <w:rPr>
          <w:vertAlign w:val="superscript"/>
          <w:lang w:val="en"/>
        </w:rPr>
        <w:footnoteReference w:id="8"/>
      </w:r>
      <w:r w:rsidRPr="00DA4996">
        <w:rPr>
          <w:lang w:val="en"/>
        </w:rPr>
        <w:t xml:space="preserve"> initially issued</w:t>
      </w:r>
      <w:r>
        <w:rPr>
          <w:lang w:val="en"/>
        </w:rPr>
        <w:t xml:space="preserve"> in 2014, and subsequently updated in 2019</w:t>
      </w:r>
      <w:r w:rsidRPr="001F5174">
        <w:rPr>
          <w:lang w:val="en"/>
        </w:rPr>
        <w:t>.</w:t>
      </w:r>
      <w:r>
        <w:rPr>
          <w:lang w:val="en"/>
        </w:rPr>
        <w:t xml:space="preserve"> </w:t>
      </w:r>
      <w:r w:rsidR="00423823">
        <w:rPr>
          <w:lang w:val="en"/>
        </w:rPr>
        <w:t xml:space="preserve"> </w:t>
      </w:r>
      <w:r w:rsidRPr="001D59E1">
        <w:rPr>
          <w:lang w:val="en"/>
        </w:rPr>
        <w:t>The WIPO Risk Management Policy</w:t>
      </w:r>
      <w:r w:rsidRPr="001F5174">
        <w:rPr>
          <w:vertAlign w:val="superscript"/>
          <w:lang w:val="en"/>
        </w:rPr>
        <w:footnoteReference w:id="9"/>
      </w:r>
      <w:r w:rsidRPr="001D59E1">
        <w:rPr>
          <w:lang w:val="en"/>
        </w:rPr>
        <w:t xml:space="preserve"> sets out WIPO’s approach to managing risks and </w:t>
      </w:r>
      <w:r w:rsidRPr="000A0B7A">
        <w:rPr>
          <w:lang w:val="en"/>
        </w:rPr>
        <w:t xml:space="preserve">Internal Controls in a consistent and business-oriented manner in order to support the achievement of its strategic goals and expected results.  As a complementary document to the </w:t>
      </w:r>
      <w:r w:rsidRPr="000A0B7A">
        <w:rPr>
          <w:lang w:val="en"/>
        </w:rPr>
        <w:lastRenderedPageBreak/>
        <w:t>Risk Management Policy, the Risk and Internal Control Manag</w:t>
      </w:r>
      <w:r w:rsidR="00423823">
        <w:rPr>
          <w:lang w:val="en"/>
        </w:rPr>
        <w:t>ement Manual covers the day</w:t>
      </w:r>
      <w:r w:rsidR="00423823">
        <w:rPr>
          <w:lang w:val="en"/>
        </w:rPr>
        <w:noBreakHyphen/>
        <w:t>to</w:t>
      </w:r>
      <w:r w:rsidR="00423823">
        <w:rPr>
          <w:lang w:val="en"/>
        </w:rPr>
        <w:noBreakHyphen/>
      </w:r>
      <w:r w:rsidRPr="000A0B7A">
        <w:rPr>
          <w:lang w:val="en"/>
        </w:rPr>
        <w:t xml:space="preserve">day operational details of managing risks and controls at WIPO.  </w:t>
      </w:r>
    </w:p>
    <w:p w14:paraId="79F71531" w14:textId="4F9C7648" w:rsidR="006905B2" w:rsidRDefault="006905B2" w:rsidP="006905B2">
      <w:pPr>
        <w:pStyle w:val="ONUME"/>
      </w:pPr>
      <w:r>
        <w:t>The objective of this audit, which is the second review of ERM</w:t>
      </w:r>
      <w:r>
        <w:rPr>
          <w:rStyle w:val="FootnoteReference"/>
        </w:rPr>
        <w:footnoteReference w:id="10"/>
      </w:r>
      <w:r>
        <w:t xml:space="preserve"> by IOD</w:t>
      </w:r>
      <w:r w:rsidRPr="009A1B3C">
        <w:t xml:space="preserve">, </w:t>
      </w:r>
      <w:r w:rsidR="004C6FCB">
        <w:t>was</w:t>
      </w:r>
      <w:r>
        <w:t>, among other</w:t>
      </w:r>
      <w:r w:rsidR="0035185D">
        <w:t xml:space="preserve"> things</w:t>
      </w:r>
      <w:r>
        <w:t xml:space="preserve">, </w:t>
      </w:r>
      <w:r w:rsidR="0035185D">
        <w:t xml:space="preserve">to </w:t>
      </w:r>
      <w:r>
        <w:t xml:space="preserve">take stock of the evolution of Risk Management at WIPO by assessing: </w:t>
      </w:r>
    </w:p>
    <w:p w14:paraId="16F4F94E" w14:textId="77777777" w:rsidR="006905B2" w:rsidRDefault="006905B2" w:rsidP="006905B2">
      <w:pPr>
        <w:pStyle w:val="ONUME"/>
        <w:numPr>
          <w:ilvl w:val="1"/>
          <w:numId w:val="2"/>
        </w:numPr>
      </w:pPr>
      <w:r>
        <w:t xml:space="preserve">The adequacy of governance surrounding ERM at WIPO; </w:t>
      </w:r>
    </w:p>
    <w:p w14:paraId="4F0CEC98" w14:textId="77777777" w:rsidR="006905B2" w:rsidRPr="00C40738" w:rsidRDefault="006905B2" w:rsidP="006905B2">
      <w:pPr>
        <w:pStyle w:val="ONUME"/>
        <w:numPr>
          <w:ilvl w:val="1"/>
          <w:numId w:val="2"/>
        </w:numPr>
      </w:pPr>
      <w:r>
        <w:t>T</w:t>
      </w:r>
      <w:r w:rsidRPr="00B41AF8">
        <w:t xml:space="preserve">he </w:t>
      </w:r>
      <w:r>
        <w:t xml:space="preserve">WIPO </w:t>
      </w:r>
      <w:r w:rsidRPr="00B41AF8">
        <w:t>ERM processes in terms of their design efficiency and operational effectiveness;</w:t>
      </w:r>
    </w:p>
    <w:p w14:paraId="3DDD5318" w14:textId="77777777" w:rsidR="006905B2" w:rsidRPr="00C40738" w:rsidRDefault="006905B2" w:rsidP="006905B2">
      <w:pPr>
        <w:pStyle w:val="ONUME"/>
        <w:numPr>
          <w:ilvl w:val="1"/>
          <w:numId w:val="2"/>
        </w:numPr>
      </w:pPr>
      <w:r>
        <w:t>W</w:t>
      </w:r>
      <w:r w:rsidRPr="00B41AF8">
        <w:t xml:space="preserve">hether the systems and tools to support the </w:t>
      </w:r>
      <w:r>
        <w:t>WIPO ERM are fit-for-purpose;  and</w:t>
      </w:r>
    </w:p>
    <w:p w14:paraId="6EC98B52" w14:textId="77777777" w:rsidR="006905B2" w:rsidRPr="00C40738" w:rsidRDefault="006905B2" w:rsidP="006905B2">
      <w:pPr>
        <w:pStyle w:val="ONUME"/>
        <w:numPr>
          <w:ilvl w:val="1"/>
          <w:numId w:val="2"/>
        </w:numPr>
      </w:pPr>
      <w:r>
        <w:t>The evolution of the risk management culture/maturity and capacities at WIPO.</w:t>
      </w:r>
    </w:p>
    <w:p w14:paraId="44F2AD31" w14:textId="0245EA1A" w:rsidR="006905B2" w:rsidRDefault="006905B2" w:rsidP="006905B2">
      <w:pPr>
        <w:pStyle w:val="ONUME"/>
      </w:pPr>
      <w:r w:rsidRPr="00B11695">
        <w:t>The engagement scope cover</w:t>
      </w:r>
      <w:r w:rsidR="004C6FCB">
        <w:t>ed</w:t>
      </w:r>
      <w:r w:rsidRPr="00B11695">
        <w:t xml:space="preserve"> the Risk Management process at WIPO</w:t>
      </w:r>
      <w:r w:rsidR="0035185D">
        <w:t>,</w:t>
      </w:r>
      <w:r w:rsidRPr="00B11695">
        <w:t xml:space="preserve"> taking in</w:t>
      </w:r>
      <w:r>
        <w:t>to consideration the previous audits</w:t>
      </w:r>
      <w:r w:rsidRPr="00B11695">
        <w:t xml:space="preserve"> conducted on related topics. </w:t>
      </w:r>
      <w:r>
        <w:t xml:space="preserve"> </w:t>
      </w:r>
    </w:p>
    <w:p w14:paraId="2CEB19ED" w14:textId="77777777" w:rsidR="006905B2" w:rsidRPr="00696048" w:rsidRDefault="006905B2" w:rsidP="006905B2">
      <w:pPr>
        <w:pStyle w:val="Heading2"/>
        <w:rPr>
          <w:rFonts w:eastAsia="Times New Roman"/>
          <w:color w:val="000000"/>
          <w:szCs w:val="22"/>
          <w:lang w:eastAsia="en-US"/>
        </w:rPr>
      </w:pPr>
      <w:r w:rsidRPr="00696048">
        <w:rPr>
          <w:rFonts w:eastAsia="Times New Roman"/>
          <w:color w:val="000000"/>
          <w:szCs w:val="22"/>
          <w:lang w:eastAsia="en-US"/>
        </w:rPr>
        <w:t xml:space="preserve">Audit of Management of Assets, Supplies and Materials </w:t>
      </w:r>
    </w:p>
    <w:p w14:paraId="524E6CDE" w14:textId="7411968D" w:rsidR="006905B2" w:rsidRDefault="006905B2" w:rsidP="006905B2">
      <w:pPr>
        <w:pStyle w:val="ONUME"/>
      </w:pPr>
      <w:r>
        <w:t xml:space="preserve">Asset </w:t>
      </w:r>
      <w:r w:rsidR="00900A69">
        <w:t>and</w:t>
      </w:r>
      <w:r>
        <w:t xml:space="preserve"> inventory management </w:t>
      </w:r>
      <w:r w:rsidR="00900A69">
        <w:t>are</w:t>
      </w:r>
      <w:r>
        <w:t xml:space="preserve"> important process</w:t>
      </w:r>
      <w:r w:rsidR="00900A69">
        <w:t>es</w:t>
      </w:r>
      <w:r>
        <w:t xml:space="preserve"> for </w:t>
      </w:r>
      <w:r w:rsidR="00F64BB1">
        <w:t>monitoring and tracking the property of the Organization whether in the form of buildings, vehicles, equipment, supplies, materials or other inventory items.</w:t>
      </w:r>
      <w:r w:rsidR="001E6CF4">
        <w:t xml:space="preserve"> </w:t>
      </w:r>
      <w:r w:rsidR="00F64BB1">
        <w:t xml:space="preserve"> </w:t>
      </w:r>
      <w:r w:rsidR="00AA1ADA">
        <w:t xml:space="preserve">The Asset Management Module of </w:t>
      </w:r>
      <w:r w:rsidR="00576937">
        <w:t>AIMS is used to record all financial-related and physical-related details of assets as defined by relevant policies and manuals, manage the lifecycle of the Organization’s property, including the capitalization amounts and residual values</w:t>
      </w:r>
      <w:r w:rsidR="00576937" w:rsidRPr="00A640EE">
        <w:t>.</w:t>
      </w:r>
      <w:r w:rsidR="00576937">
        <w:t xml:space="preserve"> </w:t>
      </w:r>
    </w:p>
    <w:p w14:paraId="25B35D56" w14:textId="6B94B471" w:rsidR="006905B2" w:rsidRDefault="006905B2" w:rsidP="006905B2">
      <w:pPr>
        <w:pStyle w:val="ONUME"/>
      </w:pPr>
      <w:r>
        <w:t>The o</w:t>
      </w:r>
      <w:r w:rsidR="001D59E1">
        <w:t>bjectives of this a</w:t>
      </w:r>
      <w:r>
        <w:t xml:space="preserve">udit </w:t>
      </w:r>
      <w:r w:rsidR="004C6FCB">
        <w:t>were</w:t>
      </w:r>
      <w:r>
        <w:t xml:space="preserve"> to:</w:t>
      </w:r>
    </w:p>
    <w:p w14:paraId="6D107A2A" w14:textId="77777777" w:rsidR="006905B2" w:rsidRDefault="006905B2" w:rsidP="006905B2">
      <w:pPr>
        <w:pStyle w:val="ONUME"/>
        <w:numPr>
          <w:ilvl w:val="1"/>
          <w:numId w:val="2"/>
        </w:numPr>
      </w:pPr>
      <w:r>
        <w:t>Review the governance, risk management, and effectiveness of internal controls in managing selected categories of assets, supplies and materials;</w:t>
      </w:r>
    </w:p>
    <w:p w14:paraId="2C2B99DD" w14:textId="22F4F109" w:rsidR="006905B2" w:rsidRDefault="006905B2" w:rsidP="006905B2">
      <w:pPr>
        <w:pStyle w:val="ONUME"/>
        <w:numPr>
          <w:ilvl w:val="1"/>
          <w:numId w:val="2"/>
        </w:numPr>
      </w:pPr>
      <w:r>
        <w:t>Verify compliance wit</w:t>
      </w:r>
      <w:r w:rsidR="00696048">
        <w:t>h relevant and applicable WIPO R</w:t>
      </w:r>
      <w:r>
        <w:t>egulations a</w:t>
      </w:r>
      <w:r w:rsidR="00696048">
        <w:t>nd R</w:t>
      </w:r>
      <w:r>
        <w:t>ules, Office</w:t>
      </w:r>
      <w:r w:rsidRPr="002B3226">
        <w:t xml:space="preserve"> </w:t>
      </w:r>
      <w:r>
        <w:t>Instructions, Information Circulars, and procedures for managing selected categories of assets, supplies and materials;  and</w:t>
      </w:r>
    </w:p>
    <w:p w14:paraId="1FBA8FD3" w14:textId="77777777" w:rsidR="006905B2" w:rsidRDefault="006905B2" w:rsidP="006905B2">
      <w:pPr>
        <w:pStyle w:val="ONUME"/>
        <w:numPr>
          <w:ilvl w:val="1"/>
          <w:numId w:val="2"/>
        </w:numPr>
      </w:pPr>
      <w:r>
        <w:t>Assess the adequacy, efficiency and effectiveness of tools and systems used to manage assets, supplies and materials.</w:t>
      </w:r>
    </w:p>
    <w:p w14:paraId="6644DF10" w14:textId="6BBAC696" w:rsidR="006905B2" w:rsidRDefault="006905B2" w:rsidP="00423823">
      <w:pPr>
        <w:pStyle w:val="ONUME"/>
      </w:pPr>
      <w:r>
        <w:t>The audit scope cover</w:t>
      </w:r>
      <w:r w:rsidR="004C6FCB">
        <w:t>ed</w:t>
      </w:r>
      <w:r>
        <w:t xml:space="preserve"> 2020 and 2021</w:t>
      </w:r>
      <w:r w:rsidR="00576937">
        <w:t xml:space="preserve"> and exclude</w:t>
      </w:r>
      <w:r w:rsidR="004C6FCB">
        <w:t>d</w:t>
      </w:r>
      <w:r w:rsidR="00576937">
        <w:t xml:space="preserve"> a </w:t>
      </w:r>
      <w:r>
        <w:t>review of software asset</w:t>
      </w:r>
      <w:r w:rsidR="00576937">
        <w:t xml:space="preserve">s and other intangible assets. </w:t>
      </w:r>
      <w:r w:rsidR="00423823">
        <w:t xml:space="preserve"> </w:t>
      </w:r>
    </w:p>
    <w:p w14:paraId="7B2E4485" w14:textId="041661D3" w:rsidR="00055464" w:rsidRPr="00C965B7" w:rsidRDefault="00BC0925" w:rsidP="00C965B7">
      <w:pPr>
        <w:pStyle w:val="Heading2"/>
      </w:pPr>
      <w:r w:rsidRPr="00315F3C">
        <w:rPr>
          <w:lang w:eastAsia="en-US"/>
        </w:rPr>
        <w:t>Evaluation of</w:t>
      </w:r>
      <w:r w:rsidR="001C22A3">
        <w:rPr>
          <w:lang w:eastAsia="en-US"/>
        </w:rPr>
        <w:t xml:space="preserve"> WIPO</w:t>
      </w:r>
      <w:r w:rsidRPr="00315F3C">
        <w:rPr>
          <w:lang w:eastAsia="en-US"/>
        </w:rPr>
        <w:t xml:space="preserve"> </w:t>
      </w:r>
      <w:r w:rsidR="00C4224C">
        <w:rPr>
          <w:lang w:eastAsia="en-US"/>
        </w:rPr>
        <w:t>Standing Committees</w:t>
      </w:r>
    </w:p>
    <w:p w14:paraId="37A90A36" w14:textId="01192601" w:rsidR="003B06F4" w:rsidRDefault="00C965B7" w:rsidP="002327F8">
      <w:pPr>
        <w:pStyle w:val="ONUME"/>
      </w:pPr>
      <w:r w:rsidRPr="002060B3">
        <w:t xml:space="preserve">The purpose of this evaluation </w:t>
      </w:r>
      <w:r w:rsidR="003B06F4" w:rsidRPr="00123659">
        <w:t xml:space="preserve">was </w:t>
      </w:r>
      <w:r w:rsidR="00107F8C" w:rsidRPr="00123659">
        <w:t>formative</w:t>
      </w:r>
      <w:r w:rsidR="00107F8C">
        <w:t xml:space="preserve"> with a focus </w:t>
      </w:r>
      <w:r w:rsidR="00FE3AAF">
        <w:t xml:space="preserve">on </w:t>
      </w:r>
      <w:r w:rsidR="00107F8C">
        <w:t xml:space="preserve">measuring the effectiveness of WIPO in organizing and managing the different Standing </w:t>
      </w:r>
      <w:r w:rsidR="00107F8C" w:rsidRPr="00123659">
        <w:t>Committees</w:t>
      </w:r>
      <w:r w:rsidR="00123659">
        <w:t>,</w:t>
      </w:r>
      <w:r w:rsidR="002778F8">
        <w:t xml:space="preserve"> </w:t>
      </w:r>
      <w:r w:rsidR="00107F8C">
        <w:t>assessing the extent to which the support and the resources available to the Secretariat are sufficient to achieve the expected results</w:t>
      </w:r>
      <w:r w:rsidR="00123659">
        <w:t>,</w:t>
      </w:r>
      <w:r w:rsidR="00107F8C">
        <w:t xml:space="preserve"> and have been used efficiently to support the needs of the Standing Committees</w:t>
      </w:r>
      <w:r w:rsidRPr="002060B3">
        <w:t xml:space="preserve">.  Moreover, the evaluation </w:t>
      </w:r>
      <w:r>
        <w:t>provides</w:t>
      </w:r>
      <w:r w:rsidRPr="002060B3">
        <w:t xml:space="preserve"> a platform for WIPO staff and stakeholders to learn from past experiences to incorporate good practices from other </w:t>
      </w:r>
      <w:r w:rsidRPr="009A1B3C">
        <w:t>UN</w:t>
      </w:r>
      <w:r w:rsidRPr="002060B3">
        <w:t xml:space="preserve"> sister organizations.</w:t>
      </w:r>
      <w:r>
        <w:t xml:space="preserve"> </w:t>
      </w:r>
      <w:r w:rsidRPr="002060B3">
        <w:t xml:space="preserve"> </w:t>
      </w:r>
    </w:p>
    <w:p w14:paraId="2EEEAD64" w14:textId="6A77DC2E" w:rsidR="004E566A" w:rsidRPr="00055464" w:rsidRDefault="004C6FCB" w:rsidP="004C6FCB">
      <w:pPr>
        <w:pStyle w:val="Heading2"/>
        <w:rPr>
          <w:lang w:eastAsia="en-US"/>
        </w:rPr>
      </w:pPr>
      <w:r>
        <w:t>M</w:t>
      </w:r>
      <w:r w:rsidRPr="002A21AE">
        <w:t>eta-synthesis</w:t>
      </w:r>
      <w:r w:rsidRPr="00D301AF">
        <w:rPr>
          <w:lang w:eastAsia="en-US"/>
        </w:rPr>
        <w:t xml:space="preserve"> of </w:t>
      </w:r>
      <w:r>
        <w:rPr>
          <w:lang w:eastAsia="en-US"/>
        </w:rPr>
        <w:t xml:space="preserve">Regional Divisions </w:t>
      </w:r>
      <w:r w:rsidRPr="004C6FCB">
        <w:t>Evaluations</w:t>
      </w:r>
    </w:p>
    <w:p w14:paraId="157E95C5" w14:textId="44418949" w:rsidR="00C965B7" w:rsidRDefault="003B06F4" w:rsidP="00C965B7">
      <w:pPr>
        <w:pStyle w:val="ONUME"/>
      </w:pPr>
      <w:r>
        <w:t>T</w:t>
      </w:r>
      <w:r w:rsidR="00C965B7" w:rsidRPr="002060B3">
        <w:t>he</w:t>
      </w:r>
      <w:r w:rsidR="00C965B7">
        <w:t xml:space="preserve"> </w:t>
      </w:r>
      <w:r w:rsidR="00C965B7" w:rsidRPr="002060B3">
        <w:t xml:space="preserve">main objectives of the </w:t>
      </w:r>
      <w:r w:rsidR="001C22A3">
        <w:t>meta-s</w:t>
      </w:r>
      <w:r w:rsidR="00C965B7" w:rsidRPr="002060B3">
        <w:t>ynthesis of Regional Divisions</w:t>
      </w:r>
      <w:r w:rsidR="001C22A3">
        <w:t xml:space="preserve"> evaluations</w:t>
      </w:r>
      <w:r w:rsidR="00C965B7" w:rsidRPr="002060B3">
        <w:t xml:space="preserve"> </w:t>
      </w:r>
      <w:r w:rsidR="000D6D2A" w:rsidRPr="009A1B3C">
        <w:t>was</w:t>
      </w:r>
      <w:r w:rsidR="000D6D2A" w:rsidRPr="002060B3">
        <w:t xml:space="preserve"> </w:t>
      </w:r>
      <w:r w:rsidR="00C965B7" w:rsidRPr="002060B3">
        <w:t xml:space="preserve">to review, analyze and integrate findings, conclusions and recommendations from the </w:t>
      </w:r>
      <w:r w:rsidR="00C965B7">
        <w:t xml:space="preserve">five completed evaluations of </w:t>
      </w:r>
      <w:r w:rsidR="00C965B7" w:rsidRPr="002060B3">
        <w:t xml:space="preserve">WIPO Regional Divisions with the aim </w:t>
      </w:r>
      <w:r w:rsidR="0035185D">
        <w:t xml:space="preserve">of </w:t>
      </w:r>
      <w:r w:rsidR="00C965B7" w:rsidRPr="002060B3">
        <w:t>provid</w:t>
      </w:r>
      <w:r w:rsidR="0035185D">
        <w:t>ing</w:t>
      </w:r>
      <w:r w:rsidR="00C965B7" w:rsidRPr="002060B3">
        <w:t xml:space="preserve"> crosscutting and systemic recommendations that support the improvement of WIPO</w:t>
      </w:r>
      <w:r w:rsidR="00C965B7">
        <w:t xml:space="preserve">’s work at </w:t>
      </w:r>
      <w:r w:rsidR="0035185D">
        <w:t xml:space="preserve">a </w:t>
      </w:r>
      <w:r w:rsidR="00C965B7">
        <w:t xml:space="preserve">regional </w:t>
      </w:r>
      <w:r w:rsidR="00C965B7" w:rsidRPr="002060B3">
        <w:t xml:space="preserve">level. </w:t>
      </w:r>
      <w:r w:rsidR="00C965B7">
        <w:t xml:space="preserve"> </w:t>
      </w:r>
      <w:r w:rsidR="00C965B7" w:rsidRPr="002060B3">
        <w:t xml:space="preserve">It </w:t>
      </w:r>
      <w:r w:rsidR="00C965B7" w:rsidRPr="002060B3">
        <w:lastRenderedPageBreak/>
        <w:t xml:space="preserve">also </w:t>
      </w:r>
      <w:r w:rsidR="004C6FCB">
        <w:t>sought</w:t>
      </w:r>
      <w:r w:rsidR="00C965B7" w:rsidRPr="002060B3">
        <w:t xml:space="preserve"> to inform and support decision-makers in the current organizational restructuring process of the Regional Divisions</w:t>
      </w:r>
      <w:r w:rsidR="00C965B7">
        <w:t xml:space="preserve"> in the context of</w:t>
      </w:r>
      <w:r w:rsidR="001C22A3">
        <w:t xml:space="preserve"> </w:t>
      </w:r>
      <w:r w:rsidR="005B33B6">
        <w:rPr>
          <w:rFonts w:eastAsia="Times New Roman"/>
        </w:rPr>
        <w:t>the WIPO MTSP 2016-2021</w:t>
      </w:r>
      <w:r w:rsidR="00C965B7" w:rsidRPr="002060B3">
        <w:t xml:space="preserve">. </w:t>
      </w:r>
    </w:p>
    <w:p w14:paraId="34446223" w14:textId="30F70FF3" w:rsidR="002F69AD" w:rsidRDefault="002F69AD" w:rsidP="002F69AD">
      <w:pPr>
        <w:pStyle w:val="ONUME"/>
      </w:pPr>
      <w:r>
        <w:t>T</w:t>
      </w:r>
      <w:r w:rsidRPr="002F69AD">
        <w:t xml:space="preserve">he meta-synthesis reviewed and analyzed the five evaluations of the WIPO Regional Divisions conducted between 2015 and 2020; </w:t>
      </w:r>
      <w:r w:rsidR="00696048">
        <w:t xml:space="preserve"> </w:t>
      </w:r>
      <w:r w:rsidRPr="002F69AD">
        <w:t>i.e. Re</w:t>
      </w:r>
      <w:r w:rsidR="005C7795">
        <w:t xml:space="preserve">gional Division for Africa, </w:t>
      </w:r>
      <w:r w:rsidRPr="002F69AD">
        <w:t>Regional Division for Arab Countries, Regional Division for Asia and the Pacific, Regional Division for Latin America and the Caribbean and Regional Division for Least-Developed Countries.  Together, they covered the period between 2010 and 2020.</w:t>
      </w:r>
    </w:p>
    <w:p w14:paraId="3E759BB3" w14:textId="0A6DB3B2" w:rsidR="003B06F4" w:rsidRPr="004C6FCB" w:rsidRDefault="004C6FCB" w:rsidP="004C6FCB">
      <w:pPr>
        <w:pStyle w:val="Heading2"/>
      </w:pPr>
      <w:r>
        <w:t>R</w:t>
      </w:r>
      <w:r w:rsidRPr="004C6FCB">
        <w:t xml:space="preserve">eview of </w:t>
      </w:r>
      <w:r>
        <w:t>IOD P</w:t>
      </w:r>
      <w:r w:rsidRPr="004C6FCB">
        <w:t xml:space="preserve">erformance </w:t>
      </w:r>
      <w:r>
        <w:t>R</w:t>
      </w:r>
      <w:r w:rsidRPr="004C6FCB">
        <w:t xml:space="preserve">eport </w:t>
      </w:r>
      <w:r>
        <w:t>V</w:t>
      </w:r>
      <w:r w:rsidRPr="004C6FCB">
        <w:t xml:space="preserve">alidation </w:t>
      </w:r>
      <w:r>
        <w:t>M</w:t>
      </w:r>
      <w:r w:rsidRPr="004C6FCB">
        <w:t xml:space="preserve">ethodology </w:t>
      </w:r>
    </w:p>
    <w:p w14:paraId="40E30AB4" w14:textId="2D936F15" w:rsidR="002F69AD" w:rsidRDefault="00AA1ADA" w:rsidP="005C7795">
      <w:pPr>
        <w:pStyle w:val="ONUME"/>
      </w:pPr>
      <w:r>
        <w:t>Performance D</w:t>
      </w:r>
      <w:r w:rsidR="002F69AD">
        <w:t xml:space="preserve">ata (PD) in </w:t>
      </w:r>
      <w:r w:rsidR="00450C38">
        <w:t>the WIPO Performance Report (WPR)</w:t>
      </w:r>
      <w:r w:rsidR="001C22A3">
        <w:t xml:space="preserve"> </w:t>
      </w:r>
      <w:r w:rsidR="002F69AD">
        <w:t xml:space="preserve">is a cornerstone of WIPO's commitment to demonstrating results to its stakeholders. </w:t>
      </w:r>
      <w:r w:rsidR="002327F8">
        <w:t xml:space="preserve"> </w:t>
      </w:r>
      <w:r w:rsidR="002F69AD">
        <w:t xml:space="preserve">It is also essential for decision-making purposes and continuous improvement. </w:t>
      </w:r>
      <w:r w:rsidR="002327F8">
        <w:t xml:space="preserve"> </w:t>
      </w:r>
      <w:r w:rsidR="002F69AD">
        <w:t>Given that PD will be used only if it is credible and of good quality, WIPO introduced a validation mechanism ten years ago to assure the quality</w:t>
      </w:r>
      <w:r w:rsidR="001E225B">
        <w:t xml:space="preserve"> of data and its authenticity.</w:t>
      </w:r>
    </w:p>
    <w:p w14:paraId="611E6BB6" w14:textId="266BEB22" w:rsidR="002F69AD" w:rsidRDefault="002F69AD" w:rsidP="005C7795">
      <w:pPr>
        <w:pStyle w:val="ONUME"/>
      </w:pPr>
      <w:r>
        <w:t xml:space="preserve">After </w:t>
      </w:r>
      <w:r w:rsidR="00173353">
        <w:t xml:space="preserve">10 </w:t>
      </w:r>
      <w:r>
        <w:t xml:space="preserve">years </w:t>
      </w:r>
      <w:r w:rsidR="000D6D2A">
        <w:t>since the</w:t>
      </w:r>
      <w:r>
        <w:t xml:space="preserve"> first </w:t>
      </w:r>
      <w:r w:rsidR="000D6D2A">
        <w:t xml:space="preserve">validation was completed, </w:t>
      </w:r>
      <w:r w:rsidR="005C7795">
        <w:t>IOD</w:t>
      </w:r>
      <w:r>
        <w:t xml:space="preserve"> ha</w:t>
      </w:r>
      <w:r w:rsidR="00B23737">
        <w:t xml:space="preserve">s </w:t>
      </w:r>
      <w:r w:rsidR="00C8278C">
        <w:t>reviewed</w:t>
      </w:r>
      <w:r w:rsidR="00B23737">
        <w:t xml:space="preserve"> the v</w:t>
      </w:r>
      <w:r>
        <w:t xml:space="preserve">alidation </w:t>
      </w:r>
      <w:r w:rsidR="00B23737">
        <w:t>a</w:t>
      </w:r>
      <w:r>
        <w:t>pproach for the WPR.</w:t>
      </w:r>
    </w:p>
    <w:p w14:paraId="043638D4" w14:textId="37A4553D" w:rsidR="005C7795" w:rsidRDefault="002F69AD" w:rsidP="005C7795">
      <w:pPr>
        <w:pStyle w:val="ONUME"/>
      </w:pPr>
      <w:r>
        <w:t xml:space="preserve">As part of the </w:t>
      </w:r>
      <w:r w:rsidR="00C8278C">
        <w:t>review</w:t>
      </w:r>
      <w:r>
        <w:t>, a staff consultation proces</w:t>
      </w:r>
      <w:r w:rsidR="005C7795">
        <w:t xml:space="preserve">s </w:t>
      </w:r>
      <w:r w:rsidR="005C7795" w:rsidRPr="009A1B3C">
        <w:t>was</w:t>
      </w:r>
      <w:r w:rsidR="005C7795">
        <w:t xml:space="preserve"> launched between December </w:t>
      </w:r>
      <w:r>
        <w:t>2021 and January 2022.</w:t>
      </w:r>
      <w:r w:rsidR="005C7795">
        <w:t xml:space="preserve"> </w:t>
      </w:r>
      <w:r>
        <w:t xml:space="preserve"> Staff raised several questions, made suggestions, and provided different perspectives on their needs and expectations on the validation. </w:t>
      </w:r>
      <w:r w:rsidR="005C7795">
        <w:t xml:space="preserve"> </w:t>
      </w:r>
      <w:r>
        <w:t xml:space="preserve">Overall, it was found that the Organization expects the validation to contribute to </w:t>
      </w:r>
      <w:r w:rsidRPr="00C75045">
        <w:t>improv</w:t>
      </w:r>
      <w:r w:rsidR="00C75045">
        <w:t>ing</w:t>
      </w:r>
      <w:r>
        <w:t xml:space="preserve"> PD consistency, credibility, and utility. </w:t>
      </w:r>
      <w:r w:rsidR="00B23737">
        <w:t xml:space="preserve"> </w:t>
      </w:r>
    </w:p>
    <w:p w14:paraId="34B63E6A" w14:textId="0E7745ED" w:rsidR="005C7795" w:rsidRDefault="002F69AD" w:rsidP="00A9506F">
      <w:pPr>
        <w:pStyle w:val="ONUME"/>
      </w:pPr>
      <w:r>
        <w:t xml:space="preserve">The revision has </w:t>
      </w:r>
      <w:r w:rsidRPr="00123659">
        <w:t>factored</w:t>
      </w:r>
      <w:r>
        <w:t xml:space="preserve"> </w:t>
      </w:r>
      <w:r w:rsidR="00123659">
        <w:t xml:space="preserve">in </w:t>
      </w:r>
      <w:r>
        <w:t xml:space="preserve">the Organization's current needs and expectations on the validation approach. </w:t>
      </w:r>
      <w:r w:rsidR="002327F8">
        <w:t xml:space="preserve"> </w:t>
      </w:r>
      <w:r>
        <w:t xml:space="preserve">It provides a path to enhance credibility while supporting a learning environment. </w:t>
      </w:r>
      <w:r w:rsidR="00B23737">
        <w:t xml:space="preserve"> </w:t>
      </w:r>
      <w:r>
        <w:t>This is key to empowering staff to</w:t>
      </w:r>
      <w:r w:rsidR="00801412">
        <w:t xml:space="preserve"> obtain and use quantitative and qualitative data that support evidence-based decision making and </w:t>
      </w:r>
      <w:r>
        <w:t xml:space="preserve">demonstrate WIPO's </w:t>
      </w:r>
      <w:r w:rsidR="00737142">
        <w:t xml:space="preserve">commitment </w:t>
      </w:r>
      <w:r w:rsidR="00801412">
        <w:t>to impact</w:t>
      </w:r>
      <w:r w:rsidR="00737142">
        <w:t>ful results</w:t>
      </w:r>
      <w:r>
        <w:t xml:space="preserve">. </w:t>
      </w:r>
    </w:p>
    <w:p w14:paraId="4820D400" w14:textId="6E61B052" w:rsidR="00C46B12" w:rsidRPr="00DA5DBB" w:rsidRDefault="00C46B12" w:rsidP="005C7795">
      <w:pPr>
        <w:pStyle w:val="Heading1"/>
      </w:pPr>
      <w:bookmarkStart w:id="38" w:name="_Toc100660228"/>
      <w:r w:rsidRPr="00EF631C">
        <w:t>I</w:t>
      </w:r>
      <w:r>
        <w:t>NVESTIGATIVE ACTIVITIES</w:t>
      </w:r>
      <w:bookmarkEnd w:id="36"/>
      <w:bookmarkEnd w:id="38"/>
    </w:p>
    <w:p w14:paraId="2E71E914" w14:textId="77777777" w:rsidR="00C46B12" w:rsidRPr="00315F3C" w:rsidRDefault="00C46B12" w:rsidP="00315F3C">
      <w:pPr>
        <w:pStyle w:val="Heading2"/>
      </w:pPr>
      <w:r w:rsidRPr="00315F3C">
        <w:t>Caseload overview</w:t>
      </w:r>
    </w:p>
    <w:p w14:paraId="63077F60" w14:textId="75C8D919" w:rsidR="00C46B12" w:rsidRPr="0031505E" w:rsidRDefault="00C46B12" w:rsidP="00AC38B6">
      <w:pPr>
        <w:pStyle w:val="ONUME"/>
      </w:pPr>
      <w:r w:rsidRPr="00AC38B6">
        <w:t>During</w:t>
      </w:r>
      <w:r w:rsidRPr="0031505E">
        <w:t xml:space="preserve"> the reporting period, </w:t>
      </w:r>
      <w:r w:rsidR="009C7B6D">
        <w:t>2</w:t>
      </w:r>
      <w:r w:rsidR="00C871E5">
        <w:t>5</w:t>
      </w:r>
      <w:r w:rsidR="00B75269" w:rsidRPr="0031505E">
        <w:t xml:space="preserve"> </w:t>
      </w:r>
      <w:r w:rsidRPr="0031505E">
        <w:t xml:space="preserve">new cases were registered (which constitutes a </w:t>
      </w:r>
      <w:r w:rsidR="00C871E5">
        <w:t>19</w:t>
      </w:r>
      <w:r w:rsidR="00C871E5" w:rsidRPr="0031505E">
        <w:t> </w:t>
      </w:r>
      <w:r w:rsidRPr="0031505E">
        <w:t xml:space="preserve">per cent </w:t>
      </w:r>
      <w:r w:rsidR="00C871E5">
        <w:t>in</w:t>
      </w:r>
      <w:r w:rsidRPr="0031505E">
        <w:t xml:space="preserve">crease over </w:t>
      </w:r>
      <w:r w:rsidR="00836944">
        <w:t>20</w:t>
      </w:r>
      <w:r w:rsidR="00C871E5">
        <w:t>20</w:t>
      </w:r>
      <w:r w:rsidRPr="0031505E">
        <w:t xml:space="preserve">) and </w:t>
      </w:r>
      <w:r w:rsidR="001750C8">
        <w:t>2</w:t>
      </w:r>
      <w:r w:rsidR="00C871E5">
        <w:t>3</w:t>
      </w:r>
      <w:r w:rsidR="001750C8">
        <w:t xml:space="preserve"> </w:t>
      </w:r>
      <w:r w:rsidRPr="0031505E">
        <w:t xml:space="preserve">were closed.  As of </w:t>
      </w:r>
      <w:r w:rsidR="00A624AA">
        <w:t>December </w:t>
      </w:r>
      <w:r w:rsidR="00EA6140">
        <w:t>31</w:t>
      </w:r>
      <w:r w:rsidRPr="0031505E">
        <w:t>, 20</w:t>
      </w:r>
      <w:r w:rsidR="009C7B6D">
        <w:t>2</w:t>
      </w:r>
      <w:r w:rsidR="00C871E5">
        <w:t>1</w:t>
      </w:r>
      <w:r w:rsidRPr="0031505E">
        <w:t xml:space="preserve">, </w:t>
      </w:r>
      <w:r w:rsidR="00EA6140">
        <w:t>1</w:t>
      </w:r>
      <w:r w:rsidR="00C871E5">
        <w:t>3</w:t>
      </w:r>
      <w:r w:rsidR="00EA6140">
        <w:t xml:space="preserve"> </w:t>
      </w:r>
      <w:r w:rsidRPr="0031505E">
        <w:t xml:space="preserve">cases </w:t>
      </w:r>
      <w:r w:rsidR="00524F64">
        <w:t>were</w:t>
      </w:r>
      <w:r w:rsidRPr="0031505E">
        <w:t xml:space="preserve"> pending, including </w:t>
      </w:r>
      <w:r w:rsidR="00C871E5">
        <w:t>two</w:t>
      </w:r>
      <w:r w:rsidR="00C871E5" w:rsidRPr="0031505E">
        <w:t xml:space="preserve"> </w:t>
      </w:r>
      <w:r w:rsidRPr="0031505E">
        <w:t xml:space="preserve">at the preliminary evaluation stage, </w:t>
      </w:r>
      <w:r w:rsidR="00C871E5">
        <w:t>eight</w:t>
      </w:r>
      <w:r w:rsidR="00C871E5" w:rsidRPr="0031505E">
        <w:t xml:space="preserve"> </w:t>
      </w:r>
      <w:r w:rsidRPr="0031505E">
        <w:t xml:space="preserve">at the full investigation stage and </w:t>
      </w:r>
      <w:r w:rsidR="00C871E5">
        <w:t>three</w:t>
      </w:r>
      <w:r w:rsidR="00C871E5" w:rsidRPr="0031505E">
        <w:t xml:space="preserve"> </w:t>
      </w:r>
      <w:r w:rsidRPr="0031505E">
        <w:t xml:space="preserve">on hold pending action by another entity.  Of the pending cases, </w:t>
      </w:r>
      <w:r w:rsidR="00C871E5">
        <w:t>11</w:t>
      </w:r>
      <w:r w:rsidR="008220D7" w:rsidRPr="0031505E">
        <w:t xml:space="preserve"> </w:t>
      </w:r>
      <w:r w:rsidRPr="0031505E">
        <w:t>were opened in</w:t>
      </w:r>
      <w:r w:rsidR="008220D7">
        <w:t> 202</w:t>
      </w:r>
      <w:r w:rsidR="00C871E5">
        <w:t>1</w:t>
      </w:r>
      <w:r w:rsidR="008220D7">
        <w:t xml:space="preserve">, </w:t>
      </w:r>
      <w:r w:rsidR="00C871E5">
        <w:t>and two in 2020.</w:t>
      </w:r>
      <w:r w:rsidRPr="0031505E">
        <w:t xml:space="preserve">  As of </w:t>
      </w:r>
      <w:r w:rsidR="00D47FE4">
        <w:t>December 31</w:t>
      </w:r>
      <w:r w:rsidRPr="0031505E">
        <w:t xml:space="preserve">, </w:t>
      </w:r>
      <w:r w:rsidR="008220D7" w:rsidRPr="0031505E">
        <w:t>20</w:t>
      </w:r>
      <w:r w:rsidR="008220D7">
        <w:t>2</w:t>
      </w:r>
      <w:r w:rsidR="00C871E5">
        <w:t>1</w:t>
      </w:r>
      <w:r w:rsidRPr="0031505E">
        <w:t xml:space="preserve">, the average length of time it takes </w:t>
      </w:r>
      <w:r w:rsidR="008220D7">
        <w:t>to complete an investigation</w:t>
      </w:r>
      <w:r w:rsidRPr="0031505E">
        <w:t xml:space="preserve"> is </w:t>
      </w:r>
      <w:r w:rsidR="00C871E5">
        <w:t>127 calendar days</w:t>
      </w:r>
      <w:r w:rsidR="00E93A06">
        <w:rPr>
          <w:rStyle w:val="FootnoteReference"/>
        </w:rPr>
        <w:footnoteReference w:id="11"/>
      </w:r>
      <w:r w:rsidR="005C5E28">
        <w:t>, which is</w:t>
      </w:r>
      <w:r w:rsidR="00524F64">
        <w:t xml:space="preserve"> well within the target of </w:t>
      </w:r>
      <w:r w:rsidR="00484B9E">
        <w:t>six</w:t>
      </w:r>
      <w:r w:rsidR="00524F64">
        <w:t xml:space="preserve"> months</w:t>
      </w:r>
      <w:r w:rsidR="002B3260">
        <w:rPr>
          <w:rStyle w:val="FootnoteReference"/>
        </w:rPr>
        <w:footnoteReference w:id="12"/>
      </w:r>
      <w:r w:rsidRPr="0031505E">
        <w:t>.</w:t>
      </w:r>
    </w:p>
    <w:p w14:paraId="31AE8148" w14:textId="2DA3A946" w:rsidR="00C46B12" w:rsidRDefault="00C46B12" w:rsidP="00C43CB4">
      <w:pPr>
        <w:pStyle w:val="ONUME"/>
        <w:keepNext/>
        <w:numPr>
          <w:ilvl w:val="0"/>
          <w:numId w:val="0"/>
        </w:numPr>
        <w:spacing w:after="120"/>
        <w:jc w:val="center"/>
        <w:rPr>
          <w:b/>
          <w:sz w:val="18"/>
          <w:szCs w:val="18"/>
        </w:rPr>
      </w:pPr>
      <w:r w:rsidRPr="00E2643D">
        <w:rPr>
          <w:b/>
          <w:sz w:val="18"/>
          <w:szCs w:val="18"/>
        </w:rPr>
        <w:lastRenderedPageBreak/>
        <w:t xml:space="preserve">Chart </w:t>
      </w:r>
      <w:r>
        <w:rPr>
          <w:b/>
          <w:sz w:val="18"/>
          <w:szCs w:val="18"/>
        </w:rPr>
        <w:t>1</w:t>
      </w:r>
      <w:r w:rsidRPr="00E2643D">
        <w:rPr>
          <w:b/>
          <w:sz w:val="18"/>
          <w:szCs w:val="18"/>
        </w:rPr>
        <w:t xml:space="preserve"> – </w:t>
      </w:r>
      <w:r>
        <w:rPr>
          <w:b/>
          <w:sz w:val="18"/>
          <w:szCs w:val="18"/>
        </w:rPr>
        <w:t xml:space="preserve">Comparative Analysis of </w:t>
      </w:r>
      <w:r w:rsidRPr="00E2643D">
        <w:rPr>
          <w:b/>
          <w:sz w:val="18"/>
          <w:szCs w:val="18"/>
        </w:rPr>
        <w:t xml:space="preserve">Investigative caseload </w:t>
      </w:r>
      <w:r w:rsidR="00A35641">
        <w:rPr>
          <w:b/>
          <w:sz w:val="18"/>
          <w:szCs w:val="18"/>
        </w:rPr>
        <w:t>in 20</w:t>
      </w:r>
      <w:r w:rsidR="00B0338B">
        <w:rPr>
          <w:b/>
          <w:sz w:val="18"/>
          <w:szCs w:val="18"/>
        </w:rPr>
        <w:t>20</w:t>
      </w:r>
      <w:r w:rsidR="00A35641">
        <w:rPr>
          <w:b/>
          <w:sz w:val="18"/>
          <w:szCs w:val="18"/>
        </w:rPr>
        <w:t xml:space="preserve"> and 202</w:t>
      </w:r>
      <w:r w:rsidR="00B0338B">
        <w:rPr>
          <w:b/>
          <w:sz w:val="18"/>
          <w:szCs w:val="18"/>
        </w:rPr>
        <w:t>1</w:t>
      </w:r>
    </w:p>
    <w:p w14:paraId="7A3642EC" w14:textId="333BF8DA" w:rsidR="00CE642C" w:rsidRDefault="00CE642C" w:rsidP="00C46B12">
      <w:pPr>
        <w:pStyle w:val="ONUME"/>
        <w:numPr>
          <w:ilvl w:val="0"/>
          <w:numId w:val="0"/>
        </w:numPr>
        <w:jc w:val="center"/>
        <w:rPr>
          <w:b/>
          <w:sz w:val="18"/>
          <w:szCs w:val="18"/>
        </w:rPr>
      </w:pPr>
      <w:r>
        <w:rPr>
          <w:noProof/>
          <w:lang w:eastAsia="en-US"/>
        </w:rPr>
        <w:drawing>
          <wp:inline distT="0" distB="0" distL="0" distR="0" wp14:anchorId="1EC68C67" wp14:editId="6E4D4DB9">
            <wp:extent cx="5848066" cy="2647666"/>
            <wp:effectExtent l="0" t="0" r="635" b="635"/>
            <wp:docPr id="1" name="Chart 1" descr="Comparative Analysis of Investigative caseload in 2020 and 2021" titl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C2A1D94" w14:textId="489AB7DD" w:rsidR="00C46B12" w:rsidRDefault="00C46B12" w:rsidP="00AC38B6">
      <w:pPr>
        <w:pStyle w:val="ONUME"/>
      </w:pPr>
      <w:r w:rsidRPr="00AE5ACD">
        <w:t xml:space="preserve">Among the </w:t>
      </w:r>
      <w:r w:rsidR="00CC3F53">
        <w:t>2</w:t>
      </w:r>
      <w:r w:rsidR="00CE642C">
        <w:t>5</w:t>
      </w:r>
      <w:r w:rsidR="00C96BC5">
        <w:t xml:space="preserve"> </w:t>
      </w:r>
      <w:r w:rsidRPr="00AE5ACD">
        <w:t>cases</w:t>
      </w:r>
      <w:r>
        <w:t xml:space="preserve"> opened during the reporting period</w:t>
      </w:r>
      <w:r w:rsidRPr="00AE5ACD">
        <w:t xml:space="preserve">, </w:t>
      </w:r>
      <w:r w:rsidR="009B0214">
        <w:t>two</w:t>
      </w:r>
      <w:r w:rsidR="009B0214" w:rsidRPr="00AE5ACD">
        <w:t xml:space="preserve"> </w:t>
      </w:r>
      <w:r w:rsidR="00CC3F53">
        <w:t>were</w:t>
      </w:r>
      <w:r w:rsidR="00CC3F53" w:rsidRPr="00AE5ACD">
        <w:t xml:space="preserve"> </w:t>
      </w:r>
      <w:r w:rsidRPr="00AE5ACD">
        <w:t xml:space="preserve">referred to the IAOC </w:t>
      </w:r>
      <w:r>
        <w:t>for its advice</w:t>
      </w:r>
      <w:r w:rsidR="009922EC">
        <w:t xml:space="preserve">, </w:t>
      </w:r>
      <w:r w:rsidR="00CC3F53">
        <w:t>in line with</w:t>
      </w:r>
      <w:r w:rsidR="00CC3F53" w:rsidRPr="009922EC">
        <w:t xml:space="preserve"> </w:t>
      </w:r>
      <w:r w:rsidR="009922EC">
        <w:t xml:space="preserve">the </w:t>
      </w:r>
      <w:r w:rsidRPr="009922EC">
        <w:t>relevant provisions of the IOC</w:t>
      </w:r>
      <w:r>
        <w:rPr>
          <w:rStyle w:val="FootnoteReference"/>
        </w:rPr>
        <w:footnoteReference w:id="13"/>
      </w:r>
      <w:r w:rsidRPr="00AE5ACD">
        <w:t>.</w:t>
      </w:r>
    </w:p>
    <w:p w14:paraId="46BD6D03" w14:textId="77777777" w:rsidR="00C46B12" w:rsidRDefault="00C46B12" w:rsidP="00315F3C">
      <w:pPr>
        <w:pStyle w:val="Heading2"/>
      </w:pPr>
      <w:r w:rsidRPr="003533F5">
        <w:t>Outcome of Investigative activities</w:t>
      </w:r>
    </w:p>
    <w:p w14:paraId="6C0BF968" w14:textId="2238F2DF" w:rsidR="00CB362E" w:rsidRDefault="00C46B12" w:rsidP="002C23BF">
      <w:pPr>
        <w:pStyle w:val="ONUME"/>
      </w:pPr>
      <w:r>
        <w:t>According to the IOC</w:t>
      </w:r>
      <w:r w:rsidR="00F24F0D">
        <w:rPr>
          <w:rStyle w:val="FootnoteReference"/>
        </w:rPr>
        <w:footnoteReference w:id="14"/>
      </w:r>
      <w:r w:rsidR="00836944">
        <w:t>,</w:t>
      </w:r>
      <w:r>
        <w:t xml:space="preserve"> the Annual Report shall include a description of those investigative cases found to be substantiated and their disposition.</w:t>
      </w:r>
      <w:r w:rsidR="00C43CB4">
        <w:t xml:space="preserve"> </w:t>
      </w:r>
      <w:r>
        <w:t xml:space="preserve"> </w:t>
      </w:r>
      <w:r w:rsidR="00836944" w:rsidRPr="00E0644D">
        <w:t>In 202</w:t>
      </w:r>
      <w:r w:rsidR="0097182C">
        <w:t>1</w:t>
      </w:r>
      <w:r w:rsidR="00836944" w:rsidRPr="00E0644D">
        <w:t>,</w:t>
      </w:r>
      <w:r w:rsidRPr="00E0644D">
        <w:t xml:space="preserve"> </w:t>
      </w:r>
      <w:r w:rsidR="00B02801">
        <w:t>there w</w:t>
      </w:r>
      <w:r w:rsidR="0097182C">
        <w:t>ere</w:t>
      </w:r>
      <w:r w:rsidR="00B02801">
        <w:t xml:space="preserve"> </w:t>
      </w:r>
      <w:r w:rsidR="0097182C">
        <w:t xml:space="preserve">nine investigation cases where allegations were </w:t>
      </w:r>
      <w:r w:rsidR="00B02801">
        <w:t>substantiated.</w:t>
      </w:r>
      <w:r w:rsidR="00E967B7">
        <w:t xml:space="preserve"> </w:t>
      </w:r>
      <w:r w:rsidR="00B02801">
        <w:t xml:space="preserve"> </w:t>
      </w:r>
      <w:r w:rsidR="0041494C">
        <w:t>Specifically</w:t>
      </w:r>
      <w:r w:rsidR="00E47E02">
        <w:t>:</w:t>
      </w:r>
    </w:p>
    <w:p w14:paraId="1C85C255" w14:textId="137C6346" w:rsidR="00E47E02" w:rsidRDefault="00F93086" w:rsidP="00B0338B">
      <w:pPr>
        <w:pStyle w:val="ONUME"/>
        <w:numPr>
          <w:ilvl w:val="1"/>
          <w:numId w:val="2"/>
        </w:numPr>
      </w:pPr>
      <w:r>
        <w:t xml:space="preserve">Four </w:t>
      </w:r>
      <w:r w:rsidR="00E47E02">
        <w:t>cases i</w:t>
      </w:r>
      <w:r w:rsidR="00B0338B">
        <w:t>mplicated</w:t>
      </w:r>
      <w:r w:rsidR="00E47E02">
        <w:t xml:space="preserve"> WIPO staff members</w:t>
      </w:r>
      <w:r w:rsidR="0041494C">
        <w:t xml:space="preserve">, </w:t>
      </w:r>
      <w:r w:rsidR="00123DBE">
        <w:t>with respect to</w:t>
      </w:r>
      <w:r w:rsidR="0041494C">
        <w:t xml:space="preserve"> whom IOD recommended</w:t>
      </w:r>
      <w:r w:rsidR="00E47E02">
        <w:t xml:space="preserve"> </w:t>
      </w:r>
      <w:r w:rsidR="00123DBE">
        <w:t>the initiation</w:t>
      </w:r>
      <w:r w:rsidR="0041494C">
        <w:t xml:space="preserve"> of </w:t>
      </w:r>
      <w:r w:rsidR="00E47E02">
        <w:t xml:space="preserve">disciplinary </w:t>
      </w:r>
      <w:r w:rsidR="00123DBE">
        <w:t>proceedings</w:t>
      </w:r>
      <w:r w:rsidR="00E47E02">
        <w:t xml:space="preserve">. </w:t>
      </w:r>
      <w:r w:rsidR="005C7795">
        <w:t xml:space="preserve"> </w:t>
      </w:r>
      <w:r w:rsidR="00E47E02">
        <w:t xml:space="preserve">The recommendations were followed in </w:t>
      </w:r>
      <w:r w:rsidR="00B0338B">
        <w:t xml:space="preserve">all </w:t>
      </w:r>
      <w:r w:rsidR="00CE050E">
        <w:t xml:space="preserve">cases </w:t>
      </w:r>
      <w:r w:rsidR="00424E8A">
        <w:t>but</w:t>
      </w:r>
      <w:r w:rsidR="00CE050E">
        <w:t xml:space="preserve"> one</w:t>
      </w:r>
      <w:r w:rsidR="00424E8A">
        <w:t>,</w:t>
      </w:r>
      <w:r w:rsidR="00B0338B">
        <w:t xml:space="preserve"> </w:t>
      </w:r>
      <w:r w:rsidR="00E47E02">
        <w:t xml:space="preserve">where the Director, HRMD considered </w:t>
      </w:r>
      <w:r w:rsidR="00B0338B">
        <w:t xml:space="preserve">that the facts established would be best addressed through </w:t>
      </w:r>
      <w:r w:rsidR="00CE050E">
        <w:t>other means</w:t>
      </w:r>
      <w:r w:rsidR="0098489C">
        <w:t>,</w:t>
      </w:r>
      <w:r w:rsidR="00CE050E">
        <w:t xml:space="preserve"> such as awareness training</w:t>
      </w:r>
      <w:r w:rsidR="00B0338B">
        <w:t xml:space="preserve">; </w:t>
      </w:r>
    </w:p>
    <w:p w14:paraId="767587EA" w14:textId="0C183AEC" w:rsidR="00F93086" w:rsidRDefault="00F93086" w:rsidP="00B0338B">
      <w:pPr>
        <w:pStyle w:val="ONUME"/>
        <w:numPr>
          <w:ilvl w:val="1"/>
          <w:numId w:val="2"/>
        </w:numPr>
      </w:pPr>
      <w:r>
        <w:t xml:space="preserve">In one case, a staff member was not subjected to disciplinary </w:t>
      </w:r>
      <w:r w:rsidR="00123DBE">
        <w:t>proceedings</w:t>
      </w:r>
      <w:r w:rsidR="00E832A2">
        <w:t>, in line with IOD’s recommendation,</w:t>
      </w:r>
      <w:r>
        <w:t xml:space="preserve"> </w:t>
      </w:r>
      <w:r w:rsidRPr="00E832A2">
        <w:t xml:space="preserve">but </w:t>
      </w:r>
      <w:r w:rsidR="00BF622A" w:rsidRPr="00E832A2">
        <w:t>was cautioned by</w:t>
      </w:r>
      <w:r w:rsidRPr="00E832A2">
        <w:t xml:space="preserve"> the Director, HRMD;</w:t>
      </w:r>
    </w:p>
    <w:p w14:paraId="56A1CF93" w14:textId="6660F492" w:rsidR="00F93086" w:rsidRDefault="0098489C" w:rsidP="00B0338B">
      <w:pPr>
        <w:pStyle w:val="ONUME"/>
        <w:numPr>
          <w:ilvl w:val="1"/>
          <w:numId w:val="2"/>
        </w:numPr>
      </w:pPr>
      <w:r>
        <w:t>One case implicated a staff member who resigned from employment with WIPO before action could be taken as recommended by IOD;</w:t>
      </w:r>
    </w:p>
    <w:p w14:paraId="3A887C7E" w14:textId="26490833" w:rsidR="00B0338B" w:rsidRDefault="00B0338B" w:rsidP="00B0338B">
      <w:pPr>
        <w:pStyle w:val="ONUME"/>
        <w:numPr>
          <w:ilvl w:val="1"/>
          <w:numId w:val="2"/>
        </w:numPr>
      </w:pPr>
      <w:r>
        <w:t>One case implicating an external contractor was referred to the Vendor Sanctions Committee, where proceedings are pending to date;</w:t>
      </w:r>
    </w:p>
    <w:p w14:paraId="05E3F224" w14:textId="46BDB602" w:rsidR="00B0338B" w:rsidRDefault="00B0338B" w:rsidP="00B0338B">
      <w:pPr>
        <w:pStyle w:val="ONUME"/>
        <w:numPr>
          <w:ilvl w:val="1"/>
          <w:numId w:val="2"/>
        </w:numPr>
      </w:pPr>
      <w:r>
        <w:t>One case implicated an external agency worker, who was subjected to summary dismissal by the employing agency;</w:t>
      </w:r>
      <w:r w:rsidR="005C7795">
        <w:t xml:space="preserve"> </w:t>
      </w:r>
      <w:r>
        <w:t xml:space="preserve"> and</w:t>
      </w:r>
    </w:p>
    <w:p w14:paraId="6F984493" w14:textId="4514E4F8" w:rsidR="00B0338B" w:rsidRDefault="00B0338B" w:rsidP="00B0338B">
      <w:pPr>
        <w:pStyle w:val="ONUME"/>
        <w:numPr>
          <w:ilvl w:val="1"/>
          <w:numId w:val="2"/>
        </w:numPr>
      </w:pPr>
      <w:r>
        <w:t xml:space="preserve">One case </w:t>
      </w:r>
      <w:r w:rsidR="00CE050E">
        <w:t>involving</w:t>
      </w:r>
      <w:r>
        <w:t xml:space="preserve"> fraud by an external party </w:t>
      </w:r>
      <w:r w:rsidR="00A03857">
        <w:t>is to be</w:t>
      </w:r>
      <w:r>
        <w:t xml:space="preserve"> referred to the competent national authorities.</w:t>
      </w:r>
    </w:p>
    <w:p w14:paraId="22AE6289" w14:textId="4381BCDA" w:rsidR="00C668ED" w:rsidRDefault="00C668ED" w:rsidP="00C668ED">
      <w:pPr>
        <w:pStyle w:val="ONUME"/>
      </w:pPr>
      <w:r>
        <w:t>None of the aforementioned cases were considered to have a significant financial impact on the Organization.</w:t>
      </w:r>
    </w:p>
    <w:p w14:paraId="6B1582FD" w14:textId="3380BFF1" w:rsidR="00957033" w:rsidRDefault="00957033" w:rsidP="00957033">
      <w:pPr>
        <w:pStyle w:val="Heading2"/>
      </w:pPr>
      <w:r>
        <w:lastRenderedPageBreak/>
        <w:t>Management implication reports</w:t>
      </w:r>
      <w:r w:rsidR="002778F8">
        <w:t xml:space="preserve"> (MIR)</w:t>
      </w:r>
    </w:p>
    <w:p w14:paraId="3D2960D6" w14:textId="24ADC5FA" w:rsidR="00957033" w:rsidRDefault="00696048" w:rsidP="00957033">
      <w:pPr>
        <w:pStyle w:val="ONUME"/>
      </w:pPr>
      <w:r>
        <w:t>IOD</w:t>
      </w:r>
      <w:r w:rsidR="00957033">
        <w:t xml:space="preserve"> issued two MIRs highlighting systemic issues identified during investigations and providing recommendations for improvement of internal controls.  These recommendations concerned:</w:t>
      </w:r>
    </w:p>
    <w:p w14:paraId="57EF1693" w14:textId="3B46C020" w:rsidR="00957033" w:rsidRDefault="00957033" w:rsidP="0041494C">
      <w:pPr>
        <w:pStyle w:val="ONUME"/>
        <w:numPr>
          <w:ilvl w:val="1"/>
          <w:numId w:val="2"/>
        </w:numPr>
      </w:pPr>
      <w:r>
        <w:t>Management of personal data of WIPO website us</w:t>
      </w:r>
      <w:r w:rsidR="00B23737">
        <w:t>ers and mass mailing procedures</w:t>
      </w:r>
      <w:r>
        <w:t xml:space="preserve">; </w:t>
      </w:r>
      <w:r w:rsidR="00B23737">
        <w:t xml:space="preserve"> </w:t>
      </w:r>
      <w:r>
        <w:t>and</w:t>
      </w:r>
    </w:p>
    <w:p w14:paraId="226C0B83" w14:textId="46250E78" w:rsidR="00CB362E" w:rsidRDefault="00957033" w:rsidP="005C7795">
      <w:pPr>
        <w:pStyle w:val="ONUME"/>
        <w:numPr>
          <w:ilvl w:val="1"/>
          <w:numId w:val="2"/>
        </w:numPr>
      </w:pPr>
      <w:r>
        <w:t>Information published in the PATEN</w:t>
      </w:r>
      <w:r w:rsidR="00696048">
        <w:t>T</w:t>
      </w:r>
      <w:r>
        <w:t>SCOPE website.</w:t>
      </w:r>
    </w:p>
    <w:p w14:paraId="42BBDDB6" w14:textId="00739FCE" w:rsidR="00C46B12" w:rsidRPr="00AC3480" w:rsidRDefault="00C46B12" w:rsidP="00AC3480">
      <w:pPr>
        <w:pStyle w:val="ONUME"/>
        <w:keepNext/>
        <w:numPr>
          <w:ilvl w:val="0"/>
          <w:numId w:val="0"/>
        </w:numPr>
        <w:jc w:val="center"/>
        <w:rPr>
          <w:b/>
          <w:sz w:val="18"/>
          <w:szCs w:val="18"/>
        </w:rPr>
      </w:pPr>
      <w:r w:rsidRPr="004B2173">
        <w:rPr>
          <w:b/>
          <w:sz w:val="18"/>
          <w:szCs w:val="18"/>
        </w:rPr>
        <w:t xml:space="preserve">Table </w:t>
      </w:r>
      <w:r>
        <w:rPr>
          <w:b/>
          <w:sz w:val="18"/>
          <w:szCs w:val="18"/>
        </w:rPr>
        <w:t>1</w:t>
      </w:r>
      <w:r w:rsidRPr="004B2173">
        <w:rPr>
          <w:b/>
          <w:sz w:val="18"/>
          <w:szCs w:val="18"/>
        </w:rPr>
        <w:t xml:space="preserve"> – Analysis of c</w:t>
      </w:r>
      <w:r>
        <w:rPr>
          <w:b/>
          <w:sz w:val="18"/>
          <w:szCs w:val="18"/>
        </w:rPr>
        <w:t xml:space="preserve">omplaints received </w:t>
      </w:r>
      <w:r w:rsidR="00524F64">
        <w:rPr>
          <w:b/>
          <w:sz w:val="18"/>
          <w:szCs w:val="18"/>
        </w:rPr>
        <w:t>in 20</w:t>
      </w:r>
      <w:r w:rsidR="00B0338B">
        <w:rPr>
          <w:b/>
          <w:sz w:val="18"/>
          <w:szCs w:val="18"/>
        </w:rPr>
        <w:t>20</w:t>
      </w:r>
      <w:r w:rsidR="00524F64">
        <w:rPr>
          <w:b/>
          <w:sz w:val="18"/>
          <w:szCs w:val="18"/>
        </w:rPr>
        <w:t xml:space="preserve"> and 202</w:t>
      </w:r>
      <w:r w:rsidR="00B0338B">
        <w:rPr>
          <w:b/>
          <w:sz w:val="18"/>
          <w:szCs w:val="18"/>
        </w:rPr>
        <w:t>1</w:t>
      </w:r>
    </w:p>
    <w:p w14:paraId="4B4D0EF5" w14:textId="612717D9" w:rsidR="00B0338B" w:rsidRPr="00C61062" w:rsidRDefault="00B0338B" w:rsidP="002C4C35">
      <w:pPr>
        <w:tabs>
          <w:tab w:val="left" w:pos="2820"/>
        </w:tabs>
        <w:jc w:val="center"/>
      </w:pPr>
      <w:r w:rsidRPr="00B0338B">
        <w:rPr>
          <w:noProof/>
          <w:lang w:eastAsia="en-US"/>
        </w:rPr>
        <w:drawing>
          <wp:inline distT="0" distB="0" distL="0" distR="0" wp14:anchorId="249E0859" wp14:editId="3C6DC6DF">
            <wp:extent cx="5387848" cy="2866222"/>
            <wp:effectExtent l="0" t="0" r="3810" b="0"/>
            <wp:docPr id="11" name="Picture 11" descr="Analysis of complaints received in 2020 and 2021" title="Tab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193" cy="2872789"/>
                    </a:xfrm>
                    <a:prstGeom prst="rect">
                      <a:avLst/>
                    </a:prstGeom>
                    <a:noFill/>
                    <a:ln>
                      <a:noFill/>
                    </a:ln>
                  </pic:spPr>
                </pic:pic>
              </a:graphicData>
            </a:graphic>
          </wp:inline>
        </w:drawing>
      </w:r>
    </w:p>
    <w:p w14:paraId="65732E6B" w14:textId="77777777" w:rsidR="003038D9" w:rsidRDefault="003038D9" w:rsidP="00C46B12">
      <w:pPr>
        <w:pStyle w:val="ONUME"/>
        <w:keepNext/>
        <w:numPr>
          <w:ilvl w:val="0"/>
          <w:numId w:val="0"/>
        </w:numPr>
        <w:jc w:val="center"/>
        <w:rPr>
          <w:b/>
          <w:sz w:val="18"/>
          <w:szCs w:val="18"/>
        </w:rPr>
      </w:pPr>
    </w:p>
    <w:p w14:paraId="0EC8B363" w14:textId="75A1F0D5" w:rsidR="00C43CB4" w:rsidRDefault="00C46B12" w:rsidP="00C43CB4">
      <w:pPr>
        <w:pStyle w:val="ONUME"/>
        <w:keepNext/>
        <w:numPr>
          <w:ilvl w:val="0"/>
          <w:numId w:val="0"/>
        </w:numPr>
        <w:jc w:val="center"/>
        <w:rPr>
          <w:b/>
          <w:sz w:val="18"/>
          <w:szCs w:val="18"/>
        </w:rPr>
      </w:pPr>
      <w:r w:rsidRPr="00274898">
        <w:rPr>
          <w:b/>
          <w:sz w:val="18"/>
          <w:szCs w:val="18"/>
        </w:rPr>
        <w:t xml:space="preserve">Chart </w:t>
      </w:r>
      <w:r>
        <w:rPr>
          <w:b/>
          <w:sz w:val="18"/>
          <w:szCs w:val="18"/>
        </w:rPr>
        <w:t>2</w:t>
      </w:r>
      <w:r w:rsidRPr="00274898">
        <w:rPr>
          <w:b/>
          <w:sz w:val="18"/>
          <w:szCs w:val="18"/>
        </w:rPr>
        <w:t xml:space="preserve"> – Cases </w:t>
      </w:r>
      <w:r>
        <w:rPr>
          <w:b/>
          <w:sz w:val="18"/>
          <w:szCs w:val="18"/>
        </w:rPr>
        <w:t>C</w:t>
      </w:r>
      <w:r w:rsidRPr="00274898">
        <w:rPr>
          <w:b/>
          <w:sz w:val="18"/>
          <w:szCs w:val="18"/>
        </w:rPr>
        <w:t xml:space="preserve">losed </w:t>
      </w:r>
      <w:r w:rsidR="001E225B">
        <w:rPr>
          <w:b/>
          <w:sz w:val="18"/>
          <w:szCs w:val="18"/>
        </w:rPr>
        <w:t>in 2020 and 2021</w:t>
      </w:r>
    </w:p>
    <w:p w14:paraId="5347EE03" w14:textId="1FADEE1F" w:rsidR="00B0338B" w:rsidRDefault="00FB3B81" w:rsidP="00C43CB4">
      <w:pPr>
        <w:pStyle w:val="ONUME"/>
        <w:keepNext/>
        <w:numPr>
          <w:ilvl w:val="0"/>
          <w:numId w:val="0"/>
        </w:numPr>
        <w:jc w:val="center"/>
        <w:rPr>
          <w:b/>
          <w:sz w:val="18"/>
          <w:szCs w:val="18"/>
        </w:rPr>
      </w:pPr>
      <w:r>
        <w:rPr>
          <w:noProof/>
          <w:lang w:eastAsia="en-US"/>
        </w:rPr>
        <w:drawing>
          <wp:inline distT="0" distB="0" distL="0" distR="0" wp14:anchorId="6E94E43D" wp14:editId="4B7989F7">
            <wp:extent cx="4572000" cy="2743200"/>
            <wp:effectExtent l="0" t="0" r="0" b="0"/>
            <wp:docPr id="15" name="Chart 15" descr="Cases Closed in 2020 and 2021" titl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496A1C0" w14:textId="77777777" w:rsidR="003038D9" w:rsidRDefault="003038D9" w:rsidP="00C43CB4">
      <w:pPr>
        <w:pStyle w:val="ONUME"/>
        <w:keepNext/>
        <w:numPr>
          <w:ilvl w:val="0"/>
          <w:numId w:val="0"/>
        </w:numPr>
        <w:jc w:val="center"/>
      </w:pPr>
      <w:r>
        <w:br w:type="page"/>
      </w:r>
    </w:p>
    <w:p w14:paraId="61C812D9" w14:textId="77777777" w:rsidR="00C46B12" w:rsidRPr="00DA5DBB" w:rsidRDefault="00C46B12" w:rsidP="00C46B12">
      <w:pPr>
        <w:pStyle w:val="Heading1"/>
      </w:pPr>
      <w:bookmarkStart w:id="39" w:name="_Toc39071250"/>
      <w:bookmarkStart w:id="40" w:name="_Toc100660229"/>
      <w:r w:rsidRPr="00183D2E">
        <w:lastRenderedPageBreak/>
        <w:t>INSTANCES WHERE INFORMATION OR ASSISTANCE WAS REFUSED</w:t>
      </w:r>
      <w:bookmarkEnd w:id="39"/>
      <w:bookmarkEnd w:id="40"/>
    </w:p>
    <w:p w14:paraId="5387EF57" w14:textId="77777777" w:rsidR="00C46B12" w:rsidRDefault="00C46B12" w:rsidP="002C23BF">
      <w:pPr>
        <w:pStyle w:val="ONUME"/>
      </w:pPr>
      <w:r>
        <w:t>In accordance with paragraph 48</w:t>
      </w:r>
      <w:r w:rsidRPr="004B2173">
        <w:t>(g) of the IOC, the Director, IOD</w:t>
      </w:r>
      <w:r w:rsidR="00C01E21">
        <w:t>,</w:t>
      </w:r>
      <w:r w:rsidRPr="004B2173">
        <w:t xml:space="preserve"> should report on any instances where IOD</w:t>
      </w:r>
      <w:r w:rsidR="008E49F1">
        <w:t>’</w:t>
      </w:r>
      <w:r w:rsidRPr="004B2173">
        <w:t>s access to records, personnel and premises was restricted during the reporting period.</w:t>
      </w:r>
    </w:p>
    <w:p w14:paraId="20F5B4A6" w14:textId="2B5BAEEF" w:rsidR="00C84D33" w:rsidRDefault="00C46B12" w:rsidP="002C23BF">
      <w:pPr>
        <w:pStyle w:val="ONUME"/>
      </w:pPr>
      <w:r>
        <w:t>I</w:t>
      </w:r>
      <w:r w:rsidRPr="00E323C8">
        <w:t xml:space="preserve">OD reports that </w:t>
      </w:r>
      <w:r w:rsidR="00EB3E1A">
        <w:t xml:space="preserve">there were no instances as described in paragraph 48(g) of the IOC during the reporting period. </w:t>
      </w:r>
    </w:p>
    <w:p w14:paraId="0D200831" w14:textId="42867398" w:rsidR="00C46B12" w:rsidRPr="00EF631C" w:rsidRDefault="00C46B12" w:rsidP="00C46B12">
      <w:pPr>
        <w:pStyle w:val="Heading1"/>
      </w:pPr>
      <w:bookmarkStart w:id="41" w:name="_Toc39071251"/>
      <w:bookmarkStart w:id="42" w:name="_Toc100660230"/>
      <w:r w:rsidRPr="00EF631C">
        <w:t>STATUS OF IMPLEMENTATION OF OVERSIGHT RECOMMENDATIONS</w:t>
      </w:r>
      <w:bookmarkEnd w:id="37"/>
      <w:bookmarkEnd w:id="41"/>
      <w:bookmarkEnd w:id="42"/>
    </w:p>
    <w:p w14:paraId="20E70902" w14:textId="535C358F" w:rsidR="00C46B12" w:rsidRPr="004B2173" w:rsidRDefault="00C46B12" w:rsidP="002C23BF">
      <w:pPr>
        <w:pStyle w:val="ONUME"/>
      </w:pPr>
      <w:r w:rsidRPr="004B2173">
        <w:t xml:space="preserve">The Director General is responsible for ensuring that all recommendations made by the Director, IOD and other oversight entities are responded to promptly, indicating actions taken regarding </w:t>
      </w:r>
      <w:r w:rsidRPr="006A3B74">
        <w:t>specific findings</w:t>
      </w:r>
      <w:r w:rsidRPr="004B2173">
        <w:t xml:space="preserve"> and recommendations</w:t>
      </w:r>
      <w:r w:rsidRPr="00E04B15">
        <w:rPr>
          <w:rStyle w:val="FootnoteReference"/>
        </w:rPr>
        <w:footnoteReference w:id="15"/>
      </w:r>
      <w:r w:rsidRPr="004B2173">
        <w:t xml:space="preserve">.  The Director General discharges this responsibility through </w:t>
      </w:r>
      <w:r w:rsidR="003E5E33">
        <w:t>Sector Leads (</w:t>
      </w:r>
      <w:r w:rsidRPr="004B2173">
        <w:t>Program Managers</w:t>
      </w:r>
      <w:r w:rsidR="003E5E33">
        <w:t>)</w:t>
      </w:r>
      <w:r w:rsidR="001E225B">
        <w:t xml:space="preserve"> </w:t>
      </w:r>
      <w:r w:rsidRPr="004B2173">
        <w:t>responsible for specific operational areas within the Organization</w:t>
      </w:r>
      <w:r w:rsidRPr="00E04B15">
        <w:rPr>
          <w:rStyle w:val="FootnoteReference"/>
        </w:rPr>
        <w:footnoteReference w:id="16"/>
      </w:r>
      <w:r w:rsidRPr="004B2173">
        <w:t>.  The implementation of all oversight recommendations is subject to regular follow-up by IOD</w:t>
      </w:r>
      <w:r w:rsidRPr="00E04B15">
        <w:rPr>
          <w:rStyle w:val="FootnoteReference"/>
        </w:rPr>
        <w:footnoteReference w:id="17"/>
      </w:r>
      <w:r w:rsidRPr="004B2173">
        <w:t>.</w:t>
      </w:r>
    </w:p>
    <w:p w14:paraId="5A5156F6" w14:textId="0F82FCE2" w:rsidR="00C46B12" w:rsidRDefault="00C46B12" w:rsidP="002C23BF">
      <w:pPr>
        <w:pStyle w:val="ONUME"/>
      </w:pPr>
      <w:r w:rsidRPr="004B2173">
        <w:t>IOD manage</w:t>
      </w:r>
      <w:r w:rsidR="00A54708">
        <w:t>s</w:t>
      </w:r>
      <w:r w:rsidRPr="004B2173">
        <w:t xml:space="preserve"> and report</w:t>
      </w:r>
      <w:r w:rsidR="00A54708">
        <w:t>s</w:t>
      </w:r>
      <w:r w:rsidRPr="004B2173">
        <w:t xml:space="preserve"> on recommendations using the </w:t>
      </w:r>
      <w:r w:rsidR="00A54708" w:rsidRPr="004B2173">
        <w:t>Team</w:t>
      </w:r>
      <w:r w:rsidR="00A54708">
        <w:t>Mate+</w:t>
      </w:r>
      <w:r w:rsidR="00A54708" w:rsidRPr="004B2173">
        <w:t xml:space="preserve"> </w:t>
      </w:r>
      <w:r w:rsidRPr="004B2173">
        <w:t xml:space="preserve">system, which enables interactive dialogue with </w:t>
      </w:r>
      <w:r w:rsidR="001D59E1">
        <w:t>m</w:t>
      </w:r>
      <w:r w:rsidR="00A54708">
        <w:t xml:space="preserve">anagement </w:t>
      </w:r>
      <w:r w:rsidRPr="004B2173">
        <w:t xml:space="preserve">for an effective follow-up of implementation of open recommendations. </w:t>
      </w:r>
    </w:p>
    <w:p w14:paraId="7D81EEE9" w14:textId="7790ECEF" w:rsidR="008460BA" w:rsidRDefault="00C46B12" w:rsidP="002C23BF">
      <w:pPr>
        <w:pStyle w:val="ONUME"/>
      </w:pPr>
      <w:r w:rsidRPr="0031505E">
        <w:t xml:space="preserve">At the date of the present report, there are </w:t>
      </w:r>
      <w:r w:rsidR="00A54708" w:rsidRPr="0031505E">
        <w:t>1</w:t>
      </w:r>
      <w:r w:rsidR="00A54708">
        <w:t>25</w:t>
      </w:r>
      <w:r w:rsidR="00A54708" w:rsidRPr="0031505E">
        <w:t xml:space="preserve"> </w:t>
      </w:r>
      <w:r w:rsidRPr="0031505E">
        <w:t xml:space="preserve">open </w:t>
      </w:r>
      <w:r w:rsidRPr="006A3B74">
        <w:t>recommendations</w:t>
      </w:r>
      <w:r w:rsidR="006A3B74">
        <w:t>,</w:t>
      </w:r>
      <w:r w:rsidRPr="006A3B74">
        <w:t xml:space="preserve"> </w:t>
      </w:r>
      <w:r w:rsidR="006A3B74">
        <w:t xml:space="preserve">of which </w:t>
      </w:r>
      <w:r w:rsidR="00A54708" w:rsidRPr="006A3B74">
        <w:t>40</w:t>
      </w:r>
      <w:r w:rsidR="00A54708" w:rsidRPr="0031505E">
        <w:t xml:space="preserve"> </w:t>
      </w:r>
      <w:r w:rsidR="006A3B74">
        <w:t xml:space="preserve">are </w:t>
      </w:r>
      <w:r w:rsidRPr="0031505E">
        <w:t xml:space="preserve">of high </w:t>
      </w:r>
      <w:r w:rsidR="006A3B74">
        <w:t xml:space="preserve">priority </w:t>
      </w:r>
      <w:r w:rsidRPr="0031505E">
        <w:t xml:space="preserve">and </w:t>
      </w:r>
      <w:r w:rsidR="00A54708">
        <w:t>85</w:t>
      </w:r>
      <w:r w:rsidR="00A54708" w:rsidRPr="0031505E">
        <w:t xml:space="preserve"> </w:t>
      </w:r>
      <w:r w:rsidR="006A3B74">
        <w:t xml:space="preserve">are </w:t>
      </w:r>
      <w:r w:rsidRPr="0031505E">
        <w:t>of medium priorit</w:t>
      </w:r>
      <w:r w:rsidR="006A3B74">
        <w:t>y</w:t>
      </w:r>
      <w:r w:rsidRPr="0031505E">
        <w:t xml:space="preserve">.  IOD recommendations constitute </w:t>
      </w:r>
      <w:r w:rsidR="005C514B">
        <w:t>8</w:t>
      </w:r>
      <w:r w:rsidR="000C5D71">
        <w:t>2</w:t>
      </w:r>
      <w:r w:rsidR="005C514B" w:rsidRPr="0031505E">
        <w:t xml:space="preserve"> </w:t>
      </w:r>
      <w:r w:rsidRPr="0031505E">
        <w:t>per cent of all open oversight recommendations.</w:t>
      </w:r>
    </w:p>
    <w:p w14:paraId="7CB74EC9" w14:textId="77777777" w:rsidR="00C46B12" w:rsidRDefault="00C46B12" w:rsidP="00C43CB4">
      <w:pPr>
        <w:jc w:val="center"/>
        <w:rPr>
          <w:b/>
          <w:sz w:val="18"/>
          <w:szCs w:val="18"/>
        </w:rPr>
      </w:pPr>
      <w:r w:rsidRPr="0031505E">
        <w:rPr>
          <w:b/>
          <w:sz w:val="18"/>
        </w:rPr>
        <w:t>Chart 3 – Open Recommendation by Source and Priority (</w:t>
      </w:r>
      <w:r w:rsidRPr="0031505E">
        <w:rPr>
          <w:b/>
          <w:sz w:val="18"/>
          <w:szCs w:val="18"/>
        </w:rPr>
        <w:t>1</w:t>
      </w:r>
      <w:r w:rsidR="000C5D71">
        <w:rPr>
          <w:b/>
          <w:sz w:val="18"/>
          <w:szCs w:val="18"/>
        </w:rPr>
        <w:t>25</w:t>
      </w:r>
      <w:r w:rsidRPr="0031505E">
        <w:rPr>
          <w:b/>
          <w:sz w:val="18"/>
          <w:szCs w:val="18"/>
        </w:rPr>
        <w:t>)</w:t>
      </w:r>
    </w:p>
    <w:p w14:paraId="1F5675D3" w14:textId="77777777" w:rsidR="000C5D71" w:rsidRDefault="000C5D71" w:rsidP="00C43CB4">
      <w:pPr>
        <w:jc w:val="center"/>
        <w:rPr>
          <w:b/>
          <w:sz w:val="18"/>
          <w:szCs w:val="18"/>
        </w:rPr>
      </w:pPr>
    </w:p>
    <w:p w14:paraId="52F2DC6B" w14:textId="77777777" w:rsidR="000C5D71" w:rsidRPr="001D1177" w:rsidRDefault="000C5D71" w:rsidP="00C43CB4">
      <w:pPr>
        <w:jc w:val="center"/>
        <w:rPr>
          <w:b/>
          <w:sz w:val="18"/>
        </w:rPr>
      </w:pPr>
      <w:r>
        <w:rPr>
          <w:noProof/>
          <w:lang w:eastAsia="en-US"/>
        </w:rPr>
        <w:drawing>
          <wp:inline distT="0" distB="0" distL="0" distR="0" wp14:anchorId="5ABE726B" wp14:editId="4853E462">
            <wp:extent cx="4572000" cy="2743200"/>
            <wp:effectExtent l="0" t="0" r="0" b="0"/>
            <wp:docPr id="7" name="Chart 7" descr="Open Recommendation by Source and Priority (125)" titl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9FEDAA0" w14:textId="77777777" w:rsidR="00690ABA" w:rsidRPr="00C620A2" w:rsidRDefault="00690ABA" w:rsidP="00690ABA">
      <w:pPr>
        <w:jc w:val="center"/>
      </w:pPr>
    </w:p>
    <w:p w14:paraId="5115F93A" w14:textId="77777777" w:rsidR="00C46B12" w:rsidRDefault="00A94048" w:rsidP="009D5455">
      <w:pPr>
        <w:pStyle w:val="ONUME"/>
        <w:numPr>
          <w:ilvl w:val="0"/>
          <w:numId w:val="0"/>
        </w:numPr>
        <w:jc w:val="center"/>
      </w:pPr>
      <w:r w:rsidRPr="00A94048">
        <w:rPr>
          <w:noProof/>
          <w:lang w:eastAsia="en-US"/>
        </w:rPr>
        <w:t xml:space="preserve"> </w:t>
      </w:r>
    </w:p>
    <w:p w14:paraId="5306FC63" w14:textId="4FA98853" w:rsidR="009D5455" w:rsidRDefault="001952B7" w:rsidP="00C84D33">
      <w:pPr>
        <w:pStyle w:val="ONUME"/>
      </w:pPr>
      <w:r>
        <w:t xml:space="preserve">Between </w:t>
      </w:r>
      <w:r w:rsidR="005C514B">
        <w:t xml:space="preserve">January </w:t>
      </w:r>
      <w:r>
        <w:t xml:space="preserve">and December </w:t>
      </w:r>
      <w:r w:rsidR="005C514B">
        <w:t>202</w:t>
      </w:r>
      <w:r w:rsidR="000C5D71">
        <w:t>1</w:t>
      </w:r>
      <w:r w:rsidR="00C46B12" w:rsidRPr="0031505E">
        <w:t xml:space="preserve">, </w:t>
      </w:r>
      <w:r>
        <w:t xml:space="preserve">there were </w:t>
      </w:r>
      <w:r w:rsidR="000C5D71">
        <w:t xml:space="preserve">38 </w:t>
      </w:r>
      <w:r>
        <w:t xml:space="preserve">new </w:t>
      </w:r>
      <w:r w:rsidR="00A70901">
        <w:t xml:space="preserve">IOD </w:t>
      </w:r>
      <w:r>
        <w:t xml:space="preserve">recommendations added from </w:t>
      </w:r>
      <w:r w:rsidR="000C5D71">
        <w:t xml:space="preserve">four </w:t>
      </w:r>
      <w:r>
        <w:t xml:space="preserve">audit reports, </w:t>
      </w:r>
      <w:r w:rsidR="005C514B">
        <w:t xml:space="preserve">four </w:t>
      </w:r>
      <w:r w:rsidR="00684D26">
        <w:t xml:space="preserve">evaluations reports, </w:t>
      </w:r>
      <w:r>
        <w:t xml:space="preserve">and </w:t>
      </w:r>
      <w:r w:rsidR="005C514B">
        <w:t>two</w:t>
      </w:r>
      <w:r w:rsidR="00E808C0">
        <w:t xml:space="preserve"> </w:t>
      </w:r>
      <w:r w:rsidR="00684D26">
        <w:t>MIR</w:t>
      </w:r>
      <w:r w:rsidR="009D5455">
        <w:t>s</w:t>
      </w:r>
      <w:r w:rsidR="00684D26">
        <w:t xml:space="preserve">. </w:t>
      </w:r>
      <w:r>
        <w:t xml:space="preserve"> </w:t>
      </w:r>
      <w:r w:rsidR="0039651E" w:rsidRPr="00CA33F3">
        <w:t>One IAOC recommendation</w:t>
      </w:r>
      <w:r w:rsidR="0039651E" w:rsidRPr="00CA33F3">
        <w:rPr>
          <w:rStyle w:val="FootnoteReference"/>
        </w:rPr>
        <w:footnoteReference w:id="18"/>
      </w:r>
      <w:r w:rsidR="0039651E" w:rsidRPr="00CA33F3">
        <w:t xml:space="preserve"> made to the Ethics Office was</w:t>
      </w:r>
      <w:r w:rsidR="00684D26" w:rsidRPr="00CA33F3">
        <w:t xml:space="preserve"> </w:t>
      </w:r>
      <w:r w:rsidR="0094451C" w:rsidRPr="00CA33F3">
        <w:t xml:space="preserve">pending </w:t>
      </w:r>
      <w:r w:rsidR="00684D26" w:rsidRPr="00CA33F3">
        <w:t xml:space="preserve">at </w:t>
      </w:r>
      <w:r w:rsidR="004B0B41" w:rsidRPr="00CA33F3">
        <w:t>the end of the reporting period.</w:t>
      </w:r>
      <w:r w:rsidR="0094451C">
        <w:t xml:space="preserve"> </w:t>
      </w:r>
      <w:r w:rsidR="001E225B">
        <w:t xml:space="preserve"> </w:t>
      </w:r>
      <w:r w:rsidR="000C5D71">
        <w:t>This recommendat</w:t>
      </w:r>
      <w:r w:rsidR="00FD073D">
        <w:t>ion will be addressed by the</w:t>
      </w:r>
      <w:r w:rsidR="000C5D71">
        <w:t xml:space="preserve"> Chief Ethics Officer. </w:t>
      </w:r>
    </w:p>
    <w:p w14:paraId="4E0D4565" w14:textId="27F0EEAB" w:rsidR="00C84D33" w:rsidRPr="0031505E" w:rsidRDefault="000C5D71" w:rsidP="00C84D33">
      <w:pPr>
        <w:pStyle w:val="ONUME"/>
      </w:pPr>
      <w:r>
        <w:lastRenderedPageBreak/>
        <w:t>Eleven</w:t>
      </w:r>
      <w:r w:rsidR="00A70901">
        <w:t xml:space="preserve"> </w:t>
      </w:r>
      <w:r w:rsidR="00A70901" w:rsidRPr="00943607">
        <w:t>re</w:t>
      </w:r>
      <w:r w:rsidR="00A70901">
        <w:t xml:space="preserve">commendations </w:t>
      </w:r>
      <w:r w:rsidR="00637E53">
        <w:t>from the</w:t>
      </w:r>
      <w:r w:rsidR="00FD073D">
        <w:t xml:space="preserve"> report of the External Auditor</w:t>
      </w:r>
      <w:r w:rsidR="00637E53">
        <w:t xml:space="preserve"> </w:t>
      </w:r>
      <w:r w:rsidR="00A70901" w:rsidRPr="00943607">
        <w:t>were added</w:t>
      </w:r>
      <w:r w:rsidR="00A70901">
        <w:t xml:space="preserve"> to</w:t>
      </w:r>
      <w:r w:rsidR="00A70901" w:rsidRPr="00943607">
        <w:t xml:space="preserve"> the recommendations management system </w:t>
      </w:r>
      <w:r w:rsidR="00637E53">
        <w:t>during 2021</w:t>
      </w:r>
      <w:r w:rsidR="00A70901" w:rsidRPr="00943607">
        <w:t>.</w:t>
      </w:r>
      <w:r w:rsidR="00A70901">
        <w:t xml:space="preserve"> </w:t>
      </w:r>
      <w:r w:rsidR="00E808C0">
        <w:t xml:space="preserve"> </w:t>
      </w:r>
      <w:r w:rsidR="00637E53">
        <w:t xml:space="preserve">Nine </w:t>
      </w:r>
      <w:r w:rsidR="00C84D33">
        <w:t xml:space="preserve">external audit recommendations </w:t>
      </w:r>
      <w:r w:rsidR="00637E53">
        <w:t xml:space="preserve">and 18 IOD recommendations </w:t>
      </w:r>
      <w:r w:rsidR="00C84D33">
        <w:t xml:space="preserve">were closed during the </w:t>
      </w:r>
      <w:r w:rsidR="00637E53">
        <w:t xml:space="preserve">reporting </w:t>
      </w:r>
      <w:r w:rsidR="00C84D33">
        <w:t>period</w:t>
      </w:r>
      <w:r w:rsidR="001D59E1">
        <w:t>.</w:t>
      </w:r>
      <w:r w:rsidR="00C84D33">
        <w:t xml:space="preserve"> </w:t>
      </w:r>
      <w:r w:rsidR="001E225B">
        <w:t xml:space="preserve"> </w:t>
      </w:r>
      <w:r w:rsidR="00C84D33" w:rsidRPr="0031505E">
        <w:t xml:space="preserve">Table 2 </w:t>
      </w:r>
      <w:r w:rsidR="00C84D33">
        <w:t xml:space="preserve">below </w:t>
      </w:r>
      <w:r w:rsidR="00C84D33" w:rsidRPr="0031505E">
        <w:t>shows the movement of recommendations by source, between J</w:t>
      </w:r>
      <w:r w:rsidR="005C514B">
        <w:t>anuary</w:t>
      </w:r>
      <w:r w:rsidR="00C84D33" w:rsidRPr="0031505E">
        <w:t xml:space="preserve"> and </w:t>
      </w:r>
      <w:r w:rsidR="00C84D33">
        <w:t>December</w:t>
      </w:r>
      <w:r w:rsidR="00C84D33" w:rsidRPr="0031505E">
        <w:t xml:space="preserve"> 20</w:t>
      </w:r>
      <w:r w:rsidR="005C514B">
        <w:t>2</w:t>
      </w:r>
      <w:r w:rsidR="00637E53">
        <w:t>1</w:t>
      </w:r>
      <w:r w:rsidR="00C84D33" w:rsidRPr="0031505E">
        <w:t xml:space="preserve">. </w:t>
      </w:r>
    </w:p>
    <w:p w14:paraId="6E2C0EF4" w14:textId="2ED5BF86" w:rsidR="00C46B12" w:rsidRDefault="00C46B12" w:rsidP="00C46B12">
      <w:pPr>
        <w:pStyle w:val="ONUME"/>
        <w:keepNext/>
        <w:numPr>
          <w:ilvl w:val="0"/>
          <w:numId w:val="0"/>
        </w:numPr>
        <w:jc w:val="center"/>
        <w:rPr>
          <w:b/>
          <w:sz w:val="18"/>
          <w:szCs w:val="18"/>
        </w:rPr>
      </w:pPr>
      <w:r w:rsidRPr="0031505E">
        <w:rPr>
          <w:b/>
          <w:sz w:val="18"/>
          <w:szCs w:val="18"/>
        </w:rPr>
        <w:t xml:space="preserve">Table 2 – Movement of Recommendations between </w:t>
      </w:r>
      <w:r w:rsidR="00ED0F4C">
        <w:rPr>
          <w:b/>
          <w:sz w:val="18"/>
          <w:szCs w:val="18"/>
        </w:rPr>
        <w:t>January 1, 202</w:t>
      </w:r>
      <w:r w:rsidR="00637E53">
        <w:rPr>
          <w:b/>
          <w:sz w:val="18"/>
          <w:szCs w:val="18"/>
        </w:rPr>
        <w:t>1</w:t>
      </w:r>
      <w:r w:rsidRPr="0031505E">
        <w:rPr>
          <w:b/>
          <w:sz w:val="18"/>
          <w:szCs w:val="18"/>
        </w:rPr>
        <w:t xml:space="preserve"> and </w:t>
      </w:r>
      <w:r w:rsidR="00F620D5">
        <w:rPr>
          <w:b/>
          <w:sz w:val="18"/>
          <w:szCs w:val="18"/>
        </w:rPr>
        <w:t>December</w:t>
      </w:r>
      <w:r w:rsidR="00F620D5" w:rsidRPr="0031505E">
        <w:rPr>
          <w:b/>
          <w:sz w:val="18"/>
          <w:szCs w:val="18"/>
        </w:rPr>
        <w:t xml:space="preserve"> </w:t>
      </w:r>
      <w:r w:rsidRPr="0031505E">
        <w:rPr>
          <w:b/>
          <w:sz w:val="18"/>
          <w:szCs w:val="18"/>
        </w:rPr>
        <w:t>3</w:t>
      </w:r>
      <w:r w:rsidR="00F620D5">
        <w:rPr>
          <w:b/>
          <w:sz w:val="18"/>
          <w:szCs w:val="18"/>
        </w:rPr>
        <w:t>1</w:t>
      </w:r>
      <w:r w:rsidRPr="0031505E">
        <w:rPr>
          <w:b/>
          <w:sz w:val="18"/>
          <w:szCs w:val="18"/>
        </w:rPr>
        <w:t>, 20</w:t>
      </w:r>
      <w:r w:rsidR="00ED0F4C">
        <w:rPr>
          <w:b/>
          <w:sz w:val="18"/>
          <w:szCs w:val="18"/>
        </w:rPr>
        <w:t>2</w:t>
      </w:r>
      <w:r w:rsidR="00637E53">
        <w:rPr>
          <w:b/>
          <w:sz w:val="18"/>
          <w:szCs w:val="18"/>
        </w:rPr>
        <w:t>1</w:t>
      </w:r>
    </w:p>
    <w:tbl>
      <w:tblPr>
        <w:tblStyle w:val="GridTable4-Accent1"/>
        <w:tblW w:w="9440" w:type="dxa"/>
        <w:tblLook w:val="04A0" w:firstRow="1" w:lastRow="0" w:firstColumn="1" w:lastColumn="0" w:noHBand="0" w:noVBand="1"/>
        <w:tblCaption w:val="Table 2"/>
        <w:tblDescription w:val="Movement of Recommendations between January 1, 2021 and December 31, 2021"/>
      </w:tblPr>
      <w:tblGrid>
        <w:gridCol w:w="3522"/>
        <w:gridCol w:w="1592"/>
        <w:gridCol w:w="1517"/>
        <w:gridCol w:w="1461"/>
        <w:gridCol w:w="1348"/>
      </w:tblGrid>
      <w:tr w:rsidR="007E72F5" w:rsidRPr="00F620D5" w14:paraId="49F1F4FB" w14:textId="77777777" w:rsidTr="00335B35">
        <w:trPr>
          <w:cnfStyle w:val="100000000000" w:firstRow="1" w:lastRow="0" w:firstColumn="0" w:lastColumn="0" w:oddVBand="0" w:evenVBand="0" w:oddHBand="0" w:evenHBand="0" w:firstRowFirstColumn="0" w:firstRowLastColumn="0" w:lastRowFirstColumn="0" w:lastRowLastColumn="0"/>
          <w:trHeight w:val="711"/>
          <w:tblHeader/>
        </w:trPr>
        <w:tc>
          <w:tcPr>
            <w:cnfStyle w:val="001000000000" w:firstRow="0" w:lastRow="0" w:firstColumn="1" w:lastColumn="0" w:oddVBand="0" w:evenVBand="0" w:oddHBand="0" w:evenHBand="0" w:firstRowFirstColumn="0" w:firstRowLastColumn="0" w:lastRowFirstColumn="0" w:lastRowLastColumn="0"/>
            <w:tcW w:w="3522" w:type="dxa"/>
            <w:noWrap/>
            <w:hideMark/>
          </w:tcPr>
          <w:p w14:paraId="2B46899F" w14:textId="77777777" w:rsidR="00F620D5" w:rsidRPr="00F620D5" w:rsidRDefault="00F620D5" w:rsidP="00F620D5">
            <w:pPr>
              <w:rPr>
                <w:rFonts w:eastAsia="Times New Roman"/>
                <w:b w:val="0"/>
                <w:bCs w:val="0"/>
                <w:color w:val="000000"/>
                <w:sz w:val="20"/>
                <w:lang w:eastAsia="en-US"/>
              </w:rPr>
            </w:pPr>
            <w:r w:rsidRPr="00F620D5">
              <w:rPr>
                <w:rFonts w:eastAsia="Times New Roman"/>
                <w:color w:val="000000"/>
                <w:sz w:val="20"/>
                <w:lang w:eastAsia="en-US"/>
              </w:rPr>
              <w:t>Source</w:t>
            </w:r>
          </w:p>
        </w:tc>
        <w:tc>
          <w:tcPr>
            <w:tcW w:w="1592" w:type="dxa"/>
            <w:hideMark/>
          </w:tcPr>
          <w:p w14:paraId="4C1A70A7" w14:textId="77777777" w:rsidR="00F620D5" w:rsidRPr="00F620D5" w:rsidRDefault="00F620D5" w:rsidP="005C514B">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r w:rsidRPr="00F620D5">
              <w:rPr>
                <w:rFonts w:eastAsia="Times New Roman"/>
                <w:color w:val="000000"/>
                <w:sz w:val="20"/>
                <w:lang w:eastAsia="en-US"/>
              </w:rPr>
              <w:t xml:space="preserve">Open as at </w:t>
            </w:r>
            <w:r w:rsidR="005C514B">
              <w:rPr>
                <w:rFonts w:eastAsia="Times New Roman"/>
                <w:color w:val="000000"/>
                <w:sz w:val="20"/>
                <w:lang w:eastAsia="en-US"/>
              </w:rPr>
              <w:t>January 1, 202</w:t>
            </w:r>
            <w:r w:rsidR="00637E53">
              <w:rPr>
                <w:rFonts w:eastAsia="Times New Roman"/>
                <w:color w:val="000000"/>
                <w:sz w:val="20"/>
                <w:lang w:eastAsia="en-US"/>
              </w:rPr>
              <w:t>1</w:t>
            </w:r>
          </w:p>
        </w:tc>
        <w:tc>
          <w:tcPr>
            <w:tcW w:w="1517" w:type="dxa"/>
            <w:hideMark/>
          </w:tcPr>
          <w:p w14:paraId="2D6092FB" w14:textId="77777777" w:rsidR="00F620D5" w:rsidRPr="00F620D5" w:rsidRDefault="00F620D5" w:rsidP="00F620D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r w:rsidRPr="00F620D5">
              <w:rPr>
                <w:rFonts w:eastAsia="Times New Roman"/>
                <w:color w:val="000000"/>
                <w:sz w:val="20"/>
                <w:lang w:eastAsia="en-US"/>
              </w:rPr>
              <w:t>Added During the Period</w:t>
            </w:r>
          </w:p>
        </w:tc>
        <w:tc>
          <w:tcPr>
            <w:tcW w:w="1461" w:type="dxa"/>
            <w:hideMark/>
          </w:tcPr>
          <w:p w14:paraId="6CF378A1" w14:textId="77777777" w:rsidR="00F620D5" w:rsidRPr="00F620D5" w:rsidRDefault="00F620D5" w:rsidP="00F620D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r w:rsidRPr="00F620D5">
              <w:rPr>
                <w:rFonts w:eastAsia="Times New Roman"/>
                <w:color w:val="000000"/>
                <w:sz w:val="20"/>
                <w:lang w:eastAsia="en-US"/>
              </w:rPr>
              <w:t>Closed During the Period</w:t>
            </w:r>
          </w:p>
        </w:tc>
        <w:tc>
          <w:tcPr>
            <w:tcW w:w="1348" w:type="dxa"/>
            <w:hideMark/>
          </w:tcPr>
          <w:p w14:paraId="5367A356" w14:textId="77777777" w:rsidR="00F620D5" w:rsidRPr="00F620D5" w:rsidRDefault="00F620D5" w:rsidP="00F620D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r w:rsidRPr="00F620D5">
              <w:rPr>
                <w:rFonts w:eastAsia="Times New Roman"/>
                <w:color w:val="000000"/>
                <w:sz w:val="20"/>
                <w:lang w:eastAsia="en-US"/>
              </w:rPr>
              <w:t>Open as at December 31, 20</w:t>
            </w:r>
            <w:r w:rsidR="005C514B">
              <w:rPr>
                <w:rFonts w:eastAsia="Times New Roman"/>
                <w:color w:val="000000"/>
                <w:sz w:val="20"/>
                <w:lang w:eastAsia="en-US"/>
              </w:rPr>
              <w:t>2</w:t>
            </w:r>
            <w:r w:rsidR="00637E53">
              <w:rPr>
                <w:rFonts w:eastAsia="Times New Roman"/>
                <w:color w:val="000000"/>
                <w:sz w:val="20"/>
                <w:lang w:eastAsia="en-US"/>
              </w:rPr>
              <w:t>1</w:t>
            </w:r>
          </w:p>
        </w:tc>
      </w:tr>
      <w:tr w:rsidR="00F620D5" w:rsidRPr="00F620D5" w14:paraId="4AA6F026" w14:textId="77777777" w:rsidTr="00335B3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625019BF" w14:textId="77777777" w:rsidR="00F620D5" w:rsidRPr="00F620D5" w:rsidRDefault="00F620D5" w:rsidP="00F620D5">
            <w:pPr>
              <w:rPr>
                <w:rFonts w:eastAsia="Times New Roman"/>
                <w:b w:val="0"/>
                <w:bCs w:val="0"/>
                <w:color w:val="000000"/>
                <w:sz w:val="20"/>
                <w:lang w:eastAsia="en-US"/>
              </w:rPr>
            </w:pPr>
            <w:r w:rsidRPr="00F620D5">
              <w:rPr>
                <w:rFonts w:eastAsia="Times New Roman"/>
                <w:color w:val="000000"/>
                <w:sz w:val="20"/>
                <w:lang w:eastAsia="en-US"/>
              </w:rPr>
              <w:t>IOD</w:t>
            </w:r>
          </w:p>
        </w:tc>
        <w:tc>
          <w:tcPr>
            <w:tcW w:w="1592" w:type="dxa"/>
            <w:noWrap/>
            <w:hideMark/>
          </w:tcPr>
          <w:p w14:paraId="35F8A90D" w14:textId="77777777" w:rsidR="00F620D5" w:rsidRPr="00F620D5" w:rsidRDefault="00637E53"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Pr>
                <w:rFonts w:eastAsia="Times New Roman"/>
                <w:color w:val="000000"/>
                <w:sz w:val="20"/>
                <w:lang w:eastAsia="en-US"/>
              </w:rPr>
              <w:t>82</w:t>
            </w:r>
          </w:p>
        </w:tc>
        <w:tc>
          <w:tcPr>
            <w:tcW w:w="1517" w:type="dxa"/>
            <w:noWrap/>
            <w:hideMark/>
          </w:tcPr>
          <w:p w14:paraId="1F7A2A72" w14:textId="77777777" w:rsidR="00F620D5" w:rsidRPr="00F620D5" w:rsidRDefault="00637E53"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Pr>
                <w:rFonts w:eastAsia="Times New Roman"/>
                <w:color w:val="000000"/>
                <w:sz w:val="20"/>
                <w:lang w:eastAsia="en-US"/>
              </w:rPr>
              <w:t>38</w:t>
            </w:r>
          </w:p>
        </w:tc>
        <w:tc>
          <w:tcPr>
            <w:tcW w:w="1461" w:type="dxa"/>
            <w:noWrap/>
            <w:hideMark/>
          </w:tcPr>
          <w:p w14:paraId="2CBB1F46" w14:textId="77777777" w:rsidR="00F620D5" w:rsidRPr="00F620D5" w:rsidRDefault="00637E53"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Pr>
                <w:rFonts w:eastAsia="Times New Roman"/>
                <w:color w:val="000000"/>
                <w:sz w:val="20"/>
                <w:lang w:eastAsia="en-US"/>
              </w:rPr>
              <w:t>18</w:t>
            </w:r>
          </w:p>
        </w:tc>
        <w:tc>
          <w:tcPr>
            <w:tcW w:w="1348" w:type="dxa"/>
            <w:noWrap/>
            <w:hideMark/>
          </w:tcPr>
          <w:p w14:paraId="21AB7B53" w14:textId="77777777" w:rsidR="00F620D5" w:rsidRPr="00F620D5" w:rsidRDefault="00637E53"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Pr>
                <w:rFonts w:eastAsia="Times New Roman"/>
                <w:color w:val="000000"/>
                <w:sz w:val="20"/>
                <w:lang w:eastAsia="en-US"/>
              </w:rPr>
              <w:t>102</w:t>
            </w:r>
          </w:p>
        </w:tc>
      </w:tr>
      <w:tr w:rsidR="00F620D5" w:rsidRPr="00F620D5" w14:paraId="480F14FA" w14:textId="77777777" w:rsidTr="00335B35">
        <w:trPr>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0157C936" w14:textId="77777777" w:rsidR="00F620D5" w:rsidRPr="00F620D5" w:rsidRDefault="00F620D5" w:rsidP="00F620D5">
            <w:pPr>
              <w:rPr>
                <w:rFonts w:eastAsia="Times New Roman"/>
                <w:b w:val="0"/>
                <w:bCs w:val="0"/>
                <w:color w:val="000000"/>
                <w:sz w:val="20"/>
                <w:lang w:eastAsia="en-US"/>
              </w:rPr>
            </w:pPr>
            <w:r w:rsidRPr="00F620D5">
              <w:rPr>
                <w:rFonts w:eastAsia="Times New Roman"/>
                <w:color w:val="000000"/>
                <w:sz w:val="20"/>
                <w:lang w:eastAsia="en-US"/>
              </w:rPr>
              <w:t>External Auditor (EA)</w:t>
            </w:r>
          </w:p>
        </w:tc>
        <w:tc>
          <w:tcPr>
            <w:tcW w:w="1592" w:type="dxa"/>
            <w:noWrap/>
            <w:hideMark/>
          </w:tcPr>
          <w:p w14:paraId="1FCEC335" w14:textId="77777777" w:rsidR="00F620D5" w:rsidRPr="00F620D5" w:rsidRDefault="00637E53"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Pr>
                <w:rFonts w:eastAsia="Times New Roman"/>
                <w:color w:val="000000"/>
                <w:sz w:val="20"/>
                <w:lang w:eastAsia="en-US"/>
              </w:rPr>
              <w:t>20</w:t>
            </w:r>
          </w:p>
        </w:tc>
        <w:tc>
          <w:tcPr>
            <w:tcW w:w="1517" w:type="dxa"/>
            <w:noWrap/>
            <w:hideMark/>
          </w:tcPr>
          <w:p w14:paraId="5A2390A2" w14:textId="77777777" w:rsidR="00F620D5" w:rsidRPr="00F620D5" w:rsidRDefault="00637E53"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Pr>
                <w:rFonts w:eastAsia="Times New Roman"/>
                <w:color w:val="000000"/>
                <w:sz w:val="20"/>
                <w:lang w:eastAsia="en-US"/>
              </w:rPr>
              <w:t>11</w:t>
            </w:r>
          </w:p>
        </w:tc>
        <w:tc>
          <w:tcPr>
            <w:tcW w:w="1461" w:type="dxa"/>
            <w:noWrap/>
            <w:hideMark/>
          </w:tcPr>
          <w:p w14:paraId="21708E07" w14:textId="77777777" w:rsidR="00F620D5" w:rsidRPr="00F620D5" w:rsidRDefault="005C514B"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Pr>
                <w:rFonts w:eastAsia="Times New Roman"/>
                <w:color w:val="000000"/>
                <w:sz w:val="20"/>
                <w:lang w:eastAsia="en-US"/>
              </w:rPr>
              <w:t>9</w:t>
            </w:r>
          </w:p>
        </w:tc>
        <w:tc>
          <w:tcPr>
            <w:tcW w:w="1348" w:type="dxa"/>
            <w:noWrap/>
            <w:hideMark/>
          </w:tcPr>
          <w:p w14:paraId="76056560" w14:textId="77777777" w:rsidR="00F620D5" w:rsidRPr="00F620D5" w:rsidRDefault="00637E53"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Pr>
                <w:rFonts w:eastAsia="Times New Roman"/>
                <w:color w:val="000000"/>
                <w:sz w:val="20"/>
                <w:lang w:eastAsia="en-US"/>
              </w:rPr>
              <w:t>22</w:t>
            </w:r>
          </w:p>
        </w:tc>
      </w:tr>
      <w:tr w:rsidR="00F620D5" w:rsidRPr="00F620D5" w14:paraId="615F82F5" w14:textId="77777777" w:rsidTr="00335B3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05A49377" w14:textId="77777777" w:rsidR="00F620D5" w:rsidRPr="00F620D5" w:rsidRDefault="00F620D5" w:rsidP="00F620D5">
            <w:pPr>
              <w:rPr>
                <w:rFonts w:eastAsia="Times New Roman"/>
                <w:b w:val="0"/>
                <w:bCs w:val="0"/>
                <w:color w:val="000000"/>
                <w:sz w:val="20"/>
                <w:lang w:eastAsia="en-US"/>
              </w:rPr>
            </w:pPr>
            <w:r w:rsidRPr="00F620D5">
              <w:rPr>
                <w:rFonts w:eastAsia="Times New Roman"/>
                <w:color w:val="000000"/>
                <w:sz w:val="20"/>
                <w:lang w:eastAsia="en-US"/>
              </w:rPr>
              <w:t>IAOC</w:t>
            </w:r>
          </w:p>
        </w:tc>
        <w:tc>
          <w:tcPr>
            <w:tcW w:w="1592" w:type="dxa"/>
            <w:noWrap/>
            <w:hideMark/>
          </w:tcPr>
          <w:p w14:paraId="15B9EB23" w14:textId="77777777" w:rsidR="00F620D5" w:rsidRPr="00F620D5" w:rsidRDefault="005C514B"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Pr>
                <w:rFonts w:eastAsia="Times New Roman"/>
                <w:color w:val="000000"/>
                <w:sz w:val="20"/>
                <w:lang w:eastAsia="en-US"/>
              </w:rPr>
              <w:t>1</w:t>
            </w:r>
          </w:p>
        </w:tc>
        <w:tc>
          <w:tcPr>
            <w:tcW w:w="1517" w:type="dxa"/>
            <w:noWrap/>
            <w:hideMark/>
          </w:tcPr>
          <w:p w14:paraId="187E6C51" w14:textId="77777777" w:rsidR="00F620D5" w:rsidRPr="00F620D5" w:rsidRDefault="00F620D5"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F620D5">
              <w:rPr>
                <w:rFonts w:eastAsia="Times New Roman"/>
                <w:color w:val="000000"/>
                <w:sz w:val="20"/>
                <w:lang w:eastAsia="en-US"/>
              </w:rPr>
              <w:t>0</w:t>
            </w:r>
          </w:p>
        </w:tc>
        <w:tc>
          <w:tcPr>
            <w:tcW w:w="1461" w:type="dxa"/>
            <w:noWrap/>
            <w:hideMark/>
          </w:tcPr>
          <w:p w14:paraId="450E27A8" w14:textId="77777777" w:rsidR="00F620D5" w:rsidRPr="00F620D5" w:rsidRDefault="00ED0F4C"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Pr>
                <w:rFonts w:eastAsia="Times New Roman"/>
                <w:color w:val="000000"/>
                <w:sz w:val="20"/>
                <w:lang w:eastAsia="en-US"/>
              </w:rPr>
              <w:t>0</w:t>
            </w:r>
          </w:p>
        </w:tc>
        <w:tc>
          <w:tcPr>
            <w:tcW w:w="1348" w:type="dxa"/>
            <w:noWrap/>
            <w:hideMark/>
          </w:tcPr>
          <w:p w14:paraId="4B1435C4" w14:textId="77777777" w:rsidR="00F620D5" w:rsidRPr="00F620D5" w:rsidRDefault="00F620D5"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F620D5">
              <w:rPr>
                <w:rFonts w:eastAsia="Times New Roman"/>
                <w:color w:val="000000"/>
                <w:sz w:val="20"/>
                <w:lang w:eastAsia="en-US"/>
              </w:rPr>
              <w:t>1</w:t>
            </w:r>
          </w:p>
        </w:tc>
      </w:tr>
      <w:tr w:rsidR="00F620D5" w:rsidRPr="00F620D5" w14:paraId="23B0F585" w14:textId="77777777" w:rsidTr="00335B35">
        <w:trPr>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282FDA48" w14:textId="77777777" w:rsidR="00F620D5" w:rsidRPr="00F620D5" w:rsidRDefault="00F620D5" w:rsidP="00F620D5">
            <w:pPr>
              <w:rPr>
                <w:rFonts w:eastAsia="Times New Roman"/>
                <w:b w:val="0"/>
                <w:bCs w:val="0"/>
                <w:color w:val="000000"/>
                <w:sz w:val="20"/>
                <w:lang w:eastAsia="en-US"/>
              </w:rPr>
            </w:pPr>
            <w:r w:rsidRPr="00F620D5">
              <w:rPr>
                <w:rFonts w:eastAsia="Times New Roman"/>
                <w:color w:val="000000"/>
                <w:sz w:val="20"/>
                <w:lang w:eastAsia="en-US"/>
              </w:rPr>
              <w:t>Total</w:t>
            </w:r>
          </w:p>
        </w:tc>
        <w:tc>
          <w:tcPr>
            <w:tcW w:w="1592" w:type="dxa"/>
            <w:noWrap/>
            <w:hideMark/>
          </w:tcPr>
          <w:p w14:paraId="4ED5B780" w14:textId="77777777" w:rsidR="00F620D5" w:rsidRPr="00F620D5" w:rsidRDefault="00637E53"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eastAsia="en-US"/>
              </w:rPr>
            </w:pPr>
            <w:r>
              <w:rPr>
                <w:rFonts w:eastAsia="Times New Roman"/>
                <w:b/>
                <w:bCs/>
                <w:color w:val="000000"/>
                <w:sz w:val="20"/>
                <w:lang w:eastAsia="en-US"/>
              </w:rPr>
              <w:t>103</w:t>
            </w:r>
          </w:p>
        </w:tc>
        <w:tc>
          <w:tcPr>
            <w:tcW w:w="1517" w:type="dxa"/>
            <w:noWrap/>
            <w:hideMark/>
          </w:tcPr>
          <w:p w14:paraId="77ED7DF1" w14:textId="77777777" w:rsidR="00F620D5" w:rsidRPr="00F620D5" w:rsidRDefault="00637E53"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eastAsia="en-US"/>
              </w:rPr>
            </w:pPr>
            <w:r>
              <w:rPr>
                <w:rFonts w:eastAsia="Times New Roman"/>
                <w:b/>
                <w:bCs/>
                <w:color w:val="000000"/>
                <w:sz w:val="20"/>
                <w:lang w:eastAsia="en-US"/>
              </w:rPr>
              <w:t>49</w:t>
            </w:r>
          </w:p>
        </w:tc>
        <w:tc>
          <w:tcPr>
            <w:tcW w:w="1461" w:type="dxa"/>
            <w:noWrap/>
            <w:hideMark/>
          </w:tcPr>
          <w:p w14:paraId="6D057B96" w14:textId="77777777" w:rsidR="00F620D5" w:rsidRPr="00F620D5" w:rsidRDefault="00637E53"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eastAsia="en-US"/>
              </w:rPr>
            </w:pPr>
            <w:r>
              <w:rPr>
                <w:rFonts w:eastAsia="Times New Roman"/>
                <w:b/>
                <w:bCs/>
                <w:color w:val="000000"/>
                <w:sz w:val="20"/>
                <w:lang w:eastAsia="en-US"/>
              </w:rPr>
              <w:t>27</w:t>
            </w:r>
          </w:p>
        </w:tc>
        <w:tc>
          <w:tcPr>
            <w:tcW w:w="1348" w:type="dxa"/>
            <w:noWrap/>
            <w:hideMark/>
          </w:tcPr>
          <w:p w14:paraId="06631F35" w14:textId="23C4ED5C" w:rsidR="00F620D5" w:rsidRPr="00F620D5" w:rsidRDefault="00521D00" w:rsidP="00521D00">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eastAsia="en-US"/>
              </w:rPr>
            </w:pPr>
            <w:r>
              <w:rPr>
                <w:rFonts w:eastAsia="Times New Roman"/>
                <w:b/>
                <w:bCs/>
                <w:color w:val="000000"/>
                <w:sz w:val="20"/>
                <w:lang w:eastAsia="en-US"/>
              </w:rPr>
              <w:t>125</w:t>
            </w:r>
          </w:p>
        </w:tc>
      </w:tr>
    </w:tbl>
    <w:p w14:paraId="56C7AACF" w14:textId="77777777" w:rsidR="008460BA" w:rsidRDefault="008460BA"/>
    <w:p w14:paraId="44F0A995" w14:textId="2C1897E5" w:rsidR="00C46B12" w:rsidRPr="0031505E" w:rsidRDefault="00C46B12" w:rsidP="002C23BF">
      <w:pPr>
        <w:pStyle w:val="ONUME"/>
      </w:pPr>
      <w:r w:rsidRPr="0031505E">
        <w:t>The chart below summarizes the aging of open recommendations as at</w:t>
      </w:r>
      <w:r w:rsidR="001643D3">
        <w:t xml:space="preserve"> </w:t>
      </w:r>
      <w:r w:rsidR="009F4424">
        <w:t>December</w:t>
      </w:r>
      <w:r w:rsidR="009D5455">
        <w:t> </w:t>
      </w:r>
      <w:r w:rsidRPr="0031505E">
        <w:t>3</w:t>
      </w:r>
      <w:r w:rsidR="009F4424">
        <w:t>1</w:t>
      </w:r>
      <w:r w:rsidR="009D5455">
        <w:t>, </w:t>
      </w:r>
      <w:r w:rsidRPr="0031505E">
        <w:t>20</w:t>
      </w:r>
      <w:r w:rsidR="00A70901">
        <w:t>2</w:t>
      </w:r>
      <w:r w:rsidR="00637E53">
        <w:t>1</w:t>
      </w:r>
      <w:r w:rsidRPr="0031505E">
        <w:t>.</w:t>
      </w:r>
    </w:p>
    <w:p w14:paraId="5FA67F8F" w14:textId="77777777" w:rsidR="00C46B12" w:rsidRDefault="00C46B12" w:rsidP="00C46B12">
      <w:pPr>
        <w:pStyle w:val="ONUME"/>
        <w:keepNext/>
        <w:numPr>
          <w:ilvl w:val="0"/>
          <w:numId w:val="0"/>
        </w:numPr>
        <w:spacing w:after="0"/>
        <w:jc w:val="center"/>
        <w:rPr>
          <w:b/>
          <w:sz w:val="18"/>
        </w:rPr>
      </w:pPr>
      <w:r w:rsidRPr="0031505E">
        <w:rPr>
          <w:b/>
          <w:sz w:val="18"/>
        </w:rPr>
        <w:t>Chart 4 – Aging of Open Oversight Recommendations by Priority (</w:t>
      </w:r>
      <w:r w:rsidR="00637E53">
        <w:rPr>
          <w:b/>
          <w:sz w:val="18"/>
          <w:szCs w:val="18"/>
        </w:rPr>
        <w:t>125</w:t>
      </w:r>
      <w:r w:rsidRPr="0031505E">
        <w:rPr>
          <w:b/>
          <w:sz w:val="18"/>
        </w:rPr>
        <w:t>)</w:t>
      </w:r>
    </w:p>
    <w:p w14:paraId="11788744" w14:textId="77777777" w:rsidR="00637E53" w:rsidRDefault="00637E53" w:rsidP="00C46B12">
      <w:pPr>
        <w:pStyle w:val="ONUME"/>
        <w:keepNext/>
        <w:numPr>
          <w:ilvl w:val="0"/>
          <w:numId w:val="0"/>
        </w:numPr>
        <w:spacing w:after="0"/>
        <w:jc w:val="center"/>
        <w:rPr>
          <w:b/>
          <w:sz w:val="18"/>
        </w:rPr>
      </w:pPr>
    </w:p>
    <w:p w14:paraId="57E9E7E9" w14:textId="77777777" w:rsidR="00C46B12" w:rsidRDefault="00637E53" w:rsidP="001E225B">
      <w:pPr>
        <w:pStyle w:val="ONUME"/>
        <w:keepNext/>
        <w:numPr>
          <w:ilvl w:val="0"/>
          <w:numId w:val="0"/>
        </w:numPr>
        <w:spacing w:after="0"/>
        <w:jc w:val="center"/>
        <w:rPr>
          <w:b/>
          <w:sz w:val="18"/>
          <w:szCs w:val="18"/>
        </w:rPr>
      </w:pPr>
      <w:r>
        <w:rPr>
          <w:noProof/>
          <w:lang w:eastAsia="en-US"/>
        </w:rPr>
        <w:drawing>
          <wp:inline distT="0" distB="0" distL="0" distR="0" wp14:anchorId="298CC9A1" wp14:editId="32C3B7CC">
            <wp:extent cx="5019675" cy="2990850"/>
            <wp:effectExtent l="0" t="0" r="9525" b="0"/>
            <wp:docPr id="8" name="Chart 8" descr="Aging of Open Oversight Recommendations by Priority (125)" titl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372B5ED" w14:textId="77777777" w:rsidR="00AE3A27" w:rsidRPr="001E225B" w:rsidRDefault="00AE3A27" w:rsidP="001E225B">
      <w:pPr>
        <w:pStyle w:val="ONUME"/>
        <w:keepNext/>
        <w:numPr>
          <w:ilvl w:val="0"/>
          <w:numId w:val="0"/>
        </w:numPr>
        <w:spacing w:after="0"/>
        <w:jc w:val="center"/>
        <w:rPr>
          <w:b/>
          <w:sz w:val="18"/>
          <w:szCs w:val="18"/>
        </w:rPr>
      </w:pPr>
    </w:p>
    <w:p w14:paraId="22BA2E99" w14:textId="1B187062" w:rsidR="00B23737" w:rsidRDefault="00620FF9" w:rsidP="009D5455">
      <w:pPr>
        <w:pStyle w:val="ONUME"/>
      </w:pPr>
      <w:r>
        <w:t xml:space="preserve">The </w:t>
      </w:r>
      <w:r w:rsidRPr="009D5455">
        <w:t>number</w:t>
      </w:r>
      <w:r>
        <w:t xml:space="preserve"> of </w:t>
      </w:r>
      <w:r w:rsidR="00A739FE">
        <w:t xml:space="preserve">pending </w:t>
      </w:r>
      <w:r>
        <w:t xml:space="preserve">recommendations made </w:t>
      </w:r>
      <w:r w:rsidR="00ED0F4C">
        <w:t xml:space="preserve">between 2013 and 2016 </w:t>
      </w:r>
      <w:r>
        <w:t xml:space="preserve">has reduced from </w:t>
      </w:r>
      <w:r w:rsidR="00097EB8">
        <w:t xml:space="preserve">12 </w:t>
      </w:r>
      <w:r>
        <w:t xml:space="preserve">to </w:t>
      </w:r>
      <w:r w:rsidR="00BB2312">
        <w:t xml:space="preserve">six </w:t>
      </w:r>
      <w:r>
        <w:t>during the reporting period.</w:t>
      </w:r>
      <w:r w:rsidR="009D5455">
        <w:t xml:space="preserve"> </w:t>
      </w:r>
      <w:r>
        <w:t xml:space="preserve"> </w:t>
      </w:r>
      <w:r w:rsidR="00097EB8">
        <w:t xml:space="preserve">Further, there are no open recommendations made prior to 2015 at the reporting date. </w:t>
      </w:r>
      <w:r w:rsidR="00BB2312">
        <w:t xml:space="preserve"> </w:t>
      </w:r>
      <w:r>
        <w:t xml:space="preserve">IOD continues to engage </w:t>
      </w:r>
      <w:r w:rsidR="00B55958">
        <w:t xml:space="preserve">with </w:t>
      </w:r>
      <w:r>
        <w:t xml:space="preserve">management to further reduce aged recommendations. </w:t>
      </w:r>
    </w:p>
    <w:p w14:paraId="6A1F0660" w14:textId="77777777" w:rsidR="00B23737" w:rsidRDefault="00B23737">
      <w:r>
        <w:br w:type="page"/>
      </w:r>
    </w:p>
    <w:p w14:paraId="4F5A7A76" w14:textId="490CA80A" w:rsidR="00C84D33" w:rsidRDefault="00C84D33" w:rsidP="00C84D33">
      <w:pPr>
        <w:pStyle w:val="ONUME"/>
      </w:pPr>
      <w:r w:rsidRPr="0031505E">
        <w:lastRenderedPageBreak/>
        <w:t xml:space="preserve">As at </w:t>
      </w:r>
      <w:r>
        <w:t xml:space="preserve">December 31, </w:t>
      </w:r>
      <w:r w:rsidR="00ED0F4C">
        <w:t>202</w:t>
      </w:r>
      <w:r w:rsidR="00097EB8">
        <w:t>1</w:t>
      </w:r>
      <w:r w:rsidRPr="0031505E">
        <w:t>, the number of open recommendation</w:t>
      </w:r>
      <w:r w:rsidR="002630EC">
        <w:t>s</w:t>
      </w:r>
      <w:r w:rsidRPr="0031505E">
        <w:t xml:space="preserve"> by WIPO Programs</w:t>
      </w:r>
      <w:r w:rsidRPr="0031505E">
        <w:rPr>
          <w:vertAlign w:val="superscript"/>
        </w:rPr>
        <w:footnoteReference w:id="19"/>
      </w:r>
      <w:r w:rsidRPr="0031505E">
        <w:t xml:space="preserve"> and by priority are depicted below: </w:t>
      </w:r>
    </w:p>
    <w:p w14:paraId="44FF78A3" w14:textId="7176B827" w:rsidR="00097EB8" w:rsidRDefault="00C46B12" w:rsidP="00696048">
      <w:pPr>
        <w:pStyle w:val="ONUME"/>
        <w:keepNext/>
        <w:numPr>
          <w:ilvl w:val="0"/>
          <w:numId w:val="0"/>
        </w:numPr>
        <w:spacing w:after="0"/>
        <w:jc w:val="center"/>
      </w:pPr>
      <w:r w:rsidRPr="0031505E">
        <w:rPr>
          <w:b/>
          <w:sz w:val="18"/>
        </w:rPr>
        <w:t>Chart 5 –Recommendations by Program and Priority (</w:t>
      </w:r>
      <w:r w:rsidR="00097EB8">
        <w:rPr>
          <w:b/>
          <w:sz w:val="18"/>
          <w:szCs w:val="18"/>
        </w:rPr>
        <w:t>125</w:t>
      </w:r>
      <w:r w:rsidRPr="0031505E">
        <w:rPr>
          <w:b/>
          <w:sz w:val="18"/>
        </w:rPr>
        <w:t>)</w:t>
      </w:r>
      <w:r w:rsidR="00ED0F4C" w:rsidRPr="00ED0F4C">
        <w:rPr>
          <w:noProof/>
          <w:lang w:eastAsia="en-US"/>
        </w:rPr>
        <w:t xml:space="preserve"> </w:t>
      </w:r>
    </w:p>
    <w:p w14:paraId="0CCBF631" w14:textId="2E62A06B" w:rsidR="00F0390F" w:rsidRPr="0031505E" w:rsidRDefault="00F0390F" w:rsidP="00C46B12">
      <w:pPr>
        <w:pStyle w:val="ONUME"/>
        <w:keepLines/>
        <w:numPr>
          <w:ilvl w:val="0"/>
          <w:numId w:val="0"/>
        </w:numPr>
        <w:spacing w:after="360"/>
        <w:jc w:val="center"/>
      </w:pPr>
      <w:r>
        <w:rPr>
          <w:noProof/>
          <w:lang w:eastAsia="en-US"/>
        </w:rPr>
        <w:drawing>
          <wp:inline distT="0" distB="0" distL="0" distR="0" wp14:anchorId="021201B0" wp14:editId="753C1627">
            <wp:extent cx="5940425" cy="3245485"/>
            <wp:effectExtent l="0" t="0" r="3175" b="12065"/>
            <wp:docPr id="5" name="Chart 5" descr="Recommendations by Programs and Priority (125)" titl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7C3EDF8" w14:textId="341AF7E9" w:rsidR="00C46B12" w:rsidRPr="0031505E" w:rsidRDefault="00A70901" w:rsidP="002C23BF">
      <w:pPr>
        <w:pStyle w:val="ONUME"/>
      </w:pPr>
      <w:r w:rsidRPr="0031505E">
        <w:t>Human Resources Management and Development</w:t>
      </w:r>
      <w:r w:rsidR="000A0B7A">
        <w:t xml:space="preserve"> (Program 23)</w:t>
      </w:r>
      <w:r w:rsidRPr="0031505E">
        <w:t xml:space="preserve"> </w:t>
      </w:r>
      <w:r w:rsidR="000A0B7A">
        <w:t xml:space="preserve">and Program and Resource Management (Program 22) </w:t>
      </w:r>
      <w:r w:rsidR="00696048">
        <w:t xml:space="preserve">together </w:t>
      </w:r>
      <w:r w:rsidR="00C46B12" w:rsidRPr="0031505E">
        <w:t xml:space="preserve">make up </w:t>
      </w:r>
      <w:r w:rsidR="000A0B7A">
        <w:t>52.5</w:t>
      </w:r>
      <w:r w:rsidR="000A0B7A" w:rsidRPr="0031505E">
        <w:t xml:space="preserve"> </w:t>
      </w:r>
      <w:r w:rsidR="00C46B12" w:rsidRPr="0031505E">
        <w:t xml:space="preserve">per cent of the </w:t>
      </w:r>
      <w:r w:rsidR="000A0B7A">
        <w:t>40</w:t>
      </w:r>
      <w:r w:rsidR="000A0B7A" w:rsidRPr="0031505E">
        <w:t xml:space="preserve"> </w:t>
      </w:r>
      <w:r w:rsidR="00C46B12" w:rsidRPr="0031505E">
        <w:t>high priority recommendations</w:t>
      </w:r>
      <w:r w:rsidR="00F0390F">
        <w:t xml:space="preserve"> at the reporting date.</w:t>
      </w:r>
    </w:p>
    <w:p w14:paraId="528CF405" w14:textId="77777777" w:rsidR="00C46B12" w:rsidRPr="00E32ADE" w:rsidRDefault="00C46B12" w:rsidP="00C46B12">
      <w:pPr>
        <w:pStyle w:val="Heading1"/>
      </w:pPr>
      <w:bookmarkStart w:id="43" w:name="_Toc39071252"/>
      <w:bookmarkStart w:id="44" w:name="_Toc100660231"/>
      <w:r w:rsidRPr="00E32ADE">
        <w:t>C</w:t>
      </w:r>
      <w:r>
        <w:t>ONSULTATIVE AND ADVISORY</w:t>
      </w:r>
      <w:r w:rsidRPr="00E32ADE">
        <w:t xml:space="preserve"> OVERSIGHT WORK</w:t>
      </w:r>
      <w:bookmarkEnd w:id="43"/>
      <w:bookmarkEnd w:id="44"/>
    </w:p>
    <w:p w14:paraId="047A551D" w14:textId="77777777" w:rsidR="00C84D33" w:rsidRDefault="00C84D33" w:rsidP="00252695">
      <w:pPr>
        <w:pStyle w:val="ONUME"/>
      </w:pPr>
      <w:r w:rsidRPr="00D00CC1">
        <w:t>As part of its advisory services, IOD continued to provide advice as requested on policy documents, evaluations, business processes or the regulatory framework.</w:t>
      </w:r>
    </w:p>
    <w:p w14:paraId="641FDF39" w14:textId="14ED8CBE" w:rsidR="00AE3A27" w:rsidRDefault="00AE3A27" w:rsidP="00252695">
      <w:pPr>
        <w:pStyle w:val="ONUME"/>
      </w:pPr>
      <w:r>
        <w:t>The Internal Audit and Investigation Sections advised the working group set</w:t>
      </w:r>
      <w:r w:rsidR="00057F57">
        <w:t xml:space="preserve"> </w:t>
      </w:r>
      <w:r>
        <w:t xml:space="preserve">up to review and update the WIPO Regulatory Framework of Administrative Issuances, with a view to </w:t>
      </w:r>
      <w:r w:rsidR="000A0B7A">
        <w:t>streamlin</w:t>
      </w:r>
      <w:r w:rsidR="00C979B5">
        <w:t>ing</w:t>
      </w:r>
      <w:r w:rsidR="000A0B7A">
        <w:t xml:space="preserve"> the framework, and </w:t>
      </w:r>
      <w:r>
        <w:t>align</w:t>
      </w:r>
      <w:r w:rsidR="00C979B5">
        <w:t>ing it</w:t>
      </w:r>
      <w:r>
        <w:t xml:space="preserve"> with</w:t>
      </w:r>
      <w:r w:rsidR="005F7359">
        <w:t>,</w:t>
      </w:r>
      <w:r>
        <w:t xml:space="preserve"> </w:t>
      </w:r>
      <w:r w:rsidR="000A0B7A">
        <w:t xml:space="preserve">among others, </w:t>
      </w:r>
      <w:r>
        <w:t xml:space="preserve">the evolving </w:t>
      </w:r>
      <w:r w:rsidR="000A0B7A">
        <w:t xml:space="preserve">communication </w:t>
      </w:r>
      <w:r>
        <w:t xml:space="preserve">culture of the Organization. </w:t>
      </w:r>
    </w:p>
    <w:p w14:paraId="2681BF59" w14:textId="286AF9F8" w:rsidR="00E55C84" w:rsidRPr="00E55C84" w:rsidRDefault="00CF4270" w:rsidP="00E55C84">
      <w:pPr>
        <w:pStyle w:val="ONUME"/>
      </w:pPr>
      <w:r>
        <w:t xml:space="preserve">The </w:t>
      </w:r>
      <w:r w:rsidR="00BB2312">
        <w:t>E</w:t>
      </w:r>
      <w:r>
        <w:t xml:space="preserve">valuation </w:t>
      </w:r>
      <w:r w:rsidR="00BB2312">
        <w:t>S</w:t>
      </w:r>
      <w:r>
        <w:t xml:space="preserve">ection </w:t>
      </w:r>
      <w:r w:rsidR="004D6E26">
        <w:t xml:space="preserve">advised </w:t>
      </w:r>
      <w:r w:rsidR="00C979B5">
        <w:t xml:space="preserve">on </w:t>
      </w:r>
      <w:r w:rsidR="004D6E26">
        <w:t xml:space="preserve">the design phase of the </w:t>
      </w:r>
      <w:r w:rsidR="00C979B5">
        <w:t xml:space="preserve">external evaluation of </w:t>
      </w:r>
      <w:r>
        <w:t>WIPO R</w:t>
      </w:r>
      <w:r w:rsidR="00484B9E">
        <w:t>e</w:t>
      </w:r>
      <w:r>
        <w:t>:</w:t>
      </w:r>
      <w:r w:rsidR="00484B9E">
        <w:t>S</w:t>
      </w:r>
      <w:r>
        <w:t>earch</w:t>
      </w:r>
      <w:r w:rsidR="004D6E26">
        <w:t xml:space="preserve">. </w:t>
      </w:r>
      <w:r w:rsidR="00E967B7">
        <w:t xml:space="preserve"> </w:t>
      </w:r>
      <w:r w:rsidR="00057F57">
        <w:t>T</w:t>
      </w:r>
      <w:r w:rsidR="00E55C84" w:rsidRPr="00E55C84">
        <w:t>his advisory</w:t>
      </w:r>
      <w:r w:rsidR="00673685">
        <w:t xml:space="preserve"> assignment</w:t>
      </w:r>
      <w:r w:rsidR="00E55C84" w:rsidRPr="00E55C84">
        <w:t xml:space="preserve"> consisted </w:t>
      </w:r>
      <w:r w:rsidR="00BB2312">
        <w:t>of</w:t>
      </w:r>
      <w:r w:rsidR="00E55C84" w:rsidRPr="00E55C84">
        <w:t xml:space="preserve"> providing technical quality assurance o</w:t>
      </w:r>
      <w:r w:rsidR="004D6E26">
        <w:t>n</w:t>
      </w:r>
      <w:r w:rsidR="00E55C84" w:rsidRPr="00E55C84">
        <w:t xml:space="preserve"> the terms of reference </w:t>
      </w:r>
      <w:r w:rsidR="00057F57">
        <w:t>of</w:t>
      </w:r>
      <w:r w:rsidR="00057F57" w:rsidRPr="00E55C84">
        <w:t xml:space="preserve"> </w:t>
      </w:r>
      <w:r w:rsidR="00E55C84" w:rsidRPr="00E55C84">
        <w:t>the external evaluation</w:t>
      </w:r>
      <w:r w:rsidR="00E55C84">
        <w:t xml:space="preserve"> that </w:t>
      </w:r>
      <w:r w:rsidR="00E55C84" w:rsidRPr="00E55C84">
        <w:t>WIPO R</w:t>
      </w:r>
      <w:r w:rsidR="00484B9E">
        <w:t>e</w:t>
      </w:r>
      <w:r w:rsidR="00696048">
        <w:t>:</w:t>
      </w:r>
      <w:r w:rsidR="00484B9E">
        <w:t>S</w:t>
      </w:r>
      <w:r w:rsidR="00E55C84" w:rsidRPr="00E55C84">
        <w:t>earch</w:t>
      </w:r>
      <w:r w:rsidR="00E55C84">
        <w:t xml:space="preserve"> </w:t>
      </w:r>
      <w:r w:rsidR="00057F57">
        <w:t>undertook</w:t>
      </w:r>
      <w:r w:rsidR="00E55C84" w:rsidRPr="00E55C84">
        <w:t>.</w:t>
      </w:r>
    </w:p>
    <w:p w14:paraId="5A968F59" w14:textId="2679D53A" w:rsidR="00CF4270" w:rsidRDefault="00CF4270" w:rsidP="009E7402">
      <w:pPr>
        <w:pStyle w:val="ONUME"/>
      </w:pPr>
      <w:r>
        <w:t xml:space="preserve">The evaluation </w:t>
      </w:r>
      <w:r w:rsidR="009C17F1">
        <w:t>has completed</w:t>
      </w:r>
      <w:r>
        <w:t xml:space="preserve"> </w:t>
      </w:r>
      <w:r w:rsidR="004D6E26">
        <w:t>two advisor</w:t>
      </w:r>
      <w:r w:rsidR="0035095D">
        <w:t>y</w:t>
      </w:r>
      <w:r w:rsidR="004D6E26">
        <w:t xml:space="preserve"> </w:t>
      </w:r>
      <w:r w:rsidR="0035095D">
        <w:t xml:space="preserve">assignments </w:t>
      </w:r>
      <w:r>
        <w:t>in 2021.</w:t>
      </w:r>
      <w:r w:rsidR="009E7402">
        <w:t xml:space="preserve"> </w:t>
      </w:r>
      <w:r>
        <w:t xml:space="preserve"> The </w:t>
      </w:r>
      <w:r w:rsidRPr="00CA33F3">
        <w:t xml:space="preserve">first </w:t>
      </w:r>
      <w:r w:rsidR="00CA33F3">
        <w:t>assignment</w:t>
      </w:r>
      <w:r>
        <w:t xml:space="preserve"> provides advice on the process, quality and inputs for a technical tool that covers development sector activities in </w:t>
      </w:r>
      <w:r w:rsidR="009E7402">
        <w:t>regard to benchmarking and self</w:t>
      </w:r>
      <w:r w:rsidR="009E7402">
        <w:noBreakHyphen/>
      </w:r>
      <w:r>
        <w:t xml:space="preserve">evaluation of </w:t>
      </w:r>
      <w:r w:rsidR="00BB2312">
        <w:t>NIPS</w:t>
      </w:r>
      <w:r>
        <w:t xml:space="preserve">. </w:t>
      </w:r>
      <w:r w:rsidR="009E7402">
        <w:t xml:space="preserve"> </w:t>
      </w:r>
      <w:r>
        <w:t xml:space="preserve">The </w:t>
      </w:r>
      <w:r w:rsidRPr="00CA33F3">
        <w:t xml:space="preserve">second </w:t>
      </w:r>
      <w:r>
        <w:t>aims at streamlining and review</w:t>
      </w:r>
      <w:r w:rsidR="00222C8D">
        <w:t>ing</w:t>
      </w:r>
      <w:r>
        <w:t xml:space="preserve"> existing self-evaluation elements for the Division of Latin American Countries, to enhance effectiveness, decision making, and reporting o</w:t>
      </w:r>
      <w:r w:rsidR="004D6E26">
        <w:t>n</w:t>
      </w:r>
      <w:r>
        <w:t xml:space="preserve"> results.</w:t>
      </w:r>
    </w:p>
    <w:p w14:paraId="5D063740" w14:textId="77777777" w:rsidR="00C46B12" w:rsidRPr="00E32ADE" w:rsidRDefault="00C46B12" w:rsidP="00AC38B6">
      <w:pPr>
        <w:pStyle w:val="Heading1"/>
      </w:pPr>
      <w:bookmarkStart w:id="45" w:name="_Toc39071253"/>
      <w:bookmarkStart w:id="46" w:name="_Toc100660232"/>
      <w:r w:rsidRPr="00DD5EA8">
        <w:lastRenderedPageBreak/>
        <w:t>COOPERATION WITH EXTERNAL OVERSIGHT BODIES</w:t>
      </w:r>
      <w:bookmarkEnd w:id="45"/>
      <w:bookmarkEnd w:id="46"/>
      <w:r w:rsidRPr="00E32ADE">
        <w:t xml:space="preserve"> </w:t>
      </w:r>
    </w:p>
    <w:p w14:paraId="52827DFF" w14:textId="5C339838" w:rsidR="00C46B12" w:rsidRPr="00E32ADE" w:rsidRDefault="00C46B12" w:rsidP="00315F3C">
      <w:pPr>
        <w:pStyle w:val="Heading2"/>
      </w:pPr>
      <w:r w:rsidRPr="00E32ADE">
        <w:t xml:space="preserve">The Independent Advisory Oversight Committee </w:t>
      </w:r>
      <w:r>
        <w:t>(IAOC)</w:t>
      </w:r>
    </w:p>
    <w:p w14:paraId="7328811E" w14:textId="16E2297E" w:rsidR="00B129CD" w:rsidRPr="00E32ADE" w:rsidRDefault="00C46B12" w:rsidP="00B129CD">
      <w:pPr>
        <w:pStyle w:val="ONUME"/>
      </w:pPr>
      <w:r w:rsidRPr="00E32ADE">
        <w:t xml:space="preserve">IOD has regularly </w:t>
      </w:r>
      <w:r>
        <w:t>attended the sessions of</w:t>
      </w:r>
      <w:r w:rsidRPr="00E32ADE">
        <w:t xml:space="preserve"> the IAOC</w:t>
      </w:r>
      <w:r>
        <w:t>, reporting on the implementation of the internal oversight plan, discussing oversight results and other aspects</w:t>
      </w:r>
      <w:r w:rsidRPr="00E32ADE">
        <w:t xml:space="preserve"> concerning the work and fu</w:t>
      </w:r>
      <w:r>
        <w:t>nctioning of the Division, and seeking the IAOC</w:t>
      </w:r>
      <w:r w:rsidR="008E49F1">
        <w:t>’</w:t>
      </w:r>
      <w:r>
        <w:t>s advice.  I</w:t>
      </w:r>
      <w:r w:rsidRPr="00E32ADE">
        <w:t>n the period covered by this report</w:t>
      </w:r>
      <w:r w:rsidR="0022679E">
        <w:t>,</w:t>
      </w:r>
      <w:r w:rsidR="00B129CD" w:rsidRPr="00755DDD">
        <w:t xml:space="preserve"> </w:t>
      </w:r>
      <w:r w:rsidR="00B129CD">
        <w:t>four sessions (</w:t>
      </w:r>
      <w:r w:rsidR="00935002">
        <w:t>60</w:t>
      </w:r>
      <w:r w:rsidR="00B129CD" w:rsidRPr="00252695">
        <w:rPr>
          <w:vertAlign w:val="superscript"/>
        </w:rPr>
        <w:t>th</w:t>
      </w:r>
      <w:r w:rsidR="00B129CD">
        <w:t xml:space="preserve"> to </w:t>
      </w:r>
      <w:r w:rsidR="00935002">
        <w:t>63</w:t>
      </w:r>
      <w:r w:rsidR="00696048">
        <w:rPr>
          <w:vertAlign w:val="superscript"/>
        </w:rPr>
        <w:t>rd</w:t>
      </w:r>
      <w:r w:rsidR="00B129CD">
        <w:t>)</w:t>
      </w:r>
      <w:r w:rsidR="00B129CD" w:rsidRPr="00E32ADE">
        <w:t xml:space="preserve"> of the IAOC</w:t>
      </w:r>
      <w:r w:rsidR="00B129CD" w:rsidRPr="00A077C3">
        <w:t xml:space="preserve"> </w:t>
      </w:r>
      <w:r w:rsidR="00B129CD" w:rsidRPr="00E32ADE">
        <w:t>took place.</w:t>
      </w:r>
    </w:p>
    <w:p w14:paraId="73EE41CC" w14:textId="77777777" w:rsidR="00C46B12" w:rsidRPr="00E32ADE" w:rsidRDefault="00C46B12" w:rsidP="00252695">
      <w:pPr>
        <w:pStyle w:val="Heading2"/>
      </w:pPr>
      <w:r w:rsidRPr="00E32ADE">
        <w:t>The External Auditor</w:t>
      </w:r>
    </w:p>
    <w:p w14:paraId="165F3083" w14:textId="20F5F4D8" w:rsidR="00C46B12" w:rsidRDefault="00C46B12" w:rsidP="002C23BF">
      <w:pPr>
        <w:pStyle w:val="ONUME"/>
      </w:pPr>
      <w:r>
        <w:t xml:space="preserve">IOD maintained good </w:t>
      </w:r>
      <w:r w:rsidRPr="00E32ADE">
        <w:t xml:space="preserve">working </w:t>
      </w:r>
      <w:r>
        <w:t xml:space="preserve">relations </w:t>
      </w:r>
      <w:r w:rsidRPr="00E32ADE">
        <w:t>with the External Auditor</w:t>
      </w:r>
      <w:r>
        <w:t xml:space="preserve"> by having </w:t>
      </w:r>
      <w:r w:rsidRPr="00E32ADE">
        <w:t xml:space="preserve">regular meetings on audit, internal control and risk management issues.  The External Auditor and IOD shared strategies, annual plans and individual reports with a view to ensuring efficient oversight coverage </w:t>
      </w:r>
      <w:r>
        <w:t>while</w:t>
      </w:r>
      <w:r w:rsidRPr="00E32ADE">
        <w:t xml:space="preserve"> avoiding potential duplication</w:t>
      </w:r>
      <w:r>
        <w:t xml:space="preserve"> and oversight fatigue</w:t>
      </w:r>
      <w:r w:rsidRPr="00E32ADE">
        <w:t>.</w:t>
      </w:r>
      <w:r w:rsidR="009E7402">
        <w:t xml:space="preserve"> </w:t>
      </w:r>
      <w:r>
        <w:t xml:space="preserve"> </w:t>
      </w:r>
      <w:r w:rsidR="00A65650" w:rsidRPr="003F2705">
        <w:t xml:space="preserve">IOD </w:t>
      </w:r>
      <w:r w:rsidR="00CF4270">
        <w:t xml:space="preserve">actively </w:t>
      </w:r>
      <w:r w:rsidR="00A65650" w:rsidRPr="003F2705">
        <w:t>engaged with the External Auditor during the</w:t>
      </w:r>
      <w:r w:rsidR="00CF4270">
        <w:t xml:space="preserve"> planning and subsequent implementation of the </w:t>
      </w:r>
      <w:r w:rsidR="00935002" w:rsidRPr="003F2705">
        <w:t>20</w:t>
      </w:r>
      <w:r w:rsidR="00935002">
        <w:t>21</w:t>
      </w:r>
      <w:r w:rsidR="005F7359">
        <w:t xml:space="preserve"> </w:t>
      </w:r>
      <w:r w:rsidR="00CF4270">
        <w:t>engagements, as well as provid</w:t>
      </w:r>
      <w:r w:rsidR="00222C8D">
        <w:t>ing</w:t>
      </w:r>
      <w:r w:rsidR="00CF4270">
        <w:t xml:space="preserve"> </w:t>
      </w:r>
      <w:r w:rsidR="00CF4270" w:rsidRPr="00CA33F3">
        <w:t>inputs</w:t>
      </w:r>
      <w:r w:rsidR="00CF4270">
        <w:t xml:space="preserve"> to the External Auditor as required.  </w:t>
      </w:r>
    </w:p>
    <w:p w14:paraId="5CD4DFBD" w14:textId="77777777" w:rsidR="00C46B12" w:rsidRPr="00AC38B6" w:rsidRDefault="00C46B12" w:rsidP="00315F3C">
      <w:pPr>
        <w:pStyle w:val="Heading2"/>
      </w:pPr>
      <w:r w:rsidRPr="00DD5EA8">
        <w:t>C</w:t>
      </w:r>
      <w:r w:rsidR="00AC38B6" w:rsidRPr="00AC38B6">
        <w:t>ooperation with the ombudsperson and the ethics office</w:t>
      </w:r>
    </w:p>
    <w:p w14:paraId="6D9840CE" w14:textId="77777777" w:rsidR="00C46B12" w:rsidRPr="00E32ADE" w:rsidRDefault="00C46B12" w:rsidP="002C23BF">
      <w:pPr>
        <w:pStyle w:val="ONUME"/>
      </w:pPr>
      <w:r w:rsidRPr="00E32ADE">
        <w:t>During the reporting period, the Director, IOD met regularly with the Ombuds</w:t>
      </w:r>
      <w:r>
        <w:t>person</w:t>
      </w:r>
      <w:r w:rsidRPr="00E32ADE">
        <w:t xml:space="preserve"> and</w:t>
      </w:r>
      <w:r>
        <w:t xml:space="preserve"> with the Chief</w:t>
      </w:r>
      <w:r w:rsidRPr="00E32ADE">
        <w:t xml:space="preserve"> Ethics Office</w:t>
      </w:r>
      <w:r>
        <w:t>r to</w:t>
      </w:r>
      <w:r w:rsidRPr="00E32ADE">
        <w:t xml:space="preserve"> ensure </w:t>
      </w:r>
      <w:r>
        <w:t>good coordination</w:t>
      </w:r>
      <w:r w:rsidRPr="00E32ADE">
        <w:t xml:space="preserve"> and </w:t>
      </w:r>
      <w:r w:rsidRPr="006A3B74">
        <w:t>complementary</w:t>
      </w:r>
      <w:r>
        <w:t xml:space="preserve"> support</w:t>
      </w:r>
      <w:r w:rsidRPr="00E32ADE">
        <w:t>.</w:t>
      </w:r>
    </w:p>
    <w:p w14:paraId="04FB154D" w14:textId="77777777" w:rsidR="00C46B12" w:rsidRPr="00E32ADE" w:rsidRDefault="00C46B12" w:rsidP="00C46B12">
      <w:pPr>
        <w:pStyle w:val="Heading1"/>
      </w:pPr>
      <w:bookmarkStart w:id="47" w:name="_Toc39071254"/>
      <w:bookmarkStart w:id="48" w:name="_Toc100660233"/>
      <w:r w:rsidRPr="00E32ADE">
        <w:t>OTHER OVERSIGHT WORK</w:t>
      </w:r>
      <w:bookmarkEnd w:id="47"/>
      <w:bookmarkEnd w:id="48"/>
    </w:p>
    <w:p w14:paraId="6E185653" w14:textId="322B5E33" w:rsidR="00935002" w:rsidRDefault="00935002" w:rsidP="005F7359">
      <w:pPr>
        <w:pStyle w:val="Heading2"/>
      </w:pPr>
      <w:r>
        <w:t>Migration to TeamMate+</w:t>
      </w:r>
      <w:r w:rsidRPr="00935002">
        <w:t xml:space="preserve"> </w:t>
      </w:r>
    </w:p>
    <w:p w14:paraId="36B49E2C" w14:textId="0B9BF27A" w:rsidR="00935002" w:rsidRPr="00935002" w:rsidRDefault="00935002" w:rsidP="00935002">
      <w:pPr>
        <w:pStyle w:val="ONUME"/>
      </w:pPr>
      <w:r w:rsidRPr="00935002">
        <w:t xml:space="preserve">IOD </w:t>
      </w:r>
      <w:r>
        <w:t>completed the migration</w:t>
      </w:r>
      <w:r w:rsidRPr="00935002">
        <w:t xml:space="preserve"> to </w:t>
      </w:r>
      <w:r>
        <w:t xml:space="preserve">an updated </w:t>
      </w:r>
      <w:r w:rsidRPr="00935002">
        <w:t xml:space="preserve">audit management system TeamMate+, notably used to monitor and report on the implementation of recommendations.  The new system is technologically more up-to-date, with new features that would enhance the risk assessment process, the conduct of engagements, and the management of recommendations.  </w:t>
      </w:r>
    </w:p>
    <w:p w14:paraId="4A24C6BD" w14:textId="77777777" w:rsidR="005C40A8" w:rsidRDefault="005C40A8" w:rsidP="005C40A8">
      <w:pPr>
        <w:pStyle w:val="Heading2"/>
      </w:pPr>
      <w:r>
        <w:t xml:space="preserve">Data </w:t>
      </w:r>
      <w:r w:rsidRPr="005C40A8">
        <w:t xml:space="preserve">Analytics Project </w:t>
      </w:r>
    </w:p>
    <w:p w14:paraId="7FE928CF" w14:textId="5DE617D6" w:rsidR="00935002" w:rsidRDefault="005C40A8" w:rsidP="00A64E8D">
      <w:pPr>
        <w:pStyle w:val="ONUME"/>
      </w:pPr>
      <w:r>
        <w:t xml:space="preserve">IOD has completed the data analytics project that has enhanced the Division’s capacity to conduct continuous auditing exercises.  A pilot exercise is being conducted during the first quarter of 2022, and IOD will subsequently provide regular feedback to management on </w:t>
      </w:r>
      <w:r>
        <w:rPr>
          <w:lang w:val="en"/>
        </w:rPr>
        <w:t>compliance and operational</w:t>
      </w:r>
      <w:r w:rsidRPr="005F52ED">
        <w:rPr>
          <w:lang w:val="en"/>
        </w:rPr>
        <w:t xml:space="preserve"> effectiveness of key controls</w:t>
      </w:r>
      <w:r>
        <w:rPr>
          <w:lang w:val="en"/>
        </w:rPr>
        <w:t xml:space="preserve"> tested through data analytics.</w:t>
      </w:r>
    </w:p>
    <w:p w14:paraId="2ECF7979" w14:textId="77777777" w:rsidR="00C46B12" w:rsidRPr="002150AF" w:rsidRDefault="002150AF" w:rsidP="002150AF">
      <w:pPr>
        <w:pStyle w:val="Heading2"/>
      </w:pPr>
      <w:r>
        <w:t>Outreach Activities in the O</w:t>
      </w:r>
      <w:r w:rsidRPr="00E32ADE">
        <w:t>rganization</w:t>
      </w:r>
    </w:p>
    <w:p w14:paraId="6873DC90" w14:textId="77777777" w:rsidR="00C46B12" w:rsidRPr="00891DF0" w:rsidRDefault="00C46B12" w:rsidP="002C23BF">
      <w:pPr>
        <w:pStyle w:val="ONUME"/>
        <w:rPr>
          <w:bCs/>
          <w:iCs/>
          <w:caps/>
          <w:szCs w:val="28"/>
        </w:rPr>
      </w:pPr>
      <w:r>
        <w:t>As part of its ongoing effort t</w:t>
      </w:r>
      <w:r w:rsidRPr="00E32ADE">
        <w:t xml:space="preserve">o better explain and </w:t>
      </w:r>
      <w:r w:rsidRPr="003533F5">
        <w:t>advocate for</w:t>
      </w:r>
      <w:r w:rsidRPr="00E32ADE">
        <w:t xml:space="preserve"> </w:t>
      </w:r>
      <w:r>
        <w:t>the internal oversight function</w:t>
      </w:r>
      <w:r w:rsidRPr="00E32ADE">
        <w:t>, IOD continue</w:t>
      </w:r>
      <w:r>
        <w:t>d</w:t>
      </w:r>
      <w:r w:rsidRPr="00E32ADE">
        <w:t xml:space="preserve"> to reach out to colleagues</w:t>
      </w:r>
      <w:r>
        <w:t xml:space="preserve"> within WIPO through presentations given to new staff in the induction training, the IOD Newsletter, the IOD Dashboard and presentations to </w:t>
      </w:r>
      <w:r w:rsidR="005C40A8">
        <w:t>Management and Sector Leads</w:t>
      </w:r>
      <w:r>
        <w:t xml:space="preserve"> as and when required. </w:t>
      </w:r>
    </w:p>
    <w:p w14:paraId="3FE176B3" w14:textId="77777777" w:rsidR="00C46B12" w:rsidRPr="002150AF" w:rsidRDefault="002150AF" w:rsidP="002150AF">
      <w:pPr>
        <w:pStyle w:val="Heading2"/>
      </w:pPr>
      <w:r>
        <w:t>Networking with other Oversight F</w:t>
      </w:r>
      <w:r w:rsidRPr="00E32ADE">
        <w:t>unctions</w:t>
      </w:r>
    </w:p>
    <w:p w14:paraId="47938A91" w14:textId="77777777" w:rsidR="00C46B12" w:rsidRPr="00E32ADE" w:rsidRDefault="00C46B12" w:rsidP="002C23BF">
      <w:pPr>
        <w:pStyle w:val="ONUME"/>
      </w:pPr>
      <w:r w:rsidRPr="00E32ADE">
        <w:t xml:space="preserve">The IOC </w:t>
      </w:r>
      <w:r>
        <w:t>includes</w:t>
      </w:r>
      <w:r w:rsidRPr="00E32ADE">
        <w:t xml:space="preserve"> specific provisions</w:t>
      </w:r>
      <w:r>
        <w:rPr>
          <w:rStyle w:val="FootnoteReference"/>
        </w:rPr>
        <w:footnoteReference w:id="20"/>
      </w:r>
      <w:r w:rsidRPr="00E32ADE">
        <w:t xml:space="preserve"> on </w:t>
      </w:r>
      <w:r>
        <w:t>liaising and cooperating with the internal oversight services of other organizations of the UN system and of Multilateral Financial Institutions</w:t>
      </w:r>
      <w:r w:rsidRPr="00E32ADE">
        <w:t xml:space="preserve">.  IOD recognizes the value and importance of developing relationships with its peers.  During the </w:t>
      </w:r>
      <w:r>
        <w:t xml:space="preserve">reporting </w:t>
      </w:r>
      <w:r w:rsidRPr="00E32ADE">
        <w:t>period, IOD continued its active and useful collaboration and networking with other U</w:t>
      </w:r>
      <w:r>
        <w:t>N system O</w:t>
      </w:r>
      <w:r w:rsidRPr="00E32ADE">
        <w:t>rganizations and entities.  In particular</w:t>
      </w:r>
      <w:r w:rsidR="00066818">
        <w:t>,</w:t>
      </w:r>
      <w:r w:rsidRPr="00E32ADE">
        <w:t xml:space="preserve"> IOD actively participated </w:t>
      </w:r>
      <w:r w:rsidR="002C3215">
        <w:t xml:space="preserve">in, and undertook the following: </w:t>
      </w:r>
    </w:p>
    <w:p w14:paraId="0237B8D7" w14:textId="33492AC8" w:rsidR="001A7272" w:rsidRPr="00EB5AF7" w:rsidRDefault="002C3215" w:rsidP="001A7272">
      <w:pPr>
        <w:pStyle w:val="ONUME"/>
        <w:numPr>
          <w:ilvl w:val="1"/>
          <w:numId w:val="2"/>
        </w:numPr>
      </w:pPr>
      <w:r w:rsidRPr="00EB5AF7">
        <w:lastRenderedPageBreak/>
        <w:t xml:space="preserve">The Director of IOD, the Head of </w:t>
      </w:r>
      <w:r w:rsidR="006460F7">
        <w:t xml:space="preserve">the </w:t>
      </w:r>
      <w:r w:rsidRPr="00EB5AF7">
        <w:t>Evaluation</w:t>
      </w:r>
      <w:r w:rsidR="006460F7">
        <w:t xml:space="preserve"> Section</w:t>
      </w:r>
      <w:r w:rsidRPr="00EB5AF7">
        <w:t xml:space="preserve"> and the Senior Evaluation Officer attended and </w:t>
      </w:r>
      <w:r>
        <w:t xml:space="preserve">actively </w:t>
      </w:r>
      <w:r w:rsidRPr="00EB5AF7">
        <w:t xml:space="preserve">participated </w:t>
      </w:r>
      <w:r>
        <w:t>in t</w:t>
      </w:r>
      <w:r w:rsidR="001A7272" w:rsidRPr="00EB5AF7">
        <w:t xml:space="preserve">he 2020 Annual General Meeting of UNEG </w:t>
      </w:r>
      <w:r>
        <w:t xml:space="preserve">which was </w:t>
      </w:r>
      <w:r w:rsidR="001A7272" w:rsidRPr="00EB5AF7">
        <w:t>held virtually on January 21-22, 20</w:t>
      </w:r>
      <w:r w:rsidR="005C40A8">
        <w:t>21</w:t>
      </w:r>
      <w:r w:rsidR="005F7359">
        <w:t>;</w:t>
      </w:r>
    </w:p>
    <w:p w14:paraId="6BBAEB42" w14:textId="33393DAF" w:rsidR="005F7359" w:rsidRDefault="001A7272" w:rsidP="00F116F1">
      <w:pPr>
        <w:pStyle w:val="ONUME"/>
        <w:numPr>
          <w:ilvl w:val="1"/>
          <w:numId w:val="2"/>
        </w:numPr>
      </w:pPr>
      <w:r w:rsidRPr="00EB5AF7">
        <w:t xml:space="preserve">The Head of the </w:t>
      </w:r>
      <w:r w:rsidR="006460F7">
        <w:t>E</w:t>
      </w:r>
      <w:r w:rsidRPr="00EB5AF7">
        <w:t xml:space="preserve">valuation </w:t>
      </w:r>
      <w:r w:rsidR="006460F7">
        <w:t>S</w:t>
      </w:r>
      <w:r w:rsidRPr="00EB5AF7">
        <w:t xml:space="preserve">ection is serving a </w:t>
      </w:r>
      <w:r w:rsidR="009C17F1">
        <w:t>two</w:t>
      </w:r>
      <w:r w:rsidRPr="00EB5AF7">
        <w:t>-year term as Vice Chair and Treasurer of UNEG by supporting decision-making</w:t>
      </w:r>
      <w:r w:rsidR="000C5C92">
        <w:t xml:space="preserve"> and</w:t>
      </w:r>
      <w:r w:rsidRPr="00EB5AF7">
        <w:t xml:space="preserve"> overseeing the implementation of strategic ob</w:t>
      </w:r>
      <w:r w:rsidR="005F7359">
        <w:t xml:space="preserve">jective three of </w:t>
      </w:r>
      <w:r w:rsidR="000C5C92">
        <w:t xml:space="preserve">the </w:t>
      </w:r>
      <w:r w:rsidR="005F7359">
        <w:t>UNEG strategy;</w:t>
      </w:r>
    </w:p>
    <w:p w14:paraId="50552120" w14:textId="6E0FE67F" w:rsidR="001A7272" w:rsidRDefault="001A7272" w:rsidP="00F116F1">
      <w:pPr>
        <w:pStyle w:val="ONUME"/>
        <w:numPr>
          <w:ilvl w:val="1"/>
          <w:numId w:val="2"/>
        </w:numPr>
      </w:pPr>
      <w:r>
        <w:t>The Heads of Investigations and Internal Audit have undertaken teaching assignments in the areas of risk management and the prevention of fraud and corruption to bachelor and master students of lo</w:t>
      </w:r>
      <w:r w:rsidR="005F7359">
        <w:t>cal business schools in Geneva;</w:t>
      </w:r>
    </w:p>
    <w:p w14:paraId="6CE4B977" w14:textId="29557678" w:rsidR="001A7272" w:rsidRDefault="005F7359" w:rsidP="001A7272">
      <w:pPr>
        <w:pStyle w:val="ONUME"/>
        <w:numPr>
          <w:ilvl w:val="1"/>
          <w:numId w:val="2"/>
        </w:numPr>
      </w:pPr>
      <w:r>
        <w:t>IOD</w:t>
      </w:r>
      <w:r w:rsidR="001A7272">
        <w:t xml:space="preserve"> and the UN Office of Internal Oversight Services </w:t>
      </w:r>
      <w:r w:rsidR="002C3215">
        <w:t>jointly conducted an online training session on payment diversion in early March 2021</w:t>
      </w:r>
      <w:r>
        <w:t>;</w:t>
      </w:r>
    </w:p>
    <w:p w14:paraId="1DABF934" w14:textId="2588B1FE" w:rsidR="00950C25" w:rsidRPr="00950C25" w:rsidRDefault="001A7272" w:rsidP="006460F7">
      <w:pPr>
        <w:pStyle w:val="ONUME"/>
        <w:numPr>
          <w:ilvl w:val="1"/>
          <w:numId w:val="2"/>
        </w:numPr>
      </w:pPr>
      <w:r>
        <w:t>O</w:t>
      </w:r>
      <w:r w:rsidRPr="00950C25">
        <w:t>n June 24</w:t>
      </w:r>
      <w:r>
        <w:t>,</w:t>
      </w:r>
      <w:r w:rsidR="005C40A8">
        <w:t xml:space="preserve"> 2021</w:t>
      </w:r>
      <w:r w:rsidR="000C5C92">
        <w:t>,</w:t>
      </w:r>
      <w:r w:rsidRPr="00950C25">
        <w:t xml:space="preserve"> </w:t>
      </w:r>
      <w:r w:rsidR="00950C25" w:rsidRPr="00950C25">
        <w:t xml:space="preserve">IOD attended </w:t>
      </w:r>
      <w:r w:rsidR="000C5C92">
        <w:t xml:space="preserve">a virtual meeting of </w:t>
      </w:r>
      <w:r w:rsidR="00950C25" w:rsidRPr="00950C25">
        <w:t xml:space="preserve">the </w:t>
      </w:r>
      <w:r w:rsidR="006460F7" w:rsidRPr="006460F7">
        <w:t>United Nations Representatives of Internal Audit Services</w:t>
      </w:r>
      <w:r w:rsidR="00950C25" w:rsidRPr="00950C25">
        <w:t xml:space="preserve"> that focused on a presentation made by the European Commission Internal Audit, on the re</w:t>
      </w:r>
      <w:r w:rsidR="005F7359">
        <w:t>view of their Pillar Assessment;</w:t>
      </w:r>
    </w:p>
    <w:p w14:paraId="6983F3D0" w14:textId="6DF367AF" w:rsidR="00950C25" w:rsidRPr="00950C25" w:rsidRDefault="00950C25" w:rsidP="00950C25">
      <w:pPr>
        <w:pStyle w:val="ONUME"/>
        <w:numPr>
          <w:ilvl w:val="1"/>
          <w:numId w:val="2"/>
        </w:numPr>
      </w:pPr>
      <w:r w:rsidRPr="00950C25">
        <w:t xml:space="preserve">IOD presented a lecture on the topic of international procurement fraud at the 2021 Association of Certified Fraud Examiners Global Fraud Conference </w:t>
      </w:r>
      <w:r w:rsidR="005C40A8">
        <w:t xml:space="preserve">held </w:t>
      </w:r>
      <w:r w:rsidR="005F7359">
        <w:t>in June </w:t>
      </w:r>
      <w:r w:rsidRPr="00950C25">
        <w:t>2021</w:t>
      </w:r>
      <w:r w:rsidR="005F7359">
        <w:t>;  and</w:t>
      </w:r>
    </w:p>
    <w:p w14:paraId="062D6E0C" w14:textId="439C72D2" w:rsidR="00950C25" w:rsidRPr="00950C25" w:rsidRDefault="002C3215" w:rsidP="00950C25">
      <w:pPr>
        <w:pStyle w:val="ONUME"/>
        <w:numPr>
          <w:ilvl w:val="1"/>
          <w:numId w:val="2"/>
        </w:numPr>
      </w:pPr>
      <w:r>
        <w:t xml:space="preserve">IOD attended the </w:t>
      </w:r>
      <w:r w:rsidR="00950C25" w:rsidRPr="00950C25">
        <w:t xml:space="preserve">Annual Conference of Heads of Internal Audit in Europe, </w:t>
      </w:r>
      <w:r>
        <w:t xml:space="preserve">which </w:t>
      </w:r>
      <w:r w:rsidR="00950C25" w:rsidRPr="00950C25">
        <w:t>took place between September 28</w:t>
      </w:r>
      <w:r w:rsidR="00950C25" w:rsidRPr="00236FBC">
        <w:rPr>
          <w:vertAlign w:val="superscript"/>
        </w:rPr>
        <w:t>th</w:t>
      </w:r>
      <w:r w:rsidR="00236FBC">
        <w:t xml:space="preserve"> </w:t>
      </w:r>
      <w:r w:rsidR="00950C25" w:rsidRPr="00950C25">
        <w:t>and 30</w:t>
      </w:r>
      <w:r w:rsidR="00950C25" w:rsidRPr="00236FBC">
        <w:rPr>
          <w:vertAlign w:val="superscript"/>
        </w:rPr>
        <w:t>th</w:t>
      </w:r>
      <w:r w:rsidR="00950C25" w:rsidRPr="00950C25">
        <w:t>, 2021 in Geneva.  The meeting, which was in a hybrid format</w:t>
      </w:r>
      <w:r w:rsidR="000C5C92">
        <w:t>,</w:t>
      </w:r>
      <w:r w:rsidR="00950C25" w:rsidRPr="00950C25">
        <w:t xml:space="preserve"> was jointly organized by the I</w:t>
      </w:r>
      <w:r w:rsidR="005F7359">
        <w:t>nternational Labor Organization </w:t>
      </w:r>
      <w:r w:rsidR="00950C25" w:rsidRPr="00950C25">
        <w:t>and the International Committee of the Red Cross.</w:t>
      </w:r>
    </w:p>
    <w:p w14:paraId="17E38306" w14:textId="77777777" w:rsidR="00550057" w:rsidRDefault="00550057" w:rsidP="00B129CD">
      <w:pPr>
        <w:pStyle w:val="Heading1"/>
      </w:pPr>
      <w:bookmarkStart w:id="49" w:name="_Toc100660234"/>
      <w:bookmarkStart w:id="50" w:name="_Toc39071255"/>
      <w:r>
        <w:t>IOD QUALITY ASSURANCE AND IMPROVEMENT PROGRAM</w:t>
      </w:r>
      <w:bookmarkEnd w:id="49"/>
    </w:p>
    <w:p w14:paraId="0E264DA8" w14:textId="5738961A" w:rsidR="00EA028E" w:rsidRPr="003533F5" w:rsidRDefault="00550057" w:rsidP="00252695">
      <w:pPr>
        <w:pStyle w:val="ONUME"/>
      </w:pPr>
      <w:r>
        <w:t xml:space="preserve">The </w:t>
      </w:r>
      <w:r w:rsidR="00484B9E">
        <w:t>Q</w:t>
      </w:r>
      <w:r>
        <w:t xml:space="preserve">uality Assurance and Improvement Program (QAIP) of IOD is designed to provide reasonable assurance to </w:t>
      </w:r>
      <w:r w:rsidRPr="00EA028E">
        <w:t>various stakeholders</w:t>
      </w:r>
      <w:r w:rsidRPr="00B129CD">
        <w:rPr>
          <w:vertAlign w:val="superscript"/>
        </w:rPr>
        <w:footnoteReference w:id="21"/>
      </w:r>
      <w:r w:rsidRPr="00F0451A">
        <w:rPr>
          <w:vertAlign w:val="superscript"/>
        </w:rPr>
        <w:t xml:space="preserve"> </w:t>
      </w:r>
      <w:r>
        <w:t>t</w:t>
      </w:r>
      <w:r w:rsidR="00EA028E">
        <w:t xml:space="preserve">hat </w:t>
      </w:r>
      <w:r w:rsidR="006460F7">
        <w:t>o</w:t>
      </w:r>
      <w:r w:rsidR="00EA028E">
        <w:t>versight activities are p</w:t>
      </w:r>
      <w:r>
        <w:t xml:space="preserve">erformed in </w:t>
      </w:r>
      <w:r w:rsidRPr="00CA33F3">
        <w:t>conform</w:t>
      </w:r>
      <w:r w:rsidR="00CA33F3">
        <w:t>ity</w:t>
      </w:r>
      <w:r>
        <w:t xml:space="preserve"> with the </w:t>
      </w:r>
      <w:r w:rsidR="004362BA">
        <w:t>IOC</w:t>
      </w:r>
      <w:r>
        <w:t>, and the respective Standards and professi</w:t>
      </w:r>
      <w:r w:rsidR="00EA028E">
        <w:t>onal practices of each function</w:t>
      </w:r>
      <w:r w:rsidR="003533F5">
        <w:t>,</w:t>
      </w:r>
      <w:r w:rsidR="00EA028E" w:rsidRPr="003533F5">
        <w:t xml:space="preserve"> operate</w:t>
      </w:r>
      <w:r w:rsidR="00EA028E">
        <w:t xml:space="preserve"> in an effective manner, and is perceived by stakeholders as adding value and continually improving.</w:t>
      </w:r>
      <w:r w:rsidR="00B129CD">
        <w:t xml:space="preserve"> </w:t>
      </w:r>
      <w:r w:rsidR="00E0105B">
        <w:t xml:space="preserve"> </w:t>
      </w:r>
      <w:r w:rsidR="00EA028E">
        <w:t>The</w:t>
      </w:r>
      <w:r w:rsidR="00E0105B">
        <w:t xml:space="preserve"> areas</w:t>
      </w:r>
      <w:r w:rsidR="00B129CD">
        <w:t xml:space="preserve"> outlined below</w:t>
      </w:r>
      <w:r w:rsidR="00E0105B">
        <w:t xml:space="preserve"> are covered in t</w:t>
      </w:r>
      <w:r w:rsidR="002F07CD">
        <w:t xml:space="preserve">he </w:t>
      </w:r>
      <w:r w:rsidR="002F07CD" w:rsidRPr="003533F5">
        <w:t>QAIP</w:t>
      </w:r>
      <w:r w:rsidR="003533F5">
        <w:t>.</w:t>
      </w:r>
      <w:r w:rsidR="00EA028E" w:rsidRPr="003533F5">
        <w:t xml:space="preserve"> </w:t>
      </w:r>
    </w:p>
    <w:p w14:paraId="6E7DDCA7" w14:textId="609B8C64" w:rsidR="00C46B12" w:rsidRPr="002150AF" w:rsidRDefault="002150AF" w:rsidP="002150AF">
      <w:pPr>
        <w:pStyle w:val="Heading2"/>
      </w:pPr>
      <w:r>
        <w:t>Operational I</w:t>
      </w:r>
      <w:r w:rsidRPr="00FF6721">
        <w:t xml:space="preserve">ndependence </w:t>
      </w:r>
      <w:r>
        <w:t>o</w:t>
      </w:r>
      <w:r w:rsidRPr="00FF6721">
        <w:t>f</w:t>
      </w:r>
      <w:bookmarkEnd w:id="50"/>
      <w:r>
        <w:t xml:space="preserve"> IOD</w:t>
      </w:r>
    </w:p>
    <w:p w14:paraId="6D86DC77" w14:textId="77777777" w:rsidR="00C46B12" w:rsidRDefault="00C46B12" w:rsidP="00FC1072">
      <w:pPr>
        <w:pStyle w:val="ONUME"/>
      </w:pPr>
      <w:r>
        <w:t>The</w:t>
      </w:r>
      <w:r w:rsidRPr="00E32ADE">
        <w:t xml:space="preserve"> IOC</w:t>
      </w:r>
      <w:r>
        <w:t xml:space="preserve"> </w:t>
      </w:r>
      <w:r w:rsidRPr="00E32ADE">
        <w:t>requires</w:t>
      </w:r>
      <w:r>
        <w:rPr>
          <w:rStyle w:val="FootnoteReference"/>
        </w:rPr>
        <w:footnoteReference w:id="22"/>
      </w:r>
      <w:r w:rsidRPr="00E32ADE">
        <w:t xml:space="preserve"> the Director, IOD to co</w:t>
      </w:r>
      <w:r>
        <w:t xml:space="preserve">nfirm </w:t>
      </w:r>
      <w:r w:rsidR="00FC1072" w:rsidRPr="00FC1072">
        <w:t xml:space="preserve">the organizational independence of the internal oversight function and </w:t>
      </w:r>
      <w:r w:rsidR="0089039C">
        <w:t xml:space="preserve">to provide </w:t>
      </w:r>
      <w:r w:rsidR="00FC1072" w:rsidRPr="0089039C">
        <w:t xml:space="preserve">information on the scope of the internal oversight activities and </w:t>
      </w:r>
      <w:r w:rsidR="0089039C" w:rsidRPr="0089039C">
        <w:t xml:space="preserve">on </w:t>
      </w:r>
      <w:r w:rsidR="00FC1072" w:rsidRPr="0089039C">
        <w:t>the adequacy of resources for the purposes intended</w:t>
      </w:r>
      <w:r w:rsidR="00FC1072" w:rsidRPr="00FC1072">
        <w:t>.</w:t>
      </w:r>
      <w:r w:rsidRPr="00E32ADE">
        <w:t xml:space="preserve">  </w:t>
      </w:r>
    </w:p>
    <w:p w14:paraId="69C4AD5A" w14:textId="3889ADCB" w:rsidR="00C46B12" w:rsidRDefault="00C46B12" w:rsidP="002C23BF">
      <w:pPr>
        <w:pStyle w:val="ONUME"/>
      </w:pPr>
      <w:r>
        <w:t>D</w:t>
      </w:r>
      <w:r w:rsidRPr="00E32ADE">
        <w:t>uring the reporting period, no i</w:t>
      </w:r>
      <w:r>
        <w:t>nstance/activity occurred that c</w:t>
      </w:r>
      <w:r w:rsidRPr="00E32ADE">
        <w:t xml:space="preserve">ould </w:t>
      </w:r>
      <w:r>
        <w:t>be considered as jeopardizing</w:t>
      </w:r>
      <w:r w:rsidRPr="00E32ADE">
        <w:t xml:space="preserve"> the operational independence of </w:t>
      </w:r>
      <w:r>
        <w:t>IOD</w:t>
      </w:r>
      <w:r w:rsidRPr="00E32ADE">
        <w:t>.</w:t>
      </w:r>
      <w:r>
        <w:t xml:space="preserve">  </w:t>
      </w:r>
      <w:r w:rsidR="00EA028E">
        <w:t xml:space="preserve">There was </w:t>
      </w:r>
      <w:r w:rsidR="00F0451A">
        <w:t xml:space="preserve">no </w:t>
      </w:r>
      <w:r w:rsidR="00EA028E">
        <w:t xml:space="preserve">actual or perceived </w:t>
      </w:r>
      <w:r w:rsidR="00EA028E" w:rsidRPr="0089039C">
        <w:t>interference in</w:t>
      </w:r>
      <w:r w:rsidR="00EA028E">
        <w:t xml:space="preserve"> the work of IOD. </w:t>
      </w:r>
      <w:r w:rsidR="00B129CD">
        <w:t xml:space="preserve"> </w:t>
      </w:r>
      <w:r>
        <w:t xml:space="preserve">The scope of oversight activities has been decided by IOD based on risk assessment, comments and feedback </w:t>
      </w:r>
      <w:r w:rsidR="000C5C92">
        <w:t xml:space="preserve">received </w:t>
      </w:r>
      <w:r>
        <w:t xml:space="preserve">from WIPO Management, </w:t>
      </w:r>
      <w:r w:rsidR="003B2024">
        <w:t xml:space="preserve">the </w:t>
      </w:r>
      <w:r w:rsidRPr="0089039C">
        <w:t xml:space="preserve">IAOC and </w:t>
      </w:r>
      <w:r w:rsidR="000C5C92">
        <w:t xml:space="preserve">the </w:t>
      </w:r>
      <w:r w:rsidRPr="0089039C">
        <w:t>Member States</w:t>
      </w:r>
      <w:r w:rsidR="000C5C92">
        <w:t>,</w:t>
      </w:r>
      <w:r>
        <w:t xml:space="preserve"> as appropriate.</w:t>
      </w:r>
      <w:bookmarkStart w:id="51" w:name="_Toc420663573"/>
    </w:p>
    <w:p w14:paraId="393B33BB" w14:textId="77777777" w:rsidR="00044A42" w:rsidRDefault="002150AF" w:rsidP="002150AF">
      <w:pPr>
        <w:pStyle w:val="Heading2"/>
      </w:pPr>
      <w:r>
        <w:t xml:space="preserve">Ongoing Monitoring and Key Performance </w:t>
      </w:r>
      <w:r w:rsidRPr="002150AF">
        <w:t>Indicators</w:t>
      </w:r>
    </w:p>
    <w:p w14:paraId="2F3C6533" w14:textId="38AD9FC9" w:rsidR="00044A42" w:rsidRDefault="00044A42">
      <w:pPr>
        <w:pStyle w:val="ONUME"/>
      </w:pPr>
      <w:r>
        <w:t xml:space="preserve">Ongoing monitoring of the performance of </w:t>
      </w:r>
      <w:r w:rsidR="002C3EE1">
        <w:t xml:space="preserve">oversight </w:t>
      </w:r>
      <w:r>
        <w:t>activity refers to the day</w:t>
      </w:r>
      <w:r w:rsidR="00484B9E">
        <w:t>-</w:t>
      </w:r>
      <w:r>
        <w:t>to</w:t>
      </w:r>
      <w:r w:rsidR="00484B9E">
        <w:t>-</w:t>
      </w:r>
      <w:r>
        <w:t xml:space="preserve">day supervision, review and measurement of internal audit activity that is built into </w:t>
      </w:r>
      <w:r w:rsidR="002C3EE1">
        <w:t xml:space="preserve">IOD </w:t>
      </w:r>
      <w:r>
        <w:t>policies</w:t>
      </w:r>
      <w:r w:rsidR="002C3EE1">
        <w:t>, manuals</w:t>
      </w:r>
      <w:r>
        <w:t xml:space="preserve"> and routine procedures. </w:t>
      </w:r>
      <w:r w:rsidR="00851AEC">
        <w:t xml:space="preserve"> </w:t>
      </w:r>
      <w:r>
        <w:t xml:space="preserve">Furthermore, an engagement management system </w:t>
      </w:r>
      <w:r>
        <w:lastRenderedPageBreak/>
        <w:t>(</w:t>
      </w:r>
      <w:r w:rsidR="005F7359" w:rsidRPr="00935002">
        <w:t>TeamMate+</w:t>
      </w:r>
      <w:r>
        <w:t xml:space="preserve">) is used to </w:t>
      </w:r>
      <w:r w:rsidR="002C3EE1">
        <w:t>operationalize manuals and procedures</w:t>
      </w:r>
      <w:r w:rsidR="00C23379">
        <w:t>,</w:t>
      </w:r>
      <w:r w:rsidR="002C3EE1">
        <w:t xml:space="preserve"> including supporting document filing, materialization of </w:t>
      </w:r>
      <w:r>
        <w:t>review</w:t>
      </w:r>
      <w:r w:rsidR="002C3EE1">
        <w:t xml:space="preserve">s and approvals, and recommendation follow-up and reporting. </w:t>
      </w:r>
    </w:p>
    <w:p w14:paraId="3B032E51" w14:textId="6CAA2232" w:rsidR="0066080A" w:rsidRDefault="00044A42" w:rsidP="00C53813">
      <w:pPr>
        <w:pStyle w:val="ONUME"/>
      </w:pPr>
      <w:r>
        <w:t>Furthermore, IOD has established Performance Indicators to measure the effectivenes</w:t>
      </w:r>
      <w:r w:rsidR="0066080A">
        <w:t>s, efficiency and relevance of o</w:t>
      </w:r>
      <w:r>
        <w:t xml:space="preserve">versight activities.  </w:t>
      </w:r>
      <w:r w:rsidR="00C23379">
        <w:t>These include</w:t>
      </w:r>
      <w:r w:rsidR="005F7359">
        <w:t>, among</w:t>
      </w:r>
      <w:r w:rsidR="00C23379">
        <w:t xml:space="preserve"> others</w:t>
      </w:r>
      <w:r w:rsidR="00C53813">
        <w:t>,</w:t>
      </w:r>
      <w:r w:rsidR="00C23379">
        <w:t xml:space="preserve"> </w:t>
      </w:r>
      <w:r w:rsidR="000C5C92">
        <w:t xml:space="preserve">the </w:t>
      </w:r>
      <w:r w:rsidR="00C23379">
        <w:t xml:space="preserve">timely completion and reporting of oversight engagements, management perception of the work of IOD, </w:t>
      </w:r>
      <w:r w:rsidR="00C53813">
        <w:t xml:space="preserve">and </w:t>
      </w:r>
      <w:r w:rsidR="000C5C92">
        <w:t xml:space="preserve">the </w:t>
      </w:r>
      <w:r w:rsidR="00C23379">
        <w:t>level of acceptance and relevance of IOD</w:t>
      </w:r>
      <w:r w:rsidR="00585D10">
        <w:t xml:space="preserve"> recommendations. </w:t>
      </w:r>
      <w:r w:rsidR="006460F7">
        <w:t xml:space="preserve"> </w:t>
      </w:r>
      <w:r w:rsidR="003E5E33">
        <w:t>The table below summarizes the results</w:t>
      </w:r>
      <w:r w:rsidR="00585D10">
        <w:t>.</w:t>
      </w:r>
    </w:p>
    <w:p w14:paraId="17EA59EC" w14:textId="37256CDE" w:rsidR="003E5E33" w:rsidRDefault="00585D10" w:rsidP="00B23737">
      <w:pPr>
        <w:pStyle w:val="ONUME"/>
        <w:numPr>
          <w:ilvl w:val="0"/>
          <w:numId w:val="0"/>
        </w:numPr>
        <w:spacing w:after="0"/>
        <w:ind w:left="1701" w:firstLine="567"/>
        <w:rPr>
          <w:rFonts w:eastAsia="Times New Roman"/>
          <w:b/>
          <w:bCs/>
          <w:sz w:val="18"/>
          <w:szCs w:val="18"/>
          <w:lang w:eastAsia="en-US"/>
        </w:rPr>
      </w:pPr>
      <w:r w:rsidRPr="006D40D5">
        <w:rPr>
          <w:rFonts w:eastAsia="Times New Roman"/>
          <w:b/>
          <w:bCs/>
          <w:sz w:val="18"/>
          <w:szCs w:val="18"/>
          <w:lang w:eastAsia="en-US"/>
        </w:rPr>
        <w:t xml:space="preserve">Table 3 - 2020/2021 IOD </w:t>
      </w:r>
      <w:r>
        <w:rPr>
          <w:rFonts w:eastAsia="Times New Roman"/>
          <w:b/>
          <w:bCs/>
          <w:sz w:val="18"/>
          <w:szCs w:val="18"/>
          <w:lang w:eastAsia="en-US"/>
        </w:rPr>
        <w:t>Performance Indicators</w:t>
      </w:r>
    </w:p>
    <w:tbl>
      <w:tblPr>
        <w:tblW w:w="9220" w:type="dxa"/>
        <w:tblInd w:w="-5" w:type="dxa"/>
        <w:tblLook w:val="04A0" w:firstRow="1" w:lastRow="0" w:firstColumn="1" w:lastColumn="0" w:noHBand="0" w:noVBand="1"/>
        <w:tblCaption w:val="Table 3"/>
        <w:tblDescription w:val="2020/2021 IOD Performance Indicators"/>
      </w:tblPr>
      <w:tblGrid>
        <w:gridCol w:w="4140"/>
        <w:gridCol w:w="5080"/>
      </w:tblGrid>
      <w:tr w:rsidR="00585D10" w:rsidRPr="00611D38" w14:paraId="43EAB67E" w14:textId="77777777" w:rsidTr="00236FBC">
        <w:trPr>
          <w:trHeight w:val="315"/>
        </w:trPr>
        <w:tc>
          <w:tcPr>
            <w:tcW w:w="4140" w:type="dxa"/>
            <w:tcBorders>
              <w:top w:val="single" w:sz="4" w:space="0" w:color="auto"/>
              <w:left w:val="single" w:sz="4" w:space="0" w:color="auto"/>
              <w:bottom w:val="single" w:sz="4" w:space="0" w:color="auto"/>
              <w:right w:val="single" w:sz="4" w:space="0" w:color="auto"/>
            </w:tcBorders>
            <w:shd w:val="clear" w:color="000000" w:fill="DDEBF7"/>
            <w:noWrap/>
            <w:hideMark/>
          </w:tcPr>
          <w:p w14:paraId="5EB8823B" w14:textId="77777777" w:rsidR="00585D10" w:rsidRPr="00611D38" w:rsidRDefault="00585D10" w:rsidP="00585D10">
            <w:pPr>
              <w:rPr>
                <w:rFonts w:eastAsia="Times New Roman"/>
                <w:b/>
                <w:bCs/>
                <w:color w:val="000000"/>
                <w:sz w:val="20"/>
                <w:lang w:eastAsia="en-US"/>
              </w:rPr>
            </w:pPr>
            <w:r w:rsidRPr="00611D38">
              <w:rPr>
                <w:rFonts w:eastAsia="Times New Roman"/>
                <w:b/>
                <w:bCs/>
                <w:color w:val="000000"/>
                <w:sz w:val="20"/>
                <w:lang w:eastAsia="en-US"/>
              </w:rPr>
              <w:t>Performance Indicator</w:t>
            </w:r>
          </w:p>
        </w:tc>
        <w:tc>
          <w:tcPr>
            <w:tcW w:w="5080" w:type="dxa"/>
            <w:tcBorders>
              <w:top w:val="single" w:sz="4" w:space="0" w:color="auto"/>
              <w:left w:val="nil"/>
              <w:bottom w:val="single" w:sz="4" w:space="0" w:color="auto"/>
              <w:right w:val="single" w:sz="4" w:space="0" w:color="auto"/>
            </w:tcBorders>
            <w:shd w:val="clear" w:color="000000" w:fill="DDEBF7"/>
            <w:noWrap/>
            <w:hideMark/>
          </w:tcPr>
          <w:p w14:paraId="67690B7D" w14:textId="77777777" w:rsidR="00585D10" w:rsidRPr="00611D38" w:rsidRDefault="00585D10" w:rsidP="00585D10">
            <w:pPr>
              <w:jc w:val="center"/>
              <w:rPr>
                <w:rFonts w:eastAsia="Times New Roman"/>
                <w:b/>
                <w:bCs/>
                <w:color w:val="000000"/>
                <w:sz w:val="20"/>
                <w:lang w:eastAsia="en-US"/>
              </w:rPr>
            </w:pPr>
            <w:r w:rsidRPr="00611D38">
              <w:rPr>
                <w:rFonts w:eastAsia="Times New Roman"/>
                <w:b/>
                <w:bCs/>
                <w:color w:val="000000"/>
                <w:sz w:val="20"/>
                <w:lang w:eastAsia="en-US"/>
              </w:rPr>
              <w:t>Results</w:t>
            </w:r>
          </w:p>
        </w:tc>
      </w:tr>
      <w:tr w:rsidR="00585D10" w:rsidRPr="00611D38" w14:paraId="018F4D85" w14:textId="77777777" w:rsidTr="00236FBC">
        <w:trPr>
          <w:trHeight w:val="404"/>
        </w:trPr>
        <w:tc>
          <w:tcPr>
            <w:tcW w:w="4140" w:type="dxa"/>
            <w:tcBorders>
              <w:top w:val="nil"/>
              <w:left w:val="single" w:sz="4" w:space="0" w:color="auto"/>
              <w:bottom w:val="single" w:sz="4" w:space="0" w:color="auto"/>
              <w:right w:val="single" w:sz="4" w:space="0" w:color="auto"/>
            </w:tcBorders>
            <w:shd w:val="clear" w:color="auto" w:fill="auto"/>
            <w:hideMark/>
          </w:tcPr>
          <w:p w14:paraId="1E67D1D3" w14:textId="77777777" w:rsidR="00585D10" w:rsidRPr="00611D38" w:rsidRDefault="00585D10" w:rsidP="00585D10">
            <w:pPr>
              <w:rPr>
                <w:rFonts w:eastAsia="Times New Roman"/>
                <w:color w:val="000000"/>
                <w:sz w:val="20"/>
                <w:lang w:eastAsia="en-US"/>
              </w:rPr>
            </w:pPr>
            <w:r w:rsidRPr="00611D38">
              <w:rPr>
                <w:rFonts w:eastAsia="Times New Roman"/>
                <w:color w:val="000000"/>
                <w:sz w:val="20"/>
                <w:lang w:eastAsia="en-US"/>
              </w:rPr>
              <w:t>No interference and perceived independence by key stakeholders</w:t>
            </w:r>
          </w:p>
        </w:tc>
        <w:tc>
          <w:tcPr>
            <w:tcW w:w="5080" w:type="dxa"/>
            <w:tcBorders>
              <w:top w:val="nil"/>
              <w:left w:val="nil"/>
              <w:bottom w:val="single" w:sz="4" w:space="0" w:color="auto"/>
              <w:right w:val="single" w:sz="4" w:space="0" w:color="auto"/>
            </w:tcBorders>
            <w:shd w:val="clear" w:color="auto" w:fill="auto"/>
            <w:noWrap/>
            <w:vAlign w:val="center"/>
            <w:hideMark/>
          </w:tcPr>
          <w:p w14:paraId="0FE93B29" w14:textId="77777777" w:rsidR="00585D10" w:rsidRPr="00611D38" w:rsidRDefault="00585D10" w:rsidP="00585D10">
            <w:pPr>
              <w:rPr>
                <w:rFonts w:eastAsia="Times New Roman"/>
                <w:color w:val="000000"/>
                <w:sz w:val="20"/>
                <w:lang w:eastAsia="en-US"/>
              </w:rPr>
            </w:pPr>
            <w:r w:rsidRPr="00611D38">
              <w:rPr>
                <w:rFonts w:eastAsia="Times New Roman"/>
                <w:color w:val="000000"/>
                <w:sz w:val="20"/>
                <w:lang w:eastAsia="en-US"/>
              </w:rPr>
              <w:t>No Interference observed during the period</w:t>
            </w:r>
          </w:p>
        </w:tc>
      </w:tr>
      <w:tr w:rsidR="00585D10" w:rsidRPr="00611D38" w14:paraId="237A94B3" w14:textId="77777777" w:rsidTr="00236FBC">
        <w:trPr>
          <w:trHeight w:val="287"/>
        </w:trPr>
        <w:tc>
          <w:tcPr>
            <w:tcW w:w="4140" w:type="dxa"/>
            <w:vMerge w:val="restart"/>
            <w:tcBorders>
              <w:top w:val="nil"/>
              <w:left w:val="single" w:sz="4" w:space="0" w:color="auto"/>
              <w:bottom w:val="single" w:sz="4" w:space="0" w:color="auto"/>
              <w:right w:val="single" w:sz="4" w:space="0" w:color="auto"/>
            </w:tcBorders>
            <w:shd w:val="clear" w:color="auto" w:fill="auto"/>
            <w:hideMark/>
          </w:tcPr>
          <w:p w14:paraId="719D8E93" w14:textId="77777777" w:rsidR="00585D10" w:rsidRPr="00611D38" w:rsidRDefault="00585D10" w:rsidP="00585D10">
            <w:pPr>
              <w:rPr>
                <w:rFonts w:eastAsia="Times New Roman"/>
                <w:color w:val="000000"/>
                <w:sz w:val="20"/>
                <w:lang w:eastAsia="en-US"/>
              </w:rPr>
            </w:pPr>
            <w:r w:rsidRPr="00611D38">
              <w:rPr>
                <w:rFonts w:eastAsia="Times New Roman"/>
                <w:color w:val="000000"/>
                <w:sz w:val="20"/>
                <w:lang w:eastAsia="en-US"/>
              </w:rPr>
              <w:t>% of Oversight work completed and reported in a timely manner</w:t>
            </w:r>
          </w:p>
        </w:tc>
        <w:tc>
          <w:tcPr>
            <w:tcW w:w="5080" w:type="dxa"/>
            <w:tcBorders>
              <w:top w:val="nil"/>
              <w:left w:val="nil"/>
              <w:bottom w:val="single" w:sz="4" w:space="0" w:color="auto"/>
              <w:right w:val="single" w:sz="4" w:space="0" w:color="auto"/>
            </w:tcBorders>
            <w:shd w:val="clear" w:color="auto" w:fill="auto"/>
            <w:noWrap/>
            <w:hideMark/>
          </w:tcPr>
          <w:p w14:paraId="4473A480" w14:textId="77777777" w:rsidR="00585D10" w:rsidRPr="00611D38" w:rsidRDefault="00585D10" w:rsidP="00585D10">
            <w:pPr>
              <w:rPr>
                <w:rFonts w:eastAsia="Times New Roman"/>
                <w:sz w:val="20"/>
                <w:lang w:eastAsia="en-US"/>
              </w:rPr>
            </w:pPr>
            <w:r w:rsidRPr="00611D38">
              <w:rPr>
                <w:rFonts w:eastAsia="Times New Roman"/>
                <w:sz w:val="20"/>
                <w:lang w:eastAsia="en-US"/>
              </w:rPr>
              <w:t>67% of audits reports issued within 4 months</w:t>
            </w:r>
          </w:p>
        </w:tc>
      </w:tr>
      <w:tr w:rsidR="00585D10" w:rsidRPr="00611D38" w14:paraId="71034C9D" w14:textId="77777777" w:rsidTr="00236FBC">
        <w:trPr>
          <w:trHeight w:val="255"/>
        </w:trPr>
        <w:tc>
          <w:tcPr>
            <w:tcW w:w="4140" w:type="dxa"/>
            <w:vMerge/>
            <w:tcBorders>
              <w:top w:val="nil"/>
              <w:left w:val="single" w:sz="4" w:space="0" w:color="auto"/>
              <w:bottom w:val="single" w:sz="4" w:space="0" w:color="auto"/>
              <w:right w:val="single" w:sz="4" w:space="0" w:color="auto"/>
            </w:tcBorders>
            <w:vAlign w:val="center"/>
            <w:hideMark/>
          </w:tcPr>
          <w:p w14:paraId="30A75478" w14:textId="77777777" w:rsidR="00585D10" w:rsidRPr="00611D38" w:rsidRDefault="00585D10" w:rsidP="00585D10">
            <w:pPr>
              <w:rPr>
                <w:rFonts w:eastAsia="Times New Roman"/>
                <w:color w:val="000000"/>
                <w:sz w:val="20"/>
                <w:lang w:eastAsia="en-US"/>
              </w:rPr>
            </w:pPr>
          </w:p>
        </w:tc>
        <w:tc>
          <w:tcPr>
            <w:tcW w:w="5080" w:type="dxa"/>
            <w:tcBorders>
              <w:top w:val="nil"/>
              <w:left w:val="nil"/>
              <w:bottom w:val="single" w:sz="4" w:space="0" w:color="auto"/>
              <w:right w:val="single" w:sz="4" w:space="0" w:color="auto"/>
            </w:tcBorders>
            <w:shd w:val="clear" w:color="auto" w:fill="auto"/>
            <w:noWrap/>
            <w:hideMark/>
          </w:tcPr>
          <w:p w14:paraId="1E605756" w14:textId="77777777" w:rsidR="00585D10" w:rsidRPr="00611D38" w:rsidRDefault="00585D10" w:rsidP="00585D10">
            <w:pPr>
              <w:rPr>
                <w:rFonts w:eastAsia="Times New Roman"/>
                <w:sz w:val="20"/>
                <w:lang w:eastAsia="en-US"/>
              </w:rPr>
            </w:pPr>
            <w:r w:rsidRPr="00611D38">
              <w:rPr>
                <w:rFonts w:eastAsia="Times New Roman"/>
                <w:sz w:val="20"/>
                <w:lang w:eastAsia="en-US"/>
              </w:rPr>
              <w:t>71% of evaluation reports issued within 6 months</w:t>
            </w:r>
          </w:p>
        </w:tc>
      </w:tr>
      <w:tr w:rsidR="00585D10" w:rsidRPr="00611D38" w14:paraId="44C44CDC" w14:textId="77777777" w:rsidTr="00236FBC">
        <w:trPr>
          <w:trHeight w:val="255"/>
        </w:trPr>
        <w:tc>
          <w:tcPr>
            <w:tcW w:w="4140" w:type="dxa"/>
            <w:vMerge/>
            <w:tcBorders>
              <w:top w:val="nil"/>
              <w:left w:val="single" w:sz="4" w:space="0" w:color="auto"/>
              <w:bottom w:val="single" w:sz="4" w:space="0" w:color="auto"/>
              <w:right w:val="single" w:sz="4" w:space="0" w:color="auto"/>
            </w:tcBorders>
            <w:vAlign w:val="center"/>
            <w:hideMark/>
          </w:tcPr>
          <w:p w14:paraId="269F2317" w14:textId="77777777" w:rsidR="00585D10" w:rsidRPr="00611D38" w:rsidRDefault="00585D10" w:rsidP="00585D10">
            <w:pPr>
              <w:rPr>
                <w:rFonts w:eastAsia="Times New Roman"/>
                <w:color w:val="000000"/>
                <w:sz w:val="20"/>
                <w:lang w:eastAsia="en-US"/>
              </w:rPr>
            </w:pPr>
          </w:p>
        </w:tc>
        <w:tc>
          <w:tcPr>
            <w:tcW w:w="5080" w:type="dxa"/>
            <w:tcBorders>
              <w:top w:val="nil"/>
              <w:left w:val="nil"/>
              <w:bottom w:val="single" w:sz="4" w:space="0" w:color="auto"/>
              <w:right w:val="single" w:sz="4" w:space="0" w:color="auto"/>
            </w:tcBorders>
            <w:shd w:val="clear" w:color="auto" w:fill="auto"/>
            <w:noWrap/>
            <w:hideMark/>
          </w:tcPr>
          <w:p w14:paraId="4211ED2A" w14:textId="77777777" w:rsidR="00585D10" w:rsidRPr="00611D38" w:rsidRDefault="00585D10" w:rsidP="00585D10">
            <w:pPr>
              <w:rPr>
                <w:rFonts w:eastAsia="Times New Roman"/>
                <w:sz w:val="20"/>
                <w:lang w:eastAsia="en-US"/>
              </w:rPr>
            </w:pPr>
            <w:r w:rsidRPr="00611D38">
              <w:rPr>
                <w:rFonts w:eastAsia="Times New Roman"/>
                <w:sz w:val="20"/>
                <w:lang w:eastAsia="en-US"/>
              </w:rPr>
              <w:t>80% of investigations closed and reports issued within 6 months</w:t>
            </w:r>
          </w:p>
        </w:tc>
      </w:tr>
      <w:tr w:rsidR="00585D10" w:rsidRPr="00611D38" w14:paraId="62DAB208" w14:textId="77777777" w:rsidTr="00236FBC">
        <w:trPr>
          <w:trHeight w:val="611"/>
        </w:trPr>
        <w:tc>
          <w:tcPr>
            <w:tcW w:w="4140" w:type="dxa"/>
            <w:tcBorders>
              <w:top w:val="nil"/>
              <w:left w:val="single" w:sz="4" w:space="0" w:color="auto"/>
              <w:bottom w:val="single" w:sz="4" w:space="0" w:color="auto"/>
              <w:right w:val="single" w:sz="4" w:space="0" w:color="auto"/>
            </w:tcBorders>
            <w:shd w:val="clear" w:color="auto" w:fill="auto"/>
            <w:hideMark/>
          </w:tcPr>
          <w:p w14:paraId="39C55D47" w14:textId="77777777" w:rsidR="00585D10" w:rsidRPr="00611D38" w:rsidRDefault="00585D10" w:rsidP="00585D10">
            <w:pPr>
              <w:rPr>
                <w:rFonts w:eastAsia="Times New Roman"/>
                <w:color w:val="000000"/>
                <w:sz w:val="20"/>
                <w:lang w:eastAsia="en-US"/>
              </w:rPr>
            </w:pPr>
            <w:r w:rsidRPr="00611D38">
              <w:rPr>
                <w:rFonts w:eastAsia="Times New Roman"/>
                <w:color w:val="000000"/>
                <w:sz w:val="20"/>
                <w:lang w:eastAsia="en-US"/>
              </w:rPr>
              <w:t>% of internal stakeholders who perceive that IOD recommendations are SMART</w:t>
            </w:r>
          </w:p>
        </w:tc>
        <w:tc>
          <w:tcPr>
            <w:tcW w:w="5080" w:type="dxa"/>
            <w:tcBorders>
              <w:top w:val="nil"/>
              <w:left w:val="nil"/>
              <w:bottom w:val="single" w:sz="4" w:space="0" w:color="auto"/>
              <w:right w:val="single" w:sz="4" w:space="0" w:color="auto"/>
            </w:tcBorders>
            <w:shd w:val="clear" w:color="auto" w:fill="auto"/>
            <w:noWrap/>
            <w:vAlign w:val="center"/>
            <w:hideMark/>
          </w:tcPr>
          <w:p w14:paraId="63983FF6" w14:textId="5576DABC" w:rsidR="00585D10" w:rsidRPr="00611D38" w:rsidRDefault="00236FBC" w:rsidP="00585D10">
            <w:pPr>
              <w:rPr>
                <w:rFonts w:eastAsia="Times New Roman"/>
                <w:sz w:val="20"/>
                <w:lang w:eastAsia="en-US"/>
              </w:rPr>
            </w:pPr>
            <w:r>
              <w:rPr>
                <w:rFonts w:eastAsia="Times New Roman"/>
                <w:sz w:val="20"/>
                <w:lang w:eastAsia="en-US"/>
              </w:rPr>
              <w:t>83</w:t>
            </w:r>
            <w:r w:rsidR="00585D10" w:rsidRPr="00611D38">
              <w:rPr>
                <w:rFonts w:eastAsia="Times New Roman"/>
                <w:sz w:val="20"/>
                <w:lang w:eastAsia="en-US"/>
              </w:rPr>
              <w:t>% of managers perceived that IOD recommendations were SMART</w:t>
            </w:r>
          </w:p>
        </w:tc>
      </w:tr>
      <w:tr w:rsidR="00585D10" w:rsidRPr="00611D38" w14:paraId="3B664731" w14:textId="77777777" w:rsidTr="00236FBC">
        <w:trPr>
          <w:trHeight w:val="620"/>
        </w:trPr>
        <w:tc>
          <w:tcPr>
            <w:tcW w:w="4140" w:type="dxa"/>
            <w:tcBorders>
              <w:top w:val="nil"/>
              <w:left w:val="single" w:sz="4" w:space="0" w:color="auto"/>
              <w:bottom w:val="single" w:sz="4" w:space="0" w:color="auto"/>
              <w:right w:val="single" w:sz="4" w:space="0" w:color="auto"/>
            </w:tcBorders>
            <w:shd w:val="clear" w:color="auto" w:fill="auto"/>
            <w:hideMark/>
          </w:tcPr>
          <w:p w14:paraId="7AECCBCC" w14:textId="77777777" w:rsidR="00585D10" w:rsidRPr="00611D38" w:rsidRDefault="00585D10" w:rsidP="00585D10">
            <w:pPr>
              <w:rPr>
                <w:rFonts w:eastAsia="Times New Roman"/>
                <w:color w:val="000000"/>
                <w:sz w:val="20"/>
                <w:lang w:eastAsia="en-US"/>
              </w:rPr>
            </w:pPr>
            <w:r w:rsidRPr="00611D38">
              <w:rPr>
                <w:rFonts w:eastAsia="Times New Roman"/>
                <w:color w:val="000000"/>
                <w:sz w:val="20"/>
                <w:lang w:eastAsia="en-US"/>
              </w:rPr>
              <w:t>% of internal stakeholders who perceive that Oversight work is relevant</w:t>
            </w:r>
          </w:p>
        </w:tc>
        <w:tc>
          <w:tcPr>
            <w:tcW w:w="5080" w:type="dxa"/>
            <w:tcBorders>
              <w:top w:val="nil"/>
              <w:left w:val="nil"/>
              <w:bottom w:val="single" w:sz="4" w:space="0" w:color="auto"/>
              <w:right w:val="single" w:sz="4" w:space="0" w:color="auto"/>
            </w:tcBorders>
            <w:shd w:val="clear" w:color="auto" w:fill="auto"/>
            <w:noWrap/>
            <w:vAlign w:val="center"/>
            <w:hideMark/>
          </w:tcPr>
          <w:p w14:paraId="69534AB7" w14:textId="2DEDA536" w:rsidR="00585D10" w:rsidRPr="00611D38" w:rsidRDefault="00585D10" w:rsidP="0040042D">
            <w:pPr>
              <w:rPr>
                <w:rFonts w:eastAsia="Times New Roman"/>
                <w:sz w:val="20"/>
                <w:lang w:eastAsia="en-US"/>
              </w:rPr>
            </w:pPr>
            <w:r w:rsidRPr="00611D38">
              <w:rPr>
                <w:rFonts w:eastAsia="Times New Roman"/>
                <w:sz w:val="20"/>
                <w:lang w:eastAsia="en-US" w:bidi="th-TH"/>
              </w:rPr>
              <w:t>80% of respondents perceived that Oversight work was relevant</w:t>
            </w:r>
          </w:p>
        </w:tc>
      </w:tr>
      <w:tr w:rsidR="00585D10" w:rsidRPr="00611D38" w14:paraId="311328BE" w14:textId="77777777" w:rsidTr="00236FBC">
        <w:trPr>
          <w:trHeight w:val="260"/>
        </w:trPr>
        <w:tc>
          <w:tcPr>
            <w:tcW w:w="4140" w:type="dxa"/>
            <w:tcBorders>
              <w:top w:val="nil"/>
              <w:left w:val="single" w:sz="4" w:space="0" w:color="auto"/>
              <w:bottom w:val="single" w:sz="4" w:space="0" w:color="auto"/>
              <w:right w:val="single" w:sz="4" w:space="0" w:color="auto"/>
            </w:tcBorders>
            <w:shd w:val="clear" w:color="auto" w:fill="auto"/>
            <w:hideMark/>
          </w:tcPr>
          <w:p w14:paraId="5DC5EE2D" w14:textId="77777777" w:rsidR="00585D10" w:rsidRPr="00611D38" w:rsidRDefault="00585D10" w:rsidP="00585D10">
            <w:pPr>
              <w:rPr>
                <w:rFonts w:eastAsia="Times New Roman"/>
                <w:color w:val="000000"/>
                <w:sz w:val="20"/>
                <w:lang w:eastAsia="en-US"/>
              </w:rPr>
            </w:pPr>
            <w:r w:rsidRPr="00611D38">
              <w:rPr>
                <w:rFonts w:eastAsia="Times New Roman"/>
                <w:color w:val="000000"/>
                <w:sz w:val="20"/>
                <w:lang w:eastAsia="en-US"/>
              </w:rPr>
              <w:t xml:space="preserve">No. of oversight recommendations accepted </w:t>
            </w:r>
          </w:p>
        </w:tc>
        <w:tc>
          <w:tcPr>
            <w:tcW w:w="5080" w:type="dxa"/>
            <w:tcBorders>
              <w:top w:val="nil"/>
              <w:left w:val="nil"/>
              <w:bottom w:val="single" w:sz="4" w:space="0" w:color="auto"/>
              <w:right w:val="single" w:sz="4" w:space="0" w:color="auto"/>
            </w:tcBorders>
            <w:shd w:val="clear" w:color="auto" w:fill="auto"/>
            <w:noWrap/>
            <w:vAlign w:val="center"/>
            <w:hideMark/>
          </w:tcPr>
          <w:p w14:paraId="0D4F2A37" w14:textId="77777777" w:rsidR="00585D10" w:rsidRPr="00611D38" w:rsidRDefault="00585D10" w:rsidP="00585D10">
            <w:pPr>
              <w:rPr>
                <w:rFonts w:eastAsia="Times New Roman"/>
                <w:sz w:val="20"/>
                <w:lang w:eastAsia="en-US"/>
              </w:rPr>
            </w:pPr>
            <w:r w:rsidRPr="00611D38">
              <w:rPr>
                <w:rFonts w:eastAsia="Times New Roman"/>
                <w:sz w:val="20"/>
                <w:lang w:eastAsia="en-US"/>
              </w:rPr>
              <w:t>100% of IOD recommendations accepted</w:t>
            </w:r>
          </w:p>
        </w:tc>
      </w:tr>
    </w:tbl>
    <w:p w14:paraId="0E2C2CF0" w14:textId="77777777" w:rsidR="00B23737" w:rsidRPr="00B23737" w:rsidRDefault="00B23737" w:rsidP="00B23737">
      <w:pPr>
        <w:pStyle w:val="ONUME"/>
        <w:numPr>
          <w:ilvl w:val="0"/>
          <w:numId w:val="0"/>
        </w:numPr>
        <w:spacing w:after="0"/>
        <w:rPr>
          <w:sz w:val="16"/>
          <w:szCs w:val="16"/>
        </w:rPr>
      </w:pPr>
    </w:p>
    <w:p w14:paraId="2B787399" w14:textId="01C5BE6D" w:rsidR="00585D10" w:rsidRPr="006D40D5" w:rsidRDefault="005F7359" w:rsidP="006D40D5">
      <w:pPr>
        <w:pStyle w:val="ONUME"/>
      </w:pPr>
      <w:r>
        <w:t>Indica</w:t>
      </w:r>
      <w:r w:rsidR="00585D10">
        <w:t xml:space="preserve">tors continue to show a high </w:t>
      </w:r>
      <w:r w:rsidR="003533F5">
        <w:t>acceptance</w:t>
      </w:r>
      <w:r w:rsidR="00585D10">
        <w:t xml:space="preserve"> of the relevance of IOD’s work</w:t>
      </w:r>
      <w:r w:rsidR="00491D39">
        <w:t>,</w:t>
      </w:r>
      <w:r w:rsidR="00585D10">
        <w:t xml:space="preserve"> and </w:t>
      </w:r>
      <w:r w:rsidR="00491D39">
        <w:t>the pertinence</w:t>
      </w:r>
      <w:r w:rsidR="00585D10">
        <w:t xml:space="preserve"> of </w:t>
      </w:r>
      <w:r w:rsidR="00CE4842">
        <w:t xml:space="preserve">the </w:t>
      </w:r>
      <w:r w:rsidR="00585D10" w:rsidRPr="00CE4842">
        <w:t>recommendation</w:t>
      </w:r>
      <w:r w:rsidR="00585D10">
        <w:t xml:space="preserve">s made. </w:t>
      </w:r>
      <w:r w:rsidR="006460F7">
        <w:t xml:space="preserve"> </w:t>
      </w:r>
      <w:r w:rsidR="00CE4842">
        <w:t>The t</w:t>
      </w:r>
      <w:r w:rsidR="00585D10" w:rsidRPr="00CE4842">
        <w:t>imeliness</w:t>
      </w:r>
      <w:r w:rsidR="00585D10">
        <w:t xml:space="preserve"> of </w:t>
      </w:r>
      <w:r w:rsidR="00AE2528">
        <w:t xml:space="preserve">audit and evaluation </w:t>
      </w:r>
      <w:r w:rsidR="00585D10">
        <w:t>reports was affected by</w:t>
      </w:r>
      <w:r>
        <w:t>,</w:t>
      </w:r>
      <w:r w:rsidR="00585D10">
        <w:t xml:space="preserve"> </w:t>
      </w:r>
      <w:r w:rsidR="00AE2528">
        <w:t>among others</w:t>
      </w:r>
      <w:r w:rsidR="00611D38">
        <w:t>:</w:t>
      </w:r>
      <w:r w:rsidR="00236FBC">
        <w:t xml:space="preserve"> </w:t>
      </w:r>
      <w:r w:rsidR="00611D38">
        <w:t xml:space="preserve"> (i) increased timelines for receiving management responses in particular following combined oversight engagements; </w:t>
      </w:r>
      <w:r w:rsidR="00236FBC">
        <w:t xml:space="preserve"> </w:t>
      </w:r>
      <w:r w:rsidR="00611D38">
        <w:t>and (ii)</w:t>
      </w:r>
      <w:r w:rsidR="00AE2528">
        <w:t xml:space="preserve"> </w:t>
      </w:r>
      <w:r w:rsidR="00585D10">
        <w:t xml:space="preserve">the redirection of </w:t>
      </w:r>
      <w:r w:rsidR="00611D38">
        <w:t xml:space="preserve">internal </w:t>
      </w:r>
      <w:r w:rsidR="00585D10">
        <w:t xml:space="preserve">resources </w:t>
      </w:r>
      <w:r w:rsidR="00611D38">
        <w:t xml:space="preserve">to complete the migration to the new audit and </w:t>
      </w:r>
      <w:r w:rsidR="00585D10">
        <w:t xml:space="preserve">recommendation management </w:t>
      </w:r>
      <w:r w:rsidR="00611D38">
        <w:t>system, and</w:t>
      </w:r>
      <w:r w:rsidR="00585D10">
        <w:t xml:space="preserve"> </w:t>
      </w:r>
      <w:r w:rsidR="00611D38">
        <w:t>fin</w:t>
      </w:r>
      <w:r w:rsidR="00236FBC">
        <w:t>alize the implementation of the</w:t>
      </w:r>
      <w:r w:rsidR="00585D10">
        <w:t xml:space="preserve"> data analytics </w:t>
      </w:r>
      <w:r w:rsidR="00AE2528">
        <w:t>and continuous audit project</w:t>
      </w:r>
      <w:r w:rsidR="00585D10">
        <w:t xml:space="preserve">.  </w:t>
      </w:r>
    </w:p>
    <w:p w14:paraId="0414BCA3" w14:textId="59BA4E0F" w:rsidR="00C46B12" w:rsidRPr="00315F3C" w:rsidRDefault="007C3613" w:rsidP="00252695">
      <w:pPr>
        <w:pStyle w:val="Heading1"/>
      </w:pPr>
      <w:bookmarkStart w:id="52" w:name="_Toc39071256"/>
      <w:bookmarkStart w:id="53" w:name="_Toc100660235"/>
      <w:r w:rsidRPr="007C3613">
        <w:t>OVERSIGHT RESOURCES</w:t>
      </w:r>
      <w:bookmarkEnd w:id="51"/>
      <w:bookmarkEnd w:id="52"/>
      <w:bookmarkEnd w:id="53"/>
      <w:r w:rsidRPr="007C3613">
        <w:t xml:space="preserve"> </w:t>
      </w:r>
    </w:p>
    <w:p w14:paraId="2A955936" w14:textId="77777777" w:rsidR="00C46B12" w:rsidRPr="00EF631C" w:rsidRDefault="00C46B12" w:rsidP="00252695">
      <w:pPr>
        <w:pStyle w:val="Heading2"/>
      </w:pPr>
      <w:r w:rsidRPr="00EF631C">
        <w:t>Budget and Staff</w:t>
      </w:r>
    </w:p>
    <w:p w14:paraId="7D942857" w14:textId="77777777" w:rsidR="005F7359" w:rsidRDefault="005F7359" w:rsidP="005F7359">
      <w:pPr>
        <w:pStyle w:val="ONUME"/>
      </w:pPr>
      <w:r w:rsidRPr="005F7359">
        <w:t xml:space="preserve">To discharge its mandate, IOD has been provided with a biennial budget after transfers of 5.270 million Swiss francs, which represents </w:t>
      </w:r>
      <w:r w:rsidRPr="005F7359">
        <w:rPr>
          <w:shd w:val="clear" w:color="auto" w:fill="FFFFFF" w:themeFill="background1"/>
        </w:rPr>
        <w:t>0.69 per cent</w:t>
      </w:r>
      <w:r w:rsidRPr="005F7359">
        <w:rPr>
          <w:rStyle w:val="FootnoteReference"/>
        </w:rPr>
        <w:footnoteReference w:id="23"/>
      </w:r>
      <w:r w:rsidRPr="005F7359">
        <w:t xml:space="preserve"> of WIPO’s budget for the 2020/2021 biennium.</w:t>
      </w:r>
      <w:r w:rsidRPr="00EF631C">
        <w:t xml:space="preserve">  </w:t>
      </w:r>
      <w:r>
        <w:t>Overall</w:t>
      </w:r>
      <w:r w:rsidRPr="00EF631C">
        <w:t xml:space="preserve">, the level of current human and financial resources has been adequate for IOD to effectively cover the high priority areas as identified in its work plans.  </w:t>
      </w:r>
      <w:r>
        <w:t>Exchange of oversight plans and continuous c</w:t>
      </w:r>
      <w:r w:rsidRPr="00EF631C">
        <w:t xml:space="preserve">oordination of oversight activities with the External Auditor </w:t>
      </w:r>
      <w:r>
        <w:t>as well as</w:t>
      </w:r>
      <w:r w:rsidRPr="00EF631C">
        <w:t xml:space="preserve"> </w:t>
      </w:r>
      <w:r>
        <w:t>effective</w:t>
      </w:r>
      <w:r w:rsidRPr="00EF631C">
        <w:t xml:space="preserve"> use of </w:t>
      </w:r>
      <w:r>
        <w:t>IT</w:t>
      </w:r>
      <w:r w:rsidRPr="00EF631C">
        <w:t xml:space="preserve"> tools </w:t>
      </w:r>
      <w:r>
        <w:t>have also helped to achieve more</w:t>
      </w:r>
      <w:r w:rsidRPr="00EF631C">
        <w:t xml:space="preserve"> efficiency </w:t>
      </w:r>
      <w:r>
        <w:t>and effective coverage of risk areas</w:t>
      </w:r>
      <w:r w:rsidRPr="00EF631C">
        <w:t>.</w:t>
      </w:r>
    </w:p>
    <w:p w14:paraId="24D5384F" w14:textId="77777777" w:rsidR="005F7359" w:rsidRDefault="005F7359" w:rsidP="005F7359">
      <w:pPr>
        <w:pStyle w:val="NormalWeb"/>
        <w:keepNext/>
        <w:keepLines/>
        <w:spacing w:before="0" w:beforeAutospacing="0" w:after="0" w:afterAutospacing="0"/>
        <w:jc w:val="center"/>
        <w:rPr>
          <w:b/>
          <w:bCs/>
        </w:rPr>
      </w:pPr>
      <w:r w:rsidRPr="00EF631C">
        <w:rPr>
          <w:b/>
          <w:bCs/>
        </w:rPr>
        <w:t xml:space="preserve">Table </w:t>
      </w:r>
      <w:r>
        <w:rPr>
          <w:b/>
          <w:bCs/>
        </w:rPr>
        <w:t>4 -</w:t>
      </w:r>
      <w:r w:rsidRPr="00EF631C">
        <w:rPr>
          <w:b/>
          <w:bCs/>
        </w:rPr>
        <w:t xml:space="preserve"> </w:t>
      </w:r>
      <w:r>
        <w:rPr>
          <w:b/>
          <w:bCs/>
        </w:rPr>
        <w:t>2020</w:t>
      </w:r>
      <w:r w:rsidRPr="00EF631C">
        <w:rPr>
          <w:b/>
          <w:bCs/>
        </w:rPr>
        <w:t>/20</w:t>
      </w:r>
      <w:r>
        <w:rPr>
          <w:b/>
          <w:bCs/>
        </w:rPr>
        <w:t>21</w:t>
      </w:r>
      <w:r w:rsidRPr="00EF631C">
        <w:rPr>
          <w:b/>
          <w:bCs/>
        </w:rPr>
        <w:t xml:space="preserve"> IOD Budget and expenditures</w:t>
      </w:r>
      <w:r w:rsidRPr="00EF631C">
        <w:rPr>
          <w:bCs/>
          <w:vertAlign w:val="superscript"/>
        </w:rPr>
        <w:footnoteReference w:id="24"/>
      </w:r>
      <w:r w:rsidRPr="00EF631C">
        <w:rPr>
          <w:b/>
          <w:bCs/>
        </w:rPr>
        <w:t xml:space="preserve"> </w:t>
      </w:r>
    </w:p>
    <w:tbl>
      <w:tblPr>
        <w:tblStyle w:val="GridTable4-Accent1"/>
        <w:tblW w:w="8624" w:type="dxa"/>
        <w:tblLook w:val="04A0" w:firstRow="1" w:lastRow="0" w:firstColumn="1" w:lastColumn="0" w:noHBand="0" w:noVBand="1"/>
        <w:tblCaption w:val="Table 4"/>
        <w:tblDescription w:val="2020/2021 IOD Budget and expenditures"/>
      </w:tblPr>
      <w:tblGrid>
        <w:gridCol w:w="2470"/>
        <w:gridCol w:w="1347"/>
        <w:gridCol w:w="1347"/>
        <w:gridCol w:w="1730"/>
        <w:gridCol w:w="1730"/>
      </w:tblGrid>
      <w:tr w:rsidR="005F7359" w:rsidRPr="00302505" w14:paraId="1C596C83" w14:textId="77777777" w:rsidTr="00A9506F">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2470" w:type="dxa"/>
            <w:noWrap/>
            <w:hideMark/>
          </w:tcPr>
          <w:p w14:paraId="381D68C9" w14:textId="77777777" w:rsidR="005F7359" w:rsidRPr="00302505" w:rsidRDefault="005F7359" w:rsidP="00A9506F">
            <w:pPr>
              <w:rPr>
                <w:color w:val="000000"/>
                <w:sz w:val="18"/>
                <w:szCs w:val="18"/>
              </w:rPr>
            </w:pPr>
            <w:r w:rsidRPr="00302505">
              <w:rPr>
                <w:color w:val="000000"/>
                <w:sz w:val="18"/>
                <w:szCs w:val="18"/>
              </w:rPr>
              <w:t> </w:t>
            </w:r>
          </w:p>
        </w:tc>
        <w:tc>
          <w:tcPr>
            <w:tcW w:w="1347" w:type="dxa"/>
            <w:hideMark/>
          </w:tcPr>
          <w:p w14:paraId="5B49A91B" w14:textId="77777777" w:rsidR="005F7359" w:rsidRPr="00302505" w:rsidRDefault="005F7359" w:rsidP="00A9506F">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sidRPr="00302505">
              <w:rPr>
                <w:b w:val="0"/>
                <w:bCs w:val="0"/>
                <w:color w:val="000000"/>
                <w:sz w:val="18"/>
                <w:szCs w:val="18"/>
              </w:rPr>
              <w:t>2020/21 Approved Budget</w:t>
            </w:r>
          </w:p>
        </w:tc>
        <w:tc>
          <w:tcPr>
            <w:tcW w:w="1347" w:type="dxa"/>
            <w:hideMark/>
          </w:tcPr>
          <w:p w14:paraId="33E95297" w14:textId="77777777" w:rsidR="005F7359" w:rsidRPr="00302505" w:rsidRDefault="005F7359" w:rsidP="00A9506F">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sidRPr="00302505">
              <w:rPr>
                <w:b w:val="0"/>
                <w:bCs w:val="0"/>
                <w:color w:val="000000"/>
                <w:sz w:val="18"/>
                <w:szCs w:val="18"/>
              </w:rPr>
              <w:t>2020/21</w:t>
            </w:r>
          </w:p>
          <w:p w14:paraId="19124645" w14:textId="77777777" w:rsidR="005F7359" w:rsidRPr="00302505" w:rsidRDefault="005F7359" w:rsidP="00A9506F">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sidRPr="00302505">
              <w:rPr>
                <w:b w:val="0"/>
                <w:bCs w:val="0"/>
                <w:color w:val="000000"/>
                <w:sz w:val="18"/>
                <w:szCs w:val="18"/>
              </w:rPr>
              <w:t>Budget after Transfers</w:t>
            </w:r>
          </w:p>
        </w:tc>
        <w:tc>
          <w:tcPr>
            <w:tcW w:w="1730" w:type="dxa"/>
            <w:hideMark/>
          </w:tcPr>
          <w:p w14:paraId="6D1E8F9E" w14:textId="77777777" w:rsidR="005F7359" w:rsidRPr="00302505" w:rsidRDefault="005F7359" w:rsidP="00A9506F">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sidRPr="00302505">
              <w:rPr>
                <w:b w:val="0"/>
                <w:bCs w:val="0"/>
                <w:color w:val="000000"/>
                <w:sz w:val="18"/>
                <w:szCs w:val="18"/>
              </w:rPr>
              <w:t>2020</w:t>
            </w:r>
            <w:r>
              <w:rPr>
                <w:b w:val="0"/>
                <w:bCs w:val="0"/>
                <w:color w:val="000000"/>
                <w:sz w:val="18"/>
                <w:szCs w:val="18"/>
              </w:rPr>
              <w:t>/21</w:t>
            </w:r>
          </w:p>
          <w:p w14:paraId="48789656" w14:textId="77777777" w:rsidR="005F7359" w:rsidRPr="00302505" w:rsidRDefault="005F7359" w:rsidP="00A9506F">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sidRPr="00302505">
              <w:rPr>
                <w:b w:val="0"/>
                <w:bCs w:val="0"/>
                <w:color w:val="000000"/>
                <w:sz w:val="18"/>
                <w:szCs w:val="18"/>
              </w:rPr>
              <w:t>Expenditure</w:t>
            </w:r>
          </w:p>
        </w:tc>
        <w:tc>
          <w:tcPr>
            <w:tcW w:w="1730" w:type="dxa"/>
          </w:tcPr>
          <w:p w14:paraId="552C377C" w14:textId="77777777" w:rsidR="005F7359" w:rsidRPr="00302505" w:rsidRDefault="005F7359" w:rsidP="00A9506F">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sidRPr="00302505">
              <w:rPr>
                <w:b w:val="0"/>
                <w:bCs w:val="0"/>
                <w:color w:val="000000"/>
                <w:sz w:val="18"/>
                <w:szCs w:val="18"/>
              </w:rPr>
              <w:t>Utilization rate (%)</w:t>
            </w:r>
          </w:p>
        </w:tc>
      </w:tr>
      <w:tr w:rsidR="005F7359" w:rsidRPr="00302505" w14:paraId="515C14D2" w14:textId="77777777" w:rsidTr="00A9506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70" w:type="dxa"/>
            <w:noWrap/>
            <w:hideMark/>
          </w:tcPr>
          <w:p w14:paraId="2DA4969D" w14:textId="77777777" w:rsidR="005F7359" w:rsidRPr="00302505" w:rsidRDefault="005F7359" w:rsidP="00A9506F">
            <w:pPr>
              <w:rPr>
                <w:color w:val="000000"/>
                <w:sz w:val="18"/>
                <w:szCs w:val="18"/>
              </w:rPr>
            </w:pPr>
            <w:r w:rsidRPr="00302505">
              <w:rPr>
                <w:color w:val="000000"/>
                <w:sz w:val="18"/>
                <w:szCs w:val="18"/>
              </w:rPr>
              <w:t xml:space="preserve">Personnel Resources  </w:t>
            </w:r>
          </w:p>
        </w:tc>
        <w:tc>
          <w:tcPr>
            <w:tcW w:w="1347" w:type="dxa"/>
            <w:hideMark/>
          </w:tcPr>
          <w:p w14:paraId="1E32C148" w14:textId="77777777" w:rsidR="005F7359" w:rsidRPr="00302505" w:rsidRDefault="005F7359" w:rsidP="00A9506F">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302505">
              <w:rPr>
                <w:rFonts w:ascii="Arial Narrow" w:hAnsi="Arial Narrow"/>
                <w:color w:val="000000"/>
                <w:sz w:val="18"/>
                <w:szCs w:val="18"/>
              </w:rPr>
              <w:t>4,356,000</w:t>
            </w:r>
          </w:p>
        </w:tc>
        <w:tc>
          <w:tcPr>
            <w:tcW w:w="1347" w:type="dxa"/>
            <w:hideMark/>
          </w:tcPr>
          <w:p w14:paraId="1C2D9C22" w14:textId="77777777" w:rsidR="005F7359" w:rsidRPr="00302505" w:rsidRDefault="005F7359" w:rsidP="00A9506F">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302505">
              <w:rPr>
                <w:rFonts w:ascii="Arial Narrow" w:hAnsi="Arial Narrow"/>
                <w:color w:val="000000"/>
                <w:sz w:val="18"/>
                <w:szCs w:val="18"/>
              </w:rPr>
              <w:t>4,471,500</w:t>
            </w:r>
          </w:p>
        </w:tc>
        <w:tc>
          <w:tcPr>
            <w:tcW w:w="1730" w:type="dxa"/>
            <w:hideMark/>
          </w:tcPr>
          <w:p w14:paraId="1CCB87F0" w14:textId="77777777" w:rsidR="005F7359" w:rsidRPr="00302505" w:rsidRDefault="005F7359" w:rsidP="00A9506F">
            <w:pPr>
              <w:jc w:val="center"/>
              <w:cnfStyle w:val="000000100000" w:firstRow="0" w:lastRow="0" w:firstColumn="0" w:lastColumn="0" w:oddVBand="0" w:evenVBand="0" w:oddHBand="1" w:evenHBand="0" w:firstRowFirstColumn="0" w:firstRowLastColumn="0" w:lastRowFirstColumn="0" w:lastRowLastColumn="0"/>
              <w:rPr>
                <w:color w:val="000000"/>
                <w:sz w:val="18"/>
                <w:szCs w:val="18"/>
                <w:highlight w:val="yellow"/>
              </w:rPr>
            </w:pPr>
            <w:r>
              <w:rPr>
                <w:rFonts w:ascii="Arial Narrow" w:hAnsi="Arial Narrow"/>
                <w:color w:val="000000"/>
                <w:sz w:val="18"/>
                <w:szCs w:val="18"/>
              </w:rPr>
              <w:t>4,638,344</w:t>
            </w:r>
          </w:p>
        </w:tc>
        <w:tc>
          <w:tcPr>
            <w:tcW w:w="1730" w:type="dxa"/>
          </w:tcPr>
          <w:p w14:paraId="472AD5E2" w14:textId="77777777" w:rsidR="005F7359" w:rsidRPr="00302505" w:rsidRDefault="005F7359" w:rsidP="00A9506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rPr>
            </w:pPr>
            <w:r>
              <w:rPr>
                <w:rFonts w:ascii="Arial Narrow" w:hAnsi="Arial Narrow"/>
                <w:color w:val="000000"/>
                <w:sz w:val="18"/>
                <w:szCs w:val="18"/>
              </w:rPr>
              <w:t>104</w:t>
            </w:r>
            <w:r w:rsidRPr="00302505">
              <w:rPr>
                <w:rFonts w:ascii="Arial Narrow" w:hAnsi="Arial Narrow"/>
                <w:color w:val="000000"/>
                <w:sz w:val="18"/>
                <w:szCs w:val="18"/>
              </w:rPr>
              <w:t>%</w:t>
            </w:r>
          </w:p>
        </w:tc>
      </w:tr>
      <w:tr w:rsidR="005F7359" w:rsidRPr="00302505" w14:paraId="63527167" w14:textId="77777777" w:rsidTr="00A9506F">
        <w:trPr>
          <w:trHeight w:val="315"/>
        </w:trPr>
        <w:tc>
          <w:tcPr>
            <w:cnfStyle w:val="001000000000" w:firstRow="0" w:lastRow="0" w:firstColumn="1" w:lastColumn="0" w:oddVBand="0" w:evenVBand="0" w:oddHBand="0" w:evenHBand="0" w:firstRowFirstColumn="0" w:firstRowLastColumn="0" w:lastRowFirstColumn="0" w:lastRowLastColumn="0"/>
            <w:tcW w:w="2470" w:type="dxa"/>
            <w:noWrap/>
            <w:hideMark/>
          </w:tcPr>
          <w:p w14:paraId="54978E56" w14:textId="77777777" w:rsidR="005F7359" w:rsidRPr="00302505" w:rsidRDefault="005F7359" w:rsidP="00A9506F">
            <w:pPr>
              <w:rPr>
                <w:color w:val="000000"/>
                <w:sz w:val="18"/>
                <w:szCs w:val="18"/>
              </w:rPr>
            </w:pPr>
            <w:r w:rsidRPr="00302505">
              <w:rPr>
                <w:color w:val="000000"/>
                <w:sz w:val="18"/>
                <w:szCs w:val="18"/>
              </w:rPr>
              <w:t xml:space="preserve">Non-personnel Resources </w:t>
            </w:r>
          </w:p>
        </w:tc>
        <w:tc>
          <w:tcPr>
            <w:tcW w:w="1347" w:type="dxa"/>
            <w:hideMark/>
          </w:tcPr>
          <w:p w14:paraId="553C4F1C" w14:textId="77777777" w:rsidR="005F7359" w:rsidRPr="00302505" w:rsidRDefault="005F7359" w:rsidP="00A9506F">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302505">
              <w:rPr>
                <w:rFonts w:ascii="Arial Narrow" w:hAnsi="Arial Narrow"/>
                <w:color w:val="000000"/>
                <w:sz w:val="18"/>
                <w:szCs w:val="18"/>
              </w:rPr>
              <w:t>835,421</w:t>
            </w:r>
          </w:p>
        </w:tc>
        <w:tc>
          <w:tcPr>
            <w:tcW w:w="1347" w:type="dxa"/>
            <w:hideMark/>
          </w:tcPr>
          <w:p w14:paraId="05B3C529" w14:textId="77777777" w:rsidR="005F7359" w:rsidRPr="00302505" w:rsidRDefault="005F7359" w:rsidP="00A9506F">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rFonts w:ascii="Arial Narrow" w:hAnsi="Arial Narrow"/>
                <w:color w:val="000000"/>
                <w:sz w:val="18"/>
                <w:szCs w:val="18"/>
              </w:rPr>
              <w:t>798</w:t>
            </w:r>
            <w:r w:rsidRPr="00302505">
              <w:rPr>
                <w:rFonts w:ascii="Arial Narrow" w:hAnsi="Arial Narrow"/>
                <w:color w:val="000000"/>
                <w:sz w:val="18"/>
                <w:szCs w:val="18"/>
              </w:rPr>
              <w:t>,</w:t>
            </w:r>
            <w:r>
              <w:rPr>
                <w:rFonts w:ascii="Arial Narrow" w:hAnsi="Arial Narrow"/>
                <w:color w:val="000000"/>
                <w:sz w:val="18"/>
                <w:szCs w:val="18"/>
              </w:rPr>
              <w:t>999</w:t>
            </w:r>
          </w:p>
        </w:tc>
        <w:tc>
          <w:tcPr>
            <w:tcW w:w="1730" w:type="dxa"/>
            <w:hideMark/>
          </w:tcPr>
          <w:p w14:paraId="5C9F5D28" w14:textId="77777777" w:rsidR="005F7359" w:rsidRPr="00302505" w:rsidRDefault="005F7359" w:rsidP="00A9506F">
            <w:pPr>
              <w:jc w:val="center"/>
              <w:cnfStyle w:val="000000000000" w:firstRow="0" w:lastRow="0" w:firstColumn="0" w:lastColumn="0" w:oddVBand="0" w:evenVBand="0" w:oddHBand="0" w:evenHBand="0" w:firstRowFirstColumn="0" w:firstRowLastColumn="0" w:lastRowFirstColumn="0" w:lastRowLastColumn="0"/>
              <w:rPr>
                <w:color w:val="000000"/>
                <w:sz w:val="18"/>
                <w:szCs w:val="18"/>
                <w:highlight w:val="yellow"/>
              </w:rPr>
            </w:pPr>
            <w:r>
              <w:rPr>
                <w:rFonts w:ascii="Arial Narrow" w:hAnsi="Arial Narrow"/>
                <w:color w:val="000000"/>
                <w:sz w:val="18"/>
                <w:szCs w:val="18"/>
              </w:rPr>
              <w:t>629,398</w:t>
            </w:r>
          </w:p>
        </w:tc>
        <w:tc>
          <w:tcPr>
            <w:tcW w:w="1730" w:type="dxa"/>
          </w:tcPr>
          <w:p w14:paraId="68C5A843" w14:textId="77777777" w:rsidR="005F7359" w:rsidRPr="00302505" w:rsidRDefault="005F7359" w:rsidP="00A9506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r>
              <w:rPr>
                <w:rFonts w:ascii="Arial Narrow" w:hAnsi="Arial Narrow"/>
                <w:color w:val="000000"/>
                <w:sz w:val="18"/>
                <w:szCs w:val="18"/>
              </w:rPr>
              <w:t>79</w:t>
            </w:r>
            <w:r w:rsidRPr="00302505">
              <w:rPr>
                <w:rFonts w:ascii="Arial Narrow" w:hAnsi="Arial Narrow"/>
                <w:color w:val="000000"/>
                <w:sz w:val="18"/>
                <w:szCs w:val="18"/>
              </w:rPr>
              <w:t>%</w:t>
            </w:r>
          </w:p>
          <w:p w14:paraId="01D4FF4A" w14:textId="77777777" w:rsidR="005F7359" w:rsidRPr="00302505" w:rsidRDefault="005F7359" w:rsidP="00A9506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p>
        </w:tc>
      </w:tr>
      <w:tr w:rsidR="005F7359" w:rsidRPr="00302505" w14:paraId="6861E555" w14:textId="77777777" w:rsidTr="00A9506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470" w:type="dxa"/>
            <w:noWrap/>
            <w:hideMark/>
          </w:tcPr>
          <w:p w14:paraId="6CD56D1C" w14:textId="77777777" w:rsidR="005F7359" w:rsidRPr="00302505" w:rsidRDefault="005F7359" w:rsidP="00A9506F">
            <w:pPr>
              <w:jc w:val="right"/>
              <w:rPr>
                <w:b w:val="0"/>
                <w:bCs w:val="0"/>
                <w:color w:val="000000"/>
                <w:sz w:val="18"/>
                <w:szCs w:val="18"/>
              </w:rPr>
            </w:pPr>
            <w:r w:rsidRPr="00302505">
              <w:rPr>
                <w:b w:val="0"/>
                <w:bCs w:val="0"/>
                <w:color w:val="000000"/>
                <w:sz w:val="18"/>
                <w:szCs w:val="18"/>
              </w:rPr>
              <w:t xml:space="preserve"> Total </w:t>
            </w:r>
          </w:p>
        </w:tc>
        <w:tc>
          <w:tcPr>
            <w:tcW w:w="1347" w:type="dxa"/>
            <w:hideMark/>
          </w:tcPr>
          <w:p w14:paraId="52C7C335" w14:textId="77777777" w:rsidR="005F7359" w:rsidRPr="00302505" w:rsidRDefault="005F7359" w:rsidP="00A9506F">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302505">
              <w:rPr>
                <w:rFonts w:ascii="Arial Narrow" w:hAnsi="Arial Narrow"/>
                <w:color w:val="000000"/>
                <w:sz w:val="18"/>
                <w:szCs w:val="18"/>
              </w:rPr>
              <w:t>5,191,421</w:t>
            </w:r>
          </w:p>
        </w:tc>
        <w:tc>
          <w:tcPr>
            <w:tcW w:w="1347" w:type="dxa"/>
            <w:hideMark/>
          </w:tcPr>
          <w:p w14:paraId="5498A1CB" w14:textId="77777777" w:rsidR="005F7359" w:rsidRPr="00302505" w:rsidRDefault="005F7359" w:rsidP="00A9506F">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Pr>
                <w:rFonts w:ascii="Arial Narrow" w:hAnsi="Arial Narrow"/>
                <w:color w:val="000000"/>
                <w:sz w:val="18"/>
                <w:szCs w:val="18"/>
              </w:rPr>
              <w:t>5,270,499</w:t>
            </w:r>
          </w:p>
        </w:tc>
        <w:tc>
          <w:tcPr>
            <w:tcW w:w="1730" w:type="dxa"/>
            <w:hideMark/>
          </w:tcPr>
          <w:p w14:paraId="7E83C4E8" w14:textId="77777777" w:rsidR="005F7359" w:rsidRPr="00302505" w:rsidRDefault="005F7359" w:rsidP="00A9506F">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highlight w:val="yellow"/>
              </w:rPr>
            </w:pPr>
            <w:r>
              <w:rPr>
                <w:rFonts w:ascii="Arial Narrow" w:hAnsi="Arial Narrow"/>
                <w:color w:val="000000"/>
                <w:sz w:val="18"/>
                <w:szCs w:val="18"/>
              </w:rPr>
              <w:t>5,267,741</w:t>
            </w:r>
          </w:p>
        </w:tc>
        <w:tc>
          <w:tcPr>
            <w:tcW w:w="1730" w:type="dxa"/>
          </w:tcPr>
          <w:p w14:paraId="2025E228" w14:textId="77777777" w:rsidR="005F7359" w:rsidRPr="00302505" w:rsidRDefault="005F7359" w:rsidP="00A9506F">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000000"/>
                <w:sz w:val="18"/>
                <w:szCs w:val="18"/>
              </w:rPr>
            </w:pPr>
            <w:r>
              <w:rPr>
                <w:rFonts w:ascii="Arial Narrow" w:hAnsi="Arial Narrow"/>
                <w:color w:val="000000"/>
                <w:sz w:val="18"/>
                <w:szCs w:val="18"/>
              </w:rPr>
              <w:t>100</w:t>
            </w:r>
            <w:r w:rsidRPr="00302505">
              <w:rPr>
                <w:rFonts w:ascii="Arial Narrow" w:hAnsi="Arial Narrow"/>
                <w:color w:val="000000"/>
                <w:sz w:val="18"/>
                <w:szCs w:val="18"/>
              </w:rPr>
              <w:t>%</w:t>
            </w:r>
          </w:p>
        </w:tc>
      </w:tr>
      <w:tr w:rsidR="005F7359" w:rsidRPr="00302505" w14:paraId="699148A5" w14:textId="77777777" w:rsidTr="00A9506F">
        <w:trPr>
          <w:trHeight w:val="225"/>
        </w:trPr>
        <w:tc>
          <w:tcPr>
            <w:cnfStyle w:val="001000000000" w:firstRow="0" w:lastRow="0" w:firstColumn="1" w:lastColumn="0" w:oddVBand="0" w:evenVBand="0" w:oddHBand="0" w:evenHBand="0" w:firstRowFirstColumn="0" w:firstRowLastColumn="0" w:lastRowFirstColumn="0" w:lastRowLastColumn="0"/>
            <w:tcW w:w="2470" w:type="dxa"/>
            <w:noWrap/>
          </w:tcPr>
          <w:p w14:paraId="0EA7CEB1" w14:textId="77777777" w:rsidR="005F7359" w:rsidRPr="00302505" w:rsidRDefault="005F7359" w:rsidP="00A9506F">
            <w:pPr>
              <w:rPr>
                <w:color w:val="000000"/>
                <w:sz w:val="18"/>
                <w:szCs w:val="18"/>
              </w:rPr>
            </w:pPr>
            <w:r>
              <w:rPr>
                <w:color w:val="000000"/>
                <w:sz w:val="18"/>
                <w:szCs w:val="18"/>
              </w:rPr>
              <w:t>IOD as % of total WIPO budget</w:t>
            </w:r>
          </w:p>
        </w:tc>
        <w:tc>
          <w:tcPr>
            <w:tcW w:w="1347" w:type="dxa"/>
          </w:tcPr>
          <w:p w14:paraId="56B1037D" w14:textId="77777777" w:rsidR="005F7359" w:rsidRPr="00302505" w:rsidRDefault="005F7359" w:rsidP="00A9506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r>
              <w:rPr>
                <w:rFonts w:ascii="Arial Narrow" w:hAnsi="Arial Narrow"/>
                <w:color w:val="000000"/>
                <w:sz w:val="18"/>
                <w:szCs w:val="18"/>
              </w:rPr>
              <w:t>0,68%</w:t>
            </w:r>
          </w:p>
        </w:tc>
        <w:tc>
          <w:tcPr>
            <w:tcW w:w="1347" w:type="dxa"/>
          </w:tcPr>
          <w:p w14:paraId="5FDFAC2C" w14:textId="77777777" w:rsidR="005F7359" w:rsidRPr="00302505" w:rsidDel="000225E7" w:rsidRDefault="005F7359" w:rsidP="00A9506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r>
              <w:rPr>
                <w:rFonts w:ascii="Arial Narrow" w:hAnsi="Arial Narrow"/>
                <w:color w:val="000000"/>
                <w:sz w:val="18"/>
                <w:szCs w:val="18"/>
              </w:rPr>
              <w:t>0,69%</w:t>
            </w:r>
          </w:p>
        </w:tc>
        <w:tc>
          <w:tcPr>
            <w:tcW w:w="1730" w:type="dxa"/>
          </w:tcPr>
          <w:p w14:paraId="22DD050E" w14:textId="77777777" w:rsidR="005F7359" w:rsidRPr="00302505" w:rsidDel="000225E7" w:rsidRDefault="005F7359" w:rsidP="00A9506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r>
              <w:rPr>
                <w:rFonts w:ascii="Arial Narrow" w:hAnsi="Arial Narrow"/>
                <w:color w:val="000000"/>
                <w:sz w:val="18"/>
                <w:szCs w:val="18"/>
              </w:rPr>
              <w:t>0,78%</w:t>
            </w:r>
          </w:p>
        </w:tc>
        <w:tc>
          <w:tcPr>
            <w:tcW w:w="1730" w:type="dxa"/>
          </w:tcPr>
          <w:p w14:paraId="1417A13C" w14:textId="77777777" w:rsidR="005F7359" w:rsidRPr="00302505" w:rsidDel="000225E7" w:rsidRDefault="005F7359" w:rsidP="00A9506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p>
        </w:tc>
      </w:tr>
    </w:tbl>
    <w:p w14:paraId="59024528" w14:textId="6247CDD8" w:rsidR="00C46B12" w:rsidRPr="00E32ADE" w:rsidRDefault="00C46B12" w:rsidP="002F07CD">
      <w:pPr>
        <w:pStyle w:val="Heading2"/>
      </w:pPr>
      <w:r>
        <w:lastRenderedPageBreak/>
        <w:t>T</w:t>
      </w:r>
      <w:r w:rsidRPr="00E32ADE">
        <w:t>raining</w:t>
      </w:r>
      <w:r w:rsidR="00EA028E">
        <w:t xml:space="preserve"> and Continuing Professional Education</w:t>
      </w:r>
    </w:p>
    <w:p w14:paraId="4723FE93" w14:textId="170CC455" w:rsidR="00C46B12" w:rsidRDefault="003038D9" w:rsidP="002C23BF">
      <w:pPr>
        <w:pStyle w:val="ONUME"/>
      </w:pPr>
      <w:r>
        <w:t>T</w:t>
      </w:r>
      <w:r w:rsidR="00C46B12">
        <w:t xml:space="preserve">he </w:t>
      </w:r>
      <w:r w:rsidR="00C46B12" w:rsidRPr="00E32ADE">
        <w:t xml:space="preserve">continued professional development of </w:t>
      </w:r>
      <w:r w:rsidR="00236FBC">
        <w:t>IOD’s</w:t>
      </w:r>
      <w:r w:rsidR="00C46B12" w:rsidRPr="00E32ADE">
        <w:t xml:space="preserve"> staff</w:t>
      </w:r>
      <w:r>
        <w:t xml:space="preserve"> is essential to </w:t>
      </w:r>
      <w:r w:rsidR="00AD1D8D">
        <w:t>it</w:t>
      </w:r>
      <w:r w:rsidR="00236FBC">
        <w:t>s</w:t>
      </w:r>
      <w:r>
        <w:t xml:space="preserve"> capacity to deliver and effectively support the Organization. </w:t>
      </w:r>
      <w:r w:rsidR="00851AEC">
        <w:t xml:space="preserve"> </w:t>
      </w:r>
      <w:r>
        <w:t>I</w:t>
      </w:r>
      <w:r w:rsidR="00C46B12" w:rsidRPr="00E32ADE">
        <w:t xml:space="preserve">n accordance with </w:t>
      </w:r>
      <w:r w:rsidR="00C46B12" w:rsidRPr="0089039C">
        <w:t>WIPO</w:t>
      </w:r>
      <w:r w:rsidR="0089039C">
        <w:t>’s</w:t>
      </w:r>
      <w:r w:rsidR="00C46B12" w:rsidRPr="0089039C">
        <w:t xml:space="preserve"> training</w:t>
      </w:r>
      <w:r w:rsidR="00C46B12" w:rsidRPr="00E32ADE">
        <w:t xml:space="preserve"> policy, IOD </w:t>
      </w:r>
      <w:r w:rsidR="00C46B12">
        <w:t xml:space="preserve">staff attended various training activities to acquire new knowledge, technical skills </w:t>
      </w:r>
      <w:r w:rsidR="00C46B12" w:rsidRPr="00E32ADE">
        <w:t xml:space="preserve">and other competencies </w:t>
      </w:r>
      <w:r w:rsidR="00C46B12">
        <w:t xml:space="preserve">to increase </w:t>
      </w:r>
      <w:r w:rsidR="00AD1D8D">
        <w:t>it</w:t>
      </w:r>
      <w:r w:rsidR="00236FBC">
        <w:t>s</w:t>
      </w:r>
      <w:r w:rsidR="00C46B12">
        <w:t xml:space="preserve"> operational effectiveness and efficiency in undertaking oversight assignments. </w:t>
      </w:r>
      <w:r w:rsidR="00C46B12" w:rsidRPr="00E32ADE">
        <w:t xml:space="preserve"> </w:t>
      </w:r>
    </w:p>
    <w:p w14:paraId="4AEA2E96" w14:textId="41F6DB83" w:rsidR="00044A42" w:rsidRDefault="00C46B12" w:rsidP="00044A42">
      <w:pPr>
        <w:pStyle w:val="ONUME"/>
      </w:pPr>
      <w:r>
        <w:t xml:space="preserve">On average, each IOD staff member attended 10 days of training </w:t>
      </w:r>
      <w:r w:rsidR="003038D9">
        <w:t>on topics such as</w:t>
      </w:r>
      <w:r>
        <w:t xml:space="preserve">:  </w:t>
      </w:r>
      <w:r w:rsidR="001B628C">
        <w:t>A</w:t>
      </w:r>
      <w:r w:rsidR="008B7A29">
        <w:t xml:space="preserve">nalyzing and </w:t>
      </w:r>
      <w:r w:rsidR="001B628C">
        <w:t>P</w:t>
      </w:r>
      <w:r w:rsidR="008B7A29">
        <w:t xml:space="preserve">resenting </w:t>
      </w:r>
      <w:r w:rsidR="001B628C">
        <w:t>D</w:t>
      </w:r>
      <w:r w:rsidR="008B7A29">
        <w:t>ata, Decision Making, Applied Neuroscience, ACL</w:t>
      </w:r>
      <w:r w:rsidR="00C53813">
        <w:t xml:space="preserve"> Analytics</w:t>
      </w:r>
      <w:r w:rsidR="008B7A29">
        <w:t xml:space="preserve">, TeamMate Analytics, </w:t>
      </w:r>
      <w:r w:rsidR="00C53813">
        <w:t>Internal Auditing Certifications</w:t>
      </w:r>
      <w:r w:rsidR="008B7A29">
        <w:t xml:space="preserve">, Online Research, Emerging Technologies, Integrated Financial Reporting, COBIT 5, Cyber Security, </w:t>
      </w:r>
      <w:r w:rsidR="00C53813">
        <w:t xml:space="preserve">and </w:t>
      </w:r>
      <w:r w:rsidR="008B7A29">
        <w:t>Interview Skills</w:t>
      </w:r>
      <w:r w:rsidR="000A0B7A">
        <w:t xml:space="preserve">.  </w:t>
      </w:r>
    </w:p>
    <w:p w14:paraId="1509FA86" w14:textId="77777777" w:rsidR="00044A42" w:rsidRPr="002150AF" w:rsidRDefault="002150AF" w:rsidP="002150AF">
      <w:pPr>
        <w:pStyle w:val="Heading2"/>
      </w:pPr>
      <w:r>
        <w:t>Satisfaction S</w:t>
      </w:r>
      <w:r w:rsidRPr="002150AF">
        <w:t>urvey</w:t>
      </w:r>
    </w:p>
    <w:p w14:paraId="3ADCABD7" w14:textId="6A14E737" w:rsidR="00044A42" w:rsidRPr="00C37A90" w:rsidRDefault="00044A42" w:rsidP="00044A42">
      <w:pPr>
        <w:pStyle w:val="ONUME"/>
      </w:pPr>
      <w:r>
        <w:t xml:space="preserve">IOD continued to seek feedback from colleagues of audited/evaluated WIPO </w:t>
      </w:r>
      <w:r w:rsidR="00236FBC">
        <w:t>organizational u</w:t>
      </w:r>
      <w:r>
        <w:t xml:space="preserve">nits </w:t>
      </w:r>
      <w:r w:rsidRPr="00C37A90">
        <w:t>through</w:t>
      </w:r>
      <w:r>
        <w:t xml:space="preserve"> </w:t>
      </w:r>
      <w:r w:rsidRPr="00C37A90">
        <w:t>client satisfaction survey</w:t>
      </w:r>
      <w:r>
        <w:t>s</w:t>
      </w:r>
      <w:r w:rsidRPr="00C37A90">
        <w:t xml:space="preserve"> after each assignment</w:t>
      </w:r>
      <w:r>
        <w:t>.  This aims</w:t>
      </w:r>
      <w:r w:rsidRPr="00C37A90">
        <w:t xml:space="preserve"> </w:t>
      </w:r>
      <w:r>
        <w:t xml:space="preserve">to effectively receive and analyze feedback </w:t>
      </w:r>
      <w:r w:rsidRPr="00C37A90">
        <w:t xml:space="preserve">from colleagues on oversight work.  </w:t>
      </w:r>
      <w:r w:rsidR="00B227BC">
        <w:t>At the end of 2021</w:t>
      </w:r>
      <w:r>
        <w:t xml:space="preserve">, the consolidated analysis of survey results indicates a </w:t>
      </w:r>
      <w:r w:rsidRPr="00C37A90">
        <w:t xml:space="preserve">satisfaction rate </w:t>
      </w:r>
      <w:r>
        <w:t>of 8</w:t>
      </w:r>
      <w:r w:rsidR="006D40D5">
        <w:t>3</w:t>
      </w:r>
      <w:r>
        <w:t xml:space="preserve"> per cent.  </w:t>
      </w:r>
    </w:p>
    <w:p w14:paraId="3EB923AF" w14:textId="606B3615" w:rsidR="00C53813" w:rsidRPr="003533F5" w:rsidRDefault="00044A42" w:rsidP="00044A42">
      <w:pPr>
        <w:pStyle w:val="ONUME"/>
      </w:pPr>
      <w:r w:rsidRPr="003533F5">
        <w:t xml:space="preserve">The results of surveys conducted a year after </w:t>
      </w:r>
      <w:r w:rsidR="003533F5">
        <w:t xml:space="preserve">the completion of the </w:t>
      </w:r>
      <w:r w:rsidRPr="003533F5">
        <w:t>assignments</w:t>
      </w:r>
      <w:r w:rsidR="003533F5">
        <w:t>,</w:t>
      </w:r>
      <w:r w:rsidRPr="003533F5">
        <w:t xml:space="preserve"> which are used to assess the impact of oversight work</w:t>
      </w:r>
      <w:r w:rsidR="003533F5">
        <w:t>,</w:t>
      </w:r>
      <w:r w:rsidRPr="003533F5">
        <w:t xml:space="preserve"> indicated an average satisfaction rate </w:t>
      </w:r>
      <w:r w:rsidR="00B129CD" w:rsidRPr="003533F5">
        <w:t xml:space="preserve">of </w:t>
      </w:r>
      <w:r w:rsidR="006D40D5" w:rsidRPr="003533F5">
        <w:t xml:space="preserve">80 </w:t>
      </w:r>
      <w:r w:rsidRPr="003533F5">
        <w:t xml:space="preserve">per cent.  </w:t>
      </w:r>
    </w:p>
    <w:p w14:paraId="2E5D8560" w14:textId="77777777" w:rsidR="006D40D5" w:rsidRPr="00C37A90" w:rsidRDefault="00C53813" w:rsidP="006D40D5">
      <w:pPr>
        <w:pStyle w:val="ONUME"/>
      </w:pPr>
      <w:r>
        <w:t>A</w:t>
      </w:r>
      <w:r w:rsidRPr="001A12DA">
        <w:t>dditional comments sent by the audited/evaluated units through the surveys help</w:t>
      </w:r>
      <w:r>
        <w:t>ed</w:t>
      </w:r>
      <w:r w:rsidRPr="001A12DA">
        <w:t xml:space="preserve"> IOD identify shortcomings and </w:t>
      </w:r>
      <w:r>
        <w:t>take</w:t>
      </w:r>
      <w:r w:rsidRPr="001A12DA">
        <w:t xml:space="preserve"> corrective actions.  </w:t>
      </w:r>
      <w:r w:rsidR="006D40D5">
        <w:t>IOD will strive to further improve the impact of its oversight work based on</w:t>
      </w:r>
      <w:r w:rsidR="006D40D5" w:rsidRPr="000A646E">
        <w:t xml:space="preserve"> </w:t>
      </w:r>
      <w:r w:rsidR="006D40D5">
        <w:t>the feedback received from colleagues.</w:t>
      </w:r>
    </w:p>
    <w:p w14:paraId="25BACC70" w14:textId="77777777" w:rsidR="007C3613" w:rsidRPr="002150AF" w:rsidRDefault="002150AF" w:rsidP="002150AF">
      <w:pPr>
        <w:pStyle w:val="Heading2"/>
      </w:pPr>
      <w:r>
        <w:t>Periodic Internal and External Assessment</w:t>
      </w:r>
    </w:p>
    <w:p w14:paraId="0A41B9F6" w14:textId="70F42BE5" w:rsidR="002F07CD" w:rsidRDefault="007C3613" w:rsidP="00BE1D92">
      <w:pPr>
        <w:pStyle w:val="ONUME"/>
      </w:pPr>
      <w:r w:rsidRPr="00B329B5">
        <w:t xml:space="preserve">Each function of IOD </w:t>
      </w:r>
      <w:r>
        <w:t>undertakes</w:t>
      </w:r>
      <w:r w:rsidRPr="00B329B5">
        <w:t xml:space="preserve"> </w:t>
      </w:r>
      <w:r>
        <w:t>biennial self-assessments</w:t>
      </w:r>
      <w:r w:rsidRPr="00B329B5">
        <w:t xml:space="preserve"> and</w:t>
      </w:r>
      <w:r>
        <w:t>/or</w:t>
      </w:r>
      <w:r w:rsidRPr="00B329B5">
        <w:t xml:space="preserve"> quinquennial external assessments</w:t>
      </w:r>
      <w:r>
        <w:t xml:space="preserve"> to determine whether the functions of IOD are carrying out their duties in an effective and efficient manner, and in </w:t>
      </w:r>
      <w:r w:rsidR="00DE7E1E" w:rsidRPr="00673284">
        <w:t>conformance</w:t>
      </w:r>
      <w:r w:rsidR="00DE7E1E">
        <w:t xml:space="preserve"> </w:t>
      </w:r>
      <w:r>
        <w:t xml:space="preserve">with relevant </w:t>
      </w:r>
      <w:r w:rsidR="00E0105B">
        <w:t>Standards, Professional</w:t>
      </w:r>
      <w:r>
        <w:t xml:space="preserve"> Practices, </w:t>
      </w:r>
      <w:r w:rsidRPr="003533F5">
        <w:t>and</w:t>
      </w:r>
      <w:r w:rsidR="00E0105B" w:rsidRPr="003533F5">
        <w:t xml:space="preserve"> </w:t>
      </w:r>
      <w:r w:rsidR="00E832A2">
        <w:t xml:space="preserve">the </w:t>
      </w:r>
      <w:r w:rsidRPr="00E832A2">
        <w:t>related code of ethics</w:t>
      </w:r>
      <w:r w:rsidRPr="00B329B5">
        <w:t>.</w:t>
      </w:r>
      <w:r>
        <w:t xml:space="preserve"> </w:t>
      </w:r>
      <w:r w:rsidR="002F07CD">
        <w:t xml:space="preserve"> </w:t>
      </w:r>
      <w:r>
        <w:t xml:space="preserve">Elements of the quality program for IOD can be found in relevant manuals, guidelines, and operating procedures. </w:t>
      </w:r>
      <w:r w:rsidR="0010783D">
        <w:t xml:space="preserve"> </w:t>
      </w:r>
      <w:r w:rsidR="00C90461">
        <w:t xml:space="preserve">Results of the External Assessments conducted for each function of IOD were reported in the Annual Report for 2020, and related recommendations are being implemented. </w:t>
      </w:r>
      <w:r w:rsidR="0010783D">
        <w:t xml:space="preserve"> </w:t>
      </w:r>
      <w:r w:rsidR="00C90461">
        <w:t>No external assessment was conducted in 2021, and the next biennial self-assessment of the Internal Audit function is planned for early 2023</w:t>
      </w:r>
      <w:r w:rsidR="001D5827">
        <w:t xml:space="preserve">, and will </w:t>
      </w:r>
      <w:r w:rsidR="00C90461">
        <w:t xml:space="preserve">cover 2021 and 2022.  </w:t>
      </w:r>
    </w:p>
    <w:p w14:paraId="7A654FDD" w14:textId="12CBDBCC" w:rsidR="007D131F" w:rsidRDefault="007D131F" w:rsidP="007D131F">
      <w:pPr>
        <w:keepLines/>
        <w:tabs>
          <w:tab w:val="left" w:pos="5529"/>
        </w:tabs>
        <w:ind w:firstLine="5529"/>
      </w:pPr>
      <w:r>
        <w:t>[Annex</w:t>
      </w:r>
      <w:r w:rsidRPr="00E32ADE">
        <w:t xml:space="preserve"> follow</w:t>
      </w:r>
      <w:r>
        <w:t>s</w:t>
      </w:r>
      <w:r w:rsidRPr="00E32ADE">
        <w:t>]</w:t>
      </w:r>
    </w:p>
    <w:p w14:paraId="1BB5DA7B" w14:textId="77777777" w:rsidR="00C46B12" w:rsidRDefault="00C46B12" w:rsidP="007D131F">
      <w:pPr>
        <w:keepLines/>
        <w:tabs>
          <w:tab w:val="left" w:pos="5529"/>
          <w:tab w:val="left" w:pos="6930"/>
          <w:tab w:val="right" w:pos="9355"/>
        </w:tabs>
      </w:pPr>
    </w:p>
    <w:p w14:paraId="2A8B6AA4" w14:textId="77777777" w:rsidR="00C46B12" w:rsidRDefault="00C46B12" w:rsidP="00C46B12">
      <w:pPr>
        <w:pStyle w:val="ONUME"/>
        <w:keepLines/>
        <w:numPr>
          <w:ilvl w:val="0"/>
          <w:numId w:val="0"/>
        </w:numPr>
        <w:jc w:val="right"/>
        <w:sectPr w:rsidR="00C46B12" w:rsidSect="00E60513">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1305" w:right="1134" w:bottom="1418" w:left="1418" w:header="510" w:footer="1021" w:gutter="0"/>
          <w:pgNumType w:start="1"/>
          <w:cols w:space="720"/>
          <w:titlePg/>
          <w:docGrid w:linePitch="299"/>
        </w:sectPr>
      </w:pPr>
    </w:p>
    <w:p w14:paraId="4186D3C5" w14:textId="77777777" w:rsidR="00C46B12" w:rsidRDefault="00994D8C" w:rsidP="0010783D">
      <w:pPr>
        <w:keepLines/>
        <w:spacing w:after="120"/>
        <w:jc w:val="center"/>
      </w:pPr>
      <w:r>
        <w:rPr>
          <w:b/>
          <w:bCs/>
        </w:rPr>
        <w:lastRenderedPageBreak/>
        <w:t xml:space="preserve">ANNEX - </w:t>
      </w:r>
      <w:r w:rsidR="00C46B12" w:rsidRPr="00DA5DBB">
        <w:rPr>
          <w:b/>
          <w:bCs/>
        </w:rPr>
        <w:t xml:space="preserve">List of </w:t>
      </w:r>
      <w:r w:rsidR="00C46B12">
        <w:rPr>
          <w:b/>
          <w:bCs/>
        </w:rPr>
        <w:t>IOD</w:t>
      </w:r>
      <w:r w:rsidR="00C46B12" w:rsidRPr="00DA5DBB">
        <w:rPr>
          <w:b/>
          <w:bCs/>
        </w:rPr>
        <w:t xml:space="preserve"> Reports</w:t>
      </w:r>
    </w:p>
    <w:tbl>
      <w:tblPr>
        <w:tblStyle w:val="TableGridLight"/>
        <w:tblW w:w="0" w:type="auto"/>
        <w:tblLook w:val="04A0" w:firstRow="1" w:lastRow="0" w:firstColumn="1" w:lastColumn="0" w:noHBand="0" w:noVBand="1"/>
        <w:tblCaption w:val="Annex"/>
        <w:tblDescription w:val="List of IOD Reports from January 1, 2021 to December 31, 2021&#10;"/>
      </w:tblPr>
      <w:tblGrid>
        <w:gridCol w:w="7508"/>
        <w:gridCol w:w="1837"/>
      </w:tblGrid>
      <w:tr w:rsidR="00783303" w:rsidRPr="00427FB1" w14:paraId="210CE5DF" w14:textId="77777777" w:rsidTr="00783303">
        <w:trPr>
          <w:trHeight w:val="851"/>
          <w:tblHeader/>
        </w:trPr>
        <w:tc>
          <w:tcPr>
            <w:tcW w:w="7508" w:type="dxa"/>
            <w:shd w:val="clear" w:color="auto" w:fill="D9D9D9" w:themeFill="background1" w:themeFillShade="D9"/>
            <w:vAlign w:val="center"/>
          </w:tcPr>
          <w:p w14:paraId="6C76FD43" w14:textId="77777777" w:rsidR="00783303" w:rsidRPr="00721BDA" w:rsidRDefault="00783303" w:rsidP="0010783D">
            <w:pPr>
              <w:pStyle w:val="ONUME"/>
              <w:numPr>
                <w:ilvl w:val="0"/>
                <w:numId w:val="0"/>
              </w:numPr>
              <w:spacing w:after="240"/>
              <w:rPr>
                <w:rFonts w:eastAsia="Times New Roman"/>
                <w:color w:val="000000"/>
                <w:sz w:val="24"/>
                <w:szCs w:val="24"/>
                <w:lang w:eastAsia="en-US"/>
              </w:rPr>
            </w:pPr>
            <w:r w:rsidRPr="00783303">
              <w:rPr>
                <w:rFonts w:eastAsia="Times New Roman"/>
                <w:b/>
                <w:color w:val="000000"/>
                <w:sz w:val="24"/>
                <w:szCs w:val="24"/>
                <w:lang w:eastAsia="en-US"/>
              </w:rPr>
              <w:t>IOD reports issued between</w:t>
            </w:r>
            <w:r>
              <w:rPr>
                <w:rFonts w:eastAsia="Times New Roman"/>
                <w:color w:val="000000"/>
                <w:sz w:val="24"/>
                <w:szCs w:val="24"/>
                <w:lang w:eastAsia="en-US"/>
              </w:rPr>
              <w:t xml:space="preserve"> </w:t>
            </w:r>
            <w:r w:rsidRPr="00DA5DBB">
              <w:rPr>
                <w:b/>
                <w:bCs/>
              </w:rPr>
              <w:t>J</w:t>
            </w:r>
            <w:r>
              <w:rPr>
                <w:b/>
                <w:bCs/>
              </w:rPr>
              <w:t>anuary</w:t>
            </w:r>
            <w:r w:rsidRPr="00DA5DBB">
              <w:rPr>
                <w:b/>
                <w:bCs/>
              </w:rPr>
              <w:t xml:space="preserve"> 1, 20</w:t>
            </w:r>
            <w:r>
              <w:rPr>
                <w:b/>
                <w:bCs/>
              </w:rPr>
              <w:t>21</w:t>
            </w:r>
            <w:r w:rsidRPr="00DA5DBB">
              <w:rPr>
                <w:b/>
                <w:bCs/>
              </w:rPr>
              <w:t xml:space="preserve"> to </w:t>
            </w:r>
            <w:r>
              <w:rPr>
                <w:b/>
                <w:bCs/>
              </w:rPr>
              <w:t>December 31</w:t>
            </w:r>
            <w:r w:rsidRPr="00DA5DBB">
              <w:rPr>
                <w:b/>
                <w:bCs/>
              </w:rPr>
              <w:t>, 20</w:t>
            </w:r>
            <w:r>
              <w:rPr>
                <w:b/>
                <w:bCs/>
              </w:rPr>
              <w:t>21</w:t>
            </w:r>
          </w:p>
        </w:tc>
        <w:tc>
          <w:tcPr>
            <w:tcW w:w="1837" w:type="dxa"/>
            <w:shd w:val="clear" w:color="auto" w:fill="D9D9D9" w:themeFill="background1" w:themeFillShade="D9"/>
            <w:vAlign w:val="center"/>
          </w:tcPr>
          <w:p w14:paraId="2BDEE53B" w14:textId="77777777" w:rsidR="00783303" w:rsidRPr="00783303" w:rsidRDefault="00783303" w:rsidP="00721BDA">
            <w:pPr>
              <w:pStyle w:val="ONUME"/>
              <w:numPr>
                <w:ilvl w:val="0"/>
                <w:numId w:val="0"/>
              </w:numPr>
              <w:ind w:left="34"/>
              <w:jc w:val="center"/>
              <w:rPr>
                <w:rFonts w:eastAsia="Times New Roman"/>
                <w:b/>
                <w:color w:val="000000"/>
                <w:sz w:val="24"/>
                <w:szCs w:val="24"/>
                <w:lang w:eastAsia="en-US"/>
              </w:rPr>
            </w:pPr>
            <w:r w:rsidRPr="00783303">
              <w:rPr>
                <w:rFonts w:eastAsia="Times New Roman"/>
                <w:b/>
                <w:color w:val="000000"/>
                <w:sz w:val="24"/>
                <w:szCs w:val="24"/>
                <w:lang w:eastAsia="en-US"/>
              </w:rPr>
              <w:t>Ref.</w:t>
            </w:r>
          </w:p>
        </w:tc>
      </w:tr>
      <w:tr w:rsidR="00FF003D" w:rsidRPr="00427FB1" w14:paraId="723560B3" w14:textId="77777777" w:rsidTr="0010783D">
        <w:trPr>
          <w:trHeight w:val="584"/>
          <w:tblHeader/>
        </w:trPr>
        <w:tc>
          <w:tcPr>
            <w:tcW w:w="7508" w:type="dxa"/>
            <w:vAlign w:val="center"/>
          </w:tcPr>
          <w:p w14:paraId="06DB62E6" w14:textId="77777777" w:rsidR="00FF003D" w:rsidRPr="00C11E98" w:rsidRDefault="00721BDA" w:rsidP="00267852">
            <w:pPr>
              <w:pStyle w:val="ONUME"/>
              <w:numPr>
                <w:ilvl w:val="0"/>
                <w:numId w:val="0"/>
              </w:numPr>
              <w:jc w:val="center"/>
            </w:pPr>
            <w:r w:rsidRPr="00721BDA">
              <w:rPr>
                <w:rFonts w:eastAsia="Times New Roman"/>
                <w:color w:val="000000"/>
                <w:sz w:val="24"/>
                <w:szCs w:val="24"/>
                <w:lang w:eastAsia="en-US"/>
              </w:rPr>
              <w:t xml:space="preserve">Audit and Integrity Review of </w:t>
            </w:r>
            <w:r w:rsidR="00267852">
              <w:rPr>
                <w:rFonts w:eastAsia="Times New Roman"/>
                <w:color w:val="000000"/>
                <w:sz w:val="24"/>
                <w:szCs w:val="24"/>
                <w:lang w:eastAsia="en-US"/>
              </w:rPr>
              <w:t>Absence Management</w:t>
            </w:r>
          </w:p>
        </w:tc>
        <w:tc>
          <w:tcPr>
            <w:tcW w:w="1837" w:type="dxa"/>
            <w:vAlign w:val="center"/>
          </w:tcPr>
          <w:p w14:paraId="296DBE97" w14:textId="77777777" w:rsidR="00FF003D" w:rsidRPr="00427FB1" w:rsidRDefault="00FF003D" w:rsidP="00721BDA">
            <w:pPr>
              <w:pStyle w:val="ONUME"/>
              <w:numPr>
                <w:ilvl w:val="0"/>
                <w:numId w:val="0"/>
              </w:numPr>
              <w:ind w:left="34"/>
              <w:jc w:val="center"/>
            </w:pPr>
            <w:r w:rsidRPr="00F736B0">
              <w:rPr>
                <w:rFonts w:eastAsia="Times New Roman"/>
                <w:color w:val="000000"/>
                <w:sz w:val="24"/>
                <w:szCs w:val="24"/>
                <w:lang w:eastAsia="en-US"/>
              </w:rPr>
              <w:t>I</w:t>
            </w:r>
            <w:r w:rsidR="00267852">
              <w:rPr>
                <w:rFonts w:eastAsia="Times New Roman"/>
                <w:color w:val="000000"/>
                <w:sz w:val="24"/>
                <w:szCs w:val="24"/>
                <w:lang w:eastAsia="en-US"/>
              </w:rPr>
              <w:t>A 2020</w:t>
            </w:r>
            <w:r w:rsidRPr="00F736B0">
              <w:rPr>
                <w:rFonts w:eastAsia="Times New Roman"/>
                <w:color w:val="000000"/>
                <w:sz w:val="24"/>
                <w:szCs w:val="24"/>
                <w:lang w:eastAsia="en-US"/>
              </w:rPr>
              <w:t>-0</w:t>
            </w:r>
            <w:r w:rsidR="00267852">
              <w:rPr>
                <w:rFonts w:eastAsia="Times New Roman"/>
                <w:color w:val="000000"/>
                <w:sz w:val="24"/>
                <w:szCs w:val="24"/>
                <w:lang w:eastAsia="en-US"/>
              </w:rPr>
              <w:t>2</w:t>
            </w:r>
          </w:p>
        </w:tc>
      </w:tr>
      <w:tr w:rsidR="00FF003D" w:rsidRPr="00427FB1" w14:paraId="4832E85E" w14:textId="77777777" w:rsidTr="0010783D">
        <w:trPr>
          <w:trHeight w:val="620"/>
        </w:trPr>
        <w:tc>
          <w:tcPr>
            <w:tcW w:w="7508" w:type="dxa"/>
            <w:vAlign w:val="center"/>
          </w:tcPr>
          <w:p w14:paraId="04CB9590" w14:textId="77777777" w:rsidR="00FF003D" w:rsidRPr="00F736B0" w:rsidRDefault="00FF003D" w:rsidP="00267852">
            <w:pPr>
              <w:pStyle w:val="ONUME"/>
              <w:numPr>
                <w:ilvl w:val="0"/>
                <w:numId w:val="0"/>
              </w:numPr>
              <w:jc w:val="center"/>
              <w:rPr>
                <w:rFonts w:eastAsia="Times New Roman"/>
                <w:color w:val="3B3B3B"/>
                <w:sz w:val="24"/>
                <w:szCs w:val="24"/>
                <w:lang w:eastAsia="en-US"/>
              </w:rPr>
            </w:pPr>
            <w:r w:rsidRPr="0030012B">
              <w:rPr>
                <w:rFonts w:eastAsia="Times New Roman"/>
                <w:sz w:val="24"/>
                <w:szCs w:val="24"/>
                <w:lang w:eastAsia="en-US"/>
              </w:rPr>
              <w:t xml:space="preserve">Audit of </w:t>
            </w:r>
            <w:r w:rsidR="00267852">
              <w:rPr>
                <w:rFonts w:eastAsia="Times New Roman"/>
                <w:sz w:val="24"/>
                <w:szCs w:val="24"/>
                <w:lang w:eastAsia="en-US"/>
              </w:rPr>
              <w:t xml:space="preserve">Cybersecurity </w:t>
            </w:r>
            <w:r w:rsidR="00C4224C">
              <w:rPr>
                <w:rFonts w:eastAsia="Times New Roman"/>
                <w:sz w:val="24"/>
                <w:szCs w:val="24"/>
                <w:lang w:eastAsia="en-US"/>
              </w:rPr>
              <w:t xml:space="preserve">Management </w:t>
            </w:r>
            <w:r w:rsidR="00267852">
              <w:rPr>
                <w:rFonts w:eastAsia="Times New Roman"/>
                <w:sz w:val="24"/>
                <w:szCs w:val="24"/>
                <w:lang w:eastAsia="en-US"/>
              </w:rPr>
              <w:t>at WIPO</w:t>
            </w:r>
          </w:p>
        </w:tc>
        <w:tc>
          <w:tcPr>
            <w:tcW w:w="1837" w:type="dxa"/>
            <w:vAlign w:val="center"/>
          </w:tcPr>
          <w:p w14:paraId="11356366" w14:textId="77777777" w:rsidR="00FF003D" w:rsidRPr="00F736B0" w:rsidRDefault="00FF003D" w:rsidP="00267852">
            <w:pPr>
              <w:pStyle w:val="ONUME"/>
              <w:numPr>
                <w:ilvl w:val="0"/>
                <w:numId w:val="0"/>
              </w:numPr>
              <w:ind w:left="34"/>
              <w:jc w:val="center"/>
              <w:rPr>
                <w:rFonts w:eastAsia="Times New Roman"/>
                <w:color w:val="000000"/>
                <w:sz w:val="24"/>
                <w:szCs w:val="24"/>
                <w:lang w:eastAsia="en-US"/>
              </w:rPr>
            </w:pPr>
            <w:r w:rsidRPr="00F736B0">
              <w:rPr>
                <w:rFonts w:eastAsia="Times New Roman"/>
                <w:color w:val="000000"/>
                <w:sz w:val="24"/>
                <w:szCs w:val="24"/>
                <w:lang w:eastAsia="en-US"/>
              </w:rPr>
              <w:t>IA 20</w:t>
            </w:r>
            <w:r w:rsidR="00721BDA">
              <w:rPr>
                <w:rFonts w:eastAsia="Times New Roman"/>
                <w:color w:val="000000"/>
                <w:sz w:val="24"/>
                <w:szCs w:val="24"/>
                <w:lang w:eastAsia="en-US"/>
              </w:rPr>
              <w:t>20-0</w:t>
            </w:r>
            <w:r w:rsidR="00267852">
              <w:rPr>
                <w:rFonts w:eastAsia="Times New Roman"/>
                <w:color w:val="000000"/>
                <w:sz w:val="24"/>
                <w:szCs w:val="24"/>
                <w:lang w:eastAsia="en-US"/>
              </w:rPr>
              <w:t>4</w:t>
            </w:r>
          </w:p>
        </w:tc>
      </w:tr>
      <w:tr w:rsidR="00FF003D" w:rsidRPr="00427FB1" w14:paraId="3B1B8F0B" w14:textId="77777777" w:rsidTr="0010783D">
        <w:trPr>
          <w:trHeight w:val="620"/>
        </w:trPr>
        <w:tc>
          <w:tcPr>
            <w:tcW w:w="7508" w:type="dxa"/>
            <w:vAlign w:val="center"/>
          </w:tcPr>
          <w:p w14:paraId="64092D59" w14:textId="4E4DEDCF" w:rsidR="00FF003D" w:rsidRPr="00C11E98" w:rsidRDefault="00C4224C" w:rsidP="00FF003D">
            <w:pPr>
              <w:pStyle w:val="ONUME"/>
              <w:numPr>
                <w:ilvl w:val="0"/>
                <w:numId w:val="0"/>
              </w:numPr>
              <w:jc w:val="center"/>
            </w:pPr>
            <w:r w:rsidRPr="00C4224C">
              <w:rPr>
                <w:rFonts w:eastAsia="Times New Roman"/>
                <w:color w:val="000000"/>
                <w:sz w:val="24"/>
                <w:szCs w:val="24"/>
                <w:lang w:eastAsia="en-US"/>
              </w:rPr>
              <w:t xml:space="preserve">Review of WIPO Crisis Management during the </w:t>
            </w:r>
            <w:r w:rsidR="00852EB9">
              <w:rPr>
                <w:rFonts w:eastAsia="Times New Roman"/>
                <w:color w:val="000000"/>
                <w:sz w:val="24"/>
                <w:szCs w:val="24"/>
                <w:lang w:eastAsia="en-US"/>
              </w:rPr>
              <w:t>Pandemic</w:t>
            </w:r>
          </w:p>
        </w:tc>
        <w:tc>
          <w:tcPr>
            <w:tcW w:w="1837" w:type="dxa"/>
            <w:vAlign w:val="center"/>
          </w:tcPr>
          <w:p w14:paraId="4F1D88F2" w14:textId="77777777" w:rsidR="00FF003D" w:rsidRPr="00427FB1" w:rsidRDefault="00FF003D" w:rsidP="00D77D44">
            <w:pPr>
              <w:pStyle w:val="ONUME"/>
              <w:numPr>
                <w:ilvl w:val="0"/>
                <w:numId w:val="0"/>
              </w:numPr>
              <w:ind w:left="34"/>
              <w:jc w:val="center"/>
            </w:pPr>
            <w:r w:rsidRPr="00F736B0">
              <w:rPr>
                <w:rFonts w:eastAsia="Times New Roman"/>
                <w:color w:val="000000"/>
                <w:sz w:val="24"/>
                <w:szCs w:val="24"/>
                <w:lang w:eastAsia="en-US"/>
              </w:rPr>
              <w:t>IA 20</w:t>
            </w:r>
            <w:r w:rsidR="00721BDA">
              <w:rPr>
                <w:rFonts w:eastAsia="Times New Roman"/>
                <w:color w:val="000000"/>
                <w:sz w:val="24"/>
                <w:szCs w:val="24"/>
                <w:lang w:eastAsia="en-US"/>
              </w:rPr>
              <w:t>20</w:t>
            </w:r>
            <w:r w:rsidR="00267852">
              <w:rPr>
                <w:rFonts w:eastAsia="Times New Roman"/>
                <w:color w:val="000000"/>
                <w:sz w:val="24"/>
                <w:szCs w:val="24"/>
                <w:lang w:eastAsia="en-US"/>
              </w:rPr>
              <w:t>-05</w:t>
            </w:r>
          </w:p>
        </w:tc>
      </w:tr>
      <w:tr w:rsidR="00783303" w:rsidRPr="00427FB1" w14:paraId="613F7983" w14:textId="77777777" w:rsidTr="0010783D">
        <w:trPr>
          <w:trHeight w:val="620"/>
        </w:trPr>
        <w:tc>
          <w:tcPr>
            <w:tcW w:w="7508" w:type="dxa"/>
            <w:vAlign w:val="center"/>
          </w:tcPr>
          <w:p w14:paraId="2B4B7EC0" w14:textId="77777777" w:rsidR="00783303" w:rsidRPr="00721010" w:rsidRDefault="00783303" w:rsidP="00267852">
            <w:pPr>
              <w:pStyle w:val="ONUME"/>
              <w:numPr>
                <w:ilvl w:val="0"/>
                <w:numId w:val="0"/>
              </w:numPr>
              <w:jc w:val="center"/>
              <w:rPr>
                <w:rFonts w:eastAsia="Times New Roman"/>
                <w:color w:val="000000"/>
                <w:sz w:val="24"/>
                <w:szCs w:val="24"/>
                <w:lang w:eastAsia="en-US"/>
              </w:rPr>
            </w:pPr>
            <w:r w:rsidRPr="00783303">
              <w:rPr>
                <w:rFonts w:eastAsia="Times New Roman"/>
                <w:color w:val="000000"/>
                <w:sz w:val="24"/>
                <w:szCs w:val="24"/>
                <w:lang w:eastAsia="en-US"/>
              </w:rPr>
              <w:t>Review of Performance Management and Staff Development at WIPO</w:t>
            </w:r>
          </w:p>
        </w:tc>
        <w:tc>
          <w:tcPr>
            <w:tcW w:w="1837" w:type="dxa"/>
            <w:vAlign w:val="center"/>
          </w:tcPr>
          <w:p w14:paraId="0A4A58DB" w14:textId="77777777" w:rsidR="00783303" w:rsidRPr="00721010" w:rsidRDefault="00783303" w:rsidP="001C0BFD">
            <w:pPr>
              <w:pStyle w:val="ONUME"/>
              <w:numPr>
                <w:ilvl w:val="0"/>
                <w:numId w:val="0"/>
              </w:numPr>
              <w:ind w:left="34"/>
              <w:jc w:val="center"/>
              <w:rPr>
                <w:rFonts w:eastAsia="Times New Roman"/>
                <w:color w:val="000000"/>
                <w:sz w:val="24"/>
                <w:szCs w:val="24"/>
                <w:lang w:eastAsia="en-US"/>
              </w:rPr>
            </w:pPr>
            <w:r>
              <w:rPr>
                <w:rFonts w:eastAsia="Times New Roman"/>
                <w:color w:val="000000"/>
                <w:sz w:val="24"/>
                <w:szCs w:val="24"/>
                <w:lang w:eastAsia="en-US"/>
              </w:rPr>
              <w:t>IA 2021-06</w:t>
            </w:r>
          </w:p>
        </w:tc>
      </w:tr>
      <w:tr w:rsidR="001C0BFD" w:rsidRPr="00427FB1" w14:paraId="3581FB3F" w14:textId="77777777" w:rsidTr="0010783D">
        <w:trPr>
          <w:trHeight w:val="647"/>
        </w:trPr>
        <w:tc>
          <w:tcPr>
            <w:tcW w:w="7508" w:type="dxa"/>
            <w:vAlign w:val="center"/>
          </w:tcPr>
          <w:p w14:paraId="5B257A05" w14:textId="77777777" w:rsidR="001C0BFD" w:rsidRPr="00721010" w:rsidRDefault="001C0BFD" w:rsidP="00267852">
            <w:pPr>
              <w:pStyle w:val="ONUME"/>
              <w:numPr>
                <w:ilvl w:val="0"/>
                <w:numId w:val="0"/>
              </w:numPr>
              <w:jc w:val="center"/>
              <w:rPr>
                <w:rFonts w:eastAsia="Times New Roman"/>
                <w:color w:val="000000"/>
                <w:sz w:val="24"/>
                <w:szCs w:val="24"/>
                <w:lang w:eastAsia="en-US"/>
              </w:rPr>
            </w:pPr>
            <w:r w:rsidRPr="00721010">
              <w:rPr>
                <w:rFonts w:eastAsia="Times New Roman"/>
                <w:color w:val="000000"/>
                <w:sz w:val="24"/>
                <w:szCs w:val="24"/>
                <w:lang w:eastAsia="en-US"/>
              </w:rPr>
              <w:t>Evaluation of the Regional Division for</w:t>
            </w:r>
            <w:r w:rsidR="00267852">
              <w:rPr>
                <w:rFonts w:eastAsia="Times New Roman"/>
                <w:color w:val="000000"/>
                <w:sz w:val="24"/>
                <w:szCs w:val="24"/>
                <w:lang w:eastAsia="en-US"/>
              </w:rPr>
              <w:t xml:space="preserve"> Arab Countries</w:t>
            </w:r>
          </w:p>
        </w:tc>
        <w:tc>
          <w:tcPr>
            <w:tcW w:w="1837" w:type="dxa"/>
            <w:vAlign w:val="center"/>
          </w:tcPr>
          <w:p w14:paraId="47C6ED14" w14:textId="77777777" w:rsidR="001C0BFD" w:rsidRPr="00721010" w:rsidRDefault="001C0BFD" w:rsidP="001C0BFD">
            <w:pPr>
              <w:pStyle w:val="ONUME"/>
              <w:numPr>
                <w:ilvl w:val="0"/>
                <w:numId w:val="0"/>
              </w:numPr>
              <w:ind w:left="34"/>
              <w:jc w:val="center"/>
              <w:rPr>
                <w:rFonts w:eastAsia="Times New Roman"/>
                <w:color w:val="000000"/>
                <w:sz w:val="24"/>
                <w:szCs w:val="24"/>
                <w:lang w:eastAsia="en-US"/>
              </w:rPr>
            </w:pPr>
            <w:r w:rsidRPr="00721010">
              <w:rPr>
                <w:rFonts w:eastAsia="Times New Roman"/>
                <w:color w:val="000000"/>
                <w:sz w:val="24"/>
                <w:szCs w:val="24"/>
                <w:lang w:eastAsia="en-US"/>
              </w:rPr>
              <w:t>E</w:t>
            </w:r>
            <w:r w:rsidR="00267852">
              <w:rPr>
                <w:rFonts w:eastAsia="Times New Roman"/>
                <w:color w:val="000000"/>
                <w:sz w:val="24"/>
                <w:szCs w:val="24"/>
                <w:lang w:eastAsia="en-US"/>
              </w:rPr>
              <w:t>VAL 2020</w:t>
            </w:r>
            <w:r w:rsidRPr="00721010">
              <w:rPr>
                <w:rFonts w:eastAsia="Times New Roman"/>
                <w:color w:val="000000"/>
                <w:sz w:val="24"/>
                <w:szCs w:val="24"/>
                <w:lang w:eastAsia="en-US"/>
              </w:rPr>
              <w:t>-01</w:t>
            </w:r>
          </w:p>
        </w:tc>
      </w:tr>
      <w:tr w:rsidR="001C0BFD" w:rsidRPr="00427FB1" w14:paraId="497B46DD" w14:textId="77777777" w:rsidTr="0010783D">
        <w:trPr>
          <w:trHeight w:val="530"/>
        </w:trPr>
        <w:tc>
          <w:tcPr>
            <w:tcW w:w="7508" w:type="dxa"/>
            <w:vAlign w:val="center"/>
          </w:tcPr>
          <w:p w14:paraId="569077B4" w14:textId="77777777" w:rsidR="001C0BFD" w:rsidRPr="00721010" w:rsidRDefault="001C0BFD" w:rsidP="00267852">
            <w:pPr>
              <w:pStyle w:val="ONUME"/>
              <w:numPr>
                <w:ilvl w:val="0"/>
                <w:numId w:val="0"/>
              </w:numPr>
              <w:jc w:val="center"/>
              <w:rPr>
                <w:rFonts w:eastAsia="Times New Roman"/>
                <w:color w:val="000000"/>
                <w:sz w:val="24"/>
                <w:szCs w:val="24"/>
                <w:lang w:eastAsia="en-US"/>
              </w:rPr>
            </w:pPr>
            <w:r w:rsidRPr="00721010">
              <w:rPr>
                <w:rFonts w:eastAsia="Times New Roman"/>
                <w:color w:val="000000"/>
                <w:sz w:val="24"/>
                <w:szCs w:val="24"/>
                <w:lang w:eastAsia="en-US"/>
              </w:rPr>
              <w:t xml:space="preserve">Evaluation of </w:t>
            </w:r>
            <w:r w:rsidR="00267852">
              <w:rPr>
                <w:rFonts w:eastAsia="Times New Roman"/>
                <w:color w:val="000000"/>
                <w:sz w:val="24"/>
                <w:szCs w:val="24"/>
                <w:lang w:eastAsia="en-US"/>
              </w:rPr>
              <w:t>WIPO Match</w:t>
            </w:r>
          </w:p>
        </w:tc>
        <w:tc>
          <w:tcPr>
            <w:tcW w:w="1837" w:type="dxa"/>
            <w:vAlign w:val="center"/>
          </w:tcPr>
          <w:p w14:paraId="7F4D09BB" w14:textId="77777777" w:rsidR="001C0BFD" w:rsidRPr="00721010" w:rsidRDefault="001C0BFD" w:rsidP="00D845F1">
            <w:pPr>
              <w:pStyle w:val="ONUME"/>
              <w:numPr>
                <w:ilvl w:val="0"/>
                <w:numId w:val="0"/>
              </w:numPr>
              <w:ind w:left="34"/>
              <w:jc w:val="center"/>
              <w:rPr>
                <w:rFonts w:eastAsia="Times New Roman"/>
                <w:color w:val="000000"/>
                <w:sz w:val="24"/>
                <w:szCs w:val="24"/>
                <w:lang w:eastAsia="en-US"/>
              </w:rPr>
            </w:pPr>
            <w:r w:rsidRPr="00721010">
              <w:rPr>
                <w:rFonts w:eastAsia="Times New Roman"/>
                <w:color w:val="000000"/>
                <w:sz w:val="24"/>
                <w:szCs w:val="24"/>
                <w:lang w:eastAsia="en-US"/>
              </w:rPr>
              <w:t>E</w:t>
            </w:r>
            <w:r w:rsidR="00267852">
              <w:rPr>
                <w:rFonts w:eastAsia="Times New Roman"/>
                <w:color w:val="000000"/>
                <w:sz w:val="24"/>
                <w:szCs w:val="24"/>
                <w:lang w:eastAsia="en-US"/>
              </w:rPr>
              <w:t>VAL 2020-05</w:t>
            </w:r>
          </w:p>
        </w:tc>
      </w:tr>
      <w:tr w:rsidR="001C0BFD" w:rsidRPr="00427FB1" w14:paraId="4AB10382" w14:textId="77777777" w:rsidTr="0010783D">
        <w:trPr>
          <w:trHeight w:val="620"/>
        </w:trPr>
        <w:tc>
          <w:tcPr>
            <w:tcW w:w="7508" w:type="dxa"/>
            <w:vAlign w:val="center"/>
          </w:tcPr>
          <w:p w14:paraId="195A76E9" w14:textId="64777C55" w:rsidR="001C0BFD" w:rsidRPr="00721010" w:rsidRDefault="001C0BFD" w:rsidP="00267852">
            <w:pPr>
              <w:pStyle w:val="ONUME"/>
              <w:numPr>
                <w:ilvl w:val="0"/>
                <w:numId w:val="0"/>
              </w:numPr>
              <w:jc w:val="center"/>
              <w:rPr>
                <w:rFonts w:eastAsia="Times New Roman"/>
                <w:color w:val="000000"/>
                <w:sz w:val="24"/>
                <w:szCs w:val="24"/>
                <w:lang w:eastAsia="en-US"/>
              </w:rPr>
            </w:pPr>
            <w:r w:rsidRPr="00721010">
              <w:rPr>
                <w:rFonts w:eastAsia="Times New Roman"/>
                <w:color w:val="000000"/>
                <w:sz w:val="24"/>
                <w:szCs w:val="24"/>
                <w:lang w:eastAsia="en-US"/>
              </w:rPr>
              <w:t xml:space="preserve">Evaluation of </w:t>
            </w:r>
            <w:r w:rsidR="00267852">
              <w:rPr>
                <w:rFonts w:eastAsia="Times New Roman"/>
                <w:color w:val="000000"/>
                <w:sz w:val="24"/>
                <w:szCs w:val="24"/>
                <w:lang w:eastAsia="en-US"/>
              </w:rPr>
              <w:t>the Use and Impact of IOD Evaluation Section</w:t>
            </w:r>
            <w:r w:rsidR="001B628C">
              <w:rPr>
                <w:rFonts w:eastAsia="Times New Roman"/>
                <w:color w:val="000000"/>
                <w:sz w:val="24"/>
                <w:szCs w:val="24"/>
                <w:lang w:eastAsia="en-US"/>
              </w:rPr>
              <w:t xml:space="preserve"> Recommendations</w:t>
            </w:r>
            <w:r w:rsidR="00267852">
              <w:rPr>
                <w:rFonts w:eastAsia="Times New Roman"/>
                <w:color w:val="000000"/>
                <w:sz w:val="24"/>
                <w:szCs w:val="24"/>
                <w:lang w:eastAsia="en-US"/>
              </w:rPr>
              <w:t xml:space="preserve"> </w:t>
            </w:r>
          </w:p>
        </w:tc>
        <w:tc>
          <w:tcPr>
            <w:tcW w:w="1837" w:type="dxa"/>
            <w:vAlign w:val="center"/>
          </w:tcPr>
          <w:p w14:paraId="3E908E54" w14:textId="77777777" w:rsidR="001C0BFD" w:rsidRPr="00721010" w:rsidRDefault="001C0BFD" w:rsidP="00783303">
            <w:pPr>
              <w:pStyle w:val="ONUME"/>
              <w:numPr>
                <w:ilvl w:val="0"/>
                <w:numId w:val="0"/>
              </w:numPr>
              <w:ind w:left="34"/>
              <w:jc w:val="center"/>
              <w:rPr>
                <w:rFonts w:eastAsia="Times New Roman"/>
                <w:color w:val="000000"/>
                <w:sz w:val="24"/>
                <w:szCs w:val="24"/>
                <w:lang w:eastAsia="en-US"/>
              </w:rPr>
            </w:pPr>
            <w:r w:rsidRPr="00721010">
              <w:rPr>
                <w:rFonts w:eastAsia="Times New Roman"/>
                <w:color w:val="000000"/>
                <w:sz w:val="24"/>
                <w:szCs w:val="24"/>
                <w:lang w:eastAsia="en-US"/>
              </w:rPr>
              <w:t>E</w:t>
            </w:r>
            <w:r w:rsidR="00783303">
              <w:rPr>
                <w:rFonts w:eastAsia="Times New Roman"/>
                <w:color w:val="000000"/>
                <w:sz w:val="24"/>
                <w:szCs w:val="24"/>
                <w:lang w:eastAsia="en-US"/>
              </w:rPr>
              <w:t>VAL 2020-03</w:t>
            </w:r>
          </w:p>
        </w:tc>
      </w:tr>
      <w:tr w:rsidR="00FF003D" w:rsidRPr="00427FB1" w14:paraId="1C468BAD" w14:textId="77777777" w:rsidTr="0010783D">
        <w:trPr>
          <w:trHeight w:val="620"/>
        </w:trPr>
        <w:tc>
          <w:tcPr>
            <w:tcW w:w="7508" w:type="dxa"/>
            <w:vAlign w:val="center"/>
          </w:tcPr>
          <w:p w14:paraId="03E067A6" w14:textId="77777777" w:rsidR="00FF003D" w:rsidRPr="00721010" w:rsidRDefault="00140918" w:rsidP="00783303">
            <w:pPr>
              <w:pStyle w:val="ONUME"/>
              <w:numPr>
                <w:ilvl w:val="0"/>
                <w:numId w:val="0"/>
              </w:numPr>
              <w:jc w:val="center"/>
              <w:rPr>
                <w:rFonts w:eastAsia="Times New Roman"/>
                <w:color w:val="000000"/>
                <w:sz w:val="24"/>
                <w:szCs w:val="24"/>
                <w:lang w:eastAsia="en-US"/>
              </w:rPr>
            </w:pPr>
            <w:r w:rsidRPr="00140918">
              <w:rPr>
                <w:rFonts w:eastAsia="Times New Roman"/>
                <w:color w:val="000000"/>
                <w:sz w:val="24"/>
                <w:szCs w:val="24"/>
                <w:lang w:eastAsia="en-US"/>
              </w:rPr>
              <w:t>Advisory</w:t>
            </w:r>
            <w:r w:rsidR="00783303">
              <w:rPr>
                <w:rFonts w:eastAsia="Times New Roman"/>
                <w:color w:val="000000"/>
                <w:sz w:val="24"/>
                <w:szCs w:val="24"/>
                <w:lang w:eastAsia="en-US"/>
              </w:rPr>
              <w:t xml:space="preserve"> Engagement on</w:t>
            </w:r>
            <w:r w:rsidRPr="00140918">
              <w:rPr>
                <w:rFonts w:eastAsia="Times New Roman"/>
                <w:color w:val="000000"/>
                <w:sz w:val="24"/>
                <w:szCs w:val="24"/>
                <w:lang w:eastAsia="en-US"/>
              </w:rPr>
              <w:t xml:space="preserve"> </w:t>
            </w:r>
            <w:r w:rsidR="00783303">
              <w:rPr>
                <w:rFonts w:eastAsia="Times New Roman"/>
                <w:color w:val="000000"/>
                <w:sz w:val="24"/>
                <w:szCs w:val="24"/>
                <w:lang w:eastAsia="en-US"/>
              </w:rPr>
              <w:t>National IP Strategy Self-Evaluations</w:t>
            </w:r>
          </w:p>
        </w:tc>
        <w:tc>
          <w:tcPr>
            <w:tcW w:w="1837" w:type="dxa"/>
            <w:vAlign w:val="center"/>
          </w:tcPr>
          <w:p w14:paraId="52F5017A" w14:textId="77777777" w:rsidR="00FF003D" w:rsidRPr="00721010" w:rsidRDefault="00140918" w:rsidP="00783303">
            <w:pPr>
              <w:pStyle w:val="ONUME"/>
              <w:numPr>
                <w:ilvl w:val="0"/>
                <w:numId w:val="0"/>
              </w:numPr>
              <w:ind w:left="34"/>
              <w:jc w:val="center"/>
              <w:rPr>
                <w:rFonts w:eastAsia="Times New Roman"/>
                <w:color w:val="000000"/>
                <w:sz w:val="24"/>
                <w:szCs w:val="24"/>
                <w:lang w:eastAsia="en-US"/>
              </w:rPr>
            </w:pPr>
            <w:r w:rsidRPr="00F736B0">
              <w:rPr>
                <w:rFonts w:eastAsia="Times New Roman"/>
                <w:color w:val="000000"/>
                <w:sz w:val="24"/>
                <w:szCs w:val="24"/>
                <w:lang w:eastAsia="en-US"/>
              </w:rPr>
              <w:t xml:space="preserve">EVAL </w:t>
            </w:r>
            <w:r w:rsidR="00783303">
              <w:rPr>
                <w:rFonts w:eastAsia="Times New Roman"/>
                <w:color w:val="000000"/>
                <w:sz w:val="24"/>
                <w:szCs w:val="24"/>
                <w:lang w:eastAsia="en-US"/>
              </w:rPr>
              <w:t>2021-02</w:t>
            </w:r>
          </w:p>
        </w:tc>
      </w:tr>
      <w:tr w:rsidR="00FF003D" w:rsidRPr="00427FB1" w14:paraId="58791143" w14:textId="77777777" w:rsidTr="0010783D">
        <w:trPr>
          <w:trHeight w:val="800"/>
        </w:trPr>
        <w:tc>
          <w:tcPr>
            <w:tcW w:w="7508" w:type="dxa"/>
            <w:vAlign w:val="center"/>
          </w:tcPr>
          <w:p w14:paraId="596923F8" w14:textId="78723B2E" w:rsidR="00FF003D" w:rsidRPr="00C11E98" w:rsidRDefault="00FF003D" w:rsidP="00783303">
            <w:pPr>
              <w:pStyle w:val="ONUME"/>
              <w:numPr>
                <w:ilvl w:val="0"/>
                <w:numId w:val="0"/>
              </w:numPr>
              <w:jc w:val="center"/>
            </w:pPr>
            <w:r>
              <w:rPr>
                <w:rFonts w:eastAsia="Times New Roman"/>
                <w:color w:val="000000"/>
                <w:sz w:val="24"/>
                <w:szCs w:val="24"/>
                <w:lang w:eastAsia="en-US"/>
              </w:rPr>
              <w:t>M</w:t>
            </w:r>
            <w:r w:rsidR="001C0BFD">
              <w:rPr>
                <w:rFonts w:eastAsia="Times New Roman"/>
                <w:color w:val="000000"/>
                <w:sz w:val="24"/>
                <w:szCs w:val="24"/>
                <w:lang w:eastAsia="en-US"/>
              </w:rPr>
              <w:t xml:space="preserve">anagement </w:t>
            </w:r>
            <w:r>
              <w:rPr>
                <w:rFonts w:eastAsia="Times New Roman"/>
                <w:color w:val="000000"/>
                <w:sz w:val="24"/>
                <w:szCs w:val="24"/>
                <w:lang w:eastAsia="en-US"/>
              </w:rPr>
              <w:t>I</w:t>
            </w:r>
            <w:r w:rsidR="001C0BFD">
              <w:rPr>
                <w:rFonts w:eastAsia="Times New Roman"/>
                <w:color w:val="000000"/>
                <w:sz w:val="24"/>
                <w:szCs w:val="24"/>
                <w:lang w:eastAsia="en-US"/>
              </w:rPr>
              <w:t xml:space="preserve">mplication </w:t>
            </w:r>
            <w:r>
              <w:rPr>
                <w:rFonts w:eastAsia="Times New Roman"/>
                <w:color w:val="000000"/>
                <w:sz w:val="24"/>
                <w:szCs w:val="24"/>
                <w:lang w:eastAsia="en-US"/>
              </w:rPr>
              <w:t>R</w:t>
            </w:r>
            <w:r w:rsidR="00726D19">
              <w:rPr>
                <w:rFonts w:eastAsia="Times New Roman"/>
                <w:color w:val="000000"/>
                <w:sz w:val="24"/>
                <w:szCs w:val="24"/>
                <w:lang w:eastAsia="en-US"/>
              </w:rPr>
              <w:t>eport</w:t>
            </w:r>
            <w:r>
              <w:rPr>
                <w:rFonts w:eastAsia="Times New Roman"/>
                <w:color w:val="000000"/>
                <w:sz w:val="24"/>
                <w:szCs w:val="24"/>
                <w:lang w:eastAsia="en-US"/>
              </w:rPr>
              <w:t xml:space="preserve"> on </w:t>
            </w:r>
            <w:r w:rsidR="00783303">
              <w:rPr>
                <w:rFonts w:eastAsia="Times New Roman"/>
                <w:color w:val="000000"/>
                <w:sz w:val="24"/>
                <w:szCs w:val="24"/>
                <w:lang w:eastAsia="en-US"/>
              </w:rPr>
              <w:t>Personal data and privacy issues concerning WIPO e-mails to external users</w:t>
            </w:r>
          </w:p>
        </w:tc>
        <w:tc>
          <w:tcPr>
            <w:tcW w:w="1837" w:type="dxa"/>
            <w:vAlign w:val="center"/>
          </w:tcPr>
          <w:p w14:paraId="3195BCCF" w14:textId="77777777" w:rsidR="00FF003D" w:rsidRPr="00427FB1" w:rsidRDefault="00FF003D" w:rsidP="00783303">
            <w:pPr>
              <w:pStyle w:val="ONUME"/>
              <w:numPr>
                <w:ilvl w:val="0"/>
                <w:numId w:val="0"/>
              </w:numPr>
              <w:ind w:left="34"/>
              <w:jc w:val="center"/>
            </w:pPr>
            <w:r w:rsidRPr="00F736B0">
              <w:rPr>
                <w:rFonts w:eastAsia="Times New Roman"/>
                <w:color w:val="000000"/>
                <w:sz w:val="24"/>
                <w:szCs w:val="24"/>
                <w:lang w:eastAsia="en-US"/>
              </w:rPr>
              <w:t xml:space="preserve">MIR </w:t>
            </w:r>
            <w:r w:rsidR="00721BDA">
              <w:rPr>
                <w:rFonts w:eastAsia="Times New Roman"/>
                <w:color w:val="000000"/>
                <w:sz w:val="24"/>
                <w:szCs w:val="24"/>
                <w:lang w:eastAsia="en-US"/>
              </w:rPr>
              <w:t>20</w:t>
            </w:r>
            <w:r w:rsidR="00783303">
              <w:rPr>
                <w:rFonts w:eastAsia="Times New Roman"/>
                <w:color w:val="000000"/>
                <w:sz w:val="24"/>
                <w:szCs w:val="24"/>
                <w:lang w:eastAsia="en-US"/>
              </w:rPr>
              <w:t>20</w:t>
            </w:r>
            <w:r w:rsidR="00721BDA">
              <w:rPr>
                <w:rFonts w:eastAsia="Times New Roman"/>
                <w:color w:val="000000"/>
                <w:sz w:val="24"/>
                <w:szCs w:val="24"/>
                <w:lang w:eastAsia="en-US"/>
              </w:rPr>
              <w:t>-</w:t>
            </w:r>
            <w:r w:rsidR="00783303">
              <w:rPr>
                <w:rFonts w:eastAsia="Times New Roman"/>
                <w:color w:val="000000"/>
                <w:sz w:val="24"/>
                <w:szCs w:val="24"/>
                <w:lang w:eastAsia="en-US"/>
              </w:rPr>
              <w:t>1</w:t>
            </w:r>
            <w:r w:rsidR="00721BDA">
              <w:rPr>
                <w:rFonts w:eastAsia="Times New Roman"/>
                <w:color w:val="000000"/>
                <w:sz w:val="24"/>
                <w:szCs w:val="24"/>
                <w:lang w:eastAsia="en-US"/>
              </w:rPr>
              <w:t>7</w:t>
            </w:r>
          </w:p>
        </w:tc>
      </w:tr>
      <w:tr w:rsidR="00F45565" w:rsidRPr="00427FB1" w14:paraId="3CDD1D0B" w14:textId="77777777" w:rsidTr="0010783D">
        <w:trPr>
          <w:trHeight w:val="710"/>
        </w:trPr>
        <w:tc>
          <w:tcPr>
            <w:tcW w:w="7508" w:type="dxa"/>
            <w:vAlign w:val="center"/>
          </w:tcPr>
          <w:p w14:paraId="37981CCB" w14:textId="0D202E2C" w:rsidR="00F45565" w:rsidRPr="000269CE" w:rsidRDefault="00783303" w:rsidP="00236FBC">
            <w:pPr>
              <w:pStyle w:val="ONUME"/>
              <w:numPr>
                <w:ilvl w:val="0"/>
                <w:numId w:val="0"/>
              </w:numPr>
              <w:jc w:val="center"/>
              <w:rPr>
                <w:rFonts w:eastAsia="Times New Roman"/>
                <w:color w:val="000000"/>
                <w:sz w:val="24"/>
                <w:szCs w:val="24"/>
                <w:lang w:eastAsia="en-US"/>
              </w:rPr>
            </w:pPr>
            <w:r>
              <w:rPr>
                <w:rFonts w:eastAsia="Times New Roman"/>
                <w:color w:val="000000"/>
                <w:sz w:val="24"/>
                <w:szCs w:val="24"/>
                <w:lang w:eastAsia="en-US"/>
              </w:rPr>
              <w:t>Ma</w:t>
            </w:r>
            <w:r w:rsidR="00726D19">
              <w:rPr>
                <w:rFonts w:eastAsia="Times New Roman"/>
                <w:color w:val="000000"/>
                <w:sz w:val="24"/>
                <w:szCs w:val="24"/>
                <w:lang w:eastAsia="en-US"/>
              </w:rPr>
              <w:t>nagement Implication Report</w:t>
            </w:r>
            <w:r>
              <w:rPr>
                <w:rFonts w:eastAsia="Times New Roman"/>
                <w:color w:val="000000"/>
                <w:sz w:val="24"/>
                <w:szCs w:val="24"/>
                <w:lang w:eastAsia="en-US"/>
              </w:rPr>
              <w:t xml:space="preserve"> on Information contained in the P</w:t>
            </w:r>
            <w:r w:rsidR="00236FBC">
              <w:rPr>
                <w:rFonts w:eastAsia="Times New Roman"/>
                <w:color w:val="000000"/>
                <w:sz w:val="24"/>
                <w:szCs w:val="24"/>
                <w:lang w:eastAsia="en-US"/>
              </w:rPr>
              <w:t>ATENTSCOPE</w:t>
            </w:r>
            <w:r>
              <w:rPr>
                <w:rFonts w:eastAsia="Times New Roman"/>
                <w:color w:val="000000"/>
                <w:sz w:val="24"/>
                <w:szCs w:val="24"/>
                <w:lang w:eastAsia="en-US"/>
              </w:rPr>
              <w:t xml:space="preserve"> website</w:t>
            </w:r>
          </w:p>
        </w:tc>
        <w:tc>
          <w:tcPr>
            <w:tcW w:w="1837" w:type="dxa"/>
            <w:vAlign w:val="center"/>
          </w:tcPr>
          <w:p w14:paraId="61956F56" w14:textId="77777777" w:rsidR="00F45565" w:rsidRPr="00F736B0" w:rsidRDefault="00783303" w:rsidP="00783303">
            <w:pPr>
              <w:jc w:val="center"/>
              <w:rPr>
                <w:rFonts w:eastAsia="Times New Roman"/>
                <w:color w:val="000000"/>
                <w:sz w:val="24"/>
                <w:szCs w:val="24"/>
                <w:lang w:eastAsia="en-US"/>
              </w:rPr>
            </w:pPr>
            <w:r>
              <w:rPr>
                <w:rFonts w:eastAsia="Times New Roman"/>
                <w:color w:val="000000"/>
                <w:sz w:val="24"/>
                <w:szCs w:val="24"/>
                <w:lang w:eastAsia="en-US"/>
              </w:rPr>
              <w:t>MIR 2021</w:t>
            </w:r>
            <w:r w:rsidR="00F45565">
              <w:rPr>
                <w:rFonts w:eastAsia="Times New Roman"/>
                <w:color w:val="000000"/>
                <w:sz w:val="24"/>
                <w:szCs w:val="24"/>
                <w:lang w:eastAsia="en-US"/>
              </w:rPr>
              <w:t>-</w:t>
            </w:r>
            <w:r w:rsidR="00721BDA">
              <w:rPr>
                <w:rFonts w:eastAsia="Times New Roman"/>
                <w:color w:val="000000"/>
                <w:sz w:val="24"/>
                <w:szCs w:val="24"/>
                <w:lang w:eastAsia="en-US"/>
              </w:rPr>
              <w:t>1</w:t>
            </w:r>
            <w:r>
              <w:rPr>
                <w:rFonts w:eastAsia="Times New Roman"/>
                <w:color w:val="000000"/>
                <w:sz w:val="24"/>
                <w:szCs w:val="24"/>
                <w:lang w:eastAsia="en-US"/>
              </w:rPr>
              <w:t>2</w:t>
            </w:r>
          </w:p>
        </w:tc>
      </w:tr>
      <w:tr w:rsidR="00783303" w:rsidRPr="00427FB1" w14:paraId="32F02717" w14:textId="77777777" w:rsidTr="00783303">
        <w:trPr>
          <w:trHeight w:val="851"/>
        </w:trPr>
        <w:tc>
          <w:tcPr>
            <w:tcW w:w="7508" w:type="dxa"/>
            <w:shd w:val="clear" w:color="auto" w:fill="D9D9D9" w:themeFill="background1" w:themeFillShade="D9"/>
            <w:vAlign w:val="center"/>
          </w:tcPr>
          <w:p w14:paraId="09B010EE" w14:textId="77777777" w:rsidR="00783303" w:rsidRDefault="00783303" w:rsidP="001D5827">
            <w:pPr>
              <w:pStyle w:val="ONUME"/>
              <w:numPr>
                <w:ilvl w:val="0"/>
                <w:numId w:val="0"/>
              </w:numPr>
              <w:jc w:val="center"/>
              <w:rPr>
                <w:rFonts w:eastAsia="Times New Roman"/>
                <w:color w:val="000000"/>
                <w:sz w:val="24"/>
                <w:szCs w:val="24"/>
                <w:lang w:eastAsia="en-US"/>
              </w:rPr>
            </w:pPr>
            <w:r>
              <w:rPr>
                <w:rFonts w:eastAsia="Times New Roman"/>
                <w:b/>
                <w:color w:val="000000"/>
                <w:sz w:val="24"/>
                <w:szCs w:val="24"/>
                <w:lang w:eastAsia="en-US"/>
              </w:rPr>
              <w:t xml:space="preserve">IOD reports </w:t>
            </w:r>
            <w:r w:rsidR="00EF4A05">
              <w:rPr>
                <w:rFonts w:eastAsia="Times New Roman"/>
                <w:b/>
                <w:color w:val="000000"/>
                <w:sz w:val="24"/>
                <w:szCs w:val="24"/>
                <w:lang w:eastAsia="en-US"/>
              </w:rPr>
              <w:t xml:space="preserve">issued </w:t>
            </w:r>
            <w:r w:rsidR="001D5827">
              <w:rPr>
                <w:rFonts w:eastAsia="Times New Roman"/>
                <w:b/>
                <w:color w:val="000000"/>
                <w:sz w:val="24"/>
                <w:szCs w:val="24"/>
                <w:lang w:eastAsia="en-US"/>
              </w:rPr>
              <w:t xml:space="preserve">in </w:t>
            </w:r>
            <w:r w:rsidR="00AA0C8C">
              <w:rPr>
                <w:rFonts w:eastAsia="Times New Roman"/>
                <w:b/>
                <w:color w:val="000000"/>
                <w:sz w:val="24"/>
                <w:szCs w:val="24"/>
                <w:lang w:eastAsia="en-US"/>
              </w:rPr>
              <w:t xml:space="preserve">early </w:t>
            </w:r>
            <w:r w:rsidR="00EF4A05">
              <w:rPr>
                <w:rFonts w:eastAsia="Times New Roman"/>
                <w:b/>
                <w:color w:val="000000"/>
                <w:sz w:val="24"/>
                <w:szCs w:val="24"/>
                <w:lang w:eastAsia="en-US"/>
              </w:rPr>
              <w:t>2022</w:t>
            </w:r>
          </w:p>
        </w:tc>
        <w:tc>
          <w:tcPr>
            <w:tcW w:w="1837" w:type="dxa"/>
            <w:shd w:val="clear" w:color="auto" w:fill="D9D9D9" w:themeFill="background1" w:themeFillShade="D9"/>
            <w:vAlign w:val="center"/>
          </w:tcPr>
          <w:p w14:paraId="42863D72" w14:textId="77777777" w:rsidR="00783303" w:rsidRDefault="00783303" w:rsidP="00783303">
            <w:pPr>
              <w:jc w:val="center"/>
              <w:rPr>
                <w:rFonts w:eastAsia="Times New Roman"/>
                <w:color w:val="000000"/>
                <w:sz w:val="24"/>
                <w:szCs w:val="24"/>
                <w:lang w:eastAsia="en-US"/>
              </w:rPr>
            </w:pPr>
          </w:p>
        </w:tc>
      </w:tr>
      <w:tr w:rsidR="00783303" w:rsidRPr="00427FB1" w14:paraId="7E698504" w14:textId="77777777" w:rsidTr="00F64BB1">
        <w:trPr>
          <w:trHeight w:val="692"/>
        </w:trPr>
        <w:tc>
          <w:tcPr>
            <w:tcW w:w="7508" w:type="dxa"/>
            <w:vAlign w:val="center"/>
          </w:tcPr>
          <w:p w14:paraId="42186DAE" w14:textId="77777777" w:rsidR="00783303" w:rsidRPr="00D301AF" w:rsidRDefault="00783303" w:rsidP="00D301AF">
            <w:pPr>
              <w:pStyle w:val="ONUME"/>
              <w:numPr>
                <w:ilvl w:val="0"/>
                <w:numId w:val="0"/>
              </w:numPr>
              <w:spacing w:after="0"/>
              <w:jc w:val="center"/>
              <w:rPr>
                <w:rFonts w:eastAsia="Times New Roman"/>
                <w:color w:val="000000"/>
                <w:sz w:val="24"/>
                <w:szCs w:val="24"/>
                <w:lang w:eastAsia="en-US"/>
              </w:rPr>
            </w:pPr>
            <w:r>
              <w:rPr>
                <w:rFonts w:eastAsia="Times New Roman"/>
                <w:color w:val="000000"/>
                <w:sz w:val="24"/>
                <w:szCs w:val="24"/>
                <w:lang w:eastAsia="en-US"/>
              </w:rPr>
              <w:t>Audit of the Hague Platform Project</w:t>
            </w:r>
          </w:p>
        </w:tc>
        <w:tc>
          <w:tcPr>
            <w:tcW w:w="1837" w:type="dxa"/>
            <w:vAlign w:val="center"/>
          </w:tcPr>
          <w:p w14:paraId="3E347B43" w14:textId="77777777" w:rsidR="00783303" w:rsidRDefault="00783303" w:rsidP="00783303">
            <w:pPr>
              <w:jc w:val="center"/>
              <w:rPr>
                <w:rFonts w:eastAsia="Times New Roman"/>
                <w:color w:val="000000"/>
                <w:sz w:val="24"/>
                <w:szCs w:val="24"/>
                <w:lang w:eastAsia="en-US"/>
              </w:rPr>
            </w:pPr>
            <w:r>
              <w:rPr>
                <w:rFonts w:eastAsia="Times New Roman"/>
                <w:color w:val="000000"/>
                <w:sz w:val="24"/>
                <w:szCs w:val="24"/>
                <w:lang w:eastAsia="en-US"/>
              </w:rPr>
              <w:t>IA 2021-02</w:t>
            </w:r>
          </w:p>
        </w:tc>
      </w:tr>
      <w:tr w:rsidR="001D5827" w:rsidRPr="00427FB1" w14:paraId="50CEB50C" w14:textId="77777777" w:rsidTr="00F64BB1">
        <w:trPr>
          <w:trHeight w:val="620"/>
        </w:trPr>
        <w:tc>
          <w:tcPr>
            <w:tcW w:w="7508" w:type="dxa"/>
            <w:vAlign w:val="center"/>
          </w:tcPr>
          <w:p w14:paraId="3120D5D4" w14:textId="77777777" w:rsidR="001D5827" w:rsidRDefault="00900A69" w:rsidP="00003410">
            <w:pPr>
              <w:pStyle w:val="ONUME"/>
              <w:numPr>
                <w:ilvl w:val="0"/>
                <w:numId w:val="0"/>
              </w:numPr>
              <w:spacing w:after="0"/>
              <w:jc w:val="center"/>
              <w:rPr>
                <w:rFonts w:eastAsia="Times New Roman"/>
                <w:color w:val="000000"/>
                <w:sz w:val="24"/>
                <w:szCs w:val="24"/>
                <w:lang w:eastAsia="en-US"/>
              </w:rPr>
            </w:pPr>
            <w:r>
              <w:rPr>
                <w:rFonts w:eastAsia="Times New Roman"/>
                <w:color w:val="000000"/>
                <w:sz w:val="24"/>
                <w:szCs w:val="24"/>
                <w:lang w:eastAsia="en-US"/>
              </w:rPr>
              <w:t>Audit o</w:t>
            </w:r>
            <w:r w:rsidRPr="00900A69">
              <w:rPr>
                <w:rFonts w:eastAsia="Times New Roman"/>
                <w:color w:val="000000"/>
                <w:sz w:val="24"/>
                <w:szCs w:val="24"/>
                <w:lang w:eastAsia="en-US"/>
              </w:rPr>
              <w:t xml:space="preserve">f Enterprise Risk Management </w:t>
            </w:r>
          </w:p>
        </w:tc>
        <w:tc>
          <w:tcPr>
            <w:tcW w:w="1837" w:type="dxa"/>
            <w:vAlign w:val="center"/>
          </w:tcPr>
          <w:p w14:paraId="53B7E4BB" w14:textId="77777777" w:rsidR="001D5827" w:rsidRDefault="00F64BB1" w:rsidP="00783303">
            <w:pPr>
              <w:jc w:val="center"/>
              <w:rPr>
                <w:rFonts w:eastAsia="Times New Roman"/>
                <w:color w:val="000000"/>
                <w:sz w:val="24"/>
                <w:szCs w:val="24"/>
                <w:lang w:eastAsia="en-US"/>
              </w:rPr>
            </w:pPr>
            <w:r>
              <w:rPr>
                <w:rFonts w:eastAsia="Times New Roman"/>
                <w:color w:val="000000"/>
                <w:sz w:val="24"/>
                <w:szCs w:val="24"/>
                <w:lang w:eastAsia="en-US"/>
              </w:rPr>
              <w:t>IA 2021-03</w:t>
            </w:r>
          </w:p>
        </w:tc>
      </w:tr>
      <w:tr w:rsidR="001D5827" w:rsidRPr="00427FB1" w14:paraId="12ECC1EB" w14:textId="77777777" w:rsidTr="00F64BB1">
        <w:trPr>
          <w:trHeight w:val="710"/>
        </w:trPr>
        <w:tc>
          <w:tcPr>
            <w:tcW w:w="7508" w:type="dxa"/>
            <w:vAlign w:val="center"/>
          </w:tcPr>
          <w:p w14:paraId="25046268" w14:textId="77777777" w:rsidR="001D5827" w:rsidRDefault="00F64BB1" w:rsidP="00F64BB1">
            <w:pPr>
              <w:pStyle w:val="Heading2"/>
              <w:rPr>
                <w:rFonts w:eastAsia="Times New Roman"/>
                <w:color w:val="000000"/>
                <w:sz w:val="24"/>
                <w:szCs w:val="24"/>
                <w:lang w:eastAsia="en-US"/>
              </w:rPr>
            </w:pPr>
            <w:r>
              <w:rPr>
                <w:rFonts w:eastAsia="Times New Roman"/>
                <w:caps w:val="0"/>
                <w:color w:val="000000"/>
                <w:sz w:val="24"/>
                <w:szCs w:val="24"/>
                <w:lang w:eastAsia="en-US"/>
              </w:rPr>
              <w:t xml:space="preserve">Audit of </w:t>
            </w:r>
            <w:r w:rsidR="00003410">
              <w:rPr>
                <w:rFonts w:eastAsia="Times New Roman"/>
                <w:caps w:val="0"/>
                <w:color w:val="000000"/>
                <w:sz w:val="24"/>
                <w:szCs w:val="24"/>
                <w:lang w:eastAsia="en-US"/>
              </w:rPr>
              <w:t xml:space="preserve">the </w:t>
            </w:r>
            <w:r>
              <w:rPr>
                <w:rFonts w:eastAsia="Times New Roman"/>
                <w:caps w:val="0"/>
                <w:color w:val="000000"/>
                <w:sz w:val="24"/>
                <w:szCs w:val="24"/>
                <w:lang w:eastAsia="en-US"/>
              </w:rPr>
              <w:t>Management of Assets, Supplies a</w:t>
            </w:r>
            <w:r w:rsidRPr="006905B2">
              <w:rPr>
                <w:rFonts w:eastAsia="Times New Roman"/>
                <w:caps w:val="0"/>
                <w:color w:val="000000"/>
                <w:sz w:val="24"/>
                <w:szCs w:val="24"/>
                <w:lang w:eastAsia="en-US"/>
              </w:rPr>
              <w:t xml:space="preserve">nd Materials </w:t>
            </w:r>
          </w:p>
        </w:tc>
        <w:tc>
          <w:tcPr>
            <w:tcW w:w="1837" w:type="dxa"/>
            <w:vAlign w:val="center"/>
          </w:tcPr>
          <w:p w14:paraId="343FE97A" w14:textId="77777777" w:rsidR="001D5827" w:rsidRDefault="00F64BB1" w:rsidP="00783303">
            <w:pPr>
              <w:jc w:val="center"/>
              <w:rPr>
                <w:rFonts w:eastAsia="Times New Roman"/>
                <w:color w:val="000000"/>
                <w:sz w:val="24"/>
                <w:szCs w:val="24"/>
                <w:lang w:eastAsia="en-US"/>
              </w:rPr>
            </w:pPr>
            <w:r>
              <w:rPr>
                <w:rFonts w:eastAsia="Times New Roman"/>
                <w:color w:val="000000"/>
                <w:sz w:val="24"/>
                <w:szCs w:val="24"/>
                <w:lang w:eastAsia="en-US"/>
              </w:rPr>
              <w:t>IA 2021-04</w:t>
            </w:r>
          </w:p>
        </w:tc>
      </w:tr>
      <w:tr w:rsidR="00783303" w:rsidRPr="00427FB1" w14:paraId="5C523935" w14:textId="77777777" w:rsidTr="00F64BB1">
        <w:trPr>
          <w:trHeight w:val="620"/>
        </w:trPr>
        <w:tc>
          <w:tcPr>
            <w:tcW w:w="7508" w:type="dxa"/>
            <w:vAlign w:val="center"/>
          </w:tcPr>
          <w:p w14:paraId="1FD80A9F" w14:textId="3018B054" w:rsidR="009B65CA" w:rsidRDefault="009B65CA" w:rsidP="00D301AF">
            <w:pPr>
              <w:pStyle w:val="ONUME"/>
              <w:numPr>
                <w:ilvl w:val="0"/>
                <w:numId w:val="0"/>
              </w:numPr>
              <w:spacing w:after="0"/>
              <w:jc w:val="center"/>
              <w:rPr>
                <w:rFonts w:eastAsia="Times New Roman"/>
                <w:color w:val="000000"/>
                <w:sz w:val="24"/>
                <w:szCs w:val="24"/>
                <w:lang w:eastAsia="en-US"/>
              </w:rPr>
            </w:pPr>
            <w:r>
              <w:rPr>
                <w:rFonts w:eastAsia="Times New Roman"/>
                <w:color w:val="000000"/>
                <w:sz w:val="24"/>
                <w:szCs w:val="24"/>
                <w:lang w:eastAsia="en-US"/>
              </w:rPr>
              <w:t>Evaluation of</w:t>
            </w:r>
            <w:r w:rsidR="001B628C">
              <w:rPr>
                <w:rFonts w:eastAsia="Times New Roman"/>
                <w:color w:val="000000"/>
                <w:sz w:val="24"/>
                <w:szCs w:val="24"/>
                <w:lang w:eastAsia="en-US"/>
              </w:rPr>
              <w:t xml:space="preserve"> WIPO</w:t>
            </w:r>
            <w:r>
              <w:rPr>
                <w:rFonts w:eastAsia="Times New Roman"/>
                <w:color w:val="000000"/>
                <w:sz w:val="24"/>
                <w:szCs w:val="24"/>
                <w:lang w:eastAsia="en-US"/>
              </w:rPr>
              <w:t xml:space="preserve"> Standing Committees</w:t>
            </w:r>
          </w:p>
        </w:tc>
        <w:tc>
          <w:tcPr>
            <w:tcW w:w="1837" w:type="dxa"/>
            <w:vAlign w:val="center"/>
          </w:tcPr>
          <w:p w14:paraId="3E1C3CB8" w14:textId="01C85A2A" w:rsidR="00783303" w:rsidRDefault="009B65CA" w:rsidP="00783303">
            <w:pPr>
              <w:jc w:val="center"/>
              <w:rPr>
                <w:rFonts w:eastAsia="Times New Roman"/>
                <w:color w:val="000000"/>
                <w:sz w:val="24"/>
                <w:szCs w:val="24"/>
                <w:lang w:eastAsia="en-US"/>
              </w:rPr>
            </w:pPr>
            <w:r>
              <w:rPr>
                <w:rFonts w:eastAsia="Times New Roman"/>
                <w:color w:val="000000"/>
                <w:sz w:val="24"/>
                <w:szCs w:val="24"/>
                <w:lang w:eastAsia="en-US"/>
              </w:rPr>
              <w:t>EVAL 2020-0</w:t>
            </w:r>
            <w:r w:rsidR="001B628C">
              <w:rPr>
                <w:rFonts w:eastAsia="Times New Roman"/>
                <w:color w:val="000000"/>
                <w:sz w:val="24"/>
                <w:szCs w:val="24"/>
                <w:lang w:eastAsia="en-US"/>
              </w:rPr>
              <w:t>2</w:t>
            </w:r>
          </w:p>
        </w:tc>
      </w:tr>
      <w:tr w:rsidR="00783303" w:rsidRPr="00427FB1" w14:paraId="63644070" w14:textId="77777777" w:rsidTr="00F64BB1">
        <w:trPr>
          <w:trHeight w:val="620"/>
        </w:trPr>
        <w:tc>
          <w:tcPr>
            <w:tcW w:w="7508" w:type="dxa"/>
            <w:vAlign w:val="center"/>
          </w:tcPr>
          <w:p w14:paraId="59698257" w14:textId="3B023CC5" w:rsidR="00783303" w:rsidRDefault="001B628C" w:rsidP="001B628C">
            <w:pPr>
              <w:pStyle w:val="ONUME"/>
              <w:numPr>
                <w:ilvl w:val="0"/>
                <w:numId w:val="0"/>
              </w:numPr>
              <w:jc w:val="center"/>
              <w:rPr>
                <w:rFonts w:eastAsia="Times New Roman"/>
                <w:color w:val="000000"/>
                <w:sz w:val="24"/>
                <w:szCs w:val="24"/>
                <w:lang w:eastAsia="en-US"/>
              </w:rPr>
            </w:pPr>
            <w:r>
              <w:rPr>
                <w:rFonts w:eastAsia="Times New Roman"/>
                <w:color w:val="000000"/>
                <w:sz w:val="24"/>
                <w:szCs w:val="24"/>
                <w:lang w:eastAsia="en-US"/>
              </w:rPr>
              <w:t>Meta-</w:t>
            </w:r>
            <w:r w:rsidR="00D301AF" w:rsidRPr="00D301AF">
              <w:rPr>
                <w:rFonts w:eastAsia="Times New Roman"/>
                <w:color w:val="000000"/>
                <w:sz w:val="24"/>
                <w:szCs w:val="24"/>
                <w:lang w:eastAsia="en-US"/>
              </w:rPr>
              <w:t xml:space="preserve">Synthesis of Regional </w:t>
            </w:r>
            <w:r>
              <w:rPr>
                <w:rFonts w:eastAsia="Times New Roman"/>
                <w:color w:val="000000"/>
                <w:sz w:val="24"/>
                <w:szCs w:val="24"/>
                <w:lang w:eastAsia="en-US"/>
              </w:rPr>
              <w:t>Divisions Evaluations</w:t>
            </w:r>
          </w:p>
        </w:tc>
        <w:tc>
          <w:tcPr>
            <w:tcW w:w="1837" w:type="dxa"/>
            <w:vAlign w:val="center"/>
          </w:tcPr>
          <w:p w14:paraId="3FBA2683" w14:textId="77777777" w:rsidR="00783303" w:rsidRDefault="00D301AF" w:rsidP="00783303">
            <w:pPr>
              <w:jc w:val="center"/>
              <w:rPr>
                <w:rFonts w:eastAsia="Times New Roman"/>
                <w:color w:val="000000"/>
                <w:sz w:val="24"/>
                <w:szCs w:val="24"/>
                <w:lang w:eastAsia="en-US"/>
              </w:rPr>
            </w:pPr>
            <w:r>
              <w:rPr>
                <w:rFonts w:eastAsia="Times New Roman"/>
                <w:color w:val="000000"/>
                <w:sz w:val="24"/>
                <w:szCs w:val="24"/>
                <w:lang w:eastAsia="en-US"/>
              </w:rPr>
              <w:t>EVAL 2021-04</w:t>
            </w:r>
          </w:p>
        </w:tc>
      </w:tr>
      <w:tr w:rsidR="009C17F1" w:rsidRPr="00427FB1" w14:paraId="4265026B" w14:textId="77777777" w:rsidTr="00F64BB1">
        <w:trPr>
          <w:trHeight w:val="620"/>
        </w:trPr>
        <w:tc>
          <w:tcPr>
            <w:tcW w:w="7508" w:type="dxa"/>
            <w:vAlign w:val="center"/>
          </w:tcPr>
          <w:p w14:paraId="1808E228" w14:textId="77777777" w:rsidR="009C17F1" w:rsidRPr="00D301AF" w:rsidRDefault="00F116F1" w:rsidP="00721BDA">
            <w:pPr>
              <w:pStyle w:val="ONUME"/>
              <w:numPr>
                <w:ilvl w:val="0"/>
                <w:numId w:val="0"/>
              </w:numPr>
              <w:jc w:val="center"/>
              <w:rPr>
                <w:rFonts w:eastAsia="Times New Roman"/>
                <w:color w:val="000000"/>
                <w:sz w:val="24"/>
                <w:szCs w:val="24"/>
                <w:lang w:eastAsia="en-US"/>
              </w:rPr>
            </w:pPr>
            <w:r w:rsidRPr="00F116F1">
              <w:rPr>
                <w:rFonts w:eastAsia="Times New Roman"/>
                <w:color w:val="000000"/>
                <w:sz w:val="24"/>
                <w:szCs w:val="24"/>
                <w:lang w:eastAsia="en-US"/>
              </w:rPr>
              <w:t>Consultancy - Review of IOD WIPO Performance Report validation methodology</w:t>
            </w:r>
          </w:p>
        </w:tc>
        <w:tc>
          <w:tcPr>
            <w:tcW w:w="1837" w:type="dxa"/>
            <w:vAlign w:val="center"/>
          </w:tcPr>
          <w:p w14:paraId="27D8C75D" w14:textId="77777777" w:rsidR="009C17F1" w:rsidRDefault="00F116F1" w:rsidP="00783303">
            <w:pPr>
              <w:jc w:val="center"/>
              <w:rPr>
                <w:rFonts w:eastAsia="Times New Roman"/>
                <w:color w:val="000000"/>
                <w:sz w:val="24"/>
                <w:szCs w:val="24"/>
                <w:lang w:eastAsia="en-US"/>
              </w:rPr>
            </w:pPr>
            <w:r w:rsidRPr="00F116F1">
              <w:rPr>
                <w:rFonts w:eastAsia="Times New Roman"/>
                <w:color w:val="000000"/>
                <w:sz w:val="24"/>
                <w:szCs w:val="24"/>
                <w:lang w:eastAsia="en-US"/>
              </w:rPr>
              <w:t>EVAL 2021-06</w:t>
            </w:r>
          </w:p>
        </w:tc>
      </w:tr>
    </w:tbl>
    <w:p w14:paraId="381A8F39" w14:textId="77777777" w:rsidR="00C46B12" w:rsidRDefault="00C46B12" w:rsidP="00C46B12">
      <w:pPr>
        <w:keepLines/>
      </w:pPr>
    </w:p>
    <w:p w14:paraId="6DF55B11" w14:textId="77777777" w:rsidR="00C46B12" w:rsidRDefault="00C46B12" w:rsidP="00C46B12">
      <w:pPr>
        <w:keepLines/>
        <w:ind w:left="5533"/>
      </w:pPr>
    </w:p>
    <w:p w14:paraId="78B38173" w14:textId="65F0AD3D" w:rsidR="00EA028E" w:rsidRPr="00721010" w:rsidRDefault="00C46B12" w:rsidP="00783303">
      <w:pPr>
        <w:keepLines/>
        <w:ind w:left="5533"/>
        <w:rPr>
          <w:rFonts w:ascii="Times New Roman" w:eastAsia="Times New Roman" w:hAnsi="Times New Roman" w:cs="Times New Roman"/>
          <w:sz w:val="20"/>
          <w:lang w:eastAsia="fr-CH"/>
        </w:rPr>
      </w:pPr>
      <w:r>
        <w:t xml:space="preserve">[End of Annex </w:t>
      </w:r>
      <w:r w:rsidRPr="00DA5DBB">
        <w:t xml:space="preserve">and of </w:t>
      </w:r>
      <w:r w:rsidR="00023378">
        <w:t>d</w:t>
      </w:r>
      <w:r w:rsidRPr="00DA5DBB">
        <w:t>ocument]</w:t>
      </w:r>
    </w:p>
    <w:sectPr w:rsidR="00EA028E" w:rsidRPr="00721010" w:rsidSect="00E60513">
      <w:headerReference w:type="default" r:id="rId28"/>
      <w:headerReference w:type="first" r:id="rId2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E0B49" w14:textId="77777777" w:rsidR="00F71F09" w:rsidRDefault="00F71F09">
      <w:r>
        <w:separator/>
      </w:r>
    </w:p>
  </w:endnote>
  <w:endnote w:type="continuationSeparator" w:id="0">
    <w:p w14:paraId="56836942" w14:textId="77777777" w:rsidR="00F71F09" w:rsidRDefault="00F71F09" w:rsidP="003B38C1">
      <w:r>
        <w:separator/>
      </w:r>
    </w:p>
    <w:p w14:paraId="0A69F3C1" w14:textId="77777777" w:rsidR="00F71F09" w:rsidRPr="003B38C1" w:rsidRDefault="00F71F09" w:rsidP="003B38C1">
      <w:pPr>
        <w:spacing w:after="60"/>
        <w:rPr>
          <w:sz w:val="17"/>
        </w:rPr>
      </w:pPr>
      <w:r>
        <w:rPr>
          <w:sz w:val="17"/>
        </w:rPr>
        <w:t>[Endnote continued from previous page]</w:t>
      </w:r>
    </w:p>
  </w:endnote>
  <w:endnote w:type="continuationNotice" w:id="1">
    <w:p w14:paraId="58846B43" w14:textId="77777777" w:rsidR="00F71F09" w:rsidRPr="003B38C1" w:rsidRDefault="00F71F0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IDFont+F1">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ECDB9" w14:textId="77777777" w:rsidR="00F71F09" w:rsidRDefault="00F71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F60BE" w14:textId="77777777" w:rsidR="00F71F09" w:rsidRDefault="00F71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8B3AB" w14:textId="77777777" w:rsidR="00F71F09" w:rsidRDefault="00F71F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8FF1B" w14:textId="77777777" w:rsidR="00F71F09" w:rsidRPr="00CD472C" w:rsidRDefault="00F71F09" w:rsidP="002670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2D04B" w14:textId="77777777" w:rsidR="00F71F09" w:rsidRPr="00CD472C" w:rsidRDefault="00F71F09" w:rsidP="002670C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99FB" w14:textId="77777777" w:rsidR="00F71F09" w:rsidRPr="00CD472C" w:rsidRDefault="00F71F09" w:rsidP="00267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18490" w14:textId="77777777" w:rsidR="00F71F09" w:rsidRDefault="00F71F09">
      <w:r>
        <w:separator/>
      </w:r>
    </w:p>
  </w:footnote>
  <w:footnote w:type="continuationSeparator" w:id="0">
    <w:p w14:paraId="785CD61D" w14:textId="77777777" w:rsidR="00F71F09" w:rsidRDefault="00F71F09" w:rsidP="008B60B2">
      <w:r>
        <w:separator/>
      </w:r>
    </w:p>
    <w:p w14:paraId="1C8F00C9" w14:textId="77777777" w:rsidR="00F71F09" w:rsidRPr="00ED77FB" w:rsidRDefault="00F71F09" w:rsidP="008B60B2">
      <w:pPr>
        <w:spacing w:after="60"/>
        <w:rPr>
          <w:sz w:val="17"/>
          <w:szCs w:val="17"/>
        </w:rPr>
      </w:pPr>
      <w:r w:rsidRPr="00ED77FB">
        <w:rPr>
          <w:sz w:val="17"/>
          <w:szCs w:val="17"/>
        </w:rPr>
        <w:t>[Footnote continued from previous page]</w:t>
      </w:r>
    </w:p>
  </w:footnote>
  <w:footnote w:type="continuationNotice" w:id="1">
    <w:p w14:paraId="57687E0B" w14:textId="77777777" w:rsidR="00F71F09" w:rsidRPr="00ED77FB" w:rsidRDefault="00F71F09" w:rsidP="008B60B2">
      <w:pPr>
        <w:spacing w:before="60"/>
        <w:jc w:val="right"/>
        <w:rPr>
          <w:sz w:val="17"/>
          <w:szCs w:val="17"/>
        </w:rPr>
      </w:pPr>
      <w:r w:rsidRPr="00ED77FB">
        <w:rPr>
          <w:sz w:val="17"/>
          <w:szCs w:val="17"/>
        </w:rPr>
        <w:t>[Footnote continued on next page]</w:t>
      </w:r>
    </w:p>
  </w:footnote>
  <w:footnote w:id="2">
    <w:p w14:paraId="4225678D" w14:textId="77777777" w:rsidR="00F71F09" w:rsidRPr="00852EB9" w:rsidRDefault="00F71F09" w:rsidP="00C46B12">
      <w:pPr>
        <w:pStyle w:val="FootnoteText"/>
        <w:rPr>
          <w:szCs w:val="18"/>
        </w:rPr>
      </w:pPr>
      <w:r w:rsidRPr="00852EB9">
        <w:rPr>
          <w:rStyle w:val="FootnoteReference"/>
          <w:szCs w:val="18"/>
        </w:rPr>
        <w:footnoteRef/>
      </w:r>
      <w:r w:rsidRPr="00852EB9">
        <w:rPr>
          <w:szCs w:val="18"/>
        </w:rPr>
        <w:t xml:space="preserve">  Refer to IOC paragraphs 47 and 48.</w:t>
      </w:r>
    </w:p>
  </w:footnote>
  <w:footnote w:id="3">
    <w:p w14:paraId="51968B95" w14:textId="2A7EEF62" w:rsidR="00F71F09" w:rsidRPr="00852EB9" w:rsidRDefault="00F71F09" w:rsidP="00852EB9">
      <w:pPr>
        <w:rPr>
          <w:sz w:val="18"/>
          <w:szCs w:val="18"/>
        </w:rPr>
      </w:pPr>
      <w:r w:rsidRPr="00852EB9">
        <w:rPr>
          <w:rStyle w:val="FootnoteReference"/>
          <w:sz w:val="18"/>
          <w:szCs w:val="18"/>
        </w:rPr>
        <w:footnoteRef/>
      </w:r>
      <w:r w:rsidRPr="00852EB9">
        <w:rPr>
          <w:sz w:val="18"/>
          <w:szCs w:val="18"/>
        </w:rPr>
        <w:t xml:space="preserve">  The term </w:t>
      </w:r>
      <w:r w:rsidRPr="00852EB9">
        <w:rPr>
          <w:b/>
          <w:sz w:val="18"/>
          <w:szCs w:val="18"/>
        </w:rPr>
        <w:t>Advisory</w:t>
      </w:r>
      <w:r w:rsidRPr="00852EB9">
        <w:rPr>
          <w:sz w:val="18"/>
          <w:szCs w:val="18"/>
        </w:rPr>
        <w:t xml:space="preserve"> is used when IOD supports the client by providing advice </w:t>
      </w:r>
      <w:r>
        <w:rPr>
          <w:sz w:val="18"/>
          <w:szCs w:val="18"/>
        </w:rPr>
        <w:t xml:space="preserve">and </w:t>
      </w:r>
      <w:r w:rsidRPr="006500ED">
        <w:rPr>
          <w:sz w:val="18"/>
          <w:szCs w:val="18"/>
        </w:rPr>
        <w:t>mak</w:t>
      </w:r>
      <w:r>
        <w:rPr>
          <w:sz w:val="18"/>
          <w:szCs w:val="18"/>
        </w:rPr>
        <w:t>ing</w:t>
      </w:r>
      <w:r w:rsidRPr="006500ED">
        <w:rPr>
          <w:sz w:val="18"/>
          <w:szCs w:val="18"/>
        </w:rPr>
        <w:t xml:space="preserve"> comments</w:t>
      </w:r>
      <w:r w:rsidRPr="00852EB9">
        <w:rPr>
          <w:sz w:val="18"/>
          <w:szCs w:val="18"/>
        </w:rPr>
        <w:t>, but does not take the lead in managing the activity or producing a formal deliverable.</w:t>
      </w:r>
    </w:p>
    <w:p w14:paraId="1775C1E0" w14:textId="429C4F6E" w:rsidR="00F71F09" w:rsidRPr="00852EB9" w:rsidRDefault="00F71F09" w:rsidP="00484B8E">
      <w:pPr>
        <w:pStyle w:val="FootnoteText"/>
        <w:rPr>
          <w:szCs w:val="18"/>
        </w:rPr>
      </w:pPr>
      <w:r w:rsidRPr="00852EB9">
        <w:rPr>
          <w:szCs w:val="18"/>
        </w:rPr>
        <w:t xml:space="preserve">The term </w:t>
      </w:r>
      <w:r w:rsidRPr="00852EB9">
        <w:rPr>
          <w:b/>
          <w:szCs w:val="18"/>
        </w:rPr>
        <w:t>Consultancy</w:t>
      </w:r>
      <w:r w:rsidRPr="00852EB9">
        <w:rPr>
          <w:szCs w:val="18"/>
        </w:rPr>
        <w:t xml:space="preserve"> is used when IOD takes the lead in providing a service whose nature and scope have been agreed with the client, and provides a formal deliverable in that regard. </w:t>
      </w:r>
    </w:p>
    <w:p w14:paraId="03DD1265" w14:textId="4151063B" w:rsidR="00F71F09" w:rsidRDefault="00F71F09">
      <w:pPr>
        <w:pStyle w:val="FootnoteText"/>
      </w:pPr>
    </w:p>
  </w:footnote>
  <w:footnote w:id="4">
    <w:p w14:paraId="48C161A0" w14:textId="73C0C7A7" w:rsidR="00F71F09" w:rsidRDefault="00F71F09">
      <w:pPr>
        <w:pStyle w:val="FootnoteText"/>
      </w:pPr>
      <w:r>
        <w:rPr>
          <w:rStyle w:val="FootnoteReference"/>
        </w:rPr>
        <w:footnoteRef/>
      </w:r>
      <w:r>
        <w:t xml:space="preserve">  Paragraph 28 of the IOC establishes the duties and modalities of work, </w:t>
      </w:r>
      <w:r w:rsidRPr="00EB567E">
        <w:t>which includes a requirement that</w:t>
      </w:r>
      <w:r>
        <w:t xml:space="preserve"> “prior to finalizing the internal oversight plan, the Director, IOD, shall submit the draft plan to the IAOC for its review and advice.”</w:t>
      </w:r>
    </w:p>
  </w:footnote>
  <w:footnote w:id="5">
    <w:p w14:paraId="54B08189" w14:textId="6C7CB4B3" w:rsidR="00F71F09" w:rsidRDefault="00F71F09">
      <w:pPr>
        <w:pStyle w:val="FootnoteText"/>
      </w:pPr>
      <w:r>
        <w:rPr>
          <w:rStyle w:val="FootnoteReference"/>
        </w:rPr>
        <w:footnoteRef/>
      </w:r>
      <w:r>
        <w:t xml:space="preserve">  Since 2021 t</w:t>
      </w:r>
      <w:r w:rsidRPr="001E6080">
        <w:t>he United Nations agreed on the landmark UN System-wide Action Plan on Gender Equality and the Empowerment of Women, or UN-SWAP, to implement the gender equality policy of its highest executive body, the UN Chief Executives Board, chaired by the Secretary-General. Spearheaded by UN Women, the UN-SWAP for the first time assigns common performance standards for the gender-related work of all UN entities, ensuring greater coherence and accountability.</w:t>
      </w:r>
    </w:p>
  </w:footnote>
  <w:footnote w:id="6">
    <w:p w14:paraId="30026B4F" w14:textId="77777777" w:rsidR="00F71F09" w:rsidRDefault="00F71F09" w:rsidP="00C46B12">
      <w:pPr>
        <w:pStyle w:val="FootnoteText"/>
      </w:pPr>
      <w:r>
        <w:rPr>
          <w:rStyle w:val="FootnoteReference"/>
        </w:rPr>
        <w:footnoteRef/>
      </w:r>
      <w:r>
        <w:t xml:space="preserve">  The list of reports features in the Annex.</w:t>
      </w:r>
    </w:p>
  </w:footnote>
  <w:footnote w:id="7">
    <w:p w14:paraId="67DB7C6E" w14:textId="1BF0A42D" w:rsidR="00F71F09" w:rsidRDefault="00F71F09" w:rsidP="00C46B12">
      <w:pPr>
        <w:pStyle w:val="FootnoteText"/>
      </w:pPr>
      <w:r>
        <w:rPr>
          <w:rStyle w:val="FootnoteReference"/>
        </w:rPr>
        <w:footnoteRef/>
      </w:r>
      <w:r>
        <w:t xml:space="preserve">  TeamMate+</w:t>
      </w:r>
      <w:r w:rsidRPr="000B53FC">
        <w:rPr>
          <w:vertAlign w:val="superscript"/>
        </w:rPr>
        <w:t>TM</w:t>
      </w:r>
      <w:r>
        <w:t xml:space="preserve"> is a specialized software for audit management, which covers, among others, the audit universe and risk assessments, engagement planning, electronic working papers, and recommendations management.</w:t>
      </w:r>
    </w:p>
  </w:footnote>
  <w:footnote w:id="8">
    <w:p w14:paraId="6A4173C8" w14:textId="799D9986" w:rsidR="00F71F09" w:rsidRPr="00AD1D8D" w:rsidRDefault="00F71F09" w:rsidP="001D59E1">
      <w:pPr>
        <w:pStyle w:val="FootnoteText"/>
      </w:pPr>
      <w:r>
        <w:rPr>
          <w:rStyle w:val="FootnoteReference"/>
        </w:rPr>
        <w:footnoteRef/>
      </w:r>
      <w:r w:rsidRPr="00AD1D8D">
        <w:t xml:space="preserve">  WO/PBC/29/5.</w:t>
      </w:r>
    </w:p>
  </w:footnote>
  <w:footnote w:id="9">
    <w:p w14:paraId="6C03A81B" w14:textId="1B186F84" w:rsidR="00F71F09" w:rsidRPr="00AD1D8D" w:rsidRDefault="00F71F09" w:rsidP="001D59E1">
      <w:pPr>
        <w:pStyle w:val="FootnoteText"/>
      </w:pPr>
      <w:r>
        <w:rPr>
          <w:rStyle w:val="FootnoteReference"/>
        </w:rPr>
        <w:footnoteRef/>
      </w:r>
      <w:r w:rsidRPr="00AD1D8D">
        <w:t xml:space="preserve">  OI 41/2017.</w:t>
      </w:r>
    </w:p>
  </w:footnote>
  <w:footnote w:id="10">
    <w:p w14:paraId="6354F597" w14:textId="14118087" w:rsidR="00F71F09" w:rsidRDefault="00F71F09" w:rsidP="006905B2">
      <w:pPr>
        <w:pStyle w:val="FootnoteText"/>
      </w:pPr>
      <w:r>
        <w:rPr>
          <w:rStyle w:val="FootnoteReference"/>
        </w:rPr>
        <w:footnoteRef/>
      </w:r>
      <w:r>
        <w:t xml:space="preserve">  Audit of ERM conducted in 2016 – IA 2016-08.</w:t>
      </w:r>
    </w:p>
  </w:footnote>
  <w:footnote w:id="11">
    <w:p w14:paraId="4D5E7D58" w14:textId="77777777" w:rsidR="00F71F09" w:rsidRPr="00CC620E" w:rsidRDefault="00F71F09">
      <w:pPr>
        <w:pStyle w:val="FootnoteText"/>
      </w:pPr>
      <w:r>
        <w:rPr>
          <w:rStyle w:val="FootnoteReference"/>
        </w:rPr>
        <w:footnoteRef/>
      </w:r>
      <w:r>
        <w:t xml:space="preserve">  </w:t>
      </w:r>
      <w:r w:rsidRPr="00E967B7">
        <w:t>Excluding cases kept "on hold" pending action by parties outside IOD or due to the prolonged absence of staff members whose interview is warranted.</w:t>
      </w:r>
    </w:p>
  </w:footnote>
  <w:footnote w:id="12">
    <w:p w14:paraId="353D8719" w14:textId="57F9A13E" w:rsidR="00F71F09" w:rsidRPr="002B3260" w:rsidRDefault="00F71F09">
      <w:pPr>
        <w:pStyle w:val="FootnoteText"/>
        <w:rPr>
          <w:lang w:val="fr-FR"/>
        </w:rPr>
      </w:pPr>
      <w:r>
        <w:rPr>
          <w:rStyle w:val="FootnoteReference"/>
        </w:rPr>
        <w:footnoteRef/>
      </w:r>
      <w:r w:rsidRPr="00EB3E1A">
        <w:rPr>
          <w:lang w:val="fr-FR"/>
        </w:rPr>
        <w:t xml:space="preserve"> </w:t>
      </w:r>
      <w:r>
        <w:rPr>
          <w:lang w:val="fr-FR"/>
        </w:rPr>
        <w:t xml:space="preserve"> Investigation Policy paragraph 33; </w:t>
      </w:r>
    </w:p>
  </w:footnote>
  <w:footnote w:id="13">
    <w:p w14:paraId="3CFB6A7E" w14:textId="66EC6B5C" w:rsidR="00F71F09" w:rsidRPr="006B640C" w:rsidRDefault="00F71F09" w:rsidP="00C46B12">
      <w:pPr>
        <w:pStyle w:val="FootnoteText"/>
        <w:rPr>
          <w:lang w:val="fr-CH"/>
        </w:rPr>
      </w:pPr>
      <w:r>
        <w:rPr>
          <w:rStyle w:val="FootnoteReference"/>
        </w:rPr>
        <w:footnoteRef/>
      </w:r>
      <w:r>
        <w:rPr>
          <w:lang w:val="fr-CH"/>
        </w:rPr>
        <w:t xml:space="preserve">  IOC</w:t>
      </w:r>
      <w:r w:rsidRPr="00250139">
        <w:rPr>
          <w:lang w:val="fr-FR"/>
        </w:rPr>
        <w:t xml:space="preserve"> paragraphs</w:t>
      </w:r>
      <w:r>
        <w:rPr>
          <w:lang w:val="fr-CH"/>
        </w:rPr>
        <w:t xml:space="preserve"> 20, 21, 23, 24 and 25</w:t>
      </w:r>
      <w:r w:rsidRPr="006B640C">
        <w:rPr>
          <w:lang w:val="fr-CH"/>
        </w:rPr>
        <w:t>.</w:t>
      </w:r>
    </w:p>
  </w:footnote>
  <w:footnote w:id="14">
    <w:p w14:paraId="14312F3B" w14:textId="77777777" w:rsidR="00F71F09" w:rsidRPr="00342383" w:rsidRDefault="00F71F09">
      <w:pPr>
        <w:pStyle w:val="FootnoteText"/>
        <w:rPr>
          <w:lang w:val="fr-CH"/>
        </w:rPr>
      </w:pPr>
      <w:r>
        <w:rPr>
          <w:rStyle w:val="FootnoteReference"/>
        </w:rPr>
        <w:footnoteRef/>
      </w:r>
      <w:r>
        <w:rPr>
          <w:lang w:val="fr-CH"/>
        </w:rPr>
        <w:t xml:space="preserve"> </w:t>
      </w:r>
      <w:r w:rsidRPr="00342383">
        <w:rPr>
          <w:lang w:val="fr-CH"/>
        </w:rPr>
        <w:t xml:space="preserve"> IOC paragraph 48(b).</w:t>
      </w:r>
    </w:p>
  </w:footnote>
  <w:footnote w:id="15">
    <w:p w14:paraId="3DED9A8A" w14:textId="77777777" w:rsidR="00F71F09" w:rsidRPr="00F87F84" w:rsidRDefault="00F71F09" w:rsidP="00C46B12">
      <w:pPr>
        <w:pStyle w:val="FootnoteText"/>
        <w:spacing w:after="20"/>
        <w:rPr>
          <w:lang w:val="pt-PT"/>
        </w:rPr>
      </w:pPr>
      <w:r w:rsidRPr="00AE32CE">
        <w:rPr>
          <w:rStyle w:val="FootnoteReference"/>
          <w:szCs w:val="18"/>
        </w:rPr>
        <w:footnoteRef/>
      </w:r>
      <w:r w:rsidRPr="00F87F84">
        <w:rPr>
          <w:szCs w:val="18"/>
          <w:lang w:val="pt-PT"/>
        </w:rPr>
        <w:t xml:space="preserve">  IOC paragraph 45.</w:t>
      </w:r>
    </w:p>
  </w:footnote>
  <w:footnote w:id="16">
    <w:p w14:paraId="5F4E6B22" w14:textId="77777777" w:rsidR="00F71F09" w:rsidRPr="003C0543" w:rsidRDefault="00F71F09" w:rsidP="00C46B12">
      <w:pPr>
        <w:pStyle w:val="FootnoteText"/>
        <w:spacing w:after="20"/>
        <w:rPr>
          <w:lang w:val="pt-PT"/>
        </w:rPr>
      </w:pPr>
      <w:r w:rsidRPr="003F279E">
        <w:rPr>
          <w:rStyle w:val="FootnoteReference"/>
          <w:szCs w:val="18"/>
        </w:rPr>
        <w:footnoteRef/>
      </w:r>
      <w:r w:rsidRPr="003C0543">
        <w:rPr>
          <w:szCs w:val="18"/>
          <w:lang w:val="pt-PT"/>
        </w:rPr>
        <w:t xml:space="preserve">  OI 16/2010, paragraph 7.</w:t>
      </w:r>
    </w:p>
  </w:footnote>
  <w:footnote w:id="17">
    <w:p w14:paraId="5E70F0BC" w14:textId="77777777" w:rsidR="00F71F09" w:rsidRPr="006B640C" w:rsidRDefault="00F71F09" w:rsidP="00C46B12">
      <w:pPr>
        <w:spacing w:after="20"/>
        <w:rPr>
          <w:lang w:val="fr-CH"/>
        </w:rPr>
      </w:pPr>
      <w:r w:rsidRPr="003F279E">
        <w:rPr>
          <w:rStyle w:val="FootnoteReference"/>
          <w:sz w:val="18"/>
          <w:szCs w:val="18"/>
        </w:rPr>
        <w:footnoteRef/>
      </w:r>
      <w:r w:rsidRPr="006B640C">
        <w:rPr>
          <w:sz w:val="18"/>
          <w:szCs w:val="18"/>
          <w:lang w:val="fr-CH"/>
        </w:rPr>
        <w:t xml:space="preserve">  OI 16/2010 paragraph 8.</w:t>
      </w:r>
    </w:p>
  </w:footnote>
  <w:footnote w:id="18">
    <w:p w14:paraId="2DD04007" w14:textId="77777777" w:rsidR="00F71F09" w:rsidRPr="0003292A" w:rsidRDefault="00F71F09">
      <w:pPr>
        <w:pStyle w:val="FootnoteText"/>
      </w:pPr>
      <w:r>
        <w:rPr>
          <w:rStyle w:val="FootnoteReference"/>
        </w:rPr>
        <w:footnoteRef/>
      </w:r>
      <w:r w:rsidRPr="0003292A">
        <w:rPr>
          <w:szCs w:val="18"/>
        </w:rPr>
        <w:t xml:space="preserve">  </w:t>
      </w:r>
      <w:r w:rsidRPr="0003292A">
        <w:t>WO/PBC/30/14 – June 18, 2019.</w:t>
      </w:r>
    </w:p>
  </w:footnote>
  <w:footnote w:id="19">
    <w:p w14:paraId="29351D51" w14:textId="201C7A2D" w:rsidR="00F71F09" w:rsidRPr="00C70269" w:rsidRDefault="00F71F09">
      <w:pPr>
        <w:pStyle w:val="FootnoteText"/>
      </w:pPr>
      <w:r>
        <w:rPr>
          <w:rStyle w:val="FootnoteReference"/>
        </w:rPr>
        <w:footnoteRef/>
      </w:r>
      <w:r>
        <w:t xml:space="preserve">  </w:t>
      </w:r>
      <w:r w:rsidRPr="00F70DAF">
        <w:rPr>
          <w:b/>
        </w:rPr>
        <w:t>Program 5</w:t>
      </w:r>
      <w:r w:rsidRPr="00F70DAF">
        <w:t xml:space="preserve"> – The PCT system</w:t>
      </w:r>
      <w:r>
        <w:t xml:space="preserve">;  </w:t>
      </w:r>
      <w:r w:rsidRPr="00F70DAF">
        <w:rPr>
          <w:b/>
        </w:rPr>
        <w:t>Program 6</w:t>
      </w:r>
      <w:r w:rsidRPr="00F70DAF">
        <w:t xml:space="preserve"> – Madrid System</w:t>
      </w:r>
      <w:r>
        <w:t xml:space="preserve">;  </w:t>
      </w:r>
      <w:r w:rsidRPr="00F70DAF">
        <w:rPr>
          <w:b/>
        </w:rPr>
        <w:t>Program 9</w:t>
      </w:r>
      <w:r w:rsidRPr="00F70DAF">
        <w:t xml:space="preserve"> – Africa, Arab, Asia and the Pacific, Latin America and the Caribbean Countries, Least Developed Countries</w:t>
      </w:r>
      <w:r>
        <w:t xml:space="preserve">;  </w:t>
      </w:r>
      <w:r w:rsidRPr="00F70DAF">
        <w:rPr>
          <w:b/>
        </w:rPr>
        <w:t>Program 13</w:t>
      </w:r>
      <w:r w:rsidRPr="00F70DAF">
        <w:t xml:space="preserve"> – Global Databases</w:t>
      </w:r>
      <w:r>
        <w:t xml:space="preserve">;  </w:t>
      </w:r>
      <w:r w:rsidRPr="00F70DAF">
        <w:rPr>
          <w:b/>
        </w:rPr>
        <w:t>Program 17</w:t>
      </w:r>
      <w:r w:rsidRPr="00F70DAF">
        <w:t xml:space="preserve"> – Building Respect for IP</w:t>
      </w:r>
      <w:r>
        <w:t xml:space="preserve">;  </w:t>
      </w:r>
      <w:r w:rsidRPr="00F70DAF">
        <w:rPr>
          <w:b/>
        </w:rPr>
        <w:t>Program 19</w:t>
      </w:r>
      <w:r w:rsidRPr="00F70DAF">
        <w:t xml:space="preserve"> – Communications</w:t>
      </w:r>
      <w:r>
        <w:t xml:space="preserve">;  </w:t>
      </w:r>
      <w:r w:rsidRPr="00F70DAF">
        <w:rPr>
          <w:b/>
        </w:rPr>
        <w:t>Program 20</w:t>
      </w:r>
      <w:r w:rsidRPr="00F70DAF">
        <w:t xml:space="preserve"> – External Relations, Partnerships and External Offices</w:t>
      </w:r>
      <w:r>
        <w:t xml:space="preserve">;  </w:t>
      </w:r>
      <w:r w:rsidRPr="00F70DAF">
        <w:rPr>
          <w:b/>
        </w:rPr>
        <w:t>Program 21</w:t>
      </w:r>
      <w:r w:rsidRPr="00F70DAF">
        <w:t xml:space="preserve"> – Executive Management</w:t>
      </w:r>
      <w:r>
        <w:t xml:space="preserve">;  </w:t>
      </w:r>
      <w:r w:rsidRPr="00F70DAF">
        <w:rPr>
          <w:b/>
        </w:rPr>
        <w:t>Program 22</w:t>
      </w:r>
      <w:r w:rsidRPr="00F70DAF">
        <w:t xml:space="preserve"> – Program and Resource Management</w:t>
      </w:r>
      <w:r>
        <w:t xml:space="preserve">;  </w:t>
      </w:r>
      <w:r w:rsidRPr="00F70DAF">
        <w:rPr>
          <w:b/>
        </w:rPr>
        <w:t>Program 23</w:t>
      </w:r>
      <w:r w:rsidRPr="00F70DAF">
        <w:t xml:space="preserve"> – Human Resources Management and Development</w:t>
      </w:r>
      <w:r>
        <w:t xml:space="preserve">;  </w:t>
      </w:r>
      <w:r w:rsidRPr="00F70DAF">
        <w:rPr>
          <w:b/>
        </w:rPr>
        <w:t>Program 24</w:t>
      </w:r>
      <w:r w:rsidRPr="00F70DAF">
        <w:t xml:space="preserve"> – General Support Services</w:t>
      </w:r>
      <w:r>
        <w:t xml:space="preserve">;  </w:t>
      </w:r>
      <w:r w:rsidRPr="00F70DAF">
        <w:rPr>
          <w:b/>
        </w:rPr>
        <w:t>Program 25</w:t>
      </w:r>
      <w:r w:rsidRPr="00F70DAF">
        <w:t xml:space="preserve"> – Information and Communication Technology</w:t>
      </w:r>
      <w:r>
        <w:t xml:space="preserve">;  </w:t>
      </w:r>
      <w:r w:rsidRPr="00F70DAF">
        <w:rPr>
          <w:b/>
        </w:rPr>
        <w:t>Program 26</w:t>
      </w:r>
      <w:r w:rsidRPr="00F70DAF">
        <w:t xml:space="preserve"> – Internal Oversight</w:t>
      </w:r>
      <w:r>
        <w:t xml:space="preserve"> Division;  </w:t>
      </w:r>
      <w:r w:rsidRPr="00F70DAF">
        <w:rPr>
          <w:b/>
        </w:rPr>
        <w:t>Program 27</w:t>
      </w:r>
      <w:r w:rsidRPr="00F70DAF">
        <w:t xml:space="preserve"> – Conference and Language Services</w:t>
      </w:r>
      <w:r>
        <w:t xml:space="preserve">;  </w:t>
      </w:r>
      <w:r w:rsidRPr="00F70DAF">
        <w:rPr>
          <w:b/>
        </w:rPr>
        <w:t>Program 28</w:t>
      </w:r>
      <w:r w:rsidRPr="00F70DAF">
        <w:t xml:space="preserve"> – Information Assurance, Safety and Security</w:t>
      </w:r>
      <w:r>
        <w:t xml:space="preserve">; </w:t>
      </w:r>
      <w:r w:rsidRPr="00F70DAF">
        <w:rPr>
          <w:b/>
        </w:rPr>
        <w:t>Program 32</w:t>
      </w:r>
      <w:r w:rsidRPr="00F70DAF">
        <w:t xml:space="preserve"> – The Lisbon System</w:t>
      </w:r>
      <w:r>
        <w:t>.</w:t>
      </w:r>
    </w:p>
  </w:footnote>
  <w:footnote w:id="20">
    <w:p w14:paraId="75B27EEB" w14:textId="77777777" w:rsidR="00F71F09" w:rsidRPr="00072495" w:rsidRDefault="00F71F09" w:rsidP="00C46B12">
      <w:pPr>
        <w:pStyle w:val="FootnoteText"/>
      </w:pPr>
      <w:r>
        <w:rPr>
          <w:rStyle w:val="FootnoteReference"/>
        </w:rPr>
        <w:footnoteRef/>
      </w:r>
      <w:r w:rsidRPr="00072495">
        <w:t xml:space="preserve">  IOC paragraph 2</w:t>
      </w:r>
      <w:r>
        <w:t>8</w:t>
      </w:r>
      <w:r w:rsidRPr="00072495">
        <w:t>(g)</w:t>
      </w:r>
      <w:r>
        <w:t>.</w:t>
      </w:r>
    </w:p>
  </w:footnote>
  <w:footnote w:id="21">
    <w:p w14:paraId="5BBBFD0C" w14:textId="77777777" w:rsidR="00F71F09" w:rsidRDefault="00F71F09" w:rsidP="00550057">
      <w:pPr>
        <w:pStyle w:val="FootnoteText"/>
      </w:pPr>
      <w:r>
        <w:rPr>
          <w:rStyle w:val="FootnoteReference"/>
        </w:rPr>
        <w:footnoteRef/>
      </w:r>
      <w:r>
        <w:t xml:space="preserve">  The main stakeholders include the Director General, WIPO Managers, </w:t>
      </w:r>
      <w:r w:rsidRPr="0089039C">
        <w:t>the IAOC, Member States, the External Auditor and the public at large</w:t>
      </w:r>
      <w:r>
        <w:t>.</w:t>
      </w:r>
    </w:p>
  </w:footnote>
  <w:footnote w:id="22">
    <w:p w14:paraId="55E7A2FA" w14:textId="77777777" w:rsidR="00F71F09" w:rsidRDefault="00F71F09" w:rsidP="00C46B12">
      <w:pPr>
        <w:pStyle w:val="FootnoteText"/>
      </w:pPr>
      <w:r>
        <w:rPr>
          <w:rStyle w:val="FootnoteReference"/>
        </w:rPr>
        <w:footnoteRef/>
      </w:r>
      <w:r>
        <w:t xml:space="preserve">  IOC paragraph 48(i).</w:t>
      </w:r>
    </w:p>
  </w:footnote>
  <w:footnote w:id="23">
    <w:p w14:paraId="059CD795" w14:textId="301A62A6" w:rsidR="00F71F09" w:rsidRPr="00283D9B" w:rsidRDefault="00F71F09" w:rsidP="005F7359">
      <w:pPr>
        <w:pStyle w:val="FootnoteText"/>
      </w:pPr>
      <w:r>
        <w:rPr>
          <w:rStyle w:val="FootnoteReference"/>
        </w:rPr>
        <w:footnoteRef/>
      </w:r>
      <w:r>
        <w:t xml:space="preserve">  This percentage </w:t>
      </w:r>
      <w:r w:rsidRPr="00283D9B">
        <w:t>is based on the budget after transfer</w:t>
      </w:r>
      <w:r>
        <w:t>s</w:t>
      </w:r>
      <w:r w:rsidRPr="00283D9B">
        <w:t xml:space="preserve"> </w:t>
      </w:r>
      <w:r>
        <w:t>to</w:t>
      </w:r>
      <w:r w:rsidRPr="00283D9B">
        <w:t xml:space="preserve"> IOD.</w:t>
      </w:r>
    </w:p>
  </w:footnote>
  <w:footnote w:id="24">
    <w:p w14:paraId="6D072959" w14:textId="52212623" w:rsidR="00F71F09" w:rsidRDefault="00F71F09" w:rsidP="005F7359">
      <w:pPr>
        <w:spacing w:after="40"/>
      </w:pPr>
      <w:r w:rsidRPr="002C6407">
        <w:rPr>
          <w:rStyle w:val="FootnoteReference"/>
          <w:sz w:val="16"/>
          <w:szCs w:val="16"/>
        </w:rPr>
        <w:footnoteRef/>
      </w:r>
      <w:r>
        <w:rPr>
          <w:sz w:val="18"/>
          <w:szCs w:val="18"/>
        </w:rPr>
        <w:t xml:space="preserve">  </w:t>
      </w:r>
      <w:r w:rsidRPr="00543FB7">
        <w:rPr>
          <w:sz w:val="18"/>
          <w:szCs w:val="18"/>
        </w:rPr>
        <w:t>Figures in Swiss francs.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724C3" w14:textId="77777777" w:rsidR="00F71F09" w:rsidRDefault="00F71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24F17" w14:textId="77777777" w:rsidR="00F71F09" w:rsidRDefault="00F71F09" w:rsidP="00477D6B">
    <w:pPr>
      <w:jc w:val="right"/>
    </w:pPr>
    <w:r>
      <w:t>WO/GA/55/X</w:t>
    </w:r>
  </w:p>
  <w:p w14:paraId="52D0DC6D" w14:textId="77777777" w:rsidR="00F71F09" w:rsidRDefault="00F71F09" w:rsidP="00477D6B">
    <w:pPr>
      <w:jc w:val="right"/>
    </w:pPr>
    <w:r>
      <w:t xml:space="preserve">page </w:t>
    </w:r>
    <w:r>
      <w:fldChar w:fldCharType="begin"/>
    </w:r>
    <w:r>
      <w:instrText xml:space="preserve"> PAGE  \* MERGEFORMAT </w:instrText>
    </w:r>
    <w:r>
      <w:fldChar w:fldCharType="separate"/>
    </w:r>
    <w:r>
      <w:rPr>
        <w:noProof/>
      </w:rPr>
      <w:t>3</w:t>
    </w:r>
    <w:r>
      <w:fldChar w:fldCharType="end"/>
    </w:r>
  </w:p>
  <w:p w14:paraId="31A52ED8" w14:textId="77777777" w:rsidR="00F71F09" w:rsidRDefault="00F71F09" w:rsidP="00477D6B">
    <w:pPr>
      <w:jc w:val="right"/>
    </w:pPr>
  </w:p>
  <w:p w14:paraId="2902E7DE" w14:textId="77777777" w:rsidR="00F71F09" w:rsidRDefault="00F71F0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CA1A9" w14:textId="77777777" w:rsidR="00F71F09" w:rsidRDefault="00F71F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ECFB2" w14:textId="77777777" w:rsidR="00F71F09" w:rsidRPr="00F87303" w:rsidRDefault="00F71F09" w:rsidP="002670C4">
    <w:pPr>
      <w:jc w:val="right"/>
    </w:pPr>
    <w:r>
      <w:t>WO/PBC/28</w:t>
    </w:r>
    <w:r w:rsidRPr="00E204EC">
      <w:t>/</w:t>
    </w:r>
    <w:r>
      <w:t>5</w:t>
    </w:r>
  </w:p>
  <w:p w14:paraId="4EB2B35C" w14:textId="77777777" w:rsidR="00F71F09" w:rsidRPr="00E365E6" w:rsidRDefault="00F71F09" w:rsidP="002670C4">
    <w:pPr>
      <w:pStyle w:val="Header"/>
      <w:jc w:val="right"/>
    </w:pPr>
    <w:r>
      <w:t xml:space="preserve">page </w:t>
    </w:r>
    <w:r>
      <w:rPr>
        <w:noProof/>
      </w:rPr>
      <w:t>20</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D8520" w14:textId="77777777" w:rsidR="00F71F09" w:rsidRDefault="00F71F09" w:rsidP="002670C4">
    <w:pPr>
      <w:jc w:val="right"/>
    </w:pPr>
    <w:r>
      <w:t>WO/PBC/34/5</w:t>
    </w:r>
  </w:p>
  <w:p w14:paraId="6378F27E" w14:textId="4BE8B679" w:rsidR="00F71F09" w:rsidRPr="00F87303" w:rsidRDefault="00F71F09" w:rsidP="001D1177">
    <w:pPr>
      <w:pStyle w:val="Header"/>
      <w:jc w:val="right"/>
    </w:pPr>
    <w:r>
      <w:t xml:space="preserve">page </w:t>
    </w:r>
    <w:r>
      <w:fldChar w:fldCharType="begin"/>
    </w:r>
    <w:r>
      <w:instrText xml:space="preserve"> PAGE   \* MERGEFORMAT </w:instrText>
    </w:r>
    <w:r>
      <w:fldChar w:fldCharType="separate"/>
    </w:r>
    <w:r w:rsidR="00B90E47">
      <w:rPr>
        <w:noProof/>
      </w:rPr>
      <w:t>17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B01AF" w14:textId="77777777" w:rsidR="00F71F09" w:rsidRPr="003E573F" w:rsidRDefault="00F71F09" w:rsidP="002670C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9E952" w14:textId="77777777" w:rsidR="00F71F09" w:rsidRPr="00282208" w:rsidRDefault="00F71F09" w:rsidP="00477D6B">
    <w:pPr>
      <w:jc w:val="right"/>
      <w:rPr>
        <w:lang w:val="de-DE"/>
      </w:rPr>
    </w:pPr>
    <w:bookmarkStart w:id="54" w:name="Code2"/>
    <w:bookmarkEnd w:id="54"/>
    <w:r w:rsidRPr="00282208">
      <w:rPr>
        <w:lang w:val="de-DE"/>
      </w:rPr>
      <w:t>WO/GA/52/4WO/PBC/31/</w:t>
    </w:r>
  </w:p>
  <w:p w14:paraId="59B8C1BC" w14:textId="77777777" w:rsidR="00F71F09" w:rsidRPr="00282208" w:rsidRDefault="00F71F09" w:rsidP="00477D6B">
    <w:pPr>
      <w:jc w:val="right"/>
      <w:rPr>
        <w:lang w:val="de-DE"/>
      </w:rPr>
    </w:pPr>
    <w:r w:rsidRPr="00282208">
      <w:rPr>
        <w:lang w:val="de-DE"/>
      </w:rPr>
      <w:t xml:space="preserve">page </w:t>
    </w:r>
    <w:r w:rsidRPr="00F75053">
      <w:rPr>
        <w:noProof/>
        <w:lang w:val="de-DE"/>
      </w:rPr>
      <w:t>20</w:t>
    </w:r>
  </w:p>
  <w:p w14:paraId="1FED260F" w14:textId="77777777" w:rsidR="00F71F09" w:rsidRPr="00282208" w:rsidRDefault="00F71F09" w:rsidP="00477D6B">
    <w:pPr>
      <w:jc w:val="right"/>
      <w:rPr>
        <w:lang w:val="de-DE"/>
      </w:rPr>
    </w:pPr>
  </w:p>
  <w:p w14:paraId="67D9E257" w14:textId="77777777" w:rsidR="00F71F09" w:rsidRPr="00282208" w:rsidRDefault="00F71F09" w:rsidP="00477D6B">
    <w:pPr>
      <w:jc w:val="right"/>
      <w:rPr>
        <w:lang w:val="de-DE"/>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B7B31" w14:textId="0068386E" w:rsidR="00F71F09" w:rsidRPr="00524915" w:rsidRDefault="00F71F09" w:rsidP="00282208">
    <w:pPr>
      <w:jc w:val="right"/>
      <w:rPr>
        <w:lang w:val="fr-FR"/>
      </w:rPr>
    </w:pPr>
    <w:r>
      <w:t>WO/PBC/34/5</w:t>
    </w:r>
  </w:p>
  <w:p w14:paraId="5A71E2A9" w14:textId="77777777" w:rsidR="00F71F09" w:rsidRPr="00524915" w:rsidRDefault="00F71F09" w:rsidP="00282208">
    <w:pPr>
      <w:pStyle w:val="Header"/>
      <w:jc w:val="right"/>
      <w:rPr>
        <w:lang w:val="fr-FR"/>
      </w:rPr>
    </w:pPr>
    <w:r>
      <w:rPr>
        <w:lang w:val="fr-FR"/>
      </w:rPr>
      <w:t>ANNEX</w:t>
    </w:r>
  </w:p>
  <w:p w14:paraId="5E1161C2" w14:textId="77777777" w:rsidR="00F71F09" w:rsidRPr="003E573F" w:rsidRDefault="00F71F09" w:rsidP="00267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7FD"/>
    <w:multiLevelType w:val="hybridMultilevel"/>
    <w:tmpl w:val="21EEF100"/>
    <w:lvl w:ilvl="0" w:tplc="33BC284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29E3"/>
    <w:multiLevelType w:val="multilevel"/>
    <w:tmpl w:val="CE9CDACA"/>
    <w:lvl w:ilvl="0">
      <w:start w:val="2"/>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7506948"/>
    <w:multiLevelType w:val="hybridMultilevel"/>
    <w:tmpl w:val="87D2E77E"/>
    <w:lvl w:ilvl="0" w:tplc="EF02D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86423"/>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2AC3569"/>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4ED17FF"/>
    <w:multiLevelType w:val="multilevel"/>
    <w:tmpl w:val="80BAD626"/>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61423AA"/>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3160FE7"/>
    <w:multiLevelType w:val="multilevel"/>
    <w:tmpl w:val="8DB6FC18"/>
    <w:lvl w:ilvl="0">
      <w:start w:val="1"/>
      <w:numFmt w:val="lowerLetter"/>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79CF42A0"/>
    <w:multiLevelType w:val="hybridMultilevel"/>
    <w:tmpl w:val="57A83A90"/>
    <w:lvl w:ilvl="0" w:tplc="80FCDC9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2"/>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3"/>
  </w:num>
  <w:num w:numId="8">
    <w:abstractNumId w:val="8"/>
  </w:num>
  <w:num w:numId="9">
    <w:abstractNumId w:val="4"/>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6"/>
  </w:num>
  <w:num w:numId="17">
    <w:abstractNumId w:val="10"/>
  </w:num>
  <w:num w:numId="18">
    <w:abstractNumId w:val="1"/>
  </w:num>
  <w:num w:numId="19">
    <w:abstractNumId w:val="1"/>
  </w:num>
  <w:num w:numId="20">
    <w:abstractNumId w:val="3"/>
  </w:num>
  <w:num w:numId="21">
    <w:abstractNumId w:val="1"/>
  </w:num>
  <w:num w:numId="22">
    <w:abstractNumId w:val="12"/>
  </w:num>
  <w:num w:numId="23">
    <w:abstractNumId w:val="1"/>
  </w:num>
  <w:num w:numId="24">
    <w:abstractNumId w:val="1"/>
  </w:num>
  <w:num w:numId="25">
    <w:abstractNumId w:val="1"/>
  </w:num>
  <w:num w:numId="26">
    <w:abstractNumId w:val="14"/>
  </w:num>
  <w:num w:numId="27">
    <w:abstractNumId w:val="1"/>
  </w:num>
  <w:num w:numId="28">
    <w:abstractNumId w:val="1"/>
  </w:num>
  <w:num w:numId="29">
    <w:abstractNumId w:val="1"/>
  </w:num>
  <w:num w:numId="30">
    <w:abstractNumId w:val="0"/>
  </w:num>
  <w:num w:numId="31">
    <w:abstractNumId w:val="7"/>
  </w:num>
  <w:num w:numId="32">
    <w:abstractNumId w:val="15"/>
  </w:num>
  <w:num w:numId="33">
    <w:abstractNumId w:val="1"/>
  </w:num>
  <w:num w:numId="34">
    <w:abstractNumId w:val="1"/>
  </w:num>
  <w:num w:numId="35">
    <w:abstractNumId w:val="1"/>
  </w:num>
  <w:num w:numId="36">
    <w:abstractNumId w:val="1"/>
    <w:lvlOverride w:ilvl="0">
      <w:startOverride w:val="39"/>
    </w:lvlOverride>
    <w:lvlOverride w:ilvl="1">
      <w:startOverride w:val="3"/>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fr-CH" w:vendorID="64" w:dllVersion="131078" w:nlCheck="1" w:checkStyle="0"/>
  <w:activeWritingStyle w:appName="MSWord" w:lang="en-GB" w:vendorID="64" w:dllVersion="131078" w:nlCheck="1" w:checkStyle="1"/>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E97"/>
    <w:rsid w:val="0000263F"/>
    <w:rsid w:val="00003410"/>
    <w:rsid w:val="00004205"/>
    <w:rsid w:val="000074CD"/>
    <w:rsid w:val="00007C8D"/>
    <w:rsid w:val="00012A0C"/>
    <w:rsid w:val="0001407C"/>
    <w:rsid w:val="00017479"/>
    <w:rsid w:val="000174F2"/>
    <w:rsid w:val="00023378"/>
    <w:rsid w:val="000259B5"/>
    <w:rsid w:val="000269CE"/>
    <w:rsid w:val="00027788"/>
    <w:rsid w:val="00027A0B"/>
    <w:rsid w:val="0003292A"/>
    <w:rsid w:val="00032F62"/>
    <w:rsid w:val="000331AB"/>
    <w:rsid w:val="00037140"/>
    <w:rsid w:val="0003750A"/>
    <w:rsid w:val="00043CAA"/>
    <w:rsid w:val="000449A2"/>
    <w:rsid w:val="00044A42"/>
    <w:rsid w:val="00050B9C"/>
    <w:rsid w:val="00050F76"/>
    <w:rsid w:val="0005230C"/>
    <w:rsid w:val="00053BE8"/>
    <w:rsid w:val="00055464"/>
    <w:rsid w:val="00056816"/>
    <w:rsid w:val="00057F57"/>
    <w:rsid w:val="00060C46"/>
    <w:rsid w:val="00063D19"/>
    <w:rsid w:val="000649AF"/>
    <w:rsid w:val="00065037"/>
    <w:rsid w:val="00066818"/>
    <w:rsid w:val="00067B6A"/>
    <w:rsid w:val="00075432"/>
    <w:rsid w:val="00080C25"/>
    <w:rsid w:val="00083212"/>
    <w:rsid w:val="00083433"/>
    <w:rsid w:val="00083553"/>
    <w:rsid w:val="00087F87"/>
    <w:rsid w:val="00091904"/>
    <w:rsid w:val="00091943"/>
    <w:rsid w:val="000920C6"/>
    <w:rsid w:val="00094B31"/>
    <w:rsid w:val="0009532F"/>
    <w:rsid w:val="000953B4"/>
    <w:rsid w:val="000968ED"/>
    <w:rsid w:val="00097EB8"/>
    <w:rsid w:val="000A003F"/>
    <w:rsid w:val="000A07F8"/>
    <w:rsid w:val="000A0B7A"/>
    <w:rsid w:val="000A0EC9"/>
    <w:rsid w:val="000A2877"/>
    <w:rsid w:val="000A3D97"/>
    <w:rsid w:val="000A6E18"/>
    <w:rsid w:val="000A7A2D"/>
    <w:rsid w:val="000B1CEC"/>
    <w:rsid w:val="000B53FC"/>
    <w:rsid w:val="000C4041"/>
    <w:rsid w:val="000C4E21"/>
    <w:rsid w:val="000C4E9C"/>
    <w:rsid w:val="000C5C92"/>
    <w:rsid w:val="000C5D71"/>
    <w:rsid w:val="000C60CF"/>
    <w:rsid w:val="000D18B9"/>
    <w:rsid w:val="000D1D00"/>
    <w:rsid w:val="000D26D8"/>
    <w:rsid w:val="000D62DD"/>
    <w:rsid w:val="000D6D2A"/>
    <w:rsid w:val="000D7F45"/>
    <w:rsid w:val="000E04C7"/>
    <w:rsid w:val="000E0D1B"/>
    <w:rsid w:val="000E1DB8"/>
    <w:rsid w:val="000E2BF2"/>
    <w:rsid w:val="000E3787"/>
    <w:rsid w:val="000E52CD"/>
    <w:rsid w:val="000E59F0"/>
    <w:rsid w:val="000F16E2"/>
    <w:rsid w:val="000F18C3"/>
    <w:rsid w:val="000F1ACD"/>
    <w:rsid w:val="000F2726"/>
    <w:rsid w:val="000F3D7B"/>
    <w:rsid w:val="000F5D67"/>
    <w:rsid w:val="000F5E56"/>
    <w:rsid w:val="000F6132"/>
    <w:rsid w:val="000F6DA2"/>
    <w:rsid w:val="000F7A31"/>
    <w:rsid w:val="000F7F6B"/>
    <w:rsid w:val="00101D72"/>
    <w:rsid w:val="00104BDC"/>
    <w:rsid w:val="001052E2"/>
    <w:rsid w:val="0010783D"/>
    <w:rsid w:val="00107F8C"/>
    <w:rsid w:val="0011081D"/>
    <w:rsid w:val="001123FB"/>
    <w:rsid w:val="001160CB"/>
    <w:rsid w:val="0012193A"/>
    <w:rsid w:val="00121CCE"/>
    <w:rsid w:val="00123659"/>
    <w:rsid w:val="00123DBE"/>
    <w:rsid w:val="00131D66"/>
    <w:rsid w:val="001362EE"/>
    <w:rsid w:val="00140150"/>
    <w:rsid w:val="00140918"/>
    <w:rsid w:val="0014384A"/>
    <w:rsid w:val="0014654C"/>
    <w:rsid w:val="00152E1F"/>
    <w:rsid w:val="00154248"/>
    <w:rsid w:val="001542CE"/>
    <w:rsid w:val="001547C8"/>
    <w:rsid w:val="00154B61"/>
    <w:rsid w:val="001569F2"/>
    <w:rsid w:val="001635B5"/>
    <w:rsid w:val="00163E3E"/>
    <w:rsid w:val="001643D3"/>
    <w:rsid w:val="001647D5"/>
    <w:rsid w:val="001661F3"/>
    <w:rsid w:val="00167E24"/>
    <w:rsid w:val="00173353"/>
    <w:rsid w:val="00173ECB"/>
    <w:rsid w:val="001750C8"/>
    <w:rsid w:val="001775CE"/>
    <w:rsid w:val="0018317E"/>
    <w:rsid w:val="001832A6"/>
    <w:rsid w:val="001904F7"/>
    <w:rsid w:val="00191379"/>
    <w:rsid w:val="00191B90"/>
    <w:rsid w:val="001936B0"/>
    <w:rsid w:val="00193A11"/>
    <w:rsid w:val="00194BF6"/>
    <w:rsid w:val="00195170"/>
    <w:rsid w:val="001952B7"/>
    <w:rsid w:val="00196CD2"/>
    <w:rsid w:val="001A119F"/>
    <w:rsid w:val="001A4443"/>
    <w:rsid w:val="001A4781"/>
    <w:rsid w:val="001A5DC5"/>
    <w:rsid w:val="001A6515"/>
    <w:rsid w:val="001A67A1"/>
    <w:rsid w:val="001A6CA0"/>
    <w:rsid w:val="001A7272"/>
    <w:rsid w:val="001B2E69"/>
    <w:rsid w:val="001B343A"/>
    <w:rsid w:val="001B628C"/>
    <w:rsid w:val="001B7D41"/>
    <w:rsid w:val="001C0BFD"/>
    <w:rsid w:val="001C0E37"/>
    <w:rsid w:val="001C123D"/>
    <w:rsid w:val="001C12DE"/>
    <w:rsid w:val="001C22A3"/>
    <w:rsid w:val="001C2473"/>
    <w:rsid w:val="001C669F"/>
    <w:rsid w:val="001C6CA4"/>
    <w:rsid w:val="001D01A8"/>
    <w:rsid w:val="001D1177"/>
    <w:rsid w:val="001D4107"/>
    <w:rsid w:val="001D4C85"/>
    <w:rsid w:val="001D5827"/>
    <w:rsid w:val="001D59E1"/>
    <w:rsid w:val="001E003B"/>
    <w:rsid w:val="001E1CA7"/>
    <w:rsid w:val="001E225B"/>
    <w:rsid w:val="001E2BD8"/>
    <w:rsid w:val="001E2CA2"/>
    <w:rsid w:val="001E3AD8"/>
    <w:rsid w:val="001E6080"/>
    <w:rsid w:val="001E6CF4"/>
    <w:rsid w:val="001E6F62"/>
    <w:rsid w:val="001F21C8"/>
    <w:rsid w:val="001F471B"/>
    <w:rsid w:val="001F5477"/>
    <w:rsid w:val="001F799A"/>
    <w:rsid w:val="002026BC"/>
    <w:rsid w:val="00203D24"/>
    <w:rsid w:val="002059E7"/>
    <w:rsid w:val="00205EA1"/>
    <w:rsid w:val="00210B06"/>
    <w:rsid w:val="0021217E"/>
    <w:rsid w:val="002150AF"/>
    <w:rsid w:val="0021563A"/>
    <w:rsid w:val="00217391"/>
    <w:rsid w:val="0021774E"/>
    <w:rsid w:val="00222C8D"/>
    <w:rsid w:val="00224AED"/>
    <w:rsid w:val="0022519E"/>
    <w:rsid w:val="002264CD"/>
    <w:rsid w:val="0022679E"/>
    <w:rsid w:val="002279F2"/>
    <w:rsid w:val="0023270A"/>
    <w:rsid w:val="002327F8"/>
    <w:rsid w:val="00236FBC"/>
    <w:rsid w:val="002415DC"/>
    <w:rsid w:val="002421B3"/>
    <w:rsid w:val="0024327F"/>
    <w:rsid w:val="00243430"/>
    <w:rsid w:val="002435DF"/>
    <w:rsid w:val="00243DD8"/>
    <w:rsid w:val="002446E9"/>
    <w:rsid w:val="0024667F"/>
    <w:rsid w:val="00247252"/>
    <w:rsid w:val="00250139"/>
    <w:rsid w:val="00252695"/>
    <w:rsid w:val="0025359D"/>
    <w:rsid w:val="002545F9"/>
    <w:rsid w:val="002552E9"/>
    <w:rsid w:val="00255686"/>
    <w:rsid w:val="002562E7"/>
    <w:rsid w:val="00257602"/>
    <w:rsid w:val="002630EC"/>
    <w:rsid w:val="002634C4"/>
    <w:rsid w:val="0026534C"/>
    <w:rsid w:val="002654AF"/>
    <w:rsid w:val="002670C4"/>
    <w:rsid w:val="00267852"/>
    <w:rsid w:val="002717D1"/>
    <w:rsid w:val="00277517"/>
    <w:rsid w:val="002778F8"/>
    <w:rsid w:val="00282208"/>
    <w:rsid w:val="002830FF"/>
    <w:rsid w:val="00284537"/>
    <w:rsid w:val="00284EFC"/>
    <w:rsid w:val="0028603B"/>
    <w:rsid w:val="0028626A"/>
    <w:rsid w:val="00286456"/>
    <w:rsid w:val="00286DAC"/>
    <w:rsid w:val="0029118F"/>
    <w:rsid w:val="002928D3"/>
    <w:rsid w:val="002936F1"/>
    <w:rsid w:val="002A1916"/>
    <w:rsid w:val="002A213E"/>
    <w:rsid w:val="002A21AE"/>
    <w:rsid w:val="002B10B9"/>
    <w:rsid w:val="002B3260"/>
    <w:rsid w:val="002B6DA3"/>
    <w:rsid w:val="002B7C36"/>
    <w:rsid w:val="002C23BF"/>
    <w:rsid w:val="002C2F64"/>
    <w:rsid w:val="002C3215"/>
    <w:rsid w:val="002C3EE1"/>
    <w:rsid w:val="002C485D"/>
    <w:rsid w:val="002C4C35"/>
    <w:rsid w:val="002D34FF"/>
    <w:rsid w:val="002D5739"/>
    <w:rsid w:val="002D6743"/>
    <w:rsid w:val="002D6986"/>
    <w:rsid w:val="002E1846"/>
    <w:rsid w:val="002E2DFD"/>
    <w:rsid w:val="002E3A72"/>
    <w:rsid w:val="002E69EB"/>
    <w:rsid w:val="002F07CD"/>
    <w:rsid w:val="002F1C84"/>
    <w:rsid w:val="002F1FE6"/>
    <w:rsid w:val="002F4E68"/>
    <w:rsid w:val="002F5395"/>
    <w:rsid w:val="002F5D8D"/>
    <w:rsid w:val="002F69AD"/>
    <w:rsid w:val="003000AE"/>
    <w:rsid w:val="0030012B"/>
    <w:rsid w:val="0030017C"/>
    <w:rsid w:val="00300C2C"/>
    <w:rsid w:val="00300D4D"/>
    <w:rsid w:val="0030244D"/>
    <w:rsid w:val="00302505"/>
    <w:rsid w:val="0030340A"/>
    <w:rsid w:val="003038D9"/>
    <w:rsid w:val="00307D39"/>
    <w:rsid w:val="0031229D"/>
    <w:rsid w:val="003124BB"/>
    <w:rsid w:val="00312F7F"/>
    <w:rsid w:val="00314917"/>
    <w:rsid w:val="00315F3C"/>
    <w:rsid w:val="0032452C"/>
    <w:rsid w:val="00326E2A"/>
    <w:rsid w:val="00331F89"/>
    <w:rsid w:val="00335B35"/>
    <w:rsid w:val="00335E4C"/>
    <w:rsid w:val="0033685D"/>
    <w:rsid w:val="00337A88"/>
    <w:rsid w:val="00342383"/>
    <w:rsid w:val="003453CA"/>
    <w:rsid w:val="00347393"/>
    <w:rsid w:val="00347735"/>
    <w:rsid w:val="00350525"/>
    <w:rsid w:val="0035095D"/>
    <w:rsid w:val="0035185D"/>
    <w:rsid w:val="00352C83"/>
    <w:rsid w:val="003533F5"/>
    <w:rsid w:val="0035401B"/>
    <w:rsid w:val="003541BF"/>
    <w:rsid w:val="00360261"/>
    <w:rsid w:val="00361450"/>
    <w:rsid w:val="0036177F"/>
    <w:rsid w:val="003652CE"/>
    <w:rsid w:val="00365E0F"/>
    <w:rsid w:val="003673CF"/>
    <w:rsid w:val="00371CD2"/>
    <w:rsid w:val="003728F8"/>
    <w:rsid w:val="00376094"/>
    <w:rsid w:val="0037708F"/>
    <w:rsid w:val="0038146E"/>
    <w:rsid w:val="00383799"/>
    <w:rsid w:val="003845C1"/>
    <w:rsid w:val="00392CEA"/>
    <w:rsid w:val="00393E59"/>
    <w:rsid w:val="0039415E"/>
    <w:rsid w:val="00395824"/>
    <w:rsid w:val="0039651E"/>
    <w:rsid w:val="003967ED"/>
    <w:rsid w:val="003A6DF8"/>
    <w:rsid w:val="003A6F89"/>
    <w:rsid w:val="003B0312"/>
    <w:rsid w:val="003B06F4"/>
    <w:rsid w:val="003B2024"/>
    <w:rsid w:val="003B38C1"/>
    <w:rsid w:val="003B4645"/>
    <w:rsid w:val="003C34E9"/>
    <w:rsid w:val="003C4165"/>
    <w:rsid w:val="003C526E"/>
    <w:rsid w:val="003C5909"/>
    <w:rsid w:val="003D125E"/>
    <w:rsid w:val="003D3A2A"/>
    <w:rsid w:val="003D6E1D"/>
    <w:rsid w:val="003D7A9F"/>
    <w:rsid w:val="003E5E33"/>
    <w:rsid w:val="003F2F86"/>
    <w:rsid w:val="003F3B76"/>
    <w:rsid w:val="003F48D8"/>
    <w:rsid w:val="003F6C0B"/>
    <w:rsid w:val="003F6F39"/>
    <w:rsid w:val="0040042D"/>
    <w:rsid w:val="00411441"/>
    <w:rsid w:val="00411D92"/>
    <w:rsid w:val="00412F47"/>
    <w:rsid w:val="0041494C"/>
    <w:rsid w:val="00422A71"/>
    <w:rsid w:val="00422B7D"/>
    <w:rsid w:val="00423823"/>
    <w:rsid w:val="00423E3E"/>
    <w:rsid w:val="00424E8A"/>
    <w:rsid w:val="00425CF3"/>
    <w:rsid w:val="00427AF4"/>
    <w:rsid w:val="004362BA"/>
    <w:rsid w:val="00436316"/>
    <w:rsid w:val="0044093E"/>
    <w:rsid w:val="004428AF"/>
    <w:rsid w:val="004448FF"/>
    <w:rsid w:val="00446ABF"/>
    <w:rsid w:val="004479A8"/>
    <w:rsid w:val="00447C4F"/>
    <w:rsid w:val="00450494"/>
    <w:rsid w:val="00450C38"/>
    <w:rsid w:val="00451AF4"/>
    <w:rsid w:val="0045233C"/>
    <w:rsid w:val="0045409D"/>
    <w:rsid w:val="00454D28"/>
    <w:rsid w:val="00463B9A"/>
    <w:rsid w:val="004647CB"/>
    <w:rsid w:val="004647DA"/>
    <w:rsid w:val="00467574"/>
    <w:rsid w:val="00470D9D"/>
    <w:rsid w:val="0047206B"/>
    <w:rsid w:val="00474062"/>
    <w:rsid w:val="00475956"/>
    <w:rsid w:val="00477CDB"/>
    <w:rsid w:val="00477D6B"/>
    <w:rsid w:val="00482650"/>
    <w:rsid w:val="00484B8E"/>
    <w:rsid w:val="00484B9E"/>
    <w:rsid w:val="00484ED0"/>
    <w:rsid w:val="004854FF"/>
    <w:rsid w:val="00491135"/>
    <w:rsid w:val="00491D39"/>
    <w:rsid w:val="0049212C"/>
    <w:rsid w:val="004B0B41"/>
    <w:rsid w:val="004B5CF4"/>
    <w:rsid w:val="004B6D5C"/>
    <w:rsid w:val="004C0258"/>
    <w:rsid w:val="004C40F4"/>
    <w:rsid w:val="004C6FCB"/>
    <w:rsid w:val="004D2547"/>
    <w:rsid w:val="004D2AF2"/>
    <w:rsid w:val="004D4B87"/>
    <w:rsid w:val="004D6E26"/>
    <w:rsid w:val="004E517A"/>
    <w:rsid w:val="004E566A"/>
    <w:rsid w:val="004F0DAE"/>
    <w:rsid w:val="004F3523"/>
    <w:rsid w:val="004F4316"/>
    <w:rsid w:val="004F5E6B"/>
    <w:rsid w:val="004F6DA3"/>
    <w:rsid w:val="00500A24"/>
    <w:rsid w:val="00500D6F"/>
    <w:rsid w:val="005019FF"/>
    <w:rsid w:val="005033FF"/>
    <w:rsid w:val="0050351D"/>
    <w:rsid w:val="00504BBB"/>
    <w:rsid w:val="005101A6"/>
    <w:rsid w:val="005120F1"/>
    <w:rsid w:val="005121A0"/>
    <w:rsid w:val="005143D7"/>
    <w:rsid w:val="00515A65"/>
    <w:rsid w:val="00516C1E"/>
    <w:rsid w:val="00520248"/>
    <w:rsid w:val="005214D5"/>
    <w:rsid w:val="0052183D"/>
    <w:rsid w:val="00521D00"/>
    <w:rsid w:val="00524F64"/>
    <w:rsid w:val="00526790"/>
    <w:rsid w:val="00526EA2"/>
    <w:rsid w:val="00530377"/>
    <w:rsid w:val="0053057A"/>
    <w:rsid w:val="00531A5E"/>
    <w:rsid w:val="005328C2"/>
    <w:rsid w:val="005361A2"/>
    <w:rsid w:val="005370EC"/>
    <w:rsid w:val="0054355C"/>
    <w:rsid w:val="005463D1"/>
    <w:rsid w:val="00550057"/>
    <w:rsid w:val="00552A6D"/>
    <w:rsid w:val="00556076"/>
    <w:rsid w:val="005602A7"/>
    <w:rsid w:val="00560574"/>
    <w:rsid w:val="005608DA"/>
    <w:rsid w:val="00560A29"/>
    <w:rsid w:val="0056310C"/>
    <w:rsid w:val="0056698E"/>
    <w:rsid w:val="00567C6A"/>
    <w:rsid w:val="00570CA2"/>
    <w:rsid w:val="00571086"/>
    <w:rsid w:val="00576426"/>
    <w:rsid w:val="00576937"/>
    <w:rsid w:val="00577A7A"/>
    <w:rsid w:val="00577B3F"/>
    <w:rsid w:val="00577C00"/>
    <w:rsid w:val="005820E9"/>
    <w:rsid w:val="00582879"/>
    <w:rsid w:val="00582C73"/>
    <w:rsid w:val="0058527F"/>
    <w:rsid w:val="00585D10"/>
    <w:rsid w:val="005925C7"/>
    <w:rsid w:val="00592A69"/>
    <w:rsid w:val="00593329"/>
    <w:rsid w:val="00594F1D"/>
    <w:rsid w:val="00596A85"/>
    <w:rsid w:val="00597B4C"/>
    <w:rsid w:val="005A291B"/>
    <w:rsid w:val="005A5B3D"/>
    <w:rsid w:val="005A6DE0"/>
    <w:rsid w:val="005B12AC"/>
    <w:rsid w:val="005B33B6"/>
    <w:rsid w:val="005C3E37"/>
    <w:rsid w:val="005C40A8"/>
    <w:rsid w:val="005C4457"/>
    <w:rsid w:val="005C514B"/>
    <w:rsid w:val="005C5E28"/>
    <w:rsid w:val="005C6649"/>
    <w:rsid w:val="005C7795"/>
    <w:rsid w:val="005C77AE"/>
    <w:rsid w:val="005D13DE"/>
    <w:rsid w:val="005D2036"/>
    <w:rsid w:val="005D2437"/>
    <w:rsid w:val="005D3901"/>
    <w:rsid w:val="005E0F48"/>
    <w:rsid w:val="005E1266"/>
    <w:rsid w:val="005E1B27"/>
    <w:rsid w:val="005E27B1"/>
    <w:rsid w:val="005E2892"/>
    <w:rsid w:val="005F7359"/>
    <w:rsid w:val="006005B4"/>
    <w:rsid w:val="00605827"/>
    <w:rsid w:val="00610A13"/>
    <w:rsid w:val="00611D38"/>
    <w:rsid w:val="00614FCE"/>
    <w:rsid w:val="00615DF1"/>
    <w:rsid w:val="00620A74"/>
    <w:rsid w:val="00620FF9"/>
    <w:rsid w:val="00622355"/>
    <w:rsid w:val="0062686A"/>
    <w:rsid w:val="006268E6"/>
    <w:rsid w:val="00627C3D"/>
    <w:rsid w:val="00634350"/>
    <w:rsid w:val="0063583F"/>
    <w:rsid w:val="006377D1"/>
    <w:rsid w:val="00637E53"/>
    <w:rsid w:val="00642BF8"/>
    <w:rsid w:val="00642F0F"/>
    <w:rsid w:val="00644DC3"/>
    <w:rsid w:val="00646050"/>
    <w:rsid w:val="006460F7"/>
    <w:rsid w:val="00646244"/>
    <w:rsid w:val="006500ED"/>
    <w:rsid w:val="00650E14"/>
    <w:rsid w:val="00650E6D"/>
    <w:rsid w:val="00652BD9"/>
    <w:rsid w:val="00653C33"/>
    <w:rsid w:val="00655B44"/>
    <w:rsid w:val="00657DBC"/>
    <w:rsid w:val="006604BF"/>
    <w:rsid w:val="0066080A"/>
    <w:rsid w:val="00660F45"/>
    <w:rsid w:val="006713CA"/>
    <w:rsid w:val="0067209C"/>
    <w:rsid w:val="00673284"/>
    <w:rsid w:val="00673685"/>
    <w:rsid w:val="00676C5C"/>
    <w:rsid w:val="006775DF"/>
    <w:rsid w:val="006775E3"/>
    <w:rsid w:val="006806A8"/>
    <w:rsid w:val="00682FAF"/>
    <w:rsid w:val="00684D26"/>
    <w:rsid w:val="006876B9"/>
    <w:rsid w:val="00690482"/>
    <w:rsid w:val="006905B2"/>
    <w:rsid w:val="00690622"/>
    <w:rsid w:val="00690ABA"/>
    <w:rsid w:val="00690DEC"/>
    <w:rsid w:val="006918F6"/>
    <w:rsid w:val="00694F63"/>
    <w:rsid w:val="006955C9"/>
    <w:rsid w:val="006956E4"/>
    <w:rsid w:val="00696001"/>
    <w:rsid w:val="00696048"/>
    <w:rsid w:val="006961B9"/>
    <w:rsid w:val="00697F4C"/>
    <w:rsid w:val="006A3B74"/>
    <w:rsid w:val="006B09EC"/>
    <w:rsid w:val="006B0C65"/>
    <w:rsid w:val="006B108F"/>
    <w:rsid w:val="006B1846"/>
    <w:rsid w:val="006B314B"/>
    <w:rsid w:val="006B3DA0"/>
    <w:rsid w:val="006B41F2"/>
    <w:rsid w:val="006B5E74"/>
    <w:rsid w:val="006B640C"/>
    <w:rsid w:val="006B668C"/>
    <w:rsid w:val="006C4A8E"/>
    <w:rsid w:val="006C54CF"/>
    <w:rsid w:val="006C6F42"/>
    <w:rsid w:val="006C749E"/>
    <w:rsid w:val="006D019A"/>
    <w:rsid w:val="006D0503"/>
    <w:rsid w:val="006D0719"/>
    <w:rsid w:val="006D09F2"/>
    <w:rsid w:val="006D40D5"/>
    <w:rsid w:val="006D5280"/>
    <w:rsid w:val="006D6571"/>
    <w:rsid w:val="006F0074"/>
    <w:rsid w:val="006F02D3"/>
    <w:rsid w:val="006F2103"/>
    <w:rsid w:val="006F5456"/>
    <w:rsid w:val="006F55BD"/>
    <w:rsid w:val="006F5D79"/>
    <w:rsid w:val="006F69B0"/>
    <w:rsid w:val="007001E2"/>
    <w:rsid w:val="00700FA0"/>
    <w:rsid w:val="007035FD"/>
    <w:rsid w:val="00710A78"/>
    <w:rsid w:val="00710BBE"/>
    <w:rsid w:val="00711B10"/>
    <w:rsid w:val="00711EC7"/>
    <w:rsid w:val="007159D2"/>
    <w:rsid w:val="00716C15"/>
    <w:rsid w:val="00720EFD"/>
    <w:rsid w:val="00721010"/>
    <w:rsid w:val="00721BDA"/>
    <w:rsid w:val="00721FE7"/>
    <w:rsid w:val="0072225C"/>
    <w:rsid w:val="00724AC0"/>
    <w:rsid w:val="00726D19"/>
    <w:rsid w:val="007271E8"/>
    <w:rsid w:val="00736FE9"/>
    <w:rsid w:val="00737142"/>
    <w:rsid w:val="00740D7A"/>
    <w:rsid w:val="0074206A"/>
    <w:rsid w:val="00746F3D"/>
    <w:rsid w:val="007470B1"/>
    <w:rsid w:val="00761EC4"/>
    <w:rsid w:val="0076638D"/>
    <w:rsid w:val="00772DD9"/>
    <w:rsid w:val="00772E15"/>
    <w:rsid w:val="00775974"/>
    <w:rsid w:val="00783303"/>
    <w:rsid w:val="007853D0"/>
    <w:rsid w:val="00791098"/>
    <w:rsid w:val="00793476"/>
    <w:rsid w:val="00793A7C"/>
    <w:rsid w:val="007960E4"/>
    <w:rsid w:val="00796EE3"/>
    <w:rsid w:val="007A398A"/>
    <w:rsid w:val="007A6956"/>
    <w:rsid w:val="007B25D6"/>
    <w:rsid w:val="007B496E"/>
    <w:rsid w:val="007B4FA8"/>
    <w:rsid w:val="007B5CF7"/>
    <w:rsid w:val="007B6CC3"/>
    <w:rsid w:val="007B7E12"/>
    <w:rsid w:val="007C21BD"/>
    <w:rsid w:val="007C2EFC"/>
    <w:rsid w:val="007C3096"/>
    <w:rsid w:val="007C3613"/>
    <w:rsid w:val="007C4A21"/>
    <w:rsid w:val="007C6ADE"/>
    <w:rsid w:val="007D131F"/>
    <w:rsid w:val="007D1432"/>
    <w:rsid w:val="007D1613"/>
    <w:rsid w:val="007D44F7"/>
    <w:rsid w:val="007D6268"/>
    <w:rsid w:val="007E0A5F"/>
    <w:rsid w:val="007E406E"/>
    <w:rsid w:val="007E4466"/>
    <w:rsid w:val="007E4C0E"/>
    <w:rsid w:val="007E5351"/>
    <w:rsid w:val="007E59F9"/>
    <w:rsid w:val="007E6F3C"/>
    <w:rsid w:val="007E72F5"/>
    <w:rsid w:val="007F08E2"/>
    <w:rsid w:val="007F54B6"/>
    <w:rsid w:val="00800123"/>
    <w:rsid w:val="00800748"/>
    <w:rsid w:val="00801412"/>
    <w:rsid w:val="00803EDA"/>
    <w:rsid w:val="00804C0D"/>
    <w:rsid w:val="008053D2"/>
    <w:rsid w:val="00805BD5"/>
    <w:rsid w:val="008071F1"/>
    <w:rsid w:val="00807E32"/>
    <w:rsid w:val="00814CBD"/>
    <w:rsid w:val="00814FDA"/>
    <w:rsid w:val="008220D7"/>
    <w:rsid w:val="0082437A"/>
    <w:rsid w:val="0082532C"/>
    <w:rsid w:val="00826314"/>
    <w:rsid w:val="00831998"/>
    <w:rsid w:val="00836944"/>
    <w:rsid w:val="008379BC"/>
    <w:rsid w:val="0084012E"/>
    <w:rsid w:val="00845743"/>
    <w:rsid w:val="008460BA"/>
    <w:rsid w:val="0085055B"/>
    <w:rsid w:val="008509E4"/>
    <w:rsid w:val="00851AEC"/>
    <w:rsid w:val="00852119"/>
    <w:rsid w:val="00852669"/>
    <w:rsid w:val="00852EB9"/>
    <w:rsid w:val="008551E3"/>
    <w:rsid w:val="008552F9"/>
    <w:rsid w:val="0086216D"/>
    <w:rsid w:val="008631A1"/>
    <w:rsid w:val="00863C7B"/>
    <w:rsid w:val="00865548"/>
    <w:rsid w:val="008657A1"/>
    <w:rsid w:val="00865FD8"/>
    <w:rsid w:val="008707B4"/>
    <w:rsid w:val="00870D38"/>
    <w:rsid w:val="00873384"/>
    <w:rsid w:val="008739CA"/>
    <w:rsid w:val="00875495"/>
    <w:rsid w:val="0087559C"/>
    <w:rsid w:val="008759ED"/>
    <w:rsid w:val="00877E1A"/>
    <w:rsid w:val="00881564"/>
    <w:rsid w:val="00882193"/>
    <w:rsid w:val="00885265"/>
    <w:rsid w:val="0089039C"/>
    <w:rsid w:val="008905D3"/>
    <w:rsid w:val="008936EE"/>
    <w:rsid w:val="008A0104"/>
    <w:rsid w:val="008A134B"/>
    <w:rsid w:val="008A3D8D"/>
    <w:rsid w:val="008A40B3"/>
    <w:rsid w:val="008A4807"/>
    <w:rsid w:val="008A551C"/>
    <w:rsid w:val="008B04A1"/>
    <w:rsid w:val="008B2CC1"/>
    <w:rsid w:val="008B60B2"/>
    <w:rsid w:val="008B627C"/>
    <w:rsid w:val="008B7A29"/>
    <w:rsid w:val="008C096D"/>
    <w:rsid w:val="008C0D32"/>
    <w:rsid w:val="008C5E1F"/>
    <w:rsid w:val="008C784C"/>
    <w:rsid w:val="008D2128"/>
    <w:rsid w:val="008D2A34"/>
    <w:rsid w:val="008D2FE8"/>
    <w:rsid w:val="008D6E1E"/>
    <w:rsid w:val="008E0230"/>
    <w:rsid w:val="008E49F1"/>
    <w:rsid w:val="008F07CD"/>
    <w:rsid w:val="008F1B61"/>
    <w:rsid w:val="008F5DE9"/>
    <w:rsid w:val="008F70F3"/>
    <w:rsid w:val="008F7571"/>
    <w:rsid w:val="00900737"/>
    <w:rsid w:val="00900A69"/>
    <w:rsid w:val="00902985"/>
    <w:rsid w:val="009041C5"/>
    <w:rsid w:val="00904446"/>
    <w:rsid w:val="00904664"/>
    <w:rsid w:val="009061F3"/>
    <w:rsid w:val="0090731E"/>
    <w:rsid w:val="00914F3A"/>
    <w:rsid w:val="00916EE2"/>
    <w:rsid w:val="009208BA"/>
    <w:rsid w:val="0092308C"/>
    <w:rsid w:val="0092671C"/>
    <w:rsid w:val="0093250A"/>
    <w:rsid w:val="00933438"/>
    <w:rsid w:val="009334C0"/>
    <w:rsid w:val="00935002"/>
    <w:rsid w:val="009354A8"/>
    <w:rsid w:val="0093644C"/>
    <w:rsid w:val="00940DDF"/>
    <w:rsid w:val="00940E3D"/>
    <w:rsid w:val="0094451C"/>
    <w:rsid w:val="0094491F"/>
    <w:rsid w:val="00945948"/>
    <w:rsid w:val="0094679E"/>
    <w:rsid w:val="0095085A"/>
    <w:rsid w:val="00950C25"/>
    <w:rsid w:val="0095619D"/>
    <w:rsid w:val="00957033"/>
    <w:rsid w:val="00962784"/>
    <w:rsid w:val="009641EB"/>
    <w:rsid w:val="00964E17"/>
    <w:rsid w:val="009668BA"/>
    <w:rsid w:val="00966A22"/>
    <w:rsid w:val="0096722F"/>
    <w:rsid w:val="0097182C"/>
    <w:rsid w:val="00971938"/>
    <w:rsid w:val="00973648"/>
    <w:rsid w:val="00975222"/>
    <w:rsid w:val="009755DB"/>
    <w:rsid w:val="00980843"/>
    <w:rsid w:val="00982C02"/>
    <w:rsid w:val="00983C6F"/>
    <w:rsid w:val="0098489C"/>
    <w:rsid w:val="00986C01"/>
    <w:rsid w:val="00990147"/>
    <w:rsid w:val="009922EC"/>
    <w:rsid w:val="00994D8C"/>
    <w:rsid w:val="00995589"/>
    <w:rsid w:val="0099711F"/>
    <w:rsid w:val="009A096D"/>
    <w:rsid w:val="009A1B3C"/>
    <w:rsid w:val="009A1BB2"/>
    <w:rsid w:val="009A5C31"/>
    <w:rsid w:val="009B0214"/>
    <w:rsid w:val="009B18A2"/>
    <w:rsid w:val="009B35A7"/>
    <w:rsid w:val="009B4A7A"/>
    <w:rsid w:val="009B601D"/>
    <w:rsid w:val="009B65CA"/>
    <w:rsid w:val="009C17F1"/>
    <w:rsid w:val="009C2A28"/>
    <w:rsid w:val="009C7B6D"/>
    <w:rsid w:val="009C7E22"/>
    <w:rsid w:val="009D0E5C"/>
    <w:rsid w:val="009D1DB4"/>
    <w:rsid w:val="009D48B9"/>
    <w:rsid w:val="009D5455"/>
    <w:rsid w:val="009D772F"/>
    <w:rsid w:val="009E1F25"/>
    <w:rsid w:val="009E2791"/>
    <w:rsid w:val="009E2DB6"/>
    <w:rsid w:val="009E3F6F"/>
    <w:rsid w:val="009E7258"/>
    <w:rsid w:val="009E7402"/>
    <w:rsid w:val="009F05CC"/>
    <w:rsid w:val="009F0FFC"/>
    <w:rsid w:val="009F4247"/>
    <w:rsid w:val="009F4424"/>
    <w:rsid w:val="009F499F"/>
    <w:rsid w:val="00A03857"/>
    <w:rsid w:val="00A03DA4"/>
    <w:rsid w:val="00A078D7"/>
    <w:rsid w:val="00A079E0"/>
    <w:rsid w:val="00A12755"/>
    <w:rsid w:val="00A12A77"/>
    <w:rsid w:val="00A13D9E"/>
    <w:rsid w:val="00A14287"/>
    <w:rsid w:val="00A1499F"/>
    <w:rsid w:val="00A16D3F"/>
    <w:rsid w:val="00A20873"/>
    <w:rsid w:val="00A22087"/>
    <w:rsid w:val="00A272C4"/>
    <w:rsid w:val="00A33BEA"/>
    <w:rsid w:val="00A35641"/>
    <w:rsid w:val="00A372C6"/>
    <w:rsid w:val="00A37342"/>
    <w:rsid w:val="00A37B48"/>
    <w:rsid w:val="00A400A3"/>
    <w:rsid w:val="00A40699"/>
    <w:rsid w:val="00A42DAF"/>
    <w:rsid w:val="00A45BD8"/>
    <w:rsid w:val="00A54660"/>
    <w:rsid w:val="00A54708"/>
    <w:rsid w:val="00A55ACE"/>
    <w:rsid w:val="00A567DF"/>
    <w:rsid w:val="00A57458"/>
    <w:rsid w:val="00A61861"/>
    <w:rsid w:val="00A624AA"/>
    <w:rsid w:val="00A64648"/>
    <w:rsid w:val="00A64E8D"/>
    <w:rsid w:val="00A65650"/>
    <w:rsid w:val="00A66032"/>
    <w:rsid w:val="00A66C8A"/>
    <w:rsid w:val="00A70901"/>
    <w:rsid w:val="00A71BEF"/>
    <w:rsid w:val="00A739FE"/>
    <w:rsid w:val="00A77B1F"/>
    <w:rsid w:val="00A81401"/>
    <w:rsid w:val="00A83C19"/>
    <w:rsid w:val="00A8602C"/>
    <w:rsid w:val="00A869B7"/>
    <w:rsid w:val="00A92D24"/>
    <w:rsid w:val="00A93860"/>
    <w:rsid w:val="00A94048"/>
    <w:rsid w:val="00A942E3"/>
    <w:rsid w:val="00A9506F"/>
    <w:rsid w:val="00AA0381"/>
    <w:rsid w:val="00AA0C8C"/>
    <w:rsid w:val="00AA1ADA"/>
    <w:rsid w:val="00AA7133"/>
    <w:rsid w:val="00AB0BEF"/>
    <w:rsid w:val="00AB1AFA"/>
    <w:rsid w:val="00AB20B9"/>
    <w:rsid w:val="00AB3197"/>
    <w:rsid w:val="00AC205C"/>
    <w:rsid w:val="00AC2FB1"/>
    <w:rsid w:val="00AC3480"/>
    <w:rsid w:val="00AC3698"/>
    <w:rsid w:val="00AC38B6"/>
    <w:rsid w:val="00AC48BE"/>
    <w:rsid w:val="00AC4D8D"/>
    <w:rsid w:val="00AC61F9"/>
    <w:rsid w:val="00AD14A2"/>
    <w:rsid w:val="00AD1D8D"/>
    <w:rsid w:val="00AD5C7E"/>
    <w:rsid w:val="00AD7F19"/>
    <w:rsid w:val="00AE2165"/>
    <w:rsid w:val="00AE2528"/>
    <w:rsid w:val="00AE2D6A"/>
    <w:rsid w:val="00AE3A27"/>
    <w:rsid w:val="00AF0A6B"/>
    <w:rsid w:val="00AF0B22"/>
    <w:rsid w:val="00AF1399"/>
    <w:rsid w:val="00AF2979"/>
    <w:rsid w:val="00AF3780"/>
    <w:rsid w:val="00B02801"/>
    <w:rsid w:val="00B0338B"/>
    <w:rsid w:val="00B05A69"/>
    <w:rsid w:val="00B11BEF"/>
    <w:rsid w:val="00B129CD"/>
    <w:rsid w:val="00B12CD7"/>
    <w:rsid w:val="00B15707"/>
    <w:rsid w:val="00B15935"/>
    <w:rsid w:val="00B16E03"/>
    <w:rsid w:val="00B170D6"/>
    <w:rsid w:val="00B17783"/>
    <w:rsid w:val="00B17D9C"/>
    <w:rsid w:val="00B20633"/>
    <w:rsid w:val="00B209D4"/>
    <w:rsid w:val="00B227BC"/>
    <w:rsid w:val="00B22BC0"/>
    <w:rsid w:val="00B23737"/>
    <w:rsid w:val="00B2412F"/>
    <w:rsid w:val="00B24F96"/>
    <w:rsid w:val="00B250D0"/>
    <w:rsid w:val="00B2634B"/>
    <w:rsid w:val="00B3232C"/>
    <w:rsid w:val="00B33273"/>
    <w:rsid w:val="00B365FC"/>
    <w:rsid w:val="00B36CEC"/>
    <w:rsid w:val="00B409E9"/>
    <w:rsid w:val="00B51973"/>
    <w:rsid w:val="00B55958"/>
    <w:rsid w:val="00B601F0"/>
    <w:rsid w:val="00B65673"/>
    <w:rsid w:val="00B7018C"/>
    <w:rsid w:val="00B70223"/>
    <w:rsid w:val="00B708A8"/>
    <w:rsid w:val="00B7173D"/>
    <w:rsid w:val="00B7494B"/>
    <w:rsid w:val="00B75269"/>
    <w:rsid w:val="00B75281"/>
    <w:rsid w:val="00B75BCA"/>
    <w:rsid w:val="00B76083"/>
    <w:rsid w:val="00B7799A"/>
    <w:rsid w:val="00B8093E"/>
    <w:rsid w:val="00B822AC"/>
    <w:rsid w:val="00B82A9D"/>
    <w:rsid w:val="00B85CAE"/>
    <w:rsid w:val="00B87F6E"/>
    <w:rsid w:val="00B90E47"/>
    <w:rsid w:val="00B91019"/>
    <w:rsid w:val="00B92F1F"/>
    <w:rsid w:val="00B92F5E"/>
    <w:rsid w:val="00B9734B"/>
    <w:rsid w:val="00BA22D6"/>
    <w:rsid w:val="00BA30E2"/>
    <w:rsid w:val="00BA348D"/>
    <w:rsid w:val="00BA62FC"/>
    <w:rsid w:val="00BB0E08"/>
    <w:rsid w:val="00BB11D9"/>
    <w:rsid w:val="00BB1E9B"/>
    <w:rsid w:val="00BB21C8"/>
    <w:rsid w:val="00BB2312"/>
    <w:rsid w:val="00BB5A5A"/>
    <w:rsid w:val="00BB7D92"/>
    <w:rsid w:val="00BC0925"/>
    <w:rsid w:val="00BC1267"/>
    <w:rsid w:val="00BC172E"/>
    <w:rsid w:val="00BC6543"/>
    <w:rsid w:val="00BD0B7C"/>
    <w:rsid w:val="00BD6418"/>
    <w:rsid w:val="00BE1D92"/>
    <w:rsid w:val="00BE33BC"/>
    <w:rsid w:val="00BE6EDF"/>
    <w:rsid w:val="00BE7078"/>
    <w:rsid w:val="00BE73D1"/>
    <w:rsid w:val="00BF1689"/>
    <w:rsid w:val="00BF16F0"/>
    <w:rsid w:val="00BF1D4E"/>
    <w:rsid w:val="00BF4D62"/>
    <w:rsid w:val="00BF622A"/>
    <w:rsid w:val="00BF7A39"/>
    <w:rsid w:val="00C0041B"/>
    <w:rsid w:val="00C01E21"/>
    <w:rsid w:val="00C02DCA"/>
    <w:rsid w:val="00C0396C"/>
    <w:rsid w:val="00C053FF"/>
    <w:rsid w:val="00C11BFE"/>
    <w:rsid w:val="00C1223E"/>
    <w:rsid w:val="00C124DC"/>
    <w:rsid w:val="00C17588"/>
    <w:rsid w:val="00C17C52"/>
    <w:rsid w:val="00C23379"/>
    <w:rsid w:val="00C25618"/>
    <w:rsid w:val="00C274D7"/>
    <w:rsid w:val="00C3033F"/>
    <w:rsid w:val="00C307A5"/>
    <w:rsid w:val="00C308CB"/>
    <w:rsid w:val="00C31A2C"/>
    <w:rsid w:val="00C32317"/>
    <w:rsid w:val="00C35620"/>
    <w:rsid w:val="00C41E78"/>
    <w:rsid w:val="00C4224C"/>
    <w:rsid w:val="00C43C60"/>
    <w:rsid w:val="00C43CB4"/>
    <w:rsid w:val="00C44E81"/>
    <w:rsid w:val="00C46B12"/>
    <w:rsid w:val="00C5068F"/>
    <w:rsid w:val="00C53813"/>
    <w:rsid w:val="00C5437C"/>
    <w:rsid w:val="00C5455D"/>
    <w:rsid w:val="00C558D0"/>
    <w:rsid w:val="00C61062"/>
    <w:rsid w:val="00C61183"/>
    <w:rsid w:val="00C64AF6"/>
    <w:rsid w:val="00C65348"/>
    <w:rsid w:val="00C668ED"/>
    <w:rsid w:val="00C715E8"/>
    <w:rsid w:val="00C7367F"/>
    <w:rsid w:val="00C75045"/>
    <w:rsid w:val="00C765BA"/>
    <w:rsid w:val="00C80DAE"/>
    <w:rsid w:val="00C816E2"/>
    <w:rsid w:val="00C8278C"/>
    <w:rsid w:val="00C844BE"/>
    <w:rsid w:val="00C84D33"/>
    <w:rsid w:val="00C86D74"/>
    <w:rsid w:val="00C871E5"/>
    <w:rsid w:val="00C90461"/>
    <w:rsid w:val="00C93184"/>
    <w:rsid w:val="00C93983"/>
    <w:rsid w:val="00C94A70"/>
    <w:rsid w:val="00C95197"/>
    <w:rsid w:val="00C965B7"/>
    <w:rsid w:val="00C96BC5"/>
    <w:rsid w:val="00C979B5"/>
    <w:rsid w:val="00CA01C4"/>
    <w:rsid w:val="00CA33F3"/>
    <w:rsid w:val="00CA3BE7"/>
    <w:rsid w:val="00CA41A8"/>
    <w:rsid w:val="00CA55F0"/>
    <w:rsid w:val="00CA69D4"/>
    <w:rsid w:val="00CB08D9"/>
    <w:rsid w:val="00CB17DC"/>
    <w:rsid w:val="00CB337A"/>
    <w:rsid w:val="00CB3542"/>
    <w:rsid w:val="00CB362E"/>
    <w:rsid w:val="00CB5EF2"/>
    <w:rsid w:val="00CC113C"/>
    <w:rsid w:val="00CC3F53"/>
    <w:rsid w:val="00CC620E"/>
    <w:rsid w:val="00CC6D3E"/>
    <w:rsid w:val="00CD04F1"/>
    <w:rsid w:val="00CD0EC5"/>
    <w:rsid w:val="00CD447E"/>
    <w:rsid w:val="00CD4CC9"/>
    <w:rsid w:val="00CD624E"/>
    <w:rsid w:val="00CE050E"/>
    <w:rsid w:val="00CE4146"/>
    <w:rsid w:val="00CE4842"/>
    <w:rsid w:val="00CE575B"/>
    <w:rsid w:val="00CE642C"/>
    <w:rsid w:val="00CE6537"/>
    <w:rsid w:val="00CE6BD7"/>
    <w:rsid w:val="00CF1A78"/>
    <w:rsid w:val="00CF4270"/>
    <w:rsid w:val="00CF5EDD"/>
    <w:rsid w:val="00CF681A"/>
    <w:rsid w:val="00CF744B"/>
    <w:rsid w:val="00D01BEE"/>
    <w:rsid w:val="00D03EA0"/>
    <w:rsid w:val="00D04C9C"/>
    <w:rsid w:val="00D06ECF"/>
    <w:rsid w:val="00D07C78"/>
    <w:rsid w:val="00D1023B"/>
    <w:rsid w:val="00D11188"/>
    <w:rsid w:val="00D129A2"/>
    <w:rsid w:val="00D13999"/>
    <w:rsid w:val="00D173B8"/>
    <w:rsid w:val="00D21352"/>
    <w:rsid w:val="00D236A5"/>
    <w:rsid w:val="00D23C1C"/>
    <w:rsid w:val="00D25480"/>
    <w:rsid w:val="00D301AF"/>
    <w:rsid w:val="00D305BA"/>
    <w:rsid w:val="00D3268D"/>
    <w:rsid w:val="00D32887"/>
    <w:rsid w:val="00D33D16"/>
    <w:rsid w:val="00D34116"/>
    <w:rsid w:val="00D351C7"/>
    <w:rsid w:val="00D45252"/>
    <w:rsid w:val="00D4733C"/>
    <w:rsid w:val="00D47FE4"/>
    <w:rsid w:val="00D5023D"/>
    <w:rsid w:val="00D56594"/>
    <w:rsid w:val="00D6001A"/>
    <w:rsid w:val="00D61B5E"/>
    <w:rsid w:val="00D62562"/>
    <w:rsid w:val="00D62D67"/>
    <w:rsid w:val="00D6368E"/>
    <w:rsid w:val="00D63C5C"/>
    <w:rsid w:val="00D71B4D"/>
    <w:rsid w:val="00D7355D"/>
    <w:rsid w:val="00D73FC8"/>
    <w:rsid w:val="00D741A2"/>
    <w:rsid w:val="00D77D44"/>
    <w:rsid w:val="00D80074"/>
    <w:rsid w:val="00D809FD"/>
    <w:rsid w:val="00D83DC1"/>
    <w:rsid w:val="00D845F1"/>
    <w:rsid w:val="00D846D5"/>
    <w:rsid w:val="00D9184E"/>
    <w:rsid w:val="00D93D55"/>
    <w:rsid w:val="00D93F6D"/>
    <w:rsid w:val="00D94A9B"/>
    <w:rsid w:val="00D96D6A"/>
    <w:rsid w:val="00D970DC"/>
    <w:rsid w:val="00DA01C2"/>
    <w:rsid w:val="00DA56C7"/>
    <w:rsid w:val="00DB336B"/>
    <w:rsid w:val="00DB694A"/>
    <w:rsid w:val="00DC0370"/>
    <w:rsid w:val="00DC24EC"/>
    <w:rsid w:val="00DC57C6"/>
    <w:rsid w:val="00DC7B07"/>
    <w:rsid w:val="00DD3E97"/>
    <w:rsid w:val="00DD6B0E"/>
    <w:rsid w:val="00DD7B7F"/>
    <w:rsid w:val="00DE2269"/>
    <w:rsid w:val="00DE394D"/>
    <w:rsid w:val="00DE3BBF"/>
    <w:rsid w:val="00DE3E0C"/>
    <w:rsid w:val="00DE5CAE"/>
    <w:rsid w:val="00DE6CEB"/>
    <w:rsid w:val="00DE7DA7"/>
    <w:rsid w:val="00DE7E1E"/>
    <w:rsid w:val="00DF4AF1"/>
    <w:rsid w:val="00E0083A"/>
    <w:rsid w:val="00E0105B"/>
    <w:rsid w:val="00E02027"/>
    <w:rsid w:val="00E0626D"/>
    <w:rsid w:val="00E0644D"/>
    <w:rsid w:val="00E10D43"/>
    <w:rsid w:val="00E10EAE"/>
    <w:rsid w:val="00E1424C"/>
    <w:rsid w:val="00E14D25"/>
    <w:rsid w:val="00E15015"/>
    <w:rsid w:val="00E16ED2"/>
    <w:rsid w:val="00E16FEA"/>
    <w:rsid w:val="00E259C3"/>
    <w:rsid w:val="00E3019C"/>
    <w:rsid w:val="00E32B16"/>
    <w:rsid w:val="00E335FE"/>
    <w:rsid w:val="00E37665"/>
    <w:rsid w:val="00E41652"/>
    <w:rsid w:val="00E437E1"/>
    <w:rsid w:val="00E4458C"/>
    <w:rsid w:val="00E47803"/>
    <w:rsid w:val="00E47E02"/>
    <w:rsid w:val="00E50A30"/>
    <w:rsid w:val="00E5144A"/>
    <w:rsid w:val="00E51F5D"/>
    <w:rsid w:val="00E53490"/>
    <w:rsid w:val="00E55C84"/>
    <w:rsid w:val="00E60513"/>
    <w:rsid w:val="00E65304"/>
    <w:rsid w:val="00E676FB"/>
    <w:rsid w:val="00E74A3E"/>
    <w:rsid w:val="00E74D75"/>
    <w:rsid w:val="00E74D89"/>
    <w:rsid w:val="00E74FD4"/>
    <w:rsid w:val="00E752A8"/>
    <w:rsid w:val="00E76583"/>
    <w:rsid w:val="00E808C0"/>
    <w:rsid w:val="00E832A2"/>
    <w:rsid w:val="00E84238"/>
    <w:rsid w:val="00E87EB0"/>
    <w:rsid w:val="00E90850"/>
    <w:rsid w:val="00E90997"/>
    <w:rsid w:val="00E93A06"/>
    <w:rsid w:val="00E96445"/>
    <w:rsid w:val="00E967B7"/>
    <w:rsid w:val="00EA028E"/>
    <w:rsid w:val="00EA6140"/>
    <w:rsid w:val="00EA7D6E"/>
    <w:rsid w:val="00EB2F76"/>
    <w:rsid w:val="00EB3E1A"/>
    <w:rsid w:val="00EB567E"/>
    <w:rsid w:val="00EC4E49"/>
    <w:rsid w:val="00EC61F1"/>
    <w:rsid w:val="00EC7735"/>
    <w:rsid w:val="00ED0B56"/>
    <w:rsid w:val="00ED0F4C"/>
    <w:rsid w:val="00ED30C5"/>
    <w:rsid w:val="00ED3A15"/>
    <w:rsid w:val="00ED636E"/>
    <w:rsid w:val="00ED77FB"/>
    <w:rsid w:val="00EE45FA"/>
    <w:rsid w:val="00EE53F8"/>
    <w:rsid w:val="00EE7A8B"/>
    <w:rsid w:val="00EF4A05"/>
    <w:rsid w:val="00EF58B2"/>
    <w:rsid w:val="00EF6F83"/>
    <w:rsid w:val="00F01160"/>
    <w:rsid w:val="00F0277B"/>
    <w:rsid w:val="00F0390F"/>
    <w:rsid w:val="00F043DE"/>
    <w:rsid w:val="00F0451A"/>
    <w:rsid w:val="00F062F0"/>
    <w:rsid w:val="00F116F1"/>
    <w:rsid w:val="00F20B82"/>
    <w:rsid w:val="00F217CC"/>
    <w:rsid w:val="00F21960"/>
    <w:rsid w:val="00F236D9"/>
    <w:rsid w:val="00F249C0"/>
    <w:rsid w:val="00F24F0D"/>
    <w:rsid w:val="00F272E8"/>
    <w:rsid w:val="00F277D5"/>
    <w:rsid w:val="00F362BB"/>
    <w:rsid w:val="00F40886"/>
    <w:rsid w:val="00F4478C"/>
    <w:rsid w:val="00F45565"/>
    <w:rsid w:val="00F46A11"/>
    <w:rsid w:val="00F52CE2"/>
    <w:rsid w:val="00F620D5"/>
    <w:rsid w:val="00F631B4"/>
    <w:rsid w:val="00F64BB1"/>
    <w:rsid w:val="00F652AD"/>
    <w:rsid w:val="00F657DF"/>
    <w:rsid w:val="00F65CF1"/>
    <w:rsid w:val="00F66152"/>
    <w:rsid w:val="00F71F09"/>
    <w:rsid w:val="00F72FC9"/>
    <w:rsid w:val="00F736B0"/>
    <w:rsid w:val="00F75053"/>
    <w:rsid w:val="00F763D4"/>
    <w:rsid w:val="00F82156"/>
    <w:rsid w:val="00F85D10"/>
    <w:rsid w:val="00F85E97"/>
    <w:rsid w:val="00F87F84"/>
    <w:rsid w:val="00F9165B"/>
    <w:rsid w:val="00F93086"/>
    <w:rsid w:val="00F93631"/>
    <w:rsid w:val="00F953FF"/>
    <w:rsid w:val="00F96818"/>
    <w:rsid w:val="00F96D87"/>
    <w:rsid w:val="00FA3957"/>
    <w:rsid w:val="00FA4B1E"/>
    <w:rsid w:val="00FB1841"/>
    <w:rsid w:val="00FB344D"/>
    <w:rsid w:val="00FB3B81"/>
    <w:rsid w:val="00FB7100"/>
    <w:rsid w:val="00FC0155"/>
    <w:rsid w:val="00FC1072"/>
    <w:rsid w:val="00FC254A"/>
    <w:rsid w:val="00FC2D24"/>
    <w:rsid w:val="00FC7E97"/>
    <w:rsid w:val="00FC7FEC"/>
    <w:rsid w:val="00FD01E5"/>
    <w:rsid w:val="00FD073D"/>
    <w:rsid w:val="00FD4C9A"/>
    <w:rsid w:val="00FD61F4"/>
    <w:rsid w:val="00FE3AAF"/>
    <w:rsid w:val="00FE4AB7"/>
    <w:rsid w:val="00FE600B"/>
    <w:rsid w:val="00FF003D"/>
    <w:rsid w:val="00FF11BD"/>
    <w:rsid w:val="00FF1E25"/>
    <w:rsid w:val="00FF77C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F63C949"/>
  <w15:docId w15:val="{994A53AD-4999-4D92-A042-54AFF6C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2327F8"/>
    <w:pPr>
      <w:keepNext/>
      <w:spacing w:before="240" w:after="12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C46B12"/>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link w:val="CaptionChar"/>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1D01A8"/>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footnote text"/>
    <w:basedOn w:val="Normal"/>
    <w:link w:val="FootnoteTextChar"/>
    <w:qFormat/>
    <w:rsid w:val="00676C5C"/>
    <w:rPr>
      <w:sz w:val="18"/>
    </w:rPr>
  </w:style>
  <w:style w:type="paragraph" w:styleId="Header">
    <w:name w:val="header"/>
    <w:basedOn w:val="Normal"/>
    <w:link w:val="HeaderChar"/>
    <w:uiPriority w:val="99"/>
    <w:rsid w:val="001D01A8"/>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qForma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nhideWhenUsed/>
    <w:rsid w:val="006961B9"/>
    <w:rPr>
      <w:rFonts w:ascii="Segoe UI" w:hAnsi="Segoe UI" w:cs="Segoe UI"/>
      <w:sz w:val="18"/>
      <w:szCs w:val="18"/>
    </w:rPr>
  </w:style>
  <w:style w:type="character" w:customStyle="1" w:styleId="BalloonTextChar">
    <w:name w:val="Balloon Text Char"/>
    <w:basedOn w:val="DefaultParagraphFont"/>
    <w:link w:val="BalloonText"/>
    <w:rsid w:val="006961B9"/>
    <w:rPr>
      <w:rFonts w:ascii="Segoe UI" w:eastAsia="SimSun" w:hAnsi="Segoe UI" w:cs="Segoe UI"/>
      <w:sz w:val="18"/>
      <w:szCs w:val="18"/>
      <w:lang w:val="en-US" w:eastAsia="zh-CN"/>
    </w:rPr>
  </w:style>
  <w:style w:type="character" w:customStyle="1" w:styleId="ONUMEChar">
    <w:name w:val="ONUM E Char"/>
    <w:link w:val="ONUME"/>
    <w:locked/>
    <w:rsid w:val="00FC7E97"/>
    <w:rPr>
      <w:rFonts w:ascii="Arial" w:eastAsia="SimSun" w:hAnsi="Arial" w:cs="Arial"/>
      <w:sz w:val="22"/>
      <w:lang w:val="en-US" w:eastAsia="zh-CN"/>
    </w:rPr>
  </w:style>
  <w:style w:type="character" w:customStyle="1" w:styleId="Heading5Char">
    <w:name w:val="Heading 5 Char"/>
    <w:basedOn w:val="DefaultParagraphFont"/>
    <w:link w:val="Heading5"/>
    <w:rsid w:val="00C46B12"/>
    <w:rPr>
      <w:rFonts w:ascii="Arial" w:eastAsiaTheme="majorEastAsia" w:hAnsi="Arial" w:cstheme="majorBidi"/>
      <w:i/>
      <w:sz w:val="22"/>
      <w:lang w:val="en-US" w:eastAsia="zh-CN"/>
    </w:rPr>
  </w:style>
  <w:style w:type="character" w:customStyle="1" w:styleId="Heading2Char">
    <w:name w:val="Heading 2 Char"/>
    <w:link w:val="Heading2"/>
    <w:locked/>
    <w:rsid w:val="002327F8"/>
    <w:rPr>
      <w:rFonts w:ascii="Arial" w:eastAsia="SimSun" w:hAnsi="Arial" w:cs="Arial"/>
      <w:bCs/>
      <w:iCs/>
      <w:caps/>
      <w:sz w:val="22"/>
      <w:szCs w:val="28"/>
      <w:lang w:val="en-US" w:eastAsia="zh-CN"/>
    </w:rPr>
  </w:style>
  <w:style w:type="character" w:customStyle="1" w:styleId="BodyTextChar">
    <w:name w:val="Body Text Char"/>
    <w:basedOn w:val="DefaultParagraphFont"/>
    <w:link w:val="BodyText"/>
    <w:rsid w:val="00C46B12"/>
    <w:rPr>
      <w:rFonts w:ascii="Arial" w:eastAsia="SimSun" w:hAnsi="Arial" w:cs="Arial"/>
      <w:sz w:val="22"/>
      <w:lang w:val="en-US" w:eastAsia="zh-CN"/>
    </w:rPr>
  </w:style>
  <w:style w:type="character" w:customStyle="1" w:styleId="CaptionChar">
    <w:name w:val="Caption Char"/>
    <w:basedOn w:val="DefaultParagraphFont"/>
    <w:link w:val="Caption"/>
    <w:rsid w:val="00C46B12"/>
    <w:rPr>
      <w:rFonts w:ascii="Arial" w:eastAsia="SimSun" w:hAnsi="Arial" w:cs="Arial"/>
      <w:b/>
      <w:bCs/>
      <w:sz w:val="18"/>
      <w:lang w:val="en-US" w:eastAsia="zh-CN"/>
    </w:rPr>
  </w:style>
  <w:style w:type="character" w:customStyle="1" w:styleId="CommentTextChar">
    <w:name w:val="Comment Text Char"/>
    <w:basedOn w:val="DefaultParagraphFont"/>
    <w:semiHidden/>
    <w:rsid w:val="00C46B12"/>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C46B12"/>
    <w:rPr>
      <w:rFonts w:ascii="Arial" w:eastAsia="SimSun" w:hAnsi="Arial" w:cs="Arial"/>
      <w:sz w:val="18"/>
      <w:lang w:val="en-US" w:eastAsia="zh-CN"/>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locked/>
    <w:rsid w:val="00C46B12"/>
    <w:rPr>
      <w:rFonts w:ascii="Arial" w:eastAsia="SimSun" w:hAnsi="Arial" w:cs="Arial"/>
      <w:sz w:val="18"/>
      <w:lang w:val="en-US" w:eastAsia="zh-CN"/>
    </w:rPr>
  </w:style>
  <w:style w:type="character" w:customStyle="1" w:styleId="HeaderChar">
    <w:name w:val="Header Char"/>
    <w:link w:val="Header"/>
    <w:uiPriority w:val="99"/>
    <w:locked/>
    <w:rsid w:val="00C46B12"/>
    <w:rPr>
      <w:rFonts w:ascii="Arial" w:eastAsia="SimSun" w:hAnsi="Arial" w:cs="Arial"/>
      <w:sz w:val="22"/>
      <w:lang w:val="en-US" w:eastAsia="zh-CN"/>
    </w:rPr>
  </w:style>
  <w:style w:type="paragraph" w:styleId="NoSpacing">
    <w:name w:val="No Spacing"/>
    <w:uiPriority w:val="1"/>
    <w:qFormat/>
    <w:rsid w:val="00C46B12"/>
    <w:rPr>
      <w:rFonts w:ascii="Arial" w:eastAsia="SimSun" w:hAnsi="Arial" w:cs="Arial"/>
      <w:sz w:val="22"/>
      <w:lang w:val="en-US" w:eastAsia="zh-CN"/>
    </w:rPr>
  </w:style>
  <w:style w:type="paragraph" w:styleId="TOC1">
    <w:name w:val="toc 1"/>
    <w:basedOn w:val="Normal"/>
    <w:next w:val="Normal"/>
    <w:autoRedefine/>
    <w:uiPriority w:val="39"/>
    <w:qFormat/>
    <w:rsid w:val="00C46B12"/>
    <w:pPr>
      <w:tabs>
        <w:tab w:val="left" w:pos="440"/>
        <w:tab w:val="right" w:leader="dot" w:pos="9345"/>
      </w:tabs>
      <w:spacing w:before="240" w:after="240"/>
    </w:pPr>
  </w:style>
  <w:style w:type="character" w:styleId="Hyperlink">
    <w:name w:val="Hyperlink"/>
    <w:basedOn w:val="DefaultParagraphFont"/>
    <w:uiPriority w:val="99"/>
    <w:rsid w:val="00C46B12"/>
    <w:rPr>
      <w:rFonts w:cs="Times New Roman"/>
      <w:color w:val="0000FF"/>
      <w:u w:val="single"/>
    </w:rPr>
  </w:style>
  <w:style w:type="table" w:styleId="TableGrid">
    <w:name w:val="Table Grid"/>
    <w:basedOn w:val="TableNormal"/>
    <w:uiPriority w:val="59"/>
    <w:rsid w:val="00C46B12"/>
    <w:pPr>
      <w:spacing w:after="120" w:line="260" w:lineRule="exact"/>
      <w:ind w:left="1021"/>
    </w:pPr>
    <w:rPr>
      <w:lang w:val="en-US"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callout"/>
    <w:basedOn w:val="DefaultParagraphFont"/>
    <w:link w:val="BVIfnrTegnCharTegnChar"/>
    <w:qFormat/>
    <w:rsid w:val="00C46B12"/>
    <w:rPr>
      <w:vertAlign w:val="superscript"/>
    </w:rPr>
  </w:style>
  <w:style w:type="paragraph" w:styleId="PlainText">
    <w:name w:val="Plain Text"/>
    <w:basedOn w:val="Normal"/>
    <w:link w:val="PlainTextChar"/>
    <w:uiPriority w:val="99"/>
    <w:rsid w:val="00C46B12"/>
    <w:rPr>
      <w:rFonts w:ascii="Courier New" w:hAnsi="Courier New" w:cs="Courier New"/>
      <w:sz w:val="20"/>
    </w:rPr>
  </w:style>
  <w:style w:type="character" w:customStyle="1" w:styleId="PlainTextChar">
    <w:name w:val="Plain Text Char"/>
    <w:basedOn w:val="DefaultParagraphFont"/>
    <w:link w:val="PlainText"/>
    <w:uiPriority w:val="99"/>
    <w:rsid w:val="00C46B12"/>
    <w:rPr>
      <w:rFonts w:ascii="Courier New" w:eastAsia="SimSun" w:hAnsi="Courier New" w:cs="Courier New"/>
      <w:lang w:val="en-US" w:eastAsia="zh-CN"/>
    </w:rPr>
  </w:style>
  <w:style w:type="paragraph" w:styleId="ListParagraph">
    <w:name w:val="List Paragraph"/>
    <w:aliases w:val="MCHIP_list paragraph,Recommendation,List Paragraph (numbered (a)),Dot pt,F5 List Paragraph,No Spacing1,List Paragraph Char Char Char,Indicator Text,Numbered Para 1,MAIN CONTENT,Bullet 1,Colorful List - Accent 11,References,List Paragraph1"/>
    <w:basedOn w:val="Normal"/>
    <w:link w:val="ListParagraphChar"/>
    <w:uiPriority w:val="34"/>
    <w:qFormat/>
    <w:rsid w:val="00C46B12"/>
    <w:pPr>
      <w:ind w:left="720"/>
      <w:contextualSpacing/>
    </w:pPr>
  </w:style>
  <w:style w:type="character" w:customStyle="1" w:styleId="ListParagraphChar">
    <w:name w:val="List Paragraph Char"/>
    <w:aliases w:val="MCHIP_list paragraph Char,Recommendation Char,List Paragraph (numbered (a)) Char,Dot pt Char,F5 List Paragraph Char,No Spacing1 Char,List Paragraph Char Char Char Char,Indicator Text Char,Numbered Para 1 Char,MAIN CONTENT Char"/>
    <w:basedOn w:val="DefaultParagraphFont"/>
    <w:link w:val="ListParagraph"/>
    <w:uiPriority w:val="34"/>
    <w:rsid w:val="00C46B12"/>
    <w:rPr>
      <w:rFonts w:ascii="Arial" w:eastAsia="SimSun" w:hAnsi="Arial" w:cs="Arial"/>
      <w:sz w:val="22"/>
      <w:lang w:val="en-US" w:eastAsia="zh-CN"/>
    </w:rPr>
  </w:style>
  <w:style w:type="character" w:styleId="CommentReference">
    <w:name w:val="annotation reference"/>
    <w:basedOn w:val="DefaultParagraphFont"/>
    <w:rsid w:val="00C46B12"/>
    <w:rPr>
      <w:sz w:val="16"/>
      <w:szCs w:val="16"/>
    </w:rPr>
  </w:style>
  <w:style w:type="paragraph" w:styleId="CommentSubject">
    <w:name w:val="annotation subject"/>
    <w:basedOn w:val="CommentText"/>
    <w:next w:val="CommentText"/>
    <w:link w:val="CommentSubjectChar"/>
    <w:rsid w:val="00C46B12"/>
    <w:rPr>
      <w:b/>
      <w:bCs/>
      <w:sz w:val="20"/>
    </w:rPr>
  </w:style>
  <w:style w:type="character" w:customStyle="1" w:styleId="CommentTextChar1">
    <w:name w:val="Comment Text Char1"/>
    <w:basedOn w:val="DefaultParagraphFont"/>
    <w:link w:val="CommentText"/>
    <w:semiHidden/>
    <w:rsid w:val="00C46B12"/>
    <w:rPr>
      <w:rFonts w:ascii="Arial" w:eastAsia="SimSun" w:hAnsi="Arial" w:cs="Arial"/>
      <w:sz w:val="18"/>
      <w:lang w:val="en-US" w:eastAsia="zh-CN"/>
    </w:rPr>
  </w:style>
  <w:style w:type="character" w:customStyle="1" w:styleId="CommentSubjectChar">
    <w:name w:val="Comment Subject Char"/>
    <w:basedOn w:val="CommentTextChar1"/>
    <w:link w:val="CommentSubject"/>
    <w:rsid w:val="00C46B12"/>
    <w:rPr>
      <w:rFonts w:ascii="Arial" w:eastAsia="SimSun" w:hAnsi="Arial" w:cs="Arial"/>
      <w:b/>
      <w:bCs/>
      <w:sz w:val="18"/>
      <w:lang w:val="en-US" w:eastAsia="zh-CN"/>
    </w:rPr>
  </w:style>
  <w:style w:type="character" w:styleId="EndnoteReference">
    <w:name w:val="endnote reference"/>
    <w:basedOn w:val="DefaultParagraphFont"/>
    <w:rsid w:val="00C46B12"/>
    <w:rPr>
      <w:vertAlign w:val="superscript"/>
    </w:rPr>
  </w:style>
  <w:style w:type="paragraph" w:styleId="NormalWeb">
    <w:name w:val="Normal (Web)"/>
    <w:basedOn w:val="Normal"/>
    <w:uiPriority w:val="99"/>
    <w:rsid w:val="00C46B12"/>
    <w:pPr>
      <w:spacing w:before="100" w:beforeAutospacing="1" w:after="100" w:afterAutospacing="1"/>
    </w:pPr>
    <w:rPr>
      <w:rFonts w:eastAsia="Times New Roman"/>
      <w:sz w:val="18"/>
      <w:szCs w:val="18"/>
      <w:lang w:eastAsia="en-US"/>
    </w:rPr>
  </w:style>
  <w:style w:type="character" w:customStyle="1" w:styleId="ONUMECharChar">
    <w:name w:val="ONUM E Char Char"/>
    <w:locked/>
    <w:rsid w:val="00C46B12"/>
    <w:rPr>
      <w:rFonts w:ascii="Arial" w:hAnsi="Arial"/>
      <w:sz w:val="22"/>
      <w:lang w:val="x-none" w:eastAsia="x-none"/>
    </w:rPr>
  </w:style>
  <w:style w:type="character" w:customStyle="1" w:styleId="apple-converted-space">
    <w:name w:val="apple-converted-space"/>
    <w:basedOn w:val="DefaultParagraphFont"/>
    <w:rsid w:val="00C46B12"/>
  </w:style>
  <w:style w:type="paragraph" w:customStyle="1" w:styleId="Default">
    <w:name w:val="Default"/>
    <w:rsid w:val="00C46B12"/>
    <w:pPr>
      <w:autoSpaceDE w:val="0"/>
      <w:autoSpaceDN w:val="0"/>
      <w:adjustRightInd w:val="0"/>
    </w:pPr>
    <w:rPr>
      <w:rFonts w:ascii="Arial" w:hAnsi="Arial" w:cs="Arial"/>
      <w:color w:val="000000"/>
      <w:sz w:val="24"/>
      <w:szCs w:val="24"/>
      <w:lang w:val="en-US" w:eastAsia="en-US"/>
    </w:rPr>
  </w:style>
  <w:style w:type="paragraph" w:styleId="TOC2">
    <w:name w:val="toc 2"/>
    <w:basedOn w:val="Normal"/>
    <w:next w:val="Normal"/>
    <w:autoRedefine/>
    <w:uiPriority w:val="39"/>
    <w:unhideWhenUsed/>
    <w:qFormat/>
    <w:rsid w:val="00C46B12"/>
    <w:pPr>
      <w:spacing w:after="100"/>
      <w:ind w:left="220"/>
    </w:pPr>
  </w:style>
  <w:style w:type="paragraph" w:customStyle="1" w:styleId="Heading11">
    <w:name w:val="Heading 1.1"/>
    <w:basedOn w:val="Heading1"/>
    <w:qFormat/>
    <w:rsid w:val="00C46B12"/>
    <w:pPr>
      <w:numPr>
        <w:numId w:val="7"/>
      </w:numPr>
      <w:spacing w:before="480"/>
    </w:pPr>
    <w:rPr>
      <w:lang w:val="pt-PT"/>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rsid w:val="00C46B12"/>
    <w:pPr>
      <w:spacing w:after="160" w:line="240" w:lineRule="atLeast"/>
    </w:pPr>
    <w:rPr>
      <w:rFonts w:ascii="Times New Roman" w:eastAsia="Times New Roman" w:hAnsi="Times New Roman" w:cs="Times New Roman"/>
      <w:sz w:val="20"/>
      <w:vertAlign w:val="superscript"/>
      <w:lang w:val="fr-CH" w:eastAsia="fr-CH"/>
    </w:rPr>
  </w:style>
  <w:style w:type="paragraph" w:styleId="Revision">
    <w:name w:val="Revision"/>
    <w:hidden/>
    <w:uiPriority w:val="99"/>
    <w:semiHidden/>
    <w:rsid w:val="00C46B12"/>
    <w:rPr>
      <w:rFonts w:ascii="Arial" w:eastAsia="SimSun" w:hAnsi="Arial" w:cs="Arial"/>
      <w:sz w:val="22"/>
      <w:lang w:val="en-US" w:eastAsia="zh-CN"/>
    </w:rPr>
  </w:style>
  <w:style w:type="character" w:customStyle="1" w:styleId="Heading1Char">
    <w:name w:val="Heading 1 Char"/>
    <w:basedOn w:val="DefaultParagraphFont"/>
    <w:link w:val="Heading1"/>
    <w:rsid w:val="00C46B12"/>
    <w:rPr>
      <w:rFonts w:ascii="Arial" w:eastAsia="SimSun" w:hAnsi="Arial" w:cs="Arial"/>
      <w:b/>
      <w:bCs/>
      <w:caps/>
      <w:kern w:val="32"/>
      <w:sz w:val="22"/>
      <w:szCs w:val="32"/>
      <w:lang w:val="en-US" w:eastAsia="zh-CN"/>
    </w:rPr>
  </w:style>
  <w:style w:type="table" w:styleId="GridTable6Colorful-Accent1">
    <w:name w:val="Grid Table 6 Colorful Accent 1"/>
    <w:basedOn w:val="TableNormal"/>
    <w:uiPriority w:val="51"/>
    <w:rsid w:val="00C46B1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C46B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6B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AndChartTitle">
    <w:name w:val="TableAndChartTitle"/>
    <w:basedOn w:val="Normal"/>
    <w:next w:val="Normal"/>
    <w:uiPriority w:val="14"/>
    <w:qFormat/>
    <w:rsid w:val="00B87F6E"/>
    <w:pPr>
      <w:keepNext/>
      <w:keepLines/>
      <w:spacing w:before="240" w:after="60" w:line="220" w:lineRule="atLeast"/>
      <w:jc w:val="center"/>
    </w:pPr>
    <w:rPr>
      <w:rFonts w:eastAsiaTheme="minorHAnsi" w:cstheme="minorBidi"/>
      <w:b/>
      <w:color w:val="1F497D" w:themeColor="text2"/>
      <w:sz w:val="18"/>
      <w:szCs w:val="22"/>
      <w:lang w:val="en-GB" w:eastAsia="en-US"/>
    </w:rPr>
  </w:style>
  <w:style w:type="paragraph" w:customStyle="1" w:styleId="TableAndChartTitleAddText">
    <w:name w:val="TableAndChartTitleAddText"/>
    <w:basedOn w:val="Normal"/>
    <w:next w:val="Normal"/>
    <w:uiPriority w:val="15"/>
    <w:qFormat/>
    <w:rsid w:val="00B87F6E"/>
    <w:pPr>
      <w:keepNext/>
      <w:keepLines/>
      <w:spacing w:before="60" w:after="180" w:line="220" w:lineRule="atLeast"/>
      <w:jc w:val="center"/>
    </w:pPr>
    <w:rPr>
      <w:rFonts w:eastAsiaTheme="minorHAnsi" w:cstheme="minorBidi"/>
      <w:i/>
      <w:sz w:val="18"/>
      <w:szCs w:val="22"/>
      <w:lang w:val="en-GB" w:eastAsia="en-US"/>
    </w:rPr>
  </w:style>
  <w:style w:type="character" w:customStyle="1" w:styleId="FooterChar">
    <w:name w:val="Footer Char"/>
    <w:basedOn w:val="DefaultParagraphFont"/>
    <w:link w:val="Footer"/>
    <w:rsid w:val="00772E15"/>
    <w:rPr>
      <w:rFonts w:ascii="Arial" w:eastAsia="SimSun" w:hAnsi="Arial" w:cs="Arial"/>
      <w:sz w:val="22"/>
      <w:lang w:val="en-US" w:eastAsia="zh-CN"/>
    </w:rPr>
  </w:style>
  <w:style w:type="character" w:styleId="FollowedHyperlink">
    <w:name w:val="FollowedHyperlink"/>
    <w:basedOn w:val="DefaultParagraphFont"/>
    <w:semiHidden/>
    <w:unhideWhenUsed/>
    <w:rsid w:val="00653C33"/>
    <w:rPr>
      <w:color w:val="800080" w:themeColor="followedHyperlink"/>
      <w:u w:val="single"/>
    </w:rPr>
  </w:style>
  <w:style w:type="paragraph" w:styleId="TOCHeading">
    <w:name w:val="TOC Heading"/>
    <w:basedOn w:val="Heading1"/>
    <w:next w:val="Normal"/>
    <w:uiPriority w:val="39"/>
    <w:unhideWhenUsed/>
    <w:qFormat/>
    <w:rsid w:val="007159D2"/>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character" w:customStyle="1" w:styleId="pwa-mark">
    <w:name w:val="pwa-mark"/>
    <w:basedOn w:val="DefaultParagraphFont"/>
    <w:rsid w:val="008053D2"/>
  </w:style>
  <w:style w:type="paragraph" w:styleId="MacroText">
    <w:name w:val="macro"/>
    <w:link w:val="MacroTextChar"/>
    <w:semiHidden/>
    <w:rsid w:val="0077597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775974"/>
    <w:rPr>
      <w:rFonts w:ascii="Courier New" w:hAnsi="Courier New"/>
      <w:sz w:val="16"/>
      <w:lang w:val="en-US" w:eastAsia="en-US"/>
    </w:rPr>
  </w:style>
  <w:style w:type="table" w:styleId="GridTable5Dark-Accent1">
    <w:name w:val="Grid Table 5 Dark Accent 1"/>
    <w:basedOn w:val="TableNormal"/>
    <w:uiPriority w:val="50"/>
    <w:rsid w:val="005328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5328C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2903">
      <w:bodyDiv w:val="1"/>
      <w:marLeft w:val="0"/>
      <w:marRight w:val="0"/>
      <w:marTop w:val="0"/>
      <w:marBottom w:val="0"/>
      <w:divBdr>
        <w:top w:val="none" w:sz="0" w:space="0" w:color="auto"/>
        <w:left w:val="none" w:sz="0" w:space="0" w:color="auto"/>
        <w:bottom w:val="none" w:sz="0" w:space="0" w:color="auto"/>
        <w:right w:val="none" w:sz="0" w:space="0" w:color="auto"/>
      </w:divBdr>
    </w:div>
    <w:div w:id="87770720">
      <w:bodyDiv w:val="1"/>
      <w:marLeft w:val="0"/>
      <w:marRight w:val="0"/>
      <w:marTop w:val="0"/>
      <w:marBottom w:val="0"/>
      <w:divBdr>
        <w:top w:val="none" w:sz="0" w:space="0" w:color="auto"/>
        <w:left w:val="none" w:sz="0" w:space="0" w:color="auto"/>
        <w:bottom w:val="none" w:sz="0" w:space="0" w:color="auto"/>
        <w:right w:val="none" w:sz="0" w:space="0" w:color="auto"/>
      </w:divBdr>
    </w:div>
    <w:div w:id="122500552">
      <w:bodyDiv w:val="1"/>
      <w:marLeft w:val="0"/>
      <w:marRight w:val="0"/>
      <w:marTop w:val="0"/>
      <w:marBottom w:val="0"/>
      <w:divBdr>
        <w:top w:val="none" w:sz="0" w:space="0" w:color="auto"/>
        <w:left w:val="none" w:sz="0" w:space="0" w:color="auto"/>
        <w:bottom w:val="none" w:sz="0" w:space="0" w:color="auto"/>
        <w:right w:val="none" w:sz="0" w:space="0" w:color="auto"/>
      </w:divBdr>
    </w:div>
    <w:div w:id="239950792">
      <w:bodyDiv w:val="1"/>
      <w:marLeft w:val="0"/>
      <w:marRight w:val="0"/>
      <w:marTop w:val="0"/>
      <w:marBottom w:val="0"/>
      <w:divBdr>
        <w:top w:val="none" w:sz="0" w:space="0" w:color="auto"/>
        <w:left w:val="none" w:sz="0" w:space="0" w:color="auto"/>
        <w:bottom w:val="none" w:sz="0" w:space="0" w:color="auto"/>
        <w:right w:val="none" w:sz="0" w:space="0" w:color="auto"/>
      </w:divBdr>
    </w:div>
    <w:div w:id="321547592">
      <w:bodyDiv w:val="1"/>
      <w:marLeft w:val="0"/>
      <w:marRight w:val="0"/>
      <w:marTop w:val="0"/>
      <w:marBottom w:val="0"/>
      <w:divBdr>
        <w:top w:val="none" w:sz="0" w:space="0" w:color="auto"/>
        <w:left w:val="none" w:sz="0" w:space="0" w:color="auto"/>
        <w:bottom w:val="none" w:sz="0" w:space="0" w:color="auto"/>
        <w:right w:val="none" w:sz="0" w:space="0" w:color="auto"/>
      </w:divBdr>
    </w:div>
    <w:div w:id="329063303">
      <w:bodyDiv w:val="1"/>
      <w:marLeft w:val="0"/>
      <w:marRight w:val="0"/>
      <w:marTop w:val="0"/>
      <w:marBottom w:val="0"/>
      <w:divBdr>
        <w:top w:val="none" w:sz="0" w:space="0" w:color="auto"/>
        <w:left w:val="none" w:sz="0" w:space="0" w:color="auto"/>
        <w:bottom w:val="none" w:sz="0" w:space="0" w:color="auto"/>
        <w:right w:val="none" w:sz="0" w:space="0" w:color="auto"/>
      </w:divBdr>
    </w:div>
    <w:div w:id="354431318">
      <w:bodyDiv w:val="1"/>
      <w:marLeft w:val="0"/>
      <w:marRight w:val="0"/>
      <w:marTop w:val="0"/>
      <w:marBottom w:val="0"/>
      <w:divBdr>
        <w:top w:val="none" w:sz="0" w:space="0" w:color="auto"/>
        <w:left w:val="none" w:sz="0" w:space="0" w:color="auto"/>
        <w:bottom w:val="none" w:sz="0" w:space="0" w:color="auto"/>
        <w:right w:val="none" w:sz="0" w:space="0" w:color="auto"/>
      </w:divBdr>
    </w:div>
    <w:div w:id="508258493">
      <w:bodyDiv w:val="1"/>
      <w:marLeft w:val="0"/>
      <w:marRight w:val="0"/>
      <w:marTop w:val="0"/>
      <w:marBottom w:val="0"/>
      <w:divBdr>
        <w:top w:val="none" w:sz="0" w:space="0" w:color="auto"/>
        <w:left w:val="none" w:sz="0" w:space="0" w:color="auto"/>
        <w:bottom w:val="none" w:sz="0" w:space="0" w:color="auto"/>
        <w:right w:val="none" w:sz="0" w:space="0" w:color="auto"/>
      </w:divBdr>
      <w:divsChild>
        <w:div w:id="291716695">
          <w:marLeft w:val="0"/>
          <w:marRight w:val="0"/>
          <w:marTop w:val="0"/>
          <w:marBottom w:val="0"/>
          <w:divBdr>
            <w:top w:val="none" w:sz="0" w:space="0" w:color="auto"/>
            <w:left w:val="none" w:sz="0" w:space="0" w:color="auto"/>
            <w:bottom w:val="none" w:sz="0" w:space="0" w:color="auto"/>
            <w:right w:val="none" w:sz="0" w:space="0" w:color="auto"/>
          </w:divBdr>
          <w:divsChild>
            <w:div w:id="21058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7053">
      <w:bodyDiv w:val="1"/>
      <w:marLeft w:val="0"/>
      <w:marRight w:val="0"/>
      <w:marTop w:val="0"/>
      <w:marBottom w:val="0"/>
      <w:divBdr>
        <w:top w:val="none" w:sz="0" w:space="0" w:color="auto"/>
        <w:left w:val="none" w:sz="0" w:space="0" w:color="auto"/>
        <w:bottom w:val="none" w:sz="0" w:space="0" w:color="auto"/>
        <w:right w:val="none" w:sz="0" w:space="0" w:color="auto"/>
      </w:divBdr>
    </w:div>
    <w:div w:id="616714419">
      <w:bodyDiv w:val="1"/>
      <w:marLeft w:val="0"/>
      <w:marRight w:val="0"/>
      <w:marTop w:val="0"/>
      <w:marBottom w:val="0"/>
      <w:divBdr>
        <w:top w:val="none" w:sz="0" w:space="0" w:color="auto"/>
        <w:left w:val="none" w:sz="0" w:space="0" w:color="auto"/>
        <w:bottom w:val="none" w:sz="0" w:space="0" w:color="auto"/>
        <w:right w:val="none" w:sz="0" w:space="0" w:color="auto"/>
      </w:divBdr>
    </w:div>
    <w:div w:id="617952510">
      <w:bodyDiv w:val="1"/>
      <w:marLeft w:val="0"/>
      <w:marRight w:val="0"/>
      <w:marTop w:val="0"/>
      <w:marBottom w:val="0"/>
      <w:divBdr>
        <w:top w:val="none" w:sz="0" w:space="0" w:color="auto"/>
        <w:left w:val="none" w:sz="0" w:space="0" w:color="auto"/>
        <w:bottom w:val="none" w:sz="0" w:space="0" w:color="auto"/>
        <w:right w:val="none" w:sz="0" w:space="0" w:color="auto"/>
      </w:divBdr>
    </w:div>
    <w:div w:id="639850159">
      <w:bodyDiv w:val="1"/>
      <w:marLeft w:val="0"/>
      <w:marRight w:val="0"/>
      <w:marTop w:val="0"/>
      <w:marBottom w:val="0"/>
      <w:divBdr>
        <w:top w:val="none" w:sz="0" w:space="0" w:color="auto"/>
        <w:left w:val="none" w:sz="0" w:space="0" w:color="auto"/>
        <w:bottom w:val="none" w:sz="0" w:space="0" w:color="auto"/>
        <w:right w:val="none" w:sz="0" w:space="0" w:color="auto"/>
      </w:divBdr>
    </w:div>
    <w:div w:id="707996496">
      <w:bodyDiv w:val="1"/>
      <w:marLeft w:val="0"/>
      <w:marRight w:val="0"/>
      <w:marTop w:val="0"/>
      <w:marBottom w:val="0"/>
      <w:divBdr>
        <w:top w:val="none" w:sz="0" w:space="0" w:color="auto"/>
        <w:left w:val="none" w:sz="0" w:space="0" w:color="auto"/>
        <w:bottom w:val="none" w:sz="0" w:space="0" w:color="auto"/>
        <w:right w:val="none" w:sz="0" w:space="0" w:color="auto"/>
      </w:divBdr>
    </w:div>
    <w:div w:id="822544718">
      <w:bodyDiv w:val="1"/>
      <w:marLeft w:val="0"/>
      <w:marRight w:val="0"/>
      <w:marTop w:val="0"/>
      <w:marBottom w:val="0"/>
      <w:divBdr>
        <w:top w:val="none" w:sz="0" w:space="0" w:color="auto"/>
        <w:left w:val="none" w:sz="0" w:space="0" w:color="auto"/>
        <w:bottom w:val="none" w:sz="0" w:space="0" w:color="auto"/>
        <w:right w:val="none" w:sz="0" w:space="0" w:color="auto"/>
      </w:divBdr>
    </w:div>
    <w:div w:id="1015302631">
      <w:bodyDiv w:val="1"/>
      <w:marLeft w:val="0"/>
      <w:marRight w:val="0"/>
      <w:marTop w:val="0"/>
      <w:marBottom w:val="0"/>
      <w:divBdr>
        <w:top w:val="none" w:sz="0" w:space="0" w:color="auto"/>
        <w:left w:val="none" w:sz="0" w:space="0" w:color="auto"/>
        <w:bottom w:val="none" w:sz="0" w:space="0" w:color="auto"/>
        <w:right w:val="none" w:sz="0" w:space="0" w:color="auto"/>
      </w:divBdr>
      <w:divsChild>
        <w:div w:id="114061733">
          <w:marLeft w:val="0"/>
          <w:marRight w:val="0"/>
          <w:marTop w:val="0"/>
          <w:marBottom w:val="0"/>
          <w:divBdr>
            <w:top w:val="none" w:sz="0" w:space="0" w:color="auto"/>
            <w:left w:val="none" w:sz="0" w:space="0" w:color="auto"/>
            <w:bottom w:val="none" w:sz="0" w:space="0" w:color="auto"/>
            <w:right w:val="none" w:sz="0" w:space="0" w:color="auto"/>
          </w:divBdr>
          <w:divsChild>
            <w:div w:id="9690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6192">
      <w:bodyDiv w:val="1"/>
      <w:marLeft w:val="0"/>
      <w:marRight w:val="0"/>
      <w:marTop w:val="0"/>
      <w:marBottom w:val="0"/>
      <w:divBdr>
        <w:top w:val="none" w:sz="0" w:space="0" w:color="auto"/>
        <w:left w:val="none" w:sz="0" w:space="0" w:color="auto"/>
        <w:bottom w:val="none" w:sz="0" w:space="0" w:color="auto"/>
        <w:right w:val="none" w:sz="0" w:space="0" w:color="auto"/>
      </w:divBdr>
    </w:div>
    <w:div w:id="1370648801">
      <w:bodyDiv w:val="1"/>
      <w:marLeft w:val="0"/>
      <w:marRight w:val="0"/>
      <w:marTop w:val="0"/>
      <w:marBottom w:val="0"/>
      <w:divBdr>
        <w:top w:val="none" w:sz="0" w:space="0" w:color="auto"/>
        <w:left w:val="none" w:sz="0" w:space="0" w:color="auto"/>
        <w:bottom w:val="none" w:sz="0" w:space="0" w:color="auto"/>
        <w:right w:val="none" w:sz="0" w:space="0" w:color="auto"/>
      </w:divBdr>
    </w:div>
    <w:div w:id="1729723368">
      <w:bodyDiv w:val="1"/>
      <w:marLeft w:val="0"/>
      <w:marRight w:val="0"/>
      <w:marTop w:val="0"/>
      <w:marBottom w:val="0"/>
      <w:divBdr>
        <w:top w:val="none" w:sz="0" w:space="0" w:color="auto"/>
        <w:left w:val="none" w:sz="0" w:space="0" w:color="auto"/>
        <w:bottom w:val="none" w:sz="0" w:space="0" w:color="auto"/>
        <w:right w:val="none" w:sz="0" w:space="0" w:color="auto"/>
      </w:divBdr>
    </w:div>
    <w:div w:id="1824808233">
      <w:bodyDiv w:val="1"/>
      <w:marLeft w:val="0"/>
      <w:marRight w:val="0"/>
      <w:marTop w:val="0"/>
      <w:marBottom w:val="0"/>
      <w:divBdr>
        <w:top w:val="none" w:sz="0" w:space="0" w:color="auto"/>
        <w:left w:val="none" w:sz="0" w:space="0" w:color="auto"/>
        <w:bottom w:val="none" w:sz="0" w:space="0" w:color="auto"/>
        <w:right w:val="none" w:sz="0" w:space="0" w:color="auto"/>
      </w:divBdr>
    </w:div>
    <w:div w:id="1901095782">
      <w:bodyDiv w:val="1"/>
      <w:marLeft w:val="0"/>
      <w:marRight w:val="0"/>
      <w:marTop w:val="0"/>
      <w:marBottom w:val="0"/>
      <w:divBdr>
        <w:top w:val="none" w:sz="0" w:space="0" w:color="auto"/>
        <w:left w:val="none" w:sz="0" w:space="0" w:color="auto"/>
        <w:bottom w:val="none" w:sz="0" w:space="0" w:color="auto"/>
        <w:right w:val="none" w:sz="0" w:space="0" w:color="auto"/>
      </w:divBdr>
    </w:div>
    <w:div w:id="1950625218">
      <w:bodyDiv w:val="1"/>
      <w:marLeft w:val="0"/>
      <w:marRight w:val="0"/>
      <w:marTop w:val="0"/>
      <w:marBottom w:val="0"/>
      <w:divBdr>
        <w:top w:val="none" w:sz="0" w:space="0" w:color="auto"/>
        <w:left w:val="none" w:sz="0" w:space="0" w:color="auto"/>
        <w:bottom w:val="none" w:sz="0" w:space="0" w:color="auto"/>
        <w:right w:val="none" w:sz="0" w:space="0" w:color="auto"/>
      </w:divBdr>
      <w:divsChild>
        <w:div w:id="1898279652">
          <w:marLeft w:val="0"/>
          <w:marRight w:val="0"/>
          <w:marTop w:val="0"/>
          <w:marBottom w:val="0"/>
          <w:divBdr>
            <w:top w:val="none" w:sz="0" w:space="0" w:color="auto"/>
            <w:left w:val="none" w:sz="0" w:space="0" w:color="auto"/>
            <w:bottom w:val="none" w:sz="0" w:space="0" w:color="auto"/>
            <w:right w:val="none" w:sz="0" w:space="0" w:color="auto"/>
          </w:divBdr>
          <w:divsChild>
            <w:div w:id="21351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3315">
      <w:bodyDiv w:val="1"/>
      <w:marLeft w:val="0"/>
      <w:marRight w:val="0"/>
      <w:marTop w:val="0"/>
      <w:marBottom w:val="0"/>
      <w:divBdr>
        <w:top w:val="none" w:sz="0" w:space="0" w:color="auto"/>
        <w:left w:val="none" w:sz="0" w:space="0" w:color="auto"/>
        <w:bottom w:val="none" w:sz="0" w:space="0" w:color="auto"/>
        <w:right w:val="none" w:sz="0" w:space="0" w:color="auto"/>
      </w:divBdr>
    </w:div>
    <w:div w:id="1996451083">
      <w:bodyDiv w:val="1"/>
      <w:marLeft w:val="0"/>
      <w:marRight w:val="0"/>
      <w:marTop w:val="0"/>
      <w:marBottom w:val="0"/>
      <w:divBdr>
        <w:top w:val="none" w:sz="0" w:space="0" w:color="auto"/>
        <w:left w:val="none" w:sz="0" w:space="0" w:color="auto"/>
        <w:bottom w:val="none" w:sz="0" w:space="0" w:color="auto"/>
        <w:right w:val="none" w:sz="0" w:space="0" w:color="auto"/>
      </w:divBdr>
    </w:div>
    <w:div w:id="200975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hart" Target="charts/chart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chart" Target="charts/chart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https://kic.wipo.int/otcsdav/nodes/14317791/INV%20Data%2020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kic.wipo.int/otcsdav/nodes/14317791/INV%20Data%2020212.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https://kic.wipo.int/otcsdav/nodes/14317791/Recs%20for%20WPR%20and%20Annual%20Report.xlsx" TargetMode="External"/><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oleObject" Target="https://kic.wipo.int/otcsdav/nodes/14317791/Recs%20for%20WPR%20and%20Annual%20Report.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oleObject" Target="https://kic.wipo.int/otcsdav/nodes/14317791/Annual%20report%20chart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2978153850171716E-2"/>
          <c:y val="2.9606719160104988E-2"/>
          <c:w val="0.87017220764071157"/>
          <c:h val="0.74782339289994093"/>
        </c:manualLayout>
      </c:layout>
      <c:barChart>
        <c:barDir val="col"/>
        <c:grouping val="clustered"/>
        <c:varyColors val="0"/>
        <c:ser>
          <c:idx val="0"/>
          <c:order val="0"/>
          <c:tx>
            <c:strRef>
              <c:f>Overall!$A$8</c:f>
              <c:strCache>
                <c:ptCount val="1"/>
                <c:pt idx="0">
                  <c:v>Cases opened</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666699"/>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Overall!$B$7:$F$7</c:f>
              <c:strCache>
                <c:ptCount val="5"/>
                <c:pt idx="0">
                  <c:v>Dec. 31, 2019</c:v>
                </c:pt>
                <c:pt idx="1">
                  <c:v>2020</c:v>
                </c:pt>
                <c:pt idx="2">
                  <c:v>Dec. 31, 2020</c:v>
                </c:pt>
                <c:pt idx="3">
                  <c:v>2021</c:v>
                </c:pt>
                <c:pt idx="4">
                  <c:v>Dec. 31, 2021</c:v>
                </c:pt>
              </c:strCache>
            </c:strRef>
          </c:cat>
          <c:val>
            <c:numRef>
              <c:f>Overall!$B$8:$F$8</c:f>
              <c:numCache>
                <c:formatCode>General</c:formatCode>
                <c:ptCount val="5"/>
                <c:pt idx="1">
                  <c:v>21</c:v>
                </c:pt>
                <c:pt idx="3">
                  <c:v>25</c:v>
                </c:pt>
              </c:numCache>
            </c:numRef>
          </c:val>
          <c:extLst>
            <c:ext xmlns:c16="http://schemas.microsoft.com/office/drawing/2014/chart" uri="{C3380CC4-5D6E-409C-BE32-E72D297353CC}">
              <c16:uniqueId val="{00000000-D5CC-426F-9F11-CFD0F50547C8}"/>
            </c:ext>
          </c:extLst>
        </c:ser>
        <c:ser>
          <c:idx val="1"/>
          <c:order val="1"/>
          <c:tx>
            <c:strRef>
              <c:f>Overall!$A$9</c:f>
              <c:strCache>
                <c:ptCount val="1"/>
                <c:pt idx="0">
                  <c:v>Cases closed</c:v>
                </c:pt>
              </c:strCache>
            </c:strRef>
          </c:tx>
          <c:spPr>
            <a:solidFill>
              <a:srgbClr val="00B050"/>
            </a:solidFill>
          </c:spPr>
          <c:invertIfNegative val="0"/>
          <c:dLbls>
            <c:spPr>
              <a:noFill/>
              <a:ln w="25400">
                <a:noFill/>
              </a:ln>
            </c:spPr>
            <c:txPr>
              <a:bodyPr wrap="square" lIns="38100" tIns="19050" rIns="38100" bIns="19050" anchor="ctr">
                <a:spAutoFit/>
              </a:bodyPr>
              <a:lstStyle/>
              <a:p>
                <a:pPr>
                  <a:defRPr sz="1000" b="0" i="0" u="none" strike="noStrike" baseline="0">
                    <a:solidFill>
                      <a:srgbClr val="339966"/>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Overall!$B$7:$F$7</c:f>
              <c:strCache>
                <c:ptCount val="5"/>
                <c:pt idx="0">
                  <c:v>Dec. 31, 2019</c:v>
                </c:pt>
                <c:pt idx="1">
                  <c:v>2020</c:v>
                </c:pt>
                <c:pt idx="2">
                  <c:v>Dec. 31, 2020</c:v>
                </c:pt>
                <c:pt idx="3">
                  <c:v>2021</c:v>
                </c:pt>
                <c:pt idx="4">
                  <c:v>Dec. 31, 2021</c:v>
                </c:pt>
              </c:strCache>
            </c:strRef>
          </c:cat>
          <c:val>
            <c:numRef>
              <c:f>Overall!$B$9:$F$9</c:f>
              <c:numCache>
                <c:formatCode>General</c:formatCode>
                <c:ptCount val="5"/>
                <c:pt idx="1">
                  <c:v>21</c:v>
                </c:pt>
                <c:pt idx="3">
                  <c:v>23</c:v>
                </c:pt>
              </c:numCache>
            </c:numRef>
          </c:val>
          <c:extLst>
            <c:ext xmlns:c16="http://schemas.microsoft.com/office/drawing/2014/chart" uri="{C3380CC4-5D6E-409C-BE32-E72D297353CC}">
              <c16:uniqueId val="{00000001-D5CC-426F-9F11-CFD0F50547C8}"/>
            </c:ext>
          </c:extLst>
        </c:ser>
        <c:dLbls>
          <c:showLegendKey val="0"/>
          <c:showVal val="0"/>
          <c:showCatName val="0"/>
          <c:showSerName val="0"/>
          <c:showPercent val="0"/>
          <c:showBubbleSize val="0"/>
        </c:dLbls>
        <c:gapWidth val="150"/>
        <c:overlap val="-66"/>
        <c:axId val="2060207504"/>
        <c:axId val="1"/>
      </c:barChart>
      <c:lineChart>
        <c:grouping val="standard"/>
        <c:varyColors val="0"/>
        <c:ser>
          <c:idx val="2"/>
          <c:order val="2"/>
          <c:tx>
            <c:strRef>
              <c:f>Overall!$A$10</c:f>
              <c:strCache>
                <c:ptCount val="1"/>
                <c:pt idx="0">
                  <c:v>Cases pending</c:v>
                </c:pt>
              </c:strCache>
            </c:strRef>
          </c:tx>
          <c:spPr>
            <a:ln>
              <a:solidFill>
                <a:srgbClr val="FF0000"/>
              </a:solidFill>
              <a:prstDash val="sysDot"/>
            </a:ln>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2-D5CC-426F-9F11-CFD0F50547C8}"/>
                </c:ext>
              </c:extLst>
            </c:dLbl>
            <c:dLbl>
              <c:idx val="3"/>
              <c:delete val="1"/>
              <c:extLst>
                <c:ext xmlns:c15="http://schemas.microsoft.com/office/drawing/2012/chart" uri="{CE6537A1-D6FC-4f65-9D91-7224C49458BB}"/>
                <c:ext xmlns:c16="http://schemas.microsoft.com/office/drawing/2014/chart" uri="{C3380CC4-5D6E-409C-BE32-E72D297353CC}">
                  <c16:uniqueId val="{00000003-D5CC-426F-9F11-CFD0F50547C8}"/>
                </c:ext>
              </c:extLst>
            </c:dLbl>
            <c:dLbl>
              <c:idx val="7"/>
              <c:delete val="1"/>
              <c:extLst>
                <c:ext xmlns:c15="http://schemas.microsoft.com/office/drawing/2012/chart" uri="{CE6537A1-D6FC-4f65-9D91-7224C49458BB}"/>
                <c:ext xmlns:c16="http://schemas.microsoft.com/office/drawing/2014/chart" uri="{C3380CC4-5D6E-409C-BE32-E72D297353CC}">
                  <c16:uniqueId val="{00000004-D5CC-426F-9F11-CFD0F50547C8}"/>
                </c:ext>
              </c:extLst>
            </c:dLbl>
            <c:spPr>
              <a:solidFill>
                <a:srgbClr val="FF0000"/>
              </a:solidFill>
              <a:ln>
                <a:noFill/>
              </a:ln>
            </c:spPr>
            <c:txPr>
              <a:bodyPr wrap="square" lIns="38100" tIns="19050" rIns="38100" bIns="19050" anchor="ctr">
                <a:spAutoFit/>
              </a:bodyPr>
              <a:lstStyle/>
              <a:p>
                <a:pPr>
                  <a:defRPr sz="1000" b="1" i="0" u="none" strike="noStrike" baseline="0">
                    <a:solidFill>
                      <a:srgbClr val="FFFFFF"/>
                    </a:solidFill>
                    <a:latin typeface="Calibri"/>
                    <a:ea typeface="Calibri"/>
                    <a:cs typeface="Calibri"/>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Overall!$B$7:$F$7</c:f>
              <c:strCache>
                <c:ptCount val="5"/>
                <c:pt idx="0">
                  <c:v>Dec. 31, 2019</c:v>
                </c:pt>
                <c:pt idx="1">
                  <c:v>2020</c:v>
                </c:pt>
                <c:pt idx="2">
                  <c:v>Dec. 31, 2020</c:v>
                </c:pt>
                <c:pt idx="3">
                  <c:v>2021</c:v>
                </c:pt>
                <c:pt idx="4">
                  <c:v>Dec. 31, 2021</c:v>
                </c:pt>
              </c:strCache>
            </c:strRef>
          </c:cat>
          <c:val>
            <c:numRef>
              <c:f>Overall!$B$10:$F$10</c:f>
              <c:numCache>
                <c:formatCode>General</c:formatCode>
                <c:ptCount val="5"/>
                <c:pt idx="0">
                  <c:v>11</c:v>
                </c:pt>
                <c:pt idx="1">
                  <c:v>11</c:v>
                </c:pt>
                <c:pt idx="2">
                  <c:v>11</c:v>
                </c:pt>
                <c:pt idx="3">
                  <c:v>12</c:v>
                </c:pt>
                <c:pt idx="4">
                  <c:v>13</c:v>
                </c:pt>
              </c:numCache>
            </c:numRef>
          </c:val>
          <c:smooth val="0"/>
          <c:extLst>
            <c:ext xmlns:c16="http://schemas.microsoft.com/office/drawing/2014/chart" uri="{C3380CC4-5D6E-409C-BE32-E72D297353CC}">
              <c16:uniqueId val="{00000005-D5CC-426F-9F11-CFD0F50547C8}"/>
            </c:ext>
          </c:extLst>
        </c:ser>
        <c:dLbls>
          <c:showLegendKey val="0"/>
          <c:showVal val="0"/>
          <c:showCatName val="0"/>
          <c:showSerName val="0"/>
          <c:showPercent val="0"/>
          <c:showBubbleSize val="0"/>
        </c:dLbls>
        <c:marker val="1"/>
        <c:smooth val="0"/>
        <c:axId val="2060207504"/>
        <c:axId val="1"/>
      </c:lineChart>
      <c:catAx>
        <c:axId val="2060207504"/>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2060207504"/>
        <c:crosses val="autoZero"/>
        <c:crossBetween val="between"/>
      </c:valAx>
    </c:plotArea>
    <c:legend>
      <c:legendPos val="r"/>
      <c:layout>
        <c:manualLayout>
          <c:xMode val="edge"/>
          <c:yMode val="edge"/>
          <c:x val="0.16696451894228645"/>
          <c:y val="0.87426664094605111"/>
          <c:w val="0.56495891908582974"/>
          <c:h val="0.10011983468658847"/>
        </c:manualLayout>
      </c:layout>
      <c:overlay val="0"/>
      <c:txPr>
        <a:bodyPr/>
        <a:lstStyle/>
        <a:p>
          <a:pPr>
            <a:defRPr sz="1000"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Substantiation!$B$4</c:f>
              <c:strCache>
                <c:ptCount val="1"/>
                <c:pt idx="0">
                  <c:v>Allegations not substantiated</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Substantiation!$A$5:$A$6</c:f>
              <c:numCache>
                <c:formatCode>General</c:formatCode>
                <c:ptCount val="2"/>
                <c:pt idx="0">
                  <c:v>2020</c:v>
                </c:pt>
                <c:pt idx="1">
                  <c:v>2021</c:v>
                </c:pt>
              </c:numCache>
            </c:numRef>
          </c:cat>
          <c:val>
            <c:numRef>
              <c:f>Substantiation!$B$5:$B$6</c:f>
              <c:numCache>
                <c:formatCode>General</c:formatCode>
                <c:ptCount val="2"/>
                <c:pt idx="0">
                  <c:v>20</c:v>
                </c:pt>
                <c:pt idx="1">
                  <c:v>14</c:v>
                </c:pt>
              </c:numCache>
            </c:numRef>
          </c:val>
          <c:extLst>
            <c:ext xmlns:c16="http://schemas.microsoft.com/office/drawing/2014/chart" uri="{C3380CC4-5D6E-409C-BE32-E72D297353CC}">
              <c16:uniqueId val="{00000000-6BE7-45EF-8988-244869332C48}"/>
            </c:ext>
          </c:extLst>
        </c:ser>
        <c:ser>
          <c:idx val="1"/>
          <c:order val="1"/>
          <c:tx>
            <c:strRef>
              <c:f>Substantiation!$C$4</c:f>
              <c:strCache>
                <c:ptCount val="1"/>
                <c:pt idx="0">
                  <c:v>Allegations substantiated</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Substantiation!$A$5:$A$6</c:f>
              <c:numCache>
                <c:formatCode>General</c:formatCode>
                <c:ptCount val="2"/>
                <c:pt idx="0">
                  <c:v>2020</c:v>
                </c:pt>
                <c:pt idx="1">
                  <c:v>2021</c:v>
                </c:pt>
              </c:numCache>
            </c:numRef>
          </c:cat>
          <c:val>
            <c:numRef>
              <c:f>Substantiation!$C$5:$C$6</c:f>
              <c:numCache>
                <c:formatCode>General</c:formatCode>
                <c:ptCount val="2"/>
                <c:pt idx="0">
                  <c:v>1</c:v>
                </c:pt>
                <c:pt idx="1">
                  <c:v>9</c:v>
                </c:pt>
              </c:numCache>
            </c:numRef>
          </c:val>
          <c:extLst>
            <c:ext xmlns:c16="http://schemas.microsoft.com/office/drawing/2014/chart" uri="{C3380CC4-5D6E-409C-BE32-E72D297353CC}">
              <c16:uniqueId val="{00000001-6BE7-45EF-8988-244869332C48}"/>
            </c:ext>
          </c:extLst>
        </c:ser>
        <c:dLbls>
          <c:showLegendKey val="0"/>
          <c:showVal val="0"/>
          <c:showCatName val="0"/>
          <c:showSerName val="0"/>
          <c:showPercent val="0"/>
          <c:showBubbleSize val="0"/>
        </c:dLbls>
        <c:gapWidth val="150"/>
        <c:overlap val="100"/>
        <c:axId val="1681229439"/>
        <c:axId val="1"/>
      </c:barChart>
      <c:catAx>
        <c:axId val="1681229439"/>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681229439"/>
        <c:crosses val="autoZero"/>
        <c:crossBetween val="between"/>
      </c:valAx>
    </c:plotArea>
    <c:legend>
      <c:legendPos val="b"/>
      <c:layout/>
      <c:overlay val="0"/>
      <c:txPr>
        <a:bodyPr/>
        <a:lstStyle/>
        <a:p>
          <a:pPr>
            <a:defRPr sz="900" b="0" i="0" u="none" strike="noStrike" baseline="0">
              <a:solidFill>
                <a:srgbClr val="000000"/>
              </a:solidFill>
              <a:latin typeface="Calibri"/>
              <a:ea typeface="Calibri"/>
              <a:cs typeface="Calibri"/>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[Recs for WPR and Annual Report.xlsx]by source &amp; priority!PivotTable3</c:name>
    <c:fmtId val="-1"/>
  </c:pivotSource>
  <c:chart>
    <c:autoTitleDeleted val="0"/>
    <c:pivotFmts>
      <c:pivotFmt>
        <c:idx val="0"/>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a:sp3d/>
        </c:spPr>
        <c:dLbl>
          <c:idx val="0"/>
          <c:layout>
            <c:manualLayout>
              <c:x val="2.4999999999999897E-2"/>
              <c:y val="-9.259259259259258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a:sp3d/>
        </c:spPr>
      </c:pivotFmt>
      <c:pivotFmt>
        <c:idx val="4"/>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a:sp3d/>
        </c:spPr>
        <c:dLbl>
          <c:idx val="0"/>
          <c:layout>
            <c:manualLayout>
              <c:x val="2.4999999999999897E-2"/>
              <c:y val="-9.259259259259258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a:sp3d/>
        </c:spPr>
        <c:dLbl>
          <c:idx val="0"/>
          <c:layout>
            <c:manualLayout>
              <c:x val="2.4999999999999897E-2"/>
              <c:y val="-9.259259259259258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'by source &amp; priority'!$B$3:$B$4</c:f>
              <c:strCache>
                <c:ptCount val="1"/>
                <c:pt idx="0">
                  <c:v>High</c:v>
                </c:pt>
              </c:strCache>
            </c:strRef>
          </c:tx>
          <c:spPr>
            <a:solidFill>
              <a:srgbClr val="C0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'by source &amp; priority'!$A$5:$A$8</c:f>
              <c:strCache>
                <c:ptCount val="3"/>
                <c:pt idx="0">
                  <c:v>External Audit</c:v>
                </c:pt>
                <c:pt idx="1">
                  <c:v>IAOC</c:v>
                </c:pt>
                <c:pt idx="2">
                  <c:v>IOD</c:v>
                </c:pt>
              </c:strCache>
            </c:strRef>
          </c:cat>
          <c:val>
            <c:numRef>
              <c:f>'by source &amp; priority'!$B$5:$B$8</c:f>
              <c:numCache>
                <c:formatCode>General</c:formatCode>
                <c:ptCount val="3"/>
                <c:pt idx="0">
                  <c:v>11</c:v>
                </c:pt>
                <c:pt idx="2">
                  <c:v>29</c:v>
                </c:pt>
              </c:numCache>
            </c:numRef>
          </c:val>
          <c:extLst>
            <c:ext xmlns:c16="http://schemas.microsoft.com/office/drawing/2014/chart" uri="{C3380CC4-5D6E-409C-BE32-E72D297353CC}">
              <c16:uniqueId val="{00000000-6F41-4937-A3A3-7AA684EEDACA}"/>
            </c:ext>
          </c:extLst>
        </c:ser>
        <c:ser>
          <c:idx val="1"/>
          <c:order val="1"/>
          <c:tx>
            <c:strRef>
              <c:f>'by source &amp; priority'!$C$3:$C$4</c:f>
              <c:strCache>
                <c:ptCount val="1"/>
                <c:pt idx="0">
                  <c:v>Medium</c:v>
                </c:pt>
              </c:strCache>
            </c:strRef>
          </c:tx>
          <c:spPr>
            <a:solidFill>
              <a:schemeClr val="accent1"/>
            </a:solidFill>
            <a:ln>
              <a:noFill/>
            </a:ln>
            <a:effectLst/>
            <a:sp3d/>
          </c:spPr>
          <c:invertIfNegative val="0"/>
          <c:dLbls>
            <c:dLbl>
              <c:idx val="1"/>
              <c:layout>
                <c:manualLayout>
                  <c:x val="2.4999999999999897E-2"/>
                  <c:y val="-9.259259259259258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6F41-4937-A3A3-7AA684EEDACA}"/>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'by source &amp; priority'!$A$5:$A$8</c:f>
              <c:strCache>
                <c:ptCount val="3"/>
                <c:pt idx="0">
                  <c:v>External Audit</c:v>
                </c:pt>
                <c:pt idx="1">
                  <c:v>IAOC</c:v>
                </c:pt>
                <c:pt idx="2">
                  <c:v>IOD</c:v>
                </c:pt>
              </c:strCache>
            </c:strRef>
          </c:cat>
          <c:val>
            <c:numRef>
              <c:f>'by source &amp; priority'!$C$5:$C$8</c:f>
              <c:numCache>
                <c:formatCode>General</c:formatCode>
                <c:ptCount val="3"/>
                <c:pt idx="0">
                  <c:v>11</c:v>
                </c:pt>
                <c:pt idx="1">
                  <c:v>1</c:v>
                </c:pt>
                <c:pt idx="2">
                  <c:v>73</c:v>
                </c:pt>
              </c:numCache>
            </c:numRef>
          </c:val>
          <c:extLst>
            <c:ext xmlns:c16="http://schemas.microsoft.com/office/drawing/2014/chart" uri="{C3380CC4-5D6E-409C-BE32-E72D297353CC}">
              <c16:uniqueId val="{00000002-6F41-4937-A3A3-7AA684EEDACA}"/>
            </c:ext>
          </c:extLst>
        </c:ser>
        <c:dLbls>
          <c:showLegendKey val="0"/>
          <c:showVal val="1"/>
          <c:showCatName val="0"/>
          <c:showSerName val="0"/>
          <c:showPercent val="0"/>
          <c:showBubbleSize val="0"/>
        </c:dLbls>
        <c:gapWidth val="150"/>
        <c:shape val="box"/>
        <c:axId val="452660768"/>
        <c:axId val="452676992"/>
        <c:axId val="0"/>
      </c:bar3DChart>
      <c:catAx>
        <c:axId val="4526607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2676992"/>
        <c:crosses val="autoZero"/>
        <c:auto val="1"/>
        <c:lblAlgn val="ctr"/>
        <c:lblOffset val="100"/>
        <c:noMultiLvlLbl val="0"/>
      </c:catAx>
      <c:valAx>
        <c:axId val="452676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26607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[Recs for WPR and Annual Report.xlsx]recs by year!PivotTable1</c:name>
    <c:fmtId val="-1"/>
  </c:pivotSource>
  <c:chart>
    <c:autoTitleDeleted val="0"/>
    <c:pivotFmts>
      <c:pivotFmt>
        <c:idx val="0"/>
        <c:spPr>
          <a:solidFill>
            <a:schemeClr val="accent1"/>
          </a:solidFill>
          <a:ln>
            <a:noFill/>
          </a:ln>
          <a:effectLst/>
          <a:sp3d/>
        </c:spPr>
        <c:marker>
          <c:symbol val="none"/>
        </c:marker>
      </c:pivotFmt>
      <c:pivotFmt>
        <c:idx val="1"/>
        <c:spPr>
          <a:solidFill>
            <a:schemeClr val="accent1"/>
          </a:solidFill>
          <a:ln>
            <a:noFill/>
          </a:ln>
          <a:effectLst/>
          <a:sp3d/>
        </c:spPr>
        <c:marker>
          <c:symbol val="none"/>
        </c:marker>
      </c:pivotFmt>
      <c:pivotFmt>
        <c:idx val="2"/>
        <c:spPr>
          <a:solidFill>
            <a:schemeClr val="accent1"/>
          </a:solidFill>
          <a:ln>
            <a:noFill/>
          </a:ln>
          <a:effectLst/>
          <a:sp3d/>
        </c:spPr>
        <c:marker>
          <c:symbol val="none"/>
        </c:marker>
      </c:pivotFmt>
      <c:pivotFmt>
        <c:idx val="3"/>
        <c:spPr>
          <a:solidFill>
            <a:schemeClr val="accent1"/>
          </a:solidFill>
          <a:ln>
            <a:noFill/>
          </a:ln>
          <a:effectLst/>
          <a:sp3d/>
        </c:spPr>
        <c:marker>
          <c:symbol val="none"/>
        </c:marker>
      </c:pivotFmt>
      <c:pivotFmt>
        <c:idx val="4"/>
        <c:spPr>
          <a:solidFill>
            <a:schemeClr val="accent1"/>
          </a:solidFill>
          <a:ln>
            <a:noFill/>
          </a:ln>
          <a:effectLst/>
          <a:sp3d/>
        </c:spPr>
        <c:marker>
          <c:symbol val="none"/>
        </c:marker>
      </c:pivotFmt>
      <c:pivotFmt>
        <c:idx val="5"/>
        <c:spPr>
          <a:solidFill>
            <a:schemeClr val="accent1"/>
          </a:solidFill>
          <a:ln>
            <a:noFill/>
          </a:ln>
          <a:effectLst/>
          <a:sp3d/>
        </c:spPr>
        <c:marker>
          <c:symbol val="none"/>
        </c:marker>
      </c:pivotFmt>
      <c:pivotFmt>
        <c:idx val="6"/>
        <c:spPr>
          <a:solidFill>
            <a:schemeClr val="accent1"/>
          </a:solidFill>
          <a:ln>
            <a:noFill/>
          </a:ln>
          <a:effectLst/>
          <a:sp3d/>
        </c:spPr>
        <c:marker>
          <c:symbol val="none"/>
        </c:marker>
      </c:pivotFmt>
      <c:pivotFmt>
        <c:idx val="7"/>
        <c:spPr>
          <a:solidFill>
            <a:srgbClr val="A8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rgbClr val="A8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A8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'recs by year'!$B$3:$B$4</c:f>
              <c:strCache>
                <c:ptCount val="1"/>
                <c:pt idx="0">
                  <c:v>High</c:v>
                </c:pt>
              </c:strCache>
            </c:strRef>
          </c:tx>
          <c:spPr>
            <a:solidFill>
              <a:srgbClr val="A8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'recs by year'!$A$5:$A$12</c:f>
              <c:strCache>
                <c:ptCount val="7"/>
                <c:pt idx="0">
                  <c:v>2015</c:v>
                </c:pt>
                <c:pt idx="1">
                  <c:v>2016</c:v>
                </c:pt>
                <c:pt idx="2">
                  <c:v>2017</c:v>
                </c:pt>
                <c:pt idx="3">
                  <c:v>2018</c:v>
                </c:pt>
                <c:pt idx="4">
                  <c:v>2019</c:v>
                </c:pt>
                <c:pt idx="5">
                  <c:v>2020</c:v>
                </c:pt>
                <c:pt idx="6">
                  <c:v>2021</c:v>
                </c:pt>
              </c:strCache>
            </c:strRef>
          </c:cat>
          <c:val>
            <c:numRef>
              <c:f>'recs by year'!$B$5:$B$12</c:f>
              <c:numCache>
                <c:formatCode>General</c:formatCode>
                <c:ptCount val="7"/>
                <c:pt idx="3">
                  <c:v>5</c:v>
                </c:pt>
                <c:pt idx="4">
                  <c:v>11</c:v>
                </c:pt>
                <c:pt idx="5">
                  <c:v>6</c:v>
                </c:pt>
                <c:pt idx="6">
                  <c:v>18</c:v>
                </c:pt>
              </c:numCache>
            </c:numRef>
          </c:val>
          <c:extLst>
            <c:ext xmlns:c16="http://schemas.microsoft.com/office/drawing/2014/chart" uri="{C3380CC4-5D6E-409C-BE32-E72D297353CC}">
              <c16:uniqueId val="{00000000-49EA-48E4-BCEF-9224B5FD5A0D}"/>
            </c:ext>
          </c:extLst>
        </c:ser>
        <c:ser>
          <c:idx val="1"/>
          <c:order val="1"/>
          <c:tx>
            <c:strRef>
              <c:f>'recs by year'!$C$3:$C$4</c:f>
              <c:strCache>
                <c:ptCount val="1"/>
                <c:pt idx="0">
                  <c:v>Medium</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'recs by year'!$A$5:$A$12</c:f>
              <c:strCache>
                <c:ptCount val="7"/>
                <c:pt idx="0">
                  <c:v>2015</c:v>
                </c:pt>
                <c:pt idx="1">
                  <c:v>2016</c:v>
                </c:pt>
                <c:pt idx="2">
                  <c:v>2017</c:v>
                </c:pt>
                <c:pt idx="3">
                  <c:v>2018</c:v>
                </c:pt>
                <c:pt idx="4">
                  <c:v>2019</c:v>
                </c:pt>
                <c:pt idx="5">
                  <c:v>2020</c:v>
                </c:pt>
                <c:pt idx="6">
                  <c:v>2021</c:v>
                </c:pt>
              </c:strCache>
            </c:strRef>
          </c:cat>
          <c:val>
            <c:numRef>
              <c:f>'recs by year'!$C$5:$C$12</c:f>
              <c:numCache>
                <c:formatCode>General</c:formatCode>
                <c:ptCount val="7"/>
                <c:pt idx="0">
                  <c:v>3</c:v>
                </c:pt>
                <c:pt idx="1">
                  <c:v>3</c:v>
                </c:pt>
                <c:pt idx="2">
                  <c:v>1</c:v>
                </c:pt>
                <c:pt idx="3">
                  <c:v>9</c:v>
                </c:pt>
                <c:pt idx="4">
                  <c:v>14</c:v>
                </c:pt>
                <c:pt idx="5">
                  <c:v>35</c:v>
                </c:pt>
                <c:pt idx="6">
                  <c:v>20</c:v>
                </c:pt>
              </c:numCache>
            </c:numRef>
          </c:val>
          <c:extLst>
            <c:ext xmlns:c16="http://schemas.microsoft.com/office/drawing/2014/chart" uri="{C3380CC4-5D6E-409C-BE32-E72D297353CC}">
              <c16:uniqueId val="{00000001-49EA-48E4-BCEF-9224B5FD5A0D}"/>
            </c:ext>
          </c:extLst>
        </c:ser>
        <c:dLbls>
          <c:showLegendKey val="0"/>
          <c:showVal val="1"/>
          <c:showCatName val="0"/>
          <c:showSerName val="0"/>
          <c:showPercent val="0"/>
          <c:showBubbleSize val="0"/>
        </c:dLbls>
        <c:gapWidth val="150"/>
        <c:shape val="box"/>
        <c:axId val="2049346255"/>
        <c:axId val="2049342511"/>
        <c:axId val="0"/>
      </c:bar3DChart>
      <c:catAx>
        <c:axId val="204934625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9342511"/>
        <c:crosses val="autoZero"/>
        <c:auto val="1"/>
        <c:lblAlgn val="ctr"/>
        <c:lblOffset val="100"/>
        <c:noMultiLvlLbl val="0"/>
      </c:catAx>
      <c:valAx>
        <c:axId val="20493425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93462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'by program &amp; priority'!$B$4</c:f>
              <c:strCache>
                <c:ptCount val="1"/>
                <c:pt idx="0">
                  <c:v>High</c:v>
                </c:pt>
              </c:strCache>
            </c:strRef>
          </c:tx>
          <c:spPr>
            <a:solidFill>
              <a:srgbClr val="C00000"/>
            </a:solidFill>
            <a:ln>
              <a:noFill/>
            </a:ln>
            <a:effectLst/>
            <a:sp3d/>
          </c:spPr>
          <c:invertIfNegative val="0"/>
          <c:dLbls>
            <c:dLbl>
              <c:idx val="9"/>
              <c:layout>
                <c:manualLayout>
                  <c:x val="-6.99300699300699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F3-4E7E-8417-E9A4274E00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'by program &amp; priority'!$A$5:$A$23</c:f>
              <c:strCache>
                <c:ptCount val="19"/>
                <c:pt idx="0">
                  <c:v>AF&amp;M Sector</c:v>
                </c:pt>
                <c:pt idx="1">
                  <c:v>Cross-Sector</c:v>
                </c:pt>
                <c:pt idx="2">
                  <c:v>Program 11</c:v>
                </c:pt>
                <c:pt idx="3">
                  <c:v>Program 13</c:v>
                </c:pt>
                <c:pt idx="4">
                  <c:v>Program 17</c:v>
                </c:pt>
                <c:pt idx="5">
                  <c:v>Program 19</c:v>
                </c:pt>
                <c:pt idx="6">
                  <c:v>Program 20</c:v>
                </c:pt>
                <c:pt idx="7">
                  <c:v>Program 21</c:v>
                </c:pt>
                <c:pt idx="8">
                  <c:v>Program 22</c:v>
                </c:pt>
                <c:pt idx="9">
                  <c:v>Program 23</c:v>
                </c:pt>
                <c:pt idx="10">
                  <c:v>Program 24</c:v>
                </c:pt>
                <c:pt idx="11">
                  <c:v>Program 25</c:v>
                </c:pt>
                <c:pt idx="12">
                  <c:v>Program 26</c:v>
                </c:pt>
                <c:pt idx="13">
                  <c:v>Program 27</c:v>
                </c:pt>
                <c:pt idx="14">
                  <c:v>Program 28</c:v>
                </c:pt>
                <c:pt idx="15">
                  <c:v>Program 32</c:v>
                </c:pt>
                <c:pt idx="16">
                  <c:v>Program 5</c:v>
                </c:pt>
                <c:pt idx="17">
                  <c:v>Program 6</c:v>
                </c:pt>
                <c:pt idx="18">
                  <c:v>Program 9</c:v>
                </c:pt>
              </c:strCache>
            </c:strRef>
          </c:cat>
          <c:val>
            <c:numRef>
              <c:f>'by program &amp; priority'!$B$5:$B$23</c:f>
              <c:numCache>
                <c:formatCode>General</c:formatCode>
                <c:ptCount val="19"/>
                <c:pt idx="0">
                  <c:v>2</c:v>
                </c:pt>
                <c:pt idx="1">
                  <c:v>1</c:v>
                </c:pt>
                <c:pt idx="5">
                  <c:v>2</c:v>
                </c:pt>
                <c:pt idx="8">
                  <c:v>7</c:v>
                </c:pt>
                <c:pt idx="9">
                  <c:v>14</c:v>
                </c:pt>
                <c:pt idx="10">
                  <c:v>2</c:v>
                </c:pt>
                <c:pt idx="11">
                  <c:v>4</c:v>
                </c:pt>
                <c:pt idx="13">
                  <c:v>1</c:v>
                </c:pt>
                <c:pt idx="14">
                  <c:v>3</c:v>
                </c:pt>
                <c:pt idx="15">
                  <c:v>1</c:v>
                </c:pt>
                <c:pt idx="16">
                  <c:v>1</c:v>
                </c:pt>
                <c:pt idx="18">
                  <c:v>2</c:v>
                </c:pt>
              </c:numCache>
            </c:numRef>
          </c:val>
          <c:extLst>
            <c:ext xmlns:c16="http://schemas.microsoft.com/office/drawing/2014/chart" uri="{C3380CC4-5D6E-409C-BE32-E72D297353CC}">
              <c16:uniqueId val="{00000001-5DF3-4E7E-8417-E9A4274E002C}"/>
            </c:ext>
          </c:extLst>
        </c:ser>
        <c:ser>
          <c:idx val="1"/>
          <c:order val="1"/>
          <c:tx>
            <c:strRef>
              <c:f>'by program &amp; priority'!$C$4</c:f>
              <c:strCache>
                <c:ptCount val="1"/>
                <c:pt idx="0">
                  <c:v>Medium</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'by program &amp; priority'!$A$5:$A$23</c:f>
              <c:strCache>
                <c:ptCount val="19"/>
                <c:pt idx="0">
                  <c:v>AF&amp;M Sector</c:v>
                </c:pt>
                <c:pt idx="1">
                  <c:v>Cross-Sector</c:v>
                </c:pt>
                <c:pt idx="2">
                  <c:v>Program 11</c:v>
                </c:pt>
                <c:pt idx="3">
                  <c:v>Program 13</c:v>
                </c:pt>
                <c:pt idx="4">
                  <c:v>Program 17</c:v>
                </c:pt>
                <c:pt idx="5">
                  <c:v>Program 19</c:v>
                </c:pt>
                <c:pt idx="6">
                  <c:v>Program 20</c:v>
                </c:pt>
                <c:pt idx="7">
                  <c:v>Program 21</c:v>
                </c:pt>
                <c:pt idx="8">
                  <c:v>Program 22</c:v>
                </c:pt>
                <c:pt idx="9">
                  <c:v>Program 23</c:v>
                </c:pt>
                <c:pt idx="10">
                  <c:v>Program 24</c:v>
                </c:pt>
                <c:pt idx="11">
                  <c:v>Program 25</c:v>
                </c:pt>
                <c:pt idx="12">
                  <c:v>Program 26</c:v>
                </c:pt>
                <c:pt idx="13">
                  <c:v>Program 27</c:v>
                </c:pt>
                <c:pt idx="14">
                  <c:v>Program 28</c:v>
                </c:pt>
                <c:pt idx="15">
                  <c:v>Program 32</c:v>
                </c:pt>
                <c:pt idx="16">
                  <c:v>Program 5</c:v>
                </c:pt>
                <c:pt idx="17">
                  <c:v>Program 6</c:v>
                </c:pt>
                <c:pt idx="18">
                  <c:v>Program 9</c:v>
                </c:pt>
              </c:strCache>
            </c:strRef>
          </c:cat>
          <c:val>
            <c:numRef>
              <c:f>'by program &amp; priority'!$C$5:$C$23</c:f>
              <c:numCache>
                <c:formatCode>General</c:formatCode>
                <c:ptCount val="19"/>
                <c:pt idx="1">
                  <c:v>1</c:v>
                </c:pt>
                <c:pt idx="2">
                  <c:v>1</c:v>
                </c:pt>
                <c:pt idx="3">
                  <c:v>1</c:v>
                </c:pt>
                <c:pt idx="4">
                  <c:v>2</c:v>
                </c:pt>
                <c:pt idx="5">
                  <c:v>3</c:v>
                </c:pt>
                <c:pt idx="6">
                  <c:v>4</c:v>
                </c:pt>
                <c:pt idx="7">
                  <c:v>4</c:v>
                </c:pt>
                <c:pt idx="8">
                  <c:v>3</c:v>
                </c:pt>
                <c:pt idx="9">
                  <c:v>20</c:v>
                </c:pt>
                <c:pt idx="10">
                  <c:v>2</c:v>
                </c:pt>
                <c:pt idx="11">
                  <c:v>6</c:v>
                </c:pt>
                <c:pt idx="12">
                  <c:v>4</c:v>
                </c:pt>
                <c:pt idx="13">
                  <c:v>5</c:v>
                </c:pt>
                <c:pt idx="14">
                  <c:v>2</c:v>
                </c:pt>
                <c:pt idx="15">
                  <c:v>2</c:v>
                </c:pt>
                <c:pt idx="16">
                  <c:v>2</c:v>
                </c:pt>
                <c:pt idx="17">
                  <c:v>1</c:v>
                </c:pt>
                <c:pt idx="18">
                  <c:v>22</c:v>
                </c:pt>
              </c:numCache>
            </c:numRef>
          </c:val>
          <c:extLst>
            <c:ext xmlns:c16="http://schemas.microsoft.com/office/drawing/2014/chart" uri="{C3380CC4-5D6E-409C-BE32-E72D297353CC}">
              <c16:uniqueId val="{00000002-5DF3-4E7E-8417-E9A4274E002C}"/>
            </c:ext>
          </c:extLst>
        </c:ser>
        <c:dLbls>
          <c:showLegendKey val="0"/>
          <c:showVal val="1"/>
          <c:showCatName val="0"/>
          <c:showSerName val="0"/>
          <c:showPercent val="0"/>
          <c:showBubbleSize val="0"/>
        </c:dLbls>
        <c:gapWidth val="150"/>
        <c:shape val="box"/>
        <c:axId val="1085036399"/>
        <c:axId val="1085039727"/>
        <c:axId val="0"/>
      </c:bar3DChart>
      <c:catAx>
        <c:axId val="108503639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5039727"/>
        <c:crosses val="autoZero"/>
        <c:auto val="1"/>
        <c:lblAlgn val="ctr"/>
        <c:lblOffset val="100"/>
        <c:noMultiLvlLbl val="0"/>
      </c:catAx>
      <c:valAx>
        <c:axId val="10850397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503639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232A4-580C-425D-8ACE-02CAA6584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28</Pages>
  <Words>8522</Words>
  <Characters>49364</Characters>
  <Application>Microsoft Office Word</Application>
  <DocSecurity>0</DocSecurity>
  <Lines>991</Lines>
  <Paragraphs>451</Paragraphs>
  <ScaleCrop>false</ScaleCrop>
  <HeadingPairs>
    <vt:vector size="2" baseType="variant">
      <vt:variant>
        <vt:lpstr>Title</vt:lpstr>
      </vt:variant>
      <vt:variant>
        <vt:i4>1</vt:i4>
      </vt:variant>
    </vt:vector>
  </HeadingPairs>
  <TitlesOfParts>
    <vt:vector size="1" baseType="lpstr">
      <vt:lpstr>WO/GA/55/9</vt:lpstr>
    </vt:vector>
  </TitlesOfParts>
  <Company>WIPO</Company>
  <LinksUpToDate>false</LinksUpToDate>
  <CharactersWithSpaces>57690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WO/GA/55/9</dc:title>
  <dc:subject/>
  <dc:creator>WIPO</dc:creator>
  <cp:keywords>PUBLIC</cp:keywords>
  <dc:description/>
  <cp:lastModifiedBy>HÄFLIGER Patience</cp:lastModifiedBy>
  <cp:revision>8</cp:revision>
  <cp:lastPrinted>2021-03-30T13:51:00Z</cp:lastPrinted>
  <dcterms:created xsi:type="dcterms:W3CDTF">2022-04-12T10:50:00Z</dcterms:created>
  <dcterms:modified xsi:type="dcterms:W3CDTF">2022-04-28T13:59:00Z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4fb3d8d1-6ad4-491a-bc97-bbdfa92ad907</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