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val="fr-CH" w:eastAsia="fr-CH"/>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BA4D2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9118D" w:rsidP="001024FE">
      <w:pPr>
        <w:jc w:val="right"/>
        <w:rPr>
          <w:rFonts w:ascii="Arial Black" w:hAnsi="Arial Black"/>
          <w:caps/>
          <w:sz w:val="15"/>
          <w:szCs w:val="15"/>
        </w:rPr>
      </w:pPr>
      <w:r>
        <w:rPr>
          <w:rFonts w:ascii="Arial Black" w:hAnsi="Arial Black"/>
          <w:caps/>
          <w:sz w:val="15"/>
          <w:szCs w:val="15"/>
        </w:rPr>
        <w:t>WO/GA/55/</w:t>
      </w:r>
      <w:bookmarkStart w:id="0" w:name="Code"/>
      <w:r w:rsidR="00A12A21">
        <w:rPr>
          <w:rFonts w:ascii="Arial Black" w:hAnsi="Arial Black"/>
          <w:caps/>
          <w:sz w:val="15"/>
          <w:szCs w:val="15"/>
        </w:rPr>
        <w:t>6</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A12A21">
        <w:rPr>
          <w:rFonts w:ascii="Arial Black" w:hAnsi="Arial Black"/>
          <w:caps/>
          <w:sz w:val="15"/>
          <w:szCs w:val="15"/>
        </w:rPr>
        <w:t xml:space="preserve"> 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12A21">
        <w:rPr>
          <w:rFonts w:ascii="Arial Black" w:hAnsi="Arial Black"/>
          <w:caps/>
          <w:sz w:val="15"/>
          <w:szCs w:val="15"/>
        </w:rPr>
        <w:t xml:space="preserve"> June 16, 2022</w:t>
      </w:r>
    </w:p>
    <w:bookmarkEnd w:id="2"/>
    <w:p w:rsidR="008B2CC1" w:rsidRPr="003845C1" w:rsidRDefault="00A9118D" w:rsidP="00CE65D4">
      <w:pPr>
        <w:spacing w:after="600"/>
        <w:rPr>
          <w:b/>
          <w:sz w:val="28"/>
          <w:szCs w:val="28"/>
        </w:rPr>
      </w:pPr>
      <w:r w:rsidRPr="00A9118D">
        <w:rPr>
          <w:b/>
          <w:sz w:val="28"/>
          <w:szCs w:val="28"/>
        </w:rPr>
        <w:t>WIPO General Assembly</w:t>
      </w:r>
    </w:p>
    <w:p w:rsidR="008B2CC1" w:rsidRPr="003845C1" w:rsidRDefault="00A9118D" w:rsidP="008B2CC1">
      <w:pPr>
        <w:rPr>
          <w:b/>
          <w:sz w:val="24"/>
          <w:szCs w:val="24"/>
        </w:rPr>
      </w:pPr>
      <w:r w:rsidRPr="00A9118D">
        <w:rPr>
          <w:b/>
          <w:sz w:val="24"/>
          <w:szCs w:val="24"/>
        </w:rPr>
        <w:t>Fifty</w:t>
      </w:r>
      <w:r w:rsidR="006234C1">
        <w:rPr>
          <w:b/>
          <w:sz w:val="24"/>
          <w:szCs w:val="24"/>
        </w:rPr>
        <w:noBreakHyphen/>
      </w:r>
      <w:r w:rsidR="008C13B2">
        <w:rPr>
          <w:b/>
          <w:sz w:val="24"/>
          <w:szCs w:val="24"/>
        </w:rPr>
        <w:t>F</w:t>
      </w:r>
      <w:r w:rsidRPr="00A9118D">
        <w:rPr>
          <w:b/>
          <w:sz w:val="24"/>
          <w:szCs w:val="24"/>
        </w:rPr>
        <w:t>ifth (30</w:t>
      </w:r>
      <w:r w:rsidR="008C13B2" w:rsidRPr="008C13B2">
        <w:rPr>
          <w:b/>
          <w:sz w:val="24"/>
          <w:szCs w:val="24"/>
          <w:vertAlign w:val="superscript"/>
        </w:rPr>
        <w:t>th</w:t>
      </w:r>
      <w:r w:rsidRPr="00A9118D">
        <w:rPr>
          <w:b/>
          <w:sz w:val="24"/>
          <w:szCs w:val="24"/>
        </w:rPr>
        <w:t xml:space="preserve"> Extraordinary) Session</w:t>
      </w:r>
    </w:p>
    <w:p w:rsidR="008B2CC1" w:rsidRPr="009F3BF9" w:rsidRDefault="00A9118D" w:rsidP="00CE65D4">
      <w:pPr>
        <w:spacing w:after="720"/>
      </w:pPr>
      <w:r w:rsidRPr="00A9118D">
        <w:rPr>
          <w:b/>
          <w:sz w:val="24"/>
          <w:szCs w:val="24"/>
        </w:rPr>
        <w:t>Geneva, July 1</w:t>
      </w:r>
      <w:r w:rsidR="00C33CC6">
        <w:rPr>
          <w:b/>
          <w:sz w:val="24"/>
          <w:szCs w:val="24"/>
        </w:rPr>
        <w:t>4</w:t>
      </w:r>
      <w:r w:rsidRPr="00A9118D">
        <w:rPr>
          <w:b/>
          <w:sz w:val="24"/>
          <w:szCs w:val="24"/>
        </w:rPr>
        <w:t xml:space="preserve"> to 22</w:t>
      </w:r>
      <w:bookmarkStart w:id="3" w:name="_GoBack"/>
      <w:bookmarkEnd w:id="3"/>
      <w:r w:rsidRPr="00A9118D">
        <w:rPr>
          <w:b/>
          <w:sz w:val="24"/>
          <w:szCs w:val="24"/>
        </w:rPr>
        <w:t>, 2022</w:t>
      </w:r>
    </w:p>
    <w:p w:rsidR="00A12A21" w:rsidRPr="003845C1" w:rsidRDefault="00A12A21" w:rsidP="00A12A21">
      <w:pPr>
        <w:spacing w:after="360"/>
        <w:outlineLvl w:val="0"/>
        <w:rPr>
          <w:caps/>
          <w:sz w:val="24"/>
        </w:rPr>
      </w:pPr>
      <w:bookmarkStart w:id="4" w:name="TitleOfDoc"/>
      <w:r w:rsidRPr="00336108">
        <w:rPr>
          <w:caps/>
          <w:sz w:val="24"/>
        </w:rPr>
        <w:t>REPORT ON THE INTERGOVERNMENTAL COMMITTEE ON INTELLECTUAL PROPERTY AND GENETIC RESOURCES, TRADITIONAL KNOWLEDGE AND FOLKLORE (IGC)</w:t>
      </w:r>
    </w:p>
    <w:p w:rsidR="00A12A21" w:rsidRPr="00F9165B" w:rsidRDefault="00A12A21" w:rsidP="00A12A21">
      <w:pPr>
        <w:spacing w:after="1040"/>
        <w:rPr>
          <w:i/>
        </w:rPr>
      </w:pPr>
      <w:proofErr w:type="gramStart"/>
      <w:r>
        <w:rPr>
          <w:i/>
        </w:rPr>
        <w:t>prepared</w:t>
      </w:r>
      <w:proofErr w:type="gramEnd"/>
      <w:r>
        <w:rPr>
          <w:i/>
        </w:rPr>
        <w:t xml:space="preserve"> by the Secretariat</w:t>
      </w:r>
    </w:p>
    <w:p w:rsidR="00A12A21" w:rsidRPr="00D56CC7" w:rsidRDefault="00A12A21" w:rsidP="00A12A21">
      <w:pPr>
        <w:pStyle w:val="Heading2"/>
        <w:numPr>
          <w:ilvl w:val="0"/>
          <w:numId w:val="7"/>
        </w:numPr>
        <w:spacing w:after="220"/>
        <w:ind w:left="540"/>
        <w:rPr>
          <w:b/>
        </w:rPr>
      </w:pPr>
      <w:r w:rsidRPr="00D56CC7">
        <w:rPr>
          <w:b/>
        </w:rPr>
        <w:t>INTRODUCTION</w:t>
      </w:r>
    </w:p>
    <w:p w:rsidR="00A12A21" w:rsidRPr="003804D9" w:rsidRDefault="00A12A21" w:rsidP="00A12A21">
      <w:pPr>
        <w:spacing w:before="240" w:after="240"/>
      </w:pPr>
      <w:r>
        <w:fldChar w:fldCharType="begin"/>
      </w:r>
      <w:r>
        <w:instrText xml:space="preserve"> AUTONUM  </w:instrText>
      </w:r>
      <w:r>
        <w:fldChar w:fldCharType="end"/>
      </w:r>
      <w:r>
        <w:tab/>
      </w:r>
      <w:r w:rsidRPr="003804D9">
        <w:t>The WIPO General Assembly, at its</w:t>
      </w:r>
      <w:r>
        <w:t xml:space="preserve"> </w:t>
      </w:r>
      <w:r w:rsidRPr="0045276E">
        <w:t>Fift</w:t>
      </w:r>
      <w:r>
        <w:t>y-Fourth (25</w:t>
      </w:r>
      <w:r w:rsidRPr="002B08DB">
        <w:rPr>
          <w:vertAlign w:val="superscript"/>
        </w:rPr>
        <w:t>th</w:t>
      </w:r>
      <w:r>
        <w:t xml:space="preserve"> Ordinary) </w:t>
      </w:r>
      <w:r w:rsidRPr="00C31714">
        <w:t>Session</w:t>
      </w:r>
      <w:r w:rsidRPr="003804D9">
        <w:t xml:space="preserve"> </w:t>
      </w:r>
      <w:r>
        <w:t>in October 2021</w:t>
      </w:r>
      <w:r w:rsidRPr="003804D9">
        <w:t>, agreed on the mandate for the Intergovernmental Committee on Intellectual Property and Genetic Resources, Traditional Knowledge</w:t>
      </w:r>
      <w:r>
        <w:t xml:space="preserve"> and Folklore (IGC) for the 2022/2023 biennium.</w:t>
      </w:r>
    </w:p>
    <w:p w:rsidR="00A12A21" w:rsidRDefault="00A12A21" w:rsidP="00A12A21">
      <w:pPr>
        <w:spacing w:before="240" w:after="240"/>
      </w:pPr>
      <w:r>
        <w:fldChar w:fldCharType="begin"/>
      </w:r>
      <w:r>
        <w:instrText xml:space="preserve"> AUTONUM  </w:instrText>
      </w:r>
      <w:r>
        <w:fldChar w:fldCharType="end"/>
      </w:r>
      <w:r>
        <w:tab/>
        <w:t>The IGC’s mandate for the 2022/2023</w:t>
      </w:r>
      <w:r w:rsidRPr="003804D9">
        <w:t xml:space="preserve"> biennium, which w</w:t>
      </w:r>
      <w:r>
        <w:t>as set out in document WO/GA/54/10</w:t>
      </w:r>
      <w:r w:rsidRPr="003804D9">
        <w:t>, provides as follows:</w:t>
      </w:r>
    </w:p>
    <w:p w:rsidR="00A12A21" w:rsidRPr="00285638" w:rsidRDefault="00A12A21" w:rsidP="00A12A21">
      <w:pPr>
        <w:spacing w:after="161"/>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rsidR="00A12A21" w:rsidRPr="00285638" w:rsidRDefault="00A12A21" w:rsidP="00A12A21">
      <w:pPr>
        <w:spacing w:before="240" w:after="240"/>
        <w:ind w:left="1134"/>
        <w:rPr>
          <w:szCs w:val="22"/>
        </w:rPr>
      </w:pPr>
      <w:r>
        <w:rPr>
          <w:szCs w:val="22"/>
        </w:rPr>
        <w:t>“(a)</w:t>
      </w:r>
      <w:r>
        <w:rPr>
          <w:szCs w:val="22"/>
        </w:rPr>
        <w:tab/>
      </w:r>
      <w:r w:rsidRPr="00285638">
        <w:rPr>
          <w:szCs w:val="22"/>
        </w:rPr>
        <w:t>The Committee will, during the next budgetary biennium 2022/2023,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w:t>
      </w:r>
      <w:r>
        <w:rPr>
          <w:szCs w:val="22"/>
        </w:rPr>
        <w:t>pressions (TCEs).</w:t>
      </w:r>
    </w:p>
    <w:p w:rsidR="00A12A21" w:rsidRPr="00285638" w:rsidRDefault="00A12A21" w:rsidP="00A12A21">
      <w:pPr>
        <w:spacing w:before="240" w:after="240"/>
        <w:ind w:left="1134"/>
        <w:rPr>
          <w:szCs w:val="22"/>
        </w:rPr>
      </w:pPr>
      <w:r>
        <w:rPr>
          <w:szCs w:val="22"/>
        </w:rPr>
        <w:lastRenderedPageBreak/>
        <w:t>“(b)</w:t>
      </w:r>
      <w:r>
        <w:rPr>
          <w:szCs w:val="22"/>
        </w:rPr>
        <w:tab/>
      </w:r>
      <w:r w:rsidRPr="00285638">
        <w:rPr>
          <w:szCs w:val="22"/>
        </w:rPr>
        <w:t>The Committee’s work in the 2022/2023 biennium will build on the existing work carried out by the Committee, including text-based negotiations, with a primary focus on narrowing existing gaps and reaching a common understanding on core issues</w:t>
      </w:r>
      <w:r w:rsidRPr="00285638">
        <w:rPr>
          <w:rStyle w:val="FootnoteReference"/>
          <w:szCs w:val="22"/>
        </w:rPr>
        <w:footnoteReference w:id="2"/>
      </w:r>
      <w:r>
        <w:rPr>
          <w:szCs w:val="22"/>
        </w:rPr>
        <w:t>.</w:t>
      </w:r>
    </w:p>
    <w:p w:rsidR="00A12A21" w:rsidRPr="00285638" w:rsidRDefault="00A12A21" w:rsidP="00A12A21">
      <w:pPr>
        <w:spacing w:before="240" w:after="240"/>
        <w:ind w:left="1134"/>
        <w:rPr>
          <w:szCs w:val="22"/>
        </w:rPr>
      </w:pPr>
      <w:r>
        <w:rPr>
          <w:szCs w:val="22"/>
        </w:rPr>
        <w:t>“(c)</w:t>
      </w:r>
      <w:r>
        <w:rPr>
          <w:szCs w:val="22"/>
        </w:rPr>
        <w:tab/>
      </w:r>
      <w:r w:rsidRPr="00285638">
        <w:rPr>
          <w:szCs w:val="22"/>
        </w:rPr>
        <w:t>The Committee will follow, as set out in the table below, a work program based on open and inclusive working methods for the 2022/2023 biennium, including an evidence-based approach as set out in paragraph (d).  This work program will make provision for 6 sessions of the Committee in 2022/2023, including thematic, cross</w:t>
      </w:r>
      <w:r w:rsidRPr="00285638">
        <w:rPr>
          <w:szCs w:val="22"/>
        </w:rPr>
        <w:noBreakHyphen/>
        <w:t xml:space="preserve">cutting, and stocktaking sessions.  The Committee may establish </w:t>
      </w:r>
      <w:r w:rsidRPr="00285638">
        <w:rPr>
          <w:i/>
          <w:szCs w:val="22"/>
        </w:rPr>
        <w:t>ad hoc</w:t>
      </w:r>
      <w:r w:rsidRPr="00285638">
        <w:rPr>
          <w:szCs w:val="22"/>
        </w:rPr>
        <w:t xml:space="preserve"> expert group(s) to address a specific legal, policy, or technical issue</w:t>
      </w:r>
      <w:r w:rsidRPr="00285638">
        <w:rPr>
          <w:szCs w:val="22"/>
          <w:vertAlign w:val="superscript"/>
        </w:rPr>
        <w:footnoteReference w:id="3"/>
      </w:r>
      <w:r w:rsidRPr="00285638">
        <w:rPr>
          <w:szCs w:val="22"/>
        </w:rPr>
        <w:t>.  The results of the work of such group(s) will be submitted to t</w:t>
      </w:r>
      <w:r>
        <w:rPr>
          <w:szCs w:val="22"/>
        </w:rPr>
        <w:t>he Committee for consideration.</w:t>
      </w:r>
    </w:p>
    <w:p w:rsidR="00A12A21" w:rsidRPr="00285638" w:rsidRDefault="00A12A21" w:rsidP="00A12A21">
      <w:pPr>
        <w:spacing w:before="240" w:after="240"/>
        <w:ind w:left="1134"/>
        <w:rPr>
          <w:szCs w:val="22"/>
        </w:rPr>
      </w:pPr>
      <w:r>
        <w:rPr>
          <w:szCs w:val="22"/>
        </w:rPr>
        <w:t>“(d)</w:t>
      </w:r>
      <w:r>
        <w:rPr>
          <w:szCs w:val="22"/>
        </w:rPr>
        <w:tab/>
      </w:r>
      <w:r w:rsidRPr="00285638">
        <w:rPr>
          <w:szCs w:val="22"/>
        </w:rPr>
        <w:t xml:space="preserve">The Committee will use all WIPO working documents, including WIPO/GRTKF/IC/40/6, WIPO/GRTKF/IC/40/18, WIPO/GRTKF/IC/40/19 and the Chair’s Text on a </w:t>
      </w:r>
      <w:r w:rsidRPr="00285638">
        <w:rPr>
          <w:i/>
          <w:szCs w:val="22"/>
        </w:rPr>
        <w:t>Draft International Legal Instrument Relating to Intellectual Property, Genetic Resources and Traditional Knowledge Associated with Genetic Resources</w:t>
      </w:r>
      <w:r w:rsidRPr="00285638">
        <w:rPr>
          <w:szCs w:val="22"/>
        </w:rPr>
        <w:t xml:space="preserve">,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285638">
        <w:rPr>
          <w:i/>
          <w:szCs w:val="22"/>
        </w:rPr>
        <w:t>sui generis</w:t>
      </w:r>
      <w:r w:rsidRPr="00285638">
        <w:rPr>
          <w:szCs w:val="22"/>
        </w:rPr>
        <w:t xml:space="preserve"> regimes for the intellectual property protection of TK and TCEs.  Studies or additional activities are not to delay progress or establish any preconditio</w:t>
      </w:r>
      <w:r>
        <w:rPr>
          <w:szCs w:val="22"/>
        </w:rPr>
        <w:t>ns for the negotiations.</w:t>
      </w:r>
    </w:p>
    <w:p w:rsidR="00A12A21" w:rsidRPr="00285638" w:rsidRDefault="00A12A21" w:rsidP="00A12A21">
      <w:pPr>
        <w:spacing w:before="240" w:after="240"/>
        <w:ind w:left="1134"/>
        <w:rPr>
          <w:szCs w:val="22"/>
        </w:rPr>
      </w:pPr>
      <w:r>
        <w:rPr>
          <w:szCs w:val="22"/>
        </w:rPr>
        <w:t>“(e)</w:t>
      </w:r>
      <w:r>
        <w:rPr>
          <w:szCs w:val="22"/>
        </w:rPr>
        <w:tab/>
      </w:r>
      <w:r w:rsidRPr="00285638">
        <w:rPr>
          <w:szCs w:val="22"/>
        </w:rPr>
        <w:t>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levels of agreement on objectives, scope, and nature of the instrument(s), decide on whether to convene a diplomatic conference</w:t>
      </w:r>
      <w:r>
        <w:rPr>
          <w:szCs w:val="22"/>
        </w:rPr>
        <w:t xml:space="preserve"> and/or continue negotiations.</w:t>
      </w:r>
    </w:p>
    <w:p w:rsidR="00A12A21" w:rsidRPr="00285638" w:rsidRDefault="00A12A21" w:rsidP="00A12A21">
      <w:pPr>
        <w:spacing w:before="240" w:after="240"/>
        <w:ind w:left="1134"/>
        <w:rPr>
          <w:szCs w:val="22"/>
        </w:rPr>
      </w:pPr>
      <w:r>
        <w:rPr>
          <w:szCs w:val="22"/>
        </w:rPr>
        <w:t>“(f)</w:t>
      </w:r>
      <w:r>
        <w:rPr>
          <w:szCs w:val="22"/>
        </w:rPr>
        <w:tab/>
      </w:r>
      <w:r w:rsidRPr="00285638">
        <w:rPr>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w:t>
      </w:r>
      <w:r>
        <w:rPr>
          <w:szCs w:val="22"/>
        </w:rPr>
        <w:t xml:space="preserve"> the usual formula for the IGC.</w:t>
      </w:r>
    </w:p>
    <w:p w:rsidR="00A12A21" w:rsidRDefault="00A12A21" w:rsidP="00A12A21">
      <w:pPr>
        <w:rPr>
          <w:b/>
          <w:bCs/>
          <w:caps/>
          <w:kern w:val="32"/>
          <w:szCs w:val="32"/>
        </w:rPr>
      </w:pPr>
      <w:r>
        <w:br w:type="page"/>
      </w:r>
    </w:p>
    <w:p w:rsidR="00A12A21" w:rsidRPr="00AE4883" w:rsidRDefault="00A12A21" w:rsidP="00A12A21">
      <w:pPr>
        <w:pStyle w:val="Heading1"/>
        <w:tabs>
          <w:tab w:val="right" w:pos="9355"/>
        </w:tabs>
        <w:spacing w:after="240"/>
        <w:ind w:left="567"/>
      </w:pPr>
      <w:r w:rsidRPr="00AE4883">
        <w:lastRenderedPageBreak/>
        <w:t xml:space="preserve">Work </w:t>
      </w:r>
      <w:r w:rsidRPr="004C17EE">
        <w:t>Program</w:t>
      </w:r>
      <w:r>
        <w:t xml:space="preserve"> – 6 Sessions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A12A21" w:rsidRPr="00254179" w:rsidTr="006C431F">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b/>
                <w:szCs w:val="22"/>
              </w:rPr>
              <w:t>Indicative Dates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b/>
                <w:szCs w:val="22"/>
              </w:rPr>
              <w:t>Activity</w:t>
            </w:r>
          </w:p>
        </w:tc>
      </w:tr>
      <w:tr w:rsidR="00A12A21" w:rsidRPr="00254179" w:rsidTr="006C431F">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jc w:val="both"/>
              <w:rPr>
                <w:szCs w:val="22"/>
              </w:rPr>
            </w:pPr>
            <w:r>
              <w:rPr>
                <w:szCs w:val="22"/>
              </w:rPr>
              <w:t>February/March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(IGC 42)</w:t>
            </w:r>
          </w:p>
          <w:p w:rsidR="00A12A21" w:rsidRPr="00A0422B" w:rsidRDefault="00A12A21" w:rsidP="006C431F">
            <w:pPr>
              <w:spacing w:line="259" w:lineRule="auto"/>
              <w:rPr>
                <w:szCs w:val="22"/>
              </w:rPr>
            </w:pPr>
            <w:r w:rsidRPr="00A0422B">
              <w:rPr>
                <w:szCs w:val="22"/>
              </w:rPr>
              <w:t>Undertake negotiations on GRs with a focus on addressing unresolved issues and considering optio</w:t>
            </w:r>
            <w:r>
              <w:rPr>
                <w:szCs w:val="22"/>
              </w:rPr>
              <w:t>ns for a draft legal instrument</w:t>
            </w:r>
          </w:p>
          <w:p w:rsidR="00A12A21" w:rsidRPr="00A0422B" w:rsidRDefault="00A12A21" w:rsidP="006C431F">
            <w:pPr>
              <w:spacing w:line="259" w:lineRule="auto"/>
              <w:rPr>
                <w:szCs w:val="22"/>
              </w:rPr>
            </w:pPr>
            <w:r>
              <w:rPr>
                <w:szCs w:val="22"/>
              </w:rPr>
              <w:t>Duration 5 days.</w:t>
            </w:r>
          </w:p>
        </w:tc>
      </w:tr>
      <w:tr w:rsidR="00A12A21" w:rsidRPr="00254179" w:rsidTr="006C431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May/June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(IGC 43)</w:t>
            </w:r>
          </w:p>
          <w:p w:rsidR="00A12A21" w:rsidRPr="00A0422B" w:rsidRDefault="00A12A21" w:rsidP="006C431F">
            <w:pPr>
              <w:spacing w:line="259" w:lineRule="auto"/>
              <w:ind w:right="926"/>
              <w:rPr>
                <w:szCs w:val="22"/>
              </w:rPr>
            </w:pPr>
            <w:r w:rsidRPr="00A0422B">
              <w:rPr>
                <w:szCs w:val="22"/>
              </w:rPr>
              <w:t>Undertake negotiations on GRs with a focus on addressing unresolved issues and considering option</w:t>
            </w:r>
            <w:r>
              <w:rPr>
                <w:szCs w:val="22"/>
              </w:rPr>
              <w:t>s for a draft legal instrument.</w:t>
            </w:r>
          </w:p>
          <w:p w:rsidR="00A12A21" w:rsidRPr="00A0422B" w:rsidRDefault="00A12A21" w:rsidP="006C431F">
            <w:pPr>
              <w:spacing w:line="259" w:lineRule="auto"/>
              <w:rPr>
                <w:szCs w:val="22"/>
              </w:rPr>
            </w:pPr>
            <w:r w:rsidRPr="00A0422B">
              <w:rPr>
                <w:szCs w:val="22"/>
              </w:rPr>
              <w:t>Duration 5 days, plus, if so decided, a one day meeting of an</w:t>
            </w:r>
            <w:r w:rsidRPr="00A0422B">
              <w:rPr>
                <w:i/>
                <w:szCs w:val="22"/>
              </w:rPr>
              <w:t xml:space="preserve"> ad hoc</w:t>
            </w:r>
            <w:r>
              <w:rPr>
                <w:szCs w:val="22"/>
              </w:rPr>
              <w:t xml:space="preserve"> expert group.</w:t>
            </w:r>
          </w:p>
        </w:tc>
      </w:tr>
      <w:tr w:rsidR="00A12A21" w:rsidRPr="00254179" w:rsidTr="006C431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September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after="2" w:line="259" w:lineRule="auto"/>
              <w:rPr>
                <w:szCs w:val="22"/>
              </w:rPr>
            </w:pPr>
            <w:r>
              <w:rPr>
                <w:szCs w:val="22"/>
              </w:rPr>
              <w:t>(IGC 44)</w:t>
            </w:r>
          </w:p>
          <w:p w:rsidR="00A12A21" w:rsidRPr="00A0422B" w:rsidRDefault="00A12A21" w:rsidP="006C431F">
            <w:pPr>
              <w:spacing w:line="259" w:lineRule="auto"/>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A12A21" w:rsidRPr="00A0422B" w:rsidRDefault="00A12A21" w:rsidP="006C431F">
            <w:pPr>
              <w:spacing w:line="259" w:lineRule="auto"/>
              <w:ind w:right="42"/>
              <w:rPr>
                <w:szCs w:val="22"/>
              </w:rPr>
            </w:pPr>
            <w:r w:rsidRPr="00A0422B">
              <w:rPr>
                <w:szCs w:val="22"/>
              </w:rPr>
              <w:t>Possible recommendation</w:t>
            </w:r>
            <w:r>
              <w:rPr>
                <w:szCs w:val="22"/>
              </w:rPr>
              <w:t>s as mentioned in paragraph (e)</w:t>
            </w:r>
          </w:p>
          <w:p w:rsidR="00A12A21" w:rsidRPr="00A0422B" w:rsidRDefault="00A12A21" w:rsidP="006C431F">
            <w:pPr>
              <w:spacing w:line="259" w:lineRule="auto"/>
              <w:ind w:right="42"/>
              <w:rPr>
                <w:szCs w:val="22"/>
              </w:rPr>
            </w:pPr>
            <w:r>
              <w:rPr>
                <w:szCs w:val="22"/>
              </w:rPr>
              <w:t>Duration 5 days.</w:t>
            </w:r>
          </w:p>
        </w:tc>
      </w:tr>
      <w:tr w:rsidR="00A12A21" w:rsidRPr="00254179" w:rsidTr="006C431F">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October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WIPO General Assembly</w:t>
            </w:r>
          </w:p>
          <w:p w:rsidR="00A12A21" w:rsidRPr="00A0422B" w:rsidRDefault="00A12A21" w:rsidP="006C431F">
            <w:pPr>
              <w:spacing w:line="259" w:lineRule="auto"/>
              <w:rPr>
                <w:szCs w:val="22"/>
              </w:rPr>
            </w:pPr>
            <w:r w:rsidRPr="00A0422B">
              <w:rPr>
                <w:szCs w:val="22"/>
              </w:rPr>
              <w:t>Factual repo</w:t>
            </w:r>
            <w:r>
              <w:rPr>
                <w:szCs w:val="22"/>
              </w:rPr>
              <w:t>rt and consider recommendations</w:t>
            </w:r>
          </w:p>
        </w:tc>
      </w:tr>
      <w:tr w:rsidR="00A12A21" w:rsidRPr="00254179" w:rsidTr="006C431F">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November/December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(IGC 45)</w:t>
            </w:r>
          </w:p>
          <w:p w:rsidR="00A12A21" w:rsidRPr="00A0422B" w:rsidRDefault="00A12A21" w:rsidP="006C431F">
            <w:pPr>
              <w:spacing w:line="259" w:lineRule="auto"/>
              <w:rPr>
                <w:szCs w:val="22"/>
              </w:rPr>
            </w:pPr>
            <w:r w:rsidRPr="00A0422B">
              <w:rPr>
                <w:szCs w:val="22"/>
              </w:rPr>
              <w:t>Undertake negotiations on TK and/or TCEs with a focus on addressing unresolved and cross-cutting issues and considering options for a draft legal instrum</w:t>
            </w:r>
            <w:r>
              <w:rPr>
                <w:szCs w:val="22"/>
              </w:rPr>
              <w:t>ent(s).</w:t>
            </w:r>
          </w:p>
          <w:p w:rsidR="00A12A21" w:rsidRPr="00A0422B" w:rsidRDefault="00A12A21" w:rsidP="006C431F">
            <w:pPr>
              <w:spacing w:line="259" w:lineRule="auto"/>
              <w:rPr>
                <w:szCs w:val="22"/>
              </w:rPr>
            </w:pPr>
            <w:r w:rsidRPr="00A0422B">
              <w:rPr>
                <w:szCs w:val="22"/>
              </w:rPr>
              <w:t xml:space="preserve">Duration 5 days, plus, if so decided, a one day meeting of an </w:t>
            </w:r>
            <w:r w:rsidRPr="00A0422B">
              <w:rPr>
                <w:i/>
                <w:szCs w:val="22"/>
              </w:rPr>
              <w:t>ad hoc</w:t>
            </w:r>
            <w:r>
              <w:rPr>
                <w:szCs w:val="22"/>
              </w:rPr>
              <w:t xml:space="preserve"> expert group.</w:t>
            </w:r>
          </w:p>
        </w:tc>
      </w:tr>
      <w:tr w:rsidR="00A12A21" w:rsidRPr="00254179" w:rsidTr="006C431F">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March/April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Default="00A12A21" w:rsidP="006C431F">
            <w:pPr>
              <w:spacing w:line="259" w:lineRule="auto"/>
              <w:rPr>
                <w:szCs w:val="22"/>
              </w:rPr>
            </w:pPr>
            <w:r>
              <w:rPr>
                <w:szCs w:val="22"/>
              </w:rPr>
              <w:t>(IGC 46)</w:t>
            </w:r>
          </w:p>
          <w:p w:rsidR="00A12A21" w:rsidRPr="00A0422B" w:rsidRDefault="00A12A21" w:rsidP="006C431F">
            <w:pPr>
              <w:spacing w:line="259" w:lineRule="auto"/>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A12A21" w:rsidRPr="00A0422B" w:rsidRDefault="00A12A21" w:rsidP="006C431F">
            <w:pPr>
              <w:spacing w:line="259" w:lineRule="auto"/>
              <w:ind w:right="214"/>
              <w:rPr>
                <w:szCs w:val="22"/>
              </w:rPr>
            </w:pPr>
            <w:r w:rsidRPr="00A0422B">
              <w:rPr>
                <w:szCs w:val="22"/>
              </w:rPr>
              <w:t xml:space="preserve">Duration 5 days, plus, if so decided, a one day meeting of an </w:t>
            </w:r>
            <w:r w:rsidRPr="00A0422B">
              <w:rPr>
                <w:i/>
                <w:szCs w:val="22"/>
              </w:rPr>
              <w:t>ad hoc</w:t>
            </w:r>
            <w:r>
              <w:rPr>
                <w:szCs w:val="22"/>
              </w:rPr>
              <w:t xml:space="preserve"> expert group.</w:t>
            </w:r>
          </w:p>
        </w:tc>
      </w:tr>
      <w:tr w:rsidR="00A12A21" w:rsidRPr="00254179" w:rsidTr="006C431F">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sidRPr="00A0422B">
              <w:rPr>
                <w:szCs w:val="22"/>
              </w:rPr>
              <w:t>June/July</w:t>
            </w:r>
            <w:r>
              <w:rPr>
                <w:szCs w:val="22"/>
              </w:rPr>
              <w:t xml:space="preserv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(IGC 47)</w:t>
            </w:r>
          </w:p>
          <w:p w:rsidR="00A12A21" w:rsidRPr="00A0422B" w:rsidRDefault="00A12A21" w:rsidP="006C431F">
            <w:pPr>
              <w:spacing w:line="259" w:lineRule="auto"/>
              <w:rPr>
                <w:szCs w:val="22"/>
              </w:rPr>
            </w:pPr>
            <w:r w:rsidRPr="00A0422B">
              <w:rPr>
                <w:szCs w:val="22"/>
              </w:rPr>
              <w:t>Undertake negotiations on TK and/or TCEs with a focus on addressing unresolved and cross-cutting issues and considering options f</w:t>
            </w:r>
            <w:r>
              <w:rPr>
                <w:szCs w:val="22"/>
              </w:rPr>
              <w:t>or a draft legal instrument(s).</w:t>
            </w:r>
          </w:p>
          <w:p w:rsidR="00A12A21" w:rsidRPr="00A0422B" w:rsidRDefault="00A12A21" w:rsidP="006C431F">
            <w:pPr>
              <w:spacing w:line="259" w:lineRule="auto"/>
              <w:rPr>
                <w:szCs w:val="22"/>
              </w:rPr>
            </w:pPr>
            <w:r w:rsidRPr="00A0422B">
              <w:rPr>
                <w:szCs w:val="22"/>
              </w:rPr>
              <w:t>Stocktaking on GRs/TK/T</w:t>
            </w:r>
            <w:r>
              <w:rPr>
                <w:szCs w:val="22"/>
              </w:rPr>
              <w:t>CEs and making a recommendation</w:t>
            </w:r>
          </w:p>
          <w:p w:rsidR="00A12A21" w:rsidRPr="00A0422B" w:rsidRDefault="00A12A21" w:rsidP="006C431F">
            <w:pPr>
              <w:spacing w:line="259" w:lineRule="auto"/>
              <w:rPr>
                <w:szCs w:val="22"/>
              </w:rPr>
            </w:pPr>
            <w:r>
              <w:rPr>
                <w:szCs w:val="22"/>
              </w:rPr>
              <w:t>Duration 5 days.</w:t>
            </w:r>
          </w:p>
        </w:tc>
      </w:tr>
      <w:tr w:rsidR="00A12A21" w:rsidRPr="00254179" w:rsidTr="006C431F">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Pr>
                <w:szCs w:val="22"/>
              </w:rPr>
              <w:t>October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A12A21" w:rsidRPr="00A0422B" w:rsidRDefault="00A12A21" w:rsidP="006C431F">
            <w:pPr>
              <w:spacing w:line="259" w:lineRule="auto"/>
              <w:rPr>
                <w:szCs w:val="22"/>
              </w:rPr>
            </w:pPr>
            <w:r w:rsidRPr="00A0422B">
              <w:rPr>
                <w:szCs w:val="22"/>
              </w:rPr>
              <w:t>WIPO General Assembly will take stock of the progress made, consider the text(s) and make the necessary decision(s).”</w:t>
            </w:r>
          </w:p>
        </w:tc>
      </w:tr>
    </w:tbl>
    <w:p w:rsidR="00A12A21" w:rsidRDefault="00A12A21" w:rsidP="00A12A21">
      <w:pPr>
        <w:spacing w:before="240" w:after="240"/>
      </w:pPr>
      <w:r>
        <w:fldChar w:fldCharType="begin"/>
      </w:r>
      <w:r>
        <w:instrText xml:space="preserve"> AUTONUM  </w:instrText>
      </w:r>
      <w:r>
        <w:fldChar w:fldCharType="end"/>
      </w:r>
      <w:r>
        <w:tab/>
      </w:r>
      <w:r w:rsidRPr="001464E5">
        <w:t xml:space="preserve">Paragraph (e) of the mandate for this biennium (quoted </w:t>
      </w:r>
      <w:r>
        <w:t>above) requests the IGC, in 2022</w:t>
      </w:r>
      <w:r w:rsidRPr="001464E5">
        <w:t xml:space="preserve">, </w:t>
      </w:r>
      <w:r w:rsidRPr="00355718">
        <w:t xml:space="preserve">to </w:t>
      </w:r>
      <w:r>
        <w:t>“</w:t>
      </w:r>
      <w:r w:rsidRPr="00285638">
        <w:rPr>
          <w:szCs w:val="22"/>
        </w:rPr>
        <w:t>provide to the General Assembly a factual report along with the most recent texts available of its work up to that time with recommendations</w:t>
      </w:r>
      <w:r w:rsidRPr="001464E5">
        <w:t>”.  This document is prep</w:t>
      </w:r>
      <w:r>
        <w:t>ared pursuant to this decision.</w:t>
      </w:r>
    </w:p>
    <w:p w:rsidR="00A12A21" w:rsidRPr="007F0EB7" w:rsidRDefault="00A12A21" w:rsidP="00A12A21">
      <w:pPr>
        <w:pStyle w:val="BodyText"/>
        <w:rPr>
          <w:b/>
        </w:rPr>
      </w:pPr>
      <w:r w:rsidRPr="007F0EB7">
        <w:rPr>
          <w:b/>
        </w:rPr>
        <w:lastRenderedPageBreak/>
        <w:t>II.</w:t>
      </w:r>
      <w:r w:rsidRPr="007F0EB7">
        <w:rPr>
          <w:b/>
        </w:rPr>
        <w:tab/>
      </w:r>
      <w:r>
        <w:rPr>
          <w:b/>
        </w:rPr>
        <w:t>IGC SESSIONS IN 2022</w:t>
      </w:r>
    </w:p>
    <w:p w:rsidR="00A12A21" w:rsidRDefault="00A12A21" w:rsidP="00A12A21">
      <w:pPr>
        <w:spacing w:before="240" w:after="240"/>
      </w:pPr>
      <w:r>
        <w:fldChar w:fldCharType="begin"/>
      </w:r>
      <w:r>
        <w:instrText xml:space="preserve"> AUTONUM  </w:instrText>
      </w:r>
      <w:r>
        <w:fldChar w:fldCharType="end"/>
      </w:r>
      <w:r>
        <w:tab/>
      </w:r>
      <w:r w:rsidRPr="001464E5">
        <w:t>Purs</w:t>
      </w:r>
      <w:r>
        <w:t>uant to the mandate for the 2022/2023</w:t>
      </w:r>
      <w:r w:rsidRPr="001464E5">
        <w:t xml:space="preserve"> bienni</w:t>
      </w:r>
      <w:r>
        <w:t>um and the work program for 2022</w:t>
      </w:r>
      <w:r w:rsidRPr="001464E5">
        <w:t xml:space="preserve">, the IGC has, thus far, held </w:t>
      </w:r>
      <w:r>
        <w:t>two sessions in 2022,</w:t>
      </w:r>
      <w:r w:rsidRPr="001464E5">
        <w:t xml:space="preserve"> as follows:</w:t>
      </w:r>
    </w:p>
    <w:p w:rsidR="00A12A21" w:rsidRPr="003B3DE6" w:rsidRDefault="00A12A21" w:rsidP="00A12A21">
      <w:pPr>
        <w:pStyle w:val="ListParagraph"/>
        <w:numPr>
          <w:ilvl w:val="1"/>
          <w:numId w:val="9"/>
        </w:numPr>
        <w:spacing w:before="240" w:after="240" w:line="260" w:lineRule="atLeast"/>
        <w:ind w:left="1134" w:hanging="567"/>
        <w:rPr>
          <w:rFonts w:ascii="Arial" w:hAnsi="Arial" w:cs="Arial"/>
        </w:rPr>
      </w:pPr>
      <w:r>
        <w:rPr>
          <w:rFonts w:ascii="Arial" w:hAnsi="Arial" w:cs="Arial"/>
        </w:rPr>
        <w:t>IGC 42</w:t>
      </w:r>
      <w:r w:rsidRPr="003B3DE6">
        <w:rPr>
          <w:rFonts w:ascii="Arial" w:hAnsi="Arial" w:cs="Arial"/>
        </w:rPr>
        <w:t xml:space="preserve">, from </w:t>
      </w:r>
      <w:r>
        <w:rPr>
          <w:rFonts w:ascii="Arial" w:hAnsi="Arial" w:cs="Arial"/>
        </w:rPr>
        <w:t>February 28 to March 4, 2022, on the subject of GRs;  and</w:t>
      </w:r>
    </w:p>
    <w:p w:rsidR="00A12A21" w:rsidRDefault="00A12A21" w:rsidP="00A12A21">
      <w:pPr>
        <w:pStyle w:val="ListParagraph"/>
        <w:numPr>
          <w:ilvl w:val="1"/>
          <w:numId w:val="9"/>
        </w:numPr>
        <w:spacing w:before="240" w:after="240" w:line="260" w:lineRule="atLeast"/>
        <w:ind w:left="1134" w:hanging="567"/>
        <w:rPr>
          <w:rFonts w:ascii="Arial" w:hAnsi="Arial" w:cs="Arial"/>
        </w:rPr>
      </w:pPr>
      <w:r>
        <w:rPr>
          <w:rFonts w:ascii="Arial" w:hAnsi="Arial" w:cs="Arial"/>
        </w:rPr>
        <w:t>IGC 43</w:t>
      </w:r>
      <w:r w:rsidRPr="003B3DE6">
        <w:rPr>
          <w:rFonts w:ascii="Arial" w:hAnsi="Arial" w:cs="Arial"/>
        </w:rPr>
        <w:t xml:space="preserve">, from </w:t>
      </w:r>
      <w:r>
        <w:rPr>
          <w:rFonts w:ascii="Arial" w:hAnsi="Arial" w:cs="Arial"/>
        </w:rPr>
        <w:t>May 30 to June 3, 2022</w:t>
      </w:r>
      <w:r w:rsidRPr="003B3DE6">
        <w:rPr>
          <w:rFonts w:ascii="Arial" w:hAnsi="Arial" w:cs="Arial"/>
        </w:rPr>
        <w:t>, on the subject of GRs</w:t>
      </w:r>
      <w:r>
        <w:rPr>
          <w:rFonts w:ascii="Arial" w:hAnsi="Arial" w:cs="Arial"/>
        </w:rPr>
        <w:t>.</w:t>
      </w:r>
    </w:p>
    <w:p w:rsidR="00A12A21" w:rsidRPr="001464E5" w:rsidRDefault="00A12A21" w:rsidP="00A12A21">
      <w:pPr>
        <w:spacing w:before="240" w:after="240"/>
      </w:pPr>
      <w:r>
        <w:fldChar w:fldCharType="begin"/>
      </w:r>
      <w:r>
        <w:instrText xml:space="preserve"> AUTONUM  </w:instrText>
      </w:r>
      <w:r>
        <w:fldChar w:fldCharType="end"/>
      </w:r>
      <w:r>
        <w:tab/>
        <w:t>IGC 42</w:t>
      </w:r>
      <w:r w:rsidRPr="001464E5">
        <w:t xml:space="preserve"> developed the “Consolidated Document Relating to Intellectual Property and Genetic Resources Rev. 2”, and decided that this text, as at the close of the session on March </w:t>
      </w:r>
      <w:r>
        <w:t>4, 2022, be transmitted to IGC 43</w:t>
      </w:r>
      <w:r w:rsidRPr="001464E5">
        <w:t xml:space="preserve">.  The text was included in document </w:t>
      </w:r>
      <w:r>
        <w:t>WIPO/GRTKF/IC/43/4 and made available for IGC 43</w:t>
      </w:r>
      <w:r w:rsidRPr="001464E5">
        <w:t xml:space="preserve">. </w:t>
      </w:r>
      <w:r>
        <w:t xml:space="preserve"> The full decisions of IGC 42 are available </w:t>
      </w:r>
      <w:hyperlink r:id="rId9" w:history="1">
        <w:r w:rsidRPr="005C65DB">
          <w:rPr>
            <w:rStyle w:val="Hyperlink"/>
          </w:rPr>
          <w:t>online</w:t>
        </w:r>
      </w:hyperlink>
      <w:r>
        <w:t>.</w:t>
      </w:r>
    </w:p>
    <w:p w:rsidR="00A12A21" w:rsidRDefault="00A12A21" w:rsidP="00A12A21">
      <w:pPr>
        <w:spacing w:before="240" w:after="240"/>
      </w:pPr>
      <w:r>
        <w:fldChar w:fldCharType="begin"/>
      </w:r>
      <w:r>
        <w:instrText xml:space="preserve"> AUTONUM  </w:instrText>
      </w:r>
      <w:r>
        <w:fldChar w:fldCharType="end"/>
      </w:r>
      <w:r>
        <w:tab/>
        <w:t>IGC 43 continued to work on the text, but</w:t>
      </w:r>
      <w:r w:rsidRPr="005C65DB">
        <w:t xml:space="preserve"> </w:t>
      </w:r>
      <w:r>
        <w:t>the Member States were unable to reach consensus on transmitting Rev. 2 to IGC 47.  It was decided to transmit the text in the annex to document WIPO/GRTKF/IC/43/4 to IGC 47, in accordance with the Committee’s mandate for 2022-2023.  It was also decided that document WIPO/GRTKF/IC/43/4, as well as document WIPO/GRTKF/IC/43/5, be included in this factual report.</w:t>
      </w:r>
    </w:p>
    <w:p w:rsidR="00A12A21" w:rsidRDefault="00A12A21" w:rsidP="00A12A21">
      <w:pPr>
        <w:spacing w:before="240" w:after="240"/>
      </w:pPr>
      <w:r>
        <w:fldChar w:fldCharType="begin"/>
      </w:r>
      <w:r>
        <w:instrText xml:space="preserve"> AUTONUM  </w:instrText>
      </w:r>
      <w:r>
        <w:fldChar w:fldCharType="end"/>
      </w:r>
      <w:r>
        <w:tab/>
        <w:t xml:space="preserve">IGC 43 decided that the Secretariat should organize further </w:t>
      </w:r>
      <w:r w:rsidRPr="00CA27D3">
        <w:rPr>
          <w:i/>
        </w:rPr>
        <w:t>ad hoc</w:t>
      </w:r>
      <w:r>
        <w:t xml:space="preserve"> virtual meetings of experts on possible disclosure requirements, and a virtual Seminar and/or other virtual technical meetings on information systems, registers and databases of GRs, TK and TCEs before IGC 47, and provide written reports on such meetings to the Committee.  These meetings should include experts reflecting different interests and balanced geographical representation, and should not replace nor delay the text-based negotiations underway in the Committee.</w:t>
      </w:r>
    </w:p>
    <w:p w:rsidR="00A12A21" w:rsidRDefault="00A12A21" w:rsidP="00A12A21">
      <w:pPr>
        <w:spacing w:before="240" w:after="240"/>
      </w:pPr>
      <w:r>
        <w:fldChar w:fldCharType="begin"/>
      </w:r>
      <w:r>
        <w:instrText xml:space="preserve"> AUTONUM  </w:instrText>
      </w:r>
      <w:r>
        <w:fldChar w:fldCharType="end"/>
      </w:r>
      <w:r>
        <w:tab/>
        <w:t>IGC 43 noted divergent views on the way forward, including on whether the Consolidated Document (WIPO/GRTKF/IC/43/4, as amended over time) and/or the Chair’s Text (WIPO/GRTKF/IC/43/5, as amended over time), should be the basis for negotiations on GRs.  The Committee took note that some members consider that the Chair’s Text (WIPO/GRTKF/IC/43/5) should be the basis for the Committee’s negotiations on GRs and the basis upon which a Diplomatic Conference should be convened, while others disagree.</w:t>
      </w:r>
    </w:p>
    <w:p w:rsidR="00A12A21" w:rsidRDefault="00A12A21" w:rsidP="00A12A21">
      <w:pPr>
        <w:spacing w:before="240" w:after="240"/>
      </w:pPr>
      <w:r>
        <w:fldChar w:fldCharType="begin"/>
      </w:r>
      <w:r>
        <w:instrText xml:space="preserve"> AUTONUM  </w:instrText>
      </w:r>
      <w:r>
        <w:fldChar w:fldCharType="end"/>
      </w:r>
      <w:r>
        <w:tab/>
        <w:t>The Committee invited the Chair, taking into account comments, to revise the Chair’s Text as contained in document WIPO/GRTKF/IC/43/5, while maintaining its integrity as the Chair’s Text, for IGC 47.</w:t>
      </w:r>
    </w:p>
    <w:p w:rsidR="00A12A21" w:rsidRPr="001464E5" w:rsidRDefault="00A12A21" w:rsidP="00A12A21">
      <w:pPr>
        <w:spacing w:before="240" w:after="240"/>
      </w:pPr>
      <w:r>
        <w:fldChar w:fldCharType="begin"/>
      </w:r>
      <w:r>
        <w:instrText xml:space="preserve"> AUTONUM  </w:instrText>
      </w:r>
      <w:r>
        <w:fldChar w:fldCharType="end"/>
      </w:r>
      <w:r>
        <w:tab/>
        <w:t xml:space="preserve">On information systems, registers and databases of GRs, TK and TCEs, the Secretariat is invited to issue an online survey which Member States and accredited observers could respond to, if they so wish.  Responses to the survey would be published by the Secretariat online and in an updated version of document WIPO/GRTKF/IC/43/6.  The full decisions of IGC 43 are available </w:t>
      </w:r>
      <w:hyperlink r:id="rId10" w:history="1">
        <w:r w:rsidRPr="00A90957">
          <w:rPr>
            <w:rStyle w:val="Hyperlink"/>
          </w:rPr>
          <w:t>online</w:t>
        </w:r>
      </w:hyperlink>
      <w:r>
        <w:t>.</w:t>
      </w:r>
    </w:p>
    <w:p w:rsidR="00A12A21" w:rsidRPr="001464E5" w:rsidRDefault="00A12A21" w:rsidP="00A12A21">
      <w:pPr>
        <w:spacing w:before="240" w:after="240"/>
      </w:pPr>
      <w:r>
        <w:fldChar w:fldCharType="begin"/>
      </w:r>
      <w:r>
        <w:instrText xml:space="preserve"> AUTONUM  </w:instrText>
      </w:r>
      <w:r>
        <w:fldChar w:fldCharType="end"/>
      </w:r>
      <w:r>
        <w:tab/>
      </w:r>
      <w:r w:rsidRPr="001464E5">
        <w:t>Pursuant to the decisions taken at IGC</w:t>
      </w:r>
      <w:r>
        <w:t xml:space="preserve"> 43</w:t>
      </w:r>
      <w:r w:rsidRPr="001464E5">
        <w:t xml:space="preserve"> as described immediately above</w:t>
      </w:r>
      <w:r w:rsidRPr="00872761">
        <w:t xml:space="preserve"> </w:t>
      </w:r>
      <w:r>
        <w:t xml:space="preserve">and </w:t>
      </w:r>
      <w:r w:rsidRPr="001464E5">
        <w:t>for information purposes only, document</w:t>
      </w:r>
      <w:r>
        <w:t>s</w:t>
      </w:r>
      <w:r w:rsidRPr="001464E5">
        <w:t xml:space="preserve"> </w:t>
      </w:r>
      <w:r>
        <w:t>WIPO/GRTKF/IC/43/4</w:t>
      </w:r>
      <w:r w:rsidRPr="001464E5">
        <w:t xml:space="preserve"> </w:t>
      </w:r>
      <w:r>
        <w:t>and WIPO/GRTKF/IC/43/5 are enclosed in the present document.</w:t>
      </w:r>
    </w:p>
    <w:p w:rsidR="00A12A21" w:rsidRPr="007F0EB7" w:rsidRDefault="00A12A21" w:rsidP="00A12A21">
      <w:pPr>
        <w:pStyle w:val="BodyText"/>
        <w:rPr>
          <w:b/>
        </w:rPr>
      </w:pPr>
      <w:r w:rsidRPr="007F0EB7">
        <w:rPr>
          <w:b/>
        </w:rPr>
        <w:t>III.</w:t>
      </w:r>
      <w:r w:rsidRPr="007F0EB7">
        <w:rPr>
          <w:b/>
        </w:rPr>
        <w:tab/>
      </w:r>
      <w:r w:rsidRPr="009C5867">
        <w:rPr>
          <w:b/>
          <w:i/>
        </w:rPr>
        <w:t>AD HOC</w:t>
      </w:r>
      <w:r w:rsidRPr="007F0EB7">
        <w:rPr>
          <w:b/>
        </w:rPr>
        <w:t xml:space="preserve"> EXPERT GROUP ON GENETIC RESOURCES</w:t>
      </w:r>
    </w:p>
    <w:p w:rsidR="00A12A21" w:rsidRPr="001464E5" w:rsidRDefault="00A12A21" w:rsidP="00A12A21">
      <w:pPr>
        <w:spacing w:before="240" w:after="240"/>
      </w:pPr>
      <w:r>
        <w:fldChar w:fldCharType="begin"/>
      </w:r>
      <w:r>
        <w:instrText xml:space="preserve"> AUTONUM  </w:instrText>
      </w:r>
      <w:r>
        <w:fldChar w:fldCharType="end"/>
      </w:r>
      <w:r>
        <w:tab/>
        <w:t>Paragraph (c) of the mandate provides that the IGC</w:t>
      </w:r>
      <w:r w:rsidRPr="003F6605">
        <w:t xml:space="preserve"> </w:t>
      </w:r>
      <w:r>
        <w:t>“</w:t>
      </w:r>
      <w:r w:rsidRPr="003F6605">
        <w:t xml:space="preserve">may establish </w:t>
      </w:r>
      <w:r w:rsidRPr="009C5867">
        <w:rPr>
          <w:i/>
        </w:rPr>
        <w:t>ad hoc</w:t>
      </w:r>
      <w:r w:rsidRPr="003F6605">
        <w:t xml:space="preserve"> expert group(s) to address a specific legal, policy or technical issue</w:t>
      </w:r>
      <w:r>
        <w:t>”</w:t>
      </w:r>
      <w:r w:rsidRPr="001464E5">
        <w:t>.</w:t>
      </w:r>
    </w:p>
    <w:p w:rsidR="00A12A21" w:rsidRDefault="00A12A21" w:rsidP="00A12A21">
      <w:pPr>
        <w:spacing w:before="240" w:after="240"/>
        <w:rPr>
          <w:lang w:eastAsia="pt-BR"/>
        </w:rPr>
      </w:pPr>
      <w:r>
        <w:lastRenderedPageBreak/>
        <w:fldChar w:fldCharType="begin"/>
      </w:r>
      <w:r>
        <w:instrText xml:space="preserve"> AUTONUM  </w:instrText>
      </w:r>
      <w:r>
        <w:fldChar w:fldCharType="end"/>
      </w:r>
      <w:r>
        <w:tab/>
        <w:t xml:space="preserve">Pursuant to this decision and the decisions of IGC 42, an </w:t>
      </w:r>
      <w:r w:rsidRPr="009C5867">
        <w:rPr>
          <w:i/>
        </w:rPr>
        <w:t>ad hoc</w:t>
      </w:r>
      <w:r>
        <w:t xml:space="preserve"> </w:t>
      </w:r>
      <w:r w:rsidRPr="0042633E">
        <w:t>expert group on genetic resources</w:t>
      </w:r>
      <w:r>
        <w:t xml:space="preserve"> met on May 29, 2022, prior to IGC 43.  The documents prepared for the </w:t>
      </w:r>
      <w:r w:rsidRPr="009C5867">
        <w:rPr>
          <w:i/>
        </w:rPr>
        <w:t>ad hoc</w:t>
      </w:r>
      <w:r>
        <w:t xml:space="preserve"> expert group on genetic resources are available </w:t>
      </w:r>
      <w:hyperlink r:id="rId11" w:history="1">
        <w:r w:rsidRPr="00872761">
          <w:rPr>
            <w:rStyle w:val="Hyperlink"/>
          </w:rPr>
          <w:t>online</w:t>
        </w:r>
      </w:hyperlink>
      <w:r>
        <w:rPr>
          <w:lang w:eastAsia="pt-BR"/>
        </w:rPr>
        <w:t>.</w:t>
      </w:r>
    </w:p>
    <w:p w:rsidR="00A12A21" w:rsidRPr="009C5867" w:rsidRDefault="00A12A21" w:rsidP="00A12A21">
      <w:pPr>
        <w:spacing w:before="240" w:after="240"/>
        <w:rPr>
          <w:b/>
          <w:lang w:eastAsia="pt-BR"/>
        </w:rPr>
      </w:pPr>
      <w:r w:rsidRPr="009C5867">
        <w:rPr>
          <w:b/>
          <w:lang w:eastAsia="pt-BR"/>
        </w:rPr>
        <w:t>IV.</w:t>
      </w:r>
      <w:r w:rsidRPr="009C5867">
        <w:rPr>
          <w:b/>
          <w:lang w:eastAsia="pt-BR"/>
        </w:rPr>
        <w:tab/>
        <w:t>RECOMMENDATIONS</w:t>
      </w:r>
      <w:r>
        <w:rPr>
          <w:b/>
          <w:lang w:eastAsia="pt-BR"/>
        </w:rPr>
        <w:t xml:space="preserve"> TO THE GENERAL ASSEMBLY IN 2022</w:t>
      </w:r>
    </w:p>
    <w:p w:rsidR="00A12A21" w:rsidRDefault="00A12A21" w:rsidP="00A12A21">
      <w:pPr>
        <w:spacing w:before="240" w:after="240"/>
      </w:pPr>
      <w:r>
        <w:rPr>
          <w:lang w:eastAsia="pt-BR"/>
        </w:rPr>
        <w:fldChar w:fldCharType="begin"/>
      </w:r>
      <w:r>
        <w:rPr>
          <w:lang w:eastAsia="pt-BR"/>
        </w:rPr>
        <w:instrText xml:space="preserve"> AUTONUM  </w:instrText>
      </w:r>
      <w:r>
        <w:rPr>
          <w:lang w:eastAsia="pt-BR"/>
        </w:rPr>
        <w:fldChar w:fldCharType="end"/>
      </w:r>
      <w:r>
        <w:rPr>
          <w:lang w:eastAsia="pt-BR"/>
        </w:rPr>
        <w:tab/>
        <w:t xml:space="preserve">As noted above, paragraph (e) of the mandate provides that, </w:t>
      </w:r>
      <w:r>
        <w:t>in 2022</w:t>
      </w:r>
      <w:r w:rsidRPr="00355718">
        <w:t xml:space="preserve">, the </w:t>
      </w:r>
      <w:r>
        <w:t xml:space="preserve">IGC is requested to </w:t>
      </w:r>
      <w:r w:rsidRPr="00355718">
        <w:t xml:space="preserve">provide to the </w:t>
      </w:r>
      <w:r>
        <w:t xml:space="preserve">WIPO </w:t>
      </w:r>
      <w:r w:rsidRPr="00355718">
        <w:t>General Assembly a factual report along with the most recent texts available</w:t>
      </w:r>
      <w:r w:rsidRPr="001464E5">
        <w:t xml:space="preserve"> </w:t>
      </w:r>
      <w:r w:rsidRPr="00355718">
        <w:t>of its work up to that time with recommendations</w:t>
      </w:r>
      <w:r>
        <w:t>.</w:t>
      </w:r>
    </w:p>
    <w:p w:rsidR="00A12A21" w:rsidRPr="009C5867" w:rsidRDefault="00A12A21" w:rsidP="00A12A21">
      <w:pPr>
        <w:spacing w:before="240" w:after="240"/>
      </w:pPr>
      <w:r>
        <w:fldChar w:fldCharType="begin"/>
      </w:r>
      <w:r>
        <w:instrText xml:space="preserve"> AUTONUM  </w:instrText>
      </w:r>
      <w:r>
        <w:fldChar w:fldCharType="end"/>
      </w:r>
      <w:r>
        <w:tab/>
        <w:t xml:space="preserve">Pursuant to this element of the mandate, IGC 43 referred to above </w:t>
      </w:r>
      <w:r w:rsidRPr="009C5867">
        <w:t>agreed on the follo</w:t>
      </w:r>
      <w:r>
        <w:t>wing recommendations to the 2022</w:t>
      </w:r>
      <w:r w:rsidRPr="009C5867">
        <w:t xml:space="preserve"> </w:t>
      </w:r>
      <w:r>
        <w:t xml:space="preserve">WIPO </w:t>
      </w:r>
      <w:r w:rsidRPr="009C5867">
        <w:t>General Assembly:</w:t>
      </w:r>
    </w:p>
    <w:p w:rsidR="00A12A21" w:rsidRPr="009C5867" w:rsidRDefault="00A12A21" w:rsidP="00A12A21">
      <w:pPr>
        <w:spacing w:before="240" w:after="240"/>
        <w:ind w:left="567"/>
      </w:pPr>
      <w:r w:rsidRPr="009C5867">
        <w:t>“</w:t>
      </w:r>
      <w:r w:rsidRPr="00872761">
        <w:t xml:space="preserve">The 2022 WIPO General Assembly is invited to consider the ‘Report of the Intergovernmental Committee on Intellectual Property and Genetic Resources, Traditional Knowledge and Folklore (IGC)’ (document WO/GA/55/6), and to note that the Secretariat will conduct virtual activities to expedite the work of the IGC on genetic resources. </w:t>
      </w:r>
      <w:r>
        <w:t xml:space="preserve"> </w:t>
      </w:r>
      <w:r w:rsidRPr="00872761">
        <w:t>The General Assembly welcomes the Chair of the Committee conducting consultations with Member States and indigenous caucus on the methodology of the Committee with a view to Member States agreeing on the methodology to be used in the future sessions.</w:t>
      </w:r>
      <w:r w:rsidRPr="009C5867">
        <w:t>”</w:t>
      </w:r>
    </w:p>
    <w:p w:rsidR="00A12A21" w:rsidRDefault="00A12A21" w:rsidP="00A12A21">
      <w:pPr>
        <w:spacing w:after="480"/>
        <w:ind w:left="5530"/>
        <w:rPr>
          <w:i/>
          <w:lang w:eastAsia="pt-BR"/>
        </w:rPr>
      </w:pPr>
      <w:r>
        <w:rPr>
          <w:i/>
          <w:lang w:eastAsia="pt-BR"/>
        </w:rPr>
        <w:fldChar w:fldCharType="begin"/>
      </w:r>
      <w:r>
        <w:rPr>
          <w:i/>
          <w:lang w:eastAsia="pt-BR"/>
        </w:rPr>
        <w:instrText xml:space="preserve"> AUTONUM  </w:instrText>
      </w:r>
      <w:r>
        <w:rPr>
          <w:i/>
          <w:lang w:eastAsia="pt-BR"/>
        </w:rPr>
        <w:fldChar w:fldCharType="end"/>
      </w:r>
      <w:r>
        <w:rPr>
          <w:i/>
          <w:lang w:eastAsia="pt-BR"/>
        </w:rPr>
        <w:tab/>
      </w:r>
      <w:r w:rsidRPr="00C8601B">
        <w:rPr>
          <w:i/>
          <w:lang w:eastAsia="pt-BR"/>
        </w:rPr>
        <w:t>The WIPO General Assembly is invited to</w:t>
      </w:r>
      <w:r w:rsidRPr="00F5225A">
        <w:rPr>
          <w:b/>
          <w:bCs/>
        </w:rPr>
        <w:t xml:space="preserve"> </w:t>
      </w:r>
      <w:r w:rsidRPr="00101E3C">
        <w:rPr>
          <w:bCs/>
          <w:i/>
          <w:lang w:eastAsia="pt-BR"/>
        </w:rPr>
        <w:t xml:space="preserve">consider </w:t>
      </w:r>
      <w:r>
        <w:rPr>
          <w:i/>
          <w:lang w:eastAsia="pt-BR"/>
        </w:rPr>
        <w:t>the “</w:t>
      </w:r>
      <w:r w:rsidRPr="00101E3C">
        <w:rPr>
          <w:i/>
          <w:lang w:eastAsia="pt-BR"/>
        </w:rPr>
        <w:t>Report of the Intergovernmental Committee on Intellectual Property and Genetic Resources, Tradition</w:t>
      </w:r>
      <w:r>
        <w:rPr>
          <w:i/>
          <w:lang w:eastAsia="pt-BR"/>
        </w:rPr>
        <w:t>al Knowledge and Folklore (IGC)”</w:t>
      </w:r>
      <w:r w:rsidRPr="00101E3C">
        <w:rPr>
          <w:i/>
          <w:lang w:eastAsia="pt-BR"/>
        </w:rPr>
        <w:t xml:space="preserve"> (document WO/GA/55/6), and to note that the Secretariat will conduct virtual activities to expedite the work of the IGC on genetic resources. </w:t>
      </w:r>
      <w:r>
        <w:rPr>
          <w:i/>
          <w:lang w:eastAsia="pt-BR"/>
        </w:rPr>
        <w:t xml:space="preserve"> </w:t>
      </w:r>
      <w:r w:rsidRPr="00101E3C">
        <w:rPr>
          <w:i/>
          <w:lang w:eastAsia="pt-BR"/>
        </w:rPr>
        <w:t>The General Assembly welcomes the Chair of the Committee conducting consultations with Member States and indigenous caucus on the methodology of the Committee with a view to Member States agreeing on the methodology to be used in the future sessions.</w:t>
      </w:r>
      <w:r w:rsidRPr="00F5225A">
        <w:rPr>
          <w:i/>
          <w:lang w:eastAsia="pt-BR"/>
        </w:rPr>
        <w:t xml:space="preserve"> </w:t>
      </w:r>
    </w:p>
    <w:p w:rsidR="00A12A21" w:rsidRDefault="00A12A21" w:rsidP="00A12A21">
      <w:pPr>
        <w:spacing w:before="240" w:after="480"/>
        <w:ind w:left="5580"/>
      </w:pPr>
      <w:r w:rsidRPr="00066E3B">
        <w:t>[</w:t>
      </w:r>
      <w:r>
        <w:t>Documents WIPO/GRTKF/IC/43/4 and WIPO/GRTKF/IC/43/5 follow]</w:t>
      </w:r>
    </w:p>
    <w:p w:rsidR="00A12A21" w:rsidRDefault="00A12A21" w:rsidP="00A12A21">
      <w:pPr>
        <w:spacing w:before="240" w:after="480"/>
        <w:ind w:left="5580"/>
      </w:pPr>
    </w:p>
    <w:p w:rsidR="00A12A21" w:rsidRDefault="00A12A21" w:rsidP="00A12A21">
      <w:pPr>
        <w:spacing w:before="240" w:after="480"/>
        <w:ind w:left="5580"/>
        <w:sectPr w:rsidR="00A12A21" w:rsidSect="006C35A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12A21" w:rsidRPr="008B2CC1" w:rsidTr="006C431F">
        <w:tc>
          <w:tcPr>
            <w:tcW w:w="4513" w:type="dxa"/>
            <w:tcBorders>
              <w:bottom w:val="single" w:sz="4" w:space="0" w:color="auto"/>
            </w:tcBorders>
            <w:tcMar>
              <w:bottom w:w="170" w:type="dxa"/>
            </w:tcMar>
          </w:tcPr>
          <w:p w:rsidR="00A12A21" w:rsidRPr="008B2CC1" w:rsidRDefault="00A12A21" w:rsidP="006C431F"/>
        </w:tc>
        <w:tc>
          <w:tcPr>
            <w:tcW w:w="4337" w:type="dxa"/>
            <w:tcBorders>
              <w:bottom w:val="single" w:sz="4" w:space="0" w:color="auto"/>
            </w:tcBorders>
            <w:tcMar>
              <w:left w:w="0" w:type="dxa"/>
              <w:right w:w="0" w:type="dxa"/>
            </w:tcMar>
          </w:tcPr>
          <w:p w:rsidR="00A12A21" w:rsidRPr="008B2CC1" w:rsidRDefault="00A12A21" w:rsidP="006C431F">
            <w:r>
              <w:rPr>
                <w:noProof/>
                <w:lang w:val="fr-CH" w:eastAsia="fr-CH"/>
              </w:rPr>
              <w:drawing>
                <wp:inline distT="0" distB="0" distL="0" distR="0" wp14:anchorId="6C6EC20F" wp14:editId="7017BCB9">
                  <wp:extent cx="1857375" cy="1323975"/>
                  <wp:effectExtent l="0" t="0" r="9525"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12A21" w:rsidRPr="008B2CC1" w:rsidRDefault="00A12A21" w:rsidP="006C431F">
            <w:pPr>
              <w:jc w:val="right"/>
            </w:pPr>
            <w:r w:rsidRPr="00605827">
              <w:rPr>
                <w:b/>
                <w:sz w:val="40"/>
                <w:szCs w:val="40"/>
              </w:rPr>
              <w:t>E</w:t>
            </w:r>
          </w:p>
        </w:tc>
      </w:tr>
      <w:tr w:rsidR="00A12A21" w:rsidRPr="001832A6" w:rsidTr="006C431F">
        <w:trPr>
          <w:trHeight w:hRule="exact" w:val="357"/>
        </w:trPr>
        <w:tc>
          <w:tcPr>
            <w:tcW w:w="9356" w:type="dxa"/>
            <w:gridSpan w:val="3"/>
            <w:tcBorders>
              <w:top w:val="single" w:sz="4" w:space="0" w:color="auto"/>
            </w:tcBorders>
            <w:tcMar>
              <w:top w:w="170" w:type="dxa"/>
              <w:left w:w="0" w:type="dxa"/>
              <w:right w:w="0" w:type="dxa"/>
            </w:tcMar>
            <w:vAlign w:val="bottom"/>
          </w:tcPr>
          <w:p w:rsidR="00A12A21" w:rsidRPr="0090731E" w:rsidRDefault="00A12A21" w:rsidP="006C431F">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 xml:space="preserve">3/4 </w:t>
            </w:r>
            <w:r w:rsidRPr="0090731E">
              <w:rPr>
                <w:rFonts w:ascii="Arial Black" w:hAnsi="Arial Black"/>
                <w:caps/>
                <w:sz w:val="15"/>
              </w:rPr>
              <w:t xml:space="preserve">   </w:t>
            </w:r>
          </w:p>
        </w:tc>
      </w:tr>
      <w:tr w:rsidR="00A12A21" w:rsidRPr="001832A6" w:rsidTr="006C431F">
        <w:trPr>
          <w:trHeight w:hRule="exact" w:val="170"/>
        </w:trPr>
        <w:tc>
          <w:tcPr>
            <w:tcW w:w="9356" w:type="dxa"/>
            <w:gridSpan w:val="3"/>
            <w:noWrap/>
            <w:tcMar>
              <w:left w:w="0" w:type="dxa"/>
              <w:right w:w="0" w:type="dxa"/>
            </w:tcMar>
            <w:vAlign w:val="bottom"/>
          </w:tcPr>
          <w:p w:rsidR="00A12A21" w:rsidRPr="0090731E" w:rsidRDefault="00A12A21" w:rsidP="006C431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A12A21" w:rsidRPr="001832A6" w:rsidTr="006C431F">
        <w:trPr>
          <w:trHeight w:hRule="exact" w:val="198"/>
        </w:trPr>
        <w:tc>
          <w:tcPr>
            <w:tcW w:w="9356" w:type="dxa"/>
            <w:gridSpan w:val="3"/>
            <w:tcMar>
              <w:left w:w="0" w:type="dxa"/>
              <w:right w:w="0" w:type="dxa"/>
            </w:tcMar>
            <w:vAlign w:val="bottom"/>
          </w:tcPr>
          <w:p w:rsidR="00A12A21" w:rsidRPr="0090731E" w:rsidRDefault="00A12A21" w:rsidP="006C431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march 31, 2022      </w:t>
            </w:r>
            <w:r w:rsidRPr="0090731E">
              <w:rPr>
                <w:rFonts w:ascii="Arial Black" w:hAnsi="Arial Black"/>
                <w:caps/>
                <w:sz w:val="15"/>
              </w:rPr>
              <w:t xml:space="preserve"> </w:t>
            </w:r>
          </w:p>
        </w:tc>
      </w:tr>
    </w:tbl>
    <w:p w:rsidR="00A12A21" w:rsidRPr="008B2CC1" w:rsidRDefault="00A12A21" w:rsidP="00A12A21"/>
    <w:p w:rsidR="00A12A21" w:rsidRPr="008B2CC1" w:rsidRDefault="00A12A21" w:rsidP="00A12A21"/>
    <w:p w:rsidR="00A12A21" w:rsidRPr="008B2CC1" w:rsidRDefault="00A12A21" w:rsidP="00A12A21"/>
    <w:p w:rsidR="00A12A21" w:rsidRPr="008B2CC1" w:rsidRDefault="00A12A21" w:rsidP="00A12A21"/>
    <w:p w:rsidR="00A12A21" w:rsidRPr="008B2CC1" w:rsidRDefault="00A12A21" w:rsidP="00A12A21"/>
    <w:p w:rsidR="00A12A21" w:rsidRPr="003845C1" w:rsidRDefault="00A12A21" w:rsidP="00A12A21">
      <w:pPr>
        <w:rPr>
          <w:b/>
          <w:sz w:val="28"/>
          <w:szCs w:val="28"/>
        </w:rPr>
      </w:pPr>
      <w:r w:rsidRPr="00EA5FE9">
        <w:rPr>
          <w:b/>
          <w:sz w:val="28"/>
          <w:szCs w:val="28"/>
        </w:rPr>
        <w:t>Intergovernmental Committee on Intellectual Property and Genetic Resources, Traditional Knowledge and Folklore</w:t>
      </w:r>
    </w:p>
    <w:p w:rsidR="00A12A21" w:rsidRDefault="00A12A21" w:rsidP="00A12A21"/>
    <w:p w:rsidR="00A12A21" w:rsidRDefault="00A12A21" w:rsidP="00A12A21"/>
    <w:p w:rsidR="00A12A21" w:rsidRPr="003845C1" w:rsidRDefault="00A12A21" w:rsidP="00A12A21">
      <w:pPr>
        <w:rPr>
          <w:b/>
          <w:sz w:val="24"/>
          <w:szCs w:val="24"/>
        </w:rPr>
      </w:pPr>
      <w:r>
        <w:rPr>
          <w:b/>
          <w:sz w:val="24"/>
          <w:szCs w:val="24"/>
        </w:rPr>
        <w:t xml:space="preserve">Forty-Third </w:t>
      </w:r>
      <w:r w:rsidRPr="003845C1">
        <w:rPr>
          <w:b/>
          <w:sz w:val="24"/>
          <w:szCs w:val="24"/>
        </w:rPr>
        <w:t>Session</w:t>
      </w:r>
    </w:p>
    <w:p w:rsidR="00A12A21" w:rsidRPr="003845C1" w:rsidRDefault="00A12A21" w:rsidP="00A12A21">
      <w:pPr>
        <w:rPr>
          <w:b/>
          <w:sz w:val="24"/>
          <w:szCs w:val="24"/>
        </w:rPr>
      </w:pPr>
      <w:r>
        <w:rPr>
          <w:b/>
          <w:sz w:val="24"/>
          <w:szCs w:val="24"/>
        </w:rPr>
        <w:t>Geneva, May 30 to June 3, 2022</w:t>
      </w:r>
    </w:p>
    <w:p w:rsidR="00A12A21" w:rsidRPr="008B2CC1" w:rsidRDefault="00A12A21" w:rsidP="00A12A21"/>
    <w:p w:rsidR="00A12A21" w:rsidRPr="008B2CC1" w:rsidRDefault="00A12A21" w:rsidP="00A12A21"/>
    <w:p w:rsidR="00A12A21" w:rsidRPr="008B2CC1" w:rsidRDefault="00A12A21" w:rsidP="00A12A21"/>
    <w:p w:rsidR="00A12A21" w:rsidRDefault="00A12A21" w:rsidP="00A12A21">
      <w:r w:rsidRPr="00395AF3">
        <w:t xml:space="preserve">CONSOLIDATED DOCUMENT RELATING TO INTELLECTUAL PROPERTY AND GENETIC RESOURCES </w:t>
      </w:r>
    </w:p>
    <w:p w:rsidR="00A12A21" w:rsidRDefault="00A12A21" w:rsidP="00A12A21"/>
    <w:p w:rsidR="00A12A21" w:rsidRDefault="00A12A21" w:rsidP="00A12A21">
      <w:r w:rsidRPr="00395AF3">
        <w:t>Document</w:t>
      </w:r>
      <w:r>
        <w:t xml:space="preserve"> Prepared by the Secretariat </w:t>
      </w:r>
    </w:p>
    <w:p w:rsidR="00A12A21" w:rsidRDefault="00A12A21" w:rsidP="00A12A21"/>
    <w:p w:rsidR="00A12A21" w:rsidRDefault="00A12A21" w:rsidP="00A12A21"/>
    <w:p w:rsidR="00A12A21" w:rsidRDefault="00A12A21" w:rsidP="00A12A21"/>
    <w:p w:rsidR="00A12A21" w:rsidRPr="00EF27DE" w:rsidRDefault="00A12A21" w:rsidP="00A12A21">
      <w:pPr>
        <w:pStyle w:val="ListParagraph"/>
        <w:numPr>
          <w:ilvl w:val="0"/>
          <w:numId w:val="25"/>
        </w:numPr>
        <w:ind w:left="0" w:firstLine="0"/>
        <w:rPr>
          <w:rFonts w:ascii="Arial" w:hAnsi="Arial" w:cs="Arial"/>
        </w:rPr>
      </w:pPr>
      <w:r w:rsidRPr="00EF27DE">
        <w:rPr>
          <w:rFonts w:ascii="Arial" w:hAnsi="Arial" w:cs="Arial"/>
        </w:rPr>
        <w:t>At its Forty-Second Session, which took place from February 28 to March 4, 2022, the WIPO Intergovernmental Committee on Intellectual Property and Genetic Resources, Traditional Knowledge and Folklore (“the Committee”) developed, on the basis of document WIPO/GRTKF/IC/42/4, a further text, “The Consolidated Document Relating to Intellectual Property and Genetic Resources Rev. 2”.  The Committee decided that this text, as at the close of Agenda Item on “Genetic Resources” on March 4, 2022, be transmitted to the Forty-Third Session of the Committee, in accordance with the Committee’s mandate for the 2022-2023 biennium and the work program for 2022.</w:t>
      </w:r>
    </w:p>
    <w:p w:rsidR="00A12A21" w:rsidRPr="00EF27DE" w:rsidRDefault="00A12A21" w:rsidP="00A12A21">
      <w:pPr>
        <w:pStyle w:val="ListParagraph"/>
        <w:numPr>
          <w:ilvl w:val="0"/>
          <w:numId w:val="25"/>
        </w:numPr>
        <w:ind w:left="0" w:firstLine="0"/>
        <w:rPr>
          <w:rFonts w:ascii="Arial" w:hAnsi="Arial" w:cs="Arial"/>
        </w:rPr>
      </w:pPr>
      <w:r w:rsidRPr="00EF27DE">
        <w:rPr>
          <w:rFonts w:ascii="Arial" w:hAnsi="Arial" w:cs="Arial"/>
        </w:rPr>
        <w:t>Pursuant to the decision above, “The Consolidated Document Relating to Intellectual Property and Genetic Resources Rev. 2” is annexed to the present document.</w:t>
      </w:r>
    </w:p>
    <w:p w:rsidR="00A12A21" w:rsidRPr="00EF27DE" w:rsidRDefault="00A12A21" w:rsidP="00A12A21">
      <w:pPr>
        <w:pStyle w:val="ListParagraph"/>
        <w:numPr>
          <w:ilvl w:val="0"/>
          <w:numId w:val="25"/>
        </w:numPr>
        <w:ind w:left="0" w:firstLine="0"/>
        <w:rPr>
          <w:rFonts w:ascii="Arial" w:hAnsi="Arial" w:cs="Arial"/>
        </w:rPr>
      </w:pPr>
      <w:r w:rsidRPr="00EF27DE">
        <w:rPr>
          <w:rFonts w:ascii="Arial" w:hAnsi="Arial" w:cs="Arial"/>
        </w:rPr>
        <w:t xml:space="preserve">The Committee is invited to review and comment on the document contained in the Annex towards developing a revised version thereof. </w:t>
      </w:r>
    </w:p>
    <w:p w:rsidR="00A12A21" w:rsidRDefault="00A12A21" w:rsidP="00A12A21"/>
    <w:p w:rsidR="00A12A21" w:rsidRDefault="00A12A21" w:rsidP="00A12A21">
      <w:pPr>
        <w:ind w:left="5533"/>
      </w:pPr>
      <w:r w:rsidRPr="00395AF3">
        <w:t>[Annex follows]</w:t>
      </w:r>
      <w:r>
        <w:t xml:space="preserve"> </w:t>
      </w:r>
      <w:r>
        <w:br w:type="page"/>
      </w:r>
    </w:p>
    <w:p w:rsidR="00A12A21" w:rsidRDefault="00A12A21" w:rsidP="00A12A21"/>
    <w:p w:rsidR="00A12A21" w:rsidRDefault="00A12A21" w:rsidP="00A12A21"/>
    <w:p w:rsidR="00A12A21" w:rsidRDefault="00A12A21" w:rsidP="00A12A21">
      <w:pPr>
        <w:rPr>
          <w:b/>
          <w:sz w:val="32"/>
          <w:szCs w:val="32"/>
        </w:rPr>
      </w:pPr>
      <w:r>
        <w:rPr>
          <w:b/>
          <w:sz w:val="32"/>
          <w:szCs w:val="32"/>
        </w:rPr>
        <w:t xml:space="preserve">The </w:t>
      </w:r>
      <w:r w:rsidRPr="0068074D">
        <w:rPr>
          <w:b/>
          <w:sz w:val="32"/>
          <w:szCs w:val="32"/>
        </w:rPr>
        <w:t>Consolidated Document Relating to Intellectual Property and Genetic Resources</w:t>
      </w:r>
      <w:r>
        <w:rPr>
          <w:b/>
          <w:sz w:val="32"/>
          <w:szCs w:val="32"/>
        </w:rPr>
        <w:t xml:space="preserve"> Rev. 2</w:t>
      </w:r>
    </w:p>
    <w:p w:rsidR="00A12A21" w:rsidRPr="00FB514C" w:rsidRDefault="00A12A21" w:rsidP="00A12A21">
      <w:pPr>
        <w:rPr>
          <w:b/>
          <w:szCs w:val="22"/>
        </w:rPr>
      </w:pPr>
    </w:p>
    <w:p w:rsidR="00A12A21" w:rsidRPr="00FB514C" w:rsidRDefault="00A12A21" w:rsidP="00A12A21">
      <w:pPr>
        <w:rPr>
          <w:b/>
          <w:szCs w:val="22"/>
        </w:rPr>
      </w:pPr>
    </w:p>
    <w:p w:rsidR="00A12A21" w:rsidRDefault="00A12A21" w:rsidP="00A12A21">
      <w:pPr>
        <w:rPr>
          <w:b/>
          <w:sz w:val="32"/>
          <w:szCs w:val="32"/>
        </w:rPr>
      </w:pPr>
      <w:r>
        <w:rPr>
          <w:b/>
          <w:sz w:val="32"/>
          <w:szCs w:val="32"/>
        </w:rPr>
        <w:t>(Dated March 4, 2022)</w:t>
      </w:r>
    </w:p>
    <w:p w:rsidR="00A12A21" w:rsidRDefault="00A12A21" w:rsidP="00A12A21">
      <w:pPr>
        <w:rPr>
          <w:b/>
          <w:sz w:val="32"/>
          <w:szCs w:val="32"/>
        </w:rPr>
      </w:pPr>
    </w:p>
    <w:p w:rsidR="00A12A21" w:rsidRDefault="00A12A21" w:rsidP="00A12A21"/>
    <w:p w:rsidR="00A12A21" w:rsidRDefault="00A12A21" w:rsidP="00A12A21">
      <w:pPr>
        <w:sectPr w:rsidR="00A12A21" w:rsidSect="00DF46C2">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rsidR="00A12A21" w:rsidRPr="0036583A" w:rsidRDefault="00A12A21" w:rsidP="00A12A21">
      <w:pPr>
        <w:jc w:val="center"/>
        <w:rPr>
          <w:b/>
        </w:rPr>
      </w:pPr>
      <w:r w:rsidRPr="0036583A">
        <w:rPr>
          <w:b/>
        </w:rPr>
        <w:lastRenderedPageBreak/>
        <w:t>[PREAMBLE</w:t>
      </w:r>
      <w:r>
        <w:rPr>
          <w:b/>
        </w:rPr>
        <w:t xml:space="preserve"> </w:t>
      </w:r>
    </w:p>
    <w:p w:rsidR="00A12A21" w:rsidRPr="00F9181D" w:rsidRDefault="00A12A21" w:rsidP="00A12A21"/>
    <w:p w:rsidR="00A12A21" w:rsidRPr="0025511F" w:rsidRDefault="00A12A21" w:rsidP="00A12A21">
      <w:pPr>
        <w:rPr>
          <w:i/>
        </w:rPr>
      </w:pPr>
      <w:r w:rsidRPr="00F9181D">
        <w:t>1.</w:t>
      </w:r>
      <w:r>
        <w:rPr>
          <w:i/>
        </w:rPr>
        <w:tab/>
      </w:r>
      <w:r w:rsidRPr="009A64C4">
        <w:rPr>
          <w:i/>
        </w:rPr>
        <w:t xml:space="preserve">Recognizing and reaffirming </w:t>
      </w:r>
      <w:r w:rsidRPr="0072315E">
        <w:rPr>
          <w:iCs/>
        </w:rPr>
        <w:t>obligations set forth in the UN Declaration on the Rights of Indigenous Peoples (UNDRIP) and Member States’ commitment to achieving the ends of the UNDRIP</w:t>
      </w:r>
      <w:r w:rsidRPr="0072315E">
        <w:rPr>
          <w:iCs/>
          <w:vertAlign w:val="superscript"/>
        </w:rPr>
        <w:footnoteReference w:id="4"/>
      </w:r>
      <w:r>
        <w:rPr>
          <w:iCs/>
        </w:rPr>
        <w:t>;</w:t>
      </w:r>
    </w:p>
    <w:p w:rsidR="00A12A21" w:rsidRPr="00F9181D" w:rsidRDefault="00A12A21" w:rsidP="00A12A21"/>
    <w:p w:rsidR="00A12A21" w:rsidRDefault="00A12A21" w:rsidP="00A12A21">
      <w:pPr>
        <w:rPr>
          <w:iCs/>
        </w:rPr>
      </w:pPr>
      <w:r w:rsidRPr="00F9181D">
        <w:t>2.</w:t>
      </w:r>
      <w:r>
        <w:rPr>
          <w:i/>
        </w:rPr>
        <w:tab/>
      </w:r>
      <w:r w:rsidRPr="00B55BB0">
        <w:rPr>
          <w:i/>
        </w:rPr>
        <w:t xml:space="preserve">Acknowledging </w:t>
      </w:r>
      <w:r w:rsidRPr="0072315E">
        <w:rPr>
          <w:iCs/>
        </w:rPr>
        <w:t xml:space="preserve">the UN Sustainable Development Goals and Indigenous Peoples’ commitment to sustainability and ethical use in relation to GRs and </w:t>
      </w:r>
      <w:r>
        <w:rPr>
          <w:iCs/>
        </w:rPr>
        <w:t>traditional knowledge associated with genetic resources;</w:t>
      </w:r>
    </w:p>
    <w:p w:rsidR="00A12A21" w:rsidRPr="00F9181D" w:rsidRDefault="00A12A21" w:rsidP="00A12A21"/>
    <w:p w:rsidR="00A12A21" w:rsidRPr="00ED7FDD" w:rsidRDefault="00A12A21" w:rsidP="00A12A21">
      <w:pPr>
        <w:rPr>
          <w:i/>
        </w:rPr>
      </w:pPr>
      <w:r w:rsidRPr="00F9181D">
        <w:t>3.</w:t>
      </w:r>
      <w:r>
        <w:rPr>
          <w:i/>
        </w:rPr>
        <w:tab/>
        <w:t>[</w:t>
      </w:r>
      <w:r w:rsidRPr="00ED7FDD">
        <w:rPr>
          <w:i/>
        </w:rPr>
        <w:t>Ensuring</w:t>
      </w:r>
      <w:proofErr w:type="gramStart"/>
      <w:r>
        <w:rPr>
          <w:i/>
        </w:rPr>
        <w:t>][</w:t>
      </w:r>
      <w:proofErr w:type="gramEnd"/>
      <w:r w:rsidRPr="00AE4555">
        <w:rPr>
          <w:i/>
          <w:iCs/>
        </w:rPr>
        <w:t>Desiring</w:t>
      </w:r>
      <w:r w:rsidRPr="00946ECB">
        <w:rPr>
          <w:iCs/>
        </w:rPr>
        <w:t xml:space="preserve"> to ensure]</w:t>
      </w:r>
      <w:r w:rsidRPr="00ED7FDD">
        <w:rPr>
          <w:i/>
        </w:rPr>
        <w:t xml:space="preserve"> </w:t>
      </w:r>
      <w:r w:rsidRPr="0072315E">
        <w:rPr>
          <w:iCs/>
        </w:rPr>
        <w:t xml:space="preserve">respect for the rights of </w:t>
      </w:r>
      <w:r>
        <w:rPr>
          <w:iCs/>
        </w:rPr>
        <w:t xml:space="preserve">sovereign </w:t>
      </w:r>
      <w:r w:rsidRPr="0072315E">
        <w:rPr>
          <w:iCs/>
        </w:rPr>
        <w:t xml:space="preserve">holders, </w:t>
      </w:r>
      <w:r>
        <w:rPr>
          <w:iCs/>
        </w:rPr>
        <w:t>and</w:t>
      </w:r>
      <w:r w:rsidRPr="0072315E">
        <w:rPr>
          <w:iCs/>
        </w:rPr>
        <w:t>] indigenous people[s] and local communities</w:t>
      </w:r>
      <w:r>
        <w:rPr>
          <w:iCs/>
        </w:rPr>
        <w:t>,</w:t>
      </w:r>
      <w:r w:rsidRPr="0072315E">
        <w:rPr>
          <w:iCs/>
        </w:rPr>
        <w:t xml:space="preserve"> </w:t>
      </w:r>
      <w:r>
        <w:rPr>
          <w:iCs/>
        </w:rPr>
        <w:t xml:space="preserve">and entities provided under their national laws </w:t>
      </w:r>
      <w:r w:rsidRPr="0072315E">
        <w:rPr>
          <w:iCs/>
        </w:rPr>
        <w:t>over their genetic resources, and traditional knowledge associated with genetic resources</w:t>
      </w:r>
      <w:r>
        <w:rPr>
          <w:iCs/>
        </w:rPr>
        <w:t>;</w:t>
      </w:r>
    </w:p>
    <w:p w:rsidR="00A12A21" w:rsidRPr="00F9181D" w:rsidRDefault="00A12A21" w:rsidP="00A12A21"/>
    <w:p w:rsidR="00A12A21" w:rsidRPr="0036583A" w:rsidRDefault="00A12A21" w:rsidP="00A12A21">
      <w:r w:rsidRPr="00F9181D">
        <w:t>4.</w:t>
      </w:r>
      <w:r>
        <w:rPr>
          <w:i/>
        </w:rPr>
        <w:tab/>
      </w:r>
      <w:proofErr w:type="gramStart"/>
      <w:r w:rsidRPr="0036583A">
        <w:rPr>
          <w:i/>
        </w:rPr>
        <w:t>Recognizing</w:t>
      </w:r>
      <w:proofErr w:type="gramEnd"/>
      <w:r w:rsidRPr="0036583A">
        <w:t xml:space="preserve"> the principles of free and prior informed consent and mutually agreed terms in relation to access and utilization of genetic resources and traditional knowledge associated with genetic resources</w:t>
      </w:r>
      <w:r>
        <w:t>;</w:t>
      </w:r>
    </w:p>
    <w:p w:rsidR="00A12A21" w:rsidRPr="00F9181D" w:rsidRDefault="00A12A21" w:rsidP="00A12A21"/>
    <w:p w:rsidR="00A12A21" w:rsidRDefault="00A12A21" w:rsidP="00A12A21">
      <w:r w:rsidRPr="00F9181D">
        <w:t>5</w:t>
      </w:r>
      <w:r>
        <w:rPr>
          <w:i/>
        </w:rPr>
        <w:t>.</w:t>
      </w:r>
      <w:r>
        <w:rPr>
          <w:i/>
        </w:rPr>
        <w:tab/>
      </w:r>
      <w:r w:rsidRPr="0036583A">
        <w:rPr>
          <w:i/>
        </w:rPr>
        <w:t>Recognizing</w:t>
      </w:r>
      <w:r w:rsidRPr="0036583A">
        <w:t xml:space="preserve"> the role of the </w:t>
      </w:r>
      <w:r>
        <w:t>[</w:t>
      </w:r>
      <w:r w:rsidRPr="0036583A">
        <w:t>IP</w:t>
      </w:r>
      <w:r>
        <w:t>]/[patent]</w:t>
      </w:r>
      <w:r w:rsidRPr="0036583A">
        <w:t xml:space="preserve"> system in contributing to the protection of genetic resources, and traditional knowledge associated with genetic resources, including preventing misappropriation</w:t>
      </w:r>
      <w:r w:rsidRPr="0072315E">
        <w:t xml:space="preserve"> </w:t>
      </w:r>
      <w:r>
        <w:t>[</w:t>
      </w:r>
      <w:r w:rsidRPr="0072315E">
        <w:t>contributing to the traceability of access to GRs / contributing to the traceability of utilization of GRs</w:t>
      </w:r>
      <w:r>
        <w:t>];</w:t>
      </w:r>
    </w:p>
    <w:p w:rsidR="00A12A21" w:rsidRPr="00F9181D" w:rsidRDefault="00A12A21" w:rsidP="00A12A21"/>
    <w:p w:rsidR="00A12A21" w:rsidRPr="005F247A" w:rsidRDefault="00A12A21" w:rsidP="00A12A21">
      <w:pPr>
        <w:rPr>
          <w:iCs/>
        </w:rPr>
      </w:pPr>
      <w:r w:rsidRPr="00F9181D">
        <w:t>6</w:t>
      </w:r>
      <w:r w:rsidRPr="00824340">
        <w:rPr>
          <w:i/>
        </w:rPr>
        <w:t>.</w:t>
      </w:r>
      <w:r w:rsidRPr="00824340">
        <w:rPr>
          <w:i/>
        </w:rPr>
        <w:tab/>
      </w:r>
      <w:r w:rsidRPr="00824340">
        <w:rPr>
          <w:i/>
          <w:iCs/>
        </w:rPr>
        <w:t>Acknowledging</w:t>
      </w:r>
      <w:r w:rsidRPr="00824340">
        <w:rPr>
          <w:i/>
        </w:rPr>
        <w:t xml:space="preserve"> </w:t>
      </w:r>
      <w:r w:rsidRPr="005F247A">
        <w:rPr>
          <w:iCs/>
        </w:rPr>
        <w:t>the important contribution of the patent system to scientific research and development, innovation and economic development;</w:t>
      </w:r>
    </w:p>
    <w:p w:rsidR="00A12A21" w:rsidRPr="00F9181D" w:rsidRDefault="00A12A21" w:rsidP="00A12A21"/>
    <w:p w:rsidR="00A12A21" w:rsidRPr="005F247A" w:rsidRDefault="00A12A21" w:rsidP="00A12A21">
      <w:pPr>
        <w:rPr>
          <w:iCs/>
        </w:rPr>
      </w:pPr>
      <w:r w:rsidRPr="00F9181D">
        <w:t>7</w:t>
      </w:r>
      <w:r w:rsidRPr="00824340">
        <w:rPr>
          <w:i/>
        </w:rPr>
        <w:t>.</w:t>
      </w:r>
      <w:r w:rsidRPr="00824340">
        <w:rPr>
          <w:i/>
        </w:rPr>
        <w:tab/>
      </w:r>
      <w:r w:rsidRPr="00824340">
        <w:rPr>
          <w:i/>
          <w:iCs/>
        </w:rPr>
        <w:t>Stressing</w:t>
      </w:r>
      <w:r w:rsidRPr="00824340">
        <w:rPr>
          <w:i/>
        </w:rPr>
        <w:t xml:space="preserve"> </w:t>
      </w:r>
      <w:r w:rsidRPr="005F247A">
        <w:rPr>
          <w:iCs/>
        </w:rPr>
        <w:t>the need for Members to ensure the correct grant of patents for novel and non-obvious inventions related to genetic resources and traditional knowledge associated with genetic resources;</w:t>
      </w:r>
    </w:p>
    <w:p w:rsidR="00A12A21" w:rsidRDefault="00A12A21" w:rsidP="00A12A21"/>
    <w:p w:rsidR="00A12A21" w:rsidRDefault="00A12A21" w:rsidP="00A12A21">
      <w:r>
        <w:t>8.</w:t>
      </w:r>
      <w:r>
        <w:tab/>
        <w:t>[</w:t>
      </w:r>
      <w:r w:rsidRPr="007B5EEB">
        <w:t>Ensuring mutual supportiveness</w:t>
      </w:r>
      <w:r>
        <w:t>] [</w:t>
      </w:r>
      <w:r w:rsidRPr="007B5EEB">
        <w:t>Desiring to ensure coherence</w:t>
      </w:r>
      <w:r>
        <w:t>]</w:t>
      </w:r>
      <w:r w:rsidRPr="007B5EEB">
        <w:t xml:space="preserve"> with international agreements relating to the protection of genetic resources and/or traditional knowledge associated with genetic resources and those relating to </w:t>
      </w:r>
      <w:r>
        <w:t>[</w:t>
      </w:r>
      <w:r w:rsidRPr="007B5EEB">
        <w:t>IP</w:t>
      </w:r>
      <w:r>
        <w:t>]</w:t>
      </w:r>
      <w:proofErr w:type="gramStart"/>
      <w:r>
        <w:t>/[</w:t>
      </w:r>
      <w:proofErr w:type="gramEnd"/>
      <w:r>
        <w:t>patents];</w:t>
      </w:r>
      <w:r w:rsidRPr="007B5EEB">
        <w:t xml:space="preserve"> </w:t>
      </w:r>
    </w:p>
    <w:p w:rsidR="00A12A21" w:rsidRPr="00F9181D" w:rsidRDefault="00A12A21" w:rsidP="00A12A21"/>
    <w:p w:rsidR="00A12A21" w:rsidRPr="0036583A" w:rsidRDefault="00A12A21" w:rsidP="00A12A21">
      <w:pPr>
        <w:rPr>
          <w:lang w:val="sv-SE"/>
        </w:rPr>
      </w:pPr>
      <w:r w:rsidRPr="00F9181D">
        <w:rPr>
          <w:lang w:val="sv-SE"/>
        </w:rPr>
        <w:t>9.</w:t>
      </w:r>
      <w:r>
        <w:rPr>
          <w:i/>
          <w:lang w:val="sv-SE"/>
        </w:rPr>
        <w:tab/>
      </w:r>
      <w:r w:rsidRPr="0036583A">
        <w:rPr>
          <w:i/>
          <w:lang w:val="sv-SE"/>
        </w:rPr>
        <w:t>Emphasizing</w:t>
      </w:r>
      <w:r w:rsidRPr="0036583A">
        <w:rPr>
          <w:lang w:val="sv-SE"/>
        </w:rPr>
        <w:t xml:space="preserve"> the importance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Offices having access to  the appropriate information on genetic resources and traditional knowledge associated with genetic resources to prevent the erroneous granting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rights</w:t>
      </w:r>
      <w:r>
        <w:rPr>
          <w:lang w:val="sv-SE"/>
        </w:rPr>
        <w:t>;</w:t>
      </w:r>
    </w:p>
    <w:p w:rsidR="00A12A21" w:rsidRPr="00F9181D" w:rsidRDefault="00A12A21" w:rsidP="00A12A21">
      <w:pPr>
        <w:rPr>
          <w:lang w:val="sv-SE"/>
        </w:rPr>
      </w:pPr>
    </w:p>
    <w:p w:rsidR="00A12A21" w:rsidRDefault="00A12A21" w:rsidP="00A12A21">
      <w:pPr>
        <w:rPr>
          <w:lang w:val="sv-SE"/>
        </w:rPr>
      </w:pPr>
      <w:r w:rsidRPr="00F9181D">
        <w:rPr>
          <w:lang w:val="sv-SE"/>
        </w:rPr>
        <w:t>10.</w:t>
      </w:r>
      <w:r>
        <w:rPr>
          <w:i/>
          <w:lang w:val="sv-SE"/>
        </w:rPr>
        <w:tab/>
      </w:r>
      <w:r w:rsidRPr="0036583A">
        <w:rPr>
          <w:i/>
          <w:lang w:val="sv-SE"/>
        </w:rPr>
        <w:t>Recognizing</w:t>
      </w:r>
      <w:r w:rsidRPr="0036583A">
        <w:rPr>
          <w:lang w:val="sv-SE"/>
        </w:rPr>
        <w:t xml:space="preserve"> the role of databases for storing information related to genetic resources and </w:t>
      </w:r>
      <w:r w:rsidRPr="00B2766F">
        <w:rPr>
          <w:lang w:val="sv-SE"/>
        </w:rPr>
        <w:t>non secret traditional knowledge associated with genetic resources</w:t>
      </w:r>
      <w:r w:rsidRPr="0036583A">
        <w:rPr>
          <w:lang w:val="sv-SE"/>
        </w:rPr>
        <w:t>, in preventing the erroneous granting of patents, pre and post grant</w:t>
      </w:r>
      <w:r>
        <w:rPr>
          <w:lang w:val="sv-SE"/>
        </w:rPr>
        <w:t>;</w:t>
      </w:r>
    </w:p>
    <w:p w:rsidR="00A12A21" w:rsidRPr="00F9181D" w:rsidRDefault="00A12A21" w:rsidP="00A12A21">
      <w:pPr>
        <w:rPr>
          <w:lang w:val="sv-SE"/>
        </w:rPr>
      </w:pPr>
    </w:p>
    <w:p w:rsidR="00A12A21" w:rsidRPr="0036583A" w:rsidRDefault="00A12A21" w:rsidP="00A12A21">
      <w:r w:rsidRPr="00F9181D">
        <w:t>11.</w:t>
      </w:r>
      <w:r>
        <w:rPr>
          <w:i/>
        </w:rPr>
        <w:tab/>
      </w:r>
      <w:r w:rsidRPr="0036583A">
        <w:rPr>
          <w:i/>
        </w:rPr>
        <w:t>Reaffirming</w:t>
      </w:r>
      <w:r w:rsidRPr="0036583A">
        <w:t xml:space="preserve"> the important economic, scientific, cultural, and commercial value of genetic resources and traditional knowledge associated with genetic resources</w:t>
      </w:r>
      <w:r>
        <w:t>;</w:t>
      </w:r>
    </w:p>
    <w:p w:rsidR="00A12A21" w:rsidRPr="00F9181D" w:rsidRDefault="00A12A21" w:rsidP="00A12A21"/>
    <w:p w:rsidR="00A12A21" w:rsidRPr="0036583A" w:rsidRDefault="00A12A21" w:rsidP="00A12A21">
      <w:r w:rsidRPr="00F9181D">
        <w:t>12.</w:t>
      </w:r>
      <w:r>
        <w:rPr>
          <w:i/>
        </w:rPr>
        <w:tab/>
        <w:t>[</w:t>
      </w:r>
      <w:r w:rsidRPr="0036583A">
        <w:rPr>
          <w:i/>
        </w:rPr>
        <w:t>Reaffirming</w:t>
      </w:r>
      <w:r w:rsidRPr="0036583A">
        <w:t xml:space="preserve"> the </w:t>
      </w:r>
      <w:r>
        <w:t>[</w:t>
      </w:r>
      <w:r w:rsidRPr="0036583A">
        <w:t>stability</w:t>
      </w:r>
      <w:r>
        <w:t>] need for reliability</w:t>
      </w:r>
      <w:r w:rsidRPr="0036583A">
        <w:t xml:space="preserve"> and predictability of granted </w:t>
      </w:r>
      <w:r>
        <w:t>[IP]/[</w:t>
      </w:r>
      <w:r w:rsidRPr="0036583A">
        <w:t>patents</w:t>
      </w:r>
      <w:r>
        <w:t>] [IP]/[patent] rights, and recognizing the need for legal certainty with respect to disclosure requirements related to GRs and TK associated with GRs in [IP]/[patent] applications;]</w:t>
      </w:r>
    </w:p>
    <w:p w:rsidR="00A12A21" w:rsidRPr="00F9181D" w:rsidRDefault="00A12A21" w:rsidP="00A12A21"/>
    <w:p w:rsidR="00A12A21" w:rsidRDefault="00A12A21" w:rsidP="00A12A21">
      <w:r w:rsidRPr="00F9181D">
        <w:t>13.</w:t>
      </w:r>
      <w:r w:rsidRPr="00F9181D">
        <w:tab/>
      </w:r>
      <w:r w:rsidRPr="0036583A">
        <w:rPr>
          <w:i/>
        </w:rPr>
        <w:t>Recognizing and reaffirming</w:t>
      </w:r>
      <w:r w:rsidRPr="0036583A">
        <w:t xml:space="preserve"> the role the </w:t>
      </w:r>
      <w:r>
        <w:t>[</w:t>
      </w:r>
      <w:r w:rsidRPr="0036583A">
        <w:t>IP</w:t>
      </w:r>
      <w:r>
        <w:t>]/[patent]</w:t>
      </w:r>
      <w:r w:rsidRPr="0036583A">
        <w:t xml:space="preserve"> system plays in promoting innovation, transfer and dissemination of knowledge and economic development, to the mutual </w:t>
      </w:r>
      <w:r w:rsidRPr="0036583A">
        <w:lastRenderedPageBreak/>
        <w:t>advantage of stakeholders, providers, holders and users of genetic resources, and traditional knowledge associated with genetic resources</w:t>
      </w:r>
      <w:r>
        <w:t>;</w:t>
      </w:r>
    </w:p>
    <w:p w:rsidR="00A12A21" w:rsidRDefault="00A12A21" w:rsidP="00A12A21"/>
    <w:p w:rsidR="00A12A21" w:rsidRPr="001231AF" w:rsidRDefault="00A12A21" w:rsidP="00A12A21">
      <w:r>
        <w:t>[</w:t>
      </w:r>
      <w:r w:rsidRPr="001231AF">
        <w:t>14.</w:t>
      </w:r>
      <w:r w:rsidRPr="001231AF">
        <w:tab/>
      </w:r>
      <w:r w:rsidRPr="001231AF">
        <w:rPr>
          <w:i/>
          <w:iCs/>
        </w:rPr>
        <w:t>Emphasizing</w:t>
      </w:r>
      <w:r w:rsidRPr="001231AF">
        <w:t xml:space="preserve"> that no [patents] [intellectual property] on life forms, including human beings, are to be granted</w:t>
      </w:r>
      <w:r>
        <w:t>;]</w:t>
      </w:r>
    </w:p>
    <w:p w:rsidR="00A12A21" w:rsidRPr="00F9181D" w:rsidRDefault="00A12A21" w:rsidP="00A12A21"/>
    <w:p w:rsidR="00A12A21" w:rsidRPr="0036583A" w:rsidRDefault="00A12A21" w:rsidP="00A12A21">
      <w:pPr>
        <w:rPr>
          <w:b/>
        </w:rPr>
      </w:pPr>
      <w:r w:rsidRPr="00F9181D">
        <w:t>15.</w:t>
      </w:r>
      <w:r w:rsidRPr="00F9181D">
        <w:tab/>
      </w:r>
      <w:r w:rsidRPr="0036583A">
        <w:rPr>
          <w:i/>
        </w:rPr>
        <w:t>Reaffirming</w:t>
      </w:r>
      <w:r w:rsidRPr="0036583A">
        <w:t xml:space="preserve">, the sovereign rights of States over their natural resources, </w:t>
      </w:r>
      <w:r>
        <w:t xml:space="preserve">where applicable, </w:t>
      </w:r>
      <w:r w:rsidRPr="0036583A">
        <w:t>and that the authority to determine access to genetic resources</w:t>
      </w:r>
      <w:r>
        <w:t>,</w:t>
      </w:r>
      <w:r w:rsidRPr="0036583A">
        <w:t xml:space="preserve"> </w:t>
      </w:r>
      <w:r>
        <w:t xml:space="preserve">in such cases, </w:t>
      </w:r>
      <w:r w:rsidRPr="0036583A">
        <w:t>rests with the national governments and is subject to national legislation</w:t>
      </w:r>
      <w:r>
        <w:t>.</w:t>
      </w:r>
      <w:r w:rsidRPr="0036583A">
        <w:t>]</w:t>
      </w:r>
    </w:p>
    <w:p w:rsidR="00A12A21" w:rsidRDefault="00A12A21" w:rsidP="00A12A21">
      <w:pPr>
        <w:jc w:val="center"/>
        <w:rPr>
          <w:b/>
        </w:rPr>
      </w:pPr>
      <w:r>
        <w:rPr>
          <w:b/>
        </w:rPr>
        <w:br w:type="page"/>
      </w:r>
    </w:p>
    <w:p w:rsidR="00A12A21" w:rsidRPr="0036583A" w:rsidRDefault="00A12A21" w:rsidP="00A12A21">
      <w:pPr>
        <w:jc w:val="center"/>
        <w:rPr>
          <w:b/>
        </w:rPr>
      </w:pPr>
      <w:r w:rsidRPr="0036583A">
        <w:rPr>
          <w:b/>
        </w:rPr>
        <w:lastRenderedPageBreak/>
        <w:t>[ARTICLE 1]</w:t>
      </w:r>
    </w:p>
    <w:p w:rsidR="00A12A21" w:rsidRPr="0036583A" w:rsidRDefault="00A12A21" w:rsidP="00A12A21">
      <w:pPr>
        <w:jc w:val="center"/>
        <w:rPr>
          <w:b/>
        </w:rPr>
      </w:pPr>
      <w:r w:rsidRPr="0036583A">
        <w:rPr>
          <w:b/>
        </w:rPr>
        <w:t>DEFINITIONS</w:t>
      </w:r>
    </w:p>
    <w:p w:rsidR="00A12A21" w:rsidRDefault="00A12A21" w:rsidP="00A12A21">
      <w:pPr>
        <w:rPr>
          <w:b/>
        </w:rPr>
      </w:pPr>
    </w:p>
    <w:p w:rsidR="00A12A21" w:rsidRPr="0036583A" w:rsidRDefault="00A12A21" w:rsidP="00A12A21">
      <w:pPr>
        <w:rPr>
          <w:b/>
        </w:rPr>
      </w:pPr>
    </w:p>
    <w:p w:rsidR="00A12A21" w:rsidRPr="0036583A" w:rsidRDefault="00A12A21" w:rsidP="00A12A21">
      <w:pPr>
        <w:rPr>
          <w:b/>
        </w:rPr>
      </w:pPr>
      <w:r w:rsidRPr="0036583A">
        <w:rPr>
          <w:b/>
        </w:rPr>
        <w:t>TERMS USED IN THE OPERATIVE ARTICLES</w:t>
      </w:r>
    </w:p>
    <w:p w:rsidR="00A12A21" w:rsidRPr="0036583A" w:rsidRDefault="00A12A21" w:rsidP="00A12A21">
      <w:pPr>
        <w:rPr>
          <w:b/>
        </w:rPr>
      </w:pPr>
    </w:p>
    <w:p w:rsidR="00A12A21" w:rsidRPr="0036583A" w:rsidRDefault="00A12A21" w:rsidP="00A12A21">
      <w:pPr>
        <w:rPr>
          <w:b/>
        </w:rPr>
      </w:pPr>
    </w:p>
    <w:p w:rsidR="00A12A21" w:rsidRPr="0036583A" w:rsidRDefault="00A12A21" w:rsidP="00A12A21">
      <w:pPr>
        <w:rPr>
          <w:b/>
        </w:rPr>
      </w:pPr>
      <w:r w:rsidRPr="0036583A">
        <w:rPr>
          <w:b/>
        </w:rPr>
        <w:t>[Traditional Knowledge Associated with Genetic Resources</w:t>
      </w:r>
    </w:p>
    <w:p w:rsidR="00A12A21" w:rsidRPr="005F247A" w:rsidRDefault="00A12A21" w:rsidP="00A12A21">
      <w:pPr>
        <w:rPr>
          <w:b/>
          <w:i/>
          <w:iCs/>
        </w:rPr>
      </w:pPr>
    </w:p>
    <w:p w:rsidR="00A12A21" w:rsidRPr="00AE4555" w:rsidRDefault="00A12A21" w:rsidP="00A12A21">
      <w:pPr>
        <w:rPr>
          <w:iCs/>
        </w:rPr>
      </w:pPr>
      <w:r w:rsidRPr="00AE4555">
        <w:rPr>
          <w:iCs/>
        </w:rPr>
        <w:t>Traditional Knowledge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 and is:</w:t>
      </w:r>
    </w:p>
    <w:p w:rsidR="00A12A21" w:rsidRPr="00AE4555" w:rsidRDefault="00A12A21" w:rsidP="00A12A21">
      <w:pPr>
        <w:rPr>
          <w:iCs/>
        </w:rPr>
      </w:pPr>
    </w:p>
    <w:p w:rsidR="00A12A21" w:rsidRPr="00AE4555" w:rsidRDefault="00A12A21" w:rsidP="00A12A21">
      <w:pPr>
        <w:rPr>
          <w:iCs/>
        </w:rPr>
      </w:pPr>
      <w:r w:rsidRPr="00AE4555">
        <w:rPr>
          <w:iCs/>
        </w:rPr>
        <w:t>(a) created, generated, received, or revealed, by indigenous [peoples], local communities and/or [other beneficiaries] and developed, held, used, and maintained collectively by them [in accordance with their customary laws and protocols];</w:t>
      </w:r>
      <w:r w:rsidRPr="00AE4555">
        <w:rPr>
          <w:iCs/>
        </w:rPr>
        <w:tab/>
      </w:r>
    </w:p>
    <w:p w:rsidR="00A12A21" w:rsidRPr="00AE4555" w:rsidRDefault="00A12A21" w:rsidP="00A12A21">
      <w:pPr>
        <w:rPr>
          <w:iCs/>
        </w:rPr>
      </w:pPr>
    </w:p>
    <w:p w:rsidR="00A12A21" w:rsidRPr="00AE4555" w:rsidRDefault="00A12A21" w:rsidP="00A12A21">
      <w:pPr>
        <w:rPr>
          <w:iCs/>
        </w:rPr>
      </w:pPr>
      <w:r w:rsidRPr="00AE4555">
        <w:rPr>
          <w:iCs/>
        </w:rPr>
        <w:t xml:space="preserve">(b) </w:t>
      </w:r>
      <w:proofErr w:type="gramStart"/>
      <w:r w:rsidRPr="00AE4555">
        <w:rPr>
          <w:iCs/>
        </w:rPr>
        <w:t>linked</w:t>
      </w:r>
      <w:proofErr w:type="gramEnd"/>
      <w:r w:rsidRPr="00AE4555">
        <w:rPr>
          <w:iCs/>
        </w:rPr>
        <w:t xml:space="preserve"> with, and is an integral part of, the cultural and social identity and traditional heritage of indigenous peoples, local communities and/or [other beneficiaries];  and</w:t>
      </w:r>
    </w:p>
    <w:p w:rsidR="00A12A21" w:rsidRPr="00AE4555" w:rsidRDefault="00A12A21" w:rsidP="00A12A21">
      <w:pPr>
        <w:rPr>
          <w:iCs/>
        </w:rPr>
      </w:pPr>
    </w:p>
    <w:p w:rsidR="00A12A21" w:rsidRPr="00AE4555" w:rsidRDefault="00A12A21" w:rsidP="00A12A21">
      <w:pPr>
        <w:rPr>
          <w:iCs/>
        </w:rPr>
      </w:pPr>
      <w:r w:rsidRPr="00AE4555">
        <w:rPr>
          <w:iCs/>
        </w:rPr>
        <w:t>(</w:t>
      </w:r>
      <w:proofErr w:type="gramStart"/>
      <w:r w:rsidRPr="00AE4555">
        <w:rPr>
          <w:iCs/>
        </w:rPr>
        <w:t>c</w:t>
      </w:r>
      <w:proofErr w:type="gramEnd"/>
      <w:r w:rsidRPr="00AE4555">
        <w:rPr>
          <w:iCs/>
        </w:rPr>
        <w:t>) transmitted between or from generation to generation, whether consecutively or not.</w:t>
      </w:r>
      <w:r>
        <w:rPr>
          <w:iCs/>
        </w:rPr>
        <w:t>]</w:t>
      </w:r>
    </w:p>
    <w:p w:rsidR="00A12A21" w:rsidRPr="0036583A" w:rsidRDefault="00A12A21" w:rsidP="00A12A21"/>
    <w:p w:rsidR="00A12A21" w:rsidRPr="0036583A" w:rsidRDefault="00A12A21" w:rsidP="00A12A21"/>
    <w:p w:rsidR="00A12A21" w:rsidRPr="0036583A" w:rsidRDefault="00A12A21" w:rsidP="00A12A21">
      <w:r w:rsidRPr="0036583A">
        <w:rPr>
          <w:b/>
        </w:rPr>
        <w:t>[Country of Origin</w:t>
      </w:r>
    </w:p>
    <w:p w:rsidR="00A12A21" w:rsidRPr="0036583A" w:rsidRDefault="00A12A21" w:rsidP="00A12A21"/>
    <w:p w:rsidR="00A12A21" w:rsidRPr="0036583A" w:rsidRDefault="00A12A21" w:rsidP="00A12A21">
      <w:r w:rsidRPr="0036583A">
        <w:t>“Country of origin” is the [first] country which possesses genetic resources in in-situ conditions.</w:t>
      </w:r>
    </w:p>
    <w:p w:rsidR="00A12A21" w:rsidRPr="0036583A" w:rsidRDefault="00A12A21" w:rsidP="00A12A21"/>
    <w:p w:rsidR="00A12A21" w:rsidRPr="0036583A" w:rsidRDefault="00A12A21" w:rsidP="00A12A21">
      <w:r w:rsidRPr="0036583A">
        <w:t>ALT</w:t>
      </w:r>
    </w:p>
    <w:p w:rsidR="00A12A21" w:rsidRPr="0036583A" w:rsidRDefault="00A12A21" w:rsidP="00A12A21"/>
    <w:p w:rsidR="00A12A21" w:rsidRPr="0036583A" w:rsidRDefault="00A12A21" w:rsidP="00A12A21">
      <w:r w:rsidRPr="0036583A">
        <w:t>“Country of origin” is the country which first possessed genetic resources in in-situ conditions and still possesses those genetic resources.]</w:t>
      </w:r>
    </w:p>
    <w:p w:rsidR="00A12A21" w:rsidRPr="0036583A" w:rsidRDefault="00A12A21" w:rsidP="00A12A21"/>
    <w:p w:rsidR="00A12A21" w:rsidRPr="0036583A" w:rsidRDefault="00A12A21" w:rsidP="00A12A21"/>
    <w:p w:rsidR="00A12A21" w:rsidRPr="0036583A" w:rsidRDefault="00A12A21" w:rsidP="00A12A21">
      <w:pPr>
        <w:rPr>
          <w:b/>
        </w:rPr>
      </w:pPr>
      <w:r w:rsidRPr="0036583A">
        <w:rPr>
          <w:b/>
        </w:rPr>
        <w:t>[[Country Providing</w:t>
      </w:r>
      <w:proofErr w:type="gramStart"/>
      <w:r w:rsidRPr="0036583A">
        <w:rPr>
          <w:b/>
        </w:rPr>
        <w:t>][</w:t>
      </w:r>
      <w:proofErr w:type="gramEnd"/>
      <w:r w:rsidRPr="0036583A">
        <w:rPr>
          <w:b/>
        </w:rPr>
        <w:t>Providing Country]</w:t>
      </w:r>
    </w:p>
    <w:p w:rsidR="00A12A21" w:rsidRPr="0036583A" w:rsidRDefault="00A12A21" w:rsidP="00A12A21"/>
    <w:p w:rsidR="00A12A21" w:rsidRDefault="00A12A21" w:rsidP="00A12A21">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r>
        <w:t xml:space="preserve"> </w:t>
      </w:r>
      <w:r>
        <w:br w:type="page"/>
      </w:r>
    </w:p>
    <w:p w:rsidR="00A12A21" w:rsidRPr="00D90C5E" w:rsidRDefault="00A12A21" w:rsidP="00A12A21">
      <w:pPr>
        <w:rPr>
          <w:b/>
        </w:rPr>
      </w:pPr>
      <w:r w:rsidRPr="00D90C5E">
        <w:rPr>
          <w:b/>
        </w:rPr>
        <w:lastRenderedPageBreak/>
        <w:t>[Erroneous Grant/Granting of Patents</w:t>
      </w:r>
    </w:p>
    <w:p w:rsidR="00A12A21" w:rsidRPr="00D90C5E" w:rsidRDefault="00A12A21" w:rsidP="00A12A21"/>
    <w:p w:rsidR="00A12A21" w:rsidRPr="00D90C5E" w:rsidRDefault="00A12A21" w:rsidP="00A12A21">
      <w:r w:rsidRPr="00D90C5E">
        <w:t>Erroneous grant/granting of patents means the granting of patent rights on inventions that are not novel, that are obvious, or that are not industrially applicable.]</w:t>
      </w:r>
    </w:p>
    <w:p w:rsidR="00A12A21" w:rsidRPr="00D90C5E" w:rsidRDefault="00A12A21" w:rsidP="00A12A21"/>
    <w:p w:rsidR="00A12A21" w:rsidRPr="00D90C5E" w:rsidRDefault="00A12A21" w:rsidP="00A12A21">
      <w:pPr>
        <w:rPr>
          <w:b/>
        </w:rPr>
      </w:pPr>
    </w:p>
    <w:p w:rsidR="00A12A21" w:rsidRPr="00D90C5E" w:rsidRDefault="00A12A21" w:rsidP="00A12A21">
      <w:pPr>
        <w:rPr>
          <w:b/>
        </w:rPr>
      </w:pPr>
      <w:r w:rsidRPr="00D90C5E">
        <w:rPr>
          <w:b/>
        </w:rPr>
        <w:t xml:space="preserve">[[Invention] Directly Based On </w:t>
      </w:r>
    </w:p>
    <w:p w:rsidR="00A12A21" w:rsidRPr="00D90C5E" w:rsidRDefault="00A12A21" w:rsidP="00A12A21"/>
    <w:p w:rsidR="00A12A21" w:rsidRPr="00D90C5E" w:rsidRDefault="00A12A21" w:rsidP="00A12A21">
      <w:r w:rsidRPr="00D90C5E">
        <w:t>“[Invention] Directly based on” means that the [subject matter</w:t>
      </w:r>
      <w:proofErr w:type="gramStart"/>
      <w:r w:rsidRPr="00D90C5E">
        <w:t>][</w:t>
      </w:r>
      <w:proofErr w:type="gramEnd"/>
      <w:r w:rsidRPr="00D90C5E">
        <w:t>invention] [must] make [immediate] use of the genetic resource, and depend on the specific properties of the resource of which the inventor [must] have had [physical] access.]</w:t>
      </w:r>
    </w:p>
    <w:p w:rsidR="00A12A21" w:rsidRPr="00D90C5E" w:rsidRDefault="00A12A21" w:rsidP="00A12A21"/>
    <w:p w:rsidR="00A12A21" w:rsidRPr="00D90C5E" w:rsidRDefault="00A12A21" w:rsidP="00A12A21">
      <w:r w:rsidRPr="00D90C5E">
        <w:t>ALT</w:t>
      </w:r>
    </w:p>
    <w:p w:rsidR="00A12A21" w:rsidRPr="00D90C5E" w:rsidRDefault="00A12A21" w:rsidP="00A12A21"/>
    <w:p w:rsidR="00A12A21" w:rsidRPr="00D90C5E" w:rsidRDefault="00A12A21" w:rsidP="00A12A21">
      <w:r w:rsidRPr="00D90C5E">
        <w:t xml:space="preserve">“[Invention] </w:t>
      </w:r>
      <w:proofErr w:type="gramStart"/>
      <w:r w:rsidRPr="00D90C5E">
        <w:t>Directly</w:t>
      </w:r>
      <w:proofErr w:type="gramEnd"/>
      <w:r w:rsidRPr="00D90C5E">
        <w:t xml:space="preserve"> based on” means that the [invention] [must] make [immediate] use of the genetic resource, and the inventive concept must depend on the specific properties of the resource of which the inventor must have had physical access.]</w:t>
      </w:r>
    </w:p>
    <w:p w:rsidR="00A12A21" w:rsidRPr="00D90C5E" w:rsidRDefault="00A12A21" w:rsidP="00A12A21"/>
    <w:p w:rsidR="00A12A21" w:rsidRPr="00D90C5E" w:rsidRDefault="00A12A21" w:rsidP="00A12A21"/>
    <w:p w:rsidR="00A12A21" w:rsidRPr="00D90C5E" w:rsidRDefault="00A12A21" w:rsidP="00A12A21">
      <w:r w:rsidRPr="00D90C5E">
        <w:rPr>
          <w:b/>
        </w:rPr>
        <w:t>Genetic Material</w:t>
      </w:r>
    </w:p>
    <w:p w:rsidR="00A12A21" w:rsidRPr="00D90C5E" w:rsidRDefault="00A12A21" w:rsidP="00A12A21"/>
    <w:p w:rsidR="00A12A21" w:rsidRPr="00D90C5E" w:rsidRDefault="00A12A21" w:rsidP="00A12A21">
      <w:r w:rsidRPr="00D90C5E">
        <w:t>“Genetic material” means any material of plant, animal, microbial or other origin containing functional units of heredity.</w:t>
      </w:r>
    </w:p>
    <w:p w:rsidR="00A12A21" w:rsidRPr="00D90C5E" w:rsidRDefault="00A12A21" w:rsidP="00A12A21"/>
    <w:p w:rsidR="00A12A21" w:rsidRPr="00D90C5E" w:rsidRDefault="00A12A21" w:rsidP="00A12A21">
      <w:r w:rsidRPr="00D90C5E">
        <w:t>ALT</w:t>
      </w:r>
    </w:p>
    <w:p w:rsidR="00A12A21" w:rsidRPr="00D90C5E" w:rsidRDefault="00A12A21" w:rsidP="00A12A21"/>
    <w:p w:rsidR="00A12A21" w:rsidRPr="00D90C5E" w:rsidRDefault="00A12A21" w:rsidP="00A12A21">
      <w:r w:rsidRPr="00D90C5E">
        <w:t>“Genetic material” means any material of plant, animal, or microbial origin containing functional units of heredity.</w:t>
      </w:r>
    </w:p>
    <w:p w:rsidR="00A12A21" w:rsidRPr="00D90C5E" w:rsidRDefault="00A12A21" w:rsidP="00A12A21"/>
    <w:p w:rsidR="00A12A21" w:rsidRPr="00D90C5E" w:rsidRDefault="00A12A21" w:rsidP="00A12A21"/>
    <w:p w:rsidR="00A12A21" w:rsidRPr="00D90C5E" w:rsidRDefault="00A12A21" w:rsidP="00A12A21">
      <w:pPr>
        <w:rPr>
          <w:b/>
        </w:rPr>
      </w:pPr>
      <w:r w:rsidRPr="00D90C5E">
        <w:rPr>
          <w:b/>
        </w:rPr>
        <w:t>Genetic Resources</w:t>
      </w:r>
    </w:p>
    <w:p w:rsidR="00A12A21" w:rsidRPr="00D90C5E" w:rsidRDefault="00A12A21" w:rsidP="00A12A21"/>
    <w:p w:rsidR="00A12A21" w:rsidRPr="00D90C5E" w:rsidRDefault="00A12A21" w:rsidP="00A12A21">
      <w:r>
        <w:t>“Genetic resources”</w:t>
      </w:r>
      <w:r w:rsidRPr="00D90C5E">
        <w:t xml:space="preserve"> are genetic material of actual or potential value. </w:t>
      </w:r>
    </w:p>
    <w:p w:rsidR="00A12A21" w:rsidRPr="00D90C5E" w:rsidRDefault="00A12A21" w:rsidP="00A12A21"/>
    <w:p w:rsidR="00A12A21" w:rsidRPr="00D90C5E" w:rsidRDefault="00A12A21" w:rsidP="00A12A21">
      <w:r w:rsidRPr="00D90C5E">
        <w:t>ALT</w:t>
      </w:r>
    </w:p>
    <w:p w:rsidR="00A12A21" w:rsidRPr="00D90C5E" w:rsidRDefault="00A12A21" w:rsidP="00A12A21"/>
    <w:p w:rsidR="00A12A21" w:rsidRPr="00D90C5E" w:rsidRDefault="00A12A21" w:rsidP="00A12A21">
      <w:r w:rsidRPr="00D90C5E">
        <w:t>“Genetic resources” means any material of plant, animal, or microbial origin containing functional units of heredity of actual or potential value, and includes derivatives and genetic information thereof.</w:t>
      </w:r>
    </w:p>
    <w:p w:rsidR="00A12A21" w:rsidRPr="00D90C5E" w:rsidRDefault="00A12A21" w:rsidP="00A12A21"/>
    <w:p w:rsidR="00A12A21" w:rsidRPr="00D90C5E" w:rsidRDefault="00A12A21" w:rsidP="00A12A21"/>
    <w:p w:rsidR="00A12A21" w:rsidRPr="00D90C5E" w:rsidRDefault="00A12A21" w:rsidP="00A12A21">
      <w:pPr>
        <w:rPr>
          <w:b/>
        </w:rPr>
      </w:pPr>
      <w:r w:rsidRPr="00D90C5E">
        <w:rPr>
          <w:b/>
        </w:rPr>
        <w:t>[Source</w:t>
      </w:r>
    </w:p>
    <w:p w:rsidR="00A12A21" w:rsidRPr="00D90C5E" w:rsidRDefault="00A12A21" w:rsidP="00A12A21"/>
    <w:p w:rsidR="00A12A21" w:rsidRPr="00D90C5E" w:rsidRDefault="00A12A21" w:rsidP="00A12A21">
      <w:r w:rsidRPr="00D90C5E">
        <w:t>ALT 1</w:t>
      </w:r>
    </w:p>
    <w:p w:rsidR="00A12A21" w:rsidRPr="00D90C5E" w:rsidRDefault="00A12A21" w:rsidP="00A12A21"/>
    <w:p w:rsidR="00A12A21" w:rsidRPr="00D90C5E" w:rsidRDefault="00A12A21" w:rsidP="00A12A21">
      <w:r w:rsidRPr="00D90C5E">
        <w:t xml:space="preserve">“Source” refers to any source from which the applicant has acquired the genetic resource other than the country of origin, such as a resource holder, research </w:t>
      </w:r>
      <w:proofErr w:type="spellStart"/>
      <w:r w:rsidRPr="00D90C5E">
        <w:t>centre</w:t>
      </w:r>
      <w:proofErr w:type="spellEnd"/>
      <w:r w:rsidRPr="00D90C5E">
        <w:t>, [gene bank] [Budapest depository] or botanical garden.]</w:t>
      </w:r>
    </w:p>
    <w:p w:rsidR="00A12A21" w:rsidRPr="00D90C5E" w:rsidRDefault="00A12A21" w:rsidP="00A12A21"/>
    <w:p w:rsidR="00A12A21" w:rsidRPr="00D90C5E" w:rsidRDefault="00A12A21" w:rsidP="00A12A21">
      <w:r w:rsidRPr="00D90C5E">
        <w:t>ALT 2</w:t>
      </w:r>
    </w:p>
    <w:p w:rsidR="00A12A21" w:rsidRPr="00D90C5E" w:rsidRDefault="00A12A21" w:rsidP="00A12A21"/>
    <w:p w:rsidR="00A12A21" w:rsidRDefault="00A12A21" w:rsidP="00A12A21">
      <w:r w:rsidRPr="00D90C5E">
        <w:t>“Source” should be understood in its broadest sense possible:</w:t>
      </w:r>
      <w:r>
        <w:t xml:space="preserve"> </w:t>
      </w:r>
      <w:r>
        <w:br w:type="page"/>
      </w:r>
    </w:p>
    <w:p w:rsidR="00A12A21" w:rsidRPr="00D90C5E" w:rsidRDefault="00A12A21" w:rsidP="00A12A21">
      <w:r w:rsidRPr="00D90C5E">
        <w:lastRenderedPageBreak/>
        <w:t>(</w:t>
      </w:r>
      <w:proofErr w:type="spellStart"/>
      <w:r w:rsidRPr="00D90C5E">
        <w:t>i</w:t>
      </w:r>
      <w:proofErr w:type="spellEnd"/>
      <w:r w:rsidRPr="00D90C5E">
        <w:t>)</w:t>
      </w:r>
      <w:r w:rsidRPr="00D90C5E">
        <w:tab/>
        <w:t>Primary sources, including in particular [Contracting Parties] [Countries] providing genetic resources, the Multilateral System of ITPGRFA, [patent owners, universities, farmers, and plant breeders,] indigenous and local communities; and</w:t>
      </w:r>
    </w:p>
    <w:p w:rsidR="00A12A21" w:rsidRPr="00D90C5E" w:rsidRDefault="00A12A21" w:rsidP="00A12A21"/>
    <w:p w:rsidR="00A12A21" w:rsidRPr="00D90C5E" w:rsidRDefault="00A12A21" w:rsidP="00A12A21">
      <w:r w:rsidRPr="00D90C5E">
        <w:t>(ii)</w:t>
      </w:r>
      <w:r w:rsidRPr="00D90C5E">
        <w:tab/>
        <w:t>Secondary sources, including in particular ex-situ collections and [scientific literature].]</w:t>
      </w:r>
    </w:p>
    <w:p w:rsidR="00A12A21" w:rsidRDefault="00A12A21" w:rsidP="00A12A21"/>
    <w:p w:rsidR="00A12A21" w:rsidRPr="00793EE4" w:rsidRDefault="00A12A21" w:rsidP="00A12A21">
      <w:pPr>
        <w:rPr>
          <w:b/>
        </w:rPr>
      </w:pPr>
      <w:r w:rsidRPr="00793EE4">
        <w:t>ALT 3</w:t>
      </w:r>
    </w:p>
    <w:p w:rsidR="00A12A21" w:rsidRPr="00793EE4" w:rsidRDefault="00A12A21" w:rsidP="00A12A21"/>
    <w:p w:rsidR="00A12A21" w:rsidRPr="00793EE4" w:rsidRDefault="00A12A21" w:rsidP="00A12A21">
      <w:r w:rsidRPr="00793EE4">
        <w:t xml:space="preserve">“Source” refers to any source from which the applicant has acquired the genetic resource other than the country of origin, such as a resource holder, research </w:t>
      </w:r>
      <w:proofErr w:type="spellStart"/>
      <w:r w:rsidRPr="00793EE4">
        <w:t>centre</w:t>
      </w:r>
      <w:proofErr w:type="spellEnd"/>
      <w:r w:rsidRPr="00793EE4">
        <w:t>, [gene bank] [Budapest depository] or [botanical garden] or any other depository of genetic resources.]</w:t>
      </w:r>
    </w:p>
    <w:p w:rsidR="00A12A21" w:rsidRPr="00793EE4" w:rsidRDefault="00A12A21" w:rsidP="00A12A21">
      <w:pPr>
        <w:rPr>
          <w:b/>
        </w:rPr>
      </w:pPr>
    </w:p>
    <w:p w:rsidR="00A12A21" w:rsidRPr="00793EE4" w:rsidRDefault="00A12A21" w:rsidP="00A12A21"/>
    <w:p w:rsidR="00A12A21" w:rsidRPr="00793EE4" w:rsidRDefault="00A12A21" w:rsidP="00A12A21">
      <w:pPr>
        <w:rPr>
          <w:b/>
        </w:rPr>
      </w:pPr>
      <w:r w:rsidRPr="00793EE4">
        <w:rPr>
          <w:b/>
        </w:rPr>
        <w:t>[Utilization</w:t>
      </w:r>
    </w:p>
    <w:p w:rsidR="00A12A21" w:rsidRPr="00793EE4" w:rsidRDefault="00A12A21" w:rsidP="00A12A21"/>
    <w:p w:rsidR="00A12A21" w:rsidRPr="00793EE4" w:rsidRDefault="00A12A21" w:rsidP="00A12A21">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Pr="00793EE4" w:rsidRDefault="00A12A21" w:rsidP="00A12A21">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A12A21" w:rsidRPr="00793EE4" w:rsidRDefault="00A12A21" w:rsidP="00A12A21"/>
    <w:p w:rsidR="00A12A21" w:rsidRPr="00793EE4" w:rsidRDefault="00A12A21" w:rsidP="00A12A21"/>
    <w:p w:rsidR="00A12A21" w:rsidRPr="00793EE4" w:rsidRDefault="00A12A21" w:rsidP="00A12A21">
      <w:pPr>
        <w:rPr>
          <w:b/>
          <w:u w:val="single"/>
        </w:rPr>
      </w:pPr>
      <w:r w:rsidRPr="00793EE4">
        <w:rPr>
          <w:b/>
          <w:u w:val="single"/>
        </w:rPr>
        <w:t>OTHER TERMS</w:t>
      </w:r>
    </w:p>
    <w:p w:rsidR="00A12A21" w:rsidRPr="00793EE4" w:rsidRDefault="00A12A21" w:rsidP="00A12A21"/>
    <w:p w:rsidR="00A12A21" w:rsidRDefault="00A12A21" w:rsidP="00A12A21">
      <w:pPr>
        <w:rPr>
          <w:b/>
        </w:rPr>
      </w:pPr>
    </w:p>
    <w:p w:rsidR="00A12A21" w:rsidRPr="00793EE4" w:rsidRDefault="00A12A21" w:rsidP="00A12A21">
      <w:pPr>
        <w:rPr>
          <w:b/>
        </w:rPr>
      </w:pPr>
      <w:r w:rsidRPr="00793EE4">
        <w:rPr>
          <w:b/>
        </w:rPr>
        <w:t>[Biotechnology</w:t>
      </w:r>
    </w:p>
    <w:p w:rsidR="00A12A21" w:rsidRPr="00793EE4" w:rsidRDefault="00A12A21" w:rsidP="00A12A21"/>
    <w:p w:rsidR="00A12A21" w:rsidRPr="00793EE4" w:rsidRDefault="00A12A21" w:rsidP="00A12A21">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A12A21" w:rsidRPr="00793EE4" w:rsidRDefault="00A12A21" w:rsidP="00A12A21"/>
    <w:p w:rsidR="00A12A21" w:rsidRPr="00793EE4" w:rsidRDefault="00A12A21" w:rsidP="00A12A21"/>
    <w:p w:rsidR="00A12A21" w:rsidRPr="00793EE4" w:rsidRDefault="00A12A21" w:rsidP="00A12A21">
      <w:pPr>
        <w:rPr>
          <w:b/>
        </w:rPr>
      </w:pPr>
      <w:r w:rsidRPr="00793EE4">
        <w:rPr>
          <w:b/>
        </w:rPr>
        <w:t>[Country Providing Genetic Resources</w:t>
      </w:r>
    </w:p>
    <w:p w:rsidR="00A12A21" w:rsidRPr="00793EE4" w:rsidRDefault="00A12A21" w:rsidP="00A12A21"/>
    <w:p w:rsidR="00A12A21" w:rsidRPr="00793EE4" w:rsidRDefault="00A12A21" w:rsidP="00A12A21">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Default="00A12A21" w:rsidP="00A12A21">
      <w:r w:rsidRPr="00793EE4">
        <w:t>[“Country providing genetic resources” is the country that possesses the genetic resource and/or traditional knowledge in in situ conditions and that provides the genetic resource and/or traditional knowledge.]]</w:t>
      </w:r>
      <w:r>
        <w:t xml:space="preserve"> </w:t>
      </w:r>
      <w:r>
        <w:br w:type="page"/>
      </w:r>
    </w:p>
    <w:p w:rsidR="00A12A21" w:rsidRPr="00793EE4" w:rsidRDefault="00A12A21" w:rsidP="00A12A21">
      <w:pPr>
        <w:rPr>
          <w:b/>
        </w:rPr>
      </w:pPr>
      <w:r w:rsidRPr="00793EE4">
        <w:rPr>
          <w:b/>
        </w:rPr>
        <w:lastRenderedPageBreak/>
        <w:t>[Derivative</w:t>
      </w:r>
    </w:p>
    <w:p w:rsidR="00A12A21" w:rsidRPr="00793EE4" w:rsidRDefault="00A12A21" w:rsidP="00A12A21"/>
    <w:p w:rsidR="00A12A21" w:rsidRPr="00793EE4" w:rsidRDefault="00A12A21" w:rsidP="00A12A21">
      <w:r w:rsidRPr="00793EE4">
        <w:t xml:space="preserve">“Derivative” means a naturally occurring biochemical compound resulting from the genetic expression or metabolism of biological or genetic </w:t>
      </w:r>
      <w:proofErr w:type="gramStart"/>
      <w:r w:rsidRPr="00793EE4">
        <w:t>resources[</w:t>
      </w:r>
      <w:proofErr w:type="gramEnd"/>
      <w:r w:rsidRPr="00793EE4">
        <w:t>, even if it does not contain functional units of heredity].]</w:t>
      </w:r>
    </w:p>
    <w:p w:rsidR="00A12A21" w:rsidRPr="00793EE4" w:rsidRDefault="00A12A21" w:rsidP="00A12A21"/>
    <w:p w:rsidR="00A12A21" w:rsidRDefault="00A12A21" w:rsidP="00A12A21">
      <w:pPr>
        <w:rPr>
          <w:b/>
        </w:rPr>
      </w:pPr>
    </w:p>
    <w:p w:rsidR="00A12A21" w:rsidRPr="00793EE4" w:rsidRDefault="00A12A21" w:rsidP="00A12A21">
      <w:pPr>
        <w:rPr>
          <w:b/>
        </w:rPr>
      </w:pPr>
      <w:r w:rsidRPr="00793EE4">
        <w:rPr>
          <w:b/>
        </w:rPr>
        <w:t>In-Situ Conditions</w:t>
      </w:r>
    </w:p>
    <w:p w:rsidR="00A12A21" w:rsidRPr="00793EE4" w:rsidRDefault="00A12A21" w:rsidP="00A12A21"/>
    <w:p w:rsidR="00A12A21" w:rsidRPr="00793EE4" w:rsidRDefault="00A12A21" w:rsidP="00A12A21">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A12A21" w:rsidRDefault="00A12A21" w:rsidP="00A12A21"/>
    <w:p w:rsidR="00A12A21" w:rsidRPr="00793EE4" w:rsidRDefault="00A12A21" w:rsidP="00A12A21"/>
    <w:p w:rsidR="00A12A21" w:rsidRPr="00793EE4" w:rsidRDefault="00A12A21" w:rsidP="00A12A21">
      <w:pPr>
        <w:rPr>
          <w:b/>
        </w:rPr>
      </w:pPr>
      <w:r w:rsidRPr="00793EE4">
        <w:rPr>
          <w:b/>
        </w:rPr>
        <w:t>Ex-Situ Conservation</w:t>
      </w:r>
    </w:p>
    <w:p w:rsidR="00A12A21" w:rsidRPr="00793EE4" w:rsidRDefault="00A12A21" w:rsidP="00A12A21"/>
    <w:p w:rsidR="00A12A21" w:rsidRPr="00793EE4" w:rsidRDefault="00A12A21" w:rsidP="00A12A21">
      <w:r w:rsidRPr="00793EE4">
        <w:t>“Ex-situ conservation” means the conservation of components of biological diversity outside their natural habitats.</w:t>
      </w:r>
    </w:p>
    <w:p w:rsidR="00A12A21" w:rsidRPr="00793EE4" w:rsidRDefault="00A12A21" w:rsidP="00A12A21"/>
    <w:p w:rsidR="00A12A21" w:rsidRPr="00793EE4" w:rsidRDefault="00A12A21" w:rsidP="00A12A21"/>
    <w:p w:rsidR="00A12A21" w:rsidRPr="00793EE4" w:rsidRDefault="00A12A21" w:rsidP="00A12A21">
      <w:pPr>
        <w:rPr>
          <w:b/>
        </w:rPr>
      </w:pPr>
      <w:r w:rsidRPr="00793EE4">
        <w:rPr>
          <w:b/>
        </w:rPr>
        <w:t>[Misappropriation</w:t>
      </w:r>
    </w:p>
    <w:p w:rsidR="00A12A21" w:rsidRPr="00793EE4" w:rsidRDefault="00A12A21" w:rsidP="00A12A21">
      <w:pPr>
        <w:rPr>
          <w:b/>
        </w:rPr>
      </w:pPr>
    </w:p>
    <w:p w:rsidR="00A12A21" w:rsidRPr="00793EE4" w:rsidRDefault="00A12A21" w:rsidP="00A12A21">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Pr="00793EE4" w:rsidRDefault="00A12A21" w:rsidP="00A12A21">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A12A21" w:rsidRPr="00793EE4" w:rsidRDefault="00A12A21" w:rsidP="00A12A21"/>
    <w:p w:rsidR="00A12A21" w:rsidRPr="00793EE4" w:rsidRDefault="00A12A21" w:rsidP="00A12A21"/>
    <w:p w:rsidR="00A12A21" w:rsidRPr="00793EE4" w:rsidRDefault="00A12A21" w:rsidP="00A12A21">
      <w:pPr>
        <w:rPr>
          <w:b/>
        </w:rPr>
      </w:pPr>
      <w:r w:rsidRPr="00793EE4">
        <w:rPr>
          <w:b/>
        </w:rPr>
        <w:t>[[Physical] Access</w:t>
      </w:r>
    </w:p>
    <w:p w:rsidR="00A12A21" w:rsidRPr="00793EE4" w:rsidRDefault="00A12A21" w:rsidP="00A12A21"/>
    <w:p w:rsidR="00A12A21" w:rsidRPr="00793EE4" w:rsidRDefault="00A12A21" w:rsidP="00A12A21">
      <w:r w:rsidRPr="00793EE4">
        <w:t>“[Physical]</w:t>
      </w:r>
      <w:proofErr w:type="gramStart"/>
      <w:r w:rsidRPr="00793EE4">
        <w:t>/[</w:t>
      </w:r>
      <w:proofErr w:type="gramEnd"/>
      <w:r w:rsidRPr="00793EE4">
        <w:t>Direct] access” to the genetic resource is its physical possession [or at least contact which is sufficient enough to identify the properties of the genetic resource relevant for the [invention] [intellectual property]].]</w:t>
      </w:r>
    </w:p>
    <w:p w:rsidR="00A12A21" w:rsidRPr="00793EE4" w:rsidRDefault="00A12A21" w:rsidP="00A12A21"/>
    <w:p w:rsidR="00A12A21" w:rsidRPr="00793EE4" w:rsidRDefault="00A12A21" w:rsidP="00A12A21"/>
    <w:p w:rsidR="00A12A21" w:rsidRPr="00793EE4" w:rsidRDefault="00A12A21" w:rsidP="00A12A21">
      <w:pPr>
        <w:rPr>
          <w:b/>
        </w:rPr>
      </w:pPr>
      <w:r w:rsidRPr="00793EE4">
        <w:rPr>
          <w:b/>
        </w:rPr>
        <w:t>[Protected Genetic Resources</w:t>
      </w:r>
    </w:p>
    <w:p w:rsidR="00A12A21" w:rsidRPr="00793EE4" w:rsidRDefault="00A12A21" w:rsidP="00A12A21">
      <w:pPr>
        <w:rPr>
          <w:b/>
        </w:rPr>
      </w:pPr>
    </w:p>
    <w:p w:rsidR="00A12A21" w:rsidRDefault="00A12A21" w:rsidP="00A12A21">
      <w:pPr>
        <w:rPr>
          <w:vertAlign w:val="superscript"/>
        </w:rPr>
      </w:pPr>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r>
        <w:rPr>
          <w:vertAlign w:val="superscript"/>
        </w:rPr>
        <w:br w:type="page"/>
      </w:r>
    </w:p>
    <w:p w:rsidR="00A12A21" w:rsidRPr="00793EE4" w:rsidRDefault="00A12A21" w:rsidP="00A12A21">
      <w:pPr>
        <w:rPr>
          <w:b/>
        </w:rPr>
      </w:pPr>
      <w:r w:rsidRPr="00793EE4">
        <w:rPr>
          <w:b/>
        </w:rPr>
        <w:lastRenderedPageBreak/>
        <w:t>[Source of Traditional Knowledge Associated with Genetic Resources</w:t>
      </w:r>
    </w:p>
    <w:p w:rsidR="00A12A21" w:rsidRPr="00793EE4" w:rsidRDefault="00A12A21" w:rsidP="00A12A21">
      <w:pPr>
        <w:rPr>
          <w:b/>
        </w:rPr>
      </w:pPr>
    </w:p>
    <w:p w:rsidR="00A12A21" w:rsidRPr="00793EE4" w:rsidRDefault="00A12A21" w:rsidP="00A12A21">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5"/>
      </w:r>
      <w:r w:rsidRPr="00793EE4">
        <w:t>]</w:t>
      </w:r>
    </w:p>
    <w:p w:rsidR="00A12A21" w:rsidRDefault="00A12A21" w:rsidP="00A12A21"/>
    <w:p w:rsidR="00A12A21" w:rsidRDefault="00A12A21" w:rsidP="00A12A21"/>
    <w:p w:rsidR="00A12A21" w:rsidRDefault="00A12A21" w:rsidP="00A12A21">
      <w:pPr>
        <w:rPr>
          <w:b/>
        </w:rPr>
      </w:pPr>
      <w:r>
        <w:rPr>
          <w:b/>
        </w:rPr>
        <w:t>[Unauthorized Use</w:t>
      </w:r>
    </w:p>
    <w:p w:rsidR="00A12A21" w:rsidRDefault="00A12A21" w:rsidP="00A12A21">
      <w:pPr>
        <w:rPr>
          <w:b/>
        </w:rPr>
      </w:pPr>
    </w:p>
    <w:p w:rsidR="00A12A21" w:rsidRDefault="00A12A21" w:rsidP="00A12A21">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r>
        <w:t xml:space="preserve"> </w:t>
      </w:r>
      <w:r>
        <w:br w:type="page"/>
      </w:r>
    </w:p>
    <w:p w:rsidR="00A12A21" w:rsidRDefault="00A12A21" w:rsidP="00A12A21"/>
    <w:p w:rsidR="00A12A21" w:rsidRPr="00793EE4" w:rsidRDefault="00A12A21" w:rsidP="00A12A21">
      <w:pPr>
        <w:jc w:val="center"/>
        <w:rPr>
          <w:b/>
        </w:rPr>
      </w:pPr>
      <w:r w:rsidRPr="00793EE4">
        <w:rPr>
          <w:b/>
        </w:rPr>
        <w:t>[I. [MANDATORY] DISCLOSURE]</w:t>
      </w:r>
    </w:p>
    <w:p w:rsidR="00A12A21" w:rsidRPr="00793EE4" w:rsidRDefault="00A12A21" w:rsidP="00A12A21">
      <w:pPr>
        <w:jc w:val="center"/>
        <w:rPr>
          <w:b/>
        </w:rPr>
      </w:pPr>
    </w:p>
    <w:p w:rsidR="00A12A21" w:rsidRPr="00793EE4" w:rsidRDefault="00A12A21" w:rsidP="00A12A21">
      <w:pPr>
        <w:jc w:val="center"/>
        <w:rPr>
          <w:b/>
        </w:rPr>
      </w:pPr>
      <w:r w:rsidRPr="00793EE4">
        <w:rPr>
          <w:b/>
        </w:rPr>
        <w:t>[ARTICLE 2]</w:t>
      </w:r>
    </w:p>
    <w:p w:rsidR="00A12A21" w:rsidRPr="00793EE4" w:rsidRDefault="00A12A21" w:rsidP="00A12A21">
      <w:pPr>
        <w:jc w:val="center"/>
        <w:rPr>
          <w:b/>
        </w:rPr>
      </w:pPr>
      <w:r w:rsidRPr="00793EE4">
        <w:rPr>
          <w:b/>
        </w:rPr>
        <w:t>[OBJECTIVE]</w:t>
      </w:r>
    </w:p>
    <w:p w:rsidR="00A12A21" w:rsidRPr="00793EE4" w:rsidRDefault="00A12A21" w:rsidP="00A12A21"/>
    <w:p w:rsidR="00A12A21" w:rsidRPr="00793EE4" w:rsidRDefault="00A12A21" w:rsidP="00A12A21">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A12A21" w:rsidRPr="00EC01FC" w:rsidRDefault="00A12A21" w:rsidP="00A12A21">
      <w:pPr>
        <w:rPr>
          <w:lang w:val="sv-SE"/>
        </w:rPr>
      </w:pPr>
    </w:p>
    <w:p w:rsidR="00A12A21" w:rsidRPr="00EC01FC" w:rsidRDefault="00A12A21" w:rsidP="00A12A21">
      <w:pPr>
        <w:numPr>
          <w:ilvl w:val="0"/>
          <w:numId w:val="15"/>
        </w:numPr>
        <w:spacing w:line="276" w:lineRule="auto"/>
        <w:ind w:left="927"/>
      </w:pPr>
      <w:r>
        <w:t>[</w:t>
      </w:r>
      <w:r w:rsidRPr="00EC01FC">
        <w:t>Enhancing</w:t>
      </w:r>
      <w:r>
        <w:t>]</w:t>
      </w:r>
      <w:r w:rsidRPr="00EC01FC">
        <w:t xml:space="preserve"> </w:t>
      </w:r>
      <w:r>
        <w:t>[</w:t>
      </w:r>
      <w:r w:rsidRPr="00EC01FC">
        <w:t>transparency</w:t>
      </w:r>
      <w:r>
        <w:t>],</w:t>
      </w:r>
      <w:r w:rsidRPr="00EC01FC">
        <w:t xml:space="preserve"> </w:t>
      </w:r>
      <w:r>
        <w:t xml:space="preserve">[efficacy] and quality </w:t>
      </w:r>
      <w:r w:rsidRPr="00EC01FC">
        <w:t>in the [IP][patent] system in relation to genetic resources and/or traditional knowledge associated with genetic resources;</w:t>
      </w:r>
      <w:r>
        <w:t>]</w:t>
      </w:r>
      <w:r w:rsidRPr="00EC01FC">
        <w:t xml:space="preserve"> and</w:t>
      </w:r>
    </w:p>
    <w:p w:rsidR="00A12A21" w:rsidRPr="00EC01FC" w:rsidRDefault="00A12A21" w:rsidP="00A12A21">
      <w:pPr>
        <w:ind w:left="927"/>
      </w:pPr>
    </w:p>
    <w:p w:rsidR="00A12A21" w:rsidRDefault="00A12A21" w:rsidP="00A12A21">
      <w:pPr>
        <w:numPr>
          <w:ilvl w:val="0"/>
          <w:numId w:val="15"/>
        </w:numPr>
        <w:spacing w:line="276" w:lineRule="auto"/>
        <w:ind w:left="927"/>
      </w:pPr>
      <w:r>
        <w:t>[</w:t>
      </w:r>
      <w:r w:rsidRPr="00EC01FC">
        <w:t>Ensuring</w:t>
      </w:r>
      <w:r>
        <w:t>] [Desiring to ensure]</w:t>
      </w:r>
      <w:r w:rsidRPr="00EC01FC">
        <w:t xml:space="preserve"> that [IP] [patent] offices have access to the appropriate information on genetic resources and traditional knowledge associated with genetic resources to prevent the erroneous granting of [IP] [patent] rights.]</w:t>
      </w:r>
    </w:p>
    <w:p w:rsidR="00A12A21" w:rsidRDefault="00A12A21" w:rsidP="00A12A21">
      <w:pPr>
        <w:ind w:left="360"/>
      </w:pPr>
    </w:p>
    <w:p w:rsidR="00A12A21" w:rsidRPr="00793EE4" w:rsidRDefault="00A12A21" w:rsidP="00A12A21">
      <w:pPr>
        <w:rPr>
          <w:b/>
        </w:rPr>
      </w:pPr>
    </w:p>
    <w:p w:rsidR="00A12A21" w:rsidRPr="00793EE4" w:rsidRDefault="00A12A21" w:rsidP="00A12A21">
      <w:pPr>
        <w:jc w:val="center"/>
        <w:rPr>
          <w:b/>
        </w:rPr>
      </w:pPr>
      <w:r w:rsidRPr="00793EE4">
        <w:rPr>
          <w:b/>
        </w:rPr>
        <w:t>[ARTICLE 3]</w:t>
      </w:r>
    </w:p>
    <w:p w:rsidR="00A12A21" w:rsidRPr="00793EE4" w:rsidRDefault="00A12A21" w:rsidP="00A12A21">
      <w:pPr>
        <w:jc w:val="center"/>
        <w:rPr>
          <w:b/>
        </w:rPr>
      </w:pPr>
      <w:r w:rsidRPr="00793EE4">
        <w:rPr>
          <w:b/>
        </w:rPr>
        <w:t>[SUBJECT MATTER OF INSTRUMENT</w:t>
      </w:r>
    </w:p>
    <w:p w:rsidR="00A12A21" w:rsidRPr="00793EE4" w:rsidRDefault="00A12A21" w:rsidP="00A12A21"/>
    <w:p w:rsidR="00A12A21" w:rsidRPr="00793EE4" w:rsidRDefault="00A12A21" w:rsidP="00A12A21">
      <w:r w:rsidRPr="00793EE4">
        <w:t>This instrument applies to genetic resources, and [traditional knowledge associated with genetic resources].</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Pr="00793EE4" w:rsidRDefault="00A12A21" w:rsidP="00A12A21">
      <w:r w:rsidRPr="00793EE4">
        <w:t>This instrument [shall]</w:t>
      </w:r>
      <w:proofErr w:type="gramStart"/>
      <w:r w:rsidRPr="00793EE4">
        <w:t>/[</w:t>
      </w:r>
      <w:proofErr w:type="gramEnd"/>
      <w:r w:rsidRPr="00793EE4">
        <w:t>should] apply to patent applications for inventions directly based on genetic resources and traditional knowledge associated with genetic resources.]</w:t>
      </w:r>
    </w:p>
    <w:p w:rsidR="00A12A21" w:rsidRDefault="00A12A21" w:rsidP="00A12A21"/>
    <w:p w:rsidR="00A12A21" w:rsidRDefault="00A12A21" w:rsidP="00A12A21"/>
    <w:p w:rsidR="00A12A21" w:rsidRPr="00793EE4" w:rsidRDefault="00A12A21" w:rsidP="00A12A21">
      <w:pPr>
        <w:jc w:val="center"/>
        <w:rPr>
          <w:b/>
        </w:rPr>
      </w:pPr>
      <w:r w:rsidRPr="00793EE4">
        <w:rPr>
          <w:b/>
        </w:rPr>
        <w:t>[ARTICLE 4]</w:t>
      </w:r>
    </w:p>
    <w:p w:rsidR="00A12A21" w:rsidRPr="00793EE4" w:rsidRDefault="00A12A21" w:rsidP="00A12A21">
      <w:pPr>
        <w:jc w:val="center"/>
        <w:rPr>
          <w:b/>
        </w:rPr>
      </w:pPr>
      <w:r w:rsidRPr="00793EE4">
        <w:rPr>
          <w:b/>
        </w:rPr>
        <w:t>[DISCLOSURE REQUIREMENT</w:t>
      </w:r>
    </w:p>
    <w:p w:rsidR="00A12A21" w:rsidRDefault="00A12A21" w:rsidP="00A12A21"/>
    <w:p w:rsidR="00A12A21" w:rsidRDefault="00A12A21" w:rsidP="00A12A21">
      <w:r w:rsidRPr="00D130A3">
        <w:t>4.1</w:t>
      </w:r>
      <w:r w:rsidRPr="00D130A3">
        <w:tab/>
        <w:t>Where the [subject matter] [claimed invention] within a [IP] [patent] application [includes utilization of] [is directly based on] genetic resources and/or [traditional knowledge associated with genetic resources]</w:t>
      </w:r>
      <w:r>
        <w:t>,</w:t>
      </w:r>
      <w:r w:rsidRPr="00D130A3">
        <w:t xml:space="preserve"> each [Member State]</w:t>
      </w:r>
      <w:proofErr w:type="gramStart"/>
      <w:r w:rsidRPr="00D130A3">
        <w:t>/[</w:t>
      </w:r>
      <w:proofErr w:type="gramEnd"/>
      <w:r w:rsidRPr="00D130A3">
        <w:t>Party] [shall]/[should] require applicants to</w:t>
      </w:r>
      <w:r>
        <w:t>;</w:t>
      </w:r>
    </w:p>
    <w:p w:rsidR="00A12A21" w:rsidRDefault="00A12A21" w:rsidP="00A12A21"/>
    <w:p w:rsidR="00A12A21" w:rsidRDefault="00A12A21" w:rsidP="00A12A21">
      <w:pPr>
        <w:pStyle w:val="ListParagraph"/>
        <w:numPr>
          <w:ilvl w:val="0"/>
          <w:numId w:val="16"/>
        </w:numPr>
        <w:spacing w:after="0" w:line="240" w:lineRule="auto"/>
        <w:contextualSpacing/>
      </w:pPr>
      <w:r>
        <w:t>d</w:t>
      </w:r>
      <w:r w:rsidRPr="00D130A3">
        <w:t xml:space="preserve">isclose the [providing country </w:t>
      </w:r>
      <w:r>
        <w:t>[</w:t>
      </w:r>
      <w:r w:rsidRPr="00D130A3">
        <w:t>that is the country of origin</w:t>
      </w:r>
      <w:r>
        <w:t>]</w:t>
      </w:r>
      <w:r w:rsidRPr="00D130A3">
        <w:t xml:space="preserve">] [country of origin [and]] [or [if unknown],] source of the genetic resources, [and, where applicable, the indigenous peoples or local communities from which the </w:t>
      </w:r>
      <w:r>
        <w:t>genetic resources</w:t>
      </w:r>
      <w:r w:rsidRPr="00D130A3">
        <w:t>] and/or [traditional knowledge associated with genetic resources]</w:t>
      </w:r>
      <w:r>
        <w:t xml:space="preserve"> [were]/[was] obtained.</w:t>
      </w:r>
    </w:p>
    <w:p w:rsidR="00A12A21" w:rsidRDefault="00A12A21" w:rsidP="00A12A21">
      <w:pPr>
        <w:pStyle w:val="ListParagraph"/>
      </w:pPr>
    </w:p>
    <w:p w:rsidR="00A12A21" w:rsidRPr="00D130A3" w:rsidRDefault="00A12A21" w:rsidP="00A12A21">
      <w:pPr>
        <w:pStyle w:val="ListParagraph"/>
        <w:numPr>
          <w:ilvl w:val="0"/>
          <w:numId w:val="16"/>
        </w:numPr>
        <w:spacing w:after="0" w:line="240" w:lineRule="auto"/>
        <w:contextualSpacing/>
      </w:pPr>
      <w:r w:rsidRPr="00D130A3">
        <w:t xml:space="preserve">[If the source and/or [providing country </w:t>
      </w:r>
      <w:r>
        <w:t>[</w:t>
      </w:r>
      <w:r w:rsidRPr="00D130A3">
        <w:t>that is the country of origin</w:t>
      </w:r>
      <w:r>
        <w:t>]</w:t>
      </w:r>
      <w:r w:rsidRPr="00D130A3">
        <w:t>] [country of origin] is not known</w:t>
      </w:r>
      <w:r>
        <w:t xml:space="preserve"> to the applicant</w:t>
      </w:r>
      <w:r w:rsidRPr="00D130A3">
        <w:t xml:space="preserve">, </w:t>
      </w:r>
      <w:r>
        <w:t xml:space="preserve">make </w:t>
      </w:r>
      <w:r w:rsidRPr="00D130A3">
        <w:t xml:space="preserve">a declaration to that effect.] </w:t>
      </w:r>
    </w:p>
    <w:p w:rsidR="00A12A21" w:rsidRPr="00D130A3" w:rsidRDefault="00A12A21" w:rsidP="00A12A21"/>
    <w:p w:rsidR="00A12A21" w:rsidRPr="00D130A3" w:rsidRDefault="00A12A21" w:rsidP="00A12A21">
      <w:r w:rsidRPr="00D130A3">
        <w:t>4.2</w:t>
      </w:r>
      <w:r w:rsidRPr="00D130A3">
        <w:tab/>
        <w:t>In accordance with national law, a [Member State]</w:t>
      </w:r>
      <w:proofErr w:type="gramStart"/>
      <w:r w:rsidRPr="00D130A3">
        <w:t>/[</w:t>
      </w:r>
      <w:proofErr w:type="gramEnd"/>
      <w:r w:rsidRPr="00D130A3">
        <w:t>Party] may require applicants to provide relevant information regarding compliance with ABS requirements, including PIC, [in particular from indigenous [people[s]] and local communities], where appropriate.]</w:t>
      </w:r>
    </w:p>
    <w:p w:rsidR="00A12A21" w:rsidRDefault="00A12A21" w:rsidP="00A12A21"/>
    <w:p w:rsidR="00A12A21" w:rsidRDefault="00A12A21" w:rsidP="00A12A21"/>
    <w:p w:rsidR="00A12A21" w:rsidRDefault="00A12A21" w:rsidP="00A12A21"/>
    <w:p w:rsidR="00A12A21" w:rsidRDefault="00A12A21" w:rsidP="00A12A21"/>
    <w:p w:rsidR="00A12A21" w:rsidRDefault="00A12A21" w:rsidP="00A12A21"/>
    <w:p w:rsidR="00A12A21" w:rsidRDefault="00A12A21" w:rsidP="00A12A21">
      <w:r w:rsidRPr="00D130A3">
        <w:t>ALT</w:t>
      </w:r>
      <w:r>
        <w:t xml:space="preserve"> 1</w:t>
      </w:r>
    </w:p>
    <w:p w:rsidR="00A12A21" w:rsidRPr="00D130A3" w:rsidRDefault="00A12A21" w:rsidP="00A12A21"/>
    <w:p w:rsidR="00A12A21" w:rsidRDefault="00A12A21" w:rsidP="00A12A21">
      <w:r w:rsidRPr="00D130A3">
        <w:t>4.2</w:t>
      </w:r>
      <w:r w:rsidRPr="00D130A3">
        <w:tab/>
        <w:t>The disclosure requirement of Paragraph 1 shall not include a requirement to provide relevant information regarding compliance with ABS requirements, including PIC.</w:t>
      </w:r>
    </w:p>
    <w:p w:rsidR="00A12A21" w:rsidRDefault="00A12A21" w:rsidP="00A12A21"/>
    <w:p w:rsidR="00A12A21" w:rsidRDefault="00A12A21" w:rsidP="00A12A21">
      <w:r>
        <w:t>ALT 2</w:t>
      </w:r>
    </w:p>
    <w:p w:rsidR="00A12A21" w:rsidRDefault="00A12A21" w:rsidP="00A12A21"/>
    <w:p w:rsidR="00A12A21" w:rsidRDefault="00A12A21" w:rsidP="00A12A21">
      <w:bookmarkStart w:id="5" w:name="_Hlk97043127"/>
      <w:r>
        <w:t>4.2</w:t>
      </w:r>
      <w:r>
        <w:tab/>
      </w:r>
      <w:r w:rsidRPr="00B602E4">
        <w:t>In accordance with national law, a [Member State]</w:t>
      </w:r>
      <w:proofErr w:type="gramStart"/>
      <w:r w:rsidRPr="00B602E4">
        <w:t>/[</w:t>
      </w:r>
      <w:proofErr w:type="gramEnd"/>
      <w:r w:rsidRPr="00B602E4">
        <w:t xml:space="preserve">Party] may require applicants to provide relevant information regarding </w:t>
      </w:r>
      <w:r>
        <w:t xml:space="preserve">their </w:t>
      </w:r>
      <w:r w:rsidRPr="00B602E4">
        <w:t>entitlement to use the genetic resource</w:t>
      </w:r>
      <w:r>
        <w:t>.</w:t>
      </w:r>
    </w:p>
    <w:bookmarkEnd w:id="5"/>
    <w:p w:rsidR="00A12A21" w:rsidRPr="00D130A3" w:rsidRDefault="00A12A21" w:rsidP="00A12A21"/>
    <w:p w:rsidR="00A12A21" w:rsidRDefault="00A12A21" w:rsidP="00A12A21">
      <w:r w:rsidRPr="00D130A3">
        <w:t>4.3</w:t>
      </w:r>
      <w:r w:rsidRPr="00D130A3">
        <w:tab/>
        <w:t>The disclosure requirement [shall/should/may] [does] not place an obligation on the [IP] [patent] offices to verify the contents of the disclosure. [But [IP] [patent] offices [shall]</w:t>
      </w:r>
      <w:proofErr w:type="gramStart"/>
      <w:r w:rsidRPr="00D130A3">
        <w:t>/[</w:t>
      </w:r>
      <w:proofErr w:type="gramEnd"/>
      <w:r w:rsidRPr="00D130A3">
        <w:t>should</w:t>
      </w:r>
      <w:r>
        <w:t>/may</w:t>
      </w:r>
      <w:r w:rsidRPr="00D130A3">
        <w:t>] provide guidance to [IP] [patent] applicants on how to meet the disclosure requirement</w:t>
      </w:r>
      <w:r>
        <w:t xml:space="preserve">. </w:t>
      </w:r>
    </w:p>
    <w:p w:rsidR="00A12A21" w:rsidRPr="00D130A3" w:rsidRDefault="00A12A21" w:rsidP="00A12A21"/>
    <w:p w:rsidR="00A12A21" w:rsidRDefault="00A12A21" w:rsidP="00A12A21">
      <w:r w:rsidRPr="00D130A3">
        <w:t>4.4</w:t>
      </w:r>
      <w:r w:rsidRPr="00D130A3">
        <w:tab/>
        <w:t>Each [Member State]</w:t>
      </w:r>
      <w:proofErr w:type="gramStart"/>
      <w:r w:rsidRPr="00D130A3">
        <w:t>/[</w:t>
      </w:r>
      <w:proofErr w:type="gramEnd"/>
      <w:r w:rsidRPr="00D130A3">
        <w:t>Party] [shall]/[should] make the information disclosed</w:t>
      </w:r>
      <w:r>
        <w:t>, that supports the disclosure requirement,</w:t>
      </w:r>
      <w:r w:rsidRPr="00D130A3">
        <w:t xml:space="preserve"> publicly available</w:t>
      </w:r>
      <w:r>
        <w:t xml:space="preserve"> </w:t>
      </w:r>
      <w:r w:rsidRPr="00D130A3">
        <w:t>[, except for information considered confidential.</w:t>
      </w:r>
      <w:r w:rsidRPr="00D130A3">
        <w:rPr>
          <w:vertAlign w:val="superscript"/>
        </w:rPr>
        <w:footnoteReference w:id="6"/>
      </w:r>
      <w:r w:rsidRPr="00D130A3">
        <w:t>]</w:t>
      </w:r>
    </w:p>
    <w:p w:rsidR="00A12A21" w:rsidRDefault="00A12A21" w:rsidP="00A12A21"/>
    <w:p w:rsidR="00A12A21" w:rsidRPr="00793EE4" w:rsidRDefault="00A12A21" w:rsidP="00A12A21"/>
    <w:p w:rsidR="00A12A21" w:rsidRPr="00793EE4" w:rsidRDefault="00A12A21" w:rsidP="00A12A21">
      <w:pPr>
        <w:jc w:val="center"/>
        <w:rPr>
          <w:b/>
        </w:rPr>
      </w:pPr>
      <w:r w:rsidRPr="00793EE4">
        <w:rPr>
          <w:b/>
        </w:rPr>
        <w:t>[ARTICLE 5]</w:t>
      </w:r>
    </w:p>
    <w:p w:rsidR="00A12A21" w:rsidRPr="00793EE4" w:rsidRDefault="00A12A21" w:rsidP="00A12A21">
      <w:pPr>
        <w:jc w:val="center"/>
        <w:rPr>
          <w:b/>
        </w:rPr>
      </w:pPr>
      <w:r w:rsidRPr="00793EE4">
        <w:rPr>
          <w:b/>
        </w:rPr>
        <w:t>[EXCEPTIONS AND LIMITATIONS</w:t>
      </w:r>
    </w:p>
    <w:p w:rsidR="00A12A21" w:rsidRPr="00793EE4" w:rsidRDefault="00A12A21" w:rsidP="00A12A21"/>
    <w:p w:rsidR="00A12A21" w:rsidRPr="00793EE4" w:rsidRDefault="00A12A21" w:rsidP="00A12A21">
      <w:r w:rsidRPr="00793EE4">
        <w:t xml:space="preserve">[In complying with the obligation set forth in Article 4, members may, in special cases, </w:t>
      </w:r>
      <w:r>
        <w:t xml:space="preserve">and in conjunction with Indigenous peoples and local communities, </w:t>
      </w:r>
      <w:r w:rsidRPr="00793EE4">
        <w:t>adopt justifiable exceptions and limitations necessary to protect the public interest</w:t>
      </w:r>
      <w:r>
        <w:t xml:space="preserve"> [and public health]</w:t>
      </w:r>
      <w:r w:rsidRPr="00793EE4">
        <w:t>, provided such justifiable exceptions and limitations do not unduly prejudice the implementation of this instrument, or mutual supportiveness with other instruments.]</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Pr="00793EE4" w:rsidRDefault="00A12A21" w:rsidP="00A12A21">
      <w:r w:rsidRPr="00793EE4">
        <w:t>5.1</w:t>
      </w:r>
      <w:r w:rsidRPr="00793EE4">
        <w:tab/>
        <w:t>A [IP] [patent] disclosure requirement related to genetic resources and [traditional knowledge associated with genetic resources] [shall]</w:t>
      </w:r>
      <w:proofErr w:type="gramStart"/>
      <w:r w:rsidRPr="00793EE4">
        <w:t>/[</w:t>
      </w:r>
      <w:proofErr w:type="gramEnd"/>
      <w:r w:rsidRPr="00793EE4">
        <w:t xml:space="preserve">should] not apply to the following: </w:t>
      </w:r>
    </w:p>
    <w:p w:rsidR="00A12A21" w:rsidRPr="00793EE4" w:rsidRDefault="00A12A21" w:rsidP="00A12A21">
      <w:pPr>
        <w:ind w:left="567"/>
      </w:pPr>
    </w:p>
    <w:p w:rsidR="00A12A21" w:rsidRPr="00793EE4" w:rsidRDefault="00A12A21" w:rsidP="00A12A21">
      <w:pPr>
        <w:ind w:left="1134" w:hanging="567"/>
      </w:pPr>
      <w:r w:rsidRPr="00793EE4">
        <w:t>(a)</w:t>
      </w:r>
      <w:r w:rsidRPr="00793EE4">
        <w:tab/>
        <w:t>[All [human genetic resources] [genetic resources taken from humans] [including human pathogens];]</w:t>
      </w:r>
    </w:p>
    <w:p w:rsidR="00A12A21" w:rsidRPr="00793EE4" w:rsidRDefault="00A12A21" w:rsidP="00A12A21">
      <w:pPr>
        <w:ind w:left="567"/>
      </w:pPr>
    </w:p>
    <w:p w:rsidR="00A12A21" w:rsidRPr="00793EE4" w:rsidRDefault="00A12A21" w:rsidP="00A12A21">
      <w:pPr>
        <w:ind w:left="567"/>
      </w:pPr>
      <w:r w:rsidRPr="00793EE4">
        <w:t>(b)</w:t>
      </w:r>
      <w:r w:rsidRPr="00793EE4">
        <w:tab/>
        <w:t>[Derivatives];</w:t>
      </w:r>
    </w:p>
    <w:p w:rsidR="00A12A21" w:rsidRPr="00793EE4" w:rsidRDefault="00A12A21" w:rsidP="00A12A21">
      <w:pPr>
        <w:ind w:left="567"/>
      </w:pPr>
    </w:p>
    <w:p w:rsidR="00A12A21" w:rsidRPr="00793EE4" w:rsidRDefault="00A12A21" w:rsidP="00A12A21">
      <w:pPr>
        <w:ind w:left="567"/>
      </w:pPr>
      <w:r w:rsidRPr="00793EE4">
        <w:t>(c)</w:t>
      </w:r>
      <w:r w:rsidRPr="00793EE4">
        <w:tab/>
        <w:t>[Commodities]</w:t>
      </w:r>
      <w:proofErr w:type="gramStart"/>
      <w:r w:rsidRPr="00793EE4">
        <w:t>;[</w:t>
      </w:r>
      <w:proofErr w:type="gramEnd"/>
      <w:r w:rsidRPr="00793EE4">
        <w:t>/genetic resources when they are used as commodities];</w:t>
      </w:r>
    </w:p>
    <w:p w:rsidR="00A12A21" w:rsidRPr="00793EE4" w:rsidRDefault="00A12A21" w:rsidP="00A12A21">
      <w:pPr>
        <w:ind w:left="567"/>
      </w:pPr>
    </w:p>
    <w:p w:rsidR="00A12A21" w:rsidRPr="00793EE4" w:rsidRDefault="00A12A21" w:rsidP="00A12A21">
      <w:pPr>
        <w:ind w:left="567"/>
      </w:pPr>
      <w:r w:rsidRPr="00793EE4">
        <w:t>(d)</w:t>
      </w:r>
      <w:r w:rsidRPr="00793EE4">
        <w:tab/>
        <w:t xml:space="preserve">[Traditional knowledge </w:t>
      </w:r>
      <w:r>
        <w:t xml:space="preserve">[and other information] </w:t>
      </w:r>
      <w:r w:rsidRPr="00793EE4">
        <w:t>in the public domain];</w:t>
      </w:r>
    </w:p>
    <w:p w:rsidR="00A12A21" w:rsidRPr="00793EE4" w:rsidRDefault="00A12A21" w:rsidP="00A12A21">
      <w:pPr>
        <w:ind w:left="567"/>
      </w:pPr>
    </w:p>
    <w:p w:rsidR="00A12A21" w:rsidRPr="00793EE4" w:rsidRDefault="00A12A21" w:rsidP="00A12A21">
      <w:pPr>
        <w:ind w:left="567"/>
      </w:pPr>
      <w:r w:rsidRPr="00793EE4">
        <w:t>(e)</w:t>
      </w:r>
      <w:r w:rsidRPr="00793EE4">
        <w:tab/>
        <w:t xml:space="preserve">[Genetic resources from areas beyond national jurisdictions [and economic zones]]; </w:t>
      </w:r>
    </w:p>
    <w:p w:rsidR="00A12A21" w:rsidRPr="00793EE4" w:rsidRDefault="00A12A21" w:rsidP="00A12A21">
      <w:pPr>
        <w:ind w:left="567"/>
      </w:pPr>
    </w:p>
    <w:p w:rsidR="00A12A21" w:rsidRPr="00793EE4" w:rsidRDefault="00A12A21" w:rsidP="00A12A21">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A12A21" w:rsidRPr="00793EE4" w:rsidRDefault="00A12A21" w:rsidP="00A12A21">
      <w:pPr>
        <w:ind w:left="567"/>
      </w:pPr>
    </w:p>
    <w:p w:rsidR="00A12A21" w:rsidRDefault="00A12A21" w:rsidP="00A12A21">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r>
        <w:t xml:space="preserve">  </w:t>
      </w:r>
    </w:p>
    <w:p w:rsidR="00A12A21" w:rsidRDefault="00A12A21" w:rsidP="00A12A21">
      <w:pPr>
        <w:ind w:left="1134" w:hanging="567"/>
      </w:pPr>
    </w:p>
    <w:p w:rsidR="00A12A21" w:rsidRPr="000B675B" w:rsidRDefault="00A12A21" w:rsidP="00A12A21">
      <w:pPr>
        <w:ind w:left="1134" w:hanging="567"/>
        <w:jc w:val="center"/>
        <w:rPr>
          <w:b/>
          <w:bCs/>
          <w:szCs w:val="22"/>
        </w:rPr>
      </w:pPr>
      <w:r>
        <w:rPr>
          <w:b/>
          <w:bCs/>
          <w:szCs w:val="22"/>
        </w:rPr>
        <w:t>[ARTICLE 6]</w:t>
      </w:r>
    </w:p>
    <w:p w:rsidR="00A12A21" w:rsidRPr="000B675B" w:rsidRDefault="00A12A21" w:rsidP="00A12A21">
      <w:pPr>
        <w:autoSpaceDE w:val="0"/>
        <w:autoSpaceDN w:val="0"/>
        <w:adjustRightInd w:val="0"/>
        <w:jc w:val="center"/>
        <w:rPr>
          <w:b/>
          <w:bCs/>
          <w:szCs w:val="22"/>
        </w:rPr>
      </w:pPr>
      <w:r>
        <w:rPr>
          <w:b/>
          <w:bCs/>
          <w:szCs w:val="22"/>
        </w:rPr>
        <w:t>[</w:t>
      </w:r>
      <w:r w:rsidRPr="000B675B">
        <w:rPr>
          <w:b/>
          <w:bCs/>
          <w:szCs w:val="22"/>
        </w:rPr>
        <w:t>NON-RETROACTIVITY</w:t>
      </w:r>
    </w:p>
    <w:p w:rsidR="00A12A21" w:rsidRDefault="00A12A21" w:rsidP="00A12A21">
      <w:pPr>
        <w:autoSpaceDE w:val="0"/>
        <w:autoSpaceDN w:val="0"/>
        <w:adjustRightInd w:val="0"/>
        <w:jc w:val="center"/>
        <w:rPr>
          <w:bCs/>
          <w:szCs w:val="22"/>
        </w:rPr>
      </w:pPr>
    </w:p>
    <w:p w:rsidR="00A12A21" w:rsidRPr="006D69A6" w:rsidRDefault="00A12A21" w:rsidP="00A12A21">
      <w:pPr>
        <w:autoSpaceDE w:val="0"/>
        <w:autoSpaceDN w:val="0"/>
        <w:adjustRightInd w:val="0"/>
        <w:rPr>
          <w:bCs/>
          <w:szCs w:val="22"/>
        </w:rPr>
      </w:pPr>
      <w:r w:rsidRPr="006D69A6">
        <w:rPr>
          <w:bCs/>
          <w:szCs w:val="22"/>
        </w:rPr>
        <w:t>[Member States]</w:t>
      </w:r>
      <w:proofErr w:type="gramStart"/>
      <w:r w:rsidRPr="006D69A6">
        <w:rPr>
          <w:bCs/>
          <w:szCs w:val="22"/>
        </w:rPr>
        <w:t>/[</w:t>
      </w:r>
      <w:proofErr w:type="gramEnd"/>
      <w:r w:rsidRPr="006D69A6">
        <w:rPr>
          <w:bCs/>
          <w:szCs w:val="22"/>
        </w:rPr>
        <w:t>Parties] [shall]/[should] not impose the disclosure requirement in this instrument on [IP] [patent] applications filed [or having a priority date] prior to that [Member State’s]/[Party’s] ratification of or accession to this instrument[, subject to [national laws]</w:t>
      </w:r>
      <w:r>
        <w:rPr>
          <w:bCs/>
          <w:szCs w:val="22"/>
        </w:rPr>
        <w:t xml:space="preserve"> </w:t>
      </w:r>
      <w:r w:rsidRPr="006D69A6">
        <w:rPr>
          <w:bCs/>
          <w:szCs w:val="22"/>
        </w:rPr>
        <w:t>[national disclosure requirements relating to GRs and associated TK] that existed prior to such ratification or accession.]</w:t>
      </w:r>
    </w:p>
    <w:p w:rsidR="00A12A21" w:rsidRDefault="00A12A21" w:rsidP="00A12A21">
      <w:pPr>
        <w:autoSpaceDE w:val="0"/>
        <w:autoSpaceDN w:val="0"/>
        <w:adjustRightInd w:val="0"/>
        <w:rPr>
          <w:bCs/>
          <w:szCs w:val="22"/>
        </w:rPr>
      </w:pPr>
    </w:p>
    <w:p w:rsidR="00A12A21" w:rsidRDefault="00A12A21" w:rsidP="00A12A21">
      <w:pPr>
        <w:autoSpaceDE w:val="0"/>
        <w:autoSpaceDN w:val="0"/>
        <w:adjustRightInd w:val="0"/>
        <w:jc w:val="center"/>
        <w:rPr>
          <w:bCs/>
          <w:szCs w:val="22"/>
        </w:rPr>
      </w:pPr>
      <w:bookmarkStart w:id="6" w:name="_Hlk97227980"/>
    </w:p>
    <w:p w:rsidR="00A12A21" w:rsidRPr="000B675B" w:rsidRDefault="00A12A21" w:rsidP="00A12A21">
      <w:pPr>
        <w:autoSpaceDE w:val="0"/>
        <w:autoSpaceDN w:val="0"/>
        <w:adjustRightInd w:val="0"/>
        <w:jc w:val="center"/>
        <w:rPr>
          <w:b/>
          <w:szCs w:val="22"/>
        </w:rPr>
      </w:pPr>
      <w:r w:rsidRPr="000B675B">
        <w:rPr>
          <w:b/>
          <w:bCs/>
          <w:szCs w:val="22"/>
        </w:rPr>
        <w:t>[ARTICLE 7]</w:t>
      </w:r>
    </w:p>
    <w:p w:rsidR="00A12A21" w:rsidRPr="00333B54" w:rsidRDefault="00A12A21" w:rsidP="00A12A21">
      <w:pPr>
        <w:autoSpaceDE w:val="0"/>
        <w:autoSpaceDN w:val="0"/>
        <w:adjustRightInd w:val="0"/>
        <w:jc w:val="center"/>
        <w:rPr>
          <w:szCs w:val="22"/>
        </w:rPr>
      </w:pPr>
      <w:r>
        <w:rPr>
          <w:b/>
          <w:bCs/>
          <w:szCs w:val="22"/>
        </w:rPr>
        <w:t>[</w:t>
      </w:r>
      <w:r w:rsidRPr="00333B54">
        <w:rPr>
          <w:b/>
          <w:bCs/>
          <w:szCs w:val="22"/>
        </w:rPr>
        <w:t>RECIPROCITY</w:t>
      </w:r>
    </w:p>
    <w:bookmarkEnd w:id="6"/>
    <w:p w:rsidR="00A12A21" w:rsidRPr="00333B54" w:rsidRDefault="00A12A21" w:rsidP="00A12A21">
      <w:pPr>
        <w:rPr>
          <w:szCs w:val="22"/>
        </w:rPr>
      </w:pPr>
    </w:p>
    <w:p w:rsidR="00A12A21" w:rsidRPr="00333B54" w:rsidRDefault="00A12A21" w:rsidP="00A12A21">
      <w:pPr>
        <w:rPr>
          <w:bCs/>
          <w:szCs w:val="22"/>
        </w:rPr>
      </w:pPr>
      <w:r w:rsidRPr="00333B54">
        <w:rPr>
          <w:bCs/>
          <w:szCs w:val="22"/>
        </w:rPr>
        <w:t xml:space="preserve">Contracting Parties may </w:t>
      </w:r>
      <w:r w:rsidRPr="000B675B">
        <w:rPr>
          <w:bCs/>
          <w:iCs/>
          <w:szCs w:val="22"/>
        </w:rPr>
        <w:t>choose to</w:t>
      </w:r>
      <w:r w:rsidRPr="00333B54">
        <w:rPr>
          <w:bCs/>
          <w:szCs w:val="22"/>
        </w:rPr>
        <w:t xml:space="preserve"> apply the disclosure requirement specified in Article 4 only to the genetic resources and traditional knowledge associated with genetic resources of Parties to this Instrument.</w:t>
      </w:r>
      <w:r>
        <w:rPr>
          <w:bCs/>
          <w:szCs w:val="22"/>
        </w:rPr>
        <w:t>]</w:t>
      </w:r>
    </w:p>
    <w:p w:rsidR="00A12A21" w:rsidRDefault="00A12A21" w:rsidP="00A12A21"/>
    <w:p w:rsidR="00A12A21" w:rsidRDefault="00A12A21" w:rsidP="00A12A21">
      <w:pPr>
        <w:jc w:val="center"/>
        <w:rPr>
          <w:b/>
        </w:rPr>
      </w:pPr>
      <w:r>
        <w:rPr>
          <w:b/>
        </w:rPr>
        <w:br w:type="page"/>
      </w:r>
    </w:p>
    <w:p w:rsidR="00A12A21" w:rsidRPr="00793EE4" w:rsidRDefault="00A12A21" w:rsidP="00A12A21">
      <w:pPr>
        <w:jc w:val="center"/>
        <w:rPr>
          <w:b/>
        </w:rPr>
      </w:pPr>
      <w:r>
        <w:rPr>
          <w:b/>
        </w:rPr>
        <w:lastRenderedPageBreak/>
        <w:t>[ARTICLE 8</w:t>
      </w:r>
      <w:r w:rsidRPr="00793EE4">
        <w:rPr>
          <w:b/>
        </w:rPr>
        <w:t>]</w:t>
      </w:r>
    </w:p>
    <w:p w:rsidR="00A12A21" w:rsidRPr="00793EE4" w:rsidRDefault="00A12A21" w:rsidP="00A12A21">
      <w:pPr>
        <w:jc w:val="center"/>
        <w:rPr>
          <w:b/>
        </w:rPr>
      </w:pPr>
      <w:r w:rsidRPr="00793EE4">
        <w:rPr>
          <w:b/>
        </w:rPr>
        <w:t>[SANCTIONS AND REMEDIES</w:t>
      </w:r>
    </w:p>
    <w:p w:rsidR="00A12A21" w:rsidRPr="00793EE4" w:rsidRDefault="00A12A21" w:rsidP="00A12A21"/>
    <w:p w:rsidR="00A12A21" w:rsidRDefault="00A12A21" w:rsidP="00A12A21">
      <w:r>
        <w:t>8.1</w:t>
      </w:r>
      <w:r w:rsidRPr="00793EE4">
        <w:tab/>
        <w:t>[Each [Member State]</w:t>
      </w:r>
      <w:proofErr w:type="gramStart"/>
      <w:r w:rsidRPr="00793EE4">
        <w:t>/[</w:t>
      </w:r>
      <w:proofErr w:type="gramEnd"/>
      <w:r w:rsidRPr="00793EE4">
        <w:t xml:space="preserve">Party] [shall]/[should] put in place appropriate, effective and proportionate legal and administrative measures to address non-compliance with the disclosure requirement of Article 4. </w:t>
      </w:r>
      <w:r>
        <w:t>[Member States]</w:t>
      </w:r>
      <w:proofErr w:type="gramStart"/>
      <w:r>
        <w:t>/[</w:t>
      </w:r>
      <w:proofErr w:type="gramEnd"/>
      <w:r>
        <w:t>Parties] shall develop these measures in conjunction with the Indigenous peoples and local communities  concerned, where applicable.</w:t>
      </w:r>
    </w:p>
    <w:p w:rsidR="00A12A21" w:rsidRDefault="00A12A21" w:rsidP="00A12A21"/>
    <w:p w:rsidR="00A12A21" w:rsidRPr="00793EE4" w:rsidRDefault="00A12A21" w:rsidP="00A12A21">
      <w:r>
        <w:t>8</w:t>
      </w:r>
      <w:r w:rsidRPr="00793EE4">
        <w:t>.2</w:t>
      </w:r>
      <w:r w:rsidRPr="00793EE4">
        <w:tab/>
        <w:t>Such measures [should/shall/may] include pre and/or post grant measures.</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Pr="00793EE4" w:rsidRDefault="00A12A21" w:rsidP="00A12A21">
      <w:r>
        <w:t>[8</w:t>
      </w:r>
      <w:r w:rsidRPr="00793EE4">
        <w:t>.2</w:t>
      </w:r>
      <w:r w:rsidRPr="00793EE4">
        <w:tab/>
        <w:t>Subject to national legislation, such measures [shall/should] [may] [include, inter alia] consist of:</w:t>
      </w:r>
    </w:p>
    <w:p w:rsidR="00A12A21" w:rsidRPr="00793EE4" w:rsidRDefault="00A12A21" w:rsidP="00A12A21">
      <w:pPr>
        <w:ind w:left="567"/>
      </w:pPr>
    </w:p>
    <w:p w:rsidR="00A12A21" w:rsidRPr="00793EE4" w:rsidRDefault="00A12A21" w:rsidP="00A12A21">
      <w:pPr>
        <w:numPr>
          <w:ilvl w:val="0"/>
          <w:numId w:val="10"/>
        </w:numPr>
        <w:ind w:left="1137"/>
        <w:rPr>
          <w:lang w:val="sv-SE"/>
        </w:rPr>
      </w:pPr>
      <w:r w:rsidRPr="00793EE4">
        <w:rPr>
          <w:lang w:val="sv-SE"/>
        </w:rPr>
        <w:t xml:space="preserve">Pre-Grant. </w:t>
      </w:r>
    </w:p>
    <w:p w:rsidR="00A12A21" w:rsidRPr="00A22B50" w:rsidRDefault="00A12A21" w:rsidP="00A12A21">
      <w:pPr>
        <w:numPr>
          <w:ilvl w:val="0"/>
          <w:numId w:val="12"/>
        </w:numPr>
        <w:ind w:left="1854"/>
        <w:rPr>
          <w:lang w:val="sv-SE"/>
        </w:rPr>
      </w:pPr>
      <w:r w:rsidRPr="00A22B50">
        <w:rPr>
          <w:lang w:val="sv-SE"/>
        </w:rPr>
        <w:t xml:space="preserve">Suspending the grant of </w:t>
      </w:r>
      <w:r w:rsidRPr="00AA54C0">
        <w:rPr>
          <w:lang w:val="sv-SE"/>
        </w:rPr>
        <w:t>[IP] [patent] applications until the disclosure requirements are met.</w:t>
      </w:r>
    </w:p>
    <w:p w:rsidR="00A12A21" w:rsidRPr="00793EE4" w:rsidRDefault="00A12A21" w:rsidP="00A12A21">
      <w:pPr>
        <w:numPr>
          <w:ilvl w:val="0"/>
          <w:numId w:val="12"/>
        </w:numPr>
        <w:ind w:left="1854"/>
        <w:rPr>
          <w:lang w:val="sv-SE"/>
        </w:rPr>
      </w:pPr>
      <w:r w:rsidRPr="00793EE4">
        <w:rPr>
          <w:lang w:val="sv-SE"/>
        </w:rPr>
        <w:t>A [IP] [patent] office considering the application withdrawn [in accordance with national law].</w:t>
      </w:r>
    </w:p>
    <w:p w:rsidR="00A12A21" w:rsidRPr="00793EE4" w:rsidRDefault="00A12A21" w:rsidP="00A12A21">
      <w:pPr>
        <w:numPr>
          <w:ilvl w:val="0"/>
          <w:numId w:val="12"/>
        </w:numPr>
        <w:ind w:left="1854"/>
        <w:rPr>
          <w:lang w:val="sv-SE"/>
        </w:rPr>
      </w:pPr>
      <w:r w:rsidRPr="00793EE4">
        <w:rPr>
          <w:lang w:val="sv-SE"/>
        </w:rPr>
        <w:t>Preventing or refusing to grant an [IP right] [patent].</w:t>
      </w:r>
    </w:p>
    <w:p w:rsidR="00A12A21" w:rsidRPr="00793EE4" w:rsidRDefault="00A12A21" w:rsidP="00A12A21">
      <w:pPr>
        <w:numPr>
          <w:ilvl w:val="0"/>
          <w:numId w:val="12"/>
        </w:numPr>
        <w:ind w:left="1854"/>
        <w:rPr>
          <w:lang w:val="sv-SE"/>
        </w:rPr>
      </w:pPr>
      <w:r w:rsidRPr="00793EE4">
        <w:rPr>
          <w:lang w:val="sv-SE"/>
        </w:rPr>
        <w:t>P</w:t>
      </w:r>
      <w:proofErr w:type="spellStart"/>
      <w:r w:rsidRPr="00793EE4">
        <w:t>roviding</w:t>
      </w:r>
      <w:proofErr w:type="spellEnd"/>
      <w:r w:rsidRPr="00793EE4">
        <w:t xml:space="preserve">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A12A21" w:rsidRPr="00793EE4" w:rsidRDefault="00A12A21" w:rsidP="00A12A21">
      <w:pPr>
        <w:ind w:left="567"/>
        <w:rPr>
          <w:lang w:val="sv-SE"/>
        </w:rPr>
      </w:pPr>
      <w:r w:rsidRPr="00793EE4">
        <w:rPr>
          <w:lang w:val="sv-SE"/>
        </w:rPr>
        <w:t xml:space="preserve"> </w:t>
      </w:r>
    </w:p>
    <w:p w:rsidR="00A12A21" w:rsidRPr="00793EE4" w:rsidRDefault="00A12A21" w:rsidP="00A12A21">
      <w:pPr>
        <w:numPr>
          <w:ilvl w:val="0"/>
          <w:numId w:val="10"/>
        </w:numPr>
        <w:ind w:left="1137"/>
        <w:rPr>
          <w:lang w:val="sv-SE"/>
        </w:rPr>
      </w:pPr>
      <w:r w:rsidRPr="00793EE4">
        <w:rPr>
          <w:lang w:val="sv-SE"/>
        </w:rPr>
        <w:t xml:space="preserve">[Post-Grant. </w:t>
      </w:r>
    </w:p>
    <w:p w:rsidR="00A12A21" w:rsidRPr="00793EE4" w:rsidRDefault="00A12A21" w:rsidP="00A12A21">
      <w:pPr>
        <w:numPr>
          <w:ilvl w:val="0"/>
          <w:numId w:val="11"/>
        </w:numPr>
        <w:ind w:left="1857"/>
        <w:rPr>
          <w:lang w:val="sv-SE"/>
        </w:rPr>
      </w:pPr>
      <w:r w:rsidRPr="00793EE4">
        <w:rPr>
          <w:lang w:val="sv-SE"/>
        </w:rPr>
        <w:t xml:space="preserve">Publication of judicial rulings regarding failure to disclose. </w:t>
      </w:r>
    </w:p>
    <w:p w:rsidR="00A12A21" w:rsidRPr="00793EE4" w:rsidRDefault="00A12A21" w:rsidP="00A12A21">
      <w:pPr>
        <w:numPr>
          <w:ilvl w:val="0"/>
          <w:numId w:val="11"/>
        </w:numPr>
        <w:ind w:left="1857"/>
        <w:rPr>
          <w:lang w:val="sv-SE"/>
        </w:rPr>
      </w:pPr>
      <w:r w:rsidRPr="00793EE4">
        <w:rPr>
          <w:lang w:val="sv-SE"/>
        </w:rPr>
        <w:t>[Fines or adequate compensation for damages, including payment of royalties.]</w:t>
      </w:r>
    </w:p>
    <w:p w:rsidR="00A12A21" w:rsidRPr="00793EE4" w:rsidRDefault="00A12A21" w:rsidP="00A12A21">
      <w:pPr>
        <w:numPr>
          <w:ilvl w:val="0"/>
          <w:numId w:val="11"/>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r>
        <w:t>]</w:t>
      </w:r>
    </w:p>
    <w:p w:rsidR="00A12A21" w:rsidRPr="00793EE4" w:rsidRDefault="00A12A21" w:rsidP="00A12A21"/>
    <w:p w:rsidR="00A12A21" w:rsidRPr="00793EE4" w:rsidRDefault="00A12A21" w:rsidP="00A12A21">
      <w:r>
        <w:t>8</w:t>
      </w:r>
      <w:r w:rsidRPr="00793EE4">
        <w:t>.3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A12A21" w:rsidRPr="00793EE4" w:rsidRDefault="00A12A21" w:rsidP="00A12A21"/>
    <w:p w:rsidR="00A12A21" w:rsidRPr="00793EE4" w:rsidRDefault="00A12A21" w:rsidP="00A12A21">
      <w:r w:rsidRPr="00793EE4">
        <w:t>ALT</w:t>
      </w:r>
    </w:p>
    <w:p w:rsidR="00A12A21" w:rsidRPr="00793EE4" w:rsidRDefault="00A12A21" w:rsidP="00A12A21"/>
    <w:p w:rsidR="00A12A21" w:rsidRDefault="00A12A21" w:rsidP="00A12A21">
      <w:r>
        <w:t>8</w:t>
      </w:r>
      <w:r w:rsidRPr="00793EE4">
        <w:t>.3</w:t>
      </w:r>
      <w:r w:rsidRPr="00793EE4">
        <w:tab/>
        <w:t>Failure to fulfill the disclosure requirement [shall]</w:t>
      </w:r>
      <w:proofErr w:type="gramStart"/>
      <w:r w:rsidRPr="00793EE4">
        <w:t>/[</w:t>
      </w:r>
      <w:proofErr w:type="gramEnd"/>
      <w:r w:rsidRPr="00793EE4">
        <w:t>should] not affect the validity or enforceability of granted [IP] [patent] rights.</w:t>
      </w:r>
    </w:p>
    <w:p w:rsidR="00A12A21" w:rsidRDefault="00A12A21" w:rsidP="00A12A21"/>
    <w:p w:rsidR="00A12A21" w:rsidRPr="008F5A0A" w:rsidRDefault="00A12A21" w:rsidP="00A12A21">
      <w:r>
        <w:t>8.4</w:t>
      </w:r>
      <w:r>
        <w:tab/>
        <w:t>[</w:t>
      </w:r>
      <w:r w:rsidRPr="008F5A0A">
        <w:t>IP] [patent] offices [shall]</w:t>
      </w:r>
      <w:proofErr w:type="gramStart"/>
      <w:r w:rsidRPr="008F5A0A">
        <w:t>/[</w:t>
      </w:r>
      <w:proofErr w:type="gramEnd"/>
      <w:r w:rsidRPr="008F5A0A">
        <w:t xml:space="preserve">should/may] provide an opportunity, within a reasonable time, for applicants to correct any disclosures that are erroneous or incorrect. </w:t>
      </w:r>
    </w:p>
    <w:p w:rsidR="00A12A21" w:rsidRPr="00793EE4" w:rsidRDefault="00A12A21" w:rsidP="00A12A21"/>
    <w:p w:rsidR="00A12A21" w:rsidRDefault="00A12A21" w:rsidP="00A12A21">
      <w:r>
        <w:t>8</w:t>
      </w:r>
      <w:r w:rsidRPr="00793EE4">
        <w:t>.</w:t>
      </w:r>
      <w:r>
        <w:t>5</w:t>
      </w:r>
      <w:r w:rsidRPr="00793EE4">
        <w:tab/>
        <w:t>[Member States]</w:t>
      </w:r>
      <w:proofErr w:type="gramStart"/>
      <w:r w:rsidRPr="00793EE4">
        <w:t>/[</w:t>
      </w:r>
      <w:proofErr w:type="gramEnd"/>
      <w:r w:rsidRPr="00793EE4">
        <w:t>Parties] [shall]/[should] put in place adequate dispute resolution mechanisms.]</w:t>
      </w:r>
    </w:p>
    <w:p w:rsidR="00A12A21" w:rsidRDefault="00A12A21" w:rsidP="00A12A21"/>
    <w:p w:rsidR="00A12A21" w:rsidRDefault="00A12A21" w:rsidP="00A12A21"/>
    <w:p w:rsidR="00A12A21" w:rsidRPr="00EC01FC" w:rsidRDefault="00A12A21" w:rsidP="00A12A21">
      <w:pPr>
        <w:jc w:val="center"/>
        <w:rPr>
          <w:b/>
        </w:rPr>
      </w:pPr>
      <w:r w:rsidRPr="00EC01FC">
        <w:rPr>
          <w:b/>
        </w:rPr>
        <w:lastRenderedPageBreak/>
        <w:t>[</w:t>
      </w:r>
      <w:r>
        <w:rPr>
          <w:b/>
        </w:rPr>
        <w:t>II. ALTERNATIVES TO ARTICLES 2-8</w:t>
      </w:r>
    </w:p>
    <w:p w:rsidR="00A12A21" w:rsidRPr="00EC01FC" w:rsidRDefault="00A12A21" w:rsidP="00A12A21">
      <w:pPr>
        <w:jc w:val="center"/>
        <w:rPr>
          <w:b/>
        </w:rPr>
      </w:pPr>
      <w:r w:rsidRPr="00EC01FC">
        <w:rPr>
          <w:b/>
        </w:rPr>
        <w:t>NO NEW DISCLOSURE REQUIREMENT]</w:t>
      </w:r>
    </w:p>
    <w:p w:rsidR="00A12A21" w:rsidRPr="00EC01FC" w:rsidRDefault="00A12A21" w:rsidP="00A12A21">
      <w:pPr>
        <w:jc w:val="center"/>
        <w:rPr>
          <w:b/>
        </w:rPr>
      </w:pPr>
    </w:p>
    <w:p w:rsidR="00A12A21" w:rsidRPr="00EC01FC" w:rsidRDefault="00A12A21" w:rsidP="00A12A21">
      <w:pPr>
        <w:jc w:val="center"/>
        <w:rPr>
          <w:b/>
        </w:rPr>
      </w:pPr>
      <w:r w:rsidRPr="00EC01FC">
        <w:rPr>
          <w:b/>
        </w:rPr>
        <w:t>ALT</w:t>
      </w:r>
    </w:p>
    <w:p w:rsidR="00A12A21" w:rsidRPr="00EC01FC" w:rsidRDefault="00A12A21" w:rsidP="00A12A21">
      <w:pPr>
        <w:jc w:val="center"/>
        <w:rPr>
          <w:b/>
        </w:rPr>
      </w:pPr>
      <w:r w:rsidRPr="00EC01FC">
        <w:rPr>
          <w:b/>
        </w:rPr>
        <w:t>[ARTICLE 2]</w:t>
      </w:r>
    </w:p>
    <w:p w:rsidR="00A12A21" w:rsidRPr="00EC01FC" w:rsidRDefault="00A12A21" w:rsidP="00A12A21">
      <w:pPr>
        <w:jc w:val="center"/>
        <w:rPr>
          <w:b/>
        </w:rPr>
      </w:pPr>
      <w:r w:rsidRPr="00EC01FC">
        <w:rPr>
          <w:b/>
        </w:rPr>
        <w:t>[OBJECTIVE</w:t>
      </w:r>
    </w:p>
    <w:p w:rsidR="00A12A21" w:rsidRPr="00EC01FC" w:rsidRDefault="00A12A21" w:rsidP="00A12A21">
      <w:pPr>
        <w:rPr>
          <w:b/>
        </w:rPr>
      </w:pPr>
    </w:p>
    <w:p w:rsidR="00A12A21" w:rsidRPr="00EC01FC" w:rsidRDefault="00A12A21" w:rsidP="00A12A21">
      <w:r w:rsidRPr="00EC01FC">
        <w:t>The objective of this instrument is to prevent the grant of patent rights on inventions that are not novel, non-obvious, and industrially applicable.</w:t>
      </w:r>
    </w:p>
    <w:p w:rsidR="00A12A21" w:rsidRPr="00EC01FC" w:rsidRDefault="00A12A21" w:rsidP="00A12A21"/>
    <w:p w:rsidR="00A12A21" w:rsidRPr="00EC01FC" w:rsidRDefault="00A12A21" w:rsidP="00A12A21">
      <w:r w:rsidRPr="00EC01FC">
        <w:t>ALT</w:t>
      </w:r>
    </w:p>
    <w:p w:rsidR="00A12A21" w:rsidRPr="00EC01FC" w:rsidRDefault="00A12A21" w:rsidP="00A12A21"/>
    <w:p w:rsidR="00A12A21" w:rsidRPr="00EC01FC" w:rsidRDefault="00A12A21" w:rsidP="00A12A21">
      <w:r w:rsidRPr="00EC01FC">
        <w:t xml:space="preserve">The objectives of this instrument are to: </w:t>
      </w:r>
    </w:p>
    <w:p w:rsidR="00A12A21" w:rsidRPr="00EC01FC" w:rsidRDefault="00A12A21" w:rsidP="00A12A21">
      <w:pPr>
        <w:ind w:left="567"/>
      </w:pPr>
    </w:p>
    <w:p w:rsidR="00A12A21" w:rsidRPr="00EC01FC" w:rsidRDefault="00A12A21" w:rsidP="00A12A21">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A12A21" w:rsidRPr="00EC01FC" w:rsidRDefault="00A12A21" w:rsidP="00A12A21">
      <w:pPr>
        <w:ind w:left="567"/>
      </w:pPr>
    </w:p>
    <w:p w:rsidR="00A12A21" w:rsidRPr="00EC01FC" w:rsidRDefault="00A12A21" w:rsidP="00A12A21">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A12A21" w:rsidRPr="00EC01FC" w:rsidRDefault="00A12A21" w:rsidP="00A12A21">
      <w:pPr>
        <w:ind w:left="567"/>
        <w:rPr>
          <w:lang w:val="sv-SE"/>
        </w:rPr>
      </w:pPr>
    </w:p>
    <w:p w:rsidR="00A12A21" w:rsidRPr="00EC01FC" w:rsidRDefault="00A12A21" w:rsidP="00A12A21">
      <w:pPr>
        <w:ind w:left="1134" w:hanging="567"/>
      </w:pPr>
      <w:r w:rsidRPr="00EC01FC">
        <w:rPr>
          <w:lang w:val="sv-SE"/>
        </w:rPr>
        <w:t>(c)</w:t>
      </w:r>
      <w:r w:rsidRPr="00EC01FC">
        <w:rPr>
          <w:lang w:val="sv-SE"/>
        </w:rPr>
        <w:tab/>
      </w:r>
      <w:r w:rsidRPr="00EC01FC">
        <w:t>preserve a rich and accessible public domain in order to foster creativity and innovation.]</w:t>
      </w:r>
    </w:p>
    <w:p w:rsidR="00A12A21" w:rsidRPr="00EC01FC" w:rsidRDefault="00A12A21" w:rsidP="00A12A21">
      <w:pPr>
        <w:rPr>
          <w:b/>
          <w:lang w:val="sv-SE"/>
        </w:rPr>
      </w:pPr>
    </w:p>
    <w:p w:rsidR="00A12A21" w:rsidRPr="00EC01FC" w:rsidRDefault="00A12A21" w:rsidP="00A12A21">
      <w:pPr>
        <w:rPr>
          <w:b/>
          <w:lang w:val="sv-SE"/>
        </w:rPr>
      </w:pPr>
    </w:p>
    <w:p w:rsidR="00A12A21" w:rsidRPr="00EC01FC" w:rsidRDefault="00A12A21" w:rsidP="00A12A21">
      <w:pPr>
        <w:jc w:val="center"/>
        <w:rPr>
          <w:b/>
          <w:lang w:val="sv-SE"/>
        </w:rPr>
      </w:pPr>
      <w:r w:rsidRPr="00EC01FC">
        <w:rPr>
          <w:b/>
          <w:lang w:val="sv-SE"/>
        </w:rPr>
        <w:t>ALT</w:t>
      </w:r>
    </w:p>
    <w:p w:rsidR="00A12A21" w:rsidRPr="00EC01FC" w:rsidRDefault="00A12A21" w:rsidP="00A12A21">
      <w:pPr>
        <w:jc w:val="center"/>
        <w:rPr>
          <w:b/>
          <w:lang w:val="sv-SE"/>
        </w:rPr>
      </w:pPr>
      <w:r w:rsidRPr="00EC01FC">
        <w:rPr>
          <w:b/>
          <w:lang w:val="sv-SE"/>
        </w:rPr>
        <w:t>[ARTICLE 3]</w:t>
      </w:r>
    </w:p>
    <w:p w:rsidR="00A12A21" w:rsidRPr="00EC01FC" w:rsidRDefault="00A12A21" w:rsidP="00A12A21">
      <w:pPr>
        <w:jc w:val="center"/>
        <w:rPr>
          <w:b/>
          <w:lang w:val="sv-SE"/>
        </w:rPr>
      </w:pPr>
      <w:r w:rsidRPr="00EC01FC">
        <w:rPr>
          <w:b/>
          <w:lang w:val="sv-SE"/>
        </w:rPr>
        <w:t>[SUBJECT MATTER OF INSTRUMENT</w:t>
      </w:r>
    </w:p>
    <w:p w:rsidR="00A12A21" w:rsidRPr="00EC01FC" w:rsidRDefault="00A12A21" w:rsidP="00A12A21"/>
    <w:p w:rsidR="00A12A21" w:rsidRPr="00EC01FC" w:rsidRDefault="00A12A21" w:rsidP="00A12A21">
      <w:r w:rsidRPr="00EC01FC">
        <w:t>This instrument [shall]</w:t>
      </w:r>
      <w:proofErr w:type="gramStart"/>
      <w:r w:rsidRPr="00EC01FC">
        <w:t>/[</w:t>
      </w:r>
      <w:proofErr w:type="gramEnd"/>
      <w:r w:rsidRPr="00EC01FC">
        <w:t>should] apply to patent applications for inventions directly based on genetic resources and traditional knowledge associated with genetic resources.]</w:t>
      </w:r>
    </w:p>
    <w:p w:rsidR="00A12A21" w:rsidRPr="00EC01FC" w:rsidRDefault="00A12A21" w:rsidP="00A12A21">
      <w:pPr>
        <w:rPr>
          <w:b/>
          <w:lang w:val="sv-SE"/>
        </w:rPr>
      </w:pPr>
    </w:p>
    <w:p w:rsidR="00A12A21" w:rsidRPr="00EC01FC" w:rsidRDefault="00A12A21" w:rsidP="00A12A21">
      <w:pPr>
        <w:rPr>
          <w:b/>
          <w:lang w:val="sv-SE"/>
        </w:rPr>
      </w:pPr>
    </w:p>
    <w:p w:rsidR="00A12A21" w:rsidRPr="00EC01FC" w:rsidRDefault="00A12A21" w:rsidP="00A12A21">
      <w:pPr>
        <w:jc w:val="center"/>
        <w:rPr>
          <w:b/>
        </w:rPr>
      </w:pPr>
      <w:r w:rsidRPr="00EC01FC">
        <w:rPr>
          <w:b/>
        </w:rPr>
        <w:t>ALT</w:t>
      </w:r>
    </w:p>
    <w:p w:rsidR="00A12A21" w:rsidRPr="00EC01FC" w:rsidRDefault="00A12A21" w:rsidP="00A12A21">
      <w:pPr>
        <w:jc w:val="center"/>
        <w:rPr>
          <w:b/>
        </w:rPr>
      </w:pPr>
      <w:r w:rsidRPr="00EC01FC">
        <w:rPr>
          <w:b/>
        </w:rPr>
        <w:t>[ARTICLE 4]</w:t>
      </w:r>
    </w:p>
    <w:p w:rsidR="00A12A21" w:rsidRPr="00EC01FC" w:rsidRDefault="00A12A21" w:rsidP="00A12A21">
      <w:pPr>
        <w:jc w:val="center"/>
        <w:rPr>
          <w:b/>
        </w:rPr>
      </w:pPr>
      <w:r w:rsidRPr="00EC01FC">
        <w:rPr>
          <w:b/>
        </w:rPr>
        <w:t>[DISCLOSURE</w:t>
      </w:r>
    </w:p>
    <w:p w:rsidR="00A12A21" w:rsidRPr="00EC01FC" w:rsidRDefault="00A12A21" w:rsidP="00A12A21"/>
    <w:p w:rsidR="00A12A21" w:rsidRPr="00EC01FC" w:rsidRDefault="00A12A21" w:rsidP="00A12A21">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A12A21" w:rsidRPr="00EC01FC" w:rsidRDefault="00A12A21" w:rsidP="00A12A21"/>
    <w:p w:rsidR="00A12A21" w:rsidRDefault="00A12A21" w:rsidP="00A12A21">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r>
        <w:t xml:space="preserve"> </w:t>
      </w:r>
      <w:r>
        <w:br w:type="page"/>
      </w:r>
    </w:p>
    <w:p w:rsidR="00A12A21" w:rsidRPr="00EC01FC" w:rsidRDefault="00A12A21" w:rsidP="00A12A21">
      <w:pPr>
        <w:ind w:left="540"/>
      </w:pPr>
      <w:r w:rsidRPr="00EC01FC">
        <w:lastRenderedPageBreak/>
        <w:t>(a)</w:t>
      </w:r>
      <w:r w:rsidRPr="00EC01FC">
        <w:tab/>
        <w:t xml:space="preserve">include within a specification of any patent application and any patent issuing thereon a statement specifying that the invention was made using the genetic resource and other relevant information, and </w:t>
      </w:r>
    </w:p>
    <w:p w:rsidR="00A12A21" w:rsidRPr="00EC01FC" w:rsidRDefault="00A12A21" w:rsidP="00A12A21">
      <w:pPr>
        <w:ind w:left="567"/>
      </w:pPr>
    </w:p>
    <w:p w:rsidR="00A12A21" w:rsidRPr="00EC01FC" w:rsidRDefault="00A12A21" w:rsidP="00A12A21">
      <w:pPr>
        <w:ind w:left="567"/>
      </w:pPr>
      <w:r w:rsidRPr="00EC01FC">
        <w:t>[(b)</w:t>
      </w:r>
      <w:r w:rsidRPr="00EC01FC">
        <w:tab/>
      </w:r>
      <w:proofErr w:type="gramStart"/>
      <w:r w:rsidRPr="00EC01FC">
        <w:t>obtain</w:t>
      </w:r>
      <w:proofErr w:type="gramEnd"/>
      <w:r w:rsidRPr="00EC01FC">
        <w:t xml:space="preserve"> consent for uses not encompassed within the permit agreement or license.]]</w:t>
      </w:r>
    </w:p>
    <w:p w:rsidR="00A12A21" w:rsidRPr="00EC01FC" w:rsidRDefault="00A12A21" w:rsidP="00A12A21"/>
    <w:p w:rsidR="00A12A21" w:rsidRPr="00EC01FC" w:rsidRDefault="00A12A21" w:rsidP="00A12A21">
      <w:r w:rsidRPr="00EC01FC">
        <w:t>4.3</w:t>
      </w:r>
      <w:r w:rsidRPr="00EC01FC">
        <w:tab/>
        <w:t xml:space="preserve">[Patent </w:t>
      </w:r>
      <w:proofErr w:type="spellStart"/>
      <w:r w:rsidRPr="00EC01FC">
        <w:t>offices</w:t>
      </w:r>
      <w:proofErr w:type="spellEnd"/>
      <w:r w:rsidRPr="00EC01FC">
        <w:t xml:space="preserve"> [shall]</w:t>
      </w:r>
      <w:proofErr w:type="gramStart"/>
      <w:r w:rsidRPr="00EC01FC">
        <w:t>/[</w:t>
      </w:r>
      <w:proofErr w:type="gramEnd"/>
      <w:r w:rsidRPr="00EC01FC">
        <w:t>should] publish the entire disclosure of the patent on the Internet, on the date of the patent grant and [shall]/[should] also strive to make the contents of the patent application publicly accessible over the Internet.]</w:t>
      </w:r>
    </w:p>
    <w:p w:rsidR="00A12A21" w:rsidRPr="00EC01FC" w:rsidRDefault="00A12A21" w:rsidP="00A12A21"/>
    <w:p w:rsidR="00A12A21" w:rsidRPr="00EC01FC" w:rsidRDefault="00A12A21" w:rsidP="00A12A21">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A12A21" w:rsidRPr="00EC01FC" w:rsidRDefault="00A12A21" w:rsidP="00A12A21"/>
    <w:p w:rsidR="00A12A21" w:rsidRPr="00EC01FC" w:rsidRDefault="00A12A21" w:rsidP="00A12A21">
      <w:r w:rsidRPr="00EC01FC">
        <w:t>4.5</w:t>
      </w:r>
      <w:r w:rsidRPr="00EC01FC">
        <w:tab/>
        <w:t>The disclosure of the [geographic location] where the genetic material was obtained [shall]</w:t>
      </w:r>
      <w:proofErr w:type="gramStart"/>
      <w:r w:rsidRPr="00EC01FC">
        <w:t>/[</w:t>
      </w:r>
      <w:proofErr w:type="gramEnd"/>
      <w:r w:rsidRPr="00EC01FC">
        <w:t xml:space="preserve">should]/[may][does] not place an obligation on the patent office to verify the contents of the disclosure. But patent </w:t>
      </w:r>
      <w:proofErr w:type="spellStart"/>
      <w:r w:rsidRPr="00EC01FC">
        <w:t>offices</w:t>
      </w:r>
      <w:proofErr w:type="spellEnd"/>
      <w:r w:rsidRPr="00EC01FC">
        <w:t xml:space="preserve">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A12A21" w:rsidRPr="00EC01FC" w:rsidRDefault="00A12A21" w:rsidP="00A12A21"/>
    <w:p w:rsidR="00A12A21" w:rsidRDefault="00A12A21" w:rsidP="00A12A21">
      <w:r w:rsidRPr="00EC01FC">
        <w:t>4.6</w:t>
      </w:r>
      <w:r w:rsidRPr="00EC01FC">
        <w:tab/>
      </w:r>
      <w:r w:rsidRPr="00EC0766">
        <w:t xml:space="preserve"> </w:t>
      </w:r>
      <w:r>
        <w:t>Failure to examine a patent application in a timely manner due to disclosure requirements shall result in an adjustment of the term of the patent to compensate the patentee for administrative delays, provided that periods of time attributable to actions of the patent applicant need not be included in the determination of such delays.</w:t>
      </w:r>
      <w:r w:rsidRPr="00EC01FC">
        <w:t>]</w:t>
      </w:r>
      <w:r>
        <w:t xml:space="preserve"> </w:t>
      </w:r>
      <w:r>
        <w:br w:type="page"/>
      </w:r>
    </w:p>
    <w:p w:rsidR="00A12A21" w:rsidRPr="00B83188" w:rsidRDefault="00A12A21" w:rsidP="00A12A21">
      <w:pPr>
        <w:jc w:val="center"/>
        <w:rPr>
          <w:b/>
        </w:rPr>
      </w:pPr>
      <w:r w:rsidRPr="00B83188">
        <w:rPr>
          <w:b/>
        </w:rPr>
        <w:lastRenderedPageBreak/>
        <w:t>[III</w:t>
      </w:r>
      <w:proofErr w:type="gramStart"/>
      <w:r w:rsidRPr="00B83188">
        <w:rPr>
          <w:b/>
        </w:rPr>
        <w:t>.  [</w:t>
      </w:r>
      <w:proofErr w:type="gramEnd"/>
      <w:r w:rsidRPr="00B83188">
        <w:rPr>
          <w:b/>
        </w:rPr>
        <w:t>DEFENSIVE]/[COMPLEMENTARY] MEASURES]</w:t>
      </w:r>
    </w:p>
    <w:p w:rsidR="00A12A21" w:rsidRPr="00B83188" w:rsidRDefault="00A12A21" w:rsidP="00A12A21">
      <w:pPr>
        <w:jc w:val="center"/>
      </w:pPr>
    </w:p>
    <w:p w:rsidR="00A12A21" w:rsidRPr="00B83188" w:rsidRDefault="00A12A21" w:rsidP="00A12A21">
      <w:pPr>
        <w:jc w:val="center"/>
        <w:rPr>
          <w:b/>
          <w:lang w:val="en-CA"/>
        </w:rPr>
      </w:pPr>
      <w:r>
        <w:rPr>
          <w:b/>
          <w:lang w:val="en-CA"/>
        </w:rPr>
        <w:t>[ARTICLE 9</w:t>
      </w:r>
      <w:r w:rsidRPr="00B83188">
        <w:rPr>
          <w:b/>
          <w:lang w:val="en-CA"/>
        </w:rPr>
        <w:t>]</w:t>
      </w:r>
    </w:p>
    <w:p w:rsidR="00A12A21" w:rsidRPr="00B83188" w:rsidRDefault="00A12A21" w:rsidP="00A12A21">
      <w:pPr>
        <w:jc w:val="center"/>
        <w:rPr>
          <w:b/>
          <w:lang w:val="en-CA"/>
        </w:rPr>
      </w:pPr>
      <w:r w:rsidRPr="00B83188">
        <w:rPr>
          <w:b/>
          <w:lang w:val="en-CA"/>
        </w:rPr>
        <w:t>[DUE DILIGENCE</w:t>
      </w:r>
    </w:p>
    <w:p w:rsidR="00A12A21" w:rsidRPr="00B83188" w:rsidRDefault="00A12A21" w:rsidP="00A12A21">
      <w:pPr>
        <w:rPr>
          <w:lang w:val="en-CA"/>
        </w:rPr>
      </w:pPr>
    </w:p>
    <w:p w:rsidR="00A12A21" w:rsidRPr="00B83188" w:rsidRDefault="00A12A21" w:rsidP="00A12A21">
      <w:pPr>
        <w:rPr>
          <w:lang w:val="en-CA"/>
        </w:rPr>
      </w:pPr>
      <w:r w:rsidRPr="00B83188">
        <w:rPr>
          <w:lang w:val="en-CA"/>
        </w:rPr>
        <w:t>[Member States]</w:t>
      </w:r>
      <w:proofErr w:type="gramStart"/>
      <w:r w:rsidRPr="00B83188">
        <w:rPr>
          <w:lang w:val="en-CA"/>
        </w:rPr>
        <w:t>/[</w:t>
      </w:r>
      <w:proofErr w:type="gramEnd"/>
      <w:r w:rsidRPr="00B83188">
        <w:rPr>
          <w:lang w:val="en-CA"/>
        </w:rPr>
        <w:t xml:space="preserve">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legislation or regulatory requirements. </w:t>
      </w:r>
    </w:p>
    <w:p w:rsidR="00A12A21" w:rsidRPr="00B83188" w:rsidRDefault="00A12A21" w:rsidP="00A12A21">
      <w:pPr>
        <w:ind w:left="360"/>
        <w:rPr>
          <w:lang w:val="en-CA"/>
        </w:rPr>
      </w:pPr>
    </w:p>
    <w:p w:rsidR="00A12A21" w:rsidRPr="00B83188" w:rsidRDefault="00A12A21" w:rsidP="00A12A21">
      <w:pPr>
        <w:numPr>
          <w:ilvl w:val="0"/>
          <w:numId w:val="14"/>
        </w:numPr>
        <w:ind w:left="927"/>
        <w:rPr>
          <w:lang w:val="en-CA"/>
        </w:rPr>
      </w:pPr>
      <w:r w:rsidRPr="00B83188">
        <w:rPr>
          <w:lang w:val="en-CA"/>
        </w:rPr>
        <w:t xml:space="preserve">A database </w:t>
      </w:r>
      <w:r>
        <w:rPr>
          <w:lang w:val="sv-SE"/>
        </w:rPr>
        <w:t>may</w:t>
      </w:r>
      <w:r w:rsidRPr="00B83188">
        <w:rPr>
          <w:lang w:val="en-CA"/>
        </w:rPr>
        <w:t xml:space="preserve"> be used as a mechanism to allow monitoring of compliance with these due diligence requirements in accordance with national law.</w:t>
      </w:r>
    </w:p>
    <w:p w:rsidR="00A12A21" w:rsidRPr="00B83188" w:rsidRDefault="00A12A21" w:rsidP="00A12A21">
      <w:pPr>
        <w:ind w:left="207"/>
        <w:rPr>
          <w:lang w:val="en-CA"/>
        </w:rPr>
      </w:pPr>
    </w:p>
    <w:p w:rsidR="00A12A21" w:rsidRPr="005B10E9" w:rsidRDefault="00A12A21" w:rsidP="00A12A21">
      <w:pPr>
        <w:numPr>
          <w:ilvl w:val="0"/>
          <w:numId w:val="14"/>
        </w:numPr>
        <w:ind w:left="927"/>
        <w:rPr>
          <w:lang w:val="en-CA"/>
        </w:rPr>
      </w:pPr>
      <w:r w:rsidRPr="00B83188">
        <w:rPr>
          <w:lang w:val="en-CA"/>
        </w:rPr>
        <w:t xml:space="preserve">Such databases </w:t>
      </w:r>
      <w:r w:rsidRPr="00256A64">
        <w:rPr>
          <w:i/>
          <w:iCs/>
          <w:lang w:val="en-CA"/>
        </w:rPr>
        <w:t xml:space="preserve">can be accessed </w:t>
      </w:r>
      <w:r w:rsidRPr="00AE4555">
        <w:rPr>
          <w:iCs/>
          <w:lang w:val="en-CA"/>
        </w:rPr>
        <w:t>in accordance with national law and with appropriate safeguards, by stakeholders</w:t>
      </w:r>
      <w:r w:rsidRPr="005B10E9">
        <w:rPr>
          <w:lang w:val="en-CA"/>
        </w:rPr>
        <w:t xml:space="preserve"> to confirm lawful chain of title of [protected] genetic resources upon which a [patent</w:t>
      </w:r>
      <w:proofErr w:type="gramStart"/>
      <w:r w:rsidRPr="005B10E9">
        <w:rPr>
          <w:lang w:val="en-CA"/>
        </w:rPr>
        <w:t>][</w:t>
      </w:r>
      <w:proofErr w:type="gramEnd"/>
      <w:r w:rsidRPr="005B10E9">
        <w:rPr>
          <w:lang w:val="en-CA"/>
        </w:rPr>
        <w:t>IP right] is based.]]</w:t>
      </w:r>
    </w:p>
    <w:p w:rsidR="00A12A21" w:rsidRPr="005B10E9" w:rsidRDefault="00A12A21" w:rsidP="00A12A21">
      <w:pPr>
        <w:pStyle w:val="ListParagraph"/>
        <w:rPr>
          <w:lang w:val="en-CA"/>
        </w:rPr>
      </w:pPr>
    </w:p>
    <w:p w:rsidR="00A12A21" w:rsidRPr="00AE4555" w:rsidRDefault="00A12A21" w:rsidP="00A12A21">
      <w:pPr>
        <w:numPr>
          <w:ilvl w:val="0"/>
          <w:numId w:val="14"/>
        </w:numPr>
        <w:ind w:left="927"/>
        <w:rPr>
          <w:iCs/>
          <w:lang w:val="en-CA"/>
        </w:rPr>
      </w:pPr>
      <w:r w:rsidRPr="00AE4555">
        <w:rPr>
          <w:iCs/>
          <w:lang w:val="en-CA"/>
        </w:rPr>
        <w:t>Where databases are to be utilized as part of a due diligence mechanism, the creation of said databases and the rules governing access, uses, and the application of safeguards, should be developed and implemented in conjunction with indigenous peoples and local communities and in accordance with their laws, customs, and protocols.</w:t>
      </w:r>
    </w:p>
    <w:p w:rsidR="00A12A21" w:rsidRDefault="00A12A21" w:rsidP="00A12A21"/>
    <w:p w:rsidR="00A12A21" w:rsidRPr="00B83188" w:rsidRDefault="00A12A21" w:rsidP="00A12A21">
      <w:pPr>
        <w:rPr>
          <w:b/>
          <w:lang w:val="en-CA"/>
        </w:rPr>
      </w:pPr>
    </w:p>
    <w:p w:rsidR="00A12A21" w:rsidRPr="00B83188" w:rsidRDefault="00A12A21" w:rsidP="00A12A21">
      <w:pPr>
        <w:jc w:val="center"/>
        <w:rPr>
          <w:b/>
          <w:lang w:val="en-CA"/>
        </w:rPr>
      </w:pPr>
      <w:r>
        <w:rPr>
          <w:b/>
          <w:lang w:val="en-CA"/>
        </w:rPr>
        <w:t>[ARTICLE 10</w:t>
      </w:r>
      <w:r w:rsidRPr="00B83188">
        <w:rPr>
          <w:b/>
          <w:lang w:val="en-CA"/>
        </w:rPr>
        <w:t>]</w:t>
      </w:r>
    </w:p>
    <w:p w:rsidR="00A12A21" w:rsidRPr="00B83188" w:rsidRDefault="00A12A21" w:rsidP="00A12A21">
      <w:pPr>
        <w:jc w:val="center"/>
        <w:rPr>
          <w:b/>
          <w:lang w:val="en-CA"/>
        </w:rPr>
      </w:pPr>
      <w:r w:rsidRPr="00B83188">
        <w:rPr>
          <w:b/>
          <w:lang w:val="en-CA"/>
        </w:rPr>
        <w:t>[[PREVENTION OF THE [ERRONEOUS]</w:t>
      </w:r>
      <w:r w:rsidRPr="00B83188">
        <w:rPr>
          <w:b/>
          <w:vertAlign w:val="superscript"/>
          <w:lang w:val="en-CA"/>
        </w:rPr>
        <w:footnoteReference w:id="7"/>
      </w:r>
      <w:r w:rsidRPr="00B83188">
        <w:rPr>
          <w:b/>
          <w:lang w:val="en-CA"/>
        </w:rPr>
        <w:t xml:space="preserve"> GRANT OF </w:t>
      </w:r>
      <w:r>
        <w:rPr>
          <w:b/>
          <w:lang w:val="en-CA"/>
        </w:rPr>
        <w:t>[IP RIGHTS]</w:t>
      </w:r>
      <w:proofErr w:type="gramStart"/>
      <w:r>
        <w:rPr>
          <w:b/>
          <w:lang w:val="en-CA"/>
        </w:rPr>
        <w:t>/[</w:t>
      </w:r>
      <w:proofErr w:type="gramEnd"/>
      <w:r w:rsidRPr="00B83188">
        <w:rPr>
          <w:b/>
          <w:lang w:val="en-CA"/>
        </w:rPr>
        <w:t>PATENTS</w:t>
      </w:r>
      <w:r>
        <w:rPr>
          <w:b/>
          <w:lang w:val="en-CA"/>
        </w:rPr>
        <w:t>]</w:t>
      </w:r>
      <w:r w:rsidRPr="00B83188">
        <w:rPr>
          <w:b/>
          <w:lang w:val="en-CA"/>
        </w:rPr>
        <w:t xml:space="preserve"> AND VOLUNTARY CODES OF CONDUCT</w:t>
      </w:r>
    </w:p>
    <w:p w:rsidR="00A12A21" w:rsidRPr="00B83188" w:rsidRDefault="00A12A21" w:rsidP="00A12A21">
      <w:pPr>
        <w:rPr>
          <w:i/>
          <w:lang w:val="en-CA"/>
        </w:rPr>
      </w:pPr>
    </w:p>
    <w:p w:rsidR="00A12A21" w:rsidRPr="00B83188" w:rsidRDefault="00A12A21" w:rsidP="00A12A21">
      <w:pPr>
        <w:rPr>
          <w:lang w:val="en-CA"/>
        </w:rPr>
      </w:pPr>
      <w:r>
        <w:rPr>
          <w:lang w:val="en-CA"/>
        </w:rPr>
        <w:t>10</w:t>
      </w:r>
      <w:r w:rsidRPr="00B83188">
        <w:rPr>
          <w:lang w:val="en-CA"/>
        </w:rPr>
        <w:t>.1</w:t>
      </w:r>
      <w:r w:rsidRPr="00B83188">
        <w:rPr>
          <w:i/>
          <w:lang w:val="en-CA"/>
        </w:rPr>
        <w:tab/>
      </w:r>
      <w:r w:rsidRPr="00B83188">
        <w:rPr>
          <w:lang w:val="en-CA"/>
        </w:rPr>
        <w:t>[Member States]</w:t>
      </w:r>
      <w:proofErr w:type="gramStart"/>
      <w:r w:rsidRPr="00B83188">
        <w:rPr>
          <w:lang w:val="en-CA"/>
        </w:rPr>
        <w:t>/[</w:t>
      </w:r>
      <w:proofErr w:type="gramEnd"/>
      <w:r w:rsidRPr="00B83188">
        <w:rPr>
          <w:lang w:val="en-CA"/>
        </w:rPr>
        <w:t xml:space="preserve">Parties] </w:t>
      </w:r>
      <w:r w:rsidRPr="00B83188">
        <w:t>[shall]/[should]</w:t>
      </w:r>
      <w:r w:rsidRPr="00B83188">
        <w:rPr>
          <w:lang w:val="en-CA"/>
        </w:rPr>
        <w:t xml:space="preserve">: </w:t>
      </w:r>
    </w:p>
    <w:p w:rsidR="00A12A21" w:rsidRPr="00B83188" w:rsidRDefault="00A12A21" w:rsidP="00A12A21">
      <w:pPr>
        <w:ind w:left="360"/>
        <w:rPr>
          <w:lang w:val="en-CA"/>
        </w:rPr>
      </w:pPr>
    </w:p>
    <w:p w:rsidR="00A12A21" w:rsidRPr="00B83188" w:rsidRDefault="00A12A21" w:rsidP="00A12A21">
      <w:pPr>
        <w:numPr>
          <w:ilvl w:val="0"/>
          <w:numId w:val="13"/>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A12A21" w:rsidRPr="00B83188" w:rsidRDefault="00A12A21" w:rsidP="00A12A21">
      <w:pPr>
        <w:ind w:left="1701"/>
        <w:rPr>
          <w:lang w:val="en-CA"/>
        </w:rPr>
      </w:pPr>
      <w:r w:rsidRPr="00B83188">
        <w:rPr>
          <w:lang w:val="en-CA"/>
        </w:rPr>
        <w:t>(</w:t>
      </w:r>
      <w:proofErr w:type="spellStart"/>
      <w:r w:rsidRPr="00B83188">
        <w:rPr>
          <w:lang w:val="en-CA"/>
        </w:rPr>
        <w:t>i</w:t>
      </w:r>
      <w:proofErr w:type="spellEnd"/>
      <w:r w:rsidRPr="00B83188">
        <w:rPr>
          <w:lang w:val="en-CA"/>
        </w:rPr>
        <w:t xml:space="preserve">)  </w:t>
      </w:r>
      <w:proofErr w:type="gramStart"/>
      <w:r w:rsidRPr="00B83188">
        <w:rPr>
          <w:lang w:val="en-CA"/>
        </w:rPr>
        <w:t>anticipate</w:t>
      </w:r>
      <w:proofErr w:type="gramEnd"/>
      <w:r w:rsidRPr="00B83188">
        <w:rPr>
          <w:lang w:val="en-CA"/>
        </w:rPr>
        <w:t xml:space="preserve"> a claimed invention (no novelty); or </w:t>
      </w:r>
    </w:p>
    <w:p w:rsidR="00A12A21" w:rsidRPr="00B83188" w:rsidRDefault="00A12A21" w:rsidP="00A12A21">
      <w:pPr>
        <w:ind w:left="1701"/>
        <w:rPr>
          <w:lang w:val="en-CA"/>
        </w:rPr>
      </w:pPr>
      <w:r w:rsidRPr="00B83188">
        <w:rPr>
          <w:lang w:val="en-CA"/>
        </w:rPr>
        <w:t xml:space="preserve">(ii)  </w:t>
      </w:r>
      <w:proofErr w:type="gramStart"/>
      <w:r w:rsidRPr="00B83188">
        <w:rPr>
          <w:lang w:val="en-CA"/>
        </w:rPr>
        <w:t>obviate</w:t>
      </w:r>
      <w:proofErr w:type="gramEnd"/>
      <w:r w:rsidRPr="00B83188">
        <w:rPr>
          <w:lang w:val="en-CA"/>
        </w:rPr>
        <w:t xml:space="preserve"> a claimed invention (obvious or no inventive step). </w:t>
      </w:r>
    </w:p>
    <w:p w:rsidR="00A12A21" w:rsidRPr="00B83188" w:rsidRDefault="00A12A21" w:rsidP="00A12A21">
      <w:pPr>
        <w:ind w:left="360"/>
        <w:rPr>
          <w:lang w:val="en-CA"/>
        </w:rPr>
      </w:pPr>
    </w:p>
    <w:p w:rsidR="00A12A21" w:rsidRPr="00B83188" w:rsidRDefault="00A12A21" w:rsidP="00A12A21">
      <w:pPr>
        <w:numPr>
          <w:ilvl w:val="0"/>
          <w:numId w:val="13"/>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A12A21" w:rsidRPr="00B83188" w:rsidRDefault="00A12A21" w:rsidP="00A12A21">
      <w:pPr>
        <w:ind w:left="900"/>
        <w:rPr>
          <w:lang w:val="sv-SE"/>
        </w:rPr>
      </w:pPr>
    </w:p>
    <w:p w:rsidR="00A12A21" w:rsidRPr="00B83188" w:rsidRDefault="00A12A21" w:rsidP="00A12A21">
      <w:pPr>
        <w:numPr>
          <w:ilvl w:val="0"/>
          <w:numId w:val="13"/>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A12A21" w:rsidRPr="00B83188" w:rsidRDefault="00A12A21" w:rsidP="00A12A21">
      <w:pPr>
        <w:ind w:left="900"/>
        <w:rPr>
          <w:lang w:val="sv-SE"/>
        </w:rPr>
      </w:pPr>
    </w:p>
    <w:p w:rsidR="00A12A21" w:rsidRPr="00B83188" w:rsidRDefault="00A12A21" w:rsidP="00A12A21">
      <w:pPr>
        <w:numPr>
          <w:ilvl w:val="0"/>
          <w:numId w:val="13"/>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A12A21" w:rsidRPr="00B83188" w:rsidRDefault="00A12A21" w:rsidP="00A12A21">
      <w:pPr>
        <w:ind w:left="360"/>
        <w:rPr>
          <w:lang w:val="en-CA"/>
        </w:rPr>
      </w:pPr>
    </w:p>
    <w:p w:rsidR="00A12A21" w:rsidRDefault="00A12A21" w:rsidP="00A12A21">
      <w:r>
        <w:lastRenderedPageBreak/>
        <w:t>[10</w:t>
      </w:r>
      <w:r w:rsidRPr="00B83188">
        <w:t>.2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A12A21" w:rsidRDefault="00A12A21" w:rsidP="00A12A21"/>
    <w:p w:rsidR="00A12A21" w:rsidRDefault="00A12A21" w:rsidP="00A12A21"/>
    <w:p w:rsidR="00A12A21" w:rsidRPr="005114CD" w:rsidRDefault="00A12A21" w:rsidP="00A12A21">
      <w:r w:rsidRPr="005114CD">
        <w:t>ALT</w:t>
      </w:r>
    </w:p>
    <w:p w:rsidR="00A12A21" w:rsidRPr="005114CD" w:rsidRDefault="00A12A21" w:rsidP="00A12A21"/>
    <w:p w:rsidR="00A12A21" w:rsidRPr="005B10E9" w:rsidRDefault="00A12A21" w:rsidP="00A12A21"/>
    <w:p w:rsidR="00A12A21" w:rsidRPr="00AE4555" w:rsidRDefault="00A12A21" w:rsidP="00A12A21">
      <w:pPr>
        <w:rPr>
          <w:iCs/>
        </w:rPr>
      </w:pPr>
      <w:r>
        <w:rPr>
          <w:iCs/>
        </w:rPr>
        <w:t>10</w:t>
      </w:r>
      <w:r w:rsidRPr="00AE4555">
        <w:rPr>
          <w:iCs/>
        </w:rPr>
        <w:t>.1</w:t>
      </w:r>
      <w:r w:rsidRPr="00AE4555">
        <w:rPr>
          <w:iCs/>
        </w:rPr>
        <w:tab/>
        <w:t>Databases on genetic resources may be established in accordance with national law, in consultation with the relevant stakeholders, and with appropriate safeguards, for the purposes of search and examination of [IP]</w:t>
      </w:r>
      <w:proofErr w:type="gramStart"/>
      <w:r w:rsidRPr="00AE4555">
        <w:rPr>
          <w:iCs/>
        </w:rPr>
        <w:t>/[</w:t>
      </w:r>
      <w:proofErr w:type="gramEnd"/>
      <w:r w:rsidRPr="00AE4555">
        <w:rPr>
          <w:iCs/>
        </w:rPr>
        <w:t>patent] applications.</w:t>
      </w:r>
    </w:p>
    <w:p w:rsidR="00A12A21" w:rsidRPr="00AE4555" w:rsidRDefault="00A12A21" w:rsidP="00A12A21">
      <w:pPr>
        <w:rPr>
          <w:iCs/>
        </w:rPr>
      </w:pPr>
    </w:p>
    <w:p w:rsidR="00A12A21" w:rsidRPr="00AE4555" w:rsidRDefault="00A12A21" w:rsidP="00A12A21">
      <w:pPr>
        <w:rPr>
          <w:iCs/>
        </w:rPr>
      </w:pPr>
      <w:r>
        <w:rPr>
          <w:iCs/>
        </w:rPr>
        <w:t>10</w:t>
      </w:r>
      <w:r w:rsidRPr="00AE4555">
        <w:rPr>
          <w:iCs/>
        </w:rPr>
        <w:t>.2</w:t>
      </w:r>
      <w:r w:rsidRPr="00AE4555">
        <w:rPr>
          <w:iCs/>
        </w:rPr>
        <w:tab/>
        <w:t>The databases should be accessible to [IP]</w:t>
      </w:r>
      <w:proofErr w:type="gramStart"/>
      <w:r w:rsidRPr="00AE4555">
        <w:rPr>
          <w:iCs/>
        </w:rPr>
        <w:t>/[</w:t>
      </w:r>
      <w:proofErr w:type="gramEnd"/>
      <w:r w:rsidRPr="00AE4555">
        <w:rPr>
          <w:iCs/>
        </w:rPr>
        <w:t>patent] offices and other approved users to aid in the prevention of the erroneous grant of [IP]/[patents].</w:t>
      </w:r>
    </w:p>
    <w:p w:rsidR="00A12A21" w:rsidRDefault="00A12A21" w:rsidP="00A12A21">
      <w:pPr>
        <w:rPr>
          <w:lang w:val="en-CA"/>
        </w:rPr>
      </w:pPr>
    </w:p>
    <w:p w:rsidR="00A12A21" w:rsidRDefault="00A12A21" w:rsidP="00A12A21">
      <w:pPr>
        <w:rPr>
          <w:lang w:val="en-CA"/>
        </w:rPr>
      </w:pPr>
    </w:p>
    <w:p w:rsidR="00A12A21" w:rsidRPr="00B83188" w:rsidRDefault="00A12A21" w:rsidP="00A12A21">
      <w:pPr>
        <w:rPr>
          <w:lang w:val="en-CA"/>
        </w:rPr>
      </w:pPr>
      <w:r w:rsidRPr="00B83188">
        <w:rPr>
          <w:lang w:val="en-CA"/>
        </w:rPr>
        <w:t>Database Search Systems</w:t>
      </w:r>
    </w:p>
    <w:p w:rsidR="00A12A21" w:rsidRPr="00B83188" w:rsidRDefault="00A12A21" w:rsidP="00A12A21">
      <w:pPr>
        <w:rPr>
          <w:lang w:val="en-CA"/>
        </w:rPr>
      </w:pPr>
    </w:p>
    <w:p w:rsidR="00A12A21" w:rsidRPr="00B83188" w:rsidRDefault="00A12A21" w:rsidP="00A12A21">
      <w:r>
        <w:rPr>
          <w:lang w:val="en-CA"/>
        </w:rPr>
        <w:t>10</w:t>
      </w:r>
      <w:r w:rsidRPr="00B83188">
        <w:rPr>
          <w:lang w:val="en-CA"/>
        </w:rPr>
        <w:t>.3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A12A21" w:rsidRPr="00B83188" w:rsidRDefault="00A12A21" w:rsidP="00A12A21"/>
    <w:p w:rsidR="00A12A21" w:rsidRPr="00B83188" w:rsidRDefault="00A12A21" w:rsidP="00A12A21">
      <w:pPr>
        <w:ind w:left="567"/>
      </w:pPr>
      <w:r w:rsidRPr="00B83188">
        <w:t>(a) With a view towards interoperability, databases [shall]</w:t>
      </w:r>
      <w:proofErr w:type="gramStart"/>
      <w:r w:rsidRPr="00B83188">
        <w:t>/[</w:t>
      </w:r>
      <w:proofErr w:type="gramEnd"/>
      <w:r w:rsidRPr="00B83188">
        <w:t xml:space="preserve">should] comply with minimum standards and structure of content. </w:t>
      </w:r>
    </w:p>
    <w:p w:rsidR="00A12A21" w:rsidRPr="00B83188" w:rsidRDefault="00A12A21" w:rsidP="00A12A21">
      <w:pPr>
        <w:ind w:left="567"/>
      </w:pPr>
    </w:p>
    <w:p w:rsidR="00A12A21" w:rsidRPr="00B83188" w:rsidRDefault="00A12A21" w:rsidP="00A12A21">
      <w:pPr>
        <w:ind w:left="567"/>
      </w:pPr>
      <w:r w:rsidRPr="00B83188">
        <w:t>(b) Appropriate safeguards [such as filters] [shall]</w:t>
      </w:r>
      <w:proofErr w:type="gramStart"/>
      <w:r w:rsidRPr="00B83188">
        <w:t>/[</w:t>
      </w:r>
      <w:proofErr w:type="gramEnd"/>
      <w:r w:rsidRPr="00B83188">
        <w:t>should] be developed in accordance with national law.</w:t>
      </w:r>
    </w:p>
    <w:p w:rsidR="00A12A21" w:rsidRPr="00B83188" w:rsidRDefault="00A12A21" w:rsidP="00A12A21"/>
    <w:p w:rsidR="00A12A21" w:rsidRPr="00B83188" w:rsidRDefault="00A12A21" w:rsidP="00A12A21">
      <w:pPr>
        <w:ind w:left="567"/>
      </w:pPr>
      <w:r>
        <w:t xml:space="preserve">(c) </w:t>
      </w:r>
      <w:r w:rsidRPr="00B83188">
        <w:t xml:space="preserve">These databases will be accessible to patent </w:t>
      </w:r>
      <w:proofErr w:type="spellStart"/>
      <w:r w:rsidRPr="00B83188">
        <w:t>offices</w:t>
      </w:r>
      <w:proofErr w:type="spellEnd"/>
      <w:r w:rsidRPr="00B83188">
        <w:t xml:space="preserve"> [and other approved users].</w:t>
      </w:r>
    </w:p>
    <w:p w:rsidR="00A12A21" w:rsidRPr="00B83188" w:rsidRDefault="00A12A21" w:rsidP="00A12A21"/>
    <w:p w:rsidR="00A12A21" w:rsidRPr="00B83188" w:rsidRDefault="00A12A21" w:rsidP="00A12A21">
      <w:pPr>
        <w:rPr>
          <w:lang w:val="en-CA"/>
        </w:rPr>
      </w:pPr>
      <w:r w:rsidRPr="00B83188">
        <w:rPr>
          <w:lang w:val="en-CA"/>
        </w:rPr>
        <w:t>WIPO Portal Site</w:t>
      </w:r>
    </w:p>
    <w:p w:rsidR="00A12A21" w:rsidRPr="00B83188" w:rsidRDefault="00A12A21" w:rsidP="00A12A21">
      <w:pPr>
        <w:rPr>
          <w:lang w:val="en-CA"/>
        </w:rPr>
      </w:pPr>
    </w:p>
    <w:p w:rsidR="00A12A21" w:rsidRPr="00B83188" w:rsidRDefault="00A12A21" w:rsidP="00A12A21">
      <w:r>
        <w:rPr>
          <w:lang w:val="en-CA"/>
        </w:rPr>
        <w:t>10</w:t>
      </w:r>
      <w:r w:rsidRPr="00B83188">
        <w:t>.4</w:t>
      </w:r>
      <w:r w:rsidRPr="00B83188">
        <w:tab/>
        <w:t>[Member States]</w:t>
      </w:r>
      <w:proofErr w:type="gramStart"/>
      <w:r w:rsidRPr="00B83188">
        <w:t>/[</w:t>
      </w:r>
      <w:proofErr w:type="gramEnd"/>
      <w:r w:rsidRPr="00B83188">
        <w:t xml:space="preserve">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A12A21" w:rsidRPr="00B83188" w:rsidRDefault="00A12A21" w:rsidP="00A12A21"/>
    <w:p w:rsidR="00A12A21" w:rsidRDefault="00A12A21" w:rsidP="00A12A21">
      <w:r>
        <w:t>10.5</w:t>
      </w:r>
      <w:r w:rsidRPr="00B83188">
        <w:tab/>
        <w:t>[Member States]</w:t>
      </w:r>
      <w:proofErr w:type="gramStart"/>
      <w:r w:rsidRPr="00B83188">
        <w:t>/[</w:t>
      </w:r>
      <w:proofErr w:type="gramEnd"/>
      <w:r w:rsidRPr="00B83188">
        <w:t>Parties] should provide effective, legal, policy or administrative measures, as appropriate and in accordance with national law, to implement and administer the WIPO portal.]</w:t>
      </w:r>
    </w:p>
    <w:p w:rsidR="00A12A21" w:rsidRDefault="00A12A21" w:rsidP="00A12A21"/>
    <w:p w:rsidR="00A12A21" w:rsidRDefault="00A12A21" w:rsidP="00A12A21">
      <w:r>
        <w:br w:type="page"/>
      </w:r>
    </w:p>
    <w:p w:rsidR="00A12A21" w:rsidRPr="00B83188" w:rsidRDefault="00A12A21" w:rsidP="00A12A21">
      <w:pPr>
        <w:jc w:val="center"/>
        <w:rPr>
          <w:b/>
        </w:rPr>
      </w:pPr>
      <w:r w:rsidRPr="00B83188">
        <w:rPr>
          <w:b/>
        </w:rPr>
        <w:lastRenderedPageBreak/>
        <w:t>[IV. FINAL PROVISIONS]</w:t>
      </w:r>
    </w:p>
    <w:p w:rsidR="00A12A21" w:rsidRPr="00B83188" w:rsidRDefault="00A12A21" w:rsidP="00A12A21">
      <w:pPr>
        <w:jc w:val="center"/>
      </w:pPr>
    </w:p>
    <w:p w:rsidR="00A12A21" w:rsidRPr="00B83188" w:rsidRDefault="00A12A21" w:rsidP="00A12A21">
      <w:pPr>
        <w:jc w:val="center"/>
        <w:rPr>
          <w:b/>
        </w:rPr>
      </w:pPr>
      <w:r>
        <w:rPr>
          <w:b/>
        </w:rPr>
        <w:t>[ARTICLE 11</w:t>
      </w:r>
      <w:r w:rsidRPr="00B83188">
        <w:rPr>
          <w:b/>
        </w:rPr>
        <w:t>]</w:t>
      </w:r>
    </w:p>
    <w:p w:rsidR="00A12A21" w:rsidRPr="00B83188" w:rsidRDefault="00A12A21" w:rsidP="00A12A21">
      <w:pPr>
        <w:jc w:val="center"/>
        <w:rPr>
          <w:b/>
        </w:rPr>
      </w:pPr>
      <w:r w:rsidRPr="00B83188">
        <w:rPr>
          <w:b/>
        </w:rPr>
        <w:t>[PREVENTIVE MEASURES FOR PROTECTION</w:t>
      </w:r>
    </w:p>
    <w:p w:rsidR="00A12A21" w:rsidRPr="00B83188" w:rsidRDefault="00A12A21" w:rsidP="00A12A21"/>
    <w:p w:rsidR="00A12A21" w:rsidRPr="00B83188" w:rsidRDefault="00A12A21" w:rsidP="00A12A21">
      <w:pPr>
        <w:rPr>
          <w:b/>
        </w:rPr>
      </w:pPr>
      <w:r w:rsidRPr="00B83188">
        <w:t>[Genetic resources as found in nature or isolated therefrom [shall]</w:t>
      </w:r>
      <w:proofErr w:type="gramStart"/>
      <w:r w:rsidRPr="00B83188">
        <w:t>/[</w:t>
      </w:r>
      <w:proofErr w:type="gramEnd"/>
      <w:r w:rsidRPr="00B83188">
        <w:t>should] not be considered as [inventions] [IP] and therefore no [IP] [patent] rights [shall]/[should] be granted.]]</w:t>
      </w:r>
    </w:p>
    <w:p w:rsidR="00A12A21" w:rsidRPr="00B83188" w:rsidRDefault="00A12A21" w:rsidP="00A12A21">
      <w:pPr>
        <w:rPr>
          <w:b/>
        </w:rPr>
      </w:pPr>
    </w:p>
    <w:p w:rsidR="00A12A21" w:rsidRPr="00B83188" w:rsidRDefault="00A12A21" w:rsidP="00A12A21">
      <w:pPr>
        <w:rPr>
          <w:b/>
        </w:rPr>
      </w:pPr>
    </w:p>
    <w:p w:rsidR="00A12A21" w:rsidRPr="00B83188" w:rsidRDefault="00A12A21" w:rsidP="00A12A21">
      <w:pPr>
        <w:jc w:val="center"/>
        <w:rPr>
          <w:b/>
        </w:rPr>
      </w:pPr>
      <w:r>
        <w:rPr>
          <w:b/>
        </w:rPr>
        <w:t>[ARTICLE 12</w:t>
      </w:r>
      <w:r w:rsidRPr="00B83188">
        <w:rPr>
          <w:b/>
        </w:rPr>
        <w:t>]</w:t>
      </w:r>
    </w:p>
    <w:p w:rsidR="00A12A21" w:rsidRPr="00B83188" w:rsidRDefault="00A12A21" w:rsidP="00A12A21">
      <w:pPr>
        <w:jc w:val="center"/>
        <w:rPr>
          <w:b/>
        </w:rPr>
      </w:pPr>
      <w:r w:rsidRPr="00B83188">
        <w:rPr>
          <w:b/>
        </w:rPr>
        <w:t>RELATIONSHIP WITH INTERNATIONAL AGREEMENTS</w:t>
      </w:r>
    </w:p>
    <w:p w:rsidR="00A12A21" w:rsidRPr="00B83188" w:rsidRDefault="00A12A21" w:rsidP="00A12A21">
      <w:pPr>
        <w:rPr>
          <w:b/>
        </w:rPr>
      </w:pPr>
    </w:p>
    <w:p w:rsidR="00A12A21" w:rsidRPr="00B83188" w:rsidRDefault="00A12A21" w:rsidP="00A12A21">
      <w:r>
        <w:t>12</w:t>
      </w:r>
      <w:r w:rsidRPr="00B83188">
        <w:t>.1</w:t>
      </w:r>
      <w:r w:rsidRPr="00B83188">
        <w:tab/>
        <w:t>This instrument [shall]</w:t>
      </w:r>
      <w:proofErr w:type="gramStart"/>
      <w:r w:rsidRPr="00B83188">
        <w:t>/[</w:t>
      </w:r>
      <w:proofErr w:type="gramEnd"/>
      <w:r w:rsidRPr="00B83188">
        <w:t xml:space="preserve">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A12A21" w:rsidRPr="00B83188" w:rsidRDefault="00A12A21" w:rsidP="00A12A21"/>
    <w:p w:rsidR="00A12A21" w:rsidRPr="00B83188" w:rsidRDefault="00A12A21" w:rsidP="00A12A21">
      <w:r w:rsidRPr="00B83188">
        <w:t>ALT</w:t>
      </w:r>
    </w:p>
    <w:p w:rsidR="00A12A21" w:rsidRPr="00B83188" w:rsidRDefault="00A12A21" w:rsidP="00A12A21"/>
    <w:p w:rsidR="00A12A21" w:rsidRPr="00B83188" w:rsidRDefault="00A12A21" w:rsidP="00A12A21">
      <w:r>
        <w:t>12</w:t>
      </w:r>
      <w:r w:rsidRPr="00B83188">
        <w:t>.1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A12A21" w:rsidRPr="00B83188" w:rsidRDefault="00A12A21" w:rsidP="00A12A21"/>
    <w:p w:rsidR="00A12A21" w:rsidRPr="00B83188" w:rsidRDefault="00A12A21" w:rsidP="00A12A21">
      <w:r>
        <w:t>12</w:t>
      </w:r>
      <w:r w:rsidRPr="00B83188">
        <w:t>.2</w:t>
      </w:r>
      <w:r w:rsidRPr="00B83188">
        <w:tab/>
        <w:t>[This instrument [shall]</w:t>
      </w:r>
      <w:proofErr w:type="gramStart"/>
      <w:r w:rsidRPr="00B83188">
        <w:t>/[</w:t>
      </w:r>
      <w:proofErr w:type="gramEnd"/>
      <w:r w:rsidRPr="00B83188">
        <w:t>should] complement and is not intended to modify other agreements on related subject matter, and [shall]/[should] support in particular, [the Universal Declaration on Human Rights, and] Article 31 of the UN Declaration on the Rights of Indigenous Peoples.]</w:t>
      </w:r>
    </w:p>
    <w:p w:rsidR="00A12A21" w:rsidRPr="00B83188" w:rsidRDefault="00A12A21" w:rsidP="00A12A21"/>
    <w:p w:rsidR="00A12A21" w:rsidRPr="00B83188" w:rsidRDefault="00A12A21" w:rsidP="00A12A21">
      <w:r>
        <w:t>12</w:t>
      </w:r>
      <w:r w:rsidRPr="00B83188">
        <w:t>.3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A12A21" w:rsidRPr="00B83188" w:rsidRDefault="00A12A21" w:rsidP="00A12A21"/>
    <w:p w:rsidR="00A12A21" w:rsidRPr="00B83188" w:rsidRDefault="00A12A21" w:rsidP="00A12A21">
      <w:r>
        <w:t>[12</w:t>
      </w:r>
      <w:r w:rsidRPr="00B83188">
        <w:t>.4</w:t>
      </w:r>
      <w:r w:rsidRPr="00B83188">
        <w:tab/>
        <w:t>The [PCT] and [PLT] [shall]</w:t>
      </w:r>
      <w:proofErr w:type="gramStart"/>
      <w:r w:rsidRPr="00B83188">
        <w:t>/[</w:t>
      </w:r>
      <w:proofErr w:type="gramEnd"/>
      <w:r w:rsidRPr="00B83188">
        <w:t>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A12A21" w:rsidRPr="00B83188" w:rsidRDefault="00A12A21" w:rsidP="00A12A21"/>
    <w:p w:rsidR="00A12A21" w:rsidRDefault="00A12A21" w:rsidP="00A12A21"/>
    <w:p w:rsidR="00A12A21" w:rsidRPr="00B83188" w:rsidRDefault="00A12A21" w:rsidP="00A12A21">
      <w:pPr>
        <w:jc w:val="center"/>
        <w:rPr>
          <w:b/>
        </w:rPr>
      </w:pPr>
      <w:r>
        <w:rPr>
          <w:b/>
        </w:rPr>
        <w:t>[ARTICLE 13</w:t>
      </w:r>
      <w:r w:rsidRPr="00B83188">
        <w:rPr>
          <w:b/>
        </w:rPr>
        <w:t>]</w:t>
      </w:r>
    </w:p>
    <w:p w:rsidR="00A12A21" w:rsidRPr="00B83188" w:rsidRDefault="00A12A21" w:rsidP="00A12A21">
      <w:pPr>
        <w:jc w:val="center"/>
        <w:rPr>
          <w:b/>
        </w:rPr>
      </w:pPr>
      <w:r w:rsidRPr="00B83188">
        <w:rPr>
          <w:b/>
        </w:rPr>
        <w:t>INTERNATIONAL COOPERATION</w:t>
      </w:r>
    </w:p>
    <w:p w:rsidR="00A12A21" w:rsidRPr="00B83188" w:rsidRDefault="00A12A21" w:rsidP="00A12A21"/>
    <w:p w:rsidR="00A12A21" w:rsidRDefault="00A12A21" w:rsidP="00A12A21">
      <w:r w:rsidRPr="00B83188">
        <w:t>[[Relevant WIPO bodies [shall]</w:t>
      </w:r>
      <w:proofErr w:type="gramStart"/>
      <w:r w:rsidRPr="00B83188">
        <w:t>/[</w:t>
      </w:r>
      <w:proofErr w:type="gramEnd"/>
      <w:r w:rsidRPr="00B83188">
        <w:t>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w:t>
      </w:r>
      <w:r>
        <w:t xml:space="preserve"> the Patent Cooperation Treaty]. </w:t>
      </w:r>
      <w:r>
        <w:br w:type="page"/>
      </w:r>
    </w:p>
    <w:p w:rsidR="00A12A21" w:rsidRPr="00B83188" w:rsidRDefault="00A12A21" w:rsidP="00A12A21">
      <w:r w:rsidRPr="00B83188">
        <w:lastRenderedPageBreak/>
        <w:t>ALT</w:t>
      </w:r>
    </w:p>
    <w:p w:rsidR="00A12A21" w:rsidRPr="00B83188" w:rsidRDefault="00A12A21" w:rsidP="00A12A21"/>
    <w:p w:rsidR="00A12A21" w:rsidRPr="00B83188" w:rsidRDefault="00A12A21" w:rsidP="00A12A21">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A12A21" w:rsidRPr="00B83188" w:rsidRDefault="00A12A21" w:rsidP="00A12A21"/>
    <w:p w:rsidR="00A12A21" w:rsidRPr="00B83188" w:rsidRDefault="00A12A21" w:rsidP="00A12A21"/>
    <w:p w:rsidR="00A12A21" w:rsidRPr="00B83188" w:rsidRDefault="00A12A21" w:rsidP="00A12A21">
      <w:pPr>
        <w:jc w:val="center"/>
        <w:rPr>
          <w:b/>
        </w:rPr>
      </w:pPr>
      <w:r w:rsidRPr="00B83188">
        <w:rPr>
          <w:b/>
        </w:rPr>
        <w:t>[ARTICLE 1</w:t>
      </w:r>
      <w:r>
        <w:rPr>
          <w:b/>
        </w:rPr>
        <w:t>4</w:t>
      </w:r>
      <w:r w:rsidRPr="00B83188">
        <w:rPr>
          <w:b/>
        </w:rPr>
        <w:t>]</w:t>
      </w:r>
    </w:p>
    <w:p w:rsidR="00A12A21" w:rsidRPr="00B83188" w:rsidRDefault="00A12A21" w:rsidP="00A12A21">
      <w:pPr>
        <w:jc w:val="center"/>
        <w:rPr>
          <w:b/>
        </w:rPr>
      </w:pPr>
      <w:r w:rsidRPr="00B83188">
        <w:rPr>
          <w:b/>
        </w:rPr>
        <w:t>TRANSBOUNDARY COOPERATION</w:t>
      </w:r>
    </w:p>
    <w:p w:rsidR="00A12A21" w:rsidRPr="00B83188" w:rsidRDefault="00A12A21" w:rsidP="00A12A21"/>
    <w:p w:rsidR="00A12A21" w:rsidRPr="00B83188" w:rsidRDefault="00A12A21" w:rsidP="00A12A21">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A12A21" w:rsidRPr="00B83188" w:rsidRDefault="00A12A21" w:rsidP="00A12A21"/>
    <w:p w:rsidR="00A12A21" w:rsidRPr="00B83188" w:rsidRDefault="00A12A21" w:rsidP="00A12A21"/>
    <w:p w:rsidR="00A12A21" w:rsidRPr="00B83188" w:rsidRDefault="00A12A21" w:rsidP="00A12A21">
      <w:pPr>
        <w:jc w:val="center"/>
        <w:rPr>
          <w:b/>
        </w:rPr>
      </w:pPr>
      <w:r w:rsidRPr="00B83188">
        <w:rPr>
          <w:b/>
        </w:rPr>
        <w:t>[ARTICLE 1</w:t>
      </w:r>
      <w:r>
        <w:rPr>
          <w:b/>
        </w:rPr>
        <w:t>5</w:t>
      </w:r>
      <w:r w:rsidRPr="00B83188">
        <w:rPr>
          <w:b/>
        </w:rPr>
        <w:t>]</w:t>
      </w:r>
    </w:p>
    <w:p w:rsidR="00A12A21" w:rsidRPr="00B83188" w:rsidRDefault="00A12A21" w:rsidP="00A12A21">
      <w:pPr>
        <w:jc w:val="center"/>
        <w:rPr>
          <w:b/>
        </w:rPr>
      </w:pPr>
      <w:r w:rsidRPr="00B83188">
        <w:rPr>
          <w:b/>
        </w:rPr>
        <w:t>TECHNICAL ASSISTANCE, COOPERATION AND CAPACITY BUILDING</w:t>
      </w:r>
    </w:p>
    <w:p w:rsidR="00A12A21" w:rsidRPr="00B83188" w:rsidRDefault="00A12A21" w:rsidP="00A12A21"/>
    <w:p w:rsidR="00A12A21" w:rsidRPr="00B83188" w:rsidRDefault="00A12A21" w:rsidP="00A12A21">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A12A21" w:rsidRDefault="00A12A21" w:rsidP="00A12A21"/>
    <w:p w:rsidR="00A12A21" w:rsidRPr="0068074D" w:rsidRDefault="00A12A21" w:rsidP="00A12A21"/>
    <w:p w:rsidR="00A12A21" w:rsidRDefault="00A12A21" w:rsidP="00A12A21">
      <w:pPr>
        <w:ind w:left="5670"/>
        <w:rPr>
          <w:szCs w:val="22"/>
        </w:rPr>
      </w:pPr>
      <w:r>
        <w:rPr>
          <w:szCs w:val="22"/>
        </w:rPr>
        <w:t>[End of Annex and of Document]</w:t>
      </w:r>
    </w:p>
    <w:p w:rsidR="00A12A21" w:rsidRDefault="00A12A21" w:rsidP="00A12A21">
      <w:pPr>
        <w:ind w:left="5670"/>
        <w:rPr>
          <w:caps/>
          <w:sz w:val="24"/>
        </w:rPr>
      </w:pPr>
    </w:p>
    <w:p w:rsidR="00A12A21" w:rsidRDefault="00A12A21" w:rsidP="00A12A21">
      <w:pPr>
        <w:ind w:left="5670"/>
        <w:sectPr w:rsidR="00A12A21" w:rsidSect="006130B7">
          <w:headerReference w:type="even" r:id="rId25"/>
          <w:headerReference w:type="default" r:id="rId26"/>
          <w:headerReference w:type="first" r:id="rId27"/>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12A21" w:rsidRPr="008B2CC1" w:rsidTr="006C431F">
        <w:tc>
          <w:tcPr>
            <w:tcW w:w="4513" w:type="dxa"/>
            <w:tcBorders>
              <w:bottom w:val="single" w:sz="4" w:space="0" w:color="auto"/>
            </w:tcBorders>
            <w:tcMar>
              <w:bottom w:w="170" w:type="dxa"/>
            </w:tcMar>
          </w:tcPr>
          <w:p w:rsidR="00A12A21" w:rsidRPr="008B2CC1" w:rsidRDefault="00A12A21" w:rsidP="006C431F"/>
        </w:tc>
        <w:tc>
          <w:tcPr>
            <w:tcW w:w="4337" w:type="dxa"/>
            <w:tcBorders>
              <w:bottom w:val="single" w:sz="4" w:space="0" w:color="auto"/>
            </w:tcBorders>
            <w:tcMar>
              <w:left w:w="0" w:type="dxa"/>
              <w:right w:w="0" w:type="dxa"/>
            </w:tcMar>
          </w:tcPr>
          <w:p w:rsidR="00A12A21" w:rsidRPr="008B2CC1" w:rsidRDefault="00A12A21" w:rsidP="006C431F">
            <w:r>
              <w:rPr>
                <w:noProof/>
                <w:lang w:val="fr-CH" w:eastAsia="fr-CH"/>
              </w:rPr>
              <w:drawing>
                <wp:inline distT="0" distB="0" distL="0" distR="0" wp14:anchorId="59AFE809" wp14:editId="4C659196">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12A21" w:rsidRPr="008B2CC1" w:rsidRDefault="00A12A21" w:rsidP="006C431F">
            <w:pPr>
              <w:jc w:val="right"/>
            </w:pPr>
            <w:r w:rsidRPr="00605827">
              <w:rPr>
                <w:b/>
                <w:sz w:val="40"/>
                <w:szCs w:val="40"/>
              </w:rPr>
              <w:t>E</w:t>
            </w:r>
          </w:p>
        </w:tc>
      </w:tr>
      <w:tr w:rsidR="00A12A21" w:rsidRPr="001832A6" w:rsidTr="006C431F">
        <w:trPr>
          <w:trHeight w:hRule="exact" w:val="357"/>
        </w:trPr>
        <w:tc>
          <w:tcPr>
            <w:tcW w:w="9356" w:type="dxa"/>
            <w:gridSpan w:val="3"/>
            <w:tcBorders>
              <w:top w:val="single" w:sz="4" w:space="0" w:color="auto"/>
            </w:tcBorders>
            <w:tcMar>
              <w:top w:w="170" w:type="dxa"/>
              <w:left w:w="0" w:type="dxa"/>
              <w:right w:w="0" w:type="dxa"/>
            </w:tcMar>
            <w:vAlign w:val="bottom"/>
          </w:tcPr>
          <w:p w:rsidR="00A12A21" w:rsidRPr="0090731E" w:rsidRDefault="00A12A21" w:rsidP="006C431F">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 xml:space="preserve">3/5 </w:t>
            </w:r>
            <w:r w:rsidRPr="0090731E">
              <w:rPr>
                <w:rFonts w:ascii="Arial Black" w:hAnsi="Arial Black"/>
                <w:caps/>
                <w:sz w:val="15"/>
              </w:rPr>
              <w:t xml:space="preserve">   </w:t>
            </w:r>
          </w:p>
        </w:tc>
      </w:tr>
      <w:tr w:rsidR="00A12A21" w:rsidRPr="001832A6" w:rsidTr="006C431F">
        <w:trPr>
          <w:trHeight w:hRule="exact" w:val="170"/>
        </w:trPr>
        <w:tc>
          <w:tcPr>
            <w:tcW w:w="9356" w:type="dxa"/>
            <w:gridSpan w:val="3"/>
            <w:noWrap/>
            <w:tcMar>
              <w:left w:w="0" w:type="dxa"/>
              <w:right w:w="0" w:type="dxa"/>
            </w:tcMar>
            <w:vAlign w:val="bottom"/>
          </w:tcPr>
          <w:p w:rsidR="00A12A21" w:rsidRPr="0090731E" w:rsidRDefault="00A12A21" w:rsidP="006C431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A12A21" w:rsidRPr="001832A6" w:rsidTr="006C431F">
        <w:trPr>
          <w:trHeight w:hRule="exact" w:val="198"/>
        </w:trPr>
        <w:tc>
          <w:tcPr>
            <w:tcW w:w="9356" w:type="dxa"/>
            <w:gridSpan w:val="3"/>
            <w:tcMar>
              <w:left w:w="0" w:type="dxa"/>
              <w:right w:w="0" w:type="dxa"/>
            </w:tcMar>
            <w:vAlign w:val="bottom"/>
          </w:tcPr>
          <w:p w:rsidR="00A12A21" w:rsidRPr="0090731E" w:rsidRDefault="00A12A21" w:rsidP="006C431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May 3, 2022      </w:t>
            </w:r>
            <w:r w:rsidRPr="0090731E">
              <w:rPr>
                <w:rFonts w:ascii="Arial Black" w:hAnsi="Arial Black"/>
                <w:caps/>
                <w:sz w:val="15"/>
              </w:rPr>
              <w:t xml:space="preserve"> </w:t>
            </w:r>
          </w:p>
        </w:tc>
      </w:tr>
    </w:tbl>
    <w:p w:rsidR="00A12A21" w:rsidRPr="008B2CC1" w:rsidRDefault="00A12A21" w:rsidP="00A12A21"/>
    <w:p w:rsidR="00A12A21" w:rsidRPr="008B2CC1" w:rsidRDefault="00A12A21" w:rsidP="00A12A21"/>
    <w:p w:rsidR="00A12A21" w:rsidRPr="008B2CC1" w:rsidRDefault="00A12A21" w:rsidP="00A12A21"/>
    <w:p w:rsidR="00A12A21" w:rsidRPr="008B2CC1" w:rsidRDefault="00A12A21" w:rsidP="00A12A21"/>
    <w:p w:rsidR="00A12A21" w:rsidRPr="008B2CC1" w:rsidRDefault="00A12A21" w:rsidP="00A12A21"/>
    <w:p w:rsidR="00A12A21" w:rsidRPr="003845C1" w:rsidRDefault="00A12A21" w:rsidP="00A12A21">
      <w:pPr>
        <w:rPr>
          <w:b/>
          <w:sz w:val="28"/>
          <w:szCs w:val="28"/>
        </w:rPr>
      </w:pPr>
      <w:r w:rsidRPr="00EA5FE9">
        <w:rPr>
          <w:b/>
          <w:sz w:val="28"/>
          <w:szCs w:val="28"/>
        </w:rPr>
        <w:t>Intergovernmental Committee on Intellectual Property and Genetic Resources, Traditional Knowledge and Folklore</w:t>
      </w:r>
    </w:p>
    <w:p w:rsidR="00A12A21" w:rsidRDefault="00A12A21" w:rsidP="00A12A21"/>
    <w:p w:rsidR="00A12A21" w:rsidRDefault="00A12A21" w:rsidP="00A12A21"/>
    <w:p w:rsidR="00A12A21" w:rsidRPr="003845C1" w:rsidRDefault="00A12A21" w:rsidP="00A12A21">
      <w:pPr>
        <w:rPr>
          <w:b/>
          <w:sz w:val="24"/>
          <w:szCs w:val="24"/>
        </w:rPr>
      </w:pPr>
      <w:r>
        <w:rPr>
          <w:b/>
          <w:sz w:val="24"/>
          <w:szCs w:val="24"/>
        </w:rPr>
        <w:t xml:space="preserve">Forty-Third </w:t>
      </w:r>
      <w:r w:rsidRPr="003845C1">
        <w:rPr>
          <w:b/>
          <w:sz w:val="24"/>
          <w:szCs w:val="24"/>
        </w:rPr>
        <w:t>Session</w:t>
      </w:r>
    </w:p>
    <w:p w:rsidR="00A12A21" w:rsidRPr="003845C1" w:rsidRDefault="00A12A21" w:rsidP="00A12A21">
      <w:pPr>
        <w:rPr>
          <w:b/>
          <w:sz w:val="24"/>
          <w:szCs w:val="24"/>
        </w:rPr>
      </w:pPr>
      <w:r>
        <w:rPr>
          <w:b/>
          <w:sz w:val="24"/>
          <w:szCs w:val="24"/>
        </w:rPr>
        <w:t>Geneva, May 30 to June 3, 2022</w:t>
      </w:r>
    </w:p>
    <w:p w:rsidR="00A12A21" w:rsidRPr="008B2CC1" w:rsidRDefault="00A12A21" w:rsidP="00A12A21"/>
    <w:p w:rsidR="00A12A21" w:rsidRPr="008B2CC1" w:rsidRDefault="00A12A21" w:rsidP="00A12A21"/>
    <w:p w:rsidR="00A12A21" w:rsidRPr="008B2CC1" w:rsidRDefault="00A12A21" w:rsidP="00A12A21"/>
    <w:p w:rsidR="00A12A21" w:rsidRPr="003845C1" w:rsidRDefault="00A12A21" w:rsidP="00A12A21">
      <w:pPr>
        <w:outlineLvl w:val="0"/>
        <w:rPr>
          <w:caps/>
          <w:sz w:val="24"/>
        </w:rPr>
      </w:pPr>
      <w:r w:rsidRPr="0039305F">
        <w:rPr>
          <w:caps/>
          <w:sz w:val="24"/>
        </w:rPr>
        <w:t>CHAIR’S TEXT OF A DRAFT INTERNATIONAL LEGAL INSTRUMENT RELATING TO INTELLECTUAL PROPERTY, GENETIC RESOURCES AND TRADITIONAL KNOWLEDGE ASSOCIATED WITH GENETIC RESOURCES</w:t>
      </w:r>
    </w:p>
    <w:p w:rsidR="00A12A21" w:rsidRPr="008B2CC1" w:rsidRDefault="00A12A21" w:rsidP="00A12A21"/>
    <w:p w:rsidR="00A12A21" w:rsidRPr="008B2CC1" w:rsidRDefault="00A12A21" w:rsidP="00A12A21">
      <w:pPr>
        <w:outlineLvl w:val="0"/>
        <w:rPr>
          <w:i/>
        </w:rPr>
      </w:pPr>
      <w:r>
        <w:rPr>
          <w:i/>
        </w:rPr>
        <w:t xml:space="preserve">Tabled by </w:t>
      </w:r>
      <w:r w:rsidRPr="00DF0770">
        <w:rPr>
          <w:i/>
        </w:rPr>
        <w:t>the Chair of the IGC</w:t>
      </w:r>
    </w:p>
    <w:p w:rsidR="00A12A21" w:rsidRDefault="00A12A21" w:rsidP="00A12A21"/>
    <w:p w:rsidR="00A12A21" w:rsidRDefault="00A12A21" w:rsidP="00A12A21"/>
    <w:p w:rsidR="00A12A21" w:rsidRDefault="00A12A21" w:rsidP="00A12A21"/>
    <w:p w:rsidR="00A12A21" w:rsidRDefault="00A12A21" w:rsidP="00A12A21"/>
    <w:p w:rsidR="00A12A21" w:rsidRPr="00DF0770" w:rsidRDefault="00A12A21" w:rsidP="00A12A21">
      <w:pPr>
        <w:pStyle w:val="ListParagraph"/>
        <w:numPr>
          <w:ilvl w:val="0"/>
          <w:numId w:val="24"/>
        </w:numPr>
        <w:ind w:left="0" w:firstLine="0"/>
        <w:rPr>
          <w:rFonts w:ascii="Arial" w:hAnsi="Arial" w:cs="Arial"/>
        </w:rPr>
      </w:pPr>
      <w:r w:rsidRPr="00DF0770">
        <w:rPr>
          <w:rFonts w:ascii="Arial" w:hAnsi="Arial" w:cs="Arial"/>
        </w:rPr>
        <w:t xml:space="preserve">The enclosed document is the document as referred to in the mandate </w:t>
      </w:r>
      <w:r>
        <w:rPr>
          <w:rFonts w:ascii="Arial" w:hAnsi="Arial" w:cs="Arial"/>
        </w:rPr>
        <w:t xml:space="preserve">of </w:t>
      </w:r>
      <w:r w:rsidRPr="00DF0770">
        <w:rPr>
          <w:rFonts w:ascii="Arial" w:hAnsi="Arial" w:cs="Arial"/>
          <w:lang w:val="en-US"/>
        </w:rPr>
        <w:t>the WIPO Intergovernmental Committee on Intellectual Property and Genetic Resources, Traditional Knowledge and Folklore</w:t>
      </w:r>
      <w:r>
        <w:rPr>
          <w:rFonts w:ascii="Arial" w:hAnsi="Arial" w:cs="Arial"/>
          <w:lang w:val="en-US"/>
        </w:rPr>
        <w:t xml:space="preserve"> (“the IGC”) </w:t>
      </w:r>
      <w:r w:rsidRPr="00DF0770">
        <w:rPr>
          <w:rFonts w:ascii="Arial" w:hAnsi="Arial" w:cs="Arial"/>
        </w:rPr>
        <w:t xml:space="preserve">for </w:t>
      </w:r>
      <w:r>
        <w:rPr>
          <w:rFonts w:ascii="Arial" w:hAnsi="Arial" w:cs="Arial"/>
        </w:rPr>
        <w:t>the 2022/</w:t>
      </w:r>
      <w:r w:rsidRPr="00DF0770">
        <w:rPr>
          <w:rFonts w:ascii="Arial" w:hAnsi="Arial" w:cs="Arial"/>
        </w:rPr>
        <w:t>2023</w:t>
      </w:r>
      <w:r>
        <w:rPr>
          <w:rFonts w:ascii="Arial" w:hAnsi="Arial" w:cs="Arial"/>
        </w:rPr>
        <w:t xml:space="preserve"> biennium. </w:t>
      </w:r>
    </w:p>
    <w:p w:rsidR="00A12A21" w:rsidRPr="00DF0770" w:rsidRDefault="00A12A21" w:rsidP="00A12A21">
      <w:pPr>
        <w:pStyle w:val="ListParagraph"/>
        <w:numPr>
          <w:ilvl w:val="0"/>
          <w:numId w:val="24"/>
        </w:numPr>
        <w:ind w:left="540" w:hanging="540"/>
        <w:rPr>
          <w:rFonts w:ascii="Arial" w:hAnsi="Arial" w:cs="Arial"/>
        </w:rPr>
      </w:pPr>
      <w:r w:rsidRPr="00DF0770">
        <w:rPr>
          <w:rFonts w:ascii="Arial" w:hAnsi="Arial" w:cs="Arial"/>
        </w:rPr>
        <w:t xml:space="preserve">It was initially prepared by Mr. Ian Goss when he was </w:t>
      </w:r>
      <w:r>
        <w:rPr>
          <w:rFonts w:ascii="Arial" w:hAnsi="Arial" w:cs="Arial"/>
        </w:rPr>
        <w:t>the Chair of the IGC.</w:t>
      </w:r>
    </w:p>
    <w:p w:rsidR="00A12A21" w:rsidRDefault="00A12A21" w:rsidP="00A12A21">
      <w:pPr>
        <w:pStyle w:val="ListParagraph"/>
        <w:numPr>
          <w:ilvl w:val="0"/>
          <w:numId w:val="24"/>
        </w:numPr>
        <w:spacing w:after="0" w:line="240" w:lineRule="auto"/>
        <w:ind w:left="0" w:firstLine="0"/>
        <w:rPr>
          <w:rFonts w:ascii="Arial" w:hAnsi="Arial" w:cs="Arial"/>
        </w:rPr>
      </w:pPr>
      <w:r>
        <w:rPr>
          <w:rFonts w:ascii="Arial" w:hAnsi="Arial" w:cs="Arial"/>
        </w:rPr>
        <w:t>As the new C</w:t>
      </w:r>
      <w:r w:rsidRPr="00DF0770">
        <w:rPr>
          <w:rFonts w:ascii="Arial" w:hAnsi="Arial" w:cs="Arial"/>
        </w:rPr>
        <w:t xml:space="preserve">hair, Ms. Lilyclaire Bellamy will take </w:t>
      </w:r>
      <w:r>
        <w:rPr>
          <w:rFonts w:ascii="Arial" w:hAnsi="Arial" w:cs="Arial"/>
        </w:rPr>
        <w:t>note of any comments made on the text, and consider next steps in relation to it</w:t>
      </w:r>
      <w:r w:rsidRPr="00DF0770">
        <w:rPr>
          <w:rFonts w:ascii="Arial" w:hAnsi="Arial" w:cs="Arial"/>
        </w:rPr>
        <w:t>.</w:t>
      </w:r>
    </w:p>
    <w:p w:rsidR="00A12A21" w:rsidRDefault="00A12A21" w:rsidP="00A12A21">
      <w:pPr>
        <w:pStyle w:val="ListParagraph"/>
        <w:spacing w:after="0" w:line="240" w:lineRule="auto"/>
        <w:ind w:left="0"/>
        <w:rPr>
          <w:rFonts w:ascii="Arial" w:hAnsi="Arial" w:cs="Arial"/>
        </w:rPr>
      </w:pPr>
    </w:p>
    <w:p w:rsidR="00A12A21" w:rsidRPr="00D272F9" w:rsidRDefault="00A12A21" w:rsidP="00A12A21">
      <w:pPr>
        <w:pStyle w:val="ListParagraph"/>
        <w:numPr>
          <w:ilvl w:val="0"/>
          <w:numId w:val="24"/>
        </w:numPr>
        <w:spacing w:after="0" w:line="240" w:lineRule="auto"/>
        <w:ind w:left="5580" w:firstLine="0"/>
        <w:rPr>
          <w:rFonts w:ascii="Arial" w:hAnsi="Arial" w:cs="Arial"/>
        </w:rPr>
      </w:pPr>
      <w:r>
        <w:rPr>
          <w:rFonts w:ascii="Arial" w:hAnsi="Arial" w:cs="Arial"/>
          <w:i/>
        </w:rPr>
        <w:t>The Comittee is invited to review and comment on the document contained in the Annex.</w:t>
      </w:r>
    </w:p>
    <w:p w:rsidR="00A12A21" w:rsidRDefault="00A12A21" w:rsidP="00A12A21">
      <w:pPr>
        <w:pStyle w:val="ListParagraph"/>
        <w:spacing w:after="0" w:line="240" w:lineRule="auto"/>
        <w:ind w:left="5580"/>
        <w:rPr>
          <w:rFonts w:ascii="Arial" w:hAnsi="Arial" w:cs="Arial"/>
        </w:rPr>
      </w:pPr>
    </w:p>
    <w:p w:rsidR="00A12A21" w:rsidRDefault="00A12A21" w:rsidP="00A12A21">
      <w:pPr>
        <w:pStyle w:val="ListParagraph"/>
        <w:spacing w:line="240" w:lineRule="auto"/>
        <w:ind w:left="5580"/>
        <w:rPr>
          <w:rFonts w:ascii="Arial" w:hAnsi="Arial" w:cs="Arial"/>
        </w:rPr>
      </w:pPr>
      <w:r>
        <w:rPr>
          <w:rFonts w:ascii="Arial" w:hAnsi="Arial" w:cs="Arial"/>
        </w:rPr>
        <w:t>[Annex follows]</w:t>
      </w:r>
    </w:p>
    <w:p w:rsidR="00A12A21" w:rsidRDefault="00A12A21" w:rsidP="00A12A21"/>
    <w:p w:rsidR="00A12A21" w:rsidRDefault="00A12A21" w:rsidP="00A12A21">
      <w:pPr>
        <w:sectPr w:rsidR="00A12A21" w:rsidSect="00DF46C2">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cols w:space="720"/>
          <w:titlePg/>
          <w:docGrid w:linePitch="299"/>
        </w:sectPr>
      </w:pPr>
    </w:p>
    <w:p w:rsidR="00A12A21" w:rsidRPr="009F285E" w:rsidRDefault="00A12A21" w:rsidP="00A12A21">
      <w:pPr>
        <w:ind w:left="-360"/>
        <w:jc w:val="center"/>
        <w:outlineLvl w:val="0"/>
        <w:rPr>
          <w:b/>
          <w:szCs w:val="22"/>
        </w:rPr>
      </w:pPr>
      <w:r w:rsidRPr="009F285E">
        <w:rPr>
          <w:b/>
          <w:szCs w:val="22"/>
        </w:rPr>
        <w:lastRenderedPageBreak/>
        <w:t xml:space="preserve">Draft </w:t>
      </w:r>
    </w:p>
    <w:p w:rsidR="00A12A21" w:rsidRPr="009F285E" w:rsidRDefault="00A12A21" w:rsidP="00A12A21">
      <w:pPr>
        <w:ind w:left="-360"/>
        <w:jc w:val="center"/>
        <w:outlineLvl w:val="0"/>
        <w:rPr>
          <w:b/>
          <w:szCs w:val="22"/>
        </w:rPr>
      </w:pPr>
      <w:r w:rsidRPr="009F285E">
        <w:rPr>
          <w:b/>
          <w:szCs w:val="22"/>
        </w:rPr>
        <w:t xml:space="preserve">International Legal Instrument Relating to Intellectual Property, Genetic Resources and Traditional Knowledge Associated with Genetic Resources </w:t>
      </w:r>
    </w:p>
    <w:p w:rsidR="00A12A21" w:rsidRPr="009F285E" w:rsidRDefault="00A12A21" w:rsidP="00A12A21">
      <w:pPr>
        <w:ind w:left="-360"/>
        <w:jc w:val="center"/>
        <w:rPr>
          <w:b/>
          <w:szCs w:val="22"/>
        </w:rPr>
      </w:pPr>
    </w:p>
    <w:p w:rsidR="00A12A21" w:rsidRPr="009F285E" w:rsidRDefault="00A12A21" w:rsidP="00A12A21">
      <w:pPr>
        <w:ind w:left="-360"/>
        <w:jc w:val="center"/>
        <w:outlineLvl w:val="0"/>
        <w:rPr>
          <w:b/>
          <w:szCs w:val="22"/>
        </w:rPr>
      </w:pPr>
      <w:r w:rsidRPr="009F285E">
        <w:rPr>
          <w:b/>
          <w:szCs w:val="22"/>
        </w:rPr>
        <w:t xml:space="preserve">Prepared by Mr. Ian Goss </w:t>
      </w:r>
    </w:p>
    <w:p w:rsidR="00A12A21" w:rsidRPr="009F285E" w:rsidRDefault="00A12A21" w:rsidP="00A12A21">
      <w:pPr>
        <w:ind w:left="-360"/>
        <w:jc w:val="center"/>
        <w:outlineLvl w:val="0"/>
        <w:rPr>
          <w:b/>
          <w:szCs w:val="22"/>
        </w:rPr>
      </w:pPr>
      <w:r w:rsidRPr="009F285E">
        <w:rPr>
          <w:b/>
          <w:szCs w:val="22"/>
        </w:rPr>
        <w:t>Chair, WIPO Intergovernmental Committee on Intellectual Property and Genetic Resources, Traditional Knowledge and Folklore</w:t>
      </w:r>
    </w:p>
    <w:p w:rsidR="00A12A21" w:rsidRPr="009F285E" w:rsidRDefault="00A12A21" w:rsidP="00A12A21">
      <w:pPr>
        <w:ind w:left="-360"/>
        <w:jc w:val="center"/>
        <w:outlineLvl w:val="0"/>
        <w:rPr>
          <w:b/>
          <w:szCs w:val="22"/>
        </w:rPr>
      </w:pPr>
    </w:p>
    <w:p w:rsidR="00A12A21" w:rsidRPr="009F285E" w:rsidRDefault="00A12A21" w:rsidP="00A12A21">
      <w:pPr>
        <w:ind w:left="-360"/>
        <w:jc w:val="center"/>
        <w:outlineLvl w:val="0"/>
        <w:rPr>
          <w:b/>
          <w:szCs w:val="22"/>
        </w:rPr>
      </w:pPr>
      <w:r>
        <w:rPr>
          <w:b/>
          <w:szCs w:val="22"/>
        </w:rPr>
        <w:t>April 30, 2019</w:t>
      </w:r>
    </w:p>
    <w:p w:rsidR="00A12A21" w:rsidRPr="009F285E" w:rsidRDefault="00A12A21" w:rsidP="00A12A21">
      <w:pPr>
        <w:ind w:left="-360"/>
        <w:jc w:val="center"/>
        <w:rPr>
          <w:b/>
        </w:rPr>
      </w:pPr>
    </w:p>
    <w:p w:rsidR="00A12A21" w:rsidRPr="009F285E" w:rsidRDefault="00A12A21" w:rsidP="00A12A21">
      <w:pPr>
        <w:rPr>
          <w:b/>
        </w:rPr>
      </w:pPr>
    </w:p>
    <w:p w:rsidR="00A12A21" w:rsidRPr="009F285E" w:rsidRDefault="00A12A21" w:rsidP="00A12A21"/>
    <w:p w:rsidR="00A12A21" w:rsidRPr="009F285E" w:rsidRDefault="00A12A21" w:rsidP="00A12A21">
      <w:pPr>
        <w:rPr>
          <w:b/>
          <w:i/>
          <w:szCs w:val="22"/>
        </w:rPr>
      </w:pPr>
      <w:r w:rsidRPr="009F285E">
        <w:rPr>
          <w:b/>
          <w:i/>
          <w:szCs w:val="22"/>
        </w:rPr>
        <w:t>Introductory remarks</w:t>
      </w:r>
      <w:r w:rsidRPr="009F285E">
        <w:rPr>
          <w:rStyle w:val="FootnoteReference"/>
          <w:b/>
          <w:i/>
          <w:szCs w:val="22"/>
        </w:rPr>
        <w:footnoteReference w:id="8"/>
      </w:r>
    </w:p>
    <w:p w:rsidR="00A12A21" w:rsidRPr="009F285E" w:rsidRDefault="00A12A21" w:rsidP="00A12A21">
      <w:pPr>
        <w:rPr>
          <w:szCs w:val="22"/>
        </w:rPr>
      </w:pPr>
    </w:p>
    <w:p w:rsidR="00A12A21" w:rsidRPr="009F285E" w:rsidRDefault="00A12A21" w:rsidP="00A12A21">
      <w:pPr>
        <w:rPr>
          <w:szCs w:val="22"/>
        </w:rPr>
      </w:pPr>
      <w:r w:rsidRPr="009F285E">
        <w:rPr>
          <w:szCs w:val="22"/>
        </w:rPr>
        <w:t>1.</w:t>
      </w:r>
      <w:r w:rsidRPr="009F285E">
        <w:rPr>
          <w:szCs w:val="22"/>
        </w:rPr>
        <w:tab/>
        <w:t>To date, the negotiations being conducted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9F285E">
        <w:rPr>
          <w:rStyle w:val="FootnoteReference"/>
          <w:i/>
          <w:szCs w:val="22"/>
        </w:rPr>
        <w:footnoteReference w:id="9"/>
      </w:r>
      <w:r w:rsidRPr="009F285E">
        <w:rPr>
          <w:szCs w:val="22"/>
        </w:rPr>
        <w:t xml:space="preserve"> have been unable to reach a conclusion. </w:t>
      </w:r>
    </w:p>
    <w:p w:rsidR="00A12A21" w:rsidRPr="009F285E" w:rsidRDefault="00A12A21" w:rsidP="00A12A21">
      <w:pPr>
        <w:rPr>
          <w:szCs w:val="22"/>
        </w:rPr>
      </w:pPr>
    </w:p>
    <w:p w:rsidR="00A12A21" w:rsidRPr="009F285E" w:rsidRDefault="00A12A21" w:rsidP="00A12A21">
      <w:pPr>
        <w:rPr>
          <w:szCs w:val="22"/>
        </w:rPr>
      </w:pPr>
      <w:r w:rsidRPr="009F285E">
        <w:rPr>
          <w:szCs w:val="22"/>
        </w:rPr>
        <w:t>2.</w:t>
      </w:r>
      <w:r w:rsidRPr="009F285E">
        <w:rPr>
          <w:szCs w:val="22"/>
        </w:rPr>
        <w:tab/>
        <w:t>The IGC’s inability so far to find a consensus position is reflected in the different policy interests contained in the alternate objectives within the IGC’s current draft text on GRs and Associated TK</w:t>
      </w:r>
      <w:r w:rsidRPr="009F285E">
        <w:rPr>
          <w:rStyle w:val="FootnoteReference"/>
          <w:szCs w:val="22"/>
        </w:rPr>
        <w:footnoteReference w:id="10"/>
      </w:r>
      <w:r w:rsidRPr="009F285E">
        <w:rPr>
          <w:szCs w:val="22"/>
        </w:rPr>
        <w:t xml:space="preserve">.  There is, in my view, scope for bridging these different perspectives and room for balancing the rights and interests of users and the rights and interests of providers and knowledge holders. </w:t>
      </w:r>
      <w:r>
        <w:rPr>
          <w:szCs w:val="22"/>
        </w:rPr>
        <w:t xml:space="preserve"> </w:t>
      </w:r>
      <w:r w:rsidRPr="009F285E">
        <w:rPr>
          <w:szCs w:val="22"/>
        </w:rPr>
        <w:t xml:space="preserve">In addition, a </w:t>
      </w:r>
      <w:r w:rsidRPr="009F285E">
        <w:rPr>
          <w:b/>
          <w:szCs w:val="22"/>
        </w:rPr>
        <w:t>clearer understanding of the modalities of an international disclosure requirement would enable policymakers to make informed decisions regarding the costs, risks and benefits of a disclosure requirement.</w:t>
      </w:r>
    </w:p>
    <w:p w:rsidR="00A12A21" w:rsidRPr="009F285E" w:rsidRDefault="00A12A21" w:rsidP="00A12A21">
      <w:pPr>
        <w:rPr>
          <w:szCs w:val="22"/>
        </w:rPr>
      </w:pPr>
    </w:p>
    <w:p w:rsidR="00A12A21" w:rsidRPr="009F285E" w:rsidRDefault="00A12A21" w:rsidP="00A12A21">
      <w:pPr>
        <w:rPr>
          <w:szCs w:val="22"/>
        </w:rPr>
      </w:pPr>
      <w:r w:rsidRPr="009F285E">
        <w:rPr>
          <w:szCs w:val="22"/>
        </w:rPr>
        <w:t>3.</w:t>
      </w:r>
      <w:r w:rsidRPr="009F285E">
        <w:rPr>
          <w:szCs w:val="22"/>
        </w:rPr>
        <w:tab/>
        <w:t xml:space="preserve">From this perspective, I have prepared this draft text of an international legal instrument on intellectual property and GRs and Associated TK </w:t>
      </w:r>
      <w:r>
        <w:rPr>
          <w:szCs w:val="22"/>
        </w:rPr>
        <w:t>for consideration by the IGC.</w:t>
      </w:r>
    </w:p>
    <w:p w:rsidR="00A12A21" w:rsidRPr="009F285E" w:rsidRDefault="00A12A21" w:rsidP="00A12A21">
      <w:pPr>
        <w:rPr>
          <w:szCs w:val="22"/>
        </w:rPr>
      </w:pPr>
    </w:p>
    <w:p w:rsidR="00A12A21" w:rsidRPr="009F285E" w:rsidRDefault="00A12A21" w:rsidP="00A12A21">
      <w:pPr>
        <w:rPr>
          <w:szCs w:val="22"/>
        </w:rPr>
      </w:pPr>
      <w:r w:rsidRPr="009F285E">
        <w:rPr>
          <w:szCs w:val="22"/>
        </w:rPr>
        <w:t>4.</w:t>
      </w:r>
      <w:r w:rsidRPr="009F285E">
        <w:rPr>
          <w:szCs w:val="22"/>
        </w:rPr>
        <w:tab/>
        <w:t>I have prepared this draft text solely under my own authority as a contribution to the negotiations being conducted by the IGC.</w:t>
      </w:r>
    </w:p>
    <w:p w:rsidR="00A12A21" w:rsidRPr="009F285E" w:rsidRDefault="00A12A21" w:rsidP="00A12A21">
      <w:pPr>
        <w:rPr>
          <w:szCs w:val="22"/>
        </w:rPr>
      </w:pPr>
    </w:p>
    <w:p w:rsidR="00A12A21" w:rsidRPr="009F285E" w:rsidRDefault="00A12A21" w:rsidP="00A12A21">
      <w:pPr>
        <w:rPr>
          <w:szCs w:val="22"/>
        </w:rPr>
      </w:pPr>
      <w:r w:rsidRPr="009F285E">
        <w:rPr>
          <w:szCs w:val="22"/>
        </w:rPr>
        <w:t>5.</w:t>
      </w:r>
      <w:r w:rsidRPr="009F285E">
        <w:rPr>
          <w:szCs w:val="22"/>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Pr>
          <w:szCs w:val="22"/>
        </w:rPr>
        <w:t>greement will not be achieved.</w:t>
      </w:r>
    </w:p>
    <w:p w:rsidR="00A12A21" w:rsidRDefault="00A12A21" w:rsidP="00A12A21">
      <w:pPr>
        <w:rPr>
          <w:szCs w:val="22"/>
        </w:rPr>
      </w:pPr>
    </w:p>
    <w:p w:rsidR="00A12A21" w:rsidRPr="009F285E" w:rsidRDefault="00A12A21" w:rsidP="00A12A21">
      <w:pPr>
        <w:rPr>
          <w:szCs w:val="22"/>
        </w:rPr>
      </w:pPr>
      <w:r w:rsidRPr="009F285E">
        <w:rPr>
          <w:szCs w:val="22"/>
        </w:rPr>
        <w:t>6.</w:t>
      </w:r>
      <w:r w:rsidRPr="009F285E">
        <w:rPr>
          <w:szCs w:val="22"/>
        </w:rPr>
        <w:tab/>
        <w:t>In developing this text, I have given careful consideration to the existing documentation of the IGC</w:t>
      </w:r>
      <w:r w:rsidRPr="009F285E">
        <w:rPr>
          <w:rStyle w:val="FootnoteReference"/>
          <w:szCs w:val="22"/>
        </w:rPr>
        <w:footnoteReference w:id="11"/>
      </w:r>
      <w:r w:rsidRPr="009F285E">
        <w:rPr>
          <w:szCs w:val="22"/>
        </w:rPr>
        <w:t xml:space="preserve"> and the WIPO Secretariat’s publication </w:t>
      </w:r>
      <w:r w:rsidRPr="009F285E">
        <w:rPr>
          <w:i/>
          <w:szCs w:val="22"/>
        </w:rPr>
        <w:t>Key Questions on Patent Disclosure Requirements for Genetic Resources and Traditional Knowledge</w:t>
      </w:r>
      <w:r w:rsidRPr="009F285E">
        <w:rPr>
          <w:szCs w:val="22"/>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w:t>
      </w:r>
      <w:r w:rsidRPr="009F285E">
        <w:rPr>
          <w:szCs w:val="22"/>
        </w:rPr>
        <w:lastRenderedPageBreak/>
        <w:t xml:space="preserve">currently considering the introduction of such regimes.  These regimes vary significantly in terms of scope, content, relationship with access and benefit-sharing regimes, and sanctions.  In my view, these differences create inherent risks to users in terms of legal certainty, accessibility to GRs and Associated TK, and transactional costs/burdens with potential negative impacts on innovation. </w:t>
      </w:r>
      <w:r>
        <w:rPr>
          <w:szCs w:val="22"/>
        </w:rPr>
        <w:t xml:space="preserve"> </w:t>
      </w:r>
      <w:r w:rsidRPr="009F285E">
        <w:rPr>
          <w:szCs w:val="22"/>
        </w:rPr>
        <w:t xml:space="preserve">In addition, a global and mandatory disclosure regime would enhance transparency in relation to the use of GRs and Associated TK within the patent system, improving the efficacy and quality of the patent system. </w:t>
      </w:r>
      <w:r>
        <w:rPr>
          <w:szCs w:val="22"/>
        </w:rPr>
        <w:t xml:space="preserve"> </w:t>
      </w:r>
      <w:r w:rsidRPr="009F285E">
        <w:rPr>
          <w:szCs w:val="22"/>
        </w:rPr>
        <w:t xml:space="preserve">This would, in my view, also facilitate benefit-sharing and the prevention of the granting of erroneous patents and the misappropriation of GRs and Associated TK. </w:t>
      </w:r>
    </w:p>
    <w:p w:rsidR="00A12A21" w:rsidRPr="009F285E" w:rsidRDefault="00A12A21" w:rsidP="00A12A21">
      <w:pPr>
        <w:rPr>
          <w:szCs w:val="22"/>
        </w:rPr>
      </w:pPr>
    </w:p>
    <w:p w:rsidR="00A12A21" w:rsidRPr="009F285E" w:rsidRDefault="00A12A21" w:rsidP="00A12A21">
      <w:pPr>
        <w:rPr>
          <w:szCs w:val="22"/>
        </w:rPr>
      </w:pPr>
      <w:r w:rsidRPr="009F285E">
        <w:rPr>
          <w:szCs w:val="22"/>
        </w:rPr>
        <w:t>7.</w:t>
      </w:r>
      <w:r w:rsidRPr="009F285E">
        <w:rPr>
          <w:szCs w:val="22"/>
        </w:rPr>
        <w:tab/>
        <w:t xml:space="preserve">I invite Member States to consider this draft text in the context of the IGC’s work on GRs and Associated TK.  I look forward to receiving feedback on the draft from Member States and stakeholders. </w:t>
      </w:r>
    </w:p>
    <w:p w:rsidR="00A12A21" w:rsidRPr="009F285E" w:rsidRDefault="00A12A21" w:rsidP="00A12A21">
      <w:pPr>
        <w:rPr>
          <w:szCs w:val="22"/>
        </w:rPr>
      </w:pPr>
    </w:p>
    <w:p w:rsidR="00A12A21" w:rsidRPr="009F285E" w:rsidRDefault="00A12A21" w:rsidP="00A12A21">
      <w:pPr>
        <w:rPr>
          <w:szCs w:val="22"/>
        </w:rPr>
      </w:pPr>
      <w:r w:rsidRPr="009F285E">
        <w:rPr>
          <w:szCs w:val="22"/>
        </w:rPr>
        <w:t>8.</w:t>
      </w:r>
      <w:r w:rsidRPr="009F285E">
        <w:rPr>
          <w:szCs w:val="22"/>
        </w:rPr>
        <w:tab/>
        <w:t xml:space="preserve">The text of the draft legal instrument follows below.  Several but not all of the articles are accompanied by explanatory notes.  These notes do not form part of the text, and are simply meant to provide further background and explanation.  In the event of any inconsistency between the text of an article and the note accompanying it, the text of the article takes precedence. </w:t>
      </w:r>
    </w:p>
    <w:p w:rsidR="00A12A21" w:rsidRDefault="00A12A21" w:rsidP="00A12A21">
      <w:pPr>
        <w:rPr>
          <w:szCs w:val="22"/>
        </w:rPr>
      </w:pPr>
      <w:r>
        <w:rPr>
          <w:szCs w:val="22"/>
        </w:rPr>
        <w:br w:type="page"/>
      </w:r>
    </w:p>
    <w:p w:rsidR="00A12A21" w:rsidRPr="009F285E" w:rsidRDefault="00A12A21" w:rsidP="00A12A21">
      <w:pPr>
        <w:rPr>
          <w:szCs w:val="22"/>
        </w:rPr>
      </w:pPr>
    </w:p>
    <w:p w:rsidR="00A12A21" w:rsidRPr="009F285E" w:rsidRDefault="00A12A21" w:rsidP="00A12A2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 xml:space="preserve">IGC CHAIR’S DRAFT </w:t>
      </w:r>
    </w:p>
    <w:p w:rsidR="00A12A21" w:rsidRPr="009F285E" w:rsidRDefault="00A12A21" w:rsidP="00A12A2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A12A21" w:rsidRPr="009F285E" w:rsidRDefault="00A12A21" w:rsidP="00A12A2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INTERNATIONAL LEGAL INSTRUMENT RELATING TO INTELLECTUAL PROPERTY, GENETIC RESOURCES AND TRADITIONAL KNOWLEDGE ASSOCIATED WITH GENETIC RESOURCES</w:t>
      </w:r>
    </w:p>
    <w:p w:rsidR="00A12A21" w:rsidRPr="009F285E" w:rsidRDefault="00A12A21" w:rsidP="00A12A2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A12A21" w:rsidRPr="009F285E" w:rsidRDefault="00A12A21" w:rsidP="00A12A2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Pr>
          <w:b/>
          <w:szCs w:val="22"/>
        </w:rPr>
        <w:t>April 30, 2019</w:t>
      </w:r>
      <w:r w:rsidRPr="009F285E">
        <w:rPr>
          <w:b/>
          <w:szCs w:val="22"/>
        </w:rPr>
        <w:br/>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rPr>
      </w:pPr>
      <w:r w:rsidRPr="009F285E">
        <w:rPr>
          <w:rFonts w:ascii="Arial" w:hAnsi="Arial" w:cs="Arial"/>
          <w:sz w:val="22"/>
          <w:szCs w:val="22"/>
        </w:rPr>
        <w:t>The Parties to this instrument</w:t>
      </w:r>
      <w:r w:rsidRPr="009F285E">
        <w:rPr>
          <w:rFonts w:ascii="Arial" w:hAnsi="Arial" w:cs="Arial"/>
          <w:sz w:val="20"/>
          <w:szCs w:val="20"/>
        </w:rPr>
        <w:t xml:space="preserve">, </w:t>
      </w:r>
      <w:r w:rsidRPr="009F285E">
        <w:rPr>
          <w:rFonts w:ascii="Arial" w:hAnsi="Arial" w:cs="Arial"/>
          <w:sz w:val="20"/>
          <w:szCs w:val="20"/>
        </w:rPr>
        <w:br/>
      </w:r>
    </w:p>
    <w:p w:rsidR="00A12A21" w:rsidRPr="009F285E" w:rsidRDefault="00A12A21" w:rsidP="00A12A21">
      <w:pPr>
        <w:rPr>
          <w:szCs w:val="22"/>
        </w:rPr>
      </w:pPr>
      <w:r w:rsidRPr="009F285E">
        <w:rPr>
          <w:i/>
          <w:szCs w:val="22"/>
        </w:rPr>
        <w:t xml:space="preserve">Desiring </w:t>
      </w:r>
      <w:r w:rsidRPr="009F285E">
        <w:rPr>
          <w:szCs w:val="22"/>
        </w:rPr>
        <w:t>the promotion of</w:t>
      </w:r>
      <w:r w:rsidRPr="009F285E">
        <w:rPr>
          <w:i/>
          <w:szCs w:val="22"/>
        </w:rPr>
        <w:t xml:space="preserve"> </w:t>
      </w:r>
      <w:r w:rsidRPr="009F285E">
        <w:rPr>
          <w:szCs w:val="22"/>
        </w:rPr>
        <w:t>the efficacy, transparency and quality of the patent system in relation to genetic resources (GRs) and traditional knowledge associated with genetic resources (Associated TK),</w:t>
      </w:r>
      <w:r w:rsidRPr="009F285E">
        <w:rPr>
          <w:szCs w:val="22"/>
        </w:rPr>
        <w:br/>
      </w:r>
    </w:p>
    <w:p w:rsidR="00A12A21" w:rsidRPr="009F285E" w:rsidRDefault="00A12A21" w:rsidP="00A12A21">
      <w:pPr>
        <w:contextualSpacing/>
        <w:rPr>
          <w:i/>
          <w:szCs w:val="22"/>
        </w:rPr>
      </w:pPr>
      <w:r w:rsidRPr="009F285E">
        <w:rPr>
          <w:i/>
          <w:szCs w:val="22"/>
        </w:rPr>
        <w:t>Emphasizing</w:t>
      </w:r>
      <w:r w:rsidRPr="009F285E">
        <w:rPr>
          <w:szCs w:val="22"/>
        </w:rPr>
        <w:t xml:space="preserve"> the importance of patent </w:t>
      </w:r>
      <w:proofErr w:type="spellStart"/>
      <w:r w:rsidRPr="009F285E">
        <w:rPr>
          <w:szCs w:val="22"/>
        </w:rPr>
        <w:t>offices</w:t>
      </w:r>
      <w:proofErr w:type="spellEnd"/>
      <w:r w:rsidRPr="009F285E">
        <w:rPr>
          <w:szCs w:val="22"/>
        </w:rPr>
        <w:t xml:space="preserve"> having access to appropriate information on GRs and Associated TK to prevent patents from being granted erroneously for inventions that are not novel or inventive with regard to GRs and Associated TK,</w:t>
      </w:r>
      <w:r w:rsidRPr="009F285E">
        <w:rPr>
          <w:szCs w:val="22"/>
        </w:rPr>
        <w:br/>
      </w:r>
    </w:p>
    <w:p w:rsidR="00A12A21" w:rsidRPr="009F285E" w:rsidRDefault="00A12A21" w:rsidP="00A12A21">
      <w:pPr>
        <w:rPr>
          <w:szCs w:val="22"/>
        </w:rPr>
      </w:pPr>
      <w:r w:rsidRPr="009F285E">
        <w:rPr>
          <w:i/>
          <w:szCs w:val="22"/>
        </w:rPr>
        <w:t>Recognizing</w:t>
      </w:r>
      <w:r w:rsidRPr="009F285E">
        <w:rPr>
          <w:szCs w:val="22"/>
        </w:rPr>
        <w:t xml:space="preserve"> the potential role of the patent system in contributing to the protection of GRs and Associated TK,</w:t>
      </w:r>
    </w:p>
    <w:p w:rsidR="00A12A21" w:rsidRPr="009F285E" w:rsidRDefault="00A12A21" w:rsidP="00A12A21">
      <w:pPr>
        <w:rPr>
          <w:szCs w:val="22"/>
        </w:rPr>
      </w:pPr>
    </w:p>
    <w:p w:rsidR="00A12A21" w:rsidRPr="009F285E" w:rsidRDefault="00A12A21" w:rsidP="00A12A21">
      <w:pPr>
        <w:rPr>
          <w:szCs w:val="22"/>
        </w:rPr>
      </w:pPr>
      <w:r w:rsidRPr="009F285E">
        <w:rPr>
          <w:i/>
          <w:szCs w:val="22"/>
        </w:rPr>
        <w:t>Recognizing</w:t>
      </w:r>
      <w:r w:rsidRPr="009F285E">
        <w:rPr>
          <w:szCs w:val="22"/>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9F285E">
        <w:rPr>
          <w:szCs w:val="22"/>
        </w:rPr>
        <w:br/>
      </w:r>
    </w:p>
    <w:p w:rsidR="00A12A21" w:rsidRPr="009F285E" w:rsidRDefault="00A12A21" w:rsidP="00A12A21">
      <w:pPr>
        <w:rPr>
          <w:szCs w:val="22"/>
        </w:rPr>
      </w:pPr>
      <w:r w:rsidRPr="009F285E">
        <w:rPr>
          <w:i/>
          <w:szCs w:val="22"/>
        </w:rPr>
        <w:t xml:space="preserve">Recognizing </w:t>
      </w:r>
      <w:r w:rsidRPr="009F285E">
        <w:rPr>
          <w:szCs w:val="22"/>
        </w:rPr>
        <w:t>that this instrument and other international instruments related to GRs and Associated TK should be mutually supportive,</w:t>
      </w:r>
    </w:p>
    <w:p w:rsidR="00A12A21" w:rsidRPr="009F285E" w:rsidRDefault="00A12A21" w:rsidP="00A12A21">
      <w:pPr>
        <w:rPr>
          <w:szCs w:val="22"/>
        </w:rPr>
      </w:pPr>
    </w:p>
    <w:p w:rsidR="00A12A21" w:rsidRPr="009F285E" w:rsidRDefault="00A12A21" w:rsidP="00A12A21">
      <w:pPr>
        <w:rPr>
          <w:szCs w:val="22"/>
        </w:rPr>
      </w:pPr>
      <w:r w:rsidRPr="009F285E">
        <w:rPr>
          <w:i/>
          <w:szCs w:val="22"/>
        </w:rPr>
        <w:t>Recognizing and reaffirming</w:t>
      </w:r>
      <w:r w:rsidRPr="009F285E">
        <w:rPr>
          <w:szCs w:val="22"/>
        </w:rPr>
        <w:t xml:space="preserve"> the role that the intellectual property (IP) system plays in promoting innovation, transfer and dissemination of knowledge and economic development, to the mutual advantage of providers and users of GRs and Associated TK,</w:t>
      </w:r>
    </w:p>
    <w:p w:rsidR="00A12A21" w:rsidRPr="009F285E" w:rsidRDefault="00A12A21" w:rsidP="00A12A21">
      <w:pPr>
        <w:rPr>
          <w:szCs w:val="22"/>
        </w:rPr>
      </w:pPr>
    </w:p>
    <w:p w:rsidR="00A12A21" w:rsidRPr="009F285E" w:rsidRDefault="00A12A21" w:rsidP="00A12A21">
      <w:pPr>
        <w:rPr>
          <w:szCs w:val="22"/>
        </w:rPr>
      </w:pPr>
      <w:r w:rsidRPr="009F285E">
        <w:rPr>
          <w:i/>
          <w:szCs w:val="22"/>
        </w:rPr>
        <w:t>Acknowledging</w:t>
      </w:r>
      <w:r w:rsidRPr="009F285E">
        <w:rPr>
          <w:szCs w:val="22"/>
        </w:rPr>
        <w:t xml:space="preserve"> the UN Declaration on the Rights of Indigenous Peoples (UNDRIP),</w:t>
      </w:r>
    </w:p>
    <w:p w:rsidR="00A12A21" w:rsidRPr="009F285E" w:rsidRDefault="00A12A21" w:rsidP="00A12A21">
      <w:pPr>
        <w:rPr>
          <w:szCs w:val="22"/>
        </w:rPr>
      </w:pPr>
    </w:p>
    <w:p w:rsidR="00A12A21" w:rsidRPr="009F285E" w:rsidRDefault="00A12A21" w:rsidP="00A12A21">
      <w:pPr>
        <w:rPr>
          <w:szCs w:val="22"/>
        </w:rPr>
      </w:pPr>
      <w:r w:rsidRPr="009F285E">
        <w:rPr>
          <w:szCs w:val="22"/>
        </w:rPr>
        <w:t>Have agreed as follows:</w:t>
      </w:r>
    </w:p>
    <w:p w:rsidR="00A12A21" w:rsidRPr="009F285E" w:rsidRDefault="00A12A21" w:rsidP="00A12A21"/>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1</w:t>
      </w:r>
    </w:p>
    <w:p w:rsidR="00A12A21" w:rsidRPr="009F285E" w:rsidRDefault="00A12A21" w:rsidP="00A12A21">
      <w:pPr>
        <w:jc w:val="center"/>
        <w:rPr>
          <w:b/>
          <w:szCs w:val="22"/>
        </w:rPr>
      </w:pPr>
      <w:r w:rsidRPr="009F285E">
        <w:rPr>
          <w:b/>
          <w:szCs w:val="22"/>
        </w:rPr>
        <w:t>OBJECTIVES</w:t>
      </w:r>
    </w:p>
    <w:p w:rsidR="00A12A21" w:rsidRPr="009F285E" w:rsidRDefault="00A12A21" w:rsidP="00A12A21">
      <w:pPr>
        <w:pStyle w:val="ListParagraph"/>
        <w:spacing w:after="0" w:line="240" w:lineRule="auto"/>
        <w:rPr>
          <w:rFonts w:ascii="Arial" w:eastAsia="SimSun" w:hAnsi="Arial" w:cs="Arial"/>
          <w:lang w:val="en-AU" w:eastAsia="zh-CN"/>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The objectives of this instrument are to:</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numPr>
          <w:ilvl w:val="0"/>
          <w:numId w:val="23"/>
        </w:numPr>
        <w:spacing w:before="0" w:beforeAutospacing="0" w:after="0" w:afterAutospacing="0"/>
        <w:rPr>
          <w:rFonts w:ascii="Arial" w:hAnsi="Arial" w:cs="Arial"/>
          <w:sz w:val="22"/>
          <w:szCs w:val="22"/>
        </w:rPr>
      </w:pPr>
      <w:r w:rsidRPr="009F285E">
        <w:rPr>
          <w:rFonts w:ascii="Arial" w:hAnsi="Arial" w:cs="Arial"/>
          <w:sz w:val="22"/>
          <w:szCs w:val="22"/>
        </w:rPr>
        <w:t xml:space="preserve">enhance the efficacy, transparency and quality of the patent system with regard to GRs and Associated TK, and </w:t>
      </w:r>
    </w:p>
    <w:p w:rsidR="00A12A21" w:rsidRPr="009F285E" w:rsidRDefault="00A12A21" w:rsidP="00A12A21">
      <w:pPr>
        <w:pStyle w:val="NormalWeb"/>
        <w:spacing w:before="0" w:beforeAutospacing="0" w:after="0" w:afterAutospacing="0"/>
        <w:ind w:left="1170"/>
        <w:rPr>
          <w:rFonts w:ascii="Arial" w:hAnsi="Arial" w:cs="Arial"/>
          <w:sz w:val="22"/>
          <w:szCs w:val="22"/>
        </w:rPr>
      </w:pPr>
    </w:p>
    <w:p w:rsidR="00A12A21" w:rsidRPr="009F285E" w:rsidRDefault="00A12A21" w:rsidP="00A12A21">
      <w:pPr>
        <w:pStyle w:val="NormalWeb"/>
        <w:spacing w:before="0" w:beforeAutospacing="0" w:after="0" w:afterAutospacing="0"/>
        <w:ind w:left="1170" w:hanging="630"/>
        <w:rPr>
          <w:szCs w:val="22"/>
          <w:u w:val="single"/>
        </w:rPr>
      </w:pPr>
      <w:r w:rsidRPr="009F285E">
        <w:rPr>
          <w:rFonts w:ascii="Arial" w:hAnsi="Arial" w:cs="Arial"/>
          <w:sz w:val="22"/>
          <w:szCs w:val="22"/>
        </w:rPr>
        <w:t>(b)</w:t>
      </w:r>
      <w:r w:rsidRPr="009F285E">
        <w:rPr>
          <w:rFonts w:ascii="Arial" w:hAnsi="Arial" w:cs="Arial"/>
          <w:sz w:val="22"/>
          <w:szCs w:val="22"/>
        </w:rPr>
        <w:tab/>
      </w:r>
      <w:proofErr w:type="gramStart"/>
      <w:r w:rsidRPr="009F285E">
        <w:rPr>
          <w:rFonts w:ascii="Arial" w:hAnsi="Arial" w:cs="Arial"/>
          <w:sz w:val="22"/>
          <w:szCs w:val="22"/>
        </w:rPr>
        <w:t>prevent</w:t>
      </w:r>
      <w:proofErr w:type="gramEnd"/>
      <w:r w:rsidRPr="009F285E">
        <w:rPr>
          <w:rFonts w:ascii="Arial" w:hAnsi="Arial" w:cs="Arial"/>
          <w:sz w:val="22"/>
          <w:szCs w:val="22"/>
        </w:rPr>
        <w:t xml:space="preserve"> patents from being granted erroneously for inventions that are not novel or inventive with regard to GRs and Associated TK. </w:t>
      </w:r>
      <w:r w:rsidRPr="009F285E">
        <w:rPr>
          <w:rFonts w:ascii="Arial" w:hAnsi="Arial" w:cs="Arial"/>
          <w:sz w:val="22"/>
          <w:szCs w:val="22"/>
        </w:rPr>
        <w:br/>
      </w:r>
    </w:p>
    <w:p w:rsidR="00A12A21" w:rsidRPr="009F285E" w:rsidRDefault="00A12A21" w:rsidP="00A12A21">
      <w:pPr>
        <w:rPr>
          <w:szCs w:val="22"/>
          <w:u w:val="single"/>
        </w:rPr>
      </w:pPr>
      <w:r w:rsidRPr="009F285E">
        <w:rPr>
          <w:szCs w:val="22"/>
          <w:u w:val="single"/>
        </w:rPr>
        <w:br w:type="page"/>
      </w:r>
    </w:p>
    <w:p w:rsidR="00A12A21" w:rsidRPr="009F285E" w:rsidRDefault="00A12A21" w:rsidP="00A12A21">
      <w:pPr>
        <w:rPr>
          <w:szCs w:val="22"/>
          <w:u w:val="single"/>
        </w:rPr>
      </w:pPr>
      <w:r w:rsidRPr="009F285E">
        <w:rPr>
          <w:szCs w:val="22"/>
          <w:u w:val="single"/>
        </w:rPr>
        <w:lastRenderedPageBreak/>
        <w:t>Notes on Article 1</w:t>
      </w:r>
    </w:p>
    <w:p w:rsidR="00A12A21" w:rsidRPr="009F285E" w:rsidRDefault="00A12A21" w:rsidP="00A12A21">
      <w:pPr>
        <w:rPr>
          <w:szCs w:val="22"/>
        </w:rPr>
      </w:pPr>
    </w:p>
    <w:p w:rsidR="00A12A21" w:rsidRPr="009F285E" w:rsidRDefault="00A12A21" w:rsidP="00A12A21">
      <w:pPr>
        <w:rPr>
          <w:szCs w:val="22"/>
        </w:rPr>
      </w:pPr>
      <w:r w:rsidRPr="009F285E">
        <w:rPr>
          <w:szCs w:val="22"/>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9F285E">
        <w:rPr>
          <w:rStyle w:val="Emphasis"/>
          <w:szCs w:val="22"/>
        </w:rPr>
        <w:t xml:space="preserve">Pandemic Influenza Preparedness Framework, </w:t>
      </w:r>
      <w:r w:rsidRPr="009F285E">
        <w:rPr>
          <w:szCs w:val="22"/>
        </w:rPr>
        <w:t xml:space="preserve">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w:t>
      </w:r>
      <w:proofErr w:type="gramStart"/>
      <w:r w:rsidRPr="009F285E">
        <w:rPr>
          <w:szCs w:val="22"/>
        </w:rPr>
        <w:t>easily</w:t>
      </w:r>
      <w:proofErr w:type="gramEnd"/>
      <w:r w:rsidRPr="009F285E">
        <w:rPr>
          <w:szCs w:val="22"/>
        </w:rPr>
        <w:t xml:space="preserve"> implementable and not result in overly burdensome transaction costs.</w:t>
      </w:r>
    </w:p>
    <w:p w:rsidR="00A12A21" w:rsidRDefault="00A12A21" w:rsidP="00A12A21">
      <w:pPr>
        <w:rPr>
          <w:szCs w:val="22"/>
        </w:rPr>
      </w:pPr>
    </w:p>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2</w:t>
      </w:r>
    </w:p>
    <w:p w:rsidR="00A12A21" w:rsidRPr="009F285E" w:rsidRDefault="00A12A21" w:rsidP="00A12A21">
      <w:pPr>
        <w:jc w:val="center"/>
        <w:rPr>
          <w:b/>
          <w:szCs w:val="22"/>
        </w:rPr>
      </w:pPr>
      <w:r w:rsidRPr="009F285E">
        <w:rPr>
          <w:b/>
          <w:szCs w:val="22"/>
        </w:rPr>
        <w:t>LIST OF TERMS</w:t>
      </w:r>
    </w:p>
    <w:p w:rsidR="00A12A21" w:rsidRPr="009F285E" w:rsidRDefault="00A12A21" w:rsidP="00A12A21">
      <w:pPr>
        <w:jc w:val="center"/>
        <w:rPr>
          <w:b/>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 xml:space="preserve">The terms defined below shall apply to this instrument, unless expressly stated otherwise: </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“Applicant”</w:t>
      </w:r>
      <w:r w:rsidRPr="009F285E">
        <w:rPr>
          <w:rFonts w:ascii="Arial" w:hAnsi="Arial" w:cs="Arial"/>
          <w:i/>
          <w:iCs/>
          <w:sz w:val="22"/>
          <w:szCs w:val="22"/>
        </w:rPr>
        <w:t xml:space="preserve"> </w:t>
      </w:r>
      <w:r w:rsidRPr="009F285E">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i/>
          <w:iCs/>
          <w:sz w:val="22"/>
          <w:szCs w:val="22"/>
        </w:rPr>
      </w:pPr>
      <w:r w:rsidRPr="009F285E">
        <w:rPr>
          <w:rFonts w:ascii="Arial" w:hAnsi="Arial" w:cs="Arial"/>
          <w:b/>
          <w:i/>
          <w:iCs/>
          <w:sz w:val="22"/>
          <w:szCs w:val="22"/>
        </w:rPr>
        <w:t>“Application”</w:t>
      </w:r>
      <w:r w:rsidRPr="009F285E">
        <w:rPr>
          <w:rFonts w:ascii="Arial" w:hAnsi="Arial" w:cs="Arial"/>
          <w:i/>
          <w:iCs/>
          <w:sz w:val="22"/>
          <w:szCs w:val="22"/>
        </w:rPr>
        <w:t xml:space="preserve"> </w:t>
      </w:r>
      <w:r w:rsidRPr="009F285E">
        <w:rPr>
          <w:rFonts w:ascii="Arial" w:hAnsi="Arial" w:cs="Arial"/>
          <w:iCs/>
          <w:sz w:val="22"/>
          <w:szCs w:val="22"/>
        </w:rPr>
        <w:t>means an application for granting of a patent</w:t>
      </w:r>
      <w:r w:rsidRPr="009F285E">
        <w:rPr>
          <w:rFonts w:ascii="Arial" w:hAnsi="Arial" w:cs="Arial"/>
          <w:i/>
          <w:iCs/>
          <w:sz w:val="22"/>
          <w:szCs w:val="22"/>
        </w:rPr>
        <w:t xml:space="preserve">. </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“Contracting Party</w:t>
      </w:r>
      <w:r w:rsidRPr="009F285E">
        <w:rPr>
          <w:rFonts w:ascii="Arial" w:hAnsi="Arial" w:cs="Arial"/>
          <w:b/>
          <w:iCs/>
          <w:sz w:val="22"/>
          <w:szCs w:val="22"/>
        </w:rPr>
        <w:t>”</w:t>
      </w:r>
      <w:r w:rsidRPr="009F285E">
        <w:rPr>
          <w:rFonts w:ascii="Arial" w:hAnsi="Arial" w:cs="Arial"/>
          <w:iCs/>
          <w:sz w:val="22"/>
          <w:szCs w:val="22"/>
        </w:rPr>
        <w:t xml:space="preserve"> means any State or intergovernmental organization party to this instrument. </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rPr>
          <w:szCs w:val="22"/>
        </w:rPr>
      </w:pPr>
      <w:r w:rsidRPr="009F285E">
        <w:rPr>
          <w:b/>
          <w:i/>
          <w:szCs w:val="22"/>
        </w:rPr>
        <w:t>“Country of origin of genetic resources”</w:t>
      </w:r>
      <w:r w:rsidRPr="009F285E">
        <w:rPr>
          <w:szCs w:val="22"/>
        </w:rPr>
        <w:t xml:space="preserve"> means the country which possesses those genetic resources in </w:t>
      </w:r>
      <w:r w:rsidRPr="009F285E">
        <w:rPr>
          <w:i/>
          <w:szCs w:val="22"/>
        </w:rPr>
        <w:t>in situ</w:t>
      </w:r>
      <w:r w:rsidRPr="009F285E">
        <w:rPr>
          <w:szCs w:val="22"/>
        </w:rPr>
        <w:t xml:space="preserve"> conditions.</w:t>
      </w:r>
    </w:p>
    <w:p w:rsidR="00A12A21" w:rsidRPr="009F285E" w:rsidRDefault="00A12A21" w:rsidP="00A12A21">
      <w:pPr>
        <w:keepLines/>
        <w:rPr>
          <w:b/>
          <w:i/>
          <w:iCs/>
          <w:szCs w:val="22"/>
        </w:rPr>
      </w:pPr>
    </w:p>
    <w:p w:rsidR="00A12A21" w:rsidRPr="009F285E" w:rsidRDefault="00A12A21" w:rsidP="00A12A21">
      <w:pPr>
        <w:keepLines/>
        <w:rPr>
          <w:szCs w:val="22"/>
        </w:rPr>
      </w:pPr>
      <w:r w:rsidRPr="009F285E">
        <w:rPr>
          <w:b/>
          <w:i/>
          <w:szCs w:val="22"/>
        </w:rPr>
        <w:t>“[Materially/Directly] based on”</w:t>
      </w:r>
      <w:r w:rsidRPr="009F285E">
        <w:rPr>
          <w:szCs w:val="22"/>
        </w:rPr>
        <w:t xml:space="preserve"> means that the GRs and/or Associated TK must</w:t>
      </w:r>
      <w:r w:rsidRPr="009F285E">
        <w:rPr>
          <w:i/>
          <w:szCs w:val="22"/>
        </w:rPr>
        <w:t xml:space="preserve"> have been necessary or material to the development of the claimed invention</w:t>
      </w:r>
      <w:r w:rsidRPr="009F285E">
        <w:rPr>
          <w:szCs w:val="22"/>
        </w:rPr>
        <w:t xml:space="preserve">, and that </w:t>
      </w:r>
      <w:r w:rsidRPr="009F285E">
        <w:rPr>
          <w:i/>
          <w:szCs w:val="22"/>
        </w:rPr>
        <w:t>the claimed invention must depend on the specific properties of the GRs and/or Associated TK.</w:t>
      </w:r>
      <w:r w:rsidRPr="009F285E">
        <w:rPr>
          <w:szCs w:val="22"/>
        </w:rPr>
        <w:t xml:space="preserve">  </w:t>
      </w:r>
    </w:p>
    <w:p w:rsidR="00A12A21" w:rsidRPr="009F285E" w:rsidRDefault="00A12A21" w:rsidP="00A12A21">
      <w:pPr>
        <w:keepLines/>
        <w:rPr>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b/>
          <w:i/>
          <w:iCs/>
          <w:sz w:val="22"/>
          <w:szCs w:val="22"/>
        </w:rPr>
        <w:t>"Genetic material"</w:t>
      </w:r>
      <w:r w:rsidRPr="009F285E">
        <w:rPr>
          <w:rFonts w:ascii="Arial" w:hAnsi="Arial" w:cs="Arial"/>
          <w:i/>
          <w:iCs/>
          <w:sz w:val="22"/>
          <w:szCs w:val="22"/>
        </w:rPr>
        <w:t xml:space="preserve"> </w:t>
      </w:r>
      <w:r w:rsidRPr="009F285E">
        <w:rPr>
          <w:rFonts w:ascii="Arial" w:hAnsi="Arial" w:cs="Arial"/>
          <w:sz w:val="22"/>
          <w:szCs w:val="22"/>
        </w:rPr>
        <w:t xml:space="preserve">means any material of plant, animal, microbial or other origin containing functional units of heredity. </w:t>
      </w:r>
    </w:p>
    <w:p w:rsidR="00A12A21" w:rsidRPr="009F285E" w:rsidRDefault="00A12A21" w:rsidP="00A12A21">
      <w:pPr>
        <w:pStyle w:val="NormalWeb"/>
        <w:spacing w:before="0" w:beforeAutospacing="0" w:after="0" w:afterAutospacing="0"/>
        <w:rPr>
          <w:rFonts w:ascii="Arial" w:hAnsi="Arial" w:cs="Arial"/>
        </w:rPr>
      </w:pPr>
    </w:p>
    <w:p w:rsidR="00A12A21" w:rsidRPr="009F285E" w:rsidRDefault="00A12A21" w:rsidP="00A12A21">
      <w:pPr>
        <w:keepLines/>
        <w:rPr>
          <w:szCs w:val="22"/>
        </w:rPr>
      </w:pPr>
      <w:r w:rsidRPr="009F285E">
        <w:rPr>
          <w:b/>
          <w:i/>
          <w:szCs w:val="22"/>
        </w:rPr>
        <w:t>“Genetic resources</w:t>
      </w:r>
      <w:r w:rsidRPr="009F285E">
        <w:rPr>
          <w:rStyle w:val="FootnoteReference"/>
          <w:b/>
          <w:i/>
          <w:szCs w:val="22"/>
        </w:rPr>
        <w:footnoteReference w:id="12"/>
      </w:r>
      <w:r w:rsidRPr="009F285E">
        <w:rPr>
          <w:b/>
          <w:i/>
          <w:szCs w:val="22"/>
        </w:rPr>
        <w:t>”</w:t>
      </w:r>
      <w:r w:rsidRPr="009F285E">
        <w:rPr>
          <w:szCs w:val="22"/>
        </w:rPr>
        <w:t xml:space="preserve"> (GRs) are genetic material of actual or potential value. </w:t>
      </w:r>
    </w:p>
    <w:p w:rsidR="00A12A21" w:rsidRPr="009F285E" w:rsidRDefault="00A12A21" w:rsidP="00A12A21">
      <w:pPr>
        <w:keepLines/>
        <w:rPr>
          <w:szCs w:val="22"/>
        </w:rPr>
      </w:pPr>
    </w:p>
    <w:p w:rsidR="00A12A21" w:rsidRPr="009F285E" w:rsidRDefault="00A12A21" w:rsidP="00A12A21">
      <w:pPr>
        <w:keepLines/>
        <w:rPr>
          <w:szCs w:val="22"/>
        </w:rPr>
      </w:pPr>
      <w:r w:rsidRPr="009F285E">
        <w:rPr>
          <w:b/>
          <w:i/>
          <w:szCs w:val="22"/>
        </w:rPr>
        <w:t>“In situ conditions”</w:t>
      </w:r>
      <w:r w:rsidRPr="009F285E">
        <w:rPr>
          <w:szCs w:val="22"/>
        </w:rPr>
        <w:t xml:space="preserve"> means conditions where GRs exist within ecosystems and natural habitats, and, in the case of domesticated or cultivated species, in the surroundings where they have developed their distinctive properties.</w:t>
      </w:r>
    </w:p>
    <w:p w:rsidR="00A12A21" w:rsidRPr="009F285E" w:rsidRDefault="00A12A21" w:rsidP="00A12A21">
      <w:pPr>
        <w:keepLines/>
        <w:rPr>
          <w:szCs w:val="22"/>
        </w:rPr>
      </w:pPr>
    </w:p>
    <w:p w:rsidR="00A12A21" w:rsidRPr="009F285E"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“Office”</w:t>
      </w:r>
      <w:r w:rsidRPr="009F285E">
        <w:rPr>
          <w:rFonts w:ascii="Arial" w:hAnsi="Arial" w:cs="Arial"/>
          <w:iCs/>
          <w:sz w:val="22"/>
          <w:szCs w:val="22"/>
        </w:rPr>
        <w:t xml:space="preserve"> means the authority of a Contracting Party entrusted with the granting of patents. </w:t>
      </w:r>
    </w:p>
    <w:p w:rsidR="00A12A21" w:rsidRPr="009F285E" w:rsidRDefault="00A12A21" w:rsidP="00A12A21">
      <w:pPr>
        <w:pStyle w:val="NormalWeb"/>
        <w:spacing w:before="0" w:beforeAutospacing="0" w:after="0" w:afterAutospacing="0"/>
        <w:rPr>
          <w:rFonts w:ascii="Arial" w:hAnsi="Arial" w:cs="Arial"/>
          <w:iCs/>
          <w:sz w:val="22"/>
          <w:szCs w:val="22"/>
        </w:rPr>
      </w:pPr>
    </w:p>
    <w:p w:rsidR="00A12A21" w:rsidRPr="009F285E"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“PCT”</w:t>
      </w:r>
      <w:r w:rsidRPr="009F285E">
        <w:rPr>
          <w:rFonts w:ascii="Arial" w:hAnsi="Arial" w:cs="Arial"/>
          <w:iCs/>
          <w:sz w:val="22"/>
          <w:szCs w:val="22"/>
        </w:rPr>
        <w:t xml:space="preserve"> refers to the Patent Cooperation Treaty, 1970.</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rPr>
          <w:szCs w:val="22"/>
        </w:rPr>
      </w:pPr>
      <w:r w:rsidRPr="009F285E">
        <w:rPr>
          <w:b/>
          <w:i/>
          <w:szCs w:val="22"/>
        </w:rPr>
        <w:t>“Source of Genetic Resources”</w:t>
      </w:r>
      <w:r w:rsidRPr="009F285E">
        <w:rPr>
          <w:szCs w:val="22"/>
        </w:rPr>
        <w:t xml:space="preserve"> refers to any source from which the applicant has obtained the GRs, such as a research </w:t>
      </w:r>
      <w:proofErr w:type="spellStart"/>
      <w:r w:rsidRPr="009F285E">
        <w:rPr>
          <w:szCs w:val="22"/>
        </w:rPr>
        <w:t>centre</w:t>
      </w:r>
      <w:proofErr w:type="spellEnd"/>
      <w:r w:rsidRPr="009F285E">
        <w:rPr>
          <w:szCs w:val="22"/>
        </w:rPr>
        <w:t xml:space="preserve">, gene bank, the Multilateral System of the International Treaty on Plant Genetic Resources for Food and Agriculture (ITPGRFA), or any other </w:t>
      </w:r>
      <w:r w:rsidRPr="009F285E">
        <w:rPr>
          <w:i/>
          <w:szCs w:val="22"/>
        </w:rPr>
        <w:t>ex situ</w:t>
      </w:r>
      <w:r w:rsidRPr="009F285E">
        <w:rPr>
          <w:szCs w:val="22"/>
        </w:rPr>
        <w:t xml:space="preserve"> collection or depository of GRs.</w:t>
      </w:r>
    </w:p>
    <w:p w:rsidR="00A12A21" w:rsidRPr="009F285E" w:rsidRDefault="00A12A21" w:rsidP="00A12A21">
      <w:pPr>
        <w:rPr>
          <w:b/>
          <w:szCs w:val="22"/>
        </w:rPr>
      </w:pPr>
    </w:p>
    <w:p w:rsidR="00A12A21" w:rsidRPr="009F285E" w:rsidRDefault="00A12A21" w:rsidP="00A12A21">
      <w:pPr>
        <w:rPr>
          <w:b/>
          <w:i/>
          <w:szCs w:val="22"/>
        </w:rPr>
      </w:pPr>
      <w:r w:rsidRPr="009F285E">
        <w:rPr>
          <w:b/>
          <w:i/>
          <w:szCs w:val="22"/>
        </w:rPr>
        <w:t>“Source of Traditional Knowledge Associated with Genetic Resources”</w:t>
      </w:r>
      <w:r w:rsidRPr="009F285E">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9F285E">
        <w:rPr>
          <w:rStyle w:val="FootnoteReference"/>
          <w:szCs w:val="22"/>
        </w:rPr>
        <w:t xml:space="preserve"> </w:t>
      </w:r>
    </w:p>
    <w:p w:rsidR="00A12A21" w:rsidRDefault="00A12A21" w:rsidP="00A12A21">
      <w:pPr>
        <w:rPr>
          <w:szCs w:val="22"/>
          <w:u w:val="single"/>
        </w:rPr>
      </w:pPr>
      <w:r>
        <w:rPr>
          <w:szCs w:val="22"/>
          <w:u w:val="single"/>
        </w:rPr>
        <w:br w:type="page"/>
      </w:r>
    </w:p>
    <w:p w:rsidR="00A12A21" w:rsidRPr="009F285E" w:rsidRDefault="00A12A21" w:rsidP="00A12A21">
      <w:pPr>
        <w:rPr>
          <w:b/>
          <w:i/>
          <w:szCs w:val="22"/>
        </w:rPr>
      </w:pPr>
      <w:r w:rsidRPr="009F285E">
        <w:rPr>
          <w:szCs w:val="22"/>
          <w:u w:val="single"/>
        </w:rPr>
        <w:lastRenderedPageBreak/>
        <w:t>Notes on Article 2</w:t>
      </w:r>
    </w:p>
    <w:p w:rsidR="00A12A21" w:rsidRPr="009F285E" w:rsidRDefault="00A12A21" w:rsidP="00A12A21">
      <w:pPr>
        <w:ind w:left="360"/>
        <w:rPr>
          <w:szCs w:val="22"/>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 xml:space="preserve">The definitions of </w:t>
      </w:r>
      <w:r w:rsidRPr="009F285E">
        <w:rPr>
          <w:rFonts w:ascii="Arial" w:hAnsi="Arial" w:cs="Arial"/>
          <w:i/>
          <w:lang w:val="en-AU"/>
        </w:rPr>
        <w:t>genetic resources</w:t>
      </w:r>
      <w:r w:rsidRPr="009F285E">
        <w:rPr>
          <w:rFonts w:ascii="Arial" w:hAnsi="Arial" w:cs="Arial"/>
          <w:lang w:val="en-AU"/>
        </w:rPr>
        <w:t xml:space="preserve">, </w:t>
      </w:r>
      <w:r w:rsidRPr="009F285E">
        <w:rPr>
          <w:rFonts w:ascii="Arial" w:hAnsi="Arial" w:cs="Arial"/>
          <w:i/>
          <w:lang w:val="en-AU"/>
        </w:rPr>
        <w:t>genetic material</w:t>
      </w:r>
      <w:r w:rsidRPr="009F285E">
        <w:rPr>
          <w:rFonts w:ascii="Arial" w:hAnsi="Arial" w:cs="Arial"/>
          <w:lang w:val="en-AU"/>
        </w:rPr>
        <w:t xml:space="preserve">, </w:t>
      </w:r>
      <w:r w:rsidRPr="009F285E">
        <w:rPr>
          <w:rFonts w:ascii="Arial" w:hAnsi="Arial" w:cs="Arial"/>
          <w:i/>
          <w:lang w:val="en-AU"/>
        </w:rPr>
        <w:t>country of origin</w:t>
      </w:r>
      <w:r w:rsidRPr="009F285E">
        <w:rPr>
          <w:rFonts w:ascii="Arial" w:hAnsi="Arial" w:cs="Arial"/>
          <w:lang w:val="en-AU"/>
        </w:rPr>
        <w:t xml:space="preserve"> and </w:t>
      </w:r>
      <w:r w:rsidRPr="009F285E">
        <w:rPr>
          <w:rFonts w:ascii="Arial" w:hAnsi="Arial" w:cs="Arial"/>
          <w:i/>
          <w:lang w:val="en-AU"/>
        </w:rPr>
        <w:t>in situ</w:t>
      </w:r>
      <w:r w:rsidRPr="009F285E">
        <w:rPr>
          <w:rFonts w:ascii="Arial" w:hAnsi="Arial" w:cs="Arial"/>
          <w:lang w:val="en-AU"/>
        </w:rPr>
        <w:t xml:space="preserve"> </w:t>
      </w:r>
      <w:r w:rsidRPr="009F285E">
        <w:rPr>
          <w:rFonts w:ascii="Arial" w:hAnsi="Arial" w:cs="Arial"/>
          <w:i/>
          <w:lang w:val="en-AU"/>
        </w:rPr>
        <w:t>conditions</w:t>
      </w:r>
      <w:r w:rsidRPr="009F285E">
        <w:rPr>
          <w:rFonts w:ascii="Arial" w:hAnsi="Arial" w:cs="Arial"/>
          <w:lang w:val="en-AU"/>
        </w:rPr>
        <w:t xml:space="preserve"> detailed in the list of terms have been taken directly from existing multilateral agreements relati</w:t>
      </w:r>
      <w:r>
        <w:rPr>
          <w:rFonts w:ascii="Arial" w:hAnsi="Arial" w:cs="Arial"/>
          <w:lang w:val="en-AU"/>
        </w:rPr>
        <w:t>ng to the GRs, notably the CBD.</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 xml:space="preserve">The following definitions have not previously been defined at the multilateral level: </w:t>
      </w:r>
      <w:r w:rsidRPr="009F285E">
        <w:rPr>
          <w:rFonts w:ascii="Arial" w:hAnsi="Arial" w:cs="Arial"/>
          <w:i/>
          <w:lang w:val="en-AU"/>
        </w:rPr>
        <w:t>materially/directly based on</w:t>
      </w:r>
      <w:r w:rsidRPr="009F285E">
        <w:rPr>
          <w:rFonts w:ascii="Arial" w:hAnsi="Arial" w:cs="Arial"/>
          <w:lang w:val="en-AU"/>
        </w:rPr>
        <w:t xml:space="preserve">, </w:t>
      </w:r>
      <w:r w:rsidRPr="009F285E">
        <w:rPr>
          <w:rFonts w:ascii="Arial" w:hAnsi="Arial" w:cs="Arial"/>
          <w:i/>
          <w:lang w:val="en-AU"/>
        </w:rPr>
        <w:t>source of genetic resources</w:t>
      </w:r>
      <w:r w:rsidRPr="009F285E">
        <w:rPr>
          <w:rFonts w:ascii="Arial" w:hAnsi="Arial" w:cs="Arial"/>
          <w:lang w:val="en-AU"/>
        </w:rPr>
        <w:t xml:space="preserve">, and </w:t>
      </w:r>
      <w:r w:rsidRPr="009F285E">
        <w:rPr>
          <w:rFonts w:ascii="Arial" w:hAnsi="Arial" w:cs="Arial"/>
          <w:i/>
          <w:lang w:val="en-AU"/>
        </w:rPr>
        <w:t>source of traditional knowledge associated with genetic resources.</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The term “</w:t>
      </w:r>
      <w:r w:rsidRPr="009F285E">
        <w:rPr>
          <w:rFonts w:ascii="Arial" w:hAnsi="Arial" w:cs="Arial"/>
          <w:i/>
          <w:lang w:val="en-AU"/>
        </w:rPr>
        <w:t>materially/directly based on”</w:t>
      </w:r>
      <w:r w:rsidRPr="009F285E">
        <w:rPr>
          <w:rFonts w:ascii="Arial" w:hAnsi="Arial" w:cs="Arial"/>
          <w:lang w:val="en-AU"/>
        </w:rPr>
        <w:t xml:space="preserve"> specifies the relationship between the claimed </w:t>
      </w:r>
      <w:proofErr w:type="gramStart"/>
      <w:r w:rsidRPr="009F285E">
        <w:rPr>
          <w:rFonts w:ascii="Arial" w:hAnsi="Arial" w:cs="Arial"/>
          <w:lang w:val="en-AU"/>
        </w:rPr>
        <w:t>invention</w:t>
      </w:r>
      <w:proofErr w:type="gramEnd"/>
      <w:r w:rsidRPr="009F285E">
        <w:rPr>
          <w:rFonts w:ascii="Arial" w:hAnsi="Arial" w:cs="Arial"/>
          <w:lang w:val="en-AU"/>
        </w:rPr>
        <w:t xml:space="preserve"> and the GRs and Associated TK which activates the obligation to disclose (referred to in the IGC</w:t>
      </w:r>
      <w:r>
        <w:rPr>
          <w:rFonts w:ascii="Arial" w:hAnsi="Arial" w:cs="Arial"/>
          <w:lang w:val="en-AU"/>
        </w:rPr>
        <w:t xml:space="preserve"> discussions as the “trigger”).</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 xml:space="preserve">Currently there is a significant divergence in triggers at the national and regional levels e.g. </w:t>
      </w:r>
      <w:r w:rsidRPr="009F285E">
        <w:rPr>
          <w:rFonts w:ascii="Arial" w:hAnsi="Arial" w:cs="Arial"/>
          <w:i/>
          <w:lang w:val="en-AU"/>
        </w:rPr>
        <w:t>directly based on</w:t>
      </w:r>
      <w:r w:rsidRPr="009F285E">
        <w:rPr>
          <w:rFonts w:ascii="Arial" w:hAnsi="Arial" w:cs="Arial"/>
          <w:lang w:val="en-AU"/>
        </w:rPr>
        <w:t xml:space="preserve">, </w:t>
      </w:r>
      <w:r w:rsidRPr="009F285E">
        <w:rPr>
          <w:rFonts w:ascii="Arial" w:hAnsi="Arial" w:cs="Arial"/>
          <w:i/>
          <w:lang w:val="en-AU"/>
        </w:rPr>
        <w:t>based on, based on or derived from, is the basis of</w:t>
      </w:r>
      <w:r w:rsidRPr="009F285E">
        <w:rPr>
          <w:rFonts w:ascii="Arial" w:hAnsi="Arial" w:cs="Arial"/>
          <w:lang w:val="en-AU"/>
        </w:rPr>
        <w:t xml:space="preserve">, </w:t>
      </w:r>
      <w:r w:rsidRPr="009F285E">
        <w:rPr>
          <w:rFonts w:ascii="Arial" w:hAnsi="Arial" w:cs="Arial"/>
          <w:i/>
          <w:lang w:val="en-AU"/>
        </w:rPr>
        <w:t>used in an invention, invention concerns, relates to or makes use</w:t>
      </w:r>
      <w:r w:rsidRPr="009F285E">
        <w:rPr>
          <w:rFonts w:ascii="Arial" w:hAnsi="Arial" w:cs="Arial"/>
          <w:b/>
          <w:i/>
          <w:lang w:val="en-AU"/>
        </w:rPr>
        <w:t xml:space="preserve">, </w:t>
      </w:r>
      <w:r w:rsidRPr="009F285E">
        <w:rPr>
          <w:rStyle w:val="Strong"/>
          <w:rFonts w:eastAsia="Arial"/>
          <w:i/>
          <w:bdr w:val="none" w:sz="0" w:space="0" w:color="auto" w:frame="1"/>
          <w:lang w:val="en-AU"/>
        </w:rPr>
        <w:t>an invention-creation accomplished by relying on genetic resources.</w:t>
      </w:r>
      <w:r w:rsidRPr="009F285E">
        <w:rPr>
          <w:rStyle w:val="Strong"/>
          <w:rFonts w:eastAsia="Arial"/>
          <w:bdr w:val="none" w:sz="0" w:space="0" w:color="auto" w:frame="1"/>
          <w:lang w:val="en-AU"/>
        </w:rPr>
        <w:t xml:space="preserve">  </w:t>
      </w:r>
      <w:r w:rsidRPr="009F285E">
        <w:rPr>
          <w:rFonts w:ascii="Arial" w:hAnsi="Arial" w:cs="Arial"/>
          <w:lang w:val="en-AU"/>
        </w:rPr>
        <w:t>There is also significant ambiguity regarding the meaning of these terms.  In order to maximise legal certainty, two amplifying adverbs (</w:t>
      </w:r>
      <w:r w:rsidRPr="009F285E">
        <w:rPr>
          <w:rFonts w:ascii="Arial" w:hAnsi="Arial" w:cs="Arial"/>
          <w:i/>
          <w:lang w:val="en-AU"/>
        </w:rPr>
        <w:t>materially/directly</w:t>
      </w:r>
      <w:r w:rsidRPr="009F285E">
        <w:rPr>
          <w:rFonts w:ascii="Arial" w:hAnsi="Arial" w:cs="Arial"/>
          <w:lang w:val="en-AU"/>
        </w:rPr>
        <w:t>) have been proposed, in addition to the trigger concept “</w:t>
      </w:r>
      <w:r w:rsidRPr="009F285E">
        <w:rPr>
          <w:rFonts w:ascii="Arial" w:hAnsi="Arial" w:cs="Arial"/>
          <w:i/>
          <w:lang w:val="en-AU"/>
        </w:rPr>
        <w:t>based on”</w:t>
      </w:r>
      <w:r w:rsidRPr="009F285E">
        <w:rPr>
          <w:rFonts w:ascii="Arial" w:hAnsi="Arial" w:cs="Arial"/>
          <w:lang w:val="en-AU"/>
        </w:rPr>
        <w:t xml:space="preserve">, for consideration by Member States, reflecting discussions held during IGC 36 in June 2018.  The alternate term </w:t>
      </w:r>
      <w:r w:rsidRPr="009F285E">
        <w:rPr>
          <w:rFonts w:ascii="Arial" w:hAnsi="Arial" w:cs="Arial"/>
          <w:i/>
          <w:lang w:val="en-AU"/>
        </w:rPr>
        <w:t xml:space="preserve">“materially” </w:t>
      </w:r>
      <w:r w:rsidRPr="009F285E">
        <w:rPr>
          <w:rFonts w:ascii="Arial" w:hAnsi="Arial" w:cs="Arial"/>
          <w:lang w:val="en-AU"/>
        </w:rPr>
        <w:t>has been included as the term “</w:t>
      </w:r>
      <w:r w:rsidRPr="009F285E">
        <w:rPr>
          <w:rFonts w:ascii="Arial" w:hAnsi="Arial" w:cs="Arial"/>
          <w:i/>
          <w:lang w:val="en-AU"/>
        </w:rPr>
        <w:t xml:space="preserve">directly” </w:t>
      </w:r>
      <w:r w:rsidRPr="009F285E">
        <w:rPr>
          <w:rFonts w:ascii="Arial" w:hAnsi="Arial" w:cs="Arial"/>
          <w:lang w:val="en-AU"/>
        </w:rPr>
        <w:t>has been contentious within the IGC’s deliberations.  However, by defining the term in the list of terms it is hoped that this concern has been addressed.  An alternative to the inclusion of amplifying adverbs (“</w:t>
      </w:r>
      <w:r w:rsidRPr="009F285E">
        <w:rPr>
          <w:rFonts w:ascii="Arial" w:hAnsi="Arial" w:cs="Arial"/>
          <w:i/>
          <w:lang w:val="en-AU"/>
        </w:rPr>
        <w:t>materially/directly”</w:t>
      </w:r>
      <w:r w:rsidRPr="009F285E">
        <w:rPr>
          <w:rFonts w:ascii="Arial" w:hAnsi="Arial" w:cs="Arial"/>
          <w:lang w:val="en-AU"/>
        </w:rPr>
        <w:t>) in the trigger language is to simply retain the trigger concept “</w:t>
      </w:r>
      <w:r w:rsidRPr="009F285E">
        <w:rPr>
          <w:rFonts w:ascii="Arial" w:hAnsi="Arial" w:cs="Arial"/>
          <w:i/>
          <w:lang w:val="en-AU"/>
        </w:rPr>
        <w:t>based on”</w:t>
      </w:r>
      <w:r w:rsidRPr="009F285E">
        <w:rPr>
          <w:rFonts w:ascii="Arial" w:hAnsi="Arial" w:cs="Arial"/>
          <w:lang w:val="en-AU"/>
        </w:rPr>
        <w:t xml:space="preserve"> and use a definition of “</w:t>
      </w:r>
      <w:r w:rsidRPr="009F285E">
        <w:rPr>
          <w:rFonts w:ascii="Arial" w:hAnsi="Arial" w:cs="Arial"/>
          <w:i/>
          <w:lang w:val="en-AU"/>
        </w:rPr>
        <w:t>based on”</w:t>
      </w:r>
      <w:r w:rsidRPr="009F285E">
        <w:rPr>
          <w:rFonts w:ascii="Arial" w:hAnsi="Arial" w:cs="Arial"/>
          <w:lang w:val="en-AU"/>
        </w:rPr>
        <w:t xml:space="preserve"> to clarify the scope of the trigger.</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A contentious issue related to the concept of “</w:t>
      </w:r>
      <w:r w:rsidRPr="009F285E">
        <w:rPr>
          <w:rFonts w:ascii="Arial" w:hAnsi="Arial" w:cs="Arial"/>
          <w:i/>
          <w:lang w:val="en-AU"/>
        </w:rPr>
        <w:t>directly based on”</w:t>
      </w:r>
      <w:r w:rsidRPr="009F285E">
        <w:rPr>
          <w:rFonts w:ascii="Arial" w:hAnsi="Arial" w:cs="Arial"/>
          <w:lang w:val="en-AU"/>
        </w:rPr>
        <w:t>, which is included in the proposal of the EU first tabled in 2005</w:t>
      </w:r>
      <w:r w:rsidRPr="009F285E">
        <w:rPr>
          <w:rStyle w:val="FootnoteReference"/>
          <w:rFonts w:eastAsia="SimSun"/>
          <w:lang w:val="en-AU"/>
        </w:rPr>
        <w:footnoteReference w:id="13"/>
      </w:r>
      <w:r w:rsidRPr="009F285E">
        <w:rPr>
          <w:rFonts w:ascii="Arial" w:hAnsi="Arial" w:cs="Arial"/>
          <w:lang w:val="en-AU"/>
        </w:rPr>
        <w:t>, is the requirement for the inventor to have physically accessed the GRs.  This touches on different views within the IGC as to whether or not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9F285E">
        <w:rPr>
          <w:rFonts w:ascii="Arial" w:hAnsi="Arial" w:cs="Arial"/>
          <w:i/>
          <w:lang w:val="en-AU"/>
        </w:rPr>
        <w:t>must make immediate use</w:t>
      </w:r>
      <w:r w:rsidRPr="009F285E">
        <w:rPr>
          <w:rFonts w:ascii="Arial" w:hAnsi="Arial" w:cs="Arial"/>
          <w:lang w:val="en-AU"/>
        </w:rPr>
        <w:t>”.  In my view, respectfully, there is a lack of clarity in relation to the meaning of this term.  To address this issue, the terms “</w:t>
      </w:r>
      <w:r w:rsidRPr="009F285E">
        <w:rPr>
          <w:rFonts w:ascii="Arial" w:hAnsi="Arial" w:cs="Arial"/>
          <w:i/>
          <w:lang w:val="en-AU"/>
        </w:rPr>
        <w:t>necessary</w:t>
      </w:r>
      <w:r w:rsidRPr="009F285E">
        <w:rPr>
          <w:rFonts w:ascii="Arial" w:hAnsi="Arial" w:cs="Arial"/>
          <w:lang w:val="en-AU"/>
        </w:rPr>
        <w:t xml:space="preserve">” and </w:t>
      </w:r>
      <w:r w:rsidRPr="009F285E">
        <w:rPr>
          <w:rFonts w:ascii="Arial" w:hAnsi="Arial" w:cs="Arial"/>
          <w:i/>
          <w:lang w:val="en-AU"/>
        </w:rPr>
        <w:t xml:space="preserve">“material to” </w:t>
      </w:r>
      <w:r w:rsidRPr="009F285E">
        <w:rPr>
          <w:rFonts w:ascii="Arial" w:hAnsi="Arial" w:cs="Arial"/>
          <w:lang w:val="en-AU"/>
        </w:rPr>
        <w:t xml:space="preserve">have been included to reduce ambiguity.  In addition, the phrase </w:t>
      </w:r>
      <w:r w:rsidRPr="009F285E">
        <w:rPr>
          <w:rFonts w:ascii="Arial" w:hAnsi="Arial" w:cs="Arial"/>
          <w:i/>
          <w:lang w:val="en-AU"/>
        </w:rPr>
        <w:t xml:space="preserve">“the claimed invention must depend on the specific properties of the GRs and Associated TK” </w:t>
      </w:r>
      <w:r w:rsidRPr="009F285E">
        <w:rPr>
          <w:rFonts w:ascii="Arial" w:hAnsi="Arial" w:cs="Arial"/>
          <w:lang w:val="en-AU"/>
        </w:rPr>
        <w:t xml:space="preserve">is included in the definition. </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i/>
          <w:lang w:val="en-AU"/>
        </w:rPr>
        <w:t>“Source”</w:t>
      </w:r>
      <w:r w:rsidRPr="009F285E">
        <w:rPr>
          <w:rFonts w:ascii="Arial" w:hAnsi="Arial" w:cs="Arial"/>
          <w:lang w:val="en-AU"/>
        </w:rPr>
        <w:t xml:space="preserve"> should be understood from its common meaning </w:t>
      </w:r>
      <w:r w:rsidRPr="009F285E">
        <w:rPr>
          <w:rFonts w:ascii="Arial" w:hAnsi="Arial" w:cs="Arial"/>
          <w:i/>
          <w:lang w:val="en-AU"/>
        </w:rPr>
        <w:t>“from which something originates or can be obtained”</w:t>
      </w:r>
      <w:r w:rsidRPr="009F285E">
        <w:rPr>
          <w:rStyle w:val="FootnoteReference"/>
          <w:rFonts w:eastAsia="SimSun"/>
          <w:i/>
          <w:lang w:val="en-AU"/>
        </w:rPr>
        <w:footnoteReference w:id="14"/>
      </w:r>
      <w:r w:rsidRPr="009F285E">
        <w:rPr>
          <w:rFonts w:ascii="Arial" w:hAnsi="Arial" w:cs="Arial"/>
          <w:i/>
          <w:lang w:val="en-AU"/>
        </w:rPr>
        <w:t>.</w:t>
      </w:r>
      <w:r w:rsidRPr="009F285E">
        <w:rPr>
          <w:rFonts w:ascii="Arial" w:hAnsi="Arial" w:cs="Arial"/>
          <w:lang w:val="en-AU"/>
        </w:rPr>
        <w:t xml:space="preserve">  The two definitions relating to GRs and Associated TK simply provide a non-exhaustive list of from where GRs or Associated TK may have been sourced. </w:t>
      </w:r>
    </w:p>
    <w:p w:rsidR="00A12A21" w:rsidRPr="009F285E" w:rsidRDefault="00A12A21" w:rsidP="00A12A21">
      <w:pPr>
        <w:pStyle w:val="ListParagraph"/>
        <w:keepLines/>
        <w:spacing w:after="0" w:line="240" w:lineRule="auto"/>
        <w:ind w:left="0"/>
        <w:rPr>
          <w:rFonts w:ascii="Arial" w:hAnsi="Arial" w:cs="Arial"/>
          <w:lang w:val="en-AU"/>
        </w:rPr>
      </w:pPr>
    </w:p>
    <w:p w:rsidR="00A12A21" w:rsidRPr="009F285E" w:rsidRDefault="00A12A21" w:rsidP="00A12A21">
      <w:pPr>
        <w:pStyle w:val="ListParagraph"/>
        <w:keepLines/>
        <w:numPr>
          <w:ilvl w:val="0"/>
          <w:numId w:val="18"/>
        </w:numPr>
        <w:spacing w:after="0" w:line="240" w:lineRule="auto"/>
        <w:ind w:left="0" w:firstLine="0"/>
        <w:rPr>
          <w:rFonts w:ascii="Arial" w:hAnsi="Arial" w:cs="Arial"/>
          <w:lang w:val="en-AU"/>
        </w:rPr>
      </w:pPr>
      <w:r w:rsidRPr="009F285E">
        <w:rPr>
          <w:rFonts w:ascii="Arial" w:hAnsi="Arial" w:cs="Arial"/>
          <w:lang w:val="en-AU"/>
        </w:rPr>
        <w:t>The definition for</w:t>
      </w:r>
      <w:r w:rsidRPr="009F285E">
        <w:rPr>
          <w:rFonts w:ascii="Arial" w:hAnsi="Arial" w:cs="Arial"/>
          <w:i/>
          <w:lang w:val="en-AU"/>
        </w:rPr>
        <w:t xml:space="preserve"> traditional knowledge</w:t>
      </w:r>
      <w:r w:rsidRPr="009F285E">
        <w:rPr>
          <w:rFonts w:ascii="Arial" w:hAnsi="Arial" w:cs="Arial"/>
          <w:lang w:val="en-AU"/>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at this time and leave it to national interpretation.</w:t>
      </w:r>
    </w:p>
    <w:p w:rsidR="00A12A21" w:rsidRPr="009F285E" w:rsidRDefault="00A12A21" w:rsidP="00A12A21">
      <w:pPr>
        <w:pStyle w:val="ListParagraph"/>
        <w:keepLines/>
        <w:spacing w:after="0" w:line="240" w:lineRule="auto"/>
        <w:ind w:left="0"/>
        <w:rPr>
          <w:rFonts w:ascii="Arial" w:hAnsi="Arial" w:cs="Arial"/>
          <w:lang w:val="en-AU"/>
        </w:rPr>
      </w:pPr>
    </w:p>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3</w:t>
      </w:r>
    </w:p>
    <w:p w:rsidR="00A12A21" w:rsidRPr="009F285E" w:rsidRDefault="00A12A21" w:rsidP="00A12A21">
      <w:pPr>
        <w:keepLines/>
        <w:jc w:val="center"/>
        <w:rPr>
          <w:b/>
          <w:szCs w:val="22"/>
        </w:rPr>
      </w:pPr>
      <w:r w:rsidRPr="009F285E">
        <w:rPr>
          <w:b/>
          <w:szCs w:val="22"/>
        </w:rPr>
        <w:t xml:space="preserve">DISCLOSURE REQUIREMENT </w:t>
      </w:r>
    </w:p>
    <w:p w:rsidR="00A12A21" w:rsidRPr="009F285E" w:rsidRDefault="00A12A21" w:rsidP="00A12A21">
      <w:pPr>
        <w:keepLines/>
        <w:rPr>
          <w:szCs w:val="22"/>
        </w:rPr>
      </w:pPr>
    </w:p>
    <w:p w:rsidR="00A12A21" w:rsidRPr="009F285E" w:rsidRDefault="00A12A21" w:rsidP="00A12A21">
      <w:pPr>
        <w:keepLines/>
        <w:rPr>
          <w:szCs w:val="22"/>
        </w:rPr>
      </w:pPr>
      <w:r w:rsidRPr="009F285E">
        <w:rPr>
          <w:szCs w:val="22"/>
        </w:rPr>
        <w:t>3.1</w:t>
      </w:r>
      <w:r w:rsidRPr="009F285E">
        <w:rPr>
          <w:szCs w:val="22"/>
        </w:rPr>
        <w:tab/>
        <w:t>Where the claimed invention in a patent application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based on GRs, each Contracting Party shall require applicants to disclose:</w:t>
      </w:r>
    </w:p>
    <w:p w:rsidR="00A12A21" w:rsidRPr="009F285E" w:rsidRDefault="00A12A21" w:rsidP="00A12A21">
      <w:pPr>
        <w:keepLines/>
        <w:rPr>
          <w:szCs w:val="22"/>
        </w:rPr>
      </w:pPr>
    </w:p>
    <w:p w:rsidR="00A12A21" w:rsidRPr="009F285E" w:rsidRDefault="00A12A21" w:rsidP="00A12A21">
      <w:pPr>
        <w:pStyle w:val="NormalWeb"/>
        <w:numPr>
          <w:ilvl w:val="0"/>
          <w:numId w:val="22"/>
        </w:numPr>
        <w:spacing w:before="0" w:beforeAutospacing="0" w:after="0" w:afterAutospacing="0"/>
        <w:rPr>
          <w:rFonts w:ascii="Arial" w:hAnsi="Arial" w:cs="Arial"/>
          <w:sz w:val="22"/>
          <w:szCs w:val="22"/>
        </w:rPr>
      </w:pPr>
      <w:r w:rsidRPr="009F285E">
        <w:rPr>
          <w:rFonts w:ascii="Arial" w:hAnsi="Arial" w:cs="Arial"/>
          <w:sz w:val="22"/>
          <w:szCs w:val="22"/>
        </w:rPr>
        <w:t>the country of origin of the GRs, or,</w:t>
      </w:r>
    </w:p>
    <w:p w:rsidR="00A12A21" w:rsidRPr="009F285E" w:rsidRDefault="00A12A21" w:rsidP="00A12A21">
      <w:pPr>
        <w:pStyle w:val="NormalWeb"/>
        <w:spacing w:before="0" w:beforeAutospacing="0" w:after="0" w:afterAutospacing="0"/>
        <w:ind w:left="1140"/>
        <w:rPr>
          <w:rFonts w:ascii="Arial" w:hAnsi="Arial" w:cs="Arial"/>
          <w:sz w:val="22"/>
          <w:szCs w:val="22"/>
        </w:rPr>
      </w:pPr>
    </w:p>
    <w:p w:rsidR="00A12A21" w:rsidRPr="009F285E" w:rsidRDefault="00A12A21" w:rsidP="00A12A21">
      <w:pPr>
        <w:pStyle w:val="NormalWeb"/>
        <w:spacing w:before="0" w:beforeAutospacing="0" w:after="0" w:afterAutospacing="0"/>
        <w:ind w:left="1170" w:hanging="72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r>
      <w:proofErr w:type="gramStart"/>
      <w:r w:rsidRPr="009F285E">
        <w:rPr>
          <w:rFonts w:ascii="Arial" w:hAnsi="Arial" w:cs="Arial"/>
          <w:sz w:val="22"/>
          <w:szCs w:val="22"/>
        </w:rPr>
        <w:t>in</w:t>
      </w:r>
      <w:proofErr w:type="gramEnd"/>
      <w:r w:rsidRPr="009F285E">
        <w:rPr>
          <w:rFonts w:ascii="Arial" w:hAnsi="Arial" w:cs="Arial"/>
          <w:sz w:val="22"/>
          <w:szCs w:val="22"/>
        </w:rPr>
        <w:t xml:space="preserve"> cases where the information in sub paragraph (a) is not known to the applicant, or where sub paragraph (a) does not apply, the source of the GRs.</w:t>
      </w:r>
    </w:p>
    <w:p w:rsidR="00A12A21" w:rsidRPr="009F285E" w:rsidRDefault="00A12A21" w:rsidP="00A12A21">
      <w:pPr>
        <w:pStyle w:val="NormalWeb"/>
        <w:spacing w:before="0" w:beforeAutospacing="0" w:after="0" w:afterAutospacing="0"/>
        <w:ind w:left="450"/>
        <w:rPr>
          <w:rFonts w:ascii="Arial" w:hAnsi="Arial" w:cs="Arial"/>
          <w:sz w:val="22"/>
          <w:szCs w:val="22"/>
        </w:rPr>
      </w:pPr>
    </w:p>
    <w:p w:rsidR="00A12A21" w:rsidRPr="009F285E" w:rsidRDefault="00A12A21" w:rsidP="00A12A21">
      <w:pPr>
        <w:rPr>
          <w:szCs w:val="22"/>
        </w:rPr>
      </w:pPr>
      <w:r w:rsidRPr="009F285E">
        <w:rPr>
          <w:szCs w:val="22"/>
        </w:rPr>
        <w:t>3.2</w:t>
      </w:r>
      <w:r w:rsidRPr="009F285E">
        <w:rPr>
          <w:szCs w:val="22"/>
        </w:rPr>
        <w:tab/>
        <w:t>Where the claimed invention in a patent application is [</w:t>
      </w:r>
      <w:r w:rsidRPr="009F285E">
        <w:rPr>
          <w:i/>
          <w:szCs w:val="22"/>
        </w:rPr>
        <w:t>materially/directly</w:t>
      </w:r>
      <w:r w:rsidRPr="009F285E">
        <w:rPr>
          <w:szCs w:val="22"/>
        </w:rPr>
        <w:t>] based on Associated TK, each Contracting Party shall require applicants to disclose:</w:t>
      </w:r>
    </w:p>
    <w:p w:rsidR="00A12A21" w:rsidRPr="009F285E" w:rsidRDefault="00A12A21" w:rsidP="00A12A21">
      <w:pPr>
        <w:rPr>
          <w:szCs w:val="22"/>
        </w:rPr>
      </w:pPr>
    </w:p>
    <w:p w:rsidR="00A12A21" w:rsidRPr="009F285E" w:rsidRDefault="00A12A21" w:rsidP="00A12A21">
      <w:pPr>
        <w:ind w:left="450"/>
        <w:rPr>
          <w:szCs w:val="22"/>
        </w:rPr>
      </w:pPr>
      <w:r w:rsidRPr="009F285E">
        <w:rPr>
          <w:szCs w:val="22"/>
        </w:rPr>
        <w:t>(a)</w:t>
      </w:r>
      <w:r w:rsidRPr="009F285E">
        <w:rPr>
          <w:szCs w:val="22"/>
        </w:rPr>
        <w:tab/>
      </w:r>
      <w:proofErr w:type="gramStart"/>
      <w:r w:rsidRPr="009F285E">
        <w:rPr>
          <w:szCs w:val="22"/>
        </w:rPr>
        <w:t>the</w:t>
      </w:r>
      <w:proofErr w:type="gramEnd"/>
      <w:r w:rsidRPr="009F285E">
        <w:rPr>
          <w:szCs w:val="22"/>
        </w:rPr>
        <w:t xml:space="preserve"> indigenous peoples or local community that provided the Associated TK, or,</w:t>
      </w:r>
    </w:p>
    <w:p w:rsidR="00A12A21" w:rsidRPr="009F285E" w:rsidRDefault="00A12A21" w:rsidP="00A12A21">
      <w:pPr>
        <w:ind w:left="450"/>
        <w:rPr>
          <w:szCs w:val="22"/>
        </w:rPr>
      </w:pPr>
    </w:p>
    <w:p w:rsidR="00A12A21" w:rsidRPr="009F285E" w:rsidRDefault="00A12A21" w:rsidP="00A12A21">
      <w:pPr>
        <w:ind w:left="1170" w:hanging="720"/>
        <w:rPr>
          <w:szCs w:val="22"/>
        </w:rPr>
      </w:pPr>
      <w:r w:rsidRPr="009F285E">
        <w:rPr>
          <w:szCs w:val="22"/>
        </w:rPr>
        <w:t>(b)</w:t>
      </w:r>
      <w:r w:rsidRPr="009F285E">
        <w:rPr>
          <w:szCs w:val="22"/>
        </w:rPr>
        <w:tab/>
      </w:r>
      <w:proofErr w:type="gramStart"/>
      <w:r w:rsidRPr="009F285E">
        <w:rPr>
          <w:szCs w:val="22"/>
        </w:rPr>
        <w:t>in</w:t>
      </w:r>
      <w:proofErr w:type="gramEnd"/>
      <w:r w:rsidRPr="009F285E">
        <w:rPr>
          <w:szCs w:val="22"/>
        </w:rPr>
        <w:t xml:space="preserve"> cases where the information in sub paragraph (a) is not known to the applicant, or where sub paragraph (a) does not apply, the source of the Associated TK.</w:t>
      </w:r>
    </w:p>
    <w:p w:rsidR="00A12A21" w:rsidRPr="009F285E" w:rsidRDefault="00A12A21" w:rsidP="00A12A21">
      <w:pPr>
        <w:contextualSpacing/>
        <w:rPr>
          <w:szCs w:val="22"/>
        </w:rPr>
      </w:pPr>
    </w:p>
    <w:p w:rsidR="00A12A21" w:rsidRPr="009F285E" w:rsidRDefault="00A12A21" w:rsidP="00A12A21">
      <w:pPr>
        <w:rPr>
          <w:szCs w:val="22"/>
        </w:rPr>
      </w:pPr>
      <w:r w:rsidRPr="009F285E">
        <w:rPr>
          <w:szCs w:val="22"/>
        </w:rPr>
        <w:t>3.3</w:t>
      </w:r>
      <w:r w:rsidRPr="009F285E">
        <w:rPr>
          <w:szCs w:val="22"/>
        </w:rPr>
        <w:tab/>
        <w:t>In cases where none of the information in paragraphs 3.1 and/or 3.2 is known to the applicant, each Contracting Party shall require the applicant to make a declaration to that effect.</w:t>
      </w:r>
    </w:p>
    <w:p w:rsidR="00A12A21" w:rsidRPr="009F285E" w:rsidRDefault="00A12A21" w:rsidP="00A12A21">
      <w:pPr>
        <w:rPr>
          <w:szCs w:val="22"/>
        </w:rPr>
      </w:pPr>
    </w:p>
    <w:p w:rsidR="00A12A21" w:rsidRPr="009F285E" w:rsidRDefault="00A12A21" w:rsidP="00A12A21">
      <w:pPr>
        <w:rPr>
          <w:szCs w:val="22"/>
        </w:rPr>
      </w:pPr>
      <w:r w:rsidRPr="009F285E">
        <w:rPr>
          <w:szCs w:val="22"/>
        </w:rPr>
        <w:t xml:space="preserve">3.4 </w:t>
      </w:r>
      <w:r w:rsidRPr="009F285E">
        <w:rPr>
          <w:szCs w:val="22"/>
        </w:rPr>
        <w:tab/>
        <w:t>Offices shall</w:t>
      </w:r>
      <w:r w:rsidRPr="009F285E">
        <w:rPr>
          <w:i/>
          <w:szCs w:val="22"/>
        </w:rPr>
        <w:t xml:space="preserve"> </w:t>
      </w:r>
      <w:r w:rsidRPr="009F285E">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A12A21" w:rsidRPr="009F285E" w:rsidRDefault="00A12A21" w:rsidP="00A12A21">
      <w:pPr>
        <w:rPr>
          <w:szCs w:val="22"/>
        </w:rPr>
      </w:pPr>
    </w:p>
    <w:p w:rsidR="00A12A21" w:rsidRPr="009F285E" w:rsidRDefault="00A12A21" w:rsidP="00A12A21">
      <w:pPr>
        <w:rPr>
          <w:szCs w:val="22"/>
        </w:rPr>
      </w:pPr>
      <w:r w:rsidRPr="009F285E">
        <w:rPr>
          <w:szCs w:val="22"/>
        </w:rPr>
        <w:t>3.5</w:t>
      </w:r>
      <w:r w:rsidRPr="009F285E">
        <w:rPr>
          <w:szCs w:val="22"/>
        </w:rPr>
        <w:tab/>
        <w:t>Contracting Parties shall not place an obligation on Offices to verify the authenticity of the disclosure.</w:t>
      </w:r>
    </w:p>
    <w:p w:rsidR="00A12A21" w:rsidRPr="009F285E" w:rsidRDefault="00A12A21" w:rsidP="00A12A21">
      <w:pPr>
        <w:rPr>
          <w:szCs w:val="22"/>
        </w:rPr>
      </w:pPr>
    </w:p>
    <w:p w:rsidR="00A12A21" w:rsidRPr="009F285E" w:rsidRDefault="00A12A21" w:rsidP="00A12A21">
      <w:pPr>
        <w:rPr>
          <w:szCs w:val="22"/>
        </w:rPr>
      </w:pPr>
      <w:r w:rsidRPr="009F285E">
        <w:rPr>
          <w:szCs w:val="22"/>
        </w:rPr>
        <w:t>3.6</w:t>
      </w:r>
      <w:r w:rsidRPr="009F285E">
        <w:rPr>
          <w:szCs w:val="22"/>
        </w:rPr>
        <w:tab/>
        <w:t>Each Contracting Party shall make the information disclosed available in accordance with patent procedures, without prejudice to the protection of confidential information.</w:t>
      </w:r>
      <w:r w:rsidRPr="009F285E" w:rsidDel="002C70BD">
        <w:rPr>
          <w:rStyle w:val="FootnoteReference"/>
          <w:szCs w:val="22"/>
        </w:rPr>
        <w:t xml:space="preserve"> </w:t>
      </w:r>
    </w:p>
    <w:p w:rsidR="00A12A21" w:rsidRDefault="00A12A21" w:rsidP="00A12A21">
      <w:pPr>
        <w:rPr>
          <w:szCs w:val="22"/>
          <w:u w:val="single"/>
        </w:rPr>
      </w:pPr>
      <w:r>
        <w:rPr>
          <w:szCs w:val="22"/>
          <w:u w:val="single"/>
        </w:rPr>
        <w:br w:type="page"/>
      </w:r>
    </w:p>
    <w:p w:rsidR="00A12A21" w:rsidRPr="009F285E" w:rsidRDefault="00A12A21" w:rsidP="00A12A21">
      <w:pPr>
        <w:rPr>
          <w:szCs w:val="22"/>
          <w:u w:val="single"/>
        </w:rPr>
      </w:pPr>
      <w:r w:rsidRPr="009F285E">
        <w:rPr>
          <w:szCs w:val="22"/>
          <w:u w:val="single"/>
        </w:rPr>
        <w:lastRenderedPageBreak/>
        <w:t>Notes on Article 3</w:t>
      </w:r>
    </w:p>
    <w:p w:rsidR="00A12A21" w:rsidRPr="009F285E" w:rsidRDefault="00A12A21" w:rsidP="00A12A21">
      <w:pPr>
        <w:pStyle w:val="ListParagraph"/>
        <w:spacing w:after="0" w:line="240" w:lineRule="auto"/>
        <w:ind w:left="360"/>
        <w:rPr>
          <w:rFonts w:ascii="Arial" w:eastAsia="SimSun" w:hAnsi="Arial" w:cs="Arial"/>
          <w:u w:val="single"/>
          <w:lang w:val="en-AU" w:eastAsia="zh-CN"/>
        </w:rPr>
      </w:pPr>
    </w:p>
    <w:p w:rsidR="00A12A21" w:rsidRPr="009F285E" w:rsidRDefault="00A12A21" w:rsidP="00A12A21">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rsidR="00A12A21" w:rsidRPr="009F285E" w:rsidRDefault="00A12A21" w:rsidP="00A12A21">
      <w:pPr>
        <w:pStyle w:val="ListParagraph"/>
        <w:spacing w:after="0" w:line="240" w:lineRule="auto"/>
        <w:ind w:left="0"/>
        <w:rPr>
          <w:rFonts w:ascii="Arial" w:eastAsia="SimSun" w:hAnsi="Arial" w:cs="Arial"/>
          <w:lang w:val="en-AU" w:eastAsia="zh-CN"/>
        </w:rPr>
      </w:pPr>
    </w:p>
    <w:p w:rsidR="00A12A21" w:rsidRPr="009F285E" w:rsidRDefault="00A12A21" w:rsidP="00A12A21">
      <w:pPr>
        <w:pStyle w:val="NormalWeb"/>
        <w:numPr>
          <w:ilvl w:val="0"/>
          <w:numId w:val="19"/>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r w:rsidRPr="009F285E">
        <w:rPr>
          <w:rFonts w:ascii="Arial" w:hAnsi="Arial" w:cs="Arial"/>
          <w:sz w:val="22"/>
          <w:szCs w:val="22"/>
        </w:rPr>
        <w:t>;  and,</w:t>
      </w:r>
    </w:p>
    <w:p w:rsidR="00A12A21" w:rsidRPr="009F285E" w:rsidRDefault="00A12A21" w:rsidP="00A12A21">
      <w:pPr>
        <w:pStyle w:val="NormalWeb"/>
        <w:spacing w:before="0" w:beforeAutospacing="0" w:after="0" w:afterAutospacing="0"/>
        <w:ind w:left="1010"/>
        <w:rPr>
          <w:rFonts w:ascii="Arial" w:hAnsi="Arial" w:cs="Arial"/>
          <w:sz w:val="22"/>
          <w:szCs w:val="22"/>
        </w:rPr>
      </w:pPr>
    </w:p>
    <w:p w:rsidR="00A12A21" w:rsidRPr="009F285E" w:rsidRDefault="00A12A21" w:rsidP="00A12A21">
      <w:pPr>
        <w:pStyle w:val="NormalWeb"/>
        <w:numPr>
          <w:ilvl w:val="0"/>
          <w:numId w:val="19"/>
        </w:numPr>
        <w:spacing w:before="0" w:beforeAutospacing="0" w:after="0" w:afterAutospacing="0"/>
        <w:rPr>
          <w:rFonts w:ascii="Arial" w:hAnsi="Arial" w:cs="Arial"/>
          <w:sz w:val="22"/>
          <w:szCs w:val="22"/>
        </w:rPr>
      </w:pPr>
      <w:proofErr w:type="gramStart"/>
      <w:r w:rsidRPr="009F285E">
        <w:rPr>
          <w:rFonts w:ascii="Arial" w:hAnsi="Arial" w:cs="Arial"/>
          <w:sz w:val="22"/>
          <w:szCs w:val="22"/>
        </w:rPr>
        <w:t>the</w:t>
      </w:r>
      <w:proofErr w:type="gramEnd"/>
      <w:r w:rsidRPr="009F285E">
        <w:rPr>
          <w:rFonts w:ascii="Arial" w:hAnsi="Arial" w:cs="Arial"/>
          <w:sz w:val="22"/>
          <w:szCs w:val="22"/>
        </w:rPr>
        <w:t xml:space="preserve"> information which needs to be disclosed, referred to in the IGC discussions as the </w:t>
      </w:r>
      <w:r w:rsidRPr="009F285E">
        <w:rPr>
          <w:rFonts w:ascii="Arial" w:hAnsi="Arial" w:cs="Arial"/>
          <w:i/>
          <w:sz w:val="22"/>
          <w:szCs w:val="22"/>
        </w:rPr>
        <w:t>“content”.</w:t>
      </w:r>
    </w:p>
    <w:p w:rsidR="00A12A21" w:rsidRPr="009F285E" w:rsidRDefault="00A12A21" w:rsidP="00A12A21">
      <w:pPr>
        <w:rPr>
          <w:szCs w:val="22"/>
        </w:rPr>
      </w:pPr>
    </w:p>
    <w:p w:rsidR="00A12A21" w:rsidRPr="009F285E" w:rsidRDefault="00A12A21" w:rsidP="00A12A21">
      <w:pPr>
        <w:rPr>
          <w:szCs w:val="22"/>
        </w:rPr>
      </w:pPr>
      <w:r w:rsidRPr="009F285E">
        <w:rPr>
          <w:szCs w:val="22"/>
        </w:rPr>
        <w:t>2.</w:t>
      </w:r>
      <w:r w:rsidRPr="009F285E">
        <w:rPr>
          <w:szCs w:val="22"/>
        </w:rPr>
        <w:tab/>
        <w:t>The trigger and the content should be workable in practice and reflect the various circumstances where GRs and Associated TK can be sourced.  This means that any disclosure requirement should not lead to obligations for patent applicants which cannot be fulfilled or which can only be fulfilled with unreasonable time and effort and which would, therefore, hinder innovation based on GRs and Associated TK.</w:t>
      </w:r>
    </w:p>
    <w:p w:rsidR="00A12A21" w:rsidRPr="009F285E" w:rsidRDefault="00A12A21" w:rsidP="00A12A21">
      <w:pPr>
        <w:rPr>
          <w:szCs w:val="22"/>
        </w:rPr>
      </w:pPr>
    </w:p>
    <w:p w:rsidR="00A12A21" w:rsidRPr="009F285E" w:rsidRDefault="00A12A21" w:rsidP="00A12A21">
      <w:pPr>
        <w:rPr>
          <w:i/>
          <w:szCs w:val="22"/>
        </w:rPr>
      </w:pPr>
      <w:r w:rsidRPr="009F285E">
        <w:rPr>
          <w:i/>
          <w:szCs w:val="22"/>
        </w:rPr>
        <w:t>Trigger</w:t>
      </w:r>
    </w:p>
    <w:p w:rsidR="00A12A21" w:rsidRPr="009F285E" w:rsidRDefault="00A12A21" w:rsidP="00A12A21">
      <w:pPr>
        <w:rPr>
          <w:b/>
          <w:i/>
          <w:szCs w:val="22"/>
        </w:rPr>
      </w:pPr>
    </w:p>
    <w:p w:rsidR="00A12A21" w:rsidRPr="009F285E" w:rsidRDefault="00A12A21" w:rsidP="00A12A21">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rsidR="00A12A21" w:rsidRPr="009F285E" w:rsidRDefault="00A12A21" w:rsidP="00A12A21">
      <w:pPr>
        <w:rPr>
          <w:szCs w:val="22"/>
          <w:u w:val="single"/>
        </w:rPr>
      </w:pPr>
    </w:p>
    <w:p w:rsidR="00A12A21" w:rsidRPr="009F285E" w:rsidRDefault="00A12A21" w:rsidP="00A12A21">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indicates that there must be a causal link between the invention and the GRs.  In practical terms, this means that only those GRs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rsidR="00A12A21" w:rsidRPr="009F285E" w:rsidRDefault="00A12A21" w:rsidP="00A12A21">
      <w:pPr>
        <w:rPr>
          <w:szCs w:val="22"/>
        </w:rPr>
      </w:pPr>
    </w:p>
    <w:p w:rsidR="00A12A21" w:rsidRPr="009F285E" w:rsidRDefault="00A12A21" w:rsidP="00A12A21">
      <w:pPr>
        <w:rPr>
          <w:szCs w:val="22"/>
        </w:rPr>
      </w:pPr>
      <w:r w:rsidRPr="009F285E">
        <w:rPr>
          <w:szCs w:val="22"/>
        </w:rPr>
        <w:t>5.</w:t>
      </w:r>
      <w:r w:rsidRPr="009F285E">
        <w:rPr>
          <w:szCs w:val="22"/>
        </w:rPr>
        <w:tab/>
      </w:r>
      <w:proofErr w:type="gramStart"/>
      <w:r w:rsidRPr="009F285E">
        <w:rPr>
          <w:szCs w:val="22"/>
        </w:rPr>
        <w:t>In</w:t>
      </w:r>
      <w:proofErr w:type="gramEnd"/>
      <w:r w:rsidRPr="009F285E">
        <w:rPr>
          <w:szCs w:val="22"/>
        </w:rPr>
        <w:t xml:space="preserve">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rsidR="00A12A21" w:rsidRPr="009F285E" w:rsidRDefault="00A12A21" w:rsidP="00A12A21">
      <w:pPr>
        <w:rPr>
          <w:b/>
          <w:i/>
          <w:szCs w:val="22"/>
        </w:rPr>
      </w:pPr>
    </w:p>
    <w:p w:rsidR="00A12A21" w:rsidRPr="009F285E" w:rsidRDefault="00A12A21" w:rsidP="00A12A21">
      <w:pPr>
        <w:rPr>
          <w:i/>
          <w:szCs w:val="22"/>
        </w:rPr>
      </w:pPr>
      <w:r w:rsidRPr="009F285E">
        <w:rPr>
          <w:i/>
          <w:szCs w:val="22"/>
        </w:rPr>
        <w:t>Content of Disclosure</w:t>
      </w:r>
    </w:p>
    <w:p w:rsidR="00A12A21" w:rsidRPr="009F285E" w:rsidRDefault="00A12A21" w:rsidP="00A12A21">
      <w:pPr>
        <w:rPr>
          <w:szCs w:val="22"/>
        </w:rPr>
      </w:pPr>
    </w:p>
    <w:p w:rsidR="00A12A21" w:rsidRPr="009F285E" w:rsidRDefault="00A12A21" w:rsidP="00A12A21">
      <w:pPr>
        <w:rPr>
          <w:szCs w:val="22"/>
        </w:rPr>
      </w:pPr>
      <w:r w:rsidRPr="009F285E">
        <w:rPr>
          <w:szCs w:val="22"/>
        </w:rPr>
        <w:t>6.</w:t>
      </w:r>
      <w:r w:rsidRPr="009F285E">
        <w:rPr>
          <w:szCs w:val="22"/>
        </w:rPr>
        <w:tab/>
        <w:t>Depending on the specific circumstances, Article 3 requires different information to be disclosed in patent applications:</w:t>
      </w:r>
    </w:p>
    <w:p w:rsidR="00A12A21" w:rsidRPr="009F285E" w:rsidRDefault="00A12A21" w:rsidP="00A12A21">
      <w:pPr>
        <w:rPr>
          <w:szCs w:val="22"/>
        </w:rPr>
      </w:pPr>
    </w:p>
    <w:p w:rsidR="00A12A21" w:rsidRPr="009F285E" w:rsidRDefault="00A12A21" w:rsidP="00A12A21">
      <w:pPr>
        <w:pStyle w:val="ListParagraph"/>
        <w:numPr>
          <w:ilvl w:val="0"/>
          <w:numId w:val="20"/>
        </w:numPr>
        <w:spacing w:after="0" w:line="240" w:lineRule="auto"/>
        <w:ind w:left="900" w:hanging="540"/>
        <w:rPr>
          <w:rFonts w:ascii="Arial" w:hAnsi="Arial" w:cs="Arial"/>
        </w:rPr>
      </w:pPr>
      <w:r w:rsidRPr="009F285E">
        <w:rPr>
          <w:rFonts w:ascii="Arial" w:hAnsi="Arial" w:cs="Arial"/>
        </w:rPr>
        <w:t>Paragraphs 3.1 and 3.2 detail the information which should be disclosed, if applicable and if known to the patent applicant.</w:t>
      </w:r>
    </w:p>
    <w:p w:rsidR="00A12A21" w:rsidRPr="009F285E" w:rsidRDefault="00A12A21" w:rsidP="00A12A21">
      <w:pPr>
        <w:pStyle w:val="ListParagraph"/>
        <w:spacing w:after="0" w:line="240" w:lineRule="auto"/>
        <w:ind w:left="357"/>
        <w:rPr>
          <w:rFonts w:ascii="Arial" w:hAnsi="Arial" w:cs="Arial"/>
          <w:u w:val="single"/>
          <w:lang w:val="en-AU"/>
        </w:rPr>
      </w:pPr>
    </w:p>
    <w:p w:rsidR="00A12A21" w:rsidRPr="009F285E" w:rsidRDefault="00A12A21" w:rsidP="00A12A21">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which possesses the GRs in </w:t>
      </w:r>
    </w:p>
    <w:p w:rsidR="00A12A21" w:rsidRPr="009F285E" w:rsidRDefault="00A12A21" w:rsidP="00A12A21">
      <w:pPr>
        <w:ind w:left="900"/>
        <w:rPr>
          <w:szCs w:val="22"/>
        </w:rPr>
      </w:pPr>
      <w:proofErr w:type="gramStart"/>
      <w:r w:rsidRPr="009F285E">
        <w:rPr>
          <w:i/>
          <w:szCs w:val="22"/>
        </w:rPr>
        <w:lastRenderedPageBreak/>
        <w:t>in</w:t>
      </w:r>
      <w:proofErr w:type="gramEnd"/>
      <w:r w:rsidRPr="009F285E">
        <w:rPr>
          <w:i/>
          <w:szCs w:val="22"/>
        </w:rPr>
        <w:t xml:space="preserve"> situ</w:t>
      </w:r>
      <w:r w:rsidRPr="009F285E">
        <w:rPr>
          <w:szCs w:val="22"/>
        </w:rPr>
        <w:t xml:space="preserve"> conditions.  However, many GRs are found </w:t>
      </w:r>
      <w:r w:rsidRPr="009F285E">
        <w:rPr>
          <w:i/>
          <w:szCs w:val="22"/>
        </w:rPr>
        <w:t>in situ</w:t>
      </w:r>
      <w:r w:rsidRPr="009F285E">
        <w:rPr>
          <w:szCs w:val="22"/>
        </w:rPr>
        <w:t xml:space="preserve"> in more than one country.  Therefore, there often exists more than one country of origin for a specific GR. However, according to Article 3.1 (a), what should be disclosed is the specific “country of origin of </w:t>
      </w:r>
      <w:r w:rsidRPr="009F285E">
        <w:rPr>
          <w:szCs w:val="22"/>
          <w:u w:val="single"/>
        </w:rPr>
        <w:t>the</w:t>
      </w:r>
      <w:r w:rsidRPr="009F285E">
        <w:rPr>
          <w:szCs w:val="22"/>
        </w:rPr>
        <w:t xml:space="preserve"> GR” (underlining added), i.e.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rsidR="00A12A21" w:rsidRPr="009F285E" w:rsidRDefault="00A12A21" w:rsidP="00A12A21">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was accessed or learned.  </w:t>
      </w:r>
      <w:r w:rsidRPr="009F285E">
        <w:rPr>
          <w:szCs w:val="22"/>
        </w:rPr>
        <w:br/>
      </w:r>
    </w:p>
    <w:p w:rsidR="00A12A21" w:rsidRPr="009F285E" w:rsidRDefault="00A12A21" w:rsidP="00A12A21">
      <w:pPr>
        <w:pStyle w:val="ListParagraph"/>
        <w:numPr>
          <w:ilvl w:val="0"/>
          <w:numId w:val="20"/>
        </w:numPr>
        <w:spacing w:after="0" w:line="240" w:lineRule="auto"/>
        <w:ind w:left="907" w:hanging="540"/>
        <w:rPr>
          <w:rFonts w:ascii="Arial" w:hAnsi="Arial" w:cs="Arial"/>
        </w:rPr>
      </w:pPr>
      <w:r w:rsidRPr="009F285E">
        <w:rPr>
          <w:rFonts w:ascii="Arial" w:eastAsia="SimSun" w:hAnsi="Arial" w:cs="Arial"/>
          <w:lang w:eastAsia="zh-CN"/>
        </w:rPr>
        <w:t xml:space="preserve">Sub paragraphs 3.1(b) and/or 3.2(b) apply in those cases where the information in sub paragraph 3.1(a) and/or 3.2(a) is not available or these sub-paragraphs do </w:t>
      </w:r>
      <w:r w:rsidRPr="009F285E">
        <w:rPr>
          <w:rFonts w:ascii="Arial" w:hAnsi="Arial" w:cs="Arial"/>
        </w:rPr>
        <w:t xml:space="preserve">not apply, and thus it is not possible for the patent applicant to disclose this information.  For example, GRs in areas beyond national jurisdiction such as the high seas. </w:t>
      </w:r>
    </w:p>
    <w:p w:rsidR="00A12A21" w:rsidRPr="009F285E" w:rsidRDefault="00A12A21" w:rsidP="00A12A21">
      <w:pPr>
        <w:ind w:left="907"/>
        <w:rPr>
          <w:i/>
          <w:szCs w:val="22"/>
        </w:rPr>
      </w:pPr>
    </w:p>
    <w:p w:rsidR="00A12A21" w:rsidRPr="009F285E" w:rsidRDefault="00A12A21" w:rsidP="00A12A21">
      <w:pPr>
        <w:ind w:left="907"/>
        <w:rPr>
          <w:szCs w:val="22"/>
        </w:rPr>
      </w:pPr>
      <w:r w:rsidRPr="009F285E">
        <w:rPr>
          <w:i/>
          <w:szCs w:val="22"/>
        </w:rPr>
        <w:t>In the context of GRs,</w:t>
      </w:r>
      <w:r w:rsidRPr="009F285E">
        <w:rPr>
          <w:szCs w:val="22"/>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rsidR="00A12A21" w:rsidRPr="009F285E" w:rsidRDefault="00A12A21" w:rsidP="00A12A21">
      <w:pPr>
        <w:ind w:left="907"/>
        <w:rPr>
          <w:szCs w:val="22"/>
        </w:rPr>
      </w:pPr>
      <w:r w:rsidRPr="009F285E">
        <w:rPr>
          <w:i/>
          <w:szCs w:val="22"/>
        </w:rPr>
        <w:t>In the context of Associated TK,</w:t>
      </w:r>
      <w:r w:rsidRPr="009F285E">
        <w:rPr>
          <w:szCs w:val="22"/>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9F285E">
        <w:rPr>
          <w:szCs w:val="22"/>
        </w:rPr>
        <w:br/>
      </w:r>
    </w:p>
    <w:p w:rsidR="00A12A21" w:rsidRPr="009F285E" w:rsidRDefault="00A12A21" w:rsidP="00A12A21">
      <w:pPr>
        <w:pStyle w:val="ListParagraph"/>
        <w:numPr>
          <w:ilvl w:val="0"/>
          <w:numId w:val="20"/>
        </w:numPr>
        <w:spacing w:after="0" w:line="240" w:lineRule="auto"/>
        <w:ind w:left="990" w:hanging="630"/>
        <w:rPr>
          <w:rFonts w:ascii="Arial" w:hAnsi="Arial" w:cs="Arial"/>
        </w:rPr>
      </w:pPr>
      <w:r w:rsidRPr="009F285E">
        <w:rPr>
          <w:rFonts w:ascii="Arial" w:hAnsi="Arial" w:cs="Arial"/>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rFonts w:ascii="Arial" w:hAnsi="Arial" w:cs="Arial"/>
          <w:i/>
        </w:rPr>
        <w:t>force majeure</w:t>
      </w:r>
      <w:r w:rsidRPr="009F285E">
        <w:rPr>
          <w:rFonts w:ascii="Arial" w:hAnsi="Arial" w:cs="Arial"/>
        </w:rPr>
        <w:t xml:space="preserve">. </w:t>
      </w:r>
      <w:r w:rsidRPr="009F285E">
        <w:rPr>
          <w:rFonts w:ascii="Arial" w:hAnsi="Arial" w:cs="Arial"/>
        </w:rPr>
        <w:br/>
      </w:r>
    </w:p>
    <w:p w:rsidR="00A12A21" w:rsidRPr="009F285E" w:rsidRDefault="00A12A21" w:rsidP="00A12A21">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is directed at </w:t>
      </w:r>
      <w:proofErr w:type="spellStart"/>
      <w:r w:rsidRPr="009F285E">
        <w:rPr>
          <w:szCs w:val="22"/>
        </w:rPr>
        <w:t>minimising</w:t>
      </w:r>
      <w:proofErr w:type="spellEnd"/>
      <w:r w:rsidRPr="009F285E">
        <w:rPr>
          <w:szCs w:val="22"/>
        </w:rPr>
        <w:t xml:space="preserve"> the disclosure regime’s transactional cost/burden on patent offices and ensuring it does not create unreasonable processing delays for patent applicants.  It also </w:t>
      </w:r>
      <w:proofErr w:type="spellStart"/>
      <w:r w:rsidRPr="009F285E">
        <w:rPr>
          <w:szCs w:val="22"/>
        </w:rPr>
        <w:t>recognises</w:t>
      </w:r>
      <w:proofErr w:type="spellEnd"/>
      <w:r w:rsidRPr="009F285E">
        <w:rPr>
          <w:szCs w:val="22"/>
        </w:rPr>
        <w:t xml:space="preserve"> that patent offices do not have the inherent expertise to carry out such actions. </w:t>
      </w:r>
    </w:p>
    <w:p w:rsidR="00A12A21" w:rsidRPr="009F285E" w:rsidRDefault="00A12A21" w:rsidP="00A12A21">
      <w:pPr>
        <w:rPr>
          <w:szCs w:val="22"/>
        </w:rPr>
      </w:pPr>
    </w:p>
    <w:p w:rsidR="00A12A21" w:rsidRDefault="00A12A21" w:rsidP="00A12A21">
      <w:pPr>
        <w:rPr>
          <w:b/>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taking into account that other international instruments refer to but do not necessarily define TK, and noting the objectives of this instrument and ongoing developments in this area, this subject matter has been retained. </w:t>
      </w:r>
      <w:r>
        <w:rPr>
          <w:b/>
          <w:szCs w:val="22"/>
        </w:rPr>
        <w:br w:type="page"/>
      </w:r>
    </w:p>
    <w:p w:rsidR="00A12A21" w:rsidRPr="009F285E" w:rsidRDefault="00A12A21" w:rsidP="00A12A21">
      <w:pPr>
        <w:jc w:val="center"/>
        <w:rPr>
          <w:b/>
          <w:szCs w:val="22"/>
        </w:rPr>
      </w:pPr>
      <w:r w:rsidRPr="009F285E">
        <w:rPr>
          <w:b/>
          <w:szCs w:val="22"/>
        </w:rPr>
        <w:lastRenderedPageBreak/>
        <w:t>ARTICLE 4</w:t>
      </w:r>
    </w:p>
    <w:p w:rsidR="00A12A21" w:rsidRPr="009F285E" w:rsidRDefault="00A12A21" w:rsidP="00A12A21">
      <w:pPr>
        <w:jc w:val="center"/>
        <w:rPr>
          <w:b/>
          <w:szCs w:val="22"/>
        </w:rPr>
      </w:pPr>
      <w:r w:rsidRPr="009F285E">
        <w:rPr>
          <w:b/>
          <w:szCs w:val="22"/>
        </w:rPr>
        <w:t>EXCEPTIONS AND LIMITATIONS</w:t>
      </w:r>
    </w:p>
    <w:p w:rsidR="00A12A21" w:rsidRPr="009F285E" w:rsidRDefault="00A12A21" w:rsidP="00A12A21">
      <w:pPr>
        <w:rPr>
          <w:szCs w:val="22"/>
        </w:rPr>
      </w:pPr>
    </w:p>
    <w:p w:rsidR="00A12A21" w:rsidRPr="009F285E" w:rsidRDefault="00A12A21" w:rsidP="00A12A21">
      <w:pPr>
        <w:rPr>
          <w:szCs w:val="22"/>
        </w:rPr>
      </w:pPr>
      <w:r w:rsidRPr="009F285E">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A12A21" w:rsidRPr="009F285E" w:rsidRDefault="00A12A21" w:rsidP="00A12A21">
      <w:pPr>
        <w:keepLines/>
        <w:rPr>
          <w:rFonts w:eastAsia="Calibri"/>
          <w:szCs w:val="22"/>
        </w:rPr>
      </w:pPr>
    </w:p>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5</w:t>
      </w:r>
    </w:p>
    <w:p w:rsidR="00A12A21" w:rsidRPr="009F285E" w:rsidRDefault="00A12A21" w:rsidP="00A12A21">
      <w:pPr>
        <w:keepLines/>
        <w:jc w:val="center"/>
        <w:rPr>
          <w:b/>
          <w:szCs w:val="22"/>
        </w:rPr>
      </w:pPr>
      <w:r w:rsidRPr="009F285E">
        <w:rPr>
          <w:b/>
          <w:szCs w:val="22"/>
        </w:rPr>
        <w:t>NON-RETROACTIVITY</w:t>
      </w:r>
    </w:p>
    <w:p w:rsidR="00A12A21" w:rsidRPr="009F285E" w:rsidRDefault="00A12A21" w:rsidP="00A12A21">
      <w:pPr>
        <w:rPr>
          <w:szCs w:val="22"/>
        </w:rPr>
      </w:pPr>
    </w:p>
    <w:p w:rsidR="00A12A21" w:rsidRPr="009F285E" w:rsidRDefault="00A12A21" w:rsidP="00A12A21">
      <w:pPr>
        <w:rPr>
          <w:szCs w:val="22"/>
        </w:rPr>
      </w:pPr>
      <w:r w:rsidRPr="009F285E">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rsidR="00A12A21" w:rsidRDefault="00A12A21" w:rsidP="00A12A21">
      <w:pPr>
        <w:rPr>
          <w:szCs w:val="22"/>
          <w:u w:val="single"/>
        </w:rPr>
      </w:pPr>
      <w:r>
        <w:rPr>
          <w:szCs w:val="22"/>
          <w:u w:val="single"/>
        </w:rPr>
        <w:br w:type="page"/>
      </w:r>
    </w:p>
    <w:p w:rsidR="00A12A21" w:rsidRPr="009F285E" w:rsidRDefault="00A12A21" w:rsidP="00A12A21">
      <w:pPr>
        <w:rPr>
          <w:szCs w:val="22"/>
        </w:rPr>
      </w:pPr>
      <w:r w:rsidRPr="009F285E">
        <w:rPr>
          <w:szCs w:val="22"/>
          <w:u w:val="single"/>
        </w:rPr>
        <w:lastRenderedPageBreak/>
        <w:t>Notes on Article 5</w:t>
      </w:r>
      <w:r w:rsidRPr="009F285E">
        <w:rPr>
          <w:szCs w:val="22"/>
          <w:u w:val="single"/>
        </w:rPr>
        <w:br/>
      </w:r>
    </w:p>
    <w:p w:rsidR="00A12A21" w:rsidRPr="009F285E" w:rsidRDefault="00A12A21" w:rsidP="00A12A21">
      <w:pPr>
        <w:rPr>
          <w:szCs w:val="22"/>
        </w:rPr>
      </w:pPr>
      <w:r w:rsidRPr="009F285E">
        <w:rPr>
          <w:szCs w:val="22"/>
        </w:rPr>
        <w:t xml:space="preserve">This article </w:t>
      </w:r>
      <w:proofErr w:type="spellStart"/>
      <w:r w:rsidRPr="009F285E">
        <w:rPr>
          <w:szCs w:val="22"/>
        </w:rPr>
        <w:t>recognises</w:t>
      </w:r>
      <w:proofErr w:type="spellEnd"/>
      <w:r w:rsidRPr="009F285E">
        <w:rPr>
          <w:szCs w:val="22"/>
        </w:rPr>
        <w:t xml:space="preserve"> that in order to maintain legal certainty within the patent system a non-retroactivity clause is required.  However, it also </w:t>
      </w:r>
      <w:proofErr w:type="spellStart"/>
      <w:r w:rsidRPr="009F285E">
        <w:rPr>
          <w:szCs w:val="22"/>
        </w:rPr>
        <w:t>recognises</w:t>
      </w:r>
      <w:proofErr w:type="spellEnd"/>
      <w:r w:rsidRPr="009F285E">
        <w:rPr>
          <w:szCs w:val="22"/>
        </w:rPr>
        <w:t xml:space="preserve"> that a number of mandatory disclosure regimes already exist at the national and regional level.</w:t>
      </w:r>
    </w:p>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6</w:t>
      </w:r>
    </w:p>
    <w:p w:rsidR="00A12A21" w:rsidRPr="009F285E" w:rsidRDefault="00A12A21" w:rsidP="00A12A21">
      <w:pPr>
        <w:jc w:val="center"/>
        <w:rPr>
          <w:b/>
          <w:szCs w:val="22"/>
        </w:rPr>
      </w:pPr>
      <w:r w:rsidRPr="009F285E">
        <w:rPr>
          <w:b/>
          <w:szCs w:val="22"/>
        </w:rPr>
        <w:t>SANCTIONS AND REMEDIES</w:t>
      </w:r>
    </w:p>
    <w:p w:rsidR="00A12A21" w:rsidRPr="009F285E" w:rsidRDefault="00A12A21" w:rsidP="00A12A21">
      <w:pPr>
        <w:keepLines/>
      </w:pPr>
    </w:p>
    <w:p w:rsidR="00A12A21" w:rsidRPr="009F285E" w:rsidRDefault="00A12A21" w:rsidP="00A12A21">
      <w:pPr>
        <w:keepLines/>
        <w:rPr>
          <w:szCs w:val="22"/>
        </w:rPr>
      </w:pPr>
      <w:r w:rsidRPr="009F285E">
        <w:rPr>
          <w:szCs w:val="22"/>
        </w:rPr>
        <w:t>6.1</w:t>
      </w:r>
      <w:r w:rsidRPr="009F285E">
        <w:rPr>
          <w:szCs w:val="22"/>
        </w:rPr>
        <w:tab/>
        <w:t>Each Contracting Party shall put in place appropriate, effective and proportionate legal, administrative, and/or policy measures to address an applicant’s failure to provide the information required in Article 3 of this instrument.</w:t>
      </w:r>
    </w:p>
    <w:p w:rsidR="00A12A21" w:rsidRPr="009F285E" w:rsidRDefault="00A12A21" w:rsidP="00A12A21">
      <w:pPr>
        <w:keepLines/>
        <w:rPr>
          <w:szCs w:val="22"/>
        </w:rPr>
      </w:pPr>
    </w:p>
    <w:p w:rsidR="00A12A21" w:rsidRPr="009F285E" w:rsidRDefault="00A12A21" w:rsidP="00A12A21">
      <w:pPr>
        <w:pStyle w:val="CommentText"/>
        <w:rPr>
          <w:sz w:val="22"/>
          <w:szCs w:val="22"/>
        </w:rPr>
      </w:pPr>
      <w:r w:rsidRPr="009F285E">
        <w:rPr>
          <w:sz w:val="22"/>
          <w:szCs w:val="22"/>
        </w:rPr>
        <w:t>6.2</w:t>
      </w:r>
      <w:r w:rsidRPr="009F285E">
        <w:rPr>
          <w:sz w:val="22"/>
          <w:szCs w:val="22"/>
        </w:rPr>
        <w:tab/>
        <w:t xml:space="preserve">Each Contracting Party shall provide an applicant an opportunity to rectify a failure to include the minimum information detailed in Article 3 before implementing sanctions or directing remedies.  </w:t>
      </w:r>
    </w:p>
    <w:p w:rsidR="00A12A21" w:rsidRPr="009F285E" w:rsidRDefault="00A12A21" w:rsidP="00A12A21">
      <w:pPr>
        <w:keepLines/>
        <w:rPr>
          <w:szCs w:val="22"/>
        </w:rPr>
      </w:pPr>
    </w:p>
    <w:p w:rsidR="00A12A21" w:rsidRPr="009F285E" w:rsidRDefault="00A12A21" w:rsidP="00A12A21">
      <w:pPr>
        <w:rPr>
          <w:szCs w:val="22"/>
        </w:rPr>
      </w:pPr>
      <w:r w:rsidRPr="009F285E">
        <w:rPr>
          <w:szCs w:val="22"/>
        </w:rPr>
        <w:t>6.3</w:t>
      </w:r>
      <w:r w:rsidRPr="009F285E">
        <w:rPr>
          <w:szCs w:val="22"/>
        </w:rPr>
        <w:tab/>
        <w:t>Subject to Article 6.4, no Contracting Party shall revoke or render unenforceable a patent solely on the basis of an applicant’s failure to disclose the information specified in Article 3 of this instrument.</w:t>
      </w:r>
    </w:p>
    <w:p w:rsidR="00A12A21" w:rsidRPr="009F285E" w:rsidRDefault="00A12A21" w:rsidP="00A12A21">
      <w:pPr>
        <w:rPr>
          <w:szCs w:val="22"/>
        </w:rPr>
      </w:pPr>
    </w:p>
    <w:p w:rsidR="00A12A21" w:rsidRPr="009F285E" w:rsidRDefault="00A12A21" w:rsidP="00A12A21">
      <w:pPr>
        <w:keepLines/>
        <w:rPr>
          <w:szCs w:val="22"/>
        </w:rPr>
      </w:pPr>
      <w:r w:rsidRPr="009F285E">
        <w:rPr>
          <w:szCs w:val="22"/>
        </w:rPr>
        <w:t>6.4</w:t>
      </w:r>
      <w:r w:rsidRPr="009F285E">
        <w:rPr>
          <w:szCs w:val="22"/>
        </w:rPr>
        <w:tab/>
        <w:t>Each Contracting Party may provide for post grant sanctions or remedies where there has been fraudulent intent in regard to the disclosure requirement in Article 3 of this instrument, in accordance with its national law.</w:t>
      </w:r>
    </w:p>
    <w:p w:rsidR="00A12A21" w:rsidRPr="009F285E" w:rsidRDefault="00A12A21" w:rsidP="00A12A21">
      <w:pPr>
        <w:rPr>
          <w:szCs w:val="22"/>
        </w:rPr>
      </w:pPr>
    </w:p>
    <w:p w:rsidR="00A12A21" w:rsidRPr="009F285E" w:rsidRDefault="00A12A21" w:rsidP="00A12A21">
      <w:pPr>
        <w:rPr>
          <w:szCs w:val="22"/>
        </w:rPr>
      </w:pPr>
      <w:r w:rsidRPr="009F285E">
        <w:rPr>
          <w:szCs w:val="22"/>
        </w:rPr>
        <w:t>6.5</w:t>
      </w:r>
      <w:r w:rsidRPr="009F285E">
        <w:rPr>
          <w:szCs w:val="22"/>
        </w:rPr>
        <w:tab/>
        <w:t>Without prejudice to non-compliance as a result of a fraudulent intention as addressed under Article 6.4, Contracting Parties shall put in place adequate dispute mechanisms that allow all parties concerned to reach timely and mutually satisfactory solutions, in accordance with national law.</w:t>
      </w:r>
    </w:p>
    <w:p w:rsidR="00A12A21" w:rsidRDefault="00A12A21" w:rsidP="00A12A21">
      <w:pPr>
        <w:rPr>
          <w:szCs w:val="22"/>
          <w:u w:val="single"/>
        </w:rPr>
      </w:pPr>
      <w:r>
        <w:rPr>
          <w:szCs w:val="22"/>
          <w:u w:val="single"/>
        </w:rPr>
        <w:br w:type="page"/>
      </w:r>
    </w:p>
    <w:p w:rsidR="00A12A21" w:rsidRPr="009F285E" w:rsidRDefault="00A12A21" w:rsidP="00A12A21">
      <w:pPr>
        <w:rPr>
          <w:szCs w:val="22"/>
          <w:u w:val="single"/>
        </w:rPr>
      </w:pPr>
      <w:r w:rsidRPr="009F285E">
        <w:rPr>
          <w:szCs w:val="22"/>
          <w:u w:val="single"/>
        </w:rPr>
        <w:lastRenderedPageBreak/>
        <w:t>Notes on Article 6</w:t>
      </w:r>
    </w:p>
    <w:p w:rsidR="00A12A21" w:rsidRPr="009F285E" w:rsidRDefault="00A12A21" w:rsidP="00A12A21">
      <w:pPr>
        <w:rPr>
          <w:szCs w:val="22"/>
          <w:u w:val="single"/>
        </w:rPr>
      </w:pPr>
    </w:p>
    <w:p w:rsidR="00A12A21" w:rsidRPr="009F285E" w:rsidRDefault="00A12A21" w:rsidP="00A12A21">
      <w:pPr>
        <w:rPr>
          <w:szCs w:val="22"/>
        </w:rPr>
      </w:pPr>
      <w:r w:rsidRPr="009F285E">
        <w:rPr>
          <w:szCs w:val="22"/>
        </w:rPr>
        <w:t>1.</w:t>
      </w:r>
      <w:r w:rsidRPr="009F285E">
        <w:rPr>
          <w:szCs w:val="22"/>
        </w:rPr>
        <w:tab/>
        <w:t xml:space="preserve">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withdrawing/lapsing the application if the applicant fails or refuses to provide the minimum information required in Article 3 within a time period as determined at the national level.  These measures could also include post-grant sanctions, such as fines for </w:t>
      </w:r>
      <w:proofErr w:type="spellStart"/>
      <w:r w:rsidRPr="009F285E">
        <w:rPr>
          <w:szCs w:val="22"/>
        </w:rPr>
        <w:t>wilfully</w:t>
      </w:r>
      <w:proofErr w:type="spellEnd"/>
      <w:r w:rsidRPr="009F285E">
        <w:rPr>
          <w:szCs w:val="22"/>
        </w:rPr>
        <w:t xml:space="preserve"> failing to disclose the required information or intentionally providing incorrect information as well as the publication of judicial rulings.</w:t>
      </w:r>
    </w:p>
    <w:p w:rsidR="00A12A21" w:rsidRPr="009F285E" w:rsidRDefault="00A12A21" w:rsidP="00A12A21">
      <w:pPr>
        <w:rPr>
          <w:szCs w:val="22"/>
        </w:rPr>
      </w:pPr>
    </w:p>
    <w:p w:rsidR="00A12A21" w:rsidRPr="009F285E" w:rsidRDefault="00A12A21" w:rsidP="00A12A21">
      <w:pPr>
        <w:rPr>
          <w:szCs w:val="22"/>
        </w:rPr>
      </w:pPr>
      <w:r w:rsidRPr="009F285E">
        <w:rPr>
          <w:szCs w:val="22"/>
        </w:rPr>
        <w:t>2.</w:t>
      </w:r>
      <w:r w:rsidRPr="009F285E">
        <w:rPr>
          <w:szCs w:val="22"/>
        </w:rPr>
        <w:tab/>
        <w:t>Paragraph 6.2 provides for an initial opportunity for an applicant who unintentionally failed to provide the minimum information detailed in Article 3 to address the disclosure requirement.  The time period to correct the failure would be determined based on national patent laws.  See also Article 3, Paragraph 4.</w:t>
      </w:r>
    </w:p>
    <w:p w:rsidR="00A12A21" w:rsidRPr="009F285E" w:rsidRDefault="00A12A21" w:rsidP="00A12A21">
      <w:pPr>
        <w:rPr>
          <w:szCs w:val="22"/>
        </w:rPr>
      </w:pPr>
    </w:p>
    <w:p w:rsidR="00A12A21" w:rsidRPr="009F285E" w:rsidRDefault="00A12A21" w:rsidP="00A12A21">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rsidR="00A12A21" w:rsidRPr="009F285E" w:rsidRDefault="00A12A21" w:rsidP="00A12A21">
      <w:pPr>
        <w:rPr>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A12A21" w:rsidRPr="009F285E" w:rsidRDefault="00A12A21" w:rsidP="00A12A21">
      <w:pPr>
        <w:pStyle w:val="NormalWeb"/>
        <w:spacing w:before="0" w:beforeAutospacing="0" w:after="0" w:afterAutospacing="0"/>
        <w:rPr>
          <w:rFonts w:ascii="Arial" w:hAnsi="Arial" w:cs="Arial"/>
        </w:rPr>
      </w:pPr>
    </w:p>
    <w:p w:rsidR="00A12A21" w:rsidRDefault="00A12A21" w:rsidP="00A12A21">
      <w:pPr>
        <w:jc w:val="center"/>
        <w:rPr>
          <w:b/>
          <w:szCs w:val="22"/>
        </w:rPr>
      </w:pPr>
      <w:r>
        <w:rPr>
          <w:b/>
          <w:szCs w:val="22"/>
        </w:rPr>
        <w:br w:type="page"/>
      </w:r>
    </w:p>
    <w:p w:rsidR="00A12A21" w:rsidRPr="009F285E" w:rsidRDefault="00A12A21" w:rsidP="00A12A21">
      <w:pPr>
        <w:jc w:val="center"/>
        <w:rPr>
          <w:b/>
          <w:szCs w:val="22"/>
        </w:rPr>
      </w:pPr>
      <w:r w:rsidRPr="009F285E">
        <w:rPr>
          <w:b/>
          <w:szCs w:val="22"/>
        </w:rPr>
        <w:lastRenderedPageBreak/>
        <w:t>ARTICLE 7</w:t>
      </w:r>
    </w:p>
    <w:p w:rsidR="00A12A21" w:rsidRPr="009F285E" w:rsidRDefault="00A12A21" w:rsidP="00A12A21">
      <w:pPr>
        <w:keepLines/>
        <w:jc w:val="center"/>
        <w:rPr>
          <w:b/>
          <w:szCs w:val="22"/>
        </w:rPr>
      </w:pPr>
      <w:r w:rsidRPr="009F285E">
        <w:rPr>
          <w:b/>
          <w:szCs w:val="22"/>
        </w:rPr>
        <w:t>INFORMATION SYSTEMS</w:t>
      </w:r>
    </w:p>
    <w:p w:rsidR="00A12A21" w:rsidRPr="009F285E" w:rsidRDefault="00A12A21" w:rsidP="00A12A21">
      <w:pPr>
        <w:keepLines/>
      </w:pPr>
    </w:p>
    <w:p w:rsidR="00A12A21" w:rsidRPr="009F285E" w:rsidRDefault="00A12A21" w:rsidP="00A12A21">
      <w:pPr>
        <w:keepLines/>
        <w:rPr>
          <w:szCs w:val="22"/>
        </w:rPr>
      </w:pPr>
      <w:r w:rsidRPr="009F285E">
        <w:rPr>
          <w:szCs w:val="22"/>
        </w:rPr>
        <w:t>7.1</w:t>
      </w:r>
      <w:r w:rsidRPr="009F285E">
        <w:rPr>
          <w:szCs w:val="22"/>
        </w:rPr>
        <w:tab/>
        <w:t xml:space="preserve">Contracting Parties may establish information systems (such as databases) of GRs and Associated TK, in consultation with relevant stakeholders, taking into account their national circumstances. </w:t>
      </w:r>
    </w:p>
    <w:p w:rsidR="00A12A21" w:rsidRPr="009F285E" w:rsidRDefault="00A12A21" w:rsidP="00A12A21">
      <w:pPr>
        <w:keepLines/>
        <w:rPr>
          <w:szCs w:val="22"/>
        </w:rPr>
      </w:pPr>
    </w:p>
    <w:p w:rsidR="00A12A21" w:rsidRPr="009F285E" w:rsidRDefault="00A12A21" w:rsidP="00A12A21">
      <w:pPr>
        <w:keepLines/>
        <w:rPr>
          <w:szCs w:val="22"/>
        </w:rPr>
      </w:pPr>
      <w:r w:rsidRPr="009F285E">
        <w:rPr>
          <w:szCs w:val="22"/>
        </w:rPr>
        <w:t>7.2</w:t>
      </w:r>
      <w:r w:rsidRPr="009F285E">
        <w:rPr>
          <w:szCs w:val="22"/>
        </w:rPr>
        <w:tab/>
        <w:t>The information systems, with appropriate safeguards, should be accessible to Offices for the purposes of search and examination of patent applications.</w:t>
      </w:r>
    </w:p>
    <w:p w:rsidR="00A12A21" w:rsidRPr="009F285E" w:rsidRDefault="00A12A21" w:rsidP="00A12A21">
      <w:pPr>
        <w:keepLines/>
        <w:ind w:left="360"/>
        <w:rPr>
          <w:szCs w:val="22"/>
        </w:rPr>
      </w:pPr>
    </w:p>
    <w:p w:rsidR="00A12A21" w:rsidRPr="009F285E" w:rsidRDefault="00A12A21" w:rsidP="00A12A21">
      <w:pPr>
        <w:keepLines/>
        <w:rPr>
          <w:szCs w:val="22"/>
        </w:rPr>
      </w:pPr>
      <w:r w:rsidRPr="009F285E">
        <w:rPr>
          <w:szCs w:val="22"/>
        </w:rPr>
        <w:t>7.3.</w:t>
      </w:r>
      <w:r w:rsidRPr="009F285E">
        <w:rPr>
          <w:szCs w:val="22"/>
        </w:rPr>
        <w:tab/>
        <w:t>In regard to such information systems, the Assembly of the Contracting Parties may establish one or more technical working groups to:</w:t>
      </w:r>
    </w:p>
    <w:p w:rsidR="00A12A21" w:rsidRPr="009F285E" w:rsidRDefault="00A12A21" w:rsidP="00A12A21">
      <w:pPr>
        <w:keepLines/>
        <w:rPr>
          <w:szCs w:val="22"/>
        </w:rPr>
      </w:pPr>
    </w:p>
    <w:p w:rsidR="00A12A21" w:rsidRPr="009F285E" w:rsidRDefault="00A12A21" w:rsidP="00A12A21">
      <w:pPr>
        <w:pStyle w:val="ListParagraph"/>
        <w:keepLines/>
        <w:numPr>
          <w:ilvl w:val="0"/>
          <w:numId w:val="17"/>
        </w:numPr>
        <w:spacing w:after="0" w:line="240" w:lineRule="auto"/>
        <w:ind w:left="1080" w:hanging="520"/>
        <w:rPr>
          <w:rFonts w:ascii="Arial" w:hAnsi="Arial" w:cs="Arial"/>
          <w:lang w:val="en-AU"/>
        </w:rPr>
      </w:pPr>
      <w:r w:rsidRPr="009F285E">
        <w:rPr>
          <w:rFonts w:ascii="Arial" w:hAnsi="Arial" w:cs="Arial"/>
          <w:lang w:val="en-AU"/>
        </w:rPr>
        <w:t xml:space="preserve">Develop minimum interoperability standards and structures of </w:t>
      </w:r>
      <w:r w:rsidRPr="009F285E">
        <w:rPr>
          <w:rFonts w:ascii="Arial" w:hAnsi="Arial" w:cs="Arial"/>
        </w:rPr>
        <w:t>information systems</w:t>
      </w:r>
      <w:r w:rsidRPr="009F285E">
        <w:rPr>
          <w:rFonts w:ascii="Arial" w:hAnsi="Arial" w:cs="Arial"/>
          <w:lang w:val="en-AU"/>
        </w:rPr>
        <w:t xml:space="preserve"> content;</w:t>
      </w:r>
    </w:p>
    <w:p w:rsidR="00A12A21" w:rsidRPr="009F285E" w:rsidRDefault="00A12A21" w:rsidP="00A12A21">
      <w:pPr>
        <w:pStyle w:val="ListParagraph"/>
        <w:keepLines/>
        <w:spacing w:after="0" w:line="240" w:lineRule="auto"/>
        <w:ind w:left="1080"/>
        <w:rPr>
          <w:rFonts w:ascii="Arial" w:hAnsi="Arial" w:cs="Arial"/>
          <w:lang w:val="en-AU"/>
        </w:rPr>
      </w:pPr>
    </w:p>
    <w:p w:rsidR="00A12A21" w:rsidRPr="009F285E" w:rsidRDefault="00A12A21" w:rsidP="00A12A21">
      <w:pPr>
        <w:pStyle w:val="ListParagraph"/>
        <w:keepLines/>
        <w:numPr>
          <w:ilvl w:val="0"/>
          <w:numId w:val="17"/>
        </w:numPr>
        <w:spacing w:after="0" w:line="240" w:lineRule="auto"/>
        <w:ind w:left="1080" w:hanging="520"/>
        <w:rPr>
          <w:rFonts w:ascii="Arial" w:hAnsi="Arial" w:cs="Arial"/>
          <w:lang w:val="en-AU"/>
        </w:rPr>
      </w:pPr>
      <w:r w:rsidRPr="009F285E">
        <w:rPr>
          <w:rFonts w:ascii="Arial" w:hAnsi="Arial" w:cs="Arial"/>
          <w:lang w:val="en-AU"/>
        </w:rPr>
        <w:t>Develop guidelines relating to safeguards;</w:t>
      </w:r>
    </w:p>
    <w:p w:rsidR="00A12A21" w:rsidRPr="009F285E" w:rsidRDefault="00A12A21" w:rsidP="00A12A21">
      <w:pPr>
        <w:pStyle w:val="ListParagraph"/>
        <w:keepLines/>
        <w:spacing w:after="0" w:line="240" w:lineRule="auto"/>
        <w:ind w:left="1080"/>
        <w:rPr>
          <w:rFonts w:ascii="Arial" w:hAnsi="Arial" w:cs="Arial"/>
          <w:lang w:val="en-AU"/>
        </w:rPr>
      </w:pPr>
    </w:p>
    <w:p w:rsidR="00A12A21" w:rsidRPr="009F285E" w:rsidRDefault="00A12A21" w:rsidP="00A12A21">
      <w:pPr>
        <w:pStyle w:val="ListParagraph"/>
        <w:keepLines/>
        <w:numPr>
          <w:ilvl w:val="0"/>
          <w:numId w:val="17"/>
        </w:numPr>
        <w:spacing w:after="0" w:line="240" w:lineRule="auto"/>
        <w:ind w:left="1080" w:hanging="520"/>
        <w:rPr>
          <w:rFonts w:ascii="Arial" w:hAnsi="Arial" w:cs="Arial"/>
          <w:lang w:val="en-AU"/>
        </w:rPr>
      </w:pPr>
      <w:r w:rsidRPr="009F285E">
        <w:rPr>
          <w:rFonts w:ascii="Arial" w:hAnsi="Arial" w:cs="Arial"/>
          <w:lang w:val="en-AU"/>
        </w:rPr>
        <w:t xml:space="preserve">Develop principles and modalities related to the sharing of relevant information related to </w:t>
      </w:r>
      <w:r w:rsidRPr="009F285E">
        <w:rPr>
          <w:rFonts w:ascii="Arial" w:hAnsi="Arial" w:cs="Arial"/>
        </w:rPr>
        <w:t>GRs and Associated TK</w:t>
      </w:r>
      <w:r w:rsidRPr="009F285E">
        <w:rPr>
          <w:rFonts w:ascii="Arial" w:hAnsi="Arial" w:cs="Arial"/>
          <w:lang w:val="en-AU"/>
        </w:rPr>
        <w:t xml:space="preserve">, especially periodicals, digital libraries and databases of information related to </w:t>
      </w:r>
      <w:r w:rsidRPr="009F285E">
        <w:rPr>
          <w:rFonts w:ascii="Arial" w:hAnsi="Arial" w:cs="Arial"/>
        </w:rPr>
        <w:t>GRs and Associated TK</w:t>
      </w:r>
      <w:r w:rsidRPr="009F285E">
        <w:rPr>
          <w:rFonts w:ascii="Arial" w:hAnsi="Arial" w:cs="Arial"/>
          <w:lang w:val="en-AU"/>
        </w:rPr>
        <w:t>, and how WIPO Members should cooperate in the sharing of such information;</w:t>
      </w:r>
    </w:p>
    <w:p w:rsidR="00A12A21" w:rsidRPr="009F285E" w:rsidRDefault="00A12A21" w:rsidP="00A12A21">
      <w:pPr>
        <w:pStyle w:val="ListParagraph"/>
        <w:keepLines/>
        <w:spacing w:after="0" w:line="240" w:lineRule="auto"/>
        <w:ind w:left="1080"/>
        <w:rPr>
          <w:rFonts w:ascii="Arial" w:hAnsi="Arial" w:cs="Arial"/>
          <w:lang w:val="en-AU"/>
        </w:rPr>
      </w:pPr>
    </w:p>
    <w:p w:rsidR="00A12A21" w:rsidRPr="009F285E" w:rsidRDefault="00A12A21" w:rsidP="00A12A21">
      <w:pPr>
        <w:pStyle w:val="ListParagraph"/>
        <w:keepLines/>
        <w:numPr>
          <w:ilvl w:val="0"/>
          <w:numId w:val="17"/>
        </w:numPr>
        <w:spacing w:after="0" w:line="240" w:lineRule="auto"/>
        <w:ind w:left="1080" w:hanging="520"/>
        <w:rPr>
          <w:rFonts w:ascii="Arial" w:hAnsi="Arial" w:cs="Arial"/>
          <w:lang w:val="en-AU"/>
        </w:rPr>
      </w:pPr>
      <w:r w:rsidRPr="009F285E">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9F285E">
        <w:rPr>
          <w:rFonts w:ascii="Arial" w:hAnsi="Arial" w:cs="Arial"/>
        </w:rPr>
        <w:t>information systems</w:t>
      </w:r>
      <w:r w:rsidRPr="009F285E">
        <w:rPr>
          <w:rFonts w:ascii="Arial" w:hAnsi="Arial" w:cs="Arial"/>
          <w:lang w:val="en-AU"/>
        </w:rPr>
        <w:t xml:space="preserve">, subject to appropriate safeguards;  and, </w:t>
      </w:r>
    </w:p>
    <w:p w:rsidR="00A12A21" w:rsidRPr="009F285E" w:rsidRDefault="00A12A21" w:rsidP="00A12A21">
      <w:pPr>
        <w:pStyle w:val="ListParagraph"/>
        <w:keepLines/>
        <w:spacing w:after="0" w:line="240" w:lineRule="auto"/>
        <w:ind w:left="1080"/>
        <w:rPr>
          <w:rFonts w:ascii="Arial" w:hAnsi="Arial" w:cs="Arial"/>
          <w:lang w:val="en-AU"/>
        </w:rPr>
      </w:pPr>
    </w:p>
    <w:p w:rsidR="00A12A21" w:rsidRPr="009F285E" w:rsidRDefault="00A12A21" w:rsidP="00A12A21">
      <w:pPr>
        <w:pStyle w:val="ListParagraph"/>
        <w:keepLines/>
        <w:numPr>
          <w:ilvl w:val="0"/>
          <w:numId w:val="17"/>
        </w:numPr>
        <w:spacing w:after="0" w:line="240" w:lineRule="auto"/>
        <w:ind w:left="1080" w:hanging="520"/>
        <w:rPr>
          <w:rFonts w:ascii="Arial" w:hAnsi="Arial" w:cs="Arial"/>
          <w:lang w:val="en-AU"/>
        </w:rPr>
      </w:pPr>
      <w:r w:rsidRPr="009F285E">
        <w:rPr>
          <w:rFonts w:ascii="Arial" w:hAnsi="Arial" w:cs="Arial"/>
          <w:lang w:val="en-AU"/>
        </w:rPr>
        <w:t xml:space="preserve">Address any other related issue. </w:t>
      </w:r>
    </w:p>
    <w:p w:rsidR="00A12A21" w:rsidRDefault="00A12A21" w:rsidP="00A12A21">
      <w:pPr>
        <w:jc w:val="center"/>
        <w:rPr>
          <w:b/>
          <w:sz w:val="28"/>
          <w:szCs w:val="28"/>
        </w:rPr>
      </w:pPr>
      <w:r>
        <w:rPr>
          <w:b/>
          <w:sz w:val="28"/>
          <w:szCs w:val="28"/>
        </w:rPr>
        <w:br w:type="page"/>
      </w:r>
    </w:p>
    <w:p w:rsidR="00A12A21" w:rsidRPr="009F285E" w:rsidRDefault="00A12A21" w:rsidP="00A12A21">
      <w:pPr>
        <w:jc w:val="center"/>
        <w:rPr>
          <w:b/>
          <w:szCs w:val="22"/>
        </w:rPr>
      </w:pPr>
      <w:r w:rsidRPr="009F285E">
        <w:rPr>
          <w:b/>
          <w:szCs w:val="22"/>
        </w:rPr>
        <w:lastRenderedPageBreak/>
        <w:t>ARTICLE 8</w:t>
      </w:r>
    </w:p>
    <w:p w:rsidR="00A12A21" w:rsidRPr="009F285E" w:rsidRDefault="00A12A21" w:rsidP="00A12A21">
      <w:pPr>
        <w:keepLines/>
        <w:jc w:val="center"/>
        <w:rPr>
          <w:b/>
          <w:szCs w:val="22"/>
        </w:rPr>
      </w:pPr>
      <w:r w:rsidRPr="009F285E">
        <w:rPr>
          <w:b/>
          <w:szCs w:val="22"/>
        </w:rPr>
        <w:t>RELATIONSHIP WITH OTHER INTERNATIONAL AGREEMENTS</w:t>
      </w:r>
    </w:p>
    <w:p w:rsidR="00A12A21" w:rsidRPr="009F285E" w:rsidRDefault="00A12A21" w:rsidP="00A12A21">
      <w:pPr>
        <w:keepLines/>
        <w:rPr>
          <w:b/>
        </w:rPr>
      </w:pPr>
    </w:p>
    <w:p w:rsidR="00A12A21" w:rsidRPr="009F285E" w:rsidRDefault="00A12A21" w:rsidP="00A12A21">
      <w:pPr>
        <w:keepLines/>
        <w:rPr>
          <w:szCs w:val="22"/>
        </w:rPr>
      </w:pPr>
      <w:r w:rsidRPr="009F285E">
        <w:rPr>
          <w:szCs w:val="22"/>
        </w:rPr>
        <w:t>This instrument shall be implemented in a mutually supportive manner with other international agreements relevant to this instrument</w:t>
      </w:r>
      <w:r w:rsidRPr="009F285E">
        <w:rPr>
          <w:rStyle w:val="FootnoteReference"/>
          <w:szCs w:val="22"/>
        </w:rPr>
        <w:footnoteReference w:id="15"/>
      </w:r>
      <w:r w:rsidRPr="009F285E">
        <w:rPr>
          <w:szCs w:val="22"/>
        </w:rPr>
        <w:t>.</w:t>
      </w: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9</w:t>
      </w:r>
    </w:p>
    <w:p w:rsidR="00A12A21" w:rsidRPr="009F285E" w:rsidRDefault="00A12A21" w:rsidP="00A12A21">
      <w:pPr>
        <w:keepLines/>
        <w:jc w:val="center"/>
        <w:rPr>
          <w:b/>
        </w:rPr>
      </w:pPr>
      <w:r w:rsidRPr="009F285E">
        <w:rPr>
          <w:b/>
          <w:szCs w:val="22"/>
        </w:rPr>
        <w:t xml:space="preserve">REVIEW </w:t>
      </w:r>
    </w:p>
    <w:p w:rsidR="00A12A21" w:rsidRPr="009F285E" w:rsidRDefault="00A12A21" w:rsidP="00A12A21">
      <w:pPr>
        <w:keepLines/>
        <w:jc w:val="center"/>
        <w:rPr>
          <w:b/>
        </w:rPr>
      </w:pPr>
    </w:p>
    <w:p w:rsidR="00A12A21" w:rsidRPr="009F285E" w:rsidRDefault="00A12A21" w:rsidP="00A12A21">
      <w:pPr>
        <w:keepLines/>
        <w:rPr>
          <w:rFonts w:eastAsia="Calibri"/>
          <w:szCs w:val="22"/>
        </w:rPr>
      </w:pPr>
      <w:r w:rsidRPr="009F285E">
        <w:rPr>
          <w:rFonts w:eastAsia="Calibri"/>
          <w:szCs w:val="22"/>
        </w:rPr>
        <w:t xml:space="preserve">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 </w:t>
      </w:r>
    </w:p>
    <w:p w:rsidR="00A12A21" w:rsidRDefault="00A12A21" w:rsidP="00A12A21">
      <w:pPr>
        <w:keepLines/>
        <w:rPr>
          <w:rFonts w:eastAsia="Calibri"/>
          <w:szCs w:val="22"/>
          <w:u w:val="single"/>
        </w:rPr>
      </w:pPr>
      <w:r>
        <w:rPr>
          <w:rFonts w:eastAsia="Calibri"/>
          <w:szCs w:val="22"/>
          <w:u w:val="single"/>
        </w:rPr>
        <w:br w:type="page"/>
      </w:r>
    </w:p>
    <w:p w:rsidR="00A12A21" w:rsidRPr="009F285E" w:rsidRDefault="00A12A21" w:rsidP="00A12A21">
      <w:pPr>
        <w:keepLines/>
        <w:rPr>
          <w:rFonts w:eastAsia="Calibri"/>
          <w:szCs w:val="22"/>
          <w:u w:val="single"/>
        </w:rPr>
      </w:pPr>
      <w:r w:rsidRPr="009F285E">
        <w:rPr>
          <w:rFonts w:eastAsia="Calibri"/>
          <w:szCs w:val="22"/>
          <w:u w:val="single"/>
        </w:rPr>
        <w:lastRenderedPageBreak/>
        <w:t>Notes on Article 9</w:t>
      </w:r>
    </w:p>
    <w:p w:rsidR="00A12A21" w:rsidRPr="009F285E" w:rsidRDefault="00A12A21" w:rsidP="00A12A21">
      <w:pPr>
        <w:keepLines/>
        <w:rPr>
          <w:rFonts w:eastAsia="Calibri"/>
          <w:szCs w:val="22"/>
          <w:u w:val="single"/>
        </w:rPr>
      </w:pPr>
    </w:p>
    <w:p w:rsidR="00A12A21" w:rsidRPr="009F285E" w:rsidRDefault="00A12A21" w:rsidP="00A12A21">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w:t>
      </w:r>
      <w:proofErr w:type="spellStart"/>
      <w:r w:rsidRPr="009F285E">
        <w:rPr>
          <w:rFonts w:eastAsia="Calibri"/>
          <w:szCs w:val="22"/>
        </w:rPr>
        <w:t>recognised</w:t>
      </w:r>
      <w:proofErr w:type="spellEnd"/>
      <w:r w:rsidRPr="009F285E">
        <w:rPr>
          <w:rFonts w:eastAsia="Calibri"/>
          <w:szCs w:val="22"/>
        </w:rPr>
        <w:t xml:space="preserve">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A12A21" w:rsidRPr="009F285E" w:rsidRDefault="00A12A21" w:rsidP="00A12A21">
      <w:pPr>
        <w:keepLines/>
        <w:rPr>
          <w:rFonts w:eastAsia="Calibri"/>
          <w:szCs w:val="22"/>
        </w:rPr>
      </w:pPr>
    </w:p>
    <w:p w:rsidR="00A12A21" w:rsidRPr="009F285E" w:rsidRDefault="00A12A21" w:rsidP="00A12A21">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time-frame. </w:t>
      </w:r>
    </w:p>
    <w:p w:rsidR="00A12A21" w:rsidRPr="009F285E" w:rsidRDefault="00A12A21" w:rsidP="00A12A21">
      <w:pPr>
        <w:keepLines/>
        <w:rPr>
          <w:rFonts w:eastAsia="Calibri"/>
          <w:szCs w:val="22"/>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10</w:t>
      </w:r>
      <w:r w:rsidRPr="009F285E">
        <w:rPr>
          <w:rStyle w:val="FootnoteReference"/>
          <w:b/>
          <w:szCs w:val="22"/>
        </w:rPr>
        <w:footnoteReference w:id="16"/>
      </w:r>
    </w:p>
    <w:p w:rsidR="00A12A21" w:rsidRPr="009F285E" w:rsidRDefault="00A12A21" w:rsidP="00A12A21">
      <w:pPr>
        <w:keepLines/>
        <w:jc w:val="center"/>
        <w:rPr>
          <w:b/>
          <w:szCs w:val="22"/>
        </w:rPr>
      </w:pPr>
      <w:r w:rsidRPr="009F285E">
        <w:rPr>
          <w:b/>
          <w:szCs w:val="22"/>
        </w:rPr>
        <w:t>GENERAL PRINCIPLES ON IMPLEMENTATION</w:t>
      </w:r>
    </w:p>
    <w:p w:rsidR="00A12A21" w:rsidRPr="009F285E" w:rsidRDefault="00A12A21" w:rsidP="00A12A21">
      <w:pPr>
        <w:keepLines/>
        <w:jc w:val="center"/>
        <w:rPr>
          <w:szCs w:val="22"/>
        </w:rPr>
      </w:pPr>
    </w:p>
    <w:p w:rsidR="00A12A21" w:rsidRPr="009F285E" w:rsidRDefault="00A12A21" w:rsidP="00A12A21">
      <w:pPr>
        <w:keepLines/>
        <w:ind w:left="360"/>
        <w:rPr>
          <w:szCs w:val="22"/>
        </w:rPr>
      </w:pPr>
      <w:r w:rsidRPr="009F285E">
        <w:rPr>
          <w:szCs w:val="22"/>
        </w:rPr>
        <w:t>10.1</w:t>
      </w:r>
      <w:r w:rsidRPr="009F285E">
        <w:rPr>
          <w:szCs w:val="22"/>
        </w:rPr>
        <w:tab/>
        <w:t>Contracting Parties undertake to adopt the measures necessary to ensure the application of this instrument.</w:t>
      </w:r>
    </w:p>
    <w:p w:rsidR="00A12A21" w:rsidRPr="009F285E" w:rsidRDefault="00A12A21" w:rsidP="00A12A21">
      <w:pPr>
        <w:pStyle w:val="ListParagraph"/>
        <w:keepLines/>
        <w:spacing w:after="0" w:line="240" w:lineRule="auto"/>
        <w:ind w:left="0"/>
        <w:rPr>
          <w:rFonts w:ascii="Arial" w:hAnsi="Arial" w:cs="Arial"/>
        </w:rPr>
      </w:pPr>
    </w:p>
    <w:p w:rsidR="00A12A21" w:rsidRDefault="00A12A21" w:rsidP="00A12A21">
      <w:pPr>
        <w:keepLines/>
        <w:ind w:left="360"/>
        <w:rPr>
          <w:szCs w:val="22"/>
        </w:rPr>
      </w:pPr>
      <w:r w:rsidRPr="009F285E">
        <w:rPr>
          <w:szCs w:val="22"/>
        </w:rPr>
        <w:t>10.2</w:t>
      </w:r>
      <w:r w:rsidRPr="009F285E">
        <w:rPr>
          <w:szCs w:val="22"/>
        </w:rPr>
        <w:tab/>
        <w:t xml:space="preserve">Nothing shall prevent Contracting Parties from determining the appropriate method of implementing the provisions of this instrument within their own legal systems and practices.] </w:t>
      </w:r>
      <w:r>
        <w:rPr>
          <w:szCs w:val="22"/>
        </w:rPr>
        <w:br w:type="page"/>
      </w:r>
    </w:p>
    <w:p w:rsidR="00A12A21" w:rsidRPr="009F285E" w:rsidRDefault="00A12A21" w:rsidP="00A12A21">
      <w:pPr>
        <w:keepLines/>
        <w:jc w:val="center"/>
        <w:rPr>
          <w:b/>
          <w:szCs w:val="22"/>
        </w:rPr>
      </w:pPr>
      <w:r w:rsidRPr="009F285E">
        <w:rPr>
          <w:b/>
          <w:szCs w:val="22"/>
        </w:rPr>
        <w:lastRenderedPageBreak/>
        <w:t>[ARTICLE 11</w:t>
      </w:r>
    </w:p>
    <w:p w:rsidR="00A12A21" w:rsidRPr="009F285E" w:rsidRDefault="00A12A21" w:rsidP="00A12A21">
      <w:pPr>
        <w:keepLines/>
        <w:jc w:val="center"/>
        <w:rPr>
          <w:b/>
          <w:szCs w:val="22"/>
        </w:rPr>
      </w:pPr>
      <w:r w:rsidRPr="009F285E">
        <w:rPr>
          <w:b/>
          <w:szCs w:val="22"/>
        </w:rPr>
        <w:t>ASSEMBLY</w:t>
      </w:r>
    </w:p>
    <w:p w:rsidR="00A12A21" w:rsidRPr="009F285E" w:rsidRDefault="00A12A21" w:rsidP="00A12A21">
      <w:pPr>
        <w:keepLines/>
        <w:rPr>
          <w:szCs w:val="22"/>
        </w:rPr>
      </w:pPr>
    </w:p>
    <w:p w:rsidR="00A12A21" w:rsidRPr="009F285E" w:rsidRDefault="00A12A21" w:rsidP="00A12A21">
      <w:pPr>
        <w:keepLines/>
        <w:rPr>
          <w:szCs w:val="22"/>
        </w:rPr>
      </w:pPr>
      <w:r w:rsidRPr="009F285E">
        <w:rPr>
          <w:szCs w:val="22"/>
        </w:rPr>
        <w:t>11.1</w:t>
      </w:r>
      <w:r w:rsidRPr="009F285E">
        <w:rPr>
          <w:szCs w:val="22"/>
        </w:rPr>
        <w:tab/>
        <w:t xml:space="preserve">The Contracting Parties shall have an Assembly: </w:t>
      </w:r>
    </w:p>
    <w:p w:rsidR="00A12A21" w:rsidRPr="009F285E" w:rsidRDefault="00A12A21" w:rsidP="00A12A21">
      <w:pPr>
        <w:keepLines/>
        <w:rPr>
          <w:szCs w:val="22"/>
        </w:rPr>
      </w:pPr>
    </w:p>
    <w:p w:rsidR="00A12A21" w:rsidRPr="009F285E" w:rsidRDefault="00A12A21" w:rsidP="00A12A21">
      <w:pPr>
        <w:pStyle w:val="ListParagraph"/>
        <w:keepLines/>
        <w:numPr>
          <w:ilvl w:val="0"/>
          <w:numId w:val="21"/>
        </w:numPr>
        <w:spacing w:after="0" w:line="240" w:lineRule="auto"/>
        <w:ind w:left="993" w:hanging="547"/>
        <w:rPr>
          <w:rFonts w:ascii="Arial" w:hAnsi="Arial" w:cs="Arial"/>
        </w:rPr>
      </w:pPr>
      <w:r w:rsidRPr="009F285E">
        <w:rPr>
          <w:rFonts w:ascii="Arial" w:hAnsi="Arial" w:cs="Arial"/>
        </w:rPr>
        <w:t>Each Contracting Party shall be represented in the Assembly by one delegate who may be assisted by alternate delegates, advisors and experts.</w:t>
      </w:r>
    </w:p>
    <w:p w:rsidR="00A12A21" w:rsidRPr="009F285E" w:rsidRDefault="00A12A21" w:rsidP="00A12A21">
      <w:pPr>
        <w:pStyle w:val="ListParagraph"/>
        <w:keepLines/>
        <w:spacing w:after="0" w:line="240" w:lineRule="auto"/>
        <w:ind w:left="993"/>
        <w:rPr>
          <w:rFonts w:ascii="Arial" w:hAnsi="Arial" w:cs="Arial"/>
        </w:rPr>
      </w:pPr>
    </w:p>
    <w:p w:rsidR="00A12A21" w:rsidRPr="009F285E" w:rsidRDefault="00A12A21" w:rsidP="00A12A21">
      <w:pPr>
        <w:pStyle w:val="ListParagraph"/>
        <w:keepLines/>
        <w:numPr>
          <w:ilvl w:val="0"/>
          <w:numId w:val="21"/>
        </w:numPr>
        <w:spacing w:after="0" w:line="240" w:lineRule="auto"/>
        <w:ind w:left="993" w:hanging="547"/>
        <w:rPr>
          <w:rFonts w:ascii="Arial" w:hAnsi="Arial" w:cs="Arial"/>
        </w:rPr>
      </w:pPr>
      <w:r w:rsidRPr="009F285E">
        <w:rPr>
          <w:rFonts w:ascii="Arial" w:hAnsi="Arial" w:cs="Arial"/>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A12A21" w:rsidRPr="009F285E" w:rsidRDefault="00A12A21" w:rsidP="00A12A21">
      <w:pPr>
        <w:pStyle w:val="ListParagraph"/>
        <w:keepLines/>
        <w:spacing w:after="0" w:line="240" w:lineRule="auto"/>
        <w:ind w:left="993"/>
        <w:rPr>
          <w:rFonts w:ascii="Arial" w:hAnsi="Arial" w:cs="Arial"/>
        </w:rPr>
      </w:pPr>
    </w:p>
    <w:p w:rsidR="00A12A21" w:rsidRPr="009F285E" w:rsidRDefault="00A12A21" w:rsidP="00A12A21">
      <w:pPr>
        <w:pStyle w:val="ListParagraph"/>
        <w:keepLines/>
        <w:numPr>
          <w:ilvl w:val="0"/>
          <w:numId w:val="21"/>
        </w:numPr>
        <w:spacing w:after="0" w:line="240" w:lineRule="auto"/>
        <w:ind w:left="993" w:hanging="547"/>
        <w:rPr>
          <w:rFonts w:ascii="Arial" w:hAnsi="Arial" w:cs="Arial"/>
        </w:rPr>
      </w:pPr>
      <w:r w:rsidRPr="009F285E">
        <w:rPr>
          <w:rFonts w:ascii="Arial" w:hAnsi="Arial" w:cs="Arial"/>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A12A21" w:rsidRPr="009F285E" w:rsidRDefault="00A12A21" w:rsidP="00A12A21">
      <w:pPr>
        <w:pStyle w:val="ListParagraph"/>
        <w:keepLines/>
        <w:spacing w:after="0" w:line="240" w:lineRule="auto"/>
        <w:ind w:left="993"/>
        <w:rPr>
          <w:rFonts w:ascii="Arial" w:hAnsi="Arial" w:cs="Arial"/>
        </w:rPr>
      </w:pPr>
    </w:p>
    <w:p w:rsidR="00A12A21" w:rsidRPr="009F285E" w:rsidRDefault="00A12A21" w:rsidP="00A12A21">
      <w:pPr>
        <w:pStyle w:val="NormalWeb"/>
        <w:numPr>
          <w:ilvl w:val="0"/>
          <w:numId w:val="21"/>
        </w:numPr>
        <w:spacing w:before="0" w:beforeAutospacing="0" w:after="0" w:afterAutospacing="0"/>
        <w:ind w:left="993" w:hanging="547"/>
        <w:rPr>
          <w:rFonts w:ascii="Arial" w:hAnsi="Arial" w:cs="Arial"/>
          <w:sz w:val="22"/>
          <w:szCs w:val="22"/>
        </w:rPr>
      </w:pPr>
      <w:r w:rsidRPr="009F285E">
        <w:rPr>
          <w:rFonts w:ascii="Arial" w:hAnsi="Arial" w:cs="Arial"/>
          <w:sz w:val="22"/>
          <w:szCs w:val="22"/>
        </w:rPr>
        <w:t>The Assembly shall perform the function allocated to it under Article 13 in respect of the admission of certain intergovernmental organizations to become party to this instrument.</w:t>
      </w:r>
    </w:p>
    <w:p w:rsidR="00A12A21" w:rsidRPr="009F285E" w:rsidRDefault="00A12A21" w:rsidP="00A12A21">
      <w:pPr>
        <w:pStyle w:val="NormalWeb"/>
        <w:spacing w:before="0" w:beforeAutospacing="0" w:after="0" w:afterAutospacing="0"/>
        <w:ind w:left="993"/>
        <w:rPr>
          <w:rFonts w:ascii="Arial" w:hAnsi="Arial" w:cs="Arial"/>
          <w:sz w:val="22"/>
          <w:szCs w:val="22"/>
        </w:rPr>
      </w:pPr>
    </w:p>
    <w:p w:rsidR="00A12A21" w:rsidRPr="009F285E" w:rsidRDefault="00A12A21" w:rsidP="00A12A21">
      <w:pPr>
        <w:pStyle w:val="NormalWeb"/>
        <w:numPr>
          <w:ilvl w:val="0"/>
          <w:numId w:val="21"/>
        </w:numPr>
        <w:spacing w:before="0" w:beforeAutospacing="0" w:after="0" w:afterAutospacing="0"/>
        <w:ind w:left="993" w:hanging="547"/>
        <w:rPr>
          <w:rFonts w:ascii="Arial" w:hAnsi="Arial" w:cs="Arial"/>
          <w:sz w:val="22"/>
          <w:szCs w:val="22"/>
        </w:rPr>
      </w:pPr>
      <w:r w:rsidRPr="009F285E">
        <w:rPr>
          <w:rFonts w:ascii="Arial" w:hAnsi="Arial" w:cs="Arial"/>
          <w:sz w:val="22"/>
          <w:szCs w:val="22"/>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States which are party to this instrument.  No such intergovernmental organization shall participate in the vote if any one of its Member States exercises its right to vote and </w:t>
      </w:r>
      <w:r w:rsidRPr="009F285E">
        <w:rPr>
          <w:rFonts w:ascii="Arial" w:hAnsi="Arial" w:cs="Arial"/>
          <w:i/>
          <w:sz w:val="22"/>
          <w:szCs w:val="22"/>
        </w:rPr>
        <w:t>vice versa</w:t>
      </w:r>
      <w:r w:rsidRPr="009F285E">
        <w:rPr>
          <w:rFonts w:ascii="Arial" w:hAnsi="Arial" w:cs="Arial"/>
          <w:sz w:val="22"/>
          <w:szCs w:val="22"/>
        </w:rPr>
        <w:t>.</w:t>
      </w:r>
    </w:p>
    <w:p w:rsidR="00A12A21" w:rsidRPr="009F285E" w:rsidRDefault="00A12A21" w:rsidP="00A12A21">
      <w:pPr>
        <w:pStyle w:val="NormalWeb"/>
        <w:spacing w:before="0" w:beforeAutospacing="0" w:after="0" w:afterAutospacing="0"/>
        <w:ind w:left="993"/>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11.2</w:t>
      </w:r>
      <w:r w:rsidRPr="009F285E">
        <w:rPr>
          <w:rFonts w:ascii="Arial" w:hAnsi="Arial" w:cs="Arial"/>
          <w:sz w:val="22"/>
          <w:szCs w:val="22"/>
        </w:rPr>
        <w:tab/>
        <w:t>The Assembly shall meet upon convocation by the Director General of WIPO and, in the absence of exceptional circumstances, during the same period and at the same place as the General Assembly of WIPO.</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Default="00A12A21" w:rsidP="00A12A21">
      <w:pPr>
        <w:pStyle w:val="NormalWeb"/>
        <w:spacing w:before="0" w:beforeAutospacing="0" w:after="0" w:afterAutospacing="0"/>
        <w:rPr>
          <w:rStyle w:val="apple-converted-space"/>
          <w:rFonts w:eastAsia="Arial"/>
          <w:sz w:val="22"/>
        </w:rPr>
      </w:pPr>
      <w:r w:rsidRPr="009F285E">
        <w:rPr>
          <w:rFonts w:ascii="Arial" w:hAnsi="Arial" w:cs="Arial"/>
          <w:sz w:val="22"/>
          <w:szCs w:val="22"/>
        </w:rPr>
        <w:t>11.3</w:t>
      </w:r>
      <w:r w:rsidRPr="009F285E">
        <w:rPr>
          <w:rFonts w:ascii="Arial" w:hAnsi="Arial" w:cs="Arial"/>
          <w:sz w:val="22"/>
          <w:szCs w:val="22"/>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Pr>
          <w:rStyle w:val="apple-converted-space"/>
          <w:rFonts w:eastAsia="Arial"/>
          <w:sz w:val="22"/>
        </w:rPr>
        <w:t xml:space="preserve"> </w:t>
      </w:r>
    </w:p>
    <w:p w:rsidR="00A12A21" w:rsidRDefault="00A12A21" w:rsidP="00A12A21">
      <w:pPr>
        <w:pStyle w:val="NormalWeb"/>
        <w:spacing w:before="0" w:beforeAutospacing="0" w:after="0" w:afterAutospacing="0"/>
        <w:rPr>
          <w:rStyle w:val="apple-converted-space"/>
          <w:rFonts w:eastAsia="Arial"/>
          <w:sz w:val="22"/>
        </w:rPr>
      </w:pPr>
      <w:r>
        <w:rPr>
          <w:rStyle w:val="apple-converted-space"/>
          <w:rFonts w:eastAsia="Arial"/>
          <w:sz w:val="22"/>
        </w:rPr>
        <w:br w:type="page"/>
      </w:r>
    </w:p>
    <w:p w:rsidR="00A12A21" w:rsidRPr="009F285E" w:rsidRDefault="00A12A21" w:rsidP="00A12A21">
      <w:pPr>
        <w:pStyle w:val="Heading2"/>
        <w:spacing w:before="0" w:after="0"/>
        <w:jc w:val="center"/>
        <w:rPr>
          <w:b/>
          <w:szCs w:val="22"/>
        </w:rPr>
      </w:pPr>
      <w:r w:rsidRPr="009F285E">
        <w:rPr>
          <w:b/>
          <w:szCs w:val="22"/>
        </w:rPr>
        <w:lastRenderedPageBreak/>
        <w:t>[Article 12</w:t>
      </w:r>
      <w:r w:rsidRPr="009F285E">
        <w:rPr>
          <w:b/>
          <w:szCs w:val="22"/>
        </w:rPr>
        <w:br/>
        <w:t>International Bureau</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The Secretariat of WIPO shall perform the administrative tasks concerning this instrument.]</w:t>
      </w: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13</w:t>
      </w:r>
    </w:p>
    <w:p w:rsidR="00A12A21" w:rsidRPr="009F285E" w:rsidRDefault="00A12A21" w:rsidP="00A12A21">
      <w:pPr>
        <w:keepLines/>
        <w:jc w:val="center"/>
        <w:rPr>
          <w:b/>
        </w:rPr>
      </w:pPr>
      <w:r w:rsidRPr="009F285E">
        <w:rPr>
          <w:b/>
          <w:szCs w:val="22"/>
        </w:rPr>
        <w:t>ELIGIBILITY TO BECOME A PARTY</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13.1</w:t>
      </w:r>
      <w:r w:rsidRPr="009F285E">
        <w:rPr>
          <w:rFonts w:ascii="Arial" w:hAnsi="Arial" w:cs="Arial"/>
          <w:sz w:val="22"/>
          <w:szCs w:val="22"/>
        </w:rPr>
        <w:tab/>
        <w:t>Any Member State of WIPO may become party to this instrument.</w:t>
      </w:r>
    </w:p>
    <w:p w:rsidR="00A12A21" w:rsidRPr="009F285E" w:rsidRDefault="00A12A21" w:rsidP="00A12A21">
      <w:pPr>
        <w:pStyle w:val="NormalWeb"/>
        <w:spacing w:before="0" w:beforeAutospacing="0" w:after="0" w:afterAutospacing="0"/>
        <w:rPr>
          <w:rFonts w:ascii="Arial" w:hAnsi="Arial" w:cs="Arial"/>
          <w:sz w:val="22"/>
          <w:szCs w:val="22"/>
        </w:rPr>
      </w:pPr>
    </w:p>
    <w:p w:rsidR="00A12A21" w:rsidRPr="009F285E" w:rsidRDefault="00A12A21" w:rsidP="00A12A21">
      <w:pPr>
        <w:pStyle w:val="NormalWeb"/>
        <w:spacing w:before="0" w:beforeAutospacing="0" w:after="0" w:afterAutospacing="0"/>
        <w:rPr>
          <w:rFonts w:ascii="Arial" w:hAnsi="Arial" w:cs="Arial"/>
          <w:sz w:val="22"/>
          <w:szCs w:val="22"/>
        </w:rPr>
      </w:pPr>
      <w:r w:rsidRPr="009F285E">
        <w:rPr>
          <w:rFonts w:ascii="Arial" w:hAnsi="Arial" w:cs="Arial"/>
          <w:sz w:val="22"/>
          <w:szCs w:val="22"/>
        </w:rPr>
        <w:t>13.2</w:t>
      </w:r>
      <w:r w:rsidRPr="009F285E">
        <w:rPr>
          <w:rFonts w:ascii="Arial" w:hAnsi="Arial" w:cs="Arial"/>
          <w:sz w:val="22"/>
          <w:szCs w:val="22"/>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rsidR="00A12A21" w:rsidRPr="009F285E" w:rsidRDefault="00A12A21" w:rsidP="00A12A21">
      <w:pPr>
        <w:keepLines/>
        <w:jc w:val="center"/>
        <w:rPr>
          <w:b/>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14</w:t>
      </w:r>
    </w:p>
    <w:p w:rsidR="00A12A21" w:rsidRPr="009F285E" w:rsidRDefault="00A12A21" w:rsidP="00A12A21">
      <w:pPr>
        <w:keepLines/>
        <w:jc w:val="center"/>
        <w:rPr>
          <w:b/>
          <w:szCs w:val="22"/>
        </w:rPr>
      </w:pPr>
      <w:r w:rsidRPr="009F285E">
        <w:rPr>
          <w:b/>
          <w:szCs w:val="22"/>
        </w:rPr>
        <w:t xml:space="preserve">REVISIONS </w:t>
      </w:r>
    </w:p>
    <w:p w:rsidR="00A12A21" w:rsidRPr="009F285E" w:rsidRDefault="00A12A21" w:rsidP="00A12A21">
      <w:pPr>
        <w:pStyle w:val="NormalWeb"/>
        <w:spacing w:before="0" w:beforeAutospacing="0" w:after="0" w:afterAutospacing="0"/>
        <w:rPr>
          <w:rFonts w:ascii="Arial" w:hAnsi="Arial" w:cs="Arial"/>
          <w:iCs/>
          <w:sz w:val="22"/>
          <w:szCs w:val="22"/>
        </w:rPr>
      </w:pPr>
    </w:p>
    <w:p w:rsidR="00A12A21" w:rsidRPr="009F285E" w:rsidRDefault="00A12A21" w:rsidP="00A12A21">
      <w:pPr>
        <w:pStyle w:val="NormalWeb"/>
        <w:spacing w:before="0" w:beforeAutospacing="0" w:after="0" w:afterAutospacing="0"/>
        <w:rPr>
          <w:rFonts w:ascii="Arial" w:hAnsi="Arial" w:cs="Arial"/>
        </w:rPr>
      </w:pPr>
      <w:r w:rsidRPr="009F285E">
        <w:rPr>
          <w:rFonts w:ascii="Arial" w:hAnsi="Arial" w:cs="Arial"/>
          <w:iCs/>
          <w:sz w:val="22"/>
          <w:szCs w:val="22"/>
        </w:rPr>
        <w:t xml:space="preserve">This instrument may only be revised by a diplomatic conference.  The convocation of any diplomatic conference shall be decided by the Assembly of Contracting Parties to this instrument.] </w:t>
      </w: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15</w:t>
      </w:r>
    </w:p>
    <w:p w:rsidR="00A12A21" w:rsidRPr="009F285E" w:rsidRDefault="00A12A21" w:rsidP="00A12A21">
      <w:pPr>
        <w:keepLines/>
        <w:jc w:val="center"/>
        <w:rPr>
          <w:b/>
          <w:szCs w:val="22"/>
        </w:rPr>
      </w:pPr>
      <w:r w:rsidRPr="009F285E">
        <w:rPr>
          <w:b/>
          <w:szCs w:val="22"/>
        </w:rPr>
        <w:t>SIGNATURE</w:t>
      </w:r>
    </w:p>
    <w:p w:rsidR="00A12A21" w:rsidRPr="00011B8D" w:rsidRDefault="00A12A21" w:rsidP="00A12A21">
      <w:pPr>
        <w:keepLines/>
        <w:rPr>
          <w:szCs w:val="22"/>
        </w:rPr>
      </w:pPr>
    </w:p>
    <w:p w:rsidR="00A12A21" w:rsidRPr="009F285E" w:rsidRDefault="00A12A21" w:rsidP="00A12A21">
      <w:pPr>
        <w:keepLines/>
        <w:rPr>
          <w:szCs w:val="22"/>
        </w:rPr>
      </w:pPr>
      <w:r w:rsidRPr="009F285E">
        <w:rPr>
          <w:szCs w:val="22"/>
        </w:rPr>
        <w:t>This instrument shall be open for signature at the Diplomatic Conference in ………, and thereafter at the headquarters of WIPO by any eligible party for one year after its adoption.]</w:t>
      </w:r>
    </w:p>
    <w:p w:rsidR="00A12A21" w:rsidRPr="009F285E" w:rsidRDefault="00A12A21" w:rsidP="00A12A21">
      <w:pPr>
        <w:rPr>
          <w:szCs w:val="22"/>
          <w:shd w:val="clear" w:color="auto" w:fill="FAFAFA"/>
        </w:rPr>
      </w:pPr>
    </w:p>
    <w:p w:rsidR="00A12A21" w:rsidRPr="009F285E" w:rsidRDefault="00A12A21" w:rsidP="00A12A21">
      <w:pPr>
        <w:rPr>
          <w:szCs w:val="22"/>
          <w:shd w:val="clear" w:color="auto" w:fill="FAFAFA"/>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16</w:t>
      </w:r>
    </w:p>
    <w:p w:rsidR="00A12A21" w:rsidRPr="009F285E" w:rsidRDefault="00A12A21" w:rsidP="00A12A21">
      <w:pPr>
        <w:keepLines/>
        <w:jc w:val="center"/>
        <w:rPr>
          <w:b/>
          <w:szCs w:val="22"/>
        </w:rPr>
      </w:pPr>
      <w:r w:rsidRPr="009F285E">
        <w:rPr>
          <w:b/>
          <w:szCs w:val="22"/>
        </w:rPr>
        <w:t>ENTRY INTO FORCE</w:t>
      </w:r>
    </w:p>
    <w:p w:rsidR="00A12A21" w:rsidRPr="00011B8D" w:rsidRDefault="00A12A21" w:rsidP="00A12A21">
      <w:pPr>
        <w:keepLines/>
        <w:rPr>
          <w:szCs w:val="22"/>
        </w:rPr>
      </w:pPr>
    </w:p>
    <w:p w:rsidR="00A12A21" w:rsidRPr="009F285E" w:rsidRDefault="00A12A21" w:rsidP="00A12A21">
      <w:pPr>
        <w:keepLines/>
        <w:rPr>
          <w:szCs w:val="22"/>
        </w:rPr>
      </w:pPr>
      <w:r w:rsidRPr="009F285E">
        <w:rPr>
          <w:szCs w:val="22"/>
        </w:rPr>
        <w:t>This instrument shall enter into force three months after 20 eligible parties referred to in Article 13 have deposited their instruments of ratification or accession.]</w:t>
      </w:r>
    </w:p>
    <w:p w:rsidR="00A12A21" w:rsidRPr="009F285E" w:rsidRDefault="00A12A21" w:rsidP="00A12A21">
      <w:pPr>
        <w:keepLines/>
        <w:rPr>
          <w:b/>
          <w:szCs w:val="22"/>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17</w:t>
      </w:r>
    </w:p>
    <w:p w:rsidR="00A12A21" w:rsidRPr="009F285E" w:rsidRDefault="00A12A21" w:rsidP="00A12A21">
      <w:pPr>
        <w:keepLines/>
        <w:jc w:val="center"/>
        <w:rPr>
          <w:b/>
          <w:szCs w:val="22"/>
        </w:rPr>
      </w:pPr>
      <w:r w:rsidRPr="009F285E">
        <w:rPr>
          <w:b/>
          <w:szCs w:val="22"/>
        </w:rPr>
        <w:t>DENUNCIATION</w:t>
      </w:r>
    </w:p>
    <w:p w:rsidR="00A12A21" w:rsidRPr="00011B8D" w:rsidRDefault="00A12A21" w:rsidP="00A12A21">
      <w:pPr>
        <w:keepLines/>
        <w:rPr>
          <w:szCs w:val="22"/>
        </w:rPr>
      </w:pPr>
    </w:p>
    <w:p w:rsidR="00A12A21" w:rsidRPr="009F285E" w:rsidRDefault="00A12A21" w:rsidP="00A12A21">
      <w:pPr>
        <w:keepLines/>
        <w:rPr>
          <w:szCs w:val="22"/>
        </w:rPr>
      </w:pPr>
      <w:r w:rsidRPr="009F285E">
        <w:rPr>
          <w:szCs w:val="22"/>
        </w:rPr>
        <w:t>This instrument may be denounced by any Contracting Party by notification addressed to the Director General of WIPO.  Any denunciation shall take effect one year from the date on which the Director General of WIPO received the notification.]</w:t>
      </w:r>
    </w:p>
    <w:p w:rsidR="00A12A21" w:rsidRPr="009F285E" w:rsidRDefault="00A12A21" w:rsidP="00A12A21">
      <w:pPr>
        <w:rPr>
          <w:szCs w:val="22"/>
          <w:shd w:val="clear" w:color="auto" w:fill="FAFAFA"/>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18</w:t>
      </w:r>
    </w:p>
    <w:p w:rsidR="00A12A21" w:rsidRPr="009F285E" w:rsidRDefault="00A12A21" w:rsidP="00A12A21">
      <w:pPr>
        <w:keepLines/>
        <w:jc w:val="center"/>
        <w:rPr>
          <w:b/>
          <w:szCs w:val="22"/>
        </w:rPr>
      </w:pPr>
      <w:r w:rsidRPr="009F285E">
        <w:rPr>
          <w:b/>
          <w:szCs w:val="22"/>
        </w:rPr>
        <w:t>RESERVATIONS</w:t>
      </w:r>
    </w:p>
    <w:p w:rsidR="00A12A21" w:rsidRPr="00213249" w:rsidRDefault="00A12A21" w:rsidP="00A12A21">
      <w:pPr>
        <w:keepLines/>
        <w:rPr>
          <w:szCs w:val="22"/>
        </w:rPr>
      </w:pPr>
    </w:p>
    <w:p w:rsidR="00A12A21" w:rsidRPr="009F285E" w:rsidRDefault="00A12A21" w:rsidP="00A12A21">
      <w:pPr>
        <w:keepLines/>
        <w:rPr>
          <w:szCs w:val="22"/>
        </w:rPr>
      </w:pPr>
      <w:r w:rsidRPr="009F285E">
        <w:rPr>
          <w:szCs w:val="22"/>
        </w:rPr>
        <w:t>No reservations to this instrument shall be permitted.]</w:t>
      </w:r>
    </w:p>
    <w:p w:rsidR="00A12A21" w:rsidRPr="009F285E" w:rsidRDefault="00A12A21" w:rsidP="00A12A21">
      <w:pPr>
        <w:keepLines/>
        <w:rPr>
          <w:szCs w:val="22"/>
        </w:rPr>
      </w:pPr>
    </w:p>
    <w:p w:rsidR="00A12A21" w:rsidRDefault="00A12A21" w:rsidP="00A12A21">
      <w:pPr>
        <w:keepLines/>
        <w:jc w:val="center"/>
        <w:rPr>
          <w:b/>
          <w:szCs w:val="22"/>
        </w:rPr>
      </w:pPr>
      <w:r>
        <w:rPr>
          <w:b/>
          <w:szCs w:val="22"/>
        </w:rPr>
        <w:br w:type="page"/>
      </w:r>
    </w:p>
    <w:p w:rsidR="00A12A21" w:rsidRPr="009F285E" w:rsidRDefault="00A12A21" w:rsidP="00A12A21">
      <w:pPr>
        <w:keepLines/>
        <w:jc w:val="center"/>
        <w:rPr>
          <w:b/>
          <w:szCs w:val="22"/>
        </w:rPr>
      </w:pPr>
      <w:r w:rsidRPr="009F285E">
        <w:rPr>
          <w:b/>
          <w:szCs w:val="22"/>
        </w:rPr>
        <w:lastRenderedPageBreak/>
        <w:t>[ARTICLE 19</w:t>
      </w:r>
    </w:p>
    <w:p w:rsidR="00A12A21" w:rsidRPr="009F285E" w:rsidRDefault="00A12A21" w:rsidP="00A12A21">
      <w:pPr>
        <w:keepLines/>
        <w:jc w:val="center"/>
        <w:rPr>
          <w:b/>
          <w:szCs w:val="22"/>
        </w:rPr>
      </w:pPr>
      <w:r w:rsidRPr="009F285E">
        <w:rPr>
          <w:b/>
          <w:szCs w:val="22"/>
        </w:rPr>
        <w:t>AUTHORITATIVE TEXT</w:t>
      </w:r>
    </w:p>
    <w:p w:rsidR="00A12A21" w:rsidRPr="009F285E" w:rsidRDefault="00A12A21" w:rsidP="00A12A21">
      <w:pPr>
        <w:keepLines/>
        <w:jc w:val="center"/>
        <w:rPr>
          <w:b/>
        </w:rPr>
      </w:pPr>
    </w:p>
    <w:p w:rsidR="00A12A21" w:rsidRPr="009F285E"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19.1</w:t>
      </w:r>
      <w:r w:rsidRPr="009F285E">
        <w:rPr>
          <w:rFonts w:ascii="Arial" w:hAnsi="Arial" w:cs="Arial"/>
          <w:iCs/>
          <w:sz w:val="22"/>
          <w:szCs w:val="22"/>
        </w:rPr>
        <w:tab/>
        <w:t xml:space="preserve">This instrument shall be signed in a single original in the English, Arabic, Chinese, French, Russian and Spanish languages, all texts being equally authentic. </w:t>
      </w:r>
    </w:p>
    <w:p w:rsidR="00A12A21" w:rsidRPr="009F285E" w:rsidRDefault="00A12A21" w:rsidP="00A12A21">
      <w:pPr>
        <w:pStyle w:val="NormalWeb"/>
        <w:spacing w:before="0" w:beforeAutospacing="0" w:after="0" w:afterAutospacing="0"/>
        <w:rPr>
          <w:rFonts w:ascii="Arial" w:hAnsi="Arial" w:cs="Arial"/>
          <w:iCs/>
          <w:sz w:val="22"/>
          <w:szCs w:val="22"/>
        </w:rPr>
      </w:pPr>
    </w:p>
    <w:p w:rsidR="00A12A21" w:rsidRDefault="00A12A21" w:rsidP="00A12A21">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19.2</w:t>
      </w:r>
      <w:r w:rsidRPr="009F285E">
        <w:rPr>
          <w:rFonts w:ascii="Arial" w:hAnsi="Arial" w:cs="Arial"/>
          <w:iCs/>
          <w:sz w:val="22"/>
          <w:szCs w:val="22"/>
        </w:rPr>
        <w:tab/>
        <w:t>An official text in any language other than those referred to in paragraph 19.1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r>
        <w:rPr>
          <w:rFonts w:ascii="Arial" w:hAnsi="Arial" w:cs="Arial"/>
          <w:iCs/>
          <w:sz w:val="22"/>
          <w:szCs w:val="22"/>
        </w:rPr>
        <w:br w:type="page"/>
      </w:r>
    </w:p>
    <w:p w:rsidR="00A12A21" w:rsidRPr="009F285E" w:rsidRDefault="00A12A21" w:rsidP="00A12A21">
      <w:pPr>
        <w:keepLines/>
        <w:jc w:val="center"/>
        <w:rPr>
          <w:b/>
          <w:szCs w:val="22"/>
        </w:rPr>
      </w:pPr>
      <w:r w:rsidRPr="009F285E">
        <w:rPr>
          <w:b/>
          <w:szCs w:val="22"/>
        </w:rPr>
        <w:lastRenderedPageBreak/>
        <w:t>[ARTICLE 20</w:t>
      </w:r>
    </w:p>
    <w:p w:rsidR="00A12A21" w:rsidRPr="009F285E" w:rsidRDefault="00A12A21" w:rsidP="00A12A21">
      <w:pPr>
        <w:keepLines/>
        <w:jc w:val="center"/>
        <w:rPr>
          <w:b/>
          <w:szCs w:val="22"/>
        </w:rPr>
      </w:pPr>
      <w:r w:rsidRPr="009F285E">
        <w:rPr>
          <w:b/>
          <w:szCs w:val="22"/>
        </w:rPr>
        <w:t>DEPOSITARY</w:t>
      </w:r>
    </w:p>
    <w:p w:rsidR="00A12A21" w:rsidRPr="009F285E" w:rsidRDefault="00A12A21" w:rsidP="00A12A21">
      <w:pPr>
        <w:keepLines/>
        <w:jc w:val="center"/>
        <w:rPr>
          <w:b/>
        </w:rPr>
      </w:pPr>
    </w:p>
    <w:p w:rsidR="00A12A21" w:rsidRPr="009F285E" w:rsidRDefault="00A12A21" w:rsidP="00A12A21">
      <w:pPr>
        <w:keepLines/>
        <w:rPr>
          <w:sz w:val="20"/>
          <w:szCs w:val="22"/>
        </w:rPr>
      </w:pPr>
      <w:r w:rsidRPr="009F285E">
        <w:rPr>
          <w:szCs w:val="22"/>
        </w:rPr>
        <w:t>The Director General of WIPO is the depositary of this instrument.]</w:t>
      </w:r>
    </w:p>
    <w:p w:rsidR="00A12A21" w:rsidRPr="009F285E" w:rsidRDefault="00A12A21" w:rsidP="00A12A21">
      <w:pPr>
        <w:keepLines/>
      </w:pPr>
    </w:p>
    <w:p w:rsidR="00A12A21" w:rsidRPr="009F285E" w:rsidRDefault="00A12A21" w:rsidP="00A12A21">
      <w:pPr>
        <w:keepLines/>
      </w:pPr>
    </w:p>
    <w:p w:rsidR="00A12A21" w:rsidRPr="009F285E" w:rsidRDefault="00A12A21" w:rsidP="00A12A21">
      <w:pPr>
        <w:keepLines/>
      </w:pPr>
      <w:r w:rsidRPr="009F285E">
        <w:t>Done at ……</w:t>
      </w:r>
    </w:p>
    <w:p w:rsidR="00A12A21" w:rsidRPr="009F285E" w:rsidRDefault="00A12A21" w:rsidP="00A12A21">
      <w:pPr>
        <w:keepLines/>
      </w:pPr>
    </w:p>
    <w:p w:rsidR="00A12A21" w:rsidRDefault="00A12A21" w:rsidP="00A12A21"/>
    <w:p w:rsidR="00A12A21" w:rsidRDefault="00A12A21" w:rsidP="00A12A21">
      <w:pPr>
        <w:ind w:left="5040"/>
      </w:pPr>
      <w:r w:rsidRPr="009F285E">
        <w:rPr>
          <w:szCs w:val="22"/>
        </w:rPr>
        <w:t>[End of</w:t>
      </w:r>
      <w:r>
        <w:rPr>
          <w:szCs w:val="22"/>
        </w:rPr>
        <w:t xml:space="preserve"> Annexes and of document]</w:t>
      </w:r>
    </w:p>
    <w:p w:rsidR="008B2CC1" w:rsidRPr="009F3BF9" w:rsidRDefault="008B2CC1" w:rsidP="00CE65D4">
      <w:pPr>
        <w:spacing w:after="360"/>
        <w:rPr>
          <w:caps/>
          <w:sz w:val="24"/>
        </w:rPr>
      </w:pPr>
    </w:p>
    <w:p w:rsidR="008B2CC1" w:rsidRPr="004D39C4" w:rsidRDefault="00CE65D4" w:rsidP="00CE65D4">
      <w:pPr>
        <w:spacing w:after="960"/>
        <w:rPr>
          <w:i/>
        </w:rPr>
      </w:pPr>
      <w:bookmarkStart w:id="7" w:name="Prepared"/>
      <w:bookmarkEnd w:id="4"/>
      <w:r>
        <w:rPr>
          <w:i/>
        </w:rPr>
        <w:t xml:space="preserve"> </w:t>
      </w:r>
    </w:p>
    <w:bookmarkEnd w:id="7"/>
    <w:p w:rsidR="002928D3" w:rsidRDefault="002928D3" w:rsidP="0062702A">
      <w:pPr>
        <w:spacing w:after="220"/>
      </w:pPr>
    </w:p>
    <w:sectPr w:rsidR="002928D3" w:rsidSect="00A12A21">
      <w:headerReference w:type="default" r:id="rId34"/>
      <w:headerReference w:type="first" r:id="rId3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A21" w:rsidRDefault="00A12A21">
      <w:r>
        <w:separator/>
      </w:r>
    </w:p>
  </w:endnote>
  <w:endnote w:type="continuationSeparator" w:id="0">
    <w:p w:rsidR="00A12A21" w:rsidRDefault="00A12A21" w:rsidP="003B38C1">
      <w:r>
        <w:separator/>
      </w:r>
    </w:p>
    <w:p w:rsidR="00A12A21" w:rsidRPr="003B38C1" w:rsidRDefault="00A12A21" w:rsidP="003B38C1">
      <w:pPr>
        <w:spacing w:after="60"/>
        <w:rPr>
          <w:sz w:val="17"/>
        </w:rPr>
      </w:pPr>
      <w:r>
        <w:rPr>
          <w:sz w:val="17"/>
        </w:rPr>
        <w:t>[Endnote continued from previous page]</w:t>
      </w:r>
    </w:p>
  </w:endnote>
  <w:endnote w:type="continuationNotice" w:id="1">
    <w:p w:rsidR="00A12A21" w:rsidRPr="003B38C1" w:rsidRDefault="00A12A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41" w:rsidRDefault="00E9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41" w:rsidRDefault="00E9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41" w:rsidRDefault="00E93B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A21" w:rsidRDefault="00A12A21">
      <w:r>
        <w:separator/>
      </w:r>
    </w:p>
  </w:footnote>
  <w:footnote w:type="continuationSeparator" w:id="0">
    <w:p w:rsidR="00A12A21" w:rsidRDefault="00A12A21" w:rsidP="008B60B2">
      <w:r>
        <w:separator/>
      </w:r>
    </w:p>
    <w:p w:rsidR="00A12A21" w:rsidRPr="00ED77FB" w:rsidRDefault="00A12A21" w:rsidP="008B60B2">
      <w:pPr>
        <w:spacing w:after="60"/>
        <w:rPr>
          <w:sz w:val="17"/>
          <w:szCs w:val="17"/>
        </w:rPr>
      </w:pPr>
      <w:r w:rsidRPr="00ED77FB">
        <w:rPr>
          <w:sz w:val="17"/>
          <w:szCs w:val="17"/>
        </w:rPr>
        <w:t>[Footnote continued from previous page]</w:t>
      </w:r>
    </w:p>
  </w:footnote>
  <w:footnote w:type="continuationNotice" w:id="1">
    <w:p w:rsidR="00A12A21" w:rsidRPr="00ED77FB" w:rsidRDefault="00A12A21" w:rsidP="008B60B2">
      <w:pPr>
        <w:spacing w:before="60"/>
        <w:jc w:val="right"/>
        <w:rPr>
          <w:sz w:val="17"/>
          <w:szCs w:val="17"/>
        </w:rPr>
      </w:pPr>
      <w:r w:rsidRPr="00ED77FB">
        <w:rPr>
          <w:sz w:val="17"/>
          <w:szCs w:val="17"/>
        </w:rPr>
        <w:t>[Footnote continued on next page]</w:t>
      </w:r>
    </w:p>
  </w:footnote>
  <w:footnote w:id="2">
    <w:p w:rsidR="00A12A21" w:rsidRPr="004C17EE" w:rsidRDefault="00A12A21" w:rsidP="00A12A21">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A12A21" w:rsidRPr="004C17EE" w:rsidRDefault="00A12A21" w:rsidP="00A12A21">
      <w:pPr>
        <w:pStyle w:val="footnotedescription"/>
        <w:rPr>
          <w:sz w:val="18"/>
          <w:szCs w:val="18"/>
        </w:rPr>
      </w:pPr>
      <w:r w:rsidRPr="004C17EE">
        <w:rPr>
          <w:rStyle w:val="footnotemark"/>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 w:id="4">
    <w:p w:rsidR="00A12A21" w:rsidRPr="00F9181D" w:rsidRDefault="00A12A21" w:rsidP="00A12A21">
      <w:pPr>
        <w:pStyle w:val="FootnoteText"/>
        <w:rPr>
          <w:sz w:val="20"/>
        </w:rPr>
      </w:pPr>
      <w:r>
        <w:rPr>
          <w:rStyle w:val="FootnoteReference"/>
        </w:rPr>
        <w:footnoteRef/>
      </w:r>
      <w:r>
        <w:t xml:space="preserve"> Outcome Document of the World Conference on Indigenous Peoples approved unanimously in 2014 by all 193 Member States of the UN General Assembly (G.A. Resolution A/RES/69/2)</w:t>
      </w:r>
    </w:p>
  </w:footnote>
  <w:footnote w:id="5">
    <w:p w:rsidR="00A12A21" w:rsidRDefault="00A12A21" w:rsidP="00A12A21">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6">
    <w:p w:rsidR="00A12A21" w:rsidRDefault="00A12A21" w:rsidP="00A12A21">
      <w:pPr>
        <w:pStyle w:val="FootnoteText"/>
      </w:pPr>
      <w:r>
        <w:rPr>
          <w:rStyle w:val="FootnoteReference"/>
        </w:rPr>
        <w:footnoteRef/>
      </w:r>
      <w:r>
        <w:t xml:space="preserve"> An alternative formulation from the Nagoya Protocol Art. 14(2) is “without prejudice to the protection of confidential information”.</w:t>
      </w:r>
    </w:p>
  </w:footnote>
  <w:footnote w:id="7">
    <w:p w:rsidR="00A12A21" w:rsidRDefault="00A12A21" w:rsidP="00A12A21">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 w:id="8">
    <w:p w:rsidR="00A12A21" w:rsidRPr="009F285E" w:rsidRDefault="00A12A21" w:rsidP="00A12A21">
      <w:pPr>
        <w:pStyle w:val="FootnoteText"/>
        <w:rPr>
          <w:sz w:val="16"/>
        </w:rPr>
      </w:pPr>
      <w:r w:rsidRPr="009F285E">
        <w:rPr>
          <w:rStyle w:val="FootnoteReference"/>
          <w:sz w:val="16"/>
        </w:rPr>
        <w:footnoteRef/>
      </w:r>
      <w:r w:rsidRPr="009F285E">
        <w:t xml:space="preserve"> </w:t>
      </w:r>
      <w:r w:rsidRPr="009F285E">
        <w:rPr>
          <w:sz w:val="16"/>
        </w:rPr>
        <w:t xml:space="preserve">Note from the Chair:  These introductory remarks do not form part of the draft instrument. </w:t>
      </w:r>
    </w:p>
  </w:footnote>
  <w:footnote w:id="9">
    <w:p w:rsidR="00A12A21" w:rsidRPr="009F285E" w:rsidRDefault="00A12A21" w:rsidP="00A12A21">
      <w:pPr>
        <w:pStyle w:val="FootnoteText"/>
        <w:rPr>
          <w:sz w:val="16"/>
          <w:szCs w:val="16"/>
        </w:rPr>
      </w:pPr>
      <w:r w:rsidRPr="009F285E">
        <w:rPr>
          <w:rStyle w:val="FootnoteReference"/>
          <w:sz w:val="16"/>
          <w:szCs w:val="16"/>
        </w:rPr>
        <w:footnoteRef/>
      </w:r>
      <w:r w:rsidRPr="009F285E">
        <w:rPr>
          <w:sz w:val="16"/>
          <w:szCs w:val="16"/>
        </w:rPr>
        <w:t xml:space="preserve"> These negotiations are currently being conducted pursua</w:t>
      </w:r>
      <w:r>
        <w:rPr>
          <w:sz w:val="16"/>
          <w:szCs w:val="16"/>
        </w:rPr>
        <w:t>nt to the IGC’s mandate for 2018/19</w:t>
      </w:r>
      <w:r w:rsidRPr="009F285E">
        <w:rPr>
          <w:sz w:val="16"/>
          <w:szCs w:val="16"/>
        </w:rPr>
        <w:t>.</w:t>
      </w:r>
    </w:p>
  </w:footnote>
  <w:footnote w:id="10">
    <w:p w:rsidR="00A12A21" w:rsidRDefault="00A12A21" w:rsidP="00A12A21">
      <w:pPr>
        <w:pStyle w:val="FootnoteText"/>
      </w:pPr>
      <w:r w:rsidRPr="009F285E">
        <w:rPr>
          <w:rStyle w:val="FootnoteReference"/>
          <w:sz w:val="16"/>
        </w:rPr>
        <w:footnoteRef/>
      </w:r>
      <w:r w:rsidRPr="009F285E">
        <w:t xml:space="preserve"> </w:t>
      </w:r>
      <w:r>
        <w:rPr>
          <w:sz w:val="16"/>
          <w:szCs w:val="16"/>
        </w:rPr>
        <w:t>WIPO/GRTKF/IC/40/6</w:t>
      </w:r>
      <w:r w:rsidRPr="009F285E">
        <w:rPr>
          <w:sz w:val="16"/>
          <w:szCs w:val="16"/>
        </w:rPr>
        <w:t xml:space="preserve"> Consolidated Document Relating to Intellectual Property and Genetic Resources.</w:t>
      </w:r>
    </w:p>
  </w:footnote>
  <w:footnote w:id="11">
    <w:p w:rsidR="00A12A21" w:rsidRPr="009F285E" w:rsidRDefault="00A12A21" w:rsidP="00A12A21">
      <w:pPr>
        <w:pStyle w:val="FootnoteText"/>
        <w:rPr>
          <w:sz w:val="16"/>
          <w:szCs w:val="16"/>
        </w:rPr>
      </w:pPr>
      <w:r w:rsidRPr="00B479A7">
        <w:rPr>
          <w:rStyle w:val="FootnoteReference"/>
          <w:sz w:val="16"/>
        </w:rPr>
        <w:footnoteRef/>
      </w:r>
      <w:r w:rsidRPr="00B479A7">
        <w:t xml:space="preserve"> </w:t>
      </w:r>
      <w:r w:rsidRPr="00B479A7">
        <w:rPr>
          <w:sz w:val="16"/>
        </w:rPr>
        <w:t xml:space="preserve">Such as </w:t>
      </w:r>
      <w:r>
        <w:rPr>
          <w:sz w:val="16"/>
          <w:szCs w:val="16"/>
        </w:rPr>
        <w:t>WIPO/GRTKF/IC/40/6</w:t>
      </w:r>
      <w:r w:rsidRPr="00B479A7">
        <w:rPr>
          <w:sz w:val="16"/>
          <w:szCs w:val="16"/>
        </w:rPr>
        <w:t xml:space="preserve">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
    <w:p w:rsidR="00A12A21" w:rsidRDefault="00A12A21" w:rsidP="00A12A21">
      <w:pPr>
        <w:pStyle w:val="FootnoteText"/>
      </w:pPr>
    </w:p>
  </w:footnote>
  <w:footnote w:id="12">
    <w:p w:rsidR="00A12A21" w:rsidRPr="00FA0F37" w:rsidRDefault="00A12A21" w:rsidP="00A12A21">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is understood in the context of the CBD, </w:t>
      </w:r>
      <w:r w:rsidRPr="00D866B6">
        <w:rPr>
          <w:sz w:val="16"/>
          <w:szCs w:val="16"/>
        </w:rPr>
        <w:t>not intended to include “human genetic resources”.</w:t>
      </w:r>
    </w:p>
  </w:footnote>
  <w:footnote w:id="13">
    <w:p w:rsidR="00A12A21" w:rsidRPr="009F285E" w:rsidRDefault="00A12A21" w:rsidP="00A12A21">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14">
    <w:p w:rsidR="00A12A21" w:rsidRPr="007D6FC9" w:rsidRDefault="00A12A21" w:rsidP="00A12A21">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(3</w:t>
      </w:r>
      <w:r w:rsidRPr="009F285E">
        <w:rPr>
          <w:sz w:val="16"/>
          <w:szCs w:val="16"/>
          <w:vertAlign w:val="superscript"/>
        </w:rPr>
        <w:t>rd</w:t>
      </w:r>
      <w:r w:rsidRPr="009F285E">
        <w:rPr>
          <w:sz w:val="16"/>
          <w:szCs w:val="16"/>
        </w:rPr>
        <w:t xml:space="preserve"> Edition), (2010), OUP Oxford.</w:t>
      </w:r>
      <w:r w:rsidRPr="007D6FC9">
        <w:rPr>
          <w:rFonts w:ascii="Times New Roman" w:hAnsi="Times New Roman" w:cs="Times New Roman"/>
          <w:sz w:val="16"/>
          <w:szCs w:val="16"/>
        </w:rPr>
        <w:t xml:space="preserve"> </w:t>
      </w:r>
    </w:p>
  </w:footnote>
  <w:footnote w:id="15">
    <w:p w:rsidR="00A12A21" w:rsidRPr="00244A26" w:rsidRDefault="00A12A21" w:rsidP="00A12A21">
      <w:pPr>
        <w:rPr>
          <w:sz w:val="16"/>
          <w:szCs w:val="16"/>
        </w:rPr>
      </w:pPr>
      <w:r w:rsidRPr="00244A26">
        <w:rPr>
          <w:rStyle w:val="FootnoteReference"/>
          <w:sz w:val="16"/>
          <w:szCs w:val="16"/>
        </w:rPr>
        <w:footnoteRef/>
      </w:r>
      <w:r w:rsidRPr="00244A26">
        <w:rPr>
          <w:sz w:val="16"/>
          <w:szCs w:val="16"/>
        </w:rPr>
        <w:t xml:space="preserve"> Agreed Statement</w:t>
      </w:r>
      <w:r>
        <w:rPr>
          <w:sz w:val="16"/>
          <w:szCs w:val="16"/>
        </w:rPr>
        <w:t xml:space="preserve"> to Article 8</w:t>
      </w:r>
      <w:r w:rsidRPr="00244A26">
        <w:rPr>
          <w:sz w:val="16"/>
          <w:szCs w:val="16"/>
        </w:rPr>
        <w:t xml:space="preserve">: </w:t>
      </w:r>
      <w:r>
        <w:rPr>
          <w:sz w:val="16"/>
          <w:szCs w:val="16"/>
        </w:rPr>
        <w:t xml:space="preserve"> </w:t>
      </w:r>
      <w:r w:rsidRPr="00244A26">
        <w:rPr>
          <w:sz w:val="16"/>
          <w:szCs w:val="16"/>
        </w:rPr>
        <w:t xml:space="preserve">The </w:t>
      </w:r>
      <w:r w:rsidRPr="00D866B6">
        <w:rPr>
          <w:sz w:val="16"/>
          <w:szCs w:val="16"/>
        </w:rPr>
        <w:t>Con</w:t>
      </w:r>
      <w:r>
        <w:rPr>
          <w:sz w:val="16"/>
          <w:szCs w:val="16"/>
        </w:rPr>
        <w:t xml:space="preserve">tracting </w:t>
      </w:r>
      <w:r w:rsidRPr="00D866B6">
        <w:rPr>
          <w:sz w:val="16"/>
          <w:szCs w:val="16"/>
        </w:rPr>
        <w:t xml:space="preserve">Parties request </w:t>
      </w:r>
      <w:r w:rsidRPr="00D866B6">
        <w:rPr>
          <w:color w:val="000000"/>
          <w:sz w:val="16"/>
          <w:szCs w:val="16"/>
        </w:rPr>
        <w:t xml:space="preserve">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color w:val="000000"/>
          <w:sz w:val="16"/>
          <w:szCs w:val="16"/>
        </w:rPr>
        <w:t>GRs and Associated TK</w:t>
      </w:r>
      <w:r w:rsidRPr="00D866B6">
        <w:rPr>
          <w:color w:val="000000"/>
          <w:sz w:val="16"/>
          <w:szCs w:val="16"/>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p w:rsidR="00A12A21" w:rsidRPr="00244A26" w:rsidRDefault="00A12A21" w:rsidP="00A12A21">
      <w:pPr>
        <w:pStyle w:val="FootnoteText"/>
      </w:pPr>
    </w:p>
  </w:footnote>
  <w:footnote w:id="16">
    <w:p w:rsidR="00A12A21" w:rsidRPr="009F285E" w:rsidRDefault="00A12A21" w:rsidP="00A12A21">
      <w:pPr>
        <w:pStyle w:val="FootnoteText"/>
        <w:rPr>
          <w:sz w:val="16"/>
        </w:rPr>
      </w:pPr>
      <w:r w:rsidRPr="009F285E">
        <w:rPr>
          <w:rStyle w:val="FootnoteReference"/>
          <w:sz w:val="16"/>
        </w:rPr>
        <w:footnoteRef/>
      </w:r>
      <w:r w:rsidRPr="009F285E">
        <w:rPr>
          <w:sz w:val="16"/>
        </w:rPr>
        <w:t xml:space="preserve"> Note from the Chair:  I have adapted the final and administrative clauses (Articles 10 to 20) from other existing WIPO treaties.  I recognize that they have not yet been discussed before by the IGC and that they would still need to be formally considered and reviewed by Member States and the WIPO Secretariat.  Therefore, each of these articles is bracketed.</w:t>
      </w:r>
    </w:p>
    <w:p w:rsidR="00A12A21" w:rsidRPr="003C11C3" w:rsidRDefault="00A12A21" w:rsidP="00A12A21">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6C35A9">
    <w:pPr>
      <w:jc w:val="right"/>
    </w:pPr>
  </w:p>
  <w:p w:rsidR="00A12A21" w:rsidRDefault="00A12A21" w:rsidP="006C35A9">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A12A21" w:rsidRDefault="00A12A21" w:rsidP="006C35A9">
    <w:pPr>
      <w:jc w:val="right"/>
    </w:pPr>
  </w:p>
  <w:p w:rsidR="00A12A21" w:rsidRDefault="00A12A21" w:rsidP="006C35A9">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39966"/>
      <w:docPartObj>
        <w:docPartGallery w:val="Page Numbers (Top of Page)"/>
        <w:docPartUnique/>
      </w:docPartObj>
    </w:sdtPr>
    <w:sdtEndPr>
      <w:rPr>
        <w:noProof/>
      </w:rPr>
    </w:sdtEndPr>
    <w:sdtContent>
      <w:p w:rsidR="00A12A21" w:rsidRDefault="00A12A21" w:rsidP="00DF46C2">
        <w:pPr>
          <w:pStyle w:val="Header"/>
          <w:jc w:val="right"/>
        </w:pPr>
        <w:r>
          <w:t>WIPO/GRTKF/IC/42/5</w:t>
        </w:r>
      </w:p>
      <w:p w:rsidR="00A12A21" w:rsidRDefault="00A12A21" w:rsidP="00DF46C2">
        <w:pPr>
          <w:pStyle w:val="Header"/>
          <w:jc w:val="right"/>
        </w:pPr>
        <w:r>
          <w:t>Annex, page 2</w:t>
        </w:r>
      </w:p>
    </w:sdtContent>
  </w:sdt>
  <w:p w:rsidR="00A12A21" w:rsidRDefault="00A12A21" w:rsidP="00DF46C2">
    <w:pPr>
      <w:jc w:val="right"/>
    </w:pPr>
  </w:p>
  <w:p w:rsidR="00A12A21" w:rsidRDefault="00A12A21" w:rsidP="00DF46C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477D6B">
    <w:pPr>
      <w:jc w:val="right"/>
    </w:pPr>
  </w:p>
  <w:p w:rsidR="00A12A21" w:rsidRDefault="00A12A2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40</w:t>
    </w:r>
    <w:r>
      <w:fldChar w:fldCharType="end"/>
    </w:r>
  </w:p>
  <w:p w:rsidR="00A12A21" w:rsidRDefault="00A12A21" w:rsidP="00477D6B">
    <w:pPr>
      <w:jc w:val="right"/>
    </w:pPr>
  </w:p>
  <w:p w:rsidR="00A12A21" w:rsidRDefault="00A12A21"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A12A21">
    <w:pPr>
      <w:pStyle w:val="Header"/>
      <w:jc w:val="right"/>
    </w:pPr>
    <w:r>
      <w:t>WIPO/GRTKF/IC/43/5</w:t>
    </w:r>
  </w:p>
  <w:p w:rsidR="00EC4E49" w:rsidRDefault="00A12A21"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6486D">
      <w:rPr>
        <w:noProof/>
      </w:rPr>
      <w:t>30</w:t>
    </w:r>
    <w:r w:rsidR="00EC4E49">
      <w:fldChar w:fldCharType="end"/>
    </w:r>
  </w:p>
  <w:p w:rsidR="00EC4E49" w:rsidRDefault="00EC4E49" w:rsidP="00477D6B">
    <w:pPr>
      <w:jc w:val="right"/>
    </w:pPr>
  </w:p>
  <w:p w:rsidR="0018073E" w:rsidRDefault="0018073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A12A21">
    <w:pPr>
      <w:pStyle w:val="Header"/>
      <w:jc w:val="right"/>
    </w:pPr>
    <w:r>
      <w:t>WIPO/GRTKF/IC/43/5</w:t>
    </w:r>
  </w:p>
  <w:p w:rsidR="00A12A21" w:rsidRDefault="00A12A21" w:rsidP="00A12A21">
    <w:pPr>
      <w:pStyle w:val="Header"/>
      <w:jc w:val="right"/>
    </w:pPr>
    <w:r>
      <w:t>ANNEX</w:t>
    </w:r>
  </w:p>
  <w:p w:rsidR="00A12A21" w:rsidRDefault="00A12A21" w:rsidP="00A12A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477D6B">
    <w:pPr>
      <w:jc w:val="right"/>
    </w:pPr>
    <w:r w:rsidRPr="00DF46C2">
      <w:t>WO/GA/55/6</w:t>
    </w:r>
  </w:p>
  <w:p w:rsidR="00A12A21" w:rsidRDefault="00A12A21" w:rsidP="00DF46C2">
    <w:pPr>
      <w:spacing w:after="480"/>
      <w:jc w:val="right"/>
    </w:pPr>
    <w:proofErr w:type="gramStart"/>
    <w:r>
      <w:t>page</w:t>
    </w:r>
    <w:proofErr w:type="gramEnd"/>
    <w:r>
      <w:t xml:space="preserve"> </w:t>
    </w:r>
    <w:r>
      <w:fldChar w:fldCharType="begin"/>
    </w:r>
    <w:r>
      <w:instrText xml:space="preserve"> PAGE  \* MERGEFORMAT </w:instrText>
    </w:r>
    <w:r>
      <w:fldChar w:fldCharType="separate"/>
    </w:r>
    <w:r w:rsidR="0006486D">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41" w:rsidRDefault="00E93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DF46C2">
    <w:pPr>
      <w:jc w:val="right"/>
    </w:pPr>
    <w:r>
      <w:t>WIPO/GRTKF/IC/43/4</w:t>
    </w:r>
  </w:p>
  <w:p w:rsidR="00A12A21" w:rsidRDefault="00A12A21" w:rsidP="00DF46C2">
    <w:pPr>
      <w:pStyle w:val="Header"/>
      <w:jc w:val="right"/>
    </w:pPr>
    <w:r>
      <w:t>ANNEX</w:t>
    </w:r>
  </w:p>
  <w:p w:rsidR="00A12A21" w:rsidRDefault="00A12A21" w:rsidP="00DF46C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DF46C2">
    <w:pPr>
      <w:pStyle w:val="Header"/>
      <w:jc w:val="right"/>
    </w:pPr>
    <w:r>
      <w:t>WIPO/GRTKF/IC/43/4</w:t>
    </w:r>
  </w:p>
  <w:p w:rsidR="00A12A21" w:rsidRDefault="00A12A21" w:rsidP="000E3696">
    <w:pPr>
      <w:spacing w:after="480"/>
      <w:jc w:val="right"/>
    </w:pPr>
    <w:r>
      <w:t>ANNEX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Pr="00EF27DE" w:rsidRDefault="00A12A21" w:rsidP="00EF27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A21" w:rsidRDefault="00A12A21" w:rsidP="00DF46C2">
    <w:pPr>
      <w:jc w:val="right"/>
    </w:pPr>
    <w:r>
      <w:t>WIPO/GRTKF/IC/42/4</w:t>
    </w:r>
  </w:p>
  <w:p w:rsidR="00A12A21" w:rsidRDefault="00A12A21" w:rsidP="00DF46C2">
    <w:pPr>
      <w:pStyle w:val="Header"/>
      <w:jc w:val="right"/>
    </w:pPr>
    <w:r>
      <w:t>Annex, page 17</w:t>
    </w:r>
  </w:p>
  <w:p w:rsidR="00A12A21" w:rsidRDefault="00A12A21" w:rsidP="00DF46C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00460"/>
      <w:docPartObj>
        <w:docPartGallery w:val="Page Numbers (Top of Page)"/>
        <w:docPartUnique/>
      </w:docPartObj>
    </w:sdtPr>
    <w:sdtEndPr>
      <w:rPr>
        <w:noProof/>
      </w:rPr>
    </w:sdtEndPr>
    <w:sdtContent>
      <w:p w:rsidR="00A12A21" w:rsidRDefault="00A12A21" w:rsidP="006130B7">
        <w:pPr>
          <w:pStyle w:val="Header"/>
          <w:jc w:val="right"/>
        </w:pPr>
        <w:r>
          <w:t>WIPO/GRTKF/IC/43/4</w:t>
        </w:r>
      </w:p>
      <w:p w:rsidR="00A12A21" w:rsidRDefault="00A12A21" w:rsidP="006130B7">
        <w:pPr>
          <w:pStyle w:val="Header"/>
          <w:spacing w:after="480"/>
          <w:jc w:val="right"/>
        </w:pPr>
        <w:r>
          <w:t xml:space="preserve">Annex, page </w:t>
        </w:r>
        <w:r>
          <w:fldChar w:fldCharType="begin"/>
        </w:r>
        <w:r>
          <w:instrText xml:space="preserve"> PAGE   \* MERGEFORMAT </w:instrText>
        </w:r>
        <w:r>
          <w:fldChar w:fldCharType="separate"/>
        </w:r>
        <w:r w:rsidR="0006486D">
          <w:rPr>
            <w:noProof/>
          </w:rPr>
          <w:t>14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510903"/>
      <w:docPartObj>
        <w:docPartGallery w:val="Page Numbers (Top of Page)"/>
        <w:docPartUnique/>
      </w:docPartObj>
    </w:sdtPr>
    <w:sdtEndPr>
      <w:rPr>
        <w:noProof/>
      </w:rPr>
    </w:sdtEndPr>
    <w:sdtContent>
      <w:p w:rsidR="00A12A21" w:rsidRDefault="00A12A21">
        <w:pPr>
          <w:pStyle w:val="Header"/>
          <w:jc w:val="right"/>
        </w:pPr>
        <w:r>
          <w:t>WIPO/GRTKF/IC/43/4</w:t>
        </w:r>
      </w:p>
      <w:p w:rsidR="00A12A21" w:rsidRDefault="00A12A21" w:rsidP="006130B7">
        <w:pPr>
          <w:pStyle w:val="Header"/>
          <w:spacing w:after="480"/>
          <w:jc w:val="right"/>
        </w:pPr>
        <w:r>
          <w:t xml:space="preserve">Annex, page </w:t>
        </w:r>
        <w:r>
          <w:fldChar w:fldCharType="begin"/>
        </w:r>
        <w:r>
          <w:instrText xml:space="preserve"> PAGE   \* MERGEFORMAT </w:instrText>
        </w:r>
        <w:r>
          <w:fldChar w:fldCharType="separate"/>
        </w:r>
        <w:r w:rsidR="0006486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01674"/>
    <w:multiLevelType w:val="hybridMultilevel"/>
    <w:tmpl w:val="423A0528"/>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10F37"/>
    <w:multiLevelType w:val="hybridMultilevel"/>
    <w:tmpl w:val="1FF8EB28"/>
    <w:lvl w:ilvl="0" w:tplc="FD58D2C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0"/>
  </w:num>
  <w:num w:numId="3">
    <w:abstractNumId w:val="0"/>
  </w:num>
  <w:num w:numId="4">
    <w:abstractNumId w:val="12"/>
  </w:num>
  <w:num w:numId="5">
    <w:abstractNumId w:val="2"/>
  </w:num>
  <w:num w:numId="6">
    <w:abstractNumId w:val="7"/>
  </w:num>
  <w:num w:numId="7">
    <w:abstractNumId w:val="11"/>
  </w:num>
  <w:num w:numId="8">
    <w:abstractNumId w:val="20"/>
  </w:num>
  <w:num w:numId="9">
    <w:abstractNumId w:val="23"/>
  </w:num>
  <w:num w:numId="10">
    <w:abstractNumId w:val="5"/>
  </w:num>
  <w:num w:numId="11">
    <w:abstractNumId w:val="24"/>
  </w:num>
  <w:num w:numId="12">
    <w:abstractNumId w:val="6"/>
  </w:num>
  <w:num w:numId="13">
    <w:abstractNumId w:val="13"/>
  </w:num>
  <w:num w:numId="14">
    <w:abstractNumId w:val="22"/>
  </w:num>
  <w:num w:numId="15">
    <w:abstractNumId w:val="17"/>
  </w:num>
  <w:num w:numId="16">
    <w:abstractNumId w:val="9"/>
  </w:num>
  <w:num w:numId="17">
    <w:abstractNumId w:val="18"/>
  </w:num>
  <w:num w:numId="18">
    <w:abstractNumId w:val="4"/>
  </w:num>
  <w:num w:numId="19">
    <w:abstractNumId w:val="19"/>
  </w:num>
  <w:num w:numId="20">
    <w:abstractNumId w:val="16"/>
  </w:num>
  <w:num w:numId="21">
    <w:abstractNumId w:val="21"/>
  </w:num>
  <w:num w:numId="22">
    <w:abstractNumId w:val="8"/>
  </w:num>
  <w:num w:numId="23">
    <w:abstractNumId w:val="15"/>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21"/>
    <w:rsid w:val="0001647B"/>
    <w:rsid w:val="00043CAA"/>
    <w:rsid w:val="0006486D"/>
    <w:rsid w:val="00075432"/>
    <w:rsid w:val="000968ED"/>
    <w:rsid w:val="000F5E56"/>
    <w:rsid w:val="001024FE"/>
    <w:rsid w:val="001362EE"/>
    <w:rsid w:val="00142868"/>
    <w:rsid w:val="0018073E"/>
    <w:rsid w:val="001832A6"/>
    <w:rsid w:val="001C6808"/>
    <w:rsid w:val="002121FA"/>
    <w:rsid w:val="002634C4"/>
    <w:rsid w:val="002928D3"/>
    <w:rsid w:val="002F1FE6"/>
    <w:rsid w:val="002F4E68"/>
    <w:rsid w:val="00312F7F"/>
    <w:rsid w:val="003228B7"/>
    <w:rsid w:val="003508A3"/>
    <w:rsid w:val="003673CF"/>
    <w:rsid w:val="003845C1"/>
    <w:rsid w:val="003A6F89"/>
    <w:rsid w:val="003B38C1"/>
    <w:rsid w:val="00423E3E"/>
    <w:rsid w:val="00427AF4"/>
    <w:rsid w:val="004400E2"/>
    <w:rsid w:val="00461632"/>
    <w:rsid w:val="004647DA"/>
    <w:rsid w:val="00474062"/>
    <w:rsid w:val="00477D6B"/>
    <w:rsid w:val="004D39C4"/>
    <w:rsid w:val="0053057A"/>
    <w:rsid w:val="00560A29"/>
    <w:rsid w:val="00594D27"/>
    <w:rsid w:val="00601760"/>
    <w:rsid w:val="00605827"/>
    <w:rsid w:val="006234C1"/>
    <w:rsid w:val="0062702A"/>
    <w:rsid w:val="00646050"/>
    <w:rsid w:val="006713CA"/>
    <w:rsid w:val="00676C5C"/>
    <w:rsid w:val="00695558"/>
    <w:rsid w:val="006D5E0F"/>
    <w:rsid w:val="007058FB"/>
    <w:rsid w:val="007B6A58"/>
    <w:rsid w:val="007D1613"/>
    <w:rsid w:val="00873EE5"/>
    <w:rsid w:val="008B2CC1"/>
    <w:rsid w:val="008B4B5E"/>
    <w:rsid w:val="008B60B2"/>
    <w:rsid w:val="008C13B2"/>
    <w:rsid w:val="0090731E"/>
    <w:rsid w:val="00916EE2"/>
    <w:rsid w:val="009478F4"/>
    <w:rsid w:val="00966A22"/>
    <w:rsid w:val="0096722F"/>
    <w:rsid w:val="00980843"/>
    <w:rsid w:val="009E2791"/>
    <w:rsid w:val="009E3F6F"/>
    <w:rsid w:val="009F37DA"/>
    <w:rsid w:val="009F3BF9"/>
    <w:rsid w:val="009F499F"/>
    <w:rsid w:val="00A12A21"/>
    <w:rsid w:val="00A42DAF"/>
    <w:rsid w:val="00A45BD8"/>
    <w:rsid w:val="00A778BF"/>
    <w:rsid w:val="00A85B8E"/>
    <w:rsid w:val="00A9118D"/>
    <w:rsid w:val="00AC205C"/>
    <w:rsid w:val="00AF5C73"/>
    <w:rsid w:val="00B05A69"/>
    <w:rsid w:val="00B40598"/>
    <w:rsid w:val="00B50B99"/>
    <w:rsid w:val="00B62CD9"/>
    <w:rsid w:val="00B9734B"/>
    <w:rsid w:val="00C11BFE"/>
    <w:rsid w:val="00C33CC6"/>
    <w:rsid w:val="00C94629"/>
    <w:rsid w:val="00CE65D4"/>
    <w:rsid w:val="00D45252"/>
    <w:rsid w:val="00D71B4D"/>
    <w:rsid w:val="00D93D55"/>
    <w:rsid w:val="00E161A2"/>
    <w:rsid w:val="00E335FE"/>
    <w:rsid w:val="00E5021F"/>
    <w:rsid w:val="00E671A6"/>
    <w:rsid w:val="00E93B41"/>
    <w:rsid w:val="00EC4E49"/>
    <w:rsid w:val="00ED77FB"/>
    <w:rsid w:val="00F021A6"/>
    <w:rsid w:val="00F11D94"/>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408C845-3C06-4C77-BDCC-D320BED7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1Char">
    <w:name w:val="Heading 1 Char"/>
    <w:basedOn w:val="DefaultParagraphFont"/>
    <w:link w:val="Heading1"/>
    <w:uiPriority w:val="9"/>
    <w:rsid w:val="00A12A21"/>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12A2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12A2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12A21"/>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A12A21"/>
    <w:rPr>
      <w:rFonts w:ascii="Arial" w:eastAsia="SimSun" w:hAnsi="Arial" w:cs="Arial"/>
      <w:sz w:val="22"/>
      <w:lang w:val="en-US" w:eastAsia="zh-CN"/>
    </w:rPr>
  </w:style>
  <w:style w:type="character" w:customStyle="1" w:styleId="CommentTextChar">
    <w:name w:val="Comment Text Char"/>
    <w:basedOn w:val="DefaultParagraphFont"/>
    <w:semiHidden/>
    <w:rsid w:val="00A12A2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12A21"/>
    <w:rPr>
      <w:rFonts w:ascii="Arial" w:eastAsia="SimSun" w:hAnsi="Arial" w:cs="Arial"/>
      <w:sz w:val="18"/>
      <w:lang w:val="en-US" w:eastAsia="zh-CN"/>
    </w:rPr>
  </w:style>
  <w:style w:type="character" w:customStyle="1" w:styleId="FooterChar">
    <w:name w:val="Footer Char"/>
    <w:basedOn w:val="DefaultParagraphFont"/>
    <w:link w:val="Footer"/>
    <w:semiHidden/>
    <w:rsid w:val="00A12A21"/>
    <w:rPr>
      <w:rFonts w:ascii="Arial" w:eastAsia="SimSun" w:hAnsi="Arial" w:cs="Arial"/>
      <w:sz w:val="22"/>
      <w:lang w:val="en-US" w:eastAsia="zh-CN"/>
    </w:rPr>
  </w:style>
  <w:style w:type="character" w:customStyle="1" w:styleId="FootnoteTextChar">
    <w:name w:val="Footnote Text Char"/>
    <w:basedOn w:val="DefaultParagraphFont"/>
    <w:link w:val="FootnoteText"/>
    <w:rsid w:val="00A12A21"/>
    <w:rPr>
      <w:rFonts w:ascii="Arial" w:eastAsia="SimSun" w:hAnsi="Arial" w:cs="Arial"/>
      <w:sz w:val="18"/>
      <w:lang w:val="en-US" w:eastAsia="zh-CN"/>
    </w:rPr>
  </w:style>
  <w:style w:type="character" w:customStyle="1" w:styleId="HeaderChar">
    <w:name w:val="Header Char"/>
    <w:basedOn w:val="DefaultParagraphFont"/>
    <w:link w:val="Header"/>
    <w:uiPriority w:val="99"/>
    <w:rsid w:val="00A12A2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12A21"/>
    <w:rPr>
      <w:rFonts w:ascii="Arial" w:eastAsia="SimSun" w:hAnsi="Arial" w:cs="Arial"/>
      <w:sz w:val="22"/>
      <w:lang w:val="en-US" w:eastAsia="zh-CN"/>
    </w:rPr>
  </w:style>
  <w:style w:type="character" w:customStyle="1" w:styleId="SignatureChar">
    <w:name w:val="Signature Char"/>
    <w:basedOn w:val="DefaultParagraphFont"/>
    <w:link w:val="Signature"/>
    <w:semiHidden/>
    <w:rsid w:val="00A12A21"/>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12A21"/>
    <w:rPr>
      <w:vertAlign w:val="superscript"/>
    </w:rPr>
  </w:style>
  <w:style w:type="paragraph" w:customStyle="1" w:styleId="footnotedescription">
    <w:name w:val="footnote description"/>
    <w:next w:val="Normal"/>
    <w:link w:val="footnotedescriptionChar"/>
    <w:hidden/>
    <w:rsid w:val="00A12A21"/>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12A21"/>
    <w:rPr>
      <w:rFonts w:ascii="Arial" w:eastAsia="Arial" w:hAnsi="Arial" w:cs="Arial"/>
      <w:color w:val="000000"/>
      <w:szCs w:val="22"/>
      <w:lang w:val="en-AU" w:eastAsia="en-AU"/>
    </w:rPr>
  </w:style>
  <w:style w:type="character" w:customStyle="1" w:styleId="footnotemark">
    <w:name w:val="footnote mark"/>
    <w:hidden/>
    <w:rsid w:val="00A12A21"/>
    <w:rPr>
      <w:rFonts w:ascii="Arial" w:eastAsia="Arial" w:hAnsi="Arial" w:cs="Arial"/>
      <w:color w:val="000000"/>
      <w:sz w:val="20"/>
      <w:vertAlign w:val="superscript"/>
    </w:rPr>
  </w:style>
  <w:style w:type="paragraph" w:styleId="ListParagraph">
    <w:name w:val="List Paragraph"/>
    <w:basedOn w:val="Normal"/>
    <w:uiPriority w:val="34"/>
    <w:qFormat/>
    <w:rsid w:val="00A12A21"/>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A12A21"/>
    <w:rPr>
      <w:color w:val="0000FF" w:themeColor="hyperlink"/>
      <w:u w:val="single"/>
    </w:rPr>
  </w:style>
  <w:style w:type="character" w:styleId="PageNumber">
    <w:name w:val="page number"/>
    <w:basedOn w:val="DefaultParagraphFont"/>
    <w:rsid w:val="00A12A21"/>
  </w:style>
  <w:style w:type="paragraph" w:styleId="NormalWeb">
    <w:name w:val="Normal (Web)"/>
    <w:basedOn w:val="Normal"/>
    <w:uiPriority w:val="99"/>
    <w:unhideWhenUsed/>
    <w:rsid w:val="00A12A21"/>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A12A21"/>
  </w:style>
  <w:style w:type="character" w:styleId="Strong">
    <w:name w:val="Strong"/>
    <w:basedOn w:val="DefaultParagraphFont"/>
    <w:uiPriority w:val="22"/>
    <w:qFormat/>
    <w:rsid w:val="00A12A21"/>
    <w:rPr>
      <w:b/>
      <w:bCs/>
    </w:rPr>
  </w:style>
  <w:style w:type="character" w:styleId="Emphasis">
    <w:name w:val="Emphasis"/>
    <w:basedOn w:val="DefaultParagraphFont"/>
    <w:uiPriority w:val="20"/>
    <w:qFormat/>
    <w:rsid w:val="00A12A21"/>
    <w:rPr>
      <w:i/>
      <w:iCs/>
    </w:rPr>
  </w:style>
  <w:style w:type="character" w:styleId="CommentReference">
    <w:name w:val="annotation reference"/>
    <w:basedOn w:val="DefaultParagraphFont"/>
    <w:semiHidden/>
    <w:unhideWhenUsed/>
    <w:rsid w:val="00A12A21"/>
    <w:rPr>
      <w:sz w:val="16"/>
      <w:szCs w:val="16"/>
    </w:rPr>
  </w:style>
  <w:style w:type="paragraph" w:styleId="CommentSubject">
    <w:name w:val="annotation subject"/>
    <w:basedOn w:val="CommentText"/>
    <w:next w:val="CommentText"/>
    <w:link w:val="CommentSubjectChar"/>
    <w:semiHidden/>
    <w:unhideWhenUsed/>
    <w:rsid w:val="00A12A21"/>
    <w:rPr>
      <w:b/>
      <w:bCs/>
      <w:sz w:val="20"/>
    </w:rPr>
  </w:style>
  <w:style w:type="character" w:customStyle="1" w:styleId="CommentTextChar1">
    <w:name w:val="Comment Text Char1"/>
    <w:basedOn w:val="DefaultParagraphFont"/>
    <w:link w:val="CommentText"/>
    <w:semiHidden/>
    <w:rsid w:val="00A12A21"/>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A12A21"/>
    <w:rPr>
      <w:rFonts w:ascii="Arial" w:eastAsia="SimSun" w:hAnsi="Arial" w:cs="Arial"/>
      <w:b/>
      <w:bCs/>
      <w:sz w:val="18"/>
      <w:lang w:val="en-US" w:eastAsia="zh-CN"/>
    </w:rPr>
  </w:style>
  <w:style w:type="paragraph" w:styleId="Revision">
    <w:name w:val="Revision"/>
    <w:hidden/>
    <w:uiPriority w:val="99"/>
    <w:semiHidden/>
    <w:rsid w:val="00A12A21"/>
    <w:rPr>
      <w:rFonts w:ascii="Arial" w:eastAsia="SimSun" w:hAnsi="Arial" w:cs="Arial"/>
      <w:sz w:val="22"/>
      <w:lang w:val="en-US" w:eastAsia="zh-CN"/>
    </w:rPr>
  </w:style>
  <w:style w:type="paragraph" w:styleId="BalloonText">
    <w:name w:val="Balloon Text"/>
    <w:basedOn w:val="Normal"/>
    <w:link w:val="BalloonTextChar"/>
    <w:semiHidden/>
    <w:unhideWhenUsed/>
    <w:rsid w:val="00A12A21"/>
    <w:rPr>
      <w:rFonts w:ascii="Segoe UI" w:hAnsi="Segoe UI" w:cs="Segoe UI"/>
      <w:sz w:val="18"/>
      <w:szCs w:val="18"/>
    </w:rPr>
  </w:style>
  <w:style w:type="character" w:customStyle="1" w:styleId="BalloonTextChar">
    <w:name w:val="Balloon Text Char"/>
    <w:basedOn w:val="DefaultParagraphFont"/>
    <w:link w:val="BalloonText"/>
    <w:semiHidden/>
    <w:rsid w:val="00A12A2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71028" TargetMode="Externa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yperlink" Target="https://www.wipo.int/edocs/mdocs/tk/en/wipo_grtkf_ic_43/wipo_grtkf_ic_43_decisions.pdf" TargetMode="Externa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www.wipo.int/edocs/mdocs/tk/en/wipo_grtkf_ic_42/wipo_grtkf_ic_42_decisions.pdf"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AB02-CB02-4900-A9C8-65116AD1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15</TotalTime>
  <Pages>55</Pages>
  <Words>11888</Words>
  <Characters>68739</Characters>
  <Application>Microsoft Office Word</Application>
  <DocSecurity>0</DocSecurity>
  <Lines>1652</Lines>
  <Paragraphs>495</Paragraphs>
  <ScaleCrop>false</ScaleCrop>
  <HeadingPairs>
    <vt:vector size="2" baseType="variant">
      <vt:variant>
        <vt:lpstr>Title</vt:lpstr>
      </vt:variant>
      <vt:variant>
        <vt:i4>1</vt:i4>
      </vt:variant>
    </vt:vector>
  </HeadingPairs>
  <TitlesOfParts>
    <vt:vector size="1" baseType="lpstr">
      <vt:lpstr>WO/GA/55/6</vt:lpstr>
    </vt:vector>
  </TitlesOfParts>
  <Company>WIPO</Company>
  <LinksUpToDate>false</LinksUpToDate>
  <CharactersWithSpaces>80371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WO/GA/55/6</dc:title>
  <dc:subject>Sixty-Third Series of Meetings</dc:subject>
  <dc:creator>WIPO</dc:creator>
  <cp:keywords>PUBLIC</cp:keywords>
  <cp:lastModifiedBy>MARIN-CUDRAZ DAVI Nicoletta</cp:lastModifiedBy>
  <cp:revision>5</cp:revision>
  <cp:lastPrinted>2011-02-15T11:56:00Z</cp:lastPrinted>
  <dcterms:created xsi:type="dcterms:W3CDTF">2022-06-16T12:42:00Z</dcterms:created>
  <dcterms:modified xsi:type="dcterms:W3CDTF">2022-06-16T14:39:00Z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