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805BD5">
      <w:pPr>
        <w:spacing w:before="360" w:after="24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5E27B1" w:rsidRDefault="006961B9" w:rsidP="00805BD5">
      <w:pPr>
        <w:pBdr>
          <w:top w:val="single" w:sz="4" w:space="9" w:color="auto"/>
        </w:pBdr>
        <w:jc w:val="right"/>
        <w:rPr>
          <w:rFonts w:ascii="Arial Black" w:hAnsi="Arial Black"/>
          <w:caps/>
          <w:sz w:val="15"/>
          <w:szCs w:val="15"/>
        </w:rPr>
      </w:pPr>
      <w:r w:rsidRPr="005E27B1">
        <w:rPr>
          <w:rFonts w:ascii="Arial Black" w:hAnsi="Arial Black"/>
          <w:caps/>
          <w:sz w:val="15"/>
          <w:szCs w:val="15"/>
        </w:rPr>
        <w:t>WO/GA/5</w:t>
      </w:r>
      <w:r w:rsidR="005A291B">
        <w:rPr>
          <w:rFonts w:ascii="Arial Black" w:hAnsi="Arial Black"/>
          <w:caps/>
          <w:sz w:val="15"/>
          <w:szCs w:val="15"/>
        </w:rPr>
        <w:t>2</w:t>
      </w:r>
      <w:r w:rsidRPr="005E27B1">
        <w:rPr>
          <w:rFonts w:ascii="Arial Black" w:hAnsi="Arial Black"/>
          <w:caps/>
          <w:sz w:val="15"/>
          <w:szCs w:val="15"/>
        </w:rPr>
        <w:t>/</w:t>
      </w:r>
      <w:bookmarkStart w:id="1" w:name="Code"/>
      <w:r w:rsidR="00677877">
        <w:rPr>
          <w:rFonts w:ascii="Arial Black" w:hAnsi="Arial Black"/>
          <w:caps/>
          <w:sz w:val="15"/>
          <w:szCs w:val="15"/>
        </w:rPr>
        <w:t>2</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677877">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1916D1">
        <w:rPr>
          <w:rFonts w:ascii="Arial Black" w:hAnsi="Arial Black"/>
          <w:caps/>
          <w:sz w:val="15"/>
          <w:szCs w:val="15"/>
        </w:rPr>
        <w:t>May 7,</w:t>
      </w:r>
      <w:r w:rsidR="00E308DD">
        <w:rPr>
          <w:rFonts w:ascii="Arial Black" w:hAnsi="Arial Black"/>
          <w:caps/>
          <w:sz w:val="15"/>
          <w:szCs w:val="15"/>
        </w:rPr>
        <w:t xml:space="preserve"> </w:t>
      </w:r>
      <w:r w:rsidR="00677877">
        <w:rPr>
          <w:rFonts w:ascii="Arial Black" w:hAnsi="Arial Black"/>
          <w:caps/>
          <w:sz w:val="15"/>
          <w:szCs w:val="15"/>
        </w:rPr>
        <w:t>2020</w:t>
      </w:r>
    </w:p>
    <w:bookmarkEnd w:id="3"/>
    <w:p w:rsidR="008B2CC1" w:rsidRPr="00720EFD" w:rsidRDefault="00217391" w:rsidP="00217391">
      <w:pPr>
        <w:pStyle w:val="Heading1"/>
        <w:spacing w:before="0" w:after="600"/>
        <w:rPr>
          <w:sz w:val="28"/>
          <w:szCs w:val="28"/>
        </w:rPr>
      </w:pPr>
      <w:r w:rsidRPr="006961B9">
        <w:rPr>
          <w:caps w:val="0"/>
          <w:sz w:val="28"/>
          <w:szCs w:val="28"/>
        </w:rPr>
        <w:t>WIPO General Assembly</w:t>
      </w:r>
    </w:p>
    <w:p w:rsidR="008B2CC1" w:rsidRPr="003845C1" w:rsidRDefault="006961B9" w:rsidP="00217391">
      <w:pPr>
        <w:spacing w:after="720"/>
        <w:outlineLvl w:val="1"/>
        <w:rPr>
          <w:b/>
          <w:sz w:val="24"/>
          <w:szCs w:val="24"/>
        </w:rPr>
      </w:pPr>
      <w:r w:rsidRPr="006961B9">
        <w:rPr>
          <w:b/>
          <w:sz w:val="24"/>
          <w:szCs w:val="24"/>
        </w:rPr>
        <w:t>Fifty-Second (28</w:t>
      </w:r>
      <w:r w:rsidRPr="009B35A7">
        <w:rPr>
          <w:b/>
          <w:sz w:val="24"/>
          <w:szCs w:val="24"/>
          <w:vertAlign w:val="superscript"/>
        </w:rPr>
        <w:t>th</w:t>
      </w:r>
      <w:r w:rsidRPr="006961B9">
        <w:rPr>
          <w:b/>
          <w:sz w:val="24"/>
          <w:szCs w:val="24"/>
        </w:rPr>
        <w:t xml:space="preserve"> Extraordinary) Session</w:t>
      </w:r>
      <w:r>
        <w:rPr>
          <w:b/>
          <w:sz w:val="24"/>
          <w:szCs w:val="24"/>
        </w:rPr>
        <w:br/>
      </w:r>
      <w:r w:rsidRPr="006961B9">
        <w:rPr>
          <w:b/>
          <w:sz w:val="24"/>
          <w:szCs w:val="24"/>
        </w:rPr>
        <w:t>Geneva, May 7 and 8, 2020</w:t>
      </w:r>
    </w:p>
    <w:p w:rsidR="008B2CC1" w:rsidRPr="003845C1" w:rsidRDefault="00677877" w:rsidP="00DD7B7F">
      <w:pPr>
        <w:spacing w:after="360"/>
        <w:outlineLvl w:val="0"/>
        <w:rPr>
          <w:caps/>
          <w:sz w:val="24"/>
        </w:rPr>
      </w:pPr>
      <w:bookmarkStart w:id="4" w:name="TitleOfDoc"/>
      <w:r>
        <w:rPr>
          <w:caps/>
          <w:sz w:val="24"/>
        </w:rPr>
        <w:t>summary by the Chair</w:t>
      </w:r>
    </w:p>
    <w:p w:rsidR="002928D3" w:rsidRPr="00F9165B" w:rsidRDefault="00677877" w:rsidP="00217391">
      <w:pPr>
        <w:spacing w:after="960"/>
        <w:rPr>
          <w:i/>
        </w:rPr>
      </w:pPr>
      <w:bookmarkStart w:id="5" w:name="Prepared"/>
      <w:bookmarkEnd w:id="4"/>
      <w:r>
        <w:rPr>
          <w:i/>
        </w:rPr>
        <w:t>prepared by the Chair</w:t>
      </w:r>
    </w:p>
    <w:bookmarkEnd w:id="5"/>
    <w:p w:rsidR="00677877" w:rsidRPr="00552252" w:rsidRDefault="00677877" w:rsidP="00677877">
      <w:pPr>
        <w:spacing w:after="240"/>
        <w:rPr>
          <w:rFonts w:eastAsia="Times New Roman"/>
          <w:color w:val="212121"/>
          <w:szCs w:val="22"/>
        </w:rPr>
      </w:pPr>
      <w:r>
        <w:rPr>
          <w:szCs w:val="22"/>
        </w:rPr>
        <w:t>1.</w:t>
      </w:r>
      <w:r>
        <w:rPr>
          <w:szCs w:val="22"/>
        </w:rPr>
        <w:tab/>
      </w:r>
      <w:r w:rsidRPr="00552252">
        <w:rPr>
          <w:szCs w:val="22"/>
        </w:rPr>
        <w:t>On April 20, 2020, WIPO Member States agreed to the proposal of the Director</w:t>
      </w:r>
      <w:r>
        <w:rPr>
          <w:szCs w:val="22"/>
        </w:rPr>
        <w:t> </w:t>
      </w:r>
      <w:r w:rsidRPr="00552252">
        <w:rPr>
          <w:szCs w:val="22"/>
        </w:rPr>
        <w:t xml:space="preserve">General of WIPO, as contained in Note C. N 3989, to conduct, exceptionally, the May 7 and 8 meeting of the </w:t>
      </w:r>
      <w:r w:rsidRPr="00552252">
        <w:rPr>
          <w:rFonts w:eastAsia="Times New Roman"/>
          <w:color w:val="212121"/>
          <w:szCs w:val="22"/>
        </w:rPr>
        <w:t xml:space="preserve">WIPO General Assembly, the Paris Union Assembly and the Berne Union Assembly to appoint the next Director General of WIPO in the form of a written procedure.  In so doing, Member States authorized </w:t>
      </w:r>
      <w:r>
        <w:rPr>
          <w:rFonts w:eastAsia="Times New Roman"/>
          <w:color w:val="212121"/>
          <w:szCs w:val="22"/>
        </w:rPr>
        <w:t>the</w:t>
      </w:r>
      <w:r w:rsidRPr="00552252">
        <w:rPr>
          <w:rFonts w:eastAsia="Times New Roman"/>
          <w:color w:val="212121"/>
          <w:szCs w:val="22"/>
        </w:rPr>
        <w:t xml:space="preserve"> Chair of the General Assembly, to circulate the draft decisions for their consideration, and, eventual adoption.</w:t>
      </w:r>
    </w:p>
    <w:p w:rsidR="00677877" w:rsidRPr="00552252" w:rsidRDefault="00677877" w:rsidP="00677877">
      <w:pPr>
        <w:spacing w:after="240"/>
        <w:rPr>
          <w:rFonts w:eastAsia="Times New Roman"/>
          <w:color w:val="212121"/>
          <w:szCs w:val="22"/>
        </w:rPr>
      </w:pPr>
      <w:r>
        <w:rPr>
          <w:rFonts w:eastAsia="Times New Roman"/>
          <w:color w:val="212121"/>
          <w:szCs w:val="22"/>
        </w:rPr>
        <w:t>2.</w:t>
      </w:r>
      <w:r>
        <w:rPr>
          <w:rFonts w:eastAsia="Times New Roman"/>
          <w:color w:val="212121"/>
          <w:szCs w:val="22"/>
        </w:rPr>
        <w:tab/>
      </w:r>
      <w:r>
        <w:rPr>
          <w:szCs w:val="22"/>
        </w:rPr>
        <w:t>A</w:t>
      </w:r>
      <w:r w:rsidRPr="00552252">
        <w:rPr>
          <w:rFonts w:eastAsia="Times New Roman"/>
          <w:color w:val="212121"/>
          <w:szCs w:val="22"/>
        </w:rPr>
        <w:t xml:space="preserve">s per past practice, a “Working Group on the Conditions of the appointment of the Director General-Elect” (Working Group) was to be appointed by the </w:t>
      </w:r>
      <w:r>
        <w:rPr>
          <w:rFonts w:eastAsia="Times New Roman"/>
          <w:color w:val="212121"/>
          <w:szCs w:val="22"/>
        </w:rPr>
        <w:t xml:space="preserve">WIPO </w:t>
      </w:r>
      <w:r w:rsidRPr="00552252">
        <w:rPr>
          <w:rFonts w:eastAsia="Times New Roman"/>
          <w:color w:val="212121"/>
          <w:szCs w:val="22"/>
        </w:rPr>
        <w:t>General</w:t>
      </w:r>
      <w:r>
        <w:rPr>
          <w:rFonts w:eastAsia="Times New Roman"/>
          <w:color w:val="212121"/>
          <w:szCs w:val="22"/>
        </w:rPr>
        <w:t> </w:t>
      </w:r>
      <w:r w:rsidRPr="00552252">
        <w:rPr>
          <w:rFonts w:eastAsia="Times New Roman"/>
          <w:color w:val="212121"/>
          <w:szCs w:val="22"/>
        </w:rPr>
        <w:t>Assembly to provide recommendations on these conditions so that they may be fixed, or ad</w:t>
      </w:r>
      <w:r>
        <w:rPr>
          <w:rFonts w:eastAsia="Times New Roman"/>
          <w:color w:val="212121"/>
          <w:szCs w:val="22"/>
        </w:rPr>
        <w:t xml:space="preserve">opted, by the General Assembly. </w:t>
      </w:r>
      <w:r w:rsidRPr="00552252">
        <w:rPr>
          <w:rFonts w:eastAsia="Times New Roman"/>
          <w:color w:val="212121"/>
          <w:szCs w:val="22"/>
        </w:rPr>
        <w:t xml:space="preserve"> </w:t>
      </w:r>
      <w:r>
        <w:rPr>
          <w:rFonts w:eastAsia="Times New Roman"/>
          <w:color w:val="212121"/>
          <w:szCs w:val="22"/>
        </w:rPr>
        <w:t>The Chair of the WIPO General Assembly</w:t>
      </w:r>
      <w:r w:rsidRPr="00552252">
        <w:rPr>
          <w:rFonts w:eastAsia="Times New Roman"/>
          <w:color w:val="212121"/>
          <w:szCs w:val="22"/>
        </w:rPr>
        <w:t xml:space="preserve"> preside</w:t>
      </w:r>
      <w:r>
        <w:rPr>
          <w:rFonts w:eastAsia="Times New Roman"/>
          <w:color w:val="212121"/>
          <w:szCs w:val="22"/>
        </w:rPr>
        <w:t>s</w:t>
      </w:r>
      <w:r w:rsidRPr="00552252">
        <w:rPr>
          <w:rFonts w:eastAsia="Times New Roman"/>
          <w:color w:val="212121"/>
          <w:szCs w:val="22"/>
        </w:rPr>
        <w:t xml:space="preserve"> over the Working Group, and the Chair of the </w:t>
      </w:r>
      <w:r>
        <w:rPr>
          <w:rFonts w:eastAsia="Times New Roman"/>
          <w:color w:val="212121"/>
          <w:szCs w:val="22"/>
        </w:rPr>
        <w:t xml:space="preserve">WIPO </w:t>
      </w:r>
      <w:r w:rsidRPr="00552252">
        <w:rPr>
          <w:rFonts w:eastAsia="Times New Roman"/>
          <w:color w:val="212121"/>
          <w:szCs w:val="22"/>
        </w:rPr>
        <w:t xml:space="preserve">Coordination Committee is its Vice-Chair. </w:t>
      </w:r>
      <w:r>
        <w:rPr>
          <w:rFonts w:eastAsia="Times New Roman"/>
          <w:color w:val="212121"/>
          <w:szCs w:val="22"/>
        </w:rPr>
        <w:t xml:space="preserve"> </w:t>
      </w:r>
      <w:r w:rsidRPr="00552252">
        <w:rPr>
          <w:rFonts w:eastAsia="Times New Roman"/>
          <w:color w:val="212121"/>
          <w:szCs w:val="22"/>
        </w:rPr>
        <w:t>The other members of the Working Group consist of:</w:t>
      </w:r>
      <w:r>
        <w:rPr>
          <w:rFonts w:eastAsia="Times New Roman"/>
          <w:color w:val="212121"/>
          <w:szCs w:val="22"/>
        </w:rPr>
        <w:t xml:space="preserve"> </w:t>
      </w:r>
      <w:r w:rsidRPr="00552252">
        <w:rPr>
          <w:rFonts w:eastAsia="Times New Roman"/>
          <w:color w:val="212121"/>
          <w:szCs w:val="22"/>
        </w:rPr>
        <w:t xml:space="preserve"> (</w:t>
      </w:r>
      <w:r>
        <w:rPr>
          <w:rFonts w:eastAsia="Times New Roman"/>
          <w:color w:val="212121"/>
          <w:szCs w:val="22"/>
        </w:rPr>
        <w:t>1</w:t>
      </w:r>
      <w:r w:rsidRPr="00552252">
        <w:rPr>
          <w:rFonts w:eastAsia="Times New Roman"/>
          <w:color w:val="212121"/>
          <w:szCs w:val="22"/>
        </w:rPr>
        <w:t>)</w:t>
      </w:r>
      <w:r>
        <w:rPr>
          <w:rFonts w:eastAsia="Times New Roman"/>
          <w:color w:val="212121"/>
          <w:szCs w:val="22"/>
        </w:rPr>
        <w:t>  </w:t>
      </w:r>
      <w:r w:rsidRPr="00552252">
        <w:rPr>
          <w:rFonts w:eastAsia="Times New Roman"/>
          <w:color w:val="212121"/>
          <w:szCs w:val="22"/>
        </w:rPr>
        <w:t xml:space="preserve">the Vice-Chairs of the </w:t>
      </w:r>
      <w:r>
        <w:rPr>
          <w:rFonts w:eastAsia="Times New Roman"/>
          <w:color w:val="212121"/>
          <w:szCs w:val="22"/>
        </w:rPr>
        <w:t xml:space="preserve">WIPO </w:t>
      </w:r>
      <w:r w:rsidRPr="00552252">
        <w:rPr>
          <w:rFonts w:eastAsia="Times New Roman"/>
          <w:color w:val="212121"/>
          <w:szCs w:val="22"/>
        </w:rPr>
        <w:t xml:space="preserve">General Assembly and of the </w:t>
      </w:r>
      <w:r>
        <w:rPr>
          <w:rFonts w:eastAsia="Times New Roman"/>
          <w:color w:val="212121"/>
          <w:szCs w:val="22"/>
        </w:rPr>
        <w:t xml:space="preserve">WIPO </w:t>
      </w:r>
      <w:r w:rsidRPr="00552252">
        <w:rPr>
          <w:rFonts w:eastAsia="Times New Roman"/>
          <w:color w:val="212121"/>
          <w:szCs w:val="22"/>
        </w:rPr>
        <w:t xml:space="preserve">Coordination Committee; </w:t>
      </w:r>
      <w:r>
        <w:rPr>
          <w:rFonts w:eastAsia="Times New Roman"/>
          <w:color w:val="212121"/>
          <w:szCs w:val="22"/>
        </w:rPr>
        <w:t xml:space="preserve"> </w:t>
      </w:r>
      <w:r w:rsidRPr="00552252">
        <w:rPr>
          <w:rFonts w:eastAsia="Times New Roman"/>
          <w:color w:val="212121"/>
          <w:szCs w:val="22"/>
        </w:rPr>
        <w:t>and (2)</w:t>
      </w:r>
      <w:r>
        <w:rPr>
          <w:rFonts w:eastAsia="Times New Roman"/>
          <w:color w:val="212121"/>
          <w:szCs w:val="22"/>
        </w:rPr>
        <w:t>  </w:t>
      </w:r>
      <w:r w:rsidRPr="00552252">
        <w:rPr>
          <w:rFonts w:eastAsia="Times New Roman"/>
          <w:color w:val="212121"/>
          <w:szCs w:val="22"/>
        </w:rPr>
        <w:t>the Coordinators of the African Group, the Asia and Pacific Group (APG), the Group of Central Asian, Caucasus and Eastern European Countries (CACEEC), the Group of Central European and Baltic States (CEBS), Group B, the Group of Latin American and Caribbean Countries (GRULAC), and China.</w:t>
      </w:r>
    </w:p>
    <w:p w:rsidR="00677877" w:rsidRDefault="00677877" w:rsidP="00677877">
      <w:pPr>
        <w:spacing w:after="240"/>
        <w:rPr>
          <w:rFonts w:eastAsia="Times New Roman"/>
          <w:szCs w:val="22"/>
        </w:rPr>
      </w:pPr>
      <w:r>
        <w:rPr>
          <w:rFonts w:eastAsia="Times New Roman"/>
          <w:color w:val="212121"/>
          <w:szCs w:val="22"/>
        </w:rPr>
        <w:t>3.</w:t>
      </w:r>
      <w:r>
        <w:rPr>
          <w:rFonts w:eastAsia="Times New Roman"/>
          <w:color w:val="212121"/>
          <w:szCs w:val="22"/>
        </w:rPr>
        <w:tab/>
      </w:r>
      <w:r w:rsidRPr="00552252">
        <w:rPr>
          <w:rFonts w:eastAsia="Times New Roman"/>
          <w:color w:val="212121"/>
          <w:szCs w:val="22"/>
        </w:rPr>
        <w:t>D</w:t>
      </w:r>
      <w:r w:rsidRPr="00552252">
        <w:rPr>
          <w:rFonts w:eastAsia="Times New Roman"/>
          <w:szCs w:val="22"/>
        </w:rPr>
        <w:t xml:space="preserve">ue to the restrictions in place as a result of the COVID-19 pandemic, and consistent with the proposal for, and eventual agreement of Member States to proceed, exceptionally, with a written procedure for </w:t>
      </w:r>
      <w:r>
        <w:rPr>
          <w:rFonts w:eastAsia="Times New Roman"/>
          <w:szCs w:val="22"/>
        </w:rPr>
        <w:t>the conduct of these meetings, the Chair</w:t>
      </w:r>
      <w:r w:rsidRPr="00552252">
        <w:rPr>
          <w:rFonts w:eastAsia="Times New Roman"/>
          <w:szCs w:val="22"/>
        </w:rPr>
        <w:t xml:space="preserve"> proposed a similarly exceptional approach to the work of the Working Group.  As </w:t>
      </w:r>
      <w:r w:rsidRPr="00552252">
        <w:rPr>
          <w:rFonts w:eastAsia="Times New Roman"/>
          <w:color w:val="212121"/>
          <w:szCs w:val="22"/>
        </w:rPr>
        <w:t xml:space="preserve">detailed in document WO/GA/52/1 Rev., </w:t>
      </w:r>
      <w:r>
        <w:rPr>
          <w:rFonts w:eastAsia="Times New Roman"/>
          <w:szCs w:val="22"/>
        </w:rPr>
        <w:t xml:space="preserve">the Chair </w:t>
      </w:r>
      <w:r w:rsidRPr="00552252">
        <w:rPr>
          <w:rFonts w:eastAsia="Times New Roman"/>
          <w:szCs w:val="22"/>
        </w:rPr>
        <w:t>proposed to convene the Working</w:t>
      </w:r>
      <w:r>
        <w:rPr>
          <w:rFonts w:eastAsia="Times New Roman"/>
          <w:szCs w:val="22"/>
        </w:rPr>
        <w:t> </w:t>
      </w:r>
      <w:r w:rsidRPr="00552252">
        <w:rPr>
          <w:rFonts w:eastAsia="Times New Roman"/>
          <w:szCs w:val="22"/>
        </w:rPr>
        <w:t xml:space="preserve">Group informally and to engage in consultations with </w:t>
      </w:r>
      <w:r>
        <w:rPr>
          <w:rFonts w:eastAsia="Times New Roman"/>
          <w:szCs w:val="22"/>
        </w:rPr>
        <w:t>it</w:t>
      </w:r>
      <w:r w:rsidRPr="00552252">
        <w:rPr>
          <w:rFonts w:eastAsia="Times New Roman"/>
          <w:szCs w:val="22"/>
        </w:rPr>
        <w:t xml:space="preserve"> to provide recommendations regarding the conditions of appointment of the Director General.  </w:t>
      </w:r>
      <w:r>
        <w:rPr>
          <w:rFonts w:eastAsia="Times New Roman"/>
          <w:szCs w:val="22"/>
        </w:rPr>
        <w:lastRenderedPageBreak/>
        <w:t>As </w:t>
      </w:r>
      <w:r w:rsidRPr="00552252">
        <w:rPr>
          <w:rFonts w:eastAsia="Times New Roman"/>
          <w:szCs w:val="22"/>
        </w:rPr>
        <w:t>further proposed in that document, the results of the informal consultations would be reflected in the present Summary</w:t>
      </w:r>
      <w:r>
        <w:rPr>
          <w:rFonts w:eastAsia="Times New Roman"/>
          <w:szCs w:val="22"/>
        </w:rPr>
        <w:t xml:space="preserve"> by the Chair</w:t>
      </w:r>
      <w:r w:rsidRPr="00552252">
        <w:rPr>
          <w:rFonts w:eastAsia="Times New Roman"/>
          <w:szCs w:val="22"/>
        </w:rPr>
        <w:t>, to be annexed to the circular containing the proposed decisions for adoption as part of the written procedure agreed by Member States for the conduct of the May WIPO Assemblies.</w:t>
      </w:r>
    </w:p>
    <w:p w:rsidR="00677877" w:rsidRPr="00552252" w:rsidRDefault="00677877" w:rsidP="00A674C6">
      <w:pPr>
        <w:shd w:val="clear" w:color="auto" w:fill="FFFFFF"/>
        <w:spacing w:after="240"/>
        <w:rPr>
          <w:rFonts w:eastAsia="Times New Roman"/>
          <w:color w:val="212121"/>
          <w:szCs w:val="22"/>
        </w:rPr>
      </w:pPr>
      <w:r>
        <w:rPr>
          <w:rFonts w:eastAsia="Times New Roman"/>
          <w:color w:val="212121"/>
          <w:szCs w:val="22"/>
        </w:rPr>
        <w:t>4.</w:t>
      </w:r>
      <w:r>
        <w:rPr>
          <w:rFonts w:eastAsia="Times New Roman"/>
          <w:color w:val="212121"/>
          <w:szCs w:val="22"/>
        </w:rPr>
        <w:tab/>
        <w:t xml:space="preserve">To this end, the Chair </w:t>
      </w:r>
      <w:r w:rsidRPr="00552252">
        <w:rPr>
          <w:rFonts w:eastAsia="Times New Roman"/>
          <w:color w:val="212121"/>
          <w:szCs w:val="22"/>
        </w:rPr>
        <w:t xml:space="preserve">invited views and comments from </w:t>
      </w:r>
      <w:r>
        <w:rPr>
          <w:rFonts w:eastAsia="Times New Roman"/>
          <w:color w:val="212121"/>
          <w:szCs w:val="22"/>
        </w:rPr>
        <w:t xml:space="preserve">the </w:t>
      </w:r>
      <w:r w:rsidRPr="00552252">
        <w:rPr>
          <w:rFonts w:eastAsia="Times New Roman"/>
          <w:color w:val="212121"/>
          <w:szCs w:val="22"/>
        </w:rPr>
        <w:t>Working Group as of April</w:t>
      </w:r>
      <w:r>
        <w:rPr>
          <w:rFonts w:eastAsia="Times New Roman"/>
          <w:color w:val="212121"/>
          <w:szCs w:val="22"/>
        </w:rPr>
        <w:t> </w:t>
      </w:r>
      <w:r w:rsidRPr="00552252">
        <w:rPr>
          <w:rFonts w:eastAsia="Times New Roman"/>
          <w:color w:val="212121"/>
          <w:szCs w:val="22"/>
        </w:rPr>
        <w:t>20,</w:t>
      </w:r>
      <w:r>
        <w:rPr>
          <w:rFonts w:eastAsia="Times New Roman"/>
          <w:color w:val="212121"/>
          <w:szCs w:val="22"/>
        </w:rPr>
        <w:t> </w:t>
      </w:r>
      <w:r w:rsidRPr="00552252">
        <w:rPr>
          <w:rFonts w:eastAsia="Times New Roman"/>
          <w:color w:val="212121"/>
          <w:szCs w:val="22"/>
        </w:rPr>
        <w:t xml:space="preserve">2020, on the </w:t>
      </w:r>
      <w:r>
        <w:rPr>
          <w:rFonts w:eastAsia="Times New Roman"/>
          <w:color w:val="212121"/>
          <w:szCs w:val="22"/>
        </w:rPr>
        <w:t xml:space="preserve">draft </w:t>
      </w:r>
      <w:r w:rsidRPr="00552252">
        <w:rPr>
          <w:rFonts w:eastAsia="Times New Roman"/>
          <w:color w:val="212121"/>
          <w:szCs w:val="22"/>
        </w:rPr>
        <w:t xml:space="preserve">contract for the Director General </w:t>
      </w:r>
      <w:r w:rsidRPr="00552252">
        <w:rPr>
          <w:rFonts w:eastAsia="Times New Roman"/>
          <w:szCs w:val="22"/>
        </w:rPr>
        <w:t>(</w:t>
      </w:r>
      <w:r>
        <w:rPr>
          <w:rFonts w:eastAsia="Times New Roman"/>
          <w:szCs w:val="22"/>
        </w:rPr>
        <w:t xml:space="preserve">as based on document </w:t>
      </w:r>
      <w:r w:rsidRPr="00552252">
        <w:rPr>
          <w:rFonts w:eastAsia="Times New Roman"/>
          <w:szCs w:val="22"/>
        </w:rPr>
        <w:t xml:space="preserve">WO/GA/52/1 Rev. ANNEX), </w:t>
      </w:r>
      <w:r w:rsidRPr="00552252">
        <w:rPr>
          <w:rFonts w:eastAsia="Times New Roman"/>
          <w:color w:val="212121"/>
          <w:szCs w:val="22"/>
        </w:rPr>
        <w:t>so that any proposals or recommendations on which informal agreement had been reached could be reflected in the draft decisions circulated on April 27, 2020</w:t>
      </w:r>
      <w:r>
        <w:rPr>
          <w:rFonts w:eastAsia="Times New Roman"/>
          <w:szCs w:val="22"/>
        </w:rPr>
        <w:t>.  The Chair</w:t>
      </w:r>
      <w:r w:rsidRPr="00552252">
        <w:rPr>
          <w:rFonts w:eastAsia="Times New Roman"/>
          <w:szCs w:val="22"/>
        </w:rPr>
        <w:t xml:space="preserve"> also </w:t>
      </w:r>
      <w:r w:rsidRPr="00552252">
        <w:rPr>
          <w:rFonts w:eastAsia="Times New Roman"/>
          <w:color w:val="212121"/>
          <w:szCs w:val="22"/>
        </w:rPr>
        <w:t xml:space="preserve">organized a </w:t>
      </w:r>
      <w:r>
        <w:rPr>
          <w:rFonts w:eastAsia="Times New Roman"/>
          <w:color w:val="212121"/>
          <w:szCs w:val="22"/>
        </w:rPr>
        <w:t>virtual meeting</w:t>
      </w:r>
      <w:r w:rsidRPr="00552252">
        <w:rPr>
          <w:rFonts w:eastAsia="Times New Roman"/>
          <w:color w:val="212121"/>
          <w:szCs w:val="22"/>
        </w:rPr>
        <w:t xml:space="preserve"> on Wednesday, April 22, 2020, with the Working Group.</w:t>
      </w:r>
    </w:p>
    <w:p w:rsidR="00677877" w:rsidRPr="00552252" w:rsidRDefault="00677877" w:rsidP="00A674C6">
      <w:pPr>
        <w:shd w:val="clear" w:color="auto" w:fill="FFFFFF"/>
        <w:spacing w:after="240"/>
        <w:rPr>
          <w:rFonts w:eastAsia="Times New Roman"/>
          <w:color w:val="212121"/>
          <w:szCs w:val="22"/>
        </w:rPr>
      </w:pPr>
      <w:r>
        <w:rPr>
          <w:rFonts w:eastAsia="Times New Roman"/>
          <w:color w:val="212121"/>
          <w:szCs w:val="22"/>
        </w:rPr>
        <w:t>5.</w:t>
      </w:r>
      <w:r>
        <w:rPr>
          <w:rFonts w:eastAsia="Times New Roman"/>
          <w:color w:val="212121"/>
          <w:szCs w:val="22"/>
        </w:rPr>
        <w:tab/>
      </w:r>
      <w:r w:rsidRPr="00552252">
        <w:rPr>
          <w:rFonts w:eastAsia="Times New Roman"/>
          <w:color w:val="212121"/>
          <w:szCs w:val="22"/>
        </w:rPr>
        <w:t xml:space="preserve">During the April 22 </w:t>
      </w:r>
      <w:r>
        <w:rPr>
          <w:rFonts w:eastAsia="Times New Roman"/>
          <w:color w:val="212121"/>
          <w:szCs w:val="22"/>
        </w:rPr>
        <w:t>meeting, the Chair</w:t>
      </w:r>
      <w:r w:rsidRPr="00552252">
        <w:rPr>
          <w:rFonts w:eastAsia="Times New Roman"/>
          <w:color w:val="212121"/>
          <w:szCs w:val="22"/>
        </w:rPr>
        <w:t xml:space="preserve"> first noted that 151 Member States </w:t>
      </w:r>
      <w:r>
        <w:rPr>
          <w:rFonts w:eastAsia="Times New Roman"/>
          <w:color w:val="212121"/>
          <w:szCs w:val="22"/>
        </w:rPr>
        <w:t xml:space="preserve">had </w:t>
      </w:r>
      <w:r w:rsidRPr="00552252">
        <w:rPr>
          <w:rFonts w:eastAsia="Times New Roman"/>
          <w:color w:val="212121"/>
          <w:szCs w:val="22"/>
        </w:rPr>
        <w:t xml:space="preserve">responded affirmatively to confirm their consent to the written procedure, and </w:t>
      </w:r>
      <w:r>
        <w:rPr>
          <w:rFonts w:eastAsia="Times New Roman"/>
          <w:color w:val="212121"/>
          <w:szCs w:val="22"/>
        </w:rPr>
        <w:t xml:space="preserve">had </w:t>
      </w:r>
      <w:r w:rsidRPr="00552252">
        <w:rPr>
          <w:rFonts w:eastAsia="Times New Roman"/>
          <w:color w:val="212121"/>
          <w:szCs w:val="22"/>
        </w:rPr>
        <w:t xml:space="preserve">thereby authorized </w:t>
      </w:r>
      <w:r>
        <w:rPr>
          <w:rFonts w:eastAsia="Times New Roman"/>
          <w:color w:val="212121"/>
          <w:szCs w:val="22"/>
        </w:rPr>
        <w:t>the Chair</w:t>
      </w:r>
      <w:r w:rsidRPr="00552252">
        <w:rPr>
          <w:rFonts w:eastAsia="Times New Roman"/>
          <w:color w:val="212121"/>
          <w:szCs w:val="22"/>
        </w:rPr>
        <w:t xml:space="preserve"> to circulate the draft decisions to which the present </w:t>
      </w:r>
      <w:r w:rsidRPr="00552252">
        <w:rPr>
          <w:rFonts w:eastAsia="Times New Roman"/>
          <w:szCs w:val="22"/>
        </w:rPr>
        <w:t>Summary</w:t>
      </w:r>
      <w:r>
        <w:rPr>
          <w:rFonts w:eastAsia="Times New Roman"/>
          <w:szCs w:val="22"/>
        </w:rPr>
        <w:t xml:space="preserve"> by the Chair</w:t>
      </w:r>
      <w:r w:rsidRPr="00552252">
        <w:rPr>
          <w:rFonts w:eastAsia="Times New Roman"/>
          <w:color w:val="212121"/>
          <w:szCs w:val="22"/>
        </w:rPr>
        <w:t xml:space="preserve"> is annexed, and that </w:t>
      </w:r>
      <w:r>
        <w:rPr>
          <w:rFonts w:eastAsia="Times New Roman"/>
          <w:color w:val="212121"/>
          <w:szCs w:val="22"/>
        </w:rPr>
        <w:t>reflect the informal consultations</w:t>
      </w:r>
      <w:r w:rsidRPr="00552252">
        <w:rPr>
          <w:rFonts w:eastAsia="Times New Roman"/>
          <w:color w:val="212121"/>
          <w:szCs w:val="22"/>
        </w:rPr>
        <w:t xml:space="preserve">.  The Chair of the </w:t>
      </w:r>
      <w:r>
        <w:rPr>
          <w:rFonts w:eastAsia="Times New Roman"/>
          <w:color w:val="212121"/>
          <w:szCs w:val="22"/>
        </w:rPr>
        <w:t>WIPO</w:t>
      </w:r>
      <w:r w:rsidRPr="00552252">
        <w:rPr>
          <w:rFonts w:eastAsia="Times New Roman"/>
          <w:color w:val="212121"/>
          <w:szCs w:val="22"/>
        </w:rPr>
        <w:t xml:space="preserve"> Coordination Committee, </w:t>
      </w:r>
      <w:r>
        <w:rPr>
          <w:rFonts w:eastAsia="Times New Roman"/>
          <w:color w:val="212121"/>
          <w:szCs w:val="22"/>
        </w:rPr>
        <w:t>H</w:t>
      </w:r>
      <w:r w:rsidRPr="00552252">
        <w:rPr>
          <w:rFonts w:eastAsia="Times New Roman"/>
          <w:color w:val="212121"/>
          <w:szCs w:val="22"/>
        </w:rPr>
        <w:t>is</w:t>
      </w:r>
      <w:r>
        <w:rPr>
          <w:rFonts w:eastAsia="Times New Roman"/>
          <w:color w:val="212121"/>
          <w:szCs w:val="22"/>
        </w:rPr>
        <w:t> </w:t>
      </w:r>
      <w:r w:rsidRPr="00552252">
        <w:rPr>
          <w:rFonts w:eastAsia="Times New Roman"/>
          <w:color w:val="212121"/>
          <w:szCs w:val="22"/>
        </w:rPr>
        <w:t>Excellency Fran</w:t>
      </w:r>
      <w:r>
        <w:rPr>
          <w:rFonts w:eastAsia="Times New Roman"/>
          <w:color w:val="212121"/>
          <w:szCs w:val="22"/>
        </w:rPr>
        <w:t>ç</w:t>
      </w:r>
      <w:r w:rsidRPr="00552252">
        <w:rPr>
          <w:rFonts w:eastAsia="Times New Roman"/>
          <w:color w:val="212121"/>
          <w:szCs w:val="22"/>
        </w:rPr>
        <w:t>ois Rivasseau, Permanent Represen</w:t>
      </w:r>
      <w:r>
        <w:rPr>
          <w:rFonts w:eastAsia="Times New Roman"/>
          <w:color w:val="212121"/>
          <w:szCs w:val="22"/>
        </w:rPr>
        <w:t>ta</w:t>
      </w:r>
      <w:r w:rsidRPr="00552252">
        <w:rPr>
          <w:rFonts w:eastAsia="Times New Roman"/>
          <w:color w:val="212121"/>
          <w:szCs w:val="22"/>
        </w:rPr>
        <w:t>tive of France</w:t>
      </w:r>
      <w:r>
        <w:rPr>
          <w:rFonts w:eastAsia="Times New Roman"/>
          <w:color w:val="212121"/>
          <w:szCs w:val="22"/>
        </w:rPr>
        <w:t>,</w:t>
      </w:r>
      <w:r w:rsidRPr="00552252">
        <w:rPr>
          <w:rFonts w:eastAsia="Times New Roman"/>
          <w:color w:val="212121"/>
          <w:szCs w:val="22"/>
        </w:rPr>
        <w:t xml:space="preserve"> the Vice-Chair</w:t>
      </w:r>
      <w:r>
        <w:rPr>
          <w:rFonts w:eastAsia="Times New Roman"/>
          <w:color w:val="212121"/>
          <w:szCs w:val="22"/>
        </w:rPr>
        <w:t>s</w:t>
      </w:r>
      <w:r w:rsidRPr="00552252">
        <w:rPr>
          <w:rFonts w:eastAsia="Times New Roman"/>
          <w:color w:val="212121"/>
          <w:szCs w:val="22"/>
        </w:rPr>
        <w:t xml:space="preserve"> of the </w:t>
      </w:r>
      <w:r>
        <w:rPr>
          <w:rFonts w:eastAsia="Times New Roman"/>
          <w:color w:val="212121"/>
          <w:szCs w:val="22"/>
        </w:rPr>
        <w:t xml:space="preserve">WIPO </w:t>
      </w:r>
      <w:r w:rsidRPr="00552252">
        <w:rPr>
          <w:rFonts w:eastAsia="Times New Roman"/>
          <w:color w:val="212121"/>
          <w:szCs w:val="22"/>
        </w:rPr>
        <w:t xml:space="preserve">General Assembly, </w:t>
      </w:r>
      <w:r>
        <w:rPr>
          <w:rFonts w:eastAsia="Times New Roman"/>
          <w:color w:val="212121"/>
          <w:szCs w:val="22"/>
        </w:rPr>
        <w:t>H</w:t>
      </w:r>
      <w:r w:rsidRPr="00552252">
        <w:rPr>
          <w:rFonts w:eastAsia="Times New Roman"/>
          <w:color w:val="212121"/>
          <w:szCs w:val="22"/>
        </w:rPr>
        <w:t xml:space="preserve">is Excellency </w:t>
      </w:r>
      <w:r>
        <w:rPr>
          <w:rFonts w:eastAsia="Times New Roman"/>
          <w:color w:val="212121"/>
          <w:szCs w:val="22"/>
        </w:rPr>
        <w:t>Esmaeil Baghaei Hamaneh, Permanent Representative of Iran (Islamic Republic of)</w:t>
      </w:r>
      <w:r w:rsidRPr="00552252">
        <w:rPr>
          <w:rFonts w:eastAsia="Times New Roman"/>
          <w:color w:val="212121"/>
          <w:szCs w:val="22"/>
        </w:rPr>
        <w:t xml:space="preserve">, </w:t>
      </w:r>
      <w:r>
        <w:rPr>
          <w:rFonts w:eastAsia="Times New Roman"/>
          <w:color w:val="212121"/>
          <w:szCs w:val="22"/>
        </w:rPr>
        <w:t xml:space="preserve">and His Excellency Victor Dolidze, Permanent Representative of Georgia, </w:t>
      </w:r>
      <w:r w:rsidRPr="00552252">
        <w:rPr>
          <w:rFonts w:eastAsia="Times New Roman"/>
          <w:color w:val="212121"/>
          <w:szCs w:val="22"/>
        </w:rPr>
        <w:t>and the Vice-Chair of the WIPO Coordination Co</w:t>
      </w:r>
      <w:r>
        <w:rPr>
          <w:rFonts w:eastAsia="Times New Roman"/>
          <w:color w:val="212121"/>
          <w:szCs w:val="22"/>
        </w:rPr>
        <w:t>mmittee, H</w:t>
      </w:r>
      <w:r w:rsidRPr="00552252">
        <w:rPr>
          <w:rFonts w:eastAsia="Times New Roman"/>
          <w:color w:val="212121"/>
          <w:szCs w:val="22"/>
        </w:rPr>
        <w:t>is</w:t>
      </w:r>
      <w:r>
        <w:rPr>
          <w:rFonts w:eastAsia="Times New Roman"/>
          <w:color w:val="212121"/>
          <w:szCs w:val="22"/>
        </w:rPr>
        <w:t> </w:t>
      </w:r>
      <w:r w:rsidRPr="00552252">
        <w:rPr>
          <w:rFonts w:eastAsia="Times New Roman"/>
          <w:color w:val="212121"/>
          <w:szCs w:val="22"/>
        </w:rPr>
        <w:t xml:space="preserve">Excellency </w:t>
      </w:r>
      <w:r>
        <w:rPr>
          <w:rFonts w:eastAsia="Times New Roman"/>
          <w:color w:val="212121"/>
          <w:szCs w:val="22"/>
        </w:rPr>
        <w:t xml:space="preserve">Andreano Erwin, Deputy Permanent Representative of Indonesia, </w:t>
      </w:r>
      <w:r w:rsidRPr="00552252">
        <w:rPr>
          <w:rFonts w:eastAsia="Times New Roman"/>
          <w:color w:val="212121"/>
          <w:szCs w:val="22"/>
        </w:rPr>
        <w:t xml:space="preserve">all expressed their support both </w:t>
      </w:r>
      <w:r>
        <w:rPr>
          <w:rFonts w:eastAsia="Times New Roman"/>
          <w:color w:val="212121"/>
          <w:szCs w:val="22"/>
        </w:rPr>
        <w:t xml:space="preserve">for </w:t>
      </w:r>
      <w:r w:rsidRPr="00552252">
        <w:rPr>
          <w:rFonts w:eastAsia="Times New Roman"/>
          <w:color w:val="212121"/>
          <w:szCs w:val="22"/>
        </w:rPr>
        <w:t>the informal process underway and for the draft contract under consideration.</w:t>
      </w:r>
    </w:p>
    <w:p w:rsidR="00677877" w:rsidRDefault="00677877" w:rsidP="00677877">
      <w:pPr>
        <w:shd w:val="clear" w:color="auto" w:fill="FFFFFF"/>
        <w:spacing w:after="240"/>
        <w:rPr>
          <w:rFonts w:eastAsia="Times New Roman"/>
          <w:color w:val="212121"/>
          <w:szCs w:val="22"/>
        </w:rPr>
      </w:pPr>
      <w:r>
        <w:rPr>
          <w:rFonts w:eastAsia="Times New Roman"/>
          <w:color w:val="212121"/>
          <w:szCs w:val="22"/>
        </w:rPr>
        <w:t>6.</w:t>
      </w:r>
      <w:r>
        <w:rPr>
          <w:rFonts w:eastAsia="Times New Roman"/>
          <w:color w:val="212121"/>
          <w:szCs w:val="22"/>
        </w:rPr>
        <w:tab/>
        <w:t>The Chair</w:t>
      </w:r>
      <w:r w:rsidRPr="00552252">
        <w:rPr>
          <w:rFonts w:eastAsia="Times New Roman"/>
          <w:color w:val="212121"/>
          <w:szCs w:val="22"/>
        </w:rPr>
        <w:t xml:space="preserve"> then </w:t>
      </w:r>
      <w:r>
        <w:rPr>
          <w:rFonts w:eastAsia="Times New Roman"/>
          <w:color w:val="212121"/>
          <w:szCs w:val="22"/>
        </w:rPr>
        <w:t xml:space="preserve">requested </w:t>
      </w:r>
      <w:r w:rsidRPr="00552252">
        <w:rPr>
          <w:rFonts w:eastAsia="Times New Roman"/>
          <w:color w:val="212121"/>
          <w:szCs w:val="22"/>
        </w:rPr>
        <w:t xml:space="preserve">Group Coordinators to express their views on behalf of their Group Members. </w:t>
      </w:r>
      <w:r>
        <w:rPr>
          <w:rFonts w:eastAsia="Times New Roman"/>
          <w:color w:val="212121"/>
          <w:szCs w:val="22"/>
        </w:rPr>
        <w:t xml:space="preserve"> Zimbabwe, on behalf of the African Group, expressed its support for the proposed conditions of appointment of the Director General, and the text of the contract, as currently drafted. </w:t>
      </w:r>
    </w:p>
    <w:p w:rsidR="00677877" w:rsidRPr="00552252" w:rsidRDefault="00677877" w:rsidP="00677877">
      <w:pPr>
        <w:shd w:val="clear" w:color="auto" w:fill="FFFFFF"/>
        <w:spacing w:after="240"/>
        <w:rPr>
          <w:szCs w:val="22"/>
        </w:rPr>
      </w:pPr>
      <w:r>
        <w:rPr>
          <w:rFonts w:eastAsia="Times New Roman"/>
          <w:color w:val="212121"/>
          <w:szCs w:val="22"/>
        </w:rPr>
        <w:t>7.</w:t>
      </w:r>
      <w:r>
        <w:rPr>
          <w:rFonts w:eastAsia="Times New Roman"/>
          <w:color w:val="212121"/>
          <w:szCs w:val="22"/>
        </w:rPr>
        <w:tab/>
      </w:r>
      <w:r w:rsidRPr="00552252">
        <w:rPr>
          <w:rFonts w:eastAsia="Times New Roman"/>
          <w:color w:val="212121"/>
          <w:szCs w:val="22"/>
        </w:rPr>
        <w:t xml:space="preserve">Singapore, on behalf of the APG, raised three points with respect to the process and substance of the conditions of appointment: </w:t>
      </w:r>
      <w:r>
        <w:rPr>
          <w:szCs w:val="22"/>
        </w:rPr>
        <w:t xml:space="preserve"> (1)  </w:t>
      </w:r>
      <w:r w:rsidRPr="00552252">
        <w:rPr>
          <w:szCs w:val="22"/>
        </w:rPr>
        <w:t>the two decisions, namely to appoint the next Director General, and to fix the conditions of his appointment, should be adopted at same time;</w:t>
      </w:r>
      <w:r>
        <w:rPr>
          <w:szCs w:val="22"/>
        </w:rPr>
        <w:t xml:space="preserve">  (2)  the conditions of the Director General appointment are also set out in the WIPO Convention and WIPO Staff Regulations and Rules;  </w:t>
      </w:r>
      <w:r w:rsidRPr="00552252">
        <w:rPr>
          <w:szCs w:val="22"/>
        </w:rPr>
        <w:t>and (3)</w:t>
      </w:r>
      <w:r>
        <w:rPr>
          <w:szCs w:val="22"/>
        </w:rPr>
        <w:t>  </w:t>
      </w:r>
      <w:r w:rsidRPr="00552252">
        <w:rPr>
          <w:szCs w:val="22"/>
        </w:rPr>
        <w:t>any changes to the contract should be limited to technical updates and details, such as contract dates and names of parties.</w:t>
      </w:r>
    </w:p>
    <w:p w:rsidR="00677877" w:rsidRPr="00552252" w:rsidRDefault="00677877" w:rsidP="00677877">
      <w:pPr>
        <w:spacing w:after="240"/>
        <w:rPr>
          <w:szCs w:val="22"/>
        </w:rPr>
      </w:pPr>
      <w:r>
        <w:rPr>
          <w:szCs w:val="22"/>
        </w:rPr>
        <w:t>8.</w:t>
      </w:r>
      <w:r>
        <w:rPr>
          <w:szCs w:val="22"/>
        </w:rPr>
        <w:tab/>
      </w:r>
      <w:r w:rsidRPr="00552252">
        <w:rPr>
          <w:szCs w:val="22"/>
        </w:rPr>
        <w:t xml:space="preserve">The Russian Federation, on behalf of CACEEC, noted that the benefits of the Director General are consistent with standards for agency Executive Heads and that its group is of the view that the current text of the contract is in line with established practice and should be left as is.  CACEEC also agreed with the modalities as presented by </w:t>
      </w:r>
      <w:r>
        <w:rPr>
          <w:szCs w:val="22"/>
        </w:rPr>
        <w:t>the</w:t>
      </w:r>
      <w:r w:rsidRPr="00552252">
        <w:rPr>
          <w:szCs w:val="22"/>
        </w:rPr>
        <w:t xml:space="preserve"> Chair, and they hoped to reach a mutually acceptable and consensual solution.</w:t>
      </w:r>
    </w:p>
    <w:p w:rsidR="00677877" w:rsidRPr="00552252" w:rsidRDefault="00677877" w:rsidP="00677877">
      <w:pPr>
        <w:spacing w:after="240"/>
        <w:rPr>
          <w:szCs w:val="22"/>
        </w:rPr>
      </w:pPr>
      <w:r>
        <w:rPr>
          <w:szCs w:val="22"/>
        </w:rPr>
        <w:t>9.</w:t>
      </w:r>
      <w:r>
        <w:rPr>
          <w:szCs w:val="22"/>
        </w:rPr>
        <w:tab/>
      </w:r>
      <w:r w:rsidRPr="00552252">
        <w:rPr>
          <w:szCs w:val="22"/>
        </w:rPr>
        <w:t>Latvia, on behalf of CEBS, expressed that it was pleased to hear that more than 150</w:t>
      </w:r>
      <w:r>
        <w:rPr>
          <w:szCs w:val="22"/>
        </w:rPr>
        <w:t> </w:t>
      </w:r>
      <w:r w:rsidRPr="00552252">
        <w:rPr>
          <w:szCs w:val="22"/>
        </w:rPr>
        <w:t>Member States had accepted the written procedure, for which its group had a 100</w:t>
      </w:r>
      <w:r>
        <w:rPr>
          <w:szCs w:val="22"/>
        </w:rPr>
        <w:t xml:space="preserve">per cent </w:t>
      </w:r>
      <w:r w:rsidRPr="00552252">
        <w:rPr>
          <w:szCs w:val="22"/>
        </w:rPr>
        <w:t xml:space="preserve">response and acceptance rate.  The Coordinator noted that while he had not seen other proposals, he noted that in the current, exceptional, circumstances, it would be difficult to conduct negotiations on </w:t>
      </w:r>
      <w:r>
        <w:rPr>
          <w:szCs w:val="22"/>
        </w:rPr>
        <w:t>any such proposal.</w:t>
      </w:r>
      <w:r w:rsidRPr="00552252">
        <w:rPr>
          <w:szCs w:val="22"/>
        </w:rPr>
        <w:t xml:space="preserve">  Consequently, he recommended that the Working Group follow existing practice and adopt the draft contract as proposed.  He also noted that he could anticipate work on proposed amendments for the following term of the Director General, to begin in </w:t>
      </w:r>
      <w:r>
        <w:rPr>
          <w:szCs w:val="22"/>
        </w:rPr>
        <w:t>six</w:t>
      </w:r>
      <w:r w:rsidRPr="00552252">
        <w:rPr>
          <w:szCs w:val="22"/>
        </w:rPr>
        <w:t xml:space="preserve"> years, for which the Working Group would have a better opportunity to conduct negotiations.</w:t>
      </w:r>
    </w:p>
    <w:p w:rsidR="00677877" w:rsidRDefault="00677877" w:rsidP="00677877">
      <w:pPr>
        <w:spacing w:after="240"/>
        <w:rPr>
          <w:szCs w:val="22"/>
        </w:rPr>
      </w:pPr>
      <w:r>
        <w:rPr>
          <w:szCs w:val="22"/>
        </w:rPr>
        <w:t>10.</w:t>
      </w:r>
      <w:r>
        <w:rPr>
          <w:szCs w:val="22"/>
        </w:rPr>
        <w:tab/>
      </w:r>
      <w:r w:rsidRPr="00552252">
        <w:rPr>
          <w:szCs w:val="22"/>
        </w:rPr>
        <w:t xml:space="preserve">China confirmed its support for the text of the contract as currently drafted. </w:t>
      </w:r>
      <w:r>
        <w:rPr>
          <w:szCs w:val="22"/>
        </w:rPr>
        <w:br w:type="page"/>
      </w:r>
    </w:p>
    <w:p w:rsidR="00677877" w:rsidRPr="00552252" w:rsidRDefault="00677877" w:rsidP="00677877">
      <w:pPr>
        <w:spacing w:after="240"/>
        <w:rPr>
          <w:szCs w:val="22"/>
        </w:rPr>
      </w:pPr>
      <w:r>
        <w:rPr>
          <w:szCs w:val="22"/>
        </w:rPr>
        <w:lastRenderedPageBreak/>
        <w:t>11.</w:t>
      </w:r>
      <w:r>
        <w:rPr>
          <w:szCs w:val="22"/>
        </w:rPr>
        <w:tab/>
      </w:r>
      <w:r w:rsidRPr="00552252">
        <w:rPr>
          <w:szCs w:val="22"/>
        </w:rPr>
        <w:t>Germany, on behalf of Group B, noted that the agreement of over 150 Member States to the written procedure was a good result, and was also pleased to confirm that Group B similarly had a 100</w:t>
      </w:r>
      <w:r>
        <w:rPr>
          <w:szCs w:val="22"/>
        </w:rPr>
        <w:t xml:space="preserve"> per cent</w:t>
      </w:r>
      <w:r w:rsidRPr="00552252">
        <w:rPr>
          <w:szCs w:val="22"/>
        </w:rPr>
        <w:t xml:space="preserve"> response and acceptance rate.  The Coordinator then expressed his desire to make four points: </w:t>
      </w:r>
      <w:r>
        <w:rPr>
          <w:szCs w:val="22"/>
        </w:rPr>
        <w:t xml:space="preserve"> (1)  </w:t>
      </w:r>
      <w:r w:rsidRPr="00552252">
        <w:rPr>
          <w:szCs w:val="22"/>
        </w:rPr>
        <w:t xml:space="preserve">his Group could support the text of the contract as currently drafted for the term of the Director General beginning 2020; (2) due to the current extraordinary circumstances, Group B Members were not able to </w:t>
      </w:r>
      <w:r>
        <w:rPr>
          <w:szCs w:val="22"/>
        </w:rPr>
        <w:t xml:space="preserve">effectively </w:t>
      </w:r>
      <w:r w:rsidRPr="00552252">
        <w:rPr>
          <w:szCs w:val="22"/>
        </w:rPr>
        <w:t>engage in discussions on proposed amendments;</w:t>
      </w:r>
      <w:r>
        <w:rPr>
          <w:szCs w:val="22"/>
        </w:rPr>
        <w:t xml:space="preserve"> </w:t>
      </w:r>
      <w:r w:rsidRPr="00552252">
        <w:rPr>
          <w:szCs w:val="22"/>
        </w:rPr>
        <w:t xml:space="preserve"> </w:t>
      </w:r>
      <w:r>
        <w:rPr>
          <w:szCs w:val="22"/>
        </w:rPr>
        <w:t>(3)  </w:t>
      </w:r>
      <w:r w:rsidRPr="00552252">
        <w:rPr>
          <w:szCs w:val="22"/>
        </w:rPr>
        <w:t>Group B would therefore refrain from introducing textual changes at this time, but requested</w:t>
      </w:r>
      <w:r>
        <w:rPr>
          <w:szCs w:val="22"/>
        </w:rPr>
        <w:t xml:space="preserve"> that, before the 2021 Assemblies, the Chair of the General Assembly hold informal consultations concerning possible amendments as regards the </w:t>
      </w:r>
      <w:r w:rsidRPr="00552252">
        <w:rPr>
          <w:szCs w:val="22"/>
        </w:rPr>
        <w:t>term of the Director General beginning 2026;</w:t>
      </w:r>
      <w:r>
        <w:rPr>
          <w:szCs w:val="22"/>
        </w:rPr>
        <w:t xml:space="preserve"> </w:t>
      </w:r>
      <w:r w:rsidRPr="00552252">
        <w:rPr>
          <w:szCs w:val="22"/>
        </w:rPr>
        <w:t xml:space="preserve"> </w:t>
      </w:r>
      <w:r>
        <w:rPr>
          <w:szCs w:val="22"/>
        </w:rPr>
        <w:t>and (4)  </w:t>
      </w:r>
      <w:r w:rsidRPr="00552252">
        <w:rPr>
          <w:szCs w:val="22"/>
        </w:rPr>
        <w:t xml:space="preserve">requested that this be reflected in the present </w:t>
      </w:r>
      <w:r w:rsidRPr="00552252">
        <w:rPr>
          <w:rFonts w:eastAsia="Times New Roman"/>
          <w:szCs w:val="22"/>
        </w:rPr>
        <w:t>Summary</w:t>
      </w:r>
      <w:r>
        <w:rPr>
          <w:rFonts w:eastAsia="Times New Roman"/>
          <w:szCs w:val="22"/>
        </w:rPr>
        <w:t xml:space="preserve"> by the Chair</w:t>
      </w:r>
      <w:r w:rsidRPr="00552252">
        <w:rPr>
          <w:szCs w:val="22"/>
        </w:rPr>
        <w:t>.</w:t>
      </w:r>
    </w:p>
    <w:p w:rsidR="00677877" w:rsidRDefault="00677877" w:rsidP="00677877">
      <w:pPr>
        <w:spacing w:after="240"/>
        <w:rPr>
          <w:szCs w:val="22"/>
        </w:rPr>
      </w:pPr>
      <w:r>
        <w:rPr>
          <w:szCs w:val="22"/>
        </w:rPr>
        <w:t>12.</w:t>
      </w:r>
      <w:r>
        <w:rPr>
          <w:szCs w:val="22"/>
        </w:rPr>
        <w:tab/>
      </w:r>
      <w:r w:rsidRPr="00552252">
        <w:rPr>
          <w:szCs w:val="22"/>
        </w:rPr>
        <w:t>Jamaica, on behalf of GRULAC, expressed its appreciation for the preparation of the working documents and the consultations, and was pleased to hear the large number of Member States responding affirmatively to the written procedure.  The Coordinator noted that it had consulted with members of its Group on the draft text of the contract and</w:t>
      </w:r>
      <w:r>
        <w:rPr>
          <w:szCs w:val="22"/>
        </w:rPr>
        <w:t xml:space="preserve"> that while a number of </w:t>
      </w:r>
      <w:r w:rsidRPr="00552252">
        <w:rPr>
          <w:szCs w:val="22"/>
        </w:rPr>
        <w:t xml:space="preserve">members </w:t>
      </w:r>
      <w:r>
        <w:rPr>
          <w:szCs w:val="22"/>
        </w:rPr>
        <w:t xml:space="preserve">had </w:t>
      </w:r>
      <w:r w:rsidRPr="00552252">
        <w:rPr>
          <w:szCs w:val="22"/>
        </w:rPr>
        <w:t>provide</w:t>
      </w:r>
      <w:r>
        <w:rPr>
          <w:szCs w:val="22"/>
        </w:rPr>
        <w:t>d</w:t>
      </w:r>
      <w:r w:rsidRPr="00552252">
        <w:rPr>
          <w:szCs w:val="22"/>
        </w:rPr>
        <w:t xml:space="preserve"> feedback, others were still consulting with capitals.  It had not received any proposals for amendments, and, for Group members that provided feedback, they indicated their preference to avoid changes given that the current contract terms have worked effectively and that it was difficult to conduct negotiations in the absence of face-to-face meetings.  Consequently, the </w:t>
      </w:r>
      <w:r w:rsidRPr="00552252">
        <w:rPr>
          <w:i/>
          <w:szCs w:val="22"/>
        </w:rPr>
        <w:t>status quo</w:t>
      </w:r>
      <w:r w:rsidRPr="00552252">
        <w:rPr>
          <w:szCs w:val="22"/>
        </w:rPr>
        <w:t xml:space="preserve"> was best.  The Coordinator added that any changes would need to be based on international law and applicable WIPO rules.  Further, in these circumstances, consideration of and agreement to any changes would be difficult as some capitals were operating under emergency measures, which would cause delays.  </w:t>
      </w:r>
    </w:p>
    <w:p w:rsidR="00677877" w:rsidRPr="00552252" w:rsidRDefault="00677877" w:rsidP="00677877">
      <w:pPr>
        <w:spacing w:after="240"/>
        <w:rPr>
          <w:szCs w:val="22"/>
        </w:rPr>
      </w:pPr>
      <w:r>
        <w:rPr>
          <w:szCs w:val="22"/>
        </w:rPr>
        <w:t>13.</w:t>
      </w:r>
      <w:r>
        <w:rPr>
          <w:szCs w:val="22"/>
        </w:rPr>
        <w:tab/>
      </w:r>
      <w:r w:rsidRPr="00552252">
        <w:rPr>
          <w:szCs w:val="22"/>
        </w:rPr>
        <w:t>In conclu</w:t>
      </w:r>
      <w:r>
        <w:rPr>
          <w:szCs w:val="22"/>
        </w:rPr>
        <w:t>ding the meeting, the Chair</w:t>
      </w:r>
      <w:r w:rsidRPr="00552252">
        <w:rPr>
          <w:szCs w:val="22"/>
        </w:rPr>
        <w:t xml:space="preserve"> requested </w:t>
      </w:r>
      <w:r>
        <w:rPr>
          <w:szCs w:val="22"/>
        </w:rPr>
        <w:t xml:space="preserve">the </w:t>
      </w:r>
      <w:r w:rsidRPr="00552252">
        <w:rPr>
          <w:szCs w:val="22"/>
        </w:rPr>
        <w:t xml:space="preserve">Working Group to convey any additional comments by the close of business on April 23, 2020 so that they could be properly reflected in </w:t>
      </w:r>
      <w:r>
        <w:rPr>
          <w:szCs w:val="22"/>
        </w:rPr>
        <w:t xml:space="preserve">the </w:t>
      </w:r>
      <w:r w:rsidRPr="00552252">
        <w:rPr>
          <w:rFonts w:eastAsia="Times New Roman"/>
          <w:szCs w:val="22"/>
        </w:rPr>
        <w:t>Summary</w:t>
      </w:r>
      <w:r>
        <w:rPr>
          <w:rFonts w:eastAsia="Times New Roman"/>
          <w:szCs w:val="22"/>
        </w:rPr>
        <w:t xml:space="preserve"> by the Chair</w:t>
      </w:r>
      <w:r w:rsidRPr="00552252">
        <w:rPr>
          <w:szCs w:val="22"/>
        </w:rPr>
        <w:t xml:space="preserve"> and draft decisions, as appropriate.  No further comments were received.  </w:t>
      </w:r>
    </w:p>
    <w:p w:rsidR="00677877" w:rsidRPr="00552252" w:rsidRDefault="00677877" w:rsidP="00677877">
      <w:pPr>
        <w:spacing w:after="720"/>
        <w:rPr>
          <w:szCs w:val="22"/>
        </w:rPr>
      </w:pPr>
      <w:r>
        <w:rPr>
          <w:szCs w:val="22"/>
        </w:rPr>
        <w:t>14.</w:t>
      </w:r>
      <w:r>
        <w:rPr>
          <w:szCs w:val="22"/>
        </w:rPr>
        <w:tab/>
      </w:r>
      <w:r w:rsidRPr="00552252">
        <w:rPr>
          <w:szCs w:val="22"/>
        </w:rPr>
        <w:t xml:space="preserve">Consequently, </w:t>
      </w:r>
      <w:r>
        <w:rPr>
          <w:szCs w:val="22"/>
        </w:rPr>
        <w:t>i</w:t>
      </w:r>
      <w:r w:rsidRPr="00552252">
        <w:rPr>
          <w:szCs w:val="22"/>
        </w:rPr>
        <w:t>n considering the condi</w:t>
      </w:r>
      <w:r>
        <w:rPr>
          <w:szCs w:val="22"/>
        </w:rPr>
        <w:t>tions of the appointment of Mr. Daren </w:t>
      </w:r>
      <w:r w:rsidRPr="00552252">
        <w:rPr>
          <w:szCs w:val="22"/>
        </w:rPr>
        <w:t xml:space="preserve">Tang as Director General, the Working Group decided to recommend to the </w:t>
      </w:r>
      <w:r>
        <w:rPr>
          <w:szCs w:val="22"/>
        </w:rPr>
        <w:t xml:space="preserve">WIPO </w:t>
      </w:r>
      <w:r w:rsidRPr="00552252">
        <w:rPr>
          <w:szCs w:val="22"/>
        </w:rPr>
        <w:t xml:space="preserve">General Assembly the same conditions that the </w:t>
      </w:r>
      <w:r>
        <w:rPr>
          <w:szCs w:val="22"/>
        </w:rPr>
        <w:t xml:space="preserve">WIPO </w:t>
      </w:r>
      <w:r w:rsidRPr="00552252">
        <w:rPr>
          <w:szCs w:val="22"/>
        </w:rPr>
        <w:t>General Assembly approved in 2014 when Mr.</w:t>
      </w:r>
      <w:r w:rsidR="00051D41">
        <w:rPr>
          <w:szCs w:val="22"/>
        </w:rPr>
        <w:t> </w:t>
      </w:r>
      <w:r w:rsidRPr="00552252">
        <w:rPr>
          <w:szCs w:val="22"/>
        </w:rPr>
        <w:t>Francis</w:t>
      </w:r>
      <w:r w:rsidR="00051D41">
        <w:rPr>
          <w:szCs w:val="22"/>
        </w:rPr>
        <w:t> </w:t>
      </w:r>
      <w:r w:rsidRPr="00552252">
        <w:rPr>
          <w:szCs w:val="22"/>
        </w:rPr>
        <w:t>Gurry was appointed, modified to reflect an annual inflationary adjustment in respect of the housing and representation allowances in accordance with the Consumer Price Index (CPI) for Geneva.  In addition to the representation and housing</w:t>
      </w:r>
      <w:r>
        <w:rPr>
          <w:szCs w:val="22"/>
        </w:rPr>
        <w:t xml:space="preserve"> </w:t>
      </w:r>
      <w:r w:rsidRPr="00552252">
        <w:rPr>
          <w:szCs w:val="22"/>
        </w:rPr>
        <w:t>allowances stipulated in the contract, the Working Group also received, at the outset of the informal consultations, an indicative estimate of the monthly remuneration of Mr. Tang, provi</w:t>
      </w:r>
      <w:r>
        <w:rPr>
          <w:szCs w:val="22"/>
        </w:rPr>
        <w:t>ded by the International Bureau</w:t>
      </w:r>
      <w:r w:rsidRPr="00552252">
        <w:rPr>
          <w:szCs w:val="22"/>
        </w:rPr>
        <w:t xml:space="preserve"> based on the United Nations common system financial parameters given in </w:t>
      </w:r>
      <w:r>
        <w:rPr>
          <w:szCs w:val="22"/>
        </w:rPr>
        <w:t>March</w:t>
      </w:r>
      <w:r w:rsidRPr="00552252">
        <w:rPr>
          <w:szCs w:val="22"/>
        </w:rPr>
        <w:t xml:space="preserve"> 2020</w:t>
      </w:r>
      <w:r>
        <w:rPr>
          <w:szCs w:val="22"/>
        </w:rPr>
        <w:t xml:space="preserve">.  </w:t>
      </w:r>
      <w:r>
        <w:rPr>
          <w:rFonts w:eastAsia="Times New Roman"/>
          <w:szCs w:val="22"/>
        </w:rPr>
        <w:t>The conditions of the appointment of Mr. Daren Tang as Director General</w:t>
      </w:r>
      <w:r w:rsidRPr="00552252">
        <w:rPr>
          <w:rFonts w:eastAsia="Times New Roman"/>
          <w:szCs w:val="22"/>
        </w:rPr>
        <w:t>, as reflected in the draft contract and indicative estimate of monthly remuneration, are set out in Annexes I and II, respectively, to this Summary</w:t>
      </w:r>
      <w:r>
        <w:rPr>
          <w:rFonts w:eastAsia="Times New Roman"/>
          <w:szCs w:val="22"/>
        </w:rPr>
        <w:t xml:space="preserve"> by the Chair</w:t>
      </w:r>
      <w:r w:rsidRPr="00552252">
        <w:rPr>
          <w:rFonts w:eastAsia="Times New Roman"/>
          <w:szCs w:val="22"/>
        </w:rPr>
        <w:t>.</w:t>
      </w:r>
    </w:p>
    <w:p w:rsidR="00677877" w:rsidRDefault="00677877" w:rsidP="00677877">
      <w:pPr>
        <w:pStyle w:val="Endofdocument-Annex"/>
        <w:sectPr w:rsidR="00677877" w:rsidSect="00276158">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r>
        <w:t>[Annex</w:t>
      </w:r>
      <w:r w:rsidR="001916D1">
        <w:t>es</w:t>
      </w:r>
      <w:r>
        <w:t xml:space="preserve"> follow]</w:t>
      </w:r>
    </w:p>
    <w:p w:rsidR="00677877" w:rsidRPr="003F3A7F" w:rsidRDefault="00677877" w:rsidP="00677877">
      <w:pPr>
        <w:pStyle w:val="Endofdocument-Annex"/>
        <w:jc w:val="right"/>
      </w:pPr>
      <w:r w:rsidRPr="00D479CB">
        <w:rPr>
          <w:szCs w:val="22"/>
          <w:lang w:val="es-ES"/>
        </w:rPr>
        <w:lastRenderedPageBreak/>
        <w:t>WO/GA/52/2</w:t>
      </w:r>
    </w:p>
    <w:p w:rsidR="00677877" w:rsidRDefault="00677877" w:rsidP="00A674C6">
      <w:pPr>
        <w:pStyle w:val="Endofdocument-Annex"/>
        <w:spacing w:after="480"/>
        <w:ind w:left="5530"/>
        <w:jc w:val="right"/>
      </w:pPr>
      <w:r>
        <w:t>ANNEX I</w:t>
      </w:r>
    </w:p>
    <w:p w:rsidR="00677877" w:rsidRPr="00191546" w:rsidRDefault="00677877" w:rsidP="00677877">
      <w:pPr>
        <w:pStyle w:val="Heading2"/>
        <w:jc w:val="center"/>
      </w:pPr>
      <w:r w:rsidRPr="00191546">
        <w:t>CONTRACT OF THE DIRECTOR GENERAL</w:t>
      </w:r>
    </w:p>
    <w:p w:rsidR="00677877" w:rsidRPr="00191546" w:rsidRDefault="00677877" w:rsidP="00677877">
      <w:pPr>
        <w:spacing w:before="720" w:after="240" w:line="360" w:lineRule="auto"/>
        <w:jc w:val="center"/>
        <w:rPr>
          <w:szCs w:val="22"/>
        </w:rPr>
      </w:pPr>
      <w:r w:rsidRPr="00191546">
        <w:rPr>
          <w:szCs w:val="22"/>
        </w:rPr>
        <w:t>THIS CONTRACT is entered into</w:t>
      </w:r>
      <w:r>
        <w:rPr>
          <w:szCs w:val="22"/>
        </w:rPr>
        <w:t xml:space="preserve"> this […] day of […] 2020</w:t>
      </w:r>
    </w:p>
    <w:p w:rsidR="00677877" w:rsidRPr="00191546" w:rsidRDefault="00677877" w:rsidP="00677877">
      <w:pPr>
        <w:spacing w:after="240" w:line="360" w:lineRule="auto"/>
        <w:jc w:val="center"/>
      </w:pPr>
      <w:r w:rsidRPr="00191546">
        <w:rPr>
          <w:szCs w:val="22"/>
        </w:rPr>
        <w:t>between</w:t>
      </w:r>
    </w:p>
    <w:p w:rsidR="00677877" w:rsidRPr="00191546" w:rsidRDefault="00677877" w:rsidP="00677877">
      <w:pPr>
        <w:spacing w:line="360" w:lineRule="auto"/>
        <w:jc w:val="center"/>
        <w:rPr>
          <w:szCs w:val="22"/>
        </w:rPr>
      </w:pPr>
      <w:r w:rsidRPr="00191546">
        <w:rPr>
          <w:szCs w:val="22"/>
        </w:rPr>
        <w:t>the WORLD INTELLECTUAL PROPERTY ORGANIZATION (hereinafter</w:t>
      </w:r>
    </w:p>
    <w:p w:rsidR="00677877" w:rsidRPr="00191546" w:rsidRDefault="00677877" w:rsidP="00677877">
      <w:pPr>
        <w:spacing w:after="240" w:line="360" w:lineRule="auto"/>
        <w:jc w:val="center"/>
      </w:pPr>
      <w:r w:rsidRPr="00191546">
        <w:rPr>
          <w:szCs w:val="22"/>
        </w:rPr>
        <w:t xml:space="preserve">called “the Organization” or “WIPO”) </w:t>
      </w:r>
    </w:p>
    <w:p w:rsidR="00677877" w:rsidRPr="00191546" w:rsidRDefault="00677877" w:rsidP="00677877">
      <w:pPr>
        <w:spacing w:after="240" w:line="360" w:lineRule="auto"/>
        <w:jc w:val="center"/>
        <w:rPr>
          <w:szCs w:val="22"/>
        </w:rPr>
      </w:pPr>
      <w:r w:rsidRPr="00191546">
        <w:rPr>
          <w:szCs w:val="22"/>
        </w:rPr>
        <w:t>and</w:t>
      </w:r>
    </w:p>
    <w:p w:rsidR="00677877" w:rsidRPr="00191546" w:rsidRDefault="00677877" w:rsidP="00677877">
      <w:pPr>
        <w:spacing w:after="480" w:line="360" w:lineRule="auto"/>
        <w:jc w:val="center"/>
        <w:rPr>
          <w:szCs w:val="22"/>
        </w:rPr>
      </w:pPr>
      <w:r w:rsidRPr="00191546">
        <w:rPr>
          <w:szCs w:val="22"/>
        </w:rPr>
        <w:t xml:space="preserve">Mr. </w:t>
      </w:r>
      <w:r>
        <w:rPr>
          <w:szCs w:val="22"/>
        </w:rPr>
        <w:t>Daren Tang</w:t>
      </w:r>
    </w:p>
    <w:p w:rsidR="00677877" w:rsidRPr="00191546" w:rsidRDefault="00677877" w:rsidP="00677877">
      <w:pPr>
        <w:spacing w:after="240" w:line="360" w:lineRule="auto"/>
        <w:rPr>
          <w:szCs w:val="22"/>
        </w:rPr>
      </w:pPr>
      <w:r w:rsidRPr="00191546">
        <w:rPr>
          <w:szCs w:val="22"/>
        </w:rPr>
        <w:t>WHEREAS:</w:t>
      </w:r>
    </w:p>
    <w:p w:rsidR="00677877" w:rsidRPr="00191546" w:rsidRDefault="00677877" w:rsidP="00677877">
      <w:pPr>
        <w:spacing w:after="240" w:line="360" w:lineRule="auto"/>
        <w:rPr>
          <w:szCs w:val="22"/>
        </w:rPr>
      </w:pPr>
      <w:r w:rsidRPr="00191546">
        <w:rPr>
          <w:szCs w:val="22"/>
        </w:rPr>
        <w:t>A.</w:t>
      </w:r>
      <w:r w:rsidRPr="00191546">
        <w:rPr>
          <w:szCs w:val="22"/>
        </w:rPr>
        <w:tab/>
        <w:t>Article 6(2)(i) of the Convention Establishing the World Intellectual Property Organization (hereinafter called “the WIPO Convention”) provides that the WIPO General Assembly shall appoint the Director General of WIPO upon nomination by the WIPO Coordination Committee.</w:t>
      </w:r>
    </w:p>
    <w:p w:rsidR="00677877" w:rsidRPr="00191546" w:rsidRDefault="00677877" w:rsidP="00677877">
      <w:pPr>
        <w:spacing w:after="240" w:line="360" w:lineRule="auto"/>
        <w:rPr>
          <w:szCs w:val="22"/>
        </w:rPr>
      </w:pPr>
      <w:r w:rsidRPr="00191546">
        <w:rPr>
          <w:szCs w:val="22"/>
        </w:rPr>
        <w:t>B.</w:t>
      </w:r>
      <w:r w:rsidRPr="00191546">
        <w:rPr>
          <w:szCs w:val="22"/>
        </w:rPr>
        <w:tab/>
        <w:t xml:space="preserve">Article 9(3) of the WIPO Convention provides, </w:t>
      </w:r>
      <w:r w:rsidRPr="00191546">
        <w:rPr>
          <w:i/>
          <w:szCs w:val="22"/>
        </w:rPr>
        <w:t>inter alia</w:t>
      </w:r>
      <w:r w:rsidRPr="00191546">
        <w:rPr>
          <w:szCs w:val="22"/>
        </w:rPr>
        <w:t>, that the Director General of WIPO shall be appointed for a fixed term, which shall be not less than six years, and that the period of the initial appointment, as well as all other conditions of the appointment, shall be fixed by the WIPO General Assembly.</w:t>
      </w:r>
    </w:p>
    <w:p w:rsidR="00677877" w:rsidRDefault="00677877" w:rsidP="00677877">
      <w:pPr>
        <w:spacing w:after="240" w:line="360" w:lineRule="auto"/>
        <w:rPr>
          <w:szCs w:val="22"/>
        </w:rPr>
      </w:pPr>
      <w:r w:rsidRPr="00191546">
        <w:rPr>
          <w:szCs w:val="22"/>
        </w:rPr>
        <w:t>C.</w:t>
      </w:r>
      <w:r w:rsidRPr="00191546">
        <w:rPr>
          <w:szCs w:val="22"/>
        </w:rPr>
        <w:tab/>
        <w:t>The term of the appointment may end according to the relevant provisions as set out in the WIPO Convention and the Staff Regulations and Rules of the International Bureau of WIPO.</w:t>
      </w:r>
      <w:r w:rsidRPr="00191546" w:rsidDel="00140B40">
        <w:rPr>
          <w:szCs w:val="22"/>
        </w:rPr>
        <w:t xml:space="preserve"> </w:t>
      </w:r>
    </w:p>
    <w:p w:rsidR="00677877" w:rsidRPr="00191546" w:rsidRDefault="00677877" w:rsidP="00677877">
      <w:pPr>
        <w:spacing w:after="240" w:line="360" w:lineRule="auto"/>
      </w:pPr>
      <w:r w:rsidRPr="00191546">
        <w:rPr>
          <w:szCs w:val="22"/>
        </w:rPr>
        <w:t>D.</w:t>
      </w:r>
      <w:r w:rsidRPr="00191546">
        <w:rPr>
          <w:szCs w:val="22"/>
        </w:rPr>
        <w:tab/>
        <w:t xml:space="preserve">Upon the nomination of the WIPO Coordination Committee, the WIPO General Assembly appointed Mr. </w:t>
      </w:r>
      <w:r>
        <w:rPr>
          <w:szCs w:val="22"/>
        </w:rPr>
        <w:t>Tang</w:t>
      </w:r>
      <w:r w:rsidRPr="00191546">
        <w:rPr>
          <w:szCs w:val="22"/>
        </w:rPr>
        <w:t xml:space="preserve"> as Director General of WIPO on </w:t>
      </w:r>
      <w:r>
        <w:rPr>
          <w:szCs w:val="22"/>
        </w:rPr>
        <w:t>May 8, 2020</w:t>
      </w:r>
      <w:r w:rsidRPr="00191546">
        <w:rPr>
          <w:szCs w:val="22"/>
        </w:rPr>
        <w:t>.</w:t>
      </w:r>
    </w:p>
    <w:p w:rsidR="00677877" w:rsidRDefault="00677877" w:rsidP="00677877">
      <w:pPr>
        <w:rPr>
          <w:szCs w:val="22"/>
        </w:rPr>
      </w:pPr>
      <w:r>
        <w:rPr>
          <w:szCs w:val="22"/>
        </w:rPr>
        <w:br w:type="page"/>
      </w:r>
    </w:p>
    <w:p w:rsidR="00677877" w:rsidRPr="00191546" w:rsidRDefault="00677877" w:rsidP="00677877">
      <w:pPr>
        <w:pStyle w:val="Footer"/>
        <w:spacing w:after="240" w:line="360" w:lineRule="auto"/>
        <w:rPr>
          <w:szCs w:val="22"/>
        </w:rPr>
      </w:pPr>
      <w:r w:rsidRPr="00191546">
        <w:rPr>
          <w:szCs w:val="22"/>
        </w:rPr>
        <w:lastRenderedPageBreak/>
        <w:t>IT IS HEREBY AGREED AS FOLLOWS:</w:t>
      </w:r>
    </w:p>
    <w:p w:rsidR="00677877" w:rsidRPr="00191546" w:rsidRDefault="00677877" w:rsidP="00677877">
      <w:pPr>
        <w:pStyle w:val="Heading3"/>
        <w:spacing w:after="240"/>
      </w:pPr>
      <w:r w:rsidRPr="005D35D4">
        <w:t xml:space="preserve">Term </w:t>
      </w:r>
      <w:r w:rsidRPr="001D1354">
        <w:t>of</w:t>
      </w:r>
      <w:r w:rsidRPr="005D35D4">
        <w:t xml:space="preserve"> Appointment</w:t>
      </w:r>
    </w:p>
    <w:p w:rsidR="00677877" w:rsidRPr="00191546" w:rsidRDefault="00677877" w:rsidP="00677877">
      <w:pPr>
        <w:spacing w:after="240" w:line="360" w:lineRule="auto"/>
      </w:pPr>
      <w:r w:rsidRPr="00191546">
        <w:rPr>
          <w:szCs w:val="22"/>
        </w:rPr>
        <w:t>1.</w:t>
      </w:r>
      <w:r w:rsidRPr="00191546">
        <w:rPr>
          <w:szCs w:val="22"/>
        </w:rPr>
        <w:tab/>
        <w:t xml:space="preserve">The appointment of Mr. </w:t>
      </w:r>
      <w:r>
        <w:rPr>
          <w:szCs w:val="22"/>
        </w:rPr>
        <w:t xml:space="preserve">Tang </w:t>
      </w:r>
      <w:r w:rsidRPr="00191546">
        <w:rPr>
          <w:szCs w:val="22"/>
        </w:rPr>
        <w:t xml:space="preserve">as Director General of WIPO shall be for a fixed term of six years, commencing on October 1, </w:t>
      </w:r>
      <w:r>
        <w:rPr>
          <w:szCs w:val="22"/>
        </w:rPr>
        <w:t>2020</w:t>
      </w:r>
      <w:r w:rsidRPr="00191546">
        <w:rPr>
          <w:szCs w:val="22"/>
        </w:rPr>
        <w:t>.</w:t>
      </w:r>
    </w:p>
    <w:p w:rsidR="00677877" w:rsidRPr="00496F77" w:rsidRDefault="00677877" w:rsidP="00677877">
      <w:pPr>
        <w:pStyle w:val="Heading3"/>
        <w:spacing w:after="240"/>
      </w:pPr>
      <w:r w:rsidRPr="00496F77">
        <w:t>Salary and Allowances</w:t>
      </w:r>
    </w:p>
    <w:p w:rsidR="00677877" w:rsidRPr="00191546" w:rsidRDefault="00677877" w:rsidP="00677877">
      <w:pPr>
        <w:spacing w:after="240" w:line="360" w:lineRule="auto"/>
        <w:rPr>
          <w:szCs w:val="22"/>
        </w:rPr>
      </w:pPr>
      <w:r w:rsidRPr="00191546">
        <w:rPr>
          <w:szCs w:val="22"/>
        </w:rPr>
        <w:t>2.</w:t>
      </w:r>
      <w:r w:rsidRPr="00191546">
        <w:rPr>
          <w:szCs w:val="22"/>
        </w:rPr>
        <w:tab/>
        <w:t xml:space="preserve">Throughout the term of his appointment, the Organization shall pay to Mr. </w:t>
      </w:r>
      <w:r>
        <w:rPr>
          <w:szCs w:val="22"/>
        </w:rPr>
        <w:t>Tang</w:t>
      </w:r>
    </w:p>
    <w:p w:rsidR="00677877" w:rsidRPr="00191546" w:rsidRDefault="00677877" w:rsidP="00677877">
      <w:pPr>
        <w:spacing w:after="240" w:line="360" w:lineRule="auto"/>
        <w:rPr>
          <w:szCs w:val="22"/>
        </w:rPr>
      </w:pPr>
      <w:r w:rsidRPr="00191546">
        <w:rPr>
          <w:szCs w:val="22"/>
        </w:rPr>
        <w:tab/>
        <w:t>(1)</w:t>
      </w:r>
      <w:r w:rsidRPr="00191546">
        <w:rPr>
          <w:szCs w:val="22"/>
        </w:rPr>
        <w:tab/>
        <w:t xml:space="preserve">an annual net salary equivalent to the highest salary payable to the Head of a Specialized Agency of the United Nations which has its headquarters in Geneva;  </w:t>
      </w:r>
    </w:p>
    <w:p w:rsidR="00677877" w:rsidRPr="00191546" w:rsidRDefault="00677877" w:rsidP="00677877">
      <w:pPr>
        <w:spacing w:after="240" w:line="360" w:lineRule="auto"/>
        <w:rPr>
          <w:szCs w:val="22"/>
        </w:rPr>
      </w:pPr>
      <w:r w:rsidRPr="00191546">
        <w:rPr>
          <w:szCs w:val="22"/>
        </w:rPr>
        <w:tab/>
        <w:t>(2)</w:t>
      </w:r>
      <w:r w:rsidRPr="00191546">
        <w:rPr>
          <w:szCs w:val="22"/>
        </w:rPr>
        <w:tab/>
        <w:t xml:space="preserve">an annual representation allowance of </w:t>
      </w:r>
      <w:r w:rsidRPr="00234681">
        <w:rPr>
          <w:szCs w:val="22"/>
        </w:rPr>
        <w:t>62,870</w:t>
      </w:r>
      <w:r>
        <w:rPr>
          <w:szCs w:val="22"/>
        </w:rPr>
        <w:t xml:space="preserve"> </w:t>
      </w:r>
      <w:r w:rsidRPr="00191546">
        <w:rPr>
          <w:szCs w:val="22"/>
        </w:rPr>
        <w:t>Swiss francs, which will be updated annually according to the Consumer Price Index (CPI) for Geneva</w:t>
      </w:r>
      <w:r w:rsidRPr="00191546">
        <w:rPr>
          <w:rStyle w:val="FootnoteReference"/>
          <w:szCs w:val="22"/>
        </w:rPr>
        <w:footnoteReference w:customMarkFollows="1" w:id="2"/>
        <w:sym w:font="Symbol" w:char="F02A"/>
      </w:r>
      <w:r w:rsidRPr="00191546">
        <w:rPr>
          <w:szCs w:val="22"/>
        </w:rPr>
        <w:t xml:space="preserve">; </w:t>
      </w:r>
      <w:r>
        <w:rPr>
          <w:szCs w:val="22"/>
        </w:rPr>
        <w:t xml:space="preserve"> </w:t>
      </w:r>
      <w:r w:rsidRPr="00191546">
        <w:rPr>
          <w:szCs w:val="22"/>
        </w:rPr>
        <w:t>and</w:t>
      </w:r>
    </w:p>
    <w:p w:rsidR="00677877" w:rsidRPr="00191546" w:rsidRDefault="00677877" w:rsidP="00677877">
      <w:pPr>
        <w:spacing w:after="240" w:line="360" w:lineRule="auto"/>
        <w:rPr>
          <w:szCs w:val="22"/>
        </w:rPr>
      </w:pPr>
      <w:r w:rsidRPr="00191546">
        <w:rPr>
          <w:szCs w:val="22"/>
        </w:rPr>
        <w:tab/>
        <w:t>(3)</w:t>
      </w:r>
      <w:r w:rsidRPr="00191546">
        <w:rPr>
          <w:szCs w:val="22"/>
        </w:rPr>
        <w:tab/>
        <w:t xml:space="preserve">an annual housing allowance of </w:t>
      </w:r>
      <w:r w:rsidRPr="00234681">
        <w:rPr>
          <w:szCs w:val="22"/>
        </w:rPr>
        <w:t>77,145</w:t>
      </w:r>
      <w:r w:rsidRPr="00191546">
        <w:rPr>
          <w:szCs w:val="22"/>
        </w:rPr>
        <w:t xml:space="preserve"> Swiss francs, which will likewise be updated annually according to the CPI for Geneva.</w:t>
      </w:r>
    </w:p>
    <w:p w:rsidR="00677877" w:rsidRPr="00191546" w:rsidRDefault="00677877" w:rsidP="00677877">
      <w:pPr>
        <w:spacing w:after="240" w:line="360" w:lineRule="auto"/>
        <w:rPr>
          <w:szCs w:val="22"/>
        </w:rPr>
      </w:pPr>
      <w:r w:rsidRPr="00191546">
        <w:rPr>
          <w:szCs w:val="22"/>
        </w:rPr>
        <w:t>3.</w:t>
      </w:r>
      <w:r w:rsidRPr="00191546">
        <w:rPr>
          <w:szCs w:val="22"/>
        </w:rPr>
        <w:tab/>
        <w:t xml:space="preserve">The Organization shall make available to Mr. </w:t>
      </w:r>
      <w:r>
        <w:rPr>
          <w:szCs w:val="22"/>
        </w:rPr>
        <w:t xml:space="preserve">Tang </w:t>
      </w:r>
      <w:r w:rsidRPr="00191546">
        <w:rPr>
          <w:szCs w:val="22"/>
        </w:rPr>
        <w:t>a car and chauffeur for official duties and pay the expenses relating thereto.</w:t>
      </w:r>
    </w:p>
    <w:p w:rsidR="00677877" w:rsidRPr="00191546" w:rsidRDefault="00677877" w:rsidP="00677877">
      <w:pPr>
        <w:spacing w:line="360" w:lineRule="auto"/>
        <w:rPr>
          <w:szCs w:val="22"/>
        </w:rPr>
      </w:pPr>
      <w:r w:rsidRPr="00191546">
        <w:rPr>
          <w:szCs w:val="22"/>
        </w:rPr>
        <w:t>4.</w:t>
      </w:r>
      <w:r w:rsidRPr="00191546">
        <w:rPr>
          <w:szCs w:val="22"/>
        </w:rPr>
        <w:tab/>
        <w:t xml:space="preserve">Mr. </w:t>
      </w:r>
      <w:r>
        <w:rPr>
          <w:szCs w:val="22"/>
        </w:rPr>
        <w:t xml:space="preserve">Tang </w:t>
      </w:r>
      <w:r w:rsidRPr="00191546">
        <w:rPr>
          <w:szCs w:val="22"/>
        </w:rPr>
        <w:t>shall be entitled to appropriate security protection, where necessary.</w:t>
      </w:r>
    </w:p>
    <w:p w:rsidR="00677877" w:rsidRPr="00862F3F" w:rsidRDefault="00677877" w:rsidP="00677877">
      <w:pPr>
        <w:pStyle w:val="Heading3"/>
        <w:spacing w:after="240"/>
      </w:pPr>
      <w:r w:rsidRPr="00862F3F">
        <w:t>Pension</w:t>
      </w:r>
    </w:p>
    <w:p w:rsidR="00677877" w:rsidRPr="00191546" w:rsidRDefault="00677877" w:rsidP="00677877">
      <w:pPr>
        <w:spacing w:after="240" w:line="360" w:lineRule="auto"/>
        <w:rPr>
          <w:szCs w:val="22"/>
        </w:rPr>
      </w:pPr>
      <w:r w:rsidRPr="00191546">
        <w:rPr>
          <w:szCs w:val="22"/>
        </w:rPr>
        <w:t>5.</w:t>
      </w:r>
      <w:r w:rsidRPr="00191546">
        <w:rPr>
          <w:szCs w:val="22"/>
        </w:rPr>
        <w:tab/>
        <w:t xml:space="preserve">Mr. </w:t>
      </w:r>
      <w:r>
        <w:rPr>
          <w:szCs w:val="22"/>
        </w:rPr>
        <w:t xml:space="preserve">Tang </w:t>
      </w:r>
      <w:r w:rsidRPr="00191546">
        <w:rPr>
          <w:szCs w:val="22"/>
        </w:rPr>
        <w:t>shall be entitled to participate in the United Nations Joint Staff Pension Fund, in accordance with the Regulations and Rules of that Fund and with the pensionable remuneration determined in accordance with the methodology of the General Assembly of the United Nations.</w:t>
      </w:r>
    </w:p>
    <w:p w:rsidR="00677877" w:rsidRPr="00CC61CC" w:rsidRDefault="00677877" w:rsidP="00677877">
      <w:pPr>
        <w:rPr>
          <w:bCs/>
          <w:szCs w:val="26"/>
          <w:u w:val="single"/>
        </w:rPr>
      </w:pPr>
      <w:r>
        <w:br w:type="page"/>
      </w:r>
    </w:p>
    <w:p w:rsidR="00677877" w:rsidRPr="00191546" w:rsidRDefault="00677877" w:rsidP="00677877">
      <w:pPr>
        <w:pStyle w:val="Heading3"/>
        <w:spacing w:after="240"/>
      </w:pPr>
      <w:r w:rsidRPr="00191546">
        <w:lastRenderedPageBreak/>
        <w:t>Application of the WIPO Staff Regulations and Staff Rules</w:t>
      </w:r>
    </w:p>
    <w:p w:rsidR="00677877" w:rsidRPr="00191546" w:rsidRDefault="00677877" w:rsidP="00677877">
      <w:pPr>
        <w:spacing w:after="240" w:line="360" w:lineRule="auto"/>
        <w:rPr>
          <w:szCs w:val="22"/>
        </w:rPr>
      </w:pPr>
      <w:r w:rsidRPr="00191546">
        <w:rPr>
          <w:szCs w:val="22"/>
        </w:rPr>
        <w:t>6.</w:t>
      </w:r>
      <w:r w:rsidRPr="00191546">
        <w:rPr>
          <w:szCs w:val="22"/>
        </w:rPr>
        <w:tab/>
        <w:t xml:space="preserve">Except as may be otherwise modified herein, Mr. </w:t>
      </w:r>
      <w:r>
        <w:rPr>
          <w:szCs w:val="22"/>
        </w:rPr>
        <w:t xml:space="preserve">Tang </w:t>
      </w:r>
      <w:r w:rsidRPr="00191546">
        <w:rPr>
          <w:szCs w:val="22"/>
        </w:rPr>
        <w:t>shall have the rights and assume the obligations which are provided for in the Staff Regulations and Staff Rules of the International Bureau of WIPO.</w:t>
      </w:r>
    </w:p>
    <w:p w:rsidR="00677877" w:rsidRPr="00191546" w:rsidRDefault="00677877" w:rsidP="00677877">
      <w:pPr>
        <w:spacing w:line="360" w:lineRule="auto"/>
        <w:rPr>
          <w:szCs w:val="22"/>
        </w:rPr>
      </w:pPr>
      <w:r w:rsidRPr="00191546">
        <w:rPr>
          <w:szCs w:val="22"/>
        </w:rPr>
        <w:t xml:space="preserve">IN WITNESS WHEREOF, THE PARTIES HAVE THIS </w:t>
      </w:r>
      <w:r>
        <w:rPr>
          <w:szCs w:val="22"/>
        </w:rPr>
        <w:t>[…]</w:t>
      </w:r>
      <w:r w:rsidRPr="00191546">
        <w:rPr>
          <w:szCs w:val="22"/>
        </w:rPr>
        <w:t xml:space="preserve"> DAY OF </w:t>
      </w:r>
      <w:r>
        <w:rPr>
          <w:szCs w:val="22"/>
        </w:rPr>
        <w:t>[…] 2020</w:t>
      </w:r>
    </w:p>
    <w:p w:rsidR="00677877" w:rsidRPr="00191546" w:rsidRDefault="00677877" w:rsidP="00677877">
      <w:pPr>
        <w:pStyle w:val="Footer"/>
        <w:spacing w:after="960" w:line="360" w:lineRule="auto"/>
      </w:pPr>
      <w:r w:rsidRPr="00191546">
        <w:rPr>
          <w:szCs w:val="22"/>
        </w:rPr>
        <w:t>SIGNED THESE PRESENTS</w:t>
      </w:r>
    </w:p>
    <w:tbl>
      <w:tblPr>
        <w:tblW w:w="0" w:type="auto"/>
        <w:tblLook w:val="01E0" w:firstRow="1" w:lastRow="1" w:firstColumn="1" w:lastColumn="1" w:noHBand="0" w:noVBand="0"/>
      </w:tblPr>
      <w:tblGrid>
        <w:gridCol w:w="4643"/>
        <w:gridCol w:w="4644"/>
      </w:tblGrid>
      <w:tr w:rsidR="00677877" w:rsidRPr="00353CA6" w:rsidTr="00D479CB">
        <w:tc>
          <w:tcPr>
            <w:tcW w:w="4643" w:type="dxa"/>
            <w:shd w:val="clear" w:color="auto" w:fill="auto"/>
          </w:tcPr>
          <w:p w:rsidR="00677877" w:rsidRPr="00353CA6" w:rsidRDefault="00677877" w:rsidP="00D479CB">
            <w:pPr>
              <w:spacing w:line="360" w:lineRule="auto"/>
              <w:jc w:val="center"/>
              <w:rPr>
                <w:color w:val="000000"/>
                <w:szCs w:val="22"/>
              </w:rPr>
            </w:pPr>
            <w:r w:rsidRPr="00353CA6">
              <w:rPr>
                <w:color w:val="000000"/>
                <w:szCs w:val="22"/>
              </w:rPr>
              <w:t>________________________</w:t>
            </w:r>
          </w:p>
          <w:p w:rsidR="00677877" w:rsidRPr="00353CA6" w:rsidRDefault="00677877" w:rsidP="00D479CB">
            <w:pPr>
              <w:spacing w:line="360" w:lineRule="auto"/>
              <w:jc w:val="center"/>
              <w:rPr>
                <w:szCs w:val="22"/>
              </w:rPr>
            </w:pPr>
            <w:r w:rsidRPr="00B677F2">
              <w:rPr>
                <w:szCs w:val="22"/>
              </w:rPr>
              <w:t xml:space="preserve">Omar </w:t>
            </w:r>
            <w:r>
              <w:rPr>
                <w:szCs w:val="22"/>
              </w:rPr>
              <w:t>Zniber</w:t>
            </w:r>
          </w:p>
        </w:tc>
        <w:tc>
          <w:tcPr>
            <w:tcW w:w="4644" w:type="dxa"/>
            <w:shd w:val="clear" w:color="auto" w:fill="auto"/>
          </w:tcPr>
          <w:p w:rsidR="00677877" w:rsidRPr="00353CA6" w:rsidRDefault="00677877" w:rsidP="00D479CB">
            <w:pPr>
              <w:spacing w:line="360" w:lineRule="auto"/>
              <w:jc w:val="center"/>
              <w:rPr>
                <w:szCs w:val="22"/>
              </w:rPr>
            </w:pPr>
            <w:r w:rsidRPr="00353CA6">
              <w:rPr>
                <w:szCs w:val="22"/>
              </w:rPr>
              <w:t>_______________________</w:t>
            </w:r>
          </w:p>
          <w:p w:rsidR="00677877" w:rsidRPr="00353CA6" w:rsidRDefault="00677877" w:rsidP="00D479CB">
            <w:pPr>
              <w:spacing w:line="360" w:lineRule="auto"/>
              <w:jc w:val="center"/>
              <w:rPr>
                <w:szCs w:val="22"/>
              </w:rPr>
            </w:pPr>
            <w:r>
              <w:rPr>
                <w:szCs w:val="22"/>
              </w:rPr>
              <w:t>Daren Tang</w:t>
            </w:r>
          </w:p>
        </w:tc>
      </w:tr>
      <w:tr w:rsidR="00677877" w:rsidRPr="00353CA6" w:rsidTr="00D479CB">
        <w:tc>
          <w:tcPr>
            <w:tcW w:w="4643" w:type="dxa"/>
            <w:shd w:val="clear" w:color="auto" w:fill="auto"/>
          </w:tcPr>
          <w:p w:rsidR="00677877" w:rsidRPr="00353CA6" w:rsidRDefault="00677877" w:rsidP="00D479CB">
            <w:pPr>
              <w:spacing w:line="360" w:lineRule="auto"/>
              <w:jc w:val="center"/>
              <w:rPr>
                <w:color w:val="000000"/>
                <w:szCs w:val="22"/>
              </w:rPr>
            </w:pPr>
            <w:r w:rsidRPr="00353CA6">
              <w:rPr>
                <w:szCs w:val="22"/>
              </w:rPr>
              <w:t>Chair</w:t>
            </w:r>
          </w:p>
        </w:tc>
        <w:tc>
          <w:tcPr>
            <w:tcW w:w="4644" w:type="dxa"/>
            <w:shd w:val="clear" w:color="auto" w:fill="auto"/>
          </w:tcPr>
          <w:p w:rsidR="00677877" w:rsidRPr="00353CA6" w:rsidRDefault="00677877" w:rsidP="00D479CB">
            <w:pPr>
              <w:spacing w:line="360" w:lineRule="auto"/>
              <w:jc w:val="center"/>
              <w:rPr>
                <w:szCs w:val="22"/>
              </w:rPr>
            </w:pPr>
          </w:p>
        </w:tc>
      </w:tr>
      <w:tr w:rsidR="00677877" w:rsidRPr="00353CA6" w:rsidTr="00D479CB">
        <w:tc>
          <w:tcPr>
            <w:tcW w:w="4643" w:type="dxa"/>
            <w:shd w:val="clear" w:color="auto" w:fill="auto"/>
          </w:tcPr>
          <w:p w:rsidR="00677877" w:rsidRPr="00353CA6" w:rsidRDefault="00677877" w:rsidP="00D479CB">
            <w:pPr>
              <w:spacing w:line="360" w:lineRule="auto"/>
              <w:jc w:val="center"/>
              <w:rPr>
                <w:szCs w:val="22"/>
              </w:rPr>
            </w:pPr>
            <w:r w:rsidRPr="00353CA6">
              <w:rPr>
                <w:szCs w:val="22"/>
              </w:rPr>
              <w:t>WIPO General Assembly</w:t>
            </w:r>
          </w:p>
        </w:tc>
        <w:tc>
          <w:tcPr>
            <w:tcW w:w="4644" w:type="dxa"/>
            <w:shd w:val="clear" w:color="auto" w:fill="auto"/>
          </w:tcPr>
          <w:p w:rsidR="00677877" w:rsidRPr="00353CA6" w:rsidRDefault="00677877" w:rsidP="00D479CB">
            <w:pPr>
              <w:spacing w:line="360" w:lineRule="auto"/>
              <w:jc w:val="center"/>
              <w:rPr>
                <w:szCs w:val="22"/>
              </w:rPr>
            </w:pPr>
          </w:p>
        </w:tc>
      </w:tr>
      <w:tr w:rsidR="00677877" w:rsidRPr="00353CA6" w:rsidTr="00D479CB">
        <w:tc>
          <w:tcPr>
            <w:tcW w:w="4643" w:type="dxa"/>
            <w:shd w:val="clear" w:color="auto" w:fill="auto"/>
          </w:tcPr>
          <w:p w:rsidR="00677877" w:rsidRPr="00353CA6" w:rsidRDefault="00677877" w:rsidP="00D479CB">
            <w:pPr>
              <w:spacing w:line="360" w:lineRule="auto"/>
              <w:jc w:val="center"/>
              <w:rPr>
                <w:szCs w:val="22"/>
              </w:rPr>
            </w:pPr>
          </w:p>
        </w:tc>
        <w:tc>
          <w:tcPr>
            <w:tcW w:w="4644" w:type="dxa"/>
            <w:shd w:val="clear" w:color="auto" w:fill="auto"/>
          </w:tcPr>
          <w:p w:rsidR="00677877" w:rsidRPr="00353CA6" w:rsidRDefault="00677877" w:rsidP="00D479CB">
            <w:pPr>
              <w:spacing w:line="360" w:lineRule="auto"/>
              <w:jc w:val="center"/>
              <w:rPr>
                <w:szCs w:val="22"/>
              </w:rPr>
            </w:pPr>
          </w:p>
        </w:tc>
      </w:tr>
    </w:tbl>
    <w:p w:rsidR="00677877" w:rsidRDefault="00677877" w:rsidP="00A674C6">
      <w:pPr>
        <w:pStyle w:val="Endofdocument-Annex"/>
        <w:spacing w:before="960"/>
        <w:ind w:left="5530"/>
      </w:pPr>
      <w:r>
        <w:t>[Annex II follows]</w:t>
      </w:r>
    </w:p>
    <w:p w:rsidR="00677877" w:rsidRDefault="00677877" w:rsidP="00677877">
      <w:pPr>
        <w:sectPr w:rsidR="00677877" w:rsidSect="00197C1F">
          <w:headerReference w:type="even" r:id="rId11"/>
          <w:headerReference w:type="defaul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677877" w:rsidRPr="00677877" w:rsidRDefault="00677877" w:rsidP="00677877">
      <w:pPr>
        <w:autoSpaceDE w:val="0"/>
        <w:autoSpaceDN w:val="0"/>
        <w:adjustRightInd w:val="0"/>
        <w:jc w:val="right"/>
        <w:rPr>
          <w:bCs/>
          <w:szCs w:val="22"/>
          <w:lang w:val="es-ES"/>
        </w:rPr>
      </w:pPr>
      <w:r w:rsidRPr="00677877">
        <w:rPr>
          <w:bCs/>
          <w:szCs w:val="22"/>
          <w:lang w:val="es-ES"/>
        </w:rPr>
        <w:lastRenderedPageBreak/>
        <w:t>WO/GA/52/2</w:t>
      </w:r>
    </w:p>
    <w:p w:rsidR="00677877" w:rsidRPr="00E308DD" w:rsidRDefault="00677877" w:rsidP="00A674C6">
      <w:pPr>
        <w:autoSpaceDE w:val="0"/>
        <w:autoSpaceDN w:val="0"/>
        <w:adjustRightInd w:val="0"/>
        <w:spacing w:after="480"/>
        <w:jc w:val="right"/>
        <w:rPr>
          <w:bCs/>
          <w:szCs w:val="22"/>
        </w:rPr>
      </w:pPr>
      <w:r w:rsidRPr="00E308DD">
        <w:rPr>
          <w:bCs/>
          <w:szCs w:val="22"/>
        </w:rPr>
        <w:t>ANNEX II</w:t>
      </w:r>
    </w:p>
    <w:p w:rsidR="00677877" w:rsidRPr="00CC61CC" w:rsidRDefault="00677877" w:rsidP="00A674C6">
      <w:pPr>
        <w:autoSpaceDE w:val="0"/>
        <w:autoSpaceDN w:val="0"/>
        <w:adjustRightInd w:val="0"/>
        <w:spacing w:after="480"/>
        <w:jc w:val="center"/>
        <w:rPr>
          <w:szCs w:val="22"/>
        </w:rPr>
      </w:pPr>
      <w:r w:rsidRPr="00677877">
        <w:rPr>
          <w:bCs/>
          <w:szCs w:val="22"/>
          <w:u w:val="single"/>
        </w:rPr>
        <w:t>Monthly Remuneration - Director General</w:t>
      </w:r>
    </w:p>
    <w:p w:rsidR="00677877" w:rsidRPr="00CC61CC" w:rsidRDefault="00677877" w:rsidP="00677877">
      <w:pPr>
        <w:autoSpaceDE w:val="0"/>
        <w:autoSpaceDN w:val="0"/>
        <w:adjustRightInd w:val="0"/>
        <w:jc w:val="center"/>
        <w:rPr>
          <w:szCs w:val="22"/>
        </w:rPr>
      </w:pPr>
      <w:r w:rsidRPr="00CC61CC">
        <w:rPr>
          <w:szCs w:val="22"/>
        </w:rPr>
        <w:t xml:space="preserve">The calculation is an </w:t>
      </w:r>
      <w:r w:rsidRPr="00CC61CC">
        <w:rPr>
          <w:szCs w:val="22"/>
          <w:u w:val="single"/>
        </w:rPr>
        <w:t>indicative estimate</w:t>
      </w:r>
      <w:r w:rsidRPr="00CC61CC">
        <w:rPr>
          <w:szCs w:val="22"/>
        </w:rPr>
        <w:t xml:space="preserve"> of what would be the monthly remuneration of Mr. Daren Tang as Director General of WIPO</w:t>
      </w:r>
    </w:p>
    <w:p w:rsidR="00677877" w:rsidRPr="00CC61CC" w:rsidRDefault="00677877" w:rsidP="00677877">
      <w:pPr>
        <w:autoSpaceDE w:val="0"/>
        <w:autoSpaceDN w:val="0"/>
        <w:adjustRightInd w:val="0"/>
        <w:jc w:val="center"/>
        <w:rPr>
          <w:szCs w:val="22"/>
        </w:rPr>
      </w:pPr>
      <w:r w:rsidRPr="00CC61CC">
        <w:rPr>
          <w:szCs w:val="22"/>
        </w:rPr>
        <w:t>pursuant to WIPO Staff Regulations 3.1 and 3.5 based on the parameters given in March 2020*)</w:t>
      </w:r>
    </w:p>
    <w:p w:rsidR="00677877" w:rsidRPr="00CC61CC" w:rsidRDefault="00677877" w:rsidP="00A674C6">
      <w:pPr>
        <w:autoSpaceDE w:val="0"/>
        <w:autoSpaceDN w:val="0"/>
        <w:adjustRightInd w:val="0"/>
        <w:spacing w:after="480"/>
        <w:jc w:val="center"/>
        <w:rPr>
          <w:szCs w:val="22"/>
        </w:rPr>
      </w:pPr>
      <w:r w:rsidRPr="00CC61CC">
        <w:rPr>
          <w:szCs w:val="22"/>
        </w:rPr>
        <w:t>(in addition to the Representation and Housing Allowances included in his contract)</w:t>
      </w:r>
    </w:p>
    <w:p w:rsidR="00677877" w:rsidRPr="00CC61CC" w:rsidRDefault="00677877" w:rsidP="00677877">
      <w:pPr>
        <w:autoSpaceDE w:val="0"/>
        <w:autoSpaceDN w:val="0"/>
        <w:adjustRightInd w:val="0"/>
        <w:ind w:firstLine="567"/>
        <w:rPr>
          <w:szCs w:val="22"/>
        </w:rPr>
      </w:pPr>
      <w:r w:rsidRPr="00CC61CC">
        <w:rPr>
          <w:szCs w:val="22"/>
        </w:rPr>
        <w:t>Net monthly salary</w:t>
      </w:r>
    </w:p>
    <w:p w:rsidR="00677877" w:rsidRPr="00CC61CC" w:rsidRDefault="00677877" w:rsidP="00A674C6">
      <w:pPr>
        <w:autoSpaceDE w:val="0"/>
        <w:autoSpaceDN w:val="0"/>
        <w:adjustRightInd w:val="0"/>
        <w:spacing w:after="240"/>
        <w:ind w:left="562" w:firstLine="562"/>
        <w:rPr>
          <w:szCs w:val="22"/>
        </w:rPr>
      </w:pPr>
      <w:r w:rsidRPr="00CC61CC">
        <w:rPr>
          <w:szCs w:val="22"/>
        </w:rPr>
        <w:t xml:space="preserve">[ ($ 168'782 x 0.97) : 12 ] </w:t>
      </w:r>
      <w:r w:rsidRPr="00CC61CC">
        <w:rPr>
          <w:szCs w:val="22"/>
        </w:rPr>
        <w:tab/>
      </w:r>
      <w:r w:rsidRPr="00CC61CC">
        <w:rPr>
          <w:szCs w:val="22"/>
        </w:rPr>
        <w:tab/>
      </w:r>
      <w:r w:rsidRPr="00CC61CC">
        <w:rPr>
          <w:szCs w:val="22"/>
        </w:rPr>
        <w:tab/>
        <w:t>SFr. 13,643.20</w:t>
      </w:r>
    </w:p>
    <w:p w:rsidR="00677877" w:rsidRPr="00CC61CC" w:rsidRDefault="00677877" w:rsidP="00677877">
      <w:pPr>
        <w:autoSpaceDE w:val="0"/>
        <w:autoSpaceDN w:val="0"/>
        <w:adjustRightInd w:val="0"/>
        <w:ind w:firstLine="567"/>
        <w:rPr>
          <w:szCs w:val="22"/>
        </w:rPr>
      </w:pPr>
      <w:r w:rsidRPr="00CC61CC">
        <w:rPr>
          <w:szCs w:val="22"/>
        </w:rPr>
        <w:t>Post Adjustment Geneva</w:t>
      </w:r>
    </w:p>
    <w:p w:rsidR="00677877" w:rsidRPr="00CC61CC" w:rsidRDefault="00677877" w:rsidP="00677877">
      <w:pPr>
        <w:autoSpaceDE w:val="0"/>
        <w:autoSpaceDN w:val="0"/>
        <w:adjustRightInd w:val="0"/>
        <w:ind w:left="567" w:firstLine="567"/>
        <w:rPr>
          <w:szCs w:val="22"/>
        </w:rPr>
      </w:pPr>
      <w:r w:rsidRPr="00CC61CC">
        <w:rPr>
          <w:szCs w:val="22"/>
        </w:rPr>
        <w:t xml:space="preserve">[ ($ 168'782 x 0.97 x 0.782) : 12 ] </w:t>
      </w:r>
      <w:r w:rsidRPr="00CC61CC">
        <w:rPr>
          <w:szCs w:val="22"/>
        </w:rPr>
        <w:tab/>
      </w:r>
      <w:r w:rsidRPr="00CC61CC">
        <w:rPr>
          <w:szCs w:val="22"/>
        </w:rPr>
        <w:tab/>
      </w:r>
      <w:r w:rsidRPr="00CC61CC">
        <w:rPr>
          <w:szCs w:val="22"/>
        </w:rPr>
        <w:tab/>
        <w:t>SFr. 10,669.00</w:t>
      </w:r>
    </w:p>
    <w:p w:rsidR="00677877" w:rsidRPr="00CC61CC" w:rsidRDefault="00677877" w:rsidP="00A674C6">
      <w:pPr>
        <w:autoSpaceDE w:val="0"/>
        <w:autoSpaceDN w:val="0"/>
        <w:adjustRightInd w:val="0"/>
        <w:spacing w:after="240"/>
        <w:rPr>
          <w:szCs w:val="22"/>
        </w:rPr>
      </w:pPr>
      <w:r w:rsidRPr="00CC61CC">
        <w:rPr>
          <w:szCs w:val="22"/>
        </w:rPr>
        <w:t xml:space="preserve">                                                                                    ________________</w:t>
      </w:r>
    </w:p>
    <w:p w:rsidR="00677877" w:rsidRPr="00CC61CC" w:rsidRDefault="00677877" w:rsidP="00A674C6">
      <w:pPr>
        <w:autoSpaceDE w:val="0"/>
        <w:autoSpaceDN w:val="0"/>
        <w:adjustRightInd w:val="0"/>
        <w:spacing w:after="240"/>
        <w:ind w:left="3974" w:firstLine="562"/>
        <w:rPr>
          <w:szCs w:val="22"/>
        </w:rPr>
      </w:pPr>
      <w:r w:rsidRPr="00CC61CC">
        <w:rPr>
          <w:szCs w:val="22"/>
        </w:rPr>
        <w:t>SFr. 24,312.20</w:t>
      </w:r>
    </w:p>
    <w:p w:rsidR="00677877" w:rsidRPr="00CC61CC" w:rsidRDefault="00677877" w:rsidP="00677877">
      <w:pPr>
        <w:autoSpaceDE w:val="0"/>
        <w:autoSpaceDN w:val="0"/>
        <w:adjustRightInd w:val="0"/>
        <w:ind w:firstLine="567"/>
        <w:rPr>
          <w:szCs w:val="22"/>
        </w:rPr>
      </w:pPr>
      <w:r w:rsidRPr="00CC61CC">
        <w:rPr>
          <w:szCs w:val="22"/>
        </w:rPr>
        <w:t>DG's Contribution UNJSPF</w:t>
      </w:r>
    </w:p>
    <w:p w:rsidR="00677877" w:rsidRPr="00CC61CC" w:rsidRDefault="00677877" w:rsidP="00A674C6">
      <w:pPr>
        <w:autoSpaceDE w:val="0"/>
        <w:autoSpaceDN w:val="0"/>
        <w:adjustRightInd w:val="0"/>
        <w:spacing w:after="240"/>
        <w:ind w:left="562" w:firstLine="562"/>
        <w:rPr>
          <w:szCs w:val="22"/>
        </w:rPr>
      </w:pPr>
      <w:r w:rsidRPr="00CC61CC">
        <w:rPr>
          <w:szCs w:val="22"/>
        </w:rPr>
        <w:t xml:space="preserve">[ ($ 389'766 x 0.97 x 0.079) : 12 ] </w:t>
      </w:r>
      <w:r w:rsidRPr="00CC61CC">
        <w:rPr>
          <w:szCs w:val="22"/>
        </w:rPr>
        <w:tab/>
      </w:r>
      <w:r w:rsidRPr="00CC61CC">
        <w:rPr>
          <w:szCs w:val="22"/>
        </w:rPr>
        <w:tab/>
      </w:r>
      <w:r w:rsidRPr="00CC61CC">
        <w:rPr>
          <w:szCs w:val="22"/>
        </w:rPr>
        <w:tab/>
        <w:t>-SFr. 2,489.00</w:t>
      </w:r>
    </w:p>
    <w:p w:rsidR="00677877" w:rsidRPr="00CC61CC" w:rsidRDefault="00677877" w:rsidP="00677877">
      <w:pPr>
        <w:autoSpaceDE w:val="0"/>
        <w:autoSpaceDN w:val="0"/>
        <w:adjustRightInd w:val="0"/>
        <w:ind w:firstLine="567"/>
        <w:rPr>
          <w:szCs w:val="22"/>
        </w:rPr>
      </w:pPr>
      <w:r w:rsidRPr="00CC61CC">
        <w:rPr>
          <w:szCs w:val="22"/>
        </w:rPr>
        <w:t xml:space="preserve">DG's Contribution Social Security Insurance**) </w:t>
      </w:r>
      <w:r w:rsidRPr="00CC61CC">
        <w:rPr>
          <w:szCs w:val="22"/>
        </w:rPr>
        <w:tab/>
        <w:t>-SFr.    298.00</w:t>
      </w:r>
    </w:p>
    <w:p w:rsidR="00677877" w:rsidRPr="00CC61CC" w:rsidRDefault="00677877" w:rsidP="00A674C6">
      <w:pPr>
        <w:autoSpaceDE w:val="0"/>
        <w:autoSpaceDN w:val="0"/>
        <w:adjustRightInd w:val="0"/>
        <w:spacing w:after="480"/>
        <w:ind w:firstLine="562"/>
        <w:rPr>
          <w:szCs w:val="22"/>
        </w:rPr>
      </w:pPr>
      <w:r w:rsidRPr="00CC61CC">
        <w:rPr>
          <w:szCs w:val="22"/>
        </w:rPr>
        <w:t xml:space="preserve">                                                                         ________________</w:t>
      </w:r>
    </w:p>
    <w:p w:rsidR="00677877" w:rsidRPr="005C56AE" w:rsidRDefault="00677877" w:rsidP="00A674C6">
      <w:pPr>
        <w:spacing w:after="720"/>
        <w:ind w:left="1699" w:firstLine="562"/>
        <w:rPr>
          <w:rFonts w:ascii="Arial,Bold" w:hAnsi="Arial,Bold" w:cs="Arial,Bold"/>
          <w:bCs/>
          <w:sz w:val="18"/>
          <w:szCs w:val="18"/>
        </w:rPr>
      </w:pPr>
      <w:r w:rsidRPr="00CC61CC">
        <w:rPr>
          <w:b/>
          <w:bCs/>
          <w:szCs w:val="22"/>
        </w:rPr>
        <w:t xml:space="preserve">Monthly pay </w:t>
      </w:r>
      <w:r w:rsidRPr="00CC61CC">
        <w:rPr>
          <w:b/>
          <w:bCs/>
          <w:szCs w:val="22"/>
        </w:rPr>
        <w:tab/>
      </w:r>
      <w:r w:rsidRPr="00CC61CC">
        <w:rPr>
          <w:b/>
          <w:bCs/>
          <w:szCs w:val="22"/>
        </w:rPr>
        <w:tab/>
      </w:r>
      <w:r w:rsidRPr="00CC61CC">
        <w:rPr>
          <w:b/>
          <w:bCs/>
          <w:szCs w:val="22"/>
        </w:rPr>
        <w:tab/>
        <w:t>SFr. 21,525.20</w:t>
      </w:r>
    </w:p>
    <w:p w:rsidR="00677877" w:rsidRDefault="00677877" w:rsidP="00677877">
      <w:pPr>
        <w:rPr>
          <w:rFonts w:ascii="Arial,Bold" w:hAnsi="Arial,Bold" w:cs="Arial,Bold"/>
          <w:b/>
          <w:bCs/>
          <w:sz w:val="18"/>
          <w:szCs w:val="18"/>
        </w:rPr>
      </w:pPr>
      <w:r w:rsidRPr="005C56AE">
        <w:rPr>
          <w:rFonts w:ascii="Arial,Bold" w:hAnsi="Arial,Bold" w:cs="Arial,Bold"/>
          <w:bCs/>
          <w:sz w:val="18"/>
          <w:szCs w:val="18"/>
        </w:rPr>
        <w:t>___________________________</w:t>
      </w:r>
    </w:p>
    <w:p w:rsidR="00677877" w:rsidRDefault="00677877" w:rsidP="00677877">
      <w:pPr>
        <w:rPr>
          <w:sz w:val="15"/>
          <w:szCs w:val="15"/>
        </w:rPr>
      </w:pPr>
      <w:r w:rsidRPr="00013091">
        <w:rPr>
          <w:sz w:val="18"/>
          <w:szCs w:val="18"/>
        </w:rPr>
        <w:t>*</w:t>
      </w:r>
      <w:r>
        <w:rPr>
          <w:sz w:val="18"/>
          <w:szCs w:val="18"/>
        </w:rPr>
        <w:t xml:space="preserve">) </w:t>
      </w:r>
      <w:r>
        <w:rPr>
          <w:sz w:val="15"/>
          <w:szCs w:val="15"/>
        </w:rPr>
        <w:t>Official United Nations exchange rate in March 2020: 1 US$ = 0.97 Swiss francs</w:t>
      </w:r>
    </w:p>
    <w:p w:rsidR="00677877" w:rsidRDefault="00677877" w:rsidP="00677877">
      <w:pPr>
        <w:rPr>
          <w:rFonts w:ascii="Arial,Bold" w:hAnsi="Arial,Bold" w:cs="Arial,Bold"/>
          <w:b/>
          <w:bCs/>
          <w:sz w:val="15"/>
          <w:szCs w:val="15"/>
        </w:rPr>
      </w:pPr>
      <w:r>
        <w:rPr>
          <w:sz w:val="15"/>
          <w:szCs w:val="15"/>
        </w:rPr>
        <w:t xml:space="preserve">     Post Adjustment multiplier for Geneva in March 2020: </w:t>
      </w:r>
      <w:r>
        <w:rPr>
          <w:rFonts w:ascii="Arial,Bold" w:hAnsi="Arial,Bold" w:cs="Arial,Bold"/>
          <w:b/>
          <w:bCs/>
          <w:sz w:val="15"/>
          <w:szCs w:val="15"/>
        </w:rPr>
        <w:t>78.20</w:t>
      </w:r>
    </w:p>
    <w:p w:rsidR="00677877" w:rsidRPr="00013091" w:rsidRDefault="00677877" w:rsidP="00677877">
      <w:pPr>
        <w:rPr>
          <w:sz w:val="18"/>
          <w:szCs w:val="18"/>
        </w:rPr>
      </w:pPr>
      <w:r>
        <w:rPr>
          <w:sz w:val="18"/>
          <w:szCs w:val="18"/>
        </w:rPr>
        <w:t xml:space="preserve">**) </w:t>
      </w:r>
      <w:r w:rsidRPr="003370F7">
        <w:rPr>
          <w:sz w:val="15"/>
          <w:szCs w:val="15"/>
        </w:rPr>
        <w:t>contribution to the medical insurance of the DG only; dependants not considered</w:t>
      </w:r>
    </w:p>
    <w:p w:rsidR="00677877" w:rsidRPr="00756BA6" w:rsidRDefault="00677877" w:rsidP="00807BE0">
      <w:pPr>
        <w:pStyle w:val="Endofdocument-Annex"/>
        <w:spacing w:before="960"/>
        <w:ind w:left="5530"/>
      </w:pPr>
      <w:r>
        <w:t>[End of Annex II and of document]</w:t>
      </w:r>
    </w:p>
    <w:sectPr w:rsidR="00677877" w:rsidRPr="00756BA6" w:rsidSect="00677877">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877" w:rsidRDefault="00677877">
      <w:r>
        <w:separator/>
      </w:r>
    </w:p>
  </w:endnote>
  <w:endnote w:type="continuationSeparator" w:id="0">
    <w:p w:rsidR="00677877" w:rsidRDefault="00677877" w:rsidP="003B38C1">
      <w:r>
        <w:separator/>
      </w:r>
    </w:p>
    <w:p w:rsidR="00677877" w:rsidRPr="003B38C1" w:rsidRDefault="00677877" w:rsidP="003B38C1">
      <w:pPr>
        <w:spacing w:after="60"/>
        <w:rPr>
          <w:sz w:val="17"/>
        </w:rPr>
      </w:pPr>
      <w:r>
        <w:rPr>
          <w:sz w:val="17"/>
        </w:rPr>
        <w:t>[Endnote continued from previous page]</w:t>
      </w:r>
    </w:p>
  </w:endnote>
  <w:endnote w:type="continuationNotice" w:id="1">
    <w:p w:rsidR="00677877" w:rsidRPr="003B38C1" w:rsidRDefault="006778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877" w:rsidRDefault="00677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877" w:rsidRDefault="00677877">
      <w:r>
        <w:separator/>
      </w:r>
    </w:p>
  </w:footnote>
  <w:footnote w:type="continuationSeparator" w:id="0">
    <w:p w:rsidR="00677877" w:rsidRDefault="00677877" w:rsidP="008B60B2">
      <w:r>
        <w:separator/>
      </w:r>
    </w:p>
    <w:p w:rsidR="00677877" w:rsidRPr="00ED77FB" w:rsidRDefault="00677877" w:rsidP="008B60B2">
      <w:pPr>
        <w:spacing w:after="60"/>
        <w:rPr>
          <w:sz w:val="17"/>
          <w:szCs w:val="17"/>
        </w:rPr>
      </w:pPr>
      <w:r w:rsidRPr="00ED77FB">
        <w:rPr>
          <w:sz w:val="17"/>
          <w:szCs w:val="17"/>
        </w:rPr>
        <w:t>[Footnote continued from previous page]</w:t>
      </w:r>
    </w:p>
  </w:footnote>
  <w:footnote w:type="continuationNotice" w:id="1">
    <w:p w:rsidR="00677877" w:rsidRPr="00ED77FB" w:rsidRDefault="00677877" w:rsidP="008B60B2">
      <w:pPr>
        <w:spacing w:before="60"/>
        <w:jc w:val="right"/>
        <w:rPr>
          <w:sz w:val="17"/>
          <w:szCs w:val="17"/>
        </w:rPr>
      </w:pPr>
      <w:r w:rsidRPr="00ED77FB">
        <w:rPr>
          <w:sz w:val="17"/>
          <w:szCs w:val="17"/>
        </w:rPr>
        <w:t>[Footnote continued on next page]</w:t>
      </w:r>
    </w:p>
  </w:footnote>
  <w:footnote w:id="2">
    <w:p w:rsidR="00677877" w:rsidRDefault="00677877" w:rsidP="00677877"/>
    <w:p w:rsidR="00677877" w:rsidRDefault="00677877" w:rsidP="00677877">
      <w:r>
        <w:t>* The CPI for Geneva is issued by the Office cantonal de la statistique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877" w:rsidRPr="00E32DD0" w:rsidRDefault="00677877">
    <w:pPr>
      <w:pStyle w:val="Header"/>
      <w:jc w:val="right"/>
    </w:pPr>
    <w:r w:rsidRPr="00D479CB">
      <w:rPr>
        <w:b/>
        <w:bCs/>
        <w:szCs w:val="22"/>
        <w:lang w:val="es-ES"/>
      </w:rPr>
      <w:t>WO/GA/52/2 Prov.</w:t>
    </w:r>
  </w:p>
  <w:p w:rsidR="00677877" w:rsidRDefault="00677877">
    <w:pPr>
      <w:pStyle w:val="Header"/>
      <w:jc w:val="right"/>
    </w:pPr>
    <w:r>
      <w:t xml:space="preserve">page </w:t>
    </w:r>
    <w:sdt>
      <w:sdtPr>
        <w:id w:val="-42534703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rsidR="00677877" w:rsidRDefault="00677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877" w:rsidRDefault="00677877">
    <w:pPr>
      <w:pStyle w:val="Header"/>
      <w:jc w:val="right"/>
    </w:pPr>
    <w:r>
      <w:t>WO/GA/52/2</w:t>
    </w:r>
  </w:p>
  <w:p w:rsidR="00677877" w:rsidRDefault="00677877">
    <w:pPr>
      <w:pStyle w:val="Header"/>
      <w:jc w:val="right"/>
      <w:rPr>
        <w:noProof/>
      </w:rPr>
    </w:pPr>
    <w:r>
      <w:t xml:space="preserve">page </w:t>
    </w:r>
    <w:sdt>
      <w:sdtPr>
        <w:id w:val="-8083785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253CA">
          <w:rPr>
            <w:noProof/>
          </w:rPr>
          <w:t>3</w:t>
        </w:r>
        <w:r>
          <w:rPr>
            <w:noProof/>
          </w:rPr>
          <w:fldChar w:fldCharType="end"/>
        </w:r>
      </w:sdtContent>
    </w:sdt>
  </w:p>
  <w:p w:rsidR="00677877" w:rsidRDefault="00677877">
    <w:pPr>
      <w:pStyle w:val="Header"/>
      <w:jc w:val="right"/>
    </w:pPr>
  </w:p>
  <w:p w:rsidR="00677877" w:rsidRDefault="00677877" w:rsidP="006778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877" w:rsidRPr="00E32DD0" w:rsidRDefault="00677877">
    <w:pPr>
      <w:pStyle w:val="Header"/>
      <w:jc w:val="right"/>
    </w:pPr>
    <w:r w:rsidRPr="00D479CB">
      <w:rPr>
        <w:b/>
        <w:bCs/>
        <w:szCs w:val="22"/>
        <w:lang w:val="es-ES"/>
      </w:rPr>
      <w:t>WO/GA/52/2 Prov.</w:t>
    </w:r>
    <w:r w:rsidRPr="00E32DD0">
      <w:t>.</w:t>
    </w:r>
  </w:p>
  <w:p w:rsidR="00677877" w:rsidRDefault="00677877">
    <w:pPr>
      <w:pStyle w:val="Header"/>
      <w:jc w:val="right"/>
    </w:pPr>
    <w:r>
      <w:t xml:space="preserve">Annex I, page </w:t>
    </w:r>
    <w:sdt>
      <w:sdtPr>
        <w:id w:val="16159493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77877" w:rsidRDefault="006778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04060"/>
      <w:docPartObj>
        <w:docPartGallery w:val="Page Numbers (Top of Page)"/>
        <w:docPartUnique/>
      </w:docPartObj>
    </w:sdtPr>
    <w:sdtEndPr>
      <w:rPr>
        <w:noProof/>
      </w:rPr>
    </w:sdtEndPr>
    <w:sdtContent>
      <w:p w:rsidR="00677877" w:rsidRPr="00E32DD0" w:rsidRDefault="00677877" w:rsidP="00197C1F">
        <w:pPr>
          <w:shd w:val="clear" w:color="auto" w:fill="FFFFFF"/>
          <w:jc w:val="right"/>
        </w:pPr>
        <w:r w:rsidRPr="00677877">
          <w:rPr>
            <w:bCs/>
            <w:szCs w:val="22"/>
            <w:lang w:val="es-ES"/>
          </w:rPr>
          <w:t>WO/GA/52/2</w:t>
        </w:r>
      </w:p>
      <w:p w:rsidR="00677877" w:rsidRDefault="00677877" w:rsidP="00197C1F">
        <w:pPr>
          <w:shd w:val="clear" w:color="auto" w:fill="FFFFFF"/>
          <w:jc w:val="right"/>
        </w:pPr>
        <w:r>
          <w:t xml:space="preserve">Annex I, page </w:t>
        </w:r>
        <w:r>
          <w:fldChar w:fldCharType="begin"/>
        </w:r>
        <w:r>
          <w:instrText xml:space="preserve"> PAGE   \* MERGEFORMAT </w:instrText>
        </w:r>
        <w:r>
          <w:fldChar w:fldCharType="separate"/>
        </w:r>
        <w:r w:rsidR="006253CA">
          <w:rPr>
            <w:noProof/>
          </w:rPr>
          <w:t>3</w:t>
        </w:r>
        <w:r>
          <w:rPr>
            <w:noProof/>
          </w:rPr>
          <w:fldChar w:fldCharType="end"/>
        </w:r>
      </w:p>
    </w:sdtContent>
  </w:sdt>
  <w:p w:rsidR="00677877" w:rsidRDefault="00677877" w:rsidP="00677877">
    <w:pPr>
      <w:pStyle w:val="Header"/>
      <w:jc w:val="right"/>
    </w:pPr>
  </w:p>
  <w:p w:rsidR="00677877" w:rsidRDefault="00677877" w:rsidP="0067787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677877" w:rsidP="00477D6B">
    <w:pPr>
      <w:jc w:val="right"/>
    </w:pPr>
    <w:bookmarkStart w:id="6" w:name="Code2"/>
    <w:r>
      <w:t>WO/GA/52/2</w:t>
    </w:r>
  </w:p>
  <w:bookmarkEnd w:id="6"/>
  <w:p w:rsidR="00D07C78" w:rsidRDefault="00D07C78" w:rsidP="00477D6B">
    <w:pPr>
      <w:jc w:val="right"/>
    </w:pPr>
    <w:r>
      <w:t xml:space="preserve">page </w:t>
    </w:r>
    <w:r>
      <w:fldChar w:fldCharType="begin"/>
    </w:r>
    <w:r>
      <w:instrText xml:space="preserve"> PAGE  \* MERGEFORMAT </w:instrText>
    </w:r>
    <w:r>
      <w:fldChar w:fldCharType="separate"/>
    </w:r>
    <w:r w:rsidR="00677877">
      <w:rPr>
        <w:noProof/>
      </w:rPr>
      <w:t>5</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77"/>
    <w:rsid w:val="00004205"/>
    <w:rsid w:val="00014CD5"/>
    <w:rsid w:val="00043CAA"/>
    <w:rsid w:val="00051D41"/>
    <w:rsid w:val="00056816"/>
    <w:rsid w:val="00075432"/>
    <w:rsid w:val="000968ED"/>
    <w:rsid w:val="000A3D97"/>
    <w:rsid w:val="000A7A2D"/>
    <w:rsid w:val="000F5E56"/>
    <w:rsid w:val="001362EE"/>
    <w:rsid w:val="001647D5"/>
    <w:rsid w:val="0017695D"/>
    <w:rsid w:val="001832A6"/>
    <w:rsid w:val="00186C94"/>
    <w:rsid w:val="001916D1"/>
    <w:rsid w:val="001D4107"/>
    <w:rsid w:val="00203D24"/>
    <w:rsid w:val="0021217E"/>
    <w:rsid w:val="00217391"/>
    <w:rsid w:val="002415DC"/>
    <w:rsid w:val="00243430"/>
    <w:rsid w:val="002634C4"/>
    <w:rsid w:val="002928D3"/>
    <w:rsid w:val="0029677F"/>
    <w:rsid w:val="002F1FE6"/>
    <w:rsid w:val="002F4E68"/>
    <w:rsid w:val="00312F7F"/>
    <w:rsid w:val="00361450"/>
    <w:rsid w:val="003673CF"/>
    <w:rsid w:val="003845C1"/>
    <w:rsid w:val="003A6F89"/>
    <w:rsid w:val="003B38C1"/>
    <w:rsid w:val="003C34E9"/>
    <w:rsid w:val="00423E3E"/>
    <w:rsid w:val="00427AF4"/>
    <w:rsid w:val="00435204"/>
    <w:rsid w:val="004647DA"/>
    <w:rsid w:val="00474062"/>
    <w:rsid w:val="00477D6B"/>
    <w:rsid w:val="005019FF"/>
    <w:rsid w:val="0053057A"/>
    <w:rsid w:val="00531A5E"/>
    <w:rsid w:val="005361A2"/>
    <w:rsid w:val="00556076"/>
    <w:rsid w:val="00560A29"/>
    <w:rsid w:val="005A291B"/>
    <w:rsid w:val="005C6649"/>
    <w:rsid w:val="005D13DE"/>
    <w:rsid w:val="005E27B1"/>
    <w:rsid w:val="00605827"/>
    <w:rsid w:val="006253CA"/>
    <w:rsid w:val="00646050"/>
    <w:rsid w:val="006713CA"/>
    <w:rsid w:val="00676C5C"/>
    <w:rsid w:val="00677877"/>
    <w:rsid w:val="006961B9"/>
    <w:rsid w:val="00720EFD"/>
    <w:rsid w:val="00793A7C"/>
    <w:rsid w:val="007A398A"/>
    <w:rsid w:val="007D1613"/>
    <w:rsid w:val="007E4C0E"/>
    <w:rsid w:val="00805BD5"/>
    <w:rsid w:val="00807BE0"/>
    <w:rsid w:val="0088720B"/>
    <w:rsid w:val="008936EE"/>
    <w:rsid w:val="008A134B"/>
    <w:rsid w:val="008B2CC1"/>
    <w:rsid w:val="008B60B2"/>
    <w:rsid w:val="008B7E64"/>
    <w:rsid w:val="0090731E"/>
    <w:rsid w:val="00916EE2"/>
    <w:rsid w:val="00966A22"/>
    <w:rsid w:val="0096722F"/>
    <w:rsid w:val="00980843"/>
    <w:rsid w:val="009B2078"/>
    <w:rsid w:val="009B35A7"/>
    <w:rsid w:val="009E2791"/>
    <w:rsid w:val="009E3F6F"/>
    <w:rsid w:val="009F499F"/>
    <w:rsid w:val="00A37342"/>
    <w:rsid w:val="00A42DAF"/>
    <w:rsid w:val="00A45BD8"/>
    <w:rsid w:val="00A674C6"/>
    <w:rsid w:val="00A77022"/>
    <w:rsid w:val="00A869B7"/>
    <w:rsid w:val="00AC205C"/>
    <w:rsid w:val="00AF0A6B"/>
    <w:rsid w:val="00B05A69"/>
    <w:rsid w:val="00B41B67"/>
    <w:rsid w:val="00B75281"/>
    <w:rsid w:val="00B92F1F"/>
    <w:rsid w:val="00B9734B"/>
    <w:rsid w:val="00BA30E2"/>
    <w:rsid w:val="00C11BFE"/>
    <w:rsid w:val="00C274D7"/>
    <w:rsid w:val="00C5068F"/>
    <w:rsid w:val="00C86D74"/>
    <w:rsid w:val="00CB3542"/>
    <w:rsid w:val="00CD04F1"/>
    <w:rsid w:val="00CF681A"/>
    <w:rsid w:val="00CF6B9A"/>
    <w:rsid w:val="00D07C78"/>
    <w:rsid w:val="00D45252"/>
    <w:rsid w:val="00D71B4D"/>
    <w:rsid w:val="00D93D55"/>
    <w:rsid w:val="00DD7B7F"/>
    <w:rsid w:val="00DF7FBA"/>
    <w:rsid w:val="00E15015"/>
    <w:rsid w:val="00E308DD"/>
    <w:rsid w:val="00E335FE"/>
    <w:rsid w:val="00EA7D6E"/>
    <w:rsid w:val="00EB2F76"/>
    <w:rsid w:val="00EC4E49"/>
    <w:rsid w:val="00ED77FB"/>
    <w:rsid w:val="00EE45FA"/>
    <w:rsid w:val="00F043DE"/>
    <w:rsid w:val="00F66152"/>
    <w:rsid w:val="00F9165B"/>
    <w:rsid w:val="00FA53D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5E4D2AC2-B004-4316-87A5-C3812A2F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styleId="FootnoteReference">
    <w:name w:val="footnote reference"/>
    <w:semiHidden/>
    <w:rsid w:val="00677877"/>
    <w:rPr>
      <w:vertAlign w:val="superscript"/>
    </w:rPr>
  </w:style>
  <w:style w:type="character" w:customStyle="1" w:styleId="HeaderChar">
    <w:name w:val="Header Char"/>
    <w:basedOn w:val="DefaultParagraphFont"/>
    <w:link w:val="Header"/>
    <w:uiPriority w:val="99"/>
    <w:rsid w:val="0067787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494AF-77FD-41E6-B82E-BB5412512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52 (E)</Template>
  <TotalTime>4</TotalTime>
  <Pages>7</Pages>
  <Words>2093</Words>
  <Characters>10954</Characters>
  <Application>Microsoft Office Word</Application>
  <DocSecurity>0</DocSecurity>
  <Lines>202</Lines>
  <Paragraphs>81</Paragraphs>
  <ScaleCrop>false</ScaleCrop>
  <HeadingPairs>
    <vt:vector size="2" baseType="variant">
      <vt:variant>
        <vt:lpstr>Title</vt:lpstr>
      </vt:variant>
      <vt:variant>
        <vt:i4>1</vt:i4>
      </vt:variant>
    </vt:vector>
  </HeadingPairs>
  <TitlesOfParts>
    <vt:vector size="1" baseType="lpstr">
      <vt:lpstr>WO/GA/52/</vt:lpstr>
    </vt:vector>
  </TitlesOfParts>
  <Company>WIPO</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WO/GA/52/</dc:title>
  <dc:creator>HAPPY-DUMAS Juliet</dc:creator>
  <cp:keywords>PUBLIC</cp:keywords>
  <cp:lastModifiedBy>HÄFLIGER Patience</cp:lastModifiedBy>
  <cp:revision>7</cp:revision>
  <cp:lastPrinted>2020-05-04T10:22:00Z</cp:lastPrinted>
  <dcterms:created xsi:type="dcterms:W3CDTF">2020-05-08T14:03:00Z</dcterms:created>
  <dcterms:modified xsi:type="dcterms:W3CDTF">2020-05-08T14:32:00Z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7313f1b5-f76a-4f40-8fda-aa58c8ec4052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