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F5F" w:rsidRPr="00123893" w:rsidRDefault="006E4F5F" w:rsidP="006E4F5F">
      <w:pPr>
        <w:widowControl w:val="0"/>
        <w:jc w:val="right"/>
        <w:rPr>
          <w:b/>
          <w:sz w:val="2"/>
          <w:szCs w:val="40"/>
        </w:rPr>
      </w:pPr>
      <w:bookmarkStart w:id="0" w:name="_GoBack"/>
      <w:bookmarkEnd w:id="0"/>
      <w:r w:rsidRPr="00605827">
        <w:rPr>
          <w:b/>
          <w:sz w:val="40"/>
          <w:szCs w:val="40"/>
        </w:rPr>
        <w:t>E</w:t>
      </w:r>
    </w:p>
    <w:p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57861B99" wp14:editId="4EDDAE2C">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6E4F5F" w:rsidRDefault="00F96D69" w:rsidP="00AA2DD4">
      <w:pPr>
        <w:pBdr>
          <w:top w:val="single" w:sz="4" w:space="10" w:color="auto"/>
        </w:pBdr>
        <w:spacing w:before="120"/>
        <w:jc w:val="right"/>
        <w:rPr>
          <w:rFonts w:ascii="Arial Black" w:hAnsi="Arial Black"/>
          <w:b/>
          <w:caps/>
          <w:sz w:val="15"/>
        </w:rPr>
      </w:pPr>
      <w:r>
        <w:rPr>
          <w:rFonts w:ascii="Arial Black" w:hAnsi="Arial Black"/>
          <w:b/>
          <w:caps/>
          <w:sz w:val="15"/>
        </w:rPr>
        <w:t>WO/GA/50</w:t>
      </w:r>
      <w:r w:rsidR="006E4F5F" w:rsidRPr="006E4F5F">
        <w:rPr>
          <w:rFonts w:ascii="Arial Black" w:hAnsi="Arial Black"/>
          <w:b/>
          <w:caps/>
          <w:sz w:val="15"/>
        </w:rPr>
        <w:t>/</w:t>
      </w:r>
      <w:bookmarkStart w:id="1" w:name="Code"/>
      <w:bookmarkEnd w:id="1"/>
      <w:r w:rsidR="00667185">
        <w:rPr>
          <w:rFonts w:ascii="Arial Black" w:hAnsi="Arial Black"/>
          <w:b/>
          <w:caps/>
          <w:sz w:val="15"/>
        </w:rPr>
        <w:t>10</w:t>
      </w:r>
    </w:p>
    <w:p w:rsidR="006E4F5F" w:rsidRPr="006E4F5F" w:rsidRDefault="006E4F5F" w:rsidP="006E4F5F">
      <w:pPr>
        <w:jc w:val="right"/>
        <w:rPr>
          <w:rFonts w:ascii="Arial Black" w:hAnsi="Arial Black"/>
          <w:b/>
          <w:caps/>
          <w:sz w:val="15"/>
        </w:rPr>
      </w:pPr>
      <w:r w:rsidRPr="006E4F5F">
        <w:rPr>
          <w:rFonts w:ascii="Arial Black" w:hAnsi="Arial Black"/>
          <w:b/>
          <w:caps/>
          <w:sz w:val="15"/>
        </w:rPr>
        <w:t>ORIGINAL:</w:t>
      </w:r>
      <w:bookmarkStart w:id="2" w:name="Original"/>
      <w:bookmarkEnd w:id="2"/>
      <w:r w:rsidR="00F83CEE">
        <w:rPr>
          <w:rFonts w:ascii="Arial Black" w:hAnsi="Arial Black"/>
          <w:b/>
          <w:caps/>
          <w:sz w:val="15"/>
        </w:rPr>
        <w:t xml:space="preserve"> </w:t>
      </w:r>
      <w:r w:rsidR="00667185">
        <w:rPr>
          <w:rFonts w:ascii="Arial Black" w:hAnsi="Arial Black"/>
          <w:b/>
          <w:caps/>
          <w:sz w:val="15"/>
        </w:rPr>
        <w:t>English</w:t>
      </w:r>
      <w:r w:rsidRPr="006E4F5F">
        <w:rPr>
          <w:rFonts w:ascii="Arial Black" w:hAnsi="Arial Black"/>
          <w:b/>
          <w:caps/>
          <w:sz w:val="15"/>
        </w:rPr>
        <w:t xml:space="preserve"> </w:t>
      </w:r>
    </w:p>
    <w:p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DATE:</w:t>
      </w:r>
      <w:bookmarkStart w:id="3" w:name="Date"/>
      <w:bookmarkEnd w:id="3"/>
      <w:r w:rsidR="00F83CEE">
        <w:rPr>
          <w:rFonts w:ascii="Arial Black" w:hAnsi="Arial Black"/>
          <w:b/>
          <w:caps/>
          <w:sz w:val="15"/>
        </w:rPr>
        <w:t xml:space="preserve"> </w:t>
      </w:r>
      <w:r w:rsidR="00667185">
        <w:rPr>
          <w:rFonts w:ascii="Arial Black" w:hAnsi="Arial Black"/>
          <w:b/>
          <w:caps/>
          <w:sz w:val="15"/>
        </w:rPr>
        <w:t>July 23, 2018</w:t>
      </w:r>
    </w:p>
    <w:p w:rsidR="00F96D69" w:rsidRPr="00243B12" w:rsidRDefault="00F96D69" w:rsidP="00034839">
      <w:pPr>
        <w:pStyle w:val="Heading1"/>
        <w:rPr>
          <w:rStyle w:val="BookTitle"/>
          <w:b/>
        </w:rPr>
      </w:pPr>
      <w:r w:rsidRPr="00243B12">
        <w:rPr>
          <w:rStyle w:val="BookTitle"/>
          <w:b/>
        </w:rPr>
        <w:t>WIPO General Assembly</w:t>
      </w:r>
    </w:p>
    <w:p w:rsidR="008B2CC1" w:rsidRPr="009C127D" w:rsidRDefault="00F96D69" w:rsidP="00D61DBA">
      <w:pPr>
        <w:spacing w:after="480"/>
        <w:rPr>
          <w:b/>
          <w:sz w:val="24"/>
        </w:rPr>
      </w:pPr>
      <w:r w:rsidRPr="00F96D69">
        <w:rPr>
          <w:b/>
          <w:sz w:val="24"/>
        </w:rPr>
        <w:t>Fiftieth (27</w:t>
      </w:r>
      <w:r w:rsidRPr="00F96D69">
        <w:rPr>
          <w:b/>
          <w:sz w:val="24"/>
          <w:vertAlign w:val="superscript"/>
        </w:rPr>
        <w:t>th</w:t>
      </w:r>
      <w:r w:rsidRPr="00F96D69">
        <w:rPr>
          <w:b/>
          <w:sz w:val="24"/>
        </w:rPr>
        <w:t xml:space="preserve"> Extraordinary) Session</w:t>
      </w:r>
      <w:r w:rsidR="003D57B0" w:rsidRPr="009C127D">
        <w:rPr>
          <w:b/>
          <w:sz w:val="24"/>
        </w:rPr>
        <w:br/>
      </w:r>
      <w:r w:rsidR="00DF023A" w:rsidRPr="009C127D">
        <w:rPr>
          <w:b/>
          <w:sz w:val="24"/>
        </w:rPr>
        <w:t xml:space="preserve">Geneva, </w:t>
      </w:r>
      <w:r w:rsidR="00D61DBA" w:rsidRPr="009C127D">
        <w:rPr>
          <w:b/>
          <w:sz w:val="24"/>
        </w:rPr>
        <w:t>September</w:t>
      </w:r>
      <w:r w:rsidR="00DF023A" w:rsidRPr="009C127D">
        <w:rPr>
          <w:b/>
          <w:sz w:val="24"/>
        </w:rPr>
        <w:t xml:space="preserve"> 24 to October 2, 2018</w:t>
      </w:r>
    </w:p>
    <w:p w:rsidR="008B2CC1" w:rsidRPr="009C127D" w:rsidRDefault="00667185" w:rsidP="00D61DBA">
      <w:pPr>
        <w:spacing w:after="600"/>
        <w:rPr>
          <w:caps/>
          <w:sz w:val="24"/>
        </w:rPr>
      </w:pPr>
      <w:bookmarkStart w:id="4" w:name="TitleOfDoc"/>
      <w:bookmarkEnd w:id="4"/>
      <w:r>
        <w:rPr>
          <w:caps/>
          <w:sz w:val="24"/>
        </w:rPr>
        <w:t>WIPO ARBITRATION AND MEDIATION CENTER, INCLUDING DOMAIN NAMES</w:t>
      </w:r>
    </w:p>
    <w:p w:rsidR="008B2CC1" w:rsidRDefault="00667185" w:rsidP="00D61DBA">
      <w:pPr>
        <w:spacing w:after="860"/>
        <w:rPr>
          <w:i/>
        </w:rPr>
      </w:pPr>
      <w:bookmarkStart w:id="5" w:name="Prepared"/>
      <w:bookmarkEnd w:id="5"/>
      <w:r>
        <w:rPr>
          <w:i/>
        </w:rPr>
        <w:t>Document prepared by the Secretariat</w:t>
      </w:r>
    </w:p>
    <w:p w:rsidR="00BF59A8" w:rsidRPr="005E2771" w:rsidRDefault="00BF59A8" w:rsidP="00B339DE">
      <w:pPr>
        <w:pStyle w:val="ListParagraph"/>
        <w:numPr>
          <w:ilvl w:val="0"/>
          <w:numId w:val="7"/>
        </w:numPr>
        <w:spacing w:after="240"/>
        <w:ind w:left="0" w:firstLine="0"/>
        <w:contextualSpacing w:val="0"/>
        <w:rPr>
          <w:snapToGrid w:val="0"/>
          <w:szCs w:val="22"/>
        </w:rPr>
      </w:pPr>
      <w:r w:rsidRPr="005E2771">
        <w:rPr>
          <w:rStyle w:val="ONUMEChar"/>
          <w:szCs w:val="22"/>
        </w:rPr>
        <w:t xml:space="preserve">This document provides an update on the WIPO Arbitration and Mediation Center’s (“Center”) activities as an international resource </w:t>
      </w:r>
      <w:r w:rsidRPr="005E2771">
        <w:rPr>
          <w:snapToGrid w:val="0"/>
          <w:szCs w:val="22"/>
        </w:rPr>
        <w:t>for time- and cost-efficient alternatives to court litigation of intellectual property (IP) disputes, acting as an administrator of cases as well as a provider of legal and organizational expertise in alternative dispute resolution (ADR).</w:t>
      </w:r>
    </w:p>
    <w:p w:rsidR="00BF59A8" w:rsidRPr="00C51805" w:rsidRDefault="00BF59A8" w:rsidP="00B339DE">
      <w:pPr>
        <w:pStyle w:val="ListParagraph"/>
        <w:numPr>
          <w:ilvl w:val="0"/>
          <w:numId w:val="7"/>
        </w:numPr>
        <w:spacing w:after="240"/>
        <w:ind w:left="0" w:firstLine="0"/>
        <w:contextualSpacing w:val="0"/>
        <w:rPr>
          <w:rStyle w:val="ONUMEChar"/>
        </w:rPr>
      </w:pPr>
      <w:r w:rsidRPr="005E2771">
        <w:rPr>
          <w:rStyle w:val="ONUMEChar"/>
          <w:szCs w:val="22"/>
        </w:rPr>
        <w:t xml:space="preserve">This document </w:t>
      </w:r>
      <w:r w:rsidRPr="00C51805">
        <w:rPr>
          <w:rStyle w:val="ONUMEChar"/>
          <w:szCs w:val="22"/>
        </w:rPr>
        <w:t>also provides an update on the domain name</w:t>
      </w:r>
      <w:r w:rsidRPr="00C51805">
        <w:rPr>
          <w:rStyle w:val="ONUMEChar"/>
          <w:szCs w:val="22"/>
        </w:rPr>
        <w:noBreakHyphen/>
        <w:t>related activities of WIPO, as pr</w:t>
      </w:r>
      <w:r>
        <w:rPr>
          <w:rStyle w:val="ONUMEChar"/>
          <w:szCs w:val="22"/>
        </w:rPr>
        <w:t xml:space="preserve">eviously reported </w:t>
      </w:r>
      <w:r w:rsidR="00A86DB6" w:rsidRPr="0064385B">
        <w:rPr>
          <w:rStyle w:val="ONUMEChar"/>
          <w:szCs w:val="22"/>
        </w:rPr>
        <w:t xml:space="preserve">in </w:t>
      </w:r>
      <w:r w:rsidR="00A86DB6" w:rsidRPr="00281985">
        <w:rPr>
          <w:rFonts w:eastAsia="SimSun" w:cs="Arial"/>
          <w:szCs w:val="22"/>
          <w:lang w:eastAsia="zh-CN"/>
        </w:rPr>
        <w:t>WO/GA/49/14</w:t>
      </w:r>
      <w:r w:rsidRPr="0064385B">
        <w:rPr>
          <w:rStyle w:val="ONUMEChar"/>
          <w:szCs w:val="22"/>
        </w:rPr>
        <w:t>.</w:t>
      </w:r>
      <w:r w:rsidRPr="0064385B">
        <w:rPr>
          <w:rStyle w:val="ONUMEChar"/>
          <w:szCs w:val="22"/>
          <w:vertAlign w:val="superscript"/>
        </w:rPr>
        <w:footnoteReference w:id="2"/>
      </w:r>
      <w:r w:rsidR="00F83CEE">
        <w:rPr>
          <w:rStyle w:val="ONUMEChar"/>
          <w:szCs w:val="22"/>
        </w:rPr>
        <w:t xml:space="preserve"> </w:t>
      </w:r>
      <w:r w:rsidRPr="001F45ED">
        <w:rPr>
          <w:rStyle w:val="ONUMEChar"/>
          <w:szCs w:val="22"/>
        </w:rPr>
        <w:t>It</w:t>
      </w:r>
      <w:r w:rsidRPr="00C51805">
        <w:rPr>
          <w:rStyle w:val="ONUMEChar"/>
          <w:szCs w:val="22"/>
        </w:rPr>
        <w:t xml:space="preserve"> covers the Center’s administration of domain name disputes</w:t>
      </w:r>
      <w:r w:rsidRPr="00C51805">
        <w:rPr>
          <w:rStyle w:val="ONUMEChar"/>
        </w:rPr>
        <w:t xml:space="preserve"> under different policies and various related aspects of the Internet Domain Name System (DNS), as well as selected policy developments, including rights protection mechanisms (RPMs) for the introduction of new generic top</w:t>
      </w:r>
      <w:r w:rsidRPr="00C51805">
        <w:rPr>
          <w:rStyle w:val="ONUMEChar"/>
        </w:rPr>
        <w:noBreakHyphen/>
        <w:t>level domains (</w:t>
      </w:r>
      <w:proofErr w:type="spellStart"/>
      <w:r w:rsidRPr="00C51805">
        <w:rPr>
          <w:rStyle w:val="ONUMEChar"/>
        </w:rPr>
        <w:t>gTLDs</w:t>
      </w:r>
      <w:proofErr w:type="spellEnd"/>
      <w:r w:rsidRPr="00C51805">
        <w:rPr>
          <w:rStyle w:val="ONUMEChar"/>
        </w:rPr>
        <w:t xml:space="preserve">), the </w:t>
      </w:r>
      <w:r w:rsidR="00D66EE3">
        <w:rPr>
          <w:rStyle w:val="ONUMEChar"/>
        </w:rPr>
        <w:t xml:space="preserve">review </w:t>
      </w:r>
      <w:r w:rsidRPr="00C51805">
        <w:rPr>
          <w:rStyle w:val="ONUMEChar"/>
        </w:rPr>
        <w:t xml:space="preserve">by </w:t>
      </w:r>
      <w:r w:rsidRPr="00C51805">
        <w:rPr>
          <w:szCs w:val="24"/>
        </w:rPr>
        <w:t xml:space="preserve">the Internet Corporation for Assigned Names and Numbers (ICANN) </w:t>
      </w:r>
      <w:r w:rsidRPr="00C51805">
        <w:rPr>
          <w:rStyle w:val="ONUMEChar"/>
        </w:rPr>
        <w:t xml:space="preserve">of the </w:t>
      </w:r>
      <w:r w:rsidRPr="00C51805">
        <w:rPr>
          <w:szCs w:val="24"/>
        </w:rPr>
        <w:t>Uniform Domain Name Dispute Resolution Policy (UDRP)</w:t>
      </w:r>
      <w:r>
        <w:rPr>
          <w:szCs w:val="24"/>
        </w:rPr>
        <w:t xml:space="preserve"> and other RPMs</w:t>
      </w:r>
      <w:r w:rsidRPr="00C51805">
        <w:rPr>
          <w:szCs w:val="24"/>
        </w:rPr>
        <w:t xml:space="preserve">, </w:t>
      </w:r>
      <w:r w:rsidRPr="00C51805">
        <w:rPr>
          <w:rStyle w:val="ONUMEChar"/>
        </w:rPr>
        <w:t>and the status of the recommendations made by the Member States of WIPO in the context of the Second WIPO Internet Domain Name Process.</w:t>
      </w:r>
    </w:p>
    <w:p w:rsidR="00BF59A8" w:rsidRPr="00B44019" w:rsidRDefault="00BF59A8" w:rsidP="008E0A66">
      <w:pPr>
        <w:pStyle w:val="Heading1"/>
        <w:spacing w:after="240"/>
      </w:pPr>
      <w:r w:rsidRPr="00B44019">
        <w:t>I.</w:t>
      </w:r>
      <w:r w:rsidRPr="00B44019">
        <w:tab/>
        <w:t>ARBITRATION AND MEDIATION OF IP DISPUTES</w:t>
      </w:r>
    </w:p>
    <w:p w:rsidR="00BF59A8" w:rsidRPr="00C51805" w:rsidRDefault="00BF59A8" w:rsidP="00C50BC4">
      <w:pPr>
        <w:pStyle w:val="Heading2"/>
      </w:pPr>
      <w:r w:rsidRPr="00C51805">
        <w:t>A.</w:t>
      </w:r>
      <w:r w:rsidRPr="00C51805">
        <w:tab/>
        <w:t>ARBITRATION AND MEDIATION CASE ADMINISTRATION</w:t>
      </w:r>
    </w:p>
    <w:p w:rsidR="00BF59A8" w:rsidRPr="00E012D1" w:rsidRDefault="00BF59A8" w:rsidP="00B339DE">
      <w:pPr>
        <w:pStyle w:val="ListParagraph"/>
        <w:numPr>
          <w:ilvl w:val="0"/>
          <w:numId w:val="7"/>
        </w:numPr>
        <w:spacing w:after="240"/>
        <w:ind w:left="0" w:firstLine="0"/>
        <w:contextualSpacing w:val="0"/>
        <w:rPr>
          <w:szCs w:val="22"/>
        </w:rPr>
      </w:pPr>
      <w:r w:rsidRPr="00C51805">
        <w:t xml:space="preserve">The mediation and arbitration procedures offered by the Center aim to </w:t>
      </w:r>
      <w:r>
        <w:t>meet parties’</w:t>
      </w:r>
      <w:r w:rsidRPr="00C51805">
        <w:t xml:space="preserve"> need</w:t>
      </w:r>
      <w:r>
        <w:t>s</w:t>
      </w:r>
      <w:r w:rsidRPr="00C51805">
        <w:t xml:space="preserve"> </w:t>
      </w:r>
      <w:r>
        <w:t>for</w:t>
      </w:r>
      <w:r w:rsidRPr="00C51805">
        <w:t xml:space="preserve"> time- and cost</w:t>
      </w:r>
      <w:r w:rsidRPr="00C51805">
        <w:noBreakHyphen/>
        <w:t>effectiveness in the resolution of disputes in relation to IP rights.</w:t>
      </w:r>
      <w:r w:rsidR="00F83CEE">
        <w:t xml:space="preserve"> </w:t>
      </w:r>
      <w:r w:rsidRPr="00C51805">
        <w:t xml:space="preserve">The </w:t>
      </w:r>
      <w:r w:rsidRPr="00C51805">
        <w:lastRenderedPageBreak/>
        <w:t>Center is engaged in the management and resolution of cases conducted under those</w:t>
      </w:r>
      <w:r w:rsidRPr="00981F37">
        <w:t xml:space="preserve"> procedures, which entails training</w:t>
      </w:r>
      <w:r>
        <w:t>,</w:t>
      </w:r>
      <w:r>
        <w:rPr>
          <w:rStyle w:val="FootnoteReference"/>
          <w:rFonts w:eastAsia="SimSun"/>
        </w:rPr>
        <w:footnoteReference w:id="3"/>
      </w:r>
      <w:r>
        <w:t xml:space="preserve"> </w:t>
      </w:r>
      <w:r w:rsidRPr="00981F37">
        <w:t>appointing</w:t>
      </w:r>
      <w:r>
        <w:t>,</w:t>
      </w:r>
      <w:r w:rsidRPr="00981F37">
        <w:t xml:space="preserve"> </w:t>
      </w:r>
      <w:r>
        <w:t xml:space="preserve">and supporting </w:t>
      </w:r>
      <w:r w:rsidRPr="00981F37">
        <w:t xml:space="preserve">qualified arbitrators and mediators, </w:t>
      </w:r>
      <w:r>
        <w:t>and maintaining up</w:t>
      </w:r>
      <w:r>
        <w:noBreakHyphen/>
        <w:t>to</w:t>
      </w:r>
      <w:r>
        <w:noBreakHyphen/>
      </w:r>
      <w:r w:rsidRPr="00981F37">
        <w:t xml:space="preserve">date case administration infrastructure, including through the use of information technology such as the </w:t>
      </w:r>
      <w:r w:rsidR="00EE254D">
        <w:t xml:space="preserve">newly enhanced </w:t>
      </w:r>
      <w:r w:rsidRPr="00981F37">
        <w:t xml:space="preserve">WIPO </w:t>
      </w:r>
      <w:r>
        <w:t>Electronic Case Facility (ECAF).</w:t>
      </w:r>
      <w:r>
        <w:rPr>
          <w:rStyle w:val="FootnoteReference"/>
          <w:rFonts w:eastAsia="SimSun"/>
        </w:rPr>
        <w:footnoteReference w:id="4"/>
      </w:r>
      <w:r w:rsidR="00F83CEE">
        <w:t xml:space="preserve"> </w:t>
      </w:r>
      <w:r>
        <w:t>WIPO cases</w:t>
      </w:r>
      <w:r w:rsidR="007F1FA1">
        <w:t xml:space="preserve"> since the last Assemblies</w:t>
      </w:r>
      <w:r>
        <w:t xml:space="preserve"> </w:t>
      </w:r>
      <w:r w:rsidRPr="00981F37">
        <w:t>included those related to patent</w:t>
      </w:r>
      <w:r>
        <w:t>s</w:t>
      </w:r>
      <w:r w:rsidRPr="00981F37">
        <w:t>, trademark</w:t>
      </w:r>
      <w:r>
        <w:t>s</w:t>
      </w:r>
      <w:r w:rsidR="00DC159E">
        <w:t xml:space="preserve"> (including trademark coexistence agreements and pending </w:t>
      </w:r>
      <w:r w:rsidR="004162A0">
        <w:t>trademark oppositions)</w:t>
      </w:r>
      <w:r w:rsidRPr="00981F37">
        <w:t>,</w:t>
      </w:r>
      <w:r>
        <w:t xml:space="preserve"> copyright (including collecting societies</w:t>
      </w:r>
      <w:r w:rsidR="008A196F">
        <w:t xml:space="preserve">, and </w:t>
      </w:r>
      <w:r w:rsidR="00DC159E">
        <w:t xml:space="preserve">distribution of </w:t>
      </w:r>
      <w:r w:rsidR="008A196F">
        <w:t>digital music</w:t>
      </w:r>
      <w:r>
        <w:t>),</w:t>
      </w:r>
      <w:r w:rsidRPr="00981F37">
        <w:t xml:space="preserve"> </w:t>
      </w:r>
      <w:r w:rsidR="00E47505">
        <w:t>information and c</w:t>
      </w:r>
      <w:r w:rsidR="004C2277">
        <w:t>ommun</w:t>
      </w:r>
      <w:r w:rsidR="00E47505">
        <w:t>ications t</w:t>
      </w:r>
      <w:r w:rsidR="004C2277">
        <w:t>echnology (I</w:t>
      </w:r>
      <w:r>
        <w:t>CT</w:t>
      </w:r>
      <w:r w:rsidR="004C2277">
        <w:t>)</w:t>
      </w:r>
      <w:r>
        <w:t>, research and development (R&amp;D), life sciences, film and media</w:t>
      </w:r>
      <w:r w:rsidR="004162A0">
        <w:t xml:space="preserve">, </w:t>
      </w:r>
      <w:r>
        <w:t>and franchising</w:t>
      </w:r>
      <w:r w:rsidRPr="00981F37">
        <w:t xml:space="preserve">, and were </w:t>
      </w:r>
      <w:r>
        <w:t xml:space="preserve">filed with the </w:t>
      </w:r>
      <w:r w:rsidRPr="00981F37">
        <w:t>Center by parties on the bas</w:t>
      </w:r>
      <w:r>
        <w:t xml:space="preserve">is of prior contract clauses, </w:t>
      </w:r>
      <w:r w:rsidRPr="00981F37">
        <w:t>submission agreements</w:t>
      </w:r>
      <w:r>
        <w:t xml:space="preserve"> (including court referrals), and also by unilateral request under Article 4 of the WIPO Mediation Rules.</w:t>
      </w:r>
      <w:r w:rsidR="00F83CEE">
        <w:t xml:space="preserve"> </w:t>
      </w:r>
      <w:r>
        <w:t>More than half of the parties to such cases are users of WIPO’s PCT and Madrid services</w:t>
      </w:r>
      <w:r w:rsidRPr="003D608C">
        <w:t>.</w:t>
      </w:r>
      <w:r w:rsidR="00F83CEE">
        <w:t xml:space="preserve"> </w:t>
      </w:r>
      <w:r>
        <w:t>Some 70 per cent of WIPO mediations result in settlement, and at a settlement rate of 40 per cent, even referral to WIPO arbitration can stimulate agreement between the parties.</w:t>
      </w:r>
      <w:r w:rsidR="00F83CEE">
        <w:rPr>
          <w:szCs w:val="22"/>
        </w:rPr>
        <w:t xml:space="preserve"> </w:t>
      </w:r>
    </w:p>
    <w:p w:rsidR="00690D13" w:rsidRPr="00690D13" w:rsidRDefault="00690D13" w:rsidP="00B339DE">
      <w:pPr>
        <w:pStyle w:val="ListParagraph"/>
        <w:widowControl w:val="0"/>
        <w:numPr>
          <w:ilvl w:val="0"/>
          <w:numId w:val="7"/>
        </w:numPr>
        <w:spacing w:after="240"/>
        <w:ind w:left="0" w:firstLine="0"/>
        <w:contextualSpacing w:val="0"/>
        <w:rPr>
          <w:szCs w:val="22"/>
        </w:rPr>
      </w:pPr>
      <w:r>
        <w:t>The Center continued to undertake initiatives to further facilitate access for potential users to WIPO ADR.</w:t>
      </w:r>
      <w:r w:rsidR="00F83CEE">
        <w:t xml:space="preserve"> </w:t>
      </w:r>
      <w:r>
        <w:t>These include an updated Guide to WIPO Mediation</w:t>
      </w:r>
      <w:r w:rsidR="0082403B">
        <w:rPr>
          <w:rStyle w:val="FootnoteReference"/>
        </w:rPr>
        <w:footnoteReference w:id="5"/>
      </w:r>
      <w:r>
        <w:t xml:space="preserve"> that reflects recent developments in the WIPO Mediation Rules and </w:t>
      </w:r>
      <w:r w:rsidR="004C2277">
        <w:t>in Center practice</w:t>
      </w:r>
      <w:r>
        <w:t xml:space="preserve"> </w:t>
      </w:r>
      <w:r w:rsidR="00C8290A">
        <w:t xml:space="preserve">and offers additional </w:t>
      </w:r>
      <w:r>
        <w:t>guidance to parties</w:t>
      </w:r>
      <w:r w:rsidR="004C2277">
        <w:t>.</w:t>
      </w:r>
      <w:r w:rsidR="00F83CEE">
        <w:t xml:space="preserve"> </w:t>
      </w:r>
      <w:r w:rsidR="004C2277">
        <w:t xml:space="preserve">The Center’s online clause generator </w:t>
      </w:r>
      <w:r>
        <w:t>allows parties to build core clauses and submission agreements, with the possibility of selecting additional considerations to suit particular needs.</w:t>
      </w:r>
      <w:r>
        <w:rPr>
          <w:rStyle w:val="FootnoteReference"/>
        </w:rPr>
        <w:footnoteReference w:id="6"/>
      </w:r>
      <w:r w:rsidR="00F83CEE">
        <w:t xml:space="preserve"> </w:t>
      </w:r>
    </w:p>
    <w:p w:rsidR="00BF59A8" w:rsidRPr="000322A2" w:rsidRDefault="00BF59A8" w:rsidP="00C50BC4">
      <w:pPr>
        <w:pStyle w:val="Heading2"/>
      </w:pPr>
      <w:r>
        <w:t>B.</w:t>
      </w:r>
      <w:r>
        <w:tab/>
      </w:r>
      <w:r w:rsidRPr="00BA10B8">
        <w:t>ADR S</w:t>
      </w:r>
      <w:r>
        <w:t>ERVICES FOR SPECIFIC SECTORS</w:t>
      </w:r>
    </w:p>
    <w:p w:rsidR="00640B9A" w:rsidRPr="005A71D9" w:rsidRDefault="00C00DEA" w:rsidP="00212E34">
      <w:pPr>
        <w:pStyle w:val="Heading3"/>
        <w:ind w:left="1701" w:hanging="567"/>
      </w:pPr>
      <w:r w:rsidRPr="00640B9A">
        <w:t>Collaboration with Intellectual Property Offices</w:t>
      </w:r>
    </w:p>
    <w:p w:rsidR="00640B9A" w:rsidRPr="00640B9A" w:rsidRDefault="00690D13" w:rsidP="00056D33">
      <w:pPr>
        <w:pStyle w:val="ListParagraph"/>
        <w:widowControl w:val="0"/>
        <w:numPr>
          <w:ilvl w:val="0"/>
          <w:numId w:val="7"/>
        </w:numPr>
        <w:spacing w:after="240"/>
        <w:ind w:left="0" w:firstLine="0"/>
        <w:contextualSpacing w:val="0"/>
        <w:rPr>
          <w:szCs w:val="22"/>
        </w:rPr>
      </w:pPr>
      <w:r>
        <w:t xml:space="preserve">Additional to its </w:t>
      </w:r>
      <w:r w:rsidR="00FD129C">
        <w:t xml:space="preserve">described </w:t>
      </w:r>
      <w:r w:rsidR="00C8290A">
        <w:t xml:space="preserve">more </w:t>
      </w:r>
      <w:r w:rsidR="001D5C95">
        <w:t xml:space="preserve">regular </w:t>
      </w:r>
      <w:r>
        <w:t xml:space="preserve">services, the Center assists a growing number of </w:t>
      </w:r>
      <w:r w:rsidR="00C66252">
        <w:t xml:space="preserve">IP and Copyright Offices </w:t>
      </w:r>
      <w:r w:rsidR="00A96862">
        <w:t xml:space="preserve">(IPOs) </w:t>
      </w:r>
      <w:r w:rsidR="00C66252">
        <w:t>i</w:t>
      </w:r>
      <w:r w:rsidRPr="00981F37">
        <w:t>n their establishment of optional</w:t>
      </w:r>
      <w:r>
        <w:t xml:space="preserve"> ADR </w:t>
      </w:r>
      <w:r w:rsidRPr="00981F37">
        <w:t>frameworks</w:t>
      </w:r>
      <w:r>
        <w:t>, the organization of training programs and promotional activities, as well as case administration.</w:t>
      </w:r>
      <w:r w:rsidR="00F83CEE">
        <w:t xml:space="preserve"> </w:t>
      </w:r>
      <w:r w:rsidR="00973BBB" w:rsidRPr="00FD129C">
        <w:t>Since the 2017 Assemblies, the Center has entered into collaborations with IP author</w:t>
      </w:r>
      <w:r w:rsidR="00FD129C" w:rsidRPr="00FD129C">
        <w:t xml:space="preserve">ities in </w:t>
      </w:r>
      <w:r w:rsidR="00FD129C">
        <w:t xml:space="preserve">a number of further </w:t>
      </w:r>
      <w:r w:rsidR="00FD129C" w:rsidRPr="00FD129C">
        <w:t>Member States.</w:t>
      </w:r>
      <w:r w:rsidRPr="00FD129C">
        <w:rPr>
          <w:rStyle w:val="FootnoteReference"/>
          <w:szCs w:val="22"/>
        </w:rPr>
        <w:footnoteReference w:id="7"/>
      </w:r>
      <w:r w:rsidR="00F83CEE">
        <w:t xml:space="preserve"> </w:t>
      </w:r>
      <w:r w:rsidR="00FD129C">
        <w:t>Following expressed</w:t>
      </w:r>
      <w:r w:rsidR="00ED6103">
        <w:t xml:space="preserve"> M</w:t>
      </w:r>
      <w:r>
        <w:t xml:space="preserve">ember State needs, </w:t>
      </w:r>
      <w:r w:rsidR="00583579">
        <w:t xml:space="preserve">this </w:t>
      </w:r>
      <w:r w:rsidR="00FD129C">
        <w:t>engagement</w:t>
      </w:r>
      <w:r w:rsidR="00583579">
        <w:t xml:space="preserve"> </w:t>
      </w:r>
      <w:r>
        <w:t>include</w:t>
      </w:r>
      <w:r w:rsidR="00C8290A">
        <w:t>s</w:t>
      </w:r>
      <w:r>
        <w:t xml:space="preserve"> the following</w:t>
      </w:r>
      <w:r w:rsidR="00640B9A">
        <w:t xml:space="preserve"> types of</w:t>
      </w:r>
      <w:r w:rsidR="00583579">
        <w:t xml:space="preserve"> activities</w:t>
      </w:r>
      <w:r w:rsidR="00640B9A">
        <w:t>.</w:t>
      </w:r>
    </w:p>
    <w:p w:rsidR="00640B9A" w:rsidRPr="00EF02A8" w:rsidRDefault="00640B9A" w:rsidP="00207DB5">
      <w:pPr>
        <w:pStyle w:val="ListParagraph"/>
        <w:numPr>
          <w:ilvl w:val="0"/>
          <w:numId w:val="7"/>
        </w:numPr>
        <w:spacing w:after="240"/>
        <w:ind w:left="0" w:firstLine="0"/>
        <w:contextualSpacing w:val="0"/>
        <w:rPr>
          <w:szCs w:val="22"/>
        </w:rPr>
      </w:pPr>
      <w:r w:rsidRPr="007060CD">
        <w:rPr>
          <w:szCs w:val="22"/>
        </w:rPr>
        <w:t>R</w:t>
      </w:r>
      <w:r w:rsidR="00690D13" w:rsidRPr="007060CD">
        <w:rPr>
          <w:szCs w:val="22"/>
        </w:rPr>
        <w:t>ai</w:t>
      </w:r>
      <w:r w:rsidR="00B422BF">
        <w:rPr>
          <w:szCs w:val="22"/>
        </w:rPr>
        <w:t>sing Awareness of ADR Options:</w:t>
      </w:r>
      <w:r w:rsidR="00F83CEE">
        <w:rPr>
          <w:szCs w:val="22"/>
        </w:rPr>
        <w:t xml:space="preserve"> </w:t>
      </w:r>
      <w:r w:rsidR="00FD129C">
        <w:rPr>
          <w:szCs w:val="22"/>
        </w:rPr>
        <w:t>t</w:t>
      </w:r>
      <w:r w:rsidR="00690D13" w:rsidRPr="007060CD">
        <w:rPr>
          <w:szCs w:val="22"/>
        </w:rPr>
        <w:t xml:space="preserve">he </w:t>
      </w:r>
      <w:r w:rsidR="001163E5" w:rsidRPr="007060CD">
        <w:rPr>
          <w:szCs w:val="22"/>
        </w:rPr>
        <w:t>Center collaborate</w:t>
      </w:r>
      <w:r w:rsidR="006D12BC">
        <w:rPr>
          <w:szCs w:val="22"/>
        </w:rPr>
        <w:t>s</w:t>
      </w:r>
      <w:r w:rsidR="00690D13" w:rsidRPr="007060CD">
        <w:rPr>
          <w:szCs w:val="22"/>
        </w:rPr>
        <w:t xml:space="preserve"> with </w:t>
      </w:r>
      <w:r w:rsidR="00583579">
        <w:rPr>
          <w:szCs w:val="22"/>
        </w:rPr>
        <w:t>IP</w:t>
      </w:r>
      <w:r w:rsidR="00A96862">
        <w:rPr>
          <w:szCs w:val="22"/>
        </w:rPr>
        <w:t>Os</w:t>
      </w:r>
      <w:r w:rsidR="00690D13" w:rsidRPr="00EC3F62">
        <w:rPr>
          <w:rStyle w:val="FootnoteReference"/>
          <w:szCs w:val="22"/>
        </w:rPr>
        <w:footnoteReference w:id="8"/>
      </w:r>
      <w:r w:rsidR="00690D13" w:rsidRPr="007060CD">
        <w:rPr>
          <w:szCs w:val="22"/>
        </w:rPr>
        <w:t xml:space="preserve"> to raise</w:t>
      </w:r>
      <w:r w:rsidR="00EF02A8">
        <w:rPr>
          <w:szCs w:val="22"/>
        </w:rPr>
        <w:t xml:space="preserve"> </w:t>
      </w:r>
      <w:r w:rsidR="00690D13" w:rsidRPr="00EF02A8">
        <w:rPr>
          <w:szCs w:val="22"/>
        </w:rPr>
        <w:t xml:space="preserve">awareness of the advantages of ADR options to prevent and resolve IP and technology </w:t>
      </w:r>
      <w:r w:rsidR="00690D13" w:rsidRPr="00EF02A8">
        <w:rPr>
          <w:szCs w:val="22"/>
        </w:rPr>
        <w:lastRenderedPageBreak/>
        <w:t>disputes outside the courts or other adjudicative bodies.</w:t>
      </w:r>
      <w:r w:rsidR="00F83CEE">
        <w:rPr>
          <w:szCs w:val="22"/>
        </w:rPr>
        <w:t xml:space="preserve"> </w:t>
      </w:r>
      <w:r w:rsidR="006E197D">
        <w:rPr>
          <w:szCs w:val="22"/>
        </w:rPr>
        <w:t>In the period, s</w:t>
      </w:r>
      <w:r w:rsidR="00690D13" w:rsidRPr="00EF02A8">
        <w:rPr>
          <w:szCs w:val="22"/>
        </w:rPr>
        <w:t xml:space="preserve">uch </w:t>
      </w:r>
      <w:r w:rsidR="006D12BC">
        <w:rPr>
          <w:szCs w:val="22"/>
        </w:rPr>
        <w:t xml:space="preserve">contact </w:t>
      </w:r>
      <w:r w:rsidR="00C8290A">
        <w:rPr>
          <w:szCs w:val="22"/>
        </w:rPr>
        <w:t>consisted of</w:t>
      </w:r>
      <w:r w:rsidR="00690D13" w:rsidRPr="00EF02A8">
        <w:rPr>
          <w:szCs w:val="22"/>
        </w:rPr>
        <w:t xml:space="preserve"> the development of country-tailored information materials for interested parties concerning ADR options, including</w:t>
      </w:r>
      <w:r w:rsidR="007028EA">
        <w:rPr>
          <w:szCs w:val="22"/>
        </w:rPr>
        <w:t xml:space="preserve"> on </w:t>
      </w:r>
      <w:r w:rsidR="00690D13" w:rsidRPr="00EF02A8">
        <w:rPr>
          <w:szCs w:val="22"/>
        </w:rPr>
        <w:t>online case administration;</w:t>
      </w:r>
      <w:r w:rsidR="00690D13" w:rsidRPr="00EC3F62">
        <w:rPr>
          <w:rStyle w:val="FootnoteReference"/>
          <w:szCs w:val="22"/>
        </w:rPr>
        <w:footnoteReference w:id="9"/>
      </w:r>
      <w:r w:rsidR="00F83CEE">
        <w:rPr>
          <w:szCs w:val="22"/>
        </w:rPr>
        <w:t xml:space="preserve"> </w:t>
      </w:r>
      <w:r w:rsidR="00690D13" w:rsidRPr="00EF02A8">
        <w:rPr>
          <w:szCs w:val="22"/>
        </w:rPr>
        <w:t>training and joint events for stakeholders to inform them of the benefits of mediation and arbitration for resolving IP and related disputes;</w:t>
      </w:r>
      <w:r w:rsidR="00690D13" w:rsidRPr="00EC3F62">
        <w:rPr>
          <w:rStyle w:val="FootnoteReference"/>
          <w:szCs w:val="22"/>
        </w:rPr>
        <w:footnoteReference w:id="10"/>
      </w:r>
      <w:r w:rsidR="00F83CEE">
        <w:rPr>
          <w:szCs w:val="22"/>
        </w:rPr>
        <w:t xml:space="preserve"> </w:t>
      </w:r>
      <w:r w:rsidR="00690D13" w:rsidRPr="00EF02A8">
        <w:rPr>
          <w:szCs w:val="22"/>
        </w:rPr>
        <w:t>and referring party inquirie</w:t>
      </w:r>
      <w:r w:rsidR="007028EA">
        <w:rPr>
          <w:szCs w:val="22"/>
        </w:rPr>
        <w:t>s received by an IPO to the</w:t>
      </w:r>
      <w:r w:rsidR="00690D13" w:rsidRPr="00EF02A8">
        <w:rPr>
          <w:szCs w:val="22"/>
        </w:rPr>
        <w:t xml:space="preserve"> Center for further assistance (n</w:t>
      </w:r>
      <w:r w:rsidRPr="00EF02A8">
        <w:rPr>
          <w:szCs w:val="22"/>
        </w:rPr>
        <w:t>otably in infringement cases).</w:t>
      </w:r>
    </w:p>
    <w:p w:rsidR="005C3088" w:rsidRDefault="00FD129C" w:rsidP="00B339DE">
      <w:pPr>
        <w:pStyle w:val="ListParagraph"/>
        <w:widowControl w:val="0"/>
        <w:numPr>
          <w:ilvl w:val="0"/>
          <w:numId w:val="7"/>
        </w:numPr>
        <w:spacing w:after="240"/>
        <w:ind w:left="0" w:firstLine="0"/>
        <w:contextualSpacing w:val="0"/>
        <w:rPr>
          <w:szCs w:val="22"/>
        </w:rPr>
      </w:pPr>
      <w:r>
        <w:rPr>
          <w:szCs w:val="22"/>
        </w:rPr>
        <w:t>Case Administration:</w:t>
      </w:r>
      <w:r w:rsidR="00F83CEE">
        <w:rPr>
          <w:szCs w:val="22"/>
        </w:rPr>
        <w:t xml:space="preserve"> </w:t>
      </w:r>
      <w:r>
        <w:rPr>
          <w:szCs w:val="22"/>
        </w:rPr>
        <w:t>s</w:t>
      </w:r>
      <w:r w:rsidR="00690D13" w:rsidRPr="00640B9A">
        <w:rPr>
          <w:szCs w:val="22"/>
        </w:rPr>
        <w:t>ome IPOs have developed ADR options or encourage parties to use such options, in the context of proceedings pending before them, notably trademark or patent opposition proceedings.</w:t>
      </w:r>
      <w:r w:rsidR="00F83CEE">
        <w:rPr>
          <w:szCs w:val="22"/>
        </w:rPr>
        <w:t xml:space="preserve"> </w:t>
      </w:r>
      <w:r w:rsidR="00690D13" w:rsidRPr="00640B9A">
        <w:rPr>
          <w:szCs w:val="22"/>
        </w:rPr>
        <w:t xml:space="preserve">The Center </w:t>
      </w:r>
      <w:r w:rsidR="00A96862">
        <w:rPr>
          <w:szCs w:val="22"/>
        </w:rPr>
        <w:t>worked</w:t>
      </w:r>
      <w:r w:rsidR="00690D13" w:rsidRPr="00640B9A">
        <w:rPr>
          <w:szCs w:val="22"/>
        </w:rPr>
        <w:t xml:space="preserve"> with IPOs in the development of mediation and expert determination options</w:t>
      </w:r>
      <w:r w:rsidR="0083743A">
        <w:rPr>
          <w:szCs w:val="22"/>
        </w:rPr>
        <w:t xml:space="preserve"> for </w:t>
      </w:r>
      <w:r w:rsidR="008019FD">
        <w:rPr>
          <w:szCs w:val="22"/>
        </w:rPr>
        <w:t>such</w:t>
      </w:r>
      <w:r w:rsidR="00F46324">
        <w:rPr>
          <w:szCs w:val="22"/>
        </w:rPr>
        <w:t xml:space="preserve"> ADR</w:t>
      </w:r>
      <w:r w:rsidR="008019FD">
        <w:rPr>
          <w:szCs w:val="22"/>
        </w:rPr>
        <w:t xml:space="preserve"> proceedings.</w:t>
      </w:r>
      <w:r w:rsidR="00F83CEE">
        <w:rPr>
          <w:szCs w:val="22"/>
        </w:rPr>
        <w:t xml:space="preserve"> </w:t>
      </w:r>
      <w:r w:rsidR="00690D13" w:rsidRPr="00640B9A">
        <w:rPr>
          <w:szCs w:val="22"/>
        </w:rPr>
        <w:t>The Center also collaborated with IPOs in the administration of cases submitted by parties under such schemes.</w:t>
      </w:r>
      <w:r w:rsidR="00483FA0" w:rsidRPr="00EC3F62">
        <w:rPr>
          <w:rStyle w:val="FootnoteReference"/>
          <w:szCs w:val="22"/>
        </w:rPr>
        <w:footnoteReference w:id="11"/>
      </w:r>
      <w:r w:rsidR="00F83CEE">
        <w:rPr>
          <w:szCs w:val="22"/>
        </w:rPr>
        <w:t xml:space="preserve"> </w:t>
      </w:r>
      <w:r w:rsidR="00690D13" w:rsidRPr="00640B9A">
        <w:rPr>
          <w:szCs w:val="22"/>
        </w:rPr>
        <w:t xml:space="preserve">In the area of copyright, some IPOs administer ADR proceedings in domestic </w:t>
      </w:r>
      <w:r w:rsidR="00F46324">
        <w:rPr>
          <w:szCs w:val="22"/>
        </w:rPr>
        <w:t xml:space="preserve">disputes and designate the </w:t>
      </w:r>
      <w:r w:rsidR="00690D13" w:rsidRPr="00640B9A">
        <w:rPr>
          <w:szCs w:val="22"/>
        </w:rPr>
        <w:t>Center as administrator of cases where one or both parties are domiciled outside the country.</w:t>
      </w:r>
      <w:r w:rsidR="00EF02A8" w:rsidRPr="003D56EA">
        <w:rPr>
          <w:rStyle w:val="FootnoteReference"/>
          <w:szCs w:val="22"/>
        </w:rPr>
        <w:footnoteReference w:id="12"/>
      </w:r>
    </w:p>
    <w:p w:rsidR="00640B9A" w:rsidRPr="005C3088" w:rsidRDefault="00690D13" w:rsidP="00B339DE">
      <w:pPr>
        <w:pStyle w:val="ListParagraph"/>
        <w:widowControl w:val="0"/>
        <w:numPr>
          <w:ilvl w:val="0"/>
          <w:numId w:val="7"/>
        </w:numPr>
        <w:spacing w:after="240"/>
        <w:ind w:left="0" w:firstLine="0"/>
        <w:contextualSpacing w:val="0"/>
        <w:rPr>
          <w:szCs w:val="22"/>
        </w:rPr>
      </w:pPr>
      <w:r w:rsidRPr="005C3088">
        <w:rPr>
          <w:szCs w:val="22"/>
        </w:rPr>
        <w:t>ADR options in Research and Develo</w:t>
      </w:r>
      <w:r w:rsidR="00FD129C">
        <w:rPr>
          <w:szCs w:val="22"/>
        </w:rPr>
        <w:t>pment (R&amp;D) Model Agreements:</w:t>
      </w:r>
      <w:r w:rsidR="00F83CEE">
        <w:rPr>
          <w:szCs w:val="22"/>
        </w:rPr>
        <w:t xml:space="preserve"> </w:t>
      </w:r>
      <w:r w:rsidR="00FD129C">
        <w:rPr>
          <w:szCs w:val="22"/>
        </w:rPr>
        <w:t>t</w:t>
      </w:r>
      <w:r w:rsidRPr="005C3088">
        <w:rPr>
          <w:szCs w:val="22"/>
        </w:rPr>
        <w:t>he Center also collaborated with IPOs in the development of R&amp;D model agreements</w:t>
      </w:r>
      <w:r w:rsidR="00F46324">
        <w:rPr>
          <w:szCs w:val="22"/>
        </w:rPr>
        <w:t>,</w:t>
      </w:r>
      <w:r w:rsidRPr="005C3088">
        <w:rPr>
          <w:szCs w:val="22"/>
        </w:rPr>
        <w:t xml:space="preserve"> </w:t>
      </w:r>
      <w:r w:rsidR="00F46324">
        <w:rPr>
          <w:szCs w:val="22"/>
        </w:rPr>
        <w:t xml:space="preserve">the dispute resolution provisions of which </w:t>
      </w:r>
      <w:r w:rsidRPr="005C3088">
        <w:rPr>
          <w:szCs w:val="22"/>
        </w:rPr>
        <w:t>include WIPO Mediation followed by WIPO Expedited Arbitration options.</w:t>
      </w:r>
      <w:r w:rsidRPr="00EF02A8">
        <w:rPr>
          <w:rStyle w:val="FootnoteReference"/>
        </w:rPr>
        <w:footnoteReference w:id="13"/>
      </w:r>
    </w:p>
    <w:p w:rsidR="009B2316" w:rsidRDefault="009B6225" w:rsidP="00207DB5">
      <w:pPr>
        <w:pStyle w:val="ListParagraph"/>
        <w:numPr>
          <w:ilvl w:val="0"/>
          <w:numId w:val="7"/>
        </w:numPr>
        <w:spacing w:after="240"/>
        <w:ind w:left="0" w:firstLine="0"/>
        <w:contextualSpacing w:val="0"/>
        <w:rPr>
          <w:szCs w:val="22"/>
        </w:rPr>
      </w:pPr>
      <w:r>
        <w:rPr>
          <w:szCs w:val="22"/>
        </w:rPr>
        <w:t>Reflecting this growing</w:t>
      </w:r>
      <w:r w:rsidR="00690D13" w:rsidRPr="00640B9A">
        <w:rPr>
          <w:szCs w:val="22"/>
        </w:rPr>
        <w:t xml:space="preserve"> experience, </w:t>
      </w:r>
      <w:r w:rsidR="003A24E6" w:rsidRPr="00640B9A">
        <w:rPr>
          <w:szCs w:val="22"/>
        </w:rPr>
        <w:t xml:space="preserve">the Center </w:t>
      </w:r>
      <w:r w:rsidR="008019FD">
        <w:rPr>
          <w:szCs w:val="22"/>
        </w:rPr>
        <w:t xml:space="preserve">in 2018 </w:t>
      </w:r>
      <w:r w:rsidR="00690D13" w:rsidRPr="00640B9A">
        <w:rPr>
          <w:szCs w:val="22"/>
        </w:rPr>
        <w:t xml:space="preserve">published </w:t>
      </w:r>
      <w:r w:rsidR="003A24E6">
        <w:rPr>
          <w:szCs w:val="22"/>
        </w:rPr>
        <w:t xml:space="preserve">a </w:t>
      </w:r>
      <w:r w:rsidR="00690D13" w:rsidRPr="00640B9A">
        <w:rPr>
          <w:szCs w:val="22"/>
        </w:rPr>
        <w:t>second edition of the WIPO Guide on Alternative Dispute Resolution for IPOs and Courts.</w:t>
      </w:r>
      <w:r w:rsidR="00690D13" w:rsidRPr="00640B9A">
        <w:rPr>
          <w:rStyle w:val="FootnoteReference"/>
          <w:rFonts w:eastAsia="SimSun" w:cs="Arial"/>
          <w:iCs/>
          <w:lang w:eastAsia="ja-JP"/>
        </w:rPr>
        <w:footnoteReference w:id="14"/>
      </w:r>
      <w:r w:rsidR="00F83CEE">
        <w:rPr>
          <w:rStyle w:val="FootnoteReference"/>
          <w:rFonts w:cs="Arial"/>
          <w:iCs/>
          <w:lang w:eastAsia="ja-JP"/>
        </w:rPr>
        <w:t xml:space="preserve"> </w:t>
      </w:r>
      <w:r w:rsidR="00690D13" w:rsidRPr="00640B9A">
        <w:rPr>
          <w:szCs w:val="22"/>
        </w:rPr>
        <w:t>The Guide provides a broad overview of ADR for IP disputes and presents options for interested IPOs and courts to integrate ADR into their existing processes.</w:t>
      </w:r>
      <w:r w:rsidR="00F83CEE">
        <w:rPr>
          <w:szCs w:val="22"/>
        </w:rPr>
        <w:t xml:space="preserve"> </w:t>
      </w:r>
      <w:r w:rsidR="00690D13" w:rsidRPr="00640B9A">
        <w:rPr>
          <w:szCs w:val="22"/>
        </w:rPr>
        <w:t>The Guide also outlines th</w:t>
      </w:r>
      <w:r w:rsidR="003A24E6">
        <w:rPr>
          <w:szCs w:val="22"/>
        </w:rPr>
        <w:t>e Center’s collaborations</w:t>
      </w:r>
      <w:r w:rsidR="00690D13" w:rsidRPr="00640B9A">
        <w:rPr>
          <w:szCs w:val="22"/>
        </w:rPr>
        <w:t xml:space="preserve"> and </w:t>
      </w:r>
      <w:r w:rsidR="003A24E6">
        <w:rPr>
          <w:szCs w:val="22"/>
        </w:rPr>
        <w:t xml:space="preserve">provides </w:t>
      </w:r>
      <w:r w:rsidR="00690D13" w:rsidRPr="00640B9A">
        <w:rPr>
          <w:szCs w:val="22"/>
        </w:rPr>
        <w:t>examples of related model documents.</w:t>
      </w:r>
    </w:p>
    <w:p w:rsidR="009B2316" w:rsidRPr="007060CD" w:rsidRDefault="009B2316" w:rsidP="00212E34">
      <w:pPr>
        <w:pStyle w:val="Heading3"/>
        <w:ind w:left="1701" w:hanging="567"/>
      </w:pPr>
      <w:r w:rsidRPr="007060CD">
        <w:lastRenderedPageBreak/>
        <w:t>WIPO ADR for FRAND Disputes</w:t>
      </w:r>
    </w:p>
    <w:p w:rsidR="00640B9A" w:rsidRPr="00590FF9" w:rsidRDefault="00640B9A" w:rsidP="00B339DE">
      <w:pPr>
        <w:pStyle w:val="ListParagraph"/>
        <w:widowControl w:val="0"/>
        <w:numPr>
          <w:ilvl w:val="0"/>
          <w:numId w:val="7"/>
        </w:numPr>
        <w:spacing w:after="240"/>
        <w:ind w:left="0" w:firstLine="0"/>
        <w:contextualSpacing w:val="0"/>
      </w:pPr>
      <w:r w:rsidRPr="00590FF9">
        <w:t xml:space="preserve">To facilitate the submission to WIPO ADR of disputes concerning fair, reasonable and non-discriminatory (FRAND) terms for standard-essential patents (SEPs), the Center in collaboration with telecom stakeholders and </w:t>
      </w:r>
      <w:r>
        <w:t xml:space="preserve">patent </w:t>
      </w:r>
      <w:r w:rsidRPr="00590FF9">
        <w:t>arbitration experts</w:t>
      </w:r>
      <w:r w:rsidR="004543B0">
        <w:t xml:space="preserve"> developed </w:t>
      </w:r>
      <w:r w:rsidRPr="00590FF9">
        <w:t>the Guidance on WIPO FRAND ADR.</w:t>
      </w:r>
      <w:r>
        <w:rPr>
          <w:rStyle w:val="FootnoteReference"/>
        </w:rPr>
        <w:footnoteReference w:id="15"/>
      </w:r>
      <w:r w:rsidR="00F83CEE">
        <w:t xml:space="preserve"> </w:t>
      </w:r>
      <w:r w:rsidR="004543B0">
        <w:t>Published in late 2017, t</w:t>
      </w:r>
      <w:r w:rsidRPr="00590FF9">
        <w:t>he Guidance on WIPO FRAND ADR is intended to assist parties and neutrals to better understand and make use of available dispute resolution options when negotiating or drafting FRAND licensing agreements.</w:t>
      </w:r>
      <w:r w:rsidR="00F83CEE">
        <w:t xml:space="preserve"> </w:t>
      </w:r>
      <w:r w:rsidRPr="00590FF9">
        <w:t xml:space="preserve">The document covers key elements that parties may wish to consider to shape the ADR process, notably to address large SEP portfolios, and to </w:t>
      </w:r>
      <w:r w:rsidR="0083743A">
        <w:t>manage</w:t>
      </w:r>
      <w:r w:rsidRPr="00590FF9">
        <w:t xml:space="preserve"> the time and cost of pro</w:t>
      </w:r>
      <w:r w:rsidR="00C27F47">
        <w:t>ceedings.</w:t>
      </w:r>
      <w:r w:rsidR="00F83CEE">
        <w:t xml:space="preserve"> </w:t>
      </w:r>
      <w:r w:rsidR="00C27F47">
        <w:t>T</w:t>
      </w:r>
      <w:r w:rsidRPr="00590FF9">
        <w:t>ailo</w:t>
      </w:r>
      <w:r w:rsidR="00C27F47">
        <w:t>red model submission agreements</w:t>
      </w:r>
      <w:r w:rsidRPr="00590FF9">
        <w:t xml:space="preserve"> assist</w:t>
      </w:r>
      <w:r w:rsidR="00C8290A">
        <w:t>ing</w:t>
      </w:r>
      <w:r w:rsidRPr="00590FF9">
        <w:t xml:space="preserve"> parties to refer a FRAND-related dispute to WIPO mediation or arbitration are also included.</w:t>
      </w:r>
      <w:r w:rsidRPr="006934B7">
        <w:t xml:space="preserve"> </w:t>
      </w:r>
    </w:p>
    <w:p w:rsidR="00BF59A8" w:rsidRPr="005212E9" w:rsidRDefault="00BF59A8" w:rsidP="00212E34">
      <w:pPr>
        <w:pStyle w:val="Heading3"/>
        <w:ind w:left="1701" w:hanging="567"/>
      </w:pPr>
      <w:r w:rsidRPr="00C00DEA">
        <w:t>Resol</w:t>
      </w:r>
      <w:r w:rsidR="003151C8">
        <w:t>ving Trade Fair Disputes</w:t>
      </w:r>
    </w:p>
    <w:p w:rsidR="00B339DE" w:rsidRPr="00B339DE" w:rsidRDefault="003151C8" w:rsidP="00B339DE">
      <w:pPr>
        <w:pStyle w:val="ListParagraph"/>
        <w:numPr>
          <w:ilvl w:val="0"/>
          <w:numId w:val="7"/>
        </w:numPr>
        <w:tabs>
          <w:tab w:val="left" w:pos="567"/>
        </w:tabs>
        <w:spacing w:after="240"/>
        <w:ind w:left="0" w:firstLine="0"/>
        <w:contextualSpacing w:val="0"/>
        <w:rPr>
          <w:rStyle w:val="ONUMEChar"/>
          <w:rFonts w:eastAsia="Times New Roman" w:cs="Times New Roman"/>
          <w:b/>
          <w:lang w:eastAsia="en-US"/>
        </w:rPr>
      </w:pPr>
      <w:r w:rsidRPr="00B339DE">
        <w:rPr>
          <w:szCs w:val="22"/>
        </w:rPr>
        <w:t>In collaboration with trade fair organizers, the Center provides dispute resolution advice and case administration services to help parties resolve IP disputes arising at trade fairs without the need to go to court during the fair.</w:t>
      </w:r>
      <w:r>
        <w:rPr>
          <w:rStyle w:val="FootnoteReference"/>
          <w:szCs w:val="22"/>
        </w:rPr>
        <w:footnoteReference w:id="16"/>
      </w:r>
      <w:r w:rsidR="00F83CEE">
        <w:rPr>
          <w:szCs w:val="22"/>
        </w:rPr>
        <w:t xml:space="preserve"> </w:t>
      </w:r>
      <w:r w:rsidR="007515ED" w:rsidRPr="00B339DE">
        <w:rPr>
          <w:szCs w:val="22"/>
        </w:rPr>
        <w:t xml:space="preserve">Since the 2017 Assemblies, </w:t>
      </w:r>
      <w:r w:rsidRPr="00B339DE">
        <w:rPr>
          <w:szCs w:val="22"/>
        </w:rPr>
        <w:t xml:space="preserve">the Center administered cases under the WIPO Fast-Track Intellectual Property Dispute Resolution Procedure for </w:t>
      </w:r>
      <w:proofErr w:type="spellStart"/>
      <w:r w:rsidRPr="00B339DE">
        <w:rPr>
          <w:szCs w:val="22"/>
        </w:rPr>
        <w:t>Palexpo</w:t>
      </w:r>
      <w:proofErr w:type="spellEnd"/>
      <w:r w:rsidRPr="00B339DE">
        <w:rPr>
          <w:szCs w:val="22"/>
        </w:rPr>
        <w:t xml:space="preserve"> Trade Fairs in Geneva.</w:t>
      </w:r>
      <w:r w:rsidR="00483FA0">
        <w:rPr>
          <w:rStyle w:val="FootnoteReference"/>
          <w:szCs w:val="22"/>
        </w:rPr>
        <w:footnoteReference w:id="17"/>
      </w:r>
      <w:r w:rsidR="00F83CEE">
        <w:rPr>
          <w:szCs w:val="22"/>
        </w:rPr>
        <w:t xml:space="preserve"> </w:t>
      </w:r>
      <w:r w:rsidRPr="00B339DE">
        <w:rPr>
          <w:szCs w:val="22"/>
        </w:rPr>
        <w:t xml:space="preserve">The Center also collaborated with the Singapore trade fair organizer </w:t>
      </w:r>
      <w:proofErr w:type="spellStart"/>
      <w:r w:rsidRPr="00B339DE">
        <w:rPr>
          <w:szCs w:val="22"/>
        </w:rPr>
        <w:t>SingEx</w:t>
      </w:r>
      <w:proofErr w:type="spellEnd"/>
      <w:r w:rsidRPr="00B339DE">
        <w:rPr>
          <w:szCs w:val="22"/>
        </w:rPr>
        <w:t xml:space="preserve"> in the development of a tailored WIPO Fast-Track Procedure for </w:t>
      </w:r>
      <w:proofErr w:type="spellStart"/>
      <w:r w:rsidRPr="00B339DE">
        <w:rPr>
          <w:szCs w:val="22"/>
        </w:rPr>
        <w:t>SingEx</w:t>
      </w:r>
      <w:proofErr w:type="spellEnd"/>
      <w:r w:rsidRPr="00B339DE">
        <w:rPr>
          <w:szCs w:val="22"/>
        </w:rPr>
        <w:t xml:space="preserve"> Trade Fairs </w:t>
      </w:r>
      <w:r w:rsidR="00490791" w:rsidRPr="00B339DE">
        <w:rPr>
          <w:szCs w:val="22"/>
        </w:rPr>
        <w:t>to become available for a f</w:t>
      </w:r>
      <w:r w:rsidRPr="00B339DE">
        <w:rPr>
          <w:szCs w:val="22"/>
        </w:rPr>
        <w:t>air later in 2018.</w:t>
      </w:r>
      <w:r w:rsidR="00F83CEE">
        <w:rPr>
          <w:szCs w:val="22"/>
        </w:rPr>
        <w:t xml:space="preserve"> </w:t>
      </w:r>
    </w:p>
    <w:p w:rsidR="00BF59A8" w:rsidRPr="00B44019" w:rsidRDefault="00BF59A8" w:rsidP="008E0A66">
      <w:pPr>
        <w:pStyle w:val="Heading1"/>
        <w:spacing w:after="240"/>
      </w:pPr>
      <w:r w:rsidRPr="00B44019">
        <w:t>II.</w:t>
      </w:r>
      <w:r w:rsidRPr="00B44019">
        <w:tab/>
        <w:t>DOMAIN NAME CASE ADMINISTRATION</w:t>
      </w:r>
    </w:p>
    <w:p w:rsidR="00BF59A8" w:rsidRPr="00C00DEA" w:rsidRDefault="00BF59A8" w:rsidP="00C50BC4">
      <w:pPr>
        <w:pStyle w:val="Heading2"/>
      </w:pPr>
      <w:r w:rsidRPr="00C00DEA">
        <w:t>A.</w:t>
      </w:r>
      <w:r w:rsidRPr="00C00DEA">
        <w:tab/>
        <w:t>UDRP</w:t>
      </w:r>
    </w:p>
    <w:p w:rsidR="00BF59A8" w:rsidRDefault="00BF59A8" w:rsidP="00B339DE">
      <w:pPr>
        <w:pStyle w:val="ListParagraph"/>
        <w:numPr>
          <w:ilvl w:val="0"/>
          <w:numId w:val="7"/>
        </w:numPr>
        <w:spacing w:before="240" w:after="240"/>
        <w:ind w:left="0" w:firstLine="0"/>
        <w:contextualSpacing w:val="0"/>
        <w:rPr>
          <w:szCs w:val="24"/>
        </w:rPr>
      </w:pPr>
      <w:r w:rsidRPr="005E2771">
        <w:rPr>
          <w:szCs w:val="24"/>
        </w:rPr>
        <w:t>The DNS raises a number of challenges for the protection of IP, which, due to the global nature of the Internet, call for an international approach.</w:t>
      </w:r>
      <w:r w:rsidR="00F83CEE">
        <w:rPr>
          <w:szCs w:val="24"/>
        </w:rPr>
        <w:t xml:space="preserve"> </w:t>
      </w:r>
      <w:r w:rsidRPr="005E2771">
        <w:rPr>
          <w:szCs w:val="24"/>
        </w:rPr>
        <w:t>WIPO has addressed these challenges since 1998 by developing specific solutions, most notably in the First</w:t>
      </w:r>
      <w:r w:rsidRPr="006475B9">
        <w:rPr>
          <w:rStyle w:val="FootnoteReference"/>
          <w:rFonts w:eastAsia="SimSun"/>
          <w:szCs w:val="24"/>
        </w:rPr>
        <w:footnoteReference w:id="18"/>
      </w:r>
      <w:r w:rsidRPr="005E2771">
        <w:rPr>
          <w:szCs w:val="24"/>
        </w:rPr>
        <w:t xml:space="preserve"> and Second</w:t>
      </w:r>
      <w:r w:rsidRPr="006475B9">
        <w:rPr>
          <w:rStyle w:val="FootnoteReference"/>
          <w:rFonts w:eastAsia="SimSun"/>
          <w:szCs w:val="24"/>
        </w:rPr>
        <w:footnoteReference w:id="19"/>
      </w:r>
      <w:r w:rsidRPr="005E2771">
        <w:rPr>
          <w:szCs w:val="24"/>
        </w:rPr>
        <w:t xml:space="preserve"> WIPO Internet Domain Name Processes.</w:t>
      </w:r>
      <w:r w:rsidR="00F83CEE">
        <w:rPr>
          <w:szCs w:val="24"/>
        </w:rPr>
        <w:t xml:space="preserve"> </w:t>
      </w:r>
      <w:r w:rsidRPr="005E2771">
        <w:rPr>
          <w:szCs w:val="24"/>
        </w:rPr>
        <w:t>Through the Center, WIPO provides trademark owners with efficient international mechanisms to deal with the bad</w:t>
      </w:r>
      <w:r w:rsidRPr="005E2771">
        <w:rPr>
          <w:szCs w:val="24"/>
        </w:rPr>
        <w:noBreakHyphen/>
        <w:t>faith registration and use of domain names corresponding to their trademark rights.</w:t>
      </w:r>
      <w:r w:rsidR="00F83CEE">
        <w:rPr>
          <w:szCs w:val="24"/>
        </w:rPr>
        <w:t xml:space="preserve"> </w:t>
      </w:r>
      <w:r w:rsidRPr="005E2771">
        <w:rPr>
          <w:szCs w:val="24"/>
        </w:rPr>
        <w:t>The principal mechanism administered by the Center, the UDRP, was adopted by ICANN on the basis of recommendations made by WIPO in the First WIPO Process.</w:t>
      </w:r>
    </w:p>
    <w:p w:rsidR="004D6A80" w:rsidRDefault="00BF59A8" w:rsidP="00B339DE">
      <w:pPr>
        <w:pStyle w:val="ListParagraph"/>
        <w:numPr>
          <w:ilvl w:val="0"/>
          <w:numId w:val="7"/>
        </w:numPr>
        <w:spacing w:after="240"/>
        <w:ind w:left="0" w:firstLine="0"/>
        <w:contextualSpacing w:val="0"/>
        <w:rPr>
          <w:szCs w:val="24"/>
        </w:rPr>
      </w:pPr>
      <w:r w:rsidRPr="004D6A80">
        <w:rPr>
          <w:szCs w:val="24"/>
        </w:rPr>
        <w:t>Limited to clear cases of bad faith, the UD</w:t>
      </w:r>
      <w:r w:rsidR="00490791">
        <w:rPr>
          <w:szCs w:val="24"/>
        </w:rPr>
        <w:t>RP has proven in high demand by</w:t>
      </w:r>
      <w:r w:rsidRPr="004D6A80">
        <w:rPr>
          <w:szCs w:val="24"/>
        </w:rPr>
        <w:t xml:space="preserve"> trademark owners.</w:t>
      </w:r>
      <w:r w:rsidRPr="006475B9">
        <w:rPr>
          <w:rStyle w:val="FootnoteReference"/>
          <w:rFonts w:eastAsia="SimSun"/>
          <w:szCs w:val="24"/>
        </w:rPr>
        <w:footnoteReference w:id="20"/>
      </w:r>
      <w:r w:rsidR="00F83CEE">
        <w:rPr>
          <w:szCs w:val="24"/>
        </w:rPr>
        <w:t xml:space="preserve"> </w:t>
      </w:r>
      <w:r w:rsidRPr="004D6A80">
        <w:rPr>
          <w:szCs w:val="24"/>
        </w:rPr>
        <w:t>Since December 1999, the Center has administered over</w:t>
      </w:r>
      <w:r w:rsidR="0030201F" w:rsidRPr="004D6A80">
        <w:rPr>
          <w:szCs w:val="24"/>
        </w:rPr>
        <w:t xml:space="preserve"> </w:t>
      </w:r>
      <w:r w:rsidR="0030201F" w:rsidRPr="00D07EB9">
        <w:rPr>
          <w:szCs w:val="24"/>
        </w:rPr>
        <w:t>41</w:t>
      </w:r>
      <w:r w:rsidRPr="00D07EB9">
        <w:rPr>
          <w:szCs w:val="24"/>
        </w:rPr>
        <w:t>,000</w:t>
      </w:r>
      <w:r w:rsidRPr="004D6A80">
        <w:rPr>
          <w:szCs w:val="24"/>
        </w:rPr>
        <w:t xml:space="preserve"> UDRP-based cases.</w:t>
      </w:r>
      <w:r w:rsidRPr="00047A9D">
        <w:rPr>
          <w:vertAlign w:val="superscript"/>
        </w:rPr>
        <w:footnoteReference w:id="21"/>
      </w:r>
      <w:r w:rsidR="00F83CEE">
        <w:rPr>
          <w:szCs w:val="24"/>
        </w:rPr>
        <w:t xml:space="preserve"> </w:t>
      </w:r>
      <w:r w:rsidRPr="004D6A80">
        <w:rPr>
          <w:szCs w:val="24"/>
        </w:rPr>
        <w:t>Trademark holders in 201</w:t>
      </w:r>
      <w:r w:rsidR="0030201F" w:rsidRPr="004D6A80">
        <w:rPr>
          <w:szCs w:val="24"/>
        </w:rPr>
        <w:t>7</w:t>
      </w:r>
      <w:r w:rsidRPr="004D6A80">
        <w:rPr>
          <w:szCs w:val="24"/>
        </w:rPr>
        <w:t xml:space="preserve"> </w:t>
      </w:r>
      <w:r w:rsidRPr="00D07EB9">
        <w:rPr>
          <w:szCs w:val="24"/>
        </w:rPr>
        <w:t>file</w:t>
      </w:r>
      <w:r w:rsidR="0030201F" w:rsidRPr="00D07EB9">
        <w:rPr>
          <w:szCs w:val="24"/>
        </w:rPr>
        <w:t>d 3,074</w:t>
      </w:r>
      <w:r w:rsidRPr="00D07EB9">
        <w:rPr>
          <w:szCs w:val="24"/>
        </w:rPr>
        <w:t xml:space="preserve"> UDRP</w:t>
      </w:r>
      <w:r w:rsidRPr="004D6A80">
        <w:rPr>
          <w:szCs w:val="24"/>
        </w:rPr>
        <w:t xml:space="preserve">-based complaints with the Center, </w:t>
      </w:r>
      <w:r w:rsidR="008A5667" w:rsidRPr="004D6A80">
        <w:rPr>
          <w:szCs w:val="24"/>
        </w:rPr>
        <w:t>the second consecutive year t</w:t>
      </w:r>
      <w:r w:rsidRPr="004D6A80">
        <w:rPr>
          <w:szCs w:val="24"/>
        </w:rPr>
        <w:t>hat WIPO domain name case filings have surpassed 3,000</w:t>
      </w:r>
      <w:r w:rsidR="00264B78">
        <w:rPr>
          <w:szCs w:val="24"/>
        </w:rPr>
        <w:t>.</w:t>
      </w:r>
      <w:r w:rsidR="00F83CEE">
        <w:rPr>
          <w:szCs w:val="24"/>
        </w:rPr>
        <w:t xml:space="preserve"> </w:t>
      </w:r>
      <w:r w:rsidR="00264B78">
        <w:rPr>
          <w:szCs w:val="24"/>
        </w:rPr>
        <w:t xml:space="preserve">By the </w:t>
      </w:r>
      <w:r w:rsidR="00264B78">
        <w:rPr>
          <w:szCs w:val="24"/>
        </w:rPr>
        <w:lastRenderedPageBreak/>
        <w:t>end of June 2018</w:t>
      </w:r>
      <w:r w:rsidRPr="004D6A80">
        <w:rPr>
          <w:szCs w:val="24"/>
        </w:rPr>
        <w:t xml:space="preserve">, the total number of domain names in WIPO UDRP-based cases </w:t>
      </w:r>
      <w:r w:rsidR="0083743A">
        <w:rPr>
          <w:szCs w:val="24"/>
        </w:rPr>
        <w:t xml:space="preserve">brought by brand owners </w:t>
      </w:r>
      <w:r w:rsidR="00264B78">
        <w:rPr>
          <w:szCs w:val="24"/>
        </w:rPr>
        <w:t xml:space="preserve">neared </w:t>
      </w:r>
      <w:r w:rsidR="0030201F" w:rsidRPr="00D07EB9">
        <w:rPr>
          <w:szCs w:val="24"/>
        </w:rPr>
        <w:t>76</w:t>
      </w:r>
      <w:r w:rsidRPr="00D07EB9">
        <w:rPr>
          <w:szCs w:val="24"/>
        </w:rPr>
        <w:t>,000</w:t>
      </w:r>
      <w:r w:rsidR="00264B78">
        <w:rPr>
          <w:szCs w:val="24"/>
        </w:rPr>
        <w:t>.</w:t>
      </w:r>
    </w:p>
    <w:p w:rsidR="004D6A80" w:rsidRPr="004D6A80" w:rsidRDefault="00BF59A8" w:rsidP="00B339DE">
      <w:pPr>
        <w:pStyle w:val="ListParagraph"/>
        <w:numPr>
          <w:ilvl w:val="0"/>
          <w:numId w:val="7"/>
        </w:numPr>
        <w:spacing w:after="240"/>
        <w:ind w:left="0" w:firstLine="0"/>
        <w:contextualSpacing w:val="0"/>
        <w:rPr>
          <w:szCs w:val="24"/>
        </w:rPr>
      </w:pPr>
      <w:r w:rsidRPr="004D6A80">
        <w:rPr>
          <w:szCs w:val="24"/>
        </w:rPr>
        <w:t>A diverse mixture of enterprises, institutions, and individuals used the Center’s dispute resolution procedures in 201</w:t>
      </w:r>
      <w:r w:rsidR="00D72626" w:rsidRPr="004D6A80">
        <w:rPr>
          <w:szCs w:val="24"/>
        </w:rPr>
        <w:t>7</w:t>
      </w:r>
      <w:r w:rsidRPr="004D6A80">
        <w:rPr>
          <w:szCs w:val="24"/>
        </w:rPr>
        <w:t>.</w:t>
      </w:r>
      <w:r w:rsidR="00F83CEE">
        <w:rPr>
          <w:szCs w:val="24"/>
        </w:rPr>
        <w:t xml:space="preserve"> </w:t>
      </w:r>
      <w:r w:rsidRPr="004D6A80">
        <w:rPr>
          <w:szCs w:val="24"/>
        </w:rPr>
        <w:t xml:space="preserve">The top sectors for complainant business activity were Banking and Finance, Fashion, </w:t>
      </w:r>
      <w:r w:rsidR="00E86964" w:rsidRPr="004D6A80">
        <w:rPr>
          <w:szCs w:val="24"/>
        </w:rPr>
        <w:t xml:space="preserve">Internet and Information Technology, </w:t>
      </w:r>
      <w:r w:rsidRPr="004D6A80">
        <w:rPr>
          <w:szCs w:val="24"/>
        </w:rPr>
        <w:t>Heavy Industry and Machinery,</w:t>
      </w:r>
      <w:r w:rsidR="00235972" w:rsidRPr="004D6A80">
        <w:rPr>
          <w:szCs w:val="24"/>
        </w:rPr>
        <w:t xml:space="preserve"> Food, Beverages and Restaurants, Retail, and </w:t>
      </w:r>
      <w:r w:rsidRPr="004D6A80">
        <w:rPr>
          <w:szCs w:val="24"/>
        </w:rPr>
        <w:t>Biotechnology and Pharmaceuticals.</w:t>
      </w:r>
      <w:r w:rsidR="00F83CEE">
        <w:rPr>
          <w:szCs w:val="24"/>
        </w:rPr>
        <w:t xml:space="preserve"> </w:t>
      </w:r>
      <w:r w:rsidR="004D6A80" w:rsidRPr="004D6A80">
        <w:rPr>
          <w:szCs w:val="24"/>
        </w:rPr>
        <w:t>Notably, the</w:t>
      </w:r>
      <w:r w:rsidR="004D6A80" w:rsidRPr="004D6A80">
        <w:rPr>
          <w:rFonts w:cs="Arial"/>
          <w:sz w:val="20"/>
        </w:rPr>
        <w:t xml:space="preserve"> </w:t>
      </w:r>
      <w:r w:rsidR="004D6A80" w:rsidRPr="004D6A80">
        <w:rPr>
          <w:rFonts w:cs="Arial"/>
          <w:szCs w:val="24"/>
        </w:rPr>
        <w:t>filings from rights owners in the banking and finance sector in</w:t>
      </w:r>
      <w:r w:rsidR="00264B78">
        <w:rPr>
          <w:rFonts w:cs="Arial"/>
          <w:szCs w:val="24"/>
        </w:rPr>
        <w:t>clude</w:t>
      </w:r>
      <w:r w:rsidR="004D6A80" w:rsidRPr="004D6A80">
        <w:rPr>
          <w:rFonts w:cs="Arial"/>
          <w:szCs w:val="24"/>
        </w:rPr>
        <w:t xml:space="preserve"> alleged fraudulent email</w:t>
      </w:r>
      <w:r w:rsidR="004D6A80" w:rsidRPr="004D6A80">
        <w:rPr>
          <w:szCs w:val="24"/>
        </w:rPr>
        <w:t xml:space="preserve"> or phishing</w:t>
      </w:r>
      <w:r w:rsidR="004D6A80" w:rsidRPr="004D6A80">
        <w:rPr>
          <w:rFonts w:cs="Arial"/>
          <w:szCs w:val="24"/>
        </w:rPr>
        <w:t xml:space="preserve"> schemes, impersonation, and other illicit uses of consumer-facing websites associated with </w:t>
      </w:r>
      <w:r w:rsidR="001C1F48">
        <w:rPr>
          <w:rFonts w:cs="Arial"/>
          <w:szCs w:val="24"/>
        </w:rPr>
        <w:t xml:space="preserve">the </w:t>
      </w:r>
      <w:r w:rsidR="004D6A80" w:rsidRPr="004D6A80">
        <w:rPr>
          <w:rFonts w:cs="Arial"/>
          <w:szCs w:val="24"/>
        </w:rPr>
        <w:t>disputed domain names.</w:t>
      </w:r>
    </w:p>
    <w:p w:rsidR="00BF59A8" w:rsidRPr="005E2771" w:rsidRDefault="00F83CEE" w:rsidP="00B339DE">
      <w:pPr>
        <w:pStyle w:val="ListParagraph"/>
        <w:numPr>
          <w:ilvl w:val="0"/>
          <w:numId w:val="7"/>
        </w:numPr>
        <w:spacing w:after="240"/>
        <w:ind w:left="0" w:firstLine="0"/>
        <w:contextualSpacing w:val="0"/>
        <w:rPr>
          <w:szCs w:val="24"/>
        </w:rPr>
      </w:pPr>
      <w:r>
        <w:rPr>
          <w:szCs w:val="24"/>
        </w:rPr>
        <w:t xml:space="preserve"> </w:t>
      </w:r>
      <w:r w:rsidR="00BF59A8" w:rsidRPr="005E2771">
        <w:rPr>
          <w:szCs w:val="24"/>
        </w:rPr>
        <w:t>Reflecting the global scope of this dispute mechanism, named parties</w:t>
      </w:r>
      <w:r w:rsidR="00264B78">
        <w:rPr>
          <w:szCs w:val="24"/>
        </w:rPr>
        <w:t xml:space="preserve"> to WIPO cases from UDRP inception </w:t>
      </w:r>
      <w:r w:rsidR="00BF59A8" w:rsidRPr="005E2771">
        <w:rPr>
          <w:szCs w:val="24"/>
        </w:rPr>
        <w:t>through 201</w:t>
      </w:r>
      <w:r w:rsidR="00E86964">
        <w:rPr>
          <w:szCs w:val="24"/>
        </w:rPr>
        <w:t>7</w:t>
      </w:r>
      <w:r w:rsidR="00BF59A8">
        <w:rPr>
          <w:szCs w:val="24"/>
        </w:rPr>
        <w:t xml:space="preserve"> </w:t>
      </w:r>
      <w:r w:rsidR="00187AEF">
        <w:rPr>
          <w:szCs w:val="24"/>
        </w:rPr>
        <w:t>covered</w:t>
      </w:r>
      <w:r w:rsidR="00BF59A8">
        <w:rPr>
          <w:szCs w:val="24"/>
        </w:rPr>
        <w:t xml:space="preserve"> </w:t>
      </w:r>
      <w:r w:rsidR="00BF59A8" w:rsidRPr="00D07EB9">
        <w:rPr>
          <w:szCs w:val="24"/>
        </w:rPr>
        <w:t>178 countries.</w:t>
      </w:r>
      <w:r>
        <w:rPr>
          <w:szCs w:val="24"/>
        </w:rPr>
        <w:t xml:space="preserve"> </w:t>
      </w:r>
      <w:r w:rsidR="00BF59A8" w:rsidRPr="00D07EB9">
        <w:rPr>
          <w:szCs w:val="24"/>
        </w:rPr>
        <w:t>In function of the language of the applicable registration agreement of the domain name at issue, WIPO UDRP proceedings have so far been conducted in 21 languages.</w:t>
      </w:r>
      <w:r w:rsidR="00BF59A8" w:rsidRPr="00D07EB9">
        <w:rPr>
          <w:rStyle w:val="FootnoteReference"/>
          <w:rFonts w:eastAsia="SimSun"/>
          <w:szCs w:val="24"/>
        </w:rPr>
        <w:footnoteReference w:id="22"/>
      </w:r>
    </w:p>
    <w:p w:rsidR="00BF59A8" w:rsidRPr="00CC643B" w:rsidRDefault="00BF59A8" w:rsidP="00B339DE">
      <w:pPr>
        <w:pStyle w:val="ListParagraph"/>
        <w:numPr>
          <w:ilvl w:val="0"/>
          <w:numId w:val="7"/>
        </w:numPr>
        <w:spacing w:after="240"/>
        <w:ind w:left="0" w:firstLine="0"/>
        <w:contextualSpacing w:val="0"/>
        <w:rPr>
          <w:szCs w:val="24"/>
        </w:rPr>
      </w:pPr>
      <w:r w:rsidRPr="005E2771">
        <w:rPr>
          <w:szCs w:val="24"/>
        </w:rPr>
        <w:t>All WIPO UDRP panel decisions are p</w:t>
      </w:r>
      <w:r w:rsidR="00DA120E">
        <w:rPr>
          <w:szCs w:val="24"/>
        </w:rPr>
        <w:t>osted on the Center’s website.</w:t>
      </w:r>
      <w:r w:rsidR="00F83CEE">
        <w:rPr>
          <w:szCs w:val="24"/>
        </w:rPr>
        <w:t xml:space="preserve"> </w:t>
      </w:r>
      <w:r w:rsidR="008A196F">
        <w:rPr>
          <w:szCs w:val="24"/>
        </w:rPr>
        <w:t>Published in 2017, t</w:t>
      </w:r>
      <w:r>
        <w:rPr>
          <w:szCs w:val="24"/>
        </w:rPr>
        <w:t>he</w:t>
      </w:r>
      <w:r w:rsidRPr="005E2771">
        <w:rPr>
          <w:szCs w:val="24"/>
        </w:rPr>
        <w:t xml:space="preserve"> </w:t>
      </w:r>
      <w:r w:rsidR="00DA120E">
        <w:rPr>
          <w:szCs w:val="24"/>
        </w:rPr>
        <w:t xml:space="preserve">Center’s </w:t>
      </w:r>
      <w:r>
        <w:rPr>
          <w:szCs w:val="24"/>
        </w:rPr>
        <w:t xml:space="preserve">Third Edition of the </w:t>
      </w:r>
      <w:r w:rsidRPr="005E2771">
        <w:rPr>
          <w:szCs w:val="24"/>
        </w:rPr>
        <w:t xml:space="preserve">WIPO </w:t>
      </w:r>
      <w:r w:rsidRPr="006475B9">
        <w:t>Overview of WIPO Panel Views on Selected</w:t>
      </w:r>
      <w:r>
        <w:t xml:space="preserve"> UDRP Questions (WIPO Overview 3</w:t>
      </w:r>
      <w:r w:rsidRPr="006475B9">
        <w:t>.0)</w:t>
      </w:r>
      <w:r w:rsidRPr="005E2771">
        <w:rPr>
          <w:szCs w:val="24"/>
        </w:rPr>
        <w:t xml:space="preserve"> </w:t>
      </w:r>
      <w:r w:rsidR="00DA120E">
        <w:rPr>
          <w:szCs w:val="24"/>
        </w:rPr>
        <w:t>has been the subject of a range of publications and events.</w:t>
      </w:r>
      <w:r w:rsidR="00DA120E">
        <w:rPr>
          <w:rStyle w:val="FootnoteReference"/>
          <w:szCs w:val="24"/>
        </w:rPr>
        <w:footnoteReference w:id="23"/>
      </w:r>
      <w:r w:rsidR="00F83CEE">
        <w:rPr>
          <w:szCs w:val="24"/>
        </w:rPr>
        <w:t xml:space="preserve"> </w:t>
      </w:r>
      <w:r w:rsidR="00DA120E">
        <w:rPr>
          <w:szCs w:val="24"/>
        </w:rPr>
        <w:t xml:space="preserve">This </w:t>
      </w:r>
      <w:r>
        <w:rPr>
          <w:szCs w:val="24"/>
        </w:rPr>
        <w:t>globally-consulted</w:t>
      </w:r>
      <w:r w:rsidRPr="005E2771">
        <w:rPr>
          <w:szCs w:val="24"/>
        </w:rPr>
        <w:t xml:space="preserve"> online overview of broad decision trends on important case issues</w:t>
      </w:r>
      <w:r w:rsidR="00DA120E">
        <w:rPr>
          <w:szCs w:val="24"/>
        </w:rPr>
        <w:t xml:space="preserve"> c</w:t>
      </w:r>
      <w:r w:rsidR="007F3B7B">
        <w:rPr>
          <w:szCs w:val="24"/>
        </w:rPr>
        <w:t>overs</w:t>
      </w:r>
      <w:r>
        <w:rPr>
          <w:szCs w:val="24"/>
        </w:rPr>
        <w:t xml:space="preserve"> over 100 topics,</w:t>
      </w:r>
      <w:r w:rsidR="007F3B7B">
        <w:rPr>
          <w:szCs w:val="24"/>
        </w:rPr>
        <w:t xml:space="preserve"> including </w:t>
      </w:r>
      <w:r>
        <w:rPr>
          <w:szCs w:val="24"/>
        </w:rPr>
        <w:t>reference to almost 1,000 representative decisions from over 265 WIPO Panelists</w:t>
      </w:r>
      <w:r w:rsidR="007F3B7B">
        <w:rPr>
          <w:szCs w:val="24"/>
        </w:rPr>
        <w:t>.</w:t>
      </w:r>
      <w:r w:rsidR="00F83CEE">
        <w:rPr>
          <w:szCs w:val="24"/>
        </w:rPr>
        <w:t xml:space="preserve"> </w:t>
      </w:r>
      <w:r w:rsidRPr="00CC643B">
        <w:rPr>
          <w:szCs w:val="24"/>
        </w:rPr>
        <w:t>To facilitate access to these decisions according to subject matter, the Center also offers a</w:t>
      </w:r>
      <w:r>
        <w:rPr>
          <w:szCs w:val="24"/>
        </w:rPr>
        <w:t xml:space="preserve">n online </w:t>
      </w:r>
      <w:r w:rsidRPr="00CC643B">
        <w:rPr>
          <w:szCs w:val="24"/>
        </w:rPr>
        <w:t xml:space="preserve">searchable </w:t>
      </w:r>
      <w:r w:rsidRPr="006475B9">
        <w:t>Legal Index of WIPO UDRP Decisions</w:t>
      </w:r>
      <w:r w:rsidRPr="00CC643B">
        <w:rPr>
          <w:szCs w:val="24"/>
        </w:rPr>
        <w:t>.</w:t>
      </w:r>
      <w:r w:rsidRPr="006475B9">
        <w:rPr>
          <w:vertAlign w:val="superscript"/>
        </w:rPr>
        <w:footnoteReference w:id="24"/>
      </w:r>
      <w:r w:rsidR="00F83CEE">
        <w:rPr>
          <w:szCs w:val="24"/>
        </w:rPr>
        <w:t xml:space="preserve"> </w:t>
      </w:r>
      <w:r w:rsidRPr="00CC643B">
        <w:rPr>
          <w:szCs w:val="24"/>
        </w:rPr>
        <w:t xml:space="preserve">These WIPO resources are </w:t>
      </w:r>
      <w:r w:rsidR="00187AEF" w:rsidRPr="00CC643B">
        <w:rPr>
          <w:szCs w:val="24"/>
        </w:rPr>
        <w:t xml:space="preserve">globally </w:t>
      </w:r>
      <w:r w:rsidRPr="00CC643B">
        <w:rPr>
          <w:szCs w:val="24"/>
        </w:rPr>
        <w:t>accessible free of charge.</w:t>
      </w:r>
    </w:p>
    <w:p w:rsidR="00BF59A8" w:rsidRPr="005E2771" w:rsidRDefault="00BF59A8" w:rsidP="00B339DE">
      <w:pPr>
        <w:pStyle w:val="ListParagraph"/>
        <w:numPr>
          <w:ilvl w:val="0"/>
          <w:numId w:val="7"/>
        </w:numPr>
        <w:spacing w:after="240"/>
        <w:ind w:left="0" w:firstLine="0"/>
        <w:contextualSpacing w:val="0"/>
        <w:rPr>
          <w:szCs w:val="24"/>
        </w:rPr>
      </w:pPr>
      <w:r w:rsidRPr="005E2771">
        <w:rPr>
          <w:szCs w:val="24"/>
        </w:rPr>
        <w:t>Mindful of WIPO’s foundational role in the UDRP, the Center monitors developments in the DNS with a view to adjusting its resources and practices.</w:t>
      </w:r>
      <w:r w:rsidRPr="006475B9">
        <w:rPr>
          <w:rStyle w:val="FootnoteReference"/>
          <w:rFonts w:eastAsia="SimSun"/>
          <w:szCs w:val="24"/>
        </w:rPr>
        <w:footnoteReference w:id="25"/>
      </w:r>
      <w:r w:rsidR="00F83CEE">
        <w:rPr>
          <w:szCs w:val="24"/>
        </w:rPr>
        <w:t xml:space="preserve"> </w:t>
      </w:r>
      <w:r w:rsidRPr="006475B9">
        <w:t>The Center regularly organizes Domain Name Dispute Resolution Workshops to update interested parties</w:t>
      </w:r>
      <w:r>
        <w:t>,</w:t>
      </w:r>
      <w:r w:rsidRPr="006475B9">
        <w:rPr>
          <w:rStyle w:val="FootnoteReference"/>
          <w:rFonts w:eastAsia="SimSun"/>
        </w:rPr>
        <w:footnoteReference w:id="26"/>
      </w:r>
      <w:r w:rsidRPr="006475B9">
        <w:t xml:space="preserve"> as well as meetings of its Domain Name Panelists.</w:t>
      </w:r>
    </w:p>
    <w:p w:rsidR="00BF59A8" w:rsidRPr="006475B9" w:rsidRDefault="00BF59A8" w:rsidP="00C50BC4">
      <w:pPr>
        <w:pStyle w:val="Heading2"/>
      </w:pPr>
      <w:r w:rsidRPr="006475B9">
        <w:t>B.</w:t>
      </w:r>
      <w:r w:rsidRPr="006475B9">
        <w:tab/>
      </w:r>
      <w:r w:rsidRPr="00207DB5">
        <w:t>Country</w:t>
      </w:r>
      <w:r w:rsidRPr="006475B9">
        <w:t xml:space="preserve"> Code Top</w:t>
      </w:r>
      <w:r w:rsidRPr="006475B9">
        <w:noBreakHyphen/>
        <w:t>Level Domains (ccTLD)</w:t>
      </w:r>
    </w:p>
    <w:p w:rsidR="00BF59A8" w:rsidRPr="00433EBA" w:rsidRDefault="00BF59A8" w:rsidP="00056D33">
      <w:pPr>
        <w:pStyle w:val="ListParagraph"/>
        <w:numPr>
          <w:ilvl w:val="0"/>
          <w:numId w:val="7"/>
        </w:numPr>
        <w:spacing w:before="240" w:after="240"/>
        <w:ind w:left="0" w:firstLine="0"/>
        <w:contextualSpacing w:val="0"/>
        <w:rPr>
          <w:spacing w:val="-6"/>
        </w:rPr>
      </w:pPr>
      <w:r w:rsidRPr="00433EBA">
        <w:rPr>
          <w:spacing w:val="-6"/>
        </w:rPr>
        <w:t xml:space="preserve">While the mandatory application of the UDRP is limited to domain names registered in </w:t>
      </w:r>
      <w:proofErr w:type="spellStart"/>
      <w:r w:rsidRPr="00433EBA">
        <w:rPr>
          <w:spacing w:val="-6"/>
        </w:rPr>
        <w:t>gTLDs</w:t>
      </w:r>
      <w:proofErr w:type="spellEnd"/>
      <w:r w:rsidRPr="00433EBA">
        <w:rPr>
          <w:spacing w:val="-6"/>
        </w:rPr>
        <w:t xml:space="preserve"> (such as .com) and more recently introduced new </w:t>
      </w:r>
      <w:proofErr w:type="spellStart"/>
      <w:r w:rsidRPr="00433EBA">
        <w:rPr>
          <w:spacing w:val="-6"/>
        </w:rPr>
        <w:t>gTLDs</w:t>
      </w:r>
      <w:proofErr w:type="spellEnd"/>
      <w:r w:rsidRPr="00433EBA">
        <w:rPr>
          <w:spacing w:val="-6"/>
        </w:rPr>
        <w:t xml:space="preserve">, the Center also assists </w:t>
      </w:r>
      <w:proofErr w:type="spellStart"/>
      <w:r w:rsidRPr="00433EBA">
        <w:rPr>
          <w:spacing w:val="-6"/>
        </w:rPr>
        <w:t>ccTLD</w:t>
      </w:r>
      <w:proofErr w:type="spellEnd"/>
      <w:r w:rsidRPr="00433EBA">
        <w:rPr>
          <w:spacing w:val="-6"/>
        </w:rPr>
        <w:t> registries in their establishment of registration conditions and dispute resolution procedures that conform with best practices in registry</w:t>
      </w:r>
      <w:r w:rsidR="00043B50" w:rsidRPr="00433EBA">
        <w:rPr>
          <w:spacing w:val="-6"/>
        </w:rPr>
        <w:t xml:space="preserve"> management and IP protection.</w:t>
      </w:r>
      <w:r w:rsidRPr="00433EBA">
        <w:rPr>
          <w:rStyle w:val="FootnoteReference"/>
          <w:rFonts w:eastAsia="SimSun"/>
          <w:spacing w:val="-6"/>
        </w:rPr>
        <w:footnoteReference w:id="27"/>
      </w:r>
      <w:r w:rsidR="00F83CEE" w:rsidRPr="00433EBA">
        <w:rPr>
          <w:spacing w:val="-6"/>
        </w:rPr>
        <w:t xml:space="preserve"> </w:t>
      </w:r>
      <w:r w:rsidR="001776C3" w:rsidRPr="00433EBA">
        <w:rPr>
          <w:spacing w:val="-6"/>
        </w:rPr>
        <w:t xml:space="preserve">Some </w:t>
      </w:r>
      <w:proofErr w:type="spellStart"/>
      <w:r w:rsidR="001776C3" w:rsidRPr="00433EBA">
        <w:rPr>
          <w:spacing w:val="-6"/>
        </w:rPr>
        <w:t>ccTLD</w:t>
      </w:r>
      <w:proofErr w:type="spellEnd"/>
      <w:r w:rsidR="001776C3" w:rsidRPr="00433EBA">
        <w:rPr>
          <w:spacing w:val="-6"/>
        </w:rPr>
        <w:t xml:space="preserve"> registries adopt the UDRP directly, while others have adopted UDRP-based procedures which take account of the particular circumstances and needs of individual </w:t>
      </w:r>
      <w:proofErr w:type="spellStart"/>
      <w:r w:rsidR="001776C3" w:rsidRPr="00433EBA">
        <w:rPr>
          <w:spacing w:val="-6"/>
        </w:rPr>
        <w:t>ccTLDs</w:t>
      </w:r>
      <w:proofErr w:type="spellEnd"/>
      <w:r w:rsidR="001776C3" w:rsidRPr="00433EBA">
        <w:rPr>
          <w:spacing w:val="-6"/>
        </w:rPr>
        <w:t>.</w:t>
      </w:r>
      <w:r w:rsidR="00F83CEE" w:rsidRPr="00433EBA">
        <w:rPr>
          <w:spacing w:val="-6"/>
        </w:rPr>
        <w:t xml:space="preserve"> </w:t>
      </w:r>
      <w:r w:rsidR="001776C3" w:rsidRPr="00433EBA">
        <w:rPr>
          <w:spacing w:val="-6"/>
        </w:rPr>
        <w:t>T</w:t>
      </w:r>
      <w:r w:rsidR="0011227A" w:rsidRPr="00433EBA">
        <w:rPr>
          <w:spacing w:val="-6"/>
        </w:rPr>
        <w:t>he Center</w:t>
      </w:r>
      <w:r w:rsidR="00056D33" w:rsidRPr="00433EBA">
        <w:rPr>
          <w:spacing w:val="-6"/>
        </w:rPr>
        <w:t xml:space="preserve"> </w:t>
      </w:r>
      <w:r w:rsidRPr="00433EBA">
        <w:rPr>
          <w:spacing w:val="-6"/>
        </w:rPr>
        <w:t xml:space="preserve">provides domain name dispute resolution services to </w:t>
      </w:r>
      <w:r w:rsidR="002E2229" w:rsidRPr="00433EBA">
        <w:rPr>
          <w:spacing w:val="-6"/>
        </w:rPr>
        <w:t>over 70</w:t>
      </w:r>
      <w:r w:rsidRPr="00433EBA">
        <w:rPr>
          <w:spacing w:val="-6"/>
        </w:rPr>
        <w:t xml:space="preserve"> </w:t>
      </w:r>
      <w:proofErr w:type="spellStart"/>
      <w:r w:rsidRPr="00433EBA">
        <w:rPr>
          <w:spacing w:val="-6"/>
        </w:rPr>
        <w:t>ccTLD</w:t>
      </w:r>
      <w:proofErr w:type="spellEnd"/>
      <w:r w:rsidRPr="00433EBA">
        <w:rPr>
          <w:spacing w:val="-6"/>
        </w:rPr>
        <w:t xml:space="preserve"> registries</w:t>
      </w:r>
      <w:r w:rsidR="0011227A" w:rsidRPr="00433EBA">
        <w:rPr>
          <w:spacing w:val="-6"/>
        </w:rPr>
        <w:t>, including the .GE (Georgia) domain added in 2018</w:t>
      </w:r>
      <w:r w:rsidRPr="00433EBA">
        <w:rPr>
          <w:spacing w:val="-6"/>
        </w:rPr>
        <w:t>.</w:t>
      </w:r>
      <w:r w:rsidRPr="00433EBA">
        <w:rPr>
          <w:spacing w:val="-6"/>
          <w:vertAlign w:val="superscript"/>
        </w:rPr>
        <w:footnoteReference w:id="28"/>
      </w:r>
    </w:p>
    <w:p w:rsidR="004162A0" w:rsidRDefault="004162A0" w:rsidP="00B339DE">
      <w:pPr>
        <w:pStyle w:val="ListParagraph"/>
        <w:numPr>
          <w:ilvl w:val="0"/>
          <w:numId w:val="7"/>
        </w:numPr>
        <w:spacing w:after="240"/>
        <w:ind w:left="0" w:firstLine="0"/>
        <w:contextualSpacing w:val="0"/>
      </w:pPr>
      <w:r>
        <w:lastRenderedPageBreak/>
        <w:t xml:space="preserve">For all </w:t>
      </w:r>
      <w:proofErr w:type="spellStart"/>
      <w:r>
        <w:t>ccTLDs</w:t>
      </w:r>
      <w:proofErr w:type="spellEnd"/>
      <w:r>
        <w:t xml:space="preserve"> concerned, </w:t>
      </w:r>
      <w:r w:rsidRPr="00AC1C3E">
        <w:t>the Center</w:t>
      </w:r>
      <w:r>
        <w:t xml:space="preserve"> </w:t>
      </w:r>
      <w:r w:rsidRPr="00AC1C3E">
        <w:t xml:space="preserve">in 2018 </w:t>
      </w:r>
      <w:r>
        <w:t xml:space="preserve">significantly </w:t>
      </w:r>
      <w:r w:rsidRPr="00AC1C3E">
        <w:t>expanded</w:t>
      </w:r>
      <w:r>
        <w:t xml:space="preserve"> its posted party resources</w:t>
      </w:r>
      <w:r w:rsidRPr="00AC1C3E">
        <w:t xml:space="preserve">, </w:t>
      </w:r>
      <w:r>
        <w:t xml:space="preserve">including </w:t>
      </w:r>
      <w:r w:rsidRPr="00AC1C3E">
        <w:t>eligibility criteria for registration, supported characters,</w:t>
      </w:r>
      <w:r>
        <w:t xml:space="preserve"> and</w:t>
      </w:r>
      <w:r w:rsidRPr="00AC1C3E">
        <w:t xml:space="preserve"> </w:t>
      </w:r>
      <w:r>
        <w:t>multilingual</w:t>
      </w:r>
      <w:r w:rsidR="0011227A">
        <w:t xml:space="preserve"> model pleadings and</w:t>
      </w:r>
      <w:r>
        <w:t xml:space="preserve"> filing information,</w:t>
      </w:r>
      <w:r>
        <w:rPr>
          <w:rStyle w:val="FootnoteReference"/>
        </w:rPr>
        <w:footnoteReference w:id="29"/>
      </w:r>
      <w:r w:rsidR="0011227A">
        <w:t xml:space="preserve"> </w:t>
      </w:r>
      <w:r w:rsidRPr="00AC1C3E">
        <w:t xml:space="preserve">as well as </w:t>
      </w:r>
      <w:r>
        <w:t xml:space="preserve">summaries of relevant </w:t>
      </w:r>
      <w:r w:rsidRPr="00AC1C3E">
        <w:t xml:space="preserve">differences between </w:t>
      </w:r>
      <w:r>
        <w:t xml:space="preserve">the respective </w:t>
      </w:r>
      <w:r w:rsidRPr="00AC1C3E">
        <w:t xml:space="preserve">UDRP-based </w:t>
      </w:r>
      <w:proofErr w:type="spellStart"/>
      <w:r>
        <w:t>ccTLD</w:t>
      </w:r>
      <w:proofErr w:type="spellEnd"/>
      <w:r>
        <w:t xml:space="preserve"> </w:t>
      </w:r>
      <w:r w:rsidRPr="00AC1C3E">
        <w:t>policies</w:t>
      </w:r>
      <w:r>
        <w:t xml:space="preserve"> and </w:t>
      </w:r>
      <w:r w:rsidRPr="00AC1C3E">
        <w:t>the UDRP</w:t>
      </w:r>
      <w:r>
        <w:t>.</w:t>
      </w:r>
      <w:r w:rsidRPr="004162A0">
        <w:rPr>
          <w:rStyle w:val="FootnoteReference"/>
        </w:rPr>
        <w:t xml:space="preserve"> </w:t>
      </w:r>
      <w:r>
        <w:rPr>
          <w:rStyle w:val="FootnoteReference"/>
        </w:rPr>
        <w:footnoteReference w:id="30"/>
      </w:r>
      <w:r w:rsidR="00F83CEE">
        <w:t xml:space="preserve"> </w:t>
      </w:r>
    </w:p>
    <w:p w:rsidR="00263C54" w:rsidRPr="00653668" w:rsidRDefault="00263C54" w:rsidP="008E0A66">
      <w:pPr>
        <w:pStyle w:val="Heading1"/>
        <w:spacing w:after="240"/>
      </w:pPr>
      <w:r>
        <w:t>III</w:t>
      </w:r>
      <w:r w:rsidRPr="00653668">
        <w:t>.</w:t>
      </w:r>
      <w:r w:rsidRPr="00653668">
        <w:tab/>
        <w:t>POLICY DEVELOPMENTS IN THE DNS</w:t>
      </w:r>
      <w:r w:rsidR="00F83CEE">
        <w:t xml:space="preserve"> </w:t>
      </w:r>
    </w:p>
    <w:p w:rsidR="00263C54" w:rsidRPr="006475B9" w:rsidRDefault="00263C54" w:rsidP="00B44019">
      <w:pPr>
        <w:pStyle w:val="ListParagraph"/>
        <w:widowControl w:val="0"/>
        <w:numPr>
          <w:ilvl w:val="0"/>
          <w:numId w:val="7"/>
        </w:numPr>
        <w:spacing w:before="240" w:after="240"/>
        <w:ind w:left="0" w:firstLine="0"/>
        <w:contextualSpacing w:val="0"/>
      </w:pPr>
      <w:r w:rsidRPr="006475B9">
        <w:t>A number of policy developments in relation to ICANN present both opportunities and</w:t>
      </w:r>
      <w:r>
        <w:t> </w:t>
      </w:r>
      <w:r w:rsidRPr="006475B9">
        <w:t>challenges for owners and users of IP rights.</w:t>
      </w:r>
      <w:r w:rsidR="00F83CEE">
        <w:t xml:space="preserve"> </w:t>
      </w:r>
      <w:r w:rsidRPr="006475B9">
        <w:t xml:space="preserve">One is ICANN’s introduction of </w:t>
      </w:r>
      <w:r w:rsidR="0011227A">
        <w:t xml:space="preserve">a significant number of </w:t>
      </w:r>
      <w:r w:rsidRPr="006475B9">
        <w:t>new</w:t>
      </w:r>
      <w:r>
        <w:t> </w:t>
      </w:r>
      <w:proofErr w:type="spellStart"/>
      <w:r w:rsidRPr="006475B9">
        <w:t>gTLDs</w:t>
      </w:r>
      <w:proofErr w:type="spellEnd"/>
      <w:r w:rsidRPr="006475B9">
        <w:t>.</w:t>
      </w:r>
      <w:r w:rsidR="00F83CEE">
        <w:t xml:space="preserve"> </w:t>
      </w:r>
      <w:r w:rsidRPr="006475B9">
        <w:t xml:space="preserve">Such new </w:t>
      </w:r>
      <w:proofErr w:type="spellStart"/>
      <w:r w:rsidRPr="006475B9">
        <w:t>gTLDs</w:t>
      </w:r>
      <w:proofErr w:type="spellEnd"/>
      <w:r w:rsidRPr="006475B9">
        <w:t xml:space="preserve"> may be of an “open” nature (similar to .com), or may take</w:t>
      </w:r>
      <w:r>
        <w:t> </w:t>
      </w:r>
      <w:r w:rsidRPr="006475B9">
        <w:t>on more</w:t>
      </w:r>
      <w:r>
        <w:t> </w:t>
      </w:r>
      <w:r w:rsidRPr="006475B9">
        <w:t>specific or restrictive characteristics, for example taking the form of .[brand], .[city], .[community], .[culture], .[industry], or .[language].</w:t>
      </w:r>
      <w:r w:rsidR="00F83CEE">
        <w:t xml:space="preserve"> </w:t>
      </w:r>
      <w:r w:rsidRPr="006475B9">
        <w:t>A</w:t>
      </w:r>
      <w:r>
        <w:t>n important related</w:t>
      </w:r>
      <w:r w:rsidRPr="006475B9">
        <w:t xml:space="preserve"> development concerns the introduction of </w:t>
      </w:r>
      <w:r>
        <w:t>Internationalized Domain Names (</w:t>
      </w:r>
      <w:r w:rsidRPr="006475B9">
        <w:t>IDNs</w:t>
      </w:r>
      <w:r>
        <w:t>)</w:t>
      </w:r>
      <w:r w:rsidRPr="006475B9">
        <w:t xml:space="preserve"> at the top </w:t>
      </w:r>
      <w:r w:rsidR="0011227A">
        <w:t>level.</w:t>
      </w:r>
      <w:r w:rsidR="00F83CEE">
        <w:t xml:space="preserve"> </w:t>
      </w:r>
      <w:r w:rsidR="0011227A">
        <w:t xml:space="preserve">Also, ICANN’s </w:t>
      </w:r>
      <w:r w:rsidRPr="006475B9">
        <w:t>expansion of the DNS raises rights protection questions in connection with the S</w:t>
      </w:r>
      <w:r>
        <w:t xml:space="preserve">econd WIPO </w:t>
      </w:r>
      <w:r w:rsidRPr="006475B9">
        <w:t>Process.</w:t>
      </w:r>
    </w:p>
    <w:p w:rsidR="00263C54" w:rsidRPr="006475B9" w:rsidRDefault="00263C54" w:rsidP="00C50BC4">
      <w:pPr>
        <w:pStyle w:val="Heading2"/>
      </w:pPr>
      <w:r>
        <w:t>A.</w:t>
      </w:r>
      <w:r>
        <w:tab/>
        <w:t>New gTLDS</w:t>
      </w:r>
    </w:p>
    <w:p w:rsidR="00263C54" w:rsidRPr="005E2771" w:rsidRDefault="00263C54" w:rsidP="00B44019">
      <w:pPr>
        <w:pStyle w:val="ListParagraph"/>
        <w:widowControl w:val="0"/>
        <w:numPr>
          <w:ilvl w:val="0"/>
          <w:numId w:val="7"/>
        </w:numPr>
        <w:spacing w:before="240" w:after="240"/>
        <w:ind w:left="0" w:firstLine="0"/>
        <w:contextualSpacing w:val="0"/>
        <w:rPr>
          <w:szCs w:val="22"/>
        </w:rPr>
      </w:pPr>
      <w:r w:rsidRPr="005E2771">
        <w:rPr>
          <w:szCs w:val="22"/>
        </w:rPr>
        <w:t xml:space="preserve">ICANN implementation of its </w:t>
      </w:r>
      <w:proofErr w:type="gramStart"/>
      <w:r w:rsidRPr="005E2771">
        <w:rPr>
          <w:szCs w:val="22"/>
        </w:rPr>
        <w:t>New</w:t>
      </w:r>
      <w:proofErr w:type="gramEnd"/>
      <w:r w:rsidRPr="005E2771">
        <w:rPr>
          <w:szCs w:val="22"/>
        </w:rPr>
        <w:t xml:space="preserve"> </w:t>
      </w:r>
      <w:proofErr w:type="spellStart"/>
      <w:r w:rsidRPr="005E2771">
        <w:rPr>
          <w:szCs w:val="22"/>
        </w:rPr>
        <w:t>gTLD</w:t>
      </w:r>
      <w:proofErr w:type="spellEnd"/>
      <w:r w:rsidRPr="005E2771">
        <w:rPr>
          <w:szCs w:val="22"/>
        </w:rPr>
        <w:t xml:space="preserve"> Program formally approved in June 2011</w:t>
      </w:r>
      <w:r w:rsidRPr="006475B9">
        <w:rPr>
          <w:rStyle w:val="FootnoteReference"/>
          <w:rFonts w:eastAsia="SimSun"/>
          <w:szCs w:val="22"/>
        </w:rPr>
        <w:footnoteReference w:id="31"/>
      </w:r>
      <w:r>
        <w:rPr>
          <w:szCs w:val="22"/>
        </w:rPr>
        <w:t xml:space="preserve"> is detailed </w:t>
      </w:r>
      <w:r w:rsidRPr="005E2771">
        <w:rPr>
          <w:szCs w:val="22"/>
        </w:rPr>
        <w:t xml:space="preserve">in </w:t>
      </w:r>
      <w:r>
        <w:rPr>
          <w:szCs w:val="22"/>
        </w:rPr>
        <w:t>it</w:t>
      </w:r>
      <w:r w:rsidRPr="005E2771">
        <w:rPr>
          <w:szCs w:val="22"/>
        </w:rPr>
        <w:t>s much-revised “Applicant Guidebook”.</w:t>
      </w:r>
      <w:r w:rsidRPr="006475B9">
        <w:rPr>
          <w:vertAlign w:val="superscript"/>
        </w:rPr>
        <w:footnoteReference w:id="32"/>
      </w:r>
      <w:r w:rsidR="00F83CEE">
        <w:rPr>
          <w:szCs w:val="22"/>
        </w:rPr>
        <w:t xml:space="preserve"> </w:t>
      </w:r>
      <w:r w:rsidRPr="005E2771">
        <w:rPr>
          <w:szCs w:val="22"/>
        </w:rPr>
        <w:t xml:space="preserve">Delegation of the first new </w:t>
      </w:r>
      <w:proofErr w:type="spellStart"/>
      <w:r w:rsidRPr="005E2771">
        <w:rPr>
          <w:szCs w:val="22"/>
        </w:rPr>
        <w:t>gTLDs</w:t>
      </w:r>
      <w:proofErr w:type="spellEnd"/>
      <w:r w:rsidRPr="005E2771">
        <w:rPr>
          <w:szCs w:val="22"/>
        </w:rPr>
        <w:t xml:space="preserve"> into the Internet’s Root Zone took place in October 2013, with </w:t>
      </w:r>
      <w:r>
        <w:rPr>
          <w:szCs w:val="22"/>
        </w:rPr>
        <w:t>over 1,200</w:t>
      </w:r>
      <w:r w:rsidR="0011227A">
        <w:rPr>
          <w:szCs w:val="22"/>
        </w:rPr>
        <w:t xml:space="preserve"> </w:t>
      </w:r>
      <w:proofErr w:type="spellStart"/>
      <w:r w:rsidRPr="005E2771">
        <w:rPr>
          <w:szCs w:val="22"/>
        </w:rPr>
        <w:t>gTLDs</w:t>
      </w:r>
      <w:proofErr w:type="spellEnd"/>
      <w:r w:rsidRPr="005E2771">
        <w:rPr>
          <w:szCs w:val="22"/>
        </w:rPr>
        <w:t xml:space="preserve"> </w:t>
      </w:r>
      <w:r>
        <w:rPr>
          <w:szCs w:val="22"/>
        </w:rPr>
        <w:t xml:space="preserve">delegated </w:t>
      </w:r>
      <w:r w:rsidRPr="005E2771">
        <w:rPr>
          <w:szCs w:val="22"/>
        </w:rPr>
        <w:t xml:space="preserve">by </w:t>
      </w:r>
      <w:r>
        <w:rPr>
          <w:szCs w:val="22"/>
        </w:rPr>
        <w:t>June 2018</w:t>
      </w:r>
      <w:r w:rsidRPr="005E2771">
        <w:rPr>
          <w:szCs w:val="22"/>
        </w:rPr>
        <w:t>.</w:t>
      </w:r>
      <w:r w:rsidRPr="006475B9">
        <w:rPr>
          <w:rStyle w:val="FootnoteReference"/>
          <w:rFonts w:eastAsia="SimSun"/>
          <w:szCs w:val="22"/>
        </w:rPr>
        <w:footnoteReference w:id="33"/>
      </w:r>
    </w:p>
    <w:p w:rsidR="00263C54" w:rsidRPr="005E2771" w:rsidRDefault="00263C54" w:rsidP="00B44019">
      <w:pPr>
        <w:pStyle w:val="ListParagraph"/>
        <w:keepNext/>
        <w:keepLines/>
        <w:numPr>
          <w:ilvl w:val="0"/>
          <w:numId w:val="7"/>
        </w:numPr>
        <w:spacing w:after="240"/>
        <w:ind w:left="0" w:firstLine="0"/>
        <w:contextualSpacing w:val="0"/>
        <w:rPr>
          <w:szCs w:val="22"/>
        </w:rPr>
      </w:pPr>
      <w:r w:rsidRPr="005E2771">
        <w:rPr>
          <w:szCs w:val="22"/>
        </w:rPr>
        <w:t xml:space="preserve">The Center remains committed to working with stakeholders to attempt to safeguard the observance of general principles of IP protection in new </w:t>
      </w:r>
      <w:proofErr w:type="spellStart"/>
      <w:r w:rsidRPr="005E2771">
        <w:rPr>
          <w:szCs w:val="22"/>
        </w:rPr>
        <w:t>gTLDs</w:t>
      </w:r>
      <w:proofErr w:type="spellEnd"/>
      <w:r w:rsidRPr="005E2771">
        <w:rPr>
          <w:szCs w:val="22"/>
        </w:rPr>
        <w:t>.</w:t>
      </w:r>
      <w:r w:rsidR="00F83CEE">
        <w:rPr>
          <w:szCs w:val="22"/>
        </w:rPr>
        <w:t xml:space="preserve"> </w:t>
      </w:r>
      <w:r w:rsidRPr="005E2771">
        <w:rPr>
          <w:szCs w:val="22"/>
        </w:rPr>
        <w:t xml:space="preserve">A number of the RPMs have emerged from a series of ICANN committees and processes for new </w:t>
      </w:r>
      <w:proofErr w:type="spellStart"/>
      <w:r w:rsidRPr="005E2771">
        <w:rPr>
          <w:szCs w:val="22"/>
        </w:rPr>
        <w:t>gTLDs</w:t>
      </w:r>
      <w:proofErr w:type="spellEnd"/>
      <w:r w:rsidRPr="005E2771">
        <w:rPr>
          <w:szCs w:val="22"/>
        </w:rPr>
        <w:t>.</w:t>
      </w:r>
      <w:r w:rsidRPr="006475B9">
        <w:rPr>
          <w:rStyle w:val="FootnoteReference"/>
          <w:rFonts w:eastAsia="SimSun"/>
          <w:szCs w:val="22"/>
        </w:rPr>
        <w:footnoteReference w:id="34"/>
      </w:r>
      <w:r w:rsidR="00F83CEE">
        <w:rPr>
          <w:szCs w:val="22"/>
        </w:rPr>
        <w:t xml:space="preserve"> </w:t>
      </w:r>
      <w:r w:rsidRPr="005E2771">
        <w:rPr>
          <w:szCs w:val="22"/>
        </w:rPr>
        <w:t>Set out below is a broad description of these ICANN RPMs, for the top level and the second level respectively.</w:t>
      </w:r>
    </w:p>
    <w:p w:rsidR="00263C54" w:rsidRPr="005212E9" w:rsidRDefault="00263C54" w:rsidP="00212E34">
      <w:pPr>
        <w:pStyle w:val="Heading3"/>
        <w:numPr>
          <w:ilvl w:val="0"/>
          <w:numId w:val="38"/>
        </w:numPr>
        <w:ind w:left="1701" w:hanging="567"/>
      </w:pPr>
      <w:r w:rsidRPr="00C50BC4">
        <w:t>Top Level RPMs</w:t>
      </w:r>
    </w:p>
    <w:p w:rsidR="00263C54" w:rsidRPr="006475B9" w:rsidRDefault="00263C54" w:rsidP="00B717EC">
      <w:pPr>
        <w:pStyle w:val="Heading4"/>
      </w:pPr>
      <w:r>
        <w:t>(i)</w:t>
      </w:r>
      <w:r>
        <w:tab/>
      </w:r>
      <w:r w:rsidRPr="00C50BC4">
        <w:rPr>
          <w:u w:val="single"/>
        </w:rPr>
        <w:t>Pre- (TLD) Delegation Dispute Resolution Procedure</w:t>
      </w:r>
    </w:p>
    <w:p w:rsidR="00263C54" w:rsidRPr="005E2771" w:rsidRDefault="00263C54" w:rsidP="00B44019">
      <w:pPr>
        <w:pStyle w:val="ListParagraph"/>
        <w:numPr>
          <w:ilvl w:val="0"/>
          <w:numId w:val="7"/>
        </w:numPr>
        <w:spacing w:before="240"/>
        <w:ind w:left="0" w:firstLine="0"/>
        <w:contextualSpacing w:val="0"/>
        <w:rPr>
          <w:szCs w:val="22"/>
        </w:rPr>
      </w:pPr>
      <w:r w:rsidRPr="005E2771">
        <w:rPr>
          <w:szCs w:val="22"/>
        </w:rPr>
        <w:t xml:space="preserve">This mechanism allowed trademark owners to lodge Legal Rights Objections (LRO) to new </w:t>
      </w:r>
      <w:proofErr w:type="spellStart"/>
      <w:r w:rsidRPr="005E2771">
        <w:rPr>
          <w:szCs w:val="22"/>
        </w:rPr>
        <w:t>gTLD</w:t>
      </w:r>
      <w:proofErr w:type="spellEnd"/>
      <w:r w:rsidRPr="005E2771">
        <w:rPr>
          <w:szCs w:val="22"/>
        </w:rPr>
        <w:t xml:space="preserve"> applications at the top level where certain substantive criteria were met.</w:t>
      </w:r>
      <w:r w:rsidRPr="006475B9">
        <w:rPr>
          <w:rStyle w:val="FootnoteReference"/>
          <w:rFonts w:eastAsia="SimSun"/>
          <w:szCs w:val="22"/>
        </w:rPr>
        <w:footnoteReference w:id="35"/>
      </w:r>
      <w:r w:rsidR="00F83CEE">
        <w:rPr>
          <w:szCs w:val="22"/>
        </w:rPr>
        <w:t xml:space="preserve"> </w:t>
      </w:r>
      <w:r w:rsidRPr="005E2771">
        <w:rPr>
          <w:szCs w:val="22"/>
        </w:rPr>
        <w:t>The Center assisted ICANN in the establishment of these criteria on the basis of the “WIPO Joint Recommendation Concerning Provisions on the Protection of Marks, and Other Industrial Property Rights in Signs, on the Internet”.</w:t>
      </w:r>
      <w:r w:rsidRPr="006475B9">
        <w:rPr>
          <w:vertAlign w:val="superscript"/>
        </w:rPr>
        <w:footnoteReference w:id="36"/>
      </w:r>
    </w:p>
    <w:p w:rsidR="00263C54" w:rsidRPr="005E2771" w:rsidRDefault="00263C54" w:rsidP="00B44019">
      <w:pPr>
        <w:pStyle w:val="ListParagraph"/>
        <w:numPr>
          <w:ilvl w:val="0"/>
          <w:numId w:val="7"/>
        </w:numPr>
        <w:spacing w:before="240" w:after="240"/>
        <w:ind w:left="0" w:firstLine="0"/>
        <w:contextualSpacing w:val="0"/>
        <w:rPr>
          <w:szCs w:val="22"/>
        </w:rPr>
      </w:pPr>
      <w:r w:rsidRPr="005E2771">
        <w:rPr>
          <w:szCs w:val="22"/>
        </w:rPr>
        <w:lastRenderedPageBreak/>
        <w:t>Appointed by ICANN as the exclusive provider of LRO dispute resolution services,</w:t>
      </w:r>
      <w:r w:rsidRPr="006475B9">
        <w:rPr>
          <w:rStyle w:val="FootnoteReference"/>
          <w:rFonts w:eastAsia="SimSun"/>
          <w:szCs w:val="22"/>
        </w:rPr>
        <w:footnoteReference w:id="37"/>
      </w:r>
      <w:r w:rsidRPr="005E2771">
        <w:rPr>
          <w:bCs/>
          <w:szCs w:val="22"/>
        </w:rPr>
        <w:t xml:space="preserve"> </w:t>
      </w:r>
      <w:r w:rsidRPr="005E2771">
        <w:rPr>
          <w:szCs w:val="22"/>
        </w:rPr>
        <w:t>the Center received 69 compliant LRO filings, which it completed processing by September 2013.</w:t>
      </w:r>
      <w:r w:rsidRPr="006475B9">
        <w:rPr>
          <w:rStyle w:val="FootnoteReference"/>
          <w:rFonts w:eastAsia="SimSun"/>
          <w:szCs w:val="22"/>
        </w:rPr>
        <w:footnoteReference w:id="38"/>
      </w:r>
      <w:r w:rsidR="00F83CEE">
        <w:rPr>
          <w:szCs w:val="22"/>
        </w:rPr>
        <w:t xml:space="preserve"> </w:t>
      </w:r>
      <w:r w:rsidRPr="005E2771">
        <w:rPr>
          <w:szCs w:val="22"/>
        </w:rPr>
        <w:t>All WIPO LRO expert panel determinations are available on the Center’s website,</w:t>
      </w:r>
      <w:r w:rsidRPr="006475B9">
        <w:rPr>
          <w:rStyle w:val="FootnoteReference"/>
          <w:rFonts w:eastAsia="SimSun"/>
          <w:szCs w:val="22"/>
        </w:rPr>
        <w:footnoteReference w:id="39"/>
      </w:r>
      <w:r w:rsidRPr="005E2771">
        <w:rPr>
          <w:szCs w:val="22"/>
        </w:rPr>
        <w:t xml:space="preserve"> as is a Center report on the LRO process.</w:t>
      </w:r>
      <w:r w:rsidRPr="006475B9">
        <w:rPr>
          <w:rStyle w:val="FootnoteReference"/>
          <w:rFonts w:eastAsia="SimSun"/>
          <w:szCs w:val="22"/>
        </w:rPr>
        <w:footnoteReference w:id="40"/>
      </w:r>
      <w:r w:rsidR="00F83CEE">
        <w:rPr>
          <w:szCs w:val="22"/>
        </w:rPr>
        <w:t xml:space="preserve"> </w:t>
      </w:r>
    </w:p>
    <w:p w:rsidR="00263C54" w:rsidRPr="006475B9" w:rsidRDefault="00263C54" w:rsidP="00B717EC">
      <w:pPr>
        <w:pStyle w:val="Heading4"/>
      </w:pPr>
      <w:r>
        <w:t>(ii)</w:t>
      </w:r>
      <w:r>
        <w:tab/>
      </w:r>
      <w:r w:rsidRPr="00C50BC4">
        <w:rPr>
          <w:u w:val="single"/>
        </w:rPr>
        <w:t>Post- (TLD) Delegation Dispute Resolution Procedure (PDDRP)</w:t>
      </w:r>
      <w:r w:rsidRPr="006475B9">
        <w:t xml:space="preserve"> </w:t>
      </w:r>
    </w:p>
    <w:p w:rsidR="00263C54" w:rsidRPr="005E2771" w:rsidRDefault="00263C54" w:rsidP="00B44019">
      <w:pPr>
        <w:pStyle w:val="ListParagraph"/>
        <w:numPr>
          <w:ilvl w:val="0"/>
          <w:numId w:val="7"/>
        </w:numPr>
        <w:spacing w:before="240" w:after="240"/>
        <w:ind w:left="0" w:firstLine="0"/>
        <w:contextualSpacing w:val="0"/>
        <w:rPr>
          <w:szCs w:val="22"/>
        </w:rPr>
      </w:pPr>
      <w:r w:rsidRPr="005E2771">
        <w:rPr>
          <w:szCs w:val="22"/>
        </w:rPr>
        <w:t xml:space="preserve">In early 2009, the Center communicated to ICANN a concrete substantive proposal for a permanent administrative option that would allow for the filing of a complaint with respect to an approved new </w:t>
      </w:r>
      <w:proofErr w:type="spellStart"/>
      <w:r w:rsidRPr="005E2771">
        <w:rPr>
          <w:szCs w:val="22"/>
        </w:rPr>
        <w:t>gTLD</w:t>
      </w:r>
      <w:proofErr w:type="spellEnd"/>
      <w:r w:rsidRPr="005E2771">
        <w:rPr>
          <w:szCs w:val="22"/>
        </w:rPr>
        <w:t xml:space="preserve"> registry operator whose manner of operation or use of its registry is alleged to cause or materially contribute to trademark abuse.</w:t>
      </w:r>
      <w:r w:rsidRPr="006475B9">
        <w:rPr>
          <w:vertAlign w:val="superscript"/>
        </w:rPr>
        <w:footnoteReference w:id="41"/>
      </w:r>
      <w:r w:rsidR="00F83CEE">
        <w:rPr>
          <w:szCs w:val="22"/>
        </w:rPr>
        <w:t xml:space="preserve"> </w:t>
      </w:r>
      <w:r w:rsidRPr="005E2771">
        <w:rPr>
          <w:szCs w:val="22"/>
        </w:rPr>
        <w:t>The proposal’s intent was to offer standardized assistance to ICANN’s own compliance oversight responsibilities, by providing an administrative alternative to court litigation, encouraging responsible conduct by relevant actors and including appropriate safe</w:t>
      </w:r>
      <w:r w:rsidRPr="005E2771">
        <w:rPr>
          <w:szCs w:val="22"/>
        </w:rPr>
        <w:noBreakHyphen/>
        <w:t>harbors.</w:t>
      </w:r>
      <w:r w:rsidRPr="006475B9">
        <w:rPr>
          <w:rStyle w:val="FootnoteReference"/>
          <w:rFonts w:eastAsia="SimSun"/>
          <w:szCs w:val="22"/>
        </w:rPr>
        <w:footnoteReference w:id="42"/>
      </w:r>
      <w:r w:rsidR="00F83CEE">
        <w:rPr>
          <w:szCs w:val="22"/>
        </w:rPr>
        <w:t xml:space="preserve"> </w:t>
      </w:r>
    </w:p>
    <w:p w:rsidR="00263C54" w:rsidRPr="005E2771" w:rsidRDefault="00263C54" w:rsidP="00B44019">
      <w:pPr>
        <w:pStyle w:val="ListParagraph"/>
        <w:numPr>
          <w:ilvl w:val="0"/>
          <w:numId w:val="7"/>
        </w:numPr>
        <w:spacing w:after="240"/>
        <w:ind w:left="0" w:firstLine="0"/>
        <w:contextualSpacing w:val="0"/>
        <w:rPr>
          <w:szCs w:val="22"/>
        </w:rPr>
      </w:pPr>
      <w:r w:rsidRPr="005E2771">
        <w:rPr>
          <w:szCs w:val="22"/>
        </w:rPr>
        <w:t>F</w:t>
      </w:r>
      <w:r>
        <w:rPr>
          <w:szCs w:val="22"/>
        </w:rPr>
        <w:t>ollowing various ICANN</w:t>
      </w:r>
      <w:r w:rsidRPr="005E2771">
        <w:rPr>
          <w:szCs w:val="22"/>
        </w:rPr>
        <w:t xml:space="preserve"> processes</w:t>
      </w:r>
      <w:r>
        <w:rPr>
          <w:szCs w:val="22"/>
        </w:rPr>
        <w:t>,</w:t>
      </w:r>
      <w:r w:rsidRPr="005E2771">
        <w:rPr>
          <w:szCs w:val="22"/>
        </w:rPr>
        <w:t xml:space="preserve"> </w:t>
      </w:r>
      <w:r>
        <w:rPr>
          <w:szCs w:val="22"/>
        </w:rPr>
        <w:t xml:space="preserve">including </w:t>
      </w:r>
      <w:r w:rsidRPr="005E2771">
        <w:rPr>
          <w:szCs w:val="22"/>
        </w:rPr>
        <w:t>consultations with registry operators, the effectiveness of this PDDRP in the form adopted by ICANN remains uncertain, in particular given the addition of overlapping procedural layers, and issues concerning the intended substantive scope of this mechanism.</w:t>
      </w:r>
      <w:r w:rsidR="00F83CEE">
        <w:rPr>
          <w:szCs w:val="22"/>
        </w:rPr>
        <w:t xml:space="preserve"> </w:t>
      </w:r>
      <w:r w:rsidRPr="005E2771">
        <w:rPr>
          <w:szCs w:val="22"/>
        </w:rPr>
        <w:t>In light of broader policy interests, the Center in 2013 agreed with ICANN to become a provider for the trademark PDDRP.</w:t>
      </w:r>
    </w:p>
    <w:p w:rsidR="00263C54" w:rsidRPr="005212E9" w:rsidRDefault="00263C54" w:rsidP="00212E34">
      <w:pPr>
        <w:pStyle w:val="Heading3"/>
        <w:ind w:left="1701" w:hanging="567"/>
      </w:pPr>
      <w:r w:rsidRPr="00C50BC4">
        <w:t>Second Level RPMs</w:t>
      </w:r>
    </w:p>
    <w:p w:rsidR="00263C54" w:rsidRPr="006475B9" w:rsidRDefault="00263C54" w:rsidP="004D0223">
      <w:pPr>
        <w:pStyle w:val="Heading4"/>
        <w:keepNext w:val="0"/>
      </w:pPr>
      <w:r>
        <w:t>(i)</w:t>
      </w:r>
      <w:r>
        <w:tab/>
      </w:r>
      <w:r w:rsidRPr="00C50BC4">
        <w:rPr>
          <w:u w:val="single"/>
        </w:rPr>
        <w:t>Trademark Clearinghouse (TMCH)</w:t>
      </w:r>
    </w:p>
    <w:p w:rsidR="00263C54" w:rsidRDefault="00263C54" w:rsidP="004D0223">
      <w:pPr>
        <w:pStyle w:val="ListParagraph"/>
        <w:numPr>
          <w:ilvl w:val="0"/>
          <w:numId w:val="7"/>
        </w:numPr>
        <w:spacing w:before="240" w:after="240"/>
        <w:ind w:left="0" w:firstLine="0"/>
        <w:contextualSpacing w:val="0"/>
      </w:pPr>
      <w:r w:rsidRPr="006475B9">
        <w:t xml:space="preserve">ICANN’s New </w:t>
      </w:r>
      <w:proofErr w:type="spellStart"/>
      <w:r w:rsidRPr="006475B9">
        <w:t>gTLD</w:t>
      </w:r>
      <w:proofErr w:type="spellEnd"/>
      <w:r w:rsidRPr="006475B9">
        <w:t xml:space="preserve"> Program includes a </w:t>
      </w:r>
      <w:r>
        <w:t>TMCH</w:t>
      </w:r>
      <w:r w:rsidRPr="006475B9">
        <w:t xml:space="preserve"> as a centralized repository of authenticated trademark data which could be invoked as the basis for filing under new </w:t>
      </w:r>
      <w:proofErr w:type="spellStart"/>
      <w:r w:rsidRPr="006475B9">
        <w:t>gTLD</w:t>
      </w:r>
      <w:proofErr w:type="spellEnd"/>
      <w:r w:rsidRPr="006475B9">
        <w:t xml:space="preserve"> RPMs.</w:t>
      </w:r>
      <w:r w:rsidRPr="006475B9">
        <w:rPr>
          <w:rStyle w:val="FootnoteReference"/>
          <w:rFonts w:eastAsia="SimSun"/>
        </w:rPr>
        <w:footnoteReference w:id="43"/>
      </w:r>
      <w:r w:rsidR="00F83CEE">
        <w:t xml:space="preserve"> </w:t>
      </w:r>
      <w:r w:rsidRPr="006475B9">
        <w:t xml:space="preserve">The Center has commented that </w:t>
      </w:r>
      <w:r>
        <w:t>the TMCH</w:t>
      </w:r>
      <w:r w:rsidRPr="006475B9">
        <w:t xml:space="preserve"> should not unfairly burden rights holders in </w:t>
      </w:r>
      <w:r w:rsidRPr="006475B9">
        <w:lastRenderedPageBreak/>
        <w:t>the treatment of trademark registrations legitimately obtained through examination and registration systems as applied in many global jurisdictions, and that, if and where relevant, practical measures may be envisaged to identify any allegedly inappropriate invocation of rights in specific contexts.</w:t>
      </w:r>
      <w:r w:rsidR="00F83CEE">
        <w:t xml:space="preserve"> </w:t>
      </w:r>
      <w:r w:rsidRPr="00B54F9C">
        <w:t>According to available information, it appears that through May 2018, the TMCH had received over 44,000 entries.</w:t>
      </w:r>
      <w:r w:rsidRPr="00B54F9C">
        <w:rPr>
          <w:rStyle w:val="FootnoteReference"/>
          <w:rFonts w:eastAsia="SimSun"/>
          <w:szCs w:val="22"/>
        </w:rPr>
        <w:footnoteReference w:id="44"/>
      </w:r>
      <w:r w:rsidR="00F83CEE">
        <w:t xml:space="preserve"> </w:t>
      </w:r>
    </w:p>
    <w:p w:rsidR="00263C54" w:rsidRPr="006475B9" w:rsidRDefault="00263C54" w:rsidP="004D0223">
      <w:pPr>
        <w:pStyle w:val="Heading4"/>
        <w:rPr>
          <w:color w:val="000000"/>
        </w:rPr>
      </w:pPr>
      <w:r>
        <w:t>(ii)</w:t>
      </w:r>
      <w:r>
        <w:tab/>
      </w:r>
      <w:r w:rsidRPr="00C50BC4">
        <w:rPr>
          <w:u w:val="single"/>
        </w:rPr>
        <w:t>Uniform Rapid Suspension (URS) System</w:t>
      </w:r>
    </w:p>
    <w:p w:rsidR="00263C54" w:rsidRDefault="00263C54" w:rsidP="00B44019">
      <w:pPr>
        <w:pStyle w:val="ListParagraph"/>
        <w:numPr>
          <w:ilvl w:val="0"/>
          <w:numId w:val="7"/>
        </w:numPr>
        <w:spacing w:before="240"/>
        <w:ind w:left="0" w:firstLine="0"/>
        <w:contextualSpacing w:val="0"/>
      </w:pPr>
      <w:r w:rsidRPr="006475B9">
        <w:t xml:space="preserve">While importantly the UDRP remains available as a curative tool for new </w:t>
      </w:r>
      <w:proofErr w:type="spellStart"/>
      <w:r w:rsidRPr="006475B9">
        <w:t>gTLD</w:t>
      </w:r>
      <w:proofErr w:type="spellEnd"/>
      <w:r w:rsidRPr="006475B9">
        <w:t xml:space="preserve"> disputes involving the considered transfer of a disputed domain name to the trademark owner, ICANN has introduced what is intended to be a lighter second</w:t>
      </w:r>
      <w:r w:rsidRPr="006475B9">
        <w:noBreakHyphen/>
        <w:t>level RPM for appropriate cases.</w:t>
      </w:r>
      <w:r>
        <w:rPr>
          <w:rStyle w:val="FootnoteReference"/>
          <w:rFonts w:eastAsia="SimSun"/>
        </w:rPr>
        <w:footnoteReference w:id="45"/>
      </w:r>
      <w:r w:rsidRPr="006475B9">
        <w:t xml:space="preserve"> </w:t>
      </w:r>
    </w:p>
    <w:p w:rsidR="00263C54" w:rsidRPr="00604029" w:rsidRDefault="00263C54" w:rsidP="00B44019">
      <w:pPr>
        <w:pStyle w:val="ListParagraph"/>
        <w:numPr>
          <w:ilvl w:val="0"/>
          <w:numId w:val="7"/>
        </w:numPr>
        <w:spacing w:before="240" w:after="240"/>
        <w:ind w:left="0" w:firstLine="0"/>
        <w:contextualSpacing w:val="0"/>
      </w:pPr>
      <w:r>
        <w:t xml:space="preserve">Having </w:t>
      </w:r>
      <w:r w:rsidRPr="006475B9">
        <w:t>evolved from a sequence of ICANN processes and committees</w:t>
      </w:r>
      <w:r>
        <w:t>, the URS</w:t>
      </w:r>
      <w:r w:rsidRPr="006475B9">
        <w:t xml:space="preserve"> </w:t>
      </w:r>
      <w:r>
        <w:t xml:space="preserve">continues to raise a number of questions, </w:t>
      </w:r>
      <w:r w:rsidRPr="006475B9">
        <w:t xml:space="preserve">including its relationship </w:t>
      </w:r>
      <w:r>
        <w:t>to</w:t>
      </w:r>
      <w:r w:rsidRPr="006475B9">
        <w:t xml:space="preserve"> the UDRP.</w:t>
      </w:r>
      <w:r w:rsidRPr="006475B9">
        <w:rPr>
          <w:rStyle w:val="FootnoteReference"/>
          <w:rFonts w:eastAsia="SimSun"/>
          <w:szCs w:val="22"/>
        </w:rPr>
        <w:footnoteReference w:id="46"/>
      </w:r>
      <w:r w:rsidR="00F83CEE">
        <w:t xml:space="preserve"> </w:t>
      </w:r>
      <w:r w:rsidRPr="006475B9">
        <w:t xml:space="preserve">ICANN invited tenders from prospective URS providers, to which after careful consideration of the </w:t>
      </w:r>
      <w:r w:rsidRPr="00604029">
        <w:t>ICANN URS model and related resources, the Center has not been in a position to apply.</w:t>
      </w:r>
      <w:r w:rsidRPr="00604029">
        <w:rPr>
          <w:rStyle w:val="FootnoteReference"/>
          <w:rFonts w:eastAsia="SimSun"/>
        </w:rPr>
        <w:footnoteReference w:id="47"/>
      </w:r>
      <w:r w:rsidR="00F83CEE">
        <w:t xml:space="preserve"> </w:t>
      </w:r>
      <w:r w:rsidRPr="00604029">
        <w:t>The Center continues to closely monitor developments.</w:t>
      </w:r>
      <w:r w:rsidR="00F83CEE">
        <w:t xml:space="preserve"> </w:t>
      </w:r>
    </w:p>
    <w:p w:rsidR="00263C54" w:rsidRPr="00604029" w:rsidRDefault="00263C54" w:rsidP="00C50BC4">
      <w:pPr>
        <w:pStyle w:val="Heading2"/>
      </w:pPr>
      <w:r w:rsidRPr="00604029">
        <w:t>B.</w:t>
      </w:r>
      <w:r w:rsidRPr="00604029">
        <w:tab/>
        <w:t>ICANN’S PLANNED REVISION OF THE WIPO-INITIATED UDRP AND OTHER RPMs</w:t>
      </w:r>
    </w:p>
    <w:p w:rsidR="00263C54" w:rsidRPr="005A47CC" w:rsidRDefault="00263C54" w:rsidP="00B44019">
      <w:pPr>
        <w:pStyle w:val="ListParagraph"/>
        <w:widowControl w:val="0"/>
        <w:numPr>
          <w:ilvl w:val="0"/>
          <w:numId w:val="7"/>
        </w:numPr>
        <w:spacing w:before="240" w:after="240"/>
        <w:ind w:left="0" w:firstLine="0"/>
        <w:contextualSpacing w:val="0"/>
        <w:rPr>
          <w:szCs w:val="22"/>
        </w:rPr>
      </w:pPr>
      <w:r w:rsidRPr="005A47CC">
        <w:rPr>
          <w:szCs w:val="22"/>
        </w:rPr>
        <w:t>Accommodating the dynamic development of the DNS, the UDRP has been offering an effective alternative to court litigation for trademark owners, domain name registrants, and registration authorities.</w:t>
      </w:r>
      <w:r w:rsidR="00F83CEE">
        <w:rPr>
          <w:szCs w:val="22"/>
        </w:rPr>
        <w:t xml:space="preserve"> </w:t>
      </w:r>
      <w:r w:rsidRPr="005A47CC">
        <w:rPr>
          <w:szCs w:val="22"/>
        </w:rPr>
        <w:t>Nevertheless, following discussions in 2011 at which the clear majority of participants were of the opinion that more harm than good could result from any review of the UDRP by ICANN as a registration-driven body,</w:t>
      </w:r>
      <w:r w:rsidRPr="00B0164D">
        <w:rPr>
          <w:vertAlign w:val="superscript"/>
        </w:rPr>
        <w:footnoteReference w:id="48"/>
      </w:r>
      <w:r w:rsidRPr="005A47CC">
        <w:rPr>
          <w:szCs w:val="22"/>
        </w:rPr>
        <w:t xml:space="preserve"> a decision was taken by ICANN’s Generic Names Supporting Organization (GNSO) to review the UDRP following the launch of new </w:t>
      </w:r>
      <w:proofErr w:type="spellStart"/>
      <w:r w:rsidRPr="005A47CC">
        <w:rPr>
          <w:szCs w:val="22"/>
        </w:rPr>
        <w:t>gTLDs</w:t>
      </w:r>
      <w:proofErr w:type="spellEnd"/>
      <w:r w:rsidRPr="005A47CC">
        <w:rPr>
          <w:szCs w:val="22"/>
        </w:rPr>
        <w:t>.</w:t>
      </w:r>
      <w:r w:rsidR="00F83CEE">
        <w:rPr>
          <w:szCs w:val="22"/>
        </w:rPr>
        <w:t xml:space="preserve"> </w:t>
      </w:r>
      <w:r w:rsidRPr="005A47CC">
        <w:rPr>
          <w:szCs w:val="22"/>
        </w:rPr>
        <w:t>ICANN’s Preliminary Issue Report on this topic was issued in October 2015 describing a range of complex substantive and process-related questions.</w:t>
      </w:r>
      <w:r w:rsidRPr="00B0164D">
        <w:rPr>
          <w:szCs w:val="22"/>
          <w:vertAlign w:val="superscript"/>
        </w:rPr>
        <w:footnoteReference w:id="49"/>
      </w:r>
      <w:r w:rsidR="00F83CEE">
        <w:rPr>
          <w:szCs w:val="22"/>
        </w:rPr>
        <w:t xml:space="preserve"> </w:t>
      </w:r>
      <w:r w:rsidRPr="005A47CC">
        <w:rPr>
          <w:szCs w:val="22"/>
        </w:rPr>
        <w:t>In this regard, the Center provided observations highlighting both the UDRP’s long-proven success and the risks associated with any attempted ICANN revision of the UDRP.</w:t>
      </w:r>
      <w:r w:rsidR="00F83CEE">
        <w:rPr>
          <w:szCs w:val="22"/>
        </w:rPr>
        <w:t xml:space="preserve"> </w:t>
      </w:r>
      <w:r w:rsidRPr="005A47CC">
        <w:rPr>
          <w:szCs w:val="22"/>
        </w:rPr>
        <w:t>Following a public comment period, ICANN issued its Final Issue Report in January 2016 recommending that the GNSO launch a Policy Development Process (PDP) to review all RPMs in two phases;</w:t>
      </w:r>
      <w:r w:rsidR="00F83CEE">
        <w:rPr>
          <w:szCs w:val="22"/>
        </w:rPr>
        <w:t xml:space="preserve"> </w:t>
      </w:r>
      <w:r w:rsidRPr="005A47CC">
        <w:rPr>
          <w:szCs w:val="22"/>
        </w:rPr>
        <w:t xml:space="preserve">the initial phase is </w:t>
      </w:r>
      <w:r>
        <w:rPr>
          <w:szCs w:val="22"/>
        </w:rPr>
        <w:t>still</w:t>
      </w:r>
      <w:r w:rsidRPr="005A47CC">
        <w:rPr>
          <w:szCs w:val="22"/>
        </w:rPr>
        <w:t xml:space="preserve"> focusing on RPMs developed for the New </w:t>
      </w:r>
      <w:proofErr w:type="spellStart"/>
      <w:r w:rsidRPr="005A47CC">
        <w:rPr>
          <w:szCs w:val="22"/>
        </w:rPr>
        <w:t>gTLD</w:t>
      </w:r>
      <w:proofErr w:type="spellEnd"/>
      <w:r w:rsidRPr="005A47CC">
        <w:rPr>
          <w:szCs w:val="22"/>
        </w:rPr>
        <w:t xml:space="preserve"> Program</w:t>
      </w:r>
      <w:r>
        <w:rPr>
          <w:szCs w:val="22"/>
        </w:rPr>
        <w:t xml:space="preserve">, </w:t>
      </w:r>
      <w:r w:rsidRPr="005A47CC">
        <w:rPr>
          <w:szCs w:val="22"/>
        </w:rPr>
        <w:t>notably the TMCH (including “Sunrise” and “Claims” RPMs) and URS, whereas the second phase will focus on the UDRP.</w:t>
      </w:r>
      <w:r w:rsidRPr="00B0164D">
        <w:rPr>
          <w:szCs w:val="22"/>
          <w:vertAlign w:val="superscript"/>
        </w:rPr>
        <w:footnoteReference w:id="50"/>
      </w:r>
      <w:r w:rsidR="00F83CEE">
        <w:rPr>
          <w:szCs w:val="22"/>
        </w:rPr>
        <w:t xml:space="preserve"> </w:t>
      </w:r>
      <w:r w:rsidRPr="005A47CC">
        <w:rPr>
          <w:szCs w:val="22"/>
        </w:rPr>
        <w:t>This is a matter of serious concern, and the Center continues to closely follow ICANN stakeholders’ intentions with regard to the UDRP and trademark RPMs generally.</w:t>
      </w:r>
      <w:r w:rsidR="00F83CEE">
        <w:rPr>
          <w:szCs w:val="22"/>
        </w:rPr>
        <w:t xml:space="preserve"> </w:t>
      </w:r>
      <w:r w:rsidRPr="005A47CC">
        <w:rPr>
          <w:szCs w:val="22"/>
        </w:rPr>
        <w:t xml:space="preserve">In this effort, the Center </w:t>
      </w:r>
      <w:r>
        <w:rPr>
          <w:szCs w:val="22"/>
        </w:rPr>
        <w:t>where relevant is</w:t>
      </w:r>
      <w:r w:rsidRPr="005A47CC">
        <w:rPr>
          <w:szCs w:val="22"/>
        </w:rPr>
        <w:t xml:space="preserve"> in contact with trademark stakeholders such as </w:t>
      </w:r>
      <w:r>
        <w:rPr>
          <w:szCs w:val="22"/>
        </w:rPr>
        <w:t xml:space="preserve">ECTA, </w:t>
      </w:r>
      <w:r w:rsidRPr="005A47CC">
        <w:rPr>
          <w:szCs w:val="22"/>
        </w:rPr>
        <w:t>INTA</w:t>
      </w:r>
      <w:r>
        <w:rPr>
          <w:szCs w:val="22"/>
        </w:rPr>
        <w:t>,</w:t>
      </w:r>
      <w:r w:rsidRPr="005A47CC">
        <w:rPr>
          <w:szCs w:val="22"/>
        </w:rPr>
        <w:t xml:space="preserve"> </w:t>
      </w:r>
      <w:r>
        <w:rPr>
          <w:szCs w:val="22"/>
        </w:rPr>
        <w:t xml:space="preserve">and </w:t>
      </w:r>
      <w:r w:rsidRPr="005A47CC">
        <w:rPr>
          <w:szCs w:val="22"/>
        </w:rPr>
        <w:t>MARQUES.</w:t>
      </w:r>
    </w:p>
    <w:p w:rsidR="00263C54" w:rsidRPr="00B44019" w:rsidRDefault="0011227A" w:rsidP="00C50BC4">
      <w:pPr>
        <w:pStyle w:val="Heading2"/>
      </w:pPr>
      <w:r w:rsidRPr="00B44019">
        <w:lastRenderedPageBreak/>
        <w:t>C.</w:t>
      </w:r>
      <w:r w:rsidRPr="00B44019">
        <w:tab/>
      </w:r>
      <w:r w:rsidR="00043B50" w:rsidRPr="00B44019">
        <w:t>GDPR</w:t>
      </w:r>
      <w:r w:rsidR="00263C54" w:rsidRPr="00B44019">
        <w:t xml:space="preserve"> AND THE WHOIS DATABASE</w:t>
      </w:r>
    </w:p>
    <w:p w:rsidR="00263C54" w:rsidRPr="00210516" w:rsidRDefault="00263C54" w:rsidP="00B44019">
      <w:pPr>
        <w:pStyle w:val="ListParagraph"/>
        <w:widowControl w:val="0"/>
        <w:numPr>
          <w:ilvl w:val="0"/>
          <w:numId w:val="7"/>
        </w:numPr>
        <w:spacing w:before="240"/>
        <w:ind w:left="0" w:firstLine="0"/>
        <w:contextualSpacing w:val="0"/>
        <w:rPr>
          <w:szCs w:val="22"/>
        </w:rPr>
      </w:pPr>
      <w:r w:rsidRPr="00210516">
        <w:rPr>
          <w:szCs w:val="22"/>
        </w:rPr>
        <w:t xml:space="preserve">The European Union’s General Data Protection Regulation (GDPR) </w:t>
      </w:r>
      <w:r>
        <w:rPr>
          <w:szCs w:val="22"/>
        </w:rPr>
        <w:t>came into force on May 25, 2018.</w:t>
      </w:r>
      <w:r w:rsidR="00F83CEE">
        <w:rPr>
          <w:szCs w:val="22"/>
        </w:rPr>
        <w:t xml:space="preserve"> </w:t>
      </w:r>
      <w:r>
        <w:rPr>
          <w:szCs w:val="22"/>
        </w:rPr>
        <w:t xml:space="preserve">As stated by </w:t>
      </w:r>
      <w:r w:rsidRPr="00210516">
        <w:rPr>
          <w:szCs w:val="22"/>
        </w:rPr>
        <w:t xml:space="preserve">the European Commission, the overarching aim of the GDPR is to </w:t>
      </w:r>
      <w:r>
        <w:rPr>
          <w:szCs w:val="22"/>
        </w:rPr>
        <w:t>address</w:t>
      </w:r>
      <w:r w:rsidRPr="00210516">
        <w:rPr>
          <w:szCs w:val="22"/>
        </w:rPr>
        <w:t xml:space="preserve"> privacy </w:t>
      </w:r>
      <w:r>
        <w:rPr>
          <w:szCs w:val="22"/>
        </w:rPr>
        <w:t xml:space="preserve">and data concerns, whereby these aims </w:t>
      </w:r>
      <w:r w:rsidRPr="00210516">
        <w:rPr>
          <w:szCs w:val="22"/>
        </w:rPr>
        <w:t xml:space="preserve">must be measured against legitimate </w:t>
      </w:r>
      <w:r>
        <w:rPr>
          <w:szCs w:val="22"/>
        </w:rPr>
        <w:t>third</w:t>
      </w:r>
      <w:r>
        <w:rPr>
          <w:szCs w:val="22"/>
        </w:rPr>
        <w:noBreakHyphen/>
        <w:t xml:space="preserve">party interests </w:t>
      </w:r>
      <w:r w:rsidRPr="00210516">
        <w:rPr>
          <w:szCs w:val="22"/>
        </w:rPr>
        <w:t xml:space="preserve">such as </w:t>
      </w:r>
      <w:r>
        <w:rPr>
          <w:szCs w:val="22"/>
        </w:rPr>
        <w:t xml:space="preserve">contracts and </w:t>
      </w:r>
      <w:r w:rsidRPr="00210516">
        <w:rPr>
          <w:szCs w:val="22"/>
        </w:rPr>
        <w:t>legal dispute</w:t>
      </w:r>
      <w:r>
        <w:rPr>
          <w:szCs w:val="22"/>
        </w:rPr>
        <w:t>s</w:t>
      </w:r>
      <w:r w:rsidRPr="00210516">
        <w:rPr>
          <w:szCs w:val="22"/>
        </w:rPr>
        <w:t>.</w:t>
      </w:r>
      <w:r w:rsidR="00F83CEE">
        <w:rPr>
          <w:szCs w:val="22"/>
        </w:rPr>
        <w:t xml:space="preserve"> </w:t>
      </w:r>
    </w:p>
    <w:p w:rsidR="00263C54" w:rsidRPr="003F1164" w:rsidRDefault="00263C54" w:rsidP="00B44019">
      <w:pPr>
        <w:pStyle w:val="ListParagraph"/>
        <w:widowControl w:val="0"/>
        <w:numPr>
          <w:ilvl w:val="0"/>
          <w:numId w:val="7"/>
        </w:numPr>
        <w:spacing w:before="240" w:after="240"/>
        <w:ind w:left="0" w:firstLine="0"/>
        <w:contextualSpacing w:val="0"/>
        <w:rPr>
          <w:szCs w:val="22"/>
        </w:rPr>
      </w:pPr>
      <w:r w:rsidRPr="003F1164">
        <w:rPr>
          <w:szCs w:val="22"/>
        </w:rPr>
        <w:t xml:space="preserve">After May 25, 2018, publicly-available </w:t>
      </w:r>
      <w:proofErr w:type="spellStart"/>
      <w:r w:rsidRPr="003F1164">
        <w:rPr>
          <w:szCs w:val="22"/>
        </w:rPr>
        <w:t>WhoIs</w:t>
      </w:r>
      <w:proofErr w:type="spellEnd"/>
      <w:r w:rsidRPr="003F1164">
        <w:rPr>
          <w:szCs w:val="22"/>
        </w:rPr>
        <w:t xml:space="preserve"> data significantly no longer includes full contact details for the domain name registrant.</w:t>
      </w:r>
      <w:r w:rsidR="00F83CEE">
        <w:rPr>
          <w:szCs w:val="22"/>
        </w:rPr>
        <w:t xml:space="preserve"> </w:t>
      </w:r>
      <w:r w:rsidRPr="003F1164">
        <w:rPr>
          <w:szCs w:val="22"/>
        </w:rPr>
        <w:t xml:space="preserve">Instead, publicly-available </w:t>
      </w:r>
      <w:proofErr w:type="spellStart"/>
      <w:r w:rsidRPr="003F1164">
        <w:rPr>
          <w:szCs w:val="22"/>
        </w:rPr>
        <w:t>WhoIs</w:t>
      </w:r>
      <w:proofErr w:type="spellEnd"/>
      <w:r w:rsidRPr="003F1164">
        <w:rPr>
          <w:szCs w:val="22"/>
        </w:rPr>
        <w:t xml:space="preserve"> data is generally limited to the “registrant organization” and country.</w:t>
      </w:r>
      <w:r w:rsidR="00F83CEE">
        <w:rPr>
          <w:szCs w:val="22"/>
        </w:rPr>
        <w:t xml:space="preserve"> </w:t>
      </w:r>
      <w:r w:rsidRPr="003F1164">
        <w:rPr>
          <w:szCs w:val="22"/>
        </w:rPr>
        <w:t>Notably, the registrant’s name and email address will in most instances not be visible.</w:t>
      </w:r>
      <w:r w:rsidR="00F83CEE">
        <w:rPr>
          <w:szCs w:val="22"/>
        </w:rPr>
        <w:t xml:space="preserve"> </w:t>
      </w:r>
      <w:r w:rsidRPr="003F1164">
        <w:rPr>
          <w:szCs w:val="22"/>
        </w:rPr>
        <w:t>However, in order to facilitate contact with the domain name registrant, the concerned registrar is required to provide an “anonymized” email address or web-based contact form.</w:t>
      </w:r>
      <w:r w:rsidR="00F83CEE">
        <w:rPr>
          <w:szCs w:val="22"/>
        </w:rPr>
        <w:t xml:space="preserve"> </w:t>
      </w:r>
      <w:r w:rsidRPr="003F1164">
        <w:rPr>
          <w:szCs w:val="22"/>
        </w:rPr>
        <w:t xml:space="preserve">Despite these public limitations, where a UDRP complaint has been submitted to a UDRP provider, ICANN-compliant registrars will normally provide </w:t>
      </w:r>
      <w:proofErr w:type="spellStart"/>
      <w:r w:rsidRPr="003F1164">
        <w:rPr>
          <w:szCs w:val="22"/>
        </w:rPr>
        <w:t>WhoIs</w:t>
      </w:r>
      <w:proofErr w:type="spellEnd"/>
      <w:r w:rsidRPr="003F1164">
        <w:rPr>
          <w:szCs w:val="22"/>
        </w:rPr>
        <w:t xml:space="preserve"> information on request from such provider (and at the same time “lock” the domain name’s registration and registrar details), further to due process requirements codified in the UDRP Rules.</w:t>
      </w:r>
      <w:r w:rsidR="00F83CEE">
        <w:rPr>
          <w:szCs w:val="22"/>
        </w:rPr>
        <w:t xml:space="preserve"> </w:t>
      </w:r>
      <w:r w:rsidRPr="003F1164">
        <w:rPr>
          <w:szCs w:val="22"/>
        </w:rPr>
        <w:t xml:space="preserve">The ICANN “Temporary [contract] Specification” for </w:t>
      </w:r>
      <w:proofErr w:type="spellStart"/>
      <w:r w:rsidRPr="003F1164">
        <w:rPr>
          <w:szCs w:val="22"/>
        </w:rPr>
        <w:t>gTLD</w:t>
      </w:r>
      <w:proofErr w:type="spellEnd"/>
      <w:r w:rsidRPr="003F1164">
        <w:rPr>
          <w:szCs w:val="22"/>
        </w:rPr>
        <w:t xml:space="preserve"> Registration Data expressly acknowledges that registrars must provide full “Registration Data” to UDRP providers.</w:t>
      </w:r>
      <w:r w:rsidRPr="003F1164">
        <w:rPr>
          <w:rStyle w:val="FootnoteReference"/>
          <w:szCs w:val="22"/>
        </w:rPr>
        <w:footnoteReference w:id="51"/>
      </w:r>
      <w:r w:rsidR="00F83CEE">
        <w:rPr>
          <w:szCs w:val="22"/>
        </w:rPr>
        <w:t xml:space="preserve"> </w:t>
      </w:r>
      <w:r w:rsidRPr="003F1164">
        <w:rPr>
          <w:szCs w:val="22"/>
        </w:rPr>
        <w:t>This appears to be on the recognition that UDRP providers meet the GDPR’s Article</w:t>
      </w:r>
      <w:r w:rsidR="005B5B05">
        <w:rPr>
          <w:szCs w:val="22"/>
        </w:rPr>
        <w:t> </w:t>
      </w:r>
      <w:r w:rsidRPr="003F1164">
        <w:rPr>
          <w:szCs w:val="22"/>
        </w:rPr>
        <w:t xml:space="preserve">6(1)(f) “legitimate purposes” and Article 6(1)(b) “performance of a contract” criteria, such that registrars can and should provide </w:t>
      </w:r>
      <w:proofErr w:type="spellStart"/>
      <w:r w:rsidRPr="003F1164">
        <w:rPr>
          <w:szCs w:val="22"/>
        </w:rPr>
        <w:t>WhoIs</w:t>
      </w:r>
      <w:proofErr w:type="spellEnd"/>
      <w:r w:rsidRPr="003F1164">
        <w:rPr>
          <w:szCs w:val="22"/>
        </w:rPr>
        <w:t xml:space="preserve"> data to UDRP providers.</w:t>
      </w:r>
      <w:r w:rsidR="00F83CEE">
        <w:rPr>
          <w:szCs w:val="22"/>
        </w:rPr>
        <w:t xml:space="preserve"> </w:t>
      </w:r>
    </w:p>
    <w:p w:rsidR="00263C54" w:rsidRPr="003078CD" w:rsidRDefault="00263C54" w:rsidP="00B44019">
      <w:pPr>
        <w:pStyle w:val="ListParagraph"/>
        <w:widowControl w:val="0"/>
        <w:numPr>
          <w:ilvl w:val="0"/>
          <w:numId w:val="7"/>
        </w:numPr>
        <w:spacing w:after="240"/>
        <w:ind w:left="0" w:firstLine="0"/>
        <w:contextualSpacing w:val="0"/>
        <w:rPr>
          <w:szCs w:val="22"/>
        </w:rPr>
      </w:pPr>
      <w:r w:rsidRPr="00756A57">
        <w:rPr>
          <w:szCs w:val="22"/>
        </w:rPr>
        <w:t>The Center continues to closely monitor the impact of the GDPR on UDRP proceedings.</w:t>
      </w:r>
      <w:r w:rsidR="00F83CEE">
        <w:rPr>
          <w:szCs w:val="22"/>
        </w:rPr>
        <w:t xml:space="preserve"> </w:t>
      </w:r>
      <w:r w:rsidRPr="00756A57">
        <w:rPr>
          <w:szCs w:val="22"/>
        </w:rPr>
        <w:t xml:space="preserve">Separate from the Center’s UDRP function, with </w:t>
      </w:r>
      <w:r>
        <w:rPr>
          <w:szCs w:val="22"/>
        </w:rPr>
        <w:t xml:space="preserve">a view to addressing </w:t>
      </w:r>
      <w:r w:rsidRPr="00756A57">
        <w:rPr>
          <w:szCs w:val="22"/>
        </w:rPr>
        <w:t>broader IP enforcement concerns</w:t>
      </w:r>
      <w:r>
        <w:rPr>
          <w:szCs w:val="22"/>
        </w:rPr>
        <w:t xml:space="preserve"> occasioned by GDPR implementation</w:t>
      </w:r>
      <w:r w:rsidRPr="00756A57">
        <w:rPr>
          <w:szCs w:val="22"/>
        </w:rPr>
        <w:t>,</w:t>
      </w:r>
      <w:r>
        <w:rPr>
          <w:szCs w:val="22"/>
        </w:rPr>
        <w:t xml:space="preserve"> there are significant ongoing stakeholder</w:t>
      </w:r>
      <w:r w:rsidR="00E760C0">
        <w:rPr>
          <w:szCs w:val="22"/>
        </w:rPr>
        <w:t xml:space="preserve"> discussions on a possible </w:t>
      </w:r>
      <w:proofErr w:type="spellStart"/>
      <w:r w:rsidR="00E760C0">
        <w:rPr>
          <w:szCs w:val="22"/>
        </w:rPr>
        <w:t>WhoIs</w:t>
      </w:r>
      <w:proofErr w:type="spellEnd"/>
      <w:r>
        <w:rPr>
          <w:szCs w:val="22"/>
        </w:rPr>
        <w:t xml:space="preserve"> </w:t>
      </w:r>
      <w:r w:rsidR="00E760C0">
        <w:rPr>
          <w:szCs w:val="22"/>
        </w:rPr>
        <w:t xml:space="preserve">“accreditation and </w:t>
      </w:r>
      <w:r w:rsidRPr="00756A57">
        <w:rPr>
          <w:szCs w:val="22"/>
        </w:rPr>
        <w:t>access</w:t>
      </w:r>
      <w:r w:rsidR="00E760C0">
        <w:rPr>
          <w:szCs w:val="22"/>
        </w:rPr>
        <w:t>”</w:t>
      </w:r>
      <w:r w:rsidRPr="00756A57">
        <w:rPr>
          <w:szCs w:val="22"/>
        </w:rPr>
        <w:t xml:space="preserve"> model</w:t>
      </w:r>
      <w:r>
        <w:rPr>
          <w:szCs w:val="22"/>
        </w:rPr>
        <w:t>,</w:t>
      </w:r>
      <w:r w:rsidRPr="00756A57">
        <w:rPr>
          <w:szCs w:val="22"/>
        </w:rPr>
        <w:t xml:space="preserve"> including as to a potential WIPO role to </w:t>
      </w:r>
      <w:r>
        <w:rPr>
          <w:szCs w:val="22"/>
        </w:rPr>
        <w:t>certify</w:t>
      </w:r>
      <w:r w:rsidRPr="00756A57">
        <w:rPr>
          <w:szCs w:val="22"/>
        </w:rPr>
        <w:t xml:space="preserve"> IP owners</w:t>
      </w:r>
      <w:r>
        <w:rPr>
          <w:szCs w:val="22"/>
        </w:rPr>
        <w:t>’</w:t>
      </w:r>
      <w:r w:rsidRPr="00756A57">
        <w:rPr>
          <w:szCs w:val="22"/>
        </w:rPr>
        <w:t xml:space="preserve"> </w:t>
      </w:r>
      <w:r>
        <w:rPr>
          <w:szCs w:val="22"/>
        </w:rPr>
        <w:t xml:space="preserve">rights </w:t>
      </w:r>
      <w:r w:rsidRPr="00756A57">
        <w:rPr>
          <w:szCs w:val="22"/>
        </w:rPr>
        <w:t>for such access.</w:t>
      </w:r>
      <w:r>
        <w:rPr>
          <w:rStyle w:val="FootnoteReference"/>
          <w:szCs w:val="22"/>
        </w:rPr>
        <w:footnoteReference w:id="52"/>
      </w:r>
      <w:r w:rsidRPr="00756A57">
        <w:rPr>
          <w:szCs w:val="22"/>
        </w:rPr>
        <w:t xml:space="preserve"> </w:t>
      </w:r>
    </w:p>
    <w:p w:rsidR="00263C54" w:rsidRPr="00281985" w:rsidRDefault="00263C54" w:rsidP="00C50BC4">
      <w:pPr>
        <w:pStyle w:val="Heading2"/>
      </w:pPr>
      <w:r w:rsidRPr="00281985">
        <w:t>D.</w:t>
      </w:r>
      <w:r w:rsidRPr="00281985">
        <w:tab/>
        <w:t>IDNS</w:t>
      </w:r>
    </w:p>
    <w:p w:rsidR="00263C54" w:rsidRPr="005E2771" w:rsidRDefault="00263C54" w:rsidP="00B44019">
      <w:pPr>
        <w:pStyle w:val="ListParagraph"/>
        <w:widowControl w:val="0"/>
        <w:numPr>
          <w:ilvl w:val="0"/>
          <w:numId w:val="7"/>
        </w:numPr>
        <w:spacing w:before="240" w:after="240"/>
        <w:ind w:left="0" w:firstLine="0"/>
        <w:contextualSpacing w:val="0"/>
        <w:rPr>
          <w:szCs w:val="22"/>
        </w:rPr>
      </w:pPr>
      <w:r w:rsidRPr="00626E71">
        <w:rPr>
          <w:szCs w:val="22"/>
        </w:rPr>
        <w:t xml:space="preserve">As noted </w:t>
      </w:r>
      <w:r w:rsidRPr="00604029">
        <w:rPr>
          <w:szCs w:val="22"/>
        </w:rPr>
        <w:t xml:space="preserve">in paragraph </w:t>
      </w:r>
      <w:r w:rsidR="00355914">
        <w:rPr>
          <w:szCs w:val="22"/>
        </w:rPr>
        <w:t>20</w:t>
      </w:r>
      <w:r w:rsidRPr="00B54F9C">
        <w:rPr>
          <w:szCs w:val="22"/>
        </w:rPr>
        <w:t>,</w:t>
      </w:r>
      <w:r w:rsidRPr="00626E71">
        <w:rPr>
          <w:szCs w:val="22"/>
        </w:rPr>
        <w:t xml:space="preserve"> another</w:t>
      </w:r>
      <w:r w:rsidRPr="005E2771">
        <w:rPr>
          <w:szCs w:val="22"/>
        </w:rPr>
        <w:t xml:space="preserve"> significant policy development in the DNS is the introduction of IDNs (non-Latin script) at the top level.</w:t>
      </w:r>
      <w:r w:rsidRPr="006475B9">
        <w:rPr>
          <w:rStyle w:val="FootnoteReference"/>
          <w:rFonts w:eastAsia="SimSun"/>
          <w:szCs w:val="22"/>
        </w:rPr>
        <w:footnoteReference w:id="53"/>
      </w:r>
      <w:r w:rsidR="00F83CEE">
        <w:rPr>
          <w:szCs w:val="22"/>
        </w:rPr>
        <w:t xml:space="preserve"> </w:t>
      </w:r>
      <w:r w:rsidRPr="005E2771">
        <w:rPr>
          <w:szCs w:val="22"/>
        </w:rPr>
        <w:t xml:space="preserve">Many of these were among the first new </w:t>
      </w:r>
      <w:proofErr w:type="spellStart"/>
      <w:r w:rsidRPr="005E2771">
        <w:rPr>
          <w:szCs w:val="22"/>
        </w:rPr>
        <w:t>gTLDs</w:t>
      </w:r>
      <w:proofErr w:type="spellEnd"/>
      <w:r w:rsidRPr="005E2771">
        <w:rPr>
          <w:szCs w:val="22"/>
        </w:rPr>
        <w:t xml:space="preserve"> announced by ICANN for delegation in the DNS root zone. </w:t>
      </w:r>
    </w:p>
    <w:p w:rsidR="00263C54" w:rsidRPr="006475B9" w:rsidRDefault="00263C54" w:rsidP="00C50BC4">
      <w:pPr>
        <w:pStyle w:val="Heading2"/>
      </w:pPr>
      <w:r>
        <w:t>E</w:t>
      </w:r>
      <w:r w:rsidRPr="006475B9">
        <w:t>.</w:t>
      </w:r>
      <w:r w:rsidRPr="006475B9">
        <w:tab/>
        <w:t>Other Identifiers</w:t>
      </w:r>
    </w:p>
    <w:p w:rsidR="00263C54" w:rsidRPr="005E2771" w:rsidRDefault="00263C54" w:rsidP="00F83CEE">
      <w:pPr>
        <w:pStyle w:val="ListParagraph"/>
        <w:numPr>
          <w:ilvl w:val="0"/>
          <w:numId w:val="7"/>
        </w:numPr>
        <w:spacing w:before="240" w:after="240"/>
        <w:ind w:left="0" w:firstLine="0"/>
        <w:contextualSpacing w:val="0"/>
        <w:rPr>
          <w:szCs w:val="22"/>
        </w:rPr>
      </w:pPr>
      <w:r w:rsidRPr="005E2771">
        <w:rPr>
          <w:szCs w:val="22"/>
        </w:rPr>
        <w:t>In addition to and in connection with the above, there are further developments taking place at ICANN in relation to the protection of non</w:t>
      </w:r>
      <w:r w:rsidRPr="005E2771">
        <w:rPr>
          <w:szCs w:val="22"/>
        </w:rPr>
        <w:noBreakHyphen/>
        <w:t>trademark identifiers.</w:t>
      </w:r>
    </w:p>
    <w:p w:rsidR="00263C54" w:rsidRPr="00DB2EDB" w:rsidRDefault="00263C54" w:rsidP="00212E34">
      <w:pPr>
        <w:pStyle w:val="Heading3"/>
        <w:numPr>
          <w:ilvl w:val="0"/>
          <w:numId w:val="41"/>
        </w:numPr>
        <w:ind w:left="1701" w:hanging="567"/>
      </w:pPr>
      <w:r w:rsidRPr="00DB2EDB">
        <w:t xml:space="preserve">International Governmental Organizations </w:t>
      </w:r>
      <w:r w:rsidRPr="00212E34">
        <w:rPr>
          <w:szCs w:val="22"/>
        </w:rPr>
        <w:t>(IGOs)</w:t>
      </w:r>
    </w:p>
    <w:p w:rsidR="00263C54" w:rsidRPr="005E2771" w:rsidRDefault="00263C54" w:rsidP="00F83CEE">
      <w:pPr>
        <w:pStyle w:val="ListParagraph"/>
        <w:numPr>
          <w:ilvl w:val="0"/>
          <w:numId w:val="7"/>
        </w:numPr>
        <w:spacing w:before="240" w:after="240"/>
        <w:ind w:left="0" w:firstLine="0"/>
        <w:contextualSpacing w:val="0"/>
        <w:rPr>
          <w:szCs w:val="22"/>
        </w:rPr>
      </w:pPr>
      <w:r w:rsidRPr="005E2771">
        <w:rPr>
          <w:szCs w:val="22"/>
        </w:rPr>
        <w:t>It is recalled that the First WIPO</w:t>
      </w:r>
      <w:r>
        <w:rPr>
          <w:szCs w:val="22"/>
        </w:rPr>
        <w:t xml:space="preserve"> </w:t>
      </w:r>
      <w:r w:rsidRPr="005E2771">
        <w:rPr>
          <w:szCs w:val="22"/>
        </w:rPr>
        <w:t>Process addressed the relationship between domain names and trademarks.</w:t>
      </w:r>
      <w:r w:rsidR="00F83CEE">
        <w:rPr>
          <w:szCs w:val="22"/>
        </w:rPr>
        <w:t xml:space="preserve"> </w:t>
      </w:r>
      <w:r w:rsidRPr="005E2771">
        <w:rPr>
          <w:szCs w:val="22"/>
        </w:rPr>
        <w:t>The Second WIPO Process concerned the relationship between domain names and other types of identifiers that had not been addressed, including country names and IGO names and acronyms.</w:t>
      </w:r>
    </w:p>
    <w:p w:rsidR="00263C54" w:rsidRPr="005E2771" w:rsidRDefault="00263C54" w:rsidP="00B339DE">
      <w:pPr>
        <w:pStyle w:val="ListParagraph"/>
        <w:keepNext/>
        <w:keepLines/>
        <w:numPr>
          <w:ilvl w:val="0"/>
          <w:numId w:val="7"/>
        </w:numPr>
        <w:ind w:left="0" w:firstLine="0"/>
        <w:contextualSpacing w:val="0"/>
        <w:rPr>
          <w:szCs w:val="22"/>
        </w:rPr>
      </w:pPr>
      <w:r w:rsidRPr="005E2771">
        <w:rPr>
          <w:szCs w:val="22"/>
        </w:rPr>
        <w:lastRenderedPageBreak/>
        <w:t>The 2002 WIPO General Assembly recommended amending the UDRP in order to provide protection for country names and for the names and acronyms of IGOs.</w:t>
      </w:r>
      <w:r w:rsidRPr="006475B9">
        <w:rPr>
          <w:vertAlign w:val="superscript"/>
        </w:rPr>
        <w:footnoteReference w:id="54"/>
      </w:r>
      <w:r w:rsidR="00F83CEE">
        <w:rPr>
          <w:szCs w:val="22"/>
        </w:rPr>
        <w:t xml:space="preserve"> </w:t>
      </w:r>
      <w:r w:rsidRPr="005E2771">
        <w:rPr>
          <w:szCs w:val="22"/>
        </w:rPr>
        <w:t>The WIPO Secretariat transmitted these recommendations to ICANN in February 2003.</w:t>
      </w:r>
      <w:r w:rsidRPr="006475B9">
        <w:rPr>
          <w:vertAlign w:val="superscript"/>
        </w:rPr>
        <w:footnoteReference w:id="55"/>
      </w:r>
    </w:p>
    <w:p w:rsidR="00263C54" w:rsidRPr="005E2771" w:rsidRDefault="00263C54" w:rsidP="00F83CEE">
      <w:pPr>
        <w:pStyle w:val="ListParagraph"/>
        <w:numPr>
          <w:ilvl w:val="0"/>
          <w:numId w:val="7"/>
        </w:numPr>
        <w:spacing w:before="240" w:after="240"/>
        <w:ind w:left="0" w:firstLine="0"/>
        <w:contextualSpacing w:val="0"/>
        <w:rPr>
          <w:szCs w:val="22"/>
        </w:rPr>
      </w:pPr>
      <w:r w:rsidRPr="005E2771">
        <w:rPr>
          <w:szCs w:val="22"/>
        </w:rPr>
        <w:t>Following ICANN deliberations,</w:t>
      </w:r>
      <w:r w:rsidRPr="006475B9">
        <w:rPr>
          <w:rStyle w:val="FootnoteReference"/>
          <w:rFonts w:eastAsia="SimSun"/>
          <w:szCs w:val="22"/>
        </w:rPr>
        <w:footnoteReference w:id="56"/>
      </w:r>
      <w:r w:rsidRPr="005E2771">
        <w:rPr>
          <w:szCs w:val="22"/>
        </w:rPr>
        <w:t xml:space="preserve"> ICANN’s </w:t>
      </w:r>
      <w:proofErr w:type="gramStart"/>
      <w:r w:rsidRPr="005E2771">
        <w:rPr>
          <w:szCs w:val="22"/>
        </w:rPr>
        <w:t>New</w:t>
      </w:r>
      <w:proofErr w:type="gramEnd"/>
      <w:r w:rsidRPr="005E2771">
        <w:rPr>
          <w:szCs w:val="22"/>
        </w:rPr>
        <w:t xml:space="preserve"> </w:t>
      </w:r>
      <w:proofErr w:type="spellStart"/>
      <w:r w:rsidRPr="005E2771">
        <w:rPr>
          <w:szCs w:val="22"/>
        </w:rPr>
        <w:t>gTLD</w:t>
      </w:r>
      <w:proofErr w:type="spellEnd"/>
      <w:r w:rsidRPr="005E2771">
        <w:rPr>
          <w:szCs w:val="22"/>
        </w:rPr>
        <w:t xml:space="preserve"> Applicant Guidebook limited its consideration of the protection of </w:t>
      </w:r>
      <w:r>
        <w:rPr>
          <w:szCs w:val="22"/>
        </w:rPr>
        <w:t xml:space="preserve">IGO </w:t>
      </w:r>
      <w:r w:rsidRPr="005E2771">
        <w:rPr>
          <w:szCs w:val="22"/>
        </w:rPr>
        <w:t>names and acronyms to providing recourse through the pre</w:t>
      </w:r>
      <w:r w:rsidRPr="005E2771">
        <w:rPr>
          <w:szCs w:val="22"/>
        </w:rPr>
        <w:noBreakHyphen/>
        <w:t>delegation objection procedure concerning the top level (</w:t>
      </w:r>
      <w:r w:rsidRPr="005E2771">
        <w:rPr>
          <w:i/>
          <w:szCs w:val="22"/>
        </w:rPr>
        <w:t>i.e.</w:t>
      </w:r>
      <w:r w:rsidRPr="005E2771">
        <w:rPr>
          <w:szCs w:val="22"/>
        </w:rPr>
        <w:t>, an applied</w:t>
      </w:r>
      <w:r w:rsidRPr="005E2771">
        <w:rPr>
          <w:szCs w:val="22"/>
        </w:rPr>
        <w:noBreakHyphen/>
        <w:t xml:space="preserve">for TLD), discussed </w:t>
      </w:r>
      <w:r>
        <w:rPr>
          <w:szCs w:val="22"/>
        </w:rPr>
        <w:t>in paragraphs 23 and 24</w:t>
      </w:r>
      <w:r w:rsidRPr="003E5E6E">
        <w:rPr>
          <w:szCs w:val="22"/>
        </w:rPr>
        <w:t>.</w:t>
      </w:r>
      <w:r w:rsidR="00F83CEE">
        <w:rPr>
          <w:szCs w:val="22"/>
        </w:rPr>
        <w:t xml:space="preserve"> </w:t>
      </w:r>
      <w:r w:rsidRPr="004D0184">
        <w:rPr>
          <w:szCs w:val="22"/>
        </w:rPr>
        <w:t>However</w:t>
      </w:r>
      <w:r w:rsidRPr="005E2771">
        <w:rPr>
          <w:szCs w:val="22"/>
        </w:rPr>
        <w:t xml:space="preserve">, following sustained IGO efforts, </w:t>
      </w:r>
      <w:r w:rsidRPr="005E2771">
        <w:rPr>
          <w:szCs w:val="24"/>
        </w:rPr>
        <w:t xml:space="preserve">ICANN’s Governmental Advisory Committee (GAC) </w:t>
      </w:r>
      <w:r w:rsidRPr="005E2771">
        <w:rPr>
          <w:szCs w:val="22"/>
        </w:rPr>
        <w:t xml:space="preserve">advised the ICANN Board that IGO identifiers </w:t>
      </w:r>
      <w:r>
        <w:rPr>
          <w:szCs w:val="22"/>
        </w:rPr>
        <w:t xml:space="preserve">should </w:t>
      </w:r>
      <w:r w:rsidRPr="005E2771">
        <w:rPr>
          <w:szCs w:val="22"/>
        </w:rPr>
        <w:t xml:space="preserve">be granted protection against inappropriate third-party registration prior to the delegation of any new </w:t>
      </w:r>
      <w:proofErr w:type="spellStart"/>
      <w:r w:rsidRPr="005E2771">
        <w:rPr>
          <w:szCs w:val="22"/>
        </w:rPr>
        <w:t>gTLDs</w:t>
      </w:r>
      <w:proofErr w:type="spellEnd"/>
      <w:r w:rsidRPr="005E2771">
        <w:rPr>
          <w:szCs w:val="22"/>
        </w:rPr>
        <w:t>.</w:t>
      </w:r>
      <w:r w:rsidRPr="006475B9">
        <w:rPr>
          <w:rStyle w:val="FootnoteReference"/>
          <w:rFonts w:eastAsia="SimSun"/>
          <w:szCs w:val="22"/>
        </w:rPr>
        <w:footnoteReference w:id="57"/>
      </w:r>
      <w:r w:rsidR="00F83CEE">
        <w:rPr>
          <w:szCs w:val="22"/>
        </w:rPr>
        <w:t xml:space="preserve"> </w:t>
      </w:r>
      <w:r w:rsidRPr="005E2771">
        <w:rPr>
          <w:szCs w:val="22"/>
        </w:rPr>
        <w:t>The GAC further advised the ICANN Board that, building on existing criteria for “.</w:t>
      </w:r>
      <w:proofErr w:type="spellStart"/>
      <w:r w:rsidRPr="005E2771">
        <w:rPr>
          <w:szCs w:val="22"/>
        </w:rPr>
        <w:t>int</w:t>
      </w:r>
      <w:proofErr w:type="spellEnd"/>
      <w:r w:rsidRPr="005E2771">
        <w:rPr>
          <w:szCs w:val="22"/>
        </w:rPr>
        <w:t xml:space="preserve">” second-level registrations, it would collaborate with IGOs to develop a list of IGO names and acronyms </w:t>
      </w:r>
      <w:r>
        <w:rPr>
          <w:szCs w:val="22"/>
        </w:rPr>
        <w:t>to</w:t>
      </w:r>
      <w:r w:rsidRPr="005E2771">
        <w:rPr>
          <w:szCs w:val="22"/>
        </w:rPr>
        <w:t xml:space="preserve"> be prote</w:t>
      </w:r>
      <w:r>
        <w:rPr>
          <w:szCs w:val="22"/>
        </w:rPr>
        <w:t xml:space="preserve">cted against registration for at least </w:t>
      </w:r>
      <w:r w:rsidRPr="005E2771">
        <w:rPr>
          <w:szCs w:val="22"/>
        </w:rPr>
        <w:t xml:space="preserve">the current round of new </w:t>
      </w:r>
      <w:proofErr w:type="spellStart"/>
      <w:r w:rsidRPr="005E2771">
        <w:rPr>
          <w:szCs w:val="22"/>
        </w:rPr>
        <w:t>gTLDs</w:t>
      </w:r>
      <w:proofErr w:type="spellEnd"/>
      <w:r w:rsidRPr="005E2771">
        <w:rPr>
          <w:szCs w:val="22"/>
        </w:rPr>
        <w:t>.</w:t>
      </w:r>
      <w:r w:rsidR="00F83CEE">
        <w:rPr>
          <w:szCs w:val="22"/>
        </w:rPr>
        <w:t xml:space="preserve"> </w:t>
      </w:r>
      <w:r w:rsidRPr="005E2771">
        <w:rPr>
          <w:szCs w:val="22"/>
        </w:rPr>
        <w:t xml:space="preserve">The GAC also advised the </w:t>
      </w:r>
      <w:r w:rsidR="00B0432D">
        <w:rPr>
          <w:szCs w:val="22"/>
        </w:rPr>
        <w:t xml:space="preserve">ICANN </w:t>
      </w:r>
      <w:r w:rsidRPr="005E2771">
        <w:rPr>
          <w:szCs w:val="22"/>
        </w:rPr>
        <w:t>Board that</w:t>
      </w:r>
      <w:r>
        <w:rPr>
          <w:szCs w:val="22"/>
        </w:rPr>
        <w:t xml:space="preserve"> </w:t>
      </w:r>
      <w:r w:rsidRPr="005E2771">
        <w:rPr>
          <w:szCs w:val="22"/>
        </w:rPr>
        <w:t>pending</w:t>
      </w:r>
      <w:r>
        <w:rPr>
          <w:szCs w:val="22"/>
        </w:rPr>
        <w:t xml:space="preserve"> implementation</w:t>
      </w:r>
      <w:r w:rsidRPr="005E2771">
        <w:rPr>
          <w:szCs w:val="22"/>
        </w:rPr>
        <w:t xml:space="preserve"> work</w:t>
      </w:r>
      <w:r>
        <w:rPr>
          <w:szCs w:val="22"/>
        </w:rPr>
        <w:t xml:space="preserve">, </w:t>
      </w:r>
      <w:r w:rsidRPr="005E2771">
        <w:rPr>
          <w:szCs w:val="22"/>
        </w:rPr>
        <w:t>interim protection for IGO names and acronyms should be provided through a moratorium on third-party registration</w:t>
      </w:r>
      <w:r>
        <w:rPr>
          <w:szCs w:val="22"/>
        </w:rPr>
        <w:t>;</w:t>
      </w:r>
      <w:r w:rsidR="00F83CEE">
        <w:rPr>
          <w:szCs w:val="22"/>
        </w:rPr>
        <w:t xml:space="preserve"> </w:t>
      </w:r>
      <w:r>
        <w:rPr>
          <w:szCs w:val="22"/>
        </w:rPr>
        <w:t>while progress has been made on implementation, this moratorium remains in place.</w:t>
      </w:r>
      <w:r w:rsidRPr="005E2771">
        <w:rPr>
          <w:szCs w:val="22"/>
        </w:rPr>
        <w:t xml:space="preserve"> </w:t>
      </w:r>
    </w:p>
    <w:p w:rsidR="00263C54" w:rsidRDefault="00263C54" w:rsidP="00B339DE">
      <w:pPr>
        <w:pStyle w:val="ListParagraph"/>
        <w:widowControl w:val="0"/>
        <w:numPr>
          <w:ilvl w:val="0"/>
          <w:numId w:val="7"/>
        </w:numPr>
        <w:ind w:left="0" w:firstLine="0"/>
        <w:contextualSpacing w:val="0"/>
        <w:rPr>
          <w:szCs w:val="22"/>
        </w:rPr>
      </w:pPr>
      <w:r w:rsidRPr="001D5C95">
        <w:rPr>
          <w:szCs w:val="22"/>
        </w:rPr>
        <w:t>The ICANN Board responded to the GAC indicating that it had adopted a resolution for interim protection at the second level based on the existing .</w:t>
      </w:r>
      <w:proofErr w:type="spellStart"/>
      <w:r w:rsidRPr="001D5C95">
        <w:rPr>
          <w:szCs w:val="22"/>
        </w:rPr>
        <w:t>int</w:t>
      </w:r>
      <w:proofErr w:type="spellEnd"/>
      <w:r w:rsidRPr="001D5C95">
        <w:rPr>
          <w:szCs w:val="22"/>
        </w:rPr>
        <w:t xml:space="preserve"> criteria, </w:t>
      </w:r>
      <w:r w:rsidRPr="001D5C95">
        <w:rPr>
          <w:i/>
          <w:szCs w:val="22"/>
        </w:rPr>
        <w:t>via</w:t>
      </w:r>
      <w:r w:rsidRPr="001D5C95">
        <w:rPr>
          <w:szCs w:val="22"/>
        </w:rPr>
        <w:t xml:space="preserve"> an ICANN reserve list of IGO identifiers, to be withheld from third-party registration through the new </w:t>
      </w:r>
      <w:proofErr w:type="spellStart"/>
      <w:r w:rsidRPr="001D5C95">
        <w:rPr>
          <w:szCs w:val="22"/>
        </w:rPr>
        <w:t>gTLD</w:t>
      </w:r>
      <w:proofErr w:type="spellEnd"/>
      <w:r w:rsidRPr="001D5C95">
        <w:rPr>
          <w:szCs w:val="22"/>
        </w:rPr>
        <w:t xml:space="preserve"> Registry Agreement.</w:t>
      </w:r>
      <w:r w:rsidR="00F83CEE">
        <w:rPr>
          <w:szCs w:val="22"/>
        </w:rPr>
        <w:t xml:space="preserve"> </w:t>
      </w:r>
      <w:r w:rsidRPr="001D5C95">
        <w:rPr>
          <w:szCs w:val="22"/>
        </w:rPr>
        <w:t>ICANN invited qualifying IGOs to identify themselves to ICANN, while also seeking provision by the GAC (with IGOs) of a consolidated IGO package comprising the criteria and list of IGO names and acronyms for which the GAC advised protection.</w:t>
      </w:r>
      <w:r w:rsidRPr="006475B9">
        <w:rPr>
          <w:rStyle w:val="FootnoteReference"/>
          <w:rFonts w:eastAsia="SimSun"/>
          <w:szCs w:val="22"/>
        </w:rPr>
        <w:footnoteReference w:id="58"/>
      </w:r>
      <w:r w:rsidR="00F83CEE">
        <w:rPr>
          <w:szCs w:val="22"/>
        </w:rPr>
        <w:t xml:space="preserve"> </w:t>
      </w:r>
      <w:r w:rsidRPr="001D5C95">
        <w:rPr>
          <w:szCs w:val="22"/>
        </w:rPr>
        <w:t>In response, an IGO coalition developed .</w:t>
      </w:r>
      <w:proofErr w:type="spellStart"/>
      <w:r w:rsidRPr="001D5C95">
        <w:rPr>
          <w:szCs w:val="22"/>
        </w:rPr>
        <w:t>int</w:t>
      </w:r>
      <w:proofErr w:type="spellEnd"/>
      <w:r w:rsidRPr="001D5C95">
        <w:rPr>
          <w:szCs w:val="22"/>
        </w:rPr>
        <w:noBreakHyphen/>
        <w:t>based criteria for IGO protection and an accompanying list of IGOs, which the IGO coalition forwarded to the ICANN Board in February 2013.</w:t>
      </w:r>
      <w:r w:rsidR="00F83CEE">
        <w:rPr>
          <w:szCs w:val="22"/>
        </w:rPr>
        <w:t xml:space="preserve"> </w:t>
      </w:r>
      <w:r w:rsidRPr="001D5C95">
        <w:rPr>
          <w:szCs w:val="22"/>
        </w:rPr>
        <w:t>This was followed by a GAC communication to the ICANN Board concerning IGO protection eligibility criteria,</w:t>
      </w:r>
      <w:r>
        <w:rPr>
          <w:rStyle w:val="FootnoteReference"/>
          <w:rFonts w:eastAsia="SimSun"/>
          <w:szCs w:val="22"/>
        </w:rPr>
        <w:footnoteReference w:id="59"/>
      </w:r>
      <w:r w:rsidRPr="001D5C95">
        <w:rPr>
          <w:szCs w:val="22"/>
        </w:rPr>
        <w:t xml:space="preserve"> together with a list of protectable IGO names and acronyms.</w:t>
      </w:r>
      <w:r w:rsidRPr="006475B9">
        <w:rPr>
          <w:rStyle w:val="FootnoteReference"/>
          <w:rFonts w:eastAsia="SimSun"/>
          <w:szCs w:val="22"/>
        </w:rPr>
        <w:footnoteReference w:id="60"/>
      </w:r>
    </w:p>
    <w:p w:rsidR="008D7A1A" w:rsidRDefault="00263C54" w:rsidP="00F83CEE">
      <w:pPr>
        <w:pStyle w:val="ListParagraph"/>
        <w:widowControl w:val="0"/>
        <w:numPr>
          <w:ilvl w:val="0"/>
          <w:numId w:val="7"/>
        </w:numPr>
        <w:spacing w:before="240" w:after="240"/>
        <w:ind w:left="0" w:firstLine="0"/>
        <w:contextualSpacing w:val="0"/>
        <w:rPr>
          <w:szCs w:val="22"/>
        </w:rPr>
      </w:pPr>
      <w:r w:rsidRPr="006B7B92">
        <w:rPr>
          <w:szCs w:val="22"/>
        </w:rPr>
        <w:t xml:space="preserve">On April 1, 2013, the Board </w:t>
      </w:r>
      <w:r>
        <w:rPr>
          <w:szCs w:val="22"/>
        </w:rPr>
        <w:t>expressed concerns</w:t>
      </w:r>
      <w:r w:rsidRPr="006B7B92">
        <w:rPr>
          <w:szCs w:val="22"/>
        </w:rPr>
        <w:t xml:space="preserve"> to the GAC </w:t>
      </w:r>
      <w:r>
        <w:rPr>
          <w:szCs w:val="22"/>
        </w:rPr>
        <w:t>on</w:t>
      </w:r>
      <w:r w:rsidRPr="006B7B92">
        <w:rPr>
          <w:szCs w:val="22"/>
        </w:rPr>
        <w:t xml:space="preserve"> how </w:t>
      </w:r>
      <w:r>
        <w:rPr>
          <w:szCs w:val="22"/>
        </w:rPr>
        <w:t xml:space="preserve">to reconcile </w:t>
      </w:r>
      <w:r w:rsidRPr="006B7B92">
        <w:rPr>
          <w:szCs w:val="22"/>
        </w:rPr>
        <w:t xml:space="preserve">protection of IGO acronyms with certain potentially legitimate third-party attempts to register </w:t>
      </w:r>
      <w:r>
        <w:rPr>
          <w:szCs w:val="22"/>
        </w:rPr>
        <w:t xml:space="preserve">corresponding </w:t>
      </w:r>
      <w:r w:rsidRPr="006B7B92">
        <w:rPr>
          <w:szCs w:val="22"/>
        </w:rPr>
        <w:t xml:space="preserve">domain names and </w:t>
      </w:r>
      <w:r>
        <w:rPr>
          <w:szCs w:val="22"/>
        </w:rPr>
        <w:t>asked how</w:t>
      </w:r>
      <w:r w:rsidRPr="006B7B92">
        <w:rPr>
          <w:szCs w:val="22"/>
        </w:rPr>
        <w:t xml:space="preserve"> cases of potentially legitimate co-existent use of such acronym could be managed in practice.</w:t>
      </w:r>
      <w:r w:rsidRPr="006475B9">
        <w:rPr>
          <w:rStyle w:val="FootnoteReference"/>
          <w:rFonts w:eastAsia="SimSun"/>
          <w:szCs w:val="22"/>
        </w:rPr>
        <w:footnoteReference w:id="61"/>
      </w:r>
      <w:r w:rsidR="00F83CEE">
        <w:rPr>
          <w:szCs w:val="22"/>
        </w:rPr>
        <w:t xml:space="preserve"> </w:t>
      </w:r>
      <w:r w:rsidRPr="005E2771">
        <w:rPr>
          <w:szCs w:val="22"/>
        </w:rPr>
        <w:t>In July 2013, following further discussions with ICANN and sustained efforts from IGOs, the GAC issued advice to the ICANN Board that highlighted the need for special preventative protection for IGO names and acronyms in the DNS.</w:t>
      </w:r>
      <w:r w:rsidRPr="006475B9">
        <w:rPr>
          <w:rStyle w:val="FootnoteReference"/>
          <w:rFonts w:eastAsia="SimSun"/>
          <w:szCs w:val="22"/>
        </w:rPr>
        <w:footnoteReference w:id="62"/>
      </w:r>
      <w:r w:rsidR="00F83CEE">
        <w:rPr>
          <w:szCs w:val="22"/>
        </w:rPr>
        <w:t xml:space="preserve"> </w:t>
      </w:r>
      <w:r w:rsidRPr="005E2771">
        <w:rPr>
          <w:szCs w:val="22"/>
        </w:rPr>
        <w:t xml:space="preserve">Following this advice, the ICANN Board issued a resolution extending interim protection </w:t>
      </w:r>
    </w:p>
    <w:p w:rsidR="008D7A1A" w:rsidRDefault="008D7A1A">
      <w:pPr>
        <w:rPr>
          <w:rFonts w:eastAsia="Times New Roman" w:cs="Times New Roman"/>
          <w:szCs w:val="22"/>
          <w:lang w:eastAsia="en-US"/>
        </w:rPr>
      </w:pPr>
      <w:r>
        <w:rPr>
          <w:szCs w:val="22"/>
        </w:rPr>
        <w:br w:type="page"/>
      </w:r>
    </w:p>
    <w:p w:rsidR="00263C54" w:rsidRPr="005E2771" w:rsidRDefault="00263C54" w:rsidP="008D7A1A">
      <w:pPr>
        <w:pStyle w:val="ListParagraph"/>
        <w:widowControl w:val="0"/>
        <w:spacing w:before="240" w:after="240"/>
        <w:ind w:left="0"/>
        <w:contextualSpacing w:val="0"/>
        <w:rPr>
          <w:szCs w:val="22"/>
        </w:rPr>
      </w:pPr>
      <w:proofErr w:type="gramStart"/>
      <w:r w:rsidRPr="005E2771">
        <w:rPr>
          <w:szCs w:val="22"/>
        </w:rPr>
        <w:lastRenderedPageBreak/>
        <w:t>for</w:t>
      </w:r>
      <w:proofErr w:type="gramEnd"/>
      <w:r w:rsidRPr="005E2771">
        <w:rPr>
          <w:szCs w:val="22"/>
        </w:rPr>
        <w:t xml:space="preserve"> IGOs until the first meeting of the ICANN Board’s New </w:t>
      </w:r>
      <w:proofErr w:type="spellStart"/>
      <w:r w:rsidRPr="005E2771">
        <w:rPr>
          <w:szCs w:val="22"/>
        </w:rPr>
        <w:t>gTLD</w:t>
      </w:r>
      <w:proofErr w:type="spellEnd"/>
      <w:r w:rsidRPr="005E2771">
        <w:rPr>
          <w:szCs w:val="22"/>
        </w:rPr>
        <w:t xml:space="preserve"> Program Committee (NGPC) after the November 2013 ICANN meeting.</w:t>
      </w:r>
      <w:r w:rsidRPr="006475B9">
        <w:rPr>
          <w:rStyle w:val="FootnoteReference"/>
          <w:rFonts w:eastAsia="SimSun"/>
          <w:szCs w:val="22"/>
        </w:rPr>
        <w:footnoteReference w:id="63"/>
      </w:r>
      <w:r w:rsidRPr="005E2771">
        <w:rPr>
          <w:szCs w:val="22"/>
        </w:rPr>
        <w:t xml:space="preserve"> </w:t>
      </w:r>
    </w:p>
    <w:p w:rsidR="00263C54" w:rsidRDefault="00263C54" w:rsidP="00B339DE">
      <w:pPr>
        <w:pStyle w:val="ListParagraph"/>
        <w:numPr>
          <w:ilvl w:val="0"/>
          <w:numId w:val="7"/>
        </w:numPr>
        <w:ind w:left="0" w:firstLine="0"/>
        <w:contextualSpacing w:val="0"/>
        <w:rPr>
          <w:szCs w:val="22"/>
        </w:rPr>
      </w:pPr>
      <w:r w:rsidRPr="004C453F">
        <w:rPr>
          <w:szCs w:val="22"/>
        </w:rPr>
        <w:t>In October 2013 the NGPC made a proposal for protection of IGO acronyms at the second level that fell short of providing IGO acronyms with the permanent preventative protection envisaged in previous GAC Communiqués.</w:t>
      </w:r>
      <w:r>
        <w:rPr>
          <w:rStyle w:val="FootnoteReference"/>
          <w:rFonts w:eastAsia="SimSun"/>
          <w:szCs w:val="22"/>
        </w:rPr>
        <w:footnoteReference w:id="64"/>
      </w:r>
      <w:r w:rsidR="00F83CEE">
        <w:rPr>
          <w:szCs w:val="22"/>
        </w:rPr>
        <w:t xml:space="preserve"> </w:t>
      </w:r>
    </w:p>
    <w:p w:rsidR="00263C54" w:rsidRPr="008325CF" w:rsidRDefault="00263C54" w:rsidP="00F83CEE">
      <w:pPr>
        <w:pStyle w:val="ListParagraph"/>
        <w:numPr>
          <w:ilvl w:val="0"/>
          <w:numId w:val="7"/>
        </w:numPr>
        <w:spacing w:before="240" w:after="240"/>
        <w:ind w:left="0" w:firstLine="0"/>
        <w:contextualSpacing w:val="0"/>
        <w:rPr>
          <w:szCs w:val="22"/>
        </w:rPr>
      </w:pPr>
      <w:r w:rsidRPr="008325CF">
        <w:rPr>
          <w:szCs w:val="22"/>
        </w:rPr>
        <w:t>In parallel to the policy efforts undertaken by the NGPC, the GAC, and IGOs,</w:t>
      </w:r>
      <w:r>
        <w:rPr>
          <w:rStyle w:val="FootnoteReference"/>
          <w:rFonts w:eastAsia="SimSun"/>
          <w:szCs w:val="22"/>
        </w:rPr>
        <w:footnoteReference w:id="65"/>
      </w:r>
      <w:r w:rsidRPr="008325CF">
        <w:rPr>
          <w:szCs w:val="22"/>
        </w:rPr>
        <w:t xml:space="preserve"> the GNSO had launched a PDP concerning IGO protection, in which process the Center with other IGO representatives participated.</w:t>
      </w:r>
      <w:r w:rsidR="00F83CEE">
        <w:rPr>
          <w:szCs w:val="22"/>
        </w:rPr>
        <w:t xml:space="preserve"> </w:t>
      </w:r>
      <w:r w:rsidRPr="008325CF">
        <w:rPr>
          <w:szCs w:val="22"/>
        </w:rPr>
        <w:t>Over IGO objections, this GNSO process largely rejected preventative protection for IGO acronyms at the second level.</w:t>
      </w:r>
      <w:r w:rsidR="00F83CEE">
        <w:rPr>
          <w:szCs w:val="22"/>
        </w:rPr>
        <w:t xml:space="preserve"> </w:t>
      </w:r>
      <w:r w:rsidRPr="008325CF">
        <w:rPr>
          <w:szCs w:val="22"/>
        </w:rPr>
        <w:t>Instead, it recommended curative protection mechanisms for IGO acronyms, coupled with the removal of the temporary protections for IGO acronyms in place.</w:t>
      </w:r>
      <w:r w:rsidR="00F83CEE">
        <w:rPr>
          <w:szCs w:val="22"/>
        </w:rPr>
        <w:t xml:space="preserve"> </w:t>
      </w:r>
      <w:r w:rsidRPr="008325CF">
        <w:rPr>
          <w:szCs w:val="22"/>
        </w:rPr>
        <w:t>These recommendations were adopted unanimously by the GNSO Council in November 2013.</w:t>
      </w:r>
      <w:r w:rsidR="00F83CEE">
        <w:rPr>
          <w:szCs w:val="22"/>
        </w:rPr>
        <w:t xml:space="preserve"> </w:t>
      </w:r>
      <w:r w:rsidRPr="008325CF">
        <w:rPr>
          <w:szCs w:val="22"/>
        </w:rPr>
        <w:t>In April 2014, the ICANN Board resolved to adopt the GNSO Council recommendations not in conflict with GAC advice, namely reserving from registration the full names of IGOs at the top and second levels in two languages.</w:t>
      </w:r>
      <w:r w:rsidR="00F83CEE">
        <w:rPr>
          <w:szCs w:val="22"/>
        </w:rPr>
        <w:t xml:space="preserve"> </w:t>
      </w:r>
    </w:p>
    <w:p w:rsidR="00263C54" w:rsidRPr="005E2771" w:rsidRDefault="00263C54" w:rsidP="00F83CEE">
      <w:pPr>
        <w:pStyle w:val="ListParagraph"/>
        <w:numPr>
          <w:ilvl w:val="0"/>
          <w:numId w:val="7"/>
        </w:numPr>
        <w:tabs>
          <w:tab w:val="left" w:pos="567"/>
        </w:tabs>
        <w:spacing w:after="240"/>
        <w:ind w:left="0" w:firstLine="0"/>
        <w:contextualSpacing w:val="0"/>
        <w:rPr>
          <w:szCs w:val="22"/>
        </w:rPr>
      </w:pPr>
      <w:r>
        <w:rPr>
          <w:szCs w:val="22"/>
        </w:rPr>
        <w:t>Despite</w:t>
      </w:r>
      <w:r w:rsidRPr="005E2771">
        <w:rPr>
          <w:szCs w:val="22"/>
        </w:rPr>
        <w:t xml:space="preserve"> GAC advice and IGO positions, in June 2014, the GNSO Council voted to initiate a second PDP on the desirability and modalities of giving IGOs access to curative RPMs (such as the UDRP or URS)</w:t>
      </w:r>
      <w:r>
        <w:rPr>
          <w:szCs w:val="22"/>
        </w:rPr>
        <w:t xml:space="preserve"> to address </w:t>
      </w:r>
      <w:r w:rsidRPr="00A1680C">
        <w:rPr>
          <w:szCs w:val="22"/>
        </w:rPr>
        <w:t>abusive registration of IGO acronyms, or of IGO full names not covered by the aforementioned exclusion</w:t>
      </w:r>
      <w:r w:rsidRPr="005E2771">
        <w:rPr>
          <w:szCs w:val="22"/>
        </w:rPr>
        <w:t>.</w:t>
      </w:r>
      <w:r w:rsidR="00F83CEE">
        <w:rPr>
          <w:szCs w:val="22"/>
        </w:rPr>
        <w:t xml:space="preserve"> </w:t>
      </w:r>
      <w:r>
        <w:rPr>
          <w:szCs w:val="22"/>
        </w:rPr>
        <w:t xml:space="preserve">This has been the subject of continuing policy discussions, including at </w:t>
      </w:r>
      <w:r w:rsidR="00DC159E">
        <w:rPr>
          <w:szCs w:val="22"/>
        </w:rPr>
        <w:t xml:space="preserve">all of </w:t>
      </w:r>
      <w:r>
        <w:rPr>
          <w:szCs w:val="22"/>
        </w:rPr>
        <w:t xml:space="preserve">ICANN’s </w:t>
      </w:r>
      <w:r w:rsidR="00DC159E">
        <w:rPr>
          <w:szCs w:val="22"/>
        </w:rPr>
        <w:t>subsequent meetings</w:t>
      </w:r>
      <w:r>
        <w:rPr>
          <w:szCs w:val="22"/>
        </w:rPr>
        <w:t>;</w:t>
      </w:r>
      <w:r w:rsidR="00F83CEE">
        <w:rPr>
          <w:szCs w:val="22"/>
        </w:rPr>
        <w:t xml:space="preserve"> </w:t>
      </w:r>
      <w:r>
        <w:rPr>
          <w:szCs w:val="22"/>
        </w:rPr>
        <w:t>even so, the final GNSO recommendation remains to be seen.</w:t>
      </w:r>
      <w:r w:rsidR="00F83CEE">
        <w:rPr>
          <w:szCs w:val="22"/>
        </w:rPr>
        <w:t xml:space="preserve"> </w:t>
      </w:r>
      <w:r>
        <w:rPr>
          <w:szCs w:val="22"/>
        </w:rPr>
        <w:t>Meanwhile it has again been affirmed by the GAC that any IGO-specific RPM modeled on the existing UDRP should respect IGOs’ status under international law, but should not amend the existing UDRP.</w:t>
      </w:r>
      <w:r w:rsidR="00F83CEE">
        <w:rPr>
          <w:szCs w:val="22"/>
        </w:rPr>
        <w:t xml:space="preserve"> </w:t>
      </w:r>
      <w:r>
        <w:rPr>
          <w:szCs w:val="22"/>
        </w:rPr>
        <w:t xml:space="preserve">The </w:t>
      </w:r>
      <w:r w:rsidR="00B0432D">
        <w:rPr>
          <w:szCs w:val="22"/>
        </w:rPr>
        <w:t xml:space="preserve">ICANN </w:t>
      </w:r>
      <w:r>
        <w:rPr>
          <w:szCs w:val="22"/>
        </w:rPr>
        <w:t>Board has also acknowledged the GAC’s previous advice on the need to protect IGO acronyms in the DNS.</w:t>
      </w:r>
      <w:r>
        <w:rPr>
          <w:rStyle w:val="FootnoteReference"/>
          <w:szCs w:val="22"/>
        </w:rPr>
        <w:footnoteReference w:id="66"/>
      </w:r>
      <w:r w:rsidR="00F83CEE">
        <w:rPr>
          <w:szCs w:val="22"/>
        </w:rPr>
        <w:t xml:space="preserve"> </w:t>
      </w:r>
      <w:r w:rsidRPr="00D90428">
        <w:rPr>
          <w:szCs w:val="22"/>
        </w:rPr>
        <w:t>Together</w:t>
      </w:r>
      <w:r w:rsidRPr="002F395E">
        <w:rPr>
          <w:szCs w:val="22"/>
        </w:rPr>
        <w:t xml:space="preserve"> with other involved IGOs, the Center continue</w:t>
      </w:r>
      <w:r>
        <w:rPr>
          <w:szCs w:val="22"/>
        </w:rPr>
        <w:t>s</w:t>
      </w:r>
      <w:r w:rsidRPr="002F395E">
        <w:rPr>
          <w:szCs w:val="22"/>
        </w:rPr>
        <w:t xml:space="preserve"> to closely monitor </w:t>
      </w:r>
      <w:r>
        <w:rPr>
          <w:szCs w:val="22"/>
        </w:rPr>
        <w:t>developments in this longstanding ICANN file.</w:t>
      </w:r>
      <w:r w:rsidR="00F83CEE">
        <w:rPr>
          <w:szCs w:val="22"/>
        </w:rPr>
        <w:t xml:space="preserve"> </w:t>
      </w:r>
      <w:r>
        <w:rPr>
          <w:szCs w:val="22"/>
        </w:rPr>
        <w:t xml:space="preserve">Ultimately, the </w:t>
      </w:r>
      <w:r w:rsidR="00B0432D">
        <w:rPr>
          <w:szCs w:val="22"/>
        </w:rPr>
        <w:t xml:space="preserve">ICANN </w:t>
      </w:r>
      <w:r>
        <w:rPr>
          <w:szCs w:val="22"/>
        </w:rPr>
        <w:t>Board may be called upon to reconcile differences between GAC Advice and GNSO recommendations as to IGO-related RPMs</w:t>
      </w:r>
      <w:r w:rsidRPr="002F395E">
        <w:rPr>
          <w:szCs w:val="22"/>
        </w:rPr>
        <w:t>.</w:t>
      </w:r>
    </w:p>
    <w:p w:rsidR="00263C54" w:rsidRPr="00D55BC1" w:rsidRDefault="00263C54" w:rsidP="00212E34">
      <w:pPr>
        <w:pStyle w:val="Heading3"/>
        <w:ind w:left="1701" w:hanging="567"/>
      </w:pPr>
      <w:r w:rsidRPr="00D55BC1">
        <w:t>Geographical Terms</w:t>
      </w:r>
    </w:p>
    <w:p w:rsidR="00263C54" w:rsidRPr="005E2771" w:rsidRDefault="00263C54" w:rsidP="00F83CEE">
      <w:pPr>
        <w:pStyle w:val="ListParagraph"/>
        <w:numPr>
          <w:ilvl w:val="0"/>
          <w:numId w:val="7"/>
        </w:numPr>
        <w:spacing w:before="240" w:after="240"/>
        <w:ind w:left="0" w:right="-143" w:firstLine="0"/>
        <w:contextualSpacing w:val="0"/>
        <w:rPr>
          <w:iCs/>
          <w:szCs w:val="22"/>
        </w:rPr>
      </w:pPr>
      <w:r w:rsidRPr="005E2771">
        <w:rPr>
          <w:szCs w:val="22"/>
        </w:rPr>
        <w:t xml:space="preserve">Concerning geographical terms, the GAC in particular has expressed concerns about their use and protection in the new </w:t>
      </w:r>
      <w:proofErr w:type="spellStart"/>
      <w:r w:rsidRPr="005E2771">
        <w:rPr>
          <w:szCs w:val="22"/>
        </w:rPr>
        <w:t>gTLDs</w:t>
      </w:r>
      <w:proofErr w:type="spellEnd"/>
      <w:r w:rsidRPr="005E2771">
        <w:rPr>
          <w:szCs w:val="22"/>
        </w:rPr>
        <w:t>.</w:t>
      </w:r>
      <w:r w:rsidRPr="002F395E">
        <w:rPr>
          <w:vertAlign w:val="superscript"/>
        </w:rPr>
        <w:footnoteReference w:id="67"/>
      </w:r>
      <w:r w:rsidR="00F83CEE">
        <w:rPr>
          <w:szCs w:val="22"/>
        </w:rPr>
        <w:t xml:space="preserve"> </w:t>
      </w:r>
      <w:r w:rsidRPr="005E2771">
        <w:rPr>
          <w:szCs w:val="22"/>
        </w:rPr>
        <w:t>Concerning the top level,</w:t>
      </w:r>
      <w:r w:rsidRPr="002F395E">
        <w:rPr>
          <w:rStyle w:val="FootnoteReference"/>
          <w:rFonts w:eastAsia="SimSun"/>
          <w:szCs w:val="22"/>
        </w:rPr>
        <w:footnoteReference w:id="68"/>
      </w:r>
      <w:r w:rsidRPr="005E2771">
        <w:rPr>
          <w:szCs w:val="22"/>
        </w:rPr>
        <w:t xml:space="preserve"> ICANN’s Applicant Guidebook provides that “applications for strings that are country or territory names will not be approved, as they are not available under the New </w:t>
      </w:r>
      <w:proofErr w:type="spellStart"/>
      <w:r w:rsidRPr="005E2771">
        <w:rPr>
          <w:szCs w:val="22"/>
        </w:rPr>
        <w:t>gTLD</w:t>
      </w:r>
      <w:proofErr w:type="spellEnd"/>
      <w:r w:rsidRPr="005E2771">
        <w:rPr>
          <w:szCs w:val="22"/>
        </w:rPr>
        <w:t xml:space="preserve"> Program in this application round.”</w:t>
      </w:r>
      <w:r w:rsidRPr="002F395E">
        <w:rPr>
          <w:rStyle w:val="FootnoteReference"/>
          <w:rFonts w:eastAsia="SimSun"/>
          <w:szCs w:val="22"/>
        </w:rPr>
        <w:footnoteReference w:id="69"/>
      </w:r>
      <w:r w:rsidR="00F83CEE">
        <w:rPr>
          <w:szCs w:val="22"/>
        </w:rPr>
        <w:t xml:space="preserve"> </w:t>
      </w:r>
      <w:r w:rsidRPr="005E2771">
        <w:rPr>
          <w:szCs w:val="22"/>
        </w:rPr>
        <w:t>Applied</w:t>
      </w:r>
      <w:r w:rsidRPr="005E2771">
        <w:rPr>
          <w:szCs w:val="22"/>
        </w:rPr>
        <w:noBreakHyphen/>
        <w:t xml:space="preserve">for strings which are considered by ICANN to be certain other geographical names, </w:t>
      </w:r>
      <w:r w:rsidRPr="005E2771">
        <w:rPr>
          <w:i/>
          <w:szCs w:val="22"/>
        </w:rPr>
        <w:t>e.g.</w:t>
      </w:r>
      <w:r w:rsidRPr="005E2771">
        <w:rPr>
          <w:szCs w:val="22"/>
        </w:rPr>
        <w:t>,</w:t>
      </w:r>
      <w:r>
        <w:rPr>
          <w:szCs w:val="22"/>
        </w:rPr>
        <w:t> </w:t>
      </w:r>
      <w:r w:rsidRPr="005E2771">
        <w:rPr>
          <w:szCs w:val="22"/>
        </w:rPr>
        <w:t xml:space="preserve">capital city </w:t>
      </w:r>
      <w:r w:rsidRPr="005E2771">
        <w:rPr>
          <w:szCs w:val="22"/>
        </w:rPr>
        <w:lastRenderedPageBreak/>
        <w:t xml:space="preserve">names, </w:t>
      </w:r>
      <w:r>
        <w:rPr>
          <w:szCs w:val="22"/>
        </w:rPr>
        <w:t>should</w:t>
      </w:r>
      <w:r w:rsidRPr="005E2771">
        <w:rPr>
          <w:szCs w:val="22"/>
        </w:rPr>
        <w:t xml:space="preserve"> be accompanied by documentation of support or non</w:t>
      </w:r>
      <w:r w:rsidRPr="005E2771">
        <w:rPr>
          <w:szCs w:val="22"/>
        </w:rPr>
        <w:noBreakHyphen/>
        <w:t>objection from the relevant governments or public authorities.</w:t>
      </w:r>
      <w:r w:rsidRPr="002F395E">
        <w:rPr>
          <w:rStyle w:val="FootnoteReference"/>
          <w:rFonts w:eastAsia="SimSun"/>
          <w:szCs w:val="22"/>
        </w:rPr>
        <w:footnoteReference w:id="70"/>
      </w:r>
      <w:r w:rsidRPr="005E2771">
        <w:rPr>
          <w:szCs w:val="22"/>
        </w:rPr>
        <w:t xml:space="preserve"> </w:t>
      </w:r>
    </w:p>
    <w:p w:rsidR="00263C54" w:rsidRPr="00E43AF5" w:rsidRDefault="00263C54" w:rsidP="00B339DE">
      <w:pPr>
        <w:pStyle w:val="ListParagraph"/>
        <w:numPr>
          <w:ilvl w:val="0"/>
          <w:numId w:val="7"/>
        </w:numPr>
        <w:ind w:left="0" w:firstLine="0"/>
        <w:contextualSpacing w:val="0"/>
        <w:rPr>
          <w:szCs w:val="22"/>
        </w:rPr>
      </w:pPr>
      <w:r w:rsidRPr="005E2771">
        <w:rPr>
          <w:iCs/>
          <w:szCs w:val="22"/>
        </w:rPr>
        <w:t xml:space="preserve">GAC members have expressed further reservations regarding a number of new </w:t>
      </w:r>
      <w:proofErr w:type="spellStart"/>
      <w:r w:rsidRPr="005E2771">
        <w:rPr>
          <w:iCs/>
          <w:szCs w:val="22"/>
        </w:rPr>
        <w:t>gTLD</w:t>
      </w:r>
      <w:proofErr w:type="spellEnd"/>
      <w:r w:rsidRPr="005E2771">
        <w:rPr>
          <w:iCs/>
          <w:szCs w:val="22"/>
        </w:rPr>
        <w:t xml:space="preserve"> applications on grounds of correspondence to geographical or other “sensitive” terms, advising the ICANN Board not to proceed beyond initial evaluation, and seeking Board clarification on scope for applicants to modify their new </w:t>
      </w:r>
      <w:proofErr w:type="spellStart"/>
      <w:r w:rsidRPr="005E2771">
        <w:rPr>
          <w:iCs/>
          <w:szCs w:val="22"/>
        </w:rPr>
        <w:t>gTLD</w:t>
      </w:r>
      <w:proofErr w:type="spellEnd"/>
      <w:r w:rsidRPr="005E2771">
        <w:rPr>
          <w:iCs/>
          <w:szCs w:val="22"/>
        </w:rPr>
        <w:t xml:space="preserve"> applications to address specific GAC concerns.</w:t>
      </w:r>
      <w:r w:rsidRPr="002F395E">
        <w:rPr>
          <w:rStyle w:val="FootnoteReference"/>
          <w:rFonts w:eastAsia="SimSun"/>
          <w:iCs/>
          <w:szCs w:val="22"/>
        </w:rPr>
        <w:footnoteReference w:id="71"/>
      </w:r>
    </w:p>
    <w:p w:rsidR="00263C54" w:rsidRPr="0080285E" w:rsidRDefault="00263C54" w:rsidP="00F83CEE">
      <w:pPr>
        <w:pStyle w:val="ListParagraph"/>
        <w:numPr>
          <w:ilvl w:val="0"/>
          <w:numId w:val="7"/>
        </w:numPr>
        <w:spacing w:before="240" w:after="240"/>
        <w:ind w:left="0" w:firstLine="0"/>
        <w:contextualSpacing w:val="0"/>
        <w:rPr>
          <w:szCs w:val="22"/>
        </w:rPr>
      </w:pPr>
      <w:r>
        <w:rPr>
          <w:szCs w:val="22"/>
        </w:rPr>
        <w:t xml:space="preserve">In December 2016, ICANN authorized the release of all previously-reserved 2-character domain names at the second level in new </w:t>
      </w:r>
      <w:proofErr w:type="spellStart"/>
      <w:r>
        <w:rPr>
          <w:szCs w:val="22"/>
        </w:rPr>
        <w:t>gTLDs</w:t>
      </w:r>
      <w:proofErr w:type="spellEnd"/>
      <w:r>
        <w:rPr>
          <w:szCs w:val="22"/>
        </w:rPr>
        <w:t xml:space="preserve"> provided that registry operators first allow respective governments a thirty-day period to acquire such domain names;</w:t>
      </w:r>
      <w:r w:rsidR="00F83CEE">
        <w:rPr>
          <w:szCs w:val="22"/>
        </w:rPr>
        <w:t xml:space="preserve"> </w:t>
      </w:r>
      <w:r>
        <w:rPr>
          <w:szCs w:val="22"/>
        </w:rPr>
        <w:t>require registrants to represent that they would not falsely imply government affiliation in connection with the use of such 2-character domain name;</w:t>
      </w:r>
      <w:r w:rsidR="00F83CEE">
        <w:rPr>
          <w:szCs w:val="22"/>
        </w:rPr>
        <w:t xml:space="preserve"> </w:t>
      </w:r>
      <w:r>
        <w:rPr>
          <w:szCs w:val="22"/>
        </w:rPr>
        <w:t>and provide a means for post-registration complaints.</w:t>
      </w:r>
      <w:r>
        <w:rPr>
          <w:rStyle w:val="FootnoteReference"/>
          <w:rFonts w:eastAsia="SimSun"/>
          <w:szCs w:val="22"/>
        </w:rPr>
        <w:footnoteReference w:id="72"/>
      </w:r>
      <w:r w:rsidR="00F83CEE">
        <w:rPr>
          <w:szCs w:val="22"/>
        </w:rPr>
        <w:t xml:space="preserve"> </w:t>
      </w:r>
      <w:r>
        <w:rPr>
          <w:szCs w:val="22"/>
        </w:rPr>
        <w:t>In this context, the Center submitted comments to ICANN noting that the Second WIPO Process considered the possibility of exploring measures for the UDRP to apply to third-level registrations in order to mitigate the potential for trademark abuse.</w:t>
      </w:r>
      <w:r>
        <w:rPr>
          <w:rStyle w:val="FootnoteReference"/>
          <w:rFonts w:eastAsia="SimSun"/>
          <w:szCs w:val="22"/>
        </w:rPr>
        <w:footnoteReference w:id="73"/>
      </w:r>
      <w:r w:rsidR="00F83CEE">
        <w:rPr>
          <w:szCs w:val="22"/>
        </w:rPr>
        <w:t xml:space="preserve"> </w:t>
      </w:r>
      <w:r>
        <w:rPr>
          <w:szCs w:val="22"/>
        </w:rPr>
        <w:t>In recent discussions, GAC members have requested that ICANN provide coordinated information on related requests and delegations.</w:t>
      </w:r>
      <w:r>
        <w:rPr>
          <w:rStyle w:val="FootnoteReference"/>
          <w:szCs w:val="22"/>
        </w:rPr>
        <w:footnoteReference w:id="74"/>
      </w:r>
      <w:r>
        <w:rPr>
          <w:szCs w:val="22"/>
        </w:rPr>
        <w:t xml:space="preserve"> </w:t>
      </w:r>
    </w:p>
    <w:p w:rsidR="00263C54" w:rsidRPr="00BE1A59" w:rsidRDefault="00263C54" w:rsidP="00F83CEE">
      <w:pPr>
        <w:pStyle w:val="ListParagraph"/>
        <w:keepLines/>
        <w:numPr>
          <w:ilvl w:val="0"/>
          <w:numId w:val="7"/>
        </w:numPr>
        <w:spacing w:before="240" w:after="240"/>
        <w:ind w:left="0" w:firstLine="0"/>
        <w:contextualSpacing w:val="0"/>
        <w:rPr>
          <w:szCs w:val="24"/>
        </w:rPr>
      </w:pPr>
      <w:r>
        <w:rPr>
          <w:szCs w:val="22"/>
        </w:rPr>
        <w:t>On these and other DNS-related issues</w:t>
      </w:r>
      <w:r w:rsidRPr="005E2771">
        <w:rPr>
          <w:szCs w:val="22"/>
        </w:rPr>
        <w:t xml:space="preserve">, the Center has endeavored to </w:t>
      </w:r>
      <w:proofErr w:type="gramStart"/>
      <w:r w:rsidRPr="005E2771">
        <w:rPr>
          <w:szCs w:val="22"/>
        </w:rPr>
        <w:t>apprise</w:t>
      </w:r>
      <w:proofErr w:type="gramEnd"/>
      <w:r w:rsidRPr="005E2771">
        <w:rPr>
          <w:szCs w:val="22"/>
        </w:rPr>
        <w:t xml:space="preserve"> relevant</w:t>
      </w:r>
      <w:r>
        <w:rPr>
          <w:szCs w:val="22"/>
        </w:rPr>
        <w:t xml:space="preserve"> sectors within the Secretariat</w:t>
      </w:r>
      <w:r w:rsidRPr="005E2771">
        <w:rPr>
          <w:szCs w:val="22"/>
        </w:rPr>
        <w:t>, including in support of the work of the Standing Committee on the Law of Trademarks, Industrial Designs and Geographical Indications (SCT).</w:t>
      </w:r>
      <w:r w:rsidRPr="006475B9">
        <w:rPr>
          <w:rStyle w:val="FootnoteReference"/>
          <w:rFonts w:eastAsia="SimSun"/>
          <w:szCs w:val="22"/>
        </w:rPr>
        <w:footnoteReference w:id="75"/>
      </w:r>
      <w:r w:rsidR="00F83CEE">
        <w:rPr>
          <w:szCs w:val="22"/>
        </w:rPr>
        <w:t xml:space="preserve"> </w:t>
      </w:r>
      <w:r>
        <w:rPr>
          <w:szCs w:val="22"/>
        </w:rPr>
        <w:t xml:space="preserve">In this regard, </w:t>
      </w:r>
      <w:r w:rsidR="00B0432D">
        <w:rPr>
          <w:szCs w:val="22"/>
        </w:rPr>
        <w:t>for</w:t>
      </w:r>
      <w:r>
        <w:rPr>
          <w:szCs w:val="22"/>
        </w:rPr>
        <w:t xml:space="preserve"> the 39</w:t>
      </w:r>
      <w:r w:rsidRPr="00524465">
        <w:rPr>
          <w:szCs w:val="22"/>
          <w:vertAlign w:val="superscript"/>
        </w:rPr>
        <w:t>th</w:t>
      </w:r>
      <w:r>
        <w:rPr>
          <w:szCs w:val="22"/>
        </w:rPr>
        <w:t xml:space="preserve"> Session of the SCT in March 2018, in accordance with the </w:t>
      </w:r>
      <w:proofErr w:type="spellStart"/>
      <w:r>
        <w:rPr>
          <w:szCs w:val="22"/>
        </w:rPr>
        <w:t>Workplan</w:t>
      </w:r>
      <w:proofErr w:type="spellEnd"/>
      <w:r>
        <w:rPr>
          <w:szCs w:val="22"/>
        </w:rPr>
        <w:t xml:space="preserve"> on Geographical Indications and at the request of the Chair of the SCT, the Center with the SCT Secretariat compiled a well-received survey of the existing state of play of Geographical Indications, country names, and other geographical terms in the DNS.</w:t>
      </w:r>
      <w:r>
        <w:rPr>
          <w:rStyle w:val="FootnoteReference"/>
          <w:szCs w:val="22"/>
        </w:rPr>
        <w:footnoteReference w:id="76"/>
      </w:r>
      <w:r w:rsidR="00F83CEE">
        <w:rPr>
          <w:szCs w:val="22"/>
        </w:rPr>
        <w:t xml:space="preserve"> </w:t>
      </w:r>
      <w:r>
        <w:rPr>
          <w:szCs w:val="22"/>
        </w:rPr>
        <w:t>The Secretariat</w:t>
      </w:r>
      <w:r w:rsidRPr="00BE1A59">
        <w:rPr>
          <w:color w:val="000000"/>
          <w:szCs w:val="22"/>
        </w:rPr>
        <w:t xml:space="preserve"> will continue to monitor these developments and provide input where </w:t>
      </w:r>
      <w:r>
        <w:rPr>
          <w:color w:val="000000"/>
          <w:szCs w:val="22"/>
        </w:rPr>
        <w:t>appropriate</w:t>
      </w:r>
      <w:r w:rsidRPr="00BE1A59">
        <w:rPr>
          <w:color w:val="000000"/>
          <w:szCs w:val="22"/>
        </w:rPr>
        <w:t>.</w:t>
      </w:r>
    </w:p>
    <w:p w:rsidR="00263C54" w:rsidRPr="00524465" w:rsidRDefault="00B07B13" w:rsidP="00B07B13">
      <w:pPr>
        <w:pStyle w:val="DecisionInvitingPara"/>
        <w:rPr>
          <w:sz w:val="22"/>
        </w:rPr>
      </w:pPr>
      <w:r>
        <w:t>48.</w:t>
      </w:r>
      <w:r>
        <w:tab/>
      </w:r>
      <w:r w:rsidR="00263C54" w:rsidRPr="00524465">
        <w:rPr>
          <w:sz w:val="22"/>
        </w:rPr>
        <w:t>The WIPO General Assembly is invited to take note of the document “WIPO Arbitration and Mediation Center, Including Domain Names” (document WO/GA/50/10).</w:t>
      </w:r>
    </w:p>
    <w:p w:rsidR="000765C4" w:rsidRDefault="00263C54" w:rsidP="00F83CEE">
      <w:pPr>
        <w:spacing w:before="960"/>
        <w:ind w:left="5533"/>
      </w:pPr>
      <w:r w:rsidRPr="00E105A8">
        <w:rPr>
          <w:szCs w:val="22"/>
        </w:rPr>
        <w:t>[End of document]</w:t>
      </w:r>
    </w:p>
    <w:sectPr w:rsidR="000765C4" w:rsidSect="00667185">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8BA" w:rsidRDefault="002938BA">
      <w:r>
        <w:separator/>
      </w:r>
    </w:p>
  </w:endnote>
  <w:endnote w:type="continuationSeparator" w:id="0">
    <w:p w:rsidR="002938BA" w:rsidRDefault="002938BA" w:rsidP="003B38C1">
      <w:r>
        <w:separator/>
      </w:r>
    </w:p>
    <w:p w:rsidR="002938BA" w:rsidRPr="003B38C1" w:rsidRDefault="002938BA" w:rsidP="003B38C1">
      <w:pPr>
        <w:spacing w:after="60"/>
        <w:rPr>
          <w:sz w:val="17"/>
        </w:rPr>
      </w:pPr>
      <w:r>
        <w:rPr>
          <w:sz w:val="17"/>
        </w:rPr>
        <w:t>[Endnote continued from previous page]</w:t>
      </w:r>
    </w:p>
  </w:endnote>
  <w:endnote w:type="continuationNotice" w:id="1">
    <w:p w:rsidR="002938BA" w:rsidRPr="003B38C1" w:rsidRDefault="002938B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8BA" w:rsidRDefault="002938BA">
      <w:r>
        <w:separator/>
      </w:r>
    </w:p>
  </w:footnote>
  <w:footnote w:type="continuationSeparator" w:id="0">
    <w:p w:rsidR="002938BA" w:rsidRDefault="002938BA" w:rsidP="008B60B2">
      <w:r>
        <w:separator/>
      </w:r>
    </w:p>
    <w:p w:rsidR="002938BA" w:rsidRPr="00ED77FB" w:rsidRDefault="002938BA" w:rsidP="008B60B2">
      <w:pPr>
        <w:spacing w:after="60"/>
        <w:rPr>
          <w:sz w:val="17"/>
          <w:szCs w:val="17"/>
        </w:rPr>
      </w:pPr>
      <w:r w:rsidRPr="00ED77FB">
        <w:rPr>
          <w:sz w:val="17"/>
          <w:szCs w:val="17"/>
        </w:rPr>
        <w:t>[Footnote continued from previous page]</w:t>
      </w:r>
    </w:p>
  </w:footnote>
  <w:footnote w:type="continuationNotice" w:id="1">
    <w:p w:rsidR="002938BA" w:rsidRPr="00ED77FB" w:rsidRDefault="002938BA" w:rsidP="008B60B2">
      <w:pPr>
        <w:spacing w:before="60"/>
        <w:jc w:val="right"/>
        <w:rPr>
          <w:sz w:val="17"/>
          <w:szCs w:val="17"/>
        </w:rPr>
      </w:pPr>
      <w:r w:rsidRPr="00ED77FB">
        <w:rPr>
          <w:sz w:val="17"/>
          <w:szCs w:val="17"/>
        </w:rPr>
        <w:t>[Footnote continued on next page]</w:t>
      </w:r>
    </w:p>
  </w:footnote>
  <w:footnote w:id="2">
    <w:p w:rsidR="00BF59A8" w:rsidRPr="005C74BE" w:rsidRDefault="00BF59A8" w:rsidP="00BF59A8">
      <w:pPr>
        <w:pStyle w:val="FootnoteText"/>
        <w:tabs>
          <w:tab w:val="left" w:pos="567"/>
        </w:tabs>
        <w:rPr>
          <w:szCs w:val="18"/>
          <w:u w:val="single"/>
        </w:rPr>
      </w:pPr>
      <w:r w:rsidRPr="00C51805">
        <w:rPr>
          <w:rStyle w:val="FootnoteReference"/>
          <w:szCs w:val="18"/>
        </w:rPr>
        <w:footnoteRef/>
      </w:r>
      <w:r w:rsidRPr="00C51805">
        <w:rPr>
          <w:szCs w:val="18"/>
        </w:rPr>
        <w:tab/>
      </w:r>
      <w:r w:rsidR="00A86DB6">
        <w:rPr>
          <w:szCs w:val="18"/>
        </w:rPr>
        <w:t xml:space="preserve">See </w:t>
      </w:r>
      <w:r w:rsidR="00A86DB6" w:rsidRPr="00A86DB6">
        <w:rPr>
          <w:szCs w:val="18"/>
        </w:rPr>
        <w:t>http://www.wipo.int/edocs/mdocs/govbody/en/wo_ga_49/wo_ga_49_14.pdf</w:t>
      </w:r>
      <w:r w:rsidRPr="001F45ED">
        <w:rPr>
          <w:szCs w:val="18"/>
        </w:rPr>
        <w:t>.</w:t>
      </w:r>
      <w:r w:rsidRPr="00BB3ADD">
        <w:rPr>
          <w:szCs w:val="18"/>
        </w:rPr>
        <w:t xml:space="preserve">  </w:t>
      </w:r>
      <w:r w:rsidRPr="00BB3ADD">
        <w:rPr>
          <w:szCs w:val="18"/>
          <w:u w:val="single"/>
        </w:rPr>
        <w:t xml:space="preserve"> </w:t>
      </w:r>
    </w:p>
  </w:footnote>
  <w:footnote w:id="3">
    <w:p w:rsidR="00BF59A8" w:rsidRPr="009D416F" w:rsidRDefault="00BF59A8" w:rsidP="00BF59A8">
      <w:pPr>
        <w:pStyle w:val="FootnoteText"/>
        <w:rPr>
          <w:szCs w:val="18"/>
        </w:rPr>
      </w:pPr>
      <w:r>
        <w:rPr>
          <w:rStyle w:val="FootnoteReference"/>
        </w:rPr>
        <w:footnoteRef/>
      </w:r>
      <w:r>
        <w:t xml:space="preserve"> </w:t>
      </w:r>
      <w:r>
        <w:tab/>
      </w:r>
      <w:r w:rsidRPr="009D416F">
        <w:rPr>
          <w:szCs w:val="18"/>
        </w:rPr>
        <w:t xml:space="preserve">All workshops and other events organized by the Center are listed </w:t>
      </w:r>
      <w:r w:rsidRPr="003A09DF">
        <w:rPr>
          <w:szCs w:val="18"/>
        </w:rPr>
        <w:t>at http://www.wipo.int/amc/en/events</w:t>
      </w:r>
      <w:r w:rsidRPr="009D416F">
        <w:rPr>
          <w:szCs w:val="18"/>
        </w:rPr>
        <w:t>.</w:t>
      </w:r>
    </w:p>
  </w:footnote>
  <w:footnote w:id="4">
    <w:p w:rsidR="00BF59A8" w:rsidRPr="009D416F" w:rsidRDefault="00BF59A8" w:rsidP="00BF59A8">
      <w:pPr>
        <w:pStyle w:val="FootnoteText"/>
        <w:rPr>
          <w:szCs w:val="18"/>
        </w:rPr>
      </w:pPr>
      <w:r w:rsidRPr="009D416F">
        <w:rPr>
          <w:rStyle w:val="FootnoteReference"/>
          <w:szCs w:val="18"/>
        </w:rPr>
        <w:footnoteRef/>
      </w:r>
      <w:r w:rsidRPr="009D416F">
        <w:rPr>
          <w:szCs w:val="18"/>
        </w:rPr>
        <w:t xml:space="preserve"> </w:t>
      </w:r>
      <w:r w:rsidRPr="009D416F">
        <w:rPr>
          <w:szCs w:val="18"/>
        </w:rPr>
        <w:tab/>
        <w:t>ECAF</w:t>
      </w:r>
      <w:r w:rsidRPr="00E82CA6">
        <w:t xml:space="preserve"> offers online case communication and storage of documents facilitating </w:t>
      </w:r>
      <w:r w:rsidRPr="009D416F">
        <w:rPr>
          <w:szCs w:val="18"/>
        </w:rPr>
        <w:t>time- and cost-efficient mediation and arbitration proceedings.</w:t>
      </w:r>
      <w:r w:rsidR="00EE254D">
        <w:rPr>
          <w:szCs w:val="18"/>
        </w:rPr>
        <w:t xml:space="preserve">  In 2018, the Center added several new features to ECAF, including advanced</w:t>
      </w:r>
      <w:r w:rsidR="0083743A">
        <w:rPr>
          <w:szCs w:val="18"/>
        </w:rPr>
        <w:t xml:space="preserve"> search and bulk-</w:t>
      </w:r>
      <w:r w:rsidR="00EE254D">
        <w:rPr>
          <w:szCs w:val="18"/>
        </w:rPr>
        <w:t xml:space="preserve">uploading capabilities.  </w:t>
      </w:r>
      <w:r w:rsidRPr="003A09DF">
        <w:rPr>
          <w:szCs w:val="18"/>
        </w:rPr>
        <w:t>See http://www.wipo.int/amc/en/ecaf/index.html</w:t>
      </w:r>
      <w:r w:rsidRPr="009D416F">
        <w:rPr>
          <w:szCs w:val="18"/>
        </w:rPr>
        <w:t>.</w:t>
      </w:r>
    </w:p>
  </w:footnote>
  <w:footnote w:id="5">
    <w:p w:rsidR="0082403B" w:rsidRPr="007D12F8" w:rsidRDefault="0082403B" w:rsidP="0082403B">
      <w:pPr>
        <w:pStyle w:val="FootnoteText"/>
      </w:pPr>
      <w:r>
        <w:rPr>
          <w:rStyle w:val="FootnoteReference"/>
        </w:rPr>
        <w:footnoteRef/>
      </w:r>
      <w:r>
        <w:t xml:space="preserve"> </w:t>
      </w:r>
      <w:r>
        <w:tab/>
        <w:t xml:space="preserve">See </w:t>
      </w:r>
      <w:r w:rsidRPr="0082403B">
        <w:t>http://www.wipo.int/amc/en/publications/.</w:t>
      </w:r>
      <w:r>
        <w:rPr>
          <w:b/>
        </w:rPr>
        <w:t xml:space="preserve"> </w:t>
      </w:r>
    </w:p>
  </w:footnote>
  <w:footnote w:id="6">
    <w:p w:rsidR="00690D13" w:rsidRPr="007D12F8" w:rsidRDefault="00690D13" w:rsidP="00690D13">
      <w:pPr>
        <w:pStyle w:val="FootnoteText"/>
      </w:pPr>
      <w:r>
        <w:rPr>
          <w:rStyle w:val="FootnoteReference"/>
        </w:rPr>
        <w:footnoteRef/>
      </w:r>
      <w:r>
        <w:t xml:space="preserve"> </w:t>
      </w:r>
      <w:r>
        <w:tab/>
        <w:t xml:space="preserve">The WIPO Clause Generator is available at </w:t>
      </w:r>
      <w:r w:rsidRPr="00690D13">
        <w:t>http://www.wipo.int/amc-apps/clause-generator/</w:t>
      </w:r>
      <w:r>
        <w:t>.</w:t>
      </w:r>
    </w:p>
  </w:footnote>
  <w:footnote w:id="7">
    <w:p w:rsidR="005A71D9" w:rsidRPr="000D08E2" w:rsidRDefault="00690D13" w:rsidP="00690D13">
      <w:pPr>
        <w:pStyle w:val="FootnoteText"/>
      </w:pPr>
      <w:r>
        <w:rPr>
          <w:rStyle w:val="FootnoteReference"/>
        </w:rPr>
        <w:footnoteRef/>
      </w:r>
      <w:r>
        <w:t xml:space="preserve"> </w:t>
      </w:r>
      <w:r>
        <w:tab/>
      </w:r>
      <w:r w:rsidR="001163E5">
        <w:t xml:space="preserve">These include the </w:t>
      </w:r>
      <w:r w:rsidRPr="0058751A">
        <w:t xml:space="preserve">National Institute of Industrial Property (INPI) </w:t>
      </w:r>
      <w:r>
        <w:t>of</w:t>
      </w:r>
      <w:r w:rsidRPr="0058751A">
        <w:t xml:space="preserve"> Argentina</w:t>
      </w:r>
      <w:r>
        <w:t xml:space="preserve">, </w:t>
      </w:r>
      <w:r w:rsidR="00973BBB">
        <w:t xml:space="preserve">the </w:t>
      </w:r>
      <w:r w:rsidRPr="005E7DEC">
        <w:t>State Intellectual Property Office of the People's Republic of China (SIPO)</w:t>
      </w:r>
      <w:r>
        <w:t xml:space="preserve">, </w:t>
      </w:r>
      <w:r w:rsidR="00973BBB">
        <w:t xml:space="preserve">the </w:t>
      </w:r>
      <w:r w:rsidRPr="0058751A">
        <w:t>National Register of Costa Rica</w:t>
      </w:r>
      <w:r>
        <w:t xml:space="preserve">, </w:t>
      </w:r>
      <w:r w:rsidR="00973BBB">
        <w:t xml:space="preserve">the </w:t>
      </w:r>
      <w:r w:rsidRPr="0058751A">
        <w:t>Dominican Republic National Copyright Office (ONDA)</w:t>
      </w:r>
      <w:r>
        <w:t xml:space="preserve">, </w:t>
      </w:r>
      <w:r w:rsidR="00973BBB">
        <w:t xml:space="preserve">the </w:t>
      </w:r>
      <w:r w:rsidRPr="0058751A">
        <w:t>Kenya Copyright Board (KECOBO)</w:t>
      </w:r>
      <w:r>
        <w:t xml:space="preserve">, </w:t>
      </w:r>
      <w:r w:rsidR="00973BBB">
        <w:t xml:space="preserve">the </w:t>
      </w:r>
      <w:r w:rsidR="00973BBB" w:rsidRPr="0058751A">
        <w:t>Korea Intellectual Property Office (KIPO)</w:t>
      </w:r>
      <w:r w:rsidR="00973BBB">
        <w:t xml:space="preserve">, the </w:t>
      </w:r>
      <w:r w:rsidRPr="0058751A">
        <w:t>Ministry of Culture of the Republic of Lithuania</w:t>
      </w:r>
      <w:r>
        <w:t xml:space="preserve">, </w:t>
      </w:r>
      <w:r w:rsidR="00973BBB">
        <w:t xml:space="preserve">the </w:t>
      </w:r>
      <w:r w:rsidRPr="0058751A">
        <w:t>Patent Office of the Republic of Poland (UPRP)</w:t>
      </w:r>
      <w:r>
        <w:t xml:space="preserve">, </w:t>
      </w:r>
      <w:r w:rsidR="00973BBB">
        <w:t xml:space="preserve">the </w:t>
      </w:r>
      <w:r w:rsidRPr="0058751A">
        <w:t xml:space="preserve">Romanian Copyright Office (ORDA), </w:t>
      </w:r>
      <w:r w:rsidR="00973BBB">
        <w:t xml:space="preserve">the </w:t>
      </w:r>
      <w:r w:rsidRPr="0058751A">
        <w:t>Federal Service for Intellectual Property of the Russian Federation (ROSPATENT)</w:t>
      </w:r>
      <w:r w:rsidR="00973BBB">
        <w:t>, the</w:t>
      </w:r>
      <w:r>
        <w:t xml:space="preserve"> </w:t>
      </w:r>
      <w:r w:rsidRPr="0058751A">
        <w:t>Intellectual Property Office of the Republic of Serbia</w:t>
      </w:r>
      <w:r>
        <w:t xml:space="preserve">, and </w:t>
      </w:r>
      <w:r w:rsidR="00973BBB">
        <w:t xml:space="preserve">the </w:t>
      </w:r>
      <w:r w:rsidRPr="0043400A">
        <w:t>Swiss Federal Institute of Intellectual Property (IPI)</w:t>
      </w:r>
      <w:r>
        <w:t>.  A full list of the Center’s collaborations with IPO</w:t>
      </w:r>
      <w:r w:rsidR="001163E5">
        <w:t>s</w:t>
      </w:r>
      <w:r w:rsidR="0082403B">
        <w:t xml:space="preserve"> is available </w:t>
      </w:r>
      <w:r>
        <w:t xml:space="preserve">at </w:t>
      </w:r>
      <w:r w:rsidR="005A71D9" w:rsidRPr="0082403B">
        <w:t>http://www.wipo.int/amc/en/center/specific-sectors/ipoffices/</w:t>
      </w:r>
      <w:r>
        <w:t xml:space="preserve">. </w:t>
      </w:r>
    </w:p>
  </w:footnote>
  <w:footnote w:id="8">
    <w:p w:rsidR="00690D13" w:rsidRPr="003028C3" w:rsidRDefault="00690D13" w:rsidP="00690D13">
      <w:pPr>
        <w:pStyle w:val="FootnoteText"/>
      </w:pPr>
      <w:r>
        <w:rPr>
          <w:rStyle w:val="FootnoteReference"/>
        </w:rPr>
        <w:footnoteRef/>
      </w:r>
      <w:r>
        <w:t xml:space="preserve"> </w:t>
      </w:r>
      <w:r>
        <w:tab/>
      </w:r>
      <w:r w:rsidR="00EF02A8">
        <w:t xml:space="preserve">These include the </w:t>
      </w:r>
      <w:r>
        <w:t>National Institute of Industrial Property (INPI) in Argentina, IP Australia,</w:t>
      </w:r>
      <w:r w:rsidR="008019FD">
        <w:t xml:space="preserve"> the</w:t>
      </w:r>
      <w:r>
        <w:t xml:space="preserve"> Brazilian National Institute of Industrial Property (INPI-BR), </w:t>
      </w:r>
      <w:r w:rsidR="008019FD">
        <w:t xml:space="preserve">the </w:t>
      </w:r>
      <w:r>
        <w:t xml:space="preserve">State Intellectual Property Office of the People's Republic of China (SIPO), </w:t>
      </w:r>
      <w:r w:rsidR="008019FD">
        <w:t xml:space="preserve">the </w:t>
      </w:r>
      <w:r>
        <w:t xml:space="preserve">National Copyright Directorate of Colombia (DNDA), </w:t>
      </w:r>
      <w:r w:rsidR="008019FD">
        <w:t xml:space="preserve">the </w:t>
      </w:r>
      <w:r>
        <w:t xml:space="preserve">National Register of Costa Rica, </w:t>
      </w:r>
      <w:r w:rsidR="008019FD">
        <w:t xml:space="preserve">the </w:t>
      </w:r>
      <w:r>
        <w:t xml:space="preserve">Cuban Industrial Property Office (OCPI), </w:t>
      </w:r>
      <w:r w:rsidR="008019FD">
        <w:t xml:space="preserve">the </w:t>
      </w:r>
      <w:r>
        <w:t xml:space="preserve">Dominican Republic National Copyright Office (ONDA), </w:t>
      </w:r>
      <w:r w:rsidR="008019FD">
        <w:t xml:space="preserve">the </w:t>
      </w:r>
      <w:r>
        <w:t xml:space="preserve">El Salvador National Center of Registries (CNR), </w:t>
      </w:r>
      <w:r w:rsidR="008019FD">
        <w:t xml:space="preserve">the </w:t>
      </w:r>
      <w:r>
        <w:t xml:space="preserve">Indonesia Directorate General of Intellectual Property (DGIP), </w:t>
      </w:r>
      <w:r w:rsidR="008019FD">
        <w:t xml:space="preserve">the </w:t>
      </w:r>
      <w:r>
        <w:t xml:space="preserve">Israel Patent Office (ILPO), </w:t>
      </w:r>
      <w:r w:rsidR="008019FD">
        <w:t xml:space="preserve">the </w:t>
      </w:r>
      <w:r>
        <w:t xml:space="preserve">Kenya Copyright Board (KECOBO), </w:t>
      </w:r>
      <w:r w:rsidR="008019FD">
        <w:t xml:space="preserve">the Ministry of Culture, Sports and Tourism of the Republic of Korea (MCST), the Korea Intellectual Property Office (KIPO), the </w:t>
      </w:r>
      <w:r>
        <w:t xml:space="preserve">Ministry of Culture of the Republic of Lithuania, </w:t>
      </w:r>
      <w:r w:rsidR="008019FD">
        <w:t xml:space="preserve">the </w:t>
      </w:r>
      <w:r>
        <w:t xml:space="preserve">Mexican Institute of Industrial Property (IMPI Mexico), </w:t>
      </w:r>
      <w:r w:rsidR="008019FD">
        <w:t xml:space="preserve">the </w:t>
      </w:r>
      <w:r>
        <w:t xml:space="preserve">Paraguay National Directorate of Intellectual Property (DINAPI), </w:t>
      </w:r>
      <w:r w:rsidR="008019FD">
        <w:t xml:space="preserve">the </w:t>
      </w:r>
      <w:r>
        <w:t xml:space="preserve">Intellectual Property Office of the Philippines (IPOPHL), </w:t>
      </w:r>
      <w:r w:rsidR="008019FD">
        <w:t xml:space="preserve">the </w:t>
      </w:r>
      <w:r>
        <w:t xml:space="preserve">Patent Office of the Republic of Poland (UPRP), </w:t>
      </w:r>
      <w:r w:rsidR="008019FD">
        <w:t xml:space="preserve">the </w:t>
      </w:r>
      <w:r>
        <w:t xml:space="preserve">Romanian Copyright Office (ORDA), </w:t>
      </w:r>
      <w:r w:rsidR="008019FD">
        <w:t xml:space="preserve">the </w:t>
      </w:r>
      <w:r>
        <w:t xml:space="preserve">Federal Service for Intellectual Property of the Russian Federation (ROSPATENT), </w:t>
      </w:r>
      <w:r w:rsidR="008019FD">
        <w:t xml:space="preserve">the </w:t>
      </w:r>
      <w:r>
        <w:t xml:space="preserve">Intellectual Property Office of the Republic of Serbia, </w:t>
      </w:r>
      <w:r w:rsidR="008019FD">
        <w:t xml:space="preserve">the </w:t>
      </w:r>
      <w:r>
        <w:t xml:space="preserve">Intellectual Property Office of Singapore (IPOS), </w:t>
      </w:r>
      <w:r w:rsidR="008019FD">
        <w:t xml:space="preserve">the </w:t>
      </w:r>
      <w:r>
        <w:t xml:space="preserve">Spanish Patent and Trademark Office (OEPM), </w:t>
      </w:r>
      <w:r w:rsidR="008019FD">
        <w:t xml:space="preserve">the </w:t>
      </w:r>
      <w:r>
        <w:t xml:space="preserve">Swiss Federal Institute of Intellectual Property (IPI), </w:t>
      </w:r>
      <w:r w:rsidR="008019FD">
        <w:t xml:space="preserve">the </w:t>
      </w:r>
      <w:r>
        <w:t>United Kingdom Intellectual Property Office (</w:t>
      </w:r>
      <w:r w:rsidR="009B6225">
        <w:t>UK</w:t>
      </w:r>
      <w:r>
        <w:t xml:space="preserve">IPO), and </w:t>
      </w:r>
      <w:r w:rsidR="008019FD">
        <w:t xml:space="preserve">the </w:t>
      </w:r>
      <w:r>
        <w:t xml:space="preserve">United States Patent and Trademark Office (USPTO).  </w:t>
      </w:r>
    </w:p>
  </w:footnote>
  <w:footnote w:id="9">
    <w:p w:rsidR="00690D13" w:rsidRPr="00B95794" w:rsidRDefault="00690D13" w:rsidP="00690D13">
      <w:pPr>
        <w:pStyle w:val="FootnoteText"/>
      </w:pPr>
      <w:r w:rsidRPr="00B95794">
        <w:rPr>
          <w:rStyle w:val="FootnoteReference"/>
        </w:rPr>
        <w:footnoteRef/>
      </w:r>
      <w:r>
        <w:tab/>
      </w:r>
      <w:r w:rsidR="001D5C95">
        <w:t xml:space="preserve">The Center makes available </w:t>
      </w:r>
      <w:r w:rsidR="00ED6103">
        <w:t xml:space="preserve">ECAF and </w:t>
      </w:r>
      <w:r w:rsidRPr="00BA2E16">
        <w:t xml:space="preserve">videoconferencing facilities </w:t>
      </w:r>
      <w:r w:rsidR="006E197D">
        <w:t>for parties</w:t>
      </w:r>
      <w:r w:rsidR="00ED6103">
        <w:t>.  S</w:t>
      </w:r>
      <w:r w:rsidRPr="00B95794">
        <w:t xml:space="preserve">ee </w:t>
      </w:r>
      <w:r w:rsidRPr="00973BBB">
        <w:t>http://www.wipo.int/amc/en/ecaf/index.html</w:t>
      </w:r>
      <w:r>
        <w:t>.</w:t>
      </w:r>
    </w:p>
  </w:footnote>
  <w:footnote w:id="10">
    <w:p w:rsidR="00690D13" w:rsidRPr="00BA2E16" w:rsidRDefault="00690D13" w:rsidP="00690D13">
      <w:pPr>
        <w:pStyle w:val="FootnoteText"/>
      </w:pPr>
      <w:r w:rsidRPr="00B95794">
        <w:rPr>
          <w:rStyle w:val="FootnoteReference"/>
        </w:rPr>
        <w:footnoteRef/>
      </w:r>
      <w:r>
        <w:tab/>
      </w:r>
      <w:r w:rsidR="00973BBB">
        <w:t xml:space="preserve">For examples of </w:t>
      </w:r>
      <w:r w:rsidRPr="00B95794">
        <w:t>events organized by t</w:t>
      </w:r>
      <w:r w:rsidR="006E197D">
        <w:t xml:space="preserve">he </w:t>
      </w:r>
      <w:r w:rsidR="00973BBB">
        <w:t xml:space="preserve">Center in collaboration </w:t>
      </w:r>
      <w:r w:rsidRPr="00B95794">
        <w:t xml:space="preserve">with IPOs </w:t>
      </w:r>
      <w:r w:rsidR="00973BBB">
        <w:t xml:space="preserve">see </w:t>
      </w:r>
      <w:r w:rsidR="00973BBB" w:rsidRPr="00973BBB">
        <w:t>http://www.wipo.int/amc/en/center/specific-sectors/ipoffices/</w:t>
      </w:r>
      <w:r>
        <w:t xml:space="preserve">.  </w:t>
      </w:r>
      <w:r w:rsidRPr="00B95794">
        <w:t>ADR also is included in the</w:t>
      </w:r>
      <w:r w:rsidR="0083743A">
        <w:t xml:space="preserve"> programs of </w:t>
      </w:r>
      <w:r w:rsidRPr="00B95794">
        <w:t>WIPO Roving Seminars organ</w:t>
      </w:r>
      <w:r w:rsidR="0083743A">
        <w:t>ized in collaboration with IPOs</w:t>
      </w:r>
      <w:r w:rsidR="00043B50">
        <w:t xml:space="preserve">.  </w:t>
      </w:r>
      <w:r w:rsidR="0083743A">
        <w:t>S</w:t>
      </w:r>
      <w:r w:rsidRPr="00B95794">
        <w:t xml:space="preserve">ee </w:t>
      </w:r>
      <w:r w:rsidRPr="00973BBB">
        <w:t>http://www.wipo.int/dcea/en/roving_seminars/</w:t>
      </w:r>
      <w:r>
        <w:t>.</w:t>
      </w:r>
    </w:p>
  </w:footnote>
  <w:footnote w:id="11">
    <w:p w:rsidR="00483FA0" w:rsidRPr="003A4E13" w:rsidRDefault="00483FA0" w:rsidP="00483FA0">
      <w:pPr>
        <w:pStyle w:val="FootnoteText"/>
      </w:pPr>
      <w:r>
        <w:rPr>
          <w:rStyle w:val="FootnoteReference"/>
        </w:rPr>
        <w:footnoteRef/>
      </w:r>
      <w:r>
        <w:t xml:space="preserve"> </w:t>
      </w:r>
      <w:r w:rsidRPr="003A4E13">
        <w:t xml:space="preserve"> </w:t>
      </w:r>
      <w:r>
        <w:tab/>
      </w:r>
      <w:r w:rsidRPr="003A4E13">
        <w:t>For example</w:t>
      </w:r>
      <w:r>
        <w:t>,</w:t>
      </w:r>
      <w:r w:rsidRPr="003A4E13">
        <w:t xml:space="preserve"> </w:t>
      </w:r>
      <w:r>
        <w:t>u</w:t>
      </w:r>
      <w:r w:rsidRPr="00C950C2">
        <w:t xml:space="preserve">nder its collaboration with </w:t>
      </w:r>
      <w:r>
        <w:t xml:space="preserve">the </w:t>
      </w:r>
      <w:r w:rsidRPr="00FA0A9D">
        <w:t>Intellectual Property Office of Singapore (IPOS)</w:t>
      </w:r>
      <w:r w:rsidRPr="00C950C2">
        <w:t>, the Center has participated in the development of a mediation option for trademark and patent proceedings, and an expert determination option for patent proceedings pending before IPOS, and administers such proceedings</w:t>
      </w:r>
      <w:r>
        <w:t xml:space="preserve">.  </w:t>
      </w:r>
      <w:r w:rsidRPr="00C950C2">
        <w:t xml:space="preserve">The Center also collaborates with the </w:t>
      </w:r>
      <w:r w:rsidRPr="00FA0A9D">
        <w:t>Intellectual Property Office of the Philippines</w:t>
      </w:r>
      <w:r w:rsidRPr="00C950C2">
        <w:t xml:space="preserve"> (IPOPHL) concerning the administration of mediation proceedings involving</w:t>
      </w:r>
      <w:r w:rsidR="009B6225">
        <w:t xml:space="preserve"> IP </w:t>
      </w:r>
      <w:r w:rsidRPr="00C950C2">
        <w:t>rights in the Philippines</w:t>
      </w:r>
      <w:r w:rsidR="008019FD">
        <w:t xml:space="preserve">.  The Trademark </w:t>
      </w:r>
      <w:r w:rsidRPr="00C950C2">
        <w:t xml:space="preserve">Trial and Appeal Board (TTAB) and the Patent Trial and Appeal Board (PTAB) of the United States Patent and Trademark Office (USPTO) encourage parties to consider ADR as a means of settling issues raised in </w:t>
      </w:r>
      <w:r>
        <w:t>those</w:t>
      </w:r>
      <w:r w:rsidRPr="00C950C2">
        <w:t xml:space="preserve"> proceedings. </w:t>
      </w:r>
      <w:r w:rsidR="008019FD">
        <w:t xml:space="preserve"> </w:t>
      </w:r>
      <w:r w:rsidRPr="00C950C2">
        <w:t>The</w:t>
      </w:r>
      <w:r w:rsidR="00F46324">
        <w:t xml:space="preserve"> </w:t>
      </w:r>
      <w:r w:rsidRPr="00C950C2">
        <w:t>Center is one of the listed dispute resolution service providers for TTAB and PTAB proceedi</w:t>
      </w:r>
      <w:r w:rsidRPr="004562B0">
        <w:t>ngs</w:t>
      </w:r>
      <w:r>
        <w:t xml:space="preserve">.  Under its collaboration with the Patent Office of the Republic of Poland (UPRP), the Center participated in the development of a mediation option for </w:t>
      </w:r>
      <w:r w:rsidR="009B6225">
        <w:t xml:space="preserve">pending </w:t>
      </w:r>
      <w:r>
        <w:t xml:space="preserve">trademark opposition proceedings, and </w:t>
      </w:r>
      <w:r w:rsidR="009B6225">
        <w:t xml:space="preserve">is to </w:t>
      </w:r>
      <w:r>
        <w:t>administer</w:t>
      </w:r>
      <w:r w:rsidR="009B6225">
        <w:t xml:space="preserve"> </w:t>
      </w:r>
      <w:r>
        <w:t xml:space="preserve">such proceedings.  </w:t>
      </w:r>
    </w:p>
  </w:footnote>
  <w:footnote w:id="12">
    <w:p w:rsidR="00EF02A8" w:rsidRPr="003D56EA" w:rsidRDefault="00EF02A8" w:rsidP="00EF02A8">
      <w:pPr>
        <w:pStyle w:val="FootnoteText"/>
      </w:pPr>
      <w:r>
        <w:rPr>
          <w:rStyle w:val="FootnoteReference"/>
        </w:rPr>
        <w:footnoteRef/>
      </w:r>
      <w:r>
        <w:t xml:space="preserve"> </w:t>
      </w:r>
      <w:r>
        <w:tab/>
      </w:r>
      <w:r w:rsidR="009B6225">
        <w:t xml:space="preserve">This notably concerns the </w:t>
      </w:r>
      <w:r>
        <w:t>collaborations between</w:t>
      </w:r>
      <w:r w:rsidRPr="002B0DD7">
        <w:t xml:space="preserve"> the Center and the National Copyright Directorate of Colombia (DNDA)</w:t>
      </w:r>
      <w:r>
        <w:t>,</w:t>
      </w:r>
      <w:r w:rsidRPr="002B0DD7">
        <w:t xml:space="preserve"> the Korea Copyright Commission (KCC)</w:t>
      </w:r>
      <w:r>
        <w:t>,</w:t>
      </w:r>
      <w:r w:rsidRPr="002B0DD7">
        <w:t xml:space="preserve"> and the </w:t>
      </w:r>
      <w:hyperlink r:id="rId1" w:history="1">
        <w:r w:rsidRPr="002B0DD7">
          <w:t>Korea Creative Content Agency (KOCCA)</w:t>
        </w:r>
      </w:hyperlink>
      <w:r w:rsidRPr="002B0DD7">
        <w:t>.</w:t>
      </w:r>
      <w:r w:rsidR="009B6225">
        <w:t xml:space="preserve">  S</w:t>
      </w:r>
      <w:r>
        <w:t>ee</w:t>
      </w:r>
      <w:r w:rsidRPr="002A57FB">
        <w:t xml:space="preserve"> http://www.wipo.int/amc/en/center/specific-sectors/ipo</w:t>
      </w:r>
      <w:r w:rsidR="00762D85">
        <w:t>ffice</w:t>
      </w:r>
      <w:r w:rsidRPr="002A57FB">
        <w:t>s/.</w:t>
      </w:r>
    </w:p>
  </w:footnote>
  <w:footnote w:id="13">
    <w:p w:rsidR="00690D13" w:rsidRPr="00B95794" w:rsidRDefault="00690D13" w:rsidP="00690D13">
      <w:pPr>
        <w:pStyle w:val="FootnoteText"/>
      </w:pPr>
      <w:r w:rsidRPr="00B95794">
        <w:rPr>
          <w:rStyle w:val="FootnoteReference"/>
        </w:rPr>
        <w:footnoteRef/>
      </w:r>
      <w:r>
        <w:tab/>
      </w:r>
      <w:r w:rsidRPr="00FA3100">
        <w:rPr>
          <w:szCs w:val="18"/>
        </w:rPr>
        <w:t xml:space="preserve">For example, the Center </w:t>
      </w:r>
      <w:r w:rsidR="009B6225">
        <w:rPr>
          <w:szCs w:val="18"/>
        </w:rPr>
        <w:t xml:space="preserve">produced such models </w:t>
      </w:r>
      <w:r w:rsidRPr="00FA3100">
        <w:rPr>
          <w:szCs w:val="18"/>
        </w:rPr>
        <w:t xml:space="preserve">with the Spanish Patent and Trademark Office </w:t>
      </w:r>
      <w:r>
        <w:rPr>
          <w:szCs w:val="18"/>
        </w:rPr>
        <w:t>(OEPM)</w:t>
      </w:r>
      <w:r w:rsidR="009B6225">
        <w:rPr>
          <w:szCs w:val="18"/>
        </w:rPr>
        <w:t xml:space="preserve">.  </w:t>
      </w:r>
      <w:r w:rsidRPr="00B95794">
        <w:t>Other model R&amp;D agreements that recomm</w:t>
      </w:r>
      <w:r>
        <w:t>end WIPO Mediation followed by Expedited</w:t>
      </w:r>
      <w:r w:rsidRPr="00B95794">
        <w:t xml:space="preserve"> Arbitration include the EU DESCA 2020 Model Consortium Agreement</w:t>
      </w:r>
      <w:proofErr w:type="gramStart"/>
      <w:r w:rsidRPr="00B95794">
        <w:t>;  the</w:t>
      </w:r>
      <w:proofErr w:type="gramEnd"/>
      <w:r w:rsidRPr="00B95794">
        <w:t xml:space="preserve"> </w:t>
      </w:r>
      <w:r w:rsidRPr="002D6FFF">
        <w:rPr>
          <w:lang w:val="en"/>
        </w:rPr>
        <w:t>Intellectual Property Agreement Guide</w:t>
      </w:r>
      <w:r>
        <w:rPr>
          <w:lang w:val="en"/>
        </w:rPr>
        <w:t xml:space="preserve"> (IPAG</w:t>
      </w:r>
      <w:r w:rsidRPr="002D6FFF">
        <w:rPr>
          <w:lang w:val="en"/>
        </w:rPr>
        <w:t>)</w:t>
      </w:r>
      <w:r w:rsidR="009B6225">
        <w:rPr>
          <w:lang w:val="en"/>
        </w:rPr>
        <w:t xml:space="preserve"> Model Agreements in Austria</w:t>
      </w:r>
      <w:r w:rsidRPr="00B95794">
        <w:rPr>
          <w:lang w:val="en"/>
        </w:rPr>
        <w:t>;  and the Sample Agreements for Research and Development Cooperation in Germany</w:t>
      </w:r>
      <w:r w:rsidR="00762D85">
        <w:rPr>
          <w:lang w:val="en"/>
        </w:rPr>
        <w:t xml:space="preserve">.  For further </w:t>
      </w:r>
      <w:r w:rsidRPr="00B95794">
        <w:rPr>
          <w:lang w:val="en"/>
        </w:rPr>
        <w:t xml:space="preserve">information </w:t>
      </w:r>
      <w:r w:rsidR="00762D85">
        <w:rPr>
          <w:lang w:val="en"/>
        </w:rPr>
        <w:t>see</w:t>
      </w:r>
      <w:r w:rsidRPr="00B95794">
        <w:rPr>
          <w:lang w:val="en"/>
        </w:rPr>
        <w:t xml:space="preserve"> </w:t>
      </w:r>
      <w:r w:rsidRPr="00762D85">
        <w:rPr>
          <w:lang w:val="en"/>
        </w:rPr>
        <w:t>http://www.wipo.int/amc/en/center/specific-sectors/rd/</w:t>
      </w:r>
      <w:r w:rsidRPr="00B95794">
        <w:rPr>
          <w:lang w:val="en"/>
        </w:rPr>
        <w:t>.</w:t>
      </w:r>
    </w:p>
  </w:footnote>
  <w:footnote w:id="14">
    <w:p w:rsidR="00690D13" w:rsidRPr="00786B1C" w:rsidRDefault="00690D13" w:rsidP="00690D13">
      <w:pPr>
        <w:pStyle w:val="FootnoteText"/>
      </w:pPr>
      <w:r>
        <w:rPr>
          <w:rStyle w:val="FootnoteReference"/>
        </w:rPr>
        <w:footnoteRef/>
      </w:r>
      <w:r>
        <w:t xml:space="preserve"> </w:t>
      </w:r>
      <w:r>
        <w:tab/>
        <w:t xml:space="preserve">The </w:t>
      </w:r>
      <w:r w:rsidR="008019FD">
        <w:t xml:space="preserve">second edition of the Guide is available </w:t>
      </w:r>
      <w:r>
        <w:t xml:space="preserve">at </w:t>
      </w:r>
      <w:r w:rsidRPr="00270085">
        <w:t>http://www.wipo.int/export/sites/www/amc/en/docs/adrguidejuly2015.pdf</w:t>
      </w:r>
      <w:r>
        <w:t xml:space="preserve">. </w:t>
      </w:r>
    </w:p>
  </w:footnote>
  <w:footnote w:id="15">
    <w:p w:rsidR="00640B9A" w:rsidRPr="00BB2B26" w:rsidRDefault="00640B9A" w:rsidP="00640B9A">
      <w:pPr>
        <w:pStyle w:val="FootnoteText"/>
      </w:pPr>
      <w:r>
        <w:rPr>
          <w:rStyle w:val="FootnoteReference"/>
        </w:rPr>
        <w:footnoteRef/>
      </w:r>
      <w:r>
        <w:t xml:space="preserve"> </w:t>
      </w:r>
      <w:r>
        <w:tab/>
      </w:r>
      <w:r w:rsidR="00483FA0">
        <w:t xml:space="preserve">See </w:t>
      </w:r>
      <w:r w:rsidRPr="00483FA0">
        <w:t>http://www.wipo.int/export/sites/www/amc/en/docs/wipofrandadrguidance.pdf</w:t>
      </w:r>
      <w:r w:rsidR="00490791">
        <w:t>.</w:t>
      </w:r>
      <w:r>
        <w:t xml:space="preserve"> </w:t>
      </w:r>
    </w:p>
  </w:footnote>
  <w:footnote w:id="16">
    <w:p w:rsidR="003151C8" w:rsidRPr="00772E98" w:rsidRDefault="003151C8" w:rsidP="003151C8">
      <w:pPr>
        <w:pStyle w:val="FootnoteText"/>
      </w:pPr>
      <w:r>
        <w:rPr>
          <w:rStyle w:val="FootnoteReference"/>
        </w:rPr>
        <w:footnoteRef/>
      </w:r>
      <w:r>
        <w:t xml:space="preserve"> </w:t>
      </w:r>
      <w:r>
        <w:tab/>
      </w:r>
      <w:r w:rsidR="00483FA0">
        <w:t xml:space="preserve">See </w:t>
      </w:r>
      <w:r w:rsidRPr="00483FA0">
        <w:t>http://www.wipo.int/amc/en/center/specific-sectors/tradefairs/</w:t>
      </w:r>
      <w:r w:rsidR="00490791">
        <w:t>.</w:t>
      </w:r>
      <w:r>
        <w:t xml:space="preserve"> </w:t>
      </w:r>
    </w:p>
  </w:footnote>
  <w:footnote w:id="17">
    <w:p w:rsidR="00483FA0" w:rsidRPr="0079106B" w:rsidRDefault="00483FA0" w:rsidP="00483FA0">
      <w:pPr>
        <w:pStyle w:val="FootnoteText"/>
      </w:pPr>
      <w:r>
        <w:rPr>
          <w:rStyle w:val="FootnoteReference"/>
        </w:rPr>
        <w:footnoteRef/>
      </w:r>
      <w:r>
        <w:t xml:space="preserve"> </w:t>
      </w:r>
      <w:r>
        <w:tab/>
        <w:t xml:space="preserve">These include cases </w:t>
      </w:r>
      <w:r>
        <w:rPr>
          <w:szCs w:val="22"/>
        </w:rPr>
        <w:t>at the 87</w:t>
      </w:r>
      <w:r w:rsidRPr="00524465">
        <w:rPr>
          <w:szCs w:val="22"/>
          <w:vertAlign w:val="superscript"/>
        </w:rPr>
        <w:t>th</w:t>
      </w:r>
      <w:r w:rsidRPr="00BB2B26">
        <w:rPr>
          <w:szCs w:val="22"/>
        </w:rPr>
        <w:t xml:space="preserve"> Geneva International Motor Show </w:t>
      </w:r>
      <w:r w:rsidR="00490791">
        <w:rPr>
          <w:szCs w:val="22"/>
        </w:rPr>
        <w:t xml:space="preserve">held </w:t>
      </w:r>
      <w:r>
        <w:rPr>
          <w:szCs w:val="22"/>
        </w:rPr>
        <w:t>in March 2018.</w:t>
      </w:r>
    </w:p>
  </w:footnote>
  <w:footnote w:id="18">
    <w:p w:rsidR="00BF59A8" w:rsidRPr="006475B9" w:rsidRDefault="00BF59A8" w:rsidP="00BF59A8">
      <w:pPr>
        <w:pStyle w:val="FootnoteText"/>
        <w:rPr>
          <w:szCs w:val="18"/>
        </w:rPr>
      </w:pPr>
      <w:r w:rsidRPr="003A09DF">
        <w:rPr>
          <w:rStyle w:val="FootnoteReference"/>
          <w:szCs w:val="18"/>
        </w:rPr>
        <w:footnoteRef/>
      </w:r>
      <w:r w:rsidRPr="003A09DF">
        <w:rPr>
          <w:szCs w:val="18"/>
        </w:rPr>
        <w:t xml:space="preserve"> </w:t>
      </w:r>
      <w:r w:rsidRPr="003A09DF">
        <w:rPr>
          <w:szCs w:val="18"/>
        </w:rPr>
        <w:tab/>
        <w:t>The Management of Internet Names and Addresses:  Intellectual Property</w:t>
      </w:r>
      <w:r w:rsidRPr="006475B9">
        <w:rPr>
          <w:szCs w:val="18"/>
        </w:rPr>
        <w:t xml:space="preserve"> Issues – Final Report of the First WIPO </w:t>
      </w:r>
      <w:r w:rsidRPr="003A09DF">
        <w:rPr>
          <w:szCs w:val="18"/>
        </w:rPr>
        <w:t>Internet Domain Name Process, WIPO publication No. 439, also available at http://www.wipo.int/amc/en/processes/process1/report.</w:t>
      </w:r>
    </w:p>
  </w:footnote>
  <w:footnote w:id="19">
    <w:p w:rsidR="00BF59A8" w:rsidRPr="006475B9" w:rsidRDefault="00BF59A8" w:rsidP="00BF59A8">
      <w:pPr>
        <w:pStyle w:val="FootnoteText"/>
        <w:rPr>
          <w:szCs w:val="18"/>
        </w:rPr>
      </w:pPr>
      <w:r w:rsidRPr="006475B9">
        <w:rPr>
          <w:rStyle w:val="FootnoteReference"/>
          <w:szCs w:val="18"/>
        </w:rPr>
        <w:footnoteRef/>
      </w:r>
      <w:r w:rsidRPr="006475B9">
        <w:rPr>
          <w:szCs w:val="18"/>
        </w:rPr>
        <w:t xml:space="preserve"> </w:t>
      </w:r>
      <w:r w:rsidRPr="006475B9">
        <w:rPr>
          <w:szCs w:val="18"/>
        </w:rPr>
        <w:tab/>
        <w:t xml:space="preserve">The Recognition of Rights and the Use of Names in the Internet Domain Name System – Report of the Second WIPO Internet Domain Name Process, WIPO Publication No. 843, also available at </w:t>
      </w:r>
      <w:r w:rsidRPr="003A09DF">
        <w:rPr>
          <w:szCs w:val="18"/>
        </w:rPr>
        <w:t>http://www.wipo.int/amc/en/processes/process2/report.</w:t>
      </w:r>
    </w:p>
  </w:footnote>
  <w:footnote w:id="20">
    <w:p w:rsidR="00BF59A8" w:rsidRPr="006475B9" w:rsidRDefault="00BF59A8" w:rsidP="00BF59A8">
      <w:pPr>
        <w:pStyle w:val="FootnoteText"/>
        <w:rPr>
          <w:szCs w:val="18"/>
        </w:rPr>
      </w:pPr>
      <w:r w:rsidRPr="006475B9">
        <w:rPr>
          <w:rStyle w:val="FootnoteReference"/>
          <w:szCs w:val="18"/>
        </w:rPr>
        <w:footnoteRef/>
      </w:r>
      <w:r w:rsidRPr="006475B9">
        <w:rPr>
          <w:szCs w:val="18"/>
        </w:rPr>
        <w:tab/>
      </w:r>
      <w:r>
        <w:rPr>
          <w:szCs w:val="24"/>
        </w:rPr>
        <w:t xml:space="preserve">The UDRP </w:t>
      </w:r>
      <w:r w:rsidRPr="006475B9">
        <w:rPr>
          <w:szCs w:val="24"/>
        </w:rPr>
        <w:t>does not prevent either party from submitting a dispute t</w:t>
      </w:r>
      <w:r>
        <w:rPr>
          <w:szCs w:val="24"/>
        </w:rPr>
        <w:t>o a competent court of justice</w:t>
      </w:r>
      <w:proofErr w:type="gramStart"/>
      <w:r>
        <w:rPr>
          <w:szCs w:val="24"/>
        </w:rPr>
        <w:t>;  however</w:t>
      </w:r>
      <w:proofErr w:type="gramEnd"/>
      <w:r>
        <w:rPr>
          <w:szCs w:val="24"/>
        </w:rPr>
        <w:t xml:space="preserve">, </w:t>
      </w:r>
      <w:r w:rsidRPr="006475B9">
        <w:rPr>
          <w:szCs w:val="24"/>
        </w:rPr>
        <w:t xml:space="preserve">very few cases that have been decided under the UDRP have been brought before a </w:t>
      </w:r>
      <w:r w:rsidR="0083743A">
        <w:rPr>
          <w:szCs w:val="24"/>
        </w:rPr>
        <w:t>court</w:t>
      </w:r>
      <w:r w:rsidRPr="006475B9">
        <w:rPr>
          <w:szCs w:val="24"/>
        </w:rPr>
        <w:t>.</w:t>
      </w:r>
      <w:r>
        <w:rPr>
          <w:szCs w:val="24"/>
        </w:rPr>
        <w:t xml:space="preserve">  </w:t>
      </w:r>
      <w:r w:rsidRPr="006475B9">
        <w:rPr>
          <w:szCs w:val="18"/>
        </w:rPr>
        <w:t xml:space="preserve">See Selected UDRP-related Court </w:t>
      </w:r>
      <w:r w:rsidRPr="003A09DF">
        <w:rPr>
          <w:szCs w:val="18"/>
        </w:rPr>
        <w:t>Cases at http://www.wipo.int/amc/en/domains/challenged.</w:t>
      </w:r>
    </w:p>
  </w:footnote>
  <w:footnote w:id="21">
    <w:p w:rsidR="00BF59A8" w:rsidRPr="003A09DF" w:rsidRDefault="00BF59A8" w:rsidP="00BF59A8">
      <w:pPr>
        <w:pStyle w:val="FootnoteText"/>
        <w:rPr>
          <w:color w:val="000000"/>
          <w:szCs w:val="18"/>
        </w:rPr>
      </w:pPr>
      <w:r w:rsidRPr="006475B9">
        <w:rPr>
          <w:rStyle w:val="FootnoteReference"/>
          <w:szCs w:val="18"/>
        </w:rPr>
        <w:footnoteRef/>
      </w:r>
      <w:r w:rsidRPr="006475B9">
        <w:rPr>
          <w:szCs w:val="18"/>
        </w:rPr>
        <w:t xml:space="preserve"> </w:t>
      </w:r>
      <w:r w:rsidRPr="006475B9">
        <w:rPr>
          <w:szCs w:val="18"/>
        </w:rPr>
        <w:tab/>
      </w:r>
      <w:r w:rsidRPr="006475B9">
        <w:rPr>
          <w:szCs w:val="24"/>
        </w:rPr>
        <w:t>The Center makes available online real-time statistics to assist WIPO UDRP case parties and neutrals, trademark attorneys, domain name registrants, domain name policy makers, the media, and academics.</w:t>
      </w:r>
      <w:r>
        <w:rPr>
          <w:szCs w:val="24"/>
        </w:rPr>
        <w:t xml:space="preserve">  </w:t>
      </w:r>
      <w:r w:rsidRPr="006475B9">
        <w:rPr>
          <w:szCs w:val="18"/>
        </w:rPr>
        <w:t>Available statistics cover many categories</w:t>
      </w:r>
      <w:r w:rsidRPr="003A09DF">
        <w:rPr>
          <w:szCs w:val="18"/>
        </w:rPr>
        <w:t xml:space="preserve">, such as “areas of complainant activity”, “domain name script”, and “25 most cited decisions in complaint”.  See http://www.wipo.int/amc/en/domains/statistics. </w:t>
      </w:r>
    </w:p>
  </w:footnote>
  <w:footnote w:id="22">
    <w:p w:rsidR="00BF59A8" w:rsidRPr="006475B9" w:rsidRDefault="00BF59A8" w:rsidP="00BF59A8">
      <w:pPr>
        <w:pStyle w:val="FootnoteText"/>
        <w:rPr>
          <w:szCs w:val="18"/>
        </w:rPr>
      </w:pPr>
      <w:r w:rsidRPr="003A09DF">
        <w:rPr>
          <w:rStyle w:val="FootnoteReference"/>
          <w:szCs w:val="18"/>
        </w:rPr>
        <w:footnoteRef/>
      </w:r>
      <w:r w:rsidRPr="003A09DF">
        <w:rPr>
          <w:szCs w:val="18"/>
        </w:rPr>
        <w:t xml:space="preserve"> </w:t>
      </w:r>
      <w:r w:rsidRPr="003A09DF">
        <w:rPr>
          <w:szCs w:val="18"/>
        </w:rPr>
        <w:tab/>
        <w:t>In alphabetical order, Chinese, Czech, Danish, Dutch, English, French,</w:t>
      </w:r>
      <w:r w:rsidRPr="006475B9">
        <w:rPr>
          <w:szCs w:val="18"/>
        </w:rPr>
        <w:t xml:space="preserve"> German, Hebrew, Italian, Japanese, Korean, Norwegian, Polish, Portuguese, Romanian, Russian, Slovak, Spanish, Swedish, Turkish</w:t>
      </w:r>
      <w:r>
        <w:rPr>
          <w:szCs w:val="18"/>
        </w:rPr>
        <w:t>, and Vietnamese</w:t>
      </w:r>
      <w:r w:rsidRPr="006475B9">
        <w:rPr>
          <w:szCs w:val="18"/>
        </w:rPr>
        <w:t>.</w:t>
      </w:r>
    </w:p>
  </w:footnote>
  <w:footnote w:id="23">
    <w:p w:rsidR="00DA120E" w:rsidRDefault="00DA120E" w:rsidP="00DA120E">
      <w:pPr>
        <w:pStyle w:val="FootnoteText"/>
      </w:pPr>
      <w:r>
        <w:rPr>
          <w:rStyle w:val="FootnoteReference"/>
        </w:rPr>
        <w:footnoteRef/>
      </w:r>
      <w:r>
        <w:t xml:space="preserve"> </w:t>
      </w:r>
      <w:r>
        <w:tab/>
        <w:t xml:space="preserve">See </w:t>
      </w:r>
      <w:r w:rsidRPr="00DD06D0">
        <w:t>http://www.wipo.int/amc/en/domains/search/overview3.0/</w:t>
      </w:r>
      <w:r>
        <w:t xml:space="preserve">. </w:t>
      </w:r>
      <w:r>
        <w:rPr>
          <w:szCs w:val="24"/>
        </w:rPr>
        <w:t xml:space="preserve">The increased scope of WIPO </w:t>
      </w:r>
      <w:r w:rsidRPr="00CC643B">
        <w:rPr>
          <w:szCs w:val="24"/>
        </w:rPr>
        <w:t xml:space="preserve">Overview 3.0 </w:t>
      </w:r>
      <w:r>
        <w:rPr>
          <w:szCs w:val="24"/>
        </w:rPr>
        <w:t>since publication of version</w:t>
      </w:r>
      <w:r w:rsidRPr="00CC643B">
        <w:rPr>
          <w:szCs w:val="24"/>
        </w:rPr>
        <w:t xml:space="preserve"> 2.0</w:t>
      </w:r>
      <w:r>
        <w:rPr>
          <w:szCs w:val="24"/>
        </w:rPr>
        <w:t xml:space="preserve"> in 2011 reflects </w:t>
      </w:r>
      <w:r w:rsidRPr="00CC643B">
        <w:rPr>
          <w:szCs w:val="24"/>
        </w:rPr>
        <w:t>a range of DNS and UDRP case evolutions</w:t>
      </w:r>
      <w:r>
        <w:rPr>
          <w:szCs w:val="24"/>
        </w:rPr>
        <w:t xml:space="preserve"> in the near doubling of cases managed by the </w:t>
      </w:r>
      <w:r w:rsidRPr="00CC643B">
        <w:rPr>
          <w:szCs w:val="24"/>
        </w:rPr>
        <w:t xml:space="preserve">Center since </w:t>
      </w:r>
      <w:r>
        <w:rPr>
          <w:szCs w:val="24"/>
        </w:rPr>
        <w:t>then.  The WIPO Overview is i</w:t>
      </w:r>
      <w:r w:rsidRPr="00CC643B">
        <w:rPr>
          <w:szCs w:val="24"/>
        </w:rPr>
        <w:t>nstrument</w:t>
      </w:r>
      <w:r>
        <w:rPr>
          <w:szCs w:val="24"/>
        </w:rPr>
        <w:t xml:space="preserve">al in developing and maintaining </w:t>
      </w:r>
      <w:r w:rsidRPr="00CC643B">
        <w:rPr>
          <w:szCs w:val="24"/>
        </w:rPr>
        <w:t xml:space="preserve">consistency of WIPO UDRP jurisprudence.  </w:t>
      </w:r>
    </w:p>
  </w:footnote>
  <w:footnote w:id="24">
    <w:p w:rsidR="00BF59A8" w:rsidRPr="003A09DF" w:rsidRDefault="00BF59A8" w:rsidP="00BF59A8">
      <w:pPr>
        <w:pStyle w:val="FootnoteText"/>
        <w:rPr>
          <w:szCs w:val="18"/>
        </w:rPr>
      </w:pPr>
      <w:r w:rsidRPr="003A09DF">
        <w:rPr>
          <w:rStyle w:val="FootnoteReference"/>
          <w:szCs w:val="18"/>
        </w:rPr>
        <w:footnoteRef/>
      </w:r>
      <w:r>
        <w:rPr>
          <w:szCs w:val="18"/>
        </w:rPr>
        <w:tab/>
        <w:t xml:space="preserve">See </w:t>
      </w:r>
      <w:r w:rsidRPr="00A61C34">
        <w:t>http://www.wipo.int/amc/en/domains/search/legalindex/</w:t>
      </w:r>
      <w:r>
        <w:t>.</w:t>
      </w:r>
    </w:p>
  </w:footnote>
  <w:footnote w:id="25">
    <w:p w:rsidR="00BF59A8" w:rsidRPr="00827322" w:rsidRDefault="00BF59A8" w:rsidP="00827322">
      <w:pPr>
        <w:rPr>
          <w:i/>
        </w:rPr>
      </w:pPr>
      <w:r w:rsidRPr="003A09DF">
        <w:rPr>
          <w:rStyle w:val="FootnoteReference"/>
        </w:rPr>
        <w:footnoteRef/>
      </w:r>
      <w:r w:rsidRPr="003A09DF">
        <w:t xml:space="preserve"> </w:t>
      </w:r>
      <w:r w:rsidRPr="003A09DF">
        <w:tab/>
      </w:r>
      <w:r w:rsidR="00827322" w:rsidRPr="00827322">
        <w:rPr>
          <w:sz w:val="18"/>
          <w:szCs w:val="18"/>
        </w:rPr>
        <w:t xml:space="preserve">In 2018, </w:t>
      </w:r>
      <w:r w:rsidR="00827322">
        <w:rPr>
          <w:sz w:val="18"/>
          <w:szCs w:val="18"/>
        </w:rPr>
        <w:t>t</w:t>
      </w:r>
      <w:r w:rsidR="00827322" w:rsidRPr="00827322">
        <w:rPr>
          <w:sz w:val="18"/>
          <w:szCs w:val="18"/>
        </w:rPr>
        <w:t xml:space="preserve">he Center published informal WIPO guidance for parties on the practical impact of the European </w:t>
      </w:r>
      <w:r w:rsidR="00827322" w:rsidRPr="00827322">
        <w:rPr>
          <w:sz w:val="18"/>
        </w:rPr>
        <w:t xml:space="preserve">Union’s General Data Protection Regulation (GDPR) on UDRP proceedings.  See </w:t>
      </w:r>
      <w:r w:rsidR="00827322" w:rsidRPr="008A196F">
        <w:rPr>
          <w:sz w:val="18"/>
        </w:rPr>
        <w:t>paragraphs 31</w:t>
      </w:r>
      <w:r w:rsidR="005B5B05">
        <w:rPr>
          <w:sz w:val="18"/>
        </w:rPr>
        <w:t xml:space="preserve"> to </w:t>
      </w:r>
      <w:r w:rsidR="00827322" w:rsidRPr="008A196F">
        <w:rPr>
          <w:sz w:val="18"/>
        </w:rPr>
        <w:t xml:space="preserve">33, </w:t>
      </w:r>
      <w:r w:rsidR="00827322" w:rsidRPr="00355914">
        <w:rPr>
          <w:i/>
          <w:sz w:val="18"/>
        </w:rPr>
        <w:t>infra</w:t>
      </w:r>
      <w:r w:rsidR="00827322" w:rsidRPr="008A196F">
        <w:rPr>
          <w:sz w:val="18"/>
        </w:rPr>
        <w:t>.</w:t>
      </w:r>
      <w:r w:rsidR="00827322" w:rsidRPr="00827322">
        <w:rPr>
          <w:sz w:val="18"/>
        </w:rPr>
        <w:t xml:space="preserve">  </w:t>
      </w:r>
      <w:r w:rsidRPr="00827322">
        <w:rPr>
          <w:sz w:val="18"/>
        </w:rPr>
        <w:t>See</w:t>
      </w:r>
      <w:r w:rsidR="00827322">
        <w:rPr>
          <w:sz w:val="18"/>
        </w:rPr>
        <w:t xml:space="preserve"> also</w:t>
      </w:r>
      <w:r w:rsidRPr="00827322">
        <w:rPr>
          <w:sz w:val="18"/>
        </w:rPr>
        <w:t>,</w:t>
      </w:r>
      <w:r w:rsidR="00827322">
        <w:rPr>
          <w:sz w:val="18"/>
        </w:rPr>
        <w:t xml:space="preserve"> </w:t>
      </w:r>
      <w:r w:rsidR="00827322" w:rsidRPr="00827322">
        <w:rPr>
          <w:sz w:val="18"/>
        </w:rPr>
        <w:t>WO/GA/47/14</w:t>
      </w:r>
      <w:r w:rsidR="00827322">
        <w:rPr>
          <w:sz w:val="18"/>
        </w:rPr>
        <w:t xml:space="preserve">, paragraph 30, and </w:t>
      </w:r>
      <w:r w:rsidRPr="00827322">
        <w:rPr>
          <w:sz w:val="18"/>
        </w:rPr>
        <w:t xml:space="preserve">WO/GA/41/17 Rev.2, paragraphs 14 to 16.  </w:t>
      </w:r>
    </w:p>
  </w:footnote>
  <w:footnote w:id="26">
    <w:p w:rsidR="00BF59A8" w:rsidRPr="003A09DF" w:rsidRDefault="00BF59A8" w:rsidP="00BF59A8">
      <w:pPr>
        <w:pStyle w:val="FootnoteText"/>
      </w:pPr>
      <w:r w:rsidRPr="003A09DF">
        <w:rPr>
          <w:rStyle w:val="FootnoteReference"/>
        </w:rPr>
        <w:footnoteRef/>
      </w:r>
      <w:r w:rsidRPr="003A09DF">
        <w:t xml:space="preserve"> </w:t>
      </w:r>
      <w:r w:rsidRPr="003A09DF">
        <w:tab/>
        <w:t xml:space="preserve">See footnote 2, </w:t>
      </w:r>
      <w:r w:rsidRPr="003A09DF">
        <w:rPr>
          <w:i/>
        </w:rPr>
        <w:t>supra</w:t>
      </w:r>
      <w:r w:rsidRPr="003A09DF">
        <w:t>.</w:t>
      </w:r>
    </w:p>
  </w:footnote>
  <w:footnote w:id="27">
    <w:p w:rsidR="00BF59A8" w:rsidRDefault="00BF59A8" w:rsidP="00BF59A8">
      <w:pPr>
        <w:pStyle w:val="FootnoteText"/>
      </w:pPr>
      <w:r>
        <w:rPr>
          <w:rStyle w:val="FootnoteReference"/>
        </w:rPr>
        <w:footnoteRef/>
      </w:r>
      <w:r>
        <w:t xml:space="preserve"> </w:t>
      </w:r>
      <w:r>
        <w:tab/>
        <w:t xml:space="preserve">See </w:t>
      </w:r>
      <w:r w:rsidRPr="00E528DB">
        <w:t>http://www.wipo.int/amc/en/new/eu.html</w:t>
      </w:r>
      <w:r>
        <w:t>.</w:t>
      </w:r>
    </w:p>
  </w:footnote>
  <w:footnote w:id="28">
    <w:p w:rsidR="00BF59A8" w:rsidRPr="003A09DF" w:rsidRDefault="00BF59A8" w:rsidP="00BF59A8">
      <w:pPr>
        <w:pStyle w:val="FootnoteText"/>
        <w:rPr>
          <w:szCs w:val="18"/>
        </w:rPr>
      </w:pPr>
      <w:r w:rsidRPr="003A09DF">
        <w:rPr>
          <w:rStyle w:val="FootnoteReference"/>
          <w:szCs w:val="18"/>
        </w:rPr>
        <w:footnoteRef/>
      </w:r>
      <w:r w:rsidRPr="003A09DF">
        <w:rPr>
          <w:szCs w:val="18"/>
        </w:rPr>
        <w:tab/>
        <w:t xml:space="preserve">The full list of </w:t>
      </w:r>
      <w:proofErr w:type="spellStart"/>
      <w:r w:rsidRPr="003A09DF">
        <w:rPr>
          <w:szCs w:val="18"/>
        </w:rPr>
        <w:t>ccTLDs</w:t>
      </w:r>
      <w:proofErr w:type="spellEnd"/>
      <w:r w:rsidRPr="003A09DF">
        <w:rPr>
          <w:szCs w:val="18"/>
        </w:rPr>
        <w:t xml:space="preserve"> which have retained the Center as domain name dispute resolution provider is available at </w:t>
      </w:r>
      <w:r w:rsidR="001776C3" w:rsidRPr="008A196F">
        <w:rPr>
          <w:szCs w:val="18"/>
        </w:rPr>
        <w:t>http://www.wipo.int/amc/en/domains/cctld</w:t>
      </w:r>
      <w:r w:rsidRPr="003A09DF">
        <w:rPr>
          <w:szCs w:val="18"/>
        </w:rPr>
        <w:t>.</w:t>
      </w:r>
      <w:r w:rsidR="00CD1A1A">
        <w:rPr>
          <w:szCs w:val="18"/>
        </w:rPr>
        <w:t xml:space="preserve">  </w:t>
      </w:r>
      <w:r w:rsidR="002E2229" w:rsidRPr="00CD1A1A">
        <w:rPr>
          <w:szCs w:val="18"/>
        </w:rPr>
        <w:t xml:space="preserve">Since </w:t>
      </w:r>
      <w:r w:rsidR="00CD1A1A">
        <w:rPr>
          <w:szCs w:val="18"/>
        </w:rPr>
        <w:t>mid-</w:t>
      </w:r>
      <w:r w:rsidR="002E2229" w:rsidRPr="00CD1A1A">
        <w:rPr>
          <w:szCs w:val="18"/>
        </w:rPr>
        <w:t xml:space="preserve">2017, </w:t>
      </w:r>
      <w:r w:rsidR="001776C3" w:rsidRPr="00CD1A1A">
        <w:t xml:space="preserve">the Center </w:t>
      </w:r>
      <w:r w:rsidR="002E2229" w:rsidRPr="00CD1A1A">
        <w:t xml:space="preserve">provides </w:t>
      </w:r>
      <w:r w:rsidR="001776C3" w:rsidRPr="00CD1A1A">
        <w:t>services for .</w:t>
      </w:r>
      <w:proofErr w:type="spellStart"/>
      <w:r w:rsidR="001776C3" w:rsidRPr="00CD1A1A">
        <w:t>eu</w:t>
      </w:r>
      <w:proofErr w:type="spellEnd"/>
      <w:r w:rsidR="001776C3" w:rsidRPr="00CD1A1A">
        <w:t xml:space="preserve"> and .</w:t>
      </w:r>
      <w:proofErr w:type="spellStart"/>
      <w:r w:rsidR="001776C3" w:rsidRPr="00CD1A1A">
        <w:t>ею</w:t>
      </w:r>
      <w:proofErr w:type="spellEnd"/>
      <w:r w:rsidR="001776C3" w:rsidRPr="00CD1A1A">
        <w:t xml:space="preserve"> (</w:t>
      </w:r>
      <w:proofErr w:type="spellStart"/>
      <w:proofErr w:type="gramStart"/>
      <w:r w:rsidR="001776C3" w:rsidRPr="00CD1A1A">
        <w:t>cyrillic</w:t>
      </w:r>
      <w:proofErr w:type="spellEnd"/>
      <w:proofErr w:type="gramEnd"/>
      <w:r w:rsidR="001776C3" w:rsidRPr="00CD1A1A">
        <w:t xml:space="preserve"> script) registrations, in all 24 official EU languages</w:t>
      </w:r>
      <w:r w:rsidR="00CD1A1A" w:rsidRPr="00CD1A1A">
        <w:t xml:space="preserve">, and also for the .SE (Sweden) registry. </w:t>
      </w:r>
    </w:p>
  </w:footnote>
  <w:footnote w:id="29">
    <w:p w:rsidR="004162A0" w:rsidRPr="000C129A" w:rsidRDefault="004162A0" w:rsidP="004162A0">
      <w:pPr>
        <w:pStyle w:val="FootnoteText"/>
      </w:pPr>
      <w:r>
        <w:rPr>
          <w:rStyle w:val="FootnoteReference"/>
        </w:rPr>
        <w:footnoteRef/>
      </w:r>
      <w:r>
        <w:t xml:space="preserve"> </w:t>
      </w:r>
      <w:r>
        <w:tab/>
      </w:r>
      <w:r w:rsidRPr="000C129A">
        <w:t xml:space="preserve">For example, the Center’s page dedicated to .CH </w:t>
      </w:r>
      <w:r>
        <w:t>(</w:t>
      </w:r>
      <w:r w:rsidRPr="000C129A">
        <w:t>Switzerland</w:t>
      </w:r>
      <w:r>
        <w:t>)</w:t>
      </w:r>
      <w:r w:rsidRPr="000C129A">
        <w:t xml:space="preserve"> is now also available in German and Italian, in addition </w:t>
      </w:r>
      <w:r>
        <w:t xml:space="preserve">to English, </w:t>
      </w:r>
      <w:r w:rsidR="0011227A">
        <w:t>French, and Spanish.</w:t>
      </w:r>
    </w:p>
  </w:footnote>
  <w:footnote w:id="30">
    <w:p w:rsidR="004162A0" w:rsidRDefault="004162A0" w:rsidP="004162A0">
      <w:pPr>
        <w:pStyle w:val="FootnoteText"/>
      </w:pPr>
      <w:r>
        <w:rPr>
          <w:rStyle w:val="FootnoteReference"/>
        </w:rPr>
        <w:footnoteRef/>
      </w:r>
      <w:r>
        <w:t xml:space="preserve"> </w:t>
      </w:r>
      <w:r>
        <w:tab/>
        <w:t xml:space="preserve">See </w:t>
      </w:r>
      <w:r w:rsidRPr="008A196F">
        <w:t>http://www.wipo.int/amc/en/domains/cctld/</w:t>
      </w:r>
      <w:r>
        <w:t xml:space="preserve">. </w:t>
      </w:r>
    </w:p>
  </w:footnote>
  <w:footnote w:id="31">
    <w:p w:rsidR="00263C54" w:rsidRPr="003A09DF" w:rsidRDefault="00263C54" w:rsidP="00263C54">
      <w:pPr>
        <w:pStyle w:val="FootnoteText"/>
        <w:rPr>
          <w:szCs w:val="18"/>
        </w:rPr>
      </w:pPr>
      <w:r w:rsidRPr="003A09DF">
        <w:rPr>
          <w:rStyle w:val="FootnoteReference"/>
          <w:szCs w:val="18"/>
        </w:rPr>
        <w:footnoteRef/>
      </w:r>
      <w:r w:rsidRPr="003A09DF">
        <w:rPr>
          <w:szCs w:val="18"/>
        </w:rPr>
        <w:t xml:space="preserve"> </w:t>
      </w:r>
      <w:r w:rsidRPr="003A09DF">
        <w:rPr>
          <w:szCs w:val="18"/>
        </w:rPr>
        <w:tab/>
        <w:t xml:space="preserve">See </w:t>
      </w:r>
      <w:r w:rsidR="00043B50" w:rsidRPr="00043B50">
        <w:rPr>
          <w:szCs w:val="18"/>
        </w:rPr>
        <w:t>http://www.icann.org/en/minutes/resolutions-20jun11-en.htm</w:t>
      </w:r>
      <w:r w:rsidR="00043B50">
        <w:rPr>
          <w:szCs w:val="18"/>
        </w:rPr>
        <w:t xml:space="preserve">.  </w:t>
      </w:r>
      <w:r w:rsidRPr="003A09DF">
        <w:rPr>
          <w:szCs w:val="18"/>
        </w:rPr>
        <w:t>For further background including references, see document WO/GA/39/10, in particular paragraph 14.</w:t>
      </w:r>
    </w:p>
  </w:footnote>
  <w:footnote w:id="32">
    <w:p w:rsidR="00263C54" w:rsidRPr="003A09DF" w:rsidRDefault="00263C54" w:rsidP="00263C54">
      <w:pPr>
        <w:pStyle w:val="FootnoteText"/>
        <w:rPr>
          <w:szCs w:val="18"/>
        </w:rPr>
      </w:pPr>
      <w:r w:rsidRPr="003A09DF">
        <w:rPr>
          <w:rStyle w:val="FootnoteReference"/>
          <w:szCs w:val="18"/>
        </w:rPr>
        <w:footnoteRef/>
      </w:r>
      <w:r w:rsidRPr="003A09DF">
        <w:rPr>
          <w:szCs w:val="18"/>
        </w:rPr>
        <w:t xml:space="preserve"> </w:t>
      </w:r>
      <w:r w:rsidRPr="003A09DF">
        <w:rPr>
          <w:szCs w:val="18"/>
        </w:rPr>
        <w:tab/>
        <w:t xml:space="preserve">ICANN’s Applicant Guidebook is available at http://newgtlds.icann.org/en/applicants/agb. </w:t>
      </w:r>
    </w:p>
  </w:footnote>
  <w:footnote w:id="33">
    <w:p w:rsidR="00263C54" w:rsidRPr="006475B9" w:rsidRDefault="00263C54" w:rsidP="00263C54">
      <w:pPr>
        <w:pStyle w:val="FootnoteText"/>
      </w:pPr>
      <w:r w:rsidRPr="003A09DF">
        <w:rPr>
          <w:rStyle w:val="FootnoteReference"/>
        </w:rPr>
        <w:footnoteRef/>
      </w:r>
      <w:r w:rsidRPr="003A09DF">
        <w:t xml:space="preserve"> </w:t>
      </w:r>
      <w:r w:rsidRPr="003A09DF">
        <w:tab/>
        <w:t xml:space="preserve">Delegated new </w:t>
      </w:r>
      <w:proofErr w:type="spellStart"/>
      <w:r w:rsidRPr="003A09DF">
        <w:t>gTLDs</w:t>
      </w:r>
      <w:proofErr w:type="spellEnd"/>
      <w:r w:rsidRPr="003A09DF">
        <w:t xml:space="preserve"> are listed at http://newgtlds.icann.org/en/program-status/delegated-strings.</w:t>
      </w:r>
      <w:r w:rsidRPr="006475B9">
        <w:t xml:space="preserve">  </w:t>
      </w:r>
    </w:p>
  </w:footnote>
  <w:footnote w:id="34">
    <w:p w:rsidR="00263C54" w:rsidRPr="003A09DF" w:rsidRDefault="00263C54" w:rsidP="00263C54">
      <w:pPr>
        <w:pStyle w:val="FootnoteText"/>
        <w:rPr>
          <w:szCs w:val="18"/>
        </w:rPr>
      </w:pPr>
      <w:r w:rsidRPr="003A09DF">
        <w:rPr>
          <w:rStyle w:val="FootnoteReference"/>
          <w:szCs w:val="18"/>
        </w:rPr>
        <w:footnoteRef/>
      </w:r>
      <w:r w:rsidRPr="003A09DF">
        <w:rPr>
          <w:rStyle w:val="FootnoteReference"/>
        </w:rPr>
        <w:t xml:space="preserve"> </w:t>
      </w:r>
      <w:r w:rsidRPr="003A09DF">
        <w:rPr>
          <w:szCs w:val="18"/>
        </w:rPr>
        <w:tab/>
        <w:t>For further background including references, see WO/GA/39/10, in particular paragraphs 23 to 30.  It is noted here that ICANN rejected a proposal for a “Globally Protected Marks List”.</w:t>
      </w:r>
    </w:p>
  </w:footnote>
  <w:footnote w:id="35">
    <w:p w:rsidR="00263C54" w:rsidRPr="003A09DF" w:rsidRDefault="00263C54" w:rsidP="00263C54">
      <w:pPr>
        <w:pStyle w:val="FootnoteText"/>
        <w:rPr>
          <w:szCs w:val="18"/>
        </w:rPr>
      </w:pPr>
      <w:r w:rsidRPr="003A09DF">
        <w:rPr>
          <w:rStyle w:val="FootnoteReference"/>
          <w:szCs w:val="18"/>
        </w:rPr>
        <w:footnoteRef/>
      </w:r>
      <w:r w:rsidRPr="003A09DF">
        <w:rPr>
          <w:rStyle w:val="FootnoteReference"/>
        </w:rPr>
        <w:t xml:space="preserve"> </w:t>
      </w:r>
      <w:r w:rsidRPr="003A09DF">
        <w:rPr>
          <w:szCs w:val="18"/>
        </w:rPr>
        <w:tab/>
      </w:r>
      <w:r w:rsidRPr="003A09DF">
        <w:rPr>
          <w:szCs w:val="22"/>
        </w:rPr>
        <w:t xml:space="preserve">Other objection grounds recognized by ICANN were:  “String Confusion Objections”, “Community Objections”, and “Limited Public Interest Objections”.  </w:t>
      </w:r>
      <w:r w:rsidRPr="003A09DF">
        <w:rPr>
          <w:szCs w:val="18"/>
        </w:rPr>
        <w:t>The Applicant Guidebook further includes a number of other p</w:t>
      </w:r>
      <w:r>
        <w:rPr>
          <w:szCs w:val="18"/>
        </w:rPr>
        <w:t xml:space="preserve">rocedures which governments could </w:t>
      </w:r>
      <w:r w:rsidRPr="003A09DF">
        <w:rPr>
          <w:szCs w:val="18"/>
        </w:rPr>
        <w:t>avail themselves of following ICANN announcemen</w:t>
      </w:r>
      <w:r>
        <w:rPr>
          <w:szCs w:val="18"/>
        </w:rPr>
        <w:t xml:space="preserve">t </w:t>
      </w:r>
      <w:r w:rsidRPr="003A09DF">
        <w:rPr>
          <w:szCs w:val="18"/>
        </w:rPr>
        <w:t xml:space="preserve">of new </w:t>
      </w:r>
      <w:proofErr w:type="spellStart"/>
      <w:r w:rsidRPr="003A09DF">
        <w:rPr>
          <w:szCs w:val="18"/>
        </w:rPr>
        <w:t>gTLD</w:t>
      </w:r>
      <w:proofErr w:type="spellEnd"/>
      <w:r w:rsidRPr="003A09DF">
        <w:rPr>
          <w:szCs w:val="18"/>
        </w:rPr>
        <w:t xml:space="preserve"> applications.  Notably, section 1.1.2.4 provides for “GAC Early Warning,” and section 1.1.2.7 provides for “Receipt of GAC Advice on New </w:t>
      </w:r>
      <w:proofErr w:type="spellStart"/>
      <w:r w:rsidRPr="003A09DF">
        <w:rPr>
          <w:szCs w:val="18"/>
        </w:rPr>
        <w:t>gTLDs</w:t>
      </w:r>
      <w:proofErr w:type="spellEnd"/>
      <w:r w:rsidRPr="003A09DF">
        <w:rPr>
          <w:szCs w:val="18"/>
        </w:rPr>
        <w:t>” for the ICANN Board’s consideration.</w:t>
      </w:r>
    </w:p>
  </w:footnote>
  <w:footnote w:id="36">
    <w:p w:rsidR="00263C54" w:rsidRPr="003A09DF" w:rsidRDefault="00263C54" w:rsidP="00263C54">
      <w:pPr>
        <w:pStyle w:val="FootnoteText"/>
        <w:rPr>
          <w:szCs w:val="18"/>
        </w:rPr>
      </w:pPr>
      <w:r w:rsidRPr="003A09DF">
        <w:rPr>
          <w:rStyle w:val="FootnoteReference"/>
          <w:szCs w:val="18"/>
        </w:rPr>
        <w:footnoteRef/>
      </w:r>
      <w:r w:rsidRPr="003A09DF">
        <w:rPr>
          <w:rStyle w:val="FootnoteReference"/>
        </w:rPr>
        <w:t xml:space="preserve"> </w:t>
      </w:r>
      <w:r w:rsidRPr="003A09DF">
        <w:rPr>
          <w:szCs w:val="18"/>
        </w:rPr>
        <w:tab/>
        <w:t>Adopted by the WIPO General Assembly in September 2001</w:t>
      </w:r>
      <w:proofErr w:type="gramStart"/>
      <w:r w:rsidRPr="003A09DF">
        <w:rPr>
          <w:szCs w:val="18"/>
        </w:rPr>
        <w:t>;  see</w:t>
      </w:r>
      <w:proofErr w:type="gramEnd"/>
      <w:r>
        <w:rPr>
          <w:szCs w:val="18"/>
        </w:rPr>
        <w:t xml:space="preserve"> </w:t>
      </w:r>
      <w:r w:rsidRPr="00A61C34">
        <w:rPr>
          <w:szCs w:val="18"/>
        </w:rPr>
        <w:t>http://www.wipo.int/edocs/pubdocs/en/marks/845/pub845.pdf</w:t>
      </w:r>
      <w:r>
        <w:rPr>
          <w:szCs w:val="18"/>
        </w:rPr>
        <w:t>.</w:t>
      </w:r>
    </w:p>
  </w:footnote>
  <w:footnote w:id="37">
    <w:p w:rsidR="00263C54" w:rsidRPr="003A09DF" w:rsidRDefault="00263C54" w:rsidP="00263C54">
      <w:pPr>
        <w:pStyle w:val="FootnoteText"/>
        <w:rPr>
          <w:szCs w:val="18"/>
        </w:rPr>
      </w:pPr>
      <w:r w:rsidRPr="003A09DF">
        <w:rPr>
          <w:rStyle w:val="FootnoteReference"/>
        </w:rPr>
        <w:footnoteRef/>
      </w:r>
      <w:r w:rsidRPr="003A09DF">
        <w:t xml:space="preserve"> </w:t>
      </w:r>
      <w:r w:rsidRPr="003A09DF">
        <w:tab/>
      </w:r>
      <w:r w:rsidRPr="003A09DF">
        <w:rPr>
          <w:szCs w:val="18"/>
        </w:rPr>
        <w:t xml:space="preserve">See section 3.2 of the ICANN Applicant Guidebook at </w:t>
      </w:r>
      <w:r w:rsidRPr="000E0847">
        <w:rPr>
          <w:szCs w:val="18"/>
        </w:rPr>
        <w:t>http://newgtlds.icann.org/en/applicants/agb/objection</w:t>
      </w:r>
      <w:r w:rsidRPr="000E0847">
        <w:rPr>
          <w:szCs w:val="18"/>
        </w:rPr>
        <w:noBreakHyphen/>
        <w:t>procedures-04jun12-en.pdf</w:t>
      </w:r>
      <w:r w:rsidRPr="003A09DF">
        <w:rPr>
          <w:szCs w:val="18"/>
        </w:rPr>
        <w:t>.</w:t>
      </w:r>
    </w:p>
  </w:footnote>
  <w:footnote w:id="38">
    <w:p w:rsidR="00263C54" w:rsidRPr="003A09DF" w:rsidRDefault="00263C54" w:rsidP="00263C54">
      <w:pPr>
        <w:pStyle w:val="FootnoteText"/>
        <w:rPr>
          <w:szCs w:val="18"/>
        </w:rPr>
      </w:pPr>
      <w:r w:rsidRPr="003A09DF">
        <w:rPr>
          <w:rStyle w:val="FootnoteReference"/>
        </w:rPr>
        <w:footnoteRef/>
      </w:r>
      <w:r w:rsidRPr="003A09DF">
        <w:t xml:space="preserve"> </w:t>
      </w:r>
      <w:r w:rsidRPr="003A09DF">
        <w:tab/>
      </w:r>
      <w:r w:rsidRPr="003A09DF">
        <w:rPr>
          <w:szCs w:val="18"/>
        </w:rPr>
        <w:t xml:space="preserve">See WIPO Rules for New </w:t>
      </w:r>
      <w:proofErr w:type="spellStart"/>
      <w:r w:rsidRPr="003A09DF">
        <w:rPr>
          <w:szCs w:val="18"/>
        </w:rPr>
        <w:t>gTLD</w:t>
      </w:r>
      <w:proofErr w:type="spellEnd"/>
      <w:r w:rsidRPr="003A09DF">
        <w:rPr>
          <w:szCs w:val="18"/>
        </w:rPr>
        <w:t xml:space="preserve"> Dispute Resolution, and Schedule of Fees and Costs, respectively at http://www.wipo.int/amc/en/docs/wipolrorules.pdf and </w:t>
      </w:r>
      <w:hyperlink r:id="rId2" w:history="1">
        <w:r w:rsidRPr="003A09DF">
          <w:rPr>
            <w:szCs w:val="18"/>
          </w:rPr>
          <w:t>http://www.wipo.int/amc/en/domains/lro/fees/</w:t>
        </w:r>
      </w:hyperlink>
      <w:proofErr w:type="gramStart"/>
      <w:r w:rsidRPr="003A09DF">
        <w:rPr>
          <w:szCs w:val="18"/>
        </w:rPr>
        <w:t>;  see</w:t>
      </w:r>
      <w:proofErr w:type="gramEnd"/>
      <w:r w:rsidRPr="003A09DF">
        <w:rPr>
          <w:szCs w:val="18"/>
        </w:rPr>
        <w:t> WIPO</w:t>
      </w:r>
      <w:r w:rsidRPr="003A09DF">
        <w:rPr>
          <w:szCs w:val="18"/>
        </w:rPr>
        <w:noBreakHyphen/>
        <w:t xml:space="preserve">registered LRO cases at </w:t>
      </w:r>
      <w:hyperlink r:id="rId3" w:history="1">
        <w:r w:rsidRPr="003A09DF">
          <w:rPr>
            <w:szCs w:val="18"/>
          </w:rPr>
          <w:t>http://www.wipo.int/amc/en/domains/lro/cases/</w:t>
        </w:r>
      </w:hyperlink>
      <w:r w:rsidRPr="003A09DF">
        <w:rPr>
          <w:szCs w:val="18"/>
        </w:rPr>
        <w:t xml:space="preserve">. </w:t>
      </w:r>
    </w:p>
  </w:footnote>
  <w:footnote w:id="39">
    <w:p w:rsidR="00263C54" w:rsidRPr="003A09DF" w:rsidRDefault="00263C54" w:rsidP="00263C54">
      <w:pPr>
        <w:pStyle w:val="FootnoteText"/>
      </w:pPr>
      <w:r w:rsidRPr="003A09DF">
        <w:rPr>
          <w:rStyle w:val="FootnoteReference"/>
        </w:rPr>
        <w:footnoteRef/>
      </w:r>
      <w:r w:rsidRPr="003A09DF">
        <w:t xml:space="preserve"> </w:t>
      </w:r>
      <w:r w:rsidRPr="003A09DF">
        <w:tab/>
        <w:t xml:space="preserve">See http://www.wipo.int/amc/en/domains/lro/cases/. </w:t>
      </w:r>
    </w:p>
  </w:footnote>
  <w:footnote w:id="40">
    <w:p w:rsidR="00263C54" w:rsidRPr="003A09DF" w:rsidRDefault="00263C54" w:rsidP="00263C54">
      <w:pPr>
        <w:pStyle w:val="FootnoteText"/>
      </w:pPr>
      <w:r w:rsidRPr="003A09DF">
        <w:rPr>
          <w:rStyle w:val="FootnoteReference"/>
        </w:rPr>
        <w:footnoteRef/>
      </w:r>
      <w:r w:rsidRPr="003A09DF">
        <w:t xml:space="preserve"> </w:t>
      </w:r>
      <w:r w:rsidRPr="003A09DF">
        <w:tab/>
      </w:r>
      <w:proofErr w:type="gramStart"/>
      <w:r w:rsidRPr="003A09DF">
        <w:rPr>
          <w:szCs w:val="22"/>
        </w:rPr>
        <w:t xml:space="preserve">The WIPO LRO report notes that an overwhelming majority of LROs were filed against applications for </w:t>
      </w:r>
      <w:proofErr w:type="spellStart"/>
      <w:r w:rsidRPr="003A09DF">
        <w:rPr>
          <w:szCs w:val="22"/>
        </w:rPr>
        <w:t>gTLD</w:t>
      </w:r>
      <w:proofErr w:type="spellEnd"/>
      <w:r w:rsidRPr="003A09DF">
        <w:rPr>
          <w:szCs w:val="22"/>
        </w:rPr>
        <w:t xml:space="preserve"> strings with descriptive or dictionary meaning.</w:t>
      </w:r>
      <w:proofErr w:type="gramEnd"/>
      <w:r w:rsidRPr="003A09DF">
        <w:rPr>
          <w:szCs w:val="22"/>
        </w:rPr>
        <w:t xml:space="preserve">  Many expert panels concluded that where a trademark owner has adopted a common dictionary term as a trademark, a </w:t>
      </w:r>
      <w:proofErr w:type="spellStart"/>
      <w:r w:rsidRPr="003A09DF">
        <w:rPr>
          <w:szCs w:val="22"/>
        </w:rPr>
        <w:t>gTLD</w:t>
      </w:r>
      <w:proofErr w:type="spellEnd"/>
      <w:r w:rsidRPr="003A09DF">
        <w:rPr>
          <w:szCs w:val="22"/>
        </w:rPr>
        <w:t xml:space="preserve"> application intended solely to take advantage of such common dictionary meaning would not as such violate the decision standards for LROs.  In certain cases panels addressed trademark registrations that were primarily obtained for the purpose of supporting an application for a new </w:t>
      </w:r>
      <w:proofErr w:type="spellStart"/>
      <w:r w:rsidRPr="003A09DF">
        <w:rPr>
          <w:szCs w:val="22"/>
        </w:rPr>
        <w:t>gTLD</w:t>
      </w:r>
      <w:proofErr w:type="spellEnd"/>
      <w:r w:rsidRPr="003A09DF">
        <w:rPr>
          <w:szCs w:val="22"/>
        </w:rPr>
        <w:t xml:space="preserve"> and/or LRO, with little or no demonstrable prior use.  </w:t>
      </w:r>
      <w:r w:rsidRPr="003A09DF">
        <w:t xml:space="preserve">See http://www.wipo.int/amc/en/docs/lroreport.pdf. </w:t>
      </w:r>
    </w:p>
  </w:footnote>
  <w:footnote w:id="41">
    <w:p w:rsidR="00263C54" w:rsidRPr="003A09DF" w:rsidRDefault="00263C54" w:rsidP="00263C54">
      <w:pPr>
        <w:pStyle w:val="FootnoteText"/>
        <w:rPr>
          <w:szCs w:val="18"/>
        </w:rPr>
      </w:pPr>
      <w:r w:rsidRPr="003A09DF">
        <w:rPr>
          <w:rStyle w:val="FootnoteReference"/>
        </w:rPr>
        <w:footnoteRef/>
      </w:r>
      <w:r w:rsidRPr="003A09DF">
        <w:rPr>
          <w:szCs w:val="18"/>
        </w:rPr>
        <w:t xml:space="preserve"> </w:t>
      </w:r>
      <w:r w:rsidRPr="003A09DF">
        <w:rPr>
          <w:szCs w:val="18"/>
        </w:rPr>
        <w:tab/>
        <w:t>See http://www.wipo.int/amc/en/docs/icann130309.pdf.</w:t>
      </w:r>
    </w:p>
  </w:footnote>
  <w:footnote w:id="42">
    <w:p w:rsidR="00263C54" w:rsidRPr="006475B9" w:rsidRDefault="00263C54" w:rsidP="00263C54">
      <w:pPr>
        <w:pStyle w:val="FootnoteText"/>
        <w:rPr>
          <w:szCs w:val="18"/>
        </w:rPr>
      </w:pPr>
      <w:r w:rsidRPr="003A09DF">
        <w:rPr>
          <w:rStyle w:val="FootnoteReference"/>
        </w:rPr>
        <w:footnoteRef/>
      </w:r>
      <w:r w:rsidRPr="003A09DF">
        <w:rPr>
          <w:rStyle w:val="FootnoteReference"/>
        </w:rPr>
        <w:t xml:space="preserve"> </w:t>
      </w:r>
      <w:r w:rsidRPr="003A09DF">
        <w:rPr>
          <w:szCs w:val="18"/>
        </w:rPr>
        <w:tab/>
        <w:t xml:space="preserve">Given the perceived convergence of registry, registrar, and registrant roles within the DNS, the Center has further recommended, </w:t>
      </w:r>
      <w:r w:rsidRPr="003A09DF">
        <w:rPr>
          <w:i/>
          <w:szCs w:val="18"/>
        </w:rPr>
        <w:t>inter alia</w:t>
      </w:r>
      <w:r w:rsidRPr="003A09DF">
        <w:rPr>
          <w:szCs w:val="18"/>
        </w:rPr>
        <w:t xml:space="preserve"> taking account of its UDRP-based experiences and</w:t>
      </w:r>
      <w:r w:rsidR="0011227A">
        <w:rPr>
          <w:szCs w:val="18"/>
        </w:rPr>
        <w:t xml:space="preserve"> of</w:t>
      </w:r>
      <w:r w:rsidRPr="003A09DF">
        <w:rPr>
          <w:szCs w:val="18"/>
        </w:rPr>
        <w:t xml:space="preserve"> ICANN’s decision to allow for cross</w:t>
      </w:r>
      <w:r w:rsidRPr="003A09DF">
        <w:rPr>
          <w:szCs w:val="18"/>
        </w:rPr>
        <w:noBreakHyphen/>
        <w:t>ownership between registries and registrars (see http://www.icann.org/en/minutes/resolutions</w:t>
      </w:r>
      <w:r w:rsidRPr="003A09DF">
        <w:rPr>
          <w:szCs w:val="18"/>
        </w:rPr>
        <w:noBreakHyphen/>
        <w:t>05nov10</w:t>
      </w:r>
      <w:r w:rsidRPr="003A09DF">
        <w:rPr>
          <w:szCs w:val="18"/>
        </w:rPr>
        <w:noBreakHyphen/>
        <w:t xml:space="preserve">en.htm), that ICANN consider extending the PDDRP for registries also to registrar conduct (see, </w:t>
      </w:r>
      <w:r w:rsidRPr="003A09DF">
        <w:rPr>
          <w:i/>
          <w:szCs w:val="18"/>
        </w:rPr>
        <w:t>inter alia</w:t>
      </w:r>
      <w:r w:rsidRPr="003A09DF">
        <w:rPr>
          <w:szCs w:val="18"/>
        </w:rPr>
        <w:t>, http://www.wipo.int/amc/en/docs/icann260310rap.pdf).</w:t>
      </w:r>
    </w:p>
  </w:footnote>
  <w:footnote w:id="43">
    <w:p w:rsidR="00263C54" w:rsidRPr="006475B9" w:rsidRDefault="00263C54" w:rsidP="00263C54">
      <w:pPr>
        <w:pStyle w:val="FootnoteText"/>
      </w:pPr>
      <w:r w:rsidRPr="006475B9">
        <w:rPr>
          <w:rStyle w:val="FootnoteReference"/>
        </w:rPr>
        <w:footnoteRef/>
      </w:r>
      <w:r w:rsidRPr="006475B9">
        <w:t xml:space="preserve"> </w:t>
      </w:r>
      <w:r w:rsidRPr="006475B9">
        <w:tab/>
        <w:t xml:space="preserve">The </w:t>
      </w:r>
      <w:r>
        <w:t>TMCH</w:t>
      </w:r>
      <w:r w:rsidRPr="006475B9">
        <w:t xml:space="preserve"> allows for inclusion of registered word marks, word marks protected by statute or treaty or validated by court, and “[o]</w:t>
      </w:r>
      <w:proofErr w:type="spellStart"/>
      <w:r w:rsidRPr="006475B9">
        <w:t>ther</w:t>
      </w:r>
      <w:proofErr w:type="spellEnd"/>
      <w:r w:rsidRPr="006475B9">
        <w:t xml:space="preserve"> marks that constitute intellectual property” (the latter being undefined).  With respect to RPMs utilizing </w:t>
      </w:r>
      <w:r>
        <w:t>TMCH</w:t>
      </w:r>
      <w:r w:rsidRPr="006475B9">
        <w:t xml:space="preserve"> data, the availability of “Sunrise” services (</w:t>
      </w:r>
      <w:r w:rsidRPr="00EA32DB">
        <w:rPr>
          <w:i/>
        </w:rPr>
        <w:t>i.e.</w:t>
      </w:r>
      <w:r w:rsidRPr="006475B9">
        <w:t>, an opportunity for a trademark owner, for a fee, to preemptively register an exact match of its mark as a domain name) is limited to those trademarks for which current use can be demonstrated.  Whether or not substantiated by demonstration of current use, trademark owners would also be eligible to participate in a time</w:t>
      </w:r>
      <w:r>
        <w:t>-</w:t>
      </w:r>
      <w:r w:rsidRPr="006475B9">
        <w:t>limited “Claims” service (</w:t>
      </w:r>
      <w:r w:rsidRPr="00EA32DB">
        <w:rPr>
          <w:i/>
        </w:rPr>
        <w:t>i.e.</w:t>
      </w:r>
      <w:r w:rsidRPr="006475B9">
        <w:t xml:space="preserve">, notice to a potential domain name registrant of the existence of a potentially conflicting trademark right, and notice to the relevant trademark owner(s) in the event that the registrant nevertheless proceeds with domain name registration).  As mandated by ICANN, the availability of the Claims service is for a period of 90 days after a new </w:t>
      </w:r>
      <w:proofErr w:type="spellStart"/>
      <w:r w:rsidRPr="006475B9">
        <w:t>gTLD</w:t>
      </w:r>
      <w:proofErr w:type="spellEnd"/>
      <w:r w:rsidRPr="006475B9">
        <w:t xml:space="preserve"> is opened for general public registration, but users of the </w:t>
      </w:r>
      <w:r>
        <w:t>TMCH</w:t>
      </w:r>
      <w:r w:rsidRPr="006475B9">
        <w:t xml:space="preserve"> can opt-in to recei</w:t>
      </w:r>
      <w:r>
        <w:t xml:space="preserve">ve notifications indefinitely.  </w:t>
      </w:r>
      <w:r w:rsidRPr="006475B9">
        <w:t xml:space="preserve">The demonstration of use required for Sunrise services similarly applies to the invocation of trademarks as a basis for a complaint filed under the “Uniform Rapid Suspension” RPM described </w:t>
      </w:r>
      <w:r>
        <w:t>herein</w:t>
      </w:r>
      <w:r w:rsidRPr="006475B9">
        <w:t>.</w:t>
      </w:r>
    </w:p>
  </w:footnote>
  <w:footnote w:id="44">
    <w:p w:rsidR="00263C54" w:rsidRPr="003A09DF" w:rsidRDefault="00263C54" w:rsidP="00263C54">
      <w:pPr>
        <w:pStyle w:val="FootnoteText"/>
        <w:rPr>
          <w:szCs w:val="18"/>
        </w:rPr>
      </w:pPr>
      <w:r w:rsidRPr="006475B9">
        <w:rPr>
          <w:rStyle w:val="FootnoteReference"/>
        </w:rPr>
        <w:footnoteRef/>
      </w:r>
      <w:r w:rsidRPr="006475B9">
        <w:rPr>
          <w:rStyle w:val="FootnoteReference"/>
        </w:rPr>
        <w:t xml:space="preserve"> </w:t>
      </w:r>
      <w:r w:rsidRPr="006475B9">
        <w:rPr>
          <w:szCs w:val="18"/>
        </w:rPr>
        <w:tab/>
      </w:r>
      <w:r w:rsidRPr="003A09DF">
        <w:rPr>
          <w:szCs w:val="18"/>
        </w:rPr>
        <w:t xml:space="preserve">See </w:t>
      </w:r>
      <w:r w:rsidRPr="00FE1383">
        <w:rPr>
          <w:szCs w:val="18"/>
        </w:rPr>
        <w:t>http://trademark-clearinghouse.com/content/tmch-stats</w:t>
      </w:r>
      <w:r>
        <w:rPr>
          <w:szCs w:val="18"/>
        </w:rPr>
        <w:t>.</w:t>
      </w:r>
    </w:p>
  </w:footnote>
  <w:footnote w:id="45">
    <w:p w:rsidR="00263C54" w:rsidRPr="003A09DF" w:rsidRDefault="00263C54" w:rsidP="00263C54">
      <w:pPr>
        <w:pStyle w:val="FootnoteText"/>
      </w:pPr>
      <w:r w:rsidRPr="003A09DF">
        <w:rPr>
          <w:rStyle w:val="FootnoteReference"/>
        </w:rPr>
        <w:footnoteRef/>
      </w:r>
      <w:r w:rsidRPr="003A09DF">
        <w:t xml:space="preserve"> </w:t>
      </w:r>
      <w:r w:rsidRPr="003A09DF">
        <w:tab/>
        <w:t>The Center for its part communicated to ICANN in April 2009 a discussion draft of an “Expedited (Dom</w:t>
      </w:r>
      <w:r w:rsidR="0011227A">
        <w:t xml:space="preserve">ain Name) Suspension Mechanism” </w:t>
      </w:r>
      <w:r w:rsidRPr="003A09DF">
        <w:t>(</w:t>
      </w:r>
      <w:r w:rsidR="0011227A">
        <w:rPr>
          <w:szCs w:val="18"/>
        </w:rPr>
        <w:t>s</w:t>
      </w:r>
      <w:r w:rsidRPr="003A09DF">
        <w:rPr>
          <w:szCs w:val="18"/>
        </w:rPr>
        <w:t xml:space="preserve">ee </w:t>
      </w:r>
      <w:r w:rsidRPr="000E0847">
        <w:rPr>
          <w:szCs w:val="18"/>
        </w:rPr>
        <w:t>http://www.wipo.int/amc/en/docs/icann030409.pdf</w:t>
      </w:r>
      <w:r w:rsidRPr="003A09DF">
        <w:t>) and has made subsequent proposals for a streamlined mechanism based on</w:t>
      </w:r>
      <w:r>
        <w:t xml:space="preserve"> this model at ICANN Meetings (s</w:t>
      </w:r>
      <w:r w:rsidRPr="003A09DF">
        <w:t xml:space="preserve">ee </w:t>
      </w:r>
      <w:hyperlink r:id="rId4" w:history="1">
        <w:r w:rsidRPr="003A09DF">
          <w:rPr>
            <w:szCs w:val="18"/>
          </w:rPr>
          <w:t>http://prague44.icann.org/node/31773</w:t>
        </w:r>
      </w:hyperlink>
      <w:r w:rsidRPr="003A09DF">
        <w:rPr>
          <w:szCs w:val="18"/>
        </w:rPr>
        <w:t xml:space="preserve"> and </w:t>
      </w:r>
      <w:hyperlink r:id="rId5" w:history="1">
        <w:r w:rsidRPr="003A09DF">
          <w:rPr>
            <w:szCs w:val="18"/>
          </w:rPr>
          <w:t>http://toronto45.icann.org/node/34325</w:t>
        </w:r>
      </w:hyperlink>
      <w:r w:rsidRPr="003A09DF">
        <w:t xml:space="preserve">).  Such proposals took account of the need to strike a balance between the protection of trademark rights recognized by law, the practical interests of good-faith registration authorities to minimize operational burdens, and the legitimate expectations of </w:t>
      </w:r>
      <w:r w:rsidRPr="003A09DF">
        <w:rPr>
          <w:i/>
          <w:iCs/>
        </w:rPr>
        <w:t>bona fide</w:t>
      </w:r>
      <w:r w:rsidRPr="003A09DF">
        <w:t xml:space="preserve"> domain name registrants.  </w:t>
      </w:r>
    </w:p>
  </w:footnote>
  <w:footnote w:id="46">
    <w:p w:rsidR="00263C54" w:rsidRPr="003A09DF" w:rsidRDefault="00263C54" w:rsidP="00263C54">
      <w:pPr>
        <w:pStyle w:val="FootnoteText"/>
        <w:rPr>
          <w:szCs w:val="18"/>
        </w:rPr>
      </w:pPr>
      <w:r w:rsidRPr="003A09DF">
        <w:rPr>
          <w:rStyle w:val="FootnoteReference"/>
        </w:rPr>
        <w:footnoteRef/>
      </w:r>
      <w:r w:rsidRPr="003A09DF">
        <w:rPr>
          <w:szCs w:val="18"/>
        </w:rPr>
        <w:t xml:space="preserve"> </w:t>
      </w:r>
      <w:r w:rsidRPr="003A09DF">
        <w:rPr>
          <w:szCs w:val="18"/>
        </w:rPr>
        <w:tab/>
        <w:t xml:space="preserve">An extensive inventory of these issues is provided </w:t>
      </w:r>
      <w:r w:rsidRPr="003A09DF">
        <w:rPr>
          <w:i/>
          <w:szCs w:val="18"/>
        </w:rPr>
        <w:t>inter alia</w:t>
      </w:r>
      <w:r w:rsidRPr="003A09DF">
        <w:rPr>
          <w:szCs w:val="18"/>
        </w:rPr>
        <w:t xml:space="preserve"> in the Center’s letter to ICANN of December 2, 2010, available at http://www.wipo.int/amc/en/docs/icann021210.pdf.  </w:t>
      </w:r>
    </w:p>
  </w:footnote>
  <w:footnote w:id="47">
    <w:p w:rsidR="00263C54" w:rsidRPr="006475B9" w:rsidRDefault="00263C54" w:rsidP="00263C54">
      <w:pPr>
        <w:pStyle w:val="FootnoteText"/>
        <w:rPr>
          <w:szCs w:val="18"/>
        </w:rPr>
      </w:pPr>
      <w:r w:rsidRPr="003A09DF">
        <w:rPr>
          <w:rStyle w:val="FootnoteReference"/>
        </w:rPr>
        <w:footnoteRef/>
      </w:r>
      <w:r w:rsidRPr="003A09DF">
        <w:rPr>
          <w:rStyle w:val="FootnoteReference"/>
        </w:rPr>
        <w:t xml:space="preserve"> </w:t>
      </w:r>
      <w:r w:rsidRPr="003A09DF">
        <w:rPr>
          <w:szCs w:val="18"/>
        </w:rPr>
        <w:tab/>
        <w:t>The question of accreditation of providers gives rise to concerns as to the stability of RPMs</w:t>
      </w:r>
      <w:proofErr w:type="gramStart"/>
      <w:r w:rsidRPr="003A09DF">
        <w:rPr>
          <w:szCs w:val="18"/>
        </w:rPr>
        <w:t>;  WIPO</w:t>
      </w:r>
      <w:proofErr w:type="gramEnd"/>
      <w:r w:rsidRPr="003A09DF">
        <w:rPr>
          <w:szCs w:val="18"/>
        </w:rPr>
        <w:t xml:space="preserve"> raised concerns about this as early as 2007 in the context of the UDRP (see http://www.wipo.int/amc/en/docs/icann040707.pdf).</w:t>
      </w:r>
      <w:r w:rsidRPr="006475B9">
        <w:rPr>
          <w:szCs w:val="18"/>
        </w:rPr>
        <w:t xml:space="preserve">  </w:t>
      </w:r>
    </w:p>
  </w:footnote>
  <w:footnote w:id="48">
    <w:p w:rsidR="00263C54" w:rsidRPr="003A09DF" w:rsidRDefault="00263C54" w:rsidP="00263C54">
      <w:pPr>
        <w:pStyle w:val="FootnoteText"/>
        <w:rPr>
          <w:szCs w:val="18"/>
        </w:rPr>
      </w:pPr>
      <w:r w:rsidRPr="006475B9">
        <w:rPr>
          <w:rStyle w:val="FootnoteReference"/>
        </w:rPr>
        <w:footnoteRef/>
      </w:r>
      <w:r w:rsidRPr="006475B9">
        <w:rPr>
          <w:rStyle w:val="FootnoteReference"/>
        </w:rPr>
        <w:t xml:space="preserve"> </w:t>
      </w:r>
      <w:r w:rsidRPr="006475B9">
        <w:rPr>
          <w:szCs w:val="18"/>
        </w:rPr>
        <w:tab/>
      </w:r>
      <w:r w:rsidRPr="003A09DF">
        <w:rPr>
          <w:szCs w:val="18"/>
        </w:rPr>
        <w:t>See https://community.icann.org/display/gnsoudrpdt/Webinar+on+the+Current+State+of+the+UDRP</w:t>
      </w:r>
      <w:proofErr w:type="gramStart"/>
      <w:r w:rsidRPr="003A09DF">
        <w:rPr>
          <w:szCs w:val="18"/>
        </w:rPr>
        <w:t xml:space="preserve">;  </w:t>
      </w:r>
      <w:proofErr w:type="spellStart"/>
      <w:r w:rsidRPr="003A09DF">
        <w:rPr>
          <w:szCs w:val="18"/>
        </w:rPr>
        <w:t>see</w:t>
      </w:r>
      <w:proofErr w:type="spellEnd"/>
      <w:proofErr w:type="gramEnd"/>
      <w:r w:rsidRPr="003A09DF">
        <w:rPr>
          <w:szCs w:val="18"/>
        </w:rPr>
        <w:t> also more generally document WO/GA/39/10, paragraph 31.</w:t>
      </w:r>
    </w:p>
  </w:footnote>
  <w:footnote w:id="49">
    <w:p w:rsidR="00263C54" w:rsidRDefault="00263C54" w:rsidP="00263C54">
      <w:pPr>
        <w:pStyle w:val="FootnoteText"/>
        <w:tabs>
          <w:tab w:val="left" w:pos="567"/>
        </w:tabs>
      </w:pPr>
      <w:r>
        <w:rPr>
          <w:rStyle w:val="FootnoteReference"/>
        </w:rPr>
        <w:footnoteRef/>
      </w:r>
      <w:r>
        <w:t xml:space="preserve"> </w:t>
      </w:r>
      <w:r>
        <w:tab/>
        <w:t xml:space="preserve">See </w:t>
      </w:r>
      <w:r w:rsidRPr="001B4B95">
        <w:t>http://gnso.icann.org/en/issues/new-gtlds/rpm-prelim-issue-09oct15-en.pdf</w:t>
      </w:r>
      <w:r>
        <w:t>.</w:t>
      </w:r>
    </w:p>
  </w:footnote>
  <w:footnote w:id="50">
    <w:p w:rsidR="00263C54" w:rsidRDefault="00263C54" w:rsidP="00263C54">
      <w:pPr>
        <w:pStyle w:val="FootnoteText"/>
        <w:tabs>
          <w:tab w:val="left" w:pos="567"/>
        </w:tabs>
      </w:pPr>
      <w:r>
        <w:rPr>
          <w:rStyle w:val="FootnoteReference"/>
        </w:rPr>
        <w:footnoteRef/>
      </w:r>
      <w:r>
        <w:t xml:space="preserve"> </w:t>
      </w:r>
      <w:r>
        <w:tab/>
        <w:t xml:space="preserve">See </w:t>
      </w:r>
      <w:r w:rsidRPr="00D9285F">
        <w:t>https://gnso.icann.org/en/issues/new-gtlds/rpm-final-issue-11jan16-en.pdf</w:t>
      </w:r>
      <w:r>
        <w:t>.</w:t>
      </w:r>
    </w:p>
  </w:footnote>
  <w:footnote w:id="51">
    <w:p w:rsidR="00263C54" w:rsidRDefault="00263C54" w:rsidP="00263C54">
      <w:pPr>
        <w:pStyle w:val="FootnoteText"/>
      </w:pPr>
      <w:r>
        <w:rPr>
          <w:rStyle w:val="FootnoteReference"/>
        </w:rPr>
        <w:footnoteRef/>
      </w:r>
      <w:r>
        <w:t xml:space="preserve"> </w:t>
      </w:r>
      <w:r>
        <w:tab/>
        <w:t xml:space="preserve">See </w:t>
      </w:r>
      <w:r w:rsidRPr="00B54F9C">
        <w:t>https://www.icann.org/resources/pages/gtld-registration-data-specs-en</w:t>
      </w:r>
      <w:r>
        <w:t xml:space="preserve">, at </w:t>
      </w:r>
      <w:r w:rsidRPr="00904DF0">
        <w:t>Annex F</w:t>
      </w:r>
      <w:r>
        <w:t xml:space="preserve">. </w:t>
      </w:r>
    </w:p>
  </w:footnote>
  <w:footnote w:id="52">
    <w:p w:rsidR="00263C54" w:rsidRDefault="00263C54" w:rsidP="00263C54">
      <w:pPr>
        <w:pStyle w:val="FootnoteText"/>
      </w:pPr>
      <w:r>
        <w:rPr>
          <w:rStyle w:val="FootnoteReference"/>
        </w:rPr>
        <w:footnoteRef/>
      </w:r>
      <w:r>
        <w:t xml:space="preserve"> </w:t>
      </w:r>
      <w:r>
        <w:tab/>
        <w:t xml:space="preserve">See </w:t>
      </w:r>
      <w:r w:rsidR="00E760C0" w:rsidRPr="00B0432D">
        <w:t>https://www.icann.org/en/system/files/files/framework-elements-unified-access-model-for-discussion-18jun18-en.pdf</w:t>
      </w:r>
      <w:r>
        <w:t>.</w:t>
      </w:r>
      <w:r w:rsidR="00E760C0">
        <w:t xml:space="preserve">  </w:t>
      </w:r>
      <w:r w:rsidR="00B0432D" w:rsidRPr="00DC159E">
        <w:t xml:space="preserve">See further </w:t>
      </w:r>
      <w:r w:rsidR="00E760C0" w:rsidRPr="00DC159E">
        <w:t>the agenda</w:t>
      </w:r>
      <w:r w:rsidR="00B0432D" w:rsidRPr="00DC159E">
        <w:t xml:space="preserve"> of ICANN’</w:t>
      </w:r>
      <w:r w:rsidR="00043B50">
        <w:t>s June 201</w:t>
      </w:r>
      <w:r w:rsidR="00B0432D" w:rsidRPr="00DC159E">
        <w:t>8 meeting at</w:t>
      </w:r>
      <w:r w:rsidR="00DC159E" w:rsidRPr="00DC159E">
        <w:t xml:space="preserve"> https://62.schedule.icann.org/</w:t>
      </w:r>
      <w:r w:rsidR="00DC159E">
        <w:t xml:space="preserve">. </w:t>
      </w:r>
    </w:p>
  </w:footnote>
  <w:footnote w:id="53">
    <w:p w:rsidR="00263C54" w:rsidRPr="003A09DF" w:rsidRDefault="00263C54" w:rsidP="00263C54">
      <w:pPr>
        <w:pStyle w:val="FootnoteText"/>
      </w:pPr>
      <w:r w:rsidRPr="003A09DF">
        <w:rPr>
          <w:rStyle w:val="FootnoteReference"/>
        </w:rPr>
        <w:footnoteRef/>
      </w:r>
      <w:r w:rsidRPr="003A09DF">
        <w:t xml:space="preserve"> </w:t>
      </w:r>
      <w:r w:rsidRPr="003A09DF">
        <w:tab/>
      </w:r>
      <w:r w:rsidRPr="003A09DF">
        <w:rPr>
          <w:szCs w:val="22"/>
        </w:rPr>
        <w:t xml:space="preserve">See also ICANN’s Final Implementation Plan for IDN </w:t>
      </w:r>
      <w:proofErr w:type="spellStart"/>
      <w:r w:rsidRPr="003A09DF">
        <w:rPr>
          <w:szCs w:val="22"/>
        </w:rPr>
        <w:t>ccTLD</w:t>
      </w:r>
      <w:proofErr w:type="spellEnd"/>
      <w:r w:rsidRPr="003A09DF">
        <w:rPr>
          <w:szCs w:val="22"/>
        </w:rPr>
        <w:t xml:space="preserve"> Fast Track Process published in November 2009 (s</w:t>
      </w:r>
      <w:r w:rsidRPr="003A09DF">
        <w:rPr>
          <w:szCs w:val="18"/>
        </w:rPr>
        <w:t xml:space="preserve">ee </w:t>
      </w:r>
      <w:r w:rsidRPr="00A0252F">
        <w:rPr>
          <w:szCs w:val="18"/>
        </w:rPr>
        <w:t>https://www.icann.org/en/system/files/files/idn-cctld-implementation-plan-16nov09-en.pdf</w:t>
      </w:r>
      <w:r w:rsidRPr="003A09DF">
        <w:rPr>
          <w:szCs w:val="18"/>
        </w:rPr>
        <w:t>)</w:t>
      </w:r>
      <w:r w:rsidRPr="003A09DF">
        <w:rPr>
          <w:szCs w:val="22"/>
        </w:rPr>
        <w:t xml:space="preserve">.  Since then, this has allowed for the introduction of IDN </w:t>
      </w:r>
      <w:proofErr w:type="spellStart"/>
      <w:r w:rsidRPr="003A09DF">
        <w:rPr>
          <w:szCs w:val="22"/>
        </w:rPr>
        <w:t>ccTLDs</w:t>
      </w:r>
      <w:proofErr w:type="spellEnd"/>
      <w:r w:rsidRPr="003A09DF">
        <w:rPr>
          <w:szCs w:val="22"/>
        </w:rPr>
        <w:t>, associated with the two-letter codes in the ISO 3166-1 standard (s</w:t>
      </w:r>
      <w:r w:rsidRPr="003A09DF">
        <w:rPr>
          <w:szCs w:val="18"/>
        </w:rPr>
        <w:t xml:space="preserve">ee http://www.iso.org/iso/english_country_names_and_code_elements).  </w:t>
      </w:r>
    </w:p>
  </w:footnote>
  <w:footnote w:id="54">
    <w:p w:rsidR="00263C54" w:rsidRPr="003A09DF" w:rsidRDefault="00263C54" w:rsidP="00263C54">
      <w:pPr>
        <w:pStyle w:val="FootnoteText"/>
        <w:rPr>
          <w:szCs w:val="18"/>
        </w:rPr>
      </w:pPr>
      <w:r w:rsidRPr="003A09DF">
        <w:rPr>
          <w:rStyle w:val="FootnoteReference"/>
        </w:rPr>
        <w:footnoteRef/>
      </w:r>
      <w:r w:rsidRPr="003A09DF">
        <w:rPr>
          <w:rStyle w:val="FootnoteReference"/>
        </w:rPr>
        <w:t xml:space="preserve"> </w:t>
      </w:r>
      <w:r w:rsidRPr="003A09DF">
        <w:rPr>
          <w:szCs w:val="18"/>
        </w:rPr>
        <w:tab/>
        <w:t>See http://www.wipo.int/edocs/mdocs/govbody/en/wo_ga_28/wo_ga_28_3.pdf</w:t>
      </w:r>
      <w:proofErr w:type="gramStart"/>
      <w:r w:rsidRPr="003A09DF">
        <w:rPr>
          <w:szCs w:val="18"/>
        </w:rPr>
        <w:t xml:space="preserve">;  </w:t>
      </w:r>
      <w:proofErr w:type="spellStart"/>
      <w:r w:rsidRPr="003A09DF">
        <w:rPr>
          <w:szCs w:val="18"/>
        </w:rPr>
        <w:t>see</w:t>
      </w:r>
      <w:proofErr w:type="spellEnd"/>
      <w:proofErr w:type="gramEnd"/>
      <w:r w:rsidRPr="003A09DF">
        <w:rPr>
          <w:szCs w:val="18"/>
        </w:rPr>
        <w:t xml:space="preserve"> also documents SCT/9/8, paragraphs 6 to 11;  and, SCT/9/9, paragraph 149.</w:t>
      </w:r>
    </w:p>
  </w:footnote>
  <w:footnote w:id="55">
    <w:p w:rsidR="00263C54" w:rsidRPr="003A09DF" w:rsidRDefault="00263C54" w:rsidP="00263C54">
      <w:pPr>
        <w:pStyle w:val="FootnoteText"/>
        <w:rPr>
          <w:szCs w:val="18"/>
        </w:rPr>
      </w:pPr>
      <w:r w:rsidRPr="003A09DF">
        <w:rPr>
          <w:rStyle w:val="FootnoteReference"/>
        </w:rPr>
        <w:footnoteRef/>
      </w:r>
      <w:r w:rsidRPr="003A09DF">
        <w:rPr>
          <w:szCs w:val="18"/>
        </w:rPr>
        <w:t xml:space="preserve"> </w:t>
      </w:r>
      <w:r w:rsidRPr="003A09DF">
        <w:rPr>
          <w:szCs w:val="18"/>
        </w:rPr>
        <w:tab/>
        <w:t>See http://www.wipo.int/amc/en/docs/wipo.doc.</w:t>
      </w:r>
    </w:p>
  </w:footnote>
  <w:footnote w:id="56">
    <w:p w:rsidR="00263C54" w:rsidRPr="003A09DF" w:rsidRDefault="00263C54" w:rsidP="00263C54">
      <w:pPr>
        <w:pStyle w:val="FootnoteText"/>
      </w:pPr>
      <w:r w:rsidRPr="003A09DF">
        <w:rPr>
          <w:rStyle w:val="FootnoteReference"/>
        </w:rPr>
        <w:footnoteRef/>
      </w:r>
      <w:r w:rsidRPr="003A09DF">
        <w:t xml:space="preserve"> </w:t>
      </w:r>
      <w:r w:rsidRPr="003A09DF">
        <w:tab/>
        <w:t>For background, see WO/GA/41/17 Rev.2, in particular paragraphs 40 and 41.</w:t>
      </w:r>
    </w:p>
  </w:footnote>
  <w:footnote w:id="57">
    <w:p w:rsidR="00263C54" w:rsidRPr="006475B9" w:rsidRDefault="00263C54" w:rsidP="00263C54">
      <w:pPr>
        <w:pStyle w:val="FootnoteText"/>
        <w:rPr>
          <w:szCs w:val="18"/>
        </w:rPr>
      </w:pPr>
      <w:r w:rsidRPr="003A09DF">
        <w:rPr>
          <w:rStyle w:val="FootnoteReference"/>
        </w:rPr>
        <w:footnoteRef/>
      </w:r>
      <w:r w:rsidRPr="003A09DF">
        <w:rPr>
          <w:rStyle w:val="FootnoteReference"/>
        </w:rPr>
        <w:t xml:space="preserve"> </w:t>
      </w:r>
      <w:r w:rsidRPr="003A09DF">
        <w:rPr>
          <w:szCs w:val="18"/>
        </w:rPr>
        <w:tab/>
        <w:t xml:space="preserve">See </w:t>
      </w:r>
      <w:hyperlink r:id="rId6" w:history="1">
        <w:r w:rsidRPr="003A09DF">
          <w:rPr>
            <w:szCs w:val="18"/>
          </w:rPr>
          <w:t>https://gacweb.icann.org/download/attachments/27132070/FINAL_Toronto_Communique_20121017.pdf?version=1&amp;modificationDate=1354149148000&amp;api=v2</w:t>
        </w:r>
      </w:hyperlink>
      <w:r w:rsidRPr="003A09DF">
        <w:rPr>
          <w:szCs w:val="18"/>
        </w:rPr>
        <w:t xml:space="preserve">. </w:t>
      </w:r>
    </w:p>
  </w:footnote>
  <w:footnote w:id="58">
    <w:p w:rsidR="00263C54" w:rsidRPr="003A09DF" w:rsidRDefault="00263C54" w:rsidP="00263C54">
      <w:pPr>
        <w:pStyle w:val="FootnoteText"/>
        <w:rPr>
          <w:szCs w:val="18"/>
        </w:rPr>
      </w:pPr>
      <w:r w:rsidRPr="006475B9">
        <w:rPr>
          <w:rStyle w:val="FootnoteReference"/>
        </w:rPr>
        <w:footnoteRef/>
      </w:r>
      <w:r w:rsidRPr="006475B9">
        <w:rPr>
          <w:szCs w:val="18"/>
        </w:rPr>
        <w:t xml:space="preserve"> </w:t>
      </w:r>
      <w:r w:rsidRPr="003A09DF">
        <w:rPr>
          <w:szCs w:val="18"/>
        </w:rPr>
        <w:tab/>
        <w:t xml:space="preserve">See </w:t>
      </w:r>
      <w:r w:rsidRPr="00A0252F">
        <w:rPr>
          <w:szCs w:val="18"/>
        </w:rPr>
        <w:t>https://www.icann.org/en/system/files/correspondence/crocker-to-dryden-16jan13-en.pdf</w:t>
      </w:r>
      <w:r w:rsidRPr="003A09DF">
        <w:rPr>
          <w:szCs w:val="18"/>
        </w:rPr>
        <w:t xml:space="preserve">. </w:t>
      </w:r>
    </w:p>
  </w:footnote>
  <w:footnote w:id="59">
    <w:p w:rsidR="00263C54" w:rsidRPr="003A09DF" w:rsidRDefault="00263C54" w:rsidP="00263C54">
      <w:pPr>
        <w:pStyle w:val="FootnoteText"/>
      </w:pPr>
      <w:r w:rsidRPr="003A09DF">
        <w:rPr>
          <w:rStyle w:val="FootnoteReference"/>
        </w:rPr>
        <w:footnoteRef/>
      </w:r>
      <w:r w:rsidRPr="003A09DF">
        <w:t xml:space="preserve"> </w:t>
      </w:r>
      <w:r w:rsidRPr="003A09DF">
        <w:tab/>
      </w:r>
      <w:r w:rsidRPr="003A09DF">
        <w:rPr>
          <w:szCs w:val="22"/>
        </w:rPr>
        <w:t>Such criteria comprise treaty-based IGOs with international legal personality, or which are UN Observers, or which are funds or programs of the UN.</w:t>
      </w:r>
    </w:p>
  </w:footnote>
  <w:footnote w:id="60">
    <w:p w:rsidR="00263C54" w:rsidRPr="003A09DF" w:rsidRDefault="00263C54" w:rsidP="00263C54">
      <w:pPr>
        <w:pStyle w:val="FootnoteText"/>
        <w:rPr>
          <w:szCs w:val="18"/>
        </w:rPr>
      </w:pPr>
      <w:r w:rsidRPr="003A09DF">
        <w:rPr>
          <w:rStyle w:val="FootnoteReference"/>
        </w:rPr>
        <w:footnoteRef/>
      </w:r>
      <w:r w:rsidRPr="003A09DF">
        <w:rPr>
          <w:szCs w:val="18"/>
        </w:rPr>
        <w:t xml:space="preserve"> </w:t>
      </w:r>
      <w:r w:rsidRPr="003A09DF">
        <w:rPr>
          <w:szCs w:val="18"/>
        </w:rPr>
        <w:tab/>
        <w:t xml:space="preserve">See </w:t>
      </w:r>
      <w:hyperlink r:id="rId7" w:history="1">
        <w:r w:rsidRPr="003A09DF">
          <w:rPr>
            <w:szCs w:val="18"/>
          </w:rPr>
          <w:t>http://www.icann.org/en/news/correspondence/dryden-to-crocker-chalaby-22mar13-en</w:t>
        </w:r>
      </w:hyperlink>
      <w:r w:rsidRPr="003A09DF">
        <w:rPr>
          <w:szCs w:val="18"/>
        </w:rPr>
        <w:t xml:space="preserve">. </w:t>
      </w:r>
    </w:p>
  </w:footnote>
  <w:footnote w:id="61">
    <w:p w:rsidR="00263C54" w:rsidRPr="003A09DF" w:rsidRDefault="00263C54" w:rsidP="00263C54">
      <w:pPr>
        <w:pStyle w:val="FootnoteText"/>
        <w:rPr>
          <w:szCs w:val="18"/>
        </w:rPr>
      </w:pPr>
      <w:r w:rsidRPr="003A09DF">
        <w:rPr>
          <w:rStyle w:val="FootnoteReference"/>
        </w:rPr>
        <w:footnoteRef/>
      </w:r>
      <w:r w:rsidRPr="003A09DF">
        <w:rPr>
          <w:rStyle w:val="FootnoteReference"/>
        </w:rPr>
        <w:t xml:space="preserve"> </w:t>
      </w:r>
      <w:r w:rsidRPr="003A09DF">
        <w:rPr>
          <w:szCs w:val="18"/>
        </w:rPr>
        <w:tab/>
        <w:t>T</w:t>
      </w:r>
      <w:r w:rsidRPr="003A09DF">
        <w:rPr>
          <w:szCs w:val="22"/>
        </w:rPr>
        <w:t xml:space="preserve">he Board also sought further specifics on means for periodic review of the list, along with clarification of any additional languages in which protection of IGO names and acronyms is sought.  </w:t>
      </w:r>
      <w:r w:rsidRPr="003A09DF">
        <w:rPr>
          <w:szCs w:val="18"/>
        </w:rPr>
        <w:t xml:space="preserve">See </w:t>
      </w:r>
      <w:hyperlink r:id="rId8" w:history="1">
        <w:r w:rsidRPr="003A09DF">
          <w:rPr>
            <w:szCs w:val="18"/>
          </w:rPr>
          <w:t>http://www.icann.org/en/news/correspondence/crocker-to-dryden-01apr13-en</w:t>
        </w:r>
      </w:hyperlink>
      <w:r w:rsidRPr="003A09DF">
        <w:rPr>
          <w:szCs w:val="18"/>
        </w:rPr>
        <w:t xml:space="preserve">. </w:t>
      </w:r>
    </w:p>
  </w:footnote>
  <w:footnote w:id="62">
    <w:p w:rsidR="00263C54" w:rsidRPr="003A09DF" w:rsidRDefault="00263C54" w:rsidP="00263C54">
      <w:pPr>
        <w:pStyle w:val="FootnoteText"/>
      </w:pPr>
      <w:r w:rsidRPr="003A09DF">
        <w:rPr>
          <w:rStyle w:val="FootnoteReference"/>
        </w:rPr>
        <w:footnoteRef/>
      </w:r>
      <w:r w:rsidRPr="003A09DF">
        <w:t xml:space="preserve"> </w:t>
      </w:r>
      <w:r w:rsidRPr="003A09DF">
        <w:tab/>
      </w:r>
      <w:r w:rsidRPr="003A09DF">
        <w:rPr>
          <w:szCs w:val="22"/>
        </w:rPr>
        <w:t xml:space="preserve">The GAC further advised that it expressly assumed that the ICANN Board was prepared to fully implement the GAC advice and focus on practical and effective implementation of preventative protection at the second level in new </w:t>
      </w:r>
      <w:proofErr w:type="spellStart"/>
      <w:r w:rsidRPr="003A09DF">
        <w:rPr>
          <w:szCs w:val="22"/>
        </w:rPr>
        <w:t>gTLDs</w:t>
      </w:r>
      <w:proofErr w:type="spellEnd"/>
      <w:r w:rsidRPr="003A09DF">
        <w:rPr>
          <w:szCs w:val="22"/>
        </w:rPr>
        <w:t xml:space="preserve">, and that the interim protections for IGO names and acronyms should remain in place until the dialogue between the GAC, ICANN and IGOs was completed.  </w:t>
      </w:r>
      <w:r w:rsidRPr="003A09DF">
        <w:t xml:space="preserve">See http://durban47.icann.org/meetings/durban2013/presentation-gac-communique-18jul13-en.pdf. </w:t>
      </w:r>
    </w:p>
  </w:footnote>
  <w:footnote w:id="63">
    <w:p w:rsidR="00263C54" w:rsidRPr="003A09DF" w:rsidRDefault="00263C54" w:rsidP="00263C54">
      <w:pPr>
        <w:pStyle w:val="FootnoteText"/>
      </w:pPr>
      <w:r w:rsidRPr="003A09DF">
        <w:rPr>
          <w:rStyle w:val="FootnoteReference"/>
        </w:rPr>
        <w:footnoteRef/>
      </w:r>
      <w:r w:rsidRPr="003A09DF">
        <w:t xml:space="preserve"> </w:t>
      </w:r>
      <w:r w:rsidRPr="003A09DF">
        <w:tab/>
        <w:t xml:space="preserve">See </w:t>
      </w:r>
      <w:r w:rsidRPr="00495D92">
        <w:rPr>
          <w:szCs w:val="18"/>
        </w:rPr>
        <w:t>https://www.icann.org/resources/board-material/resolutions-new-gtld-2013-07-17-en#1.a</w:t>
      </w:r>
      <w:r>
        <w:rPr>
          <w:szCs w:val="18"/>
        </w:rPr>
        <w:t>.</w:t>
      </w:r>
    </w:p>
  </w:footnote>
  <w:footnote w:id="64">
    <w:p w:rsidR="00263C54" w:rsidRDefault="00263C54" w:rsidP="00263C54">
      <w:pPr>
        <w:pStyle w:val="FootnoteText"/>
      </w:pPr>
      <w:r w:rsidRPr="003A09DF">
        <w:rPr>
          <w:rStyle w:val="FootnoteReference"/>
        </w:rPr>
        <w:footnoteRef/>
      </w:r>
      <w:r w:rsidRPr="003A09DF">
        <w:t xml:space="preserve"> </w:t>
      </w:r>
      <w:r w:rsidRPr="003A09DF">
        <w:tab/>
        <w:t xml:space="preserve">The GAC and </w:t>
      </w:r>
      <w:r w:rsidRPr="003A09DF">
        <w:rPr>
          <w:szCs w:val="22"/>
        </w:rPr>
        <w:t xml:space="preserve">the NGPC had </w:t>
      </w:r>
      <w:r w:rsidRPr="003A09DF">
        <w:t>cancelled their participation in a September 30 meeting proposed by IGOs</w:t>
      </w:r>
      <w:r w:rsidRPr="003A09DF">
        <w:rPr>
          <w:szCs w:val="22"/>
        </w:rPr>
        <w:t>.</w:t>
      </w:r>
      <w:r w:rsidRPr="006475B9">
        <w:rPr>
          <w:szCs w:val="22"/>
        </w:rPr>
        <w:t xml:space="preserve">  </w:t>
      </w:r>
    </w:p>
  </w:footnote>
  <w:footnote w:id="65">
    <w:p w:rsidR="00263C54" w:rsidRDefault="00263C54" w:rsidP="00263C54">
      <w:pPr>
        <w:pStyle w:val="FootnoteText"/>
      </w:pPr>
      <w:r>
        <w:rPr>
          <w:rStyle w:val="FootnoteReference"/>
        </w:rPr>
        <w:footnoteRef/>
      </w:r>
      <w:r>
        <w:t xml:space="preserve"> </w:t>
      </w:r>
      <w:r>
        <w:tab/>
        <w:t>For a more complete summary see document WO/GA/48/12 Rev., paragraphs 42 to 45.</w:t>
      </w:r>
    </w:p>
  </w:footnote>
  <w:footnote w:id="66">
    <w:p w:rsidR="00263C54" w:rsidRDefault="00263C54" w:rsidP="00263C54">
      <w:pPr>
        <w:pStyle w:val="FootnoteText"/>
      </w:pPr>
      <w:r>
        <w:rPr>
          <w:rStyle w:val="FootnoteReference"/>
        </w:rPr>
        <w:footnoteRef/>
      </w:r>
      <w:r>
        <w:t xml:space="preserve"> </w:t>
      </w:r>
      <w:r>
        <w:tab/>
        <w:t xml:space="preserve">See </w:t>
      </w:r>
      <w:r w:rsidRPr="009942D8">
        <w:t>https://www.icann.org/en/system/files/files/resolutions-abudhabi60-gac-advice-scorecard-04feb18-en.pdf</w:t>
      </w:r>
      <w:r>
        <w:t>.</w:t>
      </w:r>
    </w:p>
  </w:footnote>
  <w:footnote w:id="67">
    <w:p w:rsidR="00263C54" w:rsidRPr="008500BB" w:rsidRDefault="00263C54" w:rsidP="00263C54">
      <w:pPr>
        <w:pStyle w:val="FootnoteText"/>
        <w:tabs>
          <w:tab w:val="left" w:pos="567"/>
        </w:tabs>
        <w:rPr>
          <w:szCs w:val="18"/>
        </w:rPr>
      </w:pPr>
      <w:r w:rsidRPr="003A09DF">
        <w:rPr>
          <w:rStyle w:val="FootnoteReference"/>
        </w:rPr>
        <w:footnoteRef/>
      </w:r>
      <w:r w:rsidRPr="003A09DF">
        <w:rPr>
          <w:rStyle w:val="FootnoteReference"/>
        </w:rPr>
        <w:t xml:space="preserve"> </w:t>
      </w:r>
      <w:r w:rsidRPr="003A09DF">
        <w:rPr>
          <w:szCs w:val="18"/>
        </w:rPr>
        <w:tab/>
      </w:r>
      <w:r w:rsidRPr="003A09DF">
        <w:rPr>
          <w:szCs w:val="22"/>
        </w:rPr>
        <w:t>In 2007</w:t>
      </w:r>
      <w:r>
        <w:rPr>
          <w:szCs w:val="22"/>
        </w:rPr>
        <w:t xml:space="preserve">, </w:t>
      </w:r>
      <w:r w:rsidRPr="003A09DF">
        <w:rPr>
          <w:szCs w:val="22"/>
        </w:rPr>
        <w:t xml:space="preserve">the GAC issued the “GAC Principles regarding New </w:t>
      </w:r>
      <w:proofErr w:type="spellStart"/>
      <w:r w:rsidRPr="003A09DF">
        <w:rPr>
          <w:szCs w:val="22"/>
        </w:rPr>
        <w:t>gTLDs</w:t>
      </w:r>
      <w:proofErr w:type="spellEnd"/>
      <w:r w:rsidRPr="003A09DF">
        <w:rPr>
          <w:szCs w:val="22"/>
        </w:rPr>
        <w:t xml:space="preserve">”, which states </w:t>
      </w:r>
      <w:r w:rsidRPr="003A09DF">
        <w:rPr>
          <w:i/>
          <w:iCs/>
          <w:szCs w:val="22"/>
        </w:rPr>
        <w:t>inter alia</w:t>
      </w:r>
      <w:r w:rsidRPr="003A09DF">
        <w:rPr>
          <w:szCs w:val="22"/>
        </w:rPr>
        <w:t xml:space="preserve"> that ICANN should avoid delegation of new </w:t>
      </w:r>
      <w:proofErr w:type="spellStart"/>
      <w:r w:rsidRPr="003A09DF">
        <w:rPr>
          <w:szCs w:val="22"/>
        </w:rPr>
        <w:t>gTLDs</w:t>
      </w:r>
      <w:proofErr w:type="spellEnd"/>
      <w:r w:rsidRPr="003A09DF">
        <w:rPr>
          <w:szCs w:val="22"/>
        </w:rPr>
        <w:t xml:space="preserve"> concerning country, territory or place names, and regional language or people descriptions, unless in agreement with the relevant governments or public authorities.  Those GAC Principles further stated that </w:t>
      </w:r>
      <w:r w:rsidRPr="003A09DF">
        <w:rPr>
          <w:iCs/>
          <w:szCs w:val="22"/>
          <w:lang w:eastAsia="ko-KR"/>
        </w:rPr>
        <w:t xml:space="preserve">new </w:t>
      </w:r>
      <w:r w:rsidRPr="003A09DF">
        <w:rPr>
          <w:iCs/>
          <w:szCs w:val="22"/>
        </w:rPr>
        <w:t xml:space="preserve">registries should adopt procedures for blocking/challenge of names with national or geographical significance at the second level upon demand of governments.  </w:t>
      </w:r>
      <w:r w:rsidRPr="003A09DF">
        <w:rPr>
          <w:szCs w:val="18"/>
        </w:rPr>
        <w:t xml:space="preserve">See </w:t>
      </w:r>
      <w:r w:rsidRPr="001C6E29">
        <w:rPr>
          <w:szCs w:val="18"/>
        </w:rPr>
        <w:t>https://archive.icann.org/en/topics/new-gtlds/gac-principles-regarding-new-gtlds-28mar07-en.pdf</w:t>
      </w:r>
      <w:r w:rsidRPr="003A09DF">
        <w:rPr>
          <w:szCs w:val="18"/>
        </w:rPr>
        <w:t>.</w:t>
      </w:r>
    </w:p>
  </w:footnote>
  <w:footnote w:id="68">
    <w:p w:rsidR="00263C54" w:rsidRPr="003A09DF" w:rsidRDefault="00263C54" w:rsidP="00263C54">
      <w:pPr>
        <w:pStyle w:val="FootnoteText"/>
        <w:tabs>
          <w:tab w:val="left" w:pos="567"/>
        </w:tabs>
        <w:rPr>
          <w:szCs w:val="18"/>
        </w:rPr>
      </w:pPr>
      <w:r w:rsidRPr="003A09DF">
        <w:rPr>
          <w:rStyle w:val="FootnoteReference"/>
        </w:rPr>
        <w:footnoteRef/>
      </w:r>
      <w:r w:rsidRPr="003A09DF">
        <w:t xml:space="preserve"> </w:t>
      </w:r>
      <w:r w:rsidRPr="003A09DF">
        <w:tab/>
      </w:r>
      <w:r w:rsidRPr="003A09DF">
        <w:rPr>
          <w:szCs w:val="22"/>
        </w:rPr>
        <w:t xml:space="preserve">Concerning second-level registrations, ICANN’s base registry agreement includes a “Schedule of Reserved Names at the Second Level in </w:t>
      </w:r>
      <w:proofErr w:type="spellStart"/>
      <w:r w:rsidRPr="003A09DF">
        <w:rPr>
          <w:szCs w:val="22"/>
        </w:rPr>
        <w:t>gTLD</w:t>
      </w:r>
      <w:proofErr w:type="spellEnd"/>
      <w:r w:rsidRPr="003A09DF">
        <w:rPr>
          <w:szCs w:val="22"/>
        </w:rPr>
        <w:t xml:space="preserve"> Registries” which makes provision for certain country and territory names</w:t>
      </w:r>
      <w:r w:rsidRPr="003A09DF">
        <w:rPr>
          <w:szCs w:val="18"/>
        </w:rPr>
        <w:t>.  See</w:t>
      </w:r>
      <w:r>
        <w:rPr>
          <w:szCs w:val="18"/>
        </w:rPr>
        <w:t> </w:t>
      </w:r>
      <w:r w:rsidRPr="003A09DF">
        <w:rPr>
          <w:szCs w:val="18"/>
        </w:rPr>
        <w:t>http://newgtlds.icann.org/en/applicants/agb/base-agreement-specs-04jun12-en.pdf at Specification 5.</w:t>
      </w:r>
    </w:p>
  </w:footnote>
  <w:footnote w:id="69">
    <w:p w:rsidR="00263C54" w:rsidRPr="003A09DF" w:rsidRDefault="00263C54" w:rsidP="00263C54">
      <w:pPr>
        <w:pStyle w:val="FootnoteText"/>
        <w:tabs>
          <w:tab w:val="left" w:pos="567"/>
        </w:tabs>
        <w:rPr>
          <w:szCs w:val="18"/>
        </w:rPr>
      </w:pPr>
      <w:r w:rsidRPr="003A09DF">
        <w:rPr>
          <w:rStyle w:val="FootnoteReference"/>
        </w:rPr>
        <w:footnoteRef/>
      </w:r>
      <w:r w:rsidRPr="003A09DF">
        <w:rPr>
          <w:rStyle w:val="FootnoteReference"/>
        </w:rPr>
        <w:t xml:space="preserve"> </w:t>
      </w:r>
      <w:r w:rsidRPr="003A09DF">
        <w:rPr>
          <w:szCs w:val="18"/>
        </w:rPr>
        <w:tab/>
        <w:t>See http://newgtlds.icann.org/en/applicants/agb/evaluation-procedures-04jun12-en.pdf, from section 2.2.1.4.1 “Treatment of Country or Territory Names”.</w:t>
      </w:r>
    </w:p>
  </w:footnote>
  <w:footnote w:id="70">
    <w:p w:rsidR="00263C54" w:rsidRPr="003A09DF" w:rsidRDefault="00263C54" w:rsidP="00263C54">
      <w:pPr>
        <w:pStyle w:val="FootnoteText"/>
        <w:tabs>
          <w:tab w:val="left" w:pos="567"/>
        </w:tabs>
        <w:rPr>
          <w:szCs w:val="18"/>
        </w:rPr>
      </w:pPr>
      <w:r w:rsidRPr="003A09DF">
        <w:rPr>
          <w:rStyle w:val="FootnoteReference"/>
        </w:rPr>
        <w:footnoteRef/>
      </w:r>
      <w:r w:rsidRPr="003A09DF">
        <w:rPr>
          <w:szCs w:val="18"/>
        </w:rPr>
        <w:t xml:space="preserve"> </w:t>
      </w:r>
      <w:r w:rsidRPr="003A09DF">
        <w:rPr>
          <w:szCs w:val="18"/>
        </w:rPr>
        <w:tab/>
        <w:t xml:space="preserve">See http://newgtlds.icann.org/en/applicants/agb/evaluation-procedures-04jun12-en.pdf, from section 2.2.1.4.2 “Geographic Names Requiring Government Support”. </w:t>
      </w:r>
    </w:p>
  </w:footnote>
  <w:footnote w:id="71">
    <w:p w:rsidR="00263C54" w:rsidRPr="003A09DF" w:rsidRDefault="00263C54" w:rsidP="00263C54">
      <w:pPr>
        <w:pStyle w:val="FootnoteText"/>
        <w:tabs>
          <w:tab w:val="left" w:pos="567"/>
        </w:tabs>
        <w:rPr>
          <w:color w:val="000000" w:themeColor="text1"/>
          <w:szCs w:val="22"/>
        </w:rPr>
      </w:pPr>
      <w:r w:rsidRPr="003A09DF">
        <w:rPr>
          <w:rStyle w:val="FootnoteReference"/>
        </w:rPr>
        <w:footnoteRef/>
      </w:r>
      <w:r w:rsidRPr="003A09DF">
        <w:t xml:space="preserve"> </w:t>
      </w:r>
      <w:r w:rsidRPr="003A09DF">
        <w:tab/>
        <w:t xml:space="preserve">See https://www.icann.org/en/system/files/correspondence/gac-to-board-27mar14-en.pdf, at “4. </w:t>
      </w:r>
      <w:r>
        <w:t xml:space="preserve"> </w:t>
      </w:r>
      <w:proofErr w:type="gramStart"/>
      <w:r w:rsidRPr="003A09DF">
        <w:t>Specific Strings”.</w:t>
      </w:r>
      <w:proofErr w:type="gramEnd"/>
      <w:r w:rsidRPr="003A09DF">
        <w:t xml:space="preserve">  </w:t>
      </w:r>
      <w:r w:rsidRPr="003A09DF">
        <w:rPr>
          <w:szCs w:val="22"/>
        </w:rPr>
        <w:t xml:space="preserve">While the Board has accepted the GAC’s advice against proceeding with certain applications, it has sought further information from the GAC, as well as public comments, on a range of additional safeguards sought by the GAC concerning </w:t>
      </w:r>
      <w:r w:rsidRPr="003A09DF">
        <w:rPr>
          <w:iCs/>
          <w:szCs w:val="22"/>
        </w:rPr>
        <w:t xml:space="preserve">several broad categories of new </w:t>
      </w:r>
      <w:proofErr w:type="spellStart"/>
      <w:r w:rsidRPr="003A09DF">
        <w:rPr>
          <w:iCs/>
          <w:szCs w:val="22"/>
        </w:rPr>
        <w:t>gTLD</w:t>
      </w:r>
      <w:proofErr w:type="spellEnd"/>
      <w:r w:rsidRPr="003A09DF">
        <w:rPr>
          <w:iCs/>
          <w:szCs w:val="22"/>
        </w:rPr>
        <w:t xml:space="preserve"> applications such as for those new </w:t>
      </w:r>
      <w:proofErr w:type="spellStart"/>
      <w:r w:rsidRPr="003A09DF">
        <w:rPr>
          <w:iCs/>
          <w:szCs w:val="22"/>
        </w:rPr>
        <w:t>gTLDs</w:t>
      </w:r>
      <w:proofErr w:type="spellEnd"/>
      <w:r w:rsidRPr="003A09DF">
        <w:rPr>
          <w:iCs/>
          <w:szCs w:val="22"/>
        </w:rPr>
        <w:t xml:space="preserve"> which correspond to regulated industries or dictionary terms.  </w:t>
      </w:r>
      <w:r w:rsidRPr="003A09DF">
        <w:rPr>
          <w:szCs w:val="22"/>
        </w:rPr>
        <w:t xml:space="preserve">See </w:t>
      </w:r>
      <w:r w:rsidR="00B0432D" w:rsidRPr="00B0432D">
        <w:rPr>
          <w:szCs w:val="22"/>
        </w:rPr>
        <w:t>https://www.icann.org/en/system/files/correspondence/gac-to-board-11apr13-en.pdf</w:t>
      </w:r>
      <w:r w:rsidR="00B0432D">
        <w:rPr>
          <w:szCs w:val="22"/>
        </w:rPr>
        <w:t xml:space="preserve">.  </w:t>
      </w:r>
      <w:r w:rsidRPr="003A09DF">
        <w:rPr>
          <w:iCs/>
          <w:szCs w:val="22"/>
        </w:rPr>
        <w:t xml:space="preserve">A GAC Sub-group on Geographic Names (a Sub-group of the GAC Working Group on Future New </w:t>
      </w:r>
      <w:proofErr w:type="spellStart"/>
      <w:r w:rsidRPr="003A09DF">
        <w:rPr>
          <w:iCs/>
          <w:szCs w:val="22"/>
        </w:rPr>
        <w:t>gTLDs</w:t>
      </w:r>
      <w:proofErr w:type="spellEnd"/>
      <w:r w:rsidRPr="003A09DF">
        <w:rPr>
          <w:iCs/>
          <w:szCs w:val="22"/>
        </w:rPr>
        <w:t xml:space="preserve">) has developed a draft document for future </w:t>
      </w:r>
      <w:proofErr w:type="gramStart"/>
      <w:r w:rsidRPr="003A09DF">
        <w:rPr>
          <w:iCs/>
          <w:szCs w:val="22"/>
        </w:rPr>
        <w:t>New</w:t>
      </w:r>
      <w:proofErr w:type="gramEnd"/>
      <w:r w:rsidRPr="003A09DF">
        <w:rPr>
          <w:iCs/>
          <w:szCs w:val="22"/>
        </w:rPr>
        <w:t xml:space="preserve"> </w:t>
      </w:r>
      <w:proofErr w:type="spellStart"/>
      <w:r w:rsidRPr="003A09DF">
        <w:rPr>
          <w:iCs/>
          <w:szCs w:val="22"/>
        </w:rPr>
        <w:t>gTLD</w:t>
      </w:r>
      <w:proofErr w:type="spellEnd"/>
      <w:r w:rsidRPr="003A09DF">
        <w:rPr>
          <w:iCs/>
          <w:szCs w:val="22"/>
        </w:rPr>
        <w:t xml:space="preserve"> rounds outlining several public policy aspects related to geographic names</w:t>
      </w:r>
      <w:r w:rsidR="00ED098F">
        <w:rPr>
          <w:iCs/>
          <w:szCs w:val="22"/>
        </w:rPr>
        <w:t>,</w:t>
      </w:r>
      <w:r w:rsidRPr="003A09DF">
        <w:rPr>
          <w:iCs/>
          <w:szCs w:val="22"/>
        </w:rPr>
        <w:t xml:space="preserve"> which is subject to further ICANN discussions.  </w:t>
      </w:r>
      <w:r w:rsidRPr="003A09DF">
        <w:t xml:space="preserve">See </w:t>
      </w:r>
      <w:r w:rsidRPr="000E0847">
        <w:t>https://gacweb.icann.org/download/attachments/27132037/Geo%20names%20in%20new%20gTLDs%20Updated%20%20V3%20%2029%20august%202014%5B4%5D.pdf?version=1&amp;modificationDate=1411549935000&amp;api=v2</w:t>
      </w:r>
      <w:r w:rsidRPr="003A09DF">
        <w:rPr>
          <w:color w:val="000000" w:themeColor="text1"/>
        </w:rPr>
        <w:t>.</w:t>
      </w:r>
    </w:p>
  </w:footnote>
  <w:footnote w:id="72">
    <w:p w:rsidR="00263C54" w:rsidRDefault="00263C54" w:rsidP="00263C54">
      <w:pPr>
        <w:pStyle w:val="FootnoteText"/>
        <w:tabs>
          <w:tab w:val="left" w:pos="567"/>
        </w:tabs>
      </w:pPr>
      <w:r>
        <w:rPr>
          <w:rStyle w:val="FootnoteReference"/>
        </w:rPr>
        <w:footnoteRef/>
      </w:r>
      <w:r>
        <w:t xml:space="preserve"> </w:t>
      </w:r>
      <w:r>
        <w:tab/>
        <w:t xml:space="preserve">Together these comprise ICANN’s so-called “confusion mitigation” plans.  See </w:t>
      </w:r>
      <w:r w:rsidRPr="003D359B">
        <w:t>https://www.icann.org/en/system/files/files/two-character-ltr-ltr-authorization-release-13dec16-en.pdf</w:t>
      </w:r>
      <w:r>
        <w:t>.</w:t>
      </w:r>
    </w:p>
  </w:footnote>
  <w:footnote w:id="73">
    <w:p w:rsidR="00263C54" w:rsidRDefault="00263C54" w:rsidP="00263C54">
      <w:pPr>
        <w:pStyle w:val="FootnoteText"/>
        <w:tabs>
          <w:tab w:val="left" w:pos="567"/>
        </w:tabs>
      </w:pPr>
      <w:r>
        <w:rPr>
          <w:rStyle w:val="FootnoteReference"/>
        </w:rPr>
        <w:footnoteRef/>
      </w:r>
      <w:r>
        <w:t xml:space="preserve"> </w:t>
      </w:r>
      <w:r>
        <w:tab/>
        <w:t xml:space="preserve">See </w:t>
      </w:r>
      <w:r w:rsidRPr="003775E0">
        <w:t>https://forum.icann.org/lists/comments-proposed-measures-two-char-08jul16/pdfECmcS9knuk.pdf</w:t>
      </w:r>
      <w:r>
        <w:t xml:space="preserve">. </w:t>
      </w:r>
    </w:p>
  </w:footnote>
  <w:footnote w:id="74">
    <w:p w:rsidR="00263C54" w:rsidRDefault="00263C54" w:rsidP="00263C54">
      <w:pPr>
        <w:pStyle w:val="FootnoteText"/>
      </w:pPr>
      <w:r w:rsidRPr="003F1164">
        <w:rPr>
          <w:rStyle w:val="FootnoteReference"/>
        </w:rPr>
        <w:footnoteRef/>
      </w:r>
      <w:r w:rsidRPr="003F1164">
        <w:t xml:space="preserve"> </w:t>
      </w:r>
      <w:r>
        <w:tab/>
        <w:t xml:space="preserve">See </w:t>
      </w:r>
      <w:r w:rsidRPr="003F1164">
        <w:t>https://static.ptbl.co/static/attachments/169910/1521228229.pdf?1521228229</w:t>
      </w:r>
      <w:r>
        <w:t xml:space="preserve">. </w:t>
      </w:r>
    </w:p>
  </w:footnote>
  <w:footnote w:id="75">
    <w:p w:rsidR="00263C54" w:rsidRPr="00B54F9C" w:rsidRDefault="00263C54" w:rsidP="00263C54">
      <w:pPr>
        <w:pStyle w:val="FootnoteText"/>
        <w:rPr>
          <w:b/>
          <w:szCs w:val="18"/>
        </w:rPr>
      </w:pPr>
      <w:r w:rsidRPr="003A09DF">
        <w:rPr>
          <w:rStyle w:val="FootnoteReference"/>
        </w:rPr>
        <w:footnoteRef/>
      </w:r>
      <w:r w:rsidRPr="003A09DF">
        <w:rPr>
          <w:rStyle w:val="FootnoteReference"/>
        </w:rPr>
        <w:t xml:space="preserve"> </w:t>
      </w:r>
      <w:r w:rsidRPr="003A09DF">
        <w:rPr>
          <w:szCs w:val="18"/>
        </w:rPr>
        <w:tab/>
        <w:t xml:space="preserve">See </w:t>
      </w:r>
      <w:r w:rsidRPr="003A09DF">
        <w:rPr>
          <w:i/>
          <w:szCs w:val="18"/>
        </w:rPr>
        <w:t>e.g.</w:t>
      </w:r>
      <w:r w:rsidRPr="003A09DF">
        <w:rPr>
          <w:szCs w:val="18"/>
        </w:rPr>
        <w:t>, documents SCT/</w:t>
      </w:r>
      <w:r>
        <w:rPr>
          <w:szCs w:val="18"/>
        </w:rPr>
        <w:t>37/4</w:t>
      </w:r>
      <w:r w:rsidRPr="003A09DF">
        <w:rPr>
          <w:szCs w:val="18"/>
        </w:rPr>
        <w:t>, SCT</w:t>
      </w:r>
      <w:r>
        <w:rPr>
          <w:szCs w:val="18"/>
        </w:rPr>
        <w:t>37/5</w:t>
      </w:r>
      <w:r w:rsidRPr="003A09DF">
        <w:rPr>
          <w:szCs w:val="18"/>
        </w:rPr>
        <w:t>, SCT</w:t>
      </w:r>
      <w:r>
        <w:rPr>
          <w:szCs w:val="18"/>
        </w:rPr>
        <w:t>38/3</w:t>
      </w:r>
      <w:r w:rsidRPr="003A09DF">
        <w:rPr>
          <w:szCs w:val="18"/>
        </w:rPr>
        <w:t xml:space="preserve"> and </w:t>
      </w:r>
      <w:r>
        <w:rPr>
          <w:szCs w:val="18"/>
        </w:rPr>
        <w:t>SCT39/5</w:t>
      </w:r>
      <w:r w:rsidRPr="003A09DF">
        <w:rPr>
          <w:szCs w:val="18"/>
        </w:rPr>
        <w:t>.</w:t>
      </w:r>
      <w:r>
        <w:rPr>
          <w:szCs w:val="18"/>
        </w:rPr>
        <w:t xml:space="preserve">  See also meeting </w:t>
      </w:r>
      <w:r w:rsidRPr="00E601AE">
        <w:rPr>
          <w:szCs w:val="18"/>
        </w:rPr>
        <w:t>SCT/IS/GEO/GE/17</w:t>
      </w:r>
      <w:r>
        <w:rPr>
          <w:szCs w:val="18"/>
        </w:rPr>
        <w:t xml:space="preserve">. </w:t>
      </w:r>
    </w:p>
  </w:footnote>
  <w:footnote w:id="76">
    <w:p w:rsidR="00263C54" w:rsidRDefault="00263C54" w:rsidP="00263C54">
      <w:pPr>
        <w:pStyle w:val="FootnoteText"/>
      </w:pPr>
      <w:r>
        <w:rPr>
          <w:rStyle w:val="FootnoteReference"/>
        </w:rPr>
        <w:footnoteRef/>
      </w:r>
      <w:r>
        <w:t xml:space="preserve"> </w:t>
      </w:r>
      <w:r>
        <w:tab/>
        <w:t xml:space="preserve">See document SCT39/7.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667185" w:rsidP="00477D6B">
    <w:pPr>
      <w:jc w:val="right"/>
    </w:pPr>
    <w:bookmarkStart w:id="6" w:name="Code2"/>
    <w:bookmarkEnd w:id="6"/>
    <w:r>
      <w:t>WO/GA/50</w:t>
    </w:r>
    <w:r w:rsidR="00653668">
      <w:t>/10</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7D1BDC">
      <w:rPr>
        <w:noProof/>
      </w:rPr>
      <w:t>12</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32B1B9B"/>
    <w:multiLevelType w:val="hybridMultilevel"/>
    <w:tmpl w:val="6F3CB878"/>
    <w:lvl w:ilvl="0" w:tplc="35F67E7C">
      <w:start w:val="1"/>
      <w:numFmt w:val="lowerLetter"/>
      <w:lvlText w:val="(%1)"/>
      <w:lvlJc w:val="left"/>
      <w:pPr>
        <w:ind w:left="2061" w:hanging="360"/>
      </w:pPr>
      <w:rPr>
        <w:rFonts w:hint="default"/>
        <w:u w:val="none"/>
      </w:rPr>
    </w:lvl>
    <w:lvl w:ilvl="1" w:tplc="040A0019" w:tentative="1">
      <w:start w:val="1"/>
      <w:numFmt w:val="lowerLetter"/>
      <w:lvlText w:val="%2."/>
      <w:lvlJc w:val="left"/>
      <w:pPr>
        <w:ind w:left="2781" w:hanging="360"/>
      </w:pPr>
    </w:lvl>
    <w:lvl w:ilvl="2" w:tplc="040A001B" w:tentative="1">
      <w:start w:val="1"/>
      <w:numFmt w:val="lowerRoman"/>
      <w:lvlText w:val="%3."/>
      <w:lvlJc w:val="right"/>
      <w:pPr>
        <w:ind w:left="3501" w:hanging="180"/>
      </w:pPr>
    </w:lvl>
    <w:lvl w:ilvl="3" w:tplc="040A000F" w:tentative="1">
      <w:start w:val="1"/>
      <w:numFmt w:val="decimal"/>
      <w:lvlText w:val="%4."/>
      <w:lvlJc w:val="left"/>
      <w:pPr>
        <w:ind w:left="4221" w:hanging="360"/>
      </w:pPr>
    </w:lvl>
    <w:lvl w:ilvl="4" w:tplc="040A0019" w:tentative="1">
      <w:start w:val="1"/>
      <w:numFmt w:val="lowerLetter"/>
      <w:lvlText w:val="%5."/>
      <w:lvlJc w:val="left"/>
      <w:pPr>
        <w:ind w:left="4941" w:hanging="360"/>
      </w:pPr>
    </w:lvl>
    <w:lvl w:ilvl="5" w:tplc="040A001B" w:tentative="1">
      <w:start w:val="1"/>
      <w:numFmt w:val="lowerRoman"/>
      <w:lvlText w:val="%6."/>
      <w:lvlJc w:val="right"/>
      <w:pPr>
        <w:ind w:left="5661" w:hanging="180"/>
      </w:pPr>
    </w:lvl>
    <w:lvl w:ilvl="6" w:tplc="040A000F" w:tentative="1">
      <w:start w:val="1"/>
      <w:numFmt w:val="decimal"/>
      <w:lvlText w:val="%7."/>
      <w:lvlJc w:val="left"/>
      <w:pPr>
        <w:ind w:left="6381" w:hanging="360"/>
      </w:pPr>
    </w:lvl>
    <w:lvl w:ilvl="7" w:tplc="040A0019" w:tentative="1">
      <w:start w:val="1"/>
      <w:numFmt w:val="lowerLetter"/>
      <w:lvlText w:val="%8."/>
      <w:lvlJc w:val="left"/>
      <w:pPr>
        <w:ind w:left="7101" w:hanging="360"/>
      </w:pPr>
    </w:lvl>
    <w:lvl w:ilvl="8" w:tplc="040A001B" w:tentative="1">
      <w:start w:val="1"/>
      <w:numFmt w:val="lowerRoman"/>
      <w:lvlText w:val="%9."/>
      <w:lvlJc w:val="right"/>
      <w:pPr>
        <w:ind w:left="7821" w:hanging="180"/>
      </w:pPr>
    </w:lvl>
  </w:abstractNum>
  <w:abstractNum w:abstractNumId="3">
    <w:nsid w:val="147E6B91"/>
    <w:multiLevelType w:val="multilevel"/>
    <w:tmpl w:val="953C860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26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EDD2F2D"/>
    <w:multiLevelType w:val="hybridMultilevel"/>
    <w:tmpl w:val="08282136"/>
    <w:lvl w:ilvl="0" w:tplc="578876E2">
      <w:start w:val="1"/>
      <w:numFmt w:val="lowerLetter"/>
      <w:lvlText w:val="(%1)"/>
      <w:lvlJc w:val="left"/>
      <w:pPr>
        <w:ind w:left="2061" w:hanging="360"/>
      </w:pPr>
      <w:rPr>
        <w:rFonts w:hint="default"/>
        <w:u w:val="none"/>
      </w:rPr>
    </w:lvl>
    <w:lvl w:ilvl="1" w:tplc="040A0019" w:tentative="1">
      <w:start w:val="1"/>
      <w:numFmt w:val="lowerLetter"/>
      <w:lvlText w:val="%2."/>
      <w:lvlJc w:val="left"/>
      <w:pPr>
        <w:ind w:left="2781" w:hanging="360"/>
      </w:pPr>
    </w:lvl>
    <w:lvl w:ilvl="2" w:tplc="040A001B" w:tentative="1">
      <w:start w:val="1"/>
      <w:numFmt w:val="lowerRoman"/>
      <w:lvlText w:val="%3."/>
      <w:lvlJc w:val="right"/>
      <w:pPr>
        <w:ind w:left="3501" w:hanging="180"/>
      </w:pPr>
    </w:lvl>
    <w:lvl w:ilvl="3" w:tplc="040A000F" w:tentative="1">
      <w:start w:val="1"/>
      <w:numFmt w:val="decimal"/>
      <w:lvlText w:val="%4."/>
      <w:lvlJc w:val="left"/>
      <w:pPr>
        <w:ind w:left="4221" w:hanging="360"/>
      </w:pPr>
    </w:lvl>
    <w:lvl w:ilvl="4" w:tplc="040A0019" w:tentative="1">
      <w:start w:val="1"/>
      <w:numFmt w:val="lowerLetter"/>
      <w:lvlText w:val="%5."/>
      <w:lvlJc w:val="left"/>
      <w:pPr>
        <w:ind w:left="4941" w:hanging="360"/>
      </w:pPr>
    </w:lvl>
    <w:lvl w:ilvl="5" w:tplc="040A001B" w:tentative="1">
      <w:start w:val="1"/>
      <w:numFmt w:val="lowerRoman"/>
      <w:lvlText w:val="%6."/>
      <w:lvlJc w:val="right"/>
      <w:pPr>
        <w:ind w:left="5661" w:hanging="180"/>
      </w:pPr>
    </w:lvl>
    <w:lvl w:ilvl="6" w:tplc="040A000F" w:tentative="1">
      <w:start w:val="1"/>
      <w:numFmt w:val="decimal"/>
      <w:lvlText w:val="%7."/>
      <w:lvlJc w:val="left"/>
      <w:pPr>
        <w:ind w:left="6381" w:hanging="360"/>
      </w:pPr>
    </w:lvl>
    <w:lvl w:ilvl="7" w:tplc="040A0019" w:tentative="1">
      <w:start w:val="1"/>
      <w:numFmt w:val="lowerLetter"/>
      <w:lvlText w:val="%8."/>
      <w:lvlJc w:val="left"/>
      <w:pPr>
        <w:ind w:left="7101" w:hanging="360"/>
      </w:pPr>
    </w:lvl>
    <w:lvl w:ilvl="8" w:tplc="040A001B" w:tentative="1">
      <w:start w:val="1"/>
      <w:numFmt w:val="lowerRoman"/>
      <w:lvlText w:val="%9."/>
      <w:lvlJc w:val="right"/>
      <w:pPr>
        <w:ind w:left="7821" w:hanging="180"/>
      </w:pPr>
    </w:lvl>
  </w:abstractNum>
  <w:abstractNum w:abstractNumId="6">
    <w:nsid w:val="1F845436"/>
    <w:multiLevelType w:val="hybridMultilevel"/>
    <w:tmpl w:val="A8763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44B12FE"/>
    <w:multiLevelType w:val="hybridMultilevel"/>
    <w:tmpl w:val="411A0E4E"/>
    <w:lvl w:ilvl="0" w:tplc="5874F376">
      <w:start w:val="1"/>
      <w:numFmt w:val="decimal"/>
      <w:lvlText w:val="%1."/>
      <w:lvlJc w:val="left"/>
      <w:pPr>
        <w:ind w:left="360" w:hanging="360"/>
      </w:pPr>
      <w:rPr>
        <w:rFonts w:hint="default"/>
        <w:b w:val="0"/>
        <w:i w:val="0"/>
      </w:rPr>
    </w:lvl>
    <w:lvl w:ilvl="1" w:tplc="547A3AD2">
      <w:start w:val="1"/>
      <w:numFmt w:val="lowerLetter"/>
      <w:lvlText w:val="(%2)"/>
      <w:lvlJc w:val="left"/>
      <w:pPr>
        <w:ind w:left="1656" w:hanging="576"/>
      </w:pPr>
      <w:rPr>
        <w:rFonts w:hint="default"/>
        <w:u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6C6849"/>
    <w:multiLevelType w:val="hybridMultilevel"/>
    <w:tmpl w:val="CBC4D42A"/>
    <w:lvl w:ilvl="0" w:tplc="F4D062F8">
      <w:start w:val="1"/>
      <w:numFmt w:val="lowerLetter"/>
      <w:lvlText w:val="(%1)"/>
      <w:lvlJc w:val="left"/>
      <w:pPr>
        <w:ind w:left="1287" w:hanging="360"/>
      </w:pPr>
      <w:rPr>
        <w:rFonts w:hint="default"/>
      </w:rPr>
    </w:lvl>
    <w:lvl w:ilvl="1" w:tplc="040A0019" w:tentative="1">
      <w:start w:val="1"/>
      <w:numFmt w:val="lowerLetter"/>
      <w:lvlText w:val="%2."/>
      <w:lvlJc w:val="left"/>
      <w:pPr>
        <w:ind w:left="2007" w:hanging="360"/>
      </w:pPr>
    </w:lvl>
    <w:lvl w:ilvl="2" w:tplc="040A001B" w:tentative="1">
      <w:start w:val="1"/>
      <w:numFmt w:val="lowerRoman"/>
      <w:lvlText w:val="%3."/>
      <w:lvlJc w:val="right"/>
      <w:pPr>
        <w:ind w:left="2727" w:hanging="180"/>
      </w:pPr>
    </w:lvl>
    <w:lvl w:ilvl="3" w:tplc="040A000F" w:tentative="1">
      <w:start w:val="1"/>
      <w:numFmt w:val="decimal"/>
      <w:lvlText w:val="%4."/>
      <w:lvlJc w:val="left"/>
      <w:pPr>
        <w:ind w:left="3447" w:hanging="360"/>
      </w:pPr>
    </w:lvl>
    <w:lvl w:ilvl="4" w:tplc="040A0019" w:tentative="1">
      <w:start w:val="1"/>
      <w:numFmt w:val="lowerLetter"/>
      <w:lvlText w:val="%5."/>
      <w:lvlJc w:val="left"/>
      <w:pPr>
        <w:ind w:left="4167" w:hanging="360"/>
      </w:pPr>
    </w:lvl>
    <w:lvl w:ilvl="5" w:tplc="040A001B" w:tentative="1">
      <w:start w:val="1"/>
      <w:numFmt w:val="lowerRoman"/>
      <w:lvlText w:val="%6."/>
      <w:lvlJc w:val="right"/>
      <w:pPr>
        <w:ind w:left="4887" w:hanging="180"/>
      </w:pPr>
    </w:lvl>
    <w:lvl w:ilvl="6" w:tplc="040A000F" w:tentative="1">
      <w:start w:val="1"/>
      <w:numFmt w:val="decimal"/>
      <w:lvlText w:val="%7."/>
      <w:lvlJc w:val="left"/>
      <w:pPr>
        <w:ind w:left="5607" w:hanging="360"/>
      </w:pPr>
    </w:lvl>
    <w:lvl w:ilvl="7" w:tplc="040A0019" w:tentative="1">
      <w:start w:val="1"/>
      <w:numFmt w:val="lowerLetter"/>
      <w:lvlText w:val="%8."/>
      <w:lvlJc w:val="left"/>
      <w:pPr>
        <w:ind w:left="6327" w:hanging="360"/>
      </w:pPr>
    </w:lvl>
    <w:lvl w:ilvl="8" w:tplc="040A001B" w:tentative="1">
      <w:start w:val="1"/>
      <w:numFmt w:val="lowerRoman"/>
      <w:lvlText w:val="%9."/>
      <w:lvlJc w:val="right"/>
      <w:pPr>
        <w:ind w:left="7047" w:hanging="180"/>
      </w:pPr>
    </w:lvl>
  </w:abstractNum>
  <w:abstractNum w:abstractNumId="10">
    <w:nsid w:val="3FBE2461"/>
    <w:multiLevelType w:val="hybridMultilevel"/>
    <w:tmpl w:val="4FA27BB2"/>
    <w:lvl w:ilvl="0" w:tplc="DCB0F3D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40512BFA"/>
    <w:multiLevelType w:val="hybridMultilevel"/>
    <w:tmpl w:val="74427792"/>
    <w:lvl w:ilvl="0" w:tplc="2F9CDFF6">
      <w:start w:val="1"/>
      <w:numFmt w:val="lowerLetter"/>
      <w:pStyle w:val="Heading3"/>
      <w:lvlText w:val="(%1)"/>
      <w:lvlJc w:val="left"/>
      <w:pPr>
        <w:ind w:left="1494" w:hanging="360"/>
      </w:pPr>
      <w:rPr>
        <w:rFonts w:hint="default"/>
        <w:u w:val="none"/>
      </w:rPr>
    </w:lvl>
    <w:lvl w:ilvl="1" w:tplc="040A0019" w:tentative="1">
      <w:start w:val="1"/>
      <w:numFmt w:val="lowerLetter"/>
      <w:lvlText w:val="%2."/>
      <w:lvlJc w:val="left"/>
      <w:pPr>
        <w:ind w:left="2214" w:hanging="360"/>
      </w:pPr>
    </w:lvl>
    <w:lvl w:ilvl="2" w:tplc="040A001B" w:tentative="1">
      <w:start w:val="1"/>
      <w:numFmt w:val="lowerRoman"/>
      <w:lvlText w:val="%3."/>
      <w:lvlJc w:val="right"/>
      <w:pPr>
        <w:ind w:left="2934" w:hanging="180"/>
      </w:pPr>
    </w:lvl>
    <w:lvl w:ilvl="3" w:tplc="040A000F" w:tentative="1">
      <w:start w:val="1"/>
      <w:numFmt w:val="decimal"/>
      <w:lvlText w:val="%4."/>
      <w:lvlJc w:val="left"/>
      <w:pPr>
        <w:ind w:left="3654" w:hanging="360"/>
      </w:pPr>
    </w:lvl>
    <w:lvl w:ilvl="4" w:tplc="040A0019" w:tentative="1">
      <w:start w:val="1"/>
      <w:numFmt w:val="lowerLetter"/>
      <w:lvlText w:val="%5."/>
      <w:lvlJc w:val="left"/>
      <w:pPr>
        <w:ind w:left="4374" w:hanging="360"/>
      </w:pPr>
    </w:lvl>
    <w:lvl w:ilvl="5" w:tplc="040A001B" w:tentative="1">
      <w:start w:val="1"/>
      <w:numFmt w:val="lowerRoman"/>
      <w:lvlText w:val="%6."/>
      <w:lvlJc w:val="right"/>
      <w:pPr>
        <w:ind w:left="5094" w:hanging="180"/>
      </w:pPr>
    </w:lvl>
    <w:lvl w:ilvl="6" w:tplc="040A000F" w:tentative="1">
      <w:start w:val="1"/>
      <w:numFmt w:val="decimal"/>
      <w:lvlText w:val="%7."/>
      <w:lvlJc w:val="left"/>
      <w:pPr>
        <w:ind w:left="5814" w:hanging="360"/>
      </w:pPr>
    </w:lvl>
    <w:lvl w:ilvl="7" w:tplc="040A0019" w:tentative="1">
      <w:start w:val="1"/>
      <w:numFmt w:val="lowerLetter"/>
      <w:lvlText w:val="%8."/>
      <w:lvlJc w:val="left"/>
      <w:pPr>
        <w:ind w:left="6534" w:hanging="360"/>
      </w:pPr>
    </w:lvl>
    <w:lvl w:ilvl="8" w:tplc="040A001B" w:tentative="1">
      <w:start w:val="1"/>
      <w:numFmt w:val="lowerRoman"/>
      <w:lvlText w:val="%9."/>
      <w:lvlJc w:val="right"/>
      <w:pPr>
        <w:ind w:left="7254" w:hanging="180"/>
      </w:p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EC363F4"/>
    <w:multiLevelType w:val="hybridMultilevel"/>
    <w:tmpl w:val="2BE20824"/>
    <w:lvl w:ilvl="0" w:tplc="C77A2D90">
      <w:start w:val="1"/>
      <w:numFmt w:val="lowerLetter"/>
      <w:lvlText w:val="(%1)"/>
      <w:lvlJc w:val="left"/>
      <w:pPr>
        <w:ind w:left="2061" w:hanging="360"/>
      </w:pPr>
      <w:rPr>
        <w:rFonts w:hint="default"/>
      </w:rPr>
    </w:lvl>
    <w:lvl w:ilvl="1" w:tplc="040A0019" w:tentative="1">
      <w:start w:val="1"/>
      <w:numFmt w:val="lowerLetter"/>
      <w:lvlText w:val="%2."/>
      <w:lvlJc w:val="left"/>
      <w:pPr>
        <w:ind w:left="2781" w:hanging="360"/>
      </w:pPr>
    </w:lvl>
    <w:lvl w:ilvl="2" w:tplc="040A001B" w:tentative="1">
      <w:start w:val="1"/>
      <w:numFmt w:val="lowerRoman"/>
      <w:lvlText w:val="%3."/>
      <w:lvlJc w:val="right"/>
      <w:pPr>
        <w:ind w:left="3501" w:hanging="180"/>
      </w:pPr>
    </w:lvl>
    <w:lvl w:ilvl="3" w:tplc="040A000F" w:tentative="1">
      <w:start w:val="1"/>
      <w:numFmt w:val="decimal"/>
      <w:lvlText w:val="%4."/>
      <w:lvlJc w:val="left"/>
      <w:pPr>
        <w:ind w:left="4221" w:hanging="360"/>
      </w:pPr>
    </w:lvl>
    <w:lvl w:ilvl="4" w:tplc="040A0019" w:tentative="1">
      <w:start w:val="1"/>
      <w:numFmt w:val="lowerLetter"/>
      <w:lvlText w:val="%5."/>
      <w:lvlJc w:val="left"/>
      <w:pPr>
        <w:ind w:left="4941" w:hanging="360"/>
      </w:pPr>
    </w:lvl>
    <w:lvl w:ilvl="5" w:tplc="040A001B" w:tentative="1">
      <w:start w:val="1"/>
      <w:numFmt w:val="lowerRoman"/>
      <w:lvlText w:val="%6."/>
      <w:lvlJc w:val="right"/>
      <w:pPr>
        <w:ind w:left="5661" w:hanging="180"/>
      </w:pPr>
    </w:lvl>
    <w:lvl w:ilvl="6" w:tplc="040A000F" w:tentative="1">
      <w:start w:val="1"/>
      <w:numFmt w:val="decimal"/>
      <w:lvlText w:val="%7."/>
      <w:lvlJc w:val="left"/>
      <w:pPr>
        <w:ind w:left="6381" w:hanging="360"/>
      </w:pPr>
    </w:lvl>
    <w:lvl w:ilvl="7" w:tplc="040A0019" w:tentative="1">
      <w:start w:val="1"/>
      <w:numFmt w:val="lowerLetter"/>
      <w:lvlText w:val="%8."/>
      <w:lvlJc w:val="left"/>
      <w:pPr>
        <w:ind w:left="7101" w:hanging="360"/>
      </w:pPr>
    </w:lvl>
    <w:lvl w:ilvl="8" w:tplc="040A001B" w:tentative="1">
      <w:start w:val="1"/>
      <w:numFmt w:val="lowerRoman"/>
      <w:lvlText w:val="%9."/>
      <w:lvlJc w:val="right"/>
      <w:pPr>
        <w:ind w:left="7821" w:hanging="180"/>
      </w:pPr>
    </w:lvl>
  </w:abstractNum>
  <w:abstractNum w:abstractNumId="15">
    <w:nsid w:val="575E0627"/>
    <w:multiLevelType w:val="hybridMultilevel"/>
    <w:tmpl w:val="A5E4C9E8"/>
    <w:lvl w:ilvl="0" w:tplc="65D6598E">
      <w:start w:val="1"/>
      <w:numFmt w:val="lowerLetter"/>
      <w:lvlText w:val="(%1)"/>
      <w:lvlJc w:val="left"/>
      <w:pPr>
        <w:ind w:left="1854" w:hanging="360"/>
      </w:pPr>
      <w:rPr>
        <w:rFonts w:hint="default"/>
        <w:u w:val="none"/>
      </w:rPr>
    </w:lvl>
    <w:lvl w:ilvl="1" w:tplc="040A0019" w:tentative="1">
      <w:start w:val="1"/>
      <w:numFmt w:val="lowerLetter"/>
      <w:lvlText w:val="%2."/>
      <w:lvlJc w:val="left"/>
      <w:pPr>
        <w:ind w:left="2574" w:hanging="360"/>
      </w:pPr>
    </w:lvl>
    <w:lvl w:ilvl="2" w:tplc="040A001B" w:tentative="1">
      <w:start w:val="1"/>
      <w:numFmt w:val="lowerRoman"/>
      <w:lvlText w:val="%3."/>
      <w:lvlJc w:val="right"/>
      <w:pPr>
        <w:ind w:left="3294" w:hanging="180"/>
      </w:pPr>
    </w:lvl>
    <w:lvl w:ilvl="3" w:tplc="040A000F" w:tentative="1">
      <w:start w:val="1"/>
      <w:numFmt w:val="decimal"/>
      <w:lvlText w:val="%4."/>
      <w:lvlJc w:val="left"/>
      <w:pPr>
        <w:ind w:left="4014" w:hanging="360"/>
      </w:pPr>
    </w:lvl>
    <w:lvl w:ilvl="4" w:tplc="040A0019" w:tentative="1">
      <w:start w:val="1"/>
      <w:numFmt w:val="lowerLetter"/>
      <w:lvlText w:val="%5."/>
      <w:lvlJc w:val="left"/>
      <w:pPr>
        <w:ind w:left="4734" w:hanging="360"/>
      </w:pPr>
    </w:lvl>
    <w:lvl w:ilvl="5" w:tplc="040A001B" w:tentative="1">
      <w:start w:val="1"/>
      <w:numFmt w:val="lowerRoman"/>
      <w:lvlText w:val="%6."/>
      <w:lvlJc w:val="right"/>
      <w:pPr>
        <w:ind w:left="5454" w:hanging="180"/>
      </w:pPr>
    </w:lvl>
    <w:lvl w:ilvl="6" w:tplc="040A000F" w:tentative="1">
      <w:start w:val="1"/>
      <w:numFmt w:val="decimal"/>
      <w:lvlText w:val="%7."/>
      <w:lvlJc w:val="left"/>
      <w:pPr>
        <w:ind w:left="6174" w:hanging="360"/>
      </w:pPr>
    </w:lvl>
    <w:lvl w:ilvl="7" w:tplc="040A0019" w:tentative="1">
      <w:start w:val="1"/>
      <w:numFmt w:val="lowerLetter"/>
      <w:lvlText w:val="%8."/>
      <w:lvlJc w:val="left"/>
      <w:pPr>
        <w:ind w:left="6894" w:hanging="360"/>
      </w:pPr>
    </w:lvl>
    <w:lvl w:ilvl="8" w:tplc="040A001B" w:tentative="1">
      <w:start w:val="1"/>
      <w:numFmt w:val="lowerRoman"/>
      <w:lvlText w:val="%9."/>
      <w:lvlJc w:val="right"/>
      <w:pPr>
        <w:ind w:left="7614" w:hanging="180"/>
      </w:pPr>
    </w:lvl>
  </w:abstractNum>
  <w:abstractNum w:abstractNumId="16">
    <w:nsid w:val="58FE4652"/>
    <w:multiLevelType w:val="hybridMultilevel"/>
    <w:tmpl w:val="B4584386"/>
    <w:lvl w:ilvl="0" w:tplc="E312B1CA">
      <w:start w:val="1"/>
      <w:numFmt w:val="lowerLetter"/>
      <w:lvlText w:val="(%1)"/>
      <w:lvlJc w:val="left"/>
      <w:pPr>
        <w:ind w:left="1854" w:hanging="360"/>
      </w:pPr>
      <w:rPr>
        <w:rFonts w:hint="default"/>
        <w:u w:val="none"/>
      </w:rPr>
    </w:lvl>
    <w:lvl w:ilvl="1" w:tplc="040A0019" w:tentative="1">
      <w:start w:val="1"/>
      <w:numFmt w:val="lowerLetter"/>
      <w:lvlText w:val="%2."/>
      <w:lvlJc w:val="left"/>
      <w:pPr>
        <w:ind w:left="2574" w:hanging="360"/>
      </w:pPr>
    </w:lvl>
    <w:lvl w:ilvl="2" w:tplc="040A001B" w:tentative="1">
      <w:start w:val="1"/>
      <w:numFmt w:val="lowerRoman"/>
      <w:lvlText w:val="%3."/>
      <w:lvlJc w:val="right"/>
      <w:pPr>
        <w:ind w:left="3294" w:hanging="180"/>
      </w:pPr>
    </w:lvl>
    <w:lvl w:ilvl="3" w:tplc="040A000F" w:tentative="1">
      <w:start w:val="1"/>
      <w:numFmt w:val="decimal"/>
      <w:lvlText w:val="%4."/>
      <w:lvlJc w:val="left"/>
      <w:pPr>
        <w:ind w:left="4014" w:hanging="360"/>
      </w:pPr>
    </w:lvl>
    <w:lvl w:ilvl="4" w:tplc="040A0019" w:tentative="1">
      <w:start w:val="1"/>
      <w:numFmt w:val="lowerLetter"/>
      <w:lvlText w:val="%5."/>
      <w:lvlJc w:val="left"/>
      <w:pPr>
        <w:ind w:left="4734" w:hanging="360"/>
      </w:pPr>
    </w:lvl>
    <w:lvl w:ilvl="5" w:tplc="040A001B" w:tentative="1">
      <w:start w:val="1"/>
      <w:numFmt w:val="lowerRoman"/>
      <w:lvlText w:val="%6."/>
      <w:lvlJc w:val="right"/>
      <w:pPr>
        <w:ind w:left="5454" w:hanging="180"/>
      </w:pPr>
    </w:lvl>
    <w:lvl w:ilvl="6" w:tplc="040A000F" w:tentative="1">
      <w:start w:val="1"/>
      <w:numFmt w:val="decimal"/>
      <w:lvlText w:val="%7."/>
      <w:lvlJc w:val="left"/>
      <w:pPr>
        <w:ind w:left="6174" w:hanging="360"/>
      </w:pPr>
    </w:lvl>
    <w:lvl w:ilvl="7" w:tplc="040A0019" w:tentative="1">
      <w:start w:val="1"/>
      <w:numFmt w:val="lowerLetter"/>
      <w:lvlText w:val="%8."/>
      <w:lvlJc w:val="left"/>
      <w:pPr>
        <w:ind w:left="6894" w:hanging="360"/>
      </w:pPr>
    </w:lvl>
    <w:lvl w:ilvl="8" w:tplc="040A001B" w:tentative="1">
      <w:start w:val="1"/>
      <w:numFmt w:val="lowerRoman"/>
      <w:lvlText w:val="%9."/>
      <w:lvlJc w:val="right"/>
      <w:pPr>
        <w:ind w:left="7614" w:hanging="180"/>
      </w:pPr>
    </w:lvl>
  </w:abstractNum>
  <w:abstractNum w:abstractNumId="17">
    <w:nsid w:val="59EA20E6"/>
    <w:multiLevelType w:val="hybridMultilevel"/>
    <w:tmpl w:val="AE7EBBC0"/>
    <w:lvl w:ilvl="0" w:tplc="125A75E2">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8">
    <w:nsid w:val="63D22EF0"/>
    <w:multiLevelType w:val="hybridMultilevel"/>
    <w:tmpl w:val="8402E0EE"/>
    <w:lvl w:ilvl="0" w:tplc="867266B4">
      <w:start w:val="1"/>
      <w:numFmt w:val="lowerLetter"/>
      <w:lvlText w:val="(%1)"/>
      <w:lvlJc w:val="left"/>
      <w:pPr>
        <w:ind w:left="1287" w:hanging="360"/>
      </w:pPr>
      <w:rPr>
        <w:rFonts w:hint="default"/>
        <w:u w:val="no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nsid w:val="67544159"/>
    <w:multiLevelType w:val="hybridMultilevel"/>
    <w:tmpl w:val="0108ED04"/>
    <w:lvl w:ilvl="0" w:tplc="730AEB68">
      <w:start w:val="1"/>
      <w:numFmt w:val="lowerLetter"/>
      <w:lvlText w:val="(%1)"/>
      <w:lvlJc w:val="left"/>
      <w:pPr>
        <w:ind w:left="2280" w:hanging="360"/>
      </w:pPr>
      <w:rPr>
        <w:rFonts w:hint="default"/>
        <w:u w:val="none"/>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0">
    <w:nsid w:val="6EEC14B3"/>
    <w:multiLevelType w:val="hybridMultilevel"/>
    <w:tmpl w:val="4C8E34C8"/>
    <w:lvl w:ilvl="0" w:tplc="125A75E2">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1">
    <w:nsid w:val="70A81B41"/>
    <w:multiLevelType w:val="hybridMultilevel"/>
    <w:tmpl w:val="5A8E5CBE"/>
    <w:lvl w:ilvl="0" w:tplc="1B8633AA">
      <w:start w:val="1"/>
      <w:numFmt w:val="lowerRoman"/>
      <w:pStyle w:val="ADRGuideital"/>
      <w:lvlText w:val="(%1)"/>
      <w:lvlJc w:val="left"/>
      <w:pPr>
        <w:ind w:left="1854"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454990"/>
    <w:multiLevelType w:val="hybridMultilevel"/>
    <w:tmpl w:val="CA8C07D6"/>
    <w:lvl w:ilvl="0" w:tplc="DCB0F3D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787869EC"/>
    <w:multiLevelType w:val="hybridMultilevel"/>
    <w:tmpl w:val="A34E88EA"/>
    <w:lvl w:ilvl="0" w:tplc="E66C8154">
      <w:start w:val="1"/>
      <w:numFmt w:val="lowerLetter"/>
      <w:pStyle w:val="Heading5"/>
      <w:lvlText w:val="(%1)"/>
      <w:lvlJc w:val="left"/>
      <w:pPr>
        <w:ind w:left="2160" w:hanging="360"/>
      </w:pPr>
      <w:rPr>
        <w:rFonts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
  </w:num>
  <w:num w:numId="2">
    <w:abstractNumId w:val="12"/>
  </w:num>
  <w:num w:numId="3">
    <w:abstractNumId w:val="0"/>
  </w:num>
  <w:num w:numId="4">
    <w:abstractNumId w:val="13"/>
  </w:num>
  <w:num w:numId="5">
    <w:abstractNumId w:val="1"/>
  </w:num>
  <w:num w:numId="6">
    <w:abstractNumId w:val="7"/>
  </w:num>
  <w:num w:numId="7">
    <w:abstractNumId w:val="8"/>
  </w:num>
  <w:num w:numId="8">
    <w:abstractNumId w:val="3"/>
  </w:num>
  <w:num w:numId="9">
    <w:abstractNumId w:val="22"/>
  </w:num>
  <w:num w:numId="10">
    <w:abstractNumId w:val="20"/>
  </w:num>
  <w:num w:numId="11">
    <w:abstractNumId w:val="17"/>
  </w:num>
  <w:num w:numId="12">
    <w:abstractNumId w:val="10"/>
  </w:num>
  <w:num w:numId="13">
    <w:abstractNumId w:val="18"/>
  </w:num>
  <w:num w:numId="14">
    <w:abstractNumId w:val="19"/>
  </w:num>
  <w:num w:numId="15">
    <w:abstractNumId w:val="6"/>
  </w:num>
  <w:num w:numId="16">
    <w:abstractNumId w:val="21"/>
  </w:num>
  <w:num w:numId="17">
    <w:abstractNumId w:val="23"/>
  </w:num>
  <w:num w:numId="18">
    <w:abstractNumId w:val="23"/>
  </w:num>
  <w:num w:numId="19">
    <w:abstractNumId w:val="9"/>
  </w:num>
  <w:num w:numId="20">
    <w:abstractNumId w:val="15"/>
  </w:num>
  <w:num w:numId="21">
    <w:abstractNumId w:val="8"/>
  </w:num>
  <w:num w:numId="22">
    <w:abstractNumId w:val="8"/>
  </w:num>
  <w:num w:numId="23">
    <w:abstractNumId w:val="8"/>
    <w:lvlOverride w:ilvl="0">
      <w:startOverride w:val="1"/>
    </w:lvlOverride>
    <w:lvlOverride w:ilvl="1">
      <w:startOverride w:val="2"/>
    </w:lvlOverride>
  </w:num>
  <w:num w:numId="24">
    <w:abstractNumId w:val="16"/>
  </w:num>
  <w:num w:numId="25">
    <w:abstractNumId w:val="14"/>
  </w:num>
  <w:num w:numId="26">
    <w:abstractNumId w:val="14"/>
    <w:lvlOverride w:ilvl="0">
      <w:startOverride w:val="1"/>
    </w:lvlOverride>
  </w:num>
  <w:num w:numId="27">
    <w:abstractNumId w:val="14"/>
    <w:lvlOverride w:ilvl="0">
      <w:startOverride w:val="1"/>
    </w:lvlOverride>
  </w:num>
  <w:num w:numId="28">
    <w:abstractNumId w:val="14"/>
  </w:num>
  <w:num w:numId="29">
    <w:abstractNumId w:val="14"/>
    <w:lvlOverride w:ilvl="0">
      <w:startOverride w:val="1"/>
    </w:lvlOverride>
  </w:num>
  <w:num w:numId="30">
    <w:abstractNumId w:val="14"/>
    <w:lvlOverride w:ilvl="0">
      <w:startOverride w:val="1"/>
    </w:lvlOverride>
  </w:num>
  <w:num w:numId="31">
    <w:abstractNumId w:val="14"/>
  </w:num>
  <w:num w:numId="32">
    <w:abstractNumId w:val="14"/>
  </w:num>
  <w:num w:numId="33">
    <w:abstractNumId w:val="14"/>
    <w:lvlOverride w:ilvl="0">
      <w:startOverride w:val="1"/>
    </w:lvlOverride>
  </w:num>
  <w:num w:numId="34">
    <w:abstractNumId w:val="2"/>
  </w:num>
  <w:num w:numId="35">
    <w:abstractNumId w:val="14"/>
  </w:num>
  <w:num w:numId="36">
    <w:abstractNumId w:val="5"/>
  </w:num>
  <w:num w:numId="37">
    <w:abstractNumId w:val="11"/>
  </w:num>
  <w:num w:numId="38">
    <w:abstractNumId w:val="11"/>
    <w:lvlOverride w:ilvl="0">
      <w:startOverride w:val="1"/>
    </w:lvlOverride>
  </w:num>
  <w:num w:numId="39">
    <w:abstractNumId w:val="11"/>
  </w:num>
  <w:num w:numId="40">
    <w:abstractNumId w:val="11"/>
  </w:num>
  <w:num w:numId="41">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185"/>
    <w:rsid w:val="00034839"/>
    <w:rsid w:val="00043B50"/>
    <w:rsid w:val="00043CAA"/>
    <w:rsid w:val="00046EFB"/>
    <w:rsid w:val="00056D33"/>
    <w:rsid w:val="00075432"/>
    <w:rsid w:val="000765C4"/>
    <w:rsid w:val="000968ED"/>
    <w:rsid w:val="000C117A"/>
    <w:rsid w:val="000C129A"/>
    <w:rsid w:val="000F5E56"/>
    <w:rsid w:val="0011227A"/>
    <w:rsid w:val="00115CCE"/>
    <w:rsid w:val="001163E5"/>
    <w:rsid w:val="00120D3A"/>
    <w:rsid w:val="00133DDB"/>
    <w:rsid w:val="001362EE"/>
    <w:rsid w:val="00140198"/>
    <w:rsid w:val="00156693"/>
    <w:rsid w:val="001647D5"/>
    <w:rsid w:val="00170B59"/>
    <w:rsid w:val="001776C3"/>
    <w:rsid w:val="001832A6"/>
    <w:rsid w:val="00187AEF"/>
    <w:rsid w:val="001C1F48"/>
    <w:rsid w:val="001D5C95"/>
    <w:rsid w:val="00207DB5"/>
    <w:rsid w:val="0021217E"/>
    <w:rsid w:val="00212E34"/>
    <w:rsid w:val="00235972"/>
    <w:rsid w:val="00243B12"/>
    <w:rsid w:val="002634C4"/>
    <w:rsid w:val="00263C54"/>
    <w:rsid w:val="00264B78"/>
    <w:rsid w:val="00277054"/>
    <w:rsid w:val="00281985"/>
    <w:rsid w:val="002928D3"/>
    <w:rsid w:val="002938BA"/>
    <w:rsid w:val="002E2229"/>
    <w:rsid w:val="002F1FE6"/>
    <w:rsid w:val="002F4E68"/>
    <w:rsid w:val="0030201F"/>
    <w:rsid w:val="00312F7F"/>
    <w:rsid w:val="003151C8"/>
    <w:rsid w:val="0032676B"/>
    <w:rsid w:val="00350AE2"/>
    <w:rsid w:val="00355914"/>
    <w:rsid w:val="00361450"/>
    <w:rsid w:val="003673CF"/>
    <w:rsid w:val="003845C1"/>
    <w:rsid w:val="00390893"/>
    <w:rsid w:val="00392FBD"/>
    <w:rsid w:val="003A24E6"/>
    <w:rsid w:val="003A6F89"/>
    <w:rsid w:val="003B38C1"/>
    <w:rsid w:val="003D57B0"/>
    <w:rsid w:val="004162A0"/>
    <w:rsid w:val="00423008"/>
    <w:rsid w:val="00423C17"/>
    <w:rsid w:val="00423E3E"/>
    <w:rsid w:val="00427AF4"/>
    <w:rsid w:val="00433EBA"/>
    <w:rsid w:val="004543B0"/>
    <w:rsid w:val="004548F2"/>
    <w:rsid w:val="004647DA"/>
    <w:rsid w:val="00474062"/>
    <w:rsid w:val="00477D6B"/>
    <w:rsid w:val="00483FA0"/>
    <w:rsid w:val="00490791"/>
    <w:rsid w:val="004B297D"/>
    <w:rsid w:val="004C2277"/>
    <w:rsid w:val="004D0223"/>
    <w:rsid w:val="004D6A80"/>
    <w:rsid w:val="004E3B4B"/>
    <w:rsid w:val="005019FF"/>
    <w:rsid w:val="005212E9"/>
    <w:rsid w:val="00522FCC"/>
    <w:rsid w:val="00524465"/>
    <w:rsid w:val="0053057A"/>
    <w:rsid w:val="00537802"/>
    <w:rsid w:val="00554351"/>
    <w:rsid w:val="00560A29"/>
    <w:rsid w:val="00583579"/>
    <w:rsid w:val="005A71D9"/>
    <w:rsid w:val="005A7B1D"/>
    <w:rsid w:val="005B5B05"/>
    <w:rsid w:val="005C3088"/>
    <w:rsid w:val="005C6649"/>
    <w:rsid w:val="005D6741"/>
    <w:rsid w:val="00605827"/>
    <w:rsid w:val="00605D04"/>
    <w:rsid w:val="006302BA"/>
    <w:rsid w:val="00640B9A"/>
    <w:rsid w:val="0064385B"/>
    <w:rsid w:val="00646050"/>
    <w:rsid w:val="00653668"/>
    <w:rsid w:val="00667185"/>
    <w:rsid w:val="006713CA"/>
    <w:rsid w:val="00676C5C"/>
    <w:rsid w:val="00690D13"/>
    <w:rsid w:val="006D12BC"/>
    <w:rsid w:val="006E197D"/>
    <w:rsid w:val="006E4F5F"/>
    <w:rsid w:val="006F62BD"/>
    <w:rsid w:val="007028EA"/>
    <w:rsid w:val="007060CD"/>
    <w:rsid w:val="007515ED"/>
    <w:rsid w:val="00762D85"/>
    <w:rsid w:val="00764B0F"/>
    <w:rsid w:val="00777A81"/>
    <w:rsid w:val="007A5C7B"/>
    <w:rsid w:val="007D1613"/>
    <w:rsid w:val="007D1BDC"/>
    <w:rsid w:val="007E4C0E"/>
    <w:rsid w:val="007F1FA1"/>
    <w:rsid w:val="007F3B7B"/>
    <w:rsid w:val="008019FD"/>
    <w:rsid w:val="0082403B"/>
    <w:rsid w:val="00827322"/>
    <w:rsid w:val="0083743A"/>
    <w:rsid w:val="00860537"/>
    <w:rsid w:val="0086425D"/>
    <w:rsid w:val="00877718"/>
    <w:rsid w:val="008A134B"/>
    <w:rsid w:val="008A196F"/>
    <w:rsid w:val="008A5667"/>
    <w:rsid w:val="008B2CC1"/>
    <w:rsid w:val="008B60B2"/>
    <w:rsid w:val="008D7A1A"/>
    <w:rsid w:val="008E0A66"/>
    <w:rsid w:val="008F7F46"/>
    <w:rsid w:val="0090731E"/>
    <w:rsid w:val="00916EE2"/>
    <w:rsid w:val="00942489"/>
    <w:rsid w:val="00966A22"/>
    <w:rsid w:val="0096722F"/>
    <w:rsid w:val="00973BBB"/>
    <w:rsid w:val="00980843"/>
    <w:rsid w:val="009B2316"/>
    <w:rsid w:val="009B2AC1"/>
    <w:rsid w:val="009B6225"/>
    <w:rsid w:val="009C127D"/>
    <w:rsid w:val="009C5B66"/>
    <w:rsid w:val="009E2791"/>
    <w:rsid w:val="009E3F6F"/>
    <w:rsid w:val="009F499F"/>
    <w:rsid w:val="009F5614"/>
    <w:rsid w:val="00A37342"/>
    <w:rsid w:val="00A42DAF"/>
    <w:rsid w:val="00A45BD8"/>
    <w:rsid w:val="00A76CA2"/>
    <w:rsid w:val="00A84418"/>
    <w:rsid w:val="00A869B7"/>
    <w:rsid w:val="00A86DB6"/>
    <w:rsid w:val="00A96862"/>
    <w:rsid w:val="00AA2DD4"/>
    <w:rsid w:val="00AA35FD"/>
    <w:rsid w:val="00AC205C"/>
    <w:rsid w:val="00AE7761"/>
    <w:rsid w:val="00AF0A6B"/>
    <w:rsid w:val="00B0432D"/>
    <w:rsid w:val="00B05A69"/>
    <w:rsid w:val="00B07B13"/>
    <w:rsid w:val="00B1715A"/>
    <w:rsid w:val="00B339DE"/>
    <w:rsid w:val="00B422BF"/>
    <w:rsid w:val="00B44019"/>
    <w:rsid w:val="00B717EC"/>
    <w:rsid w:val="00B8082E"/>
    <w:rsid w:val="00B9734B"/>
    <w:rsid w:val="00BA30E2"/>
    <w:rsid w:val="00BE1B45"/>
    <w:rsid w:val="00BF59A8"/>
    <w:rsid w:val="00C00DEA"/>
    <w:rsid w:val="00C11BFE"/>
    <w:rsid w:val="00C27F47"/>
    <w:rsid w:val="00C35127"/>
    <w:rsid w:val="00C46086"/>
    <w:rsid w:val="00C5068F"/>
    <w:rsid w:val="00C50BC4"/>
    <w:rsid w:val="00C66252"/>
    <w:rsid w:val="00C8290A"/>
    <w:rsid w:val="00C86D74"/>
    <w:rsid w:val="00CB3DB5"/>
    <w:rsid w:val="00CD04F1"/>
    <w:rsid w:val="00CD1A1A"/>
    <w:rsid w:val="00CD7F59"/>
    <w:rsid w:val="00D07EB9"/>
    <w:rsid w:val="00D44A0B"/>
    <w:rsid w:val="00D45252"/>
    <w:rsid w:val="00D61DBA"/>
    <w:rsid w:val="00D66E37"/>
    <w:rsid w:val="00D66EE3"/>
    <w:rsid w:val="00D71B4D"/>
    <w:rsid w:val="00D72626"/>
    <w:rsid w:val="00D93D55"/>
    <w:rsid w:val="00DA120E"/>
    <w:rsid w:val="00DB2EDB"/>
    <w:rsid w:val="00DC159E"/>
    <w:rsid w:val="00DD6647"/>
    <w:rsid w:val="00DD7FF9"/>
    <w:rsid w:val="00DF023A"/>
    <w:rsid w:val="00DF116D"/>
    <w:rsid w:val="00DF383E"/>
    <w:rsid w:val="00DF5DF6"/>
    <w:rsid w:val="00E15015"/>
    <w:rsid w:val="00E335FE"/>
    <w:rsid w:val="00E43AF5"/>
    <w:rsid w:val="00E47505"/>
    <w:rsid w:val="00E51460"/>
    <w:rsid w:val="00E760C0"/>
    <w:rsid w:val="00E85557"/>
    <w:rsid w:val="00E86964"/>
    <w:rsid w:val="00E91743"/>
    <w:rsid w:val="00EA7D6E"/>
    <w:rsid w:val="00EB2F06"/>
    <w:rsid w:val="00EC1EDF"/>
    <w:rsid w:val="00EC4E49"/>
    <w:rsid w:val="00ED098F"/>
    <w:rsid w:val="00ED6103"/>
    <w:rsid w:val="00ED77FB"/>
    <w:rsid w:val="00EE254D"/>
    <w:rsid w:val="00EE45FA"/>
    <w:rsid w:val="00EF02A8"/>
    <w:rsid w:val="00F32C5D"/>
    <w:rsid w:val="00F447B9"/>
    <w:rsid w:val="00F46324"/>
    <w:rsid w:val="00F66152"/>
    <w:rsid w:val="00F83CEE"/>
    <w:rsid w:val="00F96D69"/>
    <w:rsid w:val="00FD07B1"/>
    <w:rsid w:val="00FD129C"/>
    <w:rsid w:val="00FE1AD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qFormat/>
    <w:rsid w:val="00034839"/>
    <w:pPr>
      <w:keepNext/>
      <w:keepLines/>
      <w:spacing w:after="600"/>
      <w:outlineLvl w:val="0"/>
    </w:pPr>
    <w:rPr>
      <w:b/>
      <w:bCs/>
      <w:kern w:val="32"/>
      <w:szCs w:val="22"/>
    </w:rPr>
  </w:style>
  <w:style w:type="paragraph" w:styleId="Heading2">
    <w:name w:val="heading 2"/>
    <w:basedOn w:val="Normal"/>
    <w:next w:val="Normal"/>
    <w:autoRedefine/>
    <w:qFormat/>
    <w:rsid w:val="00C50BC4"/>
    <w:pPr>
      <w:keepNext/>
      <w:spacing w:after="240"/>
      <w:ind w:left="1134" w:hanging="567"/>
      <w:outlineLvl w:val="1"/>
    </w:pPr>
    <w:rPr>
      <w:bCs/>
      <w:iCs/>
      <w:caps/>
      <w:szCs w:val="22"/>
    </w:rPr>
  </w:style>
  <w:style w:type="paragraph" w:styleId="Heading3">
    <w:name w:val="heading 3"/>
    <w:basedOn w:val="Normal"/>
    <w:next w:val="Normal"/>
    <w:link w:val="Heading3Char"/>
    <w:rsid w:val="00212E34"/>
    <w:pPr>
      <w:keepNext/>
      <w:keepLines/>
      <w:numPr>
        <w:numId w:val="37"/>
      </w:numPr>
      <w:spacing w:before="240" w:after="240"/>
      <w:outlineLvl w:val="2"/>
    </w:pPr>
    <w:rPr>
      <w:bCs/>
      <w:szCs w:val="26"/>
      <w:u w:val="single"/>
    </w:rPr>
  </w:style>
  <w:style w:type="paragraph" w:styleId="Heading4">
    <w:name w:val="heading 4"/>
    <w:basedOn w:val="Normal"/>
    <w:next w:val="Normal"/>
    <w:autoRedefine/>
    <w:qFormat/>
    <w:rsid w:val="00DB2EDB"/>
    <w:pPr>
      <w:keepNext/>
      <w:spacing w:before="240" w:after="60"/>
      <w:ind w:left="1134" w:firstLine="567"/>
      <w:outlineLvl w:val="3"/>
    </w:pPr>
    <w:rPr>
      <w:bCs/>
      <w:szCs w:val="28"/>
    </w:rPr>
  </w:style>
  <w:style w:type="paragraph" w:styleId="Heading5">
    <w:name w:val="heading 5"/>
    <w:basedOn w:val="Normal"/>
    <w:next w:val="Normal"/>
    <w:link w:val="Heading5Char"/>
    <w:autoRedefine/>
    <w:qFormat/>
    <w:rsid w:val="00F32C5D"/>
    <w:pPr>
      <w:keepNext/>
      <w:keepLines/>
      <w:numPr>
        <w:numId w:val="17"/>
      </w:numPr>
      <w:spacing w:before="240" w:after="60"/>
      <w:ind w:left="1701" w:hanging="567"/>
      <w:outlineLvl w:val="4"/>
    </w:pPr>
    <w:rPr>
      <w:rFonts w:eastAsiaTheme="majorEastAsia" w:cstheme="majorBid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F32C5D"/>
    <w:rPr>
      <w:rFonts w:ascii="Arial" w:eastAsiaTheme="majorEastAsia" w:hAnsi="Arial" w:cstheme="majorBidi"/>
      <w:sz w:val="22"/>
      <w:u w:val="single"/>
      <w:lang w:val="en-US" w:eastAsia="zh-CN"/>
    </w:rPr>
  </w:style>
  <w:style w:type="character" w:customStyle="1" w:styleId="FootnoteTextChar">
    <w:name w:val="Footnote Text Char"/>
    <w:basedOn w:val="DefaultParagraphFont"/>
    <w:link w:val="FootnoteText"/>
    <w:uiPriority w:val="99"/>
    <w:rsid w:val="00BF59A8"/>
    <w:rPr>
      <w:rFonts w:ascii="Arial" w:eastAsia="SimSun" w:hAnsi="Arial" w:cs="Arial"/>
      <w:sz w:val="18"/>
      <w:lang w:val="en-US" w:eastAsia="zh-CN"/>
    </w:rPr>
  </w:style>
  <w:style w:type="paragraph" w:customStyle="1" w:styleId="DecisionInvitingPara">
    <w:name w:val="Decision Inviting Para."/>
    <w:basedOn w:val="Normal"/>
    <w:rsid w:val="00BF59A8"/>
    <w:pPr>
      <w:spacing w:after="120" w:line="260" w:lineRule="atLeast"/>
      <w:ind w:left="5534"/>
      <w:contextualSpacing/>
    </w:pPr>
    <w:rPr>
      <w:rFonts w:eastAsia="Times New Roman" w:cs="Times New Roman"/>
      <w:i/>
      <w:sz w:val="20"/>
      <w:lang w:eastAsia="en-US"/>
    </w:rPr>
  </w:style>
  <w:style w:type="character" w:styleId="FootnoteReference">
    <w:name w:val="footnote reference"/>
    <w:uiPriority w:val="99"/>
    <w:rsid w:val="00BF59A8"/>
    <w:rPr>
      <w:vertAlign w:val="superscript"/>
    </w:rPr>
  </w:style>
  <w:style w:type="character" w:customStyle="1" w:styleId="ONUMEChar">
    <w:name w:val="ONUM E Char"/>
    <w:link w:val="ONUME"/>
    <w:rsid w:val="00BF59A8"/>
    <w:rPr>
      <w:rFonts w:ascii="Arial" w:eastAsia="SimSun" w:hAnsi="Arial" w:cs="Arial"/>
      <w:sz w:val="22"/>
      <w:lang w:val="en-US" w:eastAsia="zh-CN"/>
    </w:rPr>
  </w:style>
  <w:style w:type="paragraph" w:styleId="ListParagraph">
    <w:name w:val="List Paragraph"/>
    <w:basedOn w:val="Normal"/>
    <w:uiPriority w:val="34"/>
    <w:qFormat/>
    <w:rsid w:val="00BF59A8"/>
    <w:pPr>
      <w:ind w:left="720"/>
      <w:contextualSpacing/>
    </w:pPr>
    <w:rPr>
      <w:rFonts w:eastAsia="Times New Roman" w:cs="Times New Roman"/>
      <w:lang w:eastAsia="en-US"/>
    </w:rPr>
  </w:style>
  <w:style w:type="character" w:customStyle="1" w:styleId="Heading3Char">
    <w:name w:val="Heading 3 Char"/>
    <w:basedOn w:val="DefaultParagraphFont"/>
    <w:link w:val="Heading3"/>
    <w:rsid w:val="00212E34"/>
    <w:rPr>
      <w:rFonts w:ascii="Arial" w:eastAsia="SimSun" w:hAnsi="Arial" w:cs="Arial"/>
      <w:bCs/>
      <w:sz w:val="22"/>
      <w:szCs w:val="26"/>
      <w:u w:val="single"/>
      <w:lang w:val="en-US" w:eastAsia="zh-CN"/>
    </w:rPr>
  </w:style>
  <w:style w:type="character" w:styleId="Hyperlink">
    <w:name w:val="Hyperlink"/>
    <w:basedOn w:val="DefaultParagraphFont"/>
    <w:unhideWhenUsed/>
    <w:rsid w:val="00690D13"/>
    <w:rPr>
      <w:color w:val="0000FF" w:themeColor="hyperlink"/>
      <w:u w:val="single"/>
    </w:rPr>
  </w:style>
  <w:style w:type="paragraph" w:customStyle="1" w:styleId="ADRGuideital">
    <w:name w:val="ADR Guide ital"/>
    <w:basedOn w:val="Normal"/>
    <w:link w:val="ADRGuideitalChar"/>
    <w:qFormat/>
    <w:rsid w:val="00690D13"/>
    <w:pPr>
      <w:numPr>
        <w:numId w:val="16"/>
      </w:numPr>
      <w:tabs>
        <w:tab w:val="left" w:pos="567"/>
        <w:tab w:val="left" w:pos="709"/>
        <w:tab w:val="left" w:pos="1134"/>
        <w:tab w:val="left" w:pos="1560"/>
      </w:tabs>
      <w:spacing w:before="120" w:after="120" w:line="260" w:lineRule="atLeast"/>
      <w:jc w:val="both"/>
    </w:pPr>
    <w:rPr>
      <w:rFonts w:eastAsia="Times New Roman"/>
      <w:i/>
      <w:iCs/>
      <w:sz w:val="20"/>
      <w:lang w:val="en-GB" w:eastAsia="ja-JP"/>
    </w:rPr>
  </w:style>
  <w:style w:type="character" w:customStyle="1" w:styleId="ADRGuideitalChar">
    <w:name w:val="ADR Guide ital Char"/>
    <w:basedOn w:val="DefaultParagraphFont"/>
    <w:link w:val="ADRGuideital"/>
    <w:rsid w:val="00690D13"/>
    <w:rPr>
      <w:rFonts w:ascii="Arial" w:hAnsi="Arial" w:cs="Arial"/>
      <w:i/>
      <w:iCs/>
      <w:lang w:val="en-GB" w:eastAsia="ja-JP"/>
    </w:rPr>
  </w:style>
  <w:style w:type="paragraph" w:styleId="Revision">
    <w:name w:val="Revision"/>
    <w:hidden/>
    <w:uiPriority w:val="99"/>
    <w:semiHidden/>
    <w:rsid w:val="00115CCE"/>
    <w:rPr>
      <w:rFonts w:ascii="Arial" w:eastAsia="SimSun" w:hAnsi="Arial" w:cs="Arial"/>
      <w:sz w:val="22"/>
      <w:lang w:val="en-US" w:eastAsia="zh-CN"/>
    </w:rPr>
  </w:style>
  <w:style w:type="character" w:styleId="BookTitle">
    <w:name w:val="Book Title"/>
    <w:basedOn w:val="DefaultParagraphFont"/>
    <w:uiPriority w:val="33"/>
    <w:qFormat/>
    <w:rsid w:val="00243B12"/>
    <w:rPr>
      <w:rFonts w:ascii="Arial" w:hAnsi="Arial"/>
      <w:b/>
      <w:bCs/>
      <w:caps w:val="0"/>
      <w:smallCaps w:val="0"/>
      <w:color w:val="auto"/>
      <w:spacing w:val="5"/>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qFormat/>
    <w:rsid w:val="00034839"/>
    <w:pPr>
      <w:keepNext/>
      <w:keepLines/>
      <w:spacing w:after="600"/>
      <w:outlineLvl w:val="0"/>
    </w:pPr>
    <w:rPr>
      <w:b/>
      <w:bCs/>
      <w:kern w:val="32"/>
      <w:szCs w:val="22"/>
    </w:rPr>
  </w:style>
  <w:style w:type="paragraph" w:styleId="Heading2">
    <w:name w:val="heading 2"/>
    <w:basedOn w:val="Normal"/>
    <w:next w:val="Normal"/>
    <w:autoRedefine/>
    <w:qFormat/>
    <w:rsid w:val="00C50BC4"/>
    <w:pPr>
      <w:keepNext/>
      <w:spacing w:after="240"/>
      <w:ind w:left="1134" w:hanging="567"/>
      <w:outlineLvl w:val="1"/>
    </w:pPr>
    <w:rPr>
      <w:bCs/>
      <w:iCs/>
      <w:caps/>
      <w:szCs w:val="22"/>
    </w:rPr>
  </w:style>
  <w:style w:type="paragraph" w:styleId="Heading3">
    <w:name w:val="heading 3"/>
    <w:basedOn w:val="Normal"/>
    <w:next w:val="Normal"/>
    <w:link w:val="Heading3Char"/>
    <w:rsid w:val="00212E34"/>
    <w:pPr>
      <w:keepNext/>
      <w:keepLines/>
      <w:numPr>
        <w:numId w:val="37"/>
      </w:numPr>
      <w:spacing w:before="240" w:after="240"/>
      <w:outlineLvl w:val="2"/>
    </w:pPr>
    <w:rPr>
      <w:bCs/>
      <w:szCs w:val="26"/>
      <w:u w:val="single"/>
    </w:rPr>
  </w:style>
  <w:style w:type="paragraph" w:styleId="Heading4">
    <w:name w:val="heading 4"/>
    <w:basedOn w:val="Normal"/>
    <w:next w:val="Normal"/>
    <w:autoRedefine/>
    <w:qFormat/>
    <w:rsid w:val="00DB2EDB"/>
    <w:pPr>
      <w:keepNext/>
      <w:spacing w:before="240" w:after="60"/>
      <w:ind w:left="1134" w:firstLine="567"/>
      <w:outlineLvl w:val="3"/>
    </w:pPr>
    <w:rPr>
      <w:bCs/>
      <w:szCs w:val="28"/>
    </w:rPr>
  </w:style>
  <w:style w:type="paragraph" w:styleId="Heading5">
    <w:name w:val="heading 5"/>
    <w:basedOn w:val="Normal"/>
    <w:next w:val="Normal"/>
    <w:link w:val="Heading5Char"/>
    <w:autoRedefine/>
    <w:qFormat/>
    <w:rsid w:val="00F32C5D"/>
    <w:pPr>
      <w:keepNext/>
      <w:keepLines/>
      <w:numPr>
        <w:numId w:val="17"/>
      </w:numPr>
      <w:spacing w:before="240" w:after="60"/>
      <w:ind w:left="1701" w:hanging="567"/>
      <w:outlineLvl w:val="4"/>
    </w:pPr>
    <w:rPr>
      <w:rFonts w:eastAsiaTheme="majorEastAsia" w:cstheme="majorBid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F32C5D"/>
    <w:rPr>
      <w:rFonts w:ascii="Arial" w:eastAsiaTheme="majorEastAsia" w:hAnsi="Arial" w:cstheme="majorBidi"/>
      <w:sz w:val="22"/>
      <w:u w:val="single"/>
      <w:lang w:val="en-US" w:eastAsia="zh-CN"/>
    </w:rPr>
  </w:style>
  <w:style w:type="character" w:customStyle="1" w:styleId="FootnoteTextChar">
    <w:name w:val="Footnote Text Char"/>
    <w:basedOn w:val="DefaultParagraphFont"/>
    <w:link w:val="FootnoteText"/>
    <w:uiPriority w:val="99"/>
    <w:rsid w:val="00BF59A8"/>
    <w:rPr>
      <w:rFonts w:ascii="Arial" w:eastAsia="SimSun" w:hAnsi="Arial" w:cs="Arial"/>
      <w:sz w:val="18"/>
      <w:lang w:val="en-US" w:eastAsia="zh-CN"/>
    </w:rPr>
  </w:style>
  <w:style w:type="paragraph" w:customStyle="1" w:styleId="DecisionInvitingPara">
    <w:name w:val="Decision Inviting Para."/>
    <w:basedOn w:val="Normal"/>
    <w:rsid w:val="00BF59A8"/>
    <w:pPr>
      <w:spacing w:after="120" w:line="260" w:lineRule="atLeast"/>
      <w:ind w:left="5534"/>
      <w:contextualSpacing/>
    </w:pPr>
    <w:rPr>
      <w:rFonts w:eastAsia="Times New Roman" w:cs="Times New Roman"/>
      <w:i/>
      <w:sz w:val="20"/>
      <w:lang w:eastAsia="en-US"/>
    </w:rPr>
  </w:style>
  <w:style w:type="character" w:styleId="FootnoteReference">
    <w:name w:val="footnote reference"/>
    <w:uiPriority w:val="99"/>
    <w:rsid w:val="00BF59A8"/>
    <w:rPr>
      <w:vertAlign w:val="superscript"/>
    </w:rPr>
  </w:style>
  <w:style w:type="character" w:customStyle="1" w:styleId="ONUMEChar">
    <w:name w:val="ONUM E Char"/>
    <w:link w:val="ONUME"/>
    <w:rsid w:val="00BF59A8"/>
    <w:rPr>
      <w:rFonts w:ascii="Arial" w:eastAsia="SimSun" w:hAnsi="Arial" w:cs="Arial"/>
      <w:sz w:val="22"/>
      <w:lang w:val="en-US" w:eastAsia="zh-CN"/>
    </w:rPr>
  </w:style>
  <w:style w:type="paragraph" w:styleId="ListParagraph">
    <w:name w:val="List Paragraph"/>
    <w:basedOn w:val="Normal"/>
    <w:uiPriority w:val="34"/>
    <w:qFormat/>
    <w:rsid w:val="00BF59A8"/>
    <w:pPr>
      <w:ind w:left="720"/>
      <w:contextualSpacing/>
    </w:pPr>
    <w:rPr>
      <w:rFonts w:eastAsia="Times New Roman" w:cs="Times New Roman"/>
      <w:lang w:eastAsia="en-US"/>
    </w:rPr>
  </w:style>
  <w:style w:type="character" w:customStyle="1" w:styleId="Heading3Char">
    <w:name w:val="Heading 3 Char"/>
    <w:basedOn w:val="DefaultParagraphFont"/>
    <w:link w:val="Heading3"/>
    <w:rsid w:val="00212E34"/>
    <w:rPr>
      <w:rFonts w:ascii="Arial" w:eastAsia="SimSun" w:hAnsi="Arial" w:cs="Arial"/>
      <w:bCs/>
      <w:sz w:val="22"/>
      <w:szCs w:val="26"/>
      <w:u w:val="single"/>
      <w:lang w:val="en-US" w:eastAsia="zh-CN"/>
    </w:rPr>
  </w:style>
  <w:style w:type="character" w:styleId="Hyperlink">
    <w:name w:val="Hyperlink"/>
    <w:basedOn w:val="DefaultParagraphFont"/>
    <w:unhideWhenUsed/>
    <w:rsid w:val="00690D13"/>
    <w:rPr>
      <w:color w:val="0000FF" w:themeColor="hyperlink"/>
      <w:u w:val="single"/>
    </w:rPr>
  </w:style>
  <w:style w:type="paragraph" w:customStyle="1" w:styleId="ADRGuideital">
    <w:name w:val="ADR Guide ital"/>
    <w:basedOn w:val="Normal"/>
    <w:link w:val="ADRGuideitalChar"/>
    <w:qFormat/>
    <w:rsid w:val="00690D13"/>
    <w:pPr>
      <w:numPr>
        <w:numId w:val="16"/>
      </w:numPr>
      <w:tabs>
        <w:tab w:val="left" w:pos="567"/>
        <w:tab w:val="left" w:pos="709"/>
        <w:tab w:val="left" w:pos="1134"/>
        <w:tab w:val="left" w:pos="1560"/>
      </w:tabs>
      <w:spacing w:before="120" w:after="120" w:line="260" w:lineRule="atLeast"/>
      <w:jc w:val="both"/>
    </w:pPr>
    <w:rPr>
      <w:rFonts w:eastAsia="Times New Roman"/>
      <w:i/>
      <w:iCs/>
      <w:sz w:val="20"/>
      <w:lang w:val="en-GB" w:eastAsia="ja-JP"/>
    </w:rPr>
  </w:style>
  <w:style w:type="character" w:customStyle="1" w:styleId="ADRGuideitalChar">
    <w:name w:val="ADR Guide ital Char"/>
    <w:basedOn w:val="DefaultParagraphFont"/>
    <w:link w:val="ADRGuideital"/>
    <w:rsid w:val="00690D13"/>
    <w:rPr>
      <w:rFonts w:ascii="Arial" w:hAnsi="Arial" w:cs="Arial"/>
      <w:i/>
      <w:iCs/>
      <w:lang w:val="en-GB" w:eastAsia="ja-JP"/>
    </w:rPr>
  </w:style>
  <w:style w:type="paragraph" w:styleId="Revision">
    <w:name w:val="Revision"/>
    <w:hidden/>
    <w:uiPriority w:val="99"/>
    <w:semiHidden/>
    <w:rsid w:val="00115CCE"/>
    <w:rPr>
      <w:rFonts w:ascii="Arial" w:eastAsia="SimSun" w:hAnsi="Arial" w:cs="Arial"/>
      <w:sz w:val="22"/>
      <w:lang w:val="en-US" w:eastAsia="zh-CN"/>
    </w:rPr>
  </w:style>
  <w:style w:type="character" w:styleId="BookTitle">
    <w:name w:val="Book Title"/>
    <w:basedOn w:val="DefaultParagraphFont"/>
    <w:uiPriority w:val="33"/>
    <w:qFormat/>
    <w:rsid w:val="00243B12"/>
    <w:rPr>
      <w:rFonts w:ascii="Arial" w:hAnsi="Arial"/>
      <w:b/>
      <w:bCs/>
      <w:caps w:val="0"/>
      <w:smallCaps w:val="0"/>
      <w:color w:val="auto"/>
      <w:spacing w:val="5"/>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722975">
      <w:bodyDiv w:val="1"/>
      <w:marLeft w:val="0"/>
      <w:marRight w:val="0"/>
      <w:marTop w:val="0"/>
      <w:marBottom w:val="0"/>
      <w:divBdr>
        <w:top w:val="none" w:sz="0" w:space="0" w:color="auto"/>
        <w:left w:val="none" w:sz="0" w:space="0" w:color="auto"/>
        <w:bottom w:val="none" w:sz="0" w:space="0" w:color="auto"/>
        <w:right w:val="none" w:sz="0" w:space="0" w:color="auto"/>
      </w:divBdr>
    </w:div>
    <w:div w:id="186956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www.icann.org/en/news/correspondence/crocker-to-dryden-01apr13-en" TargetMode="External"/><Relationship Id="rId3" Type="http://schemas.openxmlformats.org/officeDocument/2006/relationships/hyperlink" Target="http://www.wipo.int/amc/en/domains/lro/cases/" TargetMode="External"/><Relationship Id="rId7" Type="http://schemas.openxmlformats.org/officeDocument/2006/relationships/hyperlink" Target="http://www.icann.org/en/news/correspondence/dryden-to-crocker-chalaby-22mar13-en" TargetMode="External"/><Relationship Id="rId2" Type="http://schemas.openxmlformats.org/officeDocument/2006/relationships/hyperlink" Target="http://www.wipo.int/amc/en/domains/lro/fees/" TargetMode="External"/><Relationship Id="rId1" Type="http://schemas.openxmlformats.org/officeDocument/2006/relationships/hyperlink" Target="http://eng.kocca.kr/en/main.do" TargetMode="External"/><Relationship Id="rId6" Type="http://schemas.openxmlformats.org/officeDocument/2006/relationships/hyperlink" Target="https://gacweb.icann.org/download/attachments/27132070/FINAL_Toronto_Communique_20121017.pdf?version=1&amp;modificationDate=1354149148000&amp;api=v2" TargetMode="External"/><Relationship Id="rId5" Type="http://schemas.openxmlformats.org/officeDocument/2006/relationships/hyperlink" Target="http://toronto45.icann.org/node/34325" TargetMode="External"/><Relationship Id="rId4" Type="http://schemas.openxmlformats.org/officeDocument/2006/relationships/hyperlink" Target="http://prague44.icann.org/node/3177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04A54-8F69-4417-AA6D-0669FE776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50 (E)</Template>
  <TotalTime>24</TotalTime>
  <Pages>12</Pages>
  <Words>4281</Words>
  <Characters>23933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WO/GA/50</vt:lpstr>
    </vt:vector>
  </TitlesOfParts>
  <Company>WIPO</Company>
  <LinksUpToDate>false</LinksUpToDate>
  <CharactersWithSpaces>28158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WO/GA/50</dc:title>
  <dc:subject>Fifty-Eighth Series of Meetings</dc:subject>
  <dc:creator>RATTRAY Adam</dc:creator>
  <cp:lastModifiedBy>HÄFLIGER Patience</cp:lastModifiedBy>
  <cp:revision>5</cp:revision>
  <cp:lastPrinted>2018-07-16T15:10:00Z</cp:lastPrinted>
  <dcterms:created xsi:type="dcterms:W3CDTF">2018-07-13T08:46:00Z</dcterms:created>
  <dcterms:modified xsi:type="dcterms:W3CDTF">2018-07-16T15:11:00Z</dcterms:modified>
  <cp:category>Assemblies of the Member States of WIPO</cp:category>
</cp:coreProperties>
</file>