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A5DC5" w:rsidP="00916EE2">
            <w:r>
              <w:rPr>
                <w:noProof/>
                <w:lang w:eastAsia="en-US"/>
              </w:rPr>
              <w:drawing>
                <wp:inline distT="0" distB="0" distL="0" distR="0" wp14:anchorId="43139D25" wp14:editId="62807FB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5DC5" w:rsidP="00885E35">
            <w:pPr>
              <w:jc w:val="right"/>
              <w:rPr>
                <w:rFonts w:ascii="Arial Black" w:hAnsi="Arial Black"/>
                <w:caps/>
                <w:sz w:val="15"/>
              </w:rPr>
            </w:pPr>
            <w:r>
              <w:rPr>
                <w:rFonts w:ascii="Arial Black" w:hAnsi="Arial Black"/>
                <w:caps/>
                <w:sz w:val="15"/>
              </w:rPr>
              <w:t>WO/GA/49/</w:t>
            </w:r>
            <w:bookmarkStart w:id="0" w:name="Code"/>
            <w:bookmarkEnd w:id="0"/>
            <w:r w:rsidR="00885E35">
              <w:rPr>
                <w:rFonts w:ascii="Arial Black" w:hAnsi="Arial Black"/>
                <w:caps/>
                <w:sz w:val="15"/>
              </w:rPr>
              <w:t>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923423">
              <w:rPr>
                <w:rFonts w:ascii="Arial Black" w:hAnsi="Arial Black"/>
                <w:caps/>
                <w:sz w:val="15"/>
              </w:rPr>
              <w:t>EN</w:t>
            </w:r>
            <w:r w:rsidR="007B122A">
              <w:rPr>
                <w:rFonts w:ascii="Arial Black" w:hAnsi="Arial Black"/>
                <w:caps/>
                <w:sz w:val="15"/>
              </w:rPr>
              <w:t>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23AC6">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123AC6">
              <w:rPr>
                <w:rFonts w:ascii="Arial Black" w:hAnsi="Arial Black"/>
                <w:caps/>
                <w:sz w:val="15"/>
              </w:rPr>
              <w:t>July</w:t>
            </w:r>
            <w:r w:rsidR="007B122A">
              <w:rPr>
                <w:rFonts w:ascii="Arial Black" w:hAnsi="Arial Black"/>
                <w:caps/>
                <w:sz w:val="15"/>
              </w:rPr>
              <w:t xml:space="preserve"> </w:t>
            </w:r>
            <w:r w:rsidR="00123AC6">
              <w:rPr>
                <w:rFonts w:ascii="Arial Black" w:hAnsi="Arial Black"/>
                <w:caps/>
                <w:sz w:val="15"/>
              </w:rPr>
              <w:t>3,</w:t>
            </w:r>
            <w:r w:rsidR="007B122A">
              <w:rPr>
                <w:rFonts w:ascii="Arial Black" w:hAnsi="Arial Black"/>
                <w:caps/>
                <w:sz w:val="15"/>
              </w:rPr>
              <w:t xml:space="preserve">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A5DC5" w:rsidP="008B2CC1">
      <w:pPr>
        <w:rPr>
          <w:b/>
          <w:sz w:val="28"/>
          <w:szCs w:val="28"/>
        </w:rPr>
      </w:pPr>
      <w:r w:rsidRPr="00CA5DC5">
        <w:rPr>
          <w:b/>
          <w:sz w:val="28"/>
          <w:szCs w:val="28"/>
        </w:rPr>
        <w:t>WIPO General Assembly</w:t>
      </w:r>
    </w:p>
    <w:p w:rsidR="003845C1" w:rsidRDefault="003845C1" w:rsidP="003845C1"/>
    <w:p w:rsidR="003845C1" w:rsidRDefault="003845C1" w:rsidP="003845C1"/>
    <w:p w:rsidR="00CA5DC5" w:rsidRPr="00CA5DC5" w:rsidRDefault="00CA5DC5" w:rsidP="00CA5DC5">
      <w:pPr>
        <w:rPr>
          <w:b/>
          <w:sz w:val="24"/>
          <w:szCs w:val="24"/>
        </w:rPr>
      </w:pPr>
      <w:r w:rsidRPr="00CA5DC5">
        <w:rPr>
          <w:b/>
          <w:sz w:val="24"/>
          <w:szCs w:val="24"/>
        </w:rPr>
        <w:t>Forty-Ninth (23</w:t>
      </w:r>
      <w:r w:rsidRPr="00CA5DC5">
        <w:rPr>
          <w:b/>
          <w:sz w:val="24"/>
          <w:szCs w:val="24"/>
          <w:vertAlign w:val="superscript"/>
        </w:rPr>
        <w:t>rd</w:t>
      </w:r>
      <w:r w:rsidRPr="00CA5DC5">
        <w:rPr>
          <w:b/>
          <w:sz w:val="24"/>
          <w:szCs w:val="24"/>
        </w:rPr>
        <w:t xml:space="preserve"> Ordinary) Session</w:t>
      </w:r>
    </w:p>
    <w:p w:rsidR="008B2CC1" w:rsidRPr="003845C1" w:rsidRDefault="00CA5DC5" w:rsidP="00CA5DC5">
      <w:pPr>
        <w:rPr>
          <w:b/>
          <w:sz w:val="24"/>
          <w:szCs w:val="24"/>
        </w:rPr>
      </w:pPr>
      <w:r w:rsidRPr="00CA5DC5">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923423" w:rsidP="008B2CC1">
      <w:pPr>
        <w:rPr>
          <w:caps/>
          <w:sz w:val="24"/>
        </w:rPr>
      </w:pPr>
      <w:bookmarkStart w:id="3" w:name="TitleOfDoc"/>
      <w:bookmarkEnd w:id="3"/>
      <w:r>
        <w:rPr>
          <w:caps/>
          <w:sz w:val="24"/>
        </w:rPr>
        <w:t>Matters concerning the convening of a diplomatic conference for the adoption of a design law treaty (dlt)</w:t>
      </w:r>
    </w:p>
    <w:p w:rsidR="008B2CC1" w:rsidRPr="008B2CC1" w:rsidRDefault="008B2CC1" w:rsidP="008B2CC1"/>
    <w:p w:rsidR="008B2CC1" w:rsidRPr="008B2CC1" w:rsidRDefault="00923423" w:rsidP="008B2CC1">
      <w:pPr>
        <w:rPr>
          <w:i/>
        </w:rPr>
      </w:pPr>
      <w:bookmarkStart w:id="4" w:name="Prepared"/>
      <w:bookmarkEnd w:id="4"/>
      <w:r>
        <w:rPr>
          <w:i/>
        </w:rPr>
        <w:t>Document prepared by the Secretar</w:t>
      </w:r>
      <w:bookmarkStart w:id="5" w:name="_GoBack"/>
      <w:bookmarkEnd w:id="5"/>
      <w:r>
        <w:rPr>
          <w:i/>
        </w:rPr>
        <w:t>iat</w:t>
      </w:r>
    </w:p>
    <w:p w:rsidR="00AC205C" w:rsidRDefault="00AC205C"/>
    <w:p w:rsidR="00F4201C" w:rsidRDefault="00F4201C"/>
    <w:p w:rsidR="00923423" w:rsidRPr="00923423" w:rsidRDefault="00923423" w:rsidP="00923423"/>
    <w:p w:rsidR="00923423" w:rsidRPr="00F32125" w:rsidRDefault="00923423" w:rsidP="00923423">
      <w:r w:rsidRPr="00F32125">
        <w:fldChar w:fldCharType="begin"/>
      </w:r>
      <w:r w:rsidRPr="00F32125">
        <w:instrText xml:space="preserve"> AUTONUM  </w:instrText>
      </w:r>
      <w:r w:rsidRPr="00F32125">
        <w:fldChar w:fldCharType="end"/>
      </w:r>
      <w:r w:rsidRPr="00F32125">
        <w:tab/>
      </w:r>
      <w:r w:rsidR="00756DCC">
        <w:t>A</w:t>
      </w:r>
      <w:r w:rsidRPr="00F32125">
        <w:t>t its forty</w:t>
      </w:r>
      <w:r w:rsidRPr="00F32125">
        <w:noBreakHyphen/>
        <w:t>seventh (22</w:t>
      </w:r>
      <w:r w:rsidRPr="00F32125">
        <w:rPr>
          <w:vertAlign w:val="superscript"/>
        </w:rPr>
        <w:t xml:space="preserve">nd </w:t>
      </w:r>
      <w:r w:rsidRPr="00F32125">
        <w:t>ordinary) session, held in Geneva from October 5 to 14, 2015, the World Intellectual Property Organization (WIPO) General Assembly agreed the following (see document WO/GA/47/19, paragraph 123)</w:t>
      </w:r>
      <w:r w:rsidR="00E862BE">
        <w:rPr>
          <w:rStyle w:val="FootnoteReference"/>
        </w:rPr>
        <w:footnoteReference w:customMarkFollows="1" w:id="2"/>
        <w:t>*</w:t>
      </w:r>
      <w:r w:rsidR="007B122A">
        <w:t>:</w:t>
      </w:r>
    </w:p>
    <w:p w:rsidR="00923423" w:rsidRPr="00F32125" w:rsidRDefault="00923423" w:rsidP="00923423"/>
    <w:p w:rsidR="00923423" w:rsidRPr="00F32125" w:rsidRDefault="00923423" w:rsidP="00F4201C">
      <w:pPr>
        <w:ind w:left="567"/>
      </w:pPr>
      <w:r w:rsidRPr="00F32125">
        <w:t>“That the text of the basic proposal for the Design Law Treaty should be finalized by the SCT at its thirty-fourth and thirty-fifth sessions;</w:t>
      </w:r>
    </w:p>
    <w:p w:rsidR="00923423" w:rsidRPr="00F32125" w:rsidRDefault="00923423" w:rsidP="00F4201C">
      <w:pPr>
        <w:ind w:left="567"/>
      </w:pPr>
    </w:p>
    <w:p w:rsidR="00923423" w:rsidRPr="00F32125" w:rsidRDefault="00E23B4D" w:rsidP="00F4201C">
      <w:pPr>
        <w:ind w:left="567"/>
      </w:pPr>
      <w:r>
        <w:t>“</w:t>
      </w:r>
      <w:r w:rsidR="00923423" w:rsidRPr="00F32125">
        <w:t>(i)</w:t>
      </w:r>
      <w:r w:rsidR="00923423" w:rsidRPr="00F32125">
        <w:tab/>
        <w:t>to convene a diplomatic conference for the adoption of a Design Law Treaty at the end of the first half of 2017, only if the discussions on technical assistance and disclosure have been completed during the thirty-fourth and thirty-fifth sessions of the SCT;</w:t>
      </w:r>
    </w:p>
    <w:p w:rsidR="00923423" w:rsidRPr="00F32125" w:rsidRDefault="00923423" w:rsidP="00F4201C">
      <w:pPr>
        <w:ind w:left="567"/>
      </w:pPr>
    </w:p>
    <w:p w:rsidR="00923423" w:rsidRPr="00F32125" w:rsidRDefault="00E23B4D" w:rsidP="00F4201C">
      <w:pPr>
        <w:ind w:left="567"/>
      </w:pPr>
      <w:r>
        <w:t>“</w:t>
      </w:r>
      <w:r w:rsidR="00923423" w:rsidRPr="00F32125">
        <w:t>(ii)</w:t>
      </w:r>
      <w:r w:rsidR="00923423" w:rsidRPr="00F32125">
        <w:tab/>
        <w:t>that the text of the basic proposal for the Design Law Treaty should be finalized by the SCT at its thirty-fourth and thirty-fifth sessions;</w:t>
      </w:r>
    </w:p>
    <w:p w:rsidR="00923423" w:rsidRPr="00F32125" w:rsidRDefault="00923423" w:rsidP="00F4201C">
      <w:pPr>
        <w:ind w:left="567"/>
      </w:pPr>
    </w:p>
    <w:p w:rsidR="00923423" w:rsidRPr="00F32125" w:rsidRDefault="00E23B4D" w:rsidP="00F4201C">
      <w:pPr>
        <w:ind w:left="567"/>
      </w:pPr>
      <w:r>
        <w:t>“</w:t>
      </w:r>
      <w:r w:rsidR="00923423" w:rsidRPr="00F32125">
        <w:t>(iii)</w:t>
      </w:r>
      <w:r w:rsidR="00923423" w:rsidRPr="00F32125">
        <w:tab/>
        <w:t>that, if a diplomatic conference is convened at the end of the first half of 2017, the date and venue of the diplomatic conference would be decided in a preparatory committee, to be held back-to-back with the thirty</w:t>
      </w:r>
      <w:r w:rsidR="00923423" w:rsidRPr="00F32125">
        <w:noBreakHyphen/>
        <w:t>fifth session of the SCT.”</w:t>
      </w:r>
    </w:p>
    <w:p w:rsidR="00A9096D" w:rsidRDefault="00A9096D">
      <w:r>
        <w:br w:type="page"/>
      </w:r>
    </w:p>
    <w:p w:rsidR="00F4201C" w:rsidRDefault="00923423" w:rsidP="00923423">
      <w:r w:rsidRPr="004D4A9A">
        <w:lastRenderedPageBreak/>
        <w:fldChar w:fldCharType="begin"/>
      </w:r>
      <w:r w:rsidRPr="004D4A9A">
        <w:instrText xml:space="preserve"> AUTONUM  </w:instrText>
      </w:r>
      <w:r w:rsidRPr="004D4A9A">
        <w:fldChar w:fldCharType="end"/>
      </w:r>
      <w:r w:rsidRPr="004D4A9A">
        <w:tab/>
      </w:r>
      <w:r w:rsidR="003F2346">
        <w:t>T</w:t>
      </w:r>
      <w:r w:rsidRPr="004D4A9A">
        <w:t>he Standing Committee on the Law of Trademarks, Industrial Designs and Geographical I</w:t>
      </w:r>
      <w:r w:rsidR="00BC113F">
        <w:t>ndications (SCT), at its thirty</w:t>
      </w:r>
      <w:r w:rsidR="00BC113F">
        <w:noBreakHyphen/>
      </w:r>
      <w:r w:rsidRPr="004D4A9A">
        <w:t>fourth session</w:t>
      </w:r>
      <w:r w:rsidR="00F4201C">
        <w:t xml:space="preserve"> (No</w:t>
      </w:r>
      <w:r w:rsidRPr="004D4A9A">
        <w:t>vember 16 to 18, 2015</w:t>
      </w:r>
      <w:r w:rsidR="00F4201C">
        <w:t>)</w:t>
      </w:r>
      <w:r w:rsidRPr="004D4A9A">
        <w:t xml:space="preserve"> </w:t>
      </w:r>
      <w:r w:rsidR="004D4A9A">
        <w:t xml:space="preserve">and </w:t>
      </w:r>
      <w:r w:rsidR="004D4A9A" w:rsidRPr="004D4A9A">
        <w:t>thirty</w:t>
      </w:r>
      <w:r w:rsidR="004D4A9A">
        <w:t>-fifth session</w:t>
      </w:r>
      <w:r w:rsidR="00F4201C">
        <w:t xml:space="preserve"> (A</w:t>
      </w:r>
      <w:r w:rsidR="004D4A9A">
        <w:t>pril 25 to 27, 2016</w:t>
      </w:r>
      <w:r w:rsidR="00F4201C">
        <w:t>)</w:t>
      </w:r>
      <w:r w:rsidR="004D4A9A" w:rsidRPr="004D4A9A">
        <w:t xml:space="preserve">, </w:t>
      </w:r>
      <w:r w:rsidRPr="004D4A9A">
        <w:t xml:space="preserve">continued </w:t>
      </w:r>
      <w:r w:rsidR="007B3CCE">
        <w:t>discussions</w:t>
      </w:r>
      <w:r w:rsidR="00756DCC">
        <w:t xml:space="preserve"> </w:t>
      </w:r>
      <w:r w:rsidR="007B3CCE">
        <w:t>on</w:t>
      </w:r>
      <w:r w:rsidR="00756DCC">
        <w:t xml:space="preserve"> the</w:t>
      </w:r>
      <w:r w:rsidR="007B3CCE">
        <w:t xml:space="preserve"> text of</w:t>
      </w:r>
      <w:r w:rsidR="00756DCC">
        <w:t xml:space="preserve"> </w:t>
      </w:r>
      <w:r w:rsidR="007B3CCE">
        <w:t xml:space="preserve">a </w:t>
      </w:r>
      <w:r w:rsidR="00756DCC">
        <w:t>basic proposal f</w:t>
      </w:r>
      <w:r w:rsidRPr="004D4A9A">
        <w:t>or the Design Law Treaty (DLT)</w:t>
      </w:r>
      <w:r w:rsidR="00756DCC">
        <w:t xml:space="preserve">, with a view to </w:t>
      </w:r>
      <w:r w:rsidR="007B3CCE">
        <w:t>finalizing the text</w:t>
      </w:r>
      <w:r w:rsidR="00756DCC">
        <w:t>, as mandated by the WIPO General Assembly</w:t>
      </w:r>
      <w:r w:rsidRPr="004D4A9A">
        <w:t>.</w:t>
      </w:r>
    </w:p>
    <w:p w:rsidR="000D6EC6" w:rsidRDefault="000D6EC6" w:rsidP="00923423"/>
    <w:p w:rsidR="00923423" w:rsidRPr="00923423" w:rsidRDefault="00923423" w:rsidP="00923423">
      <w:r w:rsidRPr="004D4A9A">
        <w:fldChar w:fldCharType="begin"/>
      </w:r>
      <w:r w:rsidRPr="004D4A9A">
        <w:instrText xml:space="preserve"> AUTONUM  </w:instrText>
      </w:r>
      <w:r w:rsidRPr="004D4A9A">
        <w:fldChar w:fldCharType="end"/>
      </w:r>
      <w:r w:rsidRPr="004D4A9A">
        <w:tab/>
        <w:t>At the end of th</w:t>
      </w:r>
      <w:r w:rsidR="00756DCC">
        <w:t xml:space="preserve">e </w:t>
      </w:r>
      <w:r w:rsidR="00756DCC" w:rsidRPr="004D4A9A">
        <w:t>thirty</w:t>
      </w:r>
      <w:r w:rsidR="00756DCC">
        <w:t xml:space="preserve">-fifth </w:t>
      </w:r>
      <w:r w:rsidRPr="004D4A9A">
        <w:t xml:space="preserve">session of the SCT, the Chair concluded that a number of delegations were of the opinion that the work of the SCT was sufficient to consider that the basic proposal </w:t>
      </w:r>
      <w:r w:rsidR="0080305D">
        <w:t xml:space="preserve">(contained in documents SCT/35/2 and 3) </w:t>
      </w:r>
      <w:r w:rsidRPr="004D4A9A">
        <w:t>was finalized.  Other delegations considered that the work of the SCT constituted a sufficient ground for finalizing the basic proposal and that a few elements needed further work.  Other delegations considered that the work of the SCT was not sufficient to finalize t</w:t>
      </w:r>
      <w:r w:rsidR="004D4A9A">
        <w:t>he basic proposal (see document SCT/35/7, paragraph </w:t>
      </w:r>
      <w:r w:rsidRPr="004D4A9A">
        <w:t>7).</w:t>
      </w:r>
    </w:p>
    <w:p w:rsidR="00262D0C" w:rsidRDefault="00262D0C" w:rsidP="00923423"/>
    <w:p w:rsidR="00FA036D" w:rsidRDefault="00FA036D" w:rsidP="00923423">
      <w:r>
        <w:fldChar w:fldCharType="begin"/>
      </w:r>
      <w:r>
        <w:instrText xml:space="preserve"> AUTONUM  </w:instrText>
      </w:r>
      <w:r>
        <w:fldChar w:fldCharType="end"/>
      </w:r>
      <w:r>
        <w:tab/>
        <w:t xml:space="preserve">In relation to the issues identified by the WIPO General Assembly </w:t>
      </w:r>
      <w:r w:rsidR="00963DC9">
        <w:t xml:space="preserve">in </w:t>
      </w:r>
      <w:r>
        <w:t>2015, nam</w:t>
      </w:r>
      <w:r w:rsidR="00145A1A">
        <w:t>e</w:t>
      </w:r>
      <w:r>
        <w:t>l</w:t>
      </w:r>
      <w:r w:rsidR="00145A1A">
        <w:t>y</w:t>
      </w:r>
      <w:r>
        <w:t xml:space="preserve"> technical assistance and disclosure</w:t>
      </w:r>
      <w:r w:rsidR="0060414C">
        <w:t xml:space="preserve"> (see paragraph 1</w:t>
      </w:r>
      <w:r w:rsidR="00963DC9">
        <w:t>(i)</w:t>
      </w:r>
      <w:r w:rsidR="0060414C">
        <w:t>,</w:t>
      </w:r>
      <w:r w:rsidR="00963DC9">
        <w:t xml:space="preserve"> above)</w:t>
      </w:r>
      <w:r>
        <w:t xml:space="preserve">, the relevant provisions of the basic proposal are </w:t>
      </w:r>
      <w:r w:rsidR="00963DC9">
        <w:t xml:space="preserve">enclosed </w:t>
      </w:r>
      <w:r>
        <w:t>in the Annex</w:t>
      </w:r>
      <w:r w:rsidR="00322DCD" w:rsidRPr="00322DCD">
        <w:t xml:space="preserve"> </w:t>
      </w:r>
      <w:r w:rsidR="00322DCD">
        <w:t>for reference</w:t>
      </w:r>
      <w:r>
        <w:t>.</w:t>
      </w:r>
    </w:p>
    <w:p w:rsidR="00FA036D" w:rsidRPr="00FA036D" w:rsidRDefault="00FA036D" w:rsidP="00923423"/>
    <w:p w:rsidR="00F4201C" w:rsidRDefault="00970484" w:rsidP="00923423">
      <w:r w:rsidRPr="004D4A9A">
        <w:fldChar w:fldCharType="begin"/>
      </w:r>
      <w:r w:rsidRPr="004D4A9A">
        <w:instrText xml:space="preserve"> AUTONUM  </w:instrText>
      </w:r>
      <w:r w:rsidRPr="004D4A9A">
        <w:fldChar w:fldCharType="end"/>
      </w:r>
      <w:r w:rsidR="00F4201C">
        <w:tab/>
        <w:t>At its</w:t>
      </w:r>
      <w:r w:rsidRPr="004D4A9A">
        <w:t xml:space="preserve"> forty-eighth (26</w:t>
      </w:r>
      <w:r w:rsidRPr="004D4A9A">
        <w:rPr>
          <w:vertAlign w:val="superscript"/>
        </w:rPr>
        <w:t>th</w:t>
      </w:r>
      <w:r w:rsidRPr="004D4A9A">
        <w:t xml:space="preserve"> extraordinary) session</w:t>
      </w:r>
      <w:r w:rsidR="00F4201C">
        <w:t>,</w:t>
      </w:r>
      <w:r w:rsidRPr="004D4A9A">
        <w:t xml:space="preserve"> held in Geneva from October 3 to 11, 2016, </w:t>
      </w:r>
      <w:r w:rsidR="00CF455D" w:rsidRPr="004D4A9A">
        <w:t>the WIPO General Assembly</w:t>
      </w:r>
      <w:r w:rsidR="00FA036D">
        <w:t>:</w:t>
      </w:r>
      <w:r w:rsidR="00262D0C">
        <w:t xml:space="preserve"> </w:t>
      </w:r>
    </w:p>
    <w:p w:rsidR="00F4201C" w:rsidRDefault="00F4201C" w:rsidP="00923423"/>
    <w:p w:rsidR="00970484" w:rsidRPr="004D4A9A" w:rsidRDefault="00CF455D" w:rsidP="00F4201C">
      <w:pPr>
        <w:ind w:left="567"/>
      </w:pPr>
      <w:r w:rsidRPr="004D4A9A">
        <w:t>“</w:t>
      </w:r>
      <w:r w:rsidR="00970484" w:rsidRPr="004D4A9A">
        <w:t xml:space="preserve">decided that, at its next session in October 2017, it will continue considering the convening of a diplomatic conference on the Design Law Treaty, to take place </w:t>
      </w:r>
      <w:r w:rsidR="008B5990" w:rsidRPr="004D4A9A">
        <w:t>at the end of the first half of </w:t>
      </w:r>
      <w:r w:rsidR="00970484" w:rsidRPr="004D4A9A">
        <w:t>2018” (see document WO/GA/48/17, paragraph 146).</w:t>
      </w:r>
      <w:r w:rsidR="00E23B4D">
        <w:t>”</w:t>
      </w:r>
    </w:p>
    <w:p w:rsidR="00970484" w:rsidRPr="004D4A9A" w:rsidRDefault="00970484" w:rsidP="00923423"/>
    <w:p w:rsidR="00F4201C" w:rsidRDefault="00970484" w:rsidP="00923423">
      <w:r w:rsidRPr="004D4A9A">
        <w:fldChar w:fldCharType="begin"/>
      </w:r>
      <w:r w:rsidRPr="004D4A9A">
        <w:instrText xml:space="preserve"> AUTONUM  </w:instrText>
      </w:r>
      <w:r w:rsidRPr="004D4A9A">
        <w:fldChar w:fldCharType="end"/>
      </w:r>
      <w:r w:rsidRPr="004D4A9A">
        <w:tab/>
      </w:r>
      <w:r w:rsidR="00CF455D" w:rsidRPr="004D4A9A">
        <w:t xml:space="preserve">Following </w:t>
      </w:r>
      <w:r w:rsidR="009E788F">
        <w:t>this decision</w:t>
      </w:r>
      <w:r w:rsidR="00CF455D" w:rsidRPr="004D4A9A">
        <w:t xml:space="preserve">, the SCT </w:t>
      </w:r>
      <w:r w:rsidR="00F61085" w:rsidRPr="004D4A9A">
        <w:t>he</w:t>
      </w:r>
      <w:r w:rsidR="00CF455D" w:rsidRPr="004D4A9A">
        <w:t>ld t</w:t>
      </w:r>
      <w:r w:rsidRPr="004D4A9A">
        <w:t>wo sessions</w:t>
      </w:r>
      <w:r w:rsidR="004D4A9A">
        <w:t xml:space="preserve">, namely the </w:t>
      </w:r>
      <w:r w:rsidR="00CF455D" w:rsidRPr="004D4A9A">
        <w:t>thirty-sixth session</w:t>
      </w:r>
      <w:r w:rsidR="004D4A9A">
        <w:t xml:space="preserve"> (</w:t>
      </w:r>
      <w:r w:rsidR="00CF455D" w:rsidRPr="004D4A9A">
        <w:t>October 17 to </w:t>
      </w:r>
      <w:r w:rsidR="008B5990" w:rsidRPr="004D4A9A">
        <w:t>19, 2016</w:t>
      </w:r>
      <w:r w:rsidR="004D4A9A">
        <w:t xml:space="preserve">) and the </w:t>
      </w:r>
      <w:r w:rsidR="00F4201C" w:rsidRPr="00F4201C">
        <w:t>thirty-seventh session</w:t>
      </w:r>
      <w:r w:rsidR="00F4201C">
        <w:t xml:space="preserve"> (</w:t>
      </w:r>
      <w:r w:rsidR="00F4201C" w:rsidRPr="004D4A9A">
        <w:t>March 27 to 30, 2017</w:t>
      </w:r>
      <w:r w:rsidR="00F4201C">
        <w:t>).</w:t>
      </w:r>
    </w:p>
    <w:p w:rsidR="00F4201C" w:rsidRDefault="00F4201C" w:rsidP="00923423"/>
    <w:p w:rsidR="00970484" w:rsidRPr="004D4A9A" w:rsidRDefault="00F4201C" w:rsidP="00923423">
      <w:r>
        <w:fldChar w:fldCharType="begin"/>
      </w:r>
      <w:r>
        <w:instrText xml:space="preserve"> AUTONUM  </w:instrText>
      </w:r>
      <w:r>
        <w:fldChar w:fldCharType="end"/>
      </w:r>
      <w:r>
        <w:tab/>
        <w:t xml:space="preserve">At the </w:t>
      </w:r>
      <w:r w:rsidRPr="00F4201C">
        <w:t>thirty-sixth session</w:t>
      </w:r>
      <w:r>
        <w:t xml:space="preserve"> of the SCT</w:t>
      </w:r>
      <w:r w:rsidRPr="004D4A9A">
        <w:t xml:space="preserve">, </w:t>
      </w:r>
      <w:r w:rsidR="008B5990" w:rsidRPr="004D4A9A">
        <w:t xml:space="preserve">the Chair </w:t>
      </w:r>
      <w:r>
        <w:t xml:space="preserve">“concluded </w:t>
      </w:r>
      <w:r w:rsidR="00CF455D" w:rsidRPr="004D4A9A">
        <w:t>that, while the DLT would remain on its Agenda, the SCT should abide by the decision of the</w:t>
      </w:r>
      <w:r w:rsidR="009E788F">
        <w:t xml:space="preserve"> [WIPO]</w:t>
      </w:r>
      <w:r w:rsidR="00CF455D" w:rsidRPr="004D4A9A">
        <w:t xml:space="preserve"> General Assembly” (see document SCT/36/6, paragraph</w:t>
      </w:r>
      <w:r w:rsidR="008B5990" w:rsidRPr="004D4A9A">
        <w:t>s</w:t>
      </w:r>
      <w:r w:rsidR="00CF455D" w:rsidRPr="004D4A9A">
        <w:t> </w:t>
      </w:r>
      <w:r w:rsidR="008B5990" w:rsidRPr="004D4A9A">
        <w:t>27 and </w:t>
      </w:r>
      <w:r w:rsidR="00CF455D" w:rsidRPr="004D4A9A">
        <w:t>28).</w:t>
      </w:r>
    </w:p>
    <w:p w:rsidR="00CF455D" w:rsidRPr="004D4A9A" w:rsidRDefault="00CF455D" w:rsidP="00923423"/>
    <w:p w:rsidR="00CF455D" w:rsidRDefault="00CF455D" w:rsidP="00923423">
      <w:r w:rsidRPr="004D4A9A">
        <w:fldChar w:fldCharType="begin"/>
      </w:r>
      <w:r w:rsidRPr="004D4A9A">
        <w:instrText xml:space="preserve"> AUTONUM  </w:instrText>
      </w:r>
      <w:r w:rsidRPr="004D4A9A">
        <w:fldChar w:fldCharType="end"/>
      </w:r>
      <w:r w:rsidRPr="004D4A9A">
        <w:tab/>
        <w:t xml:space="preserve">At the thirty-seventh session of the SCT, the Chair recalled his conclusion at </w:t>
      </w:r>
      <w:r w:rsidR="008B5990" w:rsidRPr="004D4A9A">
        <w:t>the previous session of the SCT</w:t>
      </w:r>
      <w:r w:rsidRPr="004D4A9A">
        <w:t xml:space="preserve"> and </w:t>
      </w:r>
      <w:r w:rsidR="004D5253">
        <w:t>“</w:t>
      </w:r>
      <w:r w:rsidRPr="004D4A9A">
        <w:t>encouraged delegations to make use of the time available until the next session of the</w:t>
      </w:r>
      <w:r w:rsidR="007B3CCE">
        <w:t xml:space="preserve"> [WIPO]</w:t>
      </w:r>
      <w:r w:rsidRPr="004D4A9A">
        <w:t xml:space="preserve"> General Assembly in October 2017 to bridge remai</w:t>
      </w:r>
      <w:r w:rsidR="008B5990" w:rsidRPr="004D4A9A">
        <w:t>ning gaps</w:t>
      </w:r>
      <w:r w:rsidR="004D5253">
        <w:t>”</w:t>
      </w:r>
      <w:r w:rsidR="00EC05D9">
        <w:t xml:space="preserve"> (see </w:t>
      </w:r>
      <w:r w:rsidR="008B5990" w:rsidRPr="004D4A9A">
        <w:t>document SCT/37/8, paragraph 8</w:t>
      </w:r>
      <w:r w:rsidRPr="004D4A9A">
        <w:t>).</w:t>
      </w:r>
    </w:p>
    <w:p w:rsidR="00970484" w:rsidRPr="00CB7885" w:rsidRDefault="00970484" w:rsidP="00CB7885">
      <w:pPr>
        <w:ind w:left="5533"/>
        <w:rPr>
          <w:i/>
        </w:rPr>
      </w:pPr>
    </w:p>
    <w:p w:rsidR="00923423" w:rsidRPr="00CB7885" w:rsidRDefault="00923423" w:rsidP="00CB7885">
      <w:pPr>
        <w:tabs>
          <w:tab w:val="left" w:pos="6096"/>
        </w:tabs>
        <w:ind w:left="5533"/>
        <w:rPr>
          <w:i/>
        </w:rPr>
      </w:pPr>
      <w:r w:rsidRPr="00CB7885">
        <w:rPr>
          <w:i/>
        </w:rPr>
        <w:fldChar w:fldCharType="begin"/>
      </w:r>
      <w:r w:rsidRPr="00CB7885">
        <w:rPr>
          <w:i/>
        </w:rPr>
        <w:instrText xml:space="preserve"> AUTONUM  </w:instrText>
      </w:r>
      <w:r w:rsidRPr="00CB7885">
        <w:rPr>
          <w:i/>
        </w:rPr>
        <w:fldChar w:fldCharType="end"/>
      </w:r>
      <w:r w:rsidRPr="00CB7885">
        <w:rPr>
          <w:i/>
        </w:rPr>
        <w:tab/>
        <w:t xml:space="preserve">The WIPO General Assembly is invited: </w:t>
      </w:r>
    </w:p>
    <w:p w:rsidR="00923423" w:rsidRPr="00CB7885" w:rsidRDefault="00923423" w:rsidP="00CB7885">
      <w:pPr>
        <w:ind w:left="5533"/>
        <w:rPr>
          <w:i/>
        </w:rPr>
      </w:pPr>
    </w:p>
    <w:p w:rsidR="00923423" w:rsidRPr="00CB7885" w:rsidRDefault="00923423" w:rsidP="004D0CCF">
      <w:pPr>
        <w:numPr>
          <w:ilvl w:val="0"/>
          <w:numId w:val="7"/>
        </w:numPr>
        <w:tabs>
          <w:tab w:val="left" w:pos="6663"/>
        </w:tabs>
        <w:ind w:left="6096" w:hanging="1"/>
        <w:rPr>
          <w:i/>
        </w:rPr>
      </w:pPr>
      <w:r w:rsidRPr="00CB7885">
        <w:rPr>
          <w:i/>
        </w:rPr>
        <w:t>to consider the contents of the present document;</w:t>
      </w:r>
      <w:r w:rsidR="00322DCD">
        <w:rPr>
          <w:i/>
        </w:rPr>
        <w:t xml:space="preserve"> </w:t>
      </w:r>
      <w:r w:rsidR="00EC05D9">
        <w:rPr>
          <w:i/>
        </w:rPr>
        <w:t xml:space="preserve"> </w:t>
      </w:r>
      <w:r w:rsidR="00322DCD">
        <w:rPr>
          <w:i/>
        </w:rPr>
        <w:t>and</w:t>
      </w:r>
    </w:p>
    <w:p w:rsidR="00923423" w:rsidRPr="00CB7885" w:rsidRDefault="00923423" w:rsidP="00CB7885">
      <w:pPr>
        <w:ind w:left="6804" w:hanging="709"/>
        <w:rPr>
          <w:i/>
        </w:rPr>
      </w:pPr>
    </w:p>
    <w:p w:rsidR="00923423" w:rsidRPr="00CB7885" w:rsidRDefault="00923423" w:rsidP="004D0CCF">
      <w:pPr>
        <w:numPr>
          <w:ilvl w:val="0"/>
          <w:numId w:val="7"/>
        </w:numPr>
        <w:tabs>
          <w:tab w:val="left" w:pos="6663"/>
        </w:tabs>
        <w:ind w:left="6096" w:hanging="1"/>
        <w:rPr>
          <w:i/>
        </w:rPr>
      </w:pPr>
      <w:r w:rsidRPr="00CB7885">
        <w:rPr>
          <w:i/>
        </w:rPr>
        <w:t>to decide whether to convene a diplomatic conference for the adoption of a Design Law Treaty at t</w:t>
      </w:r>
      <w:r w:rsidR="009B3546" w:rsidRPr="00CB7885">
        <w:rPr>
          <w:i/>
        </w:rPr>
        <w:t>he end of the first half of 2018</w:t>
      </w:r>
      <w:r w:rsidRPr="00CB7885">
        <w:rPr>
          <w:i/>
        </w:rPr>
        <w:t>, at a date and venue to be decided by a preparatory committee.</w:t>
      </w:r>
    </w:p>
    <w:p w:rsidR="00923423" w:rsidRPr="00CB7885" w:rsidRDefault="00923423" w:rsidP="00CB7885">
      <w:pPr>
        <w:ind w:left="5533"/>
        <w:rPr>
          <w:i/>
        </w:rPr>
      </w:pPr>
    </w:p>
    <w:p w:rsidR="00923423" w:rsidRPr="00CB7885" w:rsidRDefault="00923423" w:rsidP="00CB7885">
      <w:pPr>
        <w:ind w:left="5533"/>
        <w:rPr>
          <w:i/>
        </w:rPr>
      </w:pPr>
    </w:p>
    <w:p w:rsidR="00197763" w:rsidRPr="00923423" w:rsidRDefault="00197763" w:rsidP="00923423"/>
    <w:p w:rsidR="002928D3" w:rsidRDefault="00923423" w:rsidP="00EC6C3F">
      <w:pPr>
        <w:tabs>
          <w:tab w:val="left" w:pos="567"/>
        </w:tabs>
        <w:ind w:left="5529"/>
      </w:pPr>
      <w:r w:rsidRPr="00923423">
        <w:t>[</w:t>
      </w:r>
      <w:r w:rsidR="00145A1A">
        <w:t>Annex</w:t>
      </w:r>
      <w:r w:rsidR="00903BE9">
        <w:t xml:space="preserve"> follows</w:t>
      </w:r>
      <w:r w:rsidRPr="00923423">
        <w:t>]</w:t>
      </w:r>
    </w:p>
    <w:p w:rsidR="0054299F" w:rsidRDefault="0054299F" w:rsidP="00EC6C3F">
      <w:pPr>
        <w:tabs>
          <w:tab w:val="left" w:pos="567"/>
        </w:tabs>
        <w:ind w:left="5529"/>
      </w:pPr>
    </w:p>
    <w:p w:rsidR="0054299F" w:rsidRDefault="0054299F" w:rsidP="00EC6C3F">
      <w:pPr>
        <w:tabs>
          <w:tab w:val="left" w:pos="567"/>
        </w:tabs>
        <w:ind w:left="5529"/>
        <w:sectPr w:rsidR="0054299F" w:rsidSect="00C23CFC">
          <w:headerReference w:type="default" r:id="rId10"/>
          <w:footnotePr>
            <w:numRestart w:val="eachPage"/>
          </w:footnotePr>
          <w:endnotePr>
            <w:numFmt w:val="decimal"/>
          </w:endnotePr>
          <w:type w:val="continuous"/>
          <w:pgSz w:w="11907" w:h="16840" w:code="9"/>
          <w:pgMar w:top="567" w:right="1134" w:bottom="1418" w:left="1418" w:header="510" w:footer="1021" w:gutter="0"/>
          <w:pgNumType w:start="1"/>
          <w:cols w:space="720"/>
          <w:titlePg/>
          <w:docGrid w:linePitch="299"/>
        </w:sectPr>
      </w:pPr>
    </w:p>
    <w:p w:rsidR="0080305D" w:rsidRDefault="00963DC9" w:rsidP="00903BE9">
      <w:pPr>
        <w:jc w:val="center"/>
        <w:rPr>
          <w:u w:val="single"/>
        </w:rPr>
      </w:pPr>
      <w:r>
        <w:rPr>
          <w:u w:val="single"/>
        </w:rPr>
        <w:lastRenderedPageBreak/>
        <w:t>Draft p</w:t>
      </w:r>
      <w:r w:rsidR="00145A1A">
        <w:rPr>
          <w:u w:val="single"/>
        </w:rPr>
        <w:t xml:space="preserve">rovisions </w:t>
      </w:r>
      <w:r w:rsidR="005205BC">
        <w:rPr>
          <w:u w:val="single"/>
        </w:rPr>
        <w:t xml:space="preserve">relating </w:t>
      </w:r>
      <w:r w:rsidR="00145A1A">
        <w:rPr>
          <w:u w:val="single"/>
        </w:rPr>
        <w:t xml:space="preserve">to the issues </w:t>
      </w:r>
      <w:r w:rsidR="005205BC">
        <w:rPr>
          <w:u w:val="single"/>
        </w:rPr>
        <w:t>identified by</w:t>
      </w:r>
      <w:r w:rsidR="00145A1A">
        <w:rPr>
          <w:u w:val="single"/>
        </w:rPr>
        <w:t xml:space="preserve"> the WIPO</w:t>
      </w:r>
    </w:p>
    <w:p w:rsidR="00963DC9" w:rsidRDefault="00145A1A" w:rsidP="00903BE9">
      <w:pPr>
        <w:jc w:val="center"/>
        <w:rPr>
          <w:u w:val="single"/>
        </w:rPr>
      </w:pPr>
      <w:r>
        <w:rPr>
          <w:u w:val="single"/>
        </w:rPr>
        <w:t xml:space="preserve">General Assembly </w:t>
      </w:r>
      <w:r w:rsidR="00963DC9">
        <w:rPr>
          <w:u w:val="single"/>
        </w:rPr>
        <w:t xml:space="preserve">in </w:t>
      </w:r>
      <w:r>
        <w:rPr>
          <w:u w:val="single"/>
        </w:rPr>
        <w:t xml:space="preserve">2015, namely </w:t>
      </w:r>
      <w:r w:rsidR="00963DC9">
        <w:rPr>
          <w:u w:val="single"/>
        </w:rPr>
        <w:t>disclosure</w:t>
      </w:r>
      <w:r w:rsidR="00963DC9" w:rsidRPr="00963DC9">
        <w:rPr>
          <w:u w:val="single"/>
        </w:rPr>
        <w:t xml:space="preserve"> </w:t>
      </w:r>
      <w:r w:rsidR="00963DC9">
        <w:rPr>
          <w:u w:val="single"/>
        </w:rPr>
        <w:t xml:space="preserve">and </w:t>
      </w:r>
      <w:r>
        <w:rPr>
          <w:u w:val="single"/>
        </w:rPr>
        <w:t xml:space="preserve">technical assistance </w:t>
      </w:r>
    </w:p>
    <w:p w:rsidR="00145A1A" w:rsidRDefault="00963DC9" w:rsidP="00903BE9">
      <w:pPr>
        <w:jc w:val="center"/>
        <w:rPr>
          <w:u w:val="single"/>
        </w:rPr>
      </w:pPr>
      <w:r>
        <w:rPr>
          <w:u w:val="single"/>
        </w:rPr>
        <w:t>(extracts from documents SCT/35/2 and 3</w:t>
      </w:r>
      <w:r w:rsidR="003648FD">
        <w:rPr>
          <w:u w:val="single"/>
        </w:rPr>
        <w:t>, including the relevant footnotes</w:t>
      </w:r>
      <w:r>
        <w:rPr>
          <w:u w:val="single"/>
        </w:rPr>
        <w:t>)</w:t>
      </w:r>
    </w:p>
    <w:p w:rsidR="0054299F" w:rsidRDefault="0054299F" w:rsidP="00903BE9">
      <w:pPr>
        <w:jc w:val="center"/>
        <w:rPr>
          <w:u w:val="single"/>
        </w:rPr>
      </w:pPr>
    </w:p>
    <w:p w:rsidR="00145A1A" w:rsidRPr="000F6BAA" w:rsidRDefault="00145A1A" w:rsidP="00903BE9">
      <w:pPr>
        <w:rPr>
          <w:u w:val="single"/>
        </w:rPr>
      </w:pPr>
      <w:r w:rsidRPr="000F6BAA">
        <w:rPr>
          <w:u w:val="single"/>
        </w:rPr>
        <w:t>Disclosure</w:t>
      </w:r>
    </w:p>
    <w:p w:rsidR="00145A1A" w:rsidRDefault="00145A1A" w:rsidP="00903BE9">
      <w:pPr>
        <w:rPr>
          <w:u w:val="single"/>
        </w:rPr>
      </w:pPr>
    </w:p>
    <w:p w:rsidR="00145A1A" w:rsidRDefault="00145A1A" w:rsidP="00903BE9">
      <w:pPr>
        <w:rPr>
          <w:u w:val="single"/>
        </w:rPr>
      </w:pPr>
    </w:p>
    <w:p w:rsidR="00145A1A" w:rsidRPr="002B660E" w:rsidRDefault="003648FD" w:rsidP="00145A1A">
      <w:pPr>
        <w:pStyle w:val="Heading1AL"/>
        <w:keepNext/>
      </w:pPr>
      <w:bookmarkStart w:id="6" w:name="_Hlt441151177"/>
      <w:bookmarkStart w:id="7" w:name="_Toc441153302"/>
      <w:r>
        <w:t>“</w:t>
      </w:r>
      <w:r w:rsidR="00145A1A" w:rsidRPr="004C0AE3">
        <w:t>[</w:t>
      </w:r>
      <w:r w:rsidR="00145A1A" w:rsidRPr="00B07526">
        <w:t>Article 1bis</w:t>
      </w:r>
      <w:bookmarkEnd w:id="6"/>
      <w:r w:rsidR="00CA39AC" w:rsidRPr="00C23CFC">
        <w:rPr>
          <w:rStyle w:val="FootnoteReference"/>
        </w:rPr>
        <w:footnoteReference w:id="3"/>
      </w:r>
      <w:r w:rsidR="00274810" w:rsidRPr="00C23CFC">
        <w:rPr>
          <w:vertAlign w:val="superscript"/>
        </w:rPr>
        <w:t>,</w:t>
      </w:r>
      <w:r w:rsidR="006B655E" w:rsidRPr="00C23CFC">
        <w:rPr>
          <w:vertAlign w:val="superscript"/>
        </w:rPr>
        <w:t>2</w:t>
      </w:r>
      <w:r w:rsidR="00145A1A">
        <w:rPr>
          <w:vertAlign w:val="superscript"/>
        </w:rPr>
        <w:br/>
      </w:r>
      <w:r w:rsidR="00145A1A" w:rsidRPr="002B660E">
        <w:t>General Principles</w:t>
      </w:r>
      <w:bookmarkEnd w:id="7"/>
    </w:p>
    <w:p w:rsidR="00145A1A" w:rsidRPr="00120834" w:rsidRDefault="00145A1A" w:rsidP="00145A1A">
      <w:pPr>
        <w:keepNext/>
        <w:jc w:val="center"/>
      </w:pPr>
    </w:p>
    <w:p w:rsidR="00145A1A" w:rsidRPr="004C0AE3" w:rsidRDefault="00145A1A" w:rsidP="00145A1A">
      <w:pPr>
        <w:keepNext/>
        <w:rPr>
          <w:i/>
        </w:rPr>
      </w:pPr>
      <w:r w:rsidRPr="001A7B13">
        <w:t>(1)</w:t>
      </w:r>
      <w:r w:rsidRPr="001A7B13">
        <w:tab/>
      </w:r>
      <w:r w:rsidRPr="004C0AE3">
        <w:rPr>
          <w:i/>
        </w:rPr>
        <w:t>[No Regulation of Substantive Industrial Design Law]  Nothing in this Treaty or the Regulations is intended to be construed as prescribing anything that would limit the freedom of a Contracting Party to prescribe such requirements of the applicable substantive law relating to industrial designs as it desires.</w:t>
      </w:r>
    </w:p>
    <w:p w:rsidR="00145A1A" w:rsidRPr="004C0AE3" w:rsidRDefault="00145A1A" w:rsidP="00145A1A">
      <w:pPr>
        <w:rPr>
          <w:i/>
        </w:rPr>
      </w:pPr>
    </w:p>
    <w:p w:rsidR="00145A1A" w:rsidRPr="00120834" w:rsidRDefault="00145A1A" w:rsidP="00145A1A">
      <w:r w:rsidRPr="004C0AE3">
        <w:rPr>
          <w:i/>
        </w:rPr>
        <w:t>(2)</w:t>
      </w:r>
      <w:r w:rsidRPr="004C0AE3">
        <w:rPr>
          <w:i/>
        </w:rPr>
        <w:tab/>
        <w:t xml:space="preserve">[Relation to Other Treaties]  </w:t>
      </w:r>
      <w:r w:rsidRPr="003648FD">
        <w:rPr>
          <w:i/>
          <w:lang w:val="en"/>
        </w:rPr>
        <w:t>Nothing in this Treaty shall derogate from any obligations that Contracting Parties have to each other under any other treaties.</w:t>
      </w:r>
      <w:r w:rsidRPr="003648FD">
        <w:rPr>
          <w:b/>
          <w:i/>
        </w:rPr>
        <w:t>]</w:t>
      </w:r>
      <w:r w:rsidR="003648FD" w:rsidRPr="003648FD">
        <w:rPr>
          <w:b/>
          <w:i/>
        </w:rPr>
        <w:t>”</w:t>
      </w:r>
    </w:p>
    <w:p w:rsidR="00145A1A" w:rsidRPr="00903BE9" w:rsidRDefault="00145A1A" w:rsidP="00903BE9">
      <w:pPr>
        <w:rPr>
          <w:u w:val="single"/>
        </w:rPr>
      </w:pPr>
    </w:p>
    <w:p w:rsidR="00145A1A" w:rsidRDefault="00145A1A" w:rsidP="00903BE9">
      <w:pPr>
        <w:jc w:val="both"/>
      </w:pPr>
    </w:p>
    <w:p w:rsidR="00145A1A" w:rsidRPr="007A613F" w:rsidRDefault="003648FD" w:rsidP="00145A1A">
      <w:pPr>
        <w:pStyle w:val="Heading1AL"/>
        <w:keepNext/>
        <w:rPr>
          <w:noProof/>
        </w:rPr>
      </w:pPr>
      <w:bookmarkStart w:id="8" w:name="_Toc282779859"/>
      <w:bookmarkStart w:id="9" w:name="_Toc284497364"/>
      <w:bookmarkStart w:id="10" w:name="_Toc298411432"/>
      <w:bookmarkStart w:id="11" w:name="_Toc338745653"/>
      <w:bookmarkStart w:id="12" w:name="_Toc378668208"/>
      <w:bookmarkStart w:id="13" w:name="_Toc441153304"/>
      <w:r>
        <w:rPr>
          <w:noProof/>
        </w:rPr>
        <w:t>“</w:t>
      </w:r>
      <w:r w:rsidR="00145A1A" w:rsidRPr="007A613F">
        <w:rPr>
          <w:noProof/>
        </w:rPr>
        <w:t>Article 3</w:t>
      </w:r>
      <w:bookmarkStart w:id="14" w:name="_Toc282779860"/>
      <w:bookmarkEnd w:id="8"/>
      <w:r w:rsidR="00145A1A" w:rsidRPr="007A613F">
        <w:rPr>
          <w:noProof/>
        </w:rPr>
        <w:br/>
        <w:t>Application</w:t>
      </w:r>
      <w:bookmarkEnd w:id="9"/>
      <w:bookmarkEnd w:id="10"/>
      <w:bookmarkEnd w:id="11"/>
      <w:bookmarkEnd w:id="12"/>
      <w:bookmarkEnd w:id="13"/>
      <w:bookmarkEnd w:id="14"/>
    </w:p>
    <w:p w:rsidR="00145A1A" w:rsidRPr="007A613F" w:rsidRDefault="00145A1A" w:rsidP="00451777">
      <w:pPr>
        <w:keepNext/>
        <w:tabs>
          <w:tab w:val="left" w:pos="0"/>
          <w:tab w:val="right" w:pos="9072"/>
        </w:tabs>
        <w:rPr>
          <w:noProof/>
          <w:szCs w:val="22"/>
        </w:rPr>
      </w:pPr>
    </w:p>
    <w:p w:rsidR="00542E61" w:rsidRPr="00542E61" w:rsidRDefault="00145A1A" w:rsidP="00542E61">
      <w:pPr>
        <w:pStyle w:val="ListParagraph"/>
        <w:keepNext/>
        <w:numPr>
          <w:ilvl w:val="0"/>
          <w:numId w:val="11"/>
        </w:numPr>
        <w:tabs>
          <w:tab w:val="left" w:pos="567"/>
          <w:tab w:val="right" w:pos="9072"/>
        </w:tabs>
        <w:ind w:left="0" w:firstLine="0"/>
        <w:rPr>
          <w:i/>
          <w:iCs/>
          <w:noProof/>
          <w:szCs w:val="22"/>
        </w:rPr>
      </w:pPr>
      <w:r w:rsidRPr="00542E61">
        <w:rPr>
          <w:i/>
          <w:iCs/>
          <w:noProof/>
          <w:szCs w:val="22"/>
        </w:rPr>
        <w:t>[Contents of Application;  Fee]  (a)  A Contracting Party may require that an application contain some, or all, of the following indications or elements:</w:t>
      </w:r>
    </w:p>
    <w:p w:rsidR="00542E61" w:rsidRDefault="00542E61" w:rsidP="00542E61">
      <w:pPr>
        <w:pStyle w:val="ListParagraph"/>
        <w:keepNext/>
        <w:tabs>
          <w:tab w:val="right" w:pos="9072"/>
        </w:tabs>
        <w:ind w:left="1005"/>
      </w:pPr>
    </w:p>
    <w:p w:rsidR="00145A1A" w:rsidRDefault="00145A1A" w:rsidP="00542E61">
      <w:pPr>
        <w:pStyle w:val="ListParagraph"/>
        <w:keepNext/>
        <w:tabs>
          <w:tab w:val="right" w:pos="9072"/>
        </w:tabs>
        <w:ind w:left="0"/>
      </w:pPr>
      <w:r>
        <w:t>[…]</w:t>
      </w:r>
    </w:p>
    <w:p w:rsidR="00542E61" w:rsidRDefault="00542E61" w:rsidP="00542E61">
      <w:pPr>
        <w:pStyle w:val="ListParagraph"/>
        <w:keepNext/>
        <w:tabs>
          <w:tab w:val="right" w:pos="9072"/>
        </w:tabs>
        <w:ind w:left="0"/>
      </w:pPr>
    </w:p>
    <w:p w:rsidR="005205BC" w:rsidRPr="004C0AE3" w:rsidRDefault="005205BC" w:rsidP="005205BC">
      <w:pPr>
        <w:ind w:left="284" w:firstLine="720"/>
        <w:rPr>
          <w:i/>
        </w:rPr>
      </w:pPr>
      <w:r w:rsidRPr="004C0AE3">
        <w:rPr>
          <w:b/>
          <w:bCs/>
          <w:i/>
          <w:iCs/>
        </w:rPr>
        <w:t>[</w:t>
      </w:r>
      <w:r w:rsidRPr="004C0AE3">
        <w:rPr>
          <w:i/>
          <w:iCs/>
        </w:rPr>
        <w:t xml:space="preserve">(ix) </w:t>
      </w:r>
      <w:r w:rsidRPr="004C0AE3">
        <w:rPr>
          <w:i/>
        </w:rPr>
        <w:t>a disclosure of the origin or source of traditional cultural expressions, traditional knowledge or biological/genetic resources utilized or incorporated in the industrial design;</w:t>
      </w:r>
      <w:r w:rsidRPr="004C0AE3">
        <w:rPr>
          <w:b/>
          <w:i/>
        </w:rPr>
        <w:t>]</w:t>
      </w:r>
      <w:r w:rsidR="006B655E" w:rsidRPr="00C23CFC">
        <w:rPr>
          <w:rStyle w:val="FootnoteReference"/>
          <w:b/>
          <w:i/>
        </w:rPr>
        <w:t>8</w:t>
      </w:r>
      <w:r w:rsidR="003648FD">
        <w:rPr>
          <w:b/>
          <w:i/>
        </w:rPr>
        <w:t>”</w:t>
      </w:r>
    </w:p>
    <w:p w:rsidR="00145A1A" w:rsidRDefault="00145A1A" w:rsidP="00903BE9">
      <w:pPr>
        <w:jc w:val="both"/>
      </w:pPr>
    </w:p>
    <w:p w:rsidR="008202A4" w:rsidRDefault="008202A4" w:rsidP="00903BE9">
      <w:pPr>
        <w:jc w:val="both"/>
      </w:pPr>
    </w:p>
    <w:p w:rsidR="005205BC" w:rsidRPr="00DF7B38" w:rsidRDefault="003648FD" w:rsidP="005205BC">
      <w:pPr>
        <w:pStyle w:val="headings"/>
      </w:pPr>
      <w:bookmarkStart w:id="15" w:name="_Toc298416290"/>
      <w:bookmarkStart w:id="16" w:name="_Toc377375413"/>
      <w:r>
        <w:t>“</w:t>
      </w:r>
      <w:r w:rsidR="005205BC" w:rsidRPr="00DF7B38">
        <w:t>Rule 2</w:t>
      </w:r>
      <w:r w:rsidR="005205BC" w:rsidRPr="00DF7B38">
        <w:br/>
      </w:r>
      <w:smartTag w:uri="urn:schemas-microsoft-com:office:smarttags" w:element="PersonName">
        <w:r w:rsidR="005205BC" w:rsidRPr="00DF7B38">
          <w:t>Det</w:t>
        </w:r>
      </w:smartTag>
      <w:r w:rsidR="005205BC" w:rsidRPr="00DF7B38">
        <w:t>ails Concerning the Application</w:t>
      </w:r>
      <w:bookmarkEnd w:id="15"/>
      <w:bookmarkEnd w:id="16"/>
    </w:p>
    <w:p w:rsidR="005205BC" w:rsidRPr="00DF7B38" w:rsidRDefault="005205BC" w:rsidP="005205BC">
      <w:pPr>
        <w:pStyle w:val="Article1"/>
        <w:keepNext/>
        <w:rPr>
          <w:sz w:val="22"/>
          <w:szCs w:val="22"/>
        </w:rPr>
      </w:pPr>
    </w:p>
    <w:p w:rsidR="00542E61" w:rsidRPr="00542E61" w:rsidRDefault="005205BC" w:rsidP="00542E61">
      <w:pPr>
        <w:pStyle w:val="ListParagraph"/>
        <w:keepNext/>
        <w:numPr>
          <w:ilvl w:val="0"/>
          <w:numId w:val="10"/>
        </w:numPr>
        <w:tabs>
          <w:tab w:val="left" w:pos="550"/>
          <w:tab w:val="right" w:pos="9072"/>
        </w:tabs>
        <w:ind w:left="0" w:firstLine="0"/>
      </w:pPr>
      <w:r w:rsidRPr="00542E61">
        <w:rPr>
          <w:i/>
          <w:iCs/>
          <w:szCs w:val="22"/>
        </w:rPr>
        <w:t>[Further Requirements Under Article 3]  In addition to the requirements provided for in Article 3, a Contracting Party may require that an application contain some, or all, of the following indications or elements:</w:t>
      </w:r>
    </w:p>
    <w:p w:rsidR="00542E61" w:rsidRPr="00542E61" w:rsidRDefault="00542E61" w:rsidP="00542E61">
      <w:pPr>
        <w:pStyle w:val="ListParagraph"/>
        <w:keepNext/>
        <w:tabs>
          <w:tab w:val="left" w:pos="142"/>
          <w:tab w:val="left" w:pos="550"/>
          <w:tab w:val="right" w:pos="9072"/>
        </w:tabs>
        <w:ind w:left="915"/>
      </w:pPr>
    </w:p>
    <w:p w:rsidR="005205BC" w:rsidRDefault="005205BC" w:rsidP="00542E61">
      <w:pPr>
        <w:pStyle w:val="ListParagraph"/>
        <w:keepNext/>
        <w:tabs>
          <w:tab w:val="left" w:pos="550"/>
          <w:tab w:val="right" w:pos="9072"/>
        </w:tabs>
        <w:ind w:left="0"/>
      </w:pPr>
      <w:r>
        <w:t>[…]</w:t>
      </w:r>
    </w:p>
    <w:p w:rsidR="00542E61" w:rsidRDefault="00542E61" w:rsidP="00542E61">
      <w:pPr>
        <w:pStyle w:val="ListParagraph"/>
        <w:keepNext/>
        <w:tabs>
          <w:tab w:val="left" w:pos="142"/>
          <w:tab w:val="left" w:pos="550"/>
          <w:tab w:val="right" w:pos="9072"/>
        </w:tabs>
        <w:ind w:left="915"/>
      </w:pPr>
    </w:p>
    <w:p w:rsidR="005205BC" w:rsidRDefault="005205BC" w:rsidP="00903BE9">
      <w:pPr>
        <w:ind w:left="567" w:firstLine="567"/>
        <w:jc w:val="both"/>
        <w:rPr>
          <w:i/>
          <w:iCs/>
          <w:szCs w:val="22"/>
        </w:rPr>
      </w:pPr>
      <w:r>
        <w:rPr>
          <w:i/>
          <w:iCs/>
          <w:szCs w:val="22"/>
        </w:rPr>
        <w:t>(x)</w:t>
      </w:r>
      <w:r>
        <w:rPr>
          <w:i/>
          <w:iCs/>
          <w:szCs w:val="22"/>
        </w:rPr>
        <w:tab/>
      </w:r>
      <w:r w:rsidRPr="00DF7B38">
        <w:rPr>
          <w:i/>
          <w:iCs/>
          <w:szCs w:val="22"/>
        </w:rPr>
        <w:t>an indication of any prior application or registration, or other information, of which the applicant is aware, that could have an effect on the eligibility for registration of the industrial design</w:t>
      </w:r>
      <w:r>
        <w:rPr>
          <w:i/>
          <w:iCs/>
          <w:szCs w:val="22"/>
        </w:rPr>
        <w:t>;</w:t>
      </w:r>
      <w:r w:rsidR="003648FD">
        <w:rPr>
          <w:i/>
          <w:iCs/>
          <w:szCs w:val="22"/>
        </w:rPr>
        <w:t>”</w:t>
      </w:r>
    </w:p>
    <w:p w:rsidR="005205BC" w:rsidRDefault="005205BC" w:rsidP="00903BE9">
      <w:pPr>
        <w:ind w:left="567" w:firstLine="567"/>
        <w:jc w:val="both"/>
        <w:rPr>
          <w:i/>
          <w:iCs/>
          <w:szCs w:val="22"/>
        </w:rPr>
      </w:pPr>
    </w:p>
    <w:p w:rsidR="00903BE9" w:rsidRDefault="00903BE9">
      <w:pPr>
        <w:rPr>
          <w:iCs/>
          <w:szCs w:val="22"/>
        </w:rPr>
      </w:pPr>
      <w:r>
        <w:rPr>
          <w:iCs/>
          <w:szCs w:val="22"/>
        </w:rPr>
        <w:br w:type="page"/>
      </w:r>
    </w:p>
    <w:p w:rsidR="005205BC" w:rsidRDefault="005205BC" w:rsidP="00903BE9">
      <w:pPr>
        <w:jc w:val="both"/>
        <w:rPr>
          <w:iCs/>
          <w:szCs w:val="22"/>
        </w:rPr>
      </w:pPr>
      <w:r>
        <w:rPr>
          <w:iCs/>
          <w:szCs w:val="22"/>
          <w:u w:val="single"/>
        </w:rPr>
        <w:lastRenderedPageBreak/>
        <w:t>Technical assistance</w:t>
      </w:r>
    </w:p>
    <w:p w:rsidR="005205BC" w:rsidRDefault="005205BC" w:rsidP="00903BE9">
      <w:pPr>
        <w:jc w:val="both"/>
      </w:pPr>
    </w:p>
    <w:p w:rsidR="003648FD" w:rsidRPr="005205BC" w:rsidRDefault="003648FD" w:rsidP="00903BE9">
      <w:pPr>
        <w:jc w:val="both"/>
      </w:pPr>
    </w:p>
    <w:p w:rsidR="005205BC" w:rsidRPr="00BF5666" w:rsidRDefault="003648FD" w:rsidP="005205BC">
      <w:pPr>
        <w:pStyle w:val="Heading1AL"/>
        <w:keepNext/>
        <w:rPr>
          <w:noProof/>
        </w:rPr>
      </w:pPr>
      <w:bookmarkStart w:id="17" w:name="_Toc378668229"/>
      <w:bookmarkStart w:id="18" w:name="_Toc441153324"/>
      <w:r w:rsidRPr="00BF5666">
        <w:rPr>
          <w:noProof/>
        </w:rPr>
        <w:t>“</w:t>
      </w:r>
      <w:r w:rsidR="005205BC" w:rsidRPr="00BF5666">
        <w:rPr>
          <w:noProof/>
        </w:rPr>
        <w:t>[Article 22] [Resolution]</w:t>
      </w:r>
      <w:bookmarkEnd w:id="17"/>
      <w:r w:rsidR="005205BC" w:rsidRPr="00BF5666">
        <w:rPr>
          <w:noProof/>
        </w:rPr>
        <w:br/>
      </w:r>
      <w:bookmarkStart w:id="19" w:name="_Toc378668230"/>
      <w:r w:rsidR="005205BC" w:rsidRPr="00BF5666">
        <w:rPr>
          <w:noProof/>
        </w:rPr>
        <w:t>Technical Assistance and Capacity Building</w:t>
      </w:r>
      <w:bookmarkEnd w:id="18"/>
      <w:bookmarkEnd w:id="19"/>
    </w:p>
    <w:p w:rsidR="005205BC" w:rsidRPr="00BF5666" w:rsidRDefault="005205BC" w:rsidP="005205BC"/>
    <w:p w:rsidR="005205BC" w:rsidRPr="00BF5666" w:rsidRDefault="005205BC" w:rsidP="005205BC">
      <w:pPr>
        <w:tabs>
          <w:tab w:val="left" w:pos="567"/>
        </w:tabs>
        <w:rPr>
          <w:i/>
        </w:rPr>
      </w:pPr>
      <w:r w:rsidRPr="00BF5666">
        <w:rPr>
          <w:b/>
          <w:i/>
        </w:rPr>
        <w:t>[</w:t>
      </w:r>
      <w:r w:rsidRPr="00BF5666">
        <w:rPr>
          <w:i/>
        </w:rPr>
        <w:t>(1)</w:t>
      </w:r>
      <w:r w:rsidRPr="00BF5666">
        <w:rPr>
          <w:b/>
          <w:i/>
        </w:rPr>
        <w:t>]</w:t>
      </w:r>
      <w:r w:rsidRPr="00BF5666">
        <w:rPr>
          <w:i/>
        </w:rPr>
        <w:tab/>
        <w:t>[Principles]  The Organization shall, subject to availability of resources and with a view to facilitating the implementation of the Treaty, provide technical assistance, in particular to developing countries and Least Developed Countries.  Such technical assistance shall</w:t>
      </w:r>
    </w:p>
    <w:p w:rsidR="005205BC" w:rsidRPr="00BF5666" w:rsidRDefault="005205BC" w:rsidP="005205BC">
      <w:pPr>
        <w:ind w:firstLine="720"/>
        <w:rPr>
          <w:i/>
        </w:rPr>
      </w:pPr>
    </w:p>
    <w:p w:rsidR="005205BC" w:rsidRPr="00BF5666" w:rsidRDefault="005205BC" w:rsidP="005205BC">
      <w:pPr>
        <w:tabs>
          <w:tab w:val="left" w:pos="1701"/>
        </w:tabs>
        <w:ind w:firstLine="1134"/>
        <w:rPr>
          <w:i/>
        </w:rPr>
      </w:pPr>
      <w:r w:rsidRPr="00BF5666">
        <w:rPr>
          <w:i/>
        </w:rPr>
        <w:t>(i)</w:t>
      </w:r>
      <w:r w:rsidRPr="00BF5666">
        <w:rPr>
          <w:i/>
        </w:rPr>
        <w:tab/>
        <w:t>be development-oriented, demand-driven, transparent, targeted and adequate for the strengthening of the capacity of beneficiary countries to implement the Treaty;</w:t>
      </w:r>
    </w:p>
    <w:p w:rsidR="005205BC" w:rsidRPr="00BF5666" w:rsidRDefault="005205BC" w:rsidP="005205BC">
      <w:pPr>
        <w:ind w:firstLine="1134"/>
        <w:rPr>
          <w:i/>
        </w:rPr>
      </w:pPr>
    </w:p>
    <w:p w:rsidR="005205BC" w:rsidRPr="00BF5666" w:rsidRDefault="005205BC" w:rsidP="005205BC">
      <w:pPr>
        <w:tabs>
          <w:tab w:val="left" w:pos="1701"/>
        </w:tabs>
        <w:ind w:firstLine="1134"/>
        <w:rPr>
          <w:i/>
        </w:rPr>
      </w:pPr>
      <w:r w:rsidRPr="00BF5666">
        <w:rPr>
          <w:i/>
        </w:rPr>
        <w:t>(ii)</w:t>
      </w:r>
      <w:r w:rsidRPr="00BF5666">
        <w:rPr>
          <w:i/>
        </w:rPr>
        <w:tab/>
        <w:t>take into account the priorities and the specific needs of receiving countries for enabling the users to take full advantage of the provisions of the Treaty.</w:t>
      </w:r>
    </w:p>
    <w:p w:rsidR="005205BC" w:rsidRPr="00BF5666" w:rsidRDefault="005205BC" w:rsidP="005205BC">
      <w:pPr>
        <w:ind w:firstLine="1134"/>
        <w:rPr>
          <w:i/>
        </w:rPr>
      </w:pPr>
    </w:p>
    <w:p w:rsidR="005205BC" w:rsidRPr="00012CCC" w:rsidRDefault="005205BC" w:rsidP="005205BC">
      <w:pPr>
        <w:rPr>
          <w:i/>
        </w:rPr>
      </w:pPr>
      <w:r w:rsidRPr="00BF5666">
        <w:rPr>
          <w:i/>
        </w:rPr>
        <w:t>(2)</w:t>
      </w:r>
      <w:r w:rsidRPr="00BF5666">
        <w:rPr>
          <w:i/>
        </w:rPr>
        <w:tab/>
        <w:t>[Technical Assistance and Capacity Building]  (a)  Technical assistance and capacity building activities provided under this Treaty shall be for the implementation of this Treaty and, where requested, include</w:t>
      </w:r>
      <w:r w:rsidR="00BF5666" w:rsidRPr="00012CCC">
        <w:rPr>
          <w:rStyle w:val="FootnoteReference"/>
          <w:i/>
        </w:rPr>
        <w:footnoteReference w:customMarkFollows="1" w:id="4"/>
        <w:t>23</w:t>
      </w:r>
      <w:r w:rsidR="00012CCC" w:rsidRPr="00012CCC">
        <w:rPr>
          <w:rStyle w:val="FootnoteReference"/>
          <w:i/>
          <w:vertAlign w:val="baseline"/>
        </w:rPr>
        <w:t>:</w:t>
      </w:r>
    </w:p>
    <w:p w:rsidR="005205BC" w:rsidRPr="00BF5666" w:rsidRDefault="005205BC" w:rsidP="005205BC">
      <w:pPr>
        <w:ind w:firstLine="1134"/>
        <w:rPr>
          <w:i/>
        </w:rPr>
      </w:pPr>
    </w:p>
    <w:p w:rsidR="005205BC" w:rsidRPr="00BF5666" w:rsidRDefault="005205BC" w:rsidP="005205BC">
      <w:pPr>
        <w:tabs>
          <w:tab w:val="left" w:pos="1701"/>
        </w:tabs>
        <w:ind w:firstLine="1134"/>
        <w:rPr>
          <w:i/>
        </w:rPr>
      </w:pPr>
      <w:r w:rsidRPr="00BF5666">
        <w:rPr>
          <w:i/>
        </w:rPr>
        <w:t>(i)</w:t>
      </w:r>
      <w:r w:rsidRPr="00BF5666">
        <w:rPr>
          <w:i/>
        </w:rPr>
        <w:tab/>
        <w:t>establishing the required legal framework and revising administrative practices and procedures of design registration authorities;</w:t>
      </w:r>
    </w:p>
    <w:p w:rsidR="005205BC" w:rsidRPr="00BF5666" w:rsidRDefault="005205BC" w:rsidP="005205BC">
      <w:pPr>
        <w:ind w:firstLine="1134"/>
        <w:rPr>
          <w:i/>
        </w:rPr>
      </w:pPr>
    </w:p>
    <w:p w:rsidR="005205BC" w:rsidRPr="00BF5666" w:rsidRDefault="005205BC" w:rsidP="005205BC">
      <w:pPr>
        <w:tabs>
          <w:tab w:val="left" w:pos="1701"/>
        </w:tabs>
        <w:ind w:firstLine="1134"/>
        <w:rPr>
          <w:i/>
        </w:rPr>
      </w:pPr>
      <w:r w:rsidRPr="00BF5666">
        <w:rPr>
          <w:i/>
        </w:rPr>
        <w:t>(ii)</w:t>
      </w:r>
      <w:r w:rsidRPr="00BF5666">
        <w:rPr>
          <w:i/>
        </w:rPr>
        <w:tab/>
        <w:t xml:space="preserve">building up the necessary capacity of the Offices, including but not limited to providing training of human resources, </w:t>
      </w:r>
      <w:r w:rsidRPr="00BF5666">
        <w:rPr>
          <w:b/>
          <w:i/>
        </w:rPr>
        <w:t>[</w:t>
      </w:r>
      <w:r w:rsidRPr="00BF5666">
        <w:rPr>
          <w:i/>
        </w:rPr>
        <w:t>and providing appropriate equipment and technology as well as the required infrastructure</w:t>
      </w:r>
      <w:r w:rsidRPr="00BF5666">
        <w:rPr>
          <w:b/>
          <w:i/>
        </w:rPr>
        <w:t>]</w:t>
      </w:r>
      <w:r w:rsidRPr="00BF5666">
        <w:rPr>
          <w:i/>
        </w:rPr>
        <w:t>.</w:t>
      </w:r>
    </w:p>
    <w:p w:rsidR="005205BC" w:rsidRPr="00BF5666" w:rsidRDefault="005205BC" w:rsidP="005205BC">
      <w:pPr>
        <w:rPr>
          <w:i/>
        </w:rPr>
      </w:pPr>
    </w:p>
    <w:p w:rsidR="005205BC" w:rsidRPr="00BF5666" w:rsidRDefault="005205BC" w:rsidP="005205BC">
      <w:pPr>
        <w:tabs>
          <w:tab w:val="left" w:pos="567"/>
        </w:tabs>
        <w:ind w:firstLine="567"/>
        <w:rPr>
          <w:b/>
          <w:i/>
        </w:rPr>
      </w:pPr>
      <w:r w:rsidRPr="00BF5666">
        <w:rPr>
          <w:i/>
        </w:rPr>
        <w:t>(b)</w:t>
      </w:r>
      <w:r w:rsidRPr="00BF5666">
        <w:rPr>
          <w:i/>
        </w:rPr>
        <w:tab/>
        <w:t xml:space="preserve">The Organization shall provide, subject to </w:t>
      </w:r>
      <w:r w:rsidRPr="00BF5666">
        <w:rPr>
          <w:b/>
          <w:i/>
        </w:rPr>
        <w:t>[</w:t>
      </w:r>
      <w:r w:rsidRPr="00BF5666">
        <w:rPr>
          <w:i/>
        </w:rPr>
        <w:t>allocation and</w:t>
      </w:r>
      <w:r w:rsidRPr="00BF5666">
        <w:rPr>
          <w:b/>
          <w:i/>
        </w:rPr>
        <w:t>]</w:t>
      </w:r>
      <w:r w:rsidRPr="00BF5666">
        <w:rPr>
          <w:i/>
        </w:rPr>
        <w:t xml:space="preserve"> availability of resources financing for </w:t>
      </w:r>
      <w:r w:rsidRPr="00BF5666">
        <w:rPr>
          <w:b/>
          <w:i/>
        </w:rPr>
        <w:t>[</w:t>
      </w:r>
      <w:r w:rsidRPr="00BF5666">
        <w:rPr>
          <w:i/>
        </w:rPr>
        <w:t>WIPO</w:t>
      </w:r>
      <w:r w:rsidRPr="00BF5666">
        <w:rPr>
          <w:b/>
          <w:i/>
        </w:rPr>
        <w:t xml:space="preserve">] </w:t>
      </w:r>
      <w:r w:rsidRPr="00BF5666">
        <w:rPr>
          <w:i/>
        </w:rPr>
        <w:t xml:space="preserve">activities and measures that are required to implement the Treaty in accordance with paragraph (2)(a), (3)(a) </w:t>
      </w:r>
      <w:r w:rsidRPr="00BF5666">
        <w:rPr>
          <w:b/>
          <w:i/>
        </w:rPr>
        <w:t>[</w:t>
      </w:r>
      <w:r w:rsidRPr="00BF5666">
        <w:rPr>
          <w:i/>
        </w:rPr>
        <w:t>and Article 24(1)(c)</w:t>
      </w:r>
      <w:r w:rsidRPr="00BF5666">
        <w:rPr>
          <w:b/>
          <w:i/>
        </w:rPr>
        <w:t>]</w:t>
      </w:r>
      <w:r w:rsidRPr="00BF5666">
        <w:rPr>
          <w:i/>
        </w:rPr>
        <w:t xml:space="preserve">.  </w:t>
      </w:r>
      <w:r w:rsidRPr="00BF5666">
        <w:rPr>
          <w:b/>
          <w:i/>
        </w:rPr>
        <w:t>[</w:t>
      </w:r>
      <w:r w:rsidRPr="00BF5666">
        <w:rPr>
          <w:i/>
        </w:rPr>
        <w:t>Moreover, the Organization shall seek to enter into agreements with international financing organization, intergovernmental organizations and governments of receiving countries in order to provide financial support for technical assistance pursuant to this Treaty.</w:t>
      </w:r>
      <w:r w:rsidRPr="00BF5666">
        <w:rPr>
          <w:b/>
          <w:i/>
        </w:rPr>
        <w:t>]</w:t>
      </w:r>
    </w:p>
    <w:p w:rsidR="005205BC" w:rsidRPr="00BF5666" w:rsidRDefault="005205BC" w:rsidP="005205BC">
      <w:pPr>
        <w:tabs>
          <w:tab w:val="left" w:pos="567"/>
        </w:tabs>
        <w:ind w:firstLine="567"/>
        <w:rPr>
          <w:i/>
        </w:rPr>
      </w:pPr>
    </w:p>
    <w:p w:rsidR="005205BC" w:rsidRPr="00BF5666" w:rsidRDefault="005205BC" w:rsidP="00BF5666">
      <w:pPr>
        <w:tabs>
          <w:tab w:val="left" w:pos="0"/>
          <w:tab w:val="left" w:pos="550"/>
        </w:tabs>
        <w:ind w:left="550" w:hanging="550"/>
        <w:rPr>
          <w:i/>
        </w:rPr>
      </w:pPr>
      <w:r w:rsidRPr="00BF5666">
        <w:rPr>
          <w:i/>
        </w:rPr>
        <w:t>(3)</w:t>
      </w:r>
      <w:r w:rsidRPr="00BF5666">
        <w:rPr>
          <w:i/>
        </w:rPr>
        <w:tab/>
        <w:t>[Other Provisions]</w:t>
      </w:r>
      <w:r w:rsidR="00BF5666">
        <w:rPr>
          <w:rStyle w:val="FootnoteReference"/>
          <w:i/>
        </w:rPr>
        <w:footnoteReference w:customMarkFollows="1" w:id="5"/>
        <w:t>24</w:t>
      </w:r>
      <w:r w:rsidRPr="00BF5666">
        <w:rPr>
          <w:i/>
        </w:rPr>
        <w:t xml:space="preserve"> </w:t>
      </w:r>
      <w:r w:rsidRPr="00BF5666">
        <w:rPr>
          <w:b/>
          <w:i/>
        </w:rPr>
        <w:t>[</w:t>
      </w:r>
      <w:r w:rsidRPr="00BF5666">
        <w:rPr>
          <w:i/>
        </w:rPr>
        <w:t>(a)  The World Intellectual Property Organization is urged to expedite the creation of a digital library system for registered designs.  Contracting Parties shall endeavor to communicate published registered design information through such system.  The Organization shall support Contracting Parties in their efforts to exchange information through this system.</w:t>
      </w:r>
      <w:r w:rsidRPr="00BF5666">
        <w:rPr>
          <w:b/>
          <w:i/>
        </w:rPr>
        <w:t>]</w:t>
      </w:r>
    </w:p>
    <w:p w:rsidR="005205BC" w:rsidRPr="00BF5666" w:rsidRDefault="005205BC" w:rsidP="005205BC">
      <w:pPr>
        <w:ind w:firstLine="720"/>
        <w:rPr>
          <w:b/>
          <w:i/>
        </w:rPr>
      </w:pPr>
    </w:p>
    <w:p w:rsidR="005205BC" w:rsidRPr="00BF5666" w:rsidRDefault="005205BC" w:rsidP="005205BC">
      <w:pPr>
        <w:tabs>
          <w:tab w:val="left" w:pos="1134"/>
        </w:tabs>
        <w:ind w:firstLine="567"/>
        <w:rPr>
          <w:i/>
        </w:rPr>
      </w:pPr>
      <w:r w:rsidRPr="00BF5666">
        <w:rPr>
          <w:b/>
          <w:i/>
        </w:rPr>
        <w:t>[</w:t>
      </w:r>
      <w:r w:rsidRPr="00BF5666">
        <w:rPr>
          <w:i/>
        </w:rPr>
        <w:t>(b)</w:t>
      </w:r>
      <w:r w:rsidRPr="00BF5666">
        <w:rPr>
          <w:i/>
        </w:rPr>
        <w:tab/>
        <w:t xml:space="preserve">Contracting Parties to this Treaty </w:t>
      </w:r>
      <w:r w:rsidRPr="00BF5666">
        <w:rPr>
          <w:b/>
          <w:i/>
        </w:rPr>
        <w:t>[</w:t>
      </w:r>
      <w:r w:rsidRPr="00BF5666">
        <w:rPr>
          <w:i/>
        </w:rPr>
        <w:t>shall endeavor</w:t>
      </w:r>
      <w:r w:rsidRPr="00BF5666">
        <w:rPr>
          <w:b/>
          <w:i/>
        </w:rPr>
        <w:t>][</w:t>
      </w:r>
      <w:r w:rsidRPr="00BF5666">
        <w:rPr>
          <w:i/>
        </w:rPr>
        <w:t>are encouraged</w:t>
      </w:r>
      <w:r w:rsidRPr="00BF5666">
        <w:rPr>
          <w:b/>
          <w:i/>
        </w:rPr>
        <w:t>]</w:t>
      </w:r>
      <w:r w:rsidRPr="00BF5666">
        <w:rPr>
          <w:i/>
        </w:rPr>
        <w:t xml:space="preserve"> to establish a fee reduction system to the benefit of design creators </w:t>
      </w:r>
      <w:r w:rsidRPr="00BF5666">
        <w:rPr>
          <w:b/>
          <w:i/>
        </w:rPr>
        <w:t>[</w:t>
      </w:r>
      <w:r w:rsidRPr="00BF5666">
        <w:rPr>
          <w:i/>
        </w:rPr>
        <w:t>(natural persons and small and medium enterprises (SMEs))</w:t>
      </w:r>
      <w:r w:rsidRPr="00BF5666">
        <w:rPr>
          <w:b/>
          <w:i/>
        </w:rPr>
        <w:t>]</w:t>
      </w:r>
      <w:r w:rsidRPr="00BF5666">
        <w:rPr>
          <w:i/>
        </w:rPr>
        <w:t xml:space="preserve">.  </w:t>
      </w:r>
      <w:r w:rsidRPr="00BF5666">
        <w:rPr>
          <w:b/>
          <w:i/>
        </w:rPr>
        <w:t>[</w:t>
      </w:r>
      <w:r w:rsidRPr="00BF5666">
        <w:rPr>
          <w:i/>
        </w:rPr>
        <w:t>Such fee reduction system if implemented shall apply to those who are nationals of and reside in a developing country or an LDC.</w:t>
      </w:r>
      <w:r w:rsidRPr="00BF5666">
        <w:rPr>
          <w:b/>
          <w:i/>
        </w:rPr>
        <w:t>]]</w:t>
      </w:r>
      <w:r w:rsidR="003648FD" w:rsidRPr="00BF5666">
        <w:rPr>
          <w:b/>
          <w:i/>
        </w:rPr>
        <w:t>”</w:t>
      </w:r>
    </w:p>
    <w:p w:rsidR="005205BC" w:rsidRDefault="005205BC" w:rsidP="00903BE9">
      <w:pPr>
        <w:jc w:val="both"/>
      </w:pPr>
    </w:p>
    <w:p w:rsidR="00903BE9" w:rsidRDefault="00903BE9" w:rsidP="00903BE9">
      <w:pPr>
        <w:jc w:val="both"/>
      </w:pPr>
    </w:p>
    <w:p w:rsidR="00903BE9" w:rsidRDefault="00903BE9" w:rsidP="00903BE9">
      <w:pPr>
        <w:jc w:val="both"/>
      </w:pPr>
    </w:p>
    <w:p w:rsidR="00903BE9" w:rsidRDefault="00903BE9" w:rsidP="00AB7732">
      <w:pPr>
        <w:ind w:left="5529"/>
      </w:pPr>
      <w:r w:rsidRPr="00923423">
        <w:t>[</w:t>
      </w:r>
      <w:r>
        <w:t>End of Annex and of document</w:t>
      </w:r>
      <w:r w:rsidRPr="00923423">
        <w:t>]</w:t>
      </w:r>
    </w:p>
    <w:p w:rsidR="00903BE9" w:rsidRDefault="00903BE9" w:rsidP="00274810">
      <w:pPr>
        <w:ind w:left="5529"/>
        <w:jc w:val="both"/>
      </w:pPr>
    </w:p>
    <w:sectPr w:rsidR="00903BE9" w:rsidSect="0054299F">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38F" w:rsidRDefault="0008538F">
      <w:r>
        <w:separator/>
      </w:r>
    </w:p>
  </w:endnote>
  <w:endnote w:type="continuationSeparator" w:id="0">
    <w:p w:rsidR="0008538F" w:rsidRDefault="0008538F" w:rsidP="003B38C1">
      <w:r>
        <w:separator/>
      </w:r>
    </w:p>
    <w:p w:rsidR="0008538F" w:rsidRPr="003B38C1" w:rsidRDefault="0008538F" w:rsidP="003B38C1">
      <w:pPr>
        <w:spacing w:after="60"/>
        <w:rPr>
          <w:sz w:val="17"/>
        </w:rPr>
      </w:pPr>
      <w:r>
        <w:rPr>
          <w:sz w:val="17"/>
        </w:rPr>
        <w:t>[Endnote continued from previous page]</w:t>
      </w:r>
    </w:p>
  </w:endnote>
  <w:endnote w:type="continuationNotice" w:id="1">
    <w:p w:rsidR="0008538F" w:rsidRPr="003B38C1" w:rsidRDefault="000853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38F" w:rsidRDefault="0008538F">
      <w:r>
        <w:separator/>
      </w:r>
    </w:p>
  </w:footnote>
  <w:footnote w:type="continuationSeparator" w:id="0">
    <w:p w:rsidR="0008538F" w:rsidRDefault="0008538F" w:rsidP="008B60B2">
      <w:r>
        <w:separator/>
      </w:r>
    </w:p>
    <w:p w:rsidR="0008538F" w:rsidRPr="00ED77FB" w:rsidRDefault="0008538F" w:rsidP="008B60B2">
      <w:pPr>
        <w:spacing w:after="60"/>
        <w:rPr>
          <w:sz w:val="17"/>
          <w:szCs w:val="17"/>
        </w:rPr>
      </w:pPr>
      <w:r w:rsidRPr="00ED77FB">
        <w:rPr>
          <w:sz w:val="17"/>
          <w:szCs w:val="17"/>
        </w:rPr>
        <w:t>[Footnote continued from previous page]</w:t>
      </w:r>
    </w:p>
  </w:footnote>
  <w:footnote w:type="continuationNotice" w:id="1">
    <w:p w:rsidR="0008538F" w:rsidRPr="00ED77FB" w:rsidRDefault="0008538F" w:rsidP="008B60B2">
      <w:pPr>
        <w:spacing w:before="60"/>
        <w:jc w:val="right"/>
        <w:rPr>
          <w:sz w:val="17"/>
          <w:szCs w:val="17"/>
        </w:rPr>
      </w:pPr>
      <w:r w:rsidRPr="00ED77FB">
        <w:rPr>
          <w:sz w:val="17"/>
          <w:szCs w:val="17"/>
        </w:rPr>
        <w:t>[Footnote continued on next page]</w:t>
      </w:r>
    </w:p>
  </w:footnote>
  <w:footnote w:id="2">
    <w:p w:rsidR="00E862BE" w:rsidRPr="00E862BE" w:rsidRDefault="00E862BE">
      <w:pPr>
        <w:pStyle w:val="FootnoteText"/>
      </w:pPr>
      <w:r>
        <w:rPr>
          <w:rStyle w:val="FootnoteReference"/>
        </w:rPr>
        <w:t>*</w:t>
      </w:r>
      <w:r w:rsidR="0054299F">
        <w:tab/>
      </w:r>
      <w:r w:rsidRPr="00E862BE">
        <w:t>For a detailed narrative of WIPO General Assembly sessions dealing with the convening of a diplomatic conference for the adoption of a Design Law Treaty, see document WO/GA/47/8.</w:t>
      </w:r>
    </w:p>
  </w:footnote>
  <w:footnote w:id="3">
    <w:p w:rsidR="00CA39AC" w:rsidRPr="00AD7F73" w:rsidRDefault="00CA39AC" w:rsidP="00CA39AC">
      <w:pPr>
        <w:pStyle w:val="FootnoteText"/>
      </w:pPr>
      <w:r>
        <w:rPr>
          <w:rStyle w:val="FootnoteReference"/>
        </w:rPr>
        <w:footnoteRef/>
      </w:r>
      <w:r>
        <w:tab/>
        <w:t>The text of this Article is based on the proposal made by the Chair at the thirty-fourth session of the SCT, contained in Chair Non-paper No. 1.</w:t>
      </w:r>
    </w:p>
    <w:p w:rsidR="00CA39AC" w:rsidRPr="00AD7F73" w:rsidRDefault="00CA39AC" w:rsidP="00CA39AC">
      <w:pPr>
        <w:pStyle w:val="FootnoteText"/>
      </w:pPr>
      <w:r>
        <w:rPr>
          <w:rStyle w:val="FootnoteReference"/>
        </w:rPr>
        <w:t>2</w:t>
      </w:r>
      <w:r>
        <w:tab/>
        <w:t>Some delegations indicated that they were not supportive of either this proposed article or the proposed item (ix) of Article 3(1)(a).  Some delegations supported the proposal contained in item (ix) of Article 3(1)(a).</w:t>
      </w:r>
    </w:p>
    <w:p w:rsidR="00CA39AC" w:rsidRPr="006B655E" w:rsidRDefault="00CA39AC" w:rsidP="00CA39AC">
      <w:pPr>
        <w:pStyle w:val="FootnoteText"/>
      </w:pPr>
      <w:r>
        <w:rPr>
          <w:rStyle w:val="FootnoteReference"/>
        </w:rPr>
        <w:t>8</w:t>
      </w:r>
      <w:r w:rsidRPr="00B034D0">
        <w:tab/>
        <w:t xml:space="preserve">Some delegations supported proposed item (ix) of Article 3(1)(a). </w:t>
      </w:r>
      <w:r>
        <w:t xml:space="preserve"> Some delegations were not supportive of this proposal.</w:t>
      </w:r>
    </w:p>
    <w:p w:rsidR="00CA39AC" w:rsidRPr="00274810" w:rsidRDefault="00CA39AC" w:rsidP="00CA39AC">
      <w:pPr>
        <w:pStyle w:val="FootnoteText"/>
      </w:pPr>
    </w:p>
    <w:p w:rsidR="00CA39AC" w:rsidRPr="00723F07" w:rsidRDefault="00CA39AC">
      <w:pPr>
        <w:pStyle w:val="FootnoteText"/>
      </w:pPr>
    </w:p>
  </w:footnote>
  <w:footnote w:id="4">
    <w:p w:rsidR="00BF5666" w:rsidRPr="00BF5666" w:rsidRDefault="00BF5666">
      <w:pPr>
        <w:pStyle w:val="FootnoteText"/>
      </w:pPr>
      <w:r>
        <w:rPr>
          <w:rStyle w:val="FootnoteReference"/>
        </w:rPr>
        <w:t>23</w:t>
      </w:r>
      <w:r w:rsidR="0054299F">
        <w:tab/>
      </w:r>
      <w:r w:rsidRPr="00BF5666">
        <w:t>The Delegation of the United States of America proposed to insert the words “assistance with” after the word “include”.</w:t>
      </w:r>
    </w:p>
  </w:footnote>
  <w:footnote w:id="5">
    <w:p w:rsidR="00BF5666" w:rsidRPr="00BF5666" w:rsidRDefault="00BF5666">
      <w:pPr>
        <w:pStyle w:val="FootnoteText"/>
      </w:pPr>
      <w:r>
        <w:rPr>
          <w:rStyle w:val="FootnoteReference"/>
        </w:rPr>
        <w:t>24</w:t>
      </w:r>
      <w:r w:rsidR="0054299F">
        <w:tab/>
      </w:r>
      <w:r w:rsidRPr="00BF5666">
        <w:t>Some delegations were of the opinion that the subject matter of this provision was better suited to a Resolution.  Other delegations preferred to have this provision in a separate Article.  Other delegations were of the view that this provision should not be in the Treaty.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E9" w:rsidRDefault="00903BE9" w:rsidP="00903BE9">
    <w:pPr>
      <w:jc w:val="right"/>
    </w:pPr>
    <w:r>
      <w:t>WO/GA/49/8</w:t>
    </w:r>
  </w:p>
  <w:p w:rsidR="00903BE9" w:rsidRDefault="00903BE9">
    <w:pPr>
      <w:pStyle w:val="Header"/>
      <w:jc w:val="right"/>
    </w:pPr>
    <w:r>
      <w:t xml:space="preserve">page </w:t>
    </w:r>
    <w:sdt>
      <w:sdtPr>
        <w:id w:val="-6715673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46F50">
          <w:rPr>
            <w:noProof/>
          </w:rPr>
          <w:t>2</w:t>
        </w:r>
        <w:r>
          <w:rPr>
            <w:noProof/>
          </w:rPr>
          <w:fldChar w:fldCharType="end"/>
        </w:r>
      </w:sdtContent>
    </w:sdt>
  </w:p>
  <w:p w:rsidR="00903BE9" w:rsidRDefault="00903BE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4D" w:rsidRDefault="00E23B4D" w:rsidP="00903BE9">
    <w:pPr>
      <w:jc w:val="right"/>
    </w:pPr>
    <w:r>
      <w:t>WO/GA/49/8</w:t>
    </w:r>
  </w:p>
  <w:p w:rsidR="00E23B4D" w:rsidRDefault="00E23B4D">
    <w:pPr>
      <w:pStyle w:val="Header"/>
      <w:jc w:val="right"/>
    </w:pPr>
    <w:r>
      <w:t xml:space="preserve">Annex, page </w:t>
    </w:r>
    <w:sdt>
      <w:sdtPr>
        <w:id w:val="6918149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46F50">
          <w:rPr>
            <w:noProof/>
          </w:rPr>
          <w:t>2</w:t>
        </w:r>
        <w:r>
          <w:rPr>
            <w:noProof/>
          </w:rPr>
          <w:fldChar w:fldCharType="end"/>
        </w:r>
      </w:sdtContent>
    </w:sdt>
  </w:p>
  <w:p w:rsidR="00E23B4D" w:rsidRDefault="00E23B4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FC" w:rsidRDefault="00C23CFC" w:rsidP="00C23CFC">
    <w:pPr>
      <w:pStyle w:val="Header"/>
      <w:jc w:val="right"/>
    </w:pPr>
    <w:r>
      <w:t>WO/GA/49/8</w:t>
    </w:r>
  </w:p>
  <w:p w:rsidR="00C23CFC" w:rsidRDefault="00C23CFC" w:rsidP="00C23CFC">
    <w:pPr>
      <w:pStyle w:val="Header"/>
      <w:jc w:val="right"/>
    </w:pPr>
    <w:r>
      <w:t>ANNEX</w:t>
    </w:r>
  </w:p>
  <w:p w:rsidR="00C23CFC" w:rsidRDefault="00C23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ED170A"/>
    <w:multiLevelType w:val="hybridMultilevel"/>
    <w:tmpl w:val="134CAD68"/>
    <w:lvl w:ilvl="0" w:tplc="930A8B44">
      <w:start w:val="1"/>
      <w:numFmt w:val="lowerRoman"/>
      <w:lvlText w:val="(%1)"/>
      <w:lvlJc w:val="left"/>
      <w:pPr>
        <w:ind w:left="10076" w:hanging="72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A021D4"/>
    <w:multiLevelType w:val="hybridMultilevel"/>
    <w:tmpl w:val="A80C5B30"/>
    <w:lvl w:ilvl="0" w:tplc="BCF478DA">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6D6436"/>
    <w:multiLevelType w:val="hybridMultilevel"/>
    <w:tmpl w:val="81143F92"/>
    <w:lvl w:ilvl="0" w:tplc="E77AED2E">
      <w:start w:val="3"/>
      <w:numFmt w:val="decimal"/>
      <w:lvlText w:val="(%1)"/>
      <w:lvlJc w:val="left"/>
      <w:pPr>
        <w:tabs>
          <w:tab w:val="num" w:pos="2061"/>
        </w:tabs>
        <w:ind w:left="2061" w:hanging="360"/>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start w:val="1"/>
      <w:numFmt w:val="lowerRoman"/>
      <w:lvlText w:val="%3."/>
      <w:lvlJc w:val="right"/>
      <w:pPr>
        <w:tabs>
          <w:tab w:val="num" w:pos="3501"/>
        </w:tabs>
        <w:ind w:left="3501" w:hanging="180"/>
      </w:pPr>
      <w:rPr>
        <w:rFonts w:cs="Times New Roman"/>
      </w:rPr>
    </w:lvl>
    <w:lvl w:ilvl="3" w:tplc="0409000F">
      <w:start w:val="1"/>
      <w:numFmt w:val="decimal"/>
      <w:lvlText w:val="%4."/>
      <w:lvlJc w:val="left"/>
      <w:pPr>
        <w:tabs>
          <w:tab w:val="num" w:pos="4221"/>
        </w:tabs>
        <w:ind w:left="4221" w:hanging="360"/>
      </w:pPr>
      <w:rPr>
        <w:rFonts w:cs="Times New Roman"/>
      </w:rPr>
    </w:lvl>
    <w:lvl w:ilvl="4" w:tplc="04090019">
      <w:start w:val="1"/>
      <w:numFmt w:val="lowerLetter"/>
      <w:lvlText w:val="%5."/>
      <w:lvlJc w:val="left"/>
      <w:pPr>
        <w:tabs>
          <w:tab w:val="num" w:pos="4941"/>
        </w:tabs>
        <w:ind w:left="4941" w:hanging="360"/>
      </w:pPr>
      <w:rPr>
        <w:rFonts w:cs="Times New Roman"/>
      </w:rPr>
    </w:lvl>
    <w:lvl w:ilvl="5" w:tplc="0409001B">
      <w:start w:val="1"/>
      <w:numFmt w:val="lowerRoman"/>
      <w:lvlText w:val="%6."/>
      <w:lvlJc w:val="right"/>
      <w:pPr>
        <w:tabs>
          <w:tab w:val="num" w:pos="5661"/>
        </w:tabs>
        <w:ind w:left="5661" w:hanging="180"/>
      </w:pPr>
      <w:rPr>
        <w:rFonts w:cs="Times New Roman"/>
      </w:rPr>
    </w:lvl>
    <w:lvl w:ilvl="6" w:tplc="0409000F">
      <w:start w:val="1"/>
      <w:numFmt w:val="decimal"/>
      <w:lvlText w:val="%7."/>
      <w:lvlJc w:val="left"/>
      <w:pPr>
        <w:tabs>
          <w:tab w:val="num" w:pos="6381"/>
        </w:tabs>
        <w:ind w:left="6381" w:hanging="360"/>
      </w:pPr>
      <w:rPr>
        <w:rFonts w:cs="Times New Roman"/>
      </w:rPr>
    </w:lvl>
    <w:lvl w:ilvl="7" w:tplc="04090019">
      <w:start w:val="1"/>
      <w:numFmt w:val="lowerLetter"/>
      <w:lvlText w:val="%8."/>
      <w:lvlJc w:val="left"/>
      <w:pPr>
        <w:tabs>
          <w:tab w:val="num" w:pos="7101"/>
        </w:tabs>
        <w:ind w:left="7101" w:hanging="360"/>
      </w:pPr>
      <w:rPr>
        <w:rFonts w:cs="Times New Roman"/>
      </w:rPr>
    </w:lvl>
    <w:lvl w:ilvl="8" w:tplc="0409001B">
      <w:start w:val="1"/>
      <w:numFmt w:val="lowerRoman"/>
      <w:lvlText w:val="%9."/>
      <w:lvlJc w:val="right"/>
      <w:pPr>
        <w:tabs>
          <w:tab w:val="num" w:pos="7821"/>
        </w:tabs>
        <w:ind w:left="7821" w:hanging="180"/>
      </w:pPr>
      <w:rPr>
        <w:rFonts w:cs="Times New Roman"/>
      </w:rPr>
    </w:lvl>
  </w:abstractNum>
  <w:abstractNum w:abstractNumId="9">
    <w:nsid w:val="7CDC5E8A"/>
    <w:multiLevelType w:val="hybridMultilevel"/>
    <w:tmpl w:val="9512461E"/>
    <w:lvl w:ilvl="0" w:tplc="B44AFC06">
      <w:start w:val="1"/>
      <w:numFmt w:val="lowerRoman"/>
      <w:lvlRestart w:val="0"/>
      <w:lvlText w:val="(%1)"/>
      <w:lvlJc w:val="left"/>
      <w:pPr>
        <w:tabs>
          <w:tab w:val="num" w:pos="1647"/>
        </w:tabs>
        <w:ind w:left="1647" w:hanging="567"/>
      </w:pPr>
      <w:rPr>
        <w:rFonts w:hint="default"/>
      </w:rPr>
    </w:lvl>
    <w:lvl w:ilvl="1" w:tplc="0409000F">
      <w:start w:val="1"/>
      <w:numFmt w:val="decimal"/>
      <w:lvlText w:val="%2."/>
      <w:lvlJc w:val="left"/>
      <w:pPr>
        <w:tabs>
          <w:tab w:val="num" w:pos="2540"/>
        </w:tabs>
        <w:ind w:left="2540" w:hanging="360"/>
      </w:pPr>
      <w:rPr>
        <w:rFonts w:hint="default"/>
      </w:rPr>
    </w:lvl>
    <w:lvl w:ilvl="2" w:tplc="0409001B" w:tentative="1">
      <w:start w:val="1"/>
      <w:numFmt w:val="lowerRoman"/>
      <w:lvlText w:val="%3."/>
      <w:lvlJc w:val="right"/>
      <w:pPr>
        <w:tabs>
          <w:tab w:val="num" w:pos="3260"/>
        </w:tabs>
        <w:ind w:left="3260" w:hanging="180"/>
      </w:pPr>
    </w:lvl>
    <w:lvl w:ilvl="3" w:tplc="0409000F" w:tentative="1">
      <w:start w:val="1"/>
      <w:numFmt w:val="decimal"/>
      <w:lvlText w:val="%4."/>
      <w:lvlJc w:val="left"/>
      <w:pPr>
        <w:tabs>
          <w:tab w:val="num" w:pos="3980"/>
        </w:tabs>
        <w:ind w:left="3980" w:hanging="360"/>
      </w:pPr>
    </w:lvl>
    <w:lvl w:ilvl="4" w:tplc="04090019" w:tentative="1">
      <w:start w:val="1"/>
      <w:numFmt w:val="lowerLetter"/>
      <w:lvlText w:val="%5."/>
      <w:lvlJc w:val="left"/>
      <w:pPr>
        <w:tabs>
          <w:tab w:val="num" w:pos="4700"/>
        </w:tabs>
        <w:ind w:left="4700" w:hanging="360"/>
      </w:pPr>
    </w:lvl>
    <w:lvl w:ilvl="5" w:tplc="0409001B" w:tentative="1">
      <w:start w:val="1"/>
      <w:numFmt w:val="lowerRoman"/>
      <w:lvlText w:val="%6."/>
      <w:lvlJc w:val="right"/>
      <w:pPr>
        <w:tabs>
          <w:tab w:val="num" w:pos="5420"/>
        </w:tabs>
        <w:ind w:left="5420" w:hanging="180"/>
      </w:pPr>
    </w:lvl>
    <w:lvl w:ilvl="6" w:tplc="0409000F" w:tentative="1">
      <w:start w:val="1"/>
      <w:numFmt w:val="decimal"/>
      <w:lvlText w:val="%7."/>
      <w:lvlJc w:val="left"/>
      <w:pPr>
        <w:tabs>
          <w:tab w:val="num" w:pos="6140"/>
        </w:tabs>
        <w:ind w:left="6140" w:hanging="360"/>
      </w:pPr>
    </w:lvl>
    <w:lvl w:ilvl="7" w:tplc="04090019" w:tentative="1">
      <w:start w:val="1"/>
      <w:numFmt w:val="lowerLetter"/>
      <w:lvlText w:val="%8."/>
      <w:lvlJc w:val="left"/>
      <w:pPr>
        <w:tabs>
          <w:tab w:val="num" w:pos="6860"/>
        </w:tabs>
        <w:ind w:left="6860" w:hanging="360"/>
      </w:pPr>
    </w:lvl>
    <w:lvl w:ilvl="8" w:tplc="0409001B" w:tentative="1">
      <w:start w:val="1"/>
      <w:numFmt w:val="lowerRoman"/>
      <w:lvlText w:val="%9."/>
      <w:lvlJc w:val="right"/>
      <w:pPr>
        <w:tabs>
          <w:tab w:val="num" w:pos="7580"/>
        </w:tabs>
        <w:ind w:left="7580" w:hanging="180"/>
      </w:pPr>
    </w:lvl>
  </w:abstractNum>
  <w:abstractNum w:abstractNumId="10">
    <w:nsid w:val="7F15236D"/>
    <w:multiLevelType w:val="hybridMultilevel"/>
    <w:tmpl w:val="0B30AF00"/>
    <w:lvl w:ilvl="0" w:tplc="0E4A8544">
      <w:start w:val="1"/>
      <w:numFmt w:val="decimal"/>
      <w:lvlText w:val="(%1)"/>
      <w:lvlJc w:val="left"/>
      <w:pPr>
        <w:ind w:left="915" w:hanging="55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8"/>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23"/>
    <w:rsid w:val="00012CCC"/>
    <w:rsid w:val="00033898"/>
    <w:rsid w:val="00043CAA"/>
    <w:rsid w:val="00055602"/>
    <w:rsid w:val="00075432"/>
    <w:rsid w:val="0008538F"/>
    <w:rsid w:val="000968ED"/>
    <w:rsid w:val="000D6EC6"/>
    <w:rsid w:val="000F5E56"/>
    <w:rsid w:val="000F6BAA"/>
    <w:rsid w:val="00123AC6"/>
    <w:rsid w:val="001362EE"/>
    <w:rsid w:val="00145A1A"/>
    <w:rsid w:val="001647D5"/>
    <w:rsid w:val="00166E74"/>
    <w:rsid w:val="00183054"/>
    <w:rsid w:val="001832A6"/>
    <w:rsid w:val="00197763"/>
    <w:rsid w:val="001A15FB"/>
    <w:rsid w:val="0021217E"/>
    <w:rsid w:val="00262D0C"/>
    <w:rsid w:val="002634C4"/>
    <w:rsid w:val="00274810"/>
    <w:rsid w:val="002928D3"/>
    <w:rsid w:val="002E6914"/>
    <w:rsid w:val="002F1FE6"/>
    <w:rsid w:val="002F4E68"/>
    <w:rsid w:val="00302EC5"/>
    <w:rsid w:val="00312F7F"/>
    <w:rsid w:val="00322DCD"/>
    <w:rsid w:val="00361450"/>
    <w:rsid w:val="003648FD"/>
    <w:rsid w:val="003673CF"/>
    <w:rsid w:val="003845C1"/>
    <w:rsid w:val="00392F02"/>
    <w:rsid w:val="00397443"/>
    <w:rsid w:val="003A6F89"/>
    <w:rsid w:val="003B38C1"/>
    <w:rsid w:val="003F2346"/>
    <w:rsid w:val="00423E3E"/>
    <w:rsid w:val="00427AF4"/>
    <w:rsid w:val="00451777"/>
    <w:rsid w:val="004647DA"/>
    <w:rsid w:val="00474062"/>
    <w:rsid w:val="00477D6B"/>
    <w:rsid w:val="004D0CCF"/>
    <w:rsid w:val="004D4A9A"/>
    <w:rsid w:val="004D5253"/>
    <w:rsid w:val="004F6350"/>
    <w:rsid w:val="005019FF"/>
    <w:rsid w:val="005205BC"/>
    <w:rsid w:val="0053057A"/>
    <w:rsid w:val="0054299F"/>
    <w:rsid w:val="00542E61"/>
    <w:rsid w:val="00560A29"/>
    <w:rsid w:val="005C6649"/>
    <w:rsid w:val="005D027B"/>
    <w:rsid w:val="0060414C"/>
    <w:rsid w:val="00605827"/>
    <w:rsid w:val="00646050"/>
    <w:rsid w:val="006713CA"/>
    <w:rsid w:val="00676C5C"/>
    <w:rsid w:val="006B655E"/>
    <w:rsid w:val="006C519D"/>
    <w:rsid w:val="006F3F87"/>
    <w:rsid w:val="00723F07"/>
    <w:rsid w:val="00746F50"/>
    <w:rsid w:val="00752080"/>
    <w:rsid w:val="00756DCC"/>
    <w:rsid w:val="007B122A"/>
    <w:rsid w:val="007B3CCE"/>
    <w:rsid w:val="007D1613"/>
    <w:rsid w:val="007E4C0E"/>
    <w:rsid w:val="007F1798"/>
    <w:rsid w:val="0080305D"/>
    <w:rsid w:val="008202A4"/>
    <w:rsid w:val="00885E35"/>
    <w:rsid w:val="008A134B"/>
    <w:rsid w:val="008B2CC1"/>
    <w:rsid w:val="008B5990"/>
    <w:rsid w:val="008B60B2"/>
    <w:rsid w:val="00903BE9"/>
    <w:rsid w:val="0090731E"/>
    <w:rsid w:val="00916EE2"/>
    <w:rsid w:val="00923423"/>
    <w:rsid w:val="00935C6E"/>
    <w:rsid w:val="00963DC9"/>
    <w:rsid w:val="00966A22"/>
    <w:rsid w:val="0096722F"/>
    <w:rsid w:val="00970484"/>
    <w:rsid w:val="00980843"/>
    <w:rsid w:val="009B3546"/>
    <w:rsid w:val="009C0C51"/>
    <w:rsid w:val="009E2791"/>
    <w:rsid w:val="009E3F6F"/>
    <w:rsid w:val="009E788F"/>
    <w:rsid w:val="009F499F"/>
    <w:rsid w:val="00A2708C"/>
    <w:rsid w:val="00A42DAF"/>
    <w:rsid w:val="00A44A22"/>
    <w:rsid w:val="00A45BD8"/>
    <w:rsid w:val="00A869B7"/>
    <w:rsid w:val="00A9096D"/>
    <w:rsid w:val="00AB6DA9"/>
    <w:rsid w:val="00AB7732"/>
    <w:rsid w:val="00AC205C"/>
    <w:rsid w:val="00AF0A6B"/>
    <w:rsid w:val="00B05A69"/>
    <w:rsid w:val="00B06D99"/>
    <w:rsid w:val="00B9734B"/>
    <w:rsid w:val="00BA30E2"/>
    <w:rsid w:val="00BC113F"/>
    <w:rsid w:val="00BD079E"/>
    <w:rsid w:val="00BF5666"/>
    <w:rsid w:val="00C11BFE"/>
    <w:rsid w:val="00C23CFC"/>
    <w:rsid w:val="00C34352"/>
    <w:rsid w:val="00C5068F"/>
    <w:rsid w:val="00C530C6"/>
    <w:rsid w:val="00C86D74"/>
    <w:rsid w:val="00CA39AC"/>
    <w:rsid w:val="00CA5DC5"/>
    <w:rsid w:val="00CB7885"/>
    <w:rsid w:val="00CD04F1"/>
    <w:rsid w:val="00CF455D"/>
    <w:rsid w:val="00D164ED"/>
    <w:rsid w:val="00D3287A"/>
    <w:rsid w:val="00D45252"/>
    <w:rsid w:val="00D60D60"/>
    <w:rsid w:val="00D71B4D"/>
    <w:rsid w:val="00D9013C"/>
    <w:rsid w:val="00D93D55"/>
    <w:rsid w:val="00DF474D"/>
    <w:rsid w:val="00E03E8C"/>
    <w:rsid w:val="00E15015"/>
    <w:rsid w:val="00E23B4D"/>
    <w:rsid w:val="00E335FE"/>
    <w:rsid w:val="00E862BE"/>
    <w:rsid w:val="00EA7D6E"/>
    <w:rsid w:val="00EC05D9"/>
    <w:rsid w:val="00EC4E49"/>
    <w:rsid w:val="00EC6C3F"/>
    <w:rsid w:val="00ED77FB"/>
    <w:rsid w:val="00EE45FA"/>
    <w:rsid w:val="00F32125"/>
    <w:rsid w:val="00F35199"/>
    <w:rsid w:val="00F4201C"/>
    <w:rsid w:val="00F61085"/>
    <w:rsid w:val="00F66152"/>
    <w:rsid w:val="00FA036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23423"/>
    <w:rPr>
      <w:rFonts w:ascii="Tahoma" w:hAnsi="Tahoma" w:cs="Tahoma"/>
      <w:sz w:val="16"/>
      <w:szCs w:val="16"/>
    </w:rPr>
  </w:style>
  <w:style w:type="character" w:customStyle="1" w:styleId="BalloonTextChar">
    <w:name w:val="Balloon Text Char"/>
    <w:basedOn w:val="DefaultParagraphFont"/>
    <w:link w:val="BalloonText"/>
    <w:rsid w:val="00923423"/>
    <w:rPr>
      <w:rFonts w:ascii="Tahoma" w:eastAsia="SimSun" w:hAnsi="Tahoma" w:cs="Tahoma"/>
      <w:sz w:val="16"/>
      <w:szCs w:val="16"/>
      <w:lang w:val="en-US" w:eastAsia="zh-CN"/>
    </w:rPr>
  </w:style>
  <w:style w:type="character" w:styleId="FootnoteReference">
    <w:name w:val="footnote reference"/>
    <w:rsid w:val="00923423"/>
    <w:rPr>
      <w:vertAlign w:val="superscript"/>
    </w:rPr>
  </w:style>
  <w:style w:type="character" w:customStyle="1" w:styleId="FootnoteTextChar">
    <w:name w:val="Footnote Text Char"/>
    <w:link w:val="FootnoteText"/>
    <w:semiHidden/>
    <w:locked/>
    <w:rsid w:val="00145A1A"/>
    <w:rPr>
      <w:rFonts w:ascii="Arial" w:eastAsia="SimSun" w:hAnsi="Arial" w:cs="Arial"/>
      <w:sz w:val="18"/>
      <w:lang w:val="en-US" w:eastAsia="zh-CN"/>
    </w:rPr>
  </w:style>
  <w:style w:type="paragraph" w:customStyle="1" w:styleId="Heading1AL">
    <w:name w:val="Heading 1 AL"/>
    <w:basedOn w:val="Normal"/>
    <w:link w:val="Heading1ALChar"/>
    <w:rsid w:val="00145A1A"/>
    <w:pPr>
      <w:jc w:val="center"/>
    </w:pPr>
    <w:rPr>
      <w:b/>
      <w:i/>
    </w:rPr>
  </w:style>
  <w:style w:type="character" w:customStyle="1" w:styleId="Heading1ALChar">
    <w:name w:val="Heading 1 AL Char"/>
    <w:link w:val="Heading1AL"/>
    <w:rsid w:val="00145A1A"/>
    <w:rPr>
      <w:rFonts w:ascii="Arial" w:eastAsia="SimSun" w:hAnsi="Arial" w:cs="Arial"/>
      <w:b/>
      <w:i/>
      <w:sz w:val="22"/>
      <w:lang w:val="en-US" w:eastAsia="zh-CN"/>
    </w:rPr>
  </w:style>
  <w:style w:type="paragraph" w:customStyle="1" w:styleId="Article1">
    <w:name w:val="Article 1"/>
    <w:basedOn w:val="Normal"/>
    <w:link w:val="Article1Char"/>
    <w:rsid w:val="005205BC"/>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5205BC"/>
    <w:rPr>
      <w:rFonts w:ascii="Arial" w:hAnsi="Arial"/>
      <w:b/>
      <w:bCs/>
      <w:i/>
      <w:iCs/>
      <w:lang w:val="en-US" w:eastAsia="en-US"/>
    </w:rPr>
  </w:style>
  <w:style w:type="paragraph" w:customStyle="1" w:styleId="headings">
    <w:name w:val="headings"/>
    <w:basedOn w:val="Heading1AL"/>
    <w:link w:val="headingsChar"/>
    <w:qFormat/>
    <w:rsid w:val="005205BC"/>
    <w:pPr>
      <w:keepNext/>
      <w:tabs>
        <w:tab w:val="right" w:pos="9072"/>
      </w:tabs>
    </w:pPr>
    <w:rPr>
      <w:bCs/>
      <w:iCs/>
      <w:lang w:eastAsia="en-US"/>
    </w:rPr>
  </w:style>
  <w:style w:type="character" w:customStyle="1" w:styleId="headingsChar">
    <w:name w:val="headings Char"/>
    <w:basedOn w:val="Heading1ALChar"/>
    <w:link w:val="headings"/>
    <w:rsid w:val="005205BC"/>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903BE9"/>
    <w:rPr>
      <w:rFonts w:ascii="Arial" w:eastAsia="SimSun" w:hAnsi="Arial" w:cs="Arial"/>
      <w:sz w:val="22"/>
      <w:lang w:val="en-US" w:eastAsia="zh-CN"/>
    </w:rPr>
  </w:style>
  <w:style w:type="paragraph" w:styleId="ListParagraph">
    <w:name w:val="List Paragraph"/>
    <w:basedOn w:val="Normal"/>
    <w:uiPriority w:val="34"/>
    <w:qFormat/>
    <w:rsid w:val="00542E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23423"/>
    <w:rPr>
      <w:rFonts w:ascii="Tahoma" w:hAnsi="Tahoma" w:cs="Tahoma"/>
      <w:sz w:val="16"/>
      <w:szCs w:val="16"/>
    </w:rPr>
  </w:style>
  <w:style w:type="character" w:customStyle="1" w:styleId="BalloonTextChar">
    <w:name w:val="Balloon Text Char"/>
    <w:basedOn w:val="DefaultParagraphFont"/>
    <w:link w:val="BalloonText"/>
    <w:rsid w:val="00923423"/>
    <w:rPr>
      <w:rFonts w:ascii="Tahoma" w:eastAsia="SimSun" w:hAnsi="Tahoma" w:cs="Tahoma"/>
      <w:sz w:val="16"/>
      <w:szCs w:val="16"/>
      <w:lang w:val="en-US" w:eastAsia="zh-CN"/>
    </w:rPr>
  </w:style>
  <w:style w:type="character" w:styleId="FootnoteReference">
    <w:name w:val="footnote reference"/>
    <w:rsid w:val="00923423"/>
    <w:rPr>
      <w:vertAlign w:val="superscript"/>
    </w:rPr>
  </w:style>
  <w:style w:type="character" w:customStyle="1" w:styleId="FootnoteTextChar">
    <w:name w:val="Footnote Text Char"/>
    <w:link w:val="FootnoteText"/>
    <w:semiHidden/>
    <w:locked/>
    <w:rsid w:val="00145A1A"/>
    <w:rPr>
      <w:rFonts w:ascii="Arial" w:eastAsia="SimSun" w:hAnsi="Arial" w:cs="Arial"/>
      <w:sz w:val="18"/>
      <w:lang w:val="en-US" w:eastAsia="zh-CN"/>
    </w:rPr>
  </w:style>
  <w:style w:type="paragraph" w:customStyle="1" w:styleId="Heading1AL">
    <w:name w:val="Heading 1 AL"/>
    <w:basedOn w:val="Normal"/>
    <w:link w:val="Heading1ALChar"/>
    <w:rsid w:val="00145A1A"/>
    <w:pPr>
      <w:jc w:val="center"/>
    </w:pPr>
    <w:rPr>
      <w:b/>
      <w:i/>
    </w:rPr>
  </w:style>
  <w:style w:type="character" w:customStyle="1" w:styleId="Heading1ALChar">
    <w:name w:val="Heading 1 AL Char"/>
    <w:link w:val="Heading1AL"/>
    <w:rsid w:val="00145A1A"/>
    <w:rPr>
      <w:rFonts w:ascii="Arial" w:eastAsia="SimSun" w:hAnsi="Arial" w:cs="Arial"/>
      <w:b/>
      <w:i/>
      <w:sz w:val="22"/>
      <w:lang w:val="en-US" w:eastAsia="zh-CN"/>
    </w:rPr>
  </w:style>
  <w:style w:type="paragraph" w:customStyle="1" w:styleId="Article1">
    <w:name w:val="Article 1"/>
    <w:basedOn w:val="Normal"/>
    <w:link w:val="Article1Char"/>
    <w:rsid w:val="005205BC"/>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5205BC"/>
    <w:rPr>
      <w:rFonts w:ascii="Arial" w:hAnsi="Arial"/>
      <w:b/>
      <w:bCs/>
      <w:i/>
      <w:iCs/>
      <w:lang w:val="en-US" w:eastAsia="en-US"/>
    </w:rPr>
  </w:style>
  <w:style w:type="paragraph" w:customStyle="1" w:styleId="headings">
    <w:name w:val="headings"/>
    <w:basedOn w:val="Heading1AL"/>
    <w:link w:val="headingsChar"/>
    <w:qFormat/>
    <w:rsid w:val="005205BC"/>
    <w:pPr>
      <w:keepNext/>
      <w:tabs>
        <w:tab w:val="right" w:pos="9072"/>
      </w:tabs>
    </w:pPr>
    <w:rPr>
      <w:bCs/>
      <w:iCs/>
      <w:lang w:eastAsia="en-US"/>
    </w:rPr>
  </w:style>
  <w:style w:type="character" w:customStyle="1" w:styleId="headingsChar">
    <w:name w:val="headings Char"/>
    <w:basedOn w:val="Heading1ALChar"/>
    <w:link w:val="headings"/>
    <w:rsid w:val="005205BC"/>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903BE9"/>
    <w:rPr>
      <w:rFonts w:ascii="Arial" w:eastAsia="SimSun" w:hAnsi="Arial" w:cs="Arial"/>
      <w:sz w:val="22"/>
      <w:lang w:val="en-US" w:eastAsia="zh-CN"/>
    </w:rPr>
  </w:style>
  <w:style w:type="paragraph" w:styleId="ListParagraph">
    <w:name w:val="List Paragraph"/>
    <w:basedOn w:val="Normal"/>
    <w:uiPriority w:val="34"/>
    <w:qFormat/>
    <w:rsid w:val="00542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4BB6-AF94-4650-B12A-76DCEDF1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14</TotalTime>
  <Pages>4</Pages>
  <Words>1194</Words>
  <Characters>6950</Characters>
  <Application>Microsoft Office Word</Application>
  <DocSecurity>0</DocSecurity>
  <Lines>2316</Lines>
  <Paragraphs>542</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FOSCHI Marina</dc:creator>
  <cp:lastModifiedBy>HÄFLIGER Patience</cp:lastModifiedBy>
  <cp:revision>15</cp:revision>
  <cp:lastPrinted>2017-06-01T13:36:00Z</cp:lastPrinted>
  <dcterms:created xsi:type="dcterms:W3CDTF">2017-05-30T13:07:00Z</dcterms:created>
  <dcterms:modified xsi:type="dcterms:W3CDTF">2017-06-01T13:39:00Z</dcterms:modified>
</cp:coreProperties>
</file>