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0066A12" w14:textId="77777777" w:rsidTr="00361450">
        <w:tc>
          <w:tcPr>
            <w:tcW w:w="4513" w:type="dxa"/>
            <w:tcBorders>
              <w:bottom w:val="single" w:sz="4" w:space="0" w:color="auto"/>
            </w:tcBorders>
            <w:tcMar>
              <w:bottom w:w="170" w:type="dxa"/>
            </w:tcMar>
          </w:tcPr>
          <w:p w14:paraId="09B0963E" w14:textId="77777777" w:rsidR="00EC4E49" w:rsidRPr="008B2CC1" w:rsidRDefault="00EC4E49" w:rsidP="00916EE2"/>
        </w:tc>
        <w:tc>
          <w:tcPr>
            <w:tcW w:w="4337" w:type="dxa"/>
            <w:tcBorders>
              <w:bottom w:val="single" w:sz="4" w:space="0" w:color="auto"/>
            </w:tcBorders>
            <w:tcMar>
              <w:left w:w="0" w:type="dxa"/>
              <w:right w:w="0" w:type="dxa"/>
            </w:tcMar>
          </w:tcPr>
          <w:p w14:paraId="56807195" w14:textId="77777777" w:rsidR="00EC4E49" w:rsidRPr="008B2CC1" w:rsidRDefault="00CA5DC5" w:rsidP="00916EE2">
            <w:r>
              <w:rPr>
                <w:noProof/>
                <w:lang w:eastAsia="en-US"/>
              </w:rPr>
              <w:drawing>
                <wp:inline distT="0" distB="0" distL="0" distR="0" wp14:anchorId="6449A262" wp14:editId="77E782F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8924FA7" w14:textId="77777777" w:rsidR="00EC4E49" w:rsidRPr="008B2CC1" w:rsidRDefault="00EC4E49" w:rsidP="00916EE2">
            <w:pPr>
              <w:jc w:val="right"/>
            </w:pPr>
            <w:r w:rsidRPr="00605827">
              <w:rPr>
                <w:b/>
                <w:sz w:val="40"/>
                <w:szCs w:val="40"/>
              </w:rPr>
              <w:t>E</w:t>
            </w:r>
          </w:p>
        </w:tc>
      </w:tr>
      <w:tr w:rsidR="008B2CC1" w:rsidRPr="00254057" w14:paraId="57C89A68"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1201B6A" w14:textId="087B6EAB" w:rsidR="008B2CC1" w:rsidRPr="00254057" w:rsidRDefault="00CA5DC5" w:rsidP="00916EE2">
            <w:pPr>
              <w:jc w:val="right"/>
              <w:rPr>
                <w:rFonts w:ascii="Arial Black" w:hAnsi="Arial Black"/>
                <w:caps/>
                <w:sz w:val="15"/>
              </w:rPr>
            </w:pPr>
            <w:r w:rsidRPr="00254057">
              <w:rPr>
                <w:rFonts w:ascii="Arial Black" w:hAnsi="Arial Black"/>
                <w:caps/>
                <w:sz w:val="15"/>
              </w:rPr>
              <w:t>WO/GA/49/</w:t>
            </w:r>
            <w:bookmarkStart w:id="0" w:name="Code"/>
            <w:bookmarkEnd w:id="0"/>
            <w:r w:rsidR="008A4ADD">
              <w:rPr>
                <w:rFonts w:ascii="Arial Black" w:hAnsi="Arial Black"/>
                <w:caps/>
                <w:sz w:val="15"/>
              </w:rPr>
              <w:t>19</w:t>
            </w:r>
          </w:p>
        </w:tc>
      </w:tr>
      <w:tr w:rsidR="008B2CC1" w:rsidRPr="001832A6" w14:paraId="1ADACEC7" w14:textId="77777777" w:rsidTr="00916EE2">
        <w:trPr>
          <w:trHeight w:hRule="exact" w:val="170"/>
        </w:trPr>
        <w:tc>
          <w:tcPr>
            <w:tcW w:w="9356" w:type="dxa"/>
            <w:gridSpan w:val="3"/>
            <w:noWrap/>
            <w:tcMar>
              <w:left w:w="0" w:type="dxa"/>
              <w:right w:w="0" w:type="dxa"/>
            </w:tcMar>
            <w:vAlign w:val="bottom"/>
          </w:tcPr>
          <w:p w14:paraId="45D86D02" w14:textId="355CADDC" w:rsidR="008B2CC1" w:rsidRPr="0090731E" w:rsidRDefault="008B2CC1" w:rsidP="00EB6278">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EB6278">
              <w:rPr>
                <w:rFonts w:ascii="Arial Black" w:hAnsi="Arial Black"/>
                <w:caps/>
                <w:sz w:val="15"/>
              </w:rPr>
              <w:t>ENGLISH</w:t>
            </w:r>
            <w:r w:rsidRPr="0090731E">
              <w:rPr>
                <w:rFonts w:ascii="Arial Black" w:hAnsi="Arial Black"/>
                <w:caps/>
                <w:sz w:val="15"/>
              </w:rPr>
              <w:t xml:space="preserve"> </w:t>
            </w:r>
          </w:p>
        </w:tc>
      </w:tr>
      <w:tr w:rsidR="008B2CC1" w:rsidRPr="001832A6" w14:paraId="1F07FA87" w14:textId="77777777" w:rsidTr="00916EE2">
        <w:trPr>
          <w:trHeight w:hRule="exact" w:val="198"/>
        </w:trPr>
        <w:tc>
          <w:tcPr>
            <w:tcW w:w="9356" w:type="dxa"/>
            <w:gridSpan w:val="3"/>
            <w:tcMar>
              <w:left w:w="0" w:type="dxa"/>
              <w:right w:w="0" w:type="dxa"/>
            </w:tcMar>
            <w:vAlign w:val="bottom"/>
          </w:tcPr>
          <w:p w14:paraId="573B7518" w14:textId="02E04B80" w:rsidR="008B2CC1" w:rsidRPr="0090731E" w:rsidRDefault="008B2CC1" w:rsidP="008A4ADD">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8A4ADD">
              <w:rPr>
                <w:rFonts w:ascii="Arial Black" w:hAnsi="Arial Black"/>
                <w:caps/>
                <w:sz w:val="15"/>
              </w:rPr>
              <w:t>October 4</w:t>
            </w:r>
            <w:r w:rsidR="0081310A">
              <w:rPr>
                <w:rFonts w:ascii="Arial Black" w:hAnsi="Arial Black"/>
                <w:caps/>
                <w:sz w:val="15"/>
              </w:rPr>
              <w:t>,</w:t>
            </w:r>
            <w:r w:rsidR="00DE0EAD">
              <w:rPr>
                <w:rFonts w:ascii="Arial Black" w:hAnsi="Arial Black"/>
                <w:caps/>
                <w:sz w:val="15"/>
              </w:rPr>
              <w:t xml:space="preserve"> 2017</w:t>
            </w:r>
            <w:r w:rsidRPr="0090731E">
              <w:rPr>
                <w:rFonts w:ascii="Arial Black" w:hAnsi="Arial Black"/>
                <w:caps/>
                <w:sz w:val="15"/>
              </w:rPr>
              <w:t xml:space="preserve"> </w:t>
            </w:r>
          </w:p>
        </w:tc>
      </w:tr>
    </w:tbl>
    <w:p w14:paraId="1022DA99" w14:textId="77777777" w:rsidR="008B2CC1" w:rsidRPr="008B2CC1" w:rsidRDefault="008B2CC1" w:rsidP="008B2CC1"/>
    <w:p w14:paraId="2428D2FC" w14:textId="77777777" w:rsidR="008B2CC1" w:rsidRPr="008B2CC1" w:rsidRDefault="008B2CC1" w:rsidP="008B2CC1"/>
    <w:p w14:paraId="4D32D840" w14:textId="77777777" w:rsidR="008B2CC1" w:rsidRPr="008B2CC1" w:rsidRDefault="008B2CC1" w:rsidP="008B2CC1"/>
    <w:p w14:paraId="329EECC3" w14:textId="77777777" w:rsidR="008B2CC1" w:rsidRPr="008B2CC1" w:rsidRDefault="008B2CC1" w:rsidP="008B2CC1"/>
    <w:p w14:paraId="15EDC2B1" w14:textId="77777777" w:rsidR="008B2CC1" w:rsidRPr="008B2CC1" w:rsidRDefault="008B2CC1" w:rsidP="008B2CC1"/>
    <w:p w14:paraId="6D28C1CA" w14:textId="15C97AD1" w:rsidR="0081310A" w:rsidRPr="003845C1" w:rsidRDefault="001101D0" w:rsidP="0081310A">
      <w:pPr>
        <w:rPr>
          <w:b/>
          <w:sz w:val="28"/>
          <w:szCs w:val="28"/>
        </w:rPr>
      </w:pPr>
      <w:r w:rsidRPr="00B26D45">
        <w:rPr>
          <w:b/>
          <w:sz w:val="28"/>
          <w:szCs w:val="28"/>
        </w:rPr>
        <w:t>WIPO General Assembly</w:t>
      </w:r>
      <w:r>
        <w:rPr>
          <w:b/>
          <w:sz w:val="28"/>
          <w:szCs w:val="28"/>
        </w:rPr>
        <w:t xml:space="preserve"> </w:t>
      </w:r>
    </w:p>
    <w:p w14:paraId="4F9F56F8" w14:textId="77777777" w:rsidR="0081310A" w:rsidRDefault="0081310A" w:rsidP="0081310A"/>
    <w:p w14:paraId="2ED85A36" w14:textId="77777777" w:rsidR="0081310A" w:rsidRDefault="0081310A" w:rsidP="0081310A"/>
    <w:p w14:paraId="3D099598" w14:textId="4D99D003" w:rsidR="0081310A" w:rsidRPr="00CA5DC5" w:rsidRDefault="001101D0" w:rsidP="0081310A">
      <w:pPr>
        <w:rPr>
          <w:b/>
          <w:sz w:val="24"/>
          <w:szCs w:val="24"/>
        </w:rPr>
      </w:pPr>
      <w:r w:rsidRPr="00B26D45">
        <w:rPr>
          <w:b/>
          <w:sz w:val="24"/>
          <w:szCs w:val="24"/>
        </w:rPr>
        <w:t>Forty-</w:t>
      </w:r>
      <w:r>
        <w:rPr>
          <w:b/>
          <w:sz w:val="24"/>
          <w:szCs w:val="24"/>
        </w:rPr>
        <w:t>Nin</w:t>
      </w:r>
      <w:r w:rsidRPr="00B26D45">
        <w:rPr>
          <w:b/>
          <w:sz w:val="24"/>
          <w:szCs w:val="24"/>
        </w:rPr>
        <w:t>th (2</w:t>
      </w:r>
      <w:r>
        <w:rPr>
          <w:b/>
          <w:sz w:val="24"/>
          <w:szCs w:val="24"/>
        </w:rPr>
        <w:t>3</w:t>
      </w:r>
      <w:r w:rsidRPr="002C6B9B">
        <w:rPr>
          <w:b/>
          <w:sz w:val="24"/>
          <w:szCs w:val="24"/>
          <w:vertAlign w:val="superscript"/>
        </w:rPr>
        <w:t>rd</w:t>
      </w:r>
      <w:r>
        <w:rPr>
          <w:b/>
          <w:sz w:val="24"/>
          <w:szCs w:val="24"/>
        </w:rPr>
        <w:t xml:space="preserve"> </w:t>
      </w:r>
      <w:r w:rsidRPr="00B26D45">
        <w:rPr>
          <w:b/>
          <w:sz w:val="24"/>
          <w:szCs w:val="24"/>
        </w:rPr>
        <w:t>Ordinary) Session</w:t>
      </w:r>
      <w:r w:rsidRPr="00CA5DC5">
        <w:rPr>
          <w:b/>
          <w:sz w:val="24"/>
          <w:szCs w:val="24"/>
        </w:rPr>
        <w:t xml:space="preserve"> </w:t>
      </w:r>
    </w:p>
    <w:p w14:paraId="33BCC91A" w14:textId="77777777" w:rsidR="0081310A" w:rsidRPr="003845C1" w:rsidRDefault="0081310A" w:rsidP="0081310A">
      <w:pPr>
        <w:rPr>
          <w:b/>
          <w:sz w:val="24"/>
          <w:szCs w:val="24"/>
        </w:rPr>
      </w:pPr>
      <w:r w:rsidRPr="00CA5DC5">
        <w:rPr>
          <w:b/>
          <w:sz w:val="24"/>
          <w:szCs w:val="24"/>
        </w:rPr>
        <w:t>Geneva, October 2 to 11, 2017</w:t>
      </w:r>
    </w:p>
    <w:p w14:paraId="6C7BBEF6" w14:textId="77777777" w:rsidR="0081310A" w:rsidRPr="008B2CC1" w:rsidRDefault="0081310A" w:rsidP="0081310A"/>
    <w:p w14:paraId="6259DF5F" w14:textId="77777777" w:rsidR="0081310A" w:rsidRPr="008B2CC1" w:rsidRDefault="0081310A" w:rsidP="0081310A"/>
    <w:p w14:paraId="2CDB3108" w14:textId="77777777" w:rsidR="0081310A" w:rsidRPr="008B2CC1" w:rsidRDefault="0081310A" w:rsidP="0081310A"/>
    <w:p w14:paraId="6FF4BA7F" w14:textId="5D2339F2" w:rsidR="0081310A" w:rsidRPr="001C729C" w:rsidRDefault="00D67AA3" w:rsidP="008A4ADD">
      <w:r w:rsidRPr="00D67AA3">
        <w:t>PROPOSAL OF THE UNITED STATES AND JAPAN FOR A WIPO IGC MANDATE AND WORK</w:t>
      </w:r>
      <w:r>
        <w:t xml:space="preserve"> PROGRAM FOR THE </w:t>
      </w:r>
      <w:r w:rsidR="009859CE">
        <w:t>20</w:t>
      </w:r>
      <w:r>
        <w:t>18/</w:t>
      </w:r>
      <w:r w:rsidR="009859CE">
        <w:t>20</w:t>
      </w:r>
      <w:r>
        <w:t>19 BIENNIUM</w:t>
      </w:r>
    </w:p>
    <w:p w14:paraId="1AA39BFD" w14:textId="77777777" w:rsidR="0081310A" w:rsidRPr="008B2CC1" w:rsidRDefault="0081310A" w:rsidP="0081310A"/>
    <w:p w14:paraId="11A40A83" w14:textId="1D79884B" w:rsidR="0081310A" w:rsidRPr="008B2CC1" w:rsidRDefault="00F019EC" w:rsidP="0081310A">
      <w:pPr>
        <w:rPr>
          <w:i/>
        </w:rPr>
      </w:pPr>
      <w:bookmarkStart w:id="3" w:name="Prepared"/>
      <w:bookmarkEnd w:id="3"/>
      <w:r>
        <w:rPr>
          <w:i/>
        </w:rPr>
        <w:t xml:space="preserve">Proposal </w:t>
      </w:r>
      <w:r w:rsidR="0081310A">
        <w:rPr>
          <w:i/>
        </w:rPr>
        <w:t>submitted by the Delegation</w:t>
      </w:r>
      <w:r w:rsidR="008A4ADD">
        <w:rPr>
          <w:i/>
        </w:rPr>
        <w:t>s</w:t>
      </w:r>
      <w:r w:rsidR="0081310A">
        <w:rPr>
          <w:i/>
        </w:rPr>
        <w:t xml:space="preserve"> of </w:t>
      </w:r>
      <w:r w:rsidR="00030FBE">
        <w:rPr>
          <w:i/>
        </w:rPr>
        <w:t xml:space="preserve">the </w:t>
      </w:r>
      <w:r w:rsidR="008A4ADD">
        <w:rPr>
          <w:i/>
        </w:rPr>
        <w:t>United States of America and Japan</w:t>
      </w:r>
    </w:p>
    <w:p w14:paraId="5D33EFA5" w14:textId="77777777" w:rsidR="0081310A" w:rsidRDefault="0081310A" w:rsidP="0081310A"/>
    <w:p w14:paraId="2C7D85A7" w14:textId="77777777" w:rsidR="0081310A" w:rsidRDefault="0081310A" w:rsidP="0081310A"/>
    <w:p w14:paraId="667D230B" w14:textId="77777777" w:rsidR="0081310A" w:rsidRDefault="0081310A" w:rsidP="0081310A"/>
    <w:p w14:paraId="69B652DB" w14:textId="77777777" w:rsidR="0081310A" w:rsidRPr="00626702" w:rsidRDefault="0081310A" w:rsidP="0081310A">
      <w:pPr>
        <w:rPr>
          <w:szCs w:val="22"/>
        </w:rPr>
      </w:pPr>
    </w:p>
    <w:p w14:paraId="1295910D" w14:textId="7093026B" w:rsidR="0081310A" w:rsidRDefault="0081310A" w:rsidP="0081310A">
      <w:pPr>
        <w:autoSpaceDE w:val="0"/>
        <w:autoSpaceDN w:val="0"/>
        <w:adjustRightInd w:val="0"/>
        <w:rPr>
          <w:szCs w:val="22"/>
        </w:rPr>
      </w:pPr>
      <w:r w:rsidRPr="003F0E0B">
        <w:rPr>
          <w:szCs w:val="22"/>
        </w:rPr>
        <w:t xml:space="preserve">In a communication to the Secretariat received on </w:t>
      </w:r>
      <w:r w:rsidR="008A4ADD">
        <w:rPr>
          <w:szCs w:val="22"/>
        </w:rPr>
        <w:t>October 4</w:t>
      </w:r>
      <w:r w:rsidRPr="003F0E0B">
        <w:rPr>
          <w:szCs w:val="22"/>
        </w:rPr>
        <w:t xml:space="preserve">, 2017, the Delegation of </w:t>
      </w:r>
      <w:r w:rsidR="00030FBE">
        <w:rPr>
          <w:szCs w:val="22"/>
        </w:rPr>
        <w:t xml:space="preserve">the </w:t>
      </w:r>
      <w:r w:rsidR="008A4ADD">
        <w:rPr>
          <w:szCs w:val="22"/>
        </w:rPr>
        <w:t>United States of America</w:t>
      </w:r>
      <w:r w:rsidRPr="003F0E0B">
        <w:rPr>
          <w:szCs w:val="22"/>
        </w:rPr>
        <w:t xml:space="preserve">, on behalf of the </w:t>
      </w:r>
      <w:r w:rsidR="008A4ADD">
        <w:rPr>
          <w:szCs w:val="22"/>
        </w:rPr>
        <w:t>Delegations of the United States of America an</w:t>
      </w:r>
      <w:bookmarkStart w:id="4" w:name="_GoBack"/>
      <w:r w:rsidR="008A4ADD">
        <w:rPr>
          <w:szCs w:val="22"/>
        </w:rPr>
        <w:t>d</w:t>
      </w:r>
      <w:bookmarkEnd w:id="4"/>
      <w:r w:rsidR="008A4ADD">
        <w:rPr>
          <w:szCs w:val="22"/>
        </w:rPr>
        <w:t xml:space="preserve"> Japan</w:t>
      </w:r>
      <w:r w:rsidRPr="003F0E0B">
        <w:rPr>
          <w:szCs w:val="22"/>
        </w:rPr>
        <w:t xml:space="preserve">, </w:t>
      </w:r>
      <w:r w:rsidR="008A4ADD">
        <w:rPr>
          <w:noProof/>
          <w:szCs w:val="22"/>
          <w:lang w:eastAsia="en-US"/>
        </w:rPr>
        <mc:AlternateContent>
          <mc:Choice Requires="wps">
            <w:drawing>
              <wp:anchor distT="0" distB="0" distL="114300" distR="114300" simplePos="0" relativeHeight="251659264" behindDoc="0" locked="0" layoutInCell="1" allowOverlap="1" wp14:anchorId="52D0C89E" wp14:editId="35FCB00B">
                <wp:simplePos x="0" y="0"/>
                <wp:positionH relativeFrom="column">
                  <wp:posOffset>-697230</wp:posOffset>
                </wp:positionH>
                <wp:positionV relativeFrom="paragraph">
                  <wp:posOffset>330835</wp:posOffset>
                </wp:positionV>
                <wp:extent cx="317500" cy="63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64D3992" w14:textId="63FA88DF" w:rsidR="008A4ADD" w:rsidRPr="008A4ADD" w:rsidRDefault="008A4ADD" w:rsidP="008A4ADD">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9pt;margin-top:26.05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" fillcolor="black" strokeweight=".5pt">
                <v:fill opacity="0"/>
                <v:stroke opacity="0" joinstyle="round"/>
                <v:textbox style="mso-fit-shape-to-text:t" inset="0,0,0,0">
                  <w:txbxContent>
                    <w:p w14:paraId="464D3992" w14:textId="63FA88DF" w:rsidR="008A4ADD" w:rsidRPr="008A4ADD" w:rsidRDefault="008A4ADD" w:rsidP="008A4ADD">
                      <w:pPr>
                        <w:jc w:val="right"/>
                        <w:rPr>
                          <w:sz w:val="20"/>
                        </w:rPr>
                      </w:pPr>
                    </w:p>
                  </w:txbxContent>
                </v:textbox>
              </v:shape>
            </w:pict>
          </mc:Fallback>
        </mc:AlternateContent>
      </w:r>
      <w:r w:rsidRPr="003F0E0B">
        <w:rPr>
          <w:szCs w:val="22"/>
        </w:rPr>
        <w:t xml:space="preserve">submitted the enclosed </w:t>
      </w:r>
      <w:r w:rsidR="00F019EC">
        <w:rPr>
          <w:szCs w:val="22"/>
        </w:rPr>
        <w:t xml:space="preserve">proposal </w:t>
      </w:r>
      <w:r w:rsidRPr="003F0E0B">
        <w:rPr>
          <w:szCs w:val="22"/>
        </w:rPr>
        <w:t>in the framework of the agenda item “Report on the Intergovernmental Committee on Intellectual Property and Genetic Resources, Traditional Knowledge and Folklore (IGC)”.</w:t>
      </w:r>
    </w:p>
    <w:p w14:paraId="0FADB770" w14:textId="77777777" w:rsidR="00DE0EAD" w:rsidRDefault="00DE0EAD" w:rsidP="00DE0EAD">
      <w:pPr>
        <w:pStyle w:val="ONUME"/>
        <w:numPr>
          <w:ilvl w:val="0"/>
          <w:numId w:val="0"/>
        </w:numPr>
        <w:spacing w:after="0"/>
        <w:ind w:left="5501"/>
        <w:rPr>
          <w:i/>
        </w:rPr>
      </w:pPr>
    </w:p>
    <w:p w14:paraId="0B40540C" w14:textId="77777777" w:rsidR="0081310A" w:rsidRDefault="0081310A" w:rsidP="00DE0EAD">
      <w:pPr>
        <w:pStyle w:val="ONUME"/>
        <w:numPr>
          <w:ilvl w:val="0"/>
          <w:numId w:val="0"/>
        </w:numPr>
        <w:spacing w:after="0"/>
        <w:ind w:left="5501"/>
        <w:rPr>
          <w:i/>
        </w:rPr>
      </w:pPr>
    </w:p>
    <w:p w14:paraId="3DE502C9" w14:textId="77777777" w:rsidR="0081310A" w:rsidRPr="00626702" w:rsidRDefault="0081310A" w:rsidP="00DE0EAD">
      <w:pPr>
        <w:pStyle w:val="ONUME"/>
        <w:numPr>
          <w:ilvl w:val="0"/>
          <w:numId w:val="0"/>
        </w:numPr>
        <w:spacing w:after="0"/>
        <w:ind w:left="5501"/>
        <w:rPr>
          <w:i/>
        </w:rPr>
      </w:pPr>
    </w:p>
    <w:p w14:paraId="1662F97D" w14:textId="77777777" w:rsidR="00DE0EAD" w:rsidRPr="00626702" w:rsidRDefault="00DE0EAD" w:rsidP="00DE0EAD">
      <w:pPr>
        <w:spacing w:after="120" w:line="260" w:lineRule="atLeast"/>
        <w:ind w:left="5500"/>
        <w:contextualSpacing/>
        <w:rPr>
          <w:lang w:val="en"/>
        </w:rPr>
      </w:pPr>
      <w:r>
        <w:rPr>
          <w:lang w:val="en"/>
        </w:rPr>
        <w:t>[Annex</w:t>
      </w:r>
      <w:r w:rsidRPr="00626702">
        <w:rPr>
          <w:lang w:val="en"/>
        </w:rPr>
        <w:t xml:space="preserve"> follow</w:t>
      </w:r>
      <w:r>
        <w:rPr>
          <w:lang w:val="en"/>
        </w:rPr>
        <w:t>s</w:t>
      </w:r>
      <w:r w:rsidRPr="00626702">
        <w:rPr>
          <w:lang w:val="en"/>
        </w:rPr>
        <w:t>]</w:t>
      </w:r>
    </w:p>
    <w:p w14:paraId="6E09F3EB" w14:textId="77777777" w:rsidR="00D70B35" w:rsidRPr="001C729C" w:rsidRDefault="00D70B35" w:rsidP="00D70B35">
      <w:pPr>
        <w:spacing w:after="120" w:line="260" w:lineRule="atLeast"/>
        <w:contextualSpacing/>
        <w:rPr>
          <w:szCs w:val="22"/>
        </w:rPr>
      </w:pPr>
    </w:p>
    <w:p w14:paraId="0EDF7177" w14:textId="77777777" w:rsidR="00D70B35" w:rsidRPr="001C729C" w:rsidRDefault="00D70B35" w:rsidP="00D70B35">
      <w:pPr>
        <w:spacing w:after="120" w:line="260" w:lineRule="atLeast"/>
        <w:ind w:left="5500"/>
        <w:contextualSpacing/>
        <w:rPr>
          <w:szCs w:val="22"/>
        </w:rPr>
        <w:sectPr w:rsidR="00D70B35" w:rsidRPr="001C729C" w:rsidSect="00885AD5">
          <w:headerReference w:type="default" r:id="rId10"/>
          <w:endnotePr>
            <w:numFmt w:val="decimal"/>
          </w:endnotePr>
          <w:pgSz w:w="11907" w:h="16840" w:code="9"/>
          <w:pgMar w:top="567" w:right="1134" w:bottom="1418" w:left="1418" w:header="510" w:footer="1021" w:gutter="0"/>
          <w:cols w:space="720"/>
          <w:titlePg/>
          <w:docGrid w:linePitch="299"/>
        </w:sectPr>
      </w:pPr>
    </w:p>
    <w:p w14:paraId="0B2806D8" w14:textId="77777777" w:rsidR="0081310A" w:rsidRDefault="0081310A" w:rsidP="0081310A">
      <w:pPr>
        <w:jc w:val="right"/>
      </w:pPr>
    </w:p>
    <w:p w14:paraId="43C98B6D" w14:textId="77777777" w:rsidR="0001730C" w:rsidRDefault="0001730C" w:rsidP="0001730C">
      <w:pPr>
        <w:pStyle w:val="Default"/>
        <w:jc w:val="center"/>
        <w:rPr>
          <w:sz w:val="22"/>
        </w:rPr>
      </w:pPr>
      <w:r>
        <w:rPr>
          <w:b/>
          <w:sz w:val="22"/>
        </w:rPr>
        <w:t>Assemblies of Member States of WIPO</w:t>
      </w:r>
    </w:p>
    <w:p w14:paraId="25F69FE7" w14:textId="77777777" w:rsidR="0001730C" w:rsidRDefault="0001730C" w:rsidP="0001730C">
      <w:pPr>
        <w:pStyle w:val="Default"/>
        <w:jc w:val="center"/>
        <w:rPr>
          <w:sz w:val="22"/>
        </w:rPr>
      </w:pPr>
      <w:r>
        <w:rPr>
          <w:b/>
          <w:sz w:val="22"/>
        </w:rPr>
        <w:t xml:space="preserve">Fifty-Seventh </w:t>
      </w:r>
      <w:proofErr w:type="gramStart"/>
      <w:r>
        <w:rPr>
          <w:b/>
          <w:sz w:val="22"/>
        </w:rPr>
        <w:t>Session</w:t>
      </w:r>
      <w:proofErr w:type="gramEnd"/>
    </w:p>
    <w:p w14:paraId="01612974" w14:textId="77777777" w:rsidR="0001730C" w:rsidRDefault="0001730C" w:rsidP="0001730C">
      <w:pPr>
        <w:pStyle w:val="Default"/>
        <w:jc w:val="center"/>
        <w:rPr>
          <w:sz w:val="22"/>
        </w:rPr>
      </w:pPr>
      <w:r>
        <w:rPr>
          <w:b/>
          <w:sz w:val="22"/>
        </w:rPr>
        <w:t>October 2 to 11, 2017</w:t>
      </w:r>
    </w:p>
    <w:p w14:paraId="077FF407" w14:textId="77777777" w:rsidR="0001730C" w:rsidRDefault="0001730C" w:rsidP="0001730C">
      <w:pPr>
        <w:pStyle w:val="Default"/>
        <w:jc w:val="center"/>
        <w:rPr>
          <w:sz w:val="22"/>
        </w:rPr>
      </w:pPr>
      <w:r>
        <w:rPr>
          <w:b/>
          <w:sz w:val="22"/>
        </w:rPr>
        <w:t>Matters Concerning the Intergovernmental Committee on Intellectual Property and</w:t>
      </w:r>
    </w:p>
    <w:p w14:paraId="52C15C74" w14:textId="77777777" w:rsidR="0001730C" w:rsidRDefault="0001730C" w:rsidP="0001730C">
      <w:pPr>
        <w:pStyle w:val="Default"/>
        <w:jc w:val="center"/>
        <w:rPr>
          <w:b/>
          <w:sz w:val="22"/>
        </w:rPr>
      </w:pPr>
      <w:r>
        <w:rPr>
          <w:b/>
          <w:sz w:val="22"/>
        </w:rPr>
        <w:t>Genetic Resources, Traditional Knowledge and Folklore</w:t>
      </w:r>
    </w:p>
    <w:p w14:paraId="5F049E0D" w14:textId="77777777" w:rsidR="0001730C" w:rsidRDefault="0001730C" w:rsidP="0001730C">
      <w:pPr>
        <w:pStyle w:val="Default"/>
        <w:jc w:val="center"/>
        <w:rPr>
          <w:sz w:val="22"/>
        </w:rPr>
      </w:pPr>
    </w:p>
    <w:p w14:paraId="4F303B07" w14:textId="77777777" w:rsidR="0001730C" w:rsidRDefault="0001730C" w:rsidP="0001730C">
      <w:pPr>
        <w:pStyle w:val="Default"/>
        <w:jc w:val="center"/>
        <w:rPr>
          <w:b/>
          <w:sz w:val="22"/>
        </w:rPr>
      </w:pPr>
      <w:r>
        <w:rPr>
          <w:b/>
          <w:sz w:val="22"/>
        </w:rPr>
        <w:t>Proposal of the United States and Japan</w:t>
      </w:r>
    </w:p>
    <w:p w14:paraId="08556160" w14:textId="77777777" w:rsidR="0001730C" w:rsidRDefault="0001730C" w:rsidP="0001730C">
      <w:pPr>
        <w:pStyle w:val="Default"/>
        <w:jc w:val="center"/>
        <w:rPr>
          <w:b/>
          <w:sz w:val="22"/>
        </w:rPr>
      </w:pPr>
    </w:p>
    <w:p w14:paraId="4E854D95" w14:textId="77777777" w:rsidR="0001730C" w:rsidRDefault="0001730C" w:rsidP="0001730C">
      <w:pPr>
        <w:pStyle w:val="Default"/>
        <w:jc w:val="center"/>
        <w:rPr>
          <w:b/>
          <w:sz w:val="22"/>
        </w:rPr>
      </w:pPr>
      <w:r>
        <w:rPr>
          <w:b/>
          <w:sz w:val="22"/>
        </w:rPr>
        <w:t xml:space="preserve">For a WIPO IGC Mandate </w:t>
      </w:r>
    </w:p>
    <w:p w14:paraId="6AFE1F53" w14:textId="77777777" w:rsidR="0001730C" w:rsidRDefault="0001730C" w:rsidP="0001730C">
      <w:pPr>
        <w:pStyle w:val="Default"/>
        <w:jc w:val="center"/>
        <w:rPr>
          <w:sz w:val="22"/>
        </w:rPr>
      </w:pPr>
      <w:r>
        <w:rPr>
          <w:b/>
          <w:sz w:val="22"/>
        </w:rPr>
        <w:t xml:space="preserve">For the 2018/2019 Biennium </w:t>
      </w:r>
    </w:p>
    <w:p w14:paraId="320496F5" w14:textId="77777777" w:rsidR="0001730C" w:rsidRDefault="0001730C" w:rsidP="0001730C">
      <w:pPr>
        <w:pStyle w:val="Default"/>
        <w:rPr>
          <w:sz w:val="22"/>
        </w:rPr>
      </w:pPr>
    </w:p>
    <w:p w14:paraId="75200CBE" w14:textId="77777777" w:rsidR="0001730C" w:rsidRDefault="0001730C" w:rsidP="0001730C">
      <w:pPr>
        <w:pStyle w:val="Default"/>
        <w:rPr>
          <w:sz w:val="22"/>
        </w:rPr>
      </w:pPr>
    </w:p>
    <w:p w14:paraId="6995C9C2" w14:textId="77777777" w:rsidR="0001730C" w:rsidRDefault="0001730C" w:rsidP="0001730C">
      <w:pPr>
        <w:pStyle w:val="Default"/>
        <w:rPr>
          <w:sz w:val="22"/>
        </w:rPr>
      </w:pPr>
      <w:r>
        <w:rPr>
          <w:sz w:val="22"/>
        </w:rPr>
        <w:t>Bearing in mind the Development Agenda recommendations, the WIPO General Assembly agrees that the mandate of the WIPO Intergovernmental Committee on Intellectual Property and Genetic Resources, Traditional Knowledge and Folklore (Committee) be renewed, without prejudice to the work pursued in other fora, as follows:</w:t>
      </w:r>
    </w:p>
    <w:p w14:paraId="326A1788" w14:textId="77777777" w:rsidR="0001730C" w:rsidRDefault="0001730C" w:rsidP="0001730C">
      <w:pPr>
        <w:pStyle w:val="Default"/>
        <w:ind w:left="720"/>
        <w:rPr>
          <w:sz w:val="22"/>
        </w:rPr>
      </w:pPr>
    </w:p>
    <w:p w14:paraId="2B158025" w14:textId="0C851C7F" w:rsidR="0001730C" w:rsidRDefault="0001730C" w:rsidP="0001730C">
      <w:pPr>
        <w:pStyle w:val="Default"/>
        <w:ind w:left="720"/>
        <w:rPr>
          <w:sz w:val="22"/>
        </w:rPr>
      </w:pPr>
      <w:r>
        <w:rPr>
          <w:sz w:val="22"/>
        </w:rPr>
        <w:t xml:space="preserve">(a) </w:t>
      </w:r>
      <w:r w:rsidR="00D67AA3">
        <w:rPr>
          <w:sz w:val="22"/>
        </w:rPr>
        <w:t xml:space="preserve"> </w:t>
      </w:r>
      <w:r>
        <w:rPr>
          <w:sz w:val="22"/>
        </w:rPr>
        <w:t xml:space="preserve">The Committee’s work in the 2018/2019 biennium will build on the existing work carried out by the Committee with a primary focus on reaching a common understanding on core </w:t>
      </w:r>
      <w:r w:rsidRPr="00FA710B">
        <w:rPr>
          <w:sz w:val="22"/>
        </w:rPr>
        <w:t xml:space="preserve">issues such as the definitions, subject matter, objectives, beneficiaries, scope of protection, safeguarding and the relationship with the public domain.  The IGC will consider convening a diplomatic conference only after agreement on definitions, objectives, beneficiaries and scope, as well as </w:t>
      </w:r>
      <w:r>
        <w:rPr>
          <w:sz w:val="22"/>
        </w:rPr>
        <w:t xml:space="preserve">the </w:t>
      </w:r>
      <w:r w:rsidRPr="00FA710B">
        <w:rPr>
          <w:sz w:val="22"/>
        </w:rPr>
        <w:t>nature of the instrument, has been achieved</w:t>
      </w:r>
      <w:r>
        <w:rPr>
          <w:sz w:val="22"/>
        </w:rPr>
        <w:t>.</w:t>
      </w:r>
    </w:p>
    <w:p w14:paraId="72E1C6B5" w14:textId="77777777" w:rsidR="0001730C" w:rsidRDefault="0001730C" w:rsidP="0001730C">
      <w:pPr>
        <w:pStyle w:val="Default"/>
        <w:ind w:left="720"/>
        <w:rPr>
          <w:sz w:val="22"/>
        </w:rPr>
      </w:pPr>
    </w:p>
    <w:p w14:paraId="5A910197" w14:textId="57FCEB50" w:rsidR="0001730C" w:rsidRDefault="0001730C" w:rsidP="0001730C">
      <w:pPr>
        <w:pStyle w:val="Default"/>
        <w:ind w:left="720"/>
        <w:rPr>
          <w:sz w:val="22"/>
        </w:rPr>
      </w:pPr>
      <w:r>
        <w:rPr>
          <w:sz w:val="22"/>
        </w:rPr>
        <w:t xml:space="preserve">(b) </w:t>
      </w:r>
      <w:r w:rsidR="00D67AA3">
        <w:rPr>
          <w:sz w:val="22"/>
        </w:rPr>
        <w:t xml:space="preserve"> </w:t>
      </w:r>
      <w:r>
        <w:rPr>
          <w:sz w:val="22"/>
        </w:rPr>
        <w:t xml:space="preserve">The Committee will follow, as set out in the table below, a clearly defined work program, based on sound working methods, for the 2018/2019 biennium. </w:t>
      </w:r>
      <w:r w:rsidR="00685859">
        <w:rPr>
          <w:sz w:val="22"/>
        </w:rPr>
        <w:t xml:space="preserve"> </w:t>
      </w:r>
      <w:r>
        <w:rPr>
          <w:sz w:val="22"/>
        </w:rPr>
        <w:t xml:space="preserve">This work program will make provision for four sessions of the Committee in 2018/2019, including thematic, </w:t>
      </w:r>
      <w:r w:rsidRPr="00FA710B">
        <w:rPr>
          <w:sz w:val="22"/>
        </w:rPr>
        <w:t xml:space="preserve">cross-cutting </w:t>
      </w:r>
      <w:r>
        <w:rPr>
          <w:sz w:val="22"/>
        </w:rPr>
        <w:t xml:space="preserve">and stocktaking sessions. </w:t>
      </w:r>
    </w:p>
    <w:p w14:paraId="07F6F705" w14:textId="77777777" w:rsidR="0001730C" w:rsidRDefault="0001730C" w:rsidP="0001730C">
      <w:pPr>
        <w:pStyle w:val="Default"/>
        <w:ind w:left="1080"/>
        <w:rPr>
          <w:b/>
          <w:sz w:val="22"/>
        </w:rPr>
      </w:pPr>
    </w:p>
    <w:p w14:paraId="286F2348" w14:textId="2820D4C8" w:rsidR="0001730C" w:rsidRDefault="0001730C" w:rsidP="0001730C">
      <w:pPr>
        <w:pStyle w:val="Default"/>
        <w:ind w:left="720"/>
        <w:rPr>
          <w:sz w:val="22"/>
        </w:rPr>
      </w:pPr>
      <w:r>
        <w:rPr>
          <w:sz w:val="22"/>
        </w:rPr>
        <w:t xml:space="preserve">(c) </w:t>
      </w:r>
      <w:r w:rsidR="00D67AA3">
        <w:rPr>
          <w:sz w:val="22"/>
        </w:rPr>
        <w:t xml:space="preserve"> </w:t>
      </w:r>
      <w:r>
        <w:rPr>
          <w:sz w:val="22"/>
        </w:rPr>
        <w:t xml:space="preserve">The Committee will use all WIPO working documents, as well as any other contributions of member states, using an evidence-based approach, including studies and examples of national experiences, including domestic legislation and examples of protectable subject matter and subject matter that is not intended to be protected. </w:t>
      </w:r>
    </w:p>
    <w:p w14:paraId="4AA937EE" w14:textId="77777777" w:rsidR="0001730C" w:rsidRDefault="0001730C" w:rsidP="0001730C">
      <w:pPr>
        <w:pStyle w:val="Default"/>
        <w:ind w:left="720"/>
        <w:rPr>
          <w:sz w:val="22"/>
        </w:rPr>
      </w:pPr>
    </w:p>
    <w:p w14:paraId="58D376D5" w14:textId="0E8FB694" w:rsidR="0001730C" w:rsidRDefault="0001730C" w:rsidP="0001730C">
      <w:pPr>
        <w:pStyle w:val="Default"/>
        <w:ind w:left="720"/>
        <w:rPr>
          <w:sz w:val="22"/>
        </w:rPr>
      </w:pPr>
      <w:r>
        <w:rPr>
          <w:sz w:val="22"/>
        </w:rPr>
        <w:t xml:space="preserve">(d) </w:t>
      </w:r>
      <w:r w:rsidR="00D67AA3">
        <w:rPr>
          <w:sz w:val="22"/>
        </w:rPr>
        <w:t xml:space="preserve"> </w:t>
      </w:r>
      <w:r>
        <w:rPr>
          <w:sz w:val="22"/>
        </w:rPr>
        <w:t>The Committee will utilize the assistance of the WIPO Secretariat to conduct the studies contained in documents WIPO/GRTKF/IC/32/8 and WIPO/GRTKF/IC/32/9.  The results of the studies will be available to the Committee by the first IGC meeting of 2019. The studies will be conducted in parallel with the work of the IGC, and it is not to delay progress.</w:t>
      </w:r>
    </w:p>
    <w:p w14:paraId="4382AD42" w14:textId="77777777" w:rsidR="0001730C" w:rsidRDefault="0001730C" w:rsidP="0001730C">
      <w:pPr>
        <w:pStyle w:val="Default"/>
        <w:ind w:left="720"/>
        <w:rPr>
          <w:sz w:val="22"/>
        </w:rPr>
      </w:pPr>
    </w:p>
    <w:p w14:paraId="073D9BB1" w14:textId="3A5C0EE7" w:rsidR="0001730C" w:rsidRDefault="0001730C" w:rsidP="0001730C">
      <w:pPr>
        <w:pStyle w:val="Default"/>
        <w:ind w:left="720"/>
        <w:rPr>
          <w:sz w:val="22"/>
        </w:rPr>
      </w:pPr>
      <w:r>
        <w:rPr>
          <w:sz w:val="22"/>
        </w:rPr>
        <w:t xml:space="preserve">(e) </w:t>
      </w:r>
      <w:r w:rsidR="00D67AA3">
        <w:rPr>
          <w:sz w:val="22"/>
        </w:rPr>
        <w:t xml:space="preserve"> </w:t>
      </w:r>
      <w:r>
        <w:rPr>
          <w:sz w:val="22"/>
        </w:rPr>
        <w:t>The Committee will also utilize the assistance of the WIPO Secretariat to fast-track its work on the database proposals contained in documents WIPO/GRTKF/IC/32/6 and WIPO/GRTKF/IC/32/7.  This work will be ready for adoption by the IGC and consideration by the WIPO General Assembly in 2019.</w:t>
      </w:r>
    </w:p>
    <w:p w14:paraId="185826DE" w14:textId="77777777" w:rsidR="0001730C" w:rsidRDefault="0001730C" w:rsidP="0001730C">
      <w:pPr>
        <w:pStyle w:val="Default"/>
        <w:ind w:left="720"/>
        <w:rPr>
          <w:sz w:val="22"/>
        </w:rPr>
      </w:pPr>
    </w:p>
    <w:p w14:paraId="41270D69" w14:textId="78B4842A" w:rsidR="0001730C" w:rsidRDefault="0001730C" w:rsidP="0001730C">
      <w:pPr>
        <w:pStyle w:val="Default"/>
        <w:ind w:left="720"/>
        <w:rPr>
          <w:sz w:val="22"/>
        </w:rPr>
      </w:pPr>
      <w:r>
        <w:rPr>
          <w:sz w:val="22"/>
        </w:rPr>
        <w:t xml:space="preserve">(f) </w:t>
      </w:r>
      <w:r w:rsidR="00D67AA3">
        <w:rPr>
          <w:sz w:val="22"/>
        </w:rPr>
        <w:t xml:space="preserve"> </w:t>
      </w:r>
      <w:r>
        <w:rPr>
          <w:sz w:val="22"/>
        </w:rPr>
        <w:t>The Committee will further utilize the assistance of the WIPO Secretariat to conduct studies on the national implementation of disclosure requirements and national provisions to protect TK and TCEs.  The Secretariat will propose terms of reference for these studies, which will be considered by WIPO members in the IGC’s first meeting in 2018.</w:t>
      </w:r>
    </w:p>
    <w:p w14:paraId="08D7D2DE" w14:textId="77777777" w:rsidR="0001730C" w:rsidRDefault="0001730C" w:rsidP="0001730C">
      <w:pPr>
        <w:pStyle w:val="Default"/>
        <w:ind w:left="720"/>
        <w:rPr>
          <w:sz w:val="22"/>
        </w:rPr>
      </w:pPr>
    </w:p>
    <w:p w14:paraId="1421AC90" w14:textId="779520FD" w:rsidR="00F019EC" w:rsidRDefault="00F019EC" w:rsidP="00987C92">
      <w:pPr>
        <w:spacing w:line="259" w:lineRule="auto"/>
        <w:jc w:val="center"/>
        <w:rPr>
          <w:rFonts w:eastAsia="Calibri"/>
          <w:b/>
          <w:szCs w:val="22"/>
          <w:lang w:eastAsia="en-US"/>
        </w:rPr>
      </w:pPr>
      <w:r>
        <w:rPr>
          <w:rFonts w:eastAsia="Calibri"/>
          <w:b/>
          <w:szCs w:val="22"/>
          <w:lang w:eastAsia="en-US"/>
        </w:rPr>
        <w:br w:type="page"/>
      </w:r>
    </w:p>
    <w:p w14:paraId="2F1F804C" w14:textId="77777777" w:rsidR="00987C92" w:rsidRDefault="00987C92" w:rsidP="00987C92">
      <w:pPr>
        <w:spacing w:line="259" w:lineRule="auto"/>
        <w:jc w:val="center"/>
        <w:rPr>
          <w:rFonts w:eastAsia="Calibri"/>
          <w:b/>
          <w:szCs w:val="22"/>
          <w:lang w:eastAsia="en-US"/>
        </w:rPr>
      </w:pPr>
    </w:p>
    <w:p w14:paraId="35091F0A" w14:textId="403F2DB4" w:rsidR="0001730C" w:rsidRDefault="0001730C" w:rsidP="0001730C">
      <w:pPr>
        <w:pStyle w:val="Default"/>
        <w:spacing w:after="269"/>
        <w:ind w:left="720"/>
        <w:rPr>
          <w:sz w:val="22"/>
        </w:rPr>
      </w:pPr>
      <w:r>
        <w:rPr>
          <w:sz w:val="22"/>
        </w:rPr>
        <w:t xml:space="preserve">(g) </w:t>
      </w:r>
      <w:r w:rsidR="00D67AA3">
        <w:rPr>
          <w:sz w:val="22"/>
        </w:rPr>
        <w:t xml:space="preserve"> </w:t>
      </w:r>
      <w:r>
        <w:rPr>
          <w:sz w:val="22"/>
        </w:rPr>
        <w:t xml:space="preserve">In 2018, the Committee is requested to provide, for information only, a factual report to the General Assembly on its work up to that time, and in 2019, submit to the General Assembly the results of its work. </w:t>
      </w:r>
    </w:p>
    <w:p w14:paraId="39F893EE" w14:textId="52C92230" w:rsidR="0001730C" w:rsidRDefault="0001730C" w:rsidP="0001730C">
      <w:pPr>
        <w:pStyle w:val="Default"/>
        <w:ind w:left="720"/>
        <w:rPr>
          <w:sz w:val="22"/>
        </w:rPr>
      </w:pPr>
      <w:r>
        <w:rPr>
          <w:sz w:val="22"/>
        </w:rPr>
        <w:t xml:space="preserve">(h) </w:t>
      </w:r>
      <w:r w:rsidR="00D67AA3">
        <w:rPr>
          <w:sz w:val="22"/>
        </w:rPr>
        <w:t xml:space="preserve"> </w:t>
      </w:r>
      <w:r>
        <w:rPr>
          <w:sz w:val="22"/>
        </w:rPr>
        <w:t xml:space="preserve">The General Assembly requests the International Bureau to continue to assist the Committee by providing Member States with necessary expertise and funding, in the most efficient manner, of the participation of experts from developing countries and LDCs, taking into account the usual formula for the IGC. </w:t>
      </w:r>
    </w:p>
    <w:p w14:paraId="104FEE60" w14:textId="77777777" w:rsidR="0001730C" w:rsidRDefault="0001730C" w:rsidP="0001730C">
      <w:pPr>
        <w:pStyle w:val="Default"/>
        <w:ind w:left="720"/>
        <w:rPr>
          <w:sz w:val="22"/>
        </w:rPr>
      </w:pPr>
    </w:p>
    <w:p w14:paraId="2B40D46B" w14:textId="77777777" w:rsidR="0001730C" w:rsidRDefault="0001730C" w:rsidP="0001730C">
      <w:pPr>
        <w:jc w:val="center"/>
        <w:rPr>
          <w:b/>
          <w:szCs w:val="22"/>
          <w:u w:val="single"/>
        </w:rPr>
      </w:pPr>
      <w:r w:rsidRPr="0001730C">
        <w:rPr>
          <w:b/>
          <w:szCs w:val="22"/>
          <w:u w:val="single"/>
        </w:rPr>
        <w:t>Work Program</w:t>
      </w:r>
    </w:p>
    <w:p w14:paraId="50BFEABD" w14:textId="77777777" w:rsidR="0001730C" w:rsidRPr="0001730C" w:rsidRDefault="0001730C" w:rsidP="0001730C">
      <w:pPr>
        <w:jc w:val="center"/>
        <w:rPr>
          <w:b/>
          <w:szCs w:val="22"/>
          <w:u w:val="single"/>
        </w:rPr>
      </w:pPr>
    </w:p>
    <w:tbl>
      <w:tblPr>
        <w:tblStyle w:val="TableGrid"/>
        <w:tblW w:w="0" w:type="auto"/>
        <w:tblLook w:val="04A0" w:firstRow="1" w:lastRow="0" w:firstColumn="1" w:lastColumn="0" w:noHBand="0" w:noVBand="1"/>
      </w:tblPr>
      <w:tblGrid>
        <w:gridCol w:w="2335"/>
        <w:gridCol w:w="6930"/>
      </w:tblGrid>
      <w:tr w:rsidR="0001730C" w:rsidRPr="0001730C" w14:paraId="0423592D" w14:textId="77777777" w:rsidTr="003074D6">
        <w:trPr>
          <w:trHeight w:val="449"/>
        </w:trPr>
        <w:tc>
          <w:tcPr>
            <w:tcW w:w="2335" w:type="dxa"/>
            <w:vAlign w:val="center"/>
          </w:tcPr>
          <w:p w14:paraId="7121E1B0" w14:textId="77777777" w:rsidR="0001730C" w:rsidRPr="0001730C" w:rsidRDefault="0001730C" w:rsidP="003074D6">
            <w:pPr>
              <w:rPr>
                <w:b/>
              </w:rPr>
            </w:pPr>
            <w:r w:rsidRPr="0001730C">
              <w:rPr>
                <w:b/>
              </w:rPr>
              <w:t>Indicative Dates</w:t>
            </w:r>
          </w:p>
        </w:tc>
        <w:tc>
          <w:tcPr>
            <w:tcW w:w="6930" w:type="dxa"/>
            <w:vAlign w:val="center"/>
          </w:tcPr>
          <w:p w14:paraId="3BDC0E74" w14:textId="77777777" w:rsidR="0001730C" w:rsidRPr="0001730C" w:rsidRDefault="0001730C" w:rsidP="003074D6">
            <w:pPr>
              <w:rPr>
                <w:b/>
              </w:rPr>
            </w:pPr>
            <w:r w:rsidRPr="0001730C">
              <w:rPr>
                <w:b/>
              </w:rPr>
              <w:t>Activity</w:t>
            </w:r>
          </w:p>
        </w:tc>
      </w:tr>
      <w:tr w:rsidR="0001730C" w:rsidRPr="0001730C" w14:paraId="7856FD09" w14:textId="77777777" w:rsidTr="003074D6">
        <w:trPr>
          <w:trHeight w:val="1043"/>
        </w:trPr>
        <w:tc>
          <w:tcPr>
            <w:tcW w:w="2335" w:type="dxa"/>
          </w:tcPr>
          <w:p w14:paraId="5B20CF70" w14:textId="77777777" w:rsidR="0001730C" w:rsidRPr="0001730C" w:rsidRDefault="0001730C" w:rsidP="003074D6">
            <w:r w:rsidRPr="0001730C">
              <w:t>February/March 2018</w:t>
            </w:r>
          </w:p>
        </w:tc>
        <w:tc>
          <w:tcPr>
            <w:tcW w:w="6930" w:type="dxa"/>
          </w:tcPr>
          <w:p w14:paraId="14C2EF74" w14:textId="77777777" w:rsidR="0001730C" w:rsidRPr="0001730C" w:rsidRDefault="0001730C" w:rsidP="003074D6">
            <w:r w:rsidRPr="0001730C">
              <w:t>IGC 35: Genetic Resources</w:t>
            </w:r>
          </w:p>
          <w:p w14:paraId="156900F9" w14:textId="77777777" w:rsidR="0001730C" w:rsidRPr="0001730C" w:rsidRDefault="0001730C" w:rsidP="003074D6">
            <w:r w:rsidRPr="0001730C">
              <w:t>Duration: 5 days</w:t>
            </w:r>
          </w:p>
        </w:tc>
      </w:tr>
      <w:tr w:rsidR="0001730C" w:rsidRPr="0001730C" w14:paraId="5D8647DF" w14:textId="77777777" w:rsidTr="003074D6">
        <w:trPr>
          <w:trHeight w:val="980"/>
        </w:trPr>
        <w:tc>
          <w:tcPr>
            <w:tcW w:w="2335" w:type="dxa"/>
          </w:tcPr>
          <w:p w14:paraId="3C364565" w14:textId="77777777" w:rsidR="0001730C" w:rsidRPr="0001730C" w:rsidRDefault="0001730C" w:rsidP="003074D6">
            <w:r w:rsidRPr="0001730C">
              <w:t>September 2018</w:t>
            </w:r>
          </w:p>
        </w:tc>
        <w:tc>
          <w:tcPr>
            <w:tcW w:w="6930" w:type="dxa"/>
          </w:tcPr>
          <w:p w14:paraId="09110897" w14:textId="77777777" w:rsidR="0001730C" w:rsidRPr="0001730C" w:rsidRDefault="0001730C" w:rsidP="003074D6">
            <w:r w:rsidRPr="0001730C">
              <w:t>IGC 36: Traditional Knowledge</w:t>
            </w:r>
          </w:p>
          <w:p w14:paraId="6D83349C" w14:textId="77777777" w:rsidR="0001730C" w:rsidRPr="0001730C" w:rsidRDefault="0001730C" w:rsidP="003074D6">
            <w:r w:rsidRPr="0001730C">
              <w:t>Duration: 5 days</w:t>
            </w:r>
          </w:p>
        </w:tc>
      </w:tr>
      <w:tr w:rsidR="0001730C" w:rsidRPr="0001730C" w14:paraId="466E85FA" w14:textId="77777777" w:rsidTr="003074D6">
        <w:trPr>
          <w:trHeight w:val="575"/>
        </w:trPr>
        <w:tc>
          <w:tcPr>
            <w:tcW w:w="2335" w:type="dxa"/>
          </w:tcPr>
          <w:p w14:paraId="038011F4" w14:textId="77777777" w:rsidR="0001730C" w:rsidRPr="0001730C" w:rsidRDefault="0001730C" w:rsidP="003074D6">
            <w:r w:rsidRPr="0001730C">
              <w:t>October 2018</w:t>
            </w:r>
          </w:p>
        </w:tc>
        <w:tc>
          <w:tcPr>
            <w:tcW w:w="6930" w:type="dxa"/>
          </w:tcPr>
          <w:p w14:paraId="633D6C3F" w14:textId="77777777" w:rsidR="0001730C" w:rsidRPr="0001730C" w:rsidRDefault="0001730C" w:rsidP="003074D6">
            <w:r w:rsidRPr="0001730C">
              <w:t>WIPO General Assembly</w:t>
            </w:r>
          </w:p>
        </w:tc>
      </w:tr>
      <w:tr w:rsidR="0001730C" w:rsidRPr="0001730C" w14:paraId="7ABCB8DB" w14:textId="77777777" w:rsidTr="003074D6">
        <w:trPr>
          <w:trHeight w:val="1061"/>
        </w:trPr>
        <w:tc>
          <w:tcPr>
            <w:tcW w:w="2335" w:type="dxa"/>
          </w:tcPr>
          <w:p w14:paraId="1916A08A" w14:textId="77777777" w:rsidR="0001730C" w:rsidRPr="0001730C" w:rsidRDefault="0001730C" w:rsidP="003074D6">
            <w:r w:rsidRPr="0001730C">
              <w:t>May/June 2019</w:t>
            </w:r>
          </w:p>
        </w:tc>
        <w:tc>
          <w:tcPr>
            <w:tcW w:w="6930" w:type="dxa"/>
          </w:tcPr>
          <w:p w14:paraId="14198402" w14:textId="77777777" w:rsidR="0001730C" w:rsidRPr="0001730C" w:rsidRDefault="0001730C" w:rsidP="003074D6">
            <w:r w:rsidRPr="0001730C">
              <w:t xml:space="preserve">IGC 37: Traditional Cultural Expressions </w:t>
            </w:r>
          </w:p>
          <w:p w14:paraId="31EA0B35" w14:textId="77777777" w:rsidR="0001730C" w:rsidRPr="0001730C" w:rsidRDefault="0001730C" w:rsidP="003074D6">
            <w:r w:rsidRPr="0001730C">
              <w:t>Duration: 5 days</w:t>
            </w:r>
          </w:p>
        </w:tc>
      </w:tr>
      <w:tr w:rsidR="0001730C" w:rsidRPr="0001730C" w14:paraId="6443756C" w14:textId="77777777" w:rsidTr="003074D6">
        <w:trPr>
          <w:trHeight w:val="1079"/>
        </w:trPr>
        <w:tc>
          <w:tcPr>
            <w:tcW w:w="2335" w:type="dxa"/>
          </w:tcPr>
          <w:p w14:paraId="350CAA23" w14:textId="77777777" w:rsidR="0001730C" w:rsidRPr="0001730C" w:rsidRDefault="0001730C" w:rsidP="003074D6">
            <w:r w:rsidRPr="0001730C">
              <w:t>September 2019</w:t>
            </w:r>
          </w:p>
        </w:tc>
        <w:tc>
          <w:tcPr>
            <w:tcW w:w="6930" w:type="dxa"/>
          </w:tcPr>
          <w:p w14:paraId="41E7CEDE" w14:textId="77777777" w:rsidR="0001730C" w:rsidRPr="0001730C" w:rsidRDefault="0001730C" w:rsidP="003074D6">
            <w:r w:rsidRPr="0001730C">
              <w:t>Cross Cutting issues and Stock Taking</w:t>
            </w:r>
          </w:p>
          <w:p w14:paraId="74F7DF6E" w14:textId="77777777" w:rsidR="0001730C" w:rsidRPr="0001730C" w:rsidRDefault="0001730C" w:rsidP="003074D6">
            <w:r w:rsidRPr="0001730C">
              <w:t>Duration: 5 days</w:t>
            </w:r>
          </w:p>
        </w:tc>
      </w:tr>
    </w:tbl>
    <w:p w14:paraId="0AFC90D2" w14:textId="77777777" w:rsidR="0001730C" w:rsidRPr="0001730C" w:rsidRDefault="0001730C" w:rsidP="0001730C">
      <w:pPr>
        <w:rPr>
          <w:szCs w:val="22"/>
        </w:rPr>
      </w:pPr>
    </w:p>
    <w:p w14:paraId="41203221" w14:textId="512C8C24" w:rsidR="00416CCD" w:rsidRPr="0001730C" w:rsidRDefault="00416CCD" w:rsidP="0001730C">
      <w:pPr>
        <w:autoSpaceDE w:val="0"/>
        <w:autoSpaceDN w:val="0"/>
        <w:adjustRightInd w:val="0"/>
        <w:ind w:left="567"/>
        <w:rPr>
          <w:rFonts w:eastAsia="Calibri"/>
          <w:szCs w:val="22"/>
          <w:lang w:val="en-GB" w:eastAsia="en-US"/>
        </w:rPr>
      </w:pPr>
    </w:p>
    <w:p w14:paraId="304BBACA" w14:textId="759A895F" w:rsidR="00FD1C08" w:rsidRPr="002671EF" w:rsidRDefault="00FD1C08" w:rsidP="00987C92">
      <w:pPr>
        <w:ind w:left="5534"/>
        <w:contextualSpacing/>
        <w:rPr>
          <w:szCs w:val="22"/>
          <w:lang w:eastAsia="en-US"/>
        </w:rPr>
      </w:pPr>
      <w:r w:rsidRPr="001C729C">
        <w:rPr>
          <w:szCs w:val="22"/>
          <w:lang w:eastAsia="en-US"/>
        </w:rPr>
        <w:t>[End of Annex and of document]</w:t>
      </w:r>
    </w:p>
    <w:sectPr w:rsidR="00FD1C08" w:rsidRPr="002671EF" w:rsidSect="00D70B3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B4F88" w14:textId="77777777" w:rsidR="00DE0EAD" w:rsidRDefault="00DE0EAD">
      <w:r>
        <w:separator/>
      </w:r>
    </w:p>
  </w:endnote>
  <w:endnote w:type="continuationSeparator" w:id="0">
    <w:p w14:paraId="0FD59C92" w14:textId="77777777" w:rsidR="00DE0EAD" w:rsidRDefault="00DE0EAD" w:rsidP="003B38C1">
      <w:r>
        <w:separator/>
      </w:r>
    </w:p>
    <w:p w14:paraId="10E44CBB" w14:textId="77777777" w:rsidR="00DE0EAD" w:rsidRPr="003B38C1" w:rsidRDefault="00DE0EAD" w:rsidP="003B38C1">
      <w:pPr>
        <w:spacing w:after="60"/>
        <w:rPr>
          <w:sz w:val="17"/>
        </w:rPr>
      </w:pPr>
      <w:r>
        <w:rPr>
          <w:sz w:val="17"/>
        </w:rPr>
        <w:t>[Endnote continued from previous page]</w:t>
      </w:r>
    </w:p>
  </w:endnote>
  <w:endnote w:type="continuationNotice" w:id="1">
    <w:p w14:paraId="09FE14B2" w14:textId="77777777" w:rsidR="00DE0EAD" w:rsidRPr="003B38C1" w:rsidRDefault="00DE0E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E148" w14:textId="77777777" w:rsidR="00DE0EAD" w:rsidRDefault="00DE0EAD">
      <w:r>
        <w:separator/>
      </w:r>
    </w:p>
  </w:footnote>
  <w:footnote w:type="continuationSeparator" w:id="0">
    <w:p w14:paraId="22083A0B" w14:textId="77777777" w:rsidR="00DE0EAD" w:rsidRDefault="00DE0EAD" w:rsidP="008B60B2">
      <w:r>
        <w:separator/>
      </w:r>
    </w:p>
    <w:p w14:paraId="30A78D31" w14:textId="77777777" w:rsidR="00DE0EAD" w:rsidRPr="00ED77FB" w:rsidRDefault="00DE0EAD" w:rsidP="008B60B2">
      <w:pPr>
        <w:spacing w:after="60"/>
        <w:rPr>
          <w:sz w:val="17"/>
          <w:szCs w:val="17"/>
        </w:rPr>
      </w:pPr>
      <w:r w:rsidRPr="00ED77FB">
        <w:rPr>
          <w:sz w:val="17"/>
          <w:szCs w:val="17"/>
        </w:rPr>
        <w:t>[Footnote continued from previous page]</w:t>
      </w:r>
    </w:p>
  </w:footnote>
  <w:footnote w:type="continuationNotice" w:id="1">
    <w:p w14:paraId="07AD66AE" w14:textId="77777777" w:rsidR="00DE0EAD" w:rsidRPr="00ED77FB" w:rsidRDefault="00DE0EA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8AE0E" w14:textId="77777777" w:rsidR="00D70B35" w:rsidRPr="00D13C08" w:rsidRDefault="00D70B35" w:rsidP="00477D6B">
    <w:pPr>
      <w:jc w:val="right"/>
      <w:rPr>
        <w:szCs w:val="22"/>
      </w:rPr>
    </w:pPr>
    <w:r w:rsidRPr="00D13C08">
      <w:rPr>
        <w:caps/>
        <w:szCs w:val="22"/>
      </w:rPr>
      <w:t>WO/GA/4</w:t>
    </w:r>
    <w:r>
      <w:rPr>
        <w:caps/>
        <w:szCs w:val="22"/>
      </w:rPr>
      <w:t>7/XX</w:t>
    </w:r>
  </w:p>
  <w:p w14:paraId="3A1A227B" w14:textId="77777777" w:rsidR="00D70B35" w:rsidRPr="00D13C08" w:rsidRDefault="00D70B35" w:rsidP="00477D6B">
    <w:pPr>
      <w:jc w:val="right"/>
      <w:rPr>
        <w:szCs w:val="22"/>
      </w:rPr>
    </w:pPr>
    <w:proofErr w:type="gramStart"/>
    <w:r w:rsidRPr="00D13C08">
      <w:rPr>
        <w:szCs w:val="22"/>
      </w:rPr>
      <w:t>page</w:t>
    </w:r>
    <w:proofErr w:type="gramEnd"/>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8A015C">
      <w:rPr>
        <w:noProof/>
        <w:szCs w:val="22"/>
      </w:rPr>
      <w:t>2</w:t>
    </w:r>
    <w:r w:rsidRPr="00D13C08">
      <w:rPr>
        <w:szCs w:val="22"/>
      </w:rPr>
      <w:fldChar w:fldCharType="end"/>
    </w:r>
  </w:p>
  <w:p w14:paraId="17A9A8E5" w14:textId="77777777" w:rsidR="00D70B35" w:rsidRDefault="00D70B3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8B351" w14:textId="70268D6F" w:rsidR="00EC4E49" w:rsidRDefault="00DE0EAD" w:rsidP="00477D6B">
    <w:pPr>
      <w:jc w:val="right"/>
    </w:pPr>
    <w:bookmarkStart w:id="5" w:name="Code2"/>
    <w:bookmarkEnd w:id="5"/>
    <w:r w:rsidRPr="00254057">
      <w:t>WO/GA/49/</w:t>
    </w:r>
    <w:r w:rsidR="00C46E17">
      <w:t>19</w:t>
    </w:r>
  </w:p>
  <w:p w14:paraId="22A422B0" w14:textId="77777777" w:rsidR="00EC4E49" w:rsidRDefault="00D70B35"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A433CD">
      <w:rPr>
        <w:noProof/>
      </w:rPr>
      <w:t>2</w:t>
    </w:r>
    <w:r w:rsidR="00EC4E49">
      <w:fldChar w:fldCharType="end"/>
    </w:r>
  </w:p>
  <w:p w14:paraId="0DD381DF" w14:textId="77777777" w:rsidR="008A134B" w:rsidRDefault="008A134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A341" w14:textId="0B857A94" w:rsidR="00D70B35" w:rsidRDefault="00D70B35" w:rsidP="00D70B35">
    <w:pPr>
      <w:pStyle w:val="Header"/>
      <w:jc w:val="right"/>
    </w:pPr>
    <w:r w:rsidRPr="00254057">
      <w:t>WO/GA/49/</w:t>
    </w:r>
    <w:r w:rsidR="00C46E17">
      <w:t>19</w:t>
    </w:r>
  </w:p>
  <w:p w14:paraId="7388B606" w14:textId="77777777" w:rsidR="00D70B35" w:rsidRDefault="00D70B35" w:rsidP="00D70B35">
    <w:pPr>
      <w:pStyle w:val="Header"/>
      <w:jc w:val="right"/>
    </w:pPr>
    <w:r>
      <w:t>ANNEX</w:t>
    </w:r>
  </w:p>
  <w:p w14:paraId="5EBBF3F9" w14:textId="77777777" w:rsidR="00D70B35" w:rsidRDefault="00D70B35" w:rsidP="00D70B3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4704FD5"/>
    <w:multiLevelType w:val="hybridMultilevel"/>
    <w:tmpl w:val="E4A88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425DAD"/>
    <w:multiLevelType w:val="hybridMultilevel"/>
    <w:tmpl w:val="07602EE6"/>
    <w:lvl w:ilvl="0" w:tplc="10BC53CC">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570B23"/>
    <w:multiLevelType w:val="hybridMultilevel"/>
    <w:tmpl w:val="BCC8F33A"/>
    <w:lvl w:ilvl="0" w:tplc="ACD6069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2F4A94"/>
    <w:multiLevelType w:val="hybridMultilevel"/>
    <w:tmpl w:val="A7526C36"/>
    <w:lvl w:ilvl="0" w:tplc="31C80DAA">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1"/>
  </w:num>
  <w:num w:numId="8">
    <w:abstractNumId w:val="3"/>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EAD"/>
    <w:rsid w:val="0001730C"/>
    <w:rsid w:val="00030FBE"/>
    <w:rsid w:val="00043CAA"/>
    <w:rsid w:val="0004632A"/>
    <w:rsid w:val="00075432"/>
    <w:rsid w:val="000968ED"/>
    <w:rsid w:val="000B45EE"/>
    <w:rsid w:val="000F5E56"/>
    <w:rsid w:val="001101D0"/>
    <w:rsid w:val="001362EE"/>
    <w:rsid w:val="001647D5"/>
    <w:rsid w:val="00170016"/>
    <w:rsid w:val="001825D8"/>
    <w:rsid w:val="001832A6"/>
    <w:rsid w:val="0021217E"/>
    <w:rsid w:val="00254057"/>
    <w:rsid w:val="002634C4"/>
    <w:rsid w:val="002928D3"/>
    <w:rsid w:val="002F1FE6"/>
    <w:rsid w:val="002F4E68"/>
    <w:rsid w:val="00312F7F"/>
    <w:rsid w:val="003245D4"/>
    <w:rsid w:val="00361450"/>
    <w:rsid w:val="003673CF"/>
    <w:rsid w:val="00372050"/>
    <w:rsid w:val="003845C1"/>
    <w:rsid w:val="003A6F89"/>
    <w:rsid w:val="003B38C1"/>
    <w:rsid w:val="003D171D"/>
    <w:rsid w:val="003F1390"/>
    <w:rsid w:val="00416CCD"/>
    <w:rsid w:val="00423E3E"/>
    <w:rsid w:val="00427AF4"/>
    <w:rsid w:val="004647DA"/>
    <w:rsid w:val="00474062"/>
    <w:rsid w:val="00477D6B"/>
    <w:rsid w:val="004B5B96"/>
    <w:rsid w:val="005019FF"/>
    <w:rsid w:val="00513424"/>
    <w:rsid w:val="0053057A"/>
    <w:rsid w:val="00560A29"/>
    <w:rsid w:val="005C6649"/>
    <w:rsid w:val="005E1912"/>
    <w:rsid w:val="00605827"/>
    <w:rsid w:val="00646050"/>
    <w:rsid w:val="006713CA"/>
    <w:rsid w:val="00676C5C"/>
    <w:rsid w:val="00684BB5"/>
    <w:rsid w:val="00685859"/>
    <w:rsid w:val="006F6288"/>
    <w:rsid w:val="0075196E"/>
    <w:rsid w:val="007D1613"/>
    <w:rsid w:val="007E4C0E"/>
    <w:rsid w:val="0081310A"/>
    <w:rsid w:val="00895F7C"/>
    <w:rsid w:val="008A015C"/>
    <w:rsid w:val="008A134B"/>
    <w:rsid w:val="008A2CB2"/>
    <w:rsid w:val="008A4ADD"/>
    <w:rsid w:val="008B2CC1"/>
    <w:rsid w:val="008B60B2"/>
    <w:rsid w:val="008D5F7C"/>
    <w:rsid w:val="008D6BC4"/>
    <w:rsid w:val="0090731E"/>
    <w:rsid w:val="00916EE2"/>
    <w:rsid w:val="00954BA1"/>
    <w:rsid w:val="00964907"/>
    <w:rsid w:val="00966A22"/>
    <w:rsid w:val="0096722F"/>
    <w:rsid w:val="00980843"/>
    <w:rsid w:val="009859CE"/>
    <w:rsid w:val="00987C92"/>
    <w:rsid w:val="009E2791"/>
    <w:rsid w:val="009E3F6F"/>
    <w:rsid w:val="009F499F"/>
    <w:rsid w:val="00A07101"/>
    <w:rsid w:val="00A30352"/>
    <w:rsid w:val="00A42DAF"/>
    <w:rsid w:val="00A433CD"/>
    <w:rsid w:val="00A45BD8"/>
    <w:rsid w:val="00A83646"/>
    <w:rsid w:val="00A869B7"/>
    <w:rsid w:val="00AC205C"/>
    <w:rsid w:val="00AF0A6B"/>
    <w:rsid w:val="00B05A69"/>
    <w:rsid w:val="00B05D88"/>
    <w:rsid w:val="00B85C60"/>
    <w:rsid w:val="00B9734B"/>
    <w:rsid w:val="00BA30E2"/>
    <w:rsid w:val="00C0254D"/>
    <w:rsid w:val="00C11BFE"/>
    <w:rsid w:val="00C12EE4"/>
    <w:rsid w:val="00C46E17"/>
    <w:rsid w:val="00C5068F"/>
    <w:rsid w:val="00C86D74"/>
    <w:rsid w:val="00CA5DC5"/>
    <w:rsid w:val="00CC5032"/>
    <w:rsid w:val="00CD04F1"/>
    <w:rsid w:val="00D45252"/>
    <w:rsid w:val="00D67AA3"/>
    <w:rsid w:val="00D70B35"/>
    <w:rsid w:val="00D71B4D"/>
    <w:rsid w:val="00D93D55"/>
    <w:rsid w:val="00DA35E7"/>
    <w:rsid w:val="00DE0EAD"/>
    <w:rsid w:val="00E15015"/>
    <w:rsid w:val="00E335FE"/>
    <w:rsid w:val="00EA7D6E"/>
    <w:rsid w:val="00EB6278"/>
    <w:rsid w:val="00EC4E49"/>
    <w:rsid w:val="00ED77FB"/>
    <w:rsid w:val="00EE45FA"/>
    <w:rsid w:val="00EE7952"/>
    <w:rsid w:val="00F019EC"/>
    <w:rsid w:val="00F10ED0"/>
    <w:rsid w:val="00F66152"/>
    <w:rsid w:val="00F708ED"/>
    <w:rsid w:val="00F70BF3"/>
    <w:rsid w:val="00F8567F"/>
    <w:rsid w:val="00FA7208"/>
    <w:rsid w:val="00FB63C6"/>
    <w:rsid w:val="00FD1C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5F44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E0EAD"/>
    <w:rPr>
      <w:rFonts w:ascii="Tahoma" w:hAnsi="Tahoma" w:cs="Tahoma"/>
      <w:sz w:val="16"/>
      <w:szCs w:val="16"/>
    </w:rPr>
  </w:style>
  <w:style w:type="character" w:customStyle="1" w:styleId="BalloonTextChar">
    <w:name w:val="Balloon Text Char"/>
    <w:basedOn w:val="DefaultParagraphFont"/>
    <w:link w:val="BalloonText"/>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HeaderChar">
    <w:name w:val="Header Char"/>
    <w:link w:val="Header"/>
    <w:uiPriority w:val="99"/>
    <w:locked/>
    <w:rsid w:val="00D70B35"/>
    <w:rPr>
      <w:rFonts w:ascii="Arial" w:eastAsia="SimSun" w:hAnsi="Arial" w:cs="Arial"/>
      <w:sz w:val="22"/>
      <w:lang w:val="en-US" w:eastAsia="zh-CN"/>
    </w:rPr>
  </w:style>
  <w:style w:type="paragraph" w:styleId="ListParagraph">
    <w:name w:val="List Paragraph"/>
    <w:basedOn w:val="Normal"/>
    <w:uiPriority w:val="34"/>
    <w:qFormat/>
    <w:rsid w:val="00EE7952"/>
    <w:pPr>
      <w:spacing w:after="200" w:line="276" w:lineRule="auto"/>
      <w:ind w:left="720"/>
      <w:contextualSpacing/>
    </w:pPr>
    <w:rPr>
      <w:rFonts w:ascii="Calibri" w:eastAsia="Calibri" w:hAnsi="Calibri" w:cs="Times New Roman"/>
      <w:szCs w:val="22"/>
      <w:lang w:val="es-SV" w:eastAsia="en-US"/>
    </w:rPr>
  </w:style>
  <w:style w:type="paragraph" w:customStyle="1" w:styleId="Default">
    <w:name w:val="Default"/>
    <w:uiPriority w:val="99"/>
    <w:rsid w:val="0001730C"/>
    <w:rPr>
      <w:rFonts w:ascii="Arial" w:hAnsi="Arial" w:cs="Arial"/>
      <w:color w:val="000000"/>
      <w:sz w:val="24"/>
      <w:lang w:val="en-US" w:eastAsia="en-US"/>
    </w:rPr>
  </w:style>
  <w:style w:type="table" w:styleId="TableGrid">
    <w:name w:val="Table Grid"/>
    <w:basedOn w:val="TableNormal"/>
    <w:uiPriority w:val="59"/>
    <w:rsid w:val="0001730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E0EAD"/>
    <w:rPr>
      <w:rFonts w:ascii="Tahoma" w:hAnsi="Tahoma" w:cs="Tahoma"/>
      <w:sz w:val="16"/>
      <w:szCs w:val="16"/>
    </w:rPr>
  </w:style>
  <w:style w:type="character" w:customStyle="1" w:styleId="BalloonTextChar">
    <w:name w:val="Balloon Text Char"/>
    <w:basedOn w:val="DefaultParagraphFont"/>
    <w:link w:val="BalloonText"/>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HeaderChar">
    <w:name w:val="Header Char"/>
    <w:link w:val="Header"/>
    <w:uiPriority w:val="99"/>
    <w:locked/>
    <w:rsid w:val="00D70B35"/>
    <w:rPr>
      <w:rFonts w:ascii="Arial" w:eastAsia="SimSun" w:hAnsi="Arial" w:cs="Arial"/>
      <w:sz w:val="22"/>
      <w:lang w:val="en-US" w:eastAsia="zh-CN"/>
    </w:rPr>
  </w:style>
  <w:style w:type="paragraph" w:styleId="ListParagraph">
    <w:name w:val="List Paragraph"/>
    <w:basedOn w:val="Normal"/>
    <w:uiPriority w:val="34"/>
    <w:qFormat/>
    <w:rsid w:val="00EE7952"/>
    <w:pPr>
      <w:spacing w:after="200" w:line="276" w:lineRule="auto"/>
      <w:ind w:left="720"/>
      <w:contextualSpacing/>
    </w:pPr>
    <w:rPr>
      <w:rFonts w:ascii="Calibri" w:eastAsia="Calibri" w:hAnsi="Calibri" w:cs="Times New Roman"/>
      <w:szCs w:val="22"/>
      <w:lang w:val="es-SV" w:eastAsia="en-US"/>
    </w:rPr>
  </w:style>
  <w:style w:type="paragraph" w:customStyle="1" w:styleId="Default">
    <w:name w:val="Default"/>
    <w:uiPriority w:val="99"/>
    <w:rsid w:val="0001730C"/>
    <w:rPr>
      <w:rFonts w:ascii="Arial" w:hAnsi="Arial" w:cs="Arial"/>
      <w:color w:val="000000"/>
      <w:sz w:val="24"/>
      <w:lang w:val="en-US" w:eastAsia="en-US"/>
    </w:rPr>
  </w:style>
  <w:style w:type="table" w:styleId="TableGrid">
    <w:name w:val="Table Grid"/>
    <w:basedOn w:val="TableNormal"/>
    <w:uiPriority w:val="59"/>
    <w:rsid w:val="0001730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9E8C4-EA4D-45B0-BF05-5C5445BF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(E)</Template>
  <TotalTime>13</TotalTime>
  <Pages>3</Pages>
  <Words>741</Words>
  <Characters>3735</Characters>
  <Application>Microsoft Office Word</Application>
  <DocSecurity>0</DocSecurity>
  <Lines>933</Lines>
  <Paragraphs>279</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JIAO Fei</dc:creator>
  <cp:lastModifiedBy>HÄFLIGER Patience</cp:lastModifiedBy>
  <cp:revision>16</cp:revision>
  <cp:lastPrinted>2017-10-04T15:26:00Z</cp:lastPrinted>
  <dcterms:created xsi:type="dcterms:W3CDTF">2017-09-29T15:38:00Z</dcterms:created>
  <dcterms:modified xsi:type="dcterms:W3CDTF">2017-10-04T15:27:00Z</dcterms:modified>
</cp:coreProperties>
</file>