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0066A12" w14:textId="77777777" w:rsidTr="00361450">
        <w:tc>
          <w:tcPr>
            <w:tcW w:w="4513" w:type="dxa"/>
            <w:tcBorders>
              <w:bottom w:val="single" w:sz="4" w:space="0" w:color="auto"/>
            </w:tcBorders>
            <w:tcMar>
              <w:bottom w:w="170" w:type="dxa"/>
            </w:tcMar>
          </w:tcPr>
          <w:p w14:paraId="09B0963E"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56807195" w14:textId="77777777" w:rsidR="00EC4E49" w:rsidRPr="008B2CC1" w:rsidRDefault="00CA5DC5" w:rsidP="00916EE2">
            <w:r>
              <w:rPr>
                <w:noProof/>
                <w:lang w:eastAsia="en-US"/>
              </w:rPr>
              <w:drawing>
                <wp:inline distT="0" distB="0" distL="0" distR="0" wp14:anchorId="6449A262" wp14:editId="77E782F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924FA7" w14:textId="77777777" w:rsidR="00EC4E49" w:rsidRPr="008B2CC1" w:rsidRDefault="00EC4E49" w:rsidP="00916EE2">
            <w:pPr>
              <w:jc w:val="right"/>
            </w:pPr>
            <w:r w:rsidRPr="00605827">
              <w:rPr>
                <w:b/>
                <w:sz w:val="40"/>
                <w:szCs w:val="40"/>
              </w:rPr>
              <w:t>E</w:t>
            </w:r>
          </w:p>
        </w:tc>
      </w:tr>
      <w:tr w:rsidR="008B2CC1" w:rsidRPr="00254057" w14:paraId="57C89A6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1201B6A" w14:textId="32D00343" w:rsidR="008B2CC1" w:rsidRPr="00254057" w:rsidRDefault="00CA5DC5" w:rsidP="00F73F3A">
            <w:pPr>
              <w:jc w:val="right"/>
              <w:rPr>
                <w:rFonts w:ascii="Arial Black" w:hAnsi="Arial Black"/>
                <w:caps/>
                <w:sz w:val="15"/>
              </w:rPr>
            </w:pPr>
            <w:r w:rsidRPr="00254057">
              <w:rPr>
                <w:rFonts w:ascii="Arial Black" w:hAnsi="Arial Black"/>
                <w:caps/>
                <w:sz w:val="15"/>
              </w:rPr>
              <w:t>WO/GA/49/</w:t>
            </w:r>
            <w:bookmarkStart w:id="1" w:name="Code"/>
            <w:bookmarkEnd w:id="1"/>
            <w:r w:rsidR="00030FBE">
              <w:rPr>
                <w:rFonts w:ascii="Arial Black" w:hAnsi="Arial Black"/>
                <w:caps/>
                <w:sz w:val="15"/>
              </w:rPr>
              <w:t>1</w:t>
            </w:r>
            <w:r w:rsidR="00F73F3A">
              <w:rPr>
                <w:rFonts w:ascii="Arial Black" w:hAnsi="Arial Black"/>
                <w:caps/>
                <w:sz w:val="15"/>
              </w:rPr>
              <w:t>8 aDd.</w:t>
            </w:r>
          </w:p>
        </w:tc>
      </w:tr>
      <w:tr w:rsidR="008B2CC1" w:rsidRPr="001832A6" w14:paraId="1ADACEC7" w14:textId="77777777" w:rsidTr="00916EE2">
        <w:trPr>
          <w:trHeight w:hRule="exact" w:val="170"/>
        </w:trPr>
        <w:tc>
          <w:tcPr>
            <w:tcW w:w="9356" w:type="dxa"/>
            <w:gridSpan w:val="3"/>
            <w:noWrap/>
            <w:tcMar>
              <w:left w:w="0" w:type="dxa"/>
              <w:right w:w="0" w:type="dxa"/>
            </w:tcMar>
            <w:vAlign w:val="bottom"/>
          </w:tcPr>
          <w:p w14:paraId="45D86D02" w14:textId="2218E96C" w:rsidR="008B2CC1" w:rsidRPr="0090731E" w:rsidRDefault="008B2CC1" w:rsidP="00EB6278">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EB6278">
              <w:rPr>
                <w:rFonts w:ascii="Arial Black" w:hAnsi="Arial Black"/>
                <w:caps/>
                <w:sz w:val="15"/>
              </w:rPr>
              <w:t>ENGLISH</w:t>
            </w:r>
            <w:r w:rsidRPr="0090731E">
              <w:rPr>
                <w:rFonts w:ascii="Arial Black" w:hAnsi="Arial Black"/>
                <w:caps/>
                <w:sz w:val="15"/>
              </w:rPr>
              <w:t xml:space="preserve"> </w:t>
            </w:r>
          </w:p>
        </w:tc>
      </w:tr>
      <w:tr w:rsidR="008B2CC1" w:rsidRPr="001832A6" w14:paraId="1F07FA87" w14:textId="77777777" w:rsidTr="00916EE2">
        <w:trPr>
          <w:trHeight w:hRule="exact" w:val="198"/>
        </w:trPr>
        <w:tc>
          <w:tcPr>
            <w:tcW w:w="9356" w:type="dxa"/>
            <w:gridSpan w:val="3"/>
            <w:tcMar>
              <w:left w:w="0" w:type="dxa"/>
              <w:right w:w="0" w:type="dxa"/>
            </w:tcMar>
            <w:vAlign w:val="bottom"/>
          </w:tcPr>
          <w:p w14:paraId="573B7518" w14:textId="1AEF4782" w:rsidR="008B2CC1" w:rsidRPr="0090731E" w:rsidRDefault="008B2CC1" w:rsidP="00F73F3A">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F73F3A">
              <w:rPr>
                <w:rFonts w:ascii="Arial Black" w:hAnsi="Arial Black"/>
                <w:caps/>
                <w:sz w:val="15"/>
              </w:rPr>
              <w:t>oCTOBER 9</w:t>
            </w:r>
            <w:r w:rsidR="0081310A">
              <w:rPr>
                <w:rFonts w:ascii="Arial Black" w:hAnsi="Arial Black"/>
                <w:caps/>
                <w:sz w:val="15"/>
              </w:rPr>
              <w:t>,</w:t>
            </w:r>
            <w:r w:rsidR="00DE0EAD">
              <w:rPr>
                <w:rFonts w:ascii="Arial Black" w:hAnsi="Arial Black"/>
                <w:caps/>
                <w:sz w:val="15"/>
              </w:rPr>
              <w:t xml:space="preserve"> 2017</w:t>
            </w:r>
            <w:r w:rsidRPr="0090731E">
              <w:rPr>
                <w:rFonts w:ascii="Arial Black" w:hAnsi="Arial Black"/>
                <w:caps/>
                <w:sz w:val="15"/>
              </w:rPr>
              <w:t xml:space="preserve"> </w:t>
            </w:r>
          </w:p>
        </w:tc>
      </w:tr>
    </w:tbl>
    <w:p w14:paraId="1022DA99" w14:textId="77777777" w:rsidR="008B2CC1" w:rsidRPr="008B2CC1" w:rsidRDefault="008B2CC1" w:rsidP="008B2CC1"/>
    <w:p w14:paraId="2428D2FC" w14:textId="77777777" w:rsidR="008B2CC1" w:rsidRPr="008B2CC1" w:rsidRDefault="008B2CC1" w:rsidP="008B2CC1"/>
    <w:p w14:paraId="4D32D840" w14:textId="77777777" w:rsidR="008B2CC1" w:rsidRPr="008B2CC1" w:rsidRDefault="008B2CC1" w:rsidP="008B2CC1"/>
    <w:p w14:paraId="329EECC3" w14:textId="77777777" w:rsidR="008B2CC1" w:rsidRPr="008B2CC1" w:rsidRDefault="008B2CC1" w:rsidP="008B2CC1"/>
    <w:p w14:paraId="15EDC2B1" w14:textId="77777777" w:rsidR="008B2CC1" w:rsidRPr="008B2CC1" w:rsidRDefault="008B2CC1" w:rsidP="008B2CC1"/>
    <w:p w14:paraId="6D28C1CA" w14:textId="15C97AD1" w:rsidR="0081310A" w:rsidRPr="003845C1" w:rsidRDefault="001101D0" w:rsidP="0081310A">
      <w:pPr>
        <w:rPr>
          <w:b/>
          <w:sz w:val="28"/>
          <w:szCs w:val="28"/>
        </w:rPr>
      </w:pPr>
      <w:r w:rsidRPr="00B26D45">
        <w:rPr>
          <w:b/>
          <w:sz w:val="28"/>
          <w:szCs w:val="28"/>
        </w:rPr>
        <w:t>WIPO General Assembly</w:t>
      </w:r>
      <w:r>
        <w:rPr>
          <w:b/>
          <w:sz w:val="28"/>
          <w:szCs w:val="28"/>
        </w:rPr>
        <w:t xml:space="preserve"> </w:t>
      </w:r>
    </w:p>
    <w:p w14:paraId="4F9F56F8" w14:textId="77777777" w:rsidR="0081310A" w:rsidRDefault="0081310A" w:rsidP="0081310A"/>
    <w:p w14:paraId="2ED85A36" w14:textId="77777777" w:rsidR="0081310A" w:rsidRDefault="0081310A" w:rsidP="0081310A"/>
    <w:p w14:paraId="3D099598" w14:textId="4D99D003" w:rsidR="0081310A" w:rsidRPr="00CA5DC5" w:rsidRDefault="001101D0" w:rsidP="0081310A">
      <w:pPr>
        <w:rPr>
          <w:b/>
          <w:sz w:val="24"/>
          <w:szCs w:val="24"/>
        </w:rPr>
      </w:pPr>
      <w:r w:rsidRPr="00B26D45">
        <w:rPr>
          <w:b/>
          <w:sz w:val="24"/>
          <w:szCs w:val="24"/>
        </w:rPr>
        <w:t>Forty-</w:t>
      </w:r>
      <w:r>
        <w:rPr>
          <w:b/>
          <w:sz w:val="24"/>
          <w:szCs w:val="24"/>
        </w:rPr>
        <w:t>Nin</w:t>
      </w:r>
      <w:r w:rsidRPr="00B26D45">
        <w:rPr>
          <w:b/>
          <w:sz w:val="24"/>
          <w:szCs w:val="24"/>
        </w:rPr>
        <w:t>th (2</w:t>
      </w:r>
      <w:r>
        <w:rPr>
          <w:b/>
          <w:sz w:val="24"/>
          <w:szCs w:val="24"/>
        </w:rPr>
        <w:t>3</w:t>
      </w:r>
      <w:r w:rsidRPr="002C6B9B">
        <w:rPr>
          <w:b/>
          <w:sz w:val="24"/>
          <w:szCs w:val="24"/>
          <w:vertAlign w:val="superscript"/>
        </w:rPr>
        <w:t>rd</w:t>
      </w:r>
      <w:r>
        <w:rPr>
          <w:b/>
          <w:sz w:val="24"/>
          <w:szCs w:val="24"/>
        </w:rPr>
        <w:t xml:space="preserve"> </w:t>
      </w:r>
      <w:r w:rsidRPr="00B26D45">
        <w:rPr>
          <w:b/>
          <w:sz w:val="24"/>
          <w:szCs w:val="24"/>
        </w:rPr>
        <w:t>Ordinary) Session</w:t>
      </w:r>
      <w:r w:rsidRPr="00CA5DC5">
        <w:rPr>
          <w:b/>
          <w:sz w:val="24"/>
          <w:szCs w:val="24"/>
        </w:rPr>
        <w:t xml:space="preserve"> </w:t>
      </w:r>
    </w:p>
    <w:p w14:paraId="33BCC91A" w14:textId="77777777" w:rsidR="0081310A" w:rsidRPr="003845C1" w:rsidRDefault="0081310A" w:rsidP="0081310A">
      <w:pPr>
        <w:rPr>
          <w:b/>
          <w:sz w:val="24"/>
          <w:szCs w:val="24"/>
        </w:rPr>
      </w:pPr>
      <w:r w:rsidRPr="00CA5DC5">
        <w:rPr>
          <w:b/>
          <w:sz w:val="24"/>
          <w:szCs w:val="24"/>
        </w:rPr>
        <w:t>Geneva, October 2 to 11, 2017</w:t>
      </w:r>
    </w:p>
    <w:p w14:paraId="6C7BBEF6" w14:textId="77777777" w:rsidR="0081310A" w:rsidRPr="008B2CC1" w:rsidRDefault="0081310A" w:rsidP="0081310A"/>
    <w:p w14:paraId="6259DF5F" w14:textId="77777777" w:rsidR="0081310A" w:rsidRPr="008B2CC1" w:rsidRDefault="0081310A" w:rsidP="0081310A"/>
    <w:p w14:paraId="2CDB3108" w14:textId="77777777" w:rsidR="0081310A" w:rsidRPr="008B2CC1" w:rsidRDefault="0081310A" w:rsidP="0081310A"/>
    <w:p w14:paraId="6FF4BA7F" w14:textId="69F5CBAF" w:rsidR="0081310A" w:rsidRPr="001C729C" w:rsidRDefault="00F8567F" w:rsidP="0081310A">
      <w:r w:rsidRPr="00F8567F">
        <w:t>EU PROPOSAL FOR IGC MANDATE 2018/2019</w:t>
      </w:r>
    </w:p>
    <w:p w14:paraId="1AA39BFD" w14:textId="77777777" w:rsidR="0081310A" w:rsidRPr="008B2CC1" w:rsidRDefault="0081310A" w:rsidP="0081310A"/>
    <w:p w14:paraId="11A40A83" w14:textId="64D08919" w:rsidR="0081310A" w:rsidRPr="008B2CC1" w:rsidRDefault="00F73F3A" w:rsidP="0081310A">
      <w:pPr>
        <w:rPr>
          <w:i/>
        </w:rPr>
      </w:pPr>
      <w:bookmarkStart w:id="4" w:name="Prepared"/>
      <w:bookmarkEnd w:id="4"/>
      <w:r>
        <w:rPr>
          <w:i/>
        </w:rPr>
        <w:t xml:space="preserve">Addendum </w:t>
      </w:r>
      <w:r w:rsidR="0081310A">
        <w:rPr>
          <w:i/>
        </w:rPr>
        <w:t xml:space="preserve">submitted by the Delegation of </w:t>
      </w:r>
      <w:r w:rsidR="00030FBE">
        <w:rPr>
          <w:i/>
        </w:rPr>
        <w:t>the European Union</w:t>
      </w:r>
      <w:r w:rsidR="00F019EC">
        <w:rPr>
          <w:i/>
        </w:rPr>
        <w:t xml:space="preserve"> on behalf of </w:t>
      </w:r>
      <w:r w:rsidR="00030FBE">
        <w:rPr>
          <w:i/>
        </w:rPr>
        <w:t>the European Union and its Member States</w:t>
      </w:r>
    </w:p>
    <w:p w14:paraId="5D33EFA5" w14:textId="77777777" w:rsidR="0081310A" w:rsidRDefault="0081310A" w:rsidP="0081310A"/>
    <w:p w14:paraId="2C7D85A7" w14:textId="77777777" w:rsidR="0081310A" w:rsidRDefault="0081310A" w:rsidP="0081310A"/>
    <w:p w14:paraId="667D230B" w14:textId="77777777" w:rsidR="0081310A" w:rsidRDefault="0081310A" w:rsidP="0081310A"/>
    <w:p w14:paraId="69B652DB" w14:textId="77777777" w:rsidR="0081310A" w:rsidRPr="00626702" w:rsidRDefault="0081310A" w:rsidP="0081310A">
      <w:pPr>
        <w:rPr>
          <w:szCs w:val="22"/>
        </w:rPr>
      </w:pPr>
    </w:p>
    <w:p w14:paraId="4361A6CF" w14:textId="24AB3955" w:rsidR="00F73F3A" w:rsidRDefault="00F73F3A" w:rsidP="00F73F3A">
      <w:pPr>
        <w:autoSpaceDE w:val="0"/>
        <w:autoSpaceDN w:val="0"/>
      </w:pPr>
      <w:r>
        <w:t>In a communication to the Secretariat received on October 9, 2017, the Delegation of the European Union (EU), on behalf of the EU and its Member States, submitted the enclosed document to be annexed to the proposal contained in document WO/GA/49/18, in the framework of the agenda item “Report on the Intergovernmental Committee on Intellectual Property and Genetic Resources, Traditional Knowledge and Folklore (IGC)</w:t>
      </w:r>
      <w:r w:rsidR="003B30E3">
        <w:t>”</w:t>
      </w:r>
      <w:r>
        <w:t>.</w:t>
      </w:r>
    </w:p>
    <w:p w14:paraId="0FADB770" w14:textId="77777777" w:rsidR="00DE0EAD" w:rsidRDefault="00DE0EAD" w:rsidP="00DE0EAD">
      <w:pPr>
        <w:pStyle w:val="ONUME"/>
        <w:numPr>
          <w:ilvl w:val="0"/>
          <w:numId w:val="0"/>
        </w:numPr>
        <w:spacing w:after="0"/>
        <w:ind w:left="5501"/>
        <w:rPr>
          <w:i/>
        </w:rPr>
      </w:pPr>
    </w:p>
    <w:p w14:paraId="0B40540C" w14:textId="77777777" w:rsidR="0081310A" w:rsidRDefault="0081310A" w:rsidP="00DE0EAD">
      <w:pPr>
        <w:pStyle w:val="ONUME"/>
        <w:numPr>
          <w:ilvl w:val="0"/>
          <w:numId w:val="0"/>
        </w:numPr>
        <w:spacing w:after="0"/>
        <w:ind w:left="5501"/>
        <w:rPr>
          <w:i/>
        </w:rPr>
      </w:pPr>
    </w:p>
    <w:p w14:paraId="3DE502C9" w14:textId="77777777" w:rsidR="0081310A" w:rsidRPr="00626702" w:rsidRDefault="0081310A" w:rsidP="00DE0EAD">
      <w:pPr>
        <w:pStyle w:val="ONUME"/>
        <w:numPr>
          <w:ilvl w:val="0"/>
          <w:numId w:val="0"/>
        </w:numPr>
        <w:spacing w:after="0"/>
        <w:ind w:left="5501"/>
        <w:rPr>
          <w:i/>
        </w:rPr>
      </w:pPr>
    </w:p>
    <w:p w14:paraId="1662F97D" w14:textId="77777777" w:rsidR="00DE0EAD" w:rsidRPr="00626702" w:rsidRDefault="00DE0EAD" w:rsidP="00DE0EAD">
      <w:pPr>
        <w:spacing w:after="120" w:line="260" w:lineRule="atLeast"/>
        <w:ind w:left="5500"/>
        <w:contextualSpacing/>
        <w:rPr>
          <w:lang w:val="en"/>
        </w:rPr>
      </w:pPr>
      <w:r>
        <w:rPr>
          <w:lang w:val="en"/>
        </w:rPr>
        <w:t>[Annex</w:t>
      </w:r>
      <w:r w:rsidRPr="00626702">
        <w:rPr>
          <w:lang w:val="en"/>
        </w:rPr>
        <w:t xml:space="preserve"> follow</w:t>
      </w:r>
      <w:r>
        <w:rPr>
          <w:lang w:val="en"/>
        </w:rPr>
        <w:t>s</w:t>
      </w:r>
      <w:r w:rsidRPr="00626702">
        <w:rPr>
          <w:lang w:val="en"/>
        </w:rPr>
        <w:t>]</w:t>
      </w:r>
    </w:p>
    <w:p w14:paraId="6E09F3EB" w14:textId="77777777" w:rsidR="00D70B35" w:rsidRPr="001C729C" w:rsidRDefault="00D70B35" w:rsidP="00D70B35">
      <w:pPr>
        <w:spacing w:after="120" w:line="260" w:lineRule="atLeast"/>
        <w:contextualSpacing/>
        <w:rPr>
          <w:szCs w:val="22"/>
        </w:rPr>
      </w:pPr>
    </w:p>
    <w:p w14:paraId="0EDF7177" w14:textId="77777777" w:rsidR="00D70B35" w:rsidRPr="001C729C" w:rsidRDefault="00D70B35" w:rsidP="00D70B35">
      <w:pPr>
        <w:spacing w:after="120" w:line="260" w:lineRule="atLeast"/>
        <w:ind w:left="5500"/>
        <w:contextualSpacing/>
        <w:rPr>
          <w:szCs w:val="22"/>
        </w:rPr>
        <w:sectPr w:rsidR="00D70B35" w:rsidRPr="001C729C"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Default="0081310A" w:rsidP="0081310A">
      <w:pPr>
        <w:jc w:val="right"/>
      </w:pPr>
    </w:p>
    <w:p w14:paraId="09DA72F9" w14:textId="77777777" w:rsidR="00F73F3A" w:rsidRPr="00F73F3A" w:rsidRDefault="00F73F3A" w:rsidP="00B00565">
      <w:pPr>
        <w:jc w:val="center"/>
        <w:rPr>
          <w:rFonts w:eastAsia="Times New Roman"/>
          <w:szCs w:val="22"/>
          <w:lang w:val="en-GB" w:eastAsia="en-US"/>
        </w:rPr>
      </w:pPr>
      <w:r w:rsidRPr="00F73F3A">
        <w:rPr>
          <w:rFonts w:eastAsia="Times New Roman"/>
          <w:szCs w:val="22"/>
          <w:lang w:val="en-GB" w:eastAsia="en-US"/>
        </w:rPr>
        <w:t>Work Programme of the IGC as proposed by the EU and its Member States, to be annexed to the proposal for a new mandate as contained in document WO/GA/49/18</w:t>
      </w:r>
    </w:p>
    <w:p w14:paraId="1C797341" w14:textId="77777777" w:rsidR="00F73F3A" w:rsidRPr="00F73F3A" w:rsidRDefault="00F73F3A" w:rsidP="00B00565">
      <w:pPr>
        <w:rPr>
          <w:rFonts w:eastAsia="Times New Roman"/>
          <w:szCs w:val="22"/>
          <w:u w:val="single"/>
          <w:lang w:val="en-GB" w:eastAsia="en-US"/>
        </w:rPr>
      </w:pPr>
    </w:p>
    <w:tbl>
      <w:tblPr>
        <w:tblStyle w:val="TableGrid1"/>
        <w:tblW w:w="0" w:type="auto"/>
        <w:tblLook w:val="04A0" w:firstRow="1" w:lastRow="0" w:firstColumn="1" w:lastColumn="0" w:noHBand="0" w:noVBand="1"/>
      </w:tblPr>
      <w:tblGrid>
        <w:gridCol w:w="2468"/>
        <w:gridCol w:w="6548"/>
      </w:tblGrid>
      <w:tr w:rsidR="00F73F3A" w:rsidRPr="00F73F3A" w14:paraId="7C9657A9" w14:textId="77777777" w:rsidTr="00CE1C94">
        <w:tc>
          <w:tcPr>
            <w:tcW w:w="2468" w:type="dxa"/>
            <w:shd w:val="clear" w:color="auto" w:fill="D9D9D9" w:themeFill="background1" w:themeFillShade="D9"/>
          </w:tcPr>
          <w:p w14:paraId="7A475250"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Indicative Dates</w:t>
            </w:r>
          </w:p>
        </w:tc>
        <w:tc>
          <w:tcPr>
            <w:tcW w:w="6548" w:type="dxa"/>
            <w:shd w:val="clear" w:color="auto" w:fill="D9D9D9" w:themeFill="background1" w:themeFillShade="D9"/>
          </w:tcPr>
          <w:p w14:paraId="1D2DAEC4"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Activity</w:t>
            </w:r>
          </w:p>
        </w:tc>
      </w:tr>
      <w:tr w:rsidR="00F73F3A" w:rsidRPr="00F73F3A" w14:paraId="38ABE88D" w14:textId="77777777" w:rsidTr="00CE1C94">
        <w:tc>
          <w:tcPr>
            <w:tcW w:w="2468" w:type="dxa"/>
          </w:tcPr>
          <w:p w14:paraId="2EADF305"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February/March 2018</w:t>
            </w:r>
          </w:p>
        </w:tc>
        <w:tc>
          <w:tcPr>
            <w:tcW w:w="6548" w:type="dxa"/>
          </w:tcPr>
          <w:p w14:paraId="6250CD9F"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35: Objectives and subject matter</w:t>
            </w:r>
          </w:p>
          <w:p w14:paraId="50ED3F8D"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74F2D16B" w14:textId="77777777" w:rsidTr="00CE1C94">
        <w:tc>
          <w:tcPr>
            <w:tcW w:w="2468" w:type="dxa"/>
          </w:tcPr>
          <w:p w14:paraId="36054B61"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May/June 2018</w:t>
            </w:r>
          </w:p>
        </w:tc>
        <w:tc>
          <w:tcPr>
            <w:tcW w:w="6548" w:type="dxa"/>
          </w:tcPr>
          <w:p w14:paraId="0429A022"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36: Definitions, beneficiaries and scope</w:t>
            </w:r>
          </w:p>
          <w:p w14:paraId="4BF0EE4D"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0BDC9830" w14:textId="77777777" w:rsidTr="00CE1C94">
        <w:tc>
          <w:tcPr>
            <w:tcW w:w="2468" w:type="dxa"/>
          </w:tcPr>
          <w:p w14:paraId="2258E0B9"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September 2018</w:t>
            </w:r>
          </w:p>
        </w:tc>
        <w:tc>
          <w:tcPr>
            <w:tcW w:w="6548" w:type="dxa"/>
          </w:tcPr>
          <w:p w14:paraId="46B1CD6F"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37: Cross-cutting issues</w:t>
            </w:r>
          </w:p>
          <w:p w14:paraId="2E22E5F4"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2338B6E2" w14:textId="77777777" w:rsidTr="00CE1C94">
        <w:tc>
          <w:tcPr>
            <w:tcW w:w="2468" w:type="dxa"/>
          </w:tcPr>
          <w:p w14:paraId="28C7150C"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October 2018</w:t>
            </w:r>
          </w:p>
        </w:tc>
        <w:tc>
          <w:tcPr>
            <w:tcW w:w="6548" w:type="dxa"/>
          </w:tcPr>
          <w:p w14:paraId="787F3C41"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 xml:space="preserve">WIPO General Assembly </w:t>
            </w:r>
          </w:p>
          <w:p w14:paraId="44379415"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 xml:space="preserve">Factual report by the Committee. </w:t>
            </w:r>
          </w:p>
        </w:tc>
      </w:tr>
      <w:tr w:rsidR="00F73F3A" w:rsidRPr="00F73F3A" w14:paraId="49C3D5AD" w14:textId="77777777" w:rsidTr="00CE1C94">
        <w:tc>
          <w:tcPr>
            <w:tcW w:w="2468" w:type="dxa"/>
          </w:tcPr>
          <w:p w14:paraId="51CCB9FE"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November/December 2018</w:t>
            </w:r>
          </w:p>
        </w:tc>
        <w:tc>
          <w:tcPr>
            <w:tcW w:w="6548" w:type="dxa"/>
          </w:tcPr>
          <w:p w14:paraId="36082076"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38: Genetic Resources</w:t>
            </w:r>
          </w:p>
          <w:p w14:paraId="70D22AE0"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7CB8750F" w14:textId="77777777" w:rsidTr="00CE1C94">
        <w:tc>
          <w:tcPr>
            <w:tcW w:w="2468" w:type="dxa"/>
          </w:tcPr>
          <w:p w14:paraId="78E922E3"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February/March 2019</w:t>
            </w:r>
          </w:p>
        </w:tc>
        <w:tc>
          <w:tcPr>
            <w:tcW w:w="6548" w:type="dxa"/>
          </w:tcPr>
          <w:p w14:paraId="22EC64E3"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39: Traditional Knowledge</w:t>
            </w:r>
          </w:p>
          <w:p w14:paraId="61E72D0F"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6AAAEDA7" w14:textId="77777777" w:rsidTr="00CE1C94">
        <w:tc>
          <w:tcPr>
            <w:tcW w:w="2468" w:type="dxa"/>
          </w:tcPr>
          <w:p w14:paraId="4B6FADC5" w14:textId="77777777" w:rsidR="00F73F3A" w:rsidRPr="00F73F3A" w:rsidRDefault="00F73F3A" w:rsidP="00B00565">
            <w:pPr>
              <w:spacing w:before="120"/>
              <w:rPr>
                <w:rFonts w:eastAsia="Times New Roman"/>
                <w:lang w:val="en-GB" w:eastAsia="en-US"/>
              </w:rPr>
            </w:pPr>
            <w:r w:rsidRPr="00F73F3A">
              <w:rPr>
                <w:rFonts w:eastAsia="Times New Roman"/>
                <w:lang w:val="en-GB" w:eastAsia="en-US"/>
              </w:rPr>
              <w:t>May/June 2019</w:t>
            </w:r>
          </w:p>
        </w:tc>
        <w:tc>
          <w:tcPr>
            <w:tcW w:w="6548" w:type="dxa"/>
          </w:tcPr>
          <w:p w14:paraId="166A3902"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IGC 40: Traditional Cultural Expressions + Stocktaking</w:t>
            </w:r>
          </w:p>
          <w:p w14:paraId="0419BE6C" w14:textId="77777777" w:rsidR="00F73F3A" w:rsidRPr="00F73F3A" w:rsidRDefault="00F73F3A" w:rsidP="00B00565">
            <w:pPr>
              <w:spacing w:before="120"/>
              <w:rPr>
                <w:rFonts w:eastAsia="Times New Roman"/>
                <w:i/>
                <w:lang w:val="en-GB" w:eastAsia="en-US"/>
              </w:rPr>
            </w:pPr>
            <w:r w:rsidRPr="00F73F3A">
              <w:rPr>
                <w:rFonts w:eastAsia="Times New Roman"/>
                <w:i/>
                <w:lang w:val="en-GB" w:eastAsia="en-US"/>
              </w:rPr>
              <w:t>Duration: 4 Days</w:t>
            </w:r>
          </w:p>
        </w:tc>
      </w:tr>
      <w:tr w:rsidR="00F73F3A" w:rsidRPr="00F73F3A" w14:paraId="2100A48A" w14:textId="77777777" w:rsidTr="00CE1C94">
        <w:tc>
          <w:tcPr>
            <w:tcW w:w="2468" w:type="dxa"/>
            <w:shd w:val="clear" w:color="auto" w:fill="D9D9D9" w:themeFill="background1" w:themeFillShade="D9"/>
          </w:tcPr>
          <w:p w14:paraId="3A6C1741"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Number of days</w:t>
            </w:r>
          </w:p>
        </w:tc>
        <w:tc>
          <w:tcPr>
            <w:tcW w:w="6548" w:type="dxa"/>
            <w:shd w:val="clear" w:color="auto" w:fill="D9D9D9" w:themeFill="background1" w:themeFillShade="D9"/>
          </w:tcPr>
          <w:p w14:paraId="5FC4EE8E" w14:textId="77777777" w:rsidR="00F73F3A" w:rsidRPr="00F73F3A" w:rsidRDefault="00F73F3A" w:rsidP="00B00565">
            <w:pPr>
              <w:spacing w:before="120"/>
              <w:rPr>
                <w:rFonts w:eastAsia="Times New Roman"/>
                <w:b/>
                <w:lang w:val="en-GB" w:eastAsia="en-US"/>
              </w:rPr>
            </w:pPr>
            <w:r w:rsidRPr="00F73F3A">
              <w:rPr>
                <w:rFonts w:eastAsia="Times New Roman"/>
                <w:b/>
                <w:lang w:val="en-GB" w:eastAsia="en-US"/>
              </w:rPr>
              <w:t xml:space="preserve">24 </w:t>
            </w:r>
          </w:p>
        </w:tc>
      </w:tr>
    </w:tbl>
    <w:p w14:paraId="30B50BA4" w14:textId="77777777" w:rsidR="00F73F3A" w:rsidRPr="00F73F3A" w:rsidRDefault="00F73F3A" w:rsidP="00B00565">
      <w:pPr>
        <w:spacing w:before="120"/>
        <w:rPr>
          <w:rFonts w:eastAsia="Times New Roman"/>
          <w:szCs w:val="22"/>
          <w:lang w:val="en-GB" w:eastAsia="en-US"/>
        </w:rPr>
      </w:pPr>
    </w:p>
    <w:p w14:paraId="625D4C79" w14:textId="77777777" w:rsidR="00FD1C08" w:rsidRDefault="00FD1C08" w:rsidP="00B00565"/>
    <w:p w14:paraId="304BBACA" w14:textId="77777777" w:rsidR="00FD1C08" w:rsidRPr="002671EF" w:rsidRDefault="00FD1C08" w:rsidP="00987C92">
      <w:pPr>
        <w:ind w:left="5534"/>
        <w:contextualSpacing/>
        <w:rPr>
          <w:szCs w:val="22"/>
          <w:lang w:eastAsia="en-US"/>
        </w:rPr>
      </w:pPr>
      <w:r w:rsidRPr="001C729C">
        <w:rPr>
          <w:szCs w:val="22"/>
          <w:lang w:eastAsia="en-US"/>
        </w:rPr>
        <w:t>[End of Annex and of document]</w:t>
      </w:r>
    </w:p>
    <w:sectPr w:rsidR="00FD1C08" w:rsidRPr="002671EF"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1127E4">
      <w:rPr>
        <w:noProof/>
        <w:szCs w:val="22"/>
      </w:rPr>
      <w:t>1</w:t>
    </w:r>
    <w:r w:rsidRPr="00D13C08">
      <w:rPr>
        <w:szCs w:val="22"/>
      </w:rPr>
      <w:fldChar w:fldCharType="end"/>
    </w:r>
  </w:p>
  <w:p w14:paraId="17A9A8E5" w14:textId="77777777" w:rsidR="00D70B35" w:rsidRDefault="00D70B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1FD4A33B" w:rsidR="00EC4E49" w:rsidRDefault="00DE0EAD" w:rsidP="00477D6B">
    <w:pPr>
      <w:jc w:val="right"/>
    </w:pPr>
    <w:bookmarkStart w:id="5" w:name="Code2"/>
    <w:bookmarkEnd w:id="5"/>
    <w:r w:rsidRPr="00254057">
      <w:t>WO/GA/49/</w:t>
    </w:r>
    <w:r w:rsidR="00416CCD">
      <w:t>18</w:t>
    </w:r>
  </w:p>
  <w:p w14:paraId="22A422B0" w14:textId="77777777" w:rsidR="00EC4E49" w:rsidRDefault="00D70B35"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1127E4">
      <w:rPr>
        <w:noProof/>
      </w:rPr>
      <w:t>1</w:t>
    </w:r>
    <w:r w:rsidR="00EC4E49">
      <w:fldChar w:fldCharType="end"/>
    </w:r>
  </w:p>
  <w:p w14:paraId="0DD381DF" w14:textId="77777777"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48F7293E" w:rsidR="00D70B35" w:rsidRDefault="00D70B35" w:rsidP="00D70B35">
    <w:pPr>
      <w:pStyle w:val="Header"/>
      <w:jc w:val="right"/>
    </w:pPr>
    <w:r w:rsidRPr="00254057">
      <w:t>WO/GA/49/</w:t>
    </w:r>
    <w:r w:rsidR="00416CCD">
      <w:t>18</w:t>
    </w:r>
    <w:r w:rsidR="0079089B">
      <w:t xml:space="preserve"> Add.</w:t>
    </w:r>
  </w:p>
  <w:p w14:paraId="7388B606" w14:textId="77777777" w:rsidR="00D70B35" w:rsidRDefault="00D70B35" w:rsidP="00D70B35">
    <w:pPr>
      <w:pStyle w:val="Header"/>
      <w:jc w:val="right"/>
    </w:pPr>
    <w:r>
      <w:t>ANNEX</w:t>
    </w:r>
  </w:p>
  <w:p w14:paraId="5EBBF3F9" w14:textId="77777777" w:rsidR="00D70B35" w:rsidRDefault="00D70B35" w:rsidP="00D70B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30FBE"/>
    <w:rsid w:val="00043CAA"/>
    <w:rsid w:val="0004632A"/>
    <w:rsid w:val="00075432"/>
    <w:rsid w:val="000968ED"/>
    <w:rsid w:val="000B45EE"/>
    <w:rsid w:val="000F5E56"/>
    <w:rsid w:val="000F797A"/>
    <w:rsid w:val="001101D0"/>
    <w:rsid w:val="00110626"/>
    <w:rsid w:val="001127E4"/>
    <w:rsid w:val="001362EE"/>
    <w:rsid w:val="001647D5"/>
    <w:rsid w:val="00170016"/>
    <w:rsid w:val="001825D8"/>
    <w:rsid w:val="001832A6"/>
    <w:rsid w:val="0021217E"/>
    <w:rsid w:val="00254057"/>
    <w:rsid w:val="002634C4"/>
    <w:rsid w:val="002928D3"/>
    <w:rsid w:val="002F1FE6"/>
    <w:rsid w:val="002F4E68"/>
    <w:rsid w:val="00312F7F"/>
    <w:rsid w:val="003245D4"/>
    <w:rsid w:val="00361450"/>
    <w:rsid w:val="003673CF"/>
    <w:rsid w:val="003845C1"/>
    <w:rsid w:val="003A6F89"/>
    <w:rsid w:val="003B30E3"/>
    <w:rsid w:val="003B38C1"/>
    <w:rsid w:val="003D171D"/>
    <w:rsid w:val="003F1390"/>
    <w:rsid w:val="00416CCD"/>
    <w:rsid w:val="00423E3E"/>
    <w:rsid w:val="00427AF4"/>
    <w:rsid w:val="004647DA"/>
    <w:rsid w:val="00474062"/>
    <w:rsid w:val="00477D6B"/>
    <w:rsid w:val="004B5B96"/>
    <w:rsid w:val="005019FF"/>
    <w:rsid w:val="00513424"/>
    <w:rsid w:val="0053057A"/>
    <w:rsid w:val="00560A29"/>
    <w:rsid w:val="005C6649"/>
    <w:rsid w:val="005E1912"/>
    <w:rsid w:val="00605827"/>
    <w:rsid w:val="00646050"/>
    <w:rsid w:val="006713CA"/>
    <w:rsid w:val="00676C5C"/>
    <w:rsid w:val="00684BB5"/>
    <w:rsid w:val="00722465"/>
    <w:rsid w:val="0075196E"/>
    <w:rsid w:val="0079089B"/>
    <w:rsid w:val="007D1613"/>
    <w:rsid w:val="007E4C0E"/>
    <w:rsid w:val="0081310A"/>
    <w:rsid w:val="00895F7C"/>
    <w:rsid w:val="008A134B"/>
    <w:rsid w:val="008A2CB2"/>
    <w:rsid w:val="008B2CC1"/>
    <w:rsid w:val="008B60B2"/>
    <w:rsid w:val="008D5F7C"/>
    <w:rsid w:val="008D6BC4"/>
    <w:rsid w:val="0090731E"/>
    <w:rsid w:val="00916EE2"/>
    <w:rsid w:val="00964907"/>
    <w:rsid w:val="00966A22"/>
    <w:rsid w:val="0096722F"/>
    <w:rsid w:val="00980843"/>
    <w:rsid w:val="00987C92"/>
    <w:rsid w:val="009B202F"/>
    <w:rsid w:val="009C2B89"/>
    <w:rsid w:val="009E2791"/>
    <w:rsid w:val="009E3F6F"/>
    <w:rsid w:val="009F499F"/>
    <w:rsid w:val="00A07101"/>
    <w:rsid w:val="00A30352"/>
    <w:rsid w:val="00A42DAF"/>
    <w:rsid w:val="00A45BD8"/>
    <w:rsid w:val="00A83646"/>
    <w:rsid w:val="00A869B7"/>
    <w:rsid w:val="00AC205C"/>
    <w:rsid w:val="00AF0A6B"/>
    <w:rsid w:val="00B00565"/>
    <w:rsid w:val="00B05A69"/>
    <w:rsid w:val="00B05D88"/>
    <w:rsid w:val="00B85C60"/>
    <w:rsid w:val="00B9734B"/>
    <w:rsid w:val="00BA30E2"/>
    <w:rsid w:val="00BE5848"/>
    <w:rsid w:val="00C0254D"/>
    <w:rsid w:val="00C11BFE"/>
    <w:rsid w:val="00C5068F"/>
    <w:rsid w:val="00C86D74"/>
    <w:rsid w:val="00CA5DC5"/>
    <w:rsid w:val="00CC5032"/>
    <w:rsid w:val="00CD04F1"/>
    <w:rsid w:val="00D45252"/>
    <w:rsid w:val="00D70B35"/>
    <w:rsid w:val="00D71B4D"/>
    <w:rsid w:val="00D93D55"/>
    <w:rsid w:val="00DA35E7"/>
    <w:rsid w:val="00DE0EAD"/>
    <w:rsid w:val="00E15015"/>
    <w:rsid w:val="00E335FE"/>
    <w:rsid w:val="00EA7D6E"/>
    <w:rsid w:val="00EB6278"/>
    <w:rsid w:val="00EC4E49"/>
    <w:rsid w:val="00ED77FB"/>
    <w:rsid w:val="00EE45FA"/>
    <w:rsid w:val="00EE7952"/>
    <w:rsid w:val="00F019EC"/>
    <w:rsid w:val="00F10ED0"/>
    <w:rsid w:val="00F66152"/>
    <w:rsid w:val="00F708ED"/>
    <w:rsid w:val="00F70BF3"/>
    <w:rsid w:val="00F73F3A"/>
    <w:rsid w:val="00F8567F"/>
    <w:rsid w:val="00FA7208"/>
    <w:rsid w:val="00FB63C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table" w:customStyle="1" w:styleId="TableGrid1">
    <w:name w:val="Table Grid1"/>
    <w:basedOn w:val="TableNormal"/>
    <w:next w:val="TableGrid"/>
    <w:uiPriority w:val="39"/>
    <w:rsid w:val="00F73F3A"/>
    <w:rPr>
      <w:rFonts w:ascii="Calibri" w:eastAsia="Calibri" w:hAnsi="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73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table" w:customStyle="1" w:styleId="TableGrid1">
    <w:name w:val="Table Grid1"/>
    <w:basedOn w:val="TableNormal"/>
    <w:next w:val="TableGrid"/>
    <w:uiPriority w:val="39"/>
    <w:rsid w:val="00F73F3A"/>
    <w:rPr>
      <w:rFonts w:ascii="Calibri" w:eastAsia="Calibri" w:hAnsi="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73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5B34-67DA-49D3-B9BC-1A9C5AD3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10</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JIAO Fei</dc:creator>
  <cp:lastModifiedBy>SANCHEZ Maria Margarita</cp:lastModifiedBy>
  <cp:revision>12</cp:revision>
  <cp:lastPrinted>2017-10-09T13:54:00Z</cp:lastPrinted>
  <dcterms:created xsi:type="dcterms:W3CDTF">2017-10-09T09:51:00Z</dcterms:created>
  <dcterms:modified xsi:type="dcterms:W3CDTF">2017-10-09T13:55:00Z</dcterms:modified>
</cp:coreProperties>
</file>