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0066A12" w14:textId="77777777" w:rsidTr="00361450">
        <w:tc>
          <w:tcPr>
            <w:tcW w:w="4513" w:type="dxa"/>
            <w:tcBorders>
              <w:bottom w:val="single" w:sz="4" w:space="0" w:color="auto"/>
            </w:tcBorders>
            <w:tcMar>
              <w:bottom w:w="170" w:type="dxa"/>
            </w:tcMar>
          </w:tcPr>
          <w:p w14:paraId="09B0963E" w14:textId="77777777" w:rsidR="00EC4E49" w:rsidRPr="008B2CC1" w:rsidRDefault="00EC4E49" w:rsidP="00916EE2"/>
        </w:tc>
        <w:tc>
          <w:tcPr>
            <w:tcW w:w="4337" w:type="dxa"/>
            <w:tcBorders>
              <w:bottom w:val="single" w:sz="4" w:space="0" w:color="auto"/>
            </w:tcBorders>
            <w:tcMar>
              <w:left w:w="0" w:type="dxa"/>
              <w:right w:w="0" w:type="dxa"/>
            </w:tcMar>
          </w:tcPr>
          <w:p w14:paraId="56807195" w14:textId="77777777" w:rsidR="00EC4E49" w:rsidRPr="008B2CC1" w:rsidRDefault="00CA5DC5" w:rsidP="00916EE2">
            <w:r>
              <w:rPr>
                <w:noProof/>
                <w:lang w:eastAsia="en-US"/>
              </w:rPr>
              <w:drawing>
                <wp:inline distT="0" distB="0" distL="0" distR="0" wp14:anchorId="6449A262" wp14:editId="77E782F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8924FA7" w14:textId="77777777" w:rsidR="00EC4E49" w:rsidRPr="008B2CC1" w:rsidRDefault="00EC4E49" w:rsidP="00916EE2">
            <w:pPr>
              <w:jc w:val="right"/>
            </w:pPr>
            <w:r w:rsidRPr="00605827">
              <w:rPr>
                <w:b/>
                <w:sz w:val="40"/>
                <w:szCs w:val="40"/>
              </w:rPr>
              <w:t>E</w:t>
            </w:r>
          </w:p>
        </w:tc>
      </w:tr>
      <w:tr w:rsidR="008B2CC1" w:rsidRPr="00254057" w14:paraId="57C89A68"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1201B6A" w14:textId="77777777" w:rsidR="008B2CC1" w:rsidRPr="00254057" w:rsidRDefault="00CA5DC5" w:rsidP="00916EE2">
            <w:pPr>
              <w:jc w:val="right"/>
              <w:rPr>
                <w:rFonts w:ascii="Arial Black" w:hAnsi="Arial Black"/>
                <w:caps/>
                <w:sz w:val="15"/>
              </w:rPr>
            </w:pPr>
            <w:r w:rsidRPr="00254057">
              <w:rPr>
                <w:rFonts w:ascii="Arial Black" w:hAnsi="Arial Black"/>
                <w:caps/>
                <w:sz w:val="15"/>
              </w:rPr>
              <w:t>WO/GA/49/</w:t>
            </w:r>
            <w:bookmarkStart w:id="0" w:name="Code"/>
            <w:bookmarkEnd w:id="0"/>
            <w:r w:rsidR="00254057" w:rsidRPr="00254057">
              <w:rPr>
                <w:rFonts w:ascii="Arial Black" w:hAnsi="Arial Black"/>
                <w:caps/>
                <w:sz w:val="15"/>
              </w:rPr>
              <w:t>17</w:t>
            </w:r>
          </w:p>
        </w:tc>
      </w:tr>
      <w:tr w:rsidR="008B2CC1" w:rsidRPr="001832A6" w14:paraId="1ADACEC7" w14:textId="77777777" w:rsidTr="00916EE2">
        <w:trPr>
          <w:trHeight w:hRule="exact" w:val="170"/>
        </w:trPr>
        <w:tc>
          <w:tcPr>
            <w:tcW w:w="9356" w:type="dxa"/>
            <w:gridSpan w:val="3"/>
            <w:noWrap/>
            <w:tcMar>
              <w:left w:w="0" w:type="dxa"/>
              <w:right w:w="0" w:type="dxa"/>
            </w:tcMar>
            <w:vAlign w:val="bottom"/>
          </w:tcPr>
          <w:p w14:paraId="45D86D02" w14:textId="4242245D" w:rsidR="008B2CC1" w:rsidRPr="0090731E" w:rsidRDefault="008B2CC1" w:rsidP="00EB6278">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F019EC">
              <w:rPr>
                <w:rFonts w:ascii="Arial Black" w:hAnsi="Arial Black"/>
                <w:caps/>
                <w:sz w:val="15"/>
              </w:rPr>
              <w:t>French/</w:t>
            </w:r>
            <w:r w:rsidR="00EB6278">
              <w:rPr>
                <w:rFonts w:ascii="Arial Black" w:hAnsi="Arial Black"/>
                <w:caps/>
                <w:sz w:val="15"/>
              </w:rPr>
              <w:t>ENGLISH</w:t>
            </w:r>
            <w:r w:rsidRPr="0090731E">
              <w:rPr>
                <w:rFonts w:ascii="Arial Black" w:hAnsi="Arial Black"/>
                <w:caps/>
                <w:sz w:val="15"/>
              </w:rPr>
              <w:t xml:space="preserve"> </w:t>
            </w:r>
          </w:p>
        </w:tc>
      </w:tr>
      <w:tr w:rsidR="008B2CC1" w:rsidRPr="001832A6" w14:paraId="1F07FA87" w14:textId="77777777" w:rsidTr="00916EE2">
        <w:trPr>
          <w:trHeight w:hRule="exact" w:val="198"/>
        </w:trPr>
        <w:tc>
          <w:tcPr>
            <w:tcW w:w="9356" w:type="dxa"/>
            <w:gridSpan w:val="3"/>
            <w:tcMar>
              <w:left w:w="0" w:type="dxa"/>
              <w:right w:w="0" w:type="dxa"/>
            </w:tcMar>
            <w:vAlign w:val="bottom"/>
          </w:tcPr>
          <w:p w14:paraId="573B7518" w14:textId="31BFB172" w:rsidR="008B2CC1" w:rsidRPr="0090731E" w:rsidRDefault="008B2CC1" w:rsidP="0081310A">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1310A">
              <w:rPr>
                <w:rFonts w:ascii="Arial Black" w:hAnsi="Arial Black"/>
                <w:caps/>
                <w:sz w:val="15"/>
              </w:rPr>
              <w:t>august 2,</w:t>
            </w:r>
            <w:r w:rsidR="00DE0EAD">
              <w:rPr>
                <w:rFonts w:ascii="Arial Black" w:hAnsi="Arial Black"/>
                <w:caps/>
                <w:sz w:val="15"/>
              </w:rPr>
              <w:t xml:space="preserve"> 2017</w:t>
            </w:r>
            <w:r w:rsidRPr="0090731E">
              <w:rPr>
                <w:rFonts w:ascii="Arial Black" w:hAnsi="Arial Black"/>
                <w:caps/>
                <w:sz w:val="15"/>
              </w:rPr>
              <w:t xml:space="preserve"> </w:t>
            </w:r>
          </w:p>
        </w:tc>
      </w:tr>
    </w:tbl>
    <w:p w14:paraId="1022DA99" w14:textId="77777777" w:rsidR="008B2CC1" w:rsidRPr="008B2CC1" w:rsidRDefault="008B2CC1" w:rsidP="008B2CC1"/>
    <w:p w14:paraId="2428D2FC" w14:textId="77777777" w:rsidR="008B2CC1" w:rsidRPr="008B2CC1" w:rsidRDefault="008B2CC1" w:rsidP="008B2CC1"/>
    <w:p w14:paraId="4D32D840" w14:textId="77777777" w:rsidR="008B2CC1" w:rsidRPr="008B2CC1" w:rsidRDefault="008B2CC1" w:rsidP="008B2CC1"/>
    <w:p w14:paraId="329EECC3" w14:textId="77777777" w:rsidR="008B2CC1" w:rsidRPr="008B2CC1" w:rsidRDefault="008B2CC1" w:rsidP="008B2CC1"/>
    <w:p w14:paraId="15EDC2B1" w14:textId="77777777" w:rsidR="008B2CC1" w:rsidRPr="008B2CC1" w:rsidRDefault="008B2CC1" w:rsidP="008B2CC1"/>
    <w:p w14:paraId="3B20BEA2" w14:textId="77777777" w:rsidR="00FC59B6" w:rsidRDefault="00FC59B6" w:rsidP="00FC59B6">
      <w:pPr>
        <w:rPr>
          <w:b/>
          <w:sz w:val="28"/>
          <w:szCs w:val="28"/>
        </w:rPr>
      </w:pPr>
      <w:r>
        <w:rPr>
          <w:b/>
          <w:sz w:val="28"/>
          <w:szCs w:val="28"/>
        </w:rPr>
        <w:t>WIPO General Assembly</w:t>
      </w:r>
    </w:p>
    <w:p w14:paraId="723E0DD0" w14:textId="77777777" w:rsidR="00FC59B6" w:rsidRDefault="00FC59B6" w:rsidP="00FC59B6"/>
    <w:p w14:paraId="51A4D0E8" w14:textId="77777777" w:rsidR="00FC59B6" w:rsidRDefault="00FC59B6" w:rsidP="00FC59B6"/>
    <w:p w14:paraId="3AEF4726" w14:textId="77777777" w:rsidR="00FC59B6" w:rsidRDefault="00FC59B6" w:rsidP="00FC59B6">
      <w:pPr>
        <w:rPr>
          <w:b/>
          <w:sz w:val="24"/>
          <w:szCs w:val="24"/>
        </w:rPr>
      </w:pPr>
      <w:r>
        <w:rPr>
          <w:b/>
          <w:sz w:val="24"/>
          <w:szCs w:val="24"/>
        </w:rPr>
        <w:t>Forty-Ninth (23</w:t>
      </w:r>
      <w:r>
        <w:rPr>
          <w:b/>
          <w:sz w:val="24"/>
          <w:szCs w:val="24"/>
          <w:vertAlign w:val="superscript"/>
        </w:rPr>
        <w:t>rd</w:t>
      </w:r>
      <w:r>
        <w:rPr>
          <w:b/>
          <w:sz w:val="24"/>
          <w:szCs w:val="24"/>
        </w:rPr>
        <w:t xml:space="preserve"> Ordinary) Session</w:t>
      </w:r>
    </w:p>
    <w:p w14:paraId="088941BE" w14:textId="77777777" w:rsidR="00FC59B6" w:rsidRDefault="00FC59B6" w:rsidP="00FC59B6">
      <w:pPr>
        <w:rPr>
          <w:b/>
          <w:sz w:val="24"/>
          <w:szCs w:val="24"/>
        </w:rPr>
      </w:pPr>
      <w:r>
        <w:rPr>
          <w:b/>
          <w:sz w:val="24"/>
          <w:szCs w:val="24"/>
        </w:rPr>
        <w:t>Geneva, October 2 to 11, 2017</w:t>
      </w:r>
    </w:p>
    <w:p w14:paraId="6C7BBEF6" w14:textId="77777777" w:rsidR="0081310A" w:rsidRPr="008B2CC1" w:rsidRDefault="0081310A" w:rsidP="0081310A">
      <w:bookmarkStart w:id="3" w:name="_GoBack"/>
      <w:bookmarkEnd w:id="3"/>
    </w:p>
    <w:p w14:paraId="6259DF5F" w14:textId="77777777" w:rsidR="0081310A" w:rsidRPr="008B2CC1" w:rsidRDefault="0081310A" w:rsidP="0081310A"/>
    <w:p w14:paraId="2CDB3108" w14:textId="77777777" w:rsidR="0081310A" w:rsidRPr="008B2CC1" w:rsidRDefault="0081310A" w:rsidP="0081310A"/>
    <w:p w14:paraId="6FF4BA7F" w14:textId="77777777" w:rsidR="0081310A" w:rsidRPr="001C729C" w:rsidRDefault="0081310A" w:rsidP="0081310A">
      <w:bookmarkStart w:id="4" w:name="TitleOfDoc"/>
      <w:bookmarkEnd w:id="4"/>
      <w:r>
        <w:t>PROPOSED WORK PROGRAM OF THE IGC FOR THE 2018/19 BIENNIUM</w:t>
      </w:r>
    </w:p>
    <w:p w14:paraId="1AA39BFD" w14:textId="77777777" w:rsidR="0081310A" w:rsidRPr="008B2CC1" w:rsidRDefault="0081310A" w:rsidP="0081310A"/>
    <w:p w14:paraId="11A40A83" w14:textId="39D6BEB0" w:rsidR="0081310A" w:rsidRPr="008B2CC1" w:rsidRDefault="00F019EC" w:rsidP="0081310A">
      <w:pPr>
        <w:rPr>
          <w:i/>
        </w:rPr>
      </w:pPr>
      <w:bookmarkStart w:id="5" w:name="Prepared"/>
      <w:bookmarkEnd w:id="5"/>
      <w:r>
        <w:rPr>
          <w:i/>
        </w:rPr>
        <w:t xml:space="preserve">Proposal </w:t>
      </w:r>
      <w:r w:rsidR="0081310A">
        <w:rPr>
          <w:i/>
        </w:rPr>
        <w:t>submitted by the Delegation of Senegal</w:t>
      </w:r>
      <w:r>
        <w:rPr>
          <w:i/>
        </w:rPr>
        <w:t xml:space="preserve"> on behalf of the African Group</w:t>
      </w:r>
    </w:p>
    <w:p w14:paraId="5D33EFA5" w14:textId="77777777" w:rsidR="0081310A" w:rsidRDefault="0081310A" w:rsidP="0081310A"/>
    <w:p w14:paraId="2C7D85A7" w14:textId="77777777" w:rsidR="0081310A" w:rsidRDefault="0081310A" w:rsidP="0081310A"/>
    <w:p w14:paraId="667D230B" w14:textId="77777777" w:rsidR="0081310A" w:rsidRDefault="0081310A" w:rsidP="0081310A"/>
    <w:p w14:paraId="69B652DB" w14:textId="77777777" w:rsidR="0081310A" w:rsidRPr="00626702" w:rsidRDefault="0081310A" w:rsidP="0081310A">
      <w:pPr>
        <w:rPr>
          <w:szCs w:val="22"/>
        </w:rPr>
      </w:pPr>
    </w:p>
    <w:p w14:paraId="1295910D" w14:textId="7DD90875" w:rsidR="0081310A" w:rsidRDefault="0081310A" w:rsidP="0081310A">
      <w:pPr>
        <w:autoSpaceDE w:val="0"/>
        <w:autoSpaceDN w:val="0"/>
        <w:adjustRightInd w:val="0"/>
        <w:rPr>
          <w:szCs w:val="22"/>
        </w:rPr>
      </w:pPr>
      <w:r w:rsidRPr="003F0E0B">
        <w:rPr>
          <w:szCs w:val="22"/>
        </w:rPr>
        <w:t xml:space="preserve">In a communication to the Secretariat received on July 20, 2017, the Delegation of Senegal, on behalf of the African Group, submitted the enclosed </w:t>
      </w:r>
      <w:r w:rsidR="00F019EC">
        <w:rPr>
          <w:szCs w:val="22"/>
        </w:rPr>
        <w:t xml:space="preserve">proposal </w:t>
      </w:r>
      <w:r w:rsidRPr="003F0E0B">
        <w:rPr>
          <w:szCs w:val="22"/>
        </w:rPr>
        <w:t>in the framework of the agenda item “Report on the Intergovernmental Committee on Intellectual Property and Genetic Resources, Traditional Knowledge and Folklore (IGC)”.</w:t>
      </w:r>
    </w:p>
    <w:p w14:paraId="0FADB770" w14:textId="77777777" w:rsidR="00DE0EAD" w:rsidRDefault="00DE0EAD" w:rsidP="00DE0EAD">
      <w:pPr>
        <w:pStyle w:val="ONUME"/>
        <w:numPr>
          <w:ilvl w:val="0"/>
          <w:numId w:val="0"/>
        </w:numPr>
        <w:spacing w:after="0"/>
        <w:ind w:left="5501"/>
        <w:rPr>
          <w:i/>
        </w:rPr>
      </w:pPr>
    </w:p>
    <w:p w14:paraId="0B40540C" w14:textId="77777777" w:rsidR="0081310A" w:rsidRDefault="0081310A" w:rsidP="00DE0EAD">
      <w:pPr>
        <w:pStyle w:val="ONUME"/>
        <w:numPr>
          <w:ilvl w:val="0"/>
          <w:numId w:val="0"/>
        </w:numPr>
        <w:spacing w:after="0"/>
        <w:ind w:left="5501"/>
        <w:rPr>
          <w:i/>
        </w:rPr>
      </w:pPr>
    </w:p>
    <w:p w14:paraId="3DE502C9" w14:textId="77777777" w:rsidR="0081310A" w:rsidRPr="00626702" w:rsidRDefault="0081310A" w:rsidP="00DE0EAD">
      <w:pPr>
        <w:pStyle w:val="ONUME"/>
        <w:numPr>
          <w:ilvl w:val="0"/>
          <w:numId w:val="0"/>
        </w:numPr>
        <w:spacing w:after="0"/>
        <w:ind w:left="5501"/>
        <w:rPr>
          <w:i/>
        </w:rPr>
      </w:pPr>
    </w:p>
    <w:p w14:paraId="1662F97D" w14:textId="77777777" w:rsidR="00DE0EAD" w:rsidRPr="00626702" w:rsidRDefault="00DE0EAD" w:rsidP="00DE0EAD">
      <w:pPr>
        <w:spacing w:after="120" w:line="260" w:lineRule="atLeast"/>
        <w:ind w:left="5500"/>
        <w:contextualSpacing/>
        <w:rPr>
          <w:lang w:val="en"/>
        </w:rPr>
      </w:pPr>
      <w:r>
        <w:rPr>
          <w:lang w:val="en"/>
        </w:rPr>
        <w:t>[Annex</w:t>
      </w:r>
      <w:r w:rsidRPr="00626702">
        <w:rPr>
          <w:lang w:val="en"/>
        </w:rPr>
        <w:t xml:space="preserve"> follow</w:t>
      </w:r>
      <w:r>
        <w:rPr>
          <w:lang w:val="en"/>
        </w:rPr>
        <w:t>s</w:t>
      </w:r>
      <w:r w:rsidRPr="00626702">
        <w:rPr>
          <w:lang w:val="en"/>
        </w:rPr>
        <w:t>]</w:t>
      </w:r>
    </w:p>
    <w:p w14:paraId="6E09F3EB" w14:textId="77777777" w:rsidR="00D70B35" w:rsidRPr="001C729C" w:rsidRDefault="00D70B35" w:rsidP="00D70B35">
      <w:pPr>
        <w:spacing w:after="120" w:line="260" w:lineRule="atLeast"/>
        <w:contextualSpacing/>
        <w:rPr>
          <w:szCs w:val="22"/>
        </w:rPr>
      </w:pPr>
    </w:p>
    <w:p w14:paraId="0EDF7177" w14:textId="77777777" w:rsidR="00D70B35" w:rsidRPr="001C729C" w:rsidRDefault="00D70B35" w:rsidP="00D70B35">
      <w:pPr>
        <w:spacing w:after="120" w:line="260" w:lineRule="atLeast"/>
        <w:ind w:left="5500"/>
        <w:contextualSpacing/>
        <w:rPr>
          <w:szCs w:val="22"/>
        </w:rPr>
        <w:sectPr w:rsidR="00D70B35" w:rsidRPr="001C729C" w:rsidSect="00885AD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14:paraId="0B2806D8" w14:textId="77777777" w:rsidR="0081310A" w:rsidRDefault="0081310A" w:rsidP="0081310A">
      <w:pPr>
        <w:jc w:val="right"/>
      </w:pPr>
    </w:p>
    <w:p w14:paraId="3C5DF1DE" w14:textId="77777777" w:rsidR="0081310A" w:rsidRPr="0081310A" w:rsidRDefault="0081310A" w:rsidP="0081310A">
      <w:pPr>
        <w:rPr>
          <w:rFonts w:eastAsia="Times New Roman"/>
          <w:b/>
          <w:u w:val="single"/>
          <w:lang w:eastAsia="en-US"/>
        </w:rPr>
      </w:pPr>
      <w:r w:rsidRPr="0081310A">
        <w:rPr>
          <w:rFonts w:eastAsia="Times New Roman"/>
          <w:b/>
          <w:u w:val="single"/>
          <w:lang w:eastAsia="en-US"/>
        </w:rPr>
        <w:t>REPUBLIC OF SENEGAL</w:t>
      </w:r>
    </w:p>
    <w:p w14:paraId="7B14B261" w14:textId="23B6A884" w:rsidR="0081310A" w:rsidRPr="00F019EC" w:rsidRDefault="00F019EC" w:rsidP="0081310A">
      <w:pPr>
        <w:rPr>
          <w:rFonts w:eastAsia="Times New Roman"/>
          <w:lang w:val="fr-FR" w:eastAsia="en-US"/>
        </w:rPr>
      </w:pPr>
      <w:r w:rsidRPr="00F019EC">
        <w:rPr>
          <w:rFonts w:eastAsia="Times New Roman"/>
          <w:lang w:val="fr-FR" w:eastAsia="en-US"/>
        </w:rPr>
        <w:t>Un Peuple – Un But</w:t>
      </w:r>
      <w:r w:rsidR="0081310A" w:rsidRPr="00F019EC">
        <w:rPr>
          <w:rFonts w:eastAsia="Times New Roman"/>
          <w:lang w:val="fr-FR" w:eastAsia="en-US"/>
        </w:rPr>
        <w:t xml:space="preserve"> – </w:t>
      </w:r>
      <w:r w:rsidRPr="00F019EC">
        <w:rPr>
          <w:rFonts w:eastAsia="Times New Roman"/>
          <w:lang w:val="fr-FR" w:eastAsia="en-US"/>
        </w:rPr>
        <w:t>Une Foi</w:t>
      </w:r>
      <w:r w:rsidR="0081310A" w:rsidRPr="00F019EC">
        <w:rPr>
          <w:rFonts w:eastAsia="Times New Roman"/>
          <w:lang w:val="fr-FR" w:eastAsia="en-US"/>
        </w:rPr>
        <w:tab/>
      </w:r>
      <w:r w:rsidR="0081310A" w:rsidRPr="00F019EC">
        <w:rPr>
          <w:rFonts w:eastAsia="Times New Roman"/>
          <w:lang w:val="fr-FR" w:eastAsia="en-US"/>
        </w:rPr>
        <w:tab/>
      </w:r>
      <w:r w:rsidR="0081310A" w:rsidRPr="00F019EC">
        <w:rPr>
          <w:rFonts w:eastAsia="Times New Roman"/>
          <w:lang w:val="fr-FR" w:eastAsia="en-US"/>
        </w:rPr>
        <w:tab/>
      </w:r>
      <w:r w:rsidR="0081310A" w:rsidRPr="00F019EC">
        <w:rPr>
          <w:rFonts w:eastAsia="Times New Roman"/>
          <w:lang w:val="fr-FR" w:eastAsia="en-US"/>
        </w:rPr>
        <w:tab/>
      </w:r>
      <w:r w:rsidR="0081310A" w:rsidRPr="00F019EC">
        <w:rPr>
          <w:rFonts w:eastAsia="Times New Roman"/>
          <w:lang w:val="fr-FR" w:eastAsia="en-US"/>
        </w:rPr>
        <w:tab/>
      </w:r>
      <w:r w:rsidR="0081310A" w:rsidRPr="00F019EC">
        <w:rPr>
          <w:rFonts w:eastAsia="Times New Roman"/>
          <w:b/>
          <w:sz w:val="32"/>
          <w:szCs w:val="32"/>
          <w:lang w:val="fr-FR" w:eastAsia="en-US"/>
        </w:rPr>
        <w:t>00285</w:t>
      </w:r>
    </w:p>
    <w:p w14:paraId="640C202F" w14:textId="77777777" w:rsidR="0081310A" w:rsidRPr="0081310A" w:rsidRDefault="0081310A" w:rsidP="0081310A">
      <w:pPr>
        <w:rPr>
          <w:rFonts w:eastAsia="Times New Roman"/>
          <w:lang w:eastAsia="en-US"/>
        </w:rPr>
      </w:pPr>
      <w:r w:rsidRPr="0081310A">
        <w:rPr>
          <w:rFonts w:eastAsia="Times New Roman"/>
          <w:noProof/>
          <w:lang w:eastAsia="en-US"/>
        </w:rPr>
        <w:drawing>
          <wp:inline distT="0" distB="0" distL="0" distR="0" wp14:anchorId="217C7C66" wp14:editId="3FBD2BE6">
            <wp:extent cx="973557" cy="766177"/>
            <wp:effectExtent l="0" t="0" r="0" b="0"/>
            <wp:docPr id="2" name="Picture 2" descr="https://appablog.files.wordpress.com/2013/06/blason.jpg?w=500&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ablog.files.wordpress.com/2013/06/blason.jpg?w=500&amp;h=210"/>
                    <pic:cNvPicPr>
                      <a:picLocks noChangeAspect="1" noChangeArrowheads="1"/>
                    </pic:cNvPicPr>
                  </pic:nvPicPr>
                  <pic:blipFill rotWithShape="1">
                    <a:blip r:embed="rId16">
                      <a:extLst>
                        <a:ext uri="{28A0092B-C50C-407E-A947-70E740481C1C}">
                          <a14:useLocalDpi xmlns:a14="http://schemas.microsoft.com/office/drawing/2010/main" val="0"/>
                        </a:ext>
                      </a:extLst>
                    </a:blip>
                    <a:srcRect r="61753"/>
                    <a:stretch/>
                  </pic:blipFill>
                  <pic:spPr bwMode="auto">
                    <a:xfrm>
                      <a:off x="0" y="0"/>
                      <a:ext cx="978677" cy="770206"/>
                    </a:xfrm>
                    <a:prstGeom prst="rect">
                      <a:avLst/>
                    </a:prstGeom>
                    <a:noFill/>
                    <a:ln>
                      <a:noFill/>
                    </a:ln>
                    <a:extLst>
                      <a:ext uri="{53640926-AAD7-44D8-BBD7-CCE9431645EC}">
                        <a14:shadowObscured xmlns:a14="http://schemas.microsoft.com/office/drawing/2010/main"/>
                      </a:ext>
                    </a:extLst>
                  </pic:spPr>
                </pic:pic>
              </a:graphicData>
            </a:graphic>
          </wp:inline>
        </w:drawing>
      </w:r>
    </w:p>
    <w:p w14:paraId="403B891C" w14:textId="77777777" w:rsidR="0081310A" w:rsidRPr="0081310A" w:rsidRDefault="0081310A" w:rsidP="0081310A">
      <w:pPr>
        <w:rPr>
          <w:rFonts w:eastAsia="Times New Roman"/>
          <w:lang w:eastAsia="en-US"/>
        </w:rPr>
      </w:pPr>
      <w:r w:rsidRPr="0081310A">
        <w:rPr>
          <w:rFonts w:eastAsia="Times New Roman"/>
          <w:lang w:eastAsia="en-US"/>
        </w:rPr>
        <w:t>PERMANENT MISSION</w:t>
      </w:r>
    </w:p>
    <w:p w14:paraId="4707CF70" w14:textId="77777777" w:rsidR="0081310A" w:rsidRPr="0081310A" w:rsidRDefault="0081310A" w:rsidP="0081310A">
      <w:pPr>
        <w:rPr>
          <w:rFonts w:eastAsia="Times New Roman"/>
          <w:lang w:eastAsia="en-US"/>
        </w:rPr>
      </w:pPr>
      <w:r w:rsidRPr="0081310A">
        <w:rPr>
          <w:rFonts w:eastAsia="Times New Roman"/>
          <w:lang w:eastAsia="en-US"/>
        </w:rPr>
        <w:t>TO THE UNITED NATIONS OFFICE</w:t>
      </w:r>
    </w:p>
    <w:p w14:paraId="11ADD47B" w14:textId="77777777" w:rsidR="0081310A" w:rsidRPr="0081310A" w:rsidRDefault="0081310A" w:rsidP="0081310A">
      <w:pPr>
        <w:rPr>
          <w:rFonts w:eastAsia="Times New Roman"/>
          <w:lang w:eastAsia="en-US"/>
        </w:rPr>
      </w:pPr>
      <w:r w:rsidRPr="0081310A">
        <w:rPr>
          <w:rFonts w:eastAsia="Times New Roman"/>
          <w:lang w:eastAsia="en-US"/>
        </w:rPr>
        <w:tab/>
        <w:t>************</w:t>
      </w:r>
    </w:p>
    <w:p w14:paraId="54BD2F86" w14:textId="77777777" w:rsidR="0081310A" w:rsidRPr="0081310A" w:rsidRDefault="0081310A" w:rsidP="0081310A">
      <w:pPr>
        <w:rPr>
          <w:rFonts w:eastAsia="Times New Roman"/>
          <w:lang w:eastAsia="en-US"/>
        </w:rPr>
      </w:pPr>
      <w:r w:rsidRPr="0081310A">
        <w:rPr>
          <w:rFonts w:eastAsia="Times New Roman"/>
          <w:lang w:eastAsia="en-US"/>
        </w:rPr>
        <w:t>EMBASSY IN SWITZERLAND</w:t>
      </w:r>
      <w:r w:rsidRPr="0081310A">
        <w:rPr>
          <w:rFonts w:eastAsia="Times New Roman"/>
          <w:lang w:eastAsia="en-US"/>
        </w:rPr>
        <w:tab/>
      </w:r>
      <w:r w:rsidRPr="0081310A">
        <w:rPr>
          <w:rFonts w:eastAsia="Times New Roman"/>
          <w:lang w:eastAsia="en-US"/>
        </w:rPr>
        <w:tab/>
      </w:r>
      <w:r w:rsidRPr="0081310A">
        <w:rPr>
          <w:rFonts w:eastAsia="Times New Roman"/>
          <w:lang w:eastAsia="en-US"/>
        </w:rPr>
        <w:tab/>
      </w:r>
      <w:r w:rsidRPr="0081310A">
        <w:rPr>
          <w:rFonts w:eastAsia="Times New Roman"/>
          <w:lang w:eastAsia="en-US"/>
        </w:rPr>
        <w:tab/>
      </w:r>
      <w:r w:rsidRPr="0081310A">
        <w:rPr>
          <w:rFonts w:eastAsia="Times New Roman"/>
          <w:lang w:eastAsia="en-US"/>
        </w:rPr>
        <w:tab/>
      </w:r>
      <w:r w:rsidRPr="0081310A">
        <w:rPr>
          <w:rFonts w:eastAsia="Times New Roman"/>
          <w:lang w:eastAsia="en-US"/>
        </w:rPr>
        <w:tab/>
        <w:t>Geneva, June 16, 2017</w:t>
      </w:r>
    </w:p>
    <w:p w14:paraId="78D51466" w14:textId="77777777" w:rsidR="0081310A" w:rsidRPr="0081310A" w:rsidRDefault="0081310A" w:rsidP="0081310A">
      <w:pPr>
        <w:tabs>
          <w:tab w:val="center" w:pos="4536"/>
          <w:tab w:val="right" w:pos="9072"/>
        </w:tabs>
        <w:rPr>
          <w:rFonts w:eastAsia="Times New Roman"/>
          <w:lang w:eastAsia="en-US"/>
        </w:rPr>
      </w:pPr>
    </w:p>
    <w:p w14:paraId="199B517B" w14:textId="77777777" w:rsidR="0081310A" w:rsidRDefault="0081310A" w:rsidP="0081310A">
      <w:pPr>
        <w:jc w:val="right"/>
      </w:pPr>
    </w:p>
    <w:p w14:paraId="76919A52" w14:textId="77777777" w:rsidR="0081310A" w:rsidRDefault="0081310A" w:rsidP="0081310A">
      <w:pPr>
        <w:spacing w:after="240" w:line="360" w:lineRule="auto"/>
        <w:jc w:val="both"/>
      </w:pPr>
      <w:r>
        <w:t>The Permanent Mission of the Republic of Senegal to the Office of the United Nations and other International Organizations in Geneva presents its compliments to the Secretariat of the World Intellectual Property Organization (</w:t>
      </w:r>
      <w:r w:rsidRPr="00B86EAF">
        <w:rPr>
          <w:b/>
        </w:rPr>
        <w:t>WIPO</w:t>
      </w:r>
      <w:r>
        <w:t xml:space="preserve">) and, in its capacity as Coordinator of the African Group on intellectual property matters, has the </w:t>
      </w:r>
      <w:proofErr w:type="spellStart"/>
      <w:r>
        <w:t>honour</w:t>
      </w:r>
      <w:proofErr w:type="spellEnd"/>
      <w:r>
        <w:t xml:space="preserve"> to transmit the proposal of the African Group regarding item 8 of the agenda of the 34</w:t>
      </w:r>
      <w:r w:rsidRPr="003941AE">
        <w:rPr>
          <w:vertAlign w:val="superscript"/>
        </w:rPr>
        <w:t>th</w:t>
      </w:r>
      <w:r>
        <w:t xml:space="preserve"> session of the </w:t>
      </w:r>
      <w:r w:rsidRPr="00674949">
        <w:t>Intergovernmental Committee on Intellectual Property and Genetic Resources, Traditional Knowledge and Folklore</w:t>
      </w:r>
      <w:r>
        <w:t xml:space="preserve"> (IGC) which was held in Geneva from June 12 to 16, 2017.</w:t>
      </w:r>
    </w:p>
    <w:p w14:paraId="4ADA364C" w14:textId="77777777" w:rsidR="0081310A" w:rsidRDefault="0081310A" w:rsidP="0081310A">
      <w:pPr>
        <w:spacing w:after="240" w:line="360" w:lineRule="auto"/>
        <w:jc w:val="both"/>
      </w:pPr>
      <w:r>
        <w:t>As a reminder, this proposal, which had already been made during the informal negotiations, is being resubmitted for formal consideration in view of the 57</w:t>
      </w:r>
      <w:r w:rsidRPr="0071798E">
        <w:rPr>
          <w:vertAlign w:val="superscript"/>
        </w:rPr>
        <w:t>th</w:t>
      </w:r>
      <w:r>
        <w:t xml:space="preserve"> session of the General Assembly, scheduled for October 2 to 11, 2017.</w:t>
      </w:r>
    </w:p>
    <w:p w14:paraId="3061DADA" w14:textId="77777777" w:rsidR="0081310A" w:rsidRDefault="0081310A" w:rsidP="0081310A">
      <w:pPr>
        <w:spacing w:after="240" w:line="360" w:lineRule="auto"/>
        <w:jc w:val="both"/>
      </w:pPr>
      <w:r>
        <w:t xml:space="preserve">The Permanent Mission of Senegal to the United Nations Office and other International Organizations in Geneva avails itself of this opportunity to renew to the Secretariat of the World Intellectual Property Organization </w:t>
      </w:r>
      <w:r w:rsidRPr="003D171D">
        <w:t>(WIPO)</w:t>
      </w:r>
      <w:r>
        <w:t xml:space="preserve"> the assurances of its highest consideration.</w:t>
      </w:r>
    </w:p>
    <w:p w14:paraId="7F5F0443" w14:textId="77777777" w:rsidR="00F019EC" w:rsidRDefault="00F019EC" w:rsidP="0081310A">
      <w:pPr>
        <w:spacing w:line="360" w:lineRule="auto"/>
        <w:jc w:val="both"/>
        <w:rPr>
          <w:b/>
          <w:smallCaps/>
        </w:rPr>
      </w:pPr>
    </w:p>
    <w:p w14:paraId="1947720B" w14:textId="382A29EE" w:rsidR="0081310A" w:rsidRPr="00B86EAF" w:rsidRDefault="00F019EC" w:rsidP="0081310A">
      <w:pPr>
        <w:spacing w:line="360" w:lineRule="auto"/>
        <w:jc w:val="both"/>
        <w:rPr>
          <w:b/>
          <w:smallCaps/>
        </w:rPr>
      </w:pPr>
      <w:r>
        <w:rPr>
          <w:rFonts w:eastAsia="Calibri"/>
          <w:b/>
          <w:noProof/>
          <w:szCs w:val="22"/>
          <w:lang w:eastAsia="en-US"/>
        </w:rPr>
        <w:drawing>
          <wp:anchor distT="0" distB="0" distL="114300" distR="114300" simplePos="0" relativeHeight="251658240" behindDoc="0" locked="0" layoutInCell="1" allowOverlap="1" wp14:anchorId="6D9E7003" wp14:editId="44976734">
            <wp:simplePos x="0" y="0"/>
            <wp:positionH relativeFrom="margin">
              <wp:posOffset>3927475</wp:posOffset>
            </wp:positionH>
            <wp:positionV relativeFrom="margin">
              <wp:posOffset>6071235</wp:posOffset>
            </wp:positionV>
            <wp:extent cx="1275715" cy="118872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5715" cy="1188720"/>
                    </a:xfrm>
                    <a:prstGeom prst="rect">
                      <a:avLst/>
                    </a:prstGeom>
                    <a:noFill/>
                    <a:ln>
                      <a:noFill/>
                    </a:ln>
                  </pic:spPr>
                </pic:pic>
              </a:graphicData>
            </a:graphic>
          </wp:anchor>
        </w:drawing>
      </w:r>
      <w:r w:rsidR="0081310A">
        <w:rPr>
          <w:b/>
          <w:smallCaps/>
        </w:rPr>
        <w:t>World I</w:t>
      </w:r>
      <w:r w:rsidR="0081310A" w:rsidRPr="00B86EAF">
        <w:rPr>
          <w:b/>
          <w:smallCaps/>
        </w:rPr>
        <w:t>nte</w:t>
      </w:r>
      <w:r w:rsidR="0081310A">
        <w:rPr>
          <w:b/>
          <w:smallCaps/>
        </w:rPr>
        <w:t>llectual P</w:t>
      </w:r>
      <w:r w:rsidR="0081310A" w:rsidRPr="00B86EAF">
        <w:rPr>
          <w:b/>
          <w:smallCaps/>
        </w:rPr>
        <w:t>roperty</w:t>
      </w:r>
    </w:p>
    <w:p w14:paraId="64EEDB39" w14:textId="24ADBCA1" w:rsidR="0081310A" w:rsidRPr="00B86EAF" w:rsidRDefault="0081310A" w:rsidP="0081310A">
      <w:pPr>
        <w:spacing w:after="240" w:line="360" w:lineRule="auto"/>
        <w:jc w:val="both"/>
        <w:rPr>
          <w:b/>
          <w:smallCaps/>
        </w:rPr>
      </w:pPr>
      <w:r>
        <w:rPr>
          <w:b/>
          <w:smallCaps/>
        </w:rPr>
        <w:t>O</w:t>
      </w:r>
      <w:r w:rsidRPr="00B86EAF">
        <w:rPr>
          <w:b/>
          <w:smallCaps/>
        </w:rPr>
        <w:t>rganization (</w:t>
      </w:r>
      <w:r w:rsidR="00684BB5" w:rsidRPr="00B86EAF">
        <w:rPr>
          <w:b/>
          <w:smallCaps/>
        </w:rPr>
        <w:t>WIPO</w:t>
      </w:r>
      <w:r w:rsidRPr="00B86EAF">
        <w:rPr>
          <w:b/>
          <w:smallCaps/>
        </w:rPr>
        <w:t>)</w:t>
      </w:r>
      <w:r w:rsidR="00F019EC" w:rsidRPr="00F019EC">
        <w:rPr>
          <w:rFonts w:eastAsia="Calibri"/>
          <w:b/>
          <w:noProof/>
          <w:szCs w:val="22"/>
          <w:lang w:eastAsia="en-US"/>
        </w:rPr>
        <w:t xml:space="preserve"> </w:t>
      </w:r>
    </w:p>
    <w:p w14:paraId="3A5D01A2" w14:textId="77777777" w:rsidR="0081310A" w:rsidRPr="00B86EAF" w:rsidRDefault="0081310A" w:rsidP="0081310A">
      <w:pPr>
        <w:spacing w:after="240" w:line="360" w:lineRule="auto"/>
        <w:jc w:val="both"/>
        <w:rPr>
          <w:b/>
          <w:smallCaps/>
          <w:u w:val="single"/>
        </w:rPr>
      </w:pPr>
      <w:r>
        <w:rPr>
          <w:b/>
          <w:smallCaps/>
          <w:u w:val="single"/>
        </w:rPr>
        <w:t>G</w:t>
      </w:r>
      <w:r w:rsidRPr="00B86EAF">
        <w:rPr>
          <w:b/>
          <w:smallCaps/>
          <w:u w:val="single"/>
        </w:rPr>
        <w:t>eneva</w:t>
      </w:r>
    </w:p>
    <w:p w14:paraId="3DA2D7BB" w14:textId="77777777" w:rsidR="00F019EC" w:rsidRDefault="00F019EC" w:rsidP="00F019EC">
      <w:pPr>
        <w:spacing w:line="259" w:lineRule="auto"/>
        <w:jc w:val="center"/>
        <w:rPr>
          <w:rFonts w:eastAsia="Calibri"/>
          <w:b/>
          <w:szCs w:val="22"/>
          <w:lang w:eastAsia="en-US"/>
        </w:rPr>
      </w:pPr>
    </w:p>
    <w:p w14:paraId="2B3AEB0A" w14:textId="77777777" w:rsidR="00F019EC" w:rsidRDefault="00F019EC" w:rsidP="00F019EC">
      <w:pPr>
        <w:spacing w:line="259" w:lineRule="auto"/>
        <w:jc w:val="center"/>
        <w:rPr>
          <w:rFonts w:eastAsia="Calibri"/>
          <w:b/>
          <w:szCs w:val="22"/>
          <w:lang w:eastAsia="en-US"/>
        </w:rPr>
      </w:pPr>
    </w:p>
    <w:p w14:paraId="7B337E64" w14:textId="77777777" w:rsidR="00F019EC" w:rsidRDefault="00F019EC" w:rsidP="00F019EC">
      <w:pPr>
        <w:spacing w:line="259" w:lineRule="auto"/>
        <w:jc w:val="center"/>
        <w:rPr>
          <w:rFonts w:eastAsia="Calibri"/>
          <w:b/>
          <w:szCs w:val="22"/>
          <w:lang w:eastAsia="en-US"/>
        </w:rPr>
      </w:pPr>
    </w:p>
    <w:p w14:paraId="0E57AAC3" w14:textId="77777777" w:rsidR="00F019EC" w:rsidRDefault="00F019EC" w:rsidP="00F019EC">
      <w:pPr>
        <w:spacing w:line="259" w:lineRule="auto"/>
        <w:jc w:val="center"/>
        <w:rPr>
          <w:rFonts w:eastAsia="Calibri"/>
          <w:b/>
          <w:szCs w:val="22"/>
          <w:lang w:eastAsia="en-US"/>
        </w:rPr>
      </w:pPr>
    </w:p>
    <w:p w14:paraId="543EC34B" w14:textId="77777777" w:rsidR="00F019EC" w:rsidRDefault="00F019EC" w:rsidP="00F019EC">
      <w:pPr>
        <w:spacing w:line="259" w:lineRule="auto"/>
        <w:jc w:val="center"/>
        <w:rPr>
          <w:rFonts w:eastAsia="Calibri"/>
          <w:b/>
          <w:szCs w:val="22"/>
          <w:lang w:eastAsia="en-US"/>
        </w:rPr>
      </w:pPr>
    </w:p>
    <w:p w14:paraId="06D706E4" w14:textId="77777777" w:rsidR="00F019EC" w:rsidRDefault="00F019EC" w:rsidP="00F019EC">
      <w:pPr>
        <w:spacing w:line="259" w:lineRule="auto"/>
        <w:jc w:val="center"/>
        <w:rPr>
          <w:rFonts w:eastAsia="Calibri"/>
          <w:b/>
          <w:szCs w:val="22"/>
          <w:lang w:eastAsia="en-US"/>
        </w:rPr>
      </w:pPr>
    </w:p>
    <w:p w14:paraId="023008DC" w14:textId="77777777" w:rsidR="00F019EC" w:rsidRPr="00F019EC" w:rsidRDefault="00F019EC" w:rsidP="00F019EC">
      <w:pPr>
        <w:spacing w:line="259" w:lineRule="auto"/>
        <w:jc w:val="center"/>
        <w:rPr>
          <w:rFonts w:eastAsia="Calibri"/>
          <w:b/>
          <w:szCs w:val="22"/>
          <w:lang w:eastAsia="en-US"/>
        </w:rPr>
      </w:pPr>
    </w:p>
    <w:p w14:paraId="6A0CE131" w14:textId="159F2C85" w:rsidR="0081310A" w:rsidRPr="00F019EC" w:rsidRDefault="00F019EC" w:rsidP="00F019EC">
      <w:pPr>
        <w:pStyle w:val="ListParagraph"/>
        <w:spacing w:line="259" w:lineRule="auto"/>
        <w:ind w:left="0"/>
        <w:jc w:val="center"/>
        <w:rPr>
          <w:rFonts w:ascii="Arial" w:hAnsi="Arial" w:cs="Arial"/>
          <w:b/>
          <w:lang w:val="en-US"/>
        </w:rPr>
      </w:pPr>
      <w:r w:rsidRPr="00F019EC">
        <w:rPr>
          <w:rFonts w:ascii="Arial" w:eastAsia="Times New Roman" w:hAnsi="Arial" w:cs="Arial"/>
          <w:lang w:val="en-US"/>
        </w:rPr>
        <w:t>–</w:t>
      </w:r>
      <w:r w:rsidRPr="00F019EC">
        <w:rPr>
          <w:rFonts w:ascii="Arial" w:hAnsi="Arial" w:cs="Arial"/>
          <w:b/>
          <w:lang w:val="en-US"/>
        </w:rPr>
        <w:t xml:space="preserve"> Translation from the French original </w:t>
      </w:r>
      <w:r w:rsidRPr="00F019EC">
        <w:rPr>
          <w:rFonts w:ascii="Arial" w:eastAsia="Times New Roman" w:hAnsi="Arial" w:cs="Arial"/>
          <w:lang w:val="en-US"/>
        </w:rPr>
        <w:t>–</w:t>
      </w:r>
    </w:p>
    <w:p w14:paraId="1421AC90" w14:textId="779520FD" w:rsidR="00F019EC" w:rsidRDefault="00F019EC" w:rsidP="00987C92">
      <w:pPr>
        <w:spacing w:line="259" w:lineRule="auto"/>
        <w:jc w:val="center"/>
        <w:rPr>
          <w:rFonts w:eastAsia="Calibri"/>
          <w:b/>
          <w:szCs w:val="22"/>
          <w:lang w:eastAsia="en-US"/>
        </w:rPr>
      </w:pPr>
      <w:r>
        <w:rPr>
          <w:rFonts w:eastAsia="Calibri"/>
          <w:b/>
          <w:szCs w:val="22"/>
          <w:lang w:eastAsia="en-US"/>
        </w:rPr>
        <w:br w:type="page"/>
      </w:r>
    </w:p>
    <w:p w14:paraId="2F1F804C" w14:textId="77777777" w:rsidR="00987C92" w:rsidRDefault="00987C92" w:rsidP="00987C92">
      <w:pPr>
        <w:spacing w:line="259" w:lineRule="auto"/>
        <w:jc w:val="center"/>
        <w:rPr>
          <w:rFonts w:eastAsia="Calibri"/>
          <w:b/>
          <w:szCs w:val="22"/>
          <w:lang w:eastAsia="en-US"/>
        </w:rPr>
      </w:pPr>
    </w:p>
    <w:p w14:paraId="1D3F91E8" w14:textId="7B58AE3F" w:rsidR="00987C92" w:rsidRPr="00987C92" w:rsidRDefault="00987C92" w:rsidP="00987C92">
      <w:pPr>
        <w:jc w:val="center"/>
        <w:rPr>
          <w:rFonts w:eastAsia="Calibri"/>
          <w:b/>
          <w:szCs w:val="22"/>
          <w:lang w:eastAsia="en-US"/>
        </w:rPr>
      </w:pPr>
      <w:r w:rsidRPr="00987C92">
        <w:rPr>
          <w:rFonts w:eastAsia="Calibri"/>
          <w:b/>
          <w:szCs w:val="22"/>
          <w:lang w:eastAsia="en-US"/>
        </w:rPr>
        <w:t>Recommendation of the 34</w:t>
      </w:r>
      <w:r w:rsidRPr="00987C92">
        <w:rPr>
          <w:rFonts w:eastAsia="Calibri"/>
          <w:b/>
          <w:szCs w:val="22"/>
          <w:vertAlign w:val="superscript"/>
          <w:lang w:eastAsia="en-US"/>
        </w:rPr>
        <w:t>th</w:t>
      </w:r>
      <w:r w:rsidRPr="00987C92">
        <w:rPr>
          <w:rFonts w:eastAsia="Calibri"/>
          <w:b/>
          <w:szCs w:val="22"/>
          <w:lang w:eastAsia="en-US"/>
        </w:rPr>
        <w:t xml:space="preserve"> Session of the Intergovernmental Committee on</w:t>
      </w:r>
      <w:r>
        <w:rPr>
          <w:rFonts w:eastAsia="Calibri"/>
          <w:b/>
          <w:szCs w:val="22"/>
          <w:lang w:eastAsia="en-US"/>
        </w:rPr>
        <w:t xml:space="preserve"> </w:t>
      </w:r>
      <w:r>
        <w:rPr>
          <w:rFonts w:eastAsia="Calibri"/>
          <w:b/>
          <w:szCs w:val="22"/>
          <w:lang w:eastAsia="en-US"/>
        </w:rPr>
        <w:br/>
      </w:r>
      <w:r w:rsidRPr="00987C92">
        <w:rPr>
          <w:rFonts w:eastAsia="Calibri"/>
          <w:b/>
          <w:szCs w:val="22"/>
          <w:lang w:eastAsia="en-US"/>
        </w:rPr>
        <w:t>Genetic Resources, Traditional Knowledge and Folklore (IGC) to the Assemblies of Member States of WIPO at its Fifty-Seventh Session, October 2 to 11, 2017</w:t>
      </w:r>
    </w:p>
    <w:p w14:paraId="2ACD3F0F" w14:textId="77777777" w:rsidR="00987C92" w:rsidRPr="00987C92" w:rsidRDefault="00987C92" w:rsidP="00987C92">
      <w:pPr>
        <w:jc w:val="center"/>
        <w:rPr>
          <w:rFonts w:eastAsia="Calibri"/>
          <w:b/>
          <w:szCs w:val="22"/>
          <w:lang w:eastAsia="en-US"/>
        </w:rPr>
      </w:pPr>
    </w:p>
    <w:p w14:paraId="1EF8EAC2" w14:textId="77777777" w:rsidR="00987C92" w:rsidRPr="00987C92" w:rsidRDefault="00987C92" w:rsidP="00987C92">
      <w:pPr>
        <w:jc w:val="center"/>
        <w:rPr>
          <w:rFonts w:eastAsia="Calibri"/>
          <w:szCs w:val="22"/>
          <w:lang w:eastAsia="en-US"/>
        </w:rPr>
      </w:pPr>
      <w:r w:rsidRPr="00987C92">
        <w:rPr>
          <w:rFonts w:eastAsia="Calibri"/>
          <w:b/>
          <w:szCs w:val="22"/>
          <w:lang w:eastAsia="en-US"/>
        </w:rPr>
        <w:t>WORK PROGRAM OF THE IGC FOR THE 2018/19 BIENNIUM</w:t>
      </w:r>
    </w:p>
    <w:p w14:paraId="7527E847" w14:textId="77777777" w:rsidR="00987C92" w:rsidRDefault="00987C92" w:rsidP="00987C92">
      <w:pPr>
        <w:rPr>
          <w:rFonts w:eastAsia="Calibri"/>
          <w:szCs w:val="22"/>
          <w:lang w:eastAsia="en-US"/>
        </w:rPr>
      </w:pPr>
    </w:p>
    <w:p w14:paraId="1706E64E" w14:textId="77777777" w:rsidR="00987C92" w:rsidRDefault="00987C92" w:rsidP="00987C92">
      <w:pPr>
        <w:rPr>
          <w:rFonts w:eastAsia="Calibri"/>
          <w:szCs w:val="22"/>
          <w:lang w:eastAsia="en-US"/>
        </w:rPr>
      </w:pPr>
    </w:p>
    <w:p w14:paraId="5A6E7A8F" w14:textId="77777777" w:rsidR="00987C92" w:rsidRDefault="00987C92" w:rsidP="00987C92">
      <w:pPr>
        <w:rPr>
          <w:rFonts w:eastAsia="Calibri"/>
          <w:szCs w:val="22"/>
          <w:lang w:eastAsia="en-US"/>
        </w:rPr>
      </w:pPr>
      <w:r w:rsidRPr="00987C92">
        <w:rPr>
          <w:rFonts w:eastAsia="Calibri"/>
          <w:szCs w:val="22"/>
          <w:lang w:eastAsia="en-US"/>
        </w:rPr>
        <w:t xml:space="preserve">Bearing in mind the Development Agenda recommendations and acknowledging the progress made, the WIPO General Assembly agrees that the mandate of the WIPO Intergovernmental Committee on Intellectual Property and Genetic Resources, Traditional Knowledge and Folklore (Committee) be continued, without prejudice to the work pursued in other fora, under the following terms: </w:t>
      </w:r>
    </w:p>
    <w:p w14:paraId="28DAF30B" w14:textId="77777777" w:rsidR="00987C92" w:rsidRPr="00987C92" w:rsidRDefault="00987C92" w:rsidP="00987C92">
      <w:pPr>
        <w:rPr>
          <w:rFonts w:eastAsia="Calibri"/>
          <w:szCs w:val="22"/>
          <w:lang w:eastAsia="en-US"/>
        </w:rPr>
      </w:pPr>
    </w:p>
    <w:p w14:paraId="5B60A999" w14:textId="77777777" w:rsidR="00987C92" w:rsidRDefault="00987C92" w:rsidP="00987C92">
      <w:pPr>
        <w:numPr>
          <w:ilvl w:val="0"/>
          <w:numId w:val="9"/>
        </w:numPr>
        <w:rPr>
          <w:rFonts w:eastAsia="Calibri"/>
          <w:szCs w:val="22"/>
          <w:lang w:eastAsia="en-US"/>
        </w:rPr>
      </w:pPr>
      <w:r w:rsidRPr="00987C92">
        <w:rPr>
          <w:rFonts w:eastAsia="Calibri"/>
          <w:szCs w:val="22"/>
          <w:lang w:eastAsia="en-US"/>
        </w:rPr>
        <w:t>Affirms the importance of the Committee discussions on Genetic Resources (GRs), Traditional Knowledge (TK) and Traditional Cultural Expressions (TCEs).</w:t>
      </w:r>
    </w:p>
    <w:p w14:paraId="72AAAE8E" w14:textId="77777777" w:rsidR="00987C92" w:rsidRPr="00987C92" w:rsidRDefault="00987C92" w:rsidP="00987C92">
      <w:pPr>
        <w:ind w:left="735"/>
        <w:rPr>
          <w:rFonts w:eastAsia="Calibri"/>
          <w:szCs w:val="22"/>
          <w:lang w:eastAsia="en-US"/>
        </w:rPr>
      </w:pPr>
    </w:p>
    <w:p w14:paraId="265730C5" w14:textId="77777777" w:rsidR="00987C92" w:rsidRDefault="00987C92" w:rsidP="00987C92">
      <w:pPr>
        <w:numPr>
          <w:ilvl w:val="0"/>
          <w:numId w:val="9"/>
        </w:numPr>
        <w:rPr>
          <w:rFonts w:eastAsia="Calibri"/>
          <w:szCs w:val="22"/>
          <w:lang w:eastAsia="en-US"/>
        </w:rPr>
      </w:pPr>
      <w:r w:rsidRPr="00987C92">
        <w:rPr>
          <w:rFonts w:eastAsia="Calibri"/>
          <w:szCs w:val="22"/>
          <w:lang w:eastAsia="en-US"/>
        </w:rPr>
        <w:t>Recognizes the different levels of maturity of the three texts relating to GRs, TK and TCEs, contained in documents WIPO/GRTKF/IC/34/4, WIPO/GRTKF/IC/34/5 and WIPO/GRTKF/IC/34/8 respectively.</w:t>
      </w:r>
    </w:p>
    <w:p w14:paraId="18F77B51" w14:textId="77777777" w:rsidR="00987C92" w:rsidRPr="00987C92" w:rsidRDefault="00987C92" w:rsidP="00987C92">
      <w:pPr>
        <w:ind w:left="735"/>
        <w:rPr>
          <w:rFonts w:eastAsia="Calibri"/>
          <w:szCs w:val="22"/>
          <w:lang w:eastAsia="en-US"/>
        </w:rPr>
      </w:pPr>
    </w:p>
    <w:p w14:paraId="79F6B567" w14:textId="77777777" w:rsidR="00987C92" w:rsidRDefault="00987C92" w:rsidP="00987C92">
      <w:pPr>
        <w:numPr>
          <w:ilvl w:val="0"/>
          <w:numId w:val="9"/>
        </w:numPr>
        <w:rPr>
          <w:rFonts w:eastAsia="Calibri"/>
          <w:szCs w:val="22"/>
          <w:lang w:eastAsia="en-US"/>
        </w:rPr>
      </w:pPr>
      <w:r w:rsidRPr="00987C92">
        <w:rPr>
          <w:rFonts w:eastAsia="Calibri"/>
          <w:szCs w:val="22"/>
          <w:lang w:eastAsia="en-US"/>
        </w:rPr>
        <w:t>Agrees to build on existing work carried out by the Committee during the next budgetary biennium 2018/2019, expedite its work, with a focus on narrowing existing gaps, with open and full engagement, including text-based negotiations, with the objective of reaching an agreement, based on the maturity of the texts, on an international legal instrument(s) relating to intellectual property which will ensure the effective and balanced protection of GRs, TK and TCEs.</w:t>
      </w:r>
    </w:p>
    <w:p w14:paraId="6942A452" w14:textId="77777777" w:rsidR="00987C92" w:rsidRPr="00987C92" w:rsidRDefault="00987C92" w:rsidP="00987C92">
      <w:pPr>
        <w:ind w:left="735"/>
        <w:rPr>
          <w:rFonts w:eastAsia="Calibri"/>
          <w:szCs w:val="22"/>
          <w:lang w:eastAsia="en-US"/>
        </w:rPr>
      </w:pPr>
    </w:p>
    <w:p w14:paraId="089A2755" w14:textId="77777777" w:rsidR="00987C92" w:rsidRDefault="00987C92" w:rsidP="00987C92">
      <w:pPr>
        <w:numPr>
          <w:ilvl w:val="0"/>
          <w:numId w:val="9"/>
        </w:numPr>
        <w:rPr>
          <w:rFonts w:eastAsia="Calibri"/>
          <w:szCs w:val="22"/>
          <w:lang w:eastAsia="en-US"/>
        </w:rPr>
      </w:pPr>
      <w:r w:rsidRPr="00987C92">
        <w:rPr>
          <w:rFonts w:eastAsia="Calibri"/>
          <w:szCs w:val="22"/>
          <w:lang w:eastAsia="en-US"/>
        </w:rPr>
        <w:t>Decides to convene a Diplomatic Conference in the first quarter of 2019 to conclude and adopt a legally binding instrument that will ensure the effective and balanced protection of GRs, without prejudice to the Committee’s work on TK and TCEs.</w:t>
      </w:r>
    </w:p>
    <w:p w14:paraId="3CA6CC16" w14:textId="77777777" w:rsidR="00987C92" w:rsidRPr="00987C92" w:rsidRDefault="00987C92" w:rsidP="00987C92">
      <w:pPr>
        <w:ind w:left="735"/>
        <w:rPr>
          <w:rFonts w:eastAsia="Calibri"/>
          <w:szCs w:val="22"/>
          <w:lang w:eastAsia="en-US"/>
        </w:rPr>
      </w:pPr>
    </w:p>
    <w:p w14:paraId="1CE3A58C" w14:textId="77777777" w:rsidR="00987C92" w:rsidRDefault="00987C92" w:rsidP="00987C92">
      <w:pPr>
        <w:numPr>
          <w:ilvl w:val="0"/>
          <w:numId w:val="9"/>
        </w:numPr>
        <w:rPr>
          <w:rFonts w:eastAsia="Calibri"/>
          <w:szCs w:val="22"/>
          <w:lang w:eastAsia="en-US"/>
        </w:rPr>
      </w:pPr>
      <w:r w:rsidRPr="00987C92">
        <w:rPr>
          <w:rFonts w:eastAsia="Calibri"/>
          <w:szCs w:val="22"/>
          <w:lang w:eastAsia="en-US"/>
        </w:rPr>
        <w:t>Recognizing the need for intersessional work, agrees to establish an Expert Intersessional Working Group (EIWG) to focus on narrowing gaps in the consolidated text resulting from the 30</w:t>
      </w:r>
      <w:r w:rsidRPr="00987C92">
        <w:rPr>
          <w:rFonts w:eastAsia="Calibri"/>
          <w:szCs w:val="22"/>
          <w:vertAlign w:val="superscript"/>
          <w:lang w:eastAsia="en-US"/>
        </w:rPr>
        <w:t xml:space="preserve">th </w:t>
      </w:r>
      <w:r w:rsidRPr="00987C92">
        <w:rPr>
          <w:rFonts w:eastAsia="Calibri"/>
          <w:szCs w:val="22"/>
          <w:lang w:eastAsia="en-US"/>
        </w:rPr>
        <w:t>session of the IGC. Provision shall be made for the Secretariat, under Program 4, to organize meetings of the EIWG at the WIPO Headquarters in Geneva. The EIWG shall be composed of the Committee Facilitators, five representatives from each WIPO regional group, and two representatives each from the European Union and the Indigenous Caucus.</w:t>
      </w:r>
    </w:p>
    <w:p w14:paraId="65F029DA" w14:textId="77777777" w:rsidR="00987C92" w:rsidRPr="00987C92" w:rsidRDefault="00987C92" w:rsidP="00987C92">
      <w:pPr>
        <w:ind w:left="735"/>
        <w:rPr>
          <w:rFonts w:eastAsia="Calibri"/>
          <w:szCs w:val="22"/>
          <w:lang w:eastAsia="en-US"/>
        </w:rPr>
      </w:pPr>
    </w:p>
    <w:p w14:paraId="6452B224" w14:textId="2EF9211A" w:rsidR="00987C92" w:rsidRDefault="00987C92" w:rsidP="00987C92">
      <w:pPr>
        <w:numPr>
          <w:ilvl w:val="0"/>
          <w:numId w:val="9"/>
        </w:numPr>
        <w:rPr>
          <w:rFonts w:eastAsia="Calibri"/>
          <w:szCs w:val="22"/>
          <w:lang w:eastAsia="en-US"/>
        </w:rPr>
      </w:pPr>
      <w:r w:rsidRPr="00987C92">
        <w:rPr>
          <w:rFonts w:eastAsia="Calibri"/>
          <w:szCs w:val="22"/>
          <w:lang w:eastAsia="en-US"/>
        </w:rPr>
        <w:t>The EIWG will present the outcome of its work to the Committee for consideration, following a clearly defined program, as set out in the annex to this decision. This work program will make provision for three sessions each, of the EIWG and the Committee in 2018, and a Preparatory Committee and Diplomatic Conference on GRs in the first quarter of 2019.</w:t>
      </w:r>
      <w:r>
        <w:rPr>
          <w:rFonts w:eastAsia="Calibri"/>
          <w:szCs w:val="22"/>
          <w:lang w:eastAsia="en-US"/>
        </w:rPr>
        <w:t xml:space="preserve">  </w:t>
      </w:r>
    </w:p>
    <w:p w14:paraId="2677ABE0" w14:textId="77777777" w:rsidR="00987C92" w:rsidRPr="00987C92" w:rsidRDefault="00987C92" w:rsidP="00987C92">
      <w:pPr>
        <w:ind w:left="735"/>
        <w:rPr>
          <w:rFonts w:eastAsia="Calibri"/>
          <w:szCs w:val="22"/>
          <w:lang w:eastAsia="en-US"/>
        </w:rPr>
      </w:pPr>
    </w:p>
    <w:p w14:paraId="5388F774" w14:textId="77777777" w:rsidR="00987C92" w:rsidRDefault="00987C92" w:rsidP="00987C92">
      <w:pPr>
        <w:numPr>
          <w:ilvl w:val="0"/>
          <w:numId w:val="9"/>
        </w:numPr>
        <w:rPr>
          <w:rFonts w:eastAsia="Calibri"/>
          <w:szCs w:val="22"/>
          <w:lang w:eastAsia="en-US"/>
        </w:rPr>
      </w:pPr>
      <w:r w:rsidRPr="00987C92">
        <w:rPr>
          <w:rFonts w:eastAsia="Calibri"/>
          <w:szCs w:val="22"/>
          <w:lang w:eastAsia="en-US"/>
        </w:rPr>
        <w:t xml:space="preserve">The Committee and EIWG will use all relevant WIPO working documents, including WIPO/GRTKF/IC/30/4, outputs of the EIWG, and other contributions of member states, including studies and examples of national experiences. However, such other contributions are not to delay progress or establish any preconditions for the negotiations. </w:t>
      </w:r>
    </w:p>
    <w:p w14:paraId="2F8C7377" w14:textId="77777777" w:rsidR="00987C92" w:rsidRDefault="00987C92" w:rsidP="00987C92">
      <w:pPr>
        <w:rPr>
          <w:rFonts w:eastAsia="Calibri"/>
          <w:szCs w:val="22"/>
          <w:lang w:eastAsia="en-US"/>
        </w:rPr>
      </w:pPr>
    </w:p>
    <w:p w14:paraId="67CF6CDA" w14:textId="77777777" w:rsidR="004B5B96" w:rsidRDefault="004B5B96" w:rsidP="00987C92">
      <w:pPr>
        <w:rPr>
          <w:rFonts w:eastAsia="Calibri"/>
          <w:szCs w:val="22"/>
          <w:lang w:eastAsia="en-US"/>
        </w:rPr>
      </w:pPr>
    </w:p>
    <w:p w14:paraId="1B8FCA2E" w14:textId="77777777" w:rsidR="004B5B96" w:rsidRDefault="004B5B96" w:rsidP="00987C92">
      <w:pPr>
        <w:rPr>
          <w:rFonts w:eastAsia="Calibri"/>
          <w:szCs w:val="22"/>
          <w:lang w:eastAsia="en-US"/>
        </w:rPr>
      </w:pPr>
    </w:p>
    <w:p w14:paraId="4889F7F4" w14:textId="77777777" w:rsidR="00987C92" w:rsidRDefault="00987C92" w:rsidP="00987C92">
      <w:pPr>
        <w:numPr>
          <w:ilvl w:val="0"/>
          <w:numId w:val="9"/>
        </w:numPr>
        <w:rPr>
          <w:rFonts w:eastAsia="Calibri"/>
          <w:szCs w:val="22"/>
          <w:lang w:eastAsia="en-US"/>
        </w:rPr>
      </w:pPr>
      <w:r w:rsidRPr="00987C92">
        <w:rPr>
          <w:rFonts w:eastAsia="Calibri"/>
          <w:szCs w:val="22"/>
          <w:lang w:eastAsia="en-US"/>
        </w:rPr>
        <w:lastRenderedPageBreak/>
        <w:t>In 2018, the Committee is requested to submit to the General Assembly, a report of its work on GRs up to that time, on an international legal instrument relating to intellectual property which will ensure the effective and balanced protection of GRs. The 2018 General Assembly will also take stock of the progress made on TK and TCEs and decide on whether or not to convene a Diplomatic Conference or to continue negotiations.</w:t>
      </w:r>
    </w:p>
    <w:p w14:paraId="0113B124" w14:textId="77777777" w:rsidR="00987C92" w:rsidRPr="00987C92" w:rsidRDefault="00987C92" w:rsidP="00987C92">
      <w:pPr>
        <w:ind w:left="735"/>
        <w:rPr>
          <w:rFonts w:eastAsia="Calibri"/>
          <w:szCs w:val="22"/>
          <w:lang w:eastAsia="en-US"/>
        </w:rPr>
      </w:pPr>
    </w:p>
    <w:p w14:paraId="6FFA2B2C" w14:textId="77777777" w:rsidR="00987C92" w:rsidRPr="00987C92" w:rsidRDefault="00987C92" w:rsidP="00987C92">
      <w:pPr>
        <w:numPr>
          <w:ilvl w:val="0"/>
          <w:numId w:val="9"/>
        </w:numPr>
        <w:rPr>
          <w:rFonts w:eastAsia="Calibri"/>
          <w:szCs w:val="22"/>
          <w:lang w:eastAsia="en-US"/>
        </w:rPr>
      </w:pPr>
      <w:r w:rsidRPr="00987C92">
        <w:rPr>
          <w:rFonts w:eastAsia="Calibri"/>
          <w:szCs w:val="22"/>
          <w:lang w:eastAsia="en-US"/>
        </w:rPr>
        <w:t>The General Assembly requests the International Bureau to continue to assist the Committee and EIWG by providing Member States with necessary expertise and funding, in the most efficient manner, of the participation of experts from developing countries and LDCs, taking into account the usual formula for the IGC, and the relevance of the participation of representatives of the indigenous caucus.</w:t>
      </w:r>
    </w:p>
    <w:p w14:paraId="6AE5C596" w14:textId="77777777" w:rsidR="00987C92" w:rsidRDefault="00987C92" w:rsidP="00987C92">
      <w:pPr>
        <w:jc w:val="both"/>
        <w:rPr>
          <w:rFonts w:eastAsia="Calibri"/>
          <w:b/>
          <w:szCs w:val="22"/>
          <w:u w:val="single"/>
          <w:lang w:eastAsia="en-US"/>
        </w:rPr>
      </w:pPr>
    </w:p>
    <w:p w14:paraId="42E26BA8" w14:textId="77777777" w:rsidR="004B5B96" w:rsidRDefault="004B5B96" w:rsidP="00987C92">
      <w:pPr>
        <w:jc w:val="both"/>
        <w:rPr>
          <w:rFonts w:eastAsia="Calibri"/>
          <w:b/>
          <w:szCs w:val="22"/>
          <w:u w:val="single"/>
          <w:lang w:eastAsia="en-US"/>
        </w:rPr>
      </w:pPr>
    </w:p>
    <w:p w14:paraId="780449FF" w14:textId="77777777" w:rsidR="00987C92" w:rsidRPr="00987C92" w:rsidRDefault="00987C92" w:rsidP="00987C92">
      <w:pPr>
        <w:jc w:val="both"/>
        <w:rPr>
          <w:rFonts w:eastAsia="Calibri"/>
          <w:b/>
          <w:szCs w:val="22"/>
          <w:u w:val="single"/>
          <w:lang w:eastAsia="en-US"/>
        </w:rPr>
      </w:pPr>
      <w:r w:rsidRPr="00987C92">
        <w:rPr>
          <w:rFonts w:eastAsia="Calibri"/>
          <w:b/>
          <w:szCs w:val="22"/>
          <w:u w:val="single"/>
          <w:lang w:eastAsia="en-US"/>
        </w:rPr>
        <w:t>Work program: 2018/19 Biennium</w:t>
      </w:r>
    </w:p>
    <w:p w14:paraId="73AEF19B" w14:textId="77777777" w:rsidR="00987C92" w:rsidRDefault="00987C92" w:rsidP="00987C92">
      <w:pPr>
        <w:jc w:val="both"/>
        <w:rPr>
          <w:rFonts w:eastAsia="Calibri"/>
          <w:b/>
          <w:szCs w:val="22"/>
          <w:u w:val="single"/>
          <w:lang w:eastAsia="en-US"/>
        </w:rPr>
      </w:pPr>
    </w:p>
    <w:p w14:paraId="6B0A941E" w14:textId="77777777" w:rsidR="00FA7208" w:rsidRDefault="00FA7208" w:rsidP="00987C92">
      <w:pPr>
        <w:jc w:val="both"/>
        <w:rPr>
          <w:rFonts w:eastAsia="Calibri"/>
          <w:b/>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28"/>
      </w:tblGrid>
      <w:tr w:rsidR="00987C92" w:rsidRPr="00987C92" w14:paraId="34A39718" w14:textId="77777777" w:rsidTr="00DD123C">
        <w:tc>
          <w:tcPr>
            <w:tcW w:w="2518" w:type="dxa"/>
            <w:shd w:val="clear" w:color="auto" w:fill="auto"/>
          </w:tcPr>
          <w:p w14:paraId="1977CD6F" w14:textId="77777777" w:rsidR="00987C92" w:rsidRPr="00987C92" w:rsidRDefault="00987C92" w:rsidP="00FA7208">
            <w:pPr>
              <w:spacing w:before="120" w:after="120" w:line="240" w:lineRule="exact"/>
              <w:rPr>
                <w:rFonts w:eastAsia="Calibri"/>
                <w:b/>
                <w:szCs w:val="22"/>
                <w:lang w:eastAsia="en-US"/>
              </w:rPr>
            </w:pPr>
            <w:r w:rsidRPr="00987C92">
              <w:rPr>
                <w:rFonts w:eastAsia="Calibri"/>
                <w:b/>
                <w:szCs w:val="22"/>
                <w:lang w:eastAsia="en-US"/>
              </w:rPr>
              <w:t xml:space="preserve">Indicative dates </w:t>
            </w:r>
          </w:p>
        </w:tc>
        <w:tc>
          <w:tcPr>
            <w:tcW w:w="7028" w:type="dxa"/>
            <w:shd w:val="clear" w:color="auto" w:fill="auto"/>
          </w:tcPr>
          <w:p w14:paraId="2410D40C" w14:textId="77777777" w:rsidR="00987C92" w:rsidRPr="00987C92" w:rsidRDefault="00987C92" w:rsidP="00FA7208">
            <w:pPr>
              <w:spacing w:before="120" w:after="120" w:line="240" w:lineRule="exact"/>
              <w:rPr>
                <w:rFonts w:eastAsia="Calibri"/>
                <w:b/>
                <w:szCs w:val="22"/>
                <w:lang w:eastAsia="en-US"/>
              </w:rPr>
            </w:pPr>
            <w:r w:rsidRPr="00987C92">
              <w:rPr>
                <w:rFonts w:eastAsia="Calibri"/>
                <w:b/>
                <w:szCs w:val="22"/>
                <w:lang w:eastAsia="en-US"/>
              </w:rPr>
              <w:t>Activity</w:t>
            </w:r>
          </w:p>
        </w:tc>
      </w:tr>
      <w:tr w:rsidR="00987C92" w:rsidRPr="00987C92" w14:paraId="4639A285" w14:textId="77777777" w:rsidTr="00DD123C">
        <w:tc>
          <w:tcPr>
            <w:tcW w:w="2518" w:type="dxa"/>
            <w:shd w:val="clear" w:color="auto" w:fill="auto"/>
          </w:tcPr>
          <w:p w14:paraId="02E8392E"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February 2018</w:t>
            </w:r>
          </w:p>
        </w:tc>
        <w:tc>
          <w:tcPr>
            <w:tcW w:w="7028" w:type="dxa"/>
            <w:shd w:val="clear" w:color="auto" w:fill="auto"/>
          </w:tcPr>
          <w:p w14:paraId="21E65BCD" w14:textId="77777777" w:rsidR="00987C92" w:rsidRPr="00FA7208" w:rsidRDefault="00987C92" w:rsidP="00FA7208">
            <w:pPr>
              <w:autoSpaceDE w:val="0"/>
              <w:autoSpaceDN w:val="0"/>
              <w:adjustRightInd w:val="0"/>
              <w:spacing w:before="120" w:after="120" w:line="240" w:lineRule="exact"/>
              <w:rPr>
                <w:rFonts w:eastAsia="Calibri"/>
                <w:b/>
                <w:bCs/>
                <w:szCs w:val="22"/>
                <w:lang w:val="en-GB" w:eastAsia="en-US"/>
              </w:rPr>
            </w:pPr>
            <w:r w:rsidRPr="00987C92">
              <w:rPr>
                <w:rFonts w:eastAsia="Calibri"/>
                <w:b/>
                <w:bCs/>
                <w:szCs w:val="22"/>
                <w:lang w:val="en-GB" w:eastAsia="en-US"/>
              </w:rPr>
              <w:t xml:space="preserve">First session of the Expert Intersessional Working Group (EIWG) </w:t>
            </w:r>
          </w:p>
          <w:p w14:paraId="1D5C82E5" w14:textId="77777777" w:rsidR="00987C92" w:rsidRPr="00FA7208" w:rsidRDefault="00987C92" w:rsidP="00FA7208">
            <w:pPr>
              <w:autoSpaceDE w:val="0"/>
              <w:autoSpaceDN w:val="0"/>
              <w:adjustRightInd w:val="0"/>
              <w:spacing w:before="120" w:after="120" w:line="240" w:lineRule="exact"/>
              <w:rPr>
                <w:rFonts w:eastAsia="Calibri"/>
                <w:szCs w:val="22"/>
                <w:lang w:val="en-GB" w:eastAsia="en-US"/>
              </w:rPr>
            </w:pPr>
            <w:r w:rsidRPr="00987C92">
              <w:rPr>
                <w:rFonts w:eastAsia="Calibri"/>
                <w:szCs w:val="22"/>
                <w:lang w:val="en-GB" w:eastAsia="en-US"/>
              </w:rPr>
              <w:t>To examine unresolved issues and the consideration of different options on a draft legally binding instrument on GRs, focusing on:</w:t>
            </w:r>
          </w:p>
          <w:p w14:paraId="0116573F" w14:textId="77777777" w:rsidR="00987C92" w:rsidRPr="00987C92"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 xml:space="preserve">Policy Objectives </w:t>
            </w:r>
          </w:p>
          <w:p w14:paraId="511DCD60" w14:textId="77777777" w:rsidR="00987C92" w:rsidRPr="00987C92"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Definitions</w:t>
            </w:r>
          </w:p>
          <w:p w14:paraId="7F5CAC45" w14:textId="77777777" w:rsidR="00987C92" w:rsidRPr="00987C92"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Subject Matter of protection</w:t>
            </w:r>
          </w:p>
          <w:p w14:paraId="2149DAEA" w14:textId="77777777" w:rsidR="00987C92" w:rsidRPr="00987C92"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Scope of Protection</w:t>
            </w:r>
          </w:p>
          <w:p w14:paraId="296002A0" w14:textId="77777777" w:rsidR="00987C92" w:rsidRPr="00FA7208"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Disclosure Requirement</w:t>
            </w:r>
          </w:p>
          <w:p w14:paraId="1445636A" w14:textId="77777777" w:rsidR="00987C92" w:rsidRPr="00987C92" w:rsidRDefault="00987C92" w:rsidP="00FA7208">
            <w:pPr>
              <w:autoSpaceDE w:val="0"/>
              <w:autoSpaceDN w:val="0"/>
              <w:adjustRightInd w:val="0"/>
              <w:spacing w:before="120" w:after="120" w:line="240" w:lineRule="exact"/>
              <w:ind w:left="1080"/>
              <w:contextualSpacing/>
              <w:rPr>
                <w:rFonts w:eastAsia="Calibri"/>
                <w:szCs w:val="22"/>
                <w:lang w:val="en-GB" w:eastAsia="en-US"/>
              </w:rPr>
            </w:pPr>
          </w:p>
          <w:p w14:paraId="63516FC4" w14:textId="57E27109"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Duration: 10 days, prior to the 35</w:t>
            </w:r>
            <w:r w:rsidRPr="00987C92">
              <w:rPr>
                <w:rFonts w:eastAsia="Calibri"/>
                <w:szCs w:val="22"/>
                <w:vertAlign w:val="superscript"/>
                <w:lang w:eastAsia="en-US"/>
              </w:rPr>
              <w:t>th</w:t>
            </w:r>
            <w:r w:rsidRPr="00987C92">
              <w:rPr>
                <w:rFonts w:eastAsia="Calibri"/>
                <w:szCs w:val="22"/>
                <w:lang w:eastAsia="en-US"/>
              </w:rPr>
              <w:t xml:space="preserve"> session of the Committee</w:t>
            </w:r>
          </w:p>
        </w:tc>
      </w:tr>
      <w:tr w:rsidR="00987C92" w:rsidRPr="00987C92" w14:paraId="29AB04A8" w14:textId="77777777" w:rsidTr="00DD123C">
        <w:trPr>
          <w:trHeight w:val="1223"/>
        </w:trPr>
        <w:tc>
          <w:tcPr>
            <w:tcW w:w="2518" w:type="dxa"/>
            <w:shd w:val="clear" w:color="auto" w:fill="auto"/>
          </w:tcPr>
          <w:p w14:paraId="79348CA4" w14:textId="29F25213"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February 2018</w:t>
            </w:r>
          </w:p>
        </w:tc>
        <w:tc>
          <w:tcPr>
            <w:tcW w:w="7028" w:type="dxa"/>
            <w:shd w:val="clear" w:color="auto" w:fill="auto"/>
          </w:tcPr>
          <w:p w14:paraId="70047360" w14:textId="77777777" w:rsidR="00987C92" w:rsidRPr="00FA7208" w:rsidRDefault="00987C92" w:rsidP="00FA7208">
            <w:pPr>
              <w:spacing w:before="120" w:after="120" w:line="240" w:lineRule="exact"/>
              <w:rPr>
                <w:rFonts w:eastAsia="Calibri"/>
                <w:b/>
                <w:szCs w:val="22"/>
                <w:lang w:eastAsia="en-US"/>
              </w:rPr>
            </w:pPr>
            <w:r w:rsidRPr="00987C92">
              <w:rPr>
                <w:rFonts w:eastAsia="Calibri"/>
                <w:b/>
                <w:szCs w:val="22"/>
                <w:lang w:eastAsia="en-US"/>
              </w:rPr>
              <w:t>35</w:t>
            </w:r>
            <w:r w:rsidRPr="00987C92">
              <w:rPr>
                <w:rFonts w:eastAsia="Calibri"/>
                <w:b/>
                <w:szCs w:val="22"/>
                <w:vertAlign w:val="superscript"/>
                <w:lang w:eastAsia="en-US"/>
              </w:rPr>
              <w:t>th</w:t>
            </w:r>
            <w:r w:rsidRPr="00987C92">
              <w:rPr>
                <w:rFonts w:eastAsia="Calibri"/>
                <w:b/>
                <w:szCs w:val="22"/>
                <w:lang w:eastAsia="en-US"/>
              </w:rPr>
              <w:t xml:space="preserve"> Session of the Committee</w:t>
            </w:r>
          </w:p>
          <w:p w14:paraId="75CB1731" w14:textId="77777777" w:rsidR="00987C92" w:rsidRPr="00FA7208" w:rsidRDefault="00987C92" w:rsidP="00FA7208">
            <w:pPr>
              <w:spacing w:before="120" w:after="120" w:line="240" w:lineRule="exact"/>
              <w:rPr>
                <w:rFonts w:eastAsia="Calibri"/>
                <w:szCs w:val="22"/>
                <w:lang w:eastAsia="en-US"/>
              </w:rPr>
            </w:pPr>
            <w:r w:rsidRPr="00987C92">
              <w:rPr>
                <w:rFonts w:eastAsia="Calibri"/>
                <w:szCs w:val="22"/>
                <w:lang w:eastAsia="en-US"/>
              </w:rPr>
              <w:t>Allocate sufficient time on the first working day of the Committee to report on the work of the EIWG and receive feedback.</w:t>
            </w:r>
          </w:p>
          <w:p w14:paraId="0B45B39B" w14:textId="77777777" w:rsidR="00987C92" w:rsidRPr="00FA7208" w:rsidRDefault="00987C92" w:rsidP="00FA7208">
            <w:pPr>
              <w:spacing w:before="120" w:after="120" w:line="240" w:lineRule="exact"/>
              <w:rPr>
                <w:rFonts w:eastAsia="Calibri"/>
                <w:szCs w:val="22"/>
                <w:lang w:eastAsia="en-US"/>
              </w:rPr>
            </w:pPr>
            <w:r w:rsidRPr="00987C92">
              <w:rPr>
                <w:rFonts w:eastAsia="Calibri"/>
                <w:szCs w:val="22"/>
                <w:lang w:eastAsia="en-US"/>
              </w:rPr>
              <w:t>Continue work on examining unresolved and cross-cutting issues related to TK and TCEs, with a focus on narrowing gaps and considering options for a draft legal instrument.</w:t>
            </w:r>
          </w:p>
          <w:p w14:paraId="0C07FE14" w14:textId="2517462E"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Duration: 5 days.</w:t>
            </w:r>
          </w:p>
        </w:tc>
      </w:tr>
      <w:tr w:rsidR="00987C92" w:rsidRPr="00987C92" w14:paraId="1993F2BF" w14:textId="77777777" w:rsidTr="00DD123C">
        <w:tc>
          <w:tcPr>
            <w:tcW w:w="2518" w:type="dxa"/>
            <w:shd w:val="clear" w:color="auto" w:fill="auto"/>
          </w:tcPr>
          <w:p w14:paraId="20DE6E22"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May 2018</w:t>
            </w:r>
          </w:p>
        </w:tc>
        <w:tc>
          <w:tcPr>
            <w:tcW w:w="7028" w:type="dxa"/>
            <w:shd w:val="clear" w:color="auto" w:fill="auto"/>
          </w:tcPr>
          <w:p w14:paraId="1033E4AC" w14:textId="77777777" w:rsidR="00987C92" w:rsidRPr="00FA7208" w:rsidRDefault="00987C92" w:rsidP="00FA7208">
            <w:pPr>
              <w:autoSpaceDE w:val="0"/>
              <w:autoSpaceDN w:val="0"/>
              <w:adjustRightInd w:val="0"/>
              <w:spacing w:before="120" w:after="120" w:line="240" w:lineRule="exact"/>
              <w:rPr>
                <w:rFonts w:eastAsia="Calibri"/>
                <w:b/>
                <w:bCs/>
                <w:szCs w:val="22"/>
                <w:lang w:val="en-GB" w:eastAsia="en-US"/>
              </w:rPr>
            </w:pPr>
            <w:r w:rsidRPr="00987C92">
              <w:rPr>
                <w:rFonts w:eastAsia="Calibri"/>
                <w:b/>
                <w:bCs/>
                <w:szCs w:val="22"/>
                <w:lang w:val="en-GB" w:eastAsia="en-US"/>
              </w:rPr>
              <w:t xml:space="preserve">Second session of the EIWG </w:t>
            </w:r>
          </w:p>
          <w:p w14:paraId="31D8578D" w14:textId="77777777" w:rsidR="00987C92" w:rsidRPr="00FA7208" w:rsidRDefault="00987C92" w:rsidP="00FA7208">
            <w:pPr>
              <w:spacing w:before="120" w:after="120" w:line="240" w:lineRule="exact"/>
              <w:rPr>
                <w:rFonts w:eastAsia="Calibri"/>
                <w:szCs w:val="22"/>
                <w:lang w:eastAsia="en-US"/>
              </w:rPr>
            </w:pPr>
            <w:r w:rsidRPr="00987C92">
              <w:rPr>
                <w:rFonts w:eastAsia="Calibri"/>
                <w:szCs w:val="22"/>
                <w:lang w:eastAsia="en-US"/>
              </w:rPr>
              <w:t xml:space="preserve">Continue work on </w:t>
            </w:r>
            <w:r w:rsidRPr="00987C92">
              <w:rPr>
                <w:rFonts w:eastAsia="Calibri"/>
                <w:szCs w:val="22"/>
                <w:lang w:val="en-GB" w:eastAsia="en-US"/>
              </w:rPr>
              <w:t>examining unresolved issues and the consideration of different options on a draft legally binding instrument on GRs, focusing on:</w:t>
            </w:r>
            <w:r w:rsidRPr="00987C92">
              <w:rPr>
                <w:rFonts w:eastAsia="Calibri"/>
                <w:szCs w:val="22"/>
                <w:lang w:eastAsia="en-US"/>
              </w:rPr>
              <w:t xml:space="preserve"> </w:t>
            </w:r>
          </w:p>
          <w:p w14:paraId="53A3977C" w14:textId="77777777" w:rsidR="00987C92" w:rsidRPr="00987C92"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 xml:space="preserve">Beneficiaries </w:t>
            </w:r>
          </w:p>
          <w:p w14:paraId="45F75307" w14:textId="77777777" w:rsidR="00987C92" w:rsidRPr="00987C92"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Exceptions and Limitations</w:t>
            </w:r>
          </w:p>
          <w:p w14:paraId="3C390B5C" w14:textId="77777777" w:rsidR="00987C92" w:rsidRPr="00987C92"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Relationship with other instruments</w:t>
            </w:r>
          </w:p>
          <w:p w14:paraId="73759DC3" w14:textId="77777777" w:rsidR="00987C92" w:rsidRPr="00987C92"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Sanctions and Remedies</w:t>
            </w:r>
          </w:p>
          <w:p w14:paraId="02323DC6" w14:textId="77777777" w:rsidR="00987C92" w:rsidRPr="00FA7208"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Complementary Measures</w:t>
            </w:r>
          </w:p>
          <w:p w14:paraId="45039D78" w14:textId="77777777" w:rsidR="00987C92" w:rsidRPr="00987C92" w:rsidRDefault="00987C92" w:rsidP="00FA7208">
            <w:pPr>
              <w:autoSpaceDE w:val="0"/>
              <w:autoSpaceDN w:val="0"/>
              <w:adjustRightInd w:val="0"/>
              <w:spacing w:before="120" w:after="120" w:line="240" w:lineRule="exact"/>
              <w:ind w:left="1080"/>
              <w:contextualSpacing/>
              <w:rPr>
                <w:rFonts w:eastAsia="Calibri"/>
                <w:szCs w:val="22"/>
                <w:lang w:val="en-GB" w:eastAsia="en-US"/>
              </w:rPr>
            </w:pPr>
          </w:p>
          <w:p w14:paraId="4B7700A1" w14:textId="77777777" w:rsidR="004B5B96" w:rsidRDefault="00987C92" w:rsidP="00FA7208">
            <w:pPr>
              <w:spacing w:before="120" w:after="120" w:line="240" w:lineRule="exact"/>
              <w:rPr>
                <w:rFonts w:eastAsia="Calibri"/>
                <w:szCs w:val="22"/>
                <w:lang w:eastAsia="en-US"/>
              </w:rPr>
            </w:pPr>
            <w:r w:rsidRPr="00987C92">
              <w:rPr>
                <w:rFonts w:eastAsia="Calibri"/>
                <w:szCs w:val="22"/>
                <w:lang w:eastAsia="en-US"/>
              </w:rPr>
              <w:t>Duration: 10 days, prior to the 36</w:t>
            </w:r>
            <w:r w:rsidRPr="00987C92">
              <w:rPr>
                <w:rFonts w:eastAsia="Calibri"/>
                <w:szCs w:val="22"/>
                <w:vertAlign w:val="superscript"/>
                <w:lang w:eastAsia="en-US"/>
              </w:rPr>
              <w:t>th</w:t>
            </w:r>
            <w:r w:rsidRPr="00987C92">
              <w:rPr>
                <w:rFonts w:eastAsia="Calibri"/>
                <w:szCs w:val="22"/>
                <w:lang w:eastAsia="en-US"/>
              </w:rPr>
              <w:t xml:space="preserve"> session of the Committee </w:t>
            </w:r>
          </w:p>
          <w:p w14:paraId="2F5FFCCD" w14:textId="77777777" w:rsidR="00FA7208" w:rsidRDefault="00FA7208" w:rsidP="00FA7208">
            <w:pPr>
              <w:spacing w:before="120" w:after="120" w:line="240" w:lineRule="exact"/>
              <w:rPr>
                <w:rFonts w:eastAsia="Calibri"/>
                <w:szCs w:val="22"/>
                <w:lang w:eastAsia="en-US"/>
              </w:rPr>
            </w:pPr>
          </w:p>
          <w:p w14:paraId="5C78990A" w14:textId="0FE125E2" w:rsidR="00FA7208" w:rsidRPr="00987C92" w:rsidRDefault="00FA7208" w:rsidP="00FA7208">
            <w:pPr>
              <w:spacing w:before="120" w:after="120" w:line="240" w:lineRule="exact"/>
              <w:rPr>
                <w:rFonts w:eastAsia="Calibri"/>
                <w:szCs w:val="22"/>
                <w:lang w:eastAsia="en-US"/>
              </w:rPr>
            </w:pPr>
          </w:p>
        </w:tc>
      </w:tr>
      <w:tr w:rsidR="00987C92" w:rsidRPr="00987C92" w14:paraId="3F3CB8CA" w14:textId="77777777" w:rsidTr="00DD123C">
        <w:tc>
          <w:tcPr>
            <w:tcW w:w="2518" w:type="dxa"/>
            <w:shd w:val="clear" w:color="auto" w:fill="auto"/>
          </w:tcPr>
          <w:p w14:paraId="1C8943F5" w14:textId="053B4AAF"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lastRenderedPageBreak/>
              <w:t>May 2018</w:t>
            </w:r>
          </w:p>
          <w:p w14:paraId="5900D0C4" w14:textId="77777777" w:rsidR="00987C92" w:rsidRPr="00987C92" w:rsidRDefault="00987C92" w:rsidP="00FA7208">
            <w:pPr>
              <w:spacing w:before="120" w:after="120" w:line="240" w:lineRule="exact"/>
              <w:rPr>
                <w:rFonts w:eastAsia="Calibri"/>
                <w:szCs w:val="22"/>
                <w:lang w:eastAsia="en-US"/>
              </w:rPr>
            </w:pPr>
          </w:p>
        </w:tc>
        <w:tc>
          <w:tcPr>
            <w:tcW w:w="7028" w:type="dxa"/>
            <w:shd w:val="clear" w:color="auto" w:fill="auto"/>
          </w:tcPr>
          <w:p w14:paraId="0F55C2FA" w14:textId="77777777" w:rsidR="00987C92" w:rsidRPr="00987C92" w:rsidRDefault="00987C92" w:rsidP="00FA7208">
            <w:pPr>
              <w:spacing w:before="120" w:after="120" w:line="240" w:lineRule="exact"/>
              <w:rPr>
                <w:rFonts w:eastAsia="Calibri"/>
                <w:b/>
                <w:szCs w:val="22"/>
                <w:lang w:eastAsia="en-US"/>
              </w:rPr>
            </w:pPr>
            <w:r w:rsidRPr="00987C92">
              <w:rPr>
                <w:rFonts w:eastAsia="Calibri"/>
                <w:b/>
                <w:szCs w:val="22"/>
                <w:lang w:eastAsia="en-US"/>
              </w:rPr>
              <w:t>36</w:t>
            </w:r>
            <w:r w:rsidRPr="00987C92">
              <w:rPr>
                <w:rFonts w:eastAsia="Calibri"/>
                <w:b/>
                <w:szCs w:val="22"/>
                <w:vertAlign w:val="superscript"/>
                <w:lang w:eastAsia="en-US"/>
              </w:rPr>
              <w:t>th</w:t>
            </w:r>
            <w:r w:rsidRPr="00987C92">
              <w:rPr>
                <w:rFonts w:eastAsia="Calibri"/>
                <w:b/>
                <w:szCs w:val="22"/>
                <w:lang w:eastAsia="en-US"/>
              </w:rPr>
              <w:t xml:space="preserve"> Session of the Committee</w:t>
            </w:r>
          </w:p>
          <w:p w14:paraId="6825A724" w14:textId="77777777" w:rsidR="00987C92" w:rsidRPr="00FA7208" w:rsidRDefault="00987C92" w:rsidP="00FA7208">
            <w:pPr>
              <w:spacing w:before="120" w:after="120" w:line="240" w:lineRule="exact"/>
              <w:rPr>
                <w:rFonts w:eastAsia="Calibri"/>
                <w:szCs w:val="22"/>
                <w:lang w:eastAsia="en-US"/>
              </w:rPr>
            </w:pPr>
            <w:r w:rsidRPr="00987C92">
              <w:rPr>
                <w:rFonts w:eastAsia="Calibri"/>
                <w:szCs w:val="22"/>
                <w:lang w:eastAsia="en-US"/>
              </w:rPr>
              <w:t>Allocate sufficient time on the first working day of the Committee to report on the work of the EIWG and receive feedback.</w:t>
            </w:r>
          </w:p>
          <w:p w14:paraId="078A045F"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Continue work on examining unresolved and cross-cutting issues related to TK and TCEs, with a focus on narrowing gaps and considering options for a draft legal instrument.</w:t>
            </w:r>
          </w:p>
          <w:p w14:paraId="54D66064"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Duration: 5 days.</w:t>
            </w:r>
          </w:p>
        </w:tc>
      </w:tr>
      <w:tr w:rsidR="00987C92" w:rsidRPr="00987C92" w14:paraId="39DA7248" w14:textId="77777777" w:rsidTr="00DD123C">
        <w:tc>
          <w:tcPr>
            <w:tcW w:w="2518" w:type="dxa"/>
            <w:shd w:val="clear" w:color="auto" w:fill="auto"/>
          </w:tcPr>
          <w:p w14:paraId="1789FCC5"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September 2018</w:t>
            </w:r>
          </w:p>
        </w:tc>
        <w:tc>
          <w:tcPr>
            <w:tcW w:w="7028" w:type="dxa"/>
            <w:shd w:val="clear" w:color="auto" w:fill="auto"/>
          </w:tcPr>
          <w:p w14:paraId="23B2CDD0" w14:textId="77777777" w:rsidR="00987C92" w:rsidRPr="00987C92" w:rsidRDefault="00987C92" w:rsidP="00FA7208">
            <w:pPr>
              <w:autoSpaceDE w:val="0"/>
              <w:autoSpaceDN w:val="0"/>
              <w:adjustRightInd w:val="0"/>
              <w:spacing w:before="120" w:after="120" w:line="240" w:lineRule="exact"/>
              <w:rPr>
                <w:rFonts w:eastAsia="Calibri"/>
                <w:b/>
                <w:bCs/>
                <w:szCs w:val="22"/>
                <w:lang w:val="en-GB" w:eastAsia="en-US"/>
              </w:rPr>
            </w:pPr>
            <w:r w:rsidRPr="00987C92">
              <w:rPr>
                <w:rFonts w:eastAsia="Calibri"/>
                <w:b/>
                <w:bCs/>
                <w:szCs w:val="22"/>
                <w:lang w:val="en-GB" w:eastAsia="en-US"/>
              </w:rPr>
              <w:t xml:space="preserve">Third Session of the EIWG </w:t>
            </w:r>
          </w:p>
          <w:p w14:paraId="1D8E598A"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 xml:space="preserve">Continue work on </w:t>
            </w:r>
            <w:r w:rsidRPr="00987C92">
              <w:rPr>
                <w:rFonts w:eastAsia="Calibri"/>
                <w:szCs w:val="22"/>
                <w:lang w:val="en-GB" w:eastAsia="en-US"/>
              </w:rPr>
              <w:t>examining unresolved issues and the consideration of different options on a draft legally binding instrument on GRs, focusing on:</w:t>
            </w:r>
            <w:r w:rsidRPr="00987C92">
              <w:rPr>
                <w:rFonts w:eastAsia="Calibri"/>
                <w:szCs w:val="22"/>
                <w:lang w:eastAsia="en-US"/>
              </w:rPr>
              <w:t xml:space="preserve"> </w:t>
            </w:r>
          </w:p>
          <w:p w14:paraId="790DC6B7" w14:textId="77777777" w:rsidR="00987C92" w:rsidRPr="00987C92"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Relationship with International Agreements</w:t>
            </w:r>
          </w:p>
          <w:p w14:paraId="208D548A" w14:textId="77777777" w:rsidR="00987C92" w:rsidRPr="00987C92" w:rsidRDefault="00987C92" w:rsidP="00FA7208">
            <w:pPr>
              <w:numPr>
                <w:ilvl w:val="0"/>
                <w:numId w:val="8"/>
              </w:numPr>
              <w:autoSpaceDE w:val="0"/>
              <w:autoSpaceDN w:val="0"/>
              <w:adjustRightInd w:val="0"/>
              <w:spacing w:before="120" w:after="120" w:line="240" w:lineRule="exact"/>
              <w:contextualSpacing/>
              <w:rPr>
                <w:rFonts w:eastAsia="Calibri"/>
                <w:szCs w:val="22"/>
                <w:lang w:val="en-GB" w:eastAsia="en-US"/>
              </w:rPr>
            </w:pPr>
            <w:r w:rsidRPr="00987C92">
              <w:rPr>
                <w:rFonts w:eastAsia="Calibri"/>
                <w:szCs w:val="22"/>
                <w:lang w:val="en-GB" w:eastAsia="en-US"/>
              </w:rPr>
              <w:t>International Cooperation and Transboundary Cooperation</w:t>
            </w:r>
          </w:p>
          <w:p w14:paraId="039C7351" w14:textId="77777777" w:rsidR="00FA7208" w:rsidRPr="00FA7208" w:rsidRDefault="00987C92" w:rsidP="00FA7208">
            <w:pPr>
              <w:numPr>
                <w:ilvl w:val="0"/>
                <w:numId w:val="8"/>
              </w:numPr>
              <w:autoSpaceDE w:val="0"/>
              <w:autoSpaceDN w:val="0"/>
              <w:adjustRightInd w:val="0"/>
              <w:spacing w:before="120" w:after="120" w:line="240" w:lineRule="exact"/>
              <w:contextualSpacing/>
              <w:rPr>
                <w:rFonts w:eastAsia="Calibri"/>
                <w:szCs w:val="22"/>
                <w:lang w:eastAsia="en-US"/>
              </w:rPr>
            </w:pPr>
            <w:r w:rsidRPr="00987C92">
              <w:rPr>
                <w:rFonts w:eastAsia="Calibri"/>
                <w:szCs w:val="22"/>
                <w:lang w:val="en-GB" w:eastAsia="en-US"/>
              </w:rPr>
              <w:t>Technical Assistance, Cooperation and Capacity Building</w:t>
            </w:r>
          </w:p>
          <w:p w14:paraId="45FE80DE" w14:textId="77777777" w:rsidR="00FA7208" w:rsidRPr="00FA7208" w:rsidRDefault="00FA7208" w:rsidP="00FA7208">
            <w:pPr>
              <w:autoSpaceDE w:val="0"/>
              <w:autoSpaceDN w:val="0"/>
              <w:adjustRightInd w:val="0"/>
              <w:spacing w:before="120" w:after="120" w:line="240" w:lineRule="exact"/>
              <w:ind w:left="720"/>
              <w:contextualSpacing/>
              <w:rPr>
                <w:rFonts w:eastAsia="Calibri"/>
                <w:szCs w:val="22"/>
                <w:lang w:eastAsia="en-US"/>
              </w:rPr>
            </w:pPr>
          </w:p>
          <w:p w14:paraId="107215EC" w14:textId="77777777" w:rsidR="00FA7208" w:rsidRDefault="00987C92" w:rsidP="00FA7208">
            <w:pPr>
              <w:autoSpaceDE w:val="0"/>
              <w:autoSpaceDN w:val="0"/>
              <w:adjustRightInd w:val="0"/>
              <w:spacing w:before="120" w:after="120" w:line="240" w:lineRule="exact"/>
              <w:contextualSpacing/>
              <w:rPr>
                <w:rFonts w:eastAsia="Calibri"/>
                <w:szCs w:val="22"/>
                <w:lang w:eastAsia="en-US"/>
              </w:rPr>
            </w:pPr>
            <w:r w:rsidRPr="00987C92">
              <w:rPr>
                <w:rFonts w:eastAsia="Calibri"/>
                <w:szCs w:val="22"/>
                <w:lang w:eastAsia="en-US"/>
              </w:rPr>
              <w:t>Duration: 5 days, prior to the 37</w:t>
            </w:r>
            <w:r w:rsidRPr="00987C92">
              <w:rPr>
                <w:rFonts w:eastAsia="Calibri"/>
                <w:szCs w:val="22"/>
                <w:vertAlign w:val="superscript"/>
                <w:lang w:eastAsia="en-US"/>
              </w:rPr>
              <w:t>th</w:t>
            </w:r>
            <w:r w:rsidRPr="00987C92">
              <w:rPr>
                <w:rFonts w:eastAsia="Calibri"/>
                <w:szCs w:val="22"/>
                <w:lang w:eastAsia="en-US"/>
              </w:rPr>
              <w:t xml:space="preserve"> session of the Committee</w:t>
            </w:r>
          </w:p>
          <w:p w14:paraId="01C9E81E" w14:textId="2D4C2F47" w:rsidR="00FA7208" w:rsidRPr="00987C92" w:rsidRDefault="00FA7208" w:rsidP="00FA7208">
            <w:pPr>
              <w:autoSpaceDE w:val="0"/>
              <w:autoSpaceDN w:val="0"/>
              <w:adjustRightInd w:val="0"/>
              <w:spacing w:before="120" w:after="120" w:line="240" w:lineRule="exact"/>
              <w:contextualSpacing/>
              <w:rPr>
                <w:rFonts w:eastAsia="Calibri"/>
                <w:szCs w:val="22"/>
                <w:lang w:eastAsia="en-US"/>
              </w:rPr>
            </w:pPr>
          </w:p>
        </w:tc>
      </w:tr>
      <w:tr w:rsidR="00987C92" w:rsidRPr="00987C92" w14:paraId="551DB43B" w14:textId="77777777" w:rsidTr="00DD123C">
        <w:tc>
          <w:tcPr>
            <w:tcW w:w="2518" w:type="dxa"/>
            <w:shd w:val="clear" w:color="auto" w:fill="auto"/>
          </w:tcPr>
          <w:p w14:paraId="0C5F1485"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September 2018</w:t>
            </w:r>
          </w:p>
        </w:tc>
        <w:tc>
          <w:tcPr>
            <w:tcW w:w="7028" w:type="dxa"/>
            <w:shd w:val="clear" w:color="auto" w:fill="auto"/>
          </w:tcPr>
          <w:p w14:paraId="36A2ED10" w14:textId="77777777" w:rsidR="00987C92" w:rsidRPr="00987C92" w:rsidRDefault="00987C92" w:rsidP="00FA7208">
            <w:pPr>
              <w:spacing w:before="120" w:after="120" w:line="240" w:lineRule="exact"/>
              <w:rPr>
                <w:rFonts w:eastAsia="Calibri"/>
                <w:b/>
                <w:szCs w:val="22"/>
                <w:lang w:eastAsia="en-US"/>
              </w:rPr>
            </w:pPr>
            <w:r w:rsidRPr="00987C92">
              <w:rPr>
                <w:rFonts w:eastAsia="Calibri"/>
                <w:b/>
                <w:szCs w:val="22"/>
                <w:lang w:eastAsia="en-US"/>
              </w:rPr>
              <w:t>37</w:t>
            </w:r>
            <w:r w:rsidRPr="00987C92">
              <w:rPr>
                <w:rFonts w:eastAsia="Calibri"/>
                <w:b/>
                <w:szCs w:val="22"/>
                <w:vertAlign w:val="superscript"/>
                <w:lang w:eastAsia="en-US"/>
              </w:rPr>
              <w:t>th</w:t>
            </w:r>
            <w:r w:rsidRPr="00987C92">
              <w:rPr>
                <w:rFonts w:eastAsia="Calibri"/>
                <w:b/>
                <w:szCs w:val="22"/>
                <w:lang w:eastAsia="en-US"/>
              </w:rPr>
              <w:t xml:space="preserve"> Session of the Committee</w:t>
            </w:r>
          </w:p>
          <w:p w14:paraId="236D41E0"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 xml:space="preserve">The Committee shall consider the work of the </w:t>
            </w:r>
            <w:proofErr w:type="gramStart"/>
            <w:r w:rsidRPr="00987C92">
              <w:rPr>
                <w:rFonts w:eastAsia="Calibri"/>
                <w:szCs w:val="22"/>
                <w:lang w:eastAsia="en-US"/>
              </w:rPr>
              <w:t>EIWG,</w:t>
            </w:r>
            <w:proofErr w:type="gramEnd"/>
            <w:r w:rsidRPr="00987C92">
              <w:rPr>
                <w:rFonts w:eastAsia="Calibri"/>
                <w:szCs w:val="22"/>
                <w:lang w:eastAsia="en-US"/>
              </w:rPr>
              <w:t xml:space="preserve"> take stock stake of progress made, with a view to concluding Committee discussions on a draft legal instrument GRs.</w:t>
            </w:r>
          </w:p>
          <w:p w14:paraId="3184F7A8"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Duration: 5 days</w:t>
            </w:r>
          </w:p>
        </w:tc>
      </w:tr>
      <w:tr w:rsidR="00987C92" w:rsidRPr="00987C92" w14:paraId="5E6D0D5F" w14:textId="77777777" w:rsidTr="00DD123C">
        <w:tc>
          <w:tcPr>
            <w:tcW w:w="2518" w:type="dxa"/>
            <w:shd w:val="clear" w:color="auto" w:fill="auto"/>
          </w:tcPr>
          <w:p w14:paraId="6F983138"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April 2019</w:t>
            </w:r>
          </w:p>
        </w:tc>
        <w:tc>
          <w:tcPr>
            <w:tcW w:w="7028" w:type="dxa"/>
            <w:shd w:val="clear" w:color="auto" w:fill="auto"/>
          </w:tcPr>
          <w:p w14:paraId="3CA51FDD"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Preparatory Committee for a Diplomatic Conference on Genetic Resources</w:t>
            </w:r>
          </w:p>
          <w:p w14:paraId="73AA1178" w14:textId="4BAC8A6E"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Duration: 5 days</w:t>
            </w:r>
          </w:p>
        </w:tc>
      </w:tr>
      <w:tr w:rsidR="00987C92" w:rsidRPr="00987C92" w14:paraId="7D75B979" w14:textId="77777777" w:rsidTr="00DD123C">
        <w:tc>
          <w:tcPr>
            <w:tcW w:w="2518" w:type="dxa"/>
            <w:shd w:val="clear" w:color="auto" w:fill="auto"/>
          </w:tcPr>
          <w:p w14:paraId="18A6DB31"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April 2019</w:t>
            </w:r>
          </w:p>
        </w:tc>
        <w:tc>
          <w:tcPr>
            <w:tcW w:w="7028" w:type="dxa"/>
            <w:shd w:val="clear" w:color="auto" w:fill="auto"/>
          </w:tcPr>
          <w:p w14:paraId="5433ACEF"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Diplomatic Conference for the adoption of an international legally binding instrument for the effective and balanced protection of Genetic Resources</w:t>
            </w:r>
          </w:p>
          <w:p w14:paraId="5D7E2743"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Duration: 18 days</w:t>
            </w:r>
          </w:p>
          <w:p w14:paraId="4BB51865"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 xml:space="preserve">Venue: Africa </w:t>
            </w:r>
          </w:p>
        </w:tc>
      </w:tr>
      <w:tr w:rsidR="00987C92" w:rsidRPr="00987C92" w14:paraId="3386F015" w14:textId="77777777" w:rsidTr="00DD123C">
        <w:tc>
          <w:tcPr>
            <w:tcW w:w="2518" w:type="dxa"/>
            <w:shd w:val="clear" w:color="auto" w:fill="auto"/>
          </w:tcPr>
          <w:p w14:paraId="28594E8B" w14:textId="77777777"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October 2019</w:t>
            </w:r>
          </w:p>
        </w:tc>
        <w:tc>
          <w:tcPr>
            <w:tcW w:w="7028" w:type="dxa"/>
            <w:shd w:val="clear" w:color="auto" w:fill="auto"/>
          </w:tcPr>
          <w:p w14:paraId="4448AFA4" w14:textId="35478464" w:rsidR="00987C92" w:rsidRPr="00987C92" w:rsidRDefault="00987C92" w:rsidP="00FA7208">
            <w:pPr>
              <w:spacing w:before="120" w:after="120" w:line="240" w:lineRule="exact"/>
              <w:rPr>
                <w:rFonts w:eastAsia="Calibri"/>
                <w:szCs w:val="22"/>
                <w:lang w:eastAsia="en-US"/>
              </w:rPr>
            </w:pPr>
            <w:r w:rsidRPr="00987C92">
              <w:rPr>
                <w:rFonts w:eastAsia="Calibri"/>
                <w:szCs w:val="22"/>
                <w:lang w:eastAsia="en-US"/>
              </w:rPr>
              <w:t>General Assembly decision on the work program of the Committee concerning TK and TCEs.</w:t>
            </w:r>
          </w:p>
        </w:tc>
      </w:tr>
    </w:tbl>
    <w:p w14:paraId="5AB536BC" w14:textId="77777777" w:rsidR="00987C92" w:rsidRPr="00987C92" w:rsidRDefault="00987C92" w:rsidP="00987C92">
      <w:pPr>
        <w:autoSpaceDE w:val="0"/>
        <w:autoSpaceDN w:val="0"/>
        <w:adjustRightInd w:val="0"/>
        <w:rPr>
          <w:rFonts w:eastAsia="Calibri"/>
          <w:szCs w:val="22"/>
          <w:lang w:val="en-GB" w:eastAsia="en-US"/>
        </w:rPr>
      </w:pPr>
    </w:p>
    <w:p w14:paraId="17B3A8BE" w14:textId="77777777" w:rsidR="00EE7952" w:rsidRPr="00987C92" w:rsidRDefault="00EE7952" w:rsidP="00987C92">
      <w:pPr>
        <w:autoSpaceDE w:val="0"/>
        <w:autoSpaceDN w:val="0"/>
        <w:adjustRightInd w:val="0"/>
        <w:rPr>
          <w:rFonts w:eastAsia="Calibri"/>
          <w:szCs w:val="22"/>
          <w:lang w:eastAsia="en-US"/>
        </w:rPr>
      </w:pPr>
    </w:p>
    <w:p w14:paraId="625D4C79" w14:textId="77777777" w:rsidR="00FD1C08" w:rsidRDefault="00FD1C08" w:rsidP="00987C92"/>
    <w:p w14:paraId="304BBACA" w14:textId="77777777" w:rsidR="00FD1C08" w:rsidRPr="002671EF" w:rsidRDefault="00FD1C08" w:rsidP="00987C92">
      <w:pPr>
        <w:ind w:left="5534"/>
        <w:contextualSpacing/>
        <w:rPr>
          <w:szCs w:val="22"/>
          <w:lang w:eastAsia="en-US"/>
        </w:rPr>
      </w:pPr>
      <w:r w:rsidRPr="001C729C">
        <w:rPr>
          <w:szCs w:val="22"/>
          <w:lang w:eastAsia="en-US"/>
        </w:rPr>
        <w:t>[End of Annex and of document]</w:t>
      </w:r>
    </w:p>
    <w:sectPr w:rsidR="00FD1C08" w:rsidRPr="002671EF" w:rsidSect="00D70B35">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B4F88" w14:textId="77777777" w:rsidR="00DE0EAD" w:rsidRDefault="00DE0EAD">
      <w:r>
        <w:separator/>
      </w:r>
    </w:p>
  </w:endnote>
  <w:endnote w:type="continuationSeparator" w:id="0">
    <w:p w14:paraId="0FD59C92" w14:textId="77777777" w:rsidR="00DE0EAD" w:rsidRDefault="00DE0EAD" w:rsidP="003B38C1">
      <w:r>
        <w:separator/>
      </w:r>
    </w:p>
    <w:p w14:paraId="10E44CBB" w14:textId="77777777" w:rsidR="00DE0EAD" w:rsidRPr="003B38C1" w:rsidRDefault="00DE0EAD" w:rsidP="003B38C1">
      <w:pPr>
        <w:spacing w:after="60"/>
        <w:rPr>
          <w:sz w:val="17"/>
        </w:rPr>
      </w:pPr>
      <w:r>
        <w:rPr>
          <w:sz w:val="17"/>
        </w:rPr>
        <w:t>[Endnote continued from previous page]</w:t>
      </w:r>
    </w:p>
  </w:endnote>
  <w:endnote w:type="continuationNotice" w:id="1">
    <w:p w14:paraId="09FE14B2" w14:textId="77777777" w:rsidR="00DE0EAD" w:rsidRPr="003B38C1" w:rsidRDefault="00DE0E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D3ECB" w14:textId="77777777" w:rsidR="00254057" w:rsidRDefault="00254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D6A77" w14:textId="77777777" w:rsidR="00254057" w:rsidRDefault="00254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5783" w14:textId="77777777" w:rsidR="00254057" w:rsidRDefault="00254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148" w14:textId="77777777" w:rsidR="00DE0EAD" w:rsidRDefault="00DE0EAD">
      <w:r>
        <w:separator/>
      </w:r>
    </w:p>
  </w:footnote>
  <w:footnote w:type="continuationSeparator" w:id="0">
    <w:p w14:paraId="22083A0B" w14:textId="77777777" w:rsidR="00DE0EAD" w:rsidRDefault="00DE0EAD" w:rsidP="008B60B2">
      <w:r>
        <w:separator/>
      </w:r>
    </w:p>
    <w:p w14:paraId="30A78D31" w14:textId="77777777" w:rsidR="00DE0EAD" w:rsidRPr="00ED77FB" w:rsidRDefault="00DE0EAD" w:rsidP="008B60B2">
      <w:pPr>
        <w:spacing w:after="60"/>
        <w:rPr>
          <w:sz w:val="17"/>
          <w:szCs w:val="17"/>
        </w:rPr>
      </w:pPr>
      <w:r w:rsidRPr="00ED77FB">
        <w:rPr>
          <w:sz w:val="17"/>
          <w:szCs w:val="17"/>
        </w:rPr>
        <w:t>[Footnote continued from previous page]</w:t>
      </w:r>
    </w:p>
  </w:footnote>
  <w:footnote w:type="continuationNotice" w:id="1">
    <w:p w14:paraId="07AD66AE" w14:textId="77777777" w:rsidR="00DE0EAD" w:rsidRPr="00ED77FB" w:rsidRDefault="00DE0E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B379C" w14:textId="77777777" w:rsidR="00254057" w:rsidRDefault="00254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AE0E" w14:textId="77777777" w:rsidR="00D70B35" w:rsidRPr="00D13C08" w:rsidRDefault="00D70B35" w:rsidP="00477D6B">
    <w:pPr>
      <w:jc w:val="right"/>
      <w:rPr>
        <w:szCs w:val="22"/>
      </w:rPr>
    </w:pPr>
    <w:r w:rsidRPr="00D13C08">
      <w:rPr>
        <w:caps/>
        <w:szCs w:val="22"/>
      </w:rPr>
      <w:t>WO/GA/4</w:t>
    </w:r>
    <w:r>
      <w:rPr>
        <w:caps/>
        <w:szCs w:val="22"/>
      </w:rPr>
      <w:t>7/XX</w:t>
    </w:r>
  </w:p>
  <w:p w14:paraId="3A1A227B" w14:textId="77777777" w:rsidR="00D70B35" w:rsidRPr="00D13C08" w:rsidRDefault="00D70B35"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8D6BC4">
      <w:rPr>
        <w:noProof/>
        <w:szCs w:val="22"/>
      </w:rPr>
      <w:t>4</w:t>
    </w:r>
    <w:r w:rsidRPr="00D13C08">
      <w:rPr>
        <w:szCs w:val="22"/>
      </w:rPr>
      <w:fldChar w:fldCharType="end"/>
    </w:r>
  </w:p>
  <w:p w14:paraId="17A9A8E5" w14:textId="77777777" w:rsidR="00D70B35" w:rsidRDefault="00D70B3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29475" w14:textId="77777777" w:rsidR="00254057" w:rsidRDefault="002540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B351" w14:textId="77777777" w:rsidR="00EC4E49" w:rsidRDefault="00DE0EAD" w:rsidP="00477D6B">
    <w:pPr>
      <w:jc w:val="right"/>
    </w:pPr>
    <w:bookmarkStart w:id="6" w:name="Code2"/>
    <w:bookmarkEnd w:id="6"/>
    <w:r w:rsidRPr="00254057">
      <w:t>WO/GA/49/</w:t>
    </w:r>
    <w:r w:rsidR="00254057">
      <w:t>17</w:t>
    </w:r>
  </w:p>
  <w:p w14:paraId="22A422B0" w14:textId="77777777" w:rsidR="00EC4E49" w:rsidRDefault="00D70B35"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FC59B6">
      <w:rPr>
        <w:noProof/>
      </w:rPr>
      <w:t>4</w:t>
    </w:r>
    <w:r w:rsidR="00EC4E49">
      <w:fldChar w:fldCharType="end"/>
    </w:r>
  </w:p>
  <w:p w14:paraId="0DD381DF" w14:textId="77777777" w:rsidR="008A134B" w:rsidRDefault="008A134B"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A341" w14:textId="77777777" w:rsidR="00D70B35" w:rsidRDefault="00D70B35" w:rsidP="00D70B35">
    <w:pPr>
      <w:pStyle w:val="Header"/>
      <w:jc w:val="right"/>
    </w:pPr>
    <w:r w:rsidRPr="00254057">
      <w:t>WO/GA/49/</w:t>
    </w:r>
    <w:r w:rsidR="00254057">
      <w:t>17</w:t>
    </w:r>
  </w:p>
  <w:p w14:paraId="7388B606" w14:textId="77777777" w:rsidR="00D70B35" w:rsidRDefault="00D70B35" w:rsidP="00D70B35">
    <w:pPr>
      <w:pStyle w:val="Header"/>
      <w:jc w:val="right"/>
    </w:pPr>
    <w:r>
      <w:t>ANNEX</w:t>
    </w:r>
  </w:p>
  <w:p w14:paraId="5EBBF3F9" w14:textId="77777777" w:rsidR="00D70B35" w:rsidRDefault="00D70B35" w:rsidP="00D70B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704FD5"/>
    <w:multiLevelType w:val="hybridMultilevel"/>
    <w:tmpl w:val="E4A88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425DAD"/>
    <w:multiLevelType w:val="hybridMultilevel"/>
    <w:tmpl w:val="07602EE6"/>
    <w:lvl w:ilvl="0" w:tplc="10BC53C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570B23"/>
    <w:multiLevelType w:val="hybridMultilevel"/>
    <w:tmpl w:val="BCC8F33A"/>
    <w:lvl w:ilvl="0" w:tplc="ACD6069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2F4A94"/>
    <w:multiLevelType w:val="hybridMultilevel"/>
    <w:tmpl w:val="A7526C36"/>
    <w:lvl w:ilvl="0" w:tplc="31C80DA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1"/>
  </w:num>
  <w:num w:numId="8">
    <w:abstractNumId w:val="3"/>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AD"/>
    <w:rsid w:val="00043CAA"/>
    <w:rsid w:val="00075432"/>
    <w:rsid w:val="000968ED"/>
    <w:rsid w:val="000B45EE"/>
    <w:rsid w:val="000F5E56"/>
    <w:rsid w:val="001362EE"/>
    <w:rsid w:val="001647D5"/>
    <w:rsid w:val="001825D8"/>
    <w:rsid w:val="001832A6"/>
    <w:rsid w:val="0021217E"/>
    <w:rsid w:val="00254057"/>
    <w:rsid w:val="002634C4"/>
    <w:rsid w:val="002928D3"/>
    <w:rsid w:val="002F1FE6"/>
    <w:rsid w:val="002F4E68"/>
    <w:rsid w:val="00312F7F"/>
    <w:rsid w:val="003245D4"/>
    <w:rsid w:val="00361450"/>
    <w:rsid w:val="003673CF"/>
    <w:rsid w:val="003845C1"/>
    <w:rsid w:val="003A6F89"/>
    <w:rsid w:val="003B38C1"/>
    <w:rsid w:val="003D171D"/>
    <w:rsid w:val="00423E3E"/>
    <w:rsid w:val="00427AF4"/>
    <w:rsid w:val="004647DA"/>
    <w:rsid w:val="00474062"/>
    <w:rsid w:val="00477D6B"/>
    <w:rsid w:val="004B5B96"/>
    <w:rsid w:val="005019FF"/>
    <w:rsid w:val="00513424"/>
    <w:rsid w:val="0053057A"/>
    <w:rsid w:val="00560A29"/>
    <w:rsid w:val="005C6649"/>
    <w:rsid w:val="00605827"/>
    <w:rsid w:val="00646050"/>
    <w:rsid w:val="006713CA"/>
    <w:rsid w:val="00676C5C"/>
    <w:rsid w:val="00684BB5"/>
    <w:rsid w:val="007D1613"/>
    <w:rsid w:val="007E4C0E"/>
    <w:rsid w:val="0081310A"/>
    <w:rsid w:val="00895F7C"/>
    <w:rsid w:val="008A134B"/>
    <w:rsid w:val="008A2CB2"/>
    <w:rsid w:val="008B2CC1"/>
    <w:rsid w:val="008B60B2"/>
    <w:rsid w:val="008D0F91"/>
    <w:rsid w:val="008D6BC4"/>
    <w:rsid w:val="0090731E"/>
    <w:rsid w:val="00916EE2"/>
    <w:rsid w:val="00966A22"/>
    <w:rsid w:val="0096722F"/>
    <w:rsid w:val="00980843"/>
    <w:rsid w:val="00987C92"/>
    <w:rsid w:val="009E2791"/>
    <w:rsid w:val="009E3F6F"/>
    <w:rsid w:val="009F499F"/>
    <w:rsid w:val="00A30352"/>
    <w:rsid w:val="00A42DAF"/>
    <w:rsid w:val="00A45BD8"/>
    <w:rsid w:val="00A83646"/>
    <w:rsid w:val="00A869B7"/>
    <w:rsid w:val="00AC205C"/>
    <w:rsid w:val="00AF0A6B"/>
    <w:rsid w:val="00B05A69"/>
    <w:rsid w:val="00B85C60"/>
    <w:rsid w:val="00B9734B"/>
    <w:rsid w:val="00BA30E2"/>
    <w:rsid w:val="00C11BFE"/>
    <w:rsid w:val="00C5068F"/>
    <w:rsid w:val="00C86D74"/>
    <w:rsid w:val="00CA5DC5"/>
    <w:rsid w:val="00CD04F1"/>
    <w:rsid w:val="00D45252"/>
    <w:rsid w:val="00D70B35"/>
    <w:rsid w:val="00D71B4D"/>
    <w:rsid w:val="00D93D55"/>
    <w:rsid w:val="00DA35E7"/>
    <w:rsid w:val="00DE0EAD"/>
    <w:rsid w:val="00E15015"/>
    <w:rsid w:val="00E335FE"/>
    <w:rsid w:val="00EA7D6E"/>
    <w:rsid w:val="00EB6278"/>
    <w:rsid w:val="00EC4E49"/>
    <w:rsid w:val="00ED77FB"/>
    <w:rsid w:val="00EE45FA"/>
    <w:rsid w:val="00EE7952"/>
    <w:rsid w:val="00F019EC"/>
    <w:rsid w:val="00F10ED0"/>
    <w:rsid w:val="00F66152"/>
    <w:rsid w:val="00F70BF3"/>
    <w:rsid w:val="00FA7208"/>
    <w:rsid w:val="00FC59B6"/>
    <w:rsid w:val="00FD1C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F4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0EAD"/>
    <w:rPr>
      <w:rFonts w:ascii="Tahoma" w:hAnsi="Tahoma" w:cs="Tahoma"/>
      <w:sz w:val="16"/>
      <w:szCs w:val="16"/>
    </w:rPr>
  </w:style>
  <w:style w:type="character" w:customStyle="1" w:styleId="BalloonTextChar">
    <w:name w:val="Balloon Text Char"/>
    <w:basedOn w:val="DefaultParagraphFont"/>
    <w:link w:val="BalloonText"/>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HeaderChar">
    <w:name w:val="Header Char"/>
    <w:link w:val="Header"/>
    <w:uiPriority w:val="99"/>
    <w:locked/>
    <w:rsid w:val="00D70B35"/>
    <w:rPr>
      <w:rFonts w:ascii="Arial" w:eastAsia="SimSun" w:hAnsi="Arial" w:cs="Arial"/>
      <w:sz w:val="22"/>
      <w:lang w:val="en-US" w:eastAsia="zh-CN"/>
    </w:rPr>
  </w:style>
  <w:style w:type="paragraph" w:styleId="ListParagraph">
    <w:name w:val="List Paragraph"/>
    <w:basedOn w:val="Normal"/>
    <w:uiPriority w:val="34"/>
    <w:qFormat/>
    <w:rsid w:val="00EE7952"/>
    <w:pPr>
      <w:spacing w:after="200" w:line="276" w:lineRule="auto"/>
      <w:ind w:left="720"/>
      <w:contextualSpacing/>
    </w:pPr>
    <w:rPr>
      <w:rFonts w:ascii="Calibri" w:eastAsia="Calibri" w:hAnsi="Calibri" w:cs="Times New Roman"/>
      <w:szCs w:val="22"/>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E0EAD"/>
    <w:rPr>
      <w:rFonts w:ascii="Tahoma" w:hAnsi="Tahoma" w:cs="Tahoma"/>
      <w:sz w:val="16"/>
      <w:szCs w:val="16"/>
    </w:rPr>
  </w:style>
  <w:style w:type="character" w:customStyle="1" w:styleId="BalloonTextChar">
    <w:name w:val="Balloon Text Char"/>
    <w:basedOn w:val="DefaultParagraphFont"/>
    <w:link w:val="BalloonText"/>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HeaderChar">
    <w:name w:val="Header Char"/>
    <w:link w:val="Header"/>
    <w:uiPriority w:val="99"/>
    <w:locked/>
    <w:rsid w:val="00D70B35"/>
    <w:rPr>
      <w:rFonts w:ascii="Arial" w:eastAsia="SimSun" w:hAnsi="Arial" w:cs="Arial"/>
      <w:sz w:val="22"/>
      <w:lang w:val="en-US" w:eastAsia="zh-CN"/>
    </w:rPr>
  </w:style>
  <w:style w:type="paragraph" w:styleId="ListParagraph">
    <w:name w:val="List Paragraph"/>
    <w:basedOn w:val="Normal"/>
    <w:uiPriority w:val="34"/>
    <w:qFormat/>
    <w:rsid w:val="00EE7952"/>
    <w:pPr>
      <w:spacing w:after="200" w:line="276" w:lineRule="auto"/>
      <w:ind w:left="720"/>
      <w:contextualSpacing/>
    </w:pPr>
    <w:rPr>
      <w:rFonts w:ascii="Calibri" w:eastAsia="Calibri" w:hAnsi="Calibri" w:cs="Times New Roman"/>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6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D6F8-6782-498E-9F08-705DD3C2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10</TotalTime>
  <Pages>5</Pages>
  <Words>1268</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JIAO Fei</dc:creator>
  <cp:lastModifiedBy>MARIN-CUDRAZ DAVI Nicoletta</cp:lastModifiedBy>
  <cp:revision>5</cp:revision>
  <cp:lastPrinted>2017-08-01T09:39:00Z</cp:lastPrinted>
  <dcterms:created xsi:type="dcterms:W3CDTF">2017-08-01T09:06:00Z</dcterms:created>
  <dcterms:modified xsi:type="dcterms:W3CDTF">2017-08-02T14:10:00Z</dcterms:modified>
</cp:coreProperties>
</file>