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94B3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94B30" w:rsidP="00916EE2">
            <w:pPr>
              <w:jc w:val="right"/>
              <w:rPr>
                <w:rFonts w:ascii="Arial Black" w:hAnsi="Arial Black"/>
                <w:caps/>
                <w:sz w:val="15"/>
              </w:rPr>
            </w:pPr>
            <w:r>
              <w:rPr>
                <w:rFonts w:ascii="Arial Black" w:hAnsi="Arial Black"/>
                <w:caps/>
                <w:sz w:val="15"/>
              </w:rPr>
              <w:t>WO/GA/48/</w:t>
            </w:r>
            <w:bookmarkStart w:id="0" w:name="Code"/>
            <w:bookmarkEnd w:id="0"/>
            <w:r w:rsidR="00854147">
              <w:rPr>
                <w:rFonts w:ascii="Arial Black" w:hAnsi="Arial Black"/>
                <w:caps/>
                <w:sz w:val="15"/>
              </w:rPr>
              <w:t>6</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854147">
              <w:rPr>
                <w:rFonts w:ascii="Arial Black" w:hAnsi="Arial Black"/>
                <w:caps/>
                <w:sz w:val="15"/>
              </w:rPr>
              <w:t xml:space="preserve">  ENGLISH</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7777C">
            <w:pPr>
              <w:jc w:val="right"/>
              <w:rPr>
                <w:rFonts w:ascii="Arial Black" w:hAnsi="Arial Black"/>
                <w:caps/>
                <w:sz w:val="15"/>
              </w:rPr>
            </w:pPr>
            <w:r w:rsidRPr="0090731E">
              <w:rPr>
                <w:rFonts w:ascii="Arial Black" w:hAnsi="Arial Black"/>
                <w:caps/>
                <w:sz w:val="15"/>
              </w:rPr>
              <w:t>DATE:</w:t>
            </w:r>
            <w:r w:rsidR="00854147">
              <w:rPr>
                <w:rFonts w:ascii="Arial Black" w:hAnsi="Arial Black"/>
                <w:caps/>
                <w:sz w:val="15"/>
              </w:rPr>
              <w:t xml:space="preserve"> </w:t>
            </w:r>
            <w:r w:rsidR="0047777C">
              <w:rPr>
                <w:rFonts w:ascii="Arial Black" w:hAnsi="Arial Black"/>
                <w:caps/>
                <w:sz w:val="15"/>
              </w:rPr>
              <w:t xml:space="preserve"> JULY 4</w:t>
            </w:r>
            <w:r w:rsidR="00854147">
              <w:rPr>
                <w:rFonts w:ascii="Arial Black" w:hAnsi="Arial Black"/>
                <w:caps/>
                <w:sz w:val="15"/>
              </w:rPr>
              <w:t>, 2016</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A3EDA" w:rsidP="008B2CC1">
      <w:pPr>
        <w:rPr>
          <w:b/>
          <w:sz w:val="28"/>
          <w:szCs w:val="28"/>
        </w:rPr>
      </w:pPr>
      <w:r w:rsidRPr="004A3EDA">
        <w:rPr>
          <w:b/>
          <w:sz w:val="28"/>
          <w:szCs w:val="28"/>
        </w:rPr>
        <w:t>WIPO General Assembly</w:t>
      </w:r>
    </w:p>
    <w:p w:rsidR="003845C1" w:rsidRDefault="003845C1" w:rsidP="003845C1"/>
    <w:p w:rsidR="003845C1" w:rsidRDefault="003845C1" w:rsidP="003845C1"/>
    <w:p w:rsidR="008B2CC1" w:rsidRPr="003845C1" w:rsidRDefault="001E745D" w:rsidP="008B2CC1">
      <w:pPr>
        <w:rPr>
          <w:b/>
          <w:sz w:val="24"/>
          <w:szCs w:val="24"/>
        </w:rPr>
      </w:pPr>
      <w:r>
        <w:rPr>
          <w:b/>
          <w:sz w:val="24"/>
          <w:szCs w:val="24"/>
        </w:rPr>
        <w:t>Forty-Eighth (26</w:t>
      </w:r>
      <w:r>
        <w:rPr>
          <w:b/>
          <w:sz w:val="24"/>
          <w:szCs w:val="24"/>
          <w:vertAlign w:val="superscript"/>
        </w:rPr>
        <w:t>th</w:t>
      </w:r>
      <w:r>
        <w:rPr>
          <w:b/>
          <w:sz w:val="24"/>
          <w:szCs w:val="24"/>
        </w:rPr>
        <w:t xml:space="preserve"> Extraordinary) Session</w:t>
      </w:r>
    </w:p>
    <w:p w:rsidR="008B2CC1" w:rsidRPr="003845C1" w:rsidRDefault="004A3EDA" w:rsidP="008B2CC1">
      <w:pPr>
        <w:rPr>
          <w:b/>
          <w:sz w:val="24"/>
          <w:szCs w:val="24"/>
        </w:rPr>
      </w:pPr>
      <w:r w:rsidRPr="004A3EDA">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094874" w:rsidRPr="003845C1" w:rsidRDefault="00094874" w:rsidP="00094874">
      <w:pPr>
        <w:rPr>
          <w:caps/>
          <w:sz w:val="24"/>
        </w:rPr>
      </w:pPr>
      <w:bookmarkStart w:id="3" w:name="TitleOfDoc"/>
      <w:bookmarkEnd w:id="3"/>
      <w:r>
        <w:t>MATTERS CONCERNING THE CONVENING OF A DIPLOMATIC CONFERENCE FOR THE ADOPTION OF A DESIGN LAW TREATY (DLT)</w:t>
      </w:r>
    </w:p>
    <w:p w:rsidR="008B2CC1" w:rsidRPr="003845C1" w:rsidRDefault="008B2CC1" w:rsidP="008B2CC1">
      <w:pPr>
        <w:rPr>
          <w:caps/>
          <w:sz w:val="24"/>
        </w:rPr>
      </w:pPr>
    </w:p>
    <w:p w:rsidR="008B2CC1" w:rsidRPr="008B2CC1" w:rsidRDefault="00094874" w:rsidP="008B2CC1">
      <w:r>
        <w:rPr>
          <w:i/>
        </w:rPr>
        <w:t>Document prepared by the Secretariat</w:t>
      </w:r>
    </w:p>
    <w:p w:rsidR="008B2CC1" w:rsidRPr="008B2CC1" w:rsidRDefault="008B2CC1" w:rsidP="008B2CC1">
      <w:pPr>
        <w:rPr>
          <w:i/>
        </w:rPr>
      </w:pPr>
      <w:bookmarkStart w:id="4" w:name="Prepared"/>
      <w:bookmarkEnd w:id="4"/>
    </w:p>
    <w:p w:rsidR="00AC205C" w:rsidRDefault="00AC205C"/>
    <w:p w:rsidR="000F5E56" w:rsidRDefault="000F5E56"/>
    <w:p w:rsidR="00094874" w:rsidRDefault="00094874"/>
    <w:p w:rsidR="002825F2" w:rsidRDefault="002825F2"/>
    <w:p w:rsidR="00094874" w:rsidRDefault="00766CE3" w:rsidP="00094874">
      <w:r>
        <w:fldChar w:fldCharType="begin"/>
      </w:r>
      <w:r>
        <w:instrText xml:space="preserve"> AUTONUM  </w:instrText>
      </w:r>
      <w:r>
        <w:fldChar w:fldCharType="end"/>
      </w:r>
      <w:r>
        <w:tab/>
      </w:r>
      <w:r w:rsidR="00094874">
        <w:t>At its forty</w:t>
      </w:r>
      <w:r w:rsidR="00094874">
        <w:noBreakHyphen/>
        <w:t>seventh (22</w:t>
      </w:r>
      <w:r w:rsidR="00272CEF">
        <w:rPr>
          <w:vertAlign w:val="superscript"/>
        </w:rPr>
        <w:t>nd</w:t>
      </w:r>
      <w:r w:rsidR="00094874">
        <w:rPr>
          <w:vertAlign w:val="superscript"/>
        </w:rPr>
        <w:t xml:space="preserve"> </w:t>
      </w:r>
      <w:r w:rsidR="00094874">
        <w:t>ordinary) session, held in Geneva from October 5 to 14, 2015, the</w:t>
      </w:r>
      <w:r w:rsidR="0047777C">
        <w:t xml:space="preserve"> World Intellectual Property Organization (WIPO)</w:t>
      </w:r>
      <w:r w:rsidR="00094874">
        <w:t xml:space="preserve"> General Assembly agreed the following (see document WO/GA/47/19, paragraph 123)</w:t>
      </w:r>
      <w:r w:rsidR="0047777C" w:rsidRPr="0047777C">
        <w:rPr>
          <w:rStyle w:val="FootnoteReference"/>
          <w:b/>
          <w:i/>
        </w:rPr>
        <w:t xml:space="preserve"> </w:t>
      </w:r>
      <w:r w:rsidR="0047777C" w:rsidRPr="00E872F3">
        <w:rPr>
          <w:rStyle w:val="FootnoteReference"/>
          <w:b/>
        </w:rPr>
        <w:footnoteReference w:id="2"/>
      </w:r>
      <w:r w:rsidR="00094874">
        <w:t>:</w:t>
      </w:r>
      <w:r w:rsidR="00094874" w:rsidRPr="000C1102">
        <w:t xml:space="preserve"> </w:t>
      </w:r>
    </w:p>
    <w:p w:rsidR="00094874" w:rsidRDefault="00094874" w:rsidP="00094874">
      <w:pPr>
        <w:ind w:left="567"/>
      </w:pPr>
    </w:p>
    <w:p w:rsidR="00094874" w:rsidRDefault="00094874" w:rsidP="00094874">
      <w:pPr>
        <w:ind w:left="567"/>
      </w:pPr>
      <w:r>
        <w:t>“That the text of the basic proposal for the Design Law Treaty should be finalized by the SCT at its thirty-fourth and thirty-fifth sessions;</w:t>
      </w:r>
    </w:p>
    <w:p w:rsidR="00094874" w:rsidRDefault="00094874" w:rsidP="00094874"/>
    <w:p w:rsidR="00094874" w:rsidRDefault="00094874" w:rsidP="00094874">
      <w:pPr>
        <w:ind w:left="567"/>
      </w:pPr>
      <w:r>
        <w:t>(i)</w:t>
      </w:r>
      <w:r>
        <w:tab/>
        <w:t>to convene a diplomatic conference for the adoption of a Design Law Treaty at the end of the first half of 2017, only if the discussions on technical assistance and disclosure have been completed during the thirty-fourth and thirty-fifth sessions of the SCT;</w:t>
      </w:r>
    </w:p>
    <w:p w:rsidR="00094874" w:rsidRDefault="00094874" w:rsidP="00094874"/>
    <w:p w:rsidR="00094874" w:rsidRDefault="00094874" w:rsidP="00094874">
      <w:pPr>
        <w:ind w:left="567"/>
      </w:pPr>
      <w:r>
        <w:t>(ii)</w:t>
      </w:r>
      <w:r>
        <w:tab/>
      </w:r>
      <w:proofErr w:type="gramStart"/>
      <w:r>
        <w:t>that</w:t>
      </w:r>
      <w:proofErr w:type="gramEnd"/>
      <w:r>
        <w:t xml:space="preserve"> the text of the basic proposal for the Design Law Treaty should be finalized by the SCT at its thirty-fourth and thirty-fifth sessions;</w:t>
      </w:r>
    </w:p>
    <w:p w:rsidR="00094874" w:rsidRDefault="00094874" w:rsidP="00094874"/>
    <w:p w:rsidR="00094874" w:rsidRPr="002E0CEC" w:rsidRDefault="00094874" w:rsidP="00094874">
      <w:pPr>
        <w:ind w:left="567"/>
      </w:pPr>
      <w:r>
        <w:t>(iii)</w:t>
      </w:r>
      <w:r>
        <w:tab/>
        <w:t>that, if a diplomatic conference is convened at the end of the first half of 2017, the date and venue of the diplomatic conference would be decided in a preparatory committee, to be held back-to-back with the thirty</w:t>
      </w:r>
      <w:r>
        <w:noBreakHyphen/>
        <w:t>fifth session of the SCT.”</w:t>
      </w:r>
    </w:p>
    <w:p w:rsidR="00094874" w:rsidRDefault="00094874" w:rsidP="00094874"/>
    <w:p w:rsidR="00094874" w:rsidRDefault="00094874" w:rsidP="00094874">
      <w:r>
        <w:fldChar w:fldCharType="begin"/>
      </w:r>
      <w:r>
        <w:instrText xml:space="preserve"> AUTONUM  </w:instrText>
      </w:r>
      <w:r>
        <w:fldChar w:fldCharType="end"/>
      </w:r>
      <w:r>
        <w:tab/>
        <w:t>Following that session of the WIPO General Assembly, the Standing Committee on the Law of Trademarks, Industrial Designs and Geographical Indications (SCT), at its thirty</w:t>
      </w:r>
      <w:r>
        <w:noBreakHyphen/>
        <w:t xml:space="preserve">fourth </w:t>
      </w:r>
      <w:r>
        <w:lastRenderedPageBreak/>
        <w:t xml:space="preserve">session, held in Geneva from November 16 to 18, 2015, </w:t>
      </w:r>
      <w:proofErr w:type="gramStart"/>
      <w:r>
        <w:t>continued</w:t>
      </w:r>
      <w:proofErr w:type="gramEnd"/>
      <w:r>
        <w:t xml:space="preserve"> discussions on </w:t>
      </w:r>
      <w:r w:rsidR="004B41A1">
        <w:t>the text of a basic proposal for the Design Law Treaty</w:t>
      </w:r>
      <w:r w:rsidR="00272CEF">
        <w:t xml:space="preserve"> (DLT)</w:t>
      </w:r>
      <w:r w:rsidR="004B41A1">
        <w:t>.</w:t>
      </w:r>
    </w:p>
    <w:p w:rsidR="00094874" w:rsidRDefault="00094874" w:rsidP="00094874"/>
    <w:p w:rsidR="002928D3" w:rsidRDefault="00094874" w:rsidP="00094874">
      <w:r>
        <w:fldChar w:fldCharType="begin"/>
      </w:r>
      <w:r>
        <w:instrText xml:space="preserve"> AUTONUM  </w:instrText>
      </w:r>
      <w:r>
        <w:fldChar w:fldCharType="end"/>
      </w:r>
      <w:r>
        <w:tab/>
        <w:t>The Delegation of Nigeria, on behalf of the African Group, presented a new proposal for Article 3(1</w:t>
      </w:r>
      <w:proofErr w:type="gramStart"/>
      <w:r>
        <w:t>)(</w:t>
      </w:r>
      <w:proofErr w:type="gramEnd"/>
      <w:r>
        <w:t xml:space="preserve">a)(ix), and the Chair presented </w:t>
      </w:r>
      <w:r w:rsidR="00272CEF">
        <w:t xml:space="preserve">a </w:t>
      </w:r>
      <w:r>
        <w:t>text for a new Article 1</w:t>
      </w:r>
      <w:r w:rsidRPr="00CE4031">
        <w:rPr>
          <w:i/>
        </w:rPr>
        <w:t>bis</w:t>
      </w:r>
      <w:r>
        <w:t xml:space="preserve"> on General Principles.  The Chair concluded that both proposals would be included between square brackets in a revised version of document SCT/33/2, for consideration of the thirty</w:t>
      </w:r>
      <w:r>
        <w:noBreakHyphen/>
        <w:t>fifth session of the SCT (see document SCT/34/7, paragraphs 5 to 8).</w:t>
      </w:r>
    </w:p>
    <w:p w:rsidR="00094874" w:rsidRDefault="00094874" w:rsidP="00094874"/>
    <w:p w:rsidR="00094874" w:rsidRDefault="00094874" w:rsidP="00094874">
      <w:r>
        <w:fldChar w:fldCharType="begin"/>
      </w:r>
      <w:r>
        <w:instrText xml:space="preserve"> AUTONUM  </w:instrText>
      </w:r>
      <w:r>
        <w:fldChar w:fldCharType="end"/>
      </w:r>
      <w:r>
        <w:tab/>
        <w:t xml:space="preserve">At its thirty-fifth session (April 25 to 27, 2016), the SCT </w:t>
      </w:r>
      <w:r w:rsidR="00F17057">
        <w:t>continued the discussions</w:t>
      </w:r>
      <w:r w:rsidR="008969EF">
        <w:t xml:space="preserve"> </w:t>
      </w:r>
      <w:r w:rsidR="00F17057">
        <w:t xml:space="preserve">based </w:t>
      </w:r>
      <w:r w:rsidR="004B41A1">
        <w:t>o</w:t>
      </w:r>
      <w:r w:rsidR="008969EF">
        <w:t xml:space="preserve">n </w:t>
      </w:r>
      <w:r>
        <w:t xml:space="preserve">document </w:t>
      </w:r>
      <w:r w:rsidR="008969EF">
        <w:t>SCT/35/2</w:t>
      </w:r>
      <w:r w:rsidR="00F17057">
        <w:t xml:space="preserve">, </w:t>
      </w:r>
      <w:r>
        <w:t>contain</w:t>
      </w:r>
      <w:r w:rsidR="00024EDC">
        <w:t xml:space="preserve">ing </w:t>
      </w:r>
      <w:r>
        <w:t>draft Articles on Industrial Design Law and Practice, including</w:t>
      </w:r>
      <w:r w:rsidRPr="00F67257">
        <w:t>,</w:t>
      </w:r>
      <w:r>
        <w:t xml:space="preserve"> between square brackets, the new proposal </w:t>
      </w:r>
      <w:r w:rsidR="00F17057">
        <w:t>for item (ix) of Article 3(1</w:t>
      </w:r>
      <w:proofErr w:type="gramStart"/>
      <w:r w:rsidR="00F17057">
        <w:t>)(</w:t>
      </w:r>
      <w:proofErr w:type="gramEnd"/>
      <w:r w:rsidR="00F17057">
        <w:t>a) of the draft</w:t>
      </w:r>
      <w:r w:rsidR="00E22669">
        <w:t> </w:t>
      </w:r>
      <w:r w:rsidR="00F17057">
        <w:t xml:space="preserve">DLT, </w:t>
      </w:r>
      <w:r w:rsidR="00633C8B">
        <w:t xml:space="preserve">presented </w:t>
      </w:r>
      <w:r w:rsidR="00F17057">
        <w:t>by</w:t>
      </w:r>
      <w:r>
        <w:t xml:space="preserve"> the African Group </w:t>
      </w:r>
      <w:r w:rsidR="00F17057">
        <w:t xml:space="preserve">at the thirty-fourth session of the SCT, </w:t>
      </w:r>
      <w:r>
        <w:t>as well as a footnote expressing the different views on that proposal</w:t>
      </w:r>
      <w:r w:rsidRPr="004D6D1D">
        <w:t>.</w:t>
      </w:r>
      <w:r w:rsidR="008969EF">
        <w:t xml:space="preserve">  D</w:t>
      </w:r>
      <w:r>
        <w:t xml:space="preserve">ocument SCT/35/2 also </w:t>
      </w:r>
      <w:r w:rsidR="00024EDC">
        <w:t>contains</w:t>
      </w:r>
      <w:r>
        <w:t xml:space="preserve">, between square brackets, the text presented by the Chair </w:t>
      </w:r>
      <w:r w:rsidR="00F17057">
        <w:t xml:space="preserve">at the thirty-fourth session of the SCT </w:t>
      </w:r>
      <w:r>
        <w:t>for a new Article 1</w:t>
      </w:r>
      <w:r w:rsidRPr="00CE4031">
        <w:rPr>
          <w:i/>
        </w:rPr>
        <w:t>bis</w:t>
      </w:r>
      <w:r>
        <w:t xml:space="preserve"> on General Principles, as well as two footnotes.  The first </w:t>
      </w:r>
      <w:r w:rsidR="00633C8B">
        <w:t xml:space="preserve">footnote </w:t>
      </w:r>
      <w:r>
        <w:t>indicat</w:t>
      </w:r>
      <w:r w:rsidR="00024EDC">
        <w:t xml:space="preserve">ing </w:t>
      </w:r>
      <w:r>
        <w:t>that the text of Article 1</w:t>
      </w:r>
      <w:r w:rsidRPr="00CE4031">
        <w:rPr>
          <w:i/>
        </w:rPr>
        <w:t>bis</w:t>
      </w:r>
      <w:r>
        <w:t xml:space="preserve"> </w:t>
      </w:r>
      <w:r w:rsidR="00024EDC">
        <w:t xml:space="preserve">is </w:t>
      </w:r>
      <w:r>
        <w:t>based on the proposal made by the Chair at the thirty</w:t>
      </w:r>
      <w:r>
        <w:noBreakHyphen/>
        <w:t>fourth session of the SCT, as contained in Chair Non</w:t>
      </w:r>
      <w:r>
        <w:noBreakHyphen/>
        <w:t>paper No.1, and the second reflect</w:t>
      </w:r>
      <w:r w:rsidR="00024EDC">
        <w:t xml:space="preserve">ing </w:t>
      </w:r>
      <w:r>
        <w:t>the different views of delegations on proposed Article 1</w:t>
      </w:r>
      <w:r w:rsidRPr="00CE4031">
        <w:rPr>
          <w:i/>
        </w:rPr>
        <w:t>bis</w:t>
      </w:r>
      <w:r>
        <w:t xml:space="preserve"> and/or on proposed item (ix) of Article 3(1</w:t>
      </w:r>
      <w:proofErr w:type="gramStart"/>
      <w:r>
        <w:t>)(</w:t>
      </w:r>
      <w:proofErr w:type="gramEnd"/>
      <w:r>
        <w:t>a) of the draft</w:t>
      </w:r>
      <w:r w:rsidR="00A76463">
        <w:t> </w:t>
      </w:r>
      <w:r>
        <w:t>DLT.</w:t>
      </w:r>
    </w:p>
    <w:p w:rsidR="008969EF" w:rsidRDefault="008969EF" w:rsidP="00094874"/>
    <w:p w:rsidR="00AB14B6" w:rsidRDefault="008969EF" w:rsidP="00A354AC">
      <w:r>
        <w:fldChar w:fldCharType="begin"/>
      </w:r>
      <w:r>
        <w:instrText xml:space="preserve"> AUTONUM  </w:instrText>
      </w:r>
      <w:r>
        <w:fldChar w:fldCharType="end"/>
      </w:r>
      <w:r>
        <w:tab/>
      </w:r>
      <w:r w:rsidR="00F17057">
        <w:t>T</w:t>
      </w:r>
      <w:r w:rsidRPr="00782047">
        <w:rPr>
          <w:rFonts w:eastAsia="Times New Roman"/>
        </w:rPr>
        <w:t>he SCT work</w:t>
      </w:r>
      <w:r w:rsidR="00F17057">
        <w:rPr>
          <w:rFonts w:eastAsia="Times New Roman"/>
        </w:rPr>
        <w:t>ed throughout its thirty-fifth session</w:t>
      </w:r>
      <w:r w:rsidRPr="00782047">
        <w:rPr>
          <w:rFonts w:eastAsia="Times New Roman"/>
        </w:rPr>
        <w:t xml:space="preserve"> with the objective to finalize the basic proposal for the DLT as </w:t>
      </w:r>
      <w:r w:rsidR="00024EDC">
        <w:rPr>
          <w:rFonts w:eastAsia="Times New Roman"/>
        </w:rPr>
        <w:t>mandat</w:t>
      </w:r>
      <w:r w:rsidRPr="00782047">
        <w:rPr>
          <w:rFonts w:eastAsia="Times New Roman"/>
        </w:rPr>
        <w:t>ed by the WIPO General Assembly</w:t>
      </w:r>
      <w:r>
        <w:rPr>
          <w:rFonts w:eastAsia="Times New Roman"/>
        </w:rPr>
        <w:t xml:space="preserve"> </w:t>
      </w:r>
      <w:r w:rsidRPr="00782047">
        <w:rPr>
          <w:rFonts w:eastAsia="Times New Roman"/>
        </w:rPr>
        <w:t>decision</w:t>
      </w:r>
      <w:r>
        <w:rPr>
          <w:rFonts w:eastAsia="Times New Roman"/>
        </w:rPr>
        <w:t xml:space="preserve">, </w:t>
      </w:r>
      <w:r w:rsidRPr="00782047">
        <w:rPr>
          <w:rFonts w:eastAsia="Times New Roman"/>
        </w:rPr>
        <w:t xml:space="preserve">with a view to </w:t>
      </w:r>
      <w:r w:rsidR="00272CEF" w:rsidRPr="00782047">
        <w:rPr>
          <w:rFonts w:eastAsia="Times New Roman"/>
        </w:rPr>
        <w:t>conven</w:t>
      </w:r>
      <w:r w:rsidR="00272CEF">
        <w:rPr>
          <w:rFonts w:eastAsia="Times New Roman"/>
        </w:rPr>
        <w:t>ing</w:t>
      </w:r>
      <w:r w:rsidR="00272CEF" w:rsidRPr="00782047">
        <w:rPr>
          <w:rFonts w:eastAsia="Times New Roman"/>
        </w:rPr>
        <w:t xml:space="preserve"> </w:t>
      </w:r>
      <w:r w:rsidRPr="00782047">
        <w:rPr>
          <w:rFonts w:eastAsia="Times New Roman"/>
        </w:rPr>
        <w:t>a diplomatic conference for the adoption of a DLT</w:t>
      </w:r>
      <w:r>
        <w:rPr>
          <w:rFonts w:eastAsia="Times New Roman"/>
        </w:rPr>
        <w:t xml:space="preserve"> </w:t>
      </w:r>
      <w:r w:rsidRPr="00782047">
        <w:rPr>
          <w:rFonts w:eastAsia="Times New Roman"/>
        </w:rPr>
        <w:t xml:space="preserve">at the </w:t>
      </w:r>
      <w:r>
        <w:rPr>
          <w:rFonts w:eastAsia="Times New Roman"/>
        </w:rPr>
        <w:t>end of the first half of </w:t>
      </w:r>
      <w:r w:rsidRPr="00782047">
        <w:rPr>
          <w:rFonts w:eastAsia="Times New Roman"/>
        </w:rPr>
        <w:t>2017</w:t>
      </w:r>
      <w:r>
        <w:rPr>
          <w:rFonts w:eastAsia="Times New Roman"/>
        </w:rPr>
        <w:t xml:space="preserve">.  </w:t>
      </w:r>
      <w:r w:rsidRPr="00782047">
        <w:rPr>
          <w:rFonts w:eastAsia="Times New Roman"/>
        </w:rPr>
        <w:t xml:space="preserve">To that end, the Chair </w:t>
      </w:r>
      <w:r w:rsidR="00AB14B6">
        <w:rPr>
          <w:rFonts w:eastAsia="Times New Roman"/>
        </w:rPr>
        <w:t xml:space="preserve">held informal consultations </w:t>
      </w:r>
      <w:r w:rsidR="00633C8B" w:rsidRPr="00A638F3">
        <w:rPr>
          <w:rFonts w:eastAsia="Times New Roman"/>
        </w:rPr>
        <w:t>whe</w:t>
      </w:r>
      <w:r w:rsidR="006B63DB">
        <w:rPr>
          <w:rFonts w:eastAsia="Times New Roman"/>
        </w:rPr>
        <w:t xml:space="preserve">re </w:t>
      </w:r>
      <w:r w:rsidR="00633C8B" w:rsidRPr="00A638F3">
        <w:rPr>
          <w:rFonts w:eastAsia="Times New Roman"/>
        </w:rPr>
        <w:t xml:space="preserve">he </w:t>
      </w:r>
      <w:r w:rsidR="006B63DB">
        <w:rPr>
          <w:rFonts w:eastAsia="Times New Roman"/>
        </w:rPr>
        <w:t xml:space="preserve">made </w:t>
      </w:r>
      <w:r w:rsidR="00F17057">
        <w:rPr>
          <w:rFonts w:eastAsia="Times New Roman"/>
        </w:rPr>
        <w:t xml:space="preserve">three </w:t>
      </w:r>
      <w:r w:rsidR="00BA7370">
        <w:rPr>
          <w:rFonts w:eastAsia="Times New Roman"/>
        </w:rPr>
        <w:t>suggestions</w:t>
      </w:r>
      <w:r w:rsidR="00A638F3">
        <w:rPr>
          <w:rFonts w:eastAsia="Times New Roman"/>
        </w:rPr>
        <w:t xml:space="preserve"> </w:t>
      </w:r>
      <w:r w:rsidR="00F17057">
        <w:rPr>
          <w:rFonts w:eastAsia="Times New Roman"/>
        </w:rPr>
        <w:t xml:space="preserve">in an attempt to overcome the </w:t>
      </w:r>
      <w:r w:rsidR="00A638F3">
        <w:rPr>
          <w:rFonts w:eastAsia="Times New Roman"/>
        </w:rPr>
        <w:t xml:space="preserve">differences in </w:t>
      </w:r>
      <w:r w:rsidR="00F17057">
        <w:rPr>
          <w:rFonts w:eastAsia="Times New Roman"/>
        </w:rPr>
        <w:t xml:space="preserve">the </w:t>
      </w:r>
      <w:r w:rsidR="00A638F3">
        <w:rPr>
          <w:rFonts w:eastAsia="Times New Roman"/>
        </w:rPr>
        <w:t xml:space="preserve">various </w:t>
      </w:r>
      <w:r w:rsidR="00F17057">
        <w:rPr>
          <w:rFonts w:eastAsia="Times New Roman"/>
        </w:rPr>
        <w:t>positions</w:t>
      </w:r>
      <w:r>
        <w:rPr>
          <w:rFonts w:eastAsia="Times New Roman"/>
        </w:rPr>
        <w:t>.</w:t>
      </w:r>
      <w:r w:rsidR="00F17057">
        <w:rPr>
          <w:rFonts w:eastAsia="Times New Roman"/>
        </w:rPr>
        <w:t xml:space="preserve">  </w:t>
      </w:r>
      <w:r w:rsidR="00AB14B6">
        <w:rPr>
          <w:rFonts w:eastAsia="Times New Roman"/>
        </w:rPr>
        <w:t xml:space="preserve">The </w:t>
      </w:r>
      <w:r w:rsidR="00B90838">
        <w:rPr>
          <w:rFonts w:eastAsia="Times New Roman"/>
        </w:rPr>
        <w:t xml:space="preserve">first </w:t>
      </w:r>
      <w:r w:rsidR="00A638F3">
        <w:rPr>
          <w:rFonts w:eastAsia="Times New Roman"/>
        </w:rPr>
        <w:t>suggestion</w:t>
      </w:r>
      <w:r w:rsidR="00B90838">
        <w:rPr>
          <w:rFonts w:eastAsia="Times New Roman"/>
        </w:rPr>
        <w:t xml:space="preserve">, </w:t>
      </w:r>
      <w:r w:rsidR="00BD42C3">
        <w:rPr>
          <w:rFonts w:eastAsia="Times New Roman"/>
        </w:rPr>
        <w:t xml:space="preserve">presented in </w:t>
      </w:r>
      <w:r w:rsidR="00B90838">
        <w:rPr>
          <w:rFonts w:eastAsia="Times New Roman"/>
        </w:rPr>
        <w:t>Chair</w:t>
      </w:r>
      <w:r w:rsidR="00D501A7">
        <w:rPr>
          <w:rFonts w:eastAsia="Times New Roman"/>
        </w:rPr>
        <w:t> </w:t>
      </w:r>
      <w:r w:rsidR="00B90838">
        <w:rPr>
          <w:rFonts w:eastAsia="Times New Roman"/>
        </w:rPr>
        <w:t>Non</w:t>
      </w:r>
      <w:r w:rsidR="00A76463">
        <w:rPr>
          <w:rFonts w:eastAsia="Times New Roman"/>
        </w:rPr>
        <w:noBreakHyphen/>
      </w:r>
      <w:r w:rsidR="00B90838">
        <w:rPr>
          <w:rFonts w:eastAsia="Times New Roman"/>
        </w:rPr>
        <w:t>paper of April 26, 2016, concerned Article 3(2</w:t>
      </w:r>
      <w:proofErr w:type="gramStart"/>
      <w:r w:rsidR="00B90838">
        <w:rPr>
          <w:rFonts w:eastAsia="Times New Roman"/>
        </w:rPr>
        <w:t>)(</w:t>
      </w:r>
      <w:proofErr w:type="gramEnd"/>
      <w:r w:rsidR="00B90838">
        <w:rPr>
          <w:rFonts w:eastAsia="Times New Roman"/>
        </w:rPr>
        <w:t xml:space="preserve">b) and a draft </w:t>
      </w:r>
      <w:r w:rsidR="005E2B53">
        <w:rPr>
          <w:rFonts w:eastAsia="Times New Roman"/>
        </w:rPr>
        <w:t>a</w:t>
      </w:r>
      <w:r w:rsidR="00B90838">
        <w:rPr>
          <w:rFonts w:eastAsia="Times New Roman"/>
        </w:rPr>
        <w:t xml:space="preserve">greed </w:t>
      </w:r>
      <w:r w:rsidR="005E2B53">
        <w:rPr>
          <w:rFonts w:eastAsia="Times New Roman"/>
        </w:rPr>
        <w:t>s</w:t>
      </w:r>
      <w:r w:rsidR="00B90838">
        <w:rPr>
          <w:rFonts w:eastAsia="Times New Roman"/>
        </w:rPr>
        <w:t xml:space="preserve">tatement by the </w:t>
      </w:r>
      <w:r w:rsidR="005E2B53">
        <w:rPr>
          <w:rFonts w:eastAsia="Times New Roman"/>
        </w:rPr>
        <w:t>d</w:t>
      </w:r>
      <w:r w:rsidR="00B90838">
        <w:rPr>
          <w:rFonts w:eastAsia="Times New Roman"/>
        </w:rPr>
        <w:t xml:space="preserve">iplomatic </w:t>
      </w:r>
      <w:r w:rsidR="005E2B53">
        <w:rPr>
          <w:rFonts w:eastAsia="Times New Roman"/>
        </w:rPr>
        <w:t>c</w:t>
      </w:r>
      <w:r w:rsidR="00B90838">
        <w:rPr>
          <w:rFonts w:eastAsia="Times New Roman"/>
        </w:rPr>
        <w:t>onference to th</w:t>
      </w:r>
      <w:r w:rsidR="00947BB7">
        <w:rPr>
          <w:rFonts w:eastAsia="Times New Roman"/>
        </w:rPr>
        <w:t xml:space="preserve">at </w:t>
      </w:r>
      <w:r w:rsidR="00B90838">
        <w:rPr>
          <w:rFonts w:eastAsia="Times New Roman"/>
        </w:rPr>
        <w:t xml:space="preserve">Article.  </w:t>
      </w:r>
      <w:r w:rsidR="00AE46B1">
        <w:rPr>
          <w:rFonts w:eastAsia="Times New Roman"/>
        </w:rPr>
        <w:t xml:space="preserve">The second, </w:t>
      </w:r>
      <w:r w:rsidR="00BD42C3">
        <w:rPr>
          <w:rFonts w:eastAsia="Times New Roman"/>
        </w:rPr>
        <w:t>present</w:t>
      </w:r>
      <w:r w:rsidR="00AE46B1">
        <w:rPr>
          <w:rFonts w:eastAsia="Times New Roman"/>
        </w:rPr>
        <w:t xml:space="preserve">ed in </w:t>
      </w:r>
      <w:r w:rsidR="00AE46B1">
        <w:t xml:space="preserve">Chair Non-paper on Article 2 of April 27, 2016, </w:t>
      </w:r>
      <w:r w:rsidR="00A638F3">
        <w:t xml:space="preserve">suggested </w:t>
      </w:r>
      <w:r w:rsidR="00AE46B1">
        <w:t xml:space="preserve">new text for Article </w:t>
      </w:r>
      <w:r w:rsidR="00AE46B1" w:rsidRPr="00B90838">
        <w:rPr>
          <w:i/>
        </w:rPr>
        <w:t>1bis</w:t>
      </w:r>
      <w:r w:rsidR="00AE46B1">
        <w:rPr>
          <w:i/>
        </w:rPr>
        <w:t xml:space="preserve">, </w:t>
      </w:r>
      <w:r w:rsidR="00BD42C3">
        <w:t xml:space="preserve">which was </w:t>
      </w:r>
      <w:r w:rsidR="00AE46B1">
        <w:t xml:space="preserve">renumbered Article 2.  </w:t>
      </w:r>
      <w:r w:rsidR="00B90838">
        <w:t>The third</w:t>
      </w:r>
      <w:r w:rsidR="00AB14B6">
        <w:rPr>
          <w:rFonts w:eastAsia="Times New Roman"/>
        </w:rPr>
        <w:t xml:space="preserve"> </w:t>
      </w:r>
      <w:r w:rsidR="00A638F3">
        <w:rPr>
          <w:rFonts w:eastAsia="Times New Roman"/>
        </w:rPr>
        <w:t>suggestion</w:t>
      </w:r>
      <w:r w:rsidR="00B90838">
        <w:rPr>
          <w:rFonts w:eastAsia="Times New Roman"/>
        </w:rPr>
        <w:t>,</w:t>
      </w:r>
      <w:r w:rsidR="00BD42C3">
        <w:rPr>
          <w:rFonts w:eastAsia="Times New Roman"/>
        </w:rPr>
        <w:t xml:space="preserve"> presente</w:t>
      </w:r>
      <w:r w:rsidR="00AB14B6">
        <w:rPr>
          <w:rFonts w:eastAsia="Times New Roman"/>
        </w:rPr>
        <w:t xml:space="preserve">d in </w:t>
      </w:r>
      <w:r w:rsidR="00AB14B6">
        <w:t>Chair</w:t>
      </w:r>
      <w:r w:rsidR="00D501A7">
        <w:t xml:space="preserve"> </w:t>
      </w:r>
      <w:r w:rsidR="00AB14B6">
        <w:t>Non-paper of April 27, 2016,</w:t>
      </w:r>
      <w:r w:rsidR="00B90838">
        <w:t xml:space="preserve"> concerned </w:t>
      </w:r>
      <w:proofErr w:type="gramStart"/>
      <w:r w:rsidR="00B90838">
        <w:t>both</w:t>
      </w:r>
      <w:r w:rsidR="00947BB7">
        <w:t xml:space="preserve"> </w:t>
      </w:r>
      <w:r w:rsidR="00B90838">
        <w:t>Article</w:t>
      </w:r>
      <w:r w:rsidR="00AE46B1">
        <w:t>s</w:t>
      </w:r>
      <w:proofErr w:type="gramEnd"/>
      <w:r w:rsidR="00A9592C">
        <w:t> </w:t>
      </w:r>
      <w:r w:rsidR="00B90838" w:rsidRPr="00B90838">
        <w:rPr>
          <w:i/>
        </w:rPr>
        <w:t>1</w:t>
      </w:r>
      <w:r w:rsidR="00B90838">
        <w:rPr>
          <w:i/>
        </w:rPr>
        <w:t>bis,</w:t>
      </w:r>
      <w:r w:rsidR="00A9592C">
        <w:t xml:space="preserve"> renumbered </w:t>
      </w:r>
      <w:r w:rsidR="00A9592C">
        <w:rPr>
          <w:noProof/>
          <w:lang w:eastAsia="en-US"/>
        </w:rPr>
        <mc:AlternateContent>
          <mc:Choice Requires="wps">
            <w:drawing>
              <wp:anchor distT="0" distB="0" distL="114300" distR="114300" simplePos="0" relativeHeight="251659264" behindDoc="0" locked="0" layoutInCell="1" allowOverlap="1" wp14:anchorId="742EB97D" wp14:editId="3F8EEAB2">
                <wp:simplePos x="0" y="0"/>
                <wp:positionH relativeFrom="column">
                  <wp:posOffset>-684530</wp:posOffset>
                </wp:positionH>
                <wp:positionV relativeFrom="paragraph">
                  <wp:posOffset>1461135</wp:posOffset>
                </wp:positionV>
                <wp:extent cx="317500" cy="63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A9592C" w:rsidRPr="00A76463" w:rsidRDefault="00A9592C" w:rsidP="00A9592C">
                            <w:pPr>
                              <w:jc w:val="right"/>
                              <w:rPr>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9pt;margin-top:115.0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45AIAAHoGAAAOAAAAZHJzL2Uyb0RvYy54bWysVd9P2zAQfp+0/8Hy+0gLjE0VKepgnSYh&#10;QIOJ56vjNBGO7dlum+6v32cnaenYw5j24l585+9+fHfX84u2UWwtna+Nzvn4aMSZ1MIUtV7m/PvD&#10;/N1HznwgXZAyWuZ8Kz2/mL59c76xE3lsKqMK6RhAtJ9sbM6rEOwky7yoZEP+yFipoSyNayjg0y2z&#10;wtEG6I3Kjkejs2xjXGGdEdJ73F51Sj5N+GUpRbgtSy8DUzlHbCGdLp2LeGbTc5osHdmqFn0Y9A9R&#10;NFRrON1BXVEgtnL1C6imFs54U4YjYZrMlGUtZMoB2YxHv2VzX5GVKRcUx9tdmfz/gxU36zvH6iLn&#10;p5xpakDRg2wD+2Radhqrs7F+AqN7C7PQ4hosD/celzHptnRN/EU6DHrUeburbQQTuDwZf3g/gkZA&#10;dXYSRYBn+7fW+fBFmoZFIecOzKWC0vrah850MImuvFF1Ma+VSh/CLReXyrGOWHQeHCV6o5aUrYit&#10;KXVAh+T7BymCAyil2aYLEKESGrJUFCA2FiXyeskZqSU6XQSXwjt4HAOMYSRfC0XiqUvhZQC95Uv/&#10;UXFFvuowEnrXo86sdIHoaVJJKj7rgoWtBVsaY8VjzI0sOFMSsUUpWQaq1d9YggalI7RME9MXPDLf&#10;MZyksFUy2ij9TZbomER0vEizKnd5kxBSh9QjCRfW0aoEV6952Nvvo3rN4y6PwbPRYfe4qbXpmYsr&#10;Zh928TSEXHb24OZZ3lEM7aJFXaO4MMUWA+FMt1C8FfMazF2TD3fksEHQgNiK4RZHqQzoMb3EWWXc&#10;zz/dR3sMNrTgExsJ/fZjRQ7sqq8aIw/IMAhuEBaDoFfNpUGLj7FvrUgiHrigBrF0pnnEspxFL1CR&#10;FvCVc3R3J16GbnywbIWczZIRlpSlcK3vrYjQkY3YoQ/tIznbj2rAiN+YYVdh3g4ntrNNjWJnq2Dm&#10;dRrnfRX7QmPBpXHol3HcoM+/k9X+L2P6CwAA//8DAFBLAwQUAAYACAAAACEAcHZi0eIAAAAMAQAA&#10;DwAAAGRycy9kb3ducmV2LnhtbEyPwU7DMAyG70i8Q2QkLqhLOmCg0nQak9iBwzQ2hMQtbb22onFK&#10;k3bl7fFOcPTnX78/p8vJtmLE3jeONMQzBQKpcGVDlYb3w0v0CMIHQ6VpHaGGH/SwzC4vUpOU7kRv&#10;OO5DJbiEfGI01CF0iZS+qNEaP3MdEu+Orrcm8NhXsuzNicttK+dKLaQ1DfGF2nS4rrH42g9Ww/Nm&#10;rOTH6260+W593H7bYfW5udH6+mpaPYEIOIW/MJz1WR0ydsrdQKUXrYYoVg/sHjTMb1UMgiPR/Znk&#10;TO6YyCyV/5/IfgEAAP//AwBQSwECLQAUAAYACAAAACEAtoM4kv4AAADhAQAAEwAAAAAAAAAAAAAA&#10;AAAAAAAAW0NvbnRlbnRfVHlwZXNdLnhtbFBLAQItABQABgAIAAAAIQA4/SH/1gAAAJQBAAALAAAA&#10;AAAAAAAAAAAAAC8BAABfcmVscy8ucmVsc1BLAQItABQABgAIAAAAIQB/GMw45AIAAHoGAAAOAAAA&#10;AAAAAAAAAAAAAC4CAABkcnMvZTJvRG9jLnhtbFBLAQItABQABgAIAAAAIQBwdmLR4gAAAAwBAAAP&#10;AAAAAAAAAAAAAAAAAD4FAABkcnMvZG93bnJldi54bWxQSwUGAAAAAAQABADzAAAATQYAAAAA&#10;" fillcolor="black" strokeweight=".5pt">
                <v:fill opacity="0"/>
                <v:stroke opacity="0" joinstyle="round"/>
                <v:textbox style="mso-fit-shape-to-text:t" inset="0,0,0,0">
                  <w:txbxContent>
                    <w:p w:rsidR="00A9592C" w:rsidRPr="00A76463" w:rsidRDefault="00A9592C" w:rsidP="00A9592C">
                      <w:pPr>
                        <w:jc w:val="right"/>
                        <w:rPr>
                          <w:szCs w:val="22"/>
                        </w:rPr>
                      </w:pPr>
                    </w:p>
                  </w:txbxContent>
                </v:textbox>
              </v:shape>
            </w:pict>
          </mc:Fallback>
        </mc:AlternateContent>
      </w:r>
      <w:r w:rsidR="00B90838">
        <w:t>Article 2</w:t>
      </w:r>
      <w:r w:rsidR="00A9592C">
        <w:t>,</w:t>
      </w:r>
      <w:r w:rsidR="00B90838">
        <w:t xml:space="preserve"> and </w:t>
      </w:r>
      <w:r w:rsidR="00BD42C3">
        <w:t xml:space="preserve">Article </w:t>
      </w:r>
      <w:r w:rsidR="00B90838">
        <w:t>3</w:t>
      </w:r>
      <w:r w:rsidR="00AB14B6">
        <w:t>.</w:t>
      </w:r>
      <w:r w:rsidR="00A9592C">
        <w:t xml:space="preserve">  </w:t>
      </w:r>
    </w:p>
    <w:p w:rsidR="008969EF" w:rsidRDefault="008969EF" w:rsidP="008969EF">
      <w:pPr>
        <w:rPr>
          <w:rFonts w:eastAsia="Times New Roman"/>
        </w:rPr>
      </w:pPr>
    </w:p>
    <w:p w:rsidR="00AB14B6" w:rsidRPr="00782047" w:rsidRDefault="00AB14B6" w:rsidP="00AB14B6">
      <w:pPr>
        <w:rPr>
          <w:rFonts w:eastAsia="Times New Roman"/>
        </w:rPr>
      </w:pPr>
      <w:r>
        <w:fldChar w:fldCharType="begin"/>
      </w:r>
      <w:r>
        <w:instrText xml:space="preserve"> AUTONUM  </w:instrText>
      </w:r>
      <w:r>
        <w:fldChar w:fldCharType="end"/>
      </w:r>
      <w:r>
        <w:tab/>
      </w:r>
      <w:r w:rsidR="00B90838">
        <w:t>At the end of the thirty-fifth session of the SCT, t</w:t>
      </w:r>
      <w:r>
        <w:rPr>
          <w:rFonts w:eastAsia="Times New Roman"/>
        </w:rPr>
        <w:t>he Chair concluded that a number of delegations were of the opinion that the work of the SCT was sufficient to consider that the basic proposal was finalized.  Other delegations considered that the work of the SCT constituted a sufficient ground for finalizing the basic proposal and that a few elements needed further work.  Other delegations considered that the work of the SCT was not sufficient to finalize the basic proposal</w:t>
      </w:r>
      <w:r w:rsidR="00A9592C">
        <w:rPr>
          <w:rFonts w:eastAsia="Times New Roman"/>
        </w:rPr>
        <w:t xml:space="preserve"> (see document SCT/35/7, paragraph 7)</w:t>
      </w:r>
      <w:r>
        <w:rPr>
          <w:rFonts w:eastAsia="Times New Roman"/>
        </w:rPr>
        <w:t>.</w:t>
      </w:r>
    </w:p>
    <w:p w:rsidR="008969EF" w:rsidRDefault="008969EF" w:rsidP="008969EF"/>
    <w:p w:rsidR="007A3515" w:rsidRDefault="00A9592C" w:rsidP="00CE6EB9">
      <w:pPr>
        <w:tabs>
          <w:tab w:val="left" w:pos="6096"/>
          <w:tab w:val="left" w:pos="6663"/>
        </w:tabs>
        <w:ind w:left="5580"/>
        <w:rPr>
          <w:i/>
          <w:szCs w:val="22"/>
        </w:rPr>
      </w:pPr>
      <w:r w:rsidRPr="009E50EF">
        <w:rPr>
          <w:i/>
          <w:szCs w:val="22"/>
        </w:rPr>
        <w:fldChar w:fldCharType="begin"/>
      </w:r>
      <w:r w:rsidRPr="009E50EF">
        <w:rPr>
          <w:i/>
          <w:szCs w:val="22"/>
        </w:rPr>
        <w:instrText xml:space="preserve"> AUTONUM  </w:instrText>
      </w:r>
      <w:r w:rsidRPr="009E50EF">
        <w:rPr>
          <w:i/>
          <w:szCs w:val="22"/>
        </w:rPr>
        <w:fldChar w:fldCharType="end"/>
      </w:r>
      <w:r w:rsidRPr="009E50EF">
        <w:rPr>
          <w:i/>
          <w:szCs w:val="22"/>
        </w:rPr>
        <w:tab/>
        <w:t xml:space="preserve">The </w:t>
      </w:r>
      <w:r>
        <w:rPr>
          <w:i/>
          <w:szCs w:val="22"/>
        </w:rPr>
        <w:t xml:space="preserve">WIPO </w:t>
      </w:r>
      <w:r w:rsidRPr="009E50EF">
        <w:rPr>
          <w:i/>
          <w:szCs w:val="22"/>
        </w:rPr>
        <w:t>General Assembly is invited</w:t>
      </w:r>
      <w:r w:rsidR="007A3515">
        <w:rPr>
          <w:i/>
          <w:szCs w:val="22"/>
        </w:rPr>
        <w:t xml:space="preserve">: </w:t>
      </w:r>
    </w:p>
    <w:p w:rsidR="00202DFD" w:rsidRDefault="00202DFD" w:rsidP="00A9592C">
      <w:pPr>
        <w:ind w:left="5580"/>
        <w:rPr>
          <w:i/>
          <w:szCs w:val="22"/>
        </w:rPr>
      </w:pPr>
    </w:p>
    <w:p w:rsidR="007A3515" w:rsidRDefault="000B71E8" w:rsidP="0039258E">
      <w:pPr>
        <w:pStyle w:val="ListParagraph"/>
        <w:numPr>
          <w:ilvl w:val="0"/>
          <w:numId w:val="7"/>
        </w:numPr>
        <w:tabs>
          <w:tab w:val="left" w:pos="6663"/>
        </w:tabs>
        <w:ind w:left="6096" w:firstLine="4"/>
        <w:rPr>
          <w:i/>
          <w:szCs w:val="22"/>
        </w:rPr>
      </w:pPr>
      <w:r>
        <w:rPr>
          <w:i/>
          <w:szCs w:val="22"/>
        </w:rPr>
        <w:t xml:space="preserve">to </w:t>
      </w:r>
      <w:r w:rsidR="007A3515">
        <w:rPr>
          <w:i/>
          <w:szCs w:val="22"/>
        </w:rPr>
        <w:t>consider the contents of the present document;</w:t>
      </w:r>
    </w:p>
    <w:p w:rsidR="00202DFD" w:rsidRPr="00202DFD" w:rsidRDefault="00202DFD" w:rsidP="0039258E">
      <w:pPr>
        <w:ind w:left="6096" w:firstLine="4"/>
        <w:rPr>
          <w:i/>
          <w:szCs w:val="22"/>
        </w:rPr>
      </w:pPr>
    </w:p>
    <w:p w:rsidR="002928D3" w:rsidRPr="007A3515" w:rsidRDefault="000B71E8" w:rsidP="0039258E">
      <w:pPr>
        <w:pStyle w:val="ListParagraph"/>
        <w:numPr>
          <w:ilvl w:val="0"/>
          <w:numId w:val="7"/>
        </w:numPr>
        <w:tabs>
          <w:tab w:val="left" w:pos="6663"/>
        </w:tabs>
        <w:ind w:left="6096" w:firstLine="4"/>
        <w:rPr>
          <w:i/>
          <w:szCs w:val="22"/>
        </w:rPr>
      </w:pPr>
      <w:proofErr w:type="gramStart"/>
      <w:r>
        <w:rPr>
          <w:i/>
          <w:szCs w:val="22"/>
        </w:rPr>
        <w:t>to</w:t>
      </w:r>
      <w:proofErr w:type="gramEnd"/>
      <w:r>
        <w:rPr>
          <w:i/>
          <w:szCs w:val="22"/>
        </w:rPr>
        <w:t xml:space="preserve"> </w:t>
      </w:r>
      <w:r w:rsidR="00A9592C" w:rsidRPr="007A3515">
        <w:rPr>
          <w:i/>
          <w:szCs w:val="22"/>
        </w:rPr>
        <w:t xml:space="preserve">decide whether to convene a diplomatic conference for the adoption of a Design Law Treaty at </w:t>
      </w:r>
      <w:r w:rsidR="00F17E2E" w:rsidRPr="007A3515">
        <w:rPr>
          <w:i/>
          <w:szCs w:val="22"/>
        </w:rPr>
        <w:t>the end of the first half of</w:t>
      </w:r>
      <w:r w:rsidR="007A3515">
        <w:rPr>
          <w:i/>
          <w:szCs w:val="22"/>
        </w:rPr>
        <w:t xml:space="preserve"> </w:t>
      </w:r>
      <w:r w:rsidR="00F17E2E" w:rsidRPr="007A3515">
        <w:rPr>
          <w:i/>
          <w:szCs w:val="22"/>
        </w:rPr>
        <w:t>2017</w:t>
      </w:r>
      <w:r w:rsidR="007A3515">
        <w:rPr>
          <w:i/>
          <w:szCs w:val="22"/>
        </w:rPr>
        <w:t xml:space="preserve">, at a date and venue </w:t>
      </w:r>
      <w:r w:rsidR="00A9592C" w:rsidRPr="007A3515">
        <w:rPr>
          <w:i/>
          <w:szCs w:val="22"/>
        </w:rPr>
        <w:t>to be decided</w:t>
      </w:r>
      <w:r w:rsidR="00945EB3">
        <w:rPr>
          <w:i/>
          <w:szCs w:val="22"/>
        </w:rPr>
        <w:t xml:space="preserve"> by a preparatory committee</w:t>
      </w:r>
      <w:r w:rsidR="00A9592C" w:rsidRPr="007A3515">
        <w:rPr>
          <w:i/>
          <w:szCs w:val="22"/>
        </w:rPr>
        <w:t>.</w:t>
      </w:r>
    </w:p>
    <w:p w:rsidR="009000CE" w:rsidRDefault="009000CE" w:rsidP="00802DBB">
      <w:pPr>
        <w:ind w:left="1530" w:hanging="1530"/>
      </w:pPr>
    </w:p>
    <w:p w:rsidR="009000CE" w:rsidRDefault="009000CE" w:rsidP="00802DBB">
      <w:pPr>
        <w:ind w:left="1530" w:hanging="1530"/>
      </w:pPr>
    </w:p>
    <w:p w:rsidR="00E976C4" w:rsidRDefault="002825F2" w:rsidP="00492959">
      <w:pPr>
        <w:ind w:left="5533"/>
      </w:pPr>
      <w:r>
        <w:t>[End of document]</w:t>
      </w:r>
      <w:bookmarkStart w:id="5" w:name="_GoBack"/>
      <w:bookmarkEnd w:id="5"/>
    </w:p>
    <w:sectPr w:rsidR="00E976C4" w:rsidSect="0047777C">
      <w:headerReference w:type="default" r:id="rId10"/>
      <w:footnotePr>
        <w:numRestart w:val="eachSect"/>
      </w:footnotePr>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874" w:rsidRDefault="00094874">
      <w:r>
        <w:separator/>
      </w:r>
    </w:p>
  </w:endnote>
  <w:endnote w:type="continuationSeparator" w:id="0">
    <w:p w:rsidR="00094874" w:rsidRDefault="00094874" w:rsidP="003B38C1">
      <w:r>
        <w:separator/>
      </w:r>
    </w:p>
    <w:p w:rsidR="00094874" w:rsidRPr="003B38C1" w:rsidRDefault="00094874" w:rsidP="003B38C1">
      <w:pPr>
        <w:spacing w:after="60"/>
        <w:rPr>
          <w:sz w:val="17"/>
        </w:rPr>
      </w:pPr>
      <w:r>
        <w:rPr>
          <w:sz w:val="17"/>
        </w:rPr>
        <w:t>[Endnote continued from previous page]</w:t>
      </w:r>
    </w:p>
  </w:endnote>
  <w:endnote w:type="continuationNotice" w:id="1">
    <w:p w:rsidR="00094874" w:rsidRPr="003B38C1" w:rsidRDefault="0009487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874" w:rsidRDefault="00094874">
      <w:r>
        <w:separator/>
      </w:r>
    </w:p>
  </w:footnote>
  <w:footnote w:type="continuationSeparator" w:id="0">
    <w:p w:rsidR="00094874" w:rsidRDefault="00094874" w:rsidP="008B60B2">
      <w:r>
        <w:separator/>
      </w:r>
    </w:p>
    <w:p w:rsidR="00094874" w:rsidRPr="00ED77FB" w:rsidRDefault="00094874" w:rsidP="008B60B2">
      <w:pPr>
        <w:spacing w:after="60"/>
        <w:rPr>
          <w:sz w:val="17"/>
          <w:szCs w:val="17"/>
        </w:rPr>
      </w:pPr>
      <w:r w:rsidRPr="00ED77FB">
        <w:rPr>
          <w:sz w:val="17"/>
          <w:szCs w:val="17"/>
        </w:rPr>
        <w:t>[Footnote continued from previous page]</w:t>
      </w:r>
    </w:p>
  </w:footnote>
  <w:footnote w:type="continuationNotice" w:id="1">
    <w:p w:rsidR="00094874" w:rsidRPr="00ED77FB" w:rsidRDefault="00094874" w:rsidP="008B60B2">
      <w:pPr>
        <w:spacing w:before="60"/>
        <w:jc w:val="right"/>
        <w:rPr>
          <w:sz w:val="17"/>
          <w:szCs w:val="17"/>
        </w:rPr>
      </w:pPr>
      <w:r w:rsidRPr="00ED77FB">
        <w:rPr>
          <w:sz w:val="17"/>
          <w:szCs w:val="17"/>
        </w:rPr>
        <w:t>[Footnote continued on next page]</w:t>
      </w:r>
    </w:p>
  </w:footnote>
  <w:footnote w:id="2">
    <w:p w:rsidR="009000CE" w:rsidRPr="00F20C7A" w:rsidRDefault="0047777C" w:rsidP="0047777C">
      <w:pPr>
        <w:pStyle w:val="FootnoteText"/>
      </w:pPr>
      <w:r>
        <w:rPr>
          <w:rStyle w:val="FootnoteReference"/>
        </w:rPr>
        <w:footnoteRef/>
      </w:r>
      <w:r>
        <w:tab/>
        <w:t xml:space="preserve">For </w:t>
      </w:r>
      <w:r w:rsidR="00945EB3">
        <w:t xml:space="preserve">a detailed </w:t>
      </w:r>
      <w:r>
        <w:t>narrative of General Assembly session</w:t>
      </w:r>
      <w:r w:rsidR="00945EB3">
        <w:t>s</w:t>
      </w:r>
      <w:r>
        <w:t xml:space="preserve"> dealing with the convening of a diplomatic conference for the adoption of a Design Law Treaty, see document WO/GA/47/8.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5F2" w:rsidRDefault="002825F2" w:rsidP="002825F2">
    <w:pPr>
      <w:jc w:val="right"/>
    </w:pPr>
    <w:bookmarkStart w:id="6" w:name="Code2"/>
    <w:bookmarkEnd w:id="6"/>
    <w:r>
      <w:t>WO/GA/48/6</w:t>
    </w:r>
  </w:p>
  <w:p w:rsidR="002825F2" w:rsidRDefault="002825F2" w:rsidP="002825F2">
    <w:pPr>
      <w:jc w:val="right"/>
    </w:pPr>
    <w:proofErr w:type="gramStart"/>
    <w:r>
      <w:t>page</w:t>
    </w:r>
    <w:proofErr w:type="gramEnd"/>
    <w:r>
      <w:t xml:space="preserve"> </w:t>
    </w:r>
    <w:r>
      <w:fldChar w:fldCharType="begin"/>
    </w:r>
    <w:r>
      <w:instrText xml:space="preserve"> PAGE  \* MERGEFORMAT </w:instrText>
    </w:r>
    <w:r>
      <w:fldChar w:fldCharType="separate"/>
    </w:r>
    <w:r w:rsidR="00602B7E">
      <w:rPr>
        <w:noProof/>
      </w:rPr>
      <w:t>2</w:t>
    </w:r>
    <w:r>
      <w:fldChar w:fldCharType="end"/>
    </w:r>
  </w:p>
  <w:p w:rsidR="002825F2" w:rsidRDefault="00282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ED170A"/>
    <w:multiLevelType w:val="hybridMultilevel"/>
    <w:tmpl w:val="134CAD68"/>
    <w:lvl w:ilvl="0" w:tplc="930A8B44">
      <w:start w:val="1"/>
      <w:numFmt w:val="lowerRoman"/>
      <w:lvlText w:val="(%1)"/>
      <w:lvlJc w:val="left"/>
      <w:pPr>
        <w:ind w:left="6957"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874"/>
    <w:rsid w:val="000066C3"/>
    <w:rsid w:val="00024C3B"/>
    <w:rsid w:val="00024EDC"/>
    <w:rsid w:val="00043CAA"/>
    <w:rsid w:val="00072611"/>
    <w:rsid w:val="00075432"/>
    <w:rsid w:val="00082EAB"/>
    <w:rsid w:val="00094874"/>
    <w:rsid w:val="000968ED"/>
    <w:rsid w:val="000A3B50"/>
    <w:rsid w:val="000B71E8"/>
    <w:rsid w:val="000C05AA"/>
    <w:rsid w:val="000F5E56"/>
    <w:rsid w:val="00124474"/>
    <w:rsid w:val="0013171B"/>
    <w:rsid w:val="001362EE"/>
    <w:rsid w:val="001832A6"/>
    <w:rsid w:val="001E745D"/>
    <w:rsid w:val="00202DFD"/>
    <w:rsid w:val="002505AB"/>
    <w:rsid w:val="002634C4"/>
    <w:rsid w:val="00272CEF"/>
    <w:rsid w:val="002825F2"/>
    <w:rsid w:val="002928D3"/>
    <w:rsid w:val="002B4650"/>
    <w:rsid w:val="002F1FE6"/>
    <w:rsid w:val="002F4E68"/>
    <w:rsid w:val="00312F7F"/>
    <w:rsid w:val="00361450"/>
    <w:rsid w:val="003673CF"/>
    <w:rsid w:val="003845C1"/>
    <w:rsid w:val="00386A85"/>
    <w:rsid w:val="0039258E"/>
    <w:rsid w:val="003A6F89"/>
    <w:rsid w:val="003B38C1"/>
    <w:rsid w:val="003D14DF"/>
    <w:rsid w:val="003F1144"/>
    <w:rsid w:val="00423E3E"/>
    <w:rsid w:val="00427AF4"/>
    <w:rsid w:val="004639A0"/>
    <w:rsid w:val="004647DA"/>
    <w:rsid w:val="00474062"/>
    <w:rsid w:val="0047777C"/>
    <w:rsid w:val="00477D6B"/>
    <w:rsid w:val="00492959"/>
    <w:rsid w:val="00494B30"/>
    <w:rsid w:val="00495C66"/>
    <w:rsid w:val="004A1277"/>
    <w:rsid w:val="004A3EDA"/>
    <w:rsid w:val="004A554D"/>
    <w:rsid w:val="004B41A1"/>
    <w:rsid w:val="005019FF"/>
    <w:rsid w:val="0053057A"/>
    <w:rsid w:val="0053131A"/>
    <w:rsid w:val="00560A29"/>
    <w:rsid w:val="00562D47"/>
    <w:rsid w:val="00567219"/>
    <w:rsid w:val="005B0DE1"/>
    <w:rsid w:val="005C6649"/>
    <w:rsid w:val="005E2B53"/>
    <w:rsid w:val="00602B7E"/>
    <w:rsid w:val="00605827"/>
    <w:rsid w:val="006137C4"/>
    <w:rsid w:val="00633C8B"/>
    <w:rsid w:val="00646050"/>
    <w:rsid w:val="006572A8"/>
    <w:rsid w:val="006713CA"/>
    <w:rsid w:val="00676C5C"/>
    <w:rsid w:val="006B63DB"/>
    <w:rsid w:val="0075086F"/>
    <w:rsid w:val="00766CE3"/>
    <w:rsid w:val="007A3515"/>
    <w:rsid w:val="007D1613"/>
    <w:rsid w:val="007E7BF9"/>
    <w:rsid w:val="00802DBB"/>
    <w:rsid w:val="00854147"/>
    <w:rsid w:val="008969EF"/>
    <w:rsid w:val="008B2CC1"/>
    <w:rsid w:val="008B60B2"/>
    <w:rsid w:val="008C453A"/>
    <w:rsid w:val="009000CE"/>
    <w:rsid w:val="0090731E"/>
    <w:rsid w:val="00916EE2"/>
    <w:rsid w:val="00945EB3"/>
    <w:rsid w:val="00947BB7"/>
    <w:rsid w:val="0096032A"/>
    <w:rsid w:val="00966A22"/>
    <w:rsid w:val="0096722F"/>
    <w:rsid w:val="00980843"/>
    <w:rsid w:val="009E2791"/>
    <w:rsid w:val="009E3F6F"/>
    <w:rsid w:val="009F499F"/>
    <w:rsid w:val="00A20FA7"/>
    <w:rsid w:val="00A354AC"/>
    <w:rsid w:val="00A42DAF"/>
    <w:rsid w:val="00A45BD8"/>
    <w:rsid w:val="00A638F3"/>
    <w:rsid w:val="00A76463"/>
    <w:rsid w:val="00A869B7"/>
    <w:rsid w:val="00A9592C"/>
    <w:rsid w:val="00AB14B6"/>
    <w:rsid w:val="00AC205C"/>
    <w:rsid w:val="00AE46B1"/>
    <w:rsid w:val="00AF0A6B"/>
    <w:rsid w:val="00AF3378"/>
    <w:rsid w:val="00B05A69"/>
    <w:rsid w:val="00B20995"/>
    <w:rsid w:val="00B33808"/>
    <w:rsid w:val="00B90838"/>
    <w:rsid w:val="00B9734B"/>
    <w:rsid w:val="00BA30E2"/>
    <w:rsid w:val="00BA314C"/>
    <w:rsid w:val="00BA7370"/>
    <w:rsid w:val="00BD3C06"/>
    <w:rsid w:val="00BD42C3"/>
    <w:rsid w:val="00C10F7B"/>
    <w:rsid w:val="00C11BFE"/>
    <w:rsid w:val="00C919CE"/>
    <w:rsid w:val="00CD04F1"/>
    <w:rsid w:val="00CE326D"/>
    <w:rsid w:val="00CE6EB9"/>
    <w:rsid w:val="00D45252"/>
    <w:rsid w:val="00D501A7"/>
    <w:rsid w:val="00D71B4D"/>
    <w:rsid w:val="00D80E3D"/>
    <w:rsid w:val="00D85E82"/>
    <w:rsid w:val="00D93D55"/>
    <w:rsid w:val="00DA5468"/>
    <w:rsid w:val="00E12D47"/>
    <w:rsid w:val="00E22669"/>
    <w:rsid w:val="00E27DD1"/>
    <w:rsid w:val="00E335FE"/>
    <w:rsid w:val="00E62053"/>
    <w:rsid w:val="00E67ED1"/>
    <w:rsid w:val="00E872F3"/>
    <w:rsid w:val="00E976C4"/>
    <w:rsid w:val="00EC4E49"/>
    <w:rsid w:val="00ED77FB"/>
    <w:rsid w:val="00EE45FA"/>
    <w:rsid w:val="00F17057"/>
    <w:rsid w:val="00F17E2E"/>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ONUMEChar">
    <w:name w:val="ONUM E Char"/>
    <w:link w:val="ONUME"/>
    <w:rsid w:val="005B0DE1"/>
    <w:rPr>
      <w:rFonts w:ascii="Arial" w:eastAsia="SimSun" w:hAnsi="Arial" w:cs="Arial"/>
      <w:sz w:val="22"/>
      <w:lang w:eastAsia="zh-CN"/>
    </w:rPr>
  </w:style>
  <w:style w:type="character" w:styleId="FootnoteReference">
    <w:name w:val="footnote reference"/>
    <w:rsid w:val="00802DBB"/>
    <w:rPr>
      <w:vertAlign w:val="superscript"/>
    </w:rPr>
  </w:style>
  <w:style w:type="paragraph" w:customStyle="1" w:styleId="Heading1AL">
    <w:name w:val="Heading 1 AL"/>
    <w:basedOn w:val="Normal"/>
    <w:link w:val="Heading1ALChar"/>
    <w:rsid w:val="00802DBB"/>
    <w:pPr>
      <w:jc w:val="center"/>
    </w:pPr>
    <w:rPr>
      <w:b/>
      <w:i/>
    </w:rPr>
  </w:style>
  <w:style w:type="character" w:customStyle="1" w:styleId="Heading1ALChar">
    <w:name w:val="Heading 1 AL Char"/>
    <w:link w:val="Heading1AL"/>
    <w:rsid w:val="00802DBB"/>
    <w:rPr>
      <w:rFonts w:ascii="Arial" w:eastAsia="SimSun" w:hAnsi="Arial" w:cs="Arial"/>
      <w:b/>
      <w:i/>
      <w:sz w:val="22"/>
      <w:lang w:eastAsia="zh-CN"/>
    </w:rPr>
  </w:style>
  <w:style w:type="paragraph" w:customStyle="1" w:styleId="Heading2AL">
    <w:name w:val="Heading 2 AL"/>
    <w:basedOn w:val="Normal"/>
    <w:link w:val="Heading2ALChar"/>
    <w:rsid w:val="00802DBB"/>
    <w:pPr>
      <w:ind w:left="1100"/>
    </w:pPr>
    <w:rPr>
      <w:noProof/>
      <w:u w:val="single"/>
    </w:rPr>
  </w:style>
  <w:style w:type="character" w:customStyle="1" w:styleId="Heading2ALChar">
    <w:name w:val="Heading 2 AL Char"/>
    <w:link w:val="Heading2AL"/>
    <w:rsid w:val="00802DBB"/>
    <w:rPr>
      <w:rFonts w:ascii="Arial" w:eastAsia="SimSun" w:hAnsi="Arial" w:cs="Arial"/>
      <w:noProof/>
      <w:sz w:val="22"/>
      <w:u w:val="single"/>
      <w:lang w:eastAsia="zh-CN"/>
    </w:rPr>
  </w:style>
  <w:style w:type="paragraph" w:styleId="ListParagraph">
    <w:name w:val="List Paragraph"/>
    <w:basedOn w:val="Normal"/>
    <w:uiPriority w:val="34"/>
    <w:qFormat/>
    <w:rsid w:val="007A35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ONUMEChar">
    <w:name w:val="ONUM E Char"/>
    <w:link w:val="ONUME"/>
    <w:rsid w:val="005B0DE1"/>
    <w:rPr>
      <w:rFonts w:ascii="Arial" w:eastAsia="SimSun" w:hAnsi="Arial" w:cs="Arial"/>
      <w:sz w:val="22"/>
      <w:lang w:eastAsia="zh-CN"/>
    </w:rPr>
  </w:style>
  <w:style w:type="character" w:styleId="FootnoteReference">
    <w:name w:val="footnote reference"/>
    <w:rsid w:val="00802DBB"/>
    <w:rPr>
      <w:vertAlign w:val="superscript"/>
    </w:rPr>
  </w:style>
  <w:style w:type="paragraph" w:customStyle="1" w:styleId="Heading1AL">
    <w:name w:val="Heading 1 AL"/>
    <w:basedOn w:val="Normal"/>
    <w:link w:val="Heading1ALChar"/>
    <w:rsid w:val="00802DBB"/>
    <w:pPr>
      <w:jc w:val="center"/>
    </w:pPr>
    <w:rPr>
      <w:b/>
      <w:i/>
    </w:rPr>
  </w:style>
  <w:style w:type="character" w:customStyle="1" w:styleId="Heading1ALChar">
    <w:name w:val="Heading 1 AL Char"/>
    <w:link w:val="Heading1AL"/>
    <w:rsid w:val="00802DBB"/>
    <w:rPr>
      <w:rFonts w:ascii="Arial" w:eastAsia="SimSun" w:hAnsi="Arial" w:cs="Arial"/>
      <w:b/>
      <w:i/>
      <w:sz w:val="22"/>
      <w:lang w:eastAsia="zh-CN"/>
    </w:rPr>
  </w:style>
  <w:style w:type="paragraph" w:customStyle="1" w:styleId="Heading2AL">
    <w:name w:val="Heading 2 AL"/>
    <w:basedOn w:val="Normal"/>
    <w:link w:val="Heading2ALChar"/>
    <w:rsid w:val="00802DBB"/>
    <w:pPr>
      <w:ind w:left="1100"/>
    </w:pPr>
    <w:rPr>
      <w:noProof/>
      <w:u w:val="single"/>
    </w:rPr>
  </w:style>
  <w:style w:type="character" w:customStyle="1" w:styleId="Heading2ALChar">
    <w:name w:val="Heading 2 AL Char"/>
    <w:link w:val="Heading2AL"/>
    <w:rsid w:val="00802DBB"/>
    <w:rPr>
      <w:rFonts w:ascii="Arial" w:eastAsia="SimSun" w:hAnsi="Arial" w:cs="Arial"/>
      <w:noProof/>
      <w:sz w:val="22"/>
      <w:u w:val="single"/>
      <w:lang w:eastAsia="zh-CN"/>
    </w:rPr>
  </w:style>
  <w:style w:type="paragraph" w:styleId="ListParagraph">
    <w:name w:val="List Paragraph"/>
    <w:basedOn w:val="Normal"/>
    <w:uiPriority w:val="34"/>
    <w:qFormat/>
    <w:rsid w:val="007A3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3068D-0A42-4CE3-93C7-1AAF0338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47</TotalTime>
  <Pages>2</Pages>
  <Words>778</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RIZO Marie Paule</dc:creator>
  <cp:lastModifiedBy>HÄFLIGER Patience</cp:lastModifiedBy>
  <cp:revision>26</cp:revision>
  <cp:lastPrinted>2016-06-28T14:36:00Z</cp:lastPrinted>
  <dcterms:created xsi:type="dcterms:W3CDTF">2016-05-30T10:05:00Z</dcterms:created>
  <dcterms:modified xsi:type="dcterms:W3CDTF">2016-06-28T14:36:00Z</dcterms:modified>
</cp:coreProperties>
</file>