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B75C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924E1D" w:rsidP="00916EE2">
            <w:pPr>
              <w:jc w:val="right"/>
              <w:rPr>
                <w:rFonts w:ascii="Arial Black" w:hAnsi="Arial Black"/>
                <w:caps/>
                <w:sz w:val="15"/>
              </w:rPr>
            </w:pPr>
            <w:r>
              <w:rPr>
                <w:rFonts w:ascii="Arial Black" w:hAnsi="Arial Black"/>
                <w:caps/>
                <w:sz w:val="15"/>
              </w:rPr>
              <w:t>WO/GA/46/</w:t>
            </w:r>
            <w:bookmarkStart w:id="0" w:name="Code"/>
            <w:bookmarkEnd w:id="0"/>
            <w:r w:rsidR="00192C16">
              <w:rPr>
                <w:rFonts w:ascii="Arial Black" w:hAnsi="Arial Black"/>
                <w:caps/>
                <w:sz w:val="15"/>
              </w:rPr>
              <w:t>8</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192C16">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192C16">
              <w:rPr>
                <w:rFonts w:ascii="Arial Black" w:hAnsi="Arial Black"/>
                <w:caps/>
                <w:sz w:val="15"/>
              </w:rPr>
              <w:t>July 22,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924E1D" w:rsidP="008B2CC1">
      <w:pPr>
        <w:rPr>
          <w:b/>
          <w:sz w:val="28"/>
          <w:szCs w:val="28"/>
        </w:rPr>
      </w:pPr>
      <w:r w:rsidRPr="00924E1D">
        <w:rPr>
          <w:b/>
          <w:sz w:val="28"/>
          <w:szCs w:val="28"/>
        </w:rPr>
        <w:t>WIPO General Assembly</w:t>
      </w:r>
    </w:p>
    <w:p w:rsidR="003845C1" w:rsidRDefault="003845C1" w:rsidP="003845C1"/>
    <w:p w:rsidR="00A85B8E" w:rsidRDefault="00A85B8E" w:rsidP="003845C1"/>
    <w:p w:rsidR="008B2CC1" w:rsidRPr="003845C1" w:rsidRDefault="00924E1D" w:rsidP="008B2CC1">
      <w:pPr>
        <w:rPr>
          <w:b/>
          <w:sz w:val="24"/>
          <w:szCs w:val="24"/>
        </w:rPr>
      </w:pPr>
      <w:r w:rsidRPr="00924E1D">
        <w:rPr>
          <w:b/>
          <w:sz w:val="24"/>
          <w:szCs w:val="24"/>
        </w:rPr>
        <w:t>Forty-Sixth (25</w:t>
      </w:r>
      <w:r w:rsidRPr="00CE0AF5">
        <w:rPr>
          <w:b/>
          <w:sz w:val="24"/>
          <w:szCs w:val="24"/>
          <w:vertAlign w:val="superscript"/>
        </w:rPr>
        <w:t>th</w:t>
      </w:r>
      <w:r w:rsidR="00CE0AF5">
        <w:rPr>
          <w:b/>
          <w:sz w:val="24"/>
          <w:szCs w:val="24"/>
        </w:rPr>
        <w:t xml:space="preserve"> </w:t>
      </w:r>
      <w:r w:rsidRPr="00924E1D">
        <w:rPr>
          <w:b/>
          <w:sz w:val="24"/>
          <w:szCs w:val="24"/>
        </w:rPr>
        <w:t>Extraordinary) Session</w:t>
      </w:r>
    </w:p>
    <w:p w:rsidR="008B2CC1" w:rsidRPr="003845C1" w:rsidRDefault="00924E1D" w:rsidP="008B2CC1">
      <w:pPr>
        <w:rPr>
          <w:b/>
          <w:sz w:val="24"/>
          <w:szCs w:val="24"/>
        </w:rPr>
      </w:pPr>
      <w:r w:rsidRPr="00924E1D">
        <w:rPr>
          <w:b/>
          <w:sz w:val="24"/>
          <w:szCs w:val="24"/>
        </w:rPr>
        <w:t>Geneva, September 22 to 30,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192C16" w:rsidP="008B2CC1">
      <w:pPr>
        <w:rPr>
          <w:caps/>
          <w:sz w:val="24"/>
        </w:rPr>
      </w:pPr>
      <w:bookmarkStart w:id="3" w:name="TitleOfDoc"/>
      <w:bookmarkEnd w:id="3"/>
      <w:r>
        <w:rPr>
          <w:caps/>
          <w:sz w:val="24"/>
        </w:rPr>
        <w:t>WIPO ARBI</w:t>
      </w:r>
      <w:r w:rsidR="000D1C81">
        <w:rPr>
          <w:caps/>
          <w:sz w:val="24"/>
        </w:rPr>
        <w:t>tration</w:t>
      </w:r>
      <w:r>
        <w:rPr>
          <w:caps/>
          <w:sz w:val="24"/>
        </w:rPr>
        <w:t xml:space="preserve"> AND MEDIATION Center, Including Domain Names</w:t>
      </w:r>
    </w:p>
    <w:p w:rsidR="008B2CC1" w:rsidRPr="008B2CC1" w:rsidRDefault="008B2CC1" w:rsidP="008B2CC1"/>
    <w:p w:rsidR="008B2CC1" w:rsidRDefault="00192C16" w:rsidP="008B2CC1">
      <w:pPr>
        <w:rPr>
          <w:i/>
        </w:rPr>
      </w:pPr>
      <w:bookmarkStart w:id="4" w:name="Prepared"/>
      <w:bookmarkEnd w:id="4"/>
      <w:r>
        <w:rPr>
          <w:i/>
        </w:rPr>
        <w:t>Document prepared by the Secretariat</w:t>
      </w:r>
    </w:p>
    <w:p w:rsidR="00192C16" w:rsidRDefault="00192C16" w:rsidP="008B2CC1">
      <w:pPr>
        <w:rPr>
          <w:i/>
        </w:rPr>
      </w:pPr>
    </w:p>
    <w:p w:rsidR="00192C16" w:rsidRPr="002953D8" w:rsidRDefault="00192C16" w:rsidP="00192C16">
      <w:pPr>
        <w:rPr>
          <w:snapToGrid w:val="0"/>
          <w:szCs w:val="22"/>
        </w:rPr>
      </w:pPr>
      <w:r w:rsidRPr="002953D8">
        <w:rPr>
          <w:rStyle w:val="ONUMEChar"/>
          <w:szCs w:val="22"/>
        </w:rPr>
        <w:fldChar w:fldCharType="begin"/>
      </w:r>
      <w:r w:rsidRPr="002953D8">
        <w:rPr>
          <w:rStyle w:val="ONUMEChar"/>
          <w:szCs w:val="22"/>
        </w:rPr>
        <w:instrText xml:space="preserve"> AUTONUM  </w:instrText>
      </w:r>
      <w:r w:rsidRPr="002953D8">
        <w:rPr>
          <w:rStyle w:val="ONUMEChar"/>
          <w:szCs w:val="22"/>
        </w:rPr>
        <w:fldChar w:fldCharType="end"/>
      </w:r>
      <w:r w:rsidRPr="002953D8">
        <w:rPr>
          <w:szCs w:val="22"/>
        </w:rPr>
        <w:tab/>
      </w:r>
      <w:r w:rsidRPr="002953D8">
        <w:rPr>
          <w:rStyle w:val="ONUMEChar"/>
          <w:szCs w:val="22"/>
        </w:rPr>
        <w:t xml:space="preserve">This document provides an update on the WIPO Arbitration and Mediation Center’s (“Center”) activities as an international resource </w:t>
      </w:r>
      <w:r w:rsidRPr="002953D8">
        <w:rPr>
          <w:snapToGrid w:val="0"/>
          <w:szCs w:val="22"/>
        </w:rPr>
        <w:t xml:space="preserve">for time- and cost-efficient alternatives to court litigation of intellectual property </w:t>
      </w:r>
      <w:r>
        <w:rPr>
          <w:snapToGrid w:val="0"/>
          <w:szCs w:val="22"/>
        </w:rPr>
        <w:t xml:space="preserve">(IP) </w:t>
      </w:r>
      <w:r w:rsidRPr="002953D8">
        <w:rPr>
          <w:snapToGrid w:val="0"/>
          <w:szCs w:val="22"/>
        </w:rPr>
        <w:t>disputes, acting both as a provider of legal and organizational expertise and as an administrator of cases.</w:t>
      </w:r>
      <w:r w:rsidRPr="002953D8">
        <w:rPr>
          <w:rStyle w:val="ONUMEChar"/>
          <w:szCs w:val="22"/>
          <w:vertAlign w:val="superscript"/>
        </w:rPr>
        <w:footnoteReference w:id="2"/>
      </w:r>
      <w:r w:rsidRPr="002953D8">
        <w:rPr>
          <w:snapToGrid w:val="0"/>
          <w:szCs w:val="22"/>
        </w:rPr>
        <w:t xml:space="preserve">  </w:t>
      </w:r>
    </w:p>
    <w:p w:rsidR="00192C16" w:rsidRPr="002953D8" w:rsidRDefault="00192C16" w:rsidP="00192C16">
      <w:pPr>
        <w:rPr>
          <w:snapToGrid w:val="0"/>
          <w:szCs w:val="22"/>
        </w:rPr>
      </w:pPr>
    </w:p>
    <w:p w:rsidR="00192C16" w:rsidRDefault="00192C16" w:rsidP="00192C16">
      <w:pPr>
        <w:rPr>
          <w:rStyle w:val="ONUMEChar"/>
        </w:rPr>
      </w:pPr>
      <w:r w:rsidRPr="002953D8">
        <w:rPr>
          <w:snapToGrid w:val="0"/>
          <w:szCs w:val="22"/>
        </w:rPr>
        <w:t>2.</w:t>
      </w:r>
      <w:r w:rsidRPr="002953D8">
        <w:rPr>
          <w:snapToGrid w:val="0"/>
          <w:szCs w:val="22"/>
        </w:rPr>
        <w:tab/>
      </w:r>
      <w:r w:rsidRPr="002953D8">
        <w:rPr>
          <w:rStyle w:val="ONUMEChar"/>
          <w:szCs w:val="22"/>
        </w:rPr>
        <w:t>This document also provides an update on the domain name</w:t>
      </w:r>
      <w:r w:rsidRPr="002953D8">
        <w:rPr>
          <w:rStyle w:val="ONUMEChar"/>
          <w:szCs w:val="22"/>
        </w:rPr>
        <w:noBreakHyphen/>
        <w:t>related activities of WIPO, as</w:t>
      </w:r>
      <w:r>
        <w:rPr>
          <w:rStyle w:val="ONUMEChar"/>
          <w:szCs w:val="22"/>
        </w:rPr>
        <w:t xml:space="preserve"> previously reported in WO/GA/43</w:t>
      </w:r>
      <w:r w:rsidRPr="004B7471">
        <w:rPr>
          <w:rStyle w:val="ONUMEChar"/>
          <w:szCs w:val="22"/>
        </w:rPr>
        <w:t>/17.</w:t>
      </w:r>
      <w:r w:rsidRPr="002953D8">
        <w:rPr>
          <w:rStyle w:val="ONUMEChar"/>
          <w:szCs w:val="22"/>
        </w:rPr>
        <w:t xml:space="preserve">  It covers the Center’s administration of domain name disputes</w:t>
      </w:r>
      <w:r w:rsidRPr="002953D8">
        <w:rPr>
          <w:rStyle w:val="ONUMEChar"/>
        </w:rPr>
        <w:t xml:space="preserve"> under different policies and various related aspects of the Internet Domain Name System (DNS), as well as selected policy developments, in particular rights protection mechanisms (RPMs) for the introduction of new generic top</w:t>
      </w:r>
      <w:r w:rsidRPr="002953D8">
        <w:rPr>
          <w:rStyle w:val="ONUMEChar"/>
        </w:rPr>
        <w:noBreakHyphen/>
        <w:t xml:space="preserve">level domains (gTLDs), the emergence of internationalized domain names (IDNs) as gTLDs, the planned future revision by </w:t>
      </w:r>
      <w:r w:rsidRPr="002953D8">
        <w:rPr>
          <w:szCs w:val="24"/>
        </w:rPr>
        <w:t xml:space="preserve">the Internet Corporation for Assigned Names and Numbers (ICANN) </w:t>
      </w:r>
      <w:r w:rsidRPr="002953D8">
        <w:rPr>
          <w:rStyle w:val="ONUMEChar"/>
        </w:rPr>
        <w:t xml:space="preserve">of the </w:t>
      </w:r>
      <w:r w:rsidRPr="002953D8">
        <w:rPr>
          <w:szCs w:val="24"/>
        </w:rPr>
        <w:t xml:space="preserve">Uniform Domain Name Dispute Resolution Policy (UDRP), </w:t>
      </w:r>
      <w:r w:rsidRPr="002953D8">
        <w:rPr>
          <w:rStyle w:val="ONUMEChar"/>
        </w:rPr>
        <w:t xml:space="preserve">and the status of the recommendations made by the Member States of WIPO in the context of the Second WIPO Internet Domain Name Process.  </w:t>
      </w:r>
    </w:p>
    <w:p w:rsidR="00192C16" w:rsidRDefault="00192C16" w:rsidP="00192C16">
      <w:pPr>
        <w:rPr>
          <w:rStyle w:val="ONUMEChar"/>
        </w:rPr>
      </w:pPr>
    </w:p>
    <w:p w:rsidR="00192C16" w:rsidRDefault="00192C16" w:rsidP="00192C16">
      <w:pPr>
        <w:pStyle w:val="Heading1"/>
        <w:keepNext w:val="0"/>
        <w:spacing w:before="0" w:after="0"/>
        <w:ind w:left="550" w:hanging="550"/>
      </w:pPr>
      <w:r w:rsidRPr="002953D8">
        <w:t>I.</w:t>
      </w:r>
      <w:r w:rsidRPr="002953D8">
        <w:tab/>
        <w:t xml:space="preserve">Arbitration AND Mediation of </w:t>
      </w:r>
      <w:r w:rsidR="00A66287">
        <w:t>IP</w:t>
      </w:r>
      <w:r w:rsidRPr="002953D8">
        <w:t xml:space="preserve"> Disputes</w:t>
      </w:r>
    </w:p>
    <w:p w:rsidR="00192C16" w:rsidRPr="002953D8" w:rsidRDefault="00192C16" w:rsidP="00192C16">
      <w:pPr>
        <w:pStyle w:val="Heading2"/>
        <w:keepNext w:val="0"/>
        <w:rPr>
          <w:szCs w:val="22"/>
        </w:rPr>
      </w:pPr>
      <w:r w:rsidRPr="002953D8">
        <w:rPr>
          <w:szCs w:val="22"/>
        </w:rPr>
        <w:t>A.</w:t>
      </w:r>
      <w:r w:rsidRPr="002953D8">
        <w:rPr>
          <w:szCs w:val="22"/>
        </w:rPr>
        <w:tab/>
      </w:r>
      <w:r>
        <w:rPr>
          <w:szCs w:val="22"/>
        </w:rPr>
        <w:t>arbitration and mediation case administration</w:t>
      </w:r>
    </w:p>
    <w:p w:rsidR="00192C16" w:rsidRPr="002953D8" w:rsidRDefault="00192C16" w:rsidP="00192C16">
      <w:pPr>
        <w:jc w:val="both"/>
        <w:rPr>
          <w:snapToGrid w:val="0"/>
          <w:sz w:val="20"/>
        </w:rPr>
      </w:pPr>
    </w:p>
    <w:p w:rsidR="00192C16" w:rsidRDefault="00192C16" w:rsidP="00192C16">
      <w:r w:rsidRPr="002953D8">
        <w:rPr>
          <w:rStyle w:val="ONUMEChar"/>
        </w:rPr>
        <w:t>3.</w:t>
      </w:r>
      <w:r w:rsidRPr="002953D8">
        <w:rPr>
          <w:rStyle w:val="ONUMEChar"/>
        </w:rPr>
        <w:tab/>
      </w:r>
      <w:r>
        <w:t>T</w:t>
      </w:r>
      <w:r w:rsidRPr="00981F37">
        <w:t xml:space="preserve">he Center </w:t>
      </w:r>
      <w:r>
        <w:t xml:space="preserve">has continued </w:t>
      </w:r>
      <w:r w:rsidRPr="00981F37">
        <w:t>to optimize the potential of its mediation and arbitration procedures to meet the needs of</w:t>
      </w:r>
      <w:r>
        <w:t xml:space="preserve"> IP right holders for time-</w:t>
      </w:r>
      <w:r w:rsidRPr="00981F37">
        <w:t xml:space="preserve"> and cost</w:t>
      </w:r>
      <w:r w:rsidRPr="00981F37">
        <w:noBreakHyphen/>
        <w:t>effectiveness in the resolution of disputes in relation to those rights.  The principal component of this effort is quality management and resolution of cases conducted under those procedures, which entails training</w:t>
      </w:r>
      <w:r>
        <w:rPr>
          <w:rStyle w:val="FootnoteReference"/>
        </w:rPr>
        <w:footnoteReference w:id="3"/>
      </w:r>
      <w:r w:rsidRPr="00981F37">
        <w:t xml:space="preserve"> and appointing qualified arbitrators and mediators, maintaining up-to-date case administration </w:t>
      </w:r>
      <w:r w:rsidRPr="00981F37">
        <w:lastRenderedPageBreak/>
        <w:t>infrastructure, including through the use of information technology such as the WIPO Electronic Case Facility (ECAF),</w:t>
      </w:r>
      <w:r>
        <w:rPr>
          <w:rStyle w:val="FootnoteReference"/>
        </w:rPr>
        <w:footnoteReference w:id="4"/>
      </w:r>
      <w:r w:rsidRPr="00981F37">
        <w:t xml:space="preserve"> and active management of WIPO cases, including su</w:t>
      </w:r>
      <w:r>
        <w:t xml:space="preserve">pport to appointed neutrals.  WIPO cases in the past year </w:t>
      </w:r>
      <w:r w:rsidRPr="00981F37">
        <w:t>included those related to patent</w:t>
      </w:r>
      <w:r>
        <w:t>s</w:t>
      </w:r>
      <w:r w:rsidRPr="00981F37">
        <w:t>, trademark</w:t>
      </w:r>
      <w:r>
        <w:t>s</w:t>
      </w:r>
      <w:r w:rsidRPr="00981F37">
        <w:t>, software</w:t>
      </w:r>
      <w:r>
        <w:t>, and</w:t>
      </w:r>
      <w:r w:rsidRPr="00981F37">
        <w:t xml:space="preserve"> </w:t>
      </w:r>
      <w:r>
        <w:t>research and development (R&amp;D)</w:t>
      </w:r>
      <w:r w:rsidRPr="00981F37">
        <w:t xml:space="preserve">, and were </w:t>
      </w:r>
      <w:r w:rsidR="00E82CA6">
        <w:t xml:space="preserve">filed with the </w:t>
      </w:r>
      <w:r w:rsidRPr="00981F37">
        <w:t>Center by parties on the basis of prior contract clauses as well as submission agreements.</w:t>
      </w:r>
    </w:p>
    <w:p w:rsidR="00192C16" w:rsidRDefault="00192C16" w:rsidP="00192C16"/>
    <w:p w:rsidR="003721E0" w:rsidRDefault="003721E0" w:rsidP="00192C16"/>
    <w:p w:rsidR="00192C16" w:rsidRPr="002E68D6" w:rsidRDefault="00192C16" w:rsidP="005A00C2">
      <w:pPr>
        <w:pStyle w:val="Heading3"/>
        <w:spacing w:before="0" w:after="0"/>
        <w:ind w:left="567" w:hanging="567"/>
        <w:rPr>
          <w:szCs w:val="22"/>
          <w:u w:val="none"/>
        </w:rPr>
      </w:pPr>
      <w:r w:rsidRPr="002E68D6">
        <w:rPr>
          <w:szCs w:val="22"/>
          <w:u w:val="none"/>
        </w:rPr>
        <w:t>B.</w:t>
      </w:r>
      <w:r w:rsidRPr="002E68D6">
        <w:rPr>
          <w:szCs w:val="22"/>
          <w:u w:val="none"/>
        </w:rPr>
        <w:tab/>
        <w:t>REVISION OF THE WIPO MEDIATION,</w:t>
      </w:r>
      <w:r>
        <w:rPr>
          <w:szCs w:val="22"/>
          <w:u w:val="none"/>
        </w:rPr>
        <w:t xml:space="preserve"> </w:t>
      </w:r>
      <w:r w:rsidRPr="002E68D6">
        <w:rPr>
          <w:szCs w:val="22"/>
          <w:u w:val="none"/>
        </w:rPr>
        <w:t>ARBITRATION</w:t>
      </w:r>
      <w:r w:rsidR="00E82CA6">
        <w:rPr>
          <w:szCs w:val="22"/>
          <w:u w:val="none"/>
        </w:rPr>
        <w:t xml:space="preserve"> AND </w:t>
      </w:r>
      <w:r w:rsidRPr="002E68D6">
        <w:rPr>
          <w:szCs w:val="22"/>
          <w:u w:val="none"/>
        </w:rPr>
        <w:t>EXPEDITED</w:t>
      </w:r>
      <w:r w:rsidR="00E82CA6">
        <w:rPr>
          <w:szCs w:val="22"/>
          <w:u w:val="none"/>
        </w:rPr>
        <w:t xml:space="preserve"> </w:t>
      </w:r>
      <w:r w:rsidR="00CE2080">
        <w:rPr>
          <w:szCs w:val="22"/>
          <w:u w:val="none"/>
        </w:rPr>
        <w:t xml:space="preserve">ARBITRATION </w:t>
      </w:r>
      <w:r w:rsidRPr="002E68D6">
        <w:rPr>
          <w:szCs w:val="22"/>
          <w:u w:val="none"/>
        </w:rPr>
        <w:t>RULES</w:t>
      </w:r>
    </w:p>
    <w:p w:rsidR="00192C16" w:rsidRDefault="00192C16" w:rsidP="00192C16">
      <w:pPr>
        <w:pStyle w:val="Heading3"/>
        <w:spacing w:before="0" w:after="0"/>
        <w:rPr>
          <w:szCs w:val="22"/>
        </w:rPr>
      </w:pPr>
    </w:p>
    <w:p w:rsidR="00192C16" w:rsidRDefault="00192C16" w:rsidP="00192C16">
      <w:r>
        <w:t>4.</w:t>
      </w:r>
      <w:r>
        <w:tab/>
      </w:r>
      <w:r w:rsidRPr="00F75408">
        <w:t>In 2013, the</w:t>
      </w:r>
      <w:r w:rsidRPr="00865934">
        <w:t xml:space="preserve"> Center </w:t>
      </w:r>
      <w:r>
        <w:t xml:space="preserve">completed a review of the WIPO Mediation, </w:t>
      </w:r>
      <w:r w:rsidRPr="00865934">
        <w:t>Arbitration</w:t>
      </w:r>
      <w:r>
        <w:t xml:space="preserve"> and Expedited Arbitration</w:t>
      </w:r>
      <w:r w:rsidRPr="00865934">
        <w:t xml:space="preserve"> Rules (WIPO Rules).</w:t>
      </w:r>
      <w:r>
        <w:rPr>
          <w:rStyle w:val="FootnoteReference"/>
        </w:rPr>
        <w:footnoteReference w:id="5"/>
      </w:r>
      <w:r w:rsidRPr="00865934">
        <w:t xml:space="preserve">  Informed by WIPO case experience and by the global evolution of </w:t>
      </w:r>
      <w:r w:rsidR="00232512">
        <w:t>alternative dispute resolution (ADR)</w:t>
      </w:r>
      <w:r w:rsidRPr="00865934">
        <w:t xml:space="preserve"> practices, </w:t>
      </w:r>
      <w:r>
        <w:t xml:space="preserve">and underscoring the Center’s commitment to the efficiency of proceedings conducted under its Rules, </w:t>
      </w:r>
      <w:r w:rsidRPr="00865934">
        <w:t xml:space="preserve">the </w:t>
      </w:r>
      <w:r>
        <w:t>revised</w:t>
      </w:r>
      <w:r w:rsidRPr="00865934">
        <w:t xml:space="preserve"> WIPO Rules introduce several novelties.  </w:t>
      </w:r>
      <w:r>
        <w:t>Notably</w:t>
      </w:r>
      <w:r w:rsidRPr="00865934">
        <w:t>, with a view to multiparty arbitrations that</w:t>
      </w:r>
      <w:r>
        <w:t xml:space="preserve"> </w:t>
      </w:r>
      <w:r w:rsidRPr="00865934">
        <w:t>play a growing role in the WIPO Center’s caseload,</w:t>
      </w:r>
      <w:r>
        <w:t xml:space="preserve"> under the new WIPO </w:t>
      </w:r>
      <w:r w:rsidRPr="00865934">
        <w:t>Arbitrat</w:t>
      </w:r>
      <w:r>
        <w:t xml:space="preserve">ion and Expedited Arbitration Rules, parties </w:t>
      </w:r>
      <w:r w:rsidRPr="00865934">
        <w:t xml:space="preserve">may request joinder of additional parties and consolidation of (expedited) arbitration </w:t>
      </w:r>
      <w:r>
        <w:t>proceedings</w:t>
      </w:r>
      <w:r w:rsidRPr="00865934">
        <w:t xml:space="preserve"> </w:t>
      </w:r>
      <w:r>
        <w:t>subject to certain conditions</w:t>
      </w:r>
      <w:r w:rsidRPr="00865934">
        <w:t xml:space="preserve">.  </w:t>
      </w:r>
      <w:r>
        <w:t>In addition, i</w:t>
      </w:r>
      <w:r w:rsidRPr="005A103D">
        <w:t xml:space="preserve">n line with emerging standards in national and international institutional arbitration, and taking </w:t>
      </w:r>
      <w:r>
        <w:t xml:space="preserve">account </w:t>
      </w:r>
      <w:r w:rsidRPr="005A103D">
        <w:t>of previous WIPO work on this topic,</w:t>
      </w:r>
      <w:r w:rsidR="007962E9">
        <w:rPr>
          <w:rStyle w:val="FootnoteReference"/>
        </w:rPr>
        <w:footnoteReference w:id="6"/>
      </w:r>
      <w:r w:rsidRPr="005A103D">
        <w:t xml:space="preserve"> the WIPO</w:t>
      </w:r>
      <w:r>
        <w:t xml:space="preserve"> </w:t>
      </w:r>
      <w:r w:rsidRPr="005A103D">
        <w:t xml:space="preserve">Arbitration </w:t>
      </w:r>
      <w:r>
        <w:t xml:space="preserve">and Expedited Arbitration </w:t>
      </w:r>
      <w:r w:rsidRPr="005A103D">
        <w:t xml:space="preserve">Rules </w:t>
      </w:r>
      <w:r>
        <w:t xml:space="preserve">now </w:t>
      </w:r>
      <w:r w:rsidRPr="005A103D">
        <w:t>make available an emergency relief procedure pri</w:t>
      </w:r>
      <w:r>
        <w:t>or to the establishment of the arbitral t</w:t>
      </w:r>
      <w:r w:rsidRPr="005A103D">
        <w:t>ribunal.</w:t>
      </w:r>
    </w:p>
    <w:p w:rsidR="00192C16" w:rsidRDefault="00192C16" w:rsidP="00192C16"/>
    <w:p w:rsidR="00192C16" w:rsidRPr="00865934" w:rsidRDefault="00192C16" w:rsidP="00192C16">
      <w:r>
        <w:t>5.</w:t>
      </w:r>
      <w:r>
        <w:tab/>
        <w:t>The new WIPO Rules entered into effect on June 1, 2014 and, with the exception of the provisions on emergency relief, will apply to a</w:t>
      </w:r>
      <w:r w:rsidR="00232512">
        <w:t xml:space="preserve">ll WIPO Mediations, </w:t>
      </w:r>
      <w:r>
        <w:t>Arbitrations</w:t>
      </w:r>
      <w:r w:rsidR="00232512">
        <w:t xml:space="preserve"> </w:t>
      </w:r>
      <w:r w:rsidR="009E5B3B">
        <w:t xml:space="preserve">and </w:t>
      </w:r>
      <w:r w:rsidR="00232512">
        <w:t>Expedited Arbitrations</w:t>
      </w:r>
      <w:r>
        <w:t xml:space="preserve"> commenced on or after that date.</w:t>
      </w:r>
      <w:r>
        <w:rPr>
          <w:rStyle w:val="FootnoteReference"/>
        </w:rPr>
        <w:footnoteReference w:id="7"/>
      </w:r>
    </w:p>
    <w:p w:rsidR="00192C16" w:rsidRDefault="00192C16" w:rsidP="00192C16">
      <w:pPr>
        <w:pStyle w:val="Heading2"/>
        <w:spacing w:before="0" w:after="0"/>
        <w:rPr>
          <w:szCs w:val="22"/>
        </w:rPr>
      </w:pPr>
    </w:p>
    <w:p w:rsidR="003721E0" w:rsidRPr="003721E0" w:rsidRDefault="003721E0" w:rsidP="003721E0"/>
    <w:p w:rsidR="00192C16" w:rsidRPr="002953D8" w:rsidRDefault="003721E0" w:rsidP="00192C16">
      <w:pPr>
        <w:pStyle w:val="Heading2"/>
        <w:spacing w:before="0" w:after="0"/>
        <w:rPr>
          <w:szCs w:val="22"/>
        </w:rPr>
      </w:pPr>
      <w:r>
        <w:rPr>
          <w:szCs w:val="22"/>
        </w:rPr>
        <w:t>C.</w:t>
      </w:r>
      <w:r w:rsidR="00192C16">
        <w:rPr>
          <w:szCs w:val="22"/>
        </w:rPr>
        <w:tab/>
        <w:t>a</w:t>
      </w:r>
      <w:r w:rsidR="00A66287">
        <w:rPr>
          <w:szCs w:val="22"/>
        </w:rPr>
        <w:t>DR S</w:t>
      </w:r>
      <w:r w:rsidR="00192C16">
        <w:rPr>
          <w:szCs w:val="22"/>
        </w:rPr>
        <w:t>ervices for specific sectors</w:t>
      </w:r>
    </w:p>
    <w:p w:rsidR="00192C16" w:rsidRPr="005220AF" w:rsidRDefault="00192C16" w:rsidP="00192C16"/>
    <w:p w:rsidR="00192C16" w:rsidRPr="00BE135E" w:rsidRDefault="00192C16" w:rsidP="00192C16">
      <w:pPr>
        <w:pStyle w:val="Heading3"/>
        <w:numPr>
          <w:ilvl w:val="0"/>
          <w:numId w:val="7"/>
        </w:numPr>
        <w:spacing w:before="0" w:after="0"/>
        <w:rPr>
          <w:szCs w:val="22"/>
        </w:rPr>
      </w:pPr>
      <w:r w:rsidRPr="00BE135E">
        <w:rPr>
          <w:szCs w:val="22"/>
        </w:rPr>
        <w:t>Collaboration with Intellectual Property Offices (IPOs)</w:t>
      </w:r>
    </w:p>
    <w:p w:rsidR="00192C16" w:rsidRDefault="00192C16" w:rsidP="00192C16">
      <w:pPr>
        <w:rPr>
          <w:rStyle w:val="ONUMEChar"/>
        </w:rPr>
      </w:pPr>
    </w:p>
    <w:p w:rsidR="00192C16" w:rsidRDefault="00192C16" w:rsidP="00192C16">
      <w:r>
        <w:t>6</w:t>
      </w:r>
      <w:r w:rsidRPr="00981F37">
        <w:t>.</w:t>
      </w:r>
      <w:r w:rsidRPr="00981F37">
        <w:tab/>
      </w:r>
      <w:r>
        <w:t>In a recent development, the Center offers services to IPOs</w:t>
      </w:r>
      <w:r w:rsidRPr="00981F37">
        <w:t xml:space="preserve"> in their establishment of optional </w:t>
      </w:r>
      <w:r w:rsidR="00232512">
        <w:t>ADR</w:t>
      </w:r>
      <w:r w:rsidR="00E82CA6">
        <w:t xml:space="preserve"> </w:t>
      </w:r>
      <w:r w:rsidRPr="00981F37">
        <w:t xml:space="preserve">frameworks. </w:t>
      </w:r>
      <w:r>
        <w:t xml:space="preserve"> </w:t>
      </w:r>
      <w:r w:rsidRPr="00981F37">
        <w:t>Such co</w:t>
      </w:r>
      <w:r>
        <w:t>llaboration, which may also include</w:t>
      </w:r>
      <w:r w:rsidRPr="00981F37">
        <w:t xml:space="preserve"> training programs</w:t>
      </w:r>
      <w:r>
        <w:t>, promotional activities</w:t>
      </w:r>
      <w:r w:rsidRPr="00981F37">
        <w:t xml:space="preserve"> and case administration, aims to provide cost-effective and flexible options for parties to resolve their disputes before IPOs in relation to pending </w:t>
      </w:r>
      <w:r>
        <w:t xml:space="preserve">applications </w:t>
      </w:r>
      <w:r w:rsidRPr="00981F37">
        <w:t>or granted rights.</w:t>
      </w:r>
    </w:p>
    <w:p w:rsidR="00192C16" w:rsidRPr="00981F37" w:rsidRDefault="00192C16" w:rsidP="00192C16"/>
    <w:p w:rsidR="00192C16" w:rsidRPr="00981F37" w:rsidRDefault="00192C16" w:rsidP="00192C16">
      <w:r>
        <w:t>7</w:t>
      </w:r>
      <w:r w:rsidRPr="00981F37">
        <w:t>.</w:t>
      </w:r>
      <w:r w:rsidRPr="00981F37">
        <w:tab/>
        <w:t>Following the establishment of a joint dispute resolution procedure to facilitate the mediation of trademark oppositions at the Intellectual Property Offic</w:t>
      </w:r>
      <w:r>
        <w:t xml:space="preserve">e of Singapore (IPOS) in 2011, the </w:t>
      </w:r>
      <w:r w:rsidRPr="00981F37">
        <w:t xml:space="preserve">Center </w:t>
      </w:r>
      <w:r>
        <w:t xml:space="preserve">continued to </w:t>
      </w:r>
      <w:r w:rsidRPr="00981F37">
        <w:t xml:space="preserve">administer </w:t>
      </w:r>
      <w:r>
        <w:t>such mediation cases.  In addition, I</w:t>
      </w:r>
      <w:r w:rsidRPr="000A76D7">
        <w:t>POS and the Center established a joint dispute resolution procedure to facilitate the resolution of patent disputes pending before IPO</w:t>
      </w:r>
      <w:r>
        <w:t xml:space="preserve">S through expert determination.  </w:t>
      </w:r>
      <w:r w:rsidRPr="000A76D7">
        <w:t xml:space="preserve">The new expert determination option </w:t>
      </w:r>
      <w:r>
        <w:t>is available to</w:t>
      </w:r>
      <w:r w:rsidRPr="000A76D7">
        <w:t xml:space="preserve"> all patent proceedings pending before IPOS with effect from April 1, 2014</w:t>
      </w:r>
      <w:r>
        <w:t xml:space="preserve">.  </w:t>
      </w:r>
      <w:r w:rsidRPr="00981F37">
        <w:t xml:space="preserve">The Center </w:t>
      </w:r>
      <w:r>
        <w:t xml:space="preserve">also has been </w:t>
      </w:r>
      <w:r w:rsidRPr="00981F37">
        <w:t xml:space="preserve">collaborating in the development of </w:t>
      </w:r>
      <w:r>
        <w:t xml:space="preserve">a </w:t>
      </w:r>
      <w:r w:rsidRPr="00981F37">
        <w:t xml:space="preserve">mediation </w:t>
      </w:r>
      <w:r>
        <w:t xml:space="preserve">option for trademark </w:t>
      </w:r>
      <w:r w:rsidRPr="00981F37">
        <w:t>proceedings before the Brazilian National Institute of Industrial Property (INPI-BR)</w:t>
      </w:r>
      <w:r>
        <w:t xml:space="preserve">, which has designated the </w:t>
      </w:r>
      <w:r w:rsidRPr="00981F37">
        <w:t>Center as the administrator of mediation</w:t>
      </w:r>
      <w:r w:rsidR="00751662">
        <w:t xml:space="preserve"> </w:t>
      </w:r>
      <w:r w:rsidRPr="00981F37">
        <w:t>cases where one or both parties are domiciled outside Brazil.</w:t>
      </w:r>
      <w:r>
        <w:t xml:space="preserve">  In May 2014, the Intellectual Property Office of the Philippines (IPOPHL) designated the Center at the option of parties </w:t>
      </w:r>
      <w:r w:rsidR="00A66287">
        <w:t xml:space="preserve">as </w:t>
      </w:r>
      <w:r>
        <w:t xml:space="preserve">administrator of arbitration and </w:t>
      </w:r>
      <w:r>
        <w:lastRenderedPageBreak/>
        <w:t>mediation cases submitted with IPOPHL and involving one or more parties domiciled outside the Phi</w:t>
      </w:r>
      <w:r w:rsidR="00751662">
        <w:t>lippines</w:t>
      </w:r>
      <w:r w:rsidR="00E41F21">
        <w:t xml:space="preserve">.  </w:t>
      </w:r>
      <w:r w:rsidR="00751662">
        <w:t>T</w:t>
      </w:r>
      <w:r>
        <w:t xml:space="preserve">he National Copyright </w:t>
      </w:r>
      <w:r w:rsidRPr="00FC6250">
        <w:t xml:space="preserve">Directorate of the Republic of Colombia concluded an agreement in May 2014 regarding the </w:t>
      </w:r>
      <w:r w:rsidR="00A66287">
        <w:t xml:space="preserve">possible </w:t>
      </w:r>
      <w:r w:rsidRPr="00FC6250">
        <w:t xml:space="preserve">administration </w:t>
      </w:r>
      <w:r>
        <w:t xml:space="preserve">by the Center </w:t>
      </w:r>
      <w:r w:rsidRPr="00FC6250">
        <w:t>of copyright disputes submitted with the Directorate and involving one or more parties domiciled outside</w:t>
      </w:r>
      <w:r w:rsidR="00286256">
        <w:t xml:space="preserve"> </w:t>
      </w:r>
      <w:r w:rsidRPr="00FC6250">
        <w:t>Colombia.  Also</w:t>
      </w:r>
      <w:r>
        <w:t xml:space="preserve"> in May 2014, the Directorate General of Intellectual Property Rights of</w:t>
      </w:r>
      <w:r w:rsidR="00286256">
        <w:t xml:space="preserve"> </w:t>
      </w:r>
      <w:r>
        <w:t>Indonesia (DGIPR) and the Center agreed to collaborate in the development of optional ADR processes and services for disputes pending before DGIPR.</w:t>
      </w:r>
    </w:p>
    <w:p w:rsidR="00192C16" w:rsidRDefault="00192C16" w:rsidP="00192C16">
      <w:pPr>
        <w:rPr>
          <w:rStyle w:val="ONUMEChar"/>
        </w:rPr>
      </w:pPr>
    </w:p>
    <w:p w:rsidR="003721E0" w:rsidRDefault="003721E0" w:rsidP="00192C16">
      <w:pPr>
        <w:rPr>
          <w:rStyle w:val="ONUMEChar"/>
        </w:rPr>
      </w:pPr>
    </w:p>
    <w:p w:rsidR="00192C16" w:rsidRPr="00BE135E" w:rsidRDefault="00192C16" w:rsidP="00192C16">
      <w:pPr>
        <w:pStyle w:val="Heading3"/>
        <w:numPr>
          <w:ilvl w:val="0"/>
          <w:numId w:val="7"/>
        </w:numPr>
        <w:spacing w:before="0" w:after="0"/>
        <w:rPr>
          <w:szCs w:val="22"/>
        </w:rPr>
      </w:pPr>
      <w:r>
        <w:rPr>
          <w:szCs w:val="22"/>
        </w:rPr>
        <w:t xml:space="preserve">Patents in Standards </w:t>
      </w:r>
      <w:r w:rsidRPr="00BE135E">
        <w:rPr>
          <w:szCs w:val="22"/>
        </w:rPr>
        <w:t>D</w:t>
      </w:r>
      <w:r w:rsidR="00A66287">
        <w:rPr>
          <w:szCs w:val="22"/>
        </w:rPr>
        <w:t>ispute R</w:t>
      </w:r>
      <w:r w:rsidRPr="00BE135E">
        <w:rPr>
          <w:szCs w:val="22"/>
        </w:rPr>
        <w:t xml:space="preserve">esolution </w:t>
      </w:r>
    </w:p>
    <w:p w:rsidR="00192C16" w:rsidRPr="001950A2" w:rsidRDefault="00192C16" w:rsidP="00192C16"/>
    <w:p w:rsidR="00192C16" w:rsidRDefault="00192C16" w:rsidP="00192C16">
      <w:r>
        <w:t>8.</w:t>
      </w:r>
      <w:r>
        <w:tab/>
        <w:t xml:space="preserve">In 2013, the Center collaborated with the </w:t>
      </w:r>
      <w:r w:rsidRPr="001950A2">
        <w:rPr>
          <w:szCs w:val="22"/>
        </w:rPr>
        <w:t>European Telecommunication Standards Institute (ETSI)</w:t>
      </w:r>
      <w:r>
        <w:rPr>
          <w:szCs w:val="22"/>
        </w:rPr>
        <w:t xml:space="preserve"> in the development of tailored arbitration model submission agreements that offer a framework for a </w:t>
      </w:r>
      <w:r w:rsidRPr="001950A2">
        <w:t xml:space="preserve">time- and cost-efficient </w:t>
      </w:r>
      <w:r>
        <w:t>resolution of disputes involving</w:t>
      </w:r>
      <w:r>
        <w:rPr>
          <w:szCs w:val="22"/>
        </w:rPr>
        <w:t xml:space="preserve"> the determination of </w:t>
      </w:r>
      <w:r w:rsidRPr="001950A2">
        <w:rPr>
          <w:szCs w:val="22"/>
        </w:rPr>
        <w:t>fair, reasonable and non-discriminatory (FRAND)</w:t>
      </w:r>
      <w:r>
        <w:rPr>
          <w:szCs w:val="22"/>
        </w:rPr>
        <w:t xml:space="preserve"> licensing terms.</w:t>
      </w:r>
      <w:r w:rsidR="00232512">
        <w:rPr>
          <w:rStyle w:val="FootnoteReference"/>
          <w:szCs w:val="22"/>
        </w:rPr>
        <w:footnoteReference w:id="8"/>
      </w:r>
      <w:r>
        <w:rPr>
          <w:szCs w:val="22"/>
        </w:rPr>
        <w:t xml:space="preserve">  The use of ADR for such disputes has been encouraged by competition authorities in some countries, and a number of s</w:t>
      </w:r>
      <w:r w:rsidRPr="001950A2">
        <w:t xml:space="preserve">tandard-setting organizations </w:t>
      </w:r>
      <w:r>
        <w:t>i</w:t>
      </w:r>
      <w:r w:rsidRPr="001950A2">
        <w:t>nclude ADR procedures in their IP policies</w:t>
      </w:r>
      <w:r>
        <w:t xml:space="preserve">.  </w:t>
      </w:r>
      <w:r>
        <w:rPr>
          <w:szCs w:val="22"/>
        </w:rPr>
        <w:t>Available since December 2013</w:t>
      </w:r>
      <w:r w:rsidRPr="0002470A">
        <w:rPr>
          <w:szCs w:val="22"/>
        </w:rPr>
        <w:t>, the</w:t>
      </w:r>
      <w:r>
        <w:rPr>
          <w:szCs w:val="22"/>
        </w:rPr>
        <w:t xml:space="preserve"> WIPO FRAND </w:t>
      </w:r>
      <w:r w:rsidRPr="0002470A">
        <w:rPr>
          <w:szCs w:val="22"/>
        </w:rPr>
        <w:t xml:space="preserve">model agreements build on the WIPO Center’s experience in complex patent arbitrations </w:t>
      </w:r>
      <w:r>
        <w:rPr>
          <w:szCs w:val="22"/>
        </w:rPr>
        <w:t xml:space="preserve">and </w:t>
      </w:r>
      <w:r w:rsidRPr="0002470A">
        <w:rPr>
          <w:szCs w:val="22"/>
        </w:rPr>
        <w:t xml:space="preserve">propose a </w:t>
      </w:r>
      <w:r w:rsidR="009B0480">
        <w:rPr>
          <w:szCs w:val="22"/>
        </w:rPr>
        <w:t xml:space="preserve">set of FRAND-specific features.  </w:t>
      </w:r>
      <w:r w:rsidRPr="0002470A">
        <w:rPr>
          <w:szCs w:val="22"/>
        </w:rPr>
        <w:t>Two different models are offered, namely (i) WIPO FRAND Arbitration, and (ii)</w:t>
      </w:r>
      <w:r>
        <w:rPr>
          <w:szCs w:val="22"/>
        </w:rPr>
        <w:t xml:space="preserve">, for less complex cases, </w:t>
      </w:r>
      <w:r w:rsidRPr="0002470A">
        <w:rPr>
          <w:szCs w:val="22"/>
        </w:rPr>
        <w:t xml:space="preserve">notably where the number of </w:t>
      </w:r>
      <w:r>
        <w:rPr>
          <w:szCs w:val="22"/>
        </w:rPr>
        <w:t xml:space="preserve">standard-essential patents </w:t>
      </w:r>
      <w:r w:rsidRPr="0002470A">
        <w:rPr>
          <w:szCs w:val="22"/>
        </w:rPr>
        <w:t>that will be referred to arbitration is limited</w:t>
      </w:r>
      <w:r>
        <w:rPr>
          <w:szCs w:val="22"/>
        </w:rPr>
        <w:t>,</w:t>
      </w:r>
      <w:r w:rsidRPr="0002470A">
        <w:rPr>
          <w:szCs w:val="22"/>
        </w:rPr>
        <w:t xml:space="preserve"> WIPO FRAND Expedited Arbitration</w:t>
      </w:r>
      <w:r>
        <w:rPr>
          <w:szCs w:val="22"/>
        </w:rPr>
        <w:t xml:space="preserve">.  </w:t>
      </w:r>
      <w:r w:rsidRPr="0002470A">
        <w:rPr>
          <w:szCs w:val="22"/>
        </w:rPr>
        <w:t>Both options can be preceded by WIPO M</w:t>
      </w:r>
      <w:r>
        <w:rPr>
          <w:szCs w:val="22"/>
        </w:rPr>
        <w:t xml:space="preserve">ediation if parties so wish.  </w:t>
      </w:r>
      <w:r w:rsidRPr="0002470A">
        <w:rPr>
          <w:szCs w:val="22"/>
        </w:rPr>
        <w:t>Bearing in mind the settlement rates in WIPO mediations (70%) and WIPO (expedited) arbitrati</w:t>
      </w:r>
      <w:r>
        <w:rPr>
          <w:szCs w:val="22"/>
        </w:rPr>
        <w:t>ons (40%),</w:t>
      </w:r>
      <w:r w:rsidRPr="0002470A">
        <w:rPr>
          <w:szCs w:val="22"/>
        </w:rPr>
        <w:t xml:space="preserve"> referral to the proposed WIPO procedures may stimulate positive opp</w:t>
      </w:r>
      <w:r>
        <w:rPr>
          <w:szCs w:val="22"/>
        </w:rPr>
        <w:t>ortunities for settlement of FRAND negotiations.</w:t>
      </w:r>
    </w:p>
    <w:p w:rsidR="00192C16" w:rsidRDefault="00192C16" w:rsidP="00192C16">
      <w:pPr>
        <w:pStyle w:val="Heading3"/>
        <w:spacing w:before="0" w:after="0"/>
        <w:ind w:left="1100" w:hanging="550"/>
        <w:rPr>
          <w:szCs w:val="22"/>
          <w:u w:val="none"/>
        </w:rPr>
      </w:pPr>
    </w:p>
    <w:p w:rsidR="003721E0" w:rsidRPr="003721E0" w:rsidRDefault="003721E0" w:rsidP="003721E0"/>
    <w:p w:rsidR="00192C16" w:rsidRPr="00AC608A" w:rsidRDefault="007962E9" w:rsidP="00192C16">
      <w:pPr>
        <w:pStyle w:val="Heading3"/>
        <w:numPr>
          <w:ilvl w:val="0"/>
          <w:numId w:val="7"/>
        </w:numPr>
        <w:spacing w:before="0" w:after="0"/>
        <w:rPr>
          <w:szCs w:val="22"/>
        </w:rPr>
      </w:pPr>
      <w:r>
        <w:t>R</w:t>
      </w:r>
      <w:r w:rsidR="00192C16" w:rsidRPr="00317264">
        <w:t xml:space="preserve">&amp;D </w:t>
      </w:r>
      <w:r w:rsidR="00192C16">
        <w:rPr>
          <w:szCs w:val="22"/>
        </w:rPr>
        <w:t xml:space="preserve">Dispute Resolution </w:t>
      </w:r>
    </w:p>
    <w:p w:rsidR="00192C16" w:rsidRDefault="00192C16" w:rsidP="00192C16">
      <w:pPr>
        <w:rPr>
          <w:rStyle w:val="ONUMEChar"/>
        </w:rPr>
      </w:pPr>
    </w:p>
    <w:p w:rsidR="00192C16" w:rsidRDefault="00192C16" w:rsidP="00192C16">
      <w:pPr>
        <w:tabs>
          <w:tab w:val="left" w:pos="567"/>
        </w:tabs>
      </w:pPr>
      <w:r>
        <w:rPr>
          <w:szCs w:val="22"/>
        </w:rPr>
        <w:t>9</w:t>
      </w:r>
      <w:r w:rsidRPr="001059ED">
        <w:rPr>
          <w:szCs w:val="22"/>
        </w:rPr>
        <w:t>.</w:t>
      </w:r>
      <w:r>
        <w:rPr>
          <w:sz w:val="20"/>
        </w:rPr>
        <w:tab/>
      </w:r>
      <w:r w:rsidRPr="00317264">
        <w:t>A</w:t>
      </w:r>
      <w:r>
        <w:t xml:space="preserve">nother area of </w:t>
      </w:r>
      <w:r w:rsidRPr="00317264">
        <w:t>Center</w:t>
      </w:r>
      <w:r>
        <w:t xml:space="preserve"> activity is </w:t>
      </w:r>
      <w:r w:rsidRPr="00317264">
        <w:t xml:space="preserve">the provision of advice and case administration services to help parties resolve disputes arising in </w:t>
      </w:r>
      <w:r>
        <w:t>R&amp;D</w:t>
      </w:r>
      <w:r w:rsidRPr="00317264">
        <w:t xml:space="preserve"> and in technology transfer.  Parties involved in R&amp;D collaboration often use model agreements as a basis for drafting and negoti</w:t>
      </w:r>
      <w:r w:rsidR="009B0480">
        <w:t>ating their research contracts.</w:t>
      </w:r>
      <w:r w:rsidR="00232512">
        <w:rPr>
          <w:rStyle w:val="FootnoteReference"/>
        </w:rPr>
        <w:footnoteReference w:id="9"/>
      </w:r>
      <w:r>
        <w:t xml:space="preserve">  In 2013, the Center collaborated with Austrian universities and companies in the development of Model Agreements (Intellectual Property Agreement Guide – IPAG) that seek to facilitate an efficient transfer of knowledge and technology.  Supported by</w:t>
      </w:r>
      <w:r w:rsidR="009B0480">
        <w:t xml:space="preserve"> the</w:t>
      </w:r>
      <w:r w:rsidR="00286256">
        <w:t xml:space="preserve"> </w:t>
      </w:r>
      <w:r w:rsidR="009B0480">
        <w:t>government</w:t>
      </w:r>
      <w:r w:rsidR="00286256">
        <w:t xml:space="preserve"> of Austria</w:t>
      </w:r>
      <w:r w:rsidR="009B0480">
        <w:t xml:space="preserve">, </w:t>
      </w:r>
      <w:r>
        <w:t>these agreements in</w:t>
      </w:r>
      <w:r w:rsidR="00934BB7">
        <w:t xml:space="preserve">clude dispute resolution </w:t>
      </w:r>
      <w:r>
        <w:t xml:space="preserve">options referring to WIPO </w:t>
      </w:r>
      <w:r w:rsidR="00934BB7">
        <w:t>procedures</w:t>
      </w:r>
      <w:r>
        <w:t>.</w:t>
      </w:r>
      <w:r w:rsidR="00232512">
        <w:rPr>
          <w:rStyle w:val="FootnoteReference"/>
        </w:rPr>
        <w:footnoteReference w:id="10"/>
      </w:r>
      <w:r>
        <w:t xml:space="preserve">  Also, as</w:t>
      </w:r>
      <w:r w:rsidRPr="00317264">
        <w:t xml:space="preserve"> part </w:t>
      </w:r>
      <w:r>
        <w:t xml:space="preserve">of a broader effort under a Memorandum of Understanding (MoU) </w:t>
      </w:r>
      <w:r w:rsidRPr="00317264">
        <w:t>between WIPO and the Association of University Technology Managers (AUTM), the Center continued</w:t>
      </w:r>
      <w:r>
        <w:t xml:space="preserve"> its collaboration with AUTM to support</w:t>
      </w:r>
      <w:r w:rsidRPr="00317264">
        <w:t xml:space="preserve"> efficient and effective dispute resolution to university technology transfer offices around the world.</w:t>
      </w:r>
    </w:p>
    <w:p w:rsidR="00232512" w:rsidRDefault="00232512" w:rsidP="00192C16">
      <w:pPr>
        <w:tabs>
          <w:tab w:val="left" w:pos="567"/>
        </w:tabs>
      </w:pPr>
    </w:p>
    <w:p w:rsidR="003721E0" w:rsidRDefault="003721E0" w:rsidP="00192C16">
      <w:pPr>
        <w:tabs>
          <w:tab w:val="left" w:pos="567"/>
        </w:tabs>
      </w:pPr>
    </w:p>
    <w:p w:rsidR="00192C16" w:rsidRPr="00AC608A" w:rsidRDefault="00192C16" w:rsidP="00192C16">
      <w:pPr>
        <w:pStyle w:val="Heading3"/>
        <w:spacing w:before="0" w:after="0"/>
        <w:ind w:left="1100" w:hanging="550"/>
        <w:rPr>
          <w:szCs w:val="22"/>
        </w:rPr>
      </w:pPr>
      <w:r>
        <w:rPr>
          <w:szCs w:val="22"/>
          <w:u w:val="none"/>
        </w:rPr>
        <w:t>(iv</w:t>
      </w:r>
      <w:r w:rsidRPr="00AC608A">
        <w:rPr>
          <w:szCs w:val="22"/>
          <w:u w:val="none"/>
        </w:rPr>
        <w:t>)</w:t>
      </w:r>
      <w:r w:rsidRPr="00AC608A">
        <w:rPr>
          <w:szCs w:val="22"/>
          <w:u w:val="none"/>
        </w:rPr>
        <w:tab/>
      </w:r>
      <w:r>
        <w:rPr>
          <w:szCs w:val="22"/>
        </w:rPr>
        <w:t>Franchising Dispute Resolution</w:t>
      </w:r>
    </w:p>
    <w:p w:rsidR="00A66287" w:rsidRDefault="00A66287" w:rsidP="00192C16">
      <w:pPr>
        <w:rPr>
          <w:rStyle w:val="ONUMEChar"/>
          <w:szCs w:val="22"/>
        </w:rPr>
      </w:pPr>
    </w:p>
    <w:p w:rsidR="00192C16" w:rsidRDefault="00192C16" w:rsidP="00192C16">
      <w:pPr>
        <w:rPr>
          <w:rStyle w:val="ONUMEChar"/>
          <w:szCs w:val="22"/>
        </w:rPr>
      </w:pPr>
      <w:r>
        <w:rPr>
          <w:rStyle w:val="ONUMEChar"/>
          <w:szCs w:val="22"/>
        </w:rPr>
        <w:t>10.</w:t>
      </w:r>
      <w:r>
        <w:rPr>
          <w:rStyle w:val="ONUMEChar"/>
          <w:szCs w:val="22"/>
        </w:rPr>
        <w:tab/>
      </w:r>
      <w:r w:rsidRPr="00D66701">
        <w:rPr>
          <w:rStyle w:val="ONUMEChar"/>
          <w:szCs w:val="22"/>
        </w:rPr>
        <w:t xml:space="preserve">As part of the WIPO ADR Services for Specific Sectors, the WIPO Center provides dispute resolution advice and case administration services to help parties resolve </w:t>
      </w:r>
      <w:r w:rsidR="005E5FF4">
        <w:rPr>
          <w:rStyle w:val="ONUMEChar"/>
          <w:szCs w:val="22"/>
        </w:rPr>
        <w:t xml:space="preserve">IP </w:t>
      </w:r>
      <w:r w:rsidRPr="00D66701">
        <w:rPr>
          <w:rStyle w:val="ONUMEChar"/>
          <w:szCs w:val="22"/>
        </w:rPr>
        <w:t xml:space="preserve">disputes </w:t>
      </w:r>
      <w:r w:rsidRPr="00D66701">
        <w:rPr>
          <w:rStyle w:val="ONUMEChar"/>
          <w:szCs w:val="22"/>
        </w:rPr>
        <w:lastRenderedPageBreak/>
        <w:t>arising in the area franchising, without the need for court litigation.</w:t>
      </w:r>
      <w:r w:rsidR="005E5FF4">
        <w:rPr>
          <w:rStyle w:val="ONUMEChar"/>
          <w:szCs w:val="22"/>
        </w:rPr>
        <w:t xml:space="preserve">  </w:t>
      </w:r>
      <w:r>
        <w:rPr>
          <w:rStyle w:val="ONUMEChar"/>
          <w:szCs w:val="22"/>
        </w:rPr>
        <w:t>Notably, the Franchising and Licensing Association Singapore</w:t>
      </w:r>
      <w:r w:rsidRPr="00D66701">
        <w:rPr>
          <w:rStyle w:val="ONUMEChar"/>
          <w:szCs w:val="22"/>
        </w:rPr>
        <w:t xml:space="preserve"> </w:t>
      </w:r>
      <w:r>
        <w:rPr>
          <w:rStyle w:val="ONUMEChar"/>
          <w:szCs w:val="22"/>
        </w:rPr>
        <w:t>(</w:t>
      </w:r>
      <w:r w:rsidRPr="00D66701">
        <w:rPr>
          <w:rStyle w:val="ONUMEChar"/>
          <w:szCs w:val="22"/>
        </w:rPr>
        <w:t>FLA</w:t>
      </w:r>
      <w:r>
        <w:rPr>
          <w:rStyle w:val="ONUMEChar"/>
          <w:szCs w:val="22"/>
        </w:rPr>
        <w:t>)</w:t>
      </w:r>
      <w:r w:rsidRPr="00D66701">
        <w:rPr>
          <w:rStyle w:val="ONUMEChar"/>
          <w:szCs w:val="22"/>
        </w:rPr>
        <w:t xml:space="preserve"> and the Center have established a collaboration to raise awareness of ADR options available to stakeholders in the franchising and licensing areas.</w:t>
      </w:r>
      <w:r>
        <w:rPr>
          <w:rStyle w:val="ONUMEChar"/>
          <w:szCs w:val="22"/>
        </w:rPr>
        <w:t xml:space="preserve">  </w:t>
      </w:r>
      <w:r w:rsidR="005E5FF4">
        <w:rPr>
          <w:rStyle w:val="ONUMEChar"/>
          <w:szCs w:val="22"/>
        </w:rPr>
        <w:t>Also</w:t>
      </w:r>
      <w:r>
        <w:rPr>
          <w:rStyle w:val="ONUMEChar"/>
          <w:szCs w:val="22"/>
        </w:rPr>
        <w:t xml:space="preserve">, in May 2014, the Center and the Spanish Franchisors Association (AEF) agreed to </w:t>
      </w:r>
      <w:r w:rsidRPr="00D66701">
        <w:rPr>
          <w:rStyle w:val="ONUMEChar"/>
          <w:szCs w:val="22"/>
        </w:rPr>
        <w:t xml:space="preserve">collaborate in the development of ADR processes and services for disputes </w:t>
      </w:r>
      <w:r>
        <w:rPr>
          <w:rStyle w:val="ONUMEChar"/>
          <w:szCs w:val="22"/>
        </w:rPr>
        <w:t>involving</w:t>
      </w:r>
      <w:r w:rsidRPr="00D66701">
        <w:rPr>
          <w:rStyle w:val="ONUMEChar"/>
          <w:szCs w:val="22"/>
        </w:rPr>
        <w:t xml:space="preserve"> AEF members.  </w:t>
      </w:r>
    </w:p>
    <w:p w:rsidR="00192C16" w:rsidRDefault="00192C16" w:rsidP="00192C16">
      <w:pPr>
        <w:pStyle w:val="NormalWeb"/>
        <w:spacing w:before="0" w:beforeAutospacing="0" w:after="0" w:afterAutospacing="0"/>
        <w:rPr>
          <w:rFonts w:ascii="Arial" w:hAnsi="Arial" w:cs="Arial"/>
          <w:sz w:val="22"/>
          <w:szCs w:val="22"/>
        </w:rPr>
      </w:pPr>
    </w:p>
    <w:p w:rsidR="003721E0" w:rsidRDefault="003721E0" w:rsidP="00192C16">
      <w:pPr>
        <w:pStyle w:val="NormalWeb"/>
        <w:spacing w:before="0" w:beforeAutospacing="0" w:after="0" w:afterAutospacing="0"/>
        <w:rPr>
          <w:rFonts w:ascii="Arial" w:hAnsi="Arial" w:cs="Arial"/>
          <w:sz w:val="22"/>
          <w:szCs w:val="22"/>
        </w:rPr>
      </w:pPr>
    </w:p>
    <w:p w:rsidR="00192C16" w:rsidRPr="006475B9" w:rsidRDefault="00192C16" w:rsidP="00192C16">
      <w:pPr>
        <w:pStyle w:val="Heading1"/>
        <w:spacing w:before="0" w:after="0"/>
        <w:rPr>
          <w:szCs w:val="22"/>
        </w:rPr>
      </w:pPr>
      <w:r w:rsidRPr="006475B9">
        <w:rPr>
          <w:szCs w:val="22"/>
        </w:rPr>
        <w:t>II.</w:t>
      </w:r>
      <w:r w:rsidRPr="006475B9">
        <w:rPr>
          <w:szCs w:val="22"/>
        </w:rPr>
        <w:tab/>
        <w:t>DOMAIN NAME CASE ADMINISTRATION</w:t>
      </w:r>
    </w:p>
    <w:p w:rsidR="00192C16" w:rsidRPr="006475B9" w:rsidRDefault="00192C16" w:rsidP="00192C16"/>
    <w:p w:rsidR="00192C16" w:rsidRPr="006475B9" w:rsidRDefault="00192C16" w:rsidP="00192C16">
      <w:pPr>
        <w:pStyle w:val="Heading2"/>
        <w:spacing w:before="0" w:after="0"/>
        <w:rPr>
          <w:szCs w:val="22"/>
        </w:rPr>
      </w:pPr>
      <w:r w:rsidRPr="006475B9">
        <w:rPr>
          <w:szCs w:val="22"/>
        </w:rPr>
        <w:t>A.</w:t>
      </w:r>
      <w:r w:rsidRPr="006475B9">
        <w:rPr>
          <w:szCs w:val="22"/>
        </w:rPr>
        <w:tab/>
      </w:r>
      <w:r w:rsidR="00BE5E66">
        <w:rPr>
          <w:szCs w:val="22"/>
        </w:rPr>
        <w:t>UDRP</w:t>
      </w:r>
    </w:p>
    <w:p w:rsidR="00192C16" w:rsidRPr="006475B9" w:rsidRDefault="00192C16" w:rsidP="00192C16"/>
    <w:p w:rsidR="00192C16" w:rsidRPr="006475B9" w:rsidRDefault="00BE5E66" w:rsidP="00192C16">
      <w:r>
        <w:rPr>
          <w:szCs w:val="24"/>
        </w:rPr>
        <w:t>11</w:t>
      </w:r>
      <w:r w:rsidR="00192C16" w:rsidRPr="006475B9">
        <w:rPr>
          <w:szCs w:val="24"/>
        </w:rPr>
        <w:t>.</w:t>
      </w:r>
      <w:r w:rsidR="00192C16" w:rsidRPr="006475B9">
        <w:rPr>
          <w:szCs w:val="24"/>
        </w:rPr>
        <w:tab/>
        <w:t>The DNS raises a number of challenges for the protection of IP, which, due to the global nature of the Internet, call for an international approach.  WIPO has addressed these challenges since 1998 by developing specific solutions, most notably in the First</w:t>
      </w:r>
      <w:r w:rsidR="00192C16" w:rsidRPr="006475B9">
        <w:rPr>
          <w:rStyle w:val="FootnoteReference"/>
          <w:szCs w:val="24"/>
        </w:rPr>
        <w:footnoteReference w:id="11"/>
      </w:r>
      <w:r w:rsidR="00192C16" w:rsidRPr="006475B9">
        <w:rPr>
          <w:szCs w:val="24"/>
        </w:rPr>
        <w:t xml:space="preserve"> and Second</w:t>
      </w:r>
      <w:r w:rsidR="00192C16" w:rsidRPr="006475B9">
        <w:rPr>
          <w:rStyle w:val="FootnoteReference"/>
          <w:szCs w:val="24"/>
        </w:rPr>
        <w:footnoteReference w:id="12"/>
      </w:r>
      <w:r w:rsidR="00192C16" w:rsidRPr="006475B9">
        <w:rPr>
          <w:szCs w:val="24"/>
        </w:rPr>
        <w:t xml:space="preserve"> WIPO Internet Domain Name Processes.  In practice, the Center provides trademark owners with efficient international mechanisms to deal with the bad</w:t>
      </w:r>
      <w:r w:rsidR="00192C16" w:rsidRPr="006475B9">
        <w:rPr>
          <w:szCs w:val="24"/>
        </w:rPr>
        <w:noBreakHyphen/>
        <w:t>faith registration and use of domain names corresponding to their trademark rights.</w:t>
      </w:r>
    </w:p>
    <w:p w:rsidR="00192C16" w:rsidRPr="006475B9" w:rsidRDefault="00192C16" w:rsidP="00192C16">
      <w:pPr>
        <w:pStyle w:val="Footer"/>
        <w:keepNext/>
        <w:keepLines/>
        <w:tabs>
          <w:tab w:val="clear" w:pos="4320"/>
          <w:tab w:val="clear" w:pos="8640"/>
          <w:tab w:val="right" w:pos="-3080"/>
        </w:tabs>
        <w:ind w:left="550" w:hanging="550"/>
        <w:rPr>
          <w:b/>
          <w:szCs w:val="22"/>
        </w:rPr>
      </w:pPr>
    </w:p>
    <w:p w:rsidR="00192C16" w:rsidRPr="006475B9" w:rsidRDefault="00BE5E66" w:rsidP="00192C16">
      <w:pPr>
        <w:rPr>
          <w:szCs w:val="24"/>
        </w:rPr>
      </w:pPr>
      <w:r>
        <w:rPr>
          <w:szCs w:val="24"/>
        </w:rPr>
        <w:t>12</w:t>
      </w:r>
      <w:r w:rsidR="00192C16" w:rsidRPr="006475B9">
        <w:rPr>
          <w:szCs w:val="24"/>
        </w:rPr>
        <w:t>.</w:t>
      </w:r>
      <w:r w:rsidR="00192C16" w:rsidRPr="006475B9">
        <w:rPr>
          <w:szCs w:val="24"/>
        </w:rPr>
        <w:tab/>
        <w:t>The Center administers dispute resolution procedures principally under the UDRP.  The UDRP was adopted by ICANN on the basis of recommendations made by WIPO in the First WIPO Internet Domain Name Process.  The UDRP is limited to clear cases of bad</w:t>
      </w:r>
      <w:r w:rsidR="00192C16" w:rsidRPr="006475B9">
        <w:rPr>
          <w:szCs w:val="24"/>
        </w:rPr>
        <w:noBreakHyphen/>
        <w:t>faith, abusive registration and use of domain names and has proven highly popular among trademark owners.  It does not prevent either party from submitting a dispute to a competent court of justice;  but very few cases that have been decided under the UDRP have been brought before a national court of justice.</w:t>
      </w:r>
      <w:r w:rsidR="00192C16" w:rsidRPr="006475B9">
        <w:rPr>
          <w:rStyle w:val="FootnoteReference"/>
          <w:szCs w:val="24"/>
        </w:rPr>
        <w:footnoteReference w:id="13"/>
      </w:r>
    </w:p>
    <w:p w:rsidR="00192C16" w:rsidRPr="006475B9" w:rsidRDefault="00192C16" w:rsidP="00192C16">
      <w:pPr>
        <w:rPr>
          <w:szCs w:val="24"/>
        </w:rPr>
      </w:pPr>
    </w:p>
    <w:p w:rsidR="00192C16" w:rsidRPr="006475B9" w:rsidRDefault="00BE5E66" w:rsidP="00192C16">
      <w:pPr>
        <w:rPr>
          <w:szCs w:val="24"/>
        </w:rPr>
      </w:pPr>
      <w:r>
        <w:rPr>
          <w:szCs w:val="24"/>
        </w:rPr>
        <w:t>13</w:t>
      </w:r>
      <w:r w:rsidR="00192C16" w:rsidRPr="006475B9">
        <w:rPr>
          <w:szCs w:val="24"/>
        </w:rPr>
        <w:t>.</w:t>
      </w:r>
      <w:r w:rsidR="00192C16" w:rsidRPr="006475B9">
        <w:rPr>
          <w:szCs w:val="24"/>
        </w:rPr>
        <w:tab/>
        <w:t>Since December 1999, the Center has administered some 29,000 UDRP and UDRP</w:t>
      </w:r>
      <w:r w:rsidR="00192C16" w:rsidRPr="006475B9">
        <w:rPr>
          <w:szCs w:val="24"/>
        </w:rPr>
        <w:noBreakHyphen/>
        <w:t>based cases.  The Center makes available online real-time statistics to assist WIPO UDRP case parties and neutrals, trademark attorneys, domain name registrants, domain name policy makers, the media, and academics.</w:t>
      </w:r>
      <w:r w:rsidR="00192C16" w:rsidRPr="006475B9">
        <w:rPr>
          <w:vertAlign w:val="superscript"/>
        </w:rPr>
        <w:footnoteReference w:id="14"/>
      </w:r>
      <w:r w:rsidR="00192C16" w:rsidRPr="006475B9">
        <w:rPr>
          <w:szCs w:val="24"/>
        </w:rPr>
        <w:t xml:space="preserve">  Faced with uncertainties in the current expansion of the DNS, and in many instances working on reduced enforcement budgets, trademark owners in 2013 filed 2,585 UDRP-based complaints with the Center, a 10 per cent decrease from the 2012 filing level.  At the same time, the Center maintained its market share as the leading UDRP provider internationally.  In 2013 the total number of domain names in WIPO UDRP cases passed</w:t>
      </w:r>
      <w:r w:rsidR="00EC1C32">
        <w:rPr>
          <w:szCs w:val="24"/>
        </w:rPr>
        <w:t xml:space="preserve"> 50</w:t>
      </w:r>
      <w:r w:rsidR="00192C16" w:rsidRPr="006475B9">
        <w:rPr>
          <w:szCs w:val="24"/>
        </w:rPr>
        <w:t>,000.</w:t>
      </w:r>
    </w:p>
    <w:p w:rsidR="00192C16" w:rsidRPr="006475B9" w:rsidRDefault="00192C16" w:rsidP="00192C16">
      <w:pPr>
        <w:rPr>
          <w:szCs w:val="24"/>
        </w:rPr>
      </w:pPr>
    </w:p>
    <w:p w:rsidR="00192C16" w:rsidRPr="006475B9" w:rsidRDefault="00192C16" w:rsidP="00192C16">
      <w:pPr>
        <w:rPr>
          <w:szCs w:val="24"/>
        </w:rPr>
      </w:pPr>
      <w:r w:rsidRPr="006475B9">
        <w:rPr>
          <w:szCs w:val="24"/>
        </w:rPr>
        <w:t>1</w:t>
      </w:r>
      <w:r w:rsidR="00BE5E66">
        <w:rPr>
          <w:szCs w:val="24"/>
        </w:rPr>
        <w:t>4</w:t>
      </w:r>
      <w:r w:rsidRPr="006475B9">
        <w:rPr>
          <w:szCs w:val="24"/>
        </w:rPr>
        <w:t>.</w:t>
      </w:r>
      <w:r w:rsidRPr="006475B9">
        <w:rPr>
          <w:szCs w:val="24"/>
        </w:rPr>
        <w:tab/>
        <w:t>A diverse mixture of individuals and enterprises, foundations, and institutions used the Center’s dispute resolution procedures in 2013.  The top five sectors for complainant business activity were Retail, Banking and Finance, Fashion, Biotechnology and Pharmaceuticals, and Internet and I</w:t>
      </w:r>
      <w:bookmarkStart w:id="5" w:name="t5"/>
      <w:bookmarkEnd w:id="5"/>
      <w:r w:rsidRPr="006475B9">
        <w:rPr>
          <w:szCs w:val="24"/>
        </w:rPr>
        <w:t xml:space="preserve">nformation Technology.  The increased filings related to fashion and luxury brands reflect in part a growth in the number of cases filed by brand owners alleging counterfeiting </w:t>
      </w:r>
      <w:r w:rsidRPr="006475B9">
        <w:rPr>
          <w:i/>
          <w:szCs w:val="24"/>
        </w:rPr>
        <w:t>via</w:t>
      </w:r>
      <w:r w:rsidRPr="006475B9">
        <w:rPr>
          <w:szCs w:val="24"/>
        </w:rPr>
        <w:t xml:space="preserve"> the web pages offered under the disputed domain name.  Reflecting the truly global scope of this dispute mechanism, named parties to WIPO UDRP cases represented 176 countries.  In </w:t>
      </w:r>
      <w:r w:rsidRPr="006475B9">
        <w:rPr>
          <w:szCs w:val="24"/>
        </w:rPr>
        <w:lastRenderedPageBreak/>
        <w:t>function of the language of the applicable registration agreement of the domain name at issue, WIPO UDRP proceedings have so far been conducted in 20 different languages.</w:t>
      </w:r>
      <w:r w:rsidRPr="006475B9">
        <w:rPr>
          <w:rStyle w:val="FootnoteReference"/>
          <w:szCs w:val="24"/>
        </w:rPr>
        <w:footnoteReference w:id="15"/>
      </w:r>
      <w:r w:rsidRPr="006475B9">
        <w:rPr>
          <w:szCs w:val="24"/>
        </w:rPr>
        <w:t xml:space="preserve">    </w:t>
      </w:r>
    </w:p>
    <w:p w:rsidR="00192C16" w:rsidRPr="006475B9" w:rsidRDefault="00192C16" w:rsidP="00192C16">
      <w:pPr>
        <w:rPr>
          <w:szCs w:val="24"/>
        </w:rPr>
      </w:pPr>
    </w:p>
    <w:p w:rsidR="00192C16" w:rsidRPr="006475B9" w:rsidRDefault="00192C16" w:rsidP="00192C16">
      <w:pPr>
        <w:rPr>
          <w:szCs w:val="24"/>
        </w:rPr>
      </w:pPr>
      <w:r w:rsidRPr="006475B9">
        <w:rPr>
          <w:szCs w:val="24"/>
        </w:rPr>
        <w:t>1</w:t>
      </w:r>
      <w:r w:rsidR="00BE5E66">
        <w:rPr>
          <w:szCs w:val="24"/>
        </w:rPr>
        <w:t>5</w:t>
      </w:r>
      <w:r w:rsidRPr="006475B9">
        <w:rPr>
          <w:szCs w:val="24"/>
        </w:rPr>
        <w:t>.</w:t>
      </w:r>
      <w:r w:rsidRPr="006475B9">
        <w:rPr>
          <w:szCs w:val="24"/>
        </w:rPr>
        <w:tab/>
        <w:t>All WIPO UDRP panel decisions are posted on the Center’s we</w:t>
      </w:r>
      <w:r w:rsidR="00232512">
        <w:rPr>
          <w:szCs w:val="24"/>
        </w:rPr>
        <w:t xml:space="preserve">bsite.  </w:t>
      </w:r>
      <w:r w:rsidRPr="006475B9">
        <w:rPr>
          <w:szCs w:val="24"/>
        </w:rPr>
        <w:t xml:space="preserve">The Center offers a unique online overview of broad decision trends on important case issues </w:t>
      </w:r>
      <w:r w:rsidRPr="006475B9">
        <w:rPr>
          <w:i/>
          <w:szCs w:val="24"/>
        </w:rPr>
        <w:t>via</w:t>
      </w:r>
      <w:r w:rsidRPr="006475B9">
        <w:rPr>
          <w:szCs w:val="24"/>
        </w:rPr>
        <w:t xml:space="preserve"> the WIPO </w:t>
      </w:r>
      <w:r w:rsidRPr="006475B9">
        <w:t xml:space="preserve">Overview of WIPO Panel Views on Selected UDRP Questions (WIPO Overview 2.0) </w:t>
      </w:r>
      <w:r w:rsidRPr="006475B9">
        <w:rPr>
          <w:szCs w:val="24"/>
        </w:rPr>
        <w:t>which distills thousands of UDRP cases handled by the Center.  This globally relied-upon instrument was created in recognition of the need that has been expressed to identify, as much as possible, consensus among UDRP decisions so as to help maintain the consistency of WIPO UDRP jurisprudence.</w:t>
      </w:r>
      <w:r w:rsidRPr="006475B9">
        <w:rPr>
          <w:rStyle w:val="FootnoteReference"/>
          <w:rFonts w:eastAsia="Batang"/>
          <w:szCs w:val="24"/>
        </w:rPr>
        <w:footnoteReference w:id="16"/>
      </w:r>
      <w:r w:rsidRPr="006475B9">
        <w:rPr>
          <w:szCs w:val="24"/>
        </w:rPr>
        <w:t xml:space="preserve">  To facilitate access to these decisions according to subject matter, the Center also offers a widely used online searchable </w:t>
      </w:r>
      <w:r w:rsidRPr="006475B9">
        <w:t>Legal Index of WIPO UDRP Decisions</w:t>
      </w:r>
      <w:r w:rsidRPr="006475B9">
        <w:rPr>
          <w:szCs w:val="24"/>
        </w:rPr>
        <w:t>.</w:t>
      </w:r>
      <w:r w:rsidRPr="006475B9">
        <w:rPr>
          <w:vertAlign w:val="superscript"/>
        </w:rPr>
        <w:footnoteReference w:id="17"/>
      </w:r>
      <w:r w:rsidRPr="006475B9">
        <w:rPr>
          <w:szCs w:val="24"/>
        </w:rPr>
        <w:t>  These WIPO resources are made available globally free of charge.</w:t>
      </w:r>
    </w:p>
    <w:p w:rsidR="00192C16" w:rsidRPr="006475B9" w:rsidRDefault="00192C16" w:rsidP="00192C16">
      <w:pPr>
        <w:rPr>
          <w:szCs w:val="24"/>
        </w:rPr>
      </w:pPr>
    </w:p>
    <w:p w:rsidR="00192C16" w:rsidRPr="006475B9" w:rsidRDefault="00192C16" w:rsidP="00192C16">
      <w:pPr>
        <w:rPr>
          <w:szCs w:val="24"/>
        </w:rPr>
      </w:pPr>
      <w:r w:rsidRPr="006475B9">
        <w:rPr>
          <w:szCs w:val="24"/>
        </w:rPr>
        <w:t>1</w:t>
      </w:r>
      <w:r w:rsidR="00BE5E66">
        <w:rPr>
          <w:szCs w:val="24"/>
        </w:rPr>
        <w:t>6</w:t>
      </w:r>
      <w:r w:rsidRPr="006475B9">
        <w:rPr>
          <w:szCs w:val="24"/>
        </w:rPr>
        <w:t>.</w:t>
      </w:r>
      <w:r w:rsidRPr="006475B9">
        <w:rPr>
          <w:szCs w:val="24"/>
        </w:rPr>
        <w:tab/>
        <w:t>Mindful of WIPO’s foundational role in the UDRP, the Center monitors developments in the DNS with a view to continually adjusting its resources and practices.</w:t>
      </w:r>
      <w:r w:rsidRPr="006475B9">
        <w:rPr>
          <w:rStyle w:val="FootnoteReference"/>
          <w:szCs w:val="24"/>
        </w:rPr>
        <w:footnoteReference w:id="18"/>
      </w:r>
      <w:r w:rsidR="00232512">
        <w:rPr>
          <w:szCs w:val="24"/>
        </w:rPr>
        <w:t xml:space="preserve">  </w:t>
      </w:r>
      <w:r w:rsidRPr="006475B9">
        <w:t>The Center regularly organizes Domain Name Dispute Resolution Workshops to update interested parties</w:t>
      </w:r>
      <w:r w:rsidRPr="006475B9">
        <w:rPr>
          <w:rStyle w:val="FootnoteReference"/>
        </w:rPr>
        <w:footnoteReference w:id="19"/>
      </w:r>
      <w:r w:rsidRPr="006475B9">
        <w:t xml:space="preserve"> as well as meetings of its Domain Name Panelists.  </w:t>
      </w:r>
      <w:r w:rsidRPr="006475B9">
        <w:rPr>
          <w:szCs w:val="24"/>
        </w:rPr>
        <w:t xml:space="preserve">    </w:t>
      </w:r>
    </w:p>
    <w:p w:rsidR="00192C16" w:rsidRDefault="00192C16" w:rsidP="00192C16">
      <w:pPr>
        <w:rPr>
          <w:szCs w:val="24"/>
        </w:rPr>
      </w:pPr>
    </w:p>
    <w:p w:rsidR="003721E0" w:rsidRPr="006475B9" w:rsidRDefault="003721E0" w:rsidP="00192C16">
      <w:pPr>
        <w:rPr>
          <w:szCs w:val="24"/>
        </w:rPr>
      </w:pPr>
    </w:p>
    <w:p w:rsidR="00192C16" w:rsidRPr="006475B9" w:rsidRDefault="00192C16" w:rsidP="00192C16">
      <w:pPr>
        <w:pStyle w:val="Heading2"/>
        <w:keepNext w:val="0"/>
        <w:spacing w:before="0" w:after="0"/>
      </w:pPr>
      <w:r w:rsidRPr="006475B9">
        <w:t>B.</w:t>
      </w:r>
      <w:r w:rsidRPr="006475B9">
        <w:tab/>
        <w:t>Country Code Top</w:t>
      </w:r>
      <w:r w:rsidRPr="006475B9">
        <w:noBreakHyphen/>
        <w:t>Level Domains (</w:t>
      </w:r>
      <w:r w:rsidRPr="006475B9">
        <w:rPr>
          <w:caps w:val="0"/>
        </w:rPr>
        <w:t>cc</w:t>
      </w:r>
      <w:r w:rsidRPr="006475B9">
        <w:t>TLD)</w:t>
      </w:r>
    </w:p>
    <w:p w:rsidR="00192C16" w:rsidRPr="006475B9" w:rsidRDefault="00192C16" w:rsidP="00192C16"/>
    <w:p w:rsidR="00192C16" w:rsidRPr="006475B9" w:rsidRDefault="00192C16" w:rsidP="00192C16">
      <w:r w:rsidRPr="006475B9">
        <w:t>1</w:t>
      </w:r>
      <w:r w:rsidR="00BE5E66">
        <w:t>7</w:t>
      </w:r>
      <w:r w:rsidRPr="006475B9">
        <w:t>.</w:t>
      </w:r>
      <w:r w:rsidRPr="006475B9">
        <w:tab/>
        <w:t>While the mandatory application of the UDRP is limited to domain names registered in gTLDs, such as .com and more recently introduced new gTLDs, the Center also assists ccTLD registries in their establishment of registration conditions and dispute resolution procedures that conform with best practices in registry management and IP protection.  These procedures are mostly modeled after the UDRP, but may take account of the particular circumstances and needs of individual ccTLDs.  The Center currently provides domain name dispute resolution services to 71 ccTLD registries, most recently including the domain spaces .GD (Grenada), .ML (Mali), and .VG (British Virgin Islands).</w:t>
      </w:r>
      <w:r w:rsidRPr="006475B9">
        <w:rPr>
          <w:vertAlign w:val="superscript"/>
        </w:rPr>
        <w:footnoteReference w:id="20"/>
      </w:r>
      <w:r w:rsidRPr="006475B9">
        <w:t xml:space="preserve">  </w:t>
      </w:r>
    </w:p>
    <w:p w:rsidR="00192C16" w:rsidRDefault="00192C16" w:rsidP="00192C16"/>
    <w:p w:rsidR="003721E0" w:rsidRPr="006475B9" w:rsidRDefault="003721E0" w:rsidP="00192C16"/>
    <w:p w:rsidR="00192C16" w:rsidRPr="006475B9" w:rsidRDefault="00192C16" w:rsidP="00192C16">
      <w:pPr>
        <w:pStyle w:val="Heading1"/>
        <w:keepNext w:val="0"/>
        <w:spacing w:before="0" w:after="0"/>
      </w:pPr>
      <w:r w:rsidRPr="006475B9">
        <w:t>IIi.</w:t>
      </w:r>
      <w:r w:rsidRPr="006475B9">
        <w:tab/>
        <w:t xml:space="preserve">POLICY DEVELOPMENTS IN THE </w:t>
      </w:r>
      <w:r w:rsidR="00BE5E66">
        <w:t>DNS</w:t>
      </w:r>
    </w:p>
    <w:p w:rsidR="00192C16" w:rsidRPr="006475B9" w:rsidRDefault="00192C16" w:rsidP="00192C16">
      <w:pPr>
        <w:rPr>
          <w:szCs w:val="24"/>
        </w:rPr>
      </w:pPr>
    </w:p>
    <w:p w:rsidR="00192C16" w:rsidRPr="006475B9" w:rsidRDefault="00192C16" w:rsidP="00192C16">
      <w:pPr>
        <w:widowControl w:val="0"/>
      </w:pPr>
      <w:r w:rsidRPr="006475B9">
        <w:rPr>
          <w:szCs w:val="24"/>
        </w:rPr>
        <w:t>1</w:t>
      </w:r>
      <w:r w:rsidR="00BE5E66">
        <w:rPr>
          <w:szCs w:val="24"/>
        </w:rPr>
        <w:t>8</w:t>
      </w:r>
      <w:r w:rsidRPr="006475B9">
        <w:rPr>
          <w:szCs w:val="24"/>
        </w:rPr>
        <w:t>.</w:t>
      </w:r>
      <w:r w:rsidRPr="006475B9">
        <w:rPr>
          <w:szCs w:val="24"/>
        </w:rPr>
        <w:tab/>
      </w:r>
      <w:r w:rsidRPr="006475B9">
        <w:t xml:space="preserve">A number of policy developments in relation to ICANN present both opportunities and challenges for owners and users of IP rights.  One is ICANN’s introduction of up to 1,400 new gTLDs.  Such new gTLDs may be of an “open” nature (similar to .com), or may take on more specific or restrictive characteristics, for example taking the form of .[brand], .[city], </w:t>
      </w:r>
    </w:p>
    <w:p w:rsidR="00192C16" w:rsidRPr="006475B9" w:rsidRDefault="00192C16" w:rsidP="00192C16">
      <w:r w:rsidRPr="006475B9">
        <w:t>.[community], .[culture], .[industry], or .[language].  A second development concerns the introduction of IDNs at the top level.  Also, ICANN’s envisaged expansion of the DNS raises rights protection questions in connection with the Second WIPO Internet Domain Name Process.</w:t>
      </w:r>
    </w:p>
    <w:p w:rsidR="00192C16" w:rsidRPr="006475B9" w:rsidRDefault="00192C16" w:rsidP="00192C16"/>
    <w:p w:rsidR="003721E0" w:rsidRDefault="003721E0">
      <w:pPr>
        <w:rPr>
          <w:bCs/>
          <w:iCs/>
          <w:caps/>
          <w:szCs w:val="28"/>
        </w:rPr>
      </w:pPr>
      <w:r>
        <w:br w:type="page"/>
      </w:r>
    </w:p>
    <w:p w:rsidR="00192C16" w:rsidRPr="006475B9" w:rsidRDefault="00BE5E66" w:rsidP="00192C16">
      <w:pPr>
        <w:pStyle w:val="Heading2"/>
        <w:keepNext w:val="0"/>
        <w:spacing w:before="0" w:after="0"/>
      </w:pPr>
      <w:r>
        <w:lastRenderedPageBreak/>
        <w:t>A.</w:t>
      </w:r>
      <w:r>
        <w:tab/>
        <w:t>New gTLDS</w:t>
      </w:r>
    </w:p>
    <w:p w:rsidR="00192C16" w:rsidRPr="006475B9" w:rsidRDefault="00192C16" w:rsidP="00192C16">
      <w:pPr>
        <w:rPr>
          <w:color w:val="000000"/>
          <w:szCs w:val="24"/>
        </w:rPr>
      </w:pPr>
    </w:p>
    <w:p w:rsidR="00192C16" w:rsidRPr="006475B9" w:rsidRDefault="00BE5E66" w:rsidP="00192C16">
      <w:pPr>
        <w:widowControl w:val="0"/>
        <w:rPr>
          <w:szCs w:val="22"/>
        </w:rPr>
      </w:pPr>
      <w:r>
        <w:rPr>
          <w:szCs w:val="24"/>
        </w:rPr>
        <w:t>19</w:t>
      </w:r>
      <w:r w:rsidR="00192C16" w:rsidRPr="006475B9">
        <w:rPr>
          <w:szCs w:val="24"/>
        </w:rPr>
        <w:t>.</w:t>
      </w:r>
      <w:r w:rsidR="00192C16" w:rsidRPr="006475B9">
        <w:rPr>
          <w:szCs w:val="24"/>
        </w:rPr>
        <w:tab/>
      </w:r>
      <w:smartTag w:uri="urn:schemas-microsoft-com:office:smarttags" w:element="PersonName">
        <w:r w:rsidR="00192C16" w:rsidRPr="006475B9">
          <w:rPr>
            <w:szCs w:val="22"/>
          </w:rPr>
          <w:t>ICANN</w:t>
        </w:r>
      </w:smartTag>
      <w:r w:rsidR="00192C16" w:rsidRPr="006475B9">
        <w:rPr>
          <w:szCs w:val="22"/>
        </w:rPr>
        <w:t xml:space="preserve"> implementation of its New gTLD Program was formally approved in a Board vote at </w:t>
      </w:r>
      <w:smartTag w:uri="urn:schemas-microsoft-com:office:smarttags" w:element="PersonName">
        <w:r w:rsidR="00192C16" w:rsidRPr="006475B9">
          <w:rPr>
            <w:szCs w:val="22"/>
          </w:rPr>
          <w:t>ICANN</w:t>
        </w:r>
      </w:smartTag>
      <w:r w:rsidR="00192C16" w:rsidRPr="006475B9">
        <w:rPr>
          <w:szCs w:val="22"/>
        </w:rPr>
        <w:t xml:space="preserve">’s Meeting in </w:t>
      </w:r>
      <w:smartTag w:uri="urn:schemas-microsoft-com:office:smarttags" w:element="place">
        <w:smartTag w:uri="urn:schemas-microsoft-com:office:smarttags" w:element="country-region">
          <w:r w:rsidR="00192C16" w:rsidRPr="006475B9">
            <w:rPr>
              <w:szCs w:val="22"/>
            </w:rPr>
            <w:t>Singapore</w:t>
          </w:r>
        </w:smartTag>
      </w:smartTag>
      <w:r w:rsidR="00192C16" w:rsidRPr="006475B9">
        <w:rPr>
          <w:szCs w:val="22"/>
        </w:rPr>
        <w:t xml:space="preserve"> on June 20, 2011.</w:t>
      </w:r>
      <w:r w:rsidR="00192C16" w:rsidRPr="006475B9">
        <w:rPr>
          <w:rStyle w:val="FootnoteReference"/>
          <w:szCs w:val="22"/>
        </w:rPr>
        <w:footnoteReference w:id="21"/>
      </w:r>
      <w:r w:rsidR="00192C16" w:rsidRPr="006475B9">
        <w:rPr>
          <w:szCs w:val="22"/>
        </w:rPr>
        <w:t xml:space="preserve">  Information has been published in </w:t>
      </w:r>
      <w:smartTag w:uri="urn:schemas-microsoft-com:office:smarttags" w:element="PersonName">
        <w:r w:rsidR="00192C16" w:rsidRPr="006475B9">
          <w:rPr>
            <w:szCs w:val="22"/>
          </w:rPr>
          <w:t>ICANN</w:t>
        </w:r>
      </w:smartTag>
      <w:r w:rsidR="00192C16" w:rsidRPr="006475B9">
        <w:rPr>
          <w:szCs w:val="22"/>
        </w:rPr>
        <w:t>’s much-revised “Applicant Guidebook”.</w:t>
      </w:r>
      <w:r w:rsidR="00192C16" w:rsidRPr="006475B9">
        <w:rPr>
          <w:szCs w:val="22"/>
          <w:vertAlign w:val="superscript"/>
        </w:rPr>
        <w:footnoteReference w:id="22"/>
      </w:r>
      <w:r w:rsidR="00192C16" w:rsidRPr="006475B9">
        <w:rPr>
          <w:szCs w:val="22"/>
        </w:rPr>
        <w:t xml:space="preserve">  Delegation of the first new gTLDs into the Internet’s Root Zone took place in October 2013 and as of June 2014 some 300 new gTLDs had been delegated.</w:t>
      </w:r>
      <w:r w:rsidR="00192C16" w:rsidRPr="006475B9">
        <w:rPr>
          <w:rStyle w:val="FootnoteReference"/>
          <w:szCs w:val="22"/>
        </w:rPr>
        <w:footnoteReference w:id="23"/>
      </w:r>
    </w:p>
    <w:p w:rsidR="00192C16" w:rsidRPr="006475B9" w:rsidRDefault="00192C16" w:rsidP="00192C16">
      <w:pPr>
        <w:rPr>
          <w:szCs w:val="22"/>
        </w:rPr>
      </w:pPr>
    </w:p>
    <w:p w:rsidR="00192C16" w:rsidRPr="006475B9" w:rsidRDefault="00BE5E66" w:rsidP="00192C16">
      <w:pPr>
        <w:rPr>
          <w:szCs w:val="22"/>
        </w:rPr>
      </w:pPr>
      <w:r>
        <w:rPr>
          <w:szCs w:val="22"/>
        </w:rPr>
        <w:t>20</w:t>
      </w:r>
      <w:r w:rsidR="00192C16" w:rsidRPr="006475B9">
        <w:rPr>
          <w:szCs w:val="22"/>
        </w:rPr>
        <w:t>.</w:t>
      </w:r>
      <w:r w:rsidR="00192C16" w:rsidRPr="006475B9">
        <w:rPr>
          <w:szCs w:val="22"/>
        </w:rPr>
        <w:tab/>
        <w:t>While the Center remains committed to working with stakeholders to attempt to safeguard the observance of general principles of IP protection in new gTLDs, a number of the RPMs which have emerged from a series of ICANN committees and processes for new gTLDs are seen to have been diluted in their intended effectiveness, both in operational and in substantive terms.</w:t>
      </w:r>
      <w:r w:rsidR="00192C16" w:rsidRPr="006475B9">
        <w:rPr>
          <w:rStyle w:val="FootnoteReference"/>
          <w:szCs w:val="22"/>
        </w:rPr>
        <w:footnoteReference w:id="24"/>
      </w:r>
      <w:r w:rsidR="00192C16" w:rsidRPr="006475B9">
        <w:rPr>
          <w:szCs w:val="22"/>
        </w:rPr>
        <w:t xml:space="preserve">  Set out below is a broad description of the RPMs adapted and adopted by </w:t>
      </w:r>
      <w:smartTag w:uri="urn:schemas-microsoft-com:office:smarttags" w:element="PersonName">
        <w:r w:rsidR="00192C16" w:rsidRPr="006475B9">
          <w:rPr>
            <w:szCs w:val="22"/>
          </w:rPr>
          <w:t>ICANN</w:t>
        </w:r>
      </w:smartTag>
      <w:r w:rsidR="00192C16" w:rsidRPr="006475B9">
        <w:rPr>
          <w:szCs w:val="22"/>
        </w:rPr>
        <w:t>, in relation to the top level and the second level respectively.</w:t>
      </w:r>
    </w:p>
    <w:p w:rsidR="00192C16" w:rsidRPr="006475B9" w:rsidRDefault="00192C16" w:rsidP="00192C16">
      <w:pPr>
        <w:pStyle w:val="Heading3"/>
        <w:spacing w:before="0" w:after="0"/>
        <w:ind w:left="1100" w:hanging="550"/>
        <w:rPr>
          <w:szCs w:val="22"/>
          <w:u w:val="none"/>
        </w:rPr>
      </w:pPr>
    </w:p>
    <w:p w:rsidR="00192C16" w:rsidRPr="006475B9" w:rsidRDefault="00192C16" w:rsidP="00192C16">
      <w:pPr>
        <w:pStyle w:val="Heading3"/>
        <w:spacing w:before="0" w:after="0"/>
        <w:ind w:left="1100" w:hanging="550"/>
        <w:rPr>
          <w:szCs w:val="22"/>
        </w:rPr>
      </w:pPr>
      <w:r w:rsidRPr="006475B9">
        <w:rPr>
          <w:szCs w:val="22"/>
          <w:u w:val="none"/>
        </w:rPr>
        <w:t>(i)</w:t>
      </w:r>
      <w:r w:rsidRPr="006475B9">
        <w:rPr>
          <w:szCs w:val="22"/>
          <w:u w:val="none"/>
        </w:rPr>
        <w:tab/>
      </w:r>
      <w:r w:rsidRPr="006475B9">
        <w:rPr>
          <w:szCs w:val="22"/>
        </w:rPr>
        <w:t>Top Level R</w:t>
      </w:r>
      <w:r w:rsidR="00BE5E66">
        <w:rPr>
          <w:szCs w:val="22"/>
        </w:rPr>
        <w:t>PMs</w:t>
      </w:r>
    </w:p>
    <w:p w:rsidR="00192C16" w:rsidRPr="006475B9" w:rsidRDefault="00192C16" w:rsidP="00192C16">
      <w:pPr>
        <w:pStyle w:val="Heading3"/>
        <w:spacing w:before="0" w:after="0"/>
        <w:ind w:left="1100"/>
        <w:rPr>
          <w:szCs w:val="22"/>
          <w:u w:val="none"/>
        </w:rPr>
      </w:pPr>
    </w:p>
    <w:p w:rsidR="00192C16" w:rsidRPr="006475B9" w:rsidRDefault="00192C16" w:rsidP="00192C16">
      <w:pPr>
        <w:pStyle w:val="Heading3"/>
        <w:spacing w:before="0" w:after="0"/>
        <w:ind w:left="1100"/>
        <w:rPr>
          <w:szCs w:val="22"/>
        </w:rPr>
      </w:pPr>
      <w:r w:rsidRPr="006475B9">
        <w:rPr>
          <w:szCs w:val="22"/>
          <w:u w:val="none"/>
        </w:rPr>
        <w:t>-</w:t>
      </w:r>
      <w:r w:rsidRPr="006475B9">
        <w:rPr>
          <w:szCs w:val="22"/>
          <w:u w:val="none"/>
        </w:rPr>
        <w:tab/>
      </w:r>
      <w:r w:rsidRPr="006475B9">
        <w:rPr>
          <w:szCs w:val="22"/>
        </w:rPr>
        <w:t>Pre- (TLD) Delegation Dispute Resolution Procedure</w:t>
      </w:r>
    </w:p>
    <w:p w:rsidR="00192C16" w:rsidRPr="006475B9" w:rsidRDefault="00192C16" w:rsidP="00192C16">
      <w:pPr>
        <w:ind w:left="1701" w:hanging="680"/>
        <w:rPr>
          <w:color w:val="000000"/>
          <w:szCs w:val="22"/>
        </w:rPr>
      </w:pPr>
    </w:p>
    <w:p w:rsidR="00192C16" w:rsidRPr="006475B9" w:rsidRDefault="00BE5E66" w:rsidP="00192C16">
      <w:pPr>
        <w:rPr>
          <w:szCs w:val="22"/>
        </w:rPr>
      </w:pPr>
      <w:r>
        <w:rPr>
          <w:szCs w:val="22"/>
        </w:rPr>
        <w:t>21</w:t>
      </w:r>
      <w:r w:rsidR="00192C16" w:rsidRPr="006475B9">
        <w:rPr>
          <w:szCs w:val="22"/>
        </w:rPr>
        <w:t>.</w:t>
      </w:r>
      <w:r w:rsidR="00192C16" w:rsidRPr="006475B9">
        <w:rPr>
          <w:szCs w:val="22"/>
        </w:rPr>
        <w:tab/>
        <w:t>This mechanism allows trademark owners to lodge Legal Rights Objections (LRO) to new gTLD applications at the top level where certain substantive criteria are met</w:t>
      </w:r>
      <w:r w:rsidR="00F23C61">
        <w:rPr>
          <w:szCs w:val="22"/>
        </w:rPr>
        <w:t>.</w:t>
      </w:r>
      <w:r w:rsidR="00F23C61" w:rsidRPr="006475B9">
        <w:rPr>
          <w:rStyle w:val="FootnoteReference"/>
          <w:szCs w:val="22"/>
        </w:rPr>
        <w:footnoteReference w:id="25"/>
      </w:r>
      <w:r w:rsidR="00F23C61">
        <w:rPr>
          <w:szCs w:val="22"/>
        </w:rPr>
        <w:t xml:space="preserve">  </w:t>
      </w:r>
      <w:r w:rsidR="00192C16" w:rsidRPr="006475B9">
        <w:rPr>
          <w:szCs w:val="22"/>
        </w:rPr>
        <w:t>The Center assisted ICANN in the establishment of the substantive criteria for the LRO procedure which is rooted in the “WIPO Joint Recommendation Concerning Provisions on the Protection of Marks, and Other Industrial Property Rights in Signs, on the Internet”</w:t>
      </w:r>
      <w:r w:rsidR="00192C16" w:rsidRPr="006475B9">
        <w:rPr>
          <w:szCs w:val="22"/>
          <w:vertAlign w:val="superscript"/>
        </w:rPr>
        <w:footnoteReference w:id="26"/>
      </w:r>
      <w:r w:rsidR="00192C16" w:rsidRPr="006475B9">
        <w:rPr>
          <w:szCs w:val="22"/>
        </w:rPr>
        <w:t xml:space="preserve"> (Joint Recommendation) adopted by the WIPO General Assembly in September 2001.</w:t>
      </w:r>
    </w:p>
    <w:p w:rsidR="00192C16" w:rsidRPr="006475B9" w:rsidRDefault="00192C16" w:rsidP="00192C16">
      <w:pPr>
        <w:rPr>
          <w:szCs w:val="22"/>
        </w:rPr>
      </w:pPr>
      <w:r w:rsidRPr="006475B9">
        <w:rPr>
          <w:szCs w:val="22"/>
        </w:rPr>
        <w:t xml:space="preserve">  </w:t>
      </w:r>
    </w:p>
    <w:p w:rsidR="00192C16" w:rsidRPr="006475B9" w:rsidRDefault="00BE5E66" w:rsidP="00192C16">
      <w:pPr>
        <w:rPr>
          <w:szCs w:val="22"/>
        </w:rPr>
      </w:pPr>
      <w:r>
        <w:rPr>
          <w:szCs w:val="22"/>
        </w:rPr>
        <w:t>22</w:t>
      </w:r>
      <w:r w:rsidR="00192C16" w:rsidRPr="006475B9">
        <w:rPr>
          <w:szCs w:val="22"/>
        </w:rPr>
        <w:t>.</w:t>
      </w:r>
      <w:r w:rsidR="00192C16" w:rsidRPr="006475B9">
        <w:rPr>
          <w:szCs w:val="22"/>
        </w:rPr>
        <w:tab/>
        <w:t>The Center was appointed by ICANN as the exclusive provider of LRO dispute resolution services.</w:t>
      </w:r>
      <w:r w:rsidR="00192C16" w:rsidRPr="006475B9">
        <w:rPr>
          <w:rStyle w:val="FootnoteReference"/>
          <w:szCs w:val="22"/>
        </w:rPr>
        <w:footnoteReference w:id="27"/>
      </w:r>
      <w:r w:rsidR="00192C16" w:rsidRPr="006475B9">
        <w:rPr>
          <w:bCs/>
          <w:szCs w:val="22"/>
        </w:rPr>
        <w:t xml:space="preserve"> </w:t>
      </w:r>
      <w:r w:rsidR="00192C16" w:rsidRPr="006475B9">
        <w:rPr>
          <w:szCs w:val="22"/>
        </w:rPr>
        <w:t xml:space="preserve"> The window for filing LRO objections closed in March 2013, with the Center receiving 69 LRO filings found to be procedurally compliant.</w:t>
      </w:r>
      <w:r w:rsidR="00192C16" w:rsidRPr="006475B9">
        <w:rPr>
          <w:rStyle w:val="FootnoteReference"/>
          <w:szCs w:val="22"/>
        </w:rPr>
        <w:footnoteReference w:id="28"/>
      </w:r>
      <w:r w:rsidR="00192C16" w:rsidRPr="006475B9">
        <w:rPr>
          <w:szCs w:val="22"/>
        </w:rPr>
        <w:t xml:space="preserve">  The first LRO determinations were notified to the parties and published by the Center in July 2013, and the Center’s LRO processing was essentially completed by early September 2013.  All WIPO LRO expert panel determinations are available on the Center’s website.</w:t>
      </w:r>
      <w:r w:rsidR="00192C16" w:rsidRPr="006475B9">
        <w:rPr>
          <w:rStyle w:val="FootnoteReference"/>
          <w:szCs w:val="22"/>
        </w:rPr>
        <w:footnoteReference w:id="29"/>
      </w:r>
      <w:r w:rsidR="00F23C61">
        <w:rPr>
          <w:szCs w:val="22"/>
        </w:rPr>
        <w:t xml:space="preserve">  </w:t>
      </w:r>
      <w:r w:rsidR="00F23C61" w:rsidRPr="006475B9">
        <w:rPr>
          <w:szCs w:val="22"/>
        </w:rPr>
        <w:t>The Center has published a report on the LRO process which is available on the Center’s website.</w:t>
      </w:r>
      <w:r w:rsidR="00F23C61" w:rsidRPr="006475B9">
        <w:rPr>
          <w:rStyle w:val="FootnoteReference"/>
          <w:szCs w:val="22"/>
        </w:rPr>
        <w:footnoteReference w:id="30"/>
      </w:r>
      <w:r w:rsidR="00F23C61" w:rsidRPr="006475B9">
        <w:rPr>
          <w:szCs w:val="22"/>
        </w:rPr>
        <w:t xml:space="preserve">  </w:t>
      </w:r>
      <w:r w:rsidR="00192C16" w:rsidRPr="006475B9">
        <w:rPr>
          <w:szCs w:val="22"/>
        </w:rPr>
        <w:t xml:space="preserve"> </w:t>
      </w:r>
    </w:p>
    <w:p w:rsidR="00192C16" w:rsidRPr="006475B9" w:rsidRDefault="00192C16" w:rsidP="00192C16">
      <w:pPr>
        <w:pStyle w:val="Heading3"/>
        <w:ind w:left="1100"/>
        <w:rPr>
          <w:szCs w:val="22"/>
        </w:rPr>
      </w:pPr>
      <w:r w:rsidRPr="006475B9">
        <w:rPr>
          <w:szCs w:val="22"/>
          <w:u w:val="none"/>
        </w:rPr>
        <w:lastRenderedPageBreak/>
        <w:t>-</w:t>
      </w:r>
      <w:r w:rsidRPr="006475B9">
        <w:rPr>
          <w:szCs w:val="22"/>
          <w:u w:val="none"/>
        </w:rPr>
        <w:tab/>
      </w:r>
      <w:r w:rsidRPr="006475B9">
        <w:rPr>
          <w:szCs w:val="22"/>
        </w:rPr>
        <w:t xml:space="preserve">Post- (TLD) Delegation Dispute Resolution Procedure (PDDRP) </w:t>
      </w:r>
    </w:p>
    <w:p w:rsidR="00192C16" w:rsidRPr="006475B9" w:rsidRDefault="00192C16" w:rsidP="00192C16">
      <w:pPr>
        <w:rPr>
          <w:color w:val="000000"/>
          <w:szCs w:val="22"/>
        </w:rPr>
      </w:pPr>
    </w:p>
    <w:p w:rsidR="00192C16" w:rsidRPr="006475B9" w:rsidRDefault="00BE5E66" w:rsidP="00192C16">
      <w:pPr>
        <w:rPr>
          <w:szCs w:val="22"/>
        </w:rPr>
      </w:pPr>
      <w:r>
        <w:rPr>
          <w:szCs w:val="22"/>
        </w:rPr>
        <w:t>2</w:t>
      </w:r>
      <w:r w:rsidR="00532FC4">
        <w:rPr>
          <w:szCs w:val="22"/>
        </w:rPr>
        <w:t>3</w:t>
      </w:r>
      <w:r w:rsidR="00192C16" w:rsidRPr="006475B9">
        <w:rPr>
          <w:szCs w:val="22"/>
        </w:rPr>
        <w:t>.</w:t>
      </w:r>
      <w:r w:rsidR="00192C16" w:rsidRPr="006475B9">
        <w:rPr>
          <w:szCs w:val="22"/>
        </w:rPr>
        <w:tab/>
        <w:t xml:space="preserve">From early 2008, the Center has raised with ICANN the potential usefulness of a permanent administrative option that would allow for the filing of a complaint with respect to an approved new gTLD registry operator whose manner of operation or use of its registry is alleged to cause or materially contribute to trademark abuse.  In early 2009, the Center communicated to </w:t>
      </w:r>
      <w:smartTag w:uri="urn:schemas-microsoft-com:office:smarttags" w:element="PersonName">
        <w:r w:rsidR="00192C16" w:rsidRPr="006475B9">
          <w:rPr>
            <w:szCs w:val="22"/>
          </w:rPr>
          <w:t>ICANN</w:t>
        </w:r>
      </w:smartTag>
      <w:r w:rsidR="00192C16" w:rsidRPr="006475B9">
        <w:rPr>
          <w:szCs w:val="22"/>
        </w:rPr>
        <w:t xml:space="preserve"> a concrete substantive proposal for such a trademark-based post</w:t>
      </w:r>
      <w:r w:rsidR="00192C16" w:rsidRPr="006475B9">
        <w:rPr>
          <w:szCs w:val="22"/>
        </w:rPr>
        <w:noBreakHyphen/>
        <w:t>delegation dispute resolution procedure.</w:t>
      </w:r>
      <w:r w:rsidR="00192C16" w:rsidRPr="006475B9">
        <w:rPr>
          <w:szCs w:val="22"/>
          <w:vertAlign w:val="superscript"/>
        </w:rPr>
        <w:footnoteReference w:id="31"/>
      </w:r>
      <w:r w:rsidR="00192C16" w:rsidRPr="006475B9">
        <w:rPr>
          <w:szCs w:val="22"/>
        </w:rPr>
        <w:t xml:space="preserve">  The proposal’s intent was to offer standardized assistance to ICANN’s own compliance oversight responsibilities, by providing an administrative alternative to court litigation, encouraging responsible conduct by relevant actors and including appropriate safe</w:t>
      </w:r>
      <w:r w:rsidR="00192C16" w:rsidRPr="006475B9">
        <w:rPr>
          <w:szCs w:val="22"/>
        </w:rPr>
        <w:noBreakHyphen/>
        <w:t>harbors.</w:t>
      </w:r>
      <w:r w:rsidR="00192C16" w:rsidRPr="006475B9">
        <w:rPr>
          <w:rStyle w:val="FootnoteReference"/>
          <w:szCs w:val="22"/>
        </w:rPr>
        <w:footnoteReference w:id="32"/>
      </w:r>
      <w:r w:rsidR="00192C16" w:rsidRPr="006475B9">
        <w:rPr>
          <w:szCs w:val="22"/>
        </w:rPr>
        <w:t xml:space="preserve">  </w:t>
      </w:r>
    </w:p>
    <w:p w:rsidR="00192C16" w:rsidRPr="006475B9" w:rsidRDefault="00192C16" w:rsidP="00192C16">
      <w:pPr>
        <w:rPr>
          <w:szCs w:val="22"/>
        </w:rPr>
      </w:pPr>
    </w:p>
    <w:p w:rsidR="00192C16" w:rsidRDefault="00192C16" w:rsidP="00192C16">
      <w:pPr>
        <w:rPr>
          <w:szCs w:val="22"/>
        </w:rPr>
      </w:pPr>
      <w:r w:rsidRPr="006475B9">
        <w:rPr>
          <w:szCs w:val="22"/>
        </w:rPr>
        <w:t>2</w:t>
      </w:r>
      <w:r w:rsidR="00532FC4">
        <w:rPr>
          <w:szCs w:val="22"/>
        </w:rPr>
        <w:t>4</w:t>
      </w:r>
      <w:r w:rsidRPr="006475B9">
        <w:rPr>
          <w:szCs w:val="22"/>
        </w:rPr>
        <w:t>.</w:t>
      </w:r>
      <w:r w:rsidRPr="006475B9">
        <w:rPr>
          <w:szCs w:val="22"/>
        </w:rPr>
        <w:tab/>
        <w:t>Following various ICANN committee processes and consultations with registry operators, the effectiveness of this PDDRP in the form adopted by ICANN remains uncertain, in particular given the addition of overlapping procedural layers, and issues concerning the intended substantive scope of this mechanism.  Notwithstanding this uncertainty, in light of broader policy interests, on September 18, 2013</w:t>
      </w:r>
      <w:r w:rsidR="00286256">
        <w:rPr>
          <w:szCs w:val="22"/>
        </w:rPr>
        <w:t>,</w:t>
      </w:r>
      <w:r w:rsidRPr="006475B9">
        <w:rPr>
          <w:szCs w:val="22"/>
        </w:rPr>
        <w:t xml:space="preserve"> the Center agreed with ICANN to become a provider for the trademark PDDRP.</w:t>
      </w:r>
    </w:p>
    <w:p w:rsidR="003721E0" w:rsidRPr="006475B9" w:rsidRDefault="003721E0" w:rsidP="00192C16">
      <w:pPr>
        <w:rPr>
          <w:szCs w:val="22"/>
        </w:rPr>
      </w:pPr>
    </w:p>
    <w:p w:rsidR="00192C16" w:rsidRPr="006475B9" w:rsidRDefault="00192C16" w:rsidP="00192C16">
      <w:pPr>
        <w:pStyle w:val="Heading3"/>
        <w:ind w:left="1100" w:hanging="550"/>
        <w:rPr>
          <w:szCs w:val="22"/>
        </w:rPr>
      </w:pPr>
      <w:r w:rsidRPr="006475B9">
        <w:rPr>
          <w:szCs w:val="22"/>
          <w:u w:val="none"/>
        </w:rPr>
        <w:t>(</w:t>
      </w:r>
      <w:r w:rsidRPr="006475B9">
        <w:rPr>
          <w:u w:val="none"/>
        </w:rPr>
        <w:t>ii)</w:t>
      </w:r>
      <w:r w:rsidRPr="006475B9">
        <w:rPr>
          <w:u w:val="none"/>
        </w:rPr>
        <w:tab/>
        <w:t>Second Level R</w:t>
      </w:r>
      <w:r w:rsidR="00BE5E66">
        <w:rPr>
          <w:u w:val="none"/>
        </w:rPr>
        <w:t>PMs</w:t>
      </w:r>
    </w:p>
    <w:p w:rsidR="00192C16" w:rsidRPr="006475B9" w:rsidRDefault="00192C16" w:rsidP="00192C16">
      <w:pPr>
        <w:pStyle w:val="Heading3"/>
        <w:ind w:left="1650" w:hanging="550"/>
        <w:rPr>
          <w:szCs w:val="22"/>
        </w:rPr>
      </w:pPr>
      <w:r w:rsidRPr="006475B9">
        <w:rPr>
          <w:szCs w:val="22"/>
          <w:u w:val="none"/>
        </w:rPr>
        <w:t>-</w:t>
      </w:r>
      <w:r w:rsidRPr="006475B9">
        <w:rPr>
          <w:szCs w:val="22"/>
          <w:u w:val="none"/>
        </w:rPr>
        <w:tab/>
      </w:r>
      <w:r w:rsidRPr="006475B9">
        <w:rPr>
          <w:szCs w:val="22"/>
        </w:rPr>
        <w:t xml:space="preserve">Trademark Clearinghouse </w:t>
      </w:r>
    </w:p>
    <w:p w:rsidR="00192C16" w:rsidRPr="006475B9" w:rsidRDefault="00192C16" w:rsidP="00192C16">
      <w:pPr>
        <w:pStyle w:val="Heading3"/>
        <w:keepLines/>
        <w:spacing w:before="0" w:after="0"/>
        <w:rPr>
          <w:szCs w:val="22"/>
          <w:u w:val="none"/>
        </w:rPr>
      </w:pPr>
    </w:p>
    <w:p w:rsidR="00192C16" w:rsidRPr="006475B9" w:rsidRDefault="00192C16" w:rsidP="00192C16">
      <w:r w:rsidRPr="006475B9">
        <w:t>2</w:t>
      </w:r>
      <w:r w:rsidR="00532FC4">
        <w:t>5</w:t>
      </w:r>
      <w:r w:rsidRPr="006475B9">
        <w:t>.</w:t>
      </w:r>
      <w:r w:rsidRPr="006475B9">
        <w:tab/>
        <w:t>ICANN’s New gTLD Program includes a “Trademark Clearinghouse” as a centralized repository of authenticated trademark data which could be invoked as the basis for filing under new gTLD RPMs.</w:t>
      </w:r>
      <w:r w:rsidRPr="006475B9">
        <w:rPr>
          <w:rStyle w:val="FootnoteReference"/>
        </w:rPr>
        <w:footnoteReference w:id="33"/>
      </w:r>
      <w:r w:rsidRPr="006475B9">
        <w:t xml:space="preserve">  The adoption of this concept involved extensive </w:t>
      </w:r>
      <w:smartTag w:uri="urn:schemas-microsoft-com:office:smarttags" w:element="PersonName">
        <w:r w:rsidRPr="006475B9">
          <w:t>ICANN</w:t>
        </w:r>
      </w:smartTag>
      <w:r w:rsidRPr="006475B9">
        <w:t xml:space="preserve"> discussions </w:t>
      </w:r>
      <w:r w:rsidRPr="006475B9">
        <w:rPr>
          <w:i/>
        </w:rPr>
        <w:t>inter alia</w:t>
      </w:r>
      <w:r w:rsidRPr="006475B9">
        <w:t xml:space="preserve"> concerning the relation to trademark office determinations.  The Center has commented that any such Clearinghouse should not unfairly burden rights holders in the treatment of trademark registrations legitimately obtained through examination and registration systems as applied in many global jurisdictions, and that, if and where relevant, practical measures may be envisaged to identify any allegedly inappropriate invocation of rights in specific contexts.</w:t>
      </w:r>
      <w:r w:rsidR="007F64F8">
        <w:t xml:space="preserve">  </w:t>
      </w:r>
      <w:r w:rsidRPr="006475B9">
        <w:t>The Clearinghouse has been open for trademark submission and validation since March 2013,</w:t>
      </w:r>
      <w:r w:rsidRPr="006475B9">
        <w:rPr>
          <w:rStyle w:val="FootnoteReference"/>
          <w:szCs w:val="22"/>
        </w:rPr>
        <w:footnoteReference w:id="34"/>
      </w:r>
      <w:r w:rsidRPr="006475B9">
        <w:t xml:space="preserve"> and the Center continues to monitor developments regarding this mechanism.   </w:t>
      </w:r>
    </w:p>
    <w:p w:rsidR="003721E0" w:rsidRDefault="003721E0">
      <w:pPr>
        <w:rPr>
          <w:bCs/>
          <w:szCs w:val="22"/>
        </w:rPr>
      </w:pPr>
      <w:r>
        <w:rPr>
          <w:szCs w:val="22"/>
        </w:rPr>
        <w:br w:type="page"/>
      </w:r>
    </w:p>
    <w:p w:rsidR="00192C16" w:rsidRPr="006475B9" w:rsidRDefault="00192C16" w:rsidP="00192C16">
      <w:pPr>
        <w:pStyle w:val="Heading3"/>
        <w:keepNext w:val="0"/>
        <w:ind w:left="1100"/>
        <w:rPr>
          <w:color w:val="000000"/>
          <w:szCs w:val="22"/>
        </w:rPr>
      </w:pPr>
      <w:r w:rsidRPr="006475B9">
        <w:rPr>
          <w:szCs w:val="22"/>
          <w:u w:val="none"/>
        </w:rPr>
        <w:lastRenderedPageBreak/>
        <w:t>-</w:t>
      </w:r>
      <w:r w:rsidRPr="006475B9">
        <w:rPr>
          <w:szCs w:val="22"/>
          <w:u w:val="none"/>
        </w:rPr>
        <w:tab/>
      </w:r>
      <w:r w:rsidRPr="006475B9">
        <w:rPr>
          <w:szCs w:val="22"/>
        </w:rPr>
        <w:t>Uniform Rapid Suspension (URS) System</w:t>
      </w:r>
    </w:p>
    <w:p w:rsidR="00192C16" w:rsidRPr="006475B9" w:rsidRDefault="00192C16" w:rsidP="00192C16">
      <w:pPr>
        <w:rPr>
          <w:szCs w:val="22"/>
        </w:rPr>
      </w:pPr>
    </w:p>
    <w:p w:rsidR="00192C16" w:rsidRDefault="00192C16" w:rsidP="00192C16">
      <w:r w:rsidRPr="006475B9">
        <w:t>2</w:t>
      </w:r>
      <w:r w:rsidR="00532FC4">
        <w:t>6</w:t>
      </w:r>
      <w:r w:rsidRPr="006475B9">
        <w:t>.</w:t>
      </w:r>
      <w:r w:rsidRPr="006475B9">
        <w:tab/>
        <w:t>While importantly the UDRP remains available as a curative tool for new gTLD disputes involving the considered transfer of a disputed domain name to the trademark owner, ICANN has introduced what is intended to be a lighter second</w:t>
      </w:r>
      <w:r w:rsidRPr="006475B9">
        <w:noBreakHyphen/>
        <w:t>level RPM for appropriate cases.</w:t>
      </w:r>
      <w:r w:rsidR="007F64F8" w:rsidRPr="006475B9">
        <w:rPr>
          <w:vertAlign w:val="superscript"/>
        </w:rPr>
        <w:footnoteReference w:id="35"/>
      </w:r>
    </w:p>
    <w:p w:rsidR="007F64F8" w:rsidRPr="006475B9" w:rsidRDefault="007F64F8" w:rsidP="00192C16">
      <w:pPr>
        <w:rPr>
          <w:szCs w:val="22"/>
        </w:rPr>
      </w:pPr>
    </w:p>
    <w:p w:rsidR="00192C16" w:rsidRPr="006475B9" w:rsidRDefault="00192C16" w:rsidP="00192C16">
      <w:r w:rsidRPr="006475B9">
        <w:t>2</w:t>
      </w:r>
      <w:r w:rsidR="00532FC4">
        <w:t>7</w:t>
      </w:r>
      <w:r w:rsidRPr="006475B9">
        <w:t>.</w:t>
      </w:r>
      <w:r w:rsidRPr="006475B9">
        <w:tab/>
        <w:t xml:space="preserve">Although the URS as evolved from a sequence of ICANN processes and committees is viewed by many as having become an overburdened procedure for a limited remedy, the mechanism has now, with the introduction of new gTLDs, taken effect.  Questions remain as to how effective the URS will be as an efficient and enforceable complement to the </w:t>
      </w:r>
      <w:r w:rsidR="00C96755">
        <w:t xml:space="preserve">                court</w:t>
      </w:r>
      <w:r w:rsidR="00C96755">
        <w:softHyphen/>
        <w:t>-</w:t>
      </w:r>
      <w:r w:rsidRPr="006475B9">
        <w:t>alternative UDRP, and a range of issues remain to be addressed, including its relationship with the UDRP.</w:t>
      </w:r>
      <w:r w:rsidRPr="006475B9">
        <w:rPr>
          <w:rStyle w:val="FootnoteReference"/>
          <w:szCs w:val="22"/>
        </w:rPr>
        <w:footnoteReference w:id="36"/>
      </w:r>
      <w:r w:rsidRPr="006475B9">
        <w:t xml:space="preserve">  ICANN invited tenders in late 2012 from prospective URS providers, to which after careful consideration of the ICANN URS model and related resources the Center was not in a position to apply.</w:t>
      </w:r>
      <w:r w:rsidRPr="006475B9">
        <w:rPr>
          <w:rStyle w:val="FootnoteReference"/>
        </w:rPr>
        <w:footnoteReference w:id="37"/>
      </w:r>
      <w:r w:rsidRPr="006475B9">
        <w:t xml:space="preserve">  The Center continues to closely monitor developments.  </w:t>
      </w:r>
    </w:p>
    <w:p w:rsidR="00192C16" w:rsidRDefault="00192C16" w:rsidP="00192C16"/>
    <w:p w:rsidR="003721E0" w:rsidRPr="006475B9" w:rsidRDefault="003721E0" w:rsidP="00192C16"/>
    <w:p w:rsidR="00192C16" w:rsidRPr="006475B9" w:rsidRDefault="00192C16" w:rsidP="00192C16">
      <w:pPr>
        <w:pStyle w:val="Heading2"/>
        <w:spacing w:before="0" w:after="0"/>
        <w:ind w:left="567" w:hanging="567"/>
        <w:rPr>
          <w:szCs w:val="22"/>
        </w:rPr>
      </w:pPr>
      <w:r w:rsidRPr="006475B9">
        <w:rPr>
          <w:szCs w:val="22"/>
        </w:rPr>
        <w:t>B.</w:t>
      </w:r>
      <w:r w:rsidRPr="006475B9">
        <w:rPr>
          <w:szCs w:val="22"/>
        </w:rPr>
        <w:tab/>
        <w:t>ICANN’S PLANNED REVISION OF THE WIPO-INITIATED UDRP, AND THE UDRP LOCK WORKING GROUP</w:t>
      </w:r>
    </w:p>
    <w:p w:rsidR="00192C16" w:rsidRPr="006475B9" w:rsidRDefault="00192C16" w:rsidP="00192C16">
      <w:pPr>
        <w:keepNext/>
        <w:keepLines/>
        <w:ind w:firstLine="567"/>
        <w:rPr>
          <w:bCs/>
          <w:color w:val="000000"/>
          <w:szCs w:val="22"/>
        </w:rPr>
      </w:pPr>
    </w:p>
    <w:p w:rsidR="00192C16" w:rsidRPr="006475B9" w:rsidRDefault="00532FC4" w:rsidP="00192C16">
      <w:r>
        <w:t>28</w:t>
      </w:r>
      <w:r w:rsidR="00192C16" w:rsidRPr="006475B9">
        <w:t>.</w:t>
      </w:r>
      <w:r w:rsidR="00192C16" w:rsidRPr="006475B9">
        <w:tab/>
        <w:t>Accommodating the dynamic development of the DNS, the UDRP has been offering an effective alternative to court litigation for trademark owners, domain name registrants, and registration authorities.  Nevertheless, following discussions at which the clear majority of participants were of the opinion that more harm than good could result from any review of the UDRP by ICANN</w:t>
      </w:r>
      <w:r w:rsidR="001E4B86">
        <w:t xml:space="preserve"> as a registration-driven body</w:t>
      </w:r>
      <w:r w:rsidR="00192C16" w:rsidRPr="006475B9">
        <w:t>,</w:t>
      </w:r>
      <w:r w:rsidR="00192C16" w:rsidRPr="006475B9">
        <w:rPr>
          <w:rStyle w:val="FootnoteReference"/>
          <w:szCs w:val="22"/>
        </w:rPr>
        <w:footnoteReference w:id="38"/>
      </w:r>
      <w:r w:rsidR="00192C16" w:rsidRPr="006475B9">
        <w:t xml:space="preserve"> a decision was taken by ICANN’s Generic Names Supporting Organization (GNSO) to review the UDRP through a process envisaged to commence within some 18 months following the delegation of the first new gTLDs.</w:t>
      </w:r>
      <w:r w:rsidR="00192C16" w:rsidRPr="006475B9">
        <w:rPr>
          <w:rStyle w:val="FootnoteReference"/>
          <w:szCs w:val="22"/>
        </w:rPr>
        <w:footnoteReference w:id="39"/>
      </w:r>
      <w:r w:rsidR="001E4B86">
        <w:t xml:space="preserve">  </w:t>
      </w:r>
      <w:r w:rsidR="001E4B86" w:rsidRPr="006475B9">
        <w:t>In any such review process, the Center will be an active participant with the best interests of the UDRP in mind.</w:t>
      </w:r>
      <w:r w:rsidR="001E4B86">
        <w:rPr>
          <w:rStyle w:val="FootnoteReference"/>
        </w:rPr>
        <w:footnoteReference w:id="40"/>
      </w:r>
    </w:p>
    <w:p w:rsidR="00192C16" w:rsidRDefault="00192C16" w:rsidP="00192C16"/>
    <w:p w:rsidR="003721E0" w:rsidRPr="006475B9" w:rsidRDefault="003721E0" w:rsidP="00192C16"/>
    <w:p w:rsidR="003721E0" w:rsidRDefault="003721E0">
      <w:pPr>
        <w:rPr>
          <w:szCs w:val="22"/>
        </w:rPr>
      </w:pPr>
      <w:r>
        <w:rPr>
          <w:szCs w:val="22"/>
        </w:rPr>
        <w:br w:type="page"/>
      </w:r>
    </w:p>
    <w:p w:rsidR="00192C16" w:rsidRDefault="00192C16" w:rsidP="007F64F8">
      <w:pPr>
        <w:rPr>
          <w:szCs w:val="22"/>
        </w:rPr>
      </w:pPr>
      <w:r w:rsidRPr="006475B9">
        <w:rPr>
          <w:szCs w:val="22"/>
        </w:rPr>
        <w:lastRenderedPageBreak/>
        <w:t>C.</w:t>
      </w:r>
      <w:r w:rsidRPr="006475B9">
        <w:rPr>
          <w:szCs w:val="22"/>
        </w:rPr>
        <w:tab/>
        <w:t>I</w:t>
      </w:r>
      <w:r w:rsidR="00BE5E66">
        <w:rPr>
          <w:szCs w:val="22"/>
        </w:rPr>
        <w:t>DNS</w:t>
      </w:r>
    </w:p>
    <w:p w:rsidR="007F64F8" w:rsidRPr="006475B9" w:rsidRDefault="007F64F8" w:rsidP="007F64F8">
      <w:pPr>
        <w:rPr>
          <w:color w:val="000000"/>
          <w:szCs w:val="22"/>
        </w:rPr>
      </w:pPr>
    </w:p>
    <w:p w:rsidR="00192C16" w:rsidRPr="006475B9" w:rsidRDefault="00532FC4" w:rsidP="007F64F8">
      <w:pPr>
        <w:widowControl w:val="0"/>
        <w:rPr>
          <w:szCs w:val="22"/>
        </w:rPr>
      </w:pPr>
      <w:r>
        <w:rPr>
          <w:szCs w:val="22"/>
        </w:rPr>
        <w:t>29</w:t>
      </w:r>
      <w:r w:rsidR="00192C16" w:rsidRPr="006475B9">
        <w:rPr>
          <w:szCs w:val="22"/>
        </w:rPr>
        <w:t>.</w:t>
      </w:r>
      <w:r w:rsidR="00192C16" w:rsidRPr="006475B9">
        <w:rPr>
          <w:szCs w:val="22"/>
        </w:rPr>
        <w:tab/>
        <w:t>As noted in paragraph 2, another significant policy development in the DNS is the introduction of IDNs (non-Latin script) at the top level.</w:t>
      </w:r>
      <w:r w:rsidR="00192C16" w:rsidRPr="006475B9">
        <w:rPr>
          <w:rStyle w:val="FootnoteReference"/>
          <w:szCs w:val="22"/>
        </w:rPr>
        <w:footnoteReference w:id="41"/>
      </w:r>
      <w:r w:rsidR="00192C16" w:rsidRPr="006475B9">
        <w:rPr>
          <w:szCs w:val="22"/>
        </w:rPr>
        <w:t xml:space="preserve">  Because of the high priority accorded to IDN applications in the ICANN New gTLD approval process, many of these were among the first</w:t>
      </w:r>
      <w:r w:rsidR="00C84829">
        <w:rPr>
          <w:szCs w:val="22"/>
        </w:rPr>
        <w:t xml:space="preserve"> </w:t>
      </w:r>
      <w:r w:rsidR="00192C16" w:rsidRPr="006475B9">
        <w:rPr>
          <w:szCs w:val="22"/>
        </w:rPr>
        <w:t xml:space="preserve">new gTLDs announced by ICANN for delegation in the DNS root zone. </w:t>
      </w:r>
    </w:p>
    <w:p w:rsidR="00192C16" w:rsidRDefault="00192C16" w:rsidP="00192C16">
      <w:pPr>
        <w:ind w:left="1701" w:hanging="680"/>
        <w:rPr>
          <w:szCs w:val="22"/>
        </w:rPr>
      </w:pPr>
    </w:p>
    <w:p w:rsidR="003721E0" w:rsidRPr="006475B9" w:rsidRDefault="003721E0" w:rsidP="00192C16">
      <w:pPr>
        <w:ind w:left="1701" w:hanging="680"/>
        <w:rPr>
          <w:szCs w:val="22"/>
        </w:rPr>
      </w:pPr>
    </w:p>
    <w:p w:rsidR="00192C16" w:rsidRPr="006475B9" w:rsidRDefault="00192C16" w:rsidP="00192C16">
      <w:pPr>
        <w:pStyle w:val="Heading2"/>
        <w:spacing w:before="0" w:after="0"/>
        <w:rPr>
          <w:szCs w:val="22"/>
        </w:rPr>
      </w:pPr>
      <w:r w:rsidRPr="006475B9">
        <w:rPr>
          <w:szCs w:val="22"/>
        </w:rPr>
        <w:t>D.</w:t>
      </w:r>
      <w:r w:rsidRPr="006475B9">
        <w:rPr>
          <w:szCs w:val="22"/>
        </w:rPr>
        <w:tab/>
        <w:t>Other Identifiers</w:t>
      </w:r>
    </w:p>
    <w:p w:rsidR="00192C16" w:rsidRPr="006475B9" w:rsidRDefault="00192C16" w:rsidP="00192C16"/>
    <w:p w:rsidR="00192C16" w:rsidRPr="006475B9" w:rsidRDefault="00192C16" w:rsidP="00192C16">
      <w:pPr>
        <w:rPr>
          <w:szCs w:val="22"/>
        </w:rPr>
      </w:pPr>
      <w:r w:rsidRPr="006475B9">
        <w:rPr>
          <w:szCs w:val="22"/>
        </w:rPr>
        <w:t>3</w:t>
      </w:r>
      <w:r w:rsidR="00532FC4">
        <w:rPr>
          <w:szCs w:val="22"/>
        </w:rPr>
        <w:t>0</w:t>
      </w:r>
      <w:r w:rsidRPr="006475B9">
        <w:rPr>
          <w:szCs w:val="22"/>
        </w:rPr>
        <w:t>.</w:t>
      </w:r>
      <w:r w:rsidRPr="006475B9">
        <w:rPr>
          <w:szCs w:val="22"/>
        </w:rPr>
        <w:tab/>
        <w:t>In addition to and in connection with the above, there are further developments taking place at ICANN in relation to the protection of non</w:t>
      </w:r>
      <w:r w:rsidRPr="006475B9">
        <w:rPr>
          <w:szCs w:val="22"/>
        </w:rPr>
        <w:noBreakHyphen/>
        <w:t>trademark identifiers.</w:t>
      </w:r>
    </w:p>
    <w:p w:rsidR="00192C16" w:rsidRPr="006475B9" w:rsidRDefault="00192C16" w:rsidP="00192C16">
      <w:pPr>
        <w:rPr>
          <w:szCs w:val="22"/>
        </w:rPr>
      </w:pPr>
    </w:p>
    <w:p w:rsidR="00192C16" w:rsidRPr="006475B9" w:rsidRDefault="00192C16" w:rsidP="00192C16">
      <w:pPr>
        <w:ind w:firstLine="567"/>
      </w:pPr>
      <w:r w:rsidRPr="006475B9">
        <w:t>(i)</w:t>
      </w:r>
      <w:r w:rsidRPr="006475B9">
        <w:tab/>
        <w:t xml:space="preserve">International Governmental Organizations </w:t>
      </w:r>
      <w:r w:rsidR="00BE5E66" w:rsidRPr="006475B9">
        <w:rPr>
          <w:szCs w:val="22"/>
        </w:rPr>
        <w:t>(IGOs)</w:t>
      </w:r>
    </w:p>
    <w:p w:rsidR="00192C16" w:rsidRPr="006475B9" w:rsidRDefault="00192C16" w:rsidP="00192C16">
      <w:pPr>
        <w:rPr>
          <w:szCs w:val="22"/>
        </w:rPr>
      </w:pPr>
    </w:p>
    <w:p w:rsidR="00192C16" w:rsidRPr="006475B9" w:rsidRDefault="00192C16" w:rsidP="00192C16">
      <w:pPr>
        <w:rPr>
          <w:szCs w:val="22"/>
        </w:rPr>
      </w:pPr>
      <w:r w:rsidRPr="006475B9">
        <w:rPr>
          <w:szCs w:val="22"/>
        </w:rPr>
        <w:t>3</w:t>
      </w:r>
      <w:r w:rsidR="00532FC4">
        <w:rPr>
          <w:szCs w:val="22"/>
        </w:rPr>
        <w:t>1</w:t>
      </w:r>
      <w:r w:rsidRPr="006475B9">
        <w:rPr>
          <w:szCs w:val="22"/>
        </w:rPr>
        <w:t>.</w:t>
      </w:r>
      <w:r w:rsidRPr="006475B9">
        <w:rPr>
          <w:szCs w:val="22"/>
        </w:rPr>
        <w:tab/>
        <w:t xml:space="preserve">It is recalled that the First WIPO Internet Domain Name Process addressed the relationship between domain names and trademarks.  The Second WIPO Internet Domain Name Process concerned the relationship between domain names and five other types of identifiers that had not been addressed, including country names and </w:t>
      </w:r>
      <w:r w:rsidR="00BE5E66">
        <w:rPr>
          <w:szCs w:val="22"/>
        </w:rPr>
        <w:t xml:space="preserve">IGO </w:t>
      </w:r>
      <w:r w:rsidRPr="006475B9">
        <w:rPr>
          <w:szCs w:val="22"/>
        </w:rPr>
        <w:t>names and acronyms.</w:t>
      </w:r>
    </w:p>
    <w:p w:rsidR="00192C16" w:rsidRPr="006475B9" w:rsidRDefault="00192C16" w:rsidP="00192C16">
      <w:pPr>
        <w:rPr>
          <w:szCs w:val="22"/>
        </w:rPr>
      </w:pPr>
    </w:p>
    <w:p w:rsidR="00192C16" w:rsidRPr="006475B9" w:rsidRDefault="00192C16" w:rsidP="00192C16">
      <w:pPr>
        <w:rPr>
          <w:szCs w:val="22"/>
        </w:rPr>
      </w:pPr>
      <w:r w:rsidRPr="006475B9">
        <w:rPr>
          <w:szCs w:val="22"/>
        </w:rPr>
        <w:t>3</w:t>
      </w:r>
      <w:r w:rsidR="00532FC4">
        <w:rPr>
          <w:szCs w:val="22"/>
        </w:rPr>
        <w:t>2</w:t>
      </w:r>
      <w:r w:rsidRPr="006475B9">
        <w:rPr>
          <w:szCs w:val="22"/>
        </w:rPr>
        <w:t>.</w:t>
      </w:r>
      <w:r w:rsidRPr="006475B9">
        <w:rPr>
          <w:szCs w:val="22"/>
        </w:rPr>
        <w:tab/>
        <w:t>At its meeting from September 23 to October 1, 2002, the WIPO General Assembly recommended amending the UDRP in order to provide protection for country names and for the names and acronyms of IGOs.</w:t>
      </w:r>
      <w:r w:rsidRPr="006475B9">
        <w:rPr>
          <w:szCs w:val="22"/>
          <w:vertAlign w:val="superscript"/>
        </w:rPr>
        <w:footnoteReference w:id="42"/>
      </w:r>
      <w:r w:rsidRPr="006475B9">
        <w:rPr>
          <w:szCs w:val="22"/>
        </w:rPr>
        <w:t xml:space="preserve">  The WIPO Secretariat transmitted these recommendations (WIPO-2 Recommendations) to ICANN in February 2003.</w:t>
      </w:r>
      <w:r w:rsidRPr="006475B9">
        <w:rPr>
          <w:szCs w:val="22"/>
          <w:vertAlign w:val="superscript"/>
        </w:rPr>
        <w:footnoteReference w:id="43"/>
      </w:r>
    </w:p>
    <w:p w:rsidR="00192C16" w:rsidRPr="006475B9" w:rsidRDefault="00192C16" w:rsidP="00192C16">
      <w:pPr>
        <w:autoSpaceDE w:val="0"/>
        <w:autoSpaceDN w:val="0"/>
        <w:adjustRightInd w:val="0"/>
        <w:rPr>
          <w:szCs w:val="22"/>
        </w:rPr>
      </w:pPr>
    </w:p>
    <w:p w:rsidR="00192C16" w:rsidRPr="006475B9" w:rsidRDefault="00192C16" w:rsidP="00192C16">
      <w:pPr>
        <w:rPr>
          <w:szCs w:val="22"/>
        </w:rPr>
      </w:pPr>
      <w:r w:rsidRPr="006475B9">
        <w:rPr>
          <w:szCs w:val="22"/>
        </w:rPr>
        <w:t>3</w:t>
      </w:r>
      <w:r w:rsidR="00532FC4">
        <w:rPr>
          <w:szCs w:val="22"/>
        </w:rPr>
        <w:t>3</w:t>
      </w:r>
      <w:r w:rsidRPr="006475B9">
        <w:rPr>
          <w:szCs w:val="22"/>
        </w:rPr>
        <w:t>.</w:t>
      </w:r>
      <w:r w:rsidRPr="006475B9">
        <w:rPr>
          <w:szCs w:val="22"/>
        </w:rPr>
        <w:tab/>
        <w:t>Following further ICANN deliberations,</w:t>
      </w:r>
      <w:r w:rsidRPr="006475B9">
        <w:rPr>
          <w:rStyle w:val="FootnoteReference"/>
          <w:szCs w:val="22"/>
        </w:rPr>
        <w:footnoteReference w:id="44"/>
      </w:r>
      <w:r w:rsidRPr="006475B9">
        <w:rPr>
          <w:szCs w:val="22"/>
        </w:rPr>
        <w:t xml:space="preserve"> ICANN’s New gTLD Program Applicant Guidebook limited its consideration of the protection of the names and acronyms of IGOs to providing potential recourse through the pre</w:t>
      </w:r>
      <w:r w:rsidRPr="006475B9">
        <w:rPr>
          <w:szCs w:val="22"/>
        </w:rPr>
        <w:noBreakHyphen/>
        <w:t>delegation objection procedure concerning the top level (</w:t>
      </w:r>
      <w:r w:rsidRPr="00325133">
        <w:rPr>
          <w:szCs w:val="22"/>
        </w:rPr>
        <w:t>i.e., a</w:t>
      </w:r>
      <w:r w:rsidRPr="006475B9">
        <w:rPr>
          <w:szCs w:val="22"/>
        </w:rPr>
        <w:t>n applied</w:t>
      </w:r>
      <w:r w:rsidRPr="006475B9">
        <w:rPr>
          <w:szCs w:val="22"/>
        </w:rPr>
        <w:noBreakHyphen/>
        <w:t xml:space="preserve">for TLD), discussed in paragraphs 19 and 20 above.  However, following an open letter from IGO legal counsels to ICANN in December 2011, and sustained IGO efforts, </w:t>
      </w:r>
      <w:r w:rsidRPr="006475B9">
        <w:rPr>
          <w:szCs w:val="24"/>
        </w:rPr>
        <w:t xml:space="preserve">ICANN’s Governmental Advisory Committee (GAC) </w:t>
      </w:r>
      <w:r w:rsidRPr="006475B9">
        <w:rPr>
          <w:szCs w:val="22"/>
        </w:rPr>
        <w:t>issued advice to the ICANN Board that the names and acronyms of IGOs be granted protection against inappropriate third-party registration in the DNS prior to the delegation of any new gTLDs.</w:t>
      </w:r>
      <w:r w:rsidRPr="006475B9">
        <w:rPr>
          <w:rStyle w:val="FootnoteReference"/>
          <w:szCs w:val="22"/>
        </w:rPr>
        <w:footnoteReference w:id="45"/>
      </w:r>
      <w:r w:rsidRPr="006475B9">
        <w:rPr>
          <w:szCs w:val="22"/>
        </w:rPr>
        <w:t xml:space="preserve">  The GAC further advised the ICANN Board that, building on existing “.int” criteria for second-level registrations in that space, it would collaborate with IGOs to develop a list of IGO names and acronyms that should be protected.  Such protection would be at the second level for the current round of new gTLDs, and at both the second and top level in any future new gTLD rounds.  The GAC also advised the Board that, pending work on further implementation, interim protection for IGO names and acronyms should be provided through a moratorium on third-party registration prior to the delegation of any new gTLDs. </w:t>
      </w:r>
    </w:p>
    <w:p w:rsidR="00192C16" w:rsidRPr="006475B9" w:rsidRDefault="00192C16" w:rsidP="00192C16">
      <w:pPr>
        <w:rPr>
          <w:szCs w:val="22"/>
        </w:rPr>
      </w:pPr>
    </w:p>
    <w:p w:rsidR="00192C16" w:rsidRPr="006475B9" w:rsidRDefault="00192C16" w:rsidP="00192C16">
      <w:pPr>
        <w:rPr>
          <w:szCs w:val="22"/>
        </w:rPr>
      </w:pPr>
      <w:r w:rsidRPr="006475B9">
        <w:rPr>
          <w:szCs w:val="22"/>
        </w:rPr>
        <w:lastRenderedPageBreak/>
        <w:t>3</w:t>
      </w:r>
      <w:r w:rsidR="00532FC4">
        <w:rPr>
          <w:szCs w:val="22"/>
        </w:rPr>
        <w:t>4</w:t>
      </w:r>
      <w:r w:rsidRPr="006475B9">
        <w:rPr>
          <w:szCs w:val="22"/>
        </w:rPr>
        <w:t>.</w:t>
      </w:r>
      <w:r w:rsidRPr="006475B9">
        <w:rPr>
          <w:szCs w:val="22"/>
        </w:rPr>
        <w:tab/>
        <w:t xml:space="preserve">The ICANN Board responded to the GAC indicating that it had adopted a resolution laying the groundwork for such interim protection at the second level based on the existing .int criteria, </w:t>
      </w:r>
      <w:r w:rsidRPr="006475B9">
        <w:rPr>
          <w:i/>
          <w:szCs w:val="22"/>
        </w:rPr>
        <w:t>via</w:t>
      </w:r>
      <w:r w:rsidRPr="006475B9">
        <w:rPr>
          <w:szCs w:val="22"/>
        </w:rPr>
        <w:t xml:space="preserve"> an ICANN reserve list of identified IGO names and acronyms, to be withheld from third-party registration through the new gTLD Registry Agreement.  ICANN specified a deadline for provision of relevant qualifying IGO names and acronyms of February 28, 2013, inviting qualifying IGOs to identify themselves to ICANN by that date, while also seeking provision by the GAC (with IGOs) of a consolidated IGO package comprising the criteria and list of IGO names and acronyms for which the GAC advises protection.</w:t>
      </w:r>
      <w:r w:rsidRPr="006475B9">
        <w:rPr>
          <w:rStyle w:val="FootnoteReference"/>
          <w:szCs w:val="22"/>
        </w:rPr>
        <w:footnoteReference w:id="46"/>
      </w:r>
      <w:r w:rsidRPr="006475B9">
        <w:rPr>
          <w:szCs w:val="22"/>
        </w:rPr>
        <w:t xml:space="preserve">  In response, an IGO coalition developed .int</w:t>
      </w:r>
      <w:r w:rsidRPr="006475B9">
        <w:rPr>
          <w:szCs w:val="22"/>
        </w:rPr>
        <w:noBreakHyphen/>
        <w:t>based criteria for IGO protection and an accompanying list of IGOs, which the IGO coalition forwarded to the ICANN Board on February 28, 2013.  This was followed by a GAC communication to the ICANN Board of the GAC’s preferred advice on IGO protection eligibility criteria (comprising treaty-based IGOs with international legal personality, or which are UN Observers, or which are funds or programs of the UN), together with a list of protectable IGO names and acronyms.</w:t>
      </w:r>
      <w:r w:rsidRPr="006475B9">
        <w:rPr>
          <w:rStyle w:val="FootnoteReference"/>
          <w:szCs w:val="22"/>
        </w:rPr>
        <w:footnoteReference w:id="47"/>
      </w:r>
    </w:p>
    <w:p w:rsidR="00192C16" w:rsidRPr="006475B9" w:rsidRDefault="00192C16" w:rsidP="00192C16">
      <w:pPr>
        <w:rPr>
          <w:szCs w:val="22"/>
        </w:rPr>
      </w:pPr>
    </w:p>
    <w:p w:rsidR="00192C16" w:rsidRPr="006475B9" w:rsidRDefault="00192C16" w:rsidP="00192C16">
      <w:pPr>
        <w:rPr>
          <w:szCs w:val="22"/>
        </w:rPr>
      </w:pPr>
      <w:r w:rsidRPr="006475B9">
        <w:rPr>
          <w:szCs w:val="22"/>
        </w:rPr>
        <w:t>3</w:t>
      </w:r>
      <w:r w:rsidR="00532FC4">
        <w:rPr>
          <w:szCs w:val="22"/>
        </w:rPr>
        <w:t>5</w:t>
      </w:r>
      <w:r w:rsidRPr="006475B9">
        <w:rPr>
          <w:szCs w:val="22"/>
        </w:rPr>
        <w:t>.</w:t>
      </w:r>
      <w:r w:rsidRPr="006475B9">
        <w:rPr>
          <w:szCs w:val="22"/>
        </w:rPr>
        <w:tab/>
        <w:t>On April 1, 2013, the Board responded to the GAC with a letter raising certain concerns about how the protection of IGO acronyms would be reconciled with certain potentially legitimate third-party attempts to register domain names corresponding to a protected IGO acronym, and sought further particulars about the possible means by which cases of potentially legitimate co-existent use of such acronym could be managed in practice.</w:t>
      </w:r>
      <w:r w:rsidRPr="006475B9">
        <w:rPr>
          <w:rStyle w:val="FootnoteReference"/>
          <w:szCs w:val="22"/>
        </w:rPr>
        <w:footnoteReference w:id="48"/>
      </w:r>
      <w:r w:rsidRPr="006475B9">
        <w:rPr>
          <w:szCs w:val="22"/>
        </w:rPr>
        <w:t xml:space="preserve">  The GAC’s response stressed the important global public mission of IGOs, committed to actively working to find a way forward, and reiterated its advice to the ICANN Board that appropriate preventative initial protection for listed IGO names and acronyms be in place before any new gTLDs would launch.</w:t>
      </w:r>
      <w:r w:rsidRPr="006475B9">
        <w:rPr>
          <w:rStyle w:val="FootnoteReference"/>
          <w:szCs w:val="22"/>
        </w:rPr>
        <w:footnoteReference w:id="49"/>
      </w:r>
    </w:p>
    <w:p w:rsidR="00192C16" w:rsidRPr="006475B9" w:rsidRDefault="00192C16" w:rsidP="00192C16">
      <w:pPr>
        <w:rPr>
          <w:szCs w:val="22"/>
        </w:rPr>
      </w:pPr>
    </w:p>
    <w:p w:rsidR="00192C16" w:rsidRPr="006475B9" w:rsidRDefault="00532FC4" w:rsidP="00192C16">
      <w:pPr>
        <w:rPr>
          <w:szCs w:val="22"/>
        </w:rPr>
      </w:pPr>
      <w:r>
        <w:rPr>
          <w:szCs w:val="22"/>
        </w:rPr>
        <w:t>36</w:t>
      </w:r>
      <w:r w:rsidR="00192C16" w:rsidRPr="006475B9">
        <w:rPr>
          <w:szCs w:val="22"/>
        </w:rPr>
        <w:t xml:space="preserve">. </w:t>
      </w:r>
      <w:r w:rsidR="00192C16" w:rsidRPr="006475B9">
        <w:rPr>
          <w:szCs w:val="22"/>
        </w:rPr>
        <w:tab/>
        <w:t>In July 2013, following further discussions with ICANN and sustained efforts from IGOs, the GAC issued advice to the ICANN Board that highlighted the need for special preventative protection for IGO names and acronyms in the DNS</w:t>
      </w:r>
      <w:r w:rsidR="003A76E5">
        <w:rPr>
          <w:szCs w:val="22"/>
        </w:rPr>
        <w:t>.</w:t>
      </w:r>
      <w:r w:rsidR="00192C16" w:rsidRPr="006475B9">
        <w:rPr>
          <w:rStyle w:val="FootnoteReference"/>
          <w:szCs w:val="22"/>
        </w:rPr>
        <w:footnoteReference w:id="50"/>
      </w:r>
      <w:r w:rsidR="003A76E5">
        <w:rPr>
          <w:szCs w:val="22"/>
        </w:rPr>
        <w:t xml:space="preserve">  </w:t>
      </w:r>
      <w:r w:rsidR="00192C16" w:rsidRPr="006475B9">
        <w:rPr>
          <w:szCs w:val="22"/>
        </w:rPr>
        <w:t>Following this advice, the ICANN Board issued a resolution extending interim protection for IGOs until the first meeting of the ICANN New gTLD Program Committee (NGPC) after the November 2013 ICANN meeting</w:t>
      </w:r>
      <w:r w:rsidR="00C96755">
        <w:rPr>
          <w:szCs w:val="22"/>
        </w:rPr>
        <w:t>.</w:t>
      </w:r>
      <w:r w:rsidR="00C96755" w:rsidRPr="006475B9">
        <w:rPr>
          <w:rStyle w:val="FootnoteReference"/>
          <w:szCs w:val="22"/>
        </w:rPr>
        <w:footnoteReference w:id="51"/>
      </w:r>
      <w:r w:rsidR="00192C16" w:rsidRPr="006475B9">
        <w:rPr>
          <w:szCs w:val="22"/>
        </w:rPr>
        <w:t xml:space="preserve"> </w:t>
      </w:r>
    </w:p>
    <w:p w:rsidR="00192C16" w:rsidRPr="006475B9" w:rsidRDefault="00192C16" w:rsidP="00192C16">
      <w:pPr>
        <w:rPr>
          <w:szCs w:val="22"/>
        </w:rPr>
      </w:pPr>
    </w:p>
    <w:p w:rsidR="00192C16" w:rsidRPr="006475B9" w:rsidRDefault="00532FC4" w:rsidP="00192C16">
      <w:pPr>
        <w:rPr>
          <w:szCs w:val="22"/>
        </w:rPr>
      </w:pPr>
      <w:r>
        <w:rPr>
          <w:szCs w:val="22"/>
        </w:rPr>
        <w:t>37</w:t>
      </w:r>
      <w:r w:rsidR="00192C16" w:rsidRPr="006475B9">
        <w:rPr>
          <w:szCs w:val="22"/>
        </w:rPr>
        <w:t>.</w:t>
      </w:r>
      <w:r w:rsidR="00192C16" w:rsidRPr="006475B9">
        <w:rPr>
          <w:szCs w:val="22"/>
        </w:rPr>
        <w:tab/>
      </w:r>
      <w:r w:rsidR="003A76E5">
        <w:rPr>
          <w:szCs w:val="22"/>
        </w:rPr>
        <w:t>In October 2013 the NGPC</w:t>
      </w:r>
      <w:r w:rsidR="00192C16" w:rsidRPr="006475B9">
        <w:rPr>
          <w:szCs w:val="22"/>
        </w:rPr>
        <w:t xml:space="preserve"> made a proposal for protection of IGO acronyms at the second level that fell well short of providing IGO acronyms with the permanent preventative protection envisaged in previous GAC Communiqués.</w:t>
      </w:r>
      <w:r w:rsidR="003A76E5">
        <w:rPr>
          <w:rStyle w:val="FootnoteReference"/>
          <w:szCs w:val="22"/>
        </w:rPr>
        <w:footnoteReference w:id="52"/>
      </w:r>
      <w:r w:rsidR="00192C16" w:rsidRPr="006475B9">
        <w:rPr>
          <w:szCs w:val="22"/>
        </w:rPr>
        <w:t xml:space="preserve">  The IGO coalition responded to the NGPC indicating disappointment with the proposal as it was strictly curative in nature and did nothing to prevent harm from occurring in the first place, and also conveyed its concerns to the GAC.</w:t>
      </w:r>
    </w:p>
    <w:p w:rsidR="00192C16" w:rsidRPr="006475B9" w:rsidRDefault="00192C16" w:rsidP="00192C16">
      <w:pPr>
        <w:rPr>
          <w:szCs w:val="22"/>
        </w:rPr>
      </w:pPr>
    </w:p>
    <w:p w:rsidR="00192C16" w:rsidRPr="006475B9" w:rsidRDefault="00532FC4" w:rsidP="00192C16">
      <w:pPr>
        <w:rPr>
          <w:szCs w:val="22"/>
        </w:rPr>
      </w:pPr>
      <w:r>
        <w:rPr>
          <w:szCs w:val="22"/>
        </w:rPr>
        <w:t>38</w:t>
      </w:r>
      <w:r w:rsidR="00192C16" w:rsidRPr="006475B9">
        <w:rPr>
          <w:szCs w:val="22"/>
        </w:rPr>
        <w:t>.</w:t>
      </w:r>
      <w:r w:rsidR="00192C16" w:rsidRPr="006475B9">
        <w:rPr>
          <w:szCs w:val="22"/>
        </w:rPr>
        <w:tab/>
        <w:t xml:space="preserve">The NGPC, the GAC, and IGOs conducted discussions around ICANN’s November 2013 Buenos Aires meeting.  The NGPC indicated that although specific technical points of its October 2013 proposal could be worked on, full preventative protection of IGO acronyms was </w:t>
      </w:r>
      <w:r w:rsidR="00192C16" w:rsidRPr="006475B9">
        <w:rPr>
          <w:szCs w:val="22"/>
        </w:rPr>
        <w:lastRenderedPageBreak/>
        <w:t>intentionally excluded.  The GAC advised the ICANN Board that interim protections for IGO acronyms should remain in place until the dialogue between the GAC, the NGPC and IGOs ensuring implementation of protection was completed, but without reiterating the GAC’s previous position about the need for preventative protection.</w:t>
      </w:r>
      <w:r w:rsidR="00C96755" w:rsidRPr="006475B9">
        <w:rPr>
          <w:rStyle w:val="FootnoteReference"/>
          <w:szCs w:val="22"/>
        </w:rPr>
        <w:footnoteReference w:id="53"/>
      </w:r>
      <w:r w:rsidR="00192C16" w:rsidRPr="006475B9">
        <w:rPr>
          <w:szCs w:val="22"/>
        </w:rPr>
        <w:t xml:space="preserve">  On January 9, 2014</w:t>
      </w:r>
      <w:r w:rsidR="00286256">
        <w:rPr>
          <w:szCs w:val="22"/>
        </w:rPr>
        <w:t>,</w:t>
      </w:r>
      <w:r w:rsidR="00192C16" w:rsidRPr="006475B9">
        <w:rPr>
          <w:szCs w:val="22"/>
        </w:rPr>
        <w:t xml:space="preserve"> the NGPC passed a resolution extending temporary protections for IGO acronyms until the NGPC made a final determination.</w:t>
      </w:r>
      <w:r w:rsidR="00C96755" w:rsidRPr="006475B9">
        <w:rPr>
          <w:rStyle w:val="FootnoteReference"/>
          <w:szCs w:val="22"/>
        </w:rPr>
        <w:footnoteReference w:id="54"/>
      </w:r>
    </w:p>
    <w:p w:rsidR="00192C16" w:rsidRPr="006475B9" w:rsidRDefault="00192C16" w:rsidP="00192C16">
      <w:pPr>
        <w:tabs>
          <w:tab w:val="left" w:pos="1500"/>
        </w:tabs>
        <w:rPr>
          <w:szCs w:val="22"/>
        </w:rPr>
      </w:pPr>
      <w:r w:rsidRPr="006475B9">
        <w:rPr>
          <w:szCs w:val="22"/>
        </w:rPr>
        <w:tab/>
      </w:r>
    </w:p>
    <w:p w:rsidR="00192C16" w:rsidRPr="006475B9" w:rsidRDefault="00532FC4" w:rsidP="00192C16">
      <w:pPr>
        <w:rPr>
          <w:szCs w:val="22"/>
        </w:rPr>
      </w:pPr>
      <w:r>
        <w:rPr>
          <w:szCs w:val="22"/>
        </w:rPr>
        <w:t>39</w:t>
      </w:r>
      <w:r w:rsidR="00192C16" w:rsidRPr="006475B9">
        <w:rPr>
          <w:szCs w:val="22"/>
        </w:rPr>
        <w:t>.</w:t>
      </w:r>
      <w:r w:rsidR="00192C16" w:rsidRPr="006475B9">
        <w:rPr>
          <w:szCs w:val="22"/>
        </w:rPr>
        <w:tab/>
        <w:t>In parallel to these efforts, the GNSO had launched a PDP on the issue of IGO protection, in which process the Center along with other IGO representatives participated.  Over IGO objections, in November 2013 this GNSO process came out against preventative protection for IGO acronyms on the second level.  Instead, it recommended curative protection mechanisms for IGO acronyms, coupled with the removal of the temporary protections for IGO acronyms already in place.  These recommendations were adopted unanimously by the GNSO Council on November 20, 2013.  In response to this development, in a letter of January 24, 2014</w:t>
      </w:r>
      <w:r w:rsidR="00286256">
        <w:rPr>
          <w:szCs w:val="22"/>
        </w:rPr>
        <w:t>,</w:t>
      </w:r>
      <w:r w:rsidR="00192C16" w:rsidRPr="006475B9">
        <w:rPr>
          <w:szCs w:val="22"/>
        </w:rPr>
        <w:t xml:space="preserve"> IGOs expressed concern noting that the mechanisms now foreseen would miss an important opportunity to curtail abuse of IGO acronyms in the DNS before harm could occur.</w:t>
      </w:r>
      <w:r w:rsidR="00192C16" w:rsidRPr="006475B9">
        <w:rPr>
          <w:rStyle w:val="FootnoteReference"/>
          <w:szCs w:val="22"/>
        </w:rPr>
        <w:footnoteReference w:id="55"/>
      </w:r>
      <w:r w:rsidR="00192C16" w:rsidRPr="006475B9">
        <w:rPr>
          <w:szCs w:val="22"/>
        </w:rPr>
        <w:t xml:space="preserve"> </w:t>
      </w:r>
    </w:p>
    <w:p w:rsidR="00192C16" w:rsidRPr="006475B9" w:rsidRDefault="00192C16" w:rsidP="00192C16">
      <w:pPr>
        <w:rPr>
          <w:szCs w:val="22"/>
        </w:rPr>
      </w:pPr>
    </w:p>
    <w:p w:rsidR="00192C16" w:rsidRPr="006475B9" w:rsidRDefault="00BE5E66" w:rsidP="00192C16">
      <w:pPr>
        <w:rPr>
          <w:szCs w:val="22"/>
        </w:rPr>
      </w:pPr>
      <w:r>
        <w:rPr>
          <w:szCs w:val="22"/>
        </w:rPr>
        <w:t>4</w:t>
      </w:r>
      <w:r w:rsidR="00532FC4">
        <w:rPr>
          <w:szCs w:val="22"/>
        </w:rPr>
        <w:t>0</w:t>
      </w:r>
      <w:r w:rsidR="00192C16" w:rsidRPr="006475B9">
        <w:rPr>
          <w:szCs w:val="22"/>
        </w:rPr>
        <w:t>.</w:t>
      </w:r>
      <w:r w:rsidR="00192C16" w:rsidRPr="006475B9">
        <w:rPr>
          <w:szCs w:val="22"/>
        </w:rPr>
        <w:tab/>
        <w:t>On February 25, 2014, IGOs met with the ICANN representative for the NGPC to discuss the NGPC’s October 2013 proposal.  Following this meeting, on March 10, 2014</w:t>
      </w:r>
      <w:r w:rsidR="00286256">
        <w:rPr>
          <w:szCs w:val="22"/>
        </w:rPr>
        <w:t>,</w:t>
      </w:r>
      <w:r w:rsidR="00192C16" w:rsidRPr="006475B9">
        <w:rPr>
          <w:szCs w:val="22"/>
        </w:rPr>
        <w:t xml:space="preserve"> the NGPC provided a draft proposal for curative rights protection mechanisms for IGO acronyms.  Further discussions were held between IGOs and the NGPC during ICANN’s March 2014 Singapore meeting, where furthermore the GAC advised the ICANN Board that it was awaiting the Board’s response regarding the implementation of its advice from previous meetings.  </w:t>
      </w:r>
    </w:p>
    <w:p w:rsidR="00192C16" w:rsidRPr="006475B9" w:rsidRDefault="00192C16" w:rsidP="00192C16">
      <w:pPr>
        <w:rPr>
          <w:szCs w:val="22"/>
        </w:rPr>
      </w:pPr>
    </w:p>
    <w:p w:rsidR="00192C16" w:rsidRPr="006475B9" w:rsidRDefault="00192C16" w:rsidP="00192C16">
      <w:pPr>
        <w:rPr>
          <w:szCs w:val="22"/>
        </w:rPr>
      </w:pPr>
      <w:r w:rsidRPr="006475B9">
        <w:rPr>
          <w:szCs w:val="22"/>
        </w:rPr>
        <w:t>4</w:t>
      </w:r>
      <w:r w:rsidR="00532FC4">
        <w:rPr>
          <w:szCs w:val="22"/>
        </w:rPr>
        <w:t>1</w:t>
      </w:r>
      <w:r w:rsidRPr="006475B9">
        <w:rPr>
          <w:szCs w:val="22"/>
        </w:rPr>
        <w:t>.</w:t>
      </w:r>
      <w:r w:rsidRPr="006475B9">
        <w:rPr>
          <w:szCs w:val="22"/>
        </w:rPr>
        <w:tab/>
        <w:t>On April 30, 2014</w:t>
      </w:r>
      <w:r w:rsidR="00286256">
        <w:rPr>
          <w:szCs w:val="22"/>
        </w:rPr>
        <w:t>,</w:t>
      </w:r>
      <w:r w:rsidRPr="006475B9">
        <w:rPr>
          <w:szCs w:val="22"/>
        </w:rPr>
        <w:t xml:space="preserve"> the ICANN Board resolved to adopt the GNSO Council recommendations not in conflict with GAC advice while requesting more time to consider the recommendations that differed from GAC advice.  On June 5, 2014</w:t>
      </w:r>
      <w:r w:rsidR="00286256">
        <w:rPr>
          <w:szCs w:val="22"/>
        </w:rPr>
        <w:t>,</w:t>
      </w:r>
      <w:r w:rsidRPr="006475B9">
        <w:rPr>
          <w:szCs w:val="22"/>
        </w:rPr>
        <w:t xml:space="preserve"> the GNSO Council voted to initiate a second PDP to explore giving IGOs access to curative rights protection mechanisms such as the UDRP</w:t>
      </w:r>
      <w:r w:rsidR="00D4121B">
        <w:rPr>
          <w:szCs w:val="22"/>
        </w:rPr>
        <w:t xml:space="preserve"> or URS.  IGOs will continue to </w:t>
      </w:r>
      <w:r w:rsidRPr="006475B9">
        <w:rPr>
          <w:szCs w:val="22"/>
        </w:rPr>
        <w:t>monitor developments.</w:t>
      </w:r>
    </w:p>
    <w:p w:rsidR="00192C16" w:rsidRDefault="00192C16" w:rsidP="00192C16">
      <w:pPr>
        <w:ind w:right="-143"/>
        <w:rPr>
          <w:szCs w:val="22"/>
        </w:rPr>
      </w:pPr>
    </w:p>
    <w:p w:rsidR="003721E0" w:rsidRPr="006475B9" w:rsidRDefault="003721E0" w:rsidP="00192C16">
      <w:pPr>
        <w:ind w:right="-143"/>
        <w:rPr>
          <w:szCs w:val="22"/>
        </w:rPr>
      </w:pPr>
    </w:p>
    <w:p w:rsidR="00192C16" w:rsidRPr="006475B9" w:rsidRDefault="00192C16" w:rsidP="00192C16">
      <w:pPr>
        <w:ind w:right="-143"/>
        <w:rPr>
          <w:szCs w:val="22"/>
        </w:rPr>
      </w:pPr>
      <w:r w:rsidRPr="006475B9">
        <w:rPr>
          <w:szCs w:val="22"/>
        </w:rPr>
        <w:tab/>
        <w:t>(ii)</w:t>
      </w:r>
      <w:r w:rsidRPr="006475B9">
        <w:rPr>
          <w:szCs w:val="22"/>
        </w:rPr>
        <w:tab/>
        <w:t>Geographical terms</w:t>
      </w:r>
    </w:p>
    <w:p w:rsidR="00192C16" w:rsidRPr="006475B9" w:rsidRDefault="00192C16" w:rsidP="00192C16">
      <w:pPr>
        <w:ind w:right="-143"/>
        <w:rPr>
          <w:szCs w:val="22"/>
        </w:rPr>
      </w:pPr>
    </w:p>
    <w:p w:rsidR="00192C16" w:rsidRPr="006475B9" w:rsidRDefault="00192C16" w:rsidP="009278BC">
      <w:pPr>
        <w:ind w:right="-143"/>
        <w:rPr>
          <w:iCs/>
          <w:szCs w:val="22"/>
        </w:rPr>
      </w:pPr>
      <w:r w:rsidRPr="006475B9">
        <w:rPr>
          <w:szCs w:val="22"/>
        </w:rPr>
        <w:t>4</w:t>
      </w:r>
      <w:r w:rsidR="00532FC4">
        <w:rPr>
          <w:szCs w:val="22"/>
        </w:rPr>
        <w:t>2</w:t>
      </w:r>
      <w:r w:rsidRPr="006475B9">
        <w:rPr>
          <w:szCs w:val="22"/>
        </w:rPr>
        <w:t>.</w:t>
      </w:r>
      <w:r w:rsidRPr="006475B9">
        <w:rPr>
          <w:szCs w:val="22"/>
        </w:rPr>
        <w:tab/>
        <w:t>Concerning geographical terms, the GAC in particular has expressed concerns about their use and protection in the new gTLDs.</w:t>
      </w:r>
      <w:r w:rsidR="009278BC" w:rsidRPr="006475B9">
        <w:rPr>
          <w:szCs w:val="22"/>
          <w:vertAlign w:val="superscript"/>
        </w:rPr>
        <w:footnoteReference w:id="56"/>
      </w:r>
      <w:r w:rsidR="009278BC">
        <w:rPr>
          <w:szCs w:val="22"/>
        </w:rPr>
        <w:t xml:space="preserve">  </w:t>
      </w:r>
      <w:r w:rsidRPr="006475B9">
        <w:rPr>
          <w:szCs w:val="22"/>
        </w:rPr>
        <w:t>Concerning the top level,</w:t>
      </w:r>
      <w:r w:rsidR="00934BB7">
        <w:rPr>
          <w:rStyle w:val="FootnoteReference"/>
          <w:szCs w:val="22"/>
        </w:rPr>
        <w:footnoteReference w:id="57"/>
      </w:r>
      <w:r w:rsidRPr="006475B9">
        <w:rPr>
          <w:szCs w:val="22"/>
        </w:rPr>
        <w:t xml:space="preserve"> ICANN’s Applicant Guidebook provides that “applications for strings that are country or territory names will not be approved, as they are not available under the New gTLD Program in this application round.”</w:t>
      </w:r>
      <w:r w:rsidRPr="006475B9">
        <w:rPr>
          <w:rStyle w:val="FootnoteReference"/>
          <w:szCs w:val="22"/>
        </w:rPr>
        <w:footnoteReference w:id="58"/>
      </w:r>
      <w:r w:rsidRPr="006475B9">
        <w:rPr>
          <w:szCs w:val="22"/>
        </w:rPr>
        <w:t xml:space="preserve">  Applied-for strings which are considered by ICANN to be certain other geographic</w:t>
      </w:r>
      <w:r w:rsidR="00E41F21">
        <w:rPr>
          <w:szCs w:val="22"/>
        </w:rPr>
        <w:t>al</w:t>
      </w:r>
      <w:r w:rsidRPr="006475B9">
        <w:rPr>
          <w:szCs w:val="22"/>
        </w:rPr>
        <w:t xml:space="preserve"> names, </w:t>
      </w:r>
      <w:r w:rsidRPr="00325133">
        <w:rPr>
          <w:szCs w:val="22"/>
        </w:rPr>
        <w:t>e.g.,</w:t>
      </w:r>
      <w:r w:rsidRPr="006475B9">
        <w:rPr>
          <w:szCs w:val="22"/>
        </w:rPr>
        <w:t xml:space="preserve"> capital city names, need to be accompanied by documentation of support or non</w:t>
      </w:r>
      <w:r w:rsidRPr="006475B9">
        <w:rPr>
          <w:szCs w:val="22"/>
        </w:rPr>
        <w:noBreakHyphen/>
        <w:t>objection from the relevant governments or public authorities.</w:t>
      </w:r>
      <w:r w:rsidRPr="006475B9">
        <w:rPr>
          <w:rStyle w:val="FootnoteReference"/>
          <w:szCs w:val="22"/>
        </w:rPr>
        <w:footnoteReference w:id="59"/>
      </w:r>
      <w:r w:rsidRPr="006475B9">
        <w:rPr>
          <w:iCs/>
          <w:szCs w:val="22"/>
        </w:rPr>
        <w:t xml:space="preserve"> </w:t>
      </w:r>
    </w:p>
    <w:p w:rsidR="00192C16" w:rsidRPr="006475B9" w:rsidRDefault="00192C16" w:rsidP="00192C16">
      <w:pPr>
        <w:rPr>
          <w:szCs w:val="22"/>
        </w:rPr>
      </w:pPr>
      <w:r w:rsidRPr="006475B9">
        <w:rPr>
          <w:iCs/>
          <w:szCs w:val="22"/>
        </w:rPr>
        <w:lastRenderedPageBreak/>
        <w:t>4</w:t>
      </w:r>
      <w:r w:rsidR="00532FC4">
        <w:rPr>
          <w:iCs/>
          <w:szCs w:val="22"/>
        </w:rPr>
        <w:t>3</w:t>
      </w:r>
      <w:r w:rsidRPr="006475B9">
        <w:rPr>
          <w:iCs/>
          <w:szCs w:val="22"/>
        </w:rPr>
        <w:t>.</w:t>
      </w:r>
      <w:r w:rsidRPr="006475B9">
        <w:rPr>
          <w:iCs/>
          <w:szCs w:val="22"/>
        </w:rPr>
        <w:tab/>
        <w:t xml:space="preserve">The GAC has expressed further reservations regarding a number of new gTLD applications on grounds of correspondence to geographical or other “sensitive” terms, advising the ICANN Board not to proceed beyond initial evaluation, and seeking </w:t>
      </w:r>
      <w:r w:rsidR="00A517DE">
        <w:rPr>
          <w:iCs/>
          <w:szCs w:val="22"/>
        </w:rPr>
        <w:t xml:space="preserve">Board </w:t>
      </w:r>
      <w:r w:rsidRPr="006475B9">
        <w:rPr>
          <w:iCs/>
          <w:szCs w:val="22"/>
        </w:rPr>
        <w:t>clarification on scope for applicants to modify their new gTLD applications to address specific GAC concerns.</w:t>
      </w:r>
      <w:r w:rsidRPr="006475B9">
        <w:rPr>
          <w:rStyle w:val="FootnoteReference"/>
          <w:iCs/>
          <w:szCs w:val="22"/>
        </w:rPr>
        <w:footnoteReference w:id="60"/>
      </w:r>
      <w:r w:rsidRPr="006475B9">
        <w:rPr>
          <w:iCs/>
          <w:szCs w:val="22"/>
        </w:rPr>
        <w:t xml:space="preserve">  </w:t>
      </w:r>
    </w:p>
    <w:p w:rsidR="00192C16" w:rsidRPr="006475B9" w:rsidRDefault="00192C16" w:rsidP="00192C16">
      <w:pPr>
        <w:rPr>
          <w:szCs w:val="22"/>
        </w:rPr>
      </w:pPr>
    </w:p>
    <w:p w:rsidR="00192C16" w:rsidRPr="006475B9" w:rsidRDefault="00192C16" w:rsidP="00192C16">
      <w:pPr>
        <w:rPr>
          <w:szCs w:val="24"/>
        </w:rPr>
      </w:pPr>
      <w:r w:rsidRPr="006475B9">
        <w:rPr>
          <w:szCs w:val="22"/>
        </w:rPr>
        <w:t>4</w:t>
      </w:r>
      <w:r w:rsidR="00532FC4">
        <w:rPr>
          <w:szCs w:val="22"/>
        </w:rPr>
        <w:t>4</w:t>
      </w:r>
      <w:r w:rsidRPr="006475B9">
        <w:rPr>
          <w:szCs w:val="22"/>
        </w:rPr>
        <w:t>.</w:t>
      </w:r>
      <w:r w:rsidRPr="006475B9">
        <w:rPr>
          <w:szCs w:val="22"/>
        </w:rPr>
        <w:tab/>
        <w:t>Overall, the Center has endeavored to apprise relevant sectors within the Secretariat on the above-mentioned matters, including in support of the work of the Standing Committee on the Law of Trademarks, Industrial Designs and Geographical Indications (SCT).</w:t>
      </w:r>
      <w:r w:rsidRPr="006475B9">
        <w:rPr>
          <w:rStyle w:val="FootnoteReference"/>
          <w:szCs w:val="22"/>
        </w:rPr>
        <w:footnoteReference w:id="61"/>
      </w:r>
      <w:r w:rsidR="009278BC">
        <w:rPr>
          <w:szCs w:val="22"/>
        </w:rPr>
        <w:t xml:space="preserve">  </w:t>
      </w:r>
      <w:r w:rsidRPr="006475B9">
        <w:rPr>
          <w:rFonts w:eastAsia="Times New Roman"/>
          <w:color w:val="000000"/>
          <w:szCs w:val="22"/>
          <w:lang w:eastAsia="en-US"/>
        </w:rPr>
        <w:t>The Secretariat will continue to monitor these developments and provide input where possible.</w:t>
      </w:r>
      <w:r w:rsidRPr="006475B9">
        <w:rPr>
          <w:szCs w:val="24"/>
        </w:rPr>
        <w:t xml:space="preserve"> </w:t>
      </w:r>
    </w:p>
    <w:p w:rsidR="00192C16" w:rsidRPr="006475B9" w:rsidRDefault="00192C16" w:rsidP="00192C16">
      <w:pPr>
        <w:rPr>
          <w:szCs w:val="24"/>
        </w:rPr>
      </w:pPr>
    </w:p>
    <w:p w:rsidR="00A517DE" w:rsidRDefault="00532FC4" w:rsidP="00A517DE">
      <w:pPr>
        <w:pStyle w:val="DecisionInvitingPara"/>
        <w:spacing w:after="0"/>
        <w:rPr>
          <w:sz w:val="22"/>
          <w:szCs w:val="22"/>
        </w:rPr>
      </w:pPr>
      <w:r>
        <w:rPr>
          <w:sz w:val="22"/>
          <w:szCs w:val="22"/>
        </w:rPr>
        <w:t>45</w:t>
      </w:r>
      <w:r w:rsidR="00192C16" w:rsidRPr="006475B9">
        <w:rPr>
          <w:sz w:val="22"/>
          <w:szCs w:val="22"/>
        </w:rPr>
        <w:t>.</w:t>
      </w:r>
      <w:r w:rsidR="00192C16" w:rsidRPr="006475B9">
        <w:rPr>
          <w:sz w:val="22"/>
          <w:szCs w:val="22"/>
        </w:rPr>
        <w:tab/>
        <w:t xml:space="preserve">The WIPO General Assembly is invited to take note of the </w:t>
      </w:r>
      <w:r w:rsidR="003E0704">
        <w:rPr>
          <w:sz w:val="22"/>
          <w:szCs w:val="22"/>
        </w:rPr>
        <w:t>document “WIPO Arbitration and Mediation Center, Including Domain Names” (WO/GA/46/8)</w:t>
      </w:r>
      <w:r w:rsidR="00192C16" w:rsidRPr="006475B9">
        <w:rPr>
          <w:sz w:val="22"/>
          <w:szCs w:val="22"/>
        </w:rPr>
        <w:t>.</w:t>
      </w:r>
    </w:p>
    <w:p w:rsidR="00A517DE" w:rsidRDefault="00A517DE" w:rsidP="00A517DE">
      <w:pPr>
        <w:pStyle w:val="DecisionInvitingPara"/>
        <w:spacing w:after="0"/>
        <w:rPr>
          <w:sz w:val="22"/>
          <w:szCs w:val="22"/>
        </w:rPr>
      </w:pPr>
    </w:p>
    <w:p w:rsidR="003721E0" w:rsidRDefault="003721E0" w:rsidP="00A517DE">
      <w:pPr>
        <w:pStyle w:val="DecisionInvitingPara"/>
        <w:spacing w:after="0"/>
        <w:rPr>
          <w:sz w:val="22"/>
          <w:szCs w:val="22"/>
        </w:rPr>
      </w:pPr>
    </w:p>
    <w:p w:rsidR="003721E0" w:rsidRDefault="003721E0" w:rsidP="00A517DE">
      <w:pPr>
        <w:pStyle w:val="DecisionInvitingPara"/>
        <w:spacing w:after="0"/>
        <w:rPr>
          <w:sz w:val="22"/>
          <w:szCs w:val="22"/>
        </w:rPr>
      </w:pPr>
      <w:bookmarkStart w:id="6" w:name="_GoBack"/>
      <w:bookmarkEnd w:id="6"/>
    </w:p>
    <w:p w:rsidR="002928D3" w:rsidRPr="00A517DE" w:rsidRDefault="00192C16" w:rsidP="00A517DE">
      <w:pPr>
        <w:ind w:left="4967" w:firstLine="567"/>
        <w:rPr>
          <w:szCs w:val="22"/>
        </w:rPr>
      </w:pPr>
      <w:r w:rsidRPr="00A517DE">
        <w:rPr>
          <w:szCs w:val="22"/>
        </w:rPr>
        <w:t>[End of document]</w:t>
      </w:r>
    </w:p>
    <w:sectPr w:rsidR="002928D3" w:rsidRPr="00A517DE" w:rsidSect="00192C16">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C16" w:rsidRDefault="00192C16">
      <w:r>
        <w:separator/>
      </w:r>
    </w:p>
  </w:endnote>
  <w:endnote w:type="continuationSeparator" w:id="0">
    <w:p w:rsidR="00192C16" w:rsidRDefault="00192C16" w:rsidP="003B38C1">
      <w:r>
        <w:separator/>
      </w:r>
    </w:p>
    <w:p w:rsidR="00192C16" w:rsidRPr="003B38C1" w:rsidRDefault="00192C16" w:rsidP="003B38C1">
      <w:pPr>
        <w:spacing w:after="60"/>
        <w:rPr>
          <w:sz w:val="17"/>
        </w:rPr>
      </w:pPr>
      <w:r>
        <w:rPr>
          <w:sz w:val="17"/>
        </w:rPr>
        <w:t>[Endnote continued from previous page]</w:t>
      </w:r>
    </w:p>
  </w:endnote>
  <w:endnote w:type="continuationNotice" w:id="1">
    <w:p w:rsidR="00192C16" w:rsidRPr="003B38C1" w:rsidRDefault="00192C1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C16" w:rsidRDefault="00192C16">
      <w:r>
        <w:separator/>
      </w:r>
    </w:p>
  </w:footnote>
  <w:footnote w:type="continuationSeparator" w:id="0">
    <w:p w:rsidR="00192C16" w:rsidRDefault="00192C16" w:rsidP="008B60B2">
      <w:r>
        <w:separator/>
      </w:r>
    </w:p>
    <w:p w:rsidR="00192C16" w:rsidRPr="00ED77FB" w:rsidRDefault="00192C16" w:rsidP="008B60B2">
      <w:pPr>
        <w:spacing w:after="60"/>
        <w:rPr>
          <w:sz w:val="17"/>
          <w:szCs w:val="17"/>
        </w:rPr>
      </w:pPr>
      <w:r w:rsidRPr="00ED77FB">
        <w:rPr>
          <w:sz w:val="17"/>
          <w:szCs w:val="17"/>
        </w:rPr>
        <w:t>[Footnote continued from previous page]</w:t>
      </w:r>
    </w:p>
  </w:footnote>
  <w:footnote w:type="continuationNotice" w:id="1">
    <w:p w:rsidR="00192C16" w:rsidRPr="00ED77FB" w:rsidRDefault="00192C16" w:rsidP="008B60B2">
      <w:pPr>
        <w:spacing w:before="60"/>
        <w:jc w:val="right"/>
        <w:rPr>
          <w:sz w:val="17"/>
          <w:szCs w:val="17"/>
        </w:rPr>
      </w:pPr>
      <w:r w:rsidRPr="00ED77FB">
        <w:rPr>
          <w:sz w:val="17"/>
          <w:szCs w:val="17"/>
        </w:rPr>
        <w:t>[Footnote continued on next page]</w:t>
      </w:r>
    </w:p>
  </w:footnote>
  <w:footnote w:id="2">
    <w:p w:rsidR="00192C16" w:rsidRPr="005C74BE" w:rsidRDefault="00192C16" w:rsidP="00192C16">
      <w:pPr>
        <w:pStyle w:val="FootnoteText"/>
        <w:rPr>
          <w:szCs w:val="18"/>
          <w:u w:val="single"/>
        </w:rPr>
      </w:pPr>
      <w:r w:rsidRPr="004B7471">
        <w:rPr>
          <w:rStyle w:val="FootnoteReference"/>
          <w:szCs w:val="18"/>
        </w:rPr>
        <w:footnoteRef/>
      </w:r>
      <w:r w:rsidRPr="004B7471">
        <w:rPr>
          <w:szCs w:val="18"/>
        </w:rPr>
        <w:t xml:space="preserve"> </w:t>
      </w:r>
      <w:r w:rsidRPr="004B7471">
        <w:rPr>
          <w:szCs w:val="18"/>
        </w:rPr>
        <w:tab/>
        <w:t>The Center’s previous report to the WIPO General Assembly (</w:t>
      </w:r>
      <w:r w:rsidR="000356F8">
        <w:t>WO/GA/43/17</w:t>
      </w:r>
      <w:r w:rsidRPr="004B7471">
        <w:rPr>
          <w:szCs w:val="18"/>
        </w:rPr>
        <w:t xml:space="preserve">) can be found at </w:t>
      </w:r>
      <w:r w:rsidRPr="00C24A99">
        <w:rPr>
          <w:szCs w:val="18"/>
          <w:u w:val="single"/>
        </w:rPr>
        <w:t>http://www.wipo.int/edocs/mdocs/govbody/en/wo_ga_43/wo_ga_43_17.pdf</w:t>
      </w:r>
      <w:r w:rsidRPr="004B7471">
        <w:rPr>
          <w:szCs w:val="18"/>
        </w:rPr>
        <w:t>.</w:t>
      </w:r>
      <w:r w:rsidRPr="001F6F15">
        <w:t xml:space="preserve"> </w:t>
      </w:r>
    </w:p>
  </w:footnote>
  <w:footnote w:id="3">
    <w:p w:rsidR="00192C16" w:rsidRPr="009D416F" w:rsidRDefault="00192C16" w:rsidP="00192C16">
      <w:pPr>
        <w:pStyle w:val="FootnoteText"/>
        <w:rPr>
          <w:szCs w:val="18"/>
        </w:rPr>
      </w:pPr>
      <w:r>
        <w:rPr>
          <w:rStyle w:val="FootnoteReference"/>
        </w:rPr>
        <w:footnoteRef/>
      </w:r>
      <w:r>
        <w:t xml:space="preserve"> </w:t>
      </w:r>
      <w:r>
        <w:tab/>
      </w:r>
      <w:r w:rsidRPr="009D416F">
        <w:rPr>
          <w:szCs w:val="18"/>
        </w:rPr>
        <w:t xml:space="preserve">All workshops and other events organized by the Center are listed at </w:t>
      </w:r>
      <w:r w:rsidRPr="009D416F">
        <w:rPr>
          <w:szCs w:val="18"/>
          <w:u w:val="single"/>
        </w:rPr>
        <w:t>http://www.wipo.int/amc/en/events</w:t>
      </w:r>
      <w:r w:rsidRPr="009D416F">
        <w:rPr>
          <w:szCs w:val="18"/>
        </w:rPr>
        <w:t>.</w:t>
      </w:r>
    </w:p>
  </w:footnote>
  <w:footnote w:id="4">
    <w:p w:rsidR="00192C16" w:rsidRPr="009D416F" w:rsidRDefault="00192C16" w:rsidP="00192C16">
      <w:pPr>
        <w:pStyle w:val="FootnoteText"/>
        <w:rPr>
          <w:szCs w:val="18"/>
        </w:rPr>
      </w:pPr>
      <w:r w:rsidRPr="009D416F">
        <w:rPr>
          <w:rStyle w:val="FootnoteReference"/>
          <w:szCs w:val="18"/>
        </w:rPr>
        <w:footnoteRef/>
      </w:r>
      <w:r w:rsidRPr="009D416F">
        <w:rPr>
          <w:szCs w:val="18"/>
        </w:rPr>
        <w:t xml:space="preserve"> </w:t>
      </w:r>
      <w:r w:rsidRPr="009D416F">
        <w:rPr>
          <w:szCs w:val="18"/>
        </w:rPr>
        <w:tab/>
        <w:t>ECAF</w:t>
      </w:r>
      <w:r w:rsidRPr="00E82CA6">
        <w:t xml:space="preserve"> offers online case communication and storage of documents facilitating </w:t>
      </w:r>
      <w:r w:rsidRPr="009D416F">
        <w:rPr>
          <w:szCs w:val="18"/>
        </w:rPr>
        <w:t xml:space="preserve">time- and cost-efficient mediation and arbitration proceedings.  See </w:t>
      </w:r>
      <w:r w:rsidRPr="009D416F">
        <w:rPr>
          <w:szCs w:val="18"/>
          <w:u w:val="single"/>
        </w:rPr>
        <w:t>http://www.wipo.int/amc/en/ecaf/index.html</w:t>
      </w:r>
      <w:r w:rsidRPr="009D416F">
        <w:rPr>
          <w:szCs w:val="18"/>
        </w:rPr>
        <w:t>.</w:t>
      </w:r>
    </w:p>
  </w:footnote>
  <w:footnote w:id="5">
    <w:p w:rsidR="00192C16" w:rsidRPr="00B374CD" w:rsidRDefault="00192C16" w:rsidP="00192C16">
      <w:pPr>
        <w:pStyle w:val="FootnoteText"/>
      </w:pPr>
      <w:r>
        <w:rPr>
          <w:rStyle w:val="FootnoteReference"/>
        </w:rPr>
        <w:footnoteRef/>
      </w:r>
      <w:r>
        <w:t xml:space="preserve"> </w:t>
      </w:r>
      <w:r>
        <w:tab/>
      </w:r>
      <w:r w:rsidR="00586316">
        <w:t xml:space="preserve">See </w:t>
      </w:r>
      <w:r w:rsidRPr="00E41F21">
        <w:rPr>
          <w:u w:val="single"/>
        </w:rPr>
        <w:t>http://www.wipo.int/amc/en/rules/newrules.html</w:t>
      </w:r>
      <w:r w:rsidR="00A66287">
        <w:t>.</w:t>
      </w:r>
    </w:p>
  </w:footnote>
  <w:footnote w:id="6">
    <w:p w:rsidR="007962E9" w:rsidRPr="005A103D" w:rsidRDefault="007962E9" w:rsidP="007962E9">
      <w:pPr>
        <w:pStyle w:val="FootnoteText"/>
      </w:pPr>
      <w:r>
        <w:rPr>
          <w:rStyle w:val="FootnoteReference"/>
        </w:rPr>
        <w:footnoteRef/>
      </w:r>
      <w:r>
        <w:t xml:space="preserve"> </w:t>
      </w:r>
      <w:r>
        <w:tab/>
      </w:r>
      <w:r w:rsidR="00586316">
        <w:t xml:space="preserve">See </w:t>
      </w:r>
      <w:r w:rsidRPr="00E41F21">
        <w:rPr>
          <w:u w:val="single"/>
        </w:rPr>
        <w:t>http://www.wipo.int/mdocsarchives/ARB_AC_III_96/ARB_AC_III_96_3_E.pdf</w:t>
      </w:r>
      <w:r w:rsidRPr="005A103D">
        <w:t>.</w:t>
      </w:r>
      <w:r>
        <w:t xml:space="preserve"> </w:t>
      </w:r>
    </w:p>
  </w:footnote>
  <w:footnote w:id="7">
    <w:p w:rsidR="00192C16" w:rsidRDefault="00192C16" w:rsidP="00192C16">
      <w:pPr>
        <w:pStyle w:val="FootnoteText"/>
      </w:pPr>
      <w:r>
        <w:rPr>
          <w:rStyle w:val="FootnoteReference"/>
        </w:rPr>
        <w:footnoteRef/>
      </w:r>
      <w:r>
        <w:t xml:space="preserve"> </w:t>
      </w:r>
      <w:r>
        <w:tab/>
      </w:r>
      <w:r w:rsidRPr="00C75BBE">
        <w:rPr>
          <w:szCs w:val="18"/>
        </w:rPr>
        <w:t>Unless parties agree otherwise, Article 49 of the 2014 Arbitration Rules / Article 43 of the 2014 Expedited Arbitration Rules will apply only to Arbitration Agreements entered into</w:t>
      </w:r>
      <w:r>
        <w:rPr>
          <w:szCs w:val="18"/>
        </w:rPr>
        <w:t xml:space="preserve">, on or after June 1, 2014.  </w:t>
      </w:r>
      <w:r w:rsidRPr="00C75BBE">
        <w:rPr>
          <w:szCs w:val="18"/>
        </w:rPr>
        <w:t>Parties retain the option to file a request for emergency relief with a judicial authority</w:t>
      </w:r>
      <w:r>
        <w:rPr>
          <w:szCs w:val="18"/>
        </w:rPr>
        <w:t>.</w:t>
      </w:r>
    </w:p>
  </w:footnote>
  <w:footnote w:id="8">
    <w:p w:rsidR="00232512" w:rsidRPr="005220AF" w:rsidRDefault="00232512" w:rsidP="00232512">
      <w:pPr>
        <w:pStyle w:val="FootnoteText"/>
      </w:pPr>
      <w:r>
        <w:rPr>
          <w:rStyle w:val="FootnoteReference"/>
        </w:rPr>
        <w:footnoteRef/>
      </w:r>
      <w:r>
        <w:t xml:space="preserve"> </w:t>
      </w:r>
      <w:r w:rsidR="00C24A99">
        <w:tab/>
      </w:r>
      <w:r w:rsidR="00586316">
        <w:t xml:space="preserve">See </w:t>
      </w:r>
      <w:r w:rsidRPr="00C84829">
        <w:rPr>
          <w:u w:val="single"/>
        </w:rPr>
        <w:t>http://www.wipo.int/amc/en/center/specific-sectors/ict/frand/</w:t>
      </w:r>
      <w:r w:rsidR="00A66287">
        <w:t>.</w:t>
      </w:r>
    </w:p>
  </w:footnote>
  <w:footnote w:id="9">
    <w:p w:rsidR="00232512" w:rsidRDefault="00232512" w:rsidP="00232512">
      <w:pPr>
        <w:pStyle w:val="FootnoteText"/>
      </w:pPr>
      <w:r w:rsidRPr="009D416F">
        <w:rPr>
          <w:rStyle w:val="FootnoteReference"/>
          <w:szCs w:val="18"/>
        </w:rPr>
        <w:footnoteRef/>
      </w:r>
      <w:r w:rsidRPr="009D416F">
        <w:rPr>
          <w:szCs w:val="18"/>
        </w:rPr>
        <w:t xml:space="preserve"> </w:t>
      </w:r>
      <w:r w:rsidRPr="009D416F">
        <w:rPr>
          <w:szCs w:val="18"/>
        </w:rPr>
        <w:tab/>
      </w:r>
      <w:r w:rsidR="009B0480" w:rsidRPr="00317264">
        <w:t>One such example involves multi-party collaborations funded under the European Union’s Seventh Framework Programme EC (FP7), where entities use the “DESCA” model consortium agreement, which recommends WIPO medi</w:t>
      </w:r>
      <w:r w:rsidR="009B0480">
        <w:t xml:space="preserve">ation and expedited arbitration.  </w:t>
      </w:r>
      <w:r w:rsidRPr="009D416F">
        <w:rPr>
          <w:szCs w:val="18"/>
        </w:rPr>
        <w:t>DESCA, which stands for “Development of a Simplified Consortium Agreement”, is a model consortium agreement initially developed for research projects funded by the European Commission under the Seventh Framework Programme (FP7)</w:t>
      </w:r>
      <w:r w:rsidR="009B0480">
        <w:rPr>
          <w:szCs w:val="18"/>
        </w:rPr>
        <w:t xml:space="preserve">.  </w:t>
      </w:r>
      <w:r w:rsidRPr="009D416F">
        <w:rPr>
          <w:szCs w:val="18"/>
        </w:rPr>
        <w:t>The DESCA model agreement is estimated to be used by some 75 per cent of companies, research organizations, universities and individuals involved in cross-border research projects funded by FP7</w:t>
      </w:r>
      <w:r w:rsidR="009B0480">
        <w:rPr>
          <w:szCs w:val="18"/>
        </w:rPr>
        <w:t xml:space="preserve">.  </w:t>
      </w:r>
      <w:r w:rsidRPr="009D416F">
        <w:rPr>
          <w:szCs w:val="18"/>
        </w:rPr>
        <w:t xml:space="preserve">See </w:t>
      </w:r>
      <w:r w:rsidRPr="009D416F">
        <w:rPr>
          <w:szCs w:val="18"/>
          <w:u w:val="single"/>
        </w:rPr>
        <w:t>http://www.desca-fp7.eu/</w:t>
      </w:r>
      <w:r w:rsidRPr="009D416F">
        <w:rPr>
          <w:szCs w:val="18"/>
        </w:rPr>
        <w:t>.</w:t>
      </w:r>
    </w:p>
  </w:footnote>
  <w:footnote w:id="10">
    <w:p w:rsidR="00232512" w:rsidRPr="00F3071A" w:rsidRDefault="00232512" w:rsidP="00232512">
      <w:pPr>
        <w:pStyle w:val="FootnoteText"/>
      </w:pPr>
      <w:r>
        <w:rPr>
          <w:rStyle w:val="FootnoteReference"/>
        </w:rPr>
        <w:footnoteRef/>
      </w:r>
      <w:r>
        <w:t xml:space="preserve"> </w:t>
      </w:r>
      <w:r w:rsidR="00C24A99">
        <w:tab/>
      </w:r>
      <w:r w:rsidR="00586316">
        <w:t xml:space="preserve">See </w:t>
      </w:r>
      <w:r w:rsidRPr="00C84829">
        <w:rPr>
          <w:u w:val="single"/>
        </w:rPr>
        <w:t>http://www.wipo.int/amc/en/center/specific-sectors/rd/ipag/</w:t>
      </w:r>
      <w:r w:rsidR="00A66287">
        <w:t>.</w:t>
      </w:r>
    </w:p>
  </w:footnote>
  <w:footnote w:id="11">
    <w:p w:rsidR="00192C16" w:rsidRPr="006475B9" w:rsidRDefault="00192C16" w:rsidP="00192C16">
      <w:pPr>
        <w:pStyle w:val="FootnoteText"/>
        <w:rPr>
          <w:szCs w:val="18"/>
        </w:rPr>
      </w:pPr>
      <w:r w:rsidRPr="006475B9">
        <w:rPr>
          <w:rStyle w:val="FootnoteReference"/>
          <w:szCs w:val="18"/>
        </w:rPr>
        <w:footnoteRef/>
      </w:r>
      <w:r w:rsidRPr="006475B9">
        <w:rPr>
          <w:szCs w:val="18"/>
        </w:rPr>
        <w:t xml:space="preserve"> </w:t>
      </w:r>
      <w:r w:rsidRPr="006475B9">
        <w:rPr>
          <w:szCs w:val="18"/>
        </w:rPr>
        <w:tab/>
        <w:t>The Management of Internet Names and Addresses:  Intellectual Property Issues – Final Report of the First WIPO Internet Domain Name Process</w:t>
      </w:r>
      <w:smartTag w:uri="urn:schemas-microsoft-com:office:smarttags" w:element="PersonName">
        <w:r w:rsidRPr="006475B9">
          <w:rPr>
            <w:szCs w:val="18"/>
          </w:rPr>
          <w:t>,</w:t>
        </w:r>
      </w:smartTag>
      <w:r w:rsidRPr="006475B9">
        <w:rPr>
          <w:szCs w:val="18"/>
        </w:rPr>
        <w:t xml:space="preserve"> WIPO publication No. 439</w:t>
      </w:r>
      <w:smartTag w:uri="urn:schemas-microsoft-com:office:smarttags" w:element="PersonName">
        <w:r w:rsidRPr="006475B9">
          <w:rPr>
            <w:szCs w:val="18"/>
          </w:rPr>
          <w:t>,</w:t>
        </w:r>
      </w:smartTag>
      <w:r w:rsidRPr="006475B9">
        <w:rPr>
          <w:szCs w:val="18"/>
        </w:rPr>
        <w:t xml:space="preserve"> also available at </w:t>
      </w:r>
      <w:r w:rsidRPr="006475B9">
        <w:rPr>
          <w:szCs w:val="18"/>
          <w:u w:val="single"/>
        </w:rPr>
        <w:t>http://www.wipo.int/amc/en/processes/process1/report</w:t>
      </w:r>
      <w:r w:rsidRPr="006475B9">
        <w:rPr>
          <w:szCs w:val="18"/>
        </w:rPr>
        <w:t>.</w:t>
      </w:r>
    </w:p>
  </w:footnote>
  <w:footnote w:id="12">
    <w:p w:rsidR="00192C16" w:rsidRPr="006475B9" w:rsidRDefault="00192C16" w:rsidP="00192C16">
      <w:pPr>
        <w:pStyle w:val="FootnoteText"/>
        <w:rPr>
          <w:szCs w:val="18"/>
        </w:rPr>
      </w:pPr>
      <w:r w:rsidRPr="006475B9">
        <w:rPr>
          <w:rStyle w:val="FootnoteReference"/>
          <w:szCs w:val="18"/>
        </w:rPr>
        <w:footnoteRef/>
      </w:r>
      <w:r w:rsidRPr="006475B9">
        <w:rPr>
          <w:szCs w:val="18"/>
        </w:rPr>
        <w:t xml:space="preserve"> </w:t>
      </w:r>
      <w:r w:rsidRPr="006475B9">
        <w:rPr>
          <w:szCs w:val="18"/>
        </w:rPr>
        <w:tab/>
        <w:t>The Recognition of Rights and the Use of Names in the Internet Domain Name System – Report of the Second WIPO Internet Domain Name Process</w:t>
      </w:r>
      <w:smartTag w:uri="urn:schemas-microsoft-com:office:smarttags" w:element="PersonName">
        <w:r w:rsidRPr="006475B9">
          <w:rPr>
            <w:szCs w:val="18"/>
          </w:rPr>
          <w:t>,</w:t>
        </w:r>
      </w:smartTag>
      <w:r w:rsidRPr="006475B9">
        <w:rPr>
          <w:szCs w:val="18"/>
        </w:rPr>
        <w:t xml:space="preserve"> WIPO Publication No. 843</w:t>
      </w:r>
      <w:smartTag w:uri="urn:schemas-microsoft-com:office:smarttags" w:element="PersonName">
        <w:r w:rsidRPr="006475B9">
          <w:rPr>
            <w:szCs w:val="18"/>
          </w:rPr>
          <w:t>,</w:t>
        </w:r>
      </w:smartTag>
      <w:r w:rsidRPr="006475B9">
        <w:rPr>
          <w:szCs w:val="18"/>
        </w:rPr>
        <w:t xml:space="preserve"> also available at </w:t>
      </w:r>
      <w:r w:rsidRPr="006475B9">
        <w:rPr>
          <w:szCs w:val="18"/>
          <w:u w:val="single"/>
        </w:rPr>
        <w:t>http://www.wipo.int/amc/en/processes/process2/report</w:t>
      </w:r>
      <w:r w:rsidRPr="006475B9">
        <w:rPr>
          <w:szCs w:val="18"/>
        </w:rPr>
        <w:t>.</w:t>
      </w:r>
    </w:p>
  </w:footnote>
  <w:footnote w:id="13">
    <w:p w:rsidR="00192C16" w:rsidRPr="006475B9" w:rsidRDefault="00192C16" w:rsidP="00192C16">
      <w:pPr>
        <w:pStyle w:val="FootnoteText"/>
        <w:rPr>
          <w:szCs w:val="18"/>
        </w:rPr>
      </w:pPr>
      <w:r w:rsidRPr="006475B9">
        <w:rPr>
          <w:rStyle w:val="FootnoteReference"/>
          <w:szCs w:val="18"/>
        </w:rPr>
        <w:footnoteRef/>
      </w:r>
      <w:r w:rsidRPr="006475B9">
        <w:rPr>
          <w:szCs w:val="18"/>
        </w:rPr>
        <w:tab/>
        <w:t xml:space="preserve">See </w:t>
      </w:r>
      <w:smartTag w:uri="urn:schemas-microsoft-com:office:smarttags" w:element="Street">
        <w:smartTag w:uri="urn:schemas-microsoft-com:office:smarttags" w:element="address">
          <w:r w:rsidRPr="006475B9">
            <w:rPr>
              <w:szCs w:val="18"/>
            </w:rPr>
            <w:t>Selected UDRP-related Court</w:t>
          </w:r>
        </w:smartTag>
      </w:smartTag>
      <w:r w:rsidRPr="006475B9">
        <w:rPr>
          <w:szCs w:val="18"/>
        </w:rPr>
        <w:t xml:space="preserve"> Cases at </w:t>
      </w:r>
      <w:r w:rsidRPr="006475B9">
        <w:rPr>
          <w:szCs w:val="18"/>
          <w:u w:val="single"/>
        </w:rPr>
        <w:t>http://www.wipo.int/amc/en/domains/challenged</w:t>
      </w:r>
      <w:r w:rsidRPr="006475B9">
        <w:rPr>
          <w:szCs w:val="18"/>
        </w:rPr>
        <w:t>.</w:t>
      </w:r>
    </w:p>
  </w:footnote>
  <w:footnote w:id="14">
    <w:p w:rsidR="00192C16" w:rsidRPr="006475B9" w:rsidRDefault="00192C16" w:rsidP="00A66287">
      <w:pPr>
        <w:pStyle w:val="FootnoteText"/>
        <w:rPr>
          <w:color w:val="000000"/>
          <w:szCs w:val="18"/>
        </w:rPr>
      </w:pPr>
      <w:r w:rsidRPr="006475B9">
        <w:rPr>
          <w:rStyle w:val="FootnoteReference"/>
          <w:szCs w:val="18"/>
        </w:rPr>
        <w:footnoteRef/>
      </w:r>
      <w:r w:rsidRPr="006475B9">
        <w:rPr>
          <w:szCs w:val="18"/>
        </w:rPr>
        <w:t xml:space="preserve"> </w:t>
      </w:r>
      <w:r w:rsidRPr="006475B9">
        <w:rPr>
          <w:szCs w:val="18"/>
        </w:rPr>
        <w:tab/>
        <w:t xml:space="preserve">Available statistics cover many categories, such as “areas of complainant activity”, “named respondents”, “domain name script”, and “25 most </w:t>
      </w:r>
      <w:r w:rsidR="00A66287">
        <w:rPr>
          <w:szCs w:val="18"/>
        </w:rPr>
        <w:t>cited decisions in complaint”.</w:t>
      </w:r>
      <w:r w:rsidR="00F23C61">
        <w:rPr>
          <w:szCs w:val="18"/>
        </w:rPr>
        <w:t xml:space="preserve">  </w:t>
      </w:r>
      <w:r w:rsidRPr="006475B9">
        <w:rPr>
          <w:szCs w:val="18"/>
        </w:rPr>
        <w:t xml:space="preserve">See </w:t>
      </w:r>
      <w:r w:rsidRPr="006475B9">
        <w:rPr>
          <w:szCs w:val="18"/>
          <w:u w:val="single"/>
        </w:rPr>
        <w:t>http://www.wipo.int/amc/en/domains/statistics</w:t>
      </w:r>
      <w:r w:rsidRPr="006475B9">
        <w:rPr>
          <w:szCs w:val="18"/>
        </w:rPr>
        <w:t xml:space="preserve">. </w:t>
      </w:r>
    </w:p>
  </w:footnote>
  <w:footnote w:id="15">
    <w:p w:rsidR="00192C16" w:rsidRPr="006475B9" w:rsidRDefault="00192C16" w:rsidP="00192C16">
      <w:pPr>
        <w:pStyle w:val="FootnoteText"/>
        <w:rPr>
          <w:szCs w:val="18"/>
        </w:rPr>
      </w:pPr>
      <w:r w:rsidRPr="006475B9">
        <w:rPr>
          <w:rStyle w:val="FootnoteReference"/>
          <w:szCs w:val="18"/>
        </w:rPr>
        <w:footnoteRef/>
      </w:r>
      <w:r w:rsidRPr="006475B9">
        <w:rPr>
          <w:szCs w:val="18"/>
        </w:rPr>
        <w:t xml:space="preserve"> </w:t>
      </w:r>
      <w:r w:rsidRPr="006475B9">
        <w:rPr>
          <w:szCs w:val="18"/>
        </w:rPr>
        <w:tab/>
        <w:t>In alphabetical order</w:t>
      </w:r>
      <w:smartTag w:uri="urn:schemas-microsoft-com:office:smarttags" w:element="PersonName">
        <w:r w:rsidRPr="006475B9">
          <w:rPr>
            <w:szCs w:val="18"/>
          </w:rPr>
          <w:t>,</w:t>
        </w:r>
      </w:smartTag>
      <w:r w:rsidRPr="006475B9">
        <w:rPr>
          <w:szCs w:val="18"/>
        </w:rPr>
        <w:t xml:space="preserve"> Chinese</w:t>
      </w:r>
      <w:smartTag w:uri="urn:schemas-microsoft-com:office:smarttags" w:element="PersonName">
        <w:r w:rsidRPr="006475B9">
          <w:rPr>
            <w:szCs w:val="18"/>
          </w:rPr>
          <w:t>,</w:t>
        </w:r>
      </w:smartTag>
      <w:r w:rsidRPr="006475B9">
        <w:rPr>
          <w:szCs w:val="18"/>
        </w:rPr>
        <w:t xml:space="preserve"> Czech, Danish</w:t>
      </w:r>
      <w:smartTag w:uri="urn:schemas-microsoft-com:office:smarttags" w:element="PersonName">
        <w:r w:rsidRPr="006475B9">
          <w:rPr>
            <w:szCs w:val="18"/>
          </w:rPr>
          <w:t>,</w:t>
        </w:r>
      </w:smartTag>
      <w:r w:rsidRPr="006475B9">
        <w:rPr>
          <w:szCs w:val="18"/>
        </w:rPr>
        <w:t xml:space="preserve"> Dutch</w:t>
      </w:r>
      <w:smartTag w:uri="urn:schemas-microsoft-com:office:smarttags" w:element="PersonName">
        <w:r w:rsidRPr="006475B9">
          <w:rPr>
            <w:szCs w:val="18"/>
          </w:rPr>
          <w:t>,</w:t>
        </w:r>
      </w:smartTag>
      <w:r w:rsidRPr="006475B9">
        <w:rPr>
          <w:szCs w:val="18"/>
        </w:rPr>
        <w:t xml:space="preserve"> English</w:t>
      </w:r>
      <w:smartTag w:uri="urn:schemas-microsoft-com:office:smarttags" w:element="PersonName">
        <w:r w:rsidRPr="006475B9">
          <w:rPr>
            <w:szCs w:val="18"/>
          </w:rPr>
          <w:t>,</w:t>
        </w:r>
      </w:smartTag>
      <w:r w:rsidRPr="006475B9">
        <w:rPr>
          <w:szCs w:val="18"/>
        </w:rPr>
        <w:t xml:space="preserve"> French</w:t>
      </w:r>
      <w:smartTag w:uri="urn:schemas-microsoft-com:office:smarttags" w:element="PersonName">
        <w:r w:rsidRPr="006475B9">
          <w:rPr>
            <w:szCs w:val="18"/>
          </w:rPr>
          <w:t>,</w:t>
        </w:r>
      </w:smartTag>
      <w:r w:rsidRPr="006475B9">
        <w:rPr>
          <w:szCs w:val="18"/>
        </w:rPr>
        <w:t xml:space="preserve"> German</w:t>
      </w:r>
      <w:smartTag w:uri="urn:schemas-microsoft-com:office:smarttags" w:element="PersonName">
        <w:r w:rsidRPr="006475B9">
          <w:rPr>
            <w:szCs w:val="18"/>
          </w:rPr>
          <w:t>,</w:t>
        </w:r>
      </w:smartTag>
      <w:r w:rsidRPr="006475B9">
        <w:rPr>
          <w:szCs w:val="18"/>
        </w:rPr>
        <w:t xml:space="preserve"> Hebrew</w:t>
      </w:r>
      <w:smartTag w:uri="urn:schemas-microsoft-com:office:smarttags" w:element="PersonName">
        <w:r w:rsidRPr="006475B9">
          <w:rPr>
            <w:szCs w:val="18"/>
          </w:rPr>
          <w:t>,</w:t>
        </w:r>
      </w:smartTag>
      <w:r w:rsidRPr="006475B9">
        <w:rPr>
          <w:szCs w:val="18"/>
        </w:rPr>
        <w:t xml:space="preserve"> Italian</w:t>
      </w:r>
      <w:smartTag w:uri="urn:schemas-microsoft-com:office:smarttags" w:element="PersonName">
        <w:r w:rsidRPr="006475B9">
          <w:rPr>
            <w:szCs w:val="18"/>
          </w:rPr>
          <w:t>,</w:t>
        </w:r>
      </w:smartTag>
      <w:r w:rsidRPr="006475B9">
        <w:rPr>
          <w:szCs w:val="18"/>
        </w:rPr>
        <w:t xml:space="preserve"> Japanese</w:t>
      </w:r>
      <w:smartTag w:uri="urn:schemas-microsoft-com:office:smarttags" w:element="PersonName">
        <w:r w:rsidRPr="006475B9">
          <w:rPr>
            <w:szCs w:val="18"/>
          </w:rPr>
          <w:t>,</w:t>
        </w:r>
      </w:smartTag>
      <w:r w:rsidRPr="006475B9">
        <w:rPr>
          <w:szCs w:val="18"/>
        </w:rPr>
        <w:t xml:space="preserve"> Korean</w:t>
      </w:r>
      <w:smartTag w:uri="urn:schemas-microsoft-com:office:smarttags" w:element="PersonName">
        <w:r w:rsidRPr="006475B9">
          <w:rPr>
            <w:szCs w:val="18"/>
          </w:rPr>
          <w:t>,</w:t>
        </w:r>
      </w:smartTag>
      <w:r w:rsidRPr="006475B9">
        <w:rPr>
          <w:szCs w:val="18"/>
        </w:rPr>
        <w:t xml:space="preserve"> Norwegian</w:t>
      </w:r>
      <w:smartTag w:uri="urn:schemas-microsoft-com:office:smarttags" w:element="PersonName">
        <w:r w:rsidRPr="006475B9">
          <w:rPr>
            <w:szCs w:val="18"/>
          </w:rPr>
          <w:t>,</w:t>
        </w:r>
      </w:smartTag>
      <w:r w:rsidRPr="006475B9">
        <w:rPr>
          <w:szCs w:val="18"/>
        </w:rPr>
        <w:t xml:space="preserve"> Polish</w:t>
      </w:r>
      <w:smartTag w:uri="urn:schemas-microsoft-com:office:smarttags" w:element="PersonName">
        <w:r w:rsidRPr="006475B9">
          <w:rPr>
            <w:szCs w:val="18"/>
          </w:rPr>
          <w:t>,</w:t>
        </w:r>
      </w:smartTag>
      <w:r w:rsidRPr="006475B9">
        <w:rPr>
          <w:szCs w:val="18"/>
        </w:rPr>
        <w:t xml:space="preserve"> Portuguese</w:t>
      </w:r>
      <w:smartTag w:uri="urn:schemas-microsoft-com:office:smarttags" w:element="PersonName">
        <w:r w:rsidRPr="006475B9">
          <w:rPr>
            <w:szCs w:val="18"/>
          </w:rPr>
          <w:t>,</w:t>
        </w:r>
      </w:smartTag>
      <w:r w:rsidRPr="006475B9">
        <w:rPr>
          <w:szCs w:val="18"/>
        </w:rPr>
        <w:t xml:space="preserve"> Romanian</w:t>
      </w:r>
      <w:smartTag w:uri="urn:schemas-microsoft-com:office:smarttags" w:element="PersonName">
        <w:r w:rsidRPr="006475B9">
          <w:rPr>
            <w:szCs w:val="18"/>
          </w:rPr>
          <w:t>,</w:t>
        </w:r>
      </w:smartTag>
      <w:r w:rsidRPr="006475B9">
        <w:rPr>
          <w:szCs w:val="18"/>
        </w:rPr>
        <w:t xml:space="preserve"> Russian</w:t>
      </w:r>
      <w:smartTag w:uri="urn:schemas-microsoft-com:office:smarttags" w:element="PersonName">
        <w:r w:rsidRPr="006475B9">
          <w:rPr>
            <w:szCs w:val="18"/>
          </w:rPr>
          <w:t>,</w:t>
        </w:r>
      </w:smartTag>
      <w:r w:rsidRPr="006475B9">
        <w:rPr>
          <w:szCs w:val="18"/>
        </w:rPr>
        <w:t xml:space="preserve"> Slovak, Spanish, Swedish</w:t>
      </w:r>
      <w:smartTag w:uri="urn:schemas-microsoft-com:office:smarttags" w:element="PersonName">
        <w:r w:rsidRPr="006475B9">
          <w:rPr>
            <w:szCs w:val="18"/>
          </w:rPr>
          <w:t>,</w:t>
        </w:r>
      </w:smartTag>
      <w:r w:rsidRPr="006475B9">
        <w:rPr>
          <w:szCs w:val="18"/>
        </w:rPr>
        <w:t xml:space="preserve"> Turkish.</w:t>
      </w:r>
    </w:p>
  </w:footnote>
  <w:footnote w:id="16">
    <w:p w:rsidR="00192C16" w:rsidRPr="006475B9" w:rsidRDefault="00192C16" w:rsidP="00192C16">
      <w:pPr>
        <w:pStyle w:val="FootnoteText"/>
        <w:rPr>
          <w:szCs w:val="18"/>
        </w:rPr>
      </w:pPr>
      <w:r w:rsidRPr="006475B9">
        <w:rPr>
          <w:rStyle w:val="FootnoteReference"/>
          <w:szCs w:val="18"/>
        </w:rPr>
        <w:footnoteRef/>
      </w:r>
      <w:r w:rsidRPr="006475B9">
        <w:rPr>
          <w:szCs w:val="18"/>
        </w:rPr>
        <w:tab/>
        <w:t xml:space="preserve">The Overview is available at </w:t>
      </w:r>
      <w:r w:rsidRPr="006475B9">
        <w:rPr>
          <w:szCs w:val="18"/>
          <w:u w:val="single"/>
        </w:rPr>
        <w:t>http://www.wipo.int/amc/en/domains/search/overview</w:t>
      </w:r>
      <w:r w:rsidR="00C24A99">
        <w:rPr>
          <w:szCs w:val="18"/>
          <w:u w:val="single"/>
        </w:rPr>
        <w:t>2.0</w:t>
      </w:r>
      <w:r w:rsidRPr="006475B9">
        <w:rPr>
          <w:szCs w:val="18"/>
        </w:rPr>
        <w:t>.</w:t>
      </w:r>
    </w:p>
  </w:footnote>
  <w:footnote w:id="17">
    <w:p w:rsidR="00192C16" w:rsidRPr="006475B9" w:rsidRDefault="00192C16" w:rsidP="00192C16">
      <w:pPr>
        <w:pStyle w:val="FootnoteText"/>
        <w:rPr>
          <w:szCs w:val="18"/>
        </w:rPr>
      </w:pPr>
      <w:r w:rsidRPr="006475B9">
        <w:rPr>
          <w:rStyle w:val="FootnoteReference"/>
          <w:szCs w:val="18"/>
        </w:rPr>
        <w:footnoteRef/>
      </w:r>
      <w:r w:rsidRPr="006475B9">
        <w:rPr>
          <w:szCs w:val="18"/>
        </w:rPr>
        <w:tab/>
      </w:r>
      <w:r w:rsidR="0085556B">
        <w:rPr>
          <w:szCs w:val="18"/>
        </w:rPr>
        <w:t>This</w:t>
      </w:r>
      <w:r w:rsidRPr="006475B9">
        <w:rPr>
          <w:szCs w:val="24"/>
        </w:rPr>
        <w:t xml:space="preserve"> professional resource</w:t>
      </w:r>
      <w:r w:rsidR="008A207F">
        <w:rPr>
          <w:szCs w:val="24"/>
        </w:rPr>
        <w:t xml:space="preserve"> is </w:t>
      </w:r>
      <w:r w:rsidRPr="006475B9">
        <w:rPr>
          <w:szCs w:val="18"/>
        </w:rPr>
        <w:t xml:space="preserve">available at </w:t>
      </w:r>
      <w:r w:rsidRPr="006475B9">
        <w:rPr>
          <w:szCs w:val="18"/>
          <w:u w:val="single"/>
        </w:rPr>
        <w:t>http://www.wipo.int/cgi-bin/domains/search/legalindex</w:t>
      </w:r>
      <w:r w:rsidRPr="006475B9">
        <w:rPr>
          <w:szCs w:val="18"/>
        </w:rPr>
        <w:t>.</w:t>
      </w:r>
    </w:p>
  </w:footnote>
  <w:footnote w:id="18">
    <w:p w:rsidR="00192C16" w:rsidRPr="006475B9" w:rsidRDefault="00192C16" w:rsidP="00192C16">
      <w:pPr>
        <w:pStyle w:val="FootnoteText"/>
      </w:pPr>
      <w:r w:rsidRPr="006475B9">
        <w:rPr>
          <w:rStyle w:val="FootnoteReference"/>
        </w:rPr>
        <w:footnoteRef/>
      </w:r>
      <w:r w:rsidRPr="006475B9">
        <w:t xml:space="preserve"> </w:t>
      </w:r>
      <w:r w:rsidRPr="006475B9">
        <w:tab/>
        <w:t>See</w:t>
      </w:r>
      <w:r w:rsidRPr="00325133">
        <w:t>, e.g.,</w:t>
      </w:r>
      <w:r w:rsidRPr="006475B9">
        <w:t xml:space="preserve"> W</w:t>
      </w:r>
      <w:r w:rsidR="00286256">
        <w:t>O/GA/41/17 Rev.2, paragraphs 14</w:t>
      </w:r>
      <w:r w:rsidR="00724563">
        <w:t xml:space="preserve"> to </w:t>
      </w:r>
      <w:r w:rsidRPr="006475B9">
        <w:t>16.</w:t>
      </w:r>
    </w:p>
  </w:footnote>
  <w:footnote w:id="19">
    <w:p w:rsidR="00192C16" w:rsidRPr="006475B9" w:rsidRDefault="00192C16" w:rsidP="00192C16">
      <w:pPr>
        <w:pStyle w:val="FootnoteText"/>
      </w:pPr>
      <w:r w:rsidRPr="006475B9">
        <w:rPr>
          <w:rStyle w:val="FootnoteReference"/>
        </w:rPr>
        <w:footnoteRef/>
      </w:r>
      <w:r w:rsidRPr="006475B9">
        <w:t xml:space="preserve"> </w:t>
      </w:r>
      <w:r w:rsidRPr="006475B9">
        <w:tab/>
        <w:t xml:space="preserve">See footnote 2, </w:t>
      </w:r>
      <w:r w:rsidRPr="006475B9">
        <w:rPr>
          <w:i/>
        </w:rPr>
        <w:t>supra</w:t>
      </w:r>
      <w:r w:rsidRPr="006475B9">
        <w:t>.</w:t>
      </w:r>
    </w:p>
  </w:footnote>
  <w:footnote w:id="20">
    <w:p w:rsidR="00192C16" w:rsidRPr="006475B9" w:rsidRDefault="00192C16" w:rsidP="00192C16">
      <w:pPr>
        <w:pStyle w:val="FootnoteText"/>
        <w:rPr>
          <w:szCs w:val="18"/>
        </w:rPr>
      </w:pPr>
      <w:r w:rsidRPr="006475B9">
        <w:rPr>
          <w:rStyle w:val="FootnoteReference"/>
          <w:szCs w:val="18"/>
        </w:rPr>
        <w:footnoteRef/>
      </w:r>
      <w:r w:rsidRPr="006475B9">
        <w:rPr>
          <w:szCs w:val="18"/>
        </w:rPr>
        <w:tab/>
        <w:t xml:space="preserve">The full list of ccTLDs which have retained the Center as domain name dispute resolution provider is available at </w:t>
      </w:r>
      <w:r w:rsidRPr="006475B9">
        <w:rPr>
          <w:szCs w:val="18"/>
          <w:u w:val="single"/>
        </w:rPr>
        <w:t>http://www.wipo.int/amc/en/domains/cctld</w:t>
      </w:r>
      <w:r w:rsidRPr="006475B9">
        <w:rPr>
          <w:szCs w:val="18"/>
        </w:rPr>
        <w:t>.</w:t>
      </w:r>
    </w:p>
  </w:footnote>
  <w:footnote w:id="21">
    <w:p w:rsidR="00192C16" w:rsidRPr="006475B9" w:rsidRDefault="00192C16" w:rsidP="00192C16">
      <w:pPr>
        <w:pStyle w:val="FootnoteText"/>
        <w:rPr>
          <w:szCs w:val="18"/>
        </w:rPr>
      </w:pPr>
      <w:r w:rsidRPr="006475B9">
        <w:rPr>
          <w:rStyle w:val="FootnoteReference"/>
          <w:szCs w:val="18"/>
        </w:rPr>
        <w:footnoteRef/>
      </w:r>
      <w:r w:rsidRPr="006475B9">
        <w:rPr>
          <w:szCs w:val="18"/>
        </w:rPr>
        <w:t xml:space="preserve"> </w:t>
      </w:r>
      <w:r w:rsidRPr="006475B9">
        <w:rPr>
          <w:szCs w:val="18"/>
        </w:rPr>
        <w:tab/>
        <w:t xml:space="preserve">See </w:t>
      </w:r>
      <w:r w:rsidRPr="006475B9">
        <w:rPr>
          <w:szCs w:val="18"/>
          <w:u w:val="single"/>
        </w:rPr>
        <w:t>http://www.icann.org/en/minutes/resolutions-20jun11-en.htm</w:t>
      </w:r>
      <w:r w:rsidRPr="006475B9">
        <w:rPr>
          <w:szCs w:val="18"/>
        </w:rPr>
        <w:t>.  For further background including references</w:t>
      </w:r>
      <w:smartTag w:uri="urn:schemas-microsoft-com:office:smarttags" w:element="PersonName">
        <w:r w:rsidRPr="006475B9">
          <w:rPr>
            <w:szCs w:val="18"/>
          </w:rPr>
          <w:t>,</w:t>
        </w:r>
      </w:smartTag>
      <w:r w:rsidRPr="006475B9">
        <w:rPr>
          <w:szCs w:val="18"/>
        </w:rPr>
        <w:t xml:space="preserve"> see document WO/GA/39/10</w:t>
      </w:r>
      <w:smartTag w:uri="urn:schemas-microsoft-com:office:smarttags" w:element="PersonName">
        <w:r w:rsidRPr="006475B9">
          <w:rPr>
            <w:szCs w:val="18"/>
          </w:rPr>
          <w:t>,</w:t>
        </w:r>
      </w:smartTag>
      <w:r w:rsidRPr="006475B9">
        <w:rPr>
          <w:szCs w:val="18"/>
        </w:rPr>
        <w:t xml:space="preserve"> in particular paragraph 14.</w:t>
      </w:r>
    </w:p>
  </w:footnote>
  <w:footnote w:id="22">
    <w:p w:rsidR="00192C16" w:rsidRPr="006475B9" w:rsidRDefault="00192C16" w:rsidP="00192C16">
      <w:pPr>
        <w:pStyle w:val="FootnoteText"/>
        <w:rPr>
          <w:szCs w:val="18"/>
        </w:rPr>
      </w:pPr>
      <w:r w:rsidRPr="006475B9">
        <w:rPr>
          <w:rStyle w:val="FootnoteReference"/>
          <w:szCs w:val="18"/>
        </w:rPr>
        <w:footnoteRef/>
      </w:r>
      <w:r w:rsidRPr="006475B9">
        <w:rPr>
          <w:szCs w:val="18"/>
        </w:rPr>
        <w:t xml:space="preserve"> </w:t>
      </w:r>
      <w:r w:rsidRPr="006475B9">
        <w:rPr>
          <w:szCs w:val="18"/>
        </w:rPr>
        <w:tab/>
        <w:t xml:space="preserve">ICANN’s Applicant Guidebook is available at </w:t>
      </w:r>
      <w:r w:rsidRPr="006475B9">
        <w:rPr>
          <w:szCs w:val="18"/>
          <w:u w:val="single"/>
        </w:rPr>
        <w:t>http://newgtlds.icann.org/en/applicants/agb</w:t>
      </w:r>
      <w:r w:rsidRPr="006475B9">
        <w:rPr>
          <w:szCs w:val="18"/>
        </w:rPr>
        <w:t xml:space="preserve">. </w:t>
      </w:r>
    </w:p>
  </w:footnote>
  <w:footnote w:id="23">
    <w:p w:rsidR="00192C16" w:rsidRPr="006475B9" w:rsidRDefault="00192C16" w:rsidP="00192C16">
      <w:pPr>
        <w:pStyle w:val="FootnoteText"/>
      </w:pPr>
      <w:r w:rsidRPr="006475B9">
        <w:rPr>
          <w:rStyle w:val="FootnoteReference"/>
        </w:rPr>
        <w:footnoteRef/>
      </w:r>
      <w:r w:rsidRPr="006475B9">
        <w:t xml:space="preserve"> </w:t>
      </w:r>
      <w:r w:rsidRPr="006475B9">
        <w:tab/>
        <w:t xml:space="preserve">Delegated new gTLDs are listed at </w:t>
      </w:r>
      <w:r w:rsidRPr="00EC1C32">
        <w:rPr>
          <w:u w:val="single"/>
        </w:rPr>
        <w:t>http://newgtlds.icann.org/en/program-status/delegated-strings</w:t>
      </w:r>
      <w:r w:rsidRPr="006475B9">
        <w:t xml:space="preserve">.  </w:t>
      </w:r>
    </w:p>
  </w:footnote>
  <w:footnote w:id="24">
    <w:p w:rsidR="00192C16" w:rsidRPr="006475B9" w:rsidRDefault="00192C16" w:rsidP="00192C16">
      <w:pPr>
        <w:pStyle w:val="FootnoteText"/>
        <w:rPr>
          <w:szCs w:val="18"/>
        </w:rPr>
      </w:pPr>
      <w:r w:rsidRPr="006475B9">
        <w:rPr>
          <w:rStyle w:val="FootnoteReference"/>
          <w:szCs w:val="18"/>
        </w:rPr>
        <w:footnoteRef/>
      </w:r>
      <w:r w:rsidRPr="006475B9">
        <w:rPr>
          <w:rStyle w:val="FootnoteReference"/>
        </w:rPr>
        <w:t xml:space="preserve"> </w:t>
      </w:r>
      <w:r w:rsidRPr="006475B9">
        <w:rPr>
          <w:szCs w:val="18"/>
        </w:rPr>
        <w:tab/>
        <w:t>For further background including references, see WO/GA/39/</w:t>
      </w:r>
      <w:r w:rsidR="00286256">
        <w:rPr>
          <w:szCs w:val="18"/>
        </w:rPr>
        <w:t xml:space="preserve">10, in particular paragraphs 23 to </w:t>
      </w:r>
      <w:r w:rsidRPr="006475B9">
        <w:rPr>
          <w:szCs w:val="18"/>
        </w:rPr>
        <w:t xml:space="preserve">30.  It is noted here that </w:t>
      </w:r>
      <w:smartTag w:uri="urn:schemas-microsoft-com:office:smarttags" w:element="PersonName">
        <w:r w:rsidRPr="006475B9">
          <w:rPr>
            <w:szCs w:val="18"/>
          </w:rPr>
          <w:t>ICANN</w:t>
        </w:r>
      </w:smartTag>
      <w:r w:rsidRPr="006475B9">
        <w:rPr>
          <w:szCs w:val="18"/>
        </w:rPr>
        <w:t xml:space="preserve"> summarily rejected a proposal for a “Globally Protected Marks List”.</w:t>
      </w:r>
    </w:p>
  </w:footnote>
  <w:footnote w:id="25">
    <w:p w:rsidR="00F23C61" w:rsidRPr="006475B9" w:rsidRDefault="00F23C61" w:rsidP="00F23C61">
      <w:pPr>
        <w:pStyle w:val="FootnoteText"/>
        <w:rPr>
          <w:szCs w:val="18"/>
        </w:rPr>
      </w:pPr>
      <w:r w:rsidRPr="006475B9">
        <w:rPr>
          <w:rStyle w:val="FootnoteReference"/>
          <w:szCs w:val="18"/>
        </w:rPr>
        <w:footnoteRef/>
      </w:r>
      <w:r w:rsidRPr="006475B9">
        <w:rPr>
          <w:rStyle w:val="FootnoteReference"/>
        </w:rPr>
        <w:t xml:space="preserve"> </w:t>
      </w:r>
      <w:r w:rsidRPr="006475B9">
        <w:rPr>
          <w:szCs w:val="18"/>
        </w:rPr>
        <w:tab/>
      </w:r>
      <w:r>
        <w:rPr>
          <w:szCs w:val="22"/>
        </w:rPr>
        <w:t>O</w:t>
      </w:r>
      <w:r w:rsidRPr="006475B9">
        <w:rPr>
          <w:szCs w:val="22"/>
        </w:rPr>
        <w:t>ther objection grounds recognized by ICANN are:  “String Confusion Objections”, “Community Objections”, and “Limited Public Interest Objections”</w:t>
      </w:r>
      <w:r>
        <w:rPr>
          <w:szCs w:val="22"/>
        </w:rPr>
        <w:t xml:space="preserve">).  </w:t>
      </w:r>
      <w:r w:rsidRPr="006475B9">
        <w:rPr>
          <w:szCs w:val="18"/>
        </w:rPr>
        <w:t>The Applicant Guidebook further includes a number of other procedures which governments may avail themselves of following ICANN announcement of new gTLD applications.  Notably</w:t>
      </w:r>
      <w:smartTag w:uri="urn:schemas-microsoft-com:office:smarttags" w:element="PersonName">
        <w:r w:rsidRPr="006475B9">
          <w:rPr>
            <w:szCs w:val="18"/>
          </w:rPr>
          <w:t>,</w:t>
        </w:r>
      </w:smartTag>
      <w:r w:rsidRPr="006475B9">
        <w:rPr>
          <w:szCs w:val="18"/>
        </w:rPr>
        <w:t xml:space="preserve"> section 1.1.2.4 provides for “GAC Early Warning</w:t>
      </w:r>
      <w:smartTag w:uri="urn:schemas-microsoft-com:office:smarttags" w:element="PersonName">
        <w:r w:rsidRPr="006475B9">
          <w:rPr>
            <w:szCs w:val="18"/>
          </w:rPr>
          <w:t>,</w:t>
        </w:r>
      </w:smartTag>
      <w:r w:rsidRPr="006475B9">
        <w:rPr>
          <w:szCs w:val="18"/>
        </w:rPr>
        <w:t xml:space="preserve">” and section 1.1.2.7 provides for “Receipt of GAC Advice on New gTLDs” for the </w:t>
      </w:r>
      <w:smartTag w:uri="urn:schemas-microsoft-com:office:smarttags" w:element="PersonName">
        <w:r w:rsidRPr="006475B9">
          <w:rPr>
            <w:szCs w:val="18"/>
          </w:rPr>
          <w:t>ICANN</w:t>
        </w:r>
      </w:smartTag>
      <w:r w:rsidRPr="006475B9">
        <w:rPr>
          <w:szCs w:val="18"/>
        </w:rPr>
        <w:t xml:space="preserve"> Board’s consideration.</w:t>
      </w:r>
    </w:p>
  </w:footnote>
  <w:footnote w:id="26">
    <w:p w:rsidR="00192C16" w:rsidRPr="006475B9" w:rsidRDefault="00192C16" w:rsidP="00192C16">
      <w:pPr>
        <w:pStyle w:val="FootnoteText"/>
        <w:rPr>
          <w:szCs w:val="18"/>
        </w:rPr>
      </w:pPr>
      <w:r w:rsidRPr="006475B9">
        <w:rPr>
          <w:rStyle w:val="FootnoteReference"/>
          <w:szCs w:val="18"/>
        </w:rPr>
        <w:footnoteRef/>
      </w:r>
      <w:r w:rsidRPr="006475B9">
        <w:rPr>
          <w:rStyle w:val="FootnoteReference"/>
        </w:rPr>
        <w:t xml:space="preserve"> </w:t>
      </w:r>
      <w:r w:rsidRPr="006475B9">
        <w:rPr>
          <w:szCs w:val="18"/>
        </w:rPr>
        <w:tab/>
        <w:t xml:space="preserve">See </w:t>
      </w:r>
      <w:r w:rsidRPr="006475B9">
        <w:rPr>
          <w:szCs w:val="18"/>
          <w:u w:val="single"/>
        </w:rPr>
        <w:t>http://www.wipo.int/about-ip/en/development_iplaw/pub845-toc.htm</w:t>
      </w:r>
      <w:r w:rsidRPr="006475B9">
        <w:rPr>
          <w:szCs w:val="18"/>
        </w:rPr>
        <w:t>.</w:t>
      </w:r>
    </w:p>
  </w:footnote>
  <w:footnote w:id="27">
    <w:p w:rsidR="00192C16" w:rsidRPr="006475B9" w:rsidRDefault="00192C16" w:rsidP="00192C16">
      <w:pPr>
        <w:pStyle w:val="FootnoteText"/>
        <w:rPr>
          <w:szCs w:val="18"/>
        </w:rPr>
      </w:pPr>
      <w:r w:rsidRPr="006475B9">
        <w:rPr>
          <w:rStyle w:val="FootnoteReference"/>
        </w:rPr>
        <w:footnoteRef/>
      </w:r>
      <w:r w:rsidRPr="006475B9">
        <w:t xml:space="preserve"> </w:t>
      </w:r>
      <w:r w:rsidRPr="006475B9">
        <w:tab/>
      </w:r>
      <w:r w:rsidRPr="006475B9">
        <w:rPr>
          <w:szCs w:val="18"/>
        </w:rPr>
        <w:t>See section 3.2 o</w:t>
      </w:r>
      <w:r w:rsidR="00760679">
        <w:rPr>
          <w:szCs w:val="18"/>
        </w:rPr>
        <w:t xml:space="preserve">f the ICANN Applicant Guidebook at </w:t>
      </w:r>
      <w:hyperlink r:id="rId1" w:history="1">
        <w:r w:rsidR="00760679" w:rsidRPr="00760679">
          <w:rPr>
            <w:szCs w:val="18"/>
            <w:u w:val="single"/>
          </w:rPr>
          <w:t>http://newgtlds.icann.org/en/applicants/agb/objection-procedures-04jun12-en.pdf</w:t>
        </w:r>
      </w:hyperlink>
      <w:r w:rsidR="00760679">
        <w:rPr>
          <w:szCs w:val="18"/>
        </w:rPr>
        <w:t>.</w:t>
      </w:r>
    </w:p>
  </w:footnote>
  <w:footnote w:id="28">
    <w:p w:rsidR="00192C16" w:rsidRPr="006475B9" w:rsidRDefault="00192C16" w:rsidP="00192C16">
      <w:pPr>
        <w:pStyle w:val="FootnoteText"/>
        <w:rPr>
          <w:szCs w:val="18"/>
        </w:rPr>
      </w:pPr>
      <w:r w:rsidRPr="006475B9">
        <w:rPr>
          <w:rStyle w:val="FootnoteReference"/>
        </w:rPr>
        <w:footnoteRef/>
      </w:r>
      <w:r w:rsidRPr="006475B9">
        <w:t xml:space="preserve"> </w:t>
      </w:r>
      <w:r w:rsidRPr="006475B9">
        <w:tab/>
      </w:r>
      <w:r w:rsidRPr="006475B9">
        <w:rPr>
          <w:szCs w:val="18"/>
        </w:rPr>
        <w:t xml:space="preserve">See WIPO Rules for New gTLD Dispute Resolution, and Schedule of Fees and Costs, respectively at </w:t>
      </w:r>
      <w:r w:rsidRPr="006475B9">
        <w:rPr>
          <w:szCs w:val="18"/>
          <w:u w:val="single"/>
        </w:rPr>
        <w:t>http://www.wipo.int/amc/en/docs/wipolrorules.pdf</w:t>
      </w:r>
      <w:r w:rsidRPr="006475B9">
        <w:rPr>
          <w:szCs w:val="18"/>
        </w:rPr>
        <w:t xml:space="preserve"> and </w:t>
      </w:r>
      <w:hyperlink r:id="rId2" w:history="1">
        <w:r w:rsidRPr="006475B9">
          <w:rPr>
            <w:szCs w:val="18"/>
            <w:u w:val="single"/>
          </w:rPr>
          <w:t>http://www.wipo.int/amc/en/domains/lro/fees</w:t>
        </w:r>
        <w:r w:rsidRPr="006475B9">
          <w:rPr>
            <w:szCs w:val="18"/>
          </w:rPr>
          <w:t>/</w:t>
        </w:r>
      </w:hyperlink>
      <w:r w:rsidRPr="006475B9">
        <w:rPr>
          <w:szCs w:val="18"/>
        </w:rPr>
        <w:t>;  see WIPO</w:t>
      </w:r>
      <w:r w:rsidRPr="006475B9">
        <w:rPr>
          <w:szCs w:val="18"/>
        </w:rPr>
        <w:noBreakHyphen/>
        <w:t xml:space="preserve">registered LRO cases at </w:t>
      </w:r>
      <w:hyperlink r:id="rId3" w:history="1">
        <w:r w:rsidRPr="006475B9">
          <w:rPr>
            <w:szCs w:val="18"/>
            <w:u w:val="single"/>
          </w:rPr>
          <w:t>http://www.wipo.int/amc/en/domains/lro/cases/</w:t>
        </w:r>
      </w:hyperlink>
      <w:r w:rsidRPr="006475B9">
        <w:rPr>
          <w:szCs w:val="18"/>
        </w:rPr>
        <w:t xml:space="preserve">. </w:t>
      </w:r>
    </w:p>
  </w:footnote>
  <w:footnote w:id="29">
    <w:p w:rsidR="00192C16" w:rsidRPr="006475B9" w:rsidRDefault="00192C16" w:rsidP="00192C16">
      <w:pPr>
        <w:pStyle w:val="FootnoteText"/>
      </w:pPr>
      <w:r w:rsidRPr="006475B9">
        <w:rPr>
          <w:rStyle w:val="FootnoteReference"/>
        </w:rPr>
        <w:footnoteRef/>
      </w:r>
      <w:r w:rsidRPr="006475B9">
        <w:t xml:space="preserve"> </w:t>
      </w:r>
      <w:r w:rsidRPr="006475B9">
        <w:tab/>
        <w:t xml:space="preserve">See </w:t>
      </w:r>
      <w:r w:rsidRPr="006475B9">
        <w:rPr>
          <w:u w:val="single"/>
        </w:rPr>
        <w:t>http://www.wipo.int/amc/en/domains/lro/cases/</w:t>
      </w:r>
      <w:r w:rsidRPr="006475B9">
        <w:t>.</w:t>
      </w:r>
      <w:r w:rsidRPr="006475B9">
        <w:rPr>
          <w:u w:val="single"/>
        </w:rPr>
        <w:t xml:space="preserve"> </w:t>
      </w:r>
    </w:p>
  </w:footnote>
  <w:footnote w:id="30">
    <w:p w:rsidR="00F23C61" w:rsidRPr="006475B9" w:rsidRDefault="00F23C61" w:rsidP="00F23C61">
      <w:pPr>
        <w:pStyle w:val="FootnoteText"/>
      </w:pPr>
      <w:r w:rsidRPr="006475B9">
        <w:rPr>
          <w:rStyle w:val="FootnoteReference"/>
        </w:rPr>
        <w:footnoteRef/>
      </w:r>
      <w:r w:rsidRPr="006475B9">
        <w:t xml:space="preserve"> </w:t>
      </w:r>
      <w:r w:rsidRPr="006475B9">
        <w:tab/>
      </w:r>
      <w:r w:rsidRPr="006475B9">
        <w:rPr>
          <w:szCs w:val="22"/>
        </w:rPr>
        <w:t>The WIPO LRO report notes that an overwhelming majority of LROs were filed against applications for gTLD strings with descriptive or dictionary meaning.  Many expert panels concluded that where a trademark owner has adopted a common dictionary term as a trademark, a gTLD application intended solely to take advantage of such common dictionary meaning would not as such violate the</w:t>
      </w:r>
      <w:r>
        <w:rPr>
          <w:szCs w:val="22"/>
        </w:rPr>
        <w:t xml:space="preserve"> decision</w:t>
      </w:r>
      <w:r w:rsidRPr="006475B9">
        <w:rPr>
          <w:szCs w:val="22"/>
        </w:rPr>
        <w:t xml:space="preserve"> standards for LROs</w:t>
      </w:r>
      <w:r>
        <w:rPr>
          <w:szCs w:val="22"/>
        </w:rPr>
        <w:t xml:space="preserve">.  </w:t>
      </w:r>
      <w:r w:rsidRPr="006475B9">
        <w:rPr>
          <w:szCs w:val="22"/>
        </w:rPr>
        <w:t>In certain cases panels addressed trademark registrations that were primarily obtained for the purpose of supporting an application for a new gTLD and/or LRO, with little o</w:t>
      </w:r>
      <w:r w:rsidR="007F64F8">
        <w:rPr>
          <w:szCs w:val="22"/>
        </w:rPr>
        <w:t xml:space="preserve">r no demonstrable prior use.  </w:t>
      </w:r>
      <w:r w:rsidRPr="006475B9">
        <w:t xml:space="preserve">See </w:t>
      </w:r>
      <w:r w:rsidRPr="00EC1C32">
        <w:rPr>
          <w:u w:val="single"/>
        </w:rPr>
        <w:t>http://www.wipo.int/</w:t>
      </w:r>
      <w:r w:rsidR="00C24A99">
        <w:rPr>
          <w:u w:val="single"/>
        </w:rPr>
        <w:t>amc/en/</w:t>
      </w:r>
      <w:r w:rsidRPr="00EC1C32">
        <w:rPr>
          <w:u w:val="single"/>
        </w:rPr>
        <w:t>docs/lroreport.pdf</w:t>
      </w:r>
      <w:r w:rsidRPr="006475B9">
        <w:t xml:space="preserve">. </w:t>
      </w:r>
    </w:p>
  </w:footnote>
  <w:footnote w:id="31">
    <w:p w:rsidR="00192C16" w:rsidRPr="006475B9" w:rsidRDefault="00192C16" w:rsidP="00192C16">
      <w:pPr>
        <w:pStyle w:val="FootnoteText"/>
        <w:rPr>
          <w:szCs w:val="18"/>
        </w:rPr>
      </w:pPr>
      <w:r w:rsidRPr="006475B9">
        <w:rPr>
          <w:rStyle w:val="FootnoteReference"/>
        </w:rPr>
        <w:footnoteRef/>
      </w:r>
      <w:r w:rsidRPr="006475B9">
        <w:rPr>
          <w:szCs w:val="18"/>
        </w:rPr>
        <w:t xml:space="preserve"> </w:t>
      </w:r>
      <w:r w:rsidRPr="006475B9">
        <w:rPr>
          <w:szCs w:val="18"/>
        </w:rPr>
        <w:tab/>
        <w:t xml:space="preserve">See </w:t>
      </w:r>
      <w:r w:rsidRPr="006475B9">
        <w:rPr>
          <w:szCs w:val="18"/>
          <w:u w:val="single"/>
        </w:rPr>
        <w:t>http://www.wipo.int/amc/en/docs/icann130309.pdf</w:t>
      </w:r>
      <w:r w:rsidRPr="006475B9">
        <w:rPr>
          <w:szCs w:val="18"/>
        </w:rPr>
        <w:t>.</w:t>
      </w:r>
    </w:p>
  </w:footnote>
  <w:footnote w:id="32">
    <w:p w:rsidR="00192C16" w:rsidRPr="006475B9" w:rsidRDefault="00192C16" w:rsidP="00192C16">
      <w:pPr>
        <w:pStyle w:val="FootnoteText"/>
        <w:rPr>
          <w:szCs w:val="18"/>
        </w:rPr>
      </w:pPr>
      <w:r w:rsidRPr="006475B9">
        <w:rPr>
          <w:rStyle w:val="FootnoteReference"/>
        </w:rPr>
        <w:footnoteRef/>
      </w:r>
      <w:r w:rsidRPr="006475B9">
        <w:rPr>
          <w:rStyle w:val="FootnoteReference"/>
        </w:rPr>
        <w:t xml:space="preserve"> </w:t>
      </w:r>
      <w:r w:rsidRPr="006475B9">
        <w:rPr>
          <w:szCs w:val="18"/>
        </w:rPr>
        <w:tab/>
        <w:t xml:space="preserve">Given the perceived convergence of registry, registrar, and registrant roles within the DNS, the Center has further recommended, </w:t>
      </w:r>
      <w:r w:rsidRPr="006475B9">
        <w:rPr>
          <w:i/>
          <w:szCs w:val="18"/>
        </w:rPr>
        <w:t>inter alia</w:t>
      </w:r>
      <w:r w:rsidRPr="006475B9">
        <w:rPr>
          <w:szCs w:val="18"/>
        </w:rPr>
        <w:t xml:space="preserve"> taking account of its UDRP-based experiences, and </w:t>
      </w:r>
      <w:smartTag w:uri="urn:schemas-microsoft-com:office:smarttags" w:element="PersonName">
        <w:r w:rsidRPr="006475B9">
          <w:rPr>
            <w:szCs w:val="18"/>
          </w:rPr>
          <w:t>ICANN</w:t>
        </w:r>
      </w:smartTag>
      <w:r w:rsidRPr="006475B9">
        <w:rPr>
          <w:szCs w:val="18"/>
        </w:rPr>
        <w:t>’s decision to allow for cross</w:t>
      </w:r>
      <w:r w:rsidRPr="006475B9">
        <w:rPr>
          <w:szCs w:val="18"/>
        </w:rPr>
        <w:noBreakHyphen/>
        <w:t xml:space="preserve">ownership between registries and registrars (see </w:t>
      </w:r>
      <w:r w:rsidRPr="006475B9">
        <w:rPr>
          <w:szCs w:val="18"/>
          <w:u w:val="single"/>
        </w:rPr>
        <w:t>http://www.icann.org/en/minutes/resolutions-05nov10-en.htm</w:t>
      </w:r>
      <w:r w:rsidRPr="006475B9">
        <w:rPr>
          <w:szCs w:val="18"/>
        </w:rPr>
        <w:t xml:space="preserve">), that </w:t>
      </w:r>
      <w:smartTag w:uri="urn:schemas-microsoft-com:office:smarttags" w:element="PersonName">
        <w:r w:rsidRPr="006475B9">
          <w:rPr>
            <w:szCs w:val="18"/>
          </w:rPr>
          <w:t>ICANN</w:t>
        </w:r>
      </w:smartTag>
      <w:r w:rsidRPr="006475B9">
        <w:rPr>
          <w:szCs w:val="18"/>
        </w:rPr>
        <w:t xml:space="preserve"> consider extending the PDDRP for registries also to registrar conduct (see</w:t>
      </w:r>
      <w:smartTag w:uri="urn:schemas-microsoft-com:office:smarttags" w:element="PersonName">
        <w:r w:rsidRPr="006475B9">
          <w:rPr>
            <w:szCs w:val="18"/>
          </w:rPr>
          <w:t>,</w:t>
        </w:r>
      </w:smartTag>
      <w:r w:rsidRPr="006475B9">
        <w:rPr>
          <w:szCs w:val="18"/>
        </w:rPr>
        <w:t xml:space="preserve"> </w:t>
      </w:r>
      <w:r w:rsidRPr="006475B9">
        <w:rPr>
          <w:i/>
          <w:szCs w:val="18"/>
        </w:rPr>
        <w:t>inter alia</w:t>
      </w:r>
      <w:r w:rsidRPr="006475B9">
        <w:rPr>
          <w:szCs w:val="18"/>
        </w:rPr>
        <w:t xml:space="preserve">, </w:t>
      </w:r>
      <w:r w:rsidRPr="006475B9">
        <w:rPr>
          <w:szCs w:val="18"/>
          <w:u w:val="single"/>
        </w:rPr>
        <w:t>http://www.wipo.int/amc/en/docs/icann260310rap.pdf</w:t>
      </w:r>
      <w:r w:rsidRPr="006475B9">
        <w:rPr>
          <w:szCs w:val="18"/>
        </w:rPr>
        <w:t>).</w:t>
      </w:r>
    </w:p>
  </w:footnote>
  <w:footnote w:id="33">
    <w:p w:rsidR="00192C16" w:rsidRPr="006475B9" w:rsidRDefault="00192C16" w:rsidP="00192C16">
      <w:pPr>
        <w:pStyle w:val="FootnoteText"/>
      </w:pPr>
      <w:r w:rsidRPr="006475B9">
        <w:rPr>
          <w:rStyle w:val="FootnoteReference"/>
        </w:rPr>
        <w:footnoteRef/>
      </w:r>
      <w:r w:rsidRPr="006475B9">
        <w:t xml:space="preserve"> </w:t>
      </w:r>
      <w:r w:rsidRPr="006475B9">
        <w:tab/>
        <w:t>The Clearinghouse allows for inclusion of registered word marks, word marks protected by statute or treaty or validated by court, and “[o]ther marks that constitute intellectual property” (the latter being undefined).  With respect to RPMs utilizing Clearinghouse data, the availability of “Sunrise” services (</w:t>
      </w:r>
      <w:r w:rsidRPr="00325133">
        <w:t>i.e.</w:t>
      </w:r>
      <w:r w:rsidRPr="006475B9">
        <w:t>, an opportunity for a trademark owner, for a fee, to preemptively register an exact match of its mark as a domain name) is limited to those trademarks for which current use can be demonstrated.  Whether or not substantiated by demonstration of current use, trademark owners would also be eligible to participate in a time limited “Claims” service (</w:t>
      </w:r>
      <w:r w:rsidRPr="00325133">
        <w:t>i.e</w:t>
      </w:r>
      <w:r w:rsidRPr="00C84829">
        <w:rPr>
          <w:i/>
        </w:rPr>
        <w:t>.</w:t>
      </w:r>
      <w:r w:rsidRPr="006475B9">
        <w:t>, notice to a potential domain name registrant of the existence of a potentially conflicting trademark right, and notice to the relevant trademark owner(s) in the event that the registrant nevertheless proceeds with domain name registration).   As mandated by ICANN, the availability of the Claims service is for a period of 90 days after a new gTLD is opened for general public registration, but users of the Clearinghouse can opt-in to recei</w:t>
      </w:r>
      <w:r w:rsidR="007F64F8">
        <w:t xml:space="preserve">ve notifications indefinitely.  </w:t>
      </w:r>
      <w:r w:rsidRPr="006475B9">
        <w:t>The demonstration of use required for Sunrise services similarly applies to the invocation of trademarks as a basis for a complaint filed under the “Uniform Rapid Suspension” RPM described below.</w:t>
      </w:r>
    </w:p>
  </w:footnote>
  <w:footnote w:id="34">
    <w:p w:rsidR="00192C16" w:rsidRPr="006475B9" w:rsidRDefault="00192C16" w:rsidP="00192C16">
      <w:pPr>
        <w:pStyle w:val="FootnoteText"/>
        <w:rPr>
          <w:szCs w:val="18"/>
        </w:rPr>
      </w:pPr>
      <w:r w:rsidRPr="006475B9">
        <w:rPr>
          <w:rStyle w:val="FootnoteReference"/>
        </w:rPr>
        <w:footnoteRef/>
      </w:r>
      <w:r w:rsidRPr="006475B9">
        <w:rPr>
          <w:rStyle w:val="FootnoteReference"/>
        </w:rPr>
        <w:t xml:space="preserve"> </w:t>
      </w:r>
      <w:r w:rsidRPr="006475B9">
        <w:rPr>
          <w:szCs w:val="18"/>
        </w:rPr>
        <w:tab/>
        <w:t xml:space="preserve">It appears that as of May 2014, the number of trademarks registered in the Trademark Clearinghouse numbered around 35,000 (see </w:t>
      </w:r>
      <w:r w:rsidRPr="00C84829">
        <w:rPr>
          <w:szCs w:val="18"/>
          <w:u w:val="single"/>
        </w:rPr>
        <w:t>http://www.trademark-clearinghouse.com/content/updated-stats-page</w:t>
      </w:r>
      <w:r w:rsidRPr="006475B9">
        <w:rPr>
          <w:szCs w:val="18"/>
        </w:rPr>
        <w:t xml:space="preserve">). </w:t>
      </w:r>
    </w:p>
  </w:footnote>
  <w:footnote w:id="35">
    <w:p w:rsidR="007F64F8" w:rsidRPr="006475B9" w:rsidRDefault="007F64F8" w:rsidP="007F64F8">
      <w:pPr>
        <w:pStyle w:val="FootnoteText"/>
        <w:rPr>
          <w:szCs w:val="18"/>
        </w:rPr>
      </w:pPr>
      <w:r w:rsidRPr="006475B9">
        <w:rPr>
          <w:rStyle w:val="FootnoteReference"/>
        </w:rPr>
        <w:footnoteRef/>
      </w:r>
      <w:r w:rsidRPr="006475B9">
        <w:rPr>
          <w:szCs w:val="18"/>
        </w:rPr>
        <w:t xml:space="preserve"> </w:t>
      </w:r>
      <w:r w:rsidRPr="006475B9">
        <w:rPr>
          <w:szCs w:val="18"/>
        </w:rPr>
        <w:tab/>
      </w:r>
      <w:r w:rsidRPr="006475B9">
        <w:t>The Center for its part communicated to ICANN in April 2009 a discussion draft of an “Expedited (Domain Name) Suspension Mechanism”, and has made subsequent proposals for a streamlined mechanism based on this model at the ICANN Prague and Toronto Meetings in 2012.</w:t>
      </w:r>
      <w:r>
        <w:t xml:space="preserve">  </w:t>
      </w:r>
      <w:r w:rsidRPr="006475B9">
        <w:t xml:space="preserve">Such proposals took account of the need to strike a reasonable balance between the protection of trademark rights recognized by law, the practical interests of good-faith registration authorities to minimize operational burdens, and the legitimate expectations of </w:t>
      </w:r>
      <w:r w:rsidRPr="006475B9">
        <w:rPr>
          <w:i/>
          <w:iCs/>
        </w:rPr>
        <w:t>bona fide</w:t>
      </w:r>
      <w:r w:rsidRPr="006475B9">
        <w:t xml:space="preserve"> domain name registrants.</w:t>
      </w:r>
      <w:r>
        <w:t xml:space="preserve">  </w:t>
      </w:r>
      <w:r w:rsidRPr="006475B9">
        <w:rPr>
          <w:szCs w:val="18"/>
        </w:rPr>
        <w:t xml:space="preserve">See </w:t>
      </w:r>
      <w:r w:rsidRPr="007F64F8">
        <w:rPr>
          <w:szCs w:val="18"/>
          <w:u w:val="single"/>
        </w:rPr>
        <w:t>http://www.wipo.int/amc/en/docs/icann030409.pdf</w:t>
      </w:r>
      <w:r w:rsidRPr="007F64F8">
        <w:rPr>
          <w:szCs w:val="18"/>
        </w:rPr>
        <w:t>, and</w:t>
      </w:r>
      <w:r w:rsidRPr="006475B9">
        <w:rPr>
          <w:szCs w:val="18"/>
        </w:rPr>
        <w:t xml:space="preserve"> </w:t>
      </w:r>
      <w:hyperlink r:id="rId4" w:history="1">
        <w:r w:rsidRPr="006475B9">
          <w:rPr>
            <w:szCs w:val="18"/>
            <w:u w:val="single"/>
          </w:rPr>
          <w:t>http://prague44.icann.org/node/31773</w:t>
        </w:r>
      </w:hyperlink>
      <w:r w:rsidRPr="006475B9">
        <w:rPr>
          <w:szCs w:val="18"/>
          <w:u w:val="single"/>
        </w:rPr>
        <w:t xml:space="preserve"> and </w:t>
      </w:r>
      <w:hyperlink r:id="rId5" w:history="1">
        <w:r w:rsidRPr="006475B9">
          <w:rPr>
            <w:szCs w:val="18"/>
            <w:u w:val="single"/>
          </w:rPr>
          <w:t>http://toronto45.icann.org/node/34325</w:t>
        </w:r>
      </w:hyperlink>
      <w:r w:rsidRPr="006475B9">
        <w:rPr>
          <w:szCs w:val="18"/>
        </w:rPr>
        <w:t>.</w:t>
      </w:r>
    </w:p>
  </w:footnote>
  <w:footnote w:id="36">
    <w:p w:rsidR="00192C16" w:rsidRPr="006475B9" w:rsidRDefault="00192C16" w:rsidP="00192C16">
      <w:pPr>
        <w:pStyle w:val="FootnoteText"/>
        <w:rPr>
          <w:szCs w:val="18"/>
        </w:rPr>
      </w:pPr>
      <w:r w:rsidRPr="006475B9">
        <w:rPr>
          <w:rStyle w:val="FootnoteReference"/>
        </w:rPr>
        <w:footnoteRef/>
      </w:r>
      <w:r w:rsidRPr="006475B9">
        <w:rPr>
          <w:szCs w:val="18"/>
        </w:rPr>
        <w:t xml:space="preserve"> </w:t>
      </w:r>
      <w:r w:rsidRPr="006475B9">
        <w:rPr>
          <w:szCs w:val="18"/>
        </w:rPr>
        <w:tab/>
        <w:t xml:space="preserve">An extensive inventory of these issues is provided </w:t>
      </w:r>
      <w:r w:rsidRPr="006475B9">
        <w:rPr>
          <w:i/>
          <w:szCs w:val="18"/>
        </w:rPr>
        <w:t>inter alia</w:t>
      </w:r>
      <w:r w:rsidRPr="006475B9">
        <w:rPr>
          <w:szCs w:val="18"/>
        </w:rPr>
        <w:t xml:space="preserve"> in the Center’s letter of December 2</w:t>
      </w:r>
      <w:smartTag w:uri="urn:schemas-microsoft-com:office:smarttags" w:element="PersonName">
        <w:r w:rsidRPr="006475B9">
          <w:rPr>
            <w:szCs w:val="18"/>
          </w:rPr>
          <w:t>,</w:t>
        </w:r>
      </w:smartTag>
      <w:r w:rsidRPr="006475B9">
        <w:rPr>
          <w:szCs w:val="18"/>
        </w:rPr>
        <w:t> 2010</w:t>
      </w:r>
      <w:smartTag w:uri="urn:schemas-microsoft-com:office:smarttags" w:element="PersonName">
        <w:r w:rsidRPr="006475B9">
          <w:rPr>
            <w:szCs w:val="18"/>
          </w:rPr>
          <w:t>,</w:t>
        </w:r>
      </w:smartTag>
      <w:r w:rsidRPr="006475B9">
        <w:rPr>
          <w:szCs w:val="18"/>
        </w:rPr>
        <w:t xml:space="preserve"> available at </w:t>
      </w:r>
      <w:r w:rsidRPr="006475B9">
        <w:rPr>
          <w:szCs w:val="18"/>
          <w:u w:val="single"/>
        </w:rPr>
        <w:t>http://www.wipo.int/amc/en/docs/icann021210.pdf</w:t>
      </w:r>
      <w:r w:rsidRPr="006475B9">
        <w:rPr>
          <w:szCs w:val="18"/>
        </w:rPr>
        <w:t xml:space="preserve">.  A number of these have been on the agenda of </w:t>
      </w:r>
      <w:smartTag w:uri="urn:schemas-microsoft-com:office:smarttags" w:element="PersonName">
        <w:r w:rsidRPr="006475B9">
          <w:rPr>
            <w:szCs w:val="18"/>
          </w:rPr>
          <w:t>ICANN</w:t>
        </w:r>
      </w:smartTag>
      <w:r w:rsidRPr="006475B9">
        <w:rPr>
          <w:szCs w:val="18"/>
        </w:rPr>
        <w:t>’s June 2012 Prague Meeting.</w:t>
      </w:r>
    </w:p>
  </w:footnote>
  <w:footnote w:id="37">
    <w:p w:rsidR="00192C16" w:rsidRPr="006475B9" w:rsidRDefault="00192C16" w:rsidP="00192C16">
      <w:pPr>
        <w:pStyle w:val="FootnoteText"/>
        <w:rPr>
          <w:szCs w:val="18"/>
        </w:rPr>
      </w:pPr>
      <w:r w:rsidRPr="006475B9">
        <w:rPr>
          <w:rStyle w:val="FootnoteReference"/>
        </w:rPr>
        <w:footnoteRef/>
      </w:r>
      <w:r w:rsidRPr="006475B9">
        <w:rPr>
          <w:rStyle w:val="FootnoteReference"/>
        </w:rPr>
        <w:t xml:space="preserve"> </w:t>
      </w:r>
      <w:r w:rsidRPr="006475B9">
        <w:rPr>
          <w:szCs w:val="18"/>
        </w:rPr>
        <w:tab/>
        <w:t xml:space="preserve">The question of accreditation of providers gives rise to concerns as to the stability of RPMs;  WIPO raised concerns about this as early as 2007 in the context of the UDRP (see </w:t>
      </w:r>
      <w:r w:rsidRPr="00C84829">
        <w:rPr>
          <w:szCs w:val="18"/>
          <w:u w:val="single"/>
        </w:rPr>
        <w:t>http:</w:t>
      </w:r>
      <w:r w:rsidR="00C96755">
        <w:rPr>
          <w:szCs w:val="18"/>
          <w:u w:val="single"/>
        </w:rPr>
        <w:t>//www.wipo.int/</w:t>
      </w:r>
      <w:r w:rsidRPr="00C84829">
        <w:rPr>
          <w:szCs w:val="18"/>
          <w:u w:val="single"/>
        </w:rPr>
        <w:t>amc/en/docs/icann040707.pdf</w:t>
      </w:r>
      <w:r w:rsidRPr="006475B9">
        <w:rPr>
          <w:szCs w:val="18"/>
        </w:rPr>
        <w:t xml:space="preserve">).  </w:t>
      </w:r>
    </w:p>
  </w:footnote>
  <w:footnote w:id="38">
    <w:p w:rsidR="00192C16" w:rsidRPr="006475B9" w:rsidRDefault="00192C16" w:rsidP="00192C16">
      <w:pPr>
        <w:pStyle w:val="FootnoteText"/>
        <w:rPr>
          <w:szCs w:val="18"/>
        </w:rPr>
      </w:pPr>
      <w:r w:rsidRPr="006475B9">
        <w:rPr>
          <w:rStyle w:val="FootnoteReference"/>
        </w:rPr>
        <w:footnoteRef/>
      </w:r>
      <w:r w:rsidRPr="006475B9">
        <w:rPr>
          <w:rStyle w:val="FootnoteReference"/>
        </w:rPr>
        <w:t xml:space="preserve"> </w:t>
      </w:r>
      <w:r w:rsidRPr="006475B9">
        <w:rPr>
          <w:szCs w:val="18"/>
        </w:rPr>
        <w:tab/>
        <w:t xml:space="preserve">See </w:t>
      </w:r>
      <w:r w:rsidRPr="006475B9">
        <w:rPr>
          <w:szCs w:val="18"/>
          <w:u w:val="single"/>
        </w:rPr>
        <w:t>https://community.icann.org/display/gnsoudrpdt/Webinar+on+the+Current+State+of+the+UDRP</w:t>
      </w:r>
      <w:r w:rsidRPr="006475B9">
        <w:rPr>
          <w:szCs w:val="18"/>
        </w:rPr>
        <w:t>;  see also more generally document WO/GA/39/10, paragraph 31.</w:t>
      </w:r>
    </w:p>
  </w:footnote>
  <w:footnote w:id="39">
    <w:p w:rsidR="00192C16" w:rsidRPr="006475B9" w:rsidRDefault="00192C16" w:rsidP="00192C16">
      <w:pPr>
        <w:pStyle w:val="FootnoteText"/>
        <w:rPr>
          <w:szCs w:val="18"/>
        </w:rPr>
      </w:pPr>
      <w:r w:rsidRPr="006475B9">
        <w:rPr>
          <w:rStyle w:val="FootnoteReference"/>
        </w:rPr>
        <w:footnoteRef/>
      </w:r>
      <w:r w:rsidRPr="006475B9">
        <w:rPr>
          <w:szCs w:val="18"/>
        </w:rPr>
        <w:t xml:space="preserve"> </w:t>
      </w:r>
      <w:r w:rsidRPr="006475B9">
        <w:rPr>
          <w:szCs w:val="18"/>
        </w:rPr>
        <w:tab/>
        <w:t xml:space="preserve">See </w:t>
      </w:r>
      <w:r w:rsidRPr="006475B9">
        <w:rPr>
          <w:szCs w:val="18"/>
          <w:u w:val="single"/>
        </w:rPr>
        <w:t>http://gnso.icann.org/meetings/minutes-council-15dec11-en.htm</w:t>
      </w:r>
      <w:r w:rsidRPr="006475B9">
        <w:rPr>
          <w:szCs w:val="18"/>
        </w:rPr>
        <w:t>.</w:t>
      </w:r>
    </w:p>
  </w:footnote>
  <w:footnote w:id="40">
    <w:p w:rsidR="001E4B86" w:rsidRDefault="001E4B86" w:rsidP="001E4B86">
      <w:r>
        <w:rPr>
          <w:rStyle w:val="FootnoteReference"/>
        </w:rPr>
        <w:footnoteRef/>
      </w:r>
      <w:r>
        <w:t xml:space="preserve"> </w:t>
      </w:r>
      <w:r>
        <w:tab/>
      </w:r>
      <w:r w:rsidRPr="001E4B86">
        <w:rPr>
          <w:sz w:val="18"/>
          <w:szCs w:val="22"/>
        </w:rPr>
        <w:t>In the meantime, ICANN’s GNSO has commenced a “Policy Development Process” (PDP) with a more limited technical mandate of examining the mechanism for “locking” domain names subject to UDRP proceedings, in which the Center is actively participating.</w:t>
      </w:r>
      <w:r w:rsidRPr="006475B9">
        <w:t xml:space="preserve"> </w:t>
      </w:r>
    </w:p>
  </w:footnote>
  <w:footnote w:id="41">
    <w:p w:rsidR="00192C16" w:rsidRPr="006475B9" w:rsidRDefault="00192C16" w:rsidP="00192C16">
      <w:pPr>
        <w:pStyle w:val="FootnoteText"/>
      </w:pPr>
      <w:r w:rsidRPr="006475B9">
        <w:rPr>
          <w:rStyle w:val="FootnoteReference"/>
        </w:rPr>
        <w:footnoteRef/>
      </w:r>
      <w:r w:rsidRPr="006475B9">
        <w:t xml:space="preserve"> </w:t>
      </w:r>
      <w:r w:rsidRPr="006475B9">
        <w:tab/>
      </w:r>
      <w:r w:rsidRPr="006475B9">
        <w:rPr>
          <w:szCs w:val="22"/>
        </w:rPr>
        <w:t>Separately,</w:t>
      </w:r>
      <w:r w:rsidR="001E4B86">
        <w:rPr>
          <w:szCs w:val="22"/>
        </w:rPr>
        <w:t xml:space="preserve"> </w:t>
      </w:r>
      <w:r w:rsidRPr="006475B9">
        <w:rPr>
          <w:szCs w:val="22"/>
        </w:rPr>
        <w:t>and prior to new gTLD development, ICANN’s Final Implementation Plan for IDN ccTLD Fast Track Process was published on November 16, 2009 (s</w:t>
      </w:r>
      <w:r w:rsidRPr="006475B9">
        <w:rPr>
          <w:szCs w:val="18"/>
        </w:rPr>
        <w:t>ee</w:t>
      </w:r>
      <w:r w:rsidRPr="00C84829">
        <w:rPr>
          <w:szCs w:val="18"/>
          <w:u w:val="single"/>
        </w:rPr>
        <w:t xml:space="preserve"> http://www.icann.org/en/topics/idn/fast-track/idn-cctld-implementation-plan-16nov09-en.pdf</w:t>
      </w:r>
      <w:r w:rsidRPr="006475B9">
        <w:rPr>
          <w:szCs w:val="18"/>
          <w:u w:val="single"/>
        </w:rPr>
        <w:t>)</w:t>
      </w:r>
      <w:r w:rsidRPr="006475B9">
        <w:rPr>
          <w:szCs w:val="22"/>
        </w:rPr>
        <w:t>.  Since then, this has allowed for the introduction of several IDN ccTLDs, associated with the two-letter codes in the ISO 3166-1 standard (s</w:t>
      </w:r>
      <w:r w:rsidRPr="006475B9">
        <w:rPr>
          <w:szCs w:val="18"/>
        </w:rPr>
        <w:t xml:space="preserve">ee </w:t>
      </w:r>
      <w:r w:rsidRPr="00C84829">
        <w:rPr>
          <w:szCs w:val="18"/>
          <w:u w:val="single"/>
        </w:rPr>
        <w:t>http://www.iso.org/iso/english_country_names_and_code_elements</w:t>
      </w:r>
      <w:r w:rsidRPr="006475B9">
        <w:rPr>
          <w:szCs w:val="18"/>
        </w:rPr>
        <w:t xml:space="preserve">).  </w:t>
      </w:r>
      <w:r w:rsidRPr="006475B9">
        <w:rPr>
          <w:szCs w:val="22"/>
        </w:rPr>
        <w:t>Approved requests continue to be delegated into the DNS root zone (</w:t>
      </w:r>
      <w:r w:rsidRPr="006475B9">
        <w:rPr>
          <w:szCs w:val="18"/>
        </w:rPr>
        <w:t xml:space="preserve">see </w:t>
      </w:r>
      <w:r w:rsidRPr="006475B9">
        <w:rPr>
          <w:szCs w:val="18"/>
          <w:u w:val="single"/>
        </w:rPr>
        <w:t>http://www.icann.org/en/topics/idn/fast-track/</w:t>
      </w:r>
      <w:r w:rsidRPr="006475B9">
        <w:rPr>
          <w:szCs w:val="18"/>
        </w:rPr>
        <w:t>).</w:t>
      </w:r>
    </w:p>
  </w:footnote>
  <w:footnote w:id="42">
    <w:p w:rsidR="00192C16" w:rsidRPr="006475B9" w:rsidRDefault="00192C16" w:rsidP="00192C16">
      <w:pPr>
        <w:pStyle w:val="FootnoteText"/>
        <w:rPr>
          <w:szCs w:val="18"/>
        </w:rPr>
      </w:pPr>
      <w:r w:rsidRPr="006475B9">
        <w:rPr>
          <w:rStyle w:val="FootnoteReference"/>
        </w:rPr>
        <w:footnoteRef/>
      </w:r>
      <w:r w:rsidRPr="006475B9">
        <w:rPr>
          <w:rStyle w:val="FootnoteReference"/>
        </w:rPr>
        <w:t xml:space="preserve"> </w:t>
      </w:r>
      <w:r w:rsidRPr="006475B9">
        <w:rPr>
          <w:szCs w:val="18"/>
        </w:rPr>
        <w:tab/>
        <w:t xml:space="preserve">See </w:t>
      </w:r>
      <w:r w:rsidRPr="006475B9">
        <w:rPr>
          <w:szCs w:val="18"/>
          <w:u w:val="single"/>
        </w:rPr>
        <w:t>http://www.wipo.int/edocs/mdocs/govbody/en/wo_ga_28/wo_ga_28_3.pdf</w:t>
      </w:r>
      <w:r w:rsidRPr="006475B9">
        <w:rPr>
          <w:szCs w:val="18"/>
        </w:rPr>
        <w:t>;  see also documents SCT/9/8</w:t>
      </w:r>
      <w:smartTag w:uri="urn:schemas-microsoft-com:office:smarttags" w:element="PersonName">
        <w:r w:rsidRPr="006475B9">
          <w:rPr>
            <w:szCs w:val="18"/>
          </w:rPr>
          <w:t>,</w:t>
        </w:r>
      </w:smartTag>
      <w:r w:rsidRPr="006475B9">
        <w:rPr>
          <w:szCs w:val="18"/>
        </w:rPr>
        <w:t xml:space="preserve"> paragraphs 6 to 11;  and</w:t>
      </w:r>
      <w:smartTag w:uri="urn:schemas-microsoft-com:office:smarttags" w:element="PersonName">
        <w:r w:rsidRPr="006475B9">
          <w:rPr>
            <w:szCs w:val="18"/>
          </w:rPr>
          <w:t>,</w:t>
        </w:r>
      </w:smartTag>
      <w:r w:rsidRPr="006475B9">
        <w:rPr>
          <w:szCs w:val="18"/>
        </w:rPr>
        <w:t xml:space="preserve"> SCT/9/9</w:t>
      </w:r>
      <w:smartTag w:uri="urn:schemas-microsoft-com:office:smarttags" w:element="PersonName">
        <w:r w:rsidRPr="006475B9">
          <w:rPr>
            <w:szCs w:val="18"/>
          </w:rPr>
          <w:t>,</w:t>
        </w:r>
      </w:smartTag>
      <w:r w:rsidRPr="006475B9">
        <w:rPr>
          <w:szCs w:val="18"/>
        </w:rPr>
        <w:t xml:space="preserve"> paragraph 149.</w:t>
      </w:r>
    </w:p>
  </w:footnote>
  <w:footnote w:id="43">
    <w:p w:rsidR="00192C16" w:rsidRPr="006475B9" w:rsidRDefault="00192C16" w:rsidP="00192C16">
      <w:pPr>
        <w:pStyle w:val="FootnoteText"/>
        <w:rPr>
          <w:szCs w:val="18"/>
        </w:rPr>
      </w:pPr>
      <w:r w:rsidRPr="006475B9">
        <w:rPr>
          <w:rStyle w:val="FootnoteReference"/>
        </w:rPr>
        <w:footnoteRef/>
      </w:r>
      <w:r w:rsidRPr="006475B9">
        <w:rPr>
          <w:szCs w:val="18"/>
        </w:rPr>
        <w:t xml:space="preserve"> </w:t>
      </w:r>
      <w:r w:rsidRPr="006475B9">
        <w:rPr>
          <w:szCs w:val="18"/>
        </w:rPr>
        <w:tab/>
        <w:t xml:space="preserve">See </w:t>
      </w:r>
      <w:r w:rsidRPr="006475B9">
        <w:rPr>
          <w:szCs w:val="18"/>
          <w:u w:val="single"/>
        </w:rPr>
        <w:t>http://www.wipo.int/amc/en/docs/wipo.doc</w:t>
      </w:r>
      <w:r w:rsidRPr="006475B9">
        <w:rPr>
          <w:szCs w:val="18"/>
        </w:rPr>
        <w:t>.</w:t>
      </w:r>
    </w:p>
  </w:footnote>
  <w:footnote w:id="44">
    <w:p w:rsidR="00192C16" w:rsidRPr="006475B9" w:rsidRDefault="00192C16" w:rsidP="00192C16">
      <w:pPr>
        <w:pStyle w:val="FootnoteText"/>
      </w:pPr>
      <w:r w:rsidRPr="006475B9">
        <w:rPr>
          <w:rStyle w:val="FootnoteReference"/>
        </w:rPr>
        <w:footnoteRef/>
      </w:r>
      <w:r w:rsidRPr="006475B9">
        <w:t xml:space="preserve"> </w:t>
      </w:r>
      <w:r w:rsidRPr="006475B9">
        <w:tab/>
        <w:t>For background, see WO/GA/41/17 Rev.2, in particular paragraphs 40 and 41.</w:t>
      </w:r>
    </w:p>
  </w:footnote>
  <w:footnote w:id="45">
    <w:p w:rsidR="00192C16" w:rsidRPr="006475B9" w:rsidRDefault="00192C16" w:rsidP="00192C16">
      <w:pPr>
        <w:pStyle w:val="FootnoteText"/>
        <w:rPr>
          <w:szCs w:val="18"/>
        </w:rPr>
      </w:pPr>
      <w:r w:rsidRPr="006475B9">
        <w:rPr>
          <w:rStyle w:val="FootnoteReference"/>
        </w:rPr>
        <w:footnoteRef/>
      </w:r>
      <w:r w:rsidRPr="006475B9">
        <w:rPr>
          <w:rStyle w:val="FootnoteReference"/>
        </w:rPr>
        <w:t xml:space="preserve"> </w:t>
      </w:r>
      <w:r w:rsidRPr="006475B9">
        <w:rPr>
          <w:szCs w:val="18"/>
        </w:rPr>
        <w:tab/>
        <w:t xml:space="preserve">See </w:t>
      </w:r>
      <w:hyperlink r:id="rId6" w:history="1">
        <w:r w:rsidRPr="006475B9">
          <w:rPr>
            <w:szCs w:val="18"/>
            <w:u w:val="single"/>
          </w:rPr>
          <w:t>https://gacweb.icann.org/download/attachments/27132070/FINAL_Toronto_Communique_20121017.pdf?version=1&amp;modificationDate=1354149148000&amp;api=v2</w:t>
        </w:r>
      </w:hyperlink>
      <w:r w:rsidRPr="006475B9">
        <w:rPr>
          <w:szCs w:val="18"/>
        </w:rPr>
        <w:t xml:space="preserve">. </w:t>
      </w:r>
    </w:p>
  </w:footnote>
  <w:footnote w:id="46">
    <w:p w:rsidR="00192C16" w:rsidRPr="006475B9" w:rsidRDefault="00192C16" w:rsidP="00192C16">
      <w:pPr>
        <w:pStyle w:val="FootnoteText"/>
        <w:rPr>
          <w:szCs w:val="18"/>
        </w:rPr>
      </w:pPr>
      <w:r w:rsidRPr="006475B9">
        <w:rPr>
          <w:rStyle w:val="FootnoteReference"/>
        </w:rPr>
        <w:footnoteRef/>
      </w:r>
      <w:r w:rsidRPr="006475B9">
        <w:rPr>
          <w:szCs w:val="18"/>
        </w:rPr>
        <w:t xml:space="preserve"> </w:t>
      </w:r>
      <w:r w:rsidRPr="006475B9">
        <w:rPr>
          <w:szCs w:val="18"/>
        </w:rPr>
        <w:tab/>
        <w:t xml:space="preserve">See </w:t>
      </w:r>
      <w:hyperlink r:id="rId7" w:history="1">
        <w:r w:rsidRPr="006475B9">
          <w:rPr>
            <w:szCs w:val="18"/>
            <w:u w:val="single"/>
          </w:rPr>
          <w:t>https://gacweb.icann.org/download/attachments/27132070/Board%20Response%20to%20GAC%20Toronto%20Communique.pdf?version=1&amp;modificationDate=1361909146000&amp;api=v2</w:t>
        </w:r>
      </w:hyperlink>
      <w:r w:rsidRPr="006475B9">
        <w:rPr>
          <w:szCs w:val="18"/>
        </w:rPr>
        <w:t xml:space="preserve">. </w:t>
      </w:r>
    </w:p>
  </w:footnote>
  <w:footnote w:id="47">
    <w:p w:rsidR="00192C16" w:rsidRPr="006475B9" w:rsidRDefault="00192C16" w:rsidP="00192C16">
      <w:pPr>
        <w:pStyle w:val="FootnoteText"/>
        <w:rPr>
          <w:szCs w:val="18"/>
        </w:rPr>
      </w:pPr>
      <w:r w:rsidRPr="006475B9">
        <w:rPr>
          <w:rStyle w:val="FootnoteReference"/>
        </w:rPr>
        <w:footnoteRef/>
      </w:r>
      <w:r w:rsidRPr="006475B9">
        <w:rPr>
          <w:szCs w:val="18"/>
        </w:rPr>
        <w:t xml:space="preserve"> </w:t>
      </w:r>
      <w:r w:rsidRPr="006475B9">
        <w:rPr>
          <w:szCs w:val="18"/>
        </w:rPr>
        <w:tab/>
        <w:t xml:space="preserve">See </w:t>
      </w:r>
      <w:hyperlink r:id="rId8" w:history="1">
        <w:r w:rsidRPr="006475B9">
          <w:rPr>
            <w:szCs w:val="18"/>
            <w:u w:val="single"/>
          </w:rPr>
          <w:t>http://www.icann.org/en/news/correspondence/dryden-to-crocker-chalaby-22mar13-en</w:t>
        </w:r>
      </w:hyperlink>
      <w:r w:rsidRPr="006475B9">
        <w:rPr>
          <w:szCs w:val="18"/>
        </w:rPr>
        <w:t xml:space="preserve">. </w:t>
      </w:r>
    </w:p>
  </w:footnote>
  <w:footnote w:id="48">
    <w:p w:rsidR="00192C16" w:rsidRPr="006475B9" w:rsidRDefault="00192C16" w:rsidP="00192C16">
      <w:pPr>
        <w:pStyle w:val="FootnoteText"/>
        <w:rPr>
          <w:szCs w:val="18"/>
        </w:rPr>
      </w:pPr>
      <w:r w:rsidRPr="006475B9">
        <w:rPr>
          <w:rStyle w:val="FootnoteReference"/>
        </w:rPr>
        <w:footnoteRef/>
      </w:r>
      <w:r w:rsidRPr="006475B9">
        <w:rPr>
          <w:rStyle w:val="FootnoteReference"/>
        </w:rPr>
        <w:t xml:space="preserve"> </w:t>
      </w:r>
      <w:r w:rsidRPr="006475B9">
        <w:rPr>
          <w:szCs w:val="18"/>
        </w:rPr>
        <w:tab/>
      </w:r>
      <w:r w:rsidR="003A76E5">
        <w:rPr>
          <w:szCs w:val="18"/>
        </w:rPr>
        <w:t>T</w:t>
      </w:r>
      <w:r w:rsidR="003A76E5" w:rsidRPr="006475B9">
        <w:rPr>
          <w:szCs w:val="22"/>
        </w:rPr>
        <w:t>he Board</w:t>
      </w:r>
      <w:r w:rsidR="003A76E5">
        <w:rPr>
          <w:szCs w:val="22"/>
        </w:rPr>
        <w:t xml:space="preserve"> also</w:t>
      </w:r>
      <w:r w:rsidR="003A76E5" w:rsidRPr="006475B9">
        <w:rPr>
          <w:szCs w:val="22"/>
        </w:rPr>
        <w:t xml:space="preserve"> sought further specifics on a possible means for periodic review of the list, along with clarification of any additional languages in which protection of IGO names and acronyms is sought.</w:t>
      </w:r>
      <w:r w:rsidR="003A76E5">
        <w:rPr>
          <w:szCs w:val="22"/>
        </w:rPr>
        <w:t xml:space="preserve">  </w:t>
      </w:r>
      <w:r w:rsidRPr="006475B9">
        <w:rPr>
          <w:szCs w:val="18"/>
        </w:rPr>
        <w:t xml:space="preserve">See </w:t>
      </w:r>
      <w:hyperlink r:id="rId9" w:history="1">
        <w:r w:rsidRPr="006475B9">
          <w:rPr>
            <w:szCs w:val="18"/>
          </w:rPr>
          <w:t>h</w:t>
        </w:r>
        <w:r w:rsidRPr="006475B9">
          <w:rPr>
            <w:szCs w:val="18"/>
            <w:u w:val="single"/>
          </w:rPr>
          <w:t>ttp://www.icann.org/en/news/correspondence/crocker-to-dryden-01apr13-en</w:t>
        </w:r>
      </w:hyperlink>
      <w:r w:rsidRPr="006475B9">
        <w:rPr>
          <w:szCs w:val="18"/>
        </w:rPr>
        <w:t xml:space="preserve">. </w:t>
      </w:r>
    </w:p>
  </w:footnote>
  <w:footnote w:id="49">
    <w:p w:rsidR="00192C16" w:rsidRPr="006475B9" w:rsidRDefault="00192C16" w:rsidP="00192C16">
      <w:pPr>
        <w:pStyle w:val="FootnoteText"/>
      </w:pPr>
      <w:r w:rsidRPr="006475B9">
        <w:rPr>
          <w:rStyle w:val="FootnoteReference"/>
        </w:rPr>
        <w:footnoteRef/>
      </w:r>
      <w:r w:rsidRPr="006475B9">
        <w:t xml:space="preserve"> </w:t>
      </w:r>
      <w:r w:rsidRPr="006475B9">
        <w:tab/>
        <w:t xml:space="preserve">See </w:t>
      </w:r>
      <w:r w:rsidRPr="00C84829">
        <w:rPr>
          <w:u w:val="single"/>
        </w:rPr>
        <w:t>https://www.icann.org/en/system/files/correspondence/gac-to-board-18apr13-en.pdf</w:t>
      </w:r>
      <w:r w:rsidRPr="006475B9">
        <w:t xml:space="preserve">. </w:t>
      </w:r>
    </w:p>
  </w:footnote>
  <w:footnote w:id="50">
    <w:p w:rsidR="00192C16" w:rsidRPr="006475B9" w:rsidRDefault="00192C16" w:rsidP="00192C16">
      <w:pPr>
        <w:pStyle w:val="FootnoteText"/>
      </w:pPr>
      <w:r w:rsidRPr="006475B9">
        <w:rPr>
          <w:rStyle w:val="FootnoteReference"/>
        </w:rPr>
        <w:footnoteRef/>
      </w:r>
      <w:r w:rsidRPr="006475B9">
        <w:t xml:space="preserve"> </w:t>
      </w:r>
      <w:r w:rsidRPr="006475B9">
        <w:tab/>
      </w:r>
      <w:r w:rsidR="003A76E5" w:rsidRPr="006475B9">
        <w:rPr>
          <w:szCs w:val="22"/>
        </w:rPr>
        <w:t>The GAC further advised that it expressly assumed that the ICANN Board was prepared to fully implement the GAC advice and focus on practical and effective implementation of preventative protection at the second level in new gTLDs</w:t>
      </w:r>
      <w:r w:rsidR="003A76E5">
        <w:rPr>
          <w:szCs w:val="22"/>
        </w:rPr>
        <w:t xml:space="preserve">, </w:t>
      </w:r>
      <w:r w:rsidR="003A76E5" w:rsidRPr="006475B9">
        <w:rPr>
          <w:szCs w:val="22"/>
        </w:rPr>
        <w:t xml:space="preserve">and that the interim protections for IGO names and acronyms should remain in place until the dialogue between the GAC, ICANN and IGOs was completed.  </w:t>
      </w:r>
      <w:r w:rsidRPr="006475B9">
        <w:t xml:space="preserve">See </w:t>
      </w:r>
      <w:r w:rsidRPr="006475B9">
        <w:rPr>
          <w:u w:val="single"/>
        </w:rPr>
        <w:t>http://durban47.icann.org/meetings/durban2013/presentation-gac-communique-18jul13-en.pdf</w:t>
      </w:r>
      <w:r w:rsidRPr="006475B9">
        <w:t xml:space="preserve">. </w:t>
      </w:r>
    </w:p>
  </w:footnote>
  <w:footnote w:id="51">
    <w:p w:rsidR="00C96755" w:rsidRPr="006475B9" w:rsidRDefault="00C96755" w:rsidP="00C96755">
      <w:pPr>
        <w:pStyle w:val="FootnoteText"/>
      </w:pPr>
      <w:r w:rsidRPr="006475B9">
        <w:rPr>
          <w:rStyle w:val="FootnoteReference"/>
        </w:rPr>
        <w:footnoteRef/>
      </w:r>
      <w:r w:rsidRPr="006475B9">
        <w:t xml:space="preserve"> </w:t>
      </w:r>
      <w:r w:rsidRPr="006475B9">
        <w:tab/>
        <w:t xml:space="preserve">See </w:t>
      </w:r>
      <w:r w:rsidRPr="006475B9">
        <w:rPr>
          <w:szCs w:val="18"/>
          <w:u w:val="single"/>
        </w:rPr>
        <w:t>http://www.icann.org/en/groups/board/documents/resolutions-new-gtld-17jul13-en.htm</w:t>
      </w:r>
      <w:r w:rsidRPr="006475B9">
        <w:rPr>
          <w:szCs w:val="18"/>
          <w:lang w:val="en-CA"/>
        </w:rPr>
        <w:t>.</w:t>
      </w:r>
    </w:p>
  </w:footnote>
  <w:footnote w:id="52">
    <w:p w:rsidR="003A76E5" w:rsidRDefault="003A76E5">
      <w:pPr>
        <w:pStyle w:val="FootnoteText"/>
      </w:pPr>
      <w:r>
        <w:rPr>
          <w:rStyle w:val="FootnoteReference"/>
        </w:rPr>
        <w:footnoteRef/>
      </w:r>
      <w:r>
        <w:t xml:space="preserve"> </w:t>
      </w:r>
      <w:r>
        <w:tab/>
      </w:r>
      <w:r w:rsidR="00937E65">
        <w:t xml:space="preserve">The GAC and </w:t>
      </w:r>
      <w:r w:rsidR="00937E65" w:rsidRPr="006475B9">
        <w:rPr>
          <w:szCs w:val="22"/>
        </w:rPr>
        <w:t xml:space="preserve">the NGPC </w:t>
      </w:r>
      <w:r w:rsidR="00937E65">
        <w:rPr>
          <w:szCs w:val="22"/>
        </w:rPr>
        <w:t xml:space="preserve">had </w:t>
      </w:r>
      <w:r w:rsidR="00937E65">
        <w:t>cancelled their participation in a September 30 meeting proposed by IGOs</w:t>
      </w:r>
      <w:r>
        <w:rPr>
          <w:szCs w:val="22"/>
        </w:rPr>
        <w:t>.</w:t>
      </w:r>
      <w:r w:rsidRPr="006475B9">
        <w:rPr>
          <w:szCs w:val="22"/>
        </w:rPr>
        <w:t xml:space="preserve">  </w:t>
      </w:r>
    </w:p>
  </w:footnote>
  <w:footnote w:id="53">
    <w:p w:rsidR="00C96755" w:rsidRPr="006475B9" w:rsidRDefault="00C96755" w:rsidP="00C96755">
      <w:pPr>
        <w:pStyle w:val="FootnoteText"/>
      </w:pPr>
      <w:r w:rsidRPr="006475B9">
        <w:rPr>
          <w:rStyle w:val="FootnoteReference"/>
        </w:rPr>
        <w:footnoteRef/>
      </w:r>
      <w:r w:rsidRPr="006475B9">
        <w:t xml:space="preserve"> </w:t>
      </w:r>
      <w:r w:rsidRPr="006475B9">
        <w:tab/>
        <w:t xml:space="preserve">See </w:t>
      </w:r>
      <w:r w:rsidRPr="00C84829">
        <w:rPr>
          <w:u w:val="single"/>
        </w:rPr>
        <w:t>http://www.icann.org/en/news/correspondence/gac-to-board-20nov13-en.pdf</w:t>
      </w:r>
      <w:r w:rsidRPr="006475B9">
        <w:t xml:space="preserve">. </w:t>
      </w:r>
    </w:p>
  </w:footnote>
  <w:footnote w:id="54">
    <w:p w:rsidR="00C96755" w:rsidRPr="006475B9" w:rsidRDefault="00C96755" w:rsidP="00C96755">
      <w:pPr>
        <w:pStyle w:val="FootnoteText"/>
        <w:rPr>
          <w:b/>
        </w:rPr>
      </w:pPr>
      <w:r w:rsidRPr="006475B9">
        <w:rPr>
          <w:rStyle w:val="FootnoteReference"/>
        </w:rPr>
        <w:footnoteRef/>
      </w:r>
      <w:r w:rsidRPr="006475B9">
        <w:t xml:space="preserve"> </w:t>
      </w:r>
      <w:r w:rsidRPr="006475B9">
        <w:tab/>
        <w:t xml:space="preserve">See </w:t>
      </w:r>
      <w:r w:rsidRPr="00C84829">
        <w:rPr>
          <w:u w:val="single"/>
        </w:rPr>
        <w:t>http://www.icann.org/en/groups/board/documents/resolutions-new-gtld-09jan14-en.htm#2.d.i.</w:t>
      </w:r>
      <w:r w:rsidRPr="006475B9">
        <w:t xml:space="preserve"> </w:t>
      </w:r>
    </w:p>
  </w:footnote>
  <w:footnote w:id="55">
    <w:p w:rsidR="00192C16" w:rsidRPr="006475B9" w:rsidRDefault="00192C16" w:rsidP="00192C16">
      <w:pPr>
        <w:pStyle w:val="FootnoteText"/>
      </w:pPr>
      <w:r w:rsidRPr="006475B9">
        <w:rPr>
          <w:rStyle w:val="FootnoteReference"/>
        </w:rPr>
        <w:footnoteRef/>
      </w:r>
      <w:r w:rsidRPr="006475B9">
        <w:t xml:space="preserve"> </w:t>
      </w:r>
      <w:r w:rsidRPr="006475B9">
        <w:tab/>
        <w:t xml:space="preserve">By way of example, the IGO letter cited </w:t>
      </w:r>
      <w:r w:rsidRPr="006475B9">
        <w:rPr>
          <w:szCs w:val="22"/>
        </w:rPr>
        <w:t xml:space="preserve">illicit profiteering from UNICEF funding campaigns in the wake of humanitarian emergencies.  </w:t>
      </w:r>
    </w:p>
  </w:footnote>
  <w:footnote w:id="56">
    <w:p w:rsidR="009278BC" w:rsidRPr="006475B9" w:rsidRDefault="009278BC" w:rsidP="009278BC">
      <w:pPr>
        <w:pStyle w:val="FootnoteText"/>
        <w:rPr>
          <w:szCs w:val="18"/>
        </w:rPr>
      </w:pPr>
      <w:r w:rsidRPr="006475B9">
        <w:rPr>
          <w:rStyle w:val="FootnoteReference"/>
        </w:rPr>
        <w:footnoteRef/>
      </w:r>
      <w:r w:rsidRPr="006475B9">
        <w:rPr>
          <w:rStyle w:val="FootnoteReference"/>
        </w:rPr>
        <w:t xml:space="preserve"> </w:t>
      </w:r>
      <w:r w:rsidRPr="006475B9">
        <w:rPr>
          <w:szCs w:val="18"/>
        </w:rPr>
        <w:tab/>
      </w:r>
      <w:r>
        <w:rPr>
          <w:szCs w:val="22"/>
        </w:rPr>
        <w:t xml:space="preserve">In 2007 the GAC </w:t>
      </w:r>
      <w:r w:rsidRPr="006475B9">
        <w:rPr>
          <w:szCs w:val="22"/>
        </w:rPr>
        <w:t xml:space="preserve">issued the “GAC Principles regarding New gTLDs”, which states </w:t>
      </w:r>
      <w:r w:rsidRPr="006475B9">
        <w:rPr>
          <w:i/>
          <w:iCs/>
          <w:szCs w:val="22"/>
        </w:rPr>
        <w:t>inter alia</w:t>
      </w:r>
      <w:r w:rsidRPr="006475B9">
        <w:rPr>
          <w:szCs w:val="22"/>
        </w:rPr>
        <w:t xml:space="preserve"> that ICANN should avoid delegation of new gTLDs concerning country, territory or place names, and regional language or people descriptions, unless in agreement with the relevant governments or public authorities.  Those GAC Principles further stated that </w:t>
      </w:r>
      <w:r w:rsidRPr="006475B9">
        <w:rPr>
          <w:iCs/>
          <w:szCs w:val="22"/>
          <w:lang w:eastAsia="ko-KR"/>
        </w:rPr>
        <w:t xml:space="preserve">new </w:t>
      </w:r>
      <w:r w:rsidRPr="006475B9">
        <w:rPr>
          <w:iCs/>
          <w:szCs w:val="22"/>
        </w:rPr>
        <w:t xml:space="preserve">registries should adopt procedures for blocking/challenge of names with national or geographical significance at the second level upon demand of governments.  </w:t>
      </w:r>
      <w:r w:rsidRPr="006475B9">
        <w:rPr>
          <w:szCs w:val="18"/>
        </w:rPr>
        <w:t xml:space="preserve">See </w:t>
      </w:r>
      <w:r w:rsidRPr="006475B9">
        <w:rPr>
          <w:szCs w:val="18"/>
          <w:u w:val="single"/>
        </w:rPr>
        <w:t>http://gac.icann.org/web/home/gTLD_principles.pdf</w:t>
      </w:r>
      <w:r w:rsidRPr="006475B9">
        <w:rPr>
          <w:szCs w:val="18"/>
        </w:rPr>
        <w:t>.</w:t>
      </w:r>
    </w:p>
  </w:footnote>
  <w:footnote w:id="57">
    <w:p w:rsidR="00934BB7" w:rsidRPr="006E61AD" w:rsidRDefault="00934BB7">
      <w:pPr>
        <w:pStyle w:val="FootnoteText"/>
        <w:rPr>
          <w:szCs w:val="18"/>
        </w:rPr>
      </w:pPr>
      <w:r>
        <w:rPr>
          <w:rStyle w:val="FootnoteReference"/>
        </w:rPr>
        <w:footnoteRef/>
      </w:r>
      <w:r>
        <w:t xml:space="preserve"> </w:t>
      </w:r>
      <w:r>
        <w:tab/>
      </w:r>
      <w:r w:rsidRPr="006475B9">
        <w:rPr>
          <w:szCs w:val="22"/>
        </w:rPr>
        <w:t>Concerning second-level registrations, ICANN’s base registry agreement includes a “Schedule of Reserved Names at the Second Level in gTLD Registries” which makes provision for certain country and territory names</w:t>
      </w:r>
      <w:r w:rsidRPr="006E61AD">
        <w:rPr>
          <w:szCs w:val="18"/>
        </w:rPr>
        <w:t xml:space="preserve">.  </w:t>
      </w:r>
      <w:r w:rsidR="006E61AD" w:rsidRPr="006E61AD">
        <w:rPr>
          <w:szCs w:val="18"/>
        </w:rPr>
        <w:t>See</w:t>
      </w:r>
      <w:r w:rsidRPr="006E61AD">
        <w:rPr>
          <w:szCs w:val="18"/>
        </w:rPr>
        <w:t xml:space="preserve"> </w:t>
      </w:r>
      <w:r w:rsidR="006E61AD" w:rsidRPr="006E61AD">
        <w:rPr>
          <w:szCs w:val="18"/>
          <w:u w:val="single"/>
        </w:rPr>
        <w:t>http://newgtlds.icann.org/en/applicants/agb/base-agreement-specs-04jun12-en.pdf</w:t>
      </w:r>
      <w:r w:rsidR="006E61AD" w:rsidRPr="006E61AD">
        <w:rPr>
          <w:szCs w:val="18"/>
        </w:rPr>
        <w:t xml:space="preserve"> </w:t>
      </w:r>
      <w:r w:rsidRPr="006E61AD">
        <w:rPr>
          <w:szCs w:val="18"/>
        </w:rPr>
        <w:t>at Specification 5.</w:t>
      </w:r>
    </w:p>
  </w:footnote>
  <w:footnote w:id="58">
    <w:p w:rsidR="00192C16" w:rsidRPr="006475B9" w:rsidRDefault="00192C16" w:rsidP="00192C16">
      <w:pPr>
        <w:pStyle w:val="FootnoteText"/>
        <w:rPr>
          <w:szCs w:val="18"/>
        </w:rPr>
      </w:pPr>
      <w:r w:rsidRPr="006475B9">
        <w:rPr>
          <w:rStyle w:val="FootnoteReference"/>
        </w:rPr>
        <w:footnoteRef/>
      </w:r>
      <w:r w:rsidRPr="006475B9">
        <w:rPr>
          <w:rStyle w:val="FootnoteReference"/>
        </w:rPr>
        <w:t xml:space="preserve"> </w:t>
      </w:r>
      <w:r w:rsidRPr="006475B9">
        <w:rPr>
          <w:szCs w:val="18"/>
        </w:rPr>
        <w:tab/>
        <w:t xml:space="preserve">See </w:t>
      </w:r>
      <w:r w:rsidR="006E61AD" w:rsidRPr="006E61AD">
        <w:rPr>
          <w:szCs w:val="18"/>
          <w:u w:val="single"/>
        </w:rPr>
        <w:t>http://newgtlds.icann.org/en/applicants/agb/evaluation-procedures-04jun12-en.pdf</w:t>
      </w:r>
      <w:r w:rsidRPr="006475B9">
        <w:rPr>
          <w:szCs w:val="18"/>
        </w:rPr>
        <w:t>, from section 2.2.1.4.1 “Treatment of Country or Territory Names”.</w:t>
      </w:r>
    </w:p>
  </w:footnote>
  <w:footnote w:id="59">
    <w:p w:rsidR="00192C16" w:rsidRPr="006475B9" w:rsidRDefault="00192C16" w:rsidP="00192C16">
      <w:pPr>
        <w:pStyle w:val="FootnoteText"/>
        <w:rPr>
          <w:szCs w:val="18"/>
        </w:rPr>
      </w:pPr>
      <w:r w:rsidRPr="006475B9">
        <w:rPr>
          <w:rStyle w:val="FootnoteReference"/>
        </w:rPr>
        <w:footnoteRef/>
      </w:r>
      <w:r w:rsidRPr="006475B9">
        <w:rPr>
          <w:szCs w:val="18"/>
        </w:rPr>
        <w:t xml:space="preserve"> </w:t>
      </w:r>
      <w:r w:rsidRPr="006475B9">
        <w:rPr>
          <w:szCs w:val="18"/>
        </w:rPr>
        <w:tab/>
        <w:t>See</w:t>
      </w:r>
      <w:r w:rsidR="006E61AD">
        <w:rPr>
          <w:szCs w:val="18"/>
        </w:rPr>
        <w:t xml:space="preserve"> </w:t>
      </w:r>
      <w:r w:rsidR="006E61AD" w:rsidRPr="006E61AD">
        <w:rPr>
          <w:szCs w:val="18"/>
          <w:u w:val="single"/>
        </w:rPr>
        <w:t>http://newgtlds.icann.org/en/applicants/agb/evaluation-procedures-04jun12-en.pdf</w:t>
      </w:r>
      <w:r w:rsidRPr="006475B9">
        <w:rPr>
          <w:szCs w:val="18"/>
        </w:rPr>
        <w:t xml:space="preserve">, from section 2.2.1.4.2 “Geographic Names Requiring Government Support”. </w:t>
      </w:r>
    </w:p>
  </w:footnote>
  <w:footnote w:id="60">
    <w:p w:rsidR="00192C16" w:rsidRPr="006475B9" w:rsidRDefault="00192C16" w:rsidP="00192C16">
      <w:pPr>
        <w:pStyle w:val="FootnoteText"/>
      </w:pPr>
      <w:r w:rsidRPr="006475B9">
        <w:rPr>
          <w:rStyle w:val="FootnoteReference"/>
        </w:rPr>
        <w:footnoteRef/>
      </w:r>
      <w:r w:rsidRPr="006475B9">
        <w:t xml:space="preserve"> </w:t>
      </w:r>
      <w:r w:rsidRPr="006475B9">
        <w:tab/>
        <w:t xml:space="preserve">See </w:t>
      </w:r>
      <w:r w:rsidRPr="00C84829">
        <w:rPr>
          <w:u w:val="single"/>
        </w:rPr>
        <w:t>https://www.icann.org/en/system/files/correspondence/gac-to-board-27mar14-en.pdf</w:t>
      </w:r>
      <w:r>
        <w:t>, at ‘4.</w:t>
      </w:r>
      <w:r w:rsidR="009278BC">
        <w:t xml:space="preserve"> </w:t>
      </w:r>
      <w:r w:rsidRPr="006475B9">
        <w:t xml:space="preserve">Specific Strings’.  </w:t>
      </w:r>
      <w:r w:rsidRPr="006475B9">
        <w:rPr>
          <w:iCs/>
          <w:szCs w:val="22"/>
        </w:rPr>
        <w:t>The GAC has</w:t>
      </w:r>
      <w:r w:rsidR="009278BC">
        <w:rPr>
          <w:iCs/>
          <w:szCs w:val="22"/>
        </w:rPr>
        <w:t xml:space="preserve"> identified several</w:t>
      </w:r>
      <w:r w:rsidRPr="006475B9">
        <w:rPr>
          <w:iCs/>
          <w:szCs w:val="22"/>
        </w:rPr>
        <w:t xml:space="preserve"> categories of new gTLD applications as warranting further consideration in terms of additional safeguards, such as terms corresponding to regulated i</w:t>
      </w:r>
      <w:r w:rsidR="000356F8">
        <w:rPr>
          <w:iCs/>
          <w:szCs w:val="22"/>
        </w:rPr>
        <w:t xml:space="preserve">ndustries or dictionary terms.  </w:t>
      </w:r>
      <w:r w:rsidRPr="006475B9">
        <w:rPr>
          <w:szCs w:val="18"/>
        </w:rPr>
        <w:t>While the Board has accepted the GAC’s advice against proceeding with certain applications, it has sought further information from the GAC</w:t>
      </w:r>
      <w:r w:rsidR="009278BC">
        <w:rPr>
          <w:szCs w:val="18"/>
        </w:rPr>
        <w:t xml:space="preserve"> and the public</w:t>
      </w:r>
      <w:r w:rsidRPr="006475B9">
        <w:rPr>
          <w:szCs w:val="22"/>
        </w:rPr>
        <w:t xml:space="preserve">, notably on the additional safeguards sought by the GAC.  </w:t>
      </w:r>
    </w:p>
  </w:footnote>
  <w:footnote w:id="61">
    <w:p w:rsidR="00192C16" w:rsidRPr="004B7471" w:rsidRDefault="00192C16" w:rsidP="00192C16">
      <w:pPr>
        <w:pStyle w:val="FootnoteText"/>
        <w:rPr>
          <w:szCs w:val="18"/>
        </w:rPr>
      </w:pPr>
      <w:r w:rsidRPr="006475B9">
        <w:rPr>
          <w:rStyle w:val="FootnoteReference"/>
        </w:rPr>
        <w:footnoteRef/>
      </w:r>
      <w:r w:rsidRPr="006475B9">
        <w:rPr>
          <w:rStyle w:val="FootnoteReference"/>
        </w:rPr>
        <w:t xml:space="preserve"> </w:t>
      </w:r>
      <w:r w:rsidRPr="006475B9">
        <w:rPr>
          <w:szCs w:val="18"/>
        </w:rPr>
        <w:tab/>
        <w:t>See e.g., documents SCT/24/4, SCT 25/3, SCT 26/6 and 27/8</w:t>
      </w:r>
      <w:r w:rsidR="009278BC">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192C16" w:rsidP="00477D6B">
    <w:pPr>
      <w:jc w:val="right"/>
    </w:pPr>
    <w:bookmarkStart w:id="7" w:name="Code2"/>
    <w:bookmarkEnd w:id="7"/>
    <w:r>
      <w:t>WO/GA/46/8</w:t>
    </w:r>
  </w:p>
  <w:p w:rsidR="00EC4E49" w:rsidRDefault="00EC4E49" w:rsidP="00477D6B">
    <w:pPr>
      <w:jc w:val="right"/>
    </w:pPr>
    <w:r>
      <w:t xml:space="preserve">page </w:t>
    </w:r>
    <w:r>
      <w:fldChar w:fldCharType="begin"/>
    </w:r>
    <w:r>
      <w:instrText xml:space="preserve"> PAGE  \* MERGEFORMAT </w:instrText>
    </w:r>
    <w:r>
      <w:fldChar w:fldCharType="separate"/>
    </w:r>
    <w:r w:rsidR="003721E0">
      <w:rPr>
        <w:noProof/>
      </w:rPr>
      <w:t>12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D354EA7"/>
    <w:multiLevelType w:val="hybridMultilevel"/>
    <w:tmpl w:val="ECE0E356"/>
    <w:lvl w:ilvl="0" w:tplc="0FD6DA12">
      <w:start w:val="1"/>
      <w:numFmt w:val="lowerRoman"/>
      <w:lvlText w:val="(%1)"/>
      <w:lvlJc w:val="left"/>
      <w:pPr>
        <w:ind w:left="1270" w:hanging="72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C16"/>
    <w:rsid w:val="000356F8"/>
    <w:rsid w:val="00043CAA"/>
    <w:rsid w:val="00075432"/>
    <w:rsid w:val="000968ED"/>
    <w:rsid w:val="000D1C81"/>
    <w:rsid w:val="000F5E56"/>
    <w:rsid w:val="001362EE"/>
    <w:rsid w:val="001832A6"/>
    <w:rsid w:val="00192C16"/>
    <w:rsid w:val="001E4B86"/>
    <w:rsid w:val="00232512"/>
    <w:rsid w:val="002634C4"/>
    <w:rsid w:val="00286256"/>
    <w:rsid w:val="002928D3"/>
    <w:rsid w:val="002D40D0"/>
    <w:rsid w:val="002F1FE6"/>
    <w:rsid w:val="002F4E68"/>
    <w:rsid w:val="00312F7F"/>
    <w:rsid w:val="003228B7"/>
    <w:rsid w:val="00325133"/>
    <w:rsid w:val="003673CF"/>
    <w:rsid w:val="003721E0"/>
    <w:rsid w:val="003845C1"/>
    <w:rsid w:val="003A6F89"/>
    <w:rsid w:val="003A76E5"/>
    <w:rsid w:val="003B38C1"/>
    <w:rsid w:val="003B75C2"/>
    <w:rsid w:val="003E0704"/>
    <w:rsid w:val="004204E1"/>
    <w:rsid w:val="00423E3E"/>
    <w:rsid w:val="00427AF4"/>
    <w:rsid w:val="004400E2"/>
    <w:rsid w:val="004647DA"/>
    <w:rsid w:val="00474062"/>
    <w:rsid w:val="00477D6B"/>
    <w:rsid w:val="0053057A"/>
    <w:rsid w:val="00532FC4"/>
    <w:rsid w:val="00547A71"/>
    <w:rsid w:val="00560A29"/>
    <w:rsid w:val="00586316"/>
    <w:rsid w:val="005A00C2"/>
    <w:rsid w:val="005E5FF4"/>
    <w:rsid w:val="00605827"/>
    <w:rsid w:val="00646050"/>
    <w:rsid w:val="006713CA"/>
    <w:rsid w:val="00676C5C"/>
    <w:rsid w:val="006E61AD"/>
    <w:rsid w:val="007058FB"/>
    <w:rsid w:val="00724563"/>
    <w:rsid w:val="00751662"/>
    <w:rsid w:val="00760679"/>
    <w:rsid w:val="007962E9"/>
    <w:rsid w:val="007B6A58"/>
    <w:rsid w:val="007D1613"/>
    <w:rsid w:val="007F64F8"/>
    <w:rsid w:val="0085556B"/>
    <w:rsid w:val="008969F3"/>
    <w:rsid w:val="008A207F"/>
    <w:rsid w:val="008B2CC1"/>
    <w:rsid w:val="008B60B2"/>
    <w:rsid w:val="0090731E"/>
    <w:rsid w:val="00916EE2"/>
    <w:rsid w:val="00924E1D"/>
    <w:rsid w:val="009278BC"/>
    <w:rsid w:val="00934BB7"/>
    <w:rsid w:val="00937E65"/>
    <w:rsid w:val="00966A22"/>
    <w:rsid w:val="0096722F"/>
    <w:rsid w:val="00980843"/>
    <w:rsid w:val="009B0480"/>
    <w:rsid w:val="009B2C95"/>
    <w:rsid w:val="009E2791"/>
    <w:rsid w:val="009E3F6F"/>
    <w:rsid w:val="009E5B3B"/>
    <w:rsid w:val="009F499F"/>
    <w:rsid w:val="00A42DAF"/>
    <w:rsid w:val="00A45BD8"/>
    <w:rsid w:val="00A517DE"/>
    <w:rsid w:val="00A66287"/>
    <w:rsid w:val="00A762D7"/>
    <w:rsid w:val="00A85B8E"/>
    <w:rsid w:val="00AC205C"/>
    <w:rsid w:val="00B05A69"/>
    <w:rsid w:val="00B9734B"/>
    <w:rsid w:val="00BE5E66"/>
    <w:rsid w:val="00C11BFE"/>
    <w:rsid w:val="00C24A99"/>
    <w:rsid w:val="00C84829"/>
    <w:rsid w:val="00C94629"/>
    <w:rsid w:val="00C96755"/>
    <w:rsid w:val="00CE0AF5"/>
    <w:rsid w:val="00CE2080"/>
    <w:rsid w:val="00D4121B"/>
    <w:rsid w:val="00D45252"/>
    <w:rsid w:val="00D71B4D"/>
    <w:rsid w:val="00D93D55"/>
    <w:rsid w:val="00E335FE"/>
    <w:rsid w:val="00E41F21"/>
    <w:rsid w:val="00E5021F"/>
    <w:rsid w:val="00E82CA6"/>
    <w:rsid w:val="00EC1C32"/>
    <w:rsid w:val="00EC4E49"/>
    <w:rsid w:val="00ED77FB"/>
    <w:rsid w:val="00F021A6"/>
    <w:rsid w:val="00F23C61"/>
    <w:rsid w:val="00F62414"/>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BalloonText">
    <w:name w:val="Balloon Text"/>
    <w:basedOn w:val="Normal"/>
    <w:link w:val="BalloonTextChar"/>
    <w:rsid w:val="00924E1D"/>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924E1D"/>
    <w:rPr>
      <w:rFonts w:ascii="Tahoma" w:eastAsia="SimSun" w:hAnsi="Tahoma" w:cs="Tahoma"/>
      <w:sz w:val="16"/>
      <w:szCs w:val="16"/>
      <w:lang w:eastAsia="zh-CN"/>
    </w:rPr>
  </w:style>
  <w:style w:type="character" w:customStyle="1" w:styleId="Heading1Char">
    <w:name w:val="Heading 1 Char"/>
    <w:link w:val="Heading1"/>
    <w:rsid w:val="00192C16"/>
    <w:rPr>
      <w:rFonts w:ascii="Arial" w:eastAsia="SimSun" w:hAnsi="Arial" w:cs="Arial"/>
      <w:b/>
      <w:bCs/>
      <w:caps/>
      <w:kern w:val="32"/>
      <w:sz w:val="22"/>
      <w:szCs w:val="32"/>
      <w:lang w:eastAsia="zh-CN"/>
    </w:rPr>
  </w:style>
  <w:style w:type="character" w:customStyle="1" w:styleId="Heading2Char">
    <w:name w:val="Heading 2 Char"/>
    <w:link w:val="Heading2"/>
    <w:rsid w:val="00192C16"/>
    <w:rPr>
      <w:rFonts w:ascii="Arial" w:eastAsia="SimSun" w:hAnsi="Arial" w:cs="Arial"/>
      <w:bCs/>
      <w:iCs/>
      <w:caps/>
      <w:sz w:val="22"/>
      <w:szCs w:val="28"/>
      <w:lang w:eastAsia="zh-CN"/>
    </w:rPr>
  </w:style>
  <w:style w:type="character" w:customStyle="1" w:styleId="Heading3Char">
    <w:name w:val="Heading 3 Char"/>
    <w:link w:val="Heading3"/>
    <w:rsid w:val="00192C16"/>
    <w:rPr>
      <w:rFonts w:ascii="Arial" w:eastAsia="SimSun" w:hAnsi="Arial" w:cs="Arial"/>
      <w:bCs/>
      <w:sz w:val="22"/>
      <w:szCs w:val="26"/>
      <w:u w:val="single"/>
      <w:lang w:eastAsia="zh-CN"/>
    </w:rPr>
  </w:style>
  <w:style w:type="character" w:customStyle="1" w:styleId="FooterChar">
    <w:name w:val="Footer Char"/>
    <w:link w:val="Footer"/>
    <w:semiHidden/>
    <w:rsid w:val="00192C16"/>
    <w:rPr>
      <w:rFonts w:ascii="Arial" w:eastAsia="SimSun" w:hAnsi="Arial" w:cs="Arial"/>
      <w:sz w:val="22"/>
      <w:lang w:eastAsia="zh-CN"/>
    </w:rPr>
  </w:style>
  <w:style w:type="character" w:customStyle="1" w:styleId="FootnoteTextChar">
    <w:name w:val="Footnote Text Char"/>
    <w:link w:val="FootnoteText"/>
    <w:uiPriority w:val="99"/>
    <w:semiHidden/>
    <w:rsid w:val="00192C16"/>
    <w:rPr>
      <w:rFonts w:ascii="Arial" w:eastAsia="SimSun" w:hAnsi="Arial" w:cs="Arial"/>
      <w:sz w:val="18"/>
      <w:lang w:eastAsia="zh-CN"/>
    </w:rPr>
  </w:style>
  <w:style w:type="paragraph" w:customStyle="1" w:styleId="DecisionInvitingPara">
    <w:name w:val="Decision Inviting Para."/>
    <w:basedOn w:val="Normal"/>
    <w:rsid w:val="00192C16"/>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192C16"/>
    <w:rPr>
      <w:vertAlign w:val="superscript"/>
    </w:rPr>
  </w:style>
  <w:style w:type="character" w:customStyle="1" w:styleId="ONUMEChar">
    <w:name w:val="ONUM E Char"/>
    <w:link w:val="ONUME"/>
    <w:rsid w:val="00192C16"/>
    <w:rPr>
      <w:rFonts w:ascii="Arial" w:eastAsia="SimSun" w:hAnsi="Arial" w:cs="Arial"/>
      <w:sz w:val="22"/>
      <w:lang w:eastAsia="zh-CN"/>
    </w:rPr>
  </w:style>
  <w:style w:type="paragraph" w:styleId="NormalWeb">
    <w:name w:val="Normal (Web)"/>
    <w:basedOn w:val="Normal"/>
    <w:uiPriority w:val="99"/>
    <w:rsid w:val="00192C16"/>
    <w:pPr>
      <w:spacing w:before="100" w:beforeAutospacing="1" w:after="100" w:afterAutospacing="1"/>
    </w:pPr>
    <w:rPr>
      <w:rFonts w:ascii="Times New Roman" w:eastAsia="Batang" w:hAnsi="Times New Roman" w:cs="Times New Roman"/>
      <w:sz w:val="24"/>
      <w:szCs w:val="24"/>
      <w:lang w:eastAsia="ko-KR"/>
    </w:rPr>
  </w:style>
  <w:style w:type="character" w:styleId="Hyperlink">
    <w:name w:val="Hyperlink"/>
    <w:rsid w:val="00192C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BalloonText">
    <w:name w:val="Balloon Text"/>
    <w:basedOn w:val="Normal"/>
    <w:link w:val="BalloonTextChar"/>
    <w:rsid w:val="00924E1D"/>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924E1D"/>
    <w:rPr>
      <w:rFonts w:ascii="Tahoma" w:eastAsia="SimSun" w:hAnsi="Tahoma" w:cs="Tahoma"/>
      <w:sz w:val="16"/>
      <w:szCs w:val="16"/>
      <w:lang w:eastAsia="zh-CN"/>
    </w:rPr>
  </w:style>
  <w:style w:type="character" w:customStyle="1" w:styleId="Heading1Char">
    <w:name w:val="Heading 1 Char"/>
    <w:link w:val="Heading1"/>
    <w:rsid w:val="00192C16"/>
    <w:rPr>
      <w:rFonts w:ascii="Arial" w:eastAsia="SimSun" w:hAnsi="Arial" w:cs="Arial"/>
      <w:b/>
      <w:bCs/>
      <w:caps/>
      <w:kern w:val="32"/>
      <w:sz w:val="22"/>
      <w:szCs w:val="32"/>
      <w:lang w:eastAsia="zh-CN"/>
    </w:rPr>
  </w:style>
  <w:style w:type="character" w:customStyle="1" w:styleId="Heading2Char">
    <w:name w:val="Heading 2 Char"/>
    <w:link w:val="Heading2"/>
    <w:rsid w:val="00192C16"/>
    <w:rPr>
      <w:rFonts w:ascii="Arial" w:eastAsia="SimSun" w:hAnsi="Arial" w:cs="Arial"/>
      <w:bCs/>
      <w:iCs/>
      <w:caps/>
      <w:sz w:val="22"/>
      <w:szCs w:val="28"/>
      <w:lang w:eastAsia="zh-CN"/>
    </w:rPr>
  </w:style>
  <w:style w:type="character" w:customStyle="1" w:styleId="Heading3Char">
    <w:name w:val="Heading 3 Char"/>
    <w:link w:val="Heading3"/>
    <w:rsid w:val="00192C16"/>
    <w:rPr>
      <w:rFonts w:ascii="Arial" w:eastAsia="SimSun" w:hAnsi="Arial" w:cs="Arial"/>
      <w:bCs/>
      <w:sz w:val="22"/>
      <w:szCs w:val="26"/>
      <w:u w:val="single"/>
      <w:lang w:eastAsia="zh-CN"/>
    </w:rPr>
  </w:style>
  <w:style w:type="character" w:customStyle="1" w:styleId="FooterChar">
    <w:name w:val="Footer Char"/>
    <w:link w:val="Footer"/>
    <w:semiHidden/>
    <w:rsid w:val="00192C16"/>
    <w:rPr>
      <w:rFonts w:ascii="Arial" w:eastAsia="SimSun" w:hAnsi="Arial" w:cs="Arial"/>
      <w:sz w:val="22"/>
      <w:lang w:eastAsia="zh-CN"/>
    </w:rPr>
  </w:style>
  <w:style w:type="character" w:customStyle="1" w:styleId="FootnoteTextChar">
    <w:name w:val="Footnote Text Char"/>
    <w:link w:val="FootnoteText"/>
    <w:uiPriority w:val="99"/>
    <w:semiHidden/>
    <w:rsid w:val="00192C16"/>
    <w:rPr>
      <w:rFonts w:ascii="Arial" w:eastAsia="SimSun" w:hAnsi="Arial" w:cs="Arial"/>
      <w:sz w:val="18"/>
      <w:lang w:eastAsia="zh-CN"/>
    </w:rPr>
  </w:style>
  <w:style w:type="paragraph" w:customStyle="1" w:styleId="DecisionInvitingPara">
    <w:name w:val="Decision Inviting Para."/>
    <w:basedOn w:val="Normal"/>
    <w:rsid w:val="00192C16"/>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192C16"/>
    <w:rPr>
      <w:vertAlign w:val="superscript"/>
    </w:rPr>
  </w:style>
  <w:style w:type="character" w:customStyle="1" w:styleId="ONUMEChar">
    <w:name w:val="ONUM E Char"/>
    <w:link w:val="ONUME"/>
    <w:rsid w:val="00192C16"/>
    <w:rPr>
      <w:rFonts w:ascii="Arial" w:eastAsia="SimSun" w:hAnsi="Arial" w:cs="Arial"/>
      <w:sz w:val="22"/>
      <w:lang w:eastAsia="zh-CN"/>
    </w:rPr>
  </w:style>
  <w:style w:type="paragraph" w:styleId="NormalWeb">
    <w:name w:val="Normal (Web)"/>
    <w:basedOn w:val="Normal"/>
    <w:uiPriority w:val="99"/>
    <w:rsid w:val="00192C16"/>
    <w:pPr>
      <w:spacing w:before="100" w:beforeAutospacing="1" w:after="100" w:afterAutospacing="1"/>
    </w:pPr>
    <w:rPr>
      <w:rFonts w:ascii="Times New Roman" w:eastAsia="Batang" w:hAnsi="Times New Roman" w:cs="Times New Roman"/>
      <w:sz w:val="24"/>
      <w:szCs w:val="24"/>
      <w:lang w:eastAsia="ko-KR"/>
    </w:rPr>
  </w:style>
  <w:style w:type="character" w:styleId="Hyperlink">
    <w:name w:val="Hyperlink"/>
    <w:rsid w:val="00192C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www.icann.org/en/news/correspondence/dryden-to-crocker-chalaby-22mar13-en" TargetMode="External"/><Relationship Id="rId3" Type="http://schemas.openxmlformats.org/officeDocument/2006/relationships/hyperlink" Target="http://www.wipo.int/amc/en/domains/lro/cases/" TargetMode="External"/><Relationship Id="rId7" Type="http://schemas.openxmlformats.org/officeDocument/2006/relationships/hyperlink" Target="https://gacweb.icann.org/download/attachments/27132070/Board%20Response%20to%20GAC%20Toronto%20Communique.pdf?version=1&amp;modificationDate=1361909146000&amp;api=v2" TargetMode="External"/><Relationship Id="rId2" Type="http://schemas.openxmlformats.org/officeDocument/2006/relationships/hyperlink" Target="http://www.wipo.int/amc/en/domains/lro/fees/" TargetMode="External"/><Relationship Id="rId1" Type="http://schemas.openxmlformats.org/officeDocument/2006/relationships/hyperlink" Target="http://newgtlds.icann.org/en/applicants/agb/objection-procedures-04jun12-en.pdf" TargetMode="External"/><Relationship Id="rId6" Type="http://schemas.openxmlformats.org/officeDocument/2006/relationships/hyperlink" Target="https://gacweb.icann.org/download/attachments/27132070/FINAL_Toronto_Communique_20121017.pdf?version=1&amp;modificationDate=1354149148000&amp;api=v2" TargetMode="External"/><Relationship Id="rId5" Type="http://schemas.openxmlformats.org/officeDocument/2006/relationships/hyperlink" Target="http://toronto45.icann.org/node/34325" TargetMode="External"/><Relationship Id="rId4" Type="http://schemas.openxmlformats.org/officeDocument/2006/relationships/hyperlink" Target="http://prague44.icann.org/node/31773" TargetMode="External"/><Relationship Id="rId9" Type="http://schemas.openxmlformats.org/officeDocument/2006/relationships/hyperlink" Target="http://www.icann.org/en/news/correspondence/crocker-to-dryden-01apr13-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477C1-5EE7-4153-AA81-D32723346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46 (E).dotm</Template>
  <TotalTime>1108</TotalTime>
  <Pages>12</Pages>
  <Words>4430</Words>
  <Characters>25252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WO/GA/46/</vt:lpstr>
    </vt:vector>
  </TitlesOfParts>
  <Company>WIPO</Company>
  <LinksUpToDate>false</LinksUpToDate>
  <CharactersWithSpaces>29623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dc:title>
  <dc:creator>RATTRAY Adam</dc:creator>
  <cp:lastModifiedBy>MARIN-CUDRAZ DAVI Nicoletta</cp:lastModifiedBy>
  <cp:revision>9</cp:revision>
  <cp:lastPrinted>2014-07-02T08:53:00Z</cp:lastPrinted>
  <dcterms:created xsi:type="dcterms:W3CDTF">2014-07-01T14:44:00Z</dcterms:created>
  <dcterms:modified xsi:type="dcterms:W3CDTF">2014-07-03T09:32:00Z</dcterms:modified>
</cp:coreProperties>
</file>