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3B75C2" w:rsidP="00916EE2">
            <w:r>
              <w:rPr>
                <w:noProof/>
                <w:lang w:eastAsia="en-US"/>
              </w:rPr>
              <w:drawing>
                <wp:inline distT="0" distB="0" distL="0" distR="0" wp14:anchorId="67792123" wp14:editId="2CF929C9">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924E1D" w:rsidP="00916EE2">
            <w:pPr>
              <w:jc w:val="right"/>
              <w:rPr>
                <w:rFonts w:ascii="Arial Black" w:hAnsi="Arial Black"/>
                <w:caps/>
                <w:sz w:val="15"/>
              </w:rPr>
            </w:pPr>
            <w:r>
              <w:rPr>
                <w:rFonts w:ascii="Arial Black" w:hAnsi="Arial Black"/>
                <w:caps/>
                <w:sz w:val="15"/>
              </w:rPr>
              <w:t>WO/GA/46</w:t>
            </w:r>
            <w:r w:rsidR="005F3F20">
              <w:rPr>
                <w:rFonts w:ascii="Arial Black" w:hAnsi="Arial Black"/>
                <w:caps/>
                <w:sz w:val="15"/>
              </w:rPr>
              <w:t>/</w:t>
            </w:r>
            <w:r w:rsidR="004B6701">
              <w:rPr>
                <w:rFonts w:ascii="Arial Black" w:hAnsi="Arial Black"/>
                <w:caps/>
                <w:sz w:val="15"/>
              </w:rPr>
              <w:t>2</w:t>
            </w:r>
            <w:r>
              <w:rPr>
                <w:rFonts w:ascii="Arial Black" w:hAnsi="Arial Black"/>
                <w:caps/>
                <w:sz w:val="15"/>
              </w:rPr>
              <w:t>/</w:t>
            </w:r>
            <w:bookmarkStart w:id="0" w:name="Code"/>
            <w:bookmarkEnd w:id="0"/>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5F3F20" w:rsidP="005F3F20">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004B6701">
              <w:rPr>
                <w:rFonts w:ascii="Arial Black" w:hAnsi="Arial Black"/>
                <w:caps/>
                <w:sz w:val="15"/>
              </w:rPr>
              <w:t>ENGLISH</w:t>
            </w:r>
            <w:r w:rsidR="00A42DAF">
              <w:rPr>
                <w:rFonts w:ascii="Arial Black" w:hAnsi="Arial Black"/>
                <w:caps/>
                <w:sz w:val="15"/>
              </w:rPr>
              <w:t xml:space="preserve"> </w:t>
            </w:r>
            <w:r w:rsidR="008B2CC1" w:rsidRPr="0090731E">
              <w:rPr>
                <w:rFonts w:ascii="Arial Black" w:hAnsi="Arial Black"/>
                <w:caps/>
                <w:sz w:val="15"/>
              </w:rPr>
              <w:t xml:space="preserve"> </w:t>
            </w:r>
            <w:bookmarkStart w:id="1" w:name="Original"/>
            <w:bookmarkEnd w:id="1"/>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5F3F20" w:rsidP="00916EE2">
            <w:pPr>
              <w:jc w:val="right"/>
              <w:rPr>
                <w:rFonts w:ascii="Arial Black" w:hAnsi="Arial Black"/>
                <w:caps/>
                <w:sz w:val="15"/>
              </w:rPr>
            </w:pPr>
            <w:bookmarkStart w:id="2" w:name="Date"/>
            <w:bookmarkEnd w:id="2"/>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r w:rsidR="004B6701">
              <w:rPr>
                <w:rFonts w:ascii="Arial Black" w:hAnsi="Arial Black"/>
                <w:caps/>
                <w:sz w:val="15"/>
              </w:rPr>
              <w:t>JULY 22,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924E1D" w:rsidP="008B2CC1">
      <w:pPr>
        <w:rPr>
          <w:b/>
          <w:sz w:val="28"/>
          <w:szCs w:val="28"/>
        </w:rPr>
      </w:pPr>
      <w:r w:rsidRPr="00924E1D">
        <w:rPr>
          <w:b/>
          <w:sz w:val="28"/>
          <w:szCs w:val="28"/>
        </w:rPr>
        <w:t>WIPO General Assembly</w:t>
      </w:r>
    </w:p>
    <w:p w:rsidR="003845C1" w:rsidRDefault="003845C1" w:rsidP="003845C1"/>
    <w:p w:rsidR="00A85B8E" w:rsidRDefault="00A85B8E" w:rsidP="003845C1"/>
    <w:p w:rsidR="008B2CC1" w:rsidRPr="003845C1" w:rsidRDefault="00924E1D" w:rsidP="008B2CC1">
      <w:pPr>
        <w:rPr>
          <w:b/>
          <w:sz w:val="24"/>
          <w:szCs w:val="24"/>
        </w:rPr>
      </w:pPr>
      <w:r w:rsidRPr="00924E1D">
        <w:rPr>
          <w:b/>
          <w:sz w:val="24"/>
          <w:szCs w:val="24"/>
        </w:rPr>
        <w:t>Forty-Sixth (25</w:t>
      </w:r>
      <w:r w:rsidRPr="00CE0AF5">
        <w:rPr>
          <w:b/>
          <w:sz w:val="24"/>
          <w:szCs w:val="24"/>
          <w:vertAlign w:val="superscript"/>
        </w:rPr>
        <w:t>th</w:t>
      </w:r>
      <w:r w:rsidR="00CE0AF5">
        <w:rPr>
          <w:b/>
          <w:sz w:val="24"/>
          <w:szCs w:val="24"/>
        </w:rPr>
        <w:t xml:space="preserve"> </w:t>
      </w:r>
      <w:r w:rsidRPr="00924E1D">
        <w:rPr>
          <w:b/>
          <w:sz w:val="24"/>
          <w:szCs w:val="24"/>
        </w:rPr>
        <w:t>Extraordinary) Session</w:t>
      </w:r>
    </w:p>
    <w:p w:rsidR="008B2CC1" w:rsidRPr="003845C1" w:rsidRDefault="00924E1D" w:rsidP="008B2CC1">
      <w:pPr>
        <w:rPr>
          <w:b/>
          <w:sz w:val="24"/>
          <w:szCs w:val="24"/>
        </w:rPr>
      </w:pPr>
      <w:r w:rsidRPr="00924E1D">
        <w:rPr>
          <w:b/>
          <w:sz w:val="24"/>
          <w:szCs w:val="24"/>
        </w:rPr>
        <w:t>Geneva, September 22 to 30, 2014</w:t>
      </w:r>
    </w:p>
    <w:p w:rsidR="008B2CC1" w:rsidRPr="008B2CC1" w:rsidRDefault="008B2CC1" w:rsidP="008B2CC1">
      <w:bookmarkStart w:id="3" w:name="TitleOfDoc"/>
      <w:bookmarkEnd w:id="3"/>
    </w:p>
    <w:p w:rsidR="008B2CC1" w:rsidRPr="008B2CC1" w:rsidRDefault="008B2CC1" w:rsidP="008B2CC1">
      <w:pPr>
        <w:rPr>
          <w:i/>
        </w:rPr>
      </w:pPr>
      <w:bookmarkStart w:id="4" w:name="Prepared"/>
      <w:bookmarkEnd w:id="4"/>
    </w:p>
    <w:p w:rsidR="00AC205C" w:rsidRDefault="00AC205C"/>
    <w:p w:rsidR="004B6701" w:rsidRPr="003845C1" w:rsidRDefault="004B6701" w:rsidP="004B6701">
      <w:pPr>
        <w:rPr>
          <w:caps/>
          <w:sz w:val="24"/>
        </w:rPr>
      </w:pPr>
      <w:r>
        <w:rPr>
          <w:caps/>
          <w:sz w:val="24"/>
        </w:rPr>
        <w:t>SUMMARY annual report of the director of the Internal audit and oversight division (IAOD)</w:t>
      </w:r>
    </w:p>
    <w:p w:rsidR="004B6701" w:rsidRPr="008B2CC1" w:rsidRDefault="004B6701" w:rsidP="004B6701"/>
    <w:p w:rsidR="004B6701" w:rsidRPr="008B2CC1" w:rsidRDefault="004B6701" w:rsidP="004B6701">
      <w:pPr>
        <w:rPr>
          <w:i/>
        </w:rPr>
      </w:pPr>
      <w:r>
        <w:rPr>
          <w:i/>
        </w:rPr>
        <w:t>prepared by the Secretariat</w:t>
      </w:r>
    </w:p>
    <w:p w:rsidR="004B6701" w:rsidRDefault="004B6701" w:rsidP="004B6701"/>
    <w:p w:rsidR="004B6701" w:rsidRDefault="004B6701" w:rsidP="004B6701"/>
    <w:p w:rsidR="004B6701" w:rsidRDefault="004B6701" w:rsidP="004B6701"/>
    <w:p w:rsidR="004B6701" w:rsidRDefault="004B6701" w:rsidP="004B6701"/>
    <w:p w:rsidR="004B6701" w:rsidRDefault="004B6701" w:rsidP="004B6701"/>
    <w:p w:rsidR="004B6701" w:rsidRDefault="004B6701" w:rsidP="004B6701">
      <w:pPr>
        <w:pStyle w:val="ONUME"/>
      </w:pPr>
      <w:r>
        <w:t xml:space="preserve">The present document contains the Summary Annual Report of the Director of the Internal Audit and Oversight Division (IAOD) </w:t>
      </w:r>
      <w:r w:rsidRPr="00AD25E7">
        <w:t>(document WO/PBC/22/</w:t>
      </w:r>
      <w:r>
        <w:t>4</w:t>
      </w:r>
      <w:r w:rsidRPr="00AD25E7">
        <w:t>),</w:t>
      </w:r>
      <w:r>
        <w:t xml:space="preserve"> which is being submitted to the WIPO Program and Budget Committee (PBC) at its twenty-second session (September 1 to 5, 2014).</w:t>
      </w:r>
      <w:bookmarkStart w:id="5" w:name="_GoBack"/>
      <w:bookmarkEnd w:id="5"/>
    </w:p>
    <w:p w:rsidR="004B6701" w:rsidRDefault="004B6701" w:rsidP="00ED682D">
      <w:pPr>
        <w:pStyle w:val="ONUME"/>
        <w:spacing w:after="0"/>
      </w:pPr>
      <w:r>
        <w:t xml:space="preserve">Any decisions of the PBC in respect of that document will appear in the List of Decisions </w:t>
      </w:r>
      <w:r w:rsidR="00A77BA6">
        <w:t>t</w:t>
      </w:r>
      <w:r>
        <w:t>aken by the Program and Budget Committee at its Twenty</w:t>
      </w:r>
      <w:r>
        <w:noBreakHyphen/>
        <w:t>Second Session (September 1 </w:t>
      </w:r>
      <w:r w:rsidRPr="00B372DB">
        <w:t>to</w:t>
      </w:r>
      <w:r>
        <w:t xml:space="preserve"> 5, 2014) (document A/54/5). </w:t>
      </w:r>
    </w:p>
    <w:p w:rsidR="004B6701" w:rsidRDefault="004B6701" w:rsidP="00ED682D">
      <w:pPr>
        <w:pStyle w:val="ONUME"/>
        <w:numPr>
          <w:ilvl w:val="0"/>
          <w:numId w:val="0"/>
        </w:numPr>
        <w:tabs>
          <w:tab w:val="left" w:pos="6096"/>
        </w:tabs>
        <w:spacing w:after="0"/>
        <w:ind w:left="5533"/>
        <w:rPr>
          <w:i/>
        </w:rPr>
      </w:pPr>
    </w:p>
    <w:p w:rsidR="00ED682D" w:rsidRDefault="00ED682D" w:rsidP="00ED682D">
      <w:pPr>
        <w:pStyle w:val="ONUME"/>
        <w:numPr>
          <w:ilvl w:val="0"/>
          <w:numId w:val="0"/>
        </w:numPr>
        <w:tabs>
          <w:tab w:val="left" w:pos="6096"/>
        </w:tabs>
        <w:spacing w:after="0"/>
        <w:ind w:left="5533"/>
        <w:rPr>
          <w:i/>
        </w:rPr>
      </w:pPr>
    </w:p>
    <w:p w:rsidR="00ED682D" w:rsidRDefault="00ED682D" w:rsidP="00ED682D">
      <w:pPr>
        <w:pStyle w:val="ONUME"/>
        <w:numPr>
          <w:ilvl w:val="0"/>
          <w:numId w:val="0"/>
        </w:numPr>
        <w:tabs>
          <w:tab w:val="left" w:pos="6096"/>
        </w:tabs>
        <w:spacing w:after="0"/>
        <w:ind w:left="5533"/>
        <w:rPr>
          <w:i/>
        </w:rPr>
      </w:pPr>
    </w:p>
    <w:p w:rsidR="004B6701" w:rsidRDefault="004B6701" w:rsidP="00ED682D">
      <w:pPr>
        <w:pStyle w:val="Endofdocument-Annex"/>
      </w:pPr>
      <w:r>
        <w:t>[</w:t>
      </w:r>
      <w:r w:rsidRPr="00AD25E7">
        <w:t>Document WO/PBC/22/4</w:t>
      </w:r>
      <w:r>
        <w:t xml:space="preserve"> </w:t>
      </w:r>
      <w:r w:rsidRPr="00AD25E7">
        <w:t>follows</w:t>
      </w:r>
      <w:r>
        <w:t>]</w:t>
      </w:r>
    </w:p>
    <w:p w:rsidR="004B6701" w:rsidRDefault="004B6701" w:rsidP="00ED682D">
      <w:pPr>
        <w:pStyle w:val="ONUME"/>
        <w:numPr>
          <w:ilvl w:val="0"/>
          <w:numId w:val="0"/>
        </w:numPr>
        <w:tabs>
          <w:tab w:val="left" w:pos="6096"/>
        </w:tabs>
        <w:spacing w:after="0"/>
        <w:ind w:left="5533"/>
        <w:rPr>
          <w:i/>
        </w:rPr>
      </w:pPr>
    </w:p>
    <w:p w:rsidR="004B6701" w:rsidRDefault="004B6701" w:rsidP="004B6701">
      <w:pPr>
        <w:pStyle w:val="ONUME"/>
        <w:numPr>
          <w:ilvl w:val="0"/>
          <w:numId w:val="0"/>
        </w:numPr>
        <w:tabs>
          <w:tab w:val="left" w:pos="6096"/>
        </w:tabs>
        <w:spacing w:after="0"/>
        <w:ind w:left="5533"/>
        <w:sectPr w:rsidR="004B6701" w:rsidSect="004B6701">
          <w:headerReference w:type="default" r:id="rId10"/>
          <w:endnotePr>
            <w:numFmt w:val="decimal"/>
          </w:endnotePr>
          <w:pgSz w:w="11907" w:h="16840" w:code="9"/>
          <w:pgMar w:top="567" w:right="1134" w:bottom="1418" w:left="1418" w:header="510" w:footer="1021" w:gutter="0"/>
          <w:cols w:space="720"/>
          <w:titlePg/>
          <w:docGrid w:linePitch="299"/>
        </w:sectPr>
      </w:pPr>
    </w:p>
    <w:p w:rsidR="004B6701" w:rsidRDefault="004B6701">
      <w:pPr>
        <w:sectPr w:rsidR="004B6701" w:rsidSect="004B6701">
          <w:headerReference w:type="first" r:id="rId11"/>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4B6701" w:rsidRPr="00B929E3" w:rsidTr="001E2D32">
        <w:tc>
          <w:tcPr>
            <w:tcW w:w="4513" w:type="dxa"/>
            <w:tcBorders>
              <w:bottom w:val="single" w:sz="4" w:space="0" w:color="auto"/>
            </w:tcBorders>
            <w:tcMar>
              <w:bottom w:w="170" w:type="dxa"/>
            </w:tcMar>
          </w:tcPr>
          <w:p w:rsidR="004B6701" w:rsidRPr="00B929E3" w:rsidRDefault="004B6701" w:rsidP="001E2D32"/>
        </w:tc>
        <w:tc>
          <w:tcPr>
            <w:tcW w:w="4337" w:type="dxa"/>
            <w:tcBorders>
              <w:bottom w:val="single" w:sz="4" w:space="0" w:color="auto"/>
            </w:tcBorders>
            <w:tcMar>
              <w:left w:w="0" w:type="dxa"/>
              <w:right w:w="0" w:type="dxa"/>
            </w:tcMar>
          </w:tcPr>
          <w:p w:rsidR="004B6701" w:rsidRPr="00B929E3" w:rsidRDefault="004B6701" w:rsidP="001E2D32">
            <w:r>
              <w:rPr>
                <w:noProof/>
                <w:lang w:eastAsia="en-US"/>
              </w:rPr>
              <w:drawing>
                <wp:inline distT="0" distB="0" distL="0" distR="0" wp14:anchorId="6DC4D756" wp14:editId="3385FDD9">
                  <wp:extent cx="1856105" cy="1324610"/>
                  <wp:effectExtent l="0" t="0" r="0" b="8890"/>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461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4B6701" w:rsidRPr="00B929E3" w:rsidRDefault="004B6701" w:rsidP="001E2D32">
            <w:pPr>
              <w:jc w:val="right"/>
            </w:pPr>
            <w:r w:rsidRPr="00B929E3">
              <w:rPr>
                <w:b/>
                <w:sz w:val="40"/>
                <w:szCs w:val="40"/>
              </w:rPr>
              <w:t>E</w:t>
            </w:r>
          </w:p>
        </w:tc>
      </w:tr>
      <w:tr w:rsidR="004B6701" w:rsidRPr="00B929E3" w:rsidTr="001E2D32">
        <w:trPr>
          <w:trHeight w:hRule="exact" w:val="340"/>
        </w:trPr>
        <w:tc>
          <w:tcPr>
            <w:tcW w:w="9356" w:type="dxa"/>
            <w:gridSpan w:val="3"/>
            <w:tcBorders>
              <w:top w:val="single" w:sz="4" w:space="0" w:color="auto"/>
            </w:tcBorders>
            <w:tcMar>
              <w:top w:w="170" w:type="dxa"/>
              <w:left w:w="0" w:type="dxa"/>
              <w:right w:w="0" w:type="dxa"/>
            </w:tcMar>
            <w:vAlign w:val="bottom"/>
          </w:tcPr>
          <w:p w:rsidR="004B6701" w:rsidRPr="00B929E3" w:rsidRDefault="004B6701" w:rsidP="001E2D32">
            <w:pPr>
              <w:jc w:val="right"/>
              <w:rPr>
                <w:rFonts w:ascii="Arial Black" w:hAnsi="Arial Black"/>
                <w:caps/>
                <w:sz w:val="15"/>
              </w:rPr>
            </w:pPr>
            <w:r w:rsidRPr="00B929E3">
              <w:rPr>
                <w:rFonts w:ascii="Arial Black" w:hAnsi="Arial Black"/>
                <w:caps/>
                <w:sz w:val="15"/>
              </w:rPr>
              <w:t>WO/PBC/</w:t>
            </w:r>
            <w:r>
              <w:rPr>
                <w:rFonts w:ascii="Arial Black" w:hAnsi="Arial Black"/>
                <w:caps/>
                <w:sz w:val="15"/>
              </w:rPr>
              <w:t>22</w:t>
            </w:r>
            <w:r w:rsidRPr="00B929E3">
              <w:rPr>
                <w:rFonts w:ascii="Arial Black" w:hAnsi="Arial Black"/>
                <w:caps/>
                <w:sz w:val="15"/>
              </w:rPr>
              <w:t>/</w:t>
            </w:r>
            <w:r>
              <w:rPr>
                <w:rFonts w:ascii="Arial Black" w:hAnsi="Arial Black"/>
                <w:caps/>
                <w:sz w:val="15"/>
              </w:rPr>
              <w:t>4</w:t>
            </w:r>
            <w:r w:rsidRPr="00B929E3">
              <w:rPr>
                <w:rFonts w:ascii="Arial Black" w:hAnsi="Arial Black"/>
                <w:caps/>
                <w:sz w:val="15"/>
              </w:rPr>
              <w:t xml:space="preserve">    </w:t>
            </w:r>
          </w:p>
        </w:tc>
      </w:tr>
      <w:tr w:rsidR="004B6701" w:rsidRPr="00B929E3" w:rsidTr="001E2D32">
        <w:trPr>
          <w:trHeight w:hRule="exact" w:val="170"/>
        </w:trPr>
        <w:tc>
          <w:tcPr>
            <w:tcW w:w="9356" w:type="dxa"/>
            <w:gridSpan w:val="3"/>
            <w:noWrap/>
            <w:tcMar>
              <w:left w:w="0" w:type="dxa"/>
              <w:right w:w="0" w:type="dxa"/>
            </w:tcMar>
            <w:vAlign w:val="bottom"/>
          </w:tcPr>
          <w:p w:rsidR="004B6701" w:rsidRPr="00B929E3" w:rsidRDefault="004B6701" w:rsidP="001E2D32">
            <w:pPr>
              <w:jc w:val="right"/>
              <w:rPr>
                <w:rFonts w:ascii="Arial Black" w:hAnsi="Arial Black"/>
                <w:caps/>
                <w:sz w:val="15"/>
              </w:rPr>
            </w:pPr>
            <w:r w:rsidRPr="00B929E3">
              <w:rPr>
                <w:rFonts w:ascii="Arial Black" w:hAnsi="Arial Black"/>
                <w:caps/>
                <w:sz w:val="15"/>
              </w:rPr>
              <w:t>ORIGINAL:  ENGLISH</w:t>
            </w:r>
          </w:p>
        </w:tc>
      </w:tr>
      <w:tr w:rsidR="004B6701" w:rsidRPr="00B929E3" w:rsidTr="001E2D32">
        <w:trPr>
          <w:trHeight w:hRule="exact" w:val="198"/>
        </w:trPr>
        <w:tc>
          <w:tcPr>
            <w:tcW w:w="9356" w:type="dxa"/>
            <w:gridSpan w:val="3"/>
            <w:tcMar>
              <w:left w:w="0" w:type="dxa"/>
              <w:right w:w="0" w:type="dxa"/>
            </w:tcMar>
            <w:vAlign w:val="bottom"/>
          </w:tcPr>
          <w:p w:rsidR="004B6701" w:rsidRPr="00B929E3" w:rsidRDefault="004B6701" w:rsidP="00B95ADC">
            <w:pPr>
              <w:jc w:val="right"/>
              <w:rPr>
                <w:rFonts w:ascii="Arial Black" w:hAnsi="Arial Black"/>
                <w:caps/>
                <w:sz w:val="15"/>
              </w:rPr>
            </w:pPr>
            <w:r w:rsidRPr="00B929E3">
              <w:rPr>
                <w:rFonts w:ascii="Arial Black" w:hAnsi="Arial Black"/>
                <w:caps/>
                <w:sz w:val="15"/>
              </w:rPr>
              <w:t xml:space="preserve">DATE:  </w:t>
            </w:r>
            <w:r w:rsidR="00B95ADC">
              <w:rPr>
                <w:rFonts w:ascii="Arial Black" w:hAnsi="Arial Black"/>
                <w:caps/>
                <w:sz w:val="15"/>
              </w:rPr>
              <w:t>july 4</w:t>
            </w:r>
            <w:r w:rsidRPr="00B95ADC">
              <w:rPr>
                <w:rFonts w:ascii="Arial Black" w:hAnsi="Arial Black"/>
                <w:caps/>
                <w:sz w:val="15"/>
              </w:rPr>
              <w:t>,</w:t>
            </w:r>
            <w:r w:rsidRPr="00B929E3">
              <w:rPr>
                <w:rFonts w:ascii="Arial Black" w:hAnsi="Arial Black"/>
                <w:caps/>
                <w:sz w:val="15"/>
              </w:rPr>
              <w:t xml:space="preserve"> 201</w:t>
            </w:r>
            <w:r>
              <w:rPr>
                <w:rFonts w:ascii="Arial Black" w:hAnsi="Arial Black"/>
                <w:caps/>
                <w:sz w:val="15"/>
              </w:rPr>
              <w:t>4</w:t>
            </w:r>
          </w:p>
        </w:tc>
      </w:tr>
    </w:tbl>
    <w:p w:rsidR="004B6701" w:rsidRPr="00B929E3" w:rsidRDefault="004B6701" w:rsidP="004B6701"/>
    <w:p w:rsidR="004B6701" w:rsidRPr="00B929E3" w:rsidRDefault="004B6701" w:rsidP="004B6701"/>
    <w:p w:rsidR="004B6701" w:rsidRPr="00B929E3" w:rsidRDefault="004B6701" w:rsidP="004B6701"/>
    <w:p w:rsidR="004B6701" w:rsidRPr="00B929E3" w:rsidRDefault="004B6701" w:rsidP="004B6701"/>
    <w:p w:rsidR="004B6701" w:rsidRPr="00B929E3" w:rsidRDefault="004B6701" w:rsidP="004B6701"/>
    <w:p w:rsidR="004B6701" w:rsidRPr="00B929E3" w:rsidRDefault="004B6701" w:rsidP="004B6701">
      <w:pPr>
        <w:rPr>
          <w:b/>
          <w:sz w:val="28"/>
          <w:szCs w:val="28"/>
        </w:rPr>
      </w:pPr>
      <w:r w:rsidRPr="00B929E3">
        <w:rPr>
          <w:b/>
          <w:sz w:val="28"/>
          <w:szCs w:val="28"/>
        </w:rPr>
        <w:t>Program and Budget Committee</w:t>
      </w:r>
    </w:p>
    <w:p w:rsidR="004B6701" w:rsidRPr="00B929E3" w:rsidRDefault="004B6701" w:rsidP="004B6701"/>
    <w:p w:rsidR="004B6701" w:rsidRPr="00B929E3" w:rsidRDefault="004B6701" w:rsidP="004B6701"/>
    <w:p w:rsidR="004B6701" w:rsidRPr="00B929E3" w:rsidRDefault="004B6701" w:rsidP="004B6701">
      <w:pPr>
        <w:rPr>
          <w:b/>
          <w:sz w:val="24"/>
          <w:szCs w:val="24"/>
        </w:rPr>
      </w:pPr>
      <w:r w:rsidRPr="00B929E3">
        <w:rPr>
          <w:b/>
          <w:sz w:val="24"/>
          <w:szCs w:val="24"/>
        </w:rPr>
        <w:t>Twenty-</w:t>
      </w:r>
      <w:r>
        <w:rPr>
          <w:b/>
          <w:sz w:val="24"/>
          <w:szCs w:val="24"/>
        </w:rPr>
        <w:t>Second</w:t>
      </w:r>
      <w:r w:rsidRPr="00B929E3">
        <w:rPr>
          <w:b/>
          <w:sz w:val="24"/>
          <w:szCs w:val="24"/>
        </w:rPr>
        <w:t xml:space="preserve"> Session</w:t>
      </w:r>
    </w:p>
    <w:p w:rsidR="004B6701" w:rsidRPr="00B929E3" w:rsidRDefault="004B6701" w:rsidP="004B6701">
      <w:pPr>
        <w:rPr>
          <w:b/>
          <w:sz w:val="24"/>
          <w:szCs w:val="24"/>
        </w:rPr>
      </w:pPr>
      <w:r w:rsidRPr="00B929E3">
        <w:rPr>
          <w:b/>
          <w:sz w:val="24"/>
          <w:szCs w:val="24"/>
        </w:rPr>
        <w:t xml:space="preserve">Geneva, </w:t>
      </w:r>
      <w:r w:rsidRPr="004B663A">
        <w:rPr>
          <w:b/>
          <w:sz w:val="24"/>
          <w:szCs w:val="24"/>
        </w:rPr>
        <w:t>September 1 to September 5, 2014</w:t>
      </w:r>
    </w:p>
    <w:p w:rsidR="004B6701" w:rsidRPr="00B929E3" w:rsidRDefault="004B6701" w:rsidP="004B6701"/>
    <w:p w:rsidR="004B6701" w:rsidRPr="00B929E3" w:rsidRDefault="004B6701" w:rsidP="004B6701"/>
    <w:p w:rsidR="004B6701" w:rsidRPr="00B929E3" w:rsidRDefault="004B6701" w:rsidP="004B6701"/>
    <w:p w:rsidR="004B6701" w:rsidRPr="00B929E3" w:rsidRDefault="004B6701" w:rsidP="004B6701">
      <w:pPr>
        <w:rPr>
          <w:caps/>
          <w:sz w:val="24"/>
        </w:rPr>
      </w:pPr>
      <w:r w:rsidRPr="00B929E3">
        <w:rPr>
          <w:caps/>
          <w:sz w:val="24"/>
        </w:rPr>
        <w:t>SUMMARY ANNUAL REPORT OF THE DIRECTOR OF THE INTERNAL AUDIT AND OVERSIGHT DIVISION</w:t>
      </w:r>
      <w:r>
        <w:rPr>
          <w:caps/>
          <w:sz w:val="24"/>
        </w:rPr>
        <w:t xml:space="preserve"> (IAOD)</w:t>
      </w:r>
    </w:p>
    <w:p w:rsidR="004B6701" w:rsidRPr="00B929E3" w:rsidRDefault="004B6701" w:rsidP="004B6701"/>
    <w:p w:rsidR="004B6701" w:rsidRPr="00B929E3" w:rsidRDefault="004B6701" w:rsidP="004B6701">
      <w:pPr>
        <w:rPr>
          <w:i/>
        </w:rPr>
      </w:pPr>
      <w:r>
        <w:rPr>
          <w:i/>
        </w:rPr>
        <w:t>p</w:t>
      </w:r>
      <w:r w:rsidRPr="00B929E3">
        <w:rPr>
          <w:i/>
        </w:rPr>
        <w:t>repared by the Secretariat</w:t>
      </w:r>
    </w:p>
    <w:p w:rsidR="004B6701" w:rsidRPr="00B929E3" w:rsidRDefault="004B6701" w:rsidP="004B6701"/>
    <w:p w:rsidR="004B6701" w:rsidRPr="00B929E3" w:rsidRDefault="004B6701" w:rsidP="004B6701"/>
    <w:p w:rsidR="004B6701" w:rsidRPr="00B929E3" w:rsidRDefault="004B6701" w:rsidP="004B6701"/>
    <w:p w:rsidR="004B6701" w:rsidRDefault="004B6701" w:rsidP="004B6701"/>
    <w:p w:rsidR="00D516E7" w:rsidRPr="00B929E3" w:rsidRDefault="00D516E7" w:rsidP="004B6701"/>
    <w:p w:rsidR="004B6701" w:rsidRDefault="004B6701" w:rsidP="004B6701">
      <w:pPr>
        <w:pStyle w:val="ONUME"/>
        <w:numPr>
          <w:ilvl w:val="0"/>
          <w:numId w:val="7"/>
        </w:numPr>
      </w:pPr>
      <w:r w:rsidRPr="00B929E3">
        <w:t>In accordance with paragraph 25 of the Internal Oversight Charter, the Director, Internal Audit and Oversight Division (IAOD), shall present a status report in writing to the Program and Budget Committee</w:t>
      </w:r>
      <w:r>
        <w:t xml:space="preserve"> (PBC)</w:t>
      </w:r>
      <w:r w:rsidRPr="00B929E3">
        <w:t xml:space="preserve">.  The report provides information on IAOD’s main activities between July 1, </w:t>
      </w:r>
      <w:r>
        <w:t>2013</w:t>
      </w:r>
      <w:r w:rsidRPr="00B929E3">
        <w:t xml:space="preserve"> and June 30, 201</w:t>
      </w:r>
      <w:r>
        <w:t>4</w:t>
      </w:r>
      <w:r w:rsidRPr="00B929E3">
        <w:t>.</w:t>
      </w:r>
    </w:p>
    <w:p w:rsidR="004B6701" w:rsidRPr="00136900" w:rsidRDefault="004B6701" w:rsidP="004B6701">
      <w:pPr>
        <w:pStyle w:val="ONUME"/>
        <w:numPr>
          <w:ilvl w:val="0"/>
          <w:numId w:val="7"/>
        </w:numPr>
        <w:rPr>
          <w:i/>
        </w:rPr>
      </w:pPr>
      <w:r>
        <w:t>The following decision paragraph is proposed.</w:t>
      </w:r>
    </w:p>
    <w:p w:rsidR="004B6701" w:rsidRPr="00B929E3" w:rsidRDefault="004B6701" w:rsidP="004B6701">
      <w:pPr>
        <w:spacing w:after="220"/>
        <w:ind w:left="5533"/>
        <w:rPr>
          <w:i/>
        </w:rPr>
      </w:pPr>
      <w:r>
        <w:rPr>
          <w:i/>
        </w:rPr>
        <w:t>3</w:t>
      </w:r>
      <w:r w:rsidRPr="00B929E3">
        <w:rPr>
          <w:i/>
        </w:rPr>
        <w:t>.</w:t>
      </w:r>
      <w:r w:rsidRPr="00B929E3">
        <w:rPr>
          <w:i/>
        </w:rPr>
        <w:tab/>
        <w:t xml:space="preserve">The Program and Budget Committee </w:t>
      </w:r>
      <w:r>
        <w:rPr>
          <w:i/>
        </w:rPr>
        <w:t>took</w:t>
      </w:r>
      <w:r w:rsidRPr="00B929E3">
        <w:rPr>
          <w:i/>
        </w:rPr>
        <w:t xml:space="preserve"> note of the </w:t>
      </w:r>
      <w:r w:rsidRPr="00136900">
        <w:rPr>
          <w:i/>
        </w:rPr>
        <w:t>Summary Annual Report of the Director of the Internal Audit and Oversight Division (IAOD) (document WO/PBC/22/4)</w:t>
      </w:r>
      <w:r>
        <w:rPr>
          <w:i/>
        </w:rPr>
        <w:t>.</w:t>
      </w:r>
    </w:p>
    <w:p w:rsidR="004B6701" w:rsidRPr="00B929E3" w:rsidRDefault="004B6701" w:rsidP="004B6701">
      <w:pPr>
        <w:spacing w:after="220"/>
        <w:rPr>
          <w:i/>
        </w:rPr>
      </w:pPr>
    </w:p>
    <w:p w:rsidR="004B6701" w:rsidRPr="00B929E3" w:rsidRDefault="004B6701" w:rsidP="004B6701">
      <w:pPr>
        <w:ind w:left="5534"/>
        <w:rPr>
          <w:sz w:val="20"/>
        </w:rPr>
      </w:pPr>
      <w:r w:rsidRPr="00B929E3">
        <w:t>[Summary Annual Report by Director, IAOD follows]</w:t>
      </w:r>
    </w:p>
    <w:p w:rsidR="004B6701" w:rsidRPr="00B929E3" w:rsidRDefault="004B6701" w:rsidP="004B6701">
      <w:pPr>
        <w:spacing w:after="220"/>
        <w:ind w:left="5533"/>
      </w:pPr>
    </w:p>
    <w:p w:rsidR="004B6701" w:rsidRPr="00B929E3" w:rsidRDefault="004B6701" w:rsidP="004B6701">
      <w:pPr>
        <w:ind w:left="6270"/>
        <w:rPr>
          <w:rFonts w:eastAsia="Times New Roman" w:cs="Times New Roman"/>
          <w:i/>
          <w:lang w:eastAsia="en-US"/>
        </w:rPr>
      </w:pPr>
      <w:r w:rsidRPr="00B929E3">
        <w:rPr>
          <w:rFonts w:eastAsia="Times New Roman" w:cs="Times New Roman"/>
          <w:i/>
          <w:lang w:eastAsia="en-US"/>
        </w:rPr>
        <w:t xml:space="preserve"> </w:t>
      </w:r>
    </w:p>
    <w:p w:rsidR="004B6701" w:rsidRPr="00B929E3" w:rsidRDefault="004B6701" w:rsidP="004B6701">
      <w:pPr>
        <w:jc w:val="both"/>
      </w:pPr>
    </w:p>
    <w:p w:rsidR="00625D7B" w:rsidRDefault="00625D7B">
      <w:pPr>
        <w:rPr>
          <w:rFonts w:eastAsia="Times New Roman" w:cs="Times New Roman"/>
          <w:b/>
          <w:bCs/>
        </w:rPr>
      </w:pPr>
      <w:r>
        <w:rPr>
          <w:rFonts w:eastAsia="Times New Roman" w:cs="Times New Roman"/>
          <w:b/>
          <w:bCs/>
        </w:rPr>
        <w:br w:type="page"/>
      </w:r>
    </w:p>
    <w:p w:rsidR="004B6701" w:rsidRDefault="004B6701" w:rsidP="004B6701">
      <w:pPr>
        <w:spacing w:after="200" w:line="276" w:lineRule="auto"/>
        <w:rPr>
          <w:rFonts w:eastAsia="Times New Roman" w:cs="Times New Roman"/>
          <w:b/>
          <w:bCs/>
        </w:rPr>
      </w:pPr>
    </w:p>
    <w:p w:rsidR="004B6701" w:rsidRDefault="004B6701" w:rsidP="004B6701">
      <w:pPr>
        <w:keepLines/>
        <w:jc w:val="both"/>
      </w:pPr>
    </w:p>
    <w:p w:rsidR="004B6701" w:rsidRDefault="004B6701" w:rsidP="004B6701">
      <w:pPr>
        <w:sectPr w:rsidR="004B6701" w:rsidSect="00625D7B">
          <w:headerReference w:type="default" r:id="rId12"/>
          <w:headerReference w:type="first" r:id="rId13"/>
          <w:endnotePr>
            <w:numFmt w:val="decimal"/>
          </w:endnotePr>
          <w:pgSz w:w="11907" w:h="16840" w:code="9"/>
          <w:pgMar w:top="340" w:right="1134" w:bottom="1418" w:left="1418" w:header="340" w:footer="1021" w:gutter="0"/>
          <w:pgNumType w:start="1"/>
          <w:cols w:space="720"/>
          <w:titlePg/>
          <w:docGrid w:linePitch="299"/>
        </w:sectPr>
      </w:pPr>
    </w:p>
    <w:p w:rsidR="004B6701" w:rsidRPr="00DA5DBB" w:rsidRDefault="004B6701" w:rsidP="006A0D3F">
      <w:pPr>
        <w:pStyle w:val="Heading1"/>
        <w:jc w:val="center"/>
      </w:pPr>
      <w:bookmarkStart w:id="7" w:name="_Toc392160658"/>
      <w:bookmarkStart w:id="8" w:name="_Toc392160685"/>
      <w:bookmarkStart w:id="9" w:name="_Toc392160701"/>
      <w:bookmarkStart w:id="10" w:name="_Toc392160738"/>
      <w:r w:rsidRPr="00DA5DBB">
        <w:lastRenderedPageBreak/>
        <w:t>TABLE OF CONTENT</w:t>
      </w:r>
      <w:bookmarkEnd w:id="7"/>
      <w:bookmarkEnd w:id="8"/>
      <w:bookmarkEnd w:id="9"/>
      <w:bookmarkEnd w:id="10"/>
    </w:p>
    <w:p w:rsidR="004B6701" w:rsidRPr="00DA5DBB" w:rsidRDefault="004B6701" w:rsidP="004B6701">
      <w:pPr>
        <w:keepLines/>
      </w:pPr>
    </w:p>
    <w:p w:rsidR="00140A13" w:rsidRDefault="004B6701">
      <w:pPr>
        <w:pStyle w:val="TOC1"/>
        <w:rPr>
          <w:rFonts w:asciiTheme="minorHAnsi" w:eastAsiaTheme="minorEastAsia" w:hAnsiTheme="minorHAnsi" w:cstheme="minorBidi"/>
          <w:noProof/>
          <w:szCs w:val="22"/>
          <w:lang w:eastAsia="en-US"/>
        </w:rPr>
      </w:pPr>
      <w:r>
        <w:fldChar w:fldCharType="begin"/>
      </w:r>
      <w:r>
        <w:instrText xml:space="preserve"> TOC \o "1-1" \h \z \u </w:instrText>
      </w:r>
      <w:r>
        <w:fldChar w:fldCharType="separate"/>
      </w:r>
      <w:hyperlink w:anchor="_Toc392160739" w:history="1">
        <w:r w:rsidR="00140A13" w:rsidRPr="00B9566C">
          <w:rPr>
            <w:rStyle w:val="Hyperlink"/>
            <w:noProof/>
          </w:rPr>
          <w:t>LIST OF ACRONYMS</w:t>
        </w:r>
        <w:r w:rsidR="00140A13">
          <w:rPr>
            <w:noProof/>
            <w:webHidden/>
          </w:rPr>
          <w:tab/>
        </w:r>
        <w:r w:rsidR="00140A13">
          <w:rPr>
            <w:noProof/>
            <w:webHidden/>
          </w:rPr>
          <w:fldChar w:fldCharType="begin"/>
        </w:r>
        <w:r w:rsidR="00140A13">
          <w:rPr>
            <w:noProof/>
            <w:webHidden/>
          </w:rPr>
          <w:instrText xml:space="preserve"> PAGEREF _Toc392160739 \h </w:instrText>
        </w:r>
        <w:r w:rsidR="00140A13">
          <w:rPr>
            <w:noProof/>
            <w:webHidden/>
          </w:rPr>
        </w:r>
        <w:r w:rsidR="00140A13">
          <w:rPr>
            <w:noProof/>
            <w:webHidden/>
          </w:rPr>
          <w:fldChar w:fldCharType="separate"/>
        </w:r>
        <w:r w:rsidR="00ED682D">
          <w:rPr>
            <w:noProof/>
            <w:webHidden/>
          </w:rPr>
          <w:t>4</w:t>
        </w:r>
        <w:r w:rsidR="00140A13">
          <w:rPr>
            <w:noProof/>
            <w:webHidden/>
          </w:rPr>
          <w:fldChar w:fldCharType="end"/>
        </w:r>
      </w:hyperlink>
    </w:p>
    <w:p w:rsidR="00140A13" w:rsidRDefault="00ED682D">
      <w:pPr>
        <w:pStyle w:val="TOC1"/>
        <w:rPr>
          <w:rFonts w:asciiTheme="minorHAnsi" w:eastAsiaTheme="minorEastAsia" w:hAnsiTheme="minorHAnsi" w:cstheme="minorBidi"/>
          <w:noProof/>
          <w:szCs w:val="22"/>
          <w:lang w:eastAsia="en-US"/>
        </w:rPr>
      </w:pPr>
      <w:hyperlink w:anchor="_Toc392160741" w:history="1">
        <w:r w:rsidR="00140A13" w:rsidRPr="00B9566C">
          <w:rPr>
            <w:rStyle w:val="Hyperlink"/>
            <w:noProof/>
          </w:rPr>
          <w:t>BACKGROUND</w:t>
        </w:r>
        <w:r w:rsidR="00140A13">
          <w:rPr>
            <w:noProof/>
            <w:webHidden/>
          </w:rPr>
          <w:tab/>
        </w:r>
        <w:r w:rsidR="00140A13">
          <w:rPr>
            <w:noProof/>
            <w:webHidden/>
          </w:rPr>
          <w:fldChar w:fldCharType="begin"/>
        </w:r>
        <w:r w:rsidR="00140A13">
          <w:rPr>
            <w:noProof/>
            <w:webHidden/>
          </w:rPr>
          <w:instrText xml:space="preserve"> PAGEREF _Toc392160741 \h </w:instrText>
        </w:r>
        <w:r w:rsidR="00140A13">
          <w:rPr>
            <w:noProof/>
            <w:webHidden/>
          </w:rPr>
        </w:r>
        <w:r w:rsidR="00140A13">
          <w:rPr>
            <w:noProof/>
            <w:webHidden/>
          </w:rPr>
          <w:fldChar w:fldCharType="separate"/>
        </w:r>
        <w:r>
          <w:rPr>
            <w:noProof/>
            <w:webHidden/>
          </w:rPr>
          <w:t>5</w:t>
        </w:r>
        <w:r w:rsidR="00140A13">
          <w:rPr>
            <w:noProof/>
            <w:webHidden/>
          </w:rPr>
          <w:fldChar w:fldCharType="end"/>
        </w:r>
      </w:hyperlink>
    </w:p>
    <w:p w:rsidR="00140A13" w:rsidRDefault="00ED682D">
      <w:pPr>
        <w:pStyle w:val="TOC1"/>
        <w:rPr>
          <w:rFonts w:asciiTheme="minorHAnsi" w:eastAsiaTheme="minorEastAsia" w:hAnsiTheme="minorHAnsi" w:cstheme="minorBidi"/>
          <w:noProof/>
          <w:szCs w:val="22"/>
          <w:lang w:eastAsia="en-US"/>
        </w:rPr>
      </w:pPr>
      <w:hyperlink w:anchor="_Toc392160742" w:history="1">
        <w:r w:rsidR="00140A13" w:rsidRPr="00B9566C">
          <w:rPr>
            <w:rStyle w:val="Hyperlink"/>
            <w:noProof/>
          </w:rPr>
          <w:t>PLANNING, STANDARDS AND NORMS</w:t>
        </w:r>
        <w:r w:rsidR="00140A13">
          <w:rPr>
            <w:noProof/>
            <w:webHidden/>
          </w:rPr>
          <w:tab/>
        </w:r>
        <w:r w:rsidR="00140A13">
          <w:rPr>
            <w:noProof/>
            <w:webHidden/>
          </w:rPr>
          <w:fldChar w:fldCharType="begin"/>
        </w:r>
        <w:r w:rsidR="00140A13">
          <w:rPr>
            <w:noProof/>
            <w:webHidden/>
          </w:rPr>
          <w:instrText xml:space="preserve"> PAGEREF _Toc392160742 \h </w:instrText>
        </w:r>
        <w:r w:rsidR="00140A13">
          <w:rPr>
            <w:noProof/>
            <w:webHidden/>
          </w:rPr>
        </w:r>
        <w:r w:rsidR="00140A13">
          <w:rPr>
            <w:noProof/>
            <w:webHidden/>
          </w:rPr>
          <w:fldChar w:fldCharType="separate"/>
        </w:r>
        <w:r>
          <w:rPr>
            <w:noProof/>
            <w:webHidden/>
          </w:rPr>
          <w:t>5</w:t>
        </w:r>
        <w:r w:rsidR="00140A13">
          <w:rPr>
            <w:noProof/>
            <w:webHidden/>
          </w:rPr>
          <w:fldChar w:fldCharType="end"/>
        </w:r>
      </w:hyperlink>
    </w:p>
    <w:p w:rsidR="00140A13" w:rsidRDefault="00ED682D">
      <w:pPr>
        <w:pStyle w:val="TOC1"/>
        <w:rPr>
          <w:rFonts w:asciiTheme="minorHAnsi" w:eastAsiaTheme="minorEastAsia" w:hAnsiTheme="minorHAnsi" w:cstheme="minorBidi"/>
          <w:noProof/>
          <w:szCs w:val="22"/>
          <w:lang w:eastAsia="en-US"/>
        </w:rPr>
      </w:pPr>
      <w:hyperlink w:anchor="_Toc392160743" w:history="1">
        <w:r w:rsidR="00140A13" w:rsidRPr="00B9566C">
          <w:rPr>
            <w:rStyle w:val="Hyperlink"/>
            <w:noProof/>
          </w:rPr>
          <w:t>SIGNIFICANT INTERNAL OVERSIGHT FINDINGS AND RECOMMENDATIONS</w:t>
        </w:r>
        <w:r w:rsidR="00140A13">
          <w:rPr>
            <w:noProof/>
            <w:webHidden/>
          </w:rPr>
          <w:tab/>
        </w:r>
        <w:r w:rsidR="00140A13">
          <w:rPr>
            <w:noProof/>
            <w:webHidden/>
          </w:rPr>
          <w:fldChar w:fldCharType="begin"/>
        </w:r>
        <w:r w:rsidR="00140A13">
          <w:rPr>
            <w:noProof/>
            <w:webHidden/>
          </w:rPr>
          <w:instrText xml:space="preserve"> PAGEREF _Toc392160743 \h </w:instrText>
        </w:r>
        <w:r w:rsidR="00140A13">
          <w:rPr>
            <w:noProof/>
            <w:webHidden/>
          </w:rPr>
        </w:r>
        <w:r w:rsidR="00140A13">
          <w:rPr>
            <w:noProof/>
            <w:webHidden/>
          </w:rPr>
          <w:fldChar w:fldCharType="separate"/>
        </w:r>
        <w:r>
          <w:rPr>
            <w:noProof/>
            <w:webHidden/>
          </w:rPr>
          <w:t>6</w:t>
        </w:r>
        <w:r w:rsidR="00140A13">
          <w:rPr>
            <w:noProof/>
            <w:webHidden/>
          </w:rPr>
          <w:fldChar w:fldCharType="end"/>
        </w:r>
      </w:hyperlink>
    </w:p>
    <w:p w:rsidR="00140A13" w:rsidRDefault="00ED682D">
      <w:pPr>
        <w:pStyle w:val="TOC1"/>
        <w:rPr>
          <w:rFonts w:asciiTheme="minorHAnsi" w:eastAsiaTheme="minorEastAsia" w:hAnsiTheme="minorHAnsi" w:cstheme="minorBidi"/>
          <w:noProof/>
          <w:szCs w:val="22"/>
          <w:lang w:eastAsia="en-US"/>
        </w:rPr>
      </w:pPr>
      <w:hyperlink w:anchor="_Toc392160744" w:history="1">
        <w:r w:rsidR="00140A13" w:rsidRPr="00B9566C">
          <w:rPr>
            <w:rStyle w:val="Hyperlink"/>
            <w:noProof/>
          </w:rPr>
          <w:t>INVESTIGATIVE ACTIVITIES IN THE REPORTING PERIOD</w:t>
        </w:r>
        <w:r w:rsidR="00140A13">
          <w:rPr>
            <w:noProof/>
            <w:webHidden/>
          </w:rPr>
          <w:tab/>
        </w:r>
        <w:r w:rsidR="00140A13">
          <w:rPr>
            <w:noProof/>
            <w:webHidden/>
          </w:rPr>
          <w:fldChar w:fldCharType="begin"/>
        </w:r>
        <w:r w:rsidR="00140A13">
          <w:rPr>
            <w:noProof/>
            <w:webHidden/>
          </w:rPr>
          <w:instrText xml:space="preserve"> PAGEREF _Toc392160744 \h </w:instrText>
        </w:r>
        <w:r w:rsidR="00140A13">
          <w:rPr>
            <w:noProof/>
            <w:webHidden/>
          </w:rPr>
        </w:r>
        <w:r w:rsidR="00140A13">
          <w:rPr>
            <w:noProof/>
            <w:webHidden/>
          </w:rPr>
          <w:fldChar w:fldCharType="separate"/>
        </w:r>
        <w:r>
          <w:rPr>
            <w:noProof/>
            <w:webHidden/>
          </w:rPr>
          <w:t>13</w:t>
        </w:r>
        <w:r w:rsidR="00140A13">
          <w:rPr>
            <w:noProof/>
            <w:webHidden/>
          </w:rPr>
          <w:fldChar w:fldCharType="end"/>
        </w:r>
      </w:hyperlink>
    </w:p>
    <w:p w:rsidR="00140A13" w:rsidRDefault="00ED682D">
      <w:pPr>
        <w:pStyle w:val="TOC1"/>
        <w:rPr>
          <w:rFonts w:asciiTheme="minorHAnsi" w:eastAsiaTheme="minorEastAsia" w:hAnsiTheme="minorHAnsi" w:cstheme="minorBidi"/>
          <w:noProof/>
          <w:szCs w:val="22"/>
          <w:lang w:eastAsia="en-US"/>
        </w:rPr>
      </w:pPr>
      <w:hyperlink w:anchor="_Toc392160745" w:history="1">
        <w:r w:rsidR="00140A13" w:rsidRPr="00B9566C">
          <w:rPr>
            <w:rStyle w:val="Hyperlink"/>
            <w:noProof/>
          </w:rPr>
          <w:t>INSTANCES WHERE INFORMATION OR ASSISTANCE WAS REFUSED</w:t>
        </w:r>
        <w:r w:rsidR="00140A13">
          <w:rPr>
            <w:noProof/>
            <w:webHidden/>
          </w:rPr>
          <w:tab/>
        </w:r>
        <w:r w:rsidR="00140A13">
          <w:rPr>
            <w:noProof/>
            <w:webHidden/>
          </w:rPr>
          <w:fldChar w:fldCharType="begin"/>
        </w:r>
        <w:r w:rsidR="00140A13">
          <w:rPr>
            <w:noProof/>
            <w:webHidden/>
          </w:rPr>
          <w:instrText xml:space="preserve"> PAGEREF _Toc392160745 \h </w:instrText>
        </w:r>
        <w:r w:rsidR="00140A13">
          <w:rPr>
            <w:noProof/>
            <w:webHidden/>
          </w:rPr>
        </w:r>
        <w:r w:rsidR="00140A13">
          <w:rPr>
            <w:noProof/>
            <w:webHidden/>
          </w:rPr>
          <w:fldChar w:fldCharType="separate"/>
        </w:r>
        <w:r>
          <w:rPr>
            <w:noProof/>
            <w:webHidden/>
          </w:rPr>
          <w:t>15</w:t>
        </w:r>
        <w:r w:rsidR="00140A13">
          <w:rPr>
            <w:noProof/>
            <w:webHidden/>
          </w:rPr>
          <w:fldChar w:fldCharType="end"/>
        </w:r>
      </w:hyperlink>
    </w:p>
    <w:p w:rsidR="00140A13" w:rsidRDefault="00ED682D">
      <w:pPr>
        <w:pStyle w:val="TOC1"/>
        <w:rPr>
          <w:rFonts w:asciiTheme="minorHAnsi" w:eastAsiaTheme="minorEastAsia" w:hAnsiTheme="minorHAnsi" w:cstheme="minorBidi"/>
          <w:noProof/>
          <w:szCs w:val="22"/>
          <w:lang w:eastAsia="en-US"/>
        </w:rPr>
      </w:pPr>
      <w:hyperlink w:anchor="_Toc392160746" w:history="1">
        <w:r w:rsidR="00140A13" w:rsidRPr="00B9566C">
          <w:rPr>
            <w:rStyle w:val="Hyperlink"/>
            <w:noProof/>
          </w:rPr>
          <w:t>STATUS OF IMPLEMENTATION OF PREVIOUS RECOMMENDATIONS</w:t>
        </w:r>
        <w:r w:rsidR="00140A13">
          <w:rPr>
            <w:noProof/>
            <w:webHidden/>
          </w:rPr>
          <w:tab/>
        </w:r>
        <w:r w:rsidR="00140A13">
          <w:rPr>
            <w:noProof/>
            <w:webHidden/>
          </w:rPr>
          <w:fldChar w:fldCharType="begin"/>
        </w:r>
        <w:r w:rsidR="00140A13">
          <w:rPr>
            <w:noProof/>
            <w:webHidden/>
          </w:rPr>
          <w:instrText xml:space="preserve"> PAGEREF _Toc392160746 \h </w:instrText>
        </w:r>
        <w:r w:rsidR="00140A13">
          <w:rPr>
            <w:noProof/>
            <w:webHidden/>
          </w:rPr>
        </w:r>
        <w:r w:rsidR="00140A13">
          <w:rPr>
            <w:noProof/>
            <w:webHidden/>
          </w:rPr>
          <w:fldChar w:fldCharType="separate"/>
        </w:r>
        <w:r>
          <w:rPr>
            <w:noProof/>
            <w:webHidden/>
          </w:rPr>
          <w:t>15</w:t>
        </w:r>
        <w:r w:rsidR="00140A13">
          <w:rPr>
            <w:noProof/>
            <w:webHidden/>
          </w:rPr>
          <w:fldChar w:fldCharType="end"/>
        </w:r>
      </w:hyperlink>
    </w:p>
    <w:p w:rsidR="00140A13" w:rsidRDefault="00ED682D">
      <w:pPr>
        <w:pStyle w:val="TOC1"/>
        <w:rPr>
          <w:rFonts w:asciiTheme="minorHAnsi" w:eastAsiaTheme="minorEastAsia" w:hAnsiTheme="minorHAnsi" w:cstheme="minorBidi"/>
          <w:noProof/>
          <w:szCs w:val="22"/>
          <w:lang w:eastAsia="en-US"/>
        </w:rPr>
      </w:pPr>
      <w:hyperlink w:anchor="_Toc392160747" w:history="1">
        <w:r w:rsidR="00140A13" w:rsidRPr="00B9566C">
          <w:rPr>
            <w:rStyle w:val="Hyperlink"/>
            <w:noProof/>
          </w:rPr>
          <w:t>EXTERNAL ASSESSMENT OF IAOD’s WORK</w:t>
        </w:r>
        <w:r w:rsidR="00140A13">
          <w:rPr>
            <w:noProof/>
            <w:webHidden/>
          </w:rPr>
          <w:tab/>
        </w:r>
        <w:r w:rsidR="00140A13">
          <w:rPr>
            <w:noProof/>
            <w:webHidden/>
          </w:rPr>
          <w:fldChar w:fldCharType="begin"/>
        </w:r>
        <w:r w:rsidR="00140A13">
          <w:rPr>
            <w:noProof/>
            <w:webHidden/>
          </w:rPr>
          <w:instrText xml:space="preserve"> PAGEREF _Toc392160747 \h </w:instrText>
        </w:r>
        <w:r w:rsidR="00140A13">
          <w:rPr>
            <w:noProof/>
            <w:webHidden/>
          </w:rPr>
        </w:r>
        <w:r w:rsidR="00140A13">
          <w:rPr>
            <w:noProof/>
            <w:webHidden/>
          </w:rPr>
          <w:fldChar w:fldCharType="separate"/>
        </w:r>
        <w:r>
          <w:rPr>
            <w:noProof/>
            <w:webHidden/>
          </w:rPr>
          <w:t>18</w:t>
        </w:r>
        <w:r w:rsidR="00140A13">
          <w:rPr>
            <w:noProof/>
            <w:webHidden/>
          </w:rPr>
          <w:fldChar w:fldCharType="end"/>
        </w:r>
      </w:hyperlink>
    </w:p>
    <w:p w:rsidR="00140A13" w:rsidRDefault="00ED682D">
      <w:pPr>
        <w:pStyle w:val="TOC1"/>
        <w:rPr>
          <w:rFonts w:asciiTheme="minorHAnsi" w:eastAsiaTheme="minorEastAsia" w:hAnsiTheme="minorHAnsi" w:cstheme="minorBidi"/>
          <w:noProof/>
          <w:szCs w:val="22"/>
          <w:lang w:eastAsia="en-US"/>
        </w:rPr>
      </w:pPr>
      <w:hyperlink w:anchor="_Toc392160748" w:history="1">
        <w:r w:rsidR="00140A13" w:rsidRPr="00B9566C">
          <w:rPr>
            <w:rStyle w:val="Hyperlink"/>
            <w:noProof/>
          </w:rPr>
          <w:t>OTHER OVERSIGHT WORK</w:t>
        </w:r>
        <w:r w:rsidR="00140A13">
          <w:rPr>
            <w:noProof/>
            <w:webHidden/>
          </w:rPr>
          <w:tab/>
        </w:r>
        <w:r w:rsidR="00140A13">
          <w:rPr>
            <w:noProof/>
            <w:webHidden/>
          </w:rPr>
          <w:fldChar w:fldCharType="begin"/>
        </w:r>
        <w:r w:rsidR="00140A13">
          <w:rPr>
            <w:noProof/>
            <w:webHidden/>
          </w:rPr>
          <w:instrText xml:space="preserve"> PAGEREF _Toc392160748 \h </w:instrText>
        </w:r>
        <w:r w:rsidR="00140A13">
          <w:rPr>
            <w:noProof/>
            <w:webHidden/>
          </w:rPr>
        </w:r>
        <w:r w:rsidR="00140A13">
          <w:rPr>
            <w:noProof/>
            <w:webHidden/>
          </w:rPr>
          <w:fldChar w:fldCharType="separate"/>
        </w:r>
        <w:r>
          <w:rPr>
            <w:noProof/>
            <w:webHidden/>
          </w:rPr>
          <w:t>18</w:t>
        </w:r>
        <w:r w:rsidR="00140A13">
          <w:rPr>
            <w:noProof/>
            <w:webHidden/>
          </w:rPr>
          <w:fldChar w:fldCharType="end"/>
        </w:r>
      </w:hyperlink>
    </w:p>
    <w:p w:rsidR="00140A13" w:rsidRDefault="00ED682D">
      <w:pPr>
        <w:pStyle w:val="TOC1"/>
        <w:rPr>
          <w:rFonts w:asciiTheme="minorHAnsi" w:eastAsiaTheme="minorEastAsia" w:hAnsiTheme="minorHAnsi" w:cstheme="minorBidi"/>
          <w:noProof/>
          <w:szCs w:val="22"/>
          <w:lang w:eastAsia="en-US"/>
        </w:rPr>
      </w:pPr>
      <w:hyperlink w:anchor="_Toc392160749" w:history="1">
        <w:r w:rsidR="00140A13" w:rsidRPr="00B9566C">
          <w:rPr>
            <w:rStyle w:val="Hyperlink"/>
            <w:noProof/>
          </w:rPr>
          <w:t>OVERSIGHT RESOURCES</w:t>
        </w:r>
        <w:r w:rsidR="00140A13">
          <w:rPr>
            <w:noProof/>
            <w:webHidden/>
          </w:rPr>
          <w:tab/>
        </w:r>
        <w:r w:rsidR="00140A13">
          <w:rPr>
            <w:noProof/>
            <w:webHidden/>
          </w:rPr>
          <w:fldChar w:fldCharType="begin"/>
        </w:r>
        <w:r w:rsidR="00140A13">
          <w:rPr>
            <w:noProof/>
            <w:webHidden/>
          </w:rPr>
          <w:instrText xml:space="preserve"> PAGEREF _Toc392160749 \h </w:instrText>
        </w:r>
        <w:r w:rsidR="00140A13">
          <w:rPr>
            <w:noProof/>
            <w:webHidden/>
          </w:rPr>
        </w:r>
        <w:r w:rsidR="00140A13">
          <w:rPr>
            <w:noProof/>
            <w:webHidden/>
          </w:rPr>
          <w:fldChar w:fldCharType="separate"/>
        </w:r>
        <w:r>
          <w:rPr>
            <w:noProof/>
            <w:webHidden/>
          </w:rPr>
          <w:t>20</w:t>
        </w:r>
        <w:r w:rsidR="00140A13">
          <w:rPr>
            <w:noProof/>
            <w:webHidden/>
          </w:rPr>
          <w:fldChar w:fldCharType="end"/>
        </w:r>
      </w:hyperlink>
    </w:p>
    <w:p w:rsidR="004B6701" w:rsidRDefault="004B6701" w:rsidP="004B6701">
      <w:pPr>
        <w:keepLines/>
        <w:tabs>
          <w:tab w:val="left" w:leader="dot" w:pos="8910"/>
        </w:tabs>
        <w:spacing w:before="240" w:after="120" w:line="360" w:lineRule="auto"/>
      </w:pPr>
      <w:r>
        <w:fldChar w:fldCharType="end"/>
      </w:r>
    </w:p>
    <w:p w:rsidR="004B6701" w:rsidRDefault="004B6701" w:rsidP="004B6701">
      <w:pPr>
        <w:keepLines/>
        <w:tabs>
          <w:tab w:val="left" w:leader="dot" w:pos="8910"/>
        </w:tabs>
        <w:spacing w:before="240" w:after="120" w:line="360" w:lineRule="auto"/>
      </w:pPr>
    </w:p>
    <w:p w:rsidR="004B6701" w:rsidRPr="00DA5DBB" w:rsidRDefault="004B6701" w:rsidP="004B6701">
      <w:pPr>
        <w:keepLines/>
        <w:tabs>
          <w:tab w:val="left" w:leader="dot" w:pos="8910"/>
        </w:tabs>
        <w:spacing w:before="240" w:after="120" w:line="360" w:lineRule="auto"/>
        <w:rPr>
          <w:b/>
          <w:noProof/>
        </w:rPr>
      </w:pPr>
      <w:r w:rsidRPr="00DA5DBB">
        <w:rPr>
          <w:b/>
          <w:noProof/>
        </w:rPr>
        <w:t>ANNEXES</w:t>
      </w:r>
    </w:p>
    <w:p w:rsidR="004B6701" w:rsidRDefault="004B6701" w:rsidP="004B6701">
      <w:pPr>
        <w:keepLines/>
        <w:tabs>
          <w:tab w:val="left" w:pos="1134"/>
          <w:tab w:val="left" w:pos="1560"/>
        </w:tabs>
        <w:rPr>
          <w:noProof/>
        </w:rPr>
      </w:pPr>
      <w:r>
        <w:rPr>
          <w:noProof/>
        </w:rPr>
        <w:t>ANNEX I</w:t>
      </w:r>
      <w:r>
        <w:rPr>
          <w:noProof/>
        </w:rPr>
        <w:tab/>
      </w:r>
      <w:r w:rsidRPr="00DA5DBB">
        <w:rPr>
          <w:noProof/>
        </w:rPr>
        <w:t xml:space="preserve">– </w:t>
      </w:r>
      <w:r>
        <w:rPr>
          <w:noProof/>
        </w:rPr>
        <w:tab/>
        <w:t>Status of oversight assignments</w:t>
      </w:r>
    </w:p>
    <w:p w:rsidR="004B6701" w:rsidRPr="00DA5DBB" w:rsidRDefault="004B6701" w:rsidP="004B6701">
      <w:pPr>
        <w:keepLines/>
        <w:tabs>
          <w:tab w:val="left" w:pos="1134"/>
          <w:tab w:val="left" w:pos="1560"/>
        </w:tabs>
        <w:rPr>
          <w:noProof/>
        </w:rPr>
      </w:pPr>
      <w:r w:rsidRPr="00DA5DBB">
        <w:rPr>
          <w:noProof/>
        </w:rPr>
        <w:t>ANNEX I</w:t>
      </w:r>
      <w:r>
        <w:rPr>
          <w:noProof/>
        </w:rPr>
        <w:t>I</w:t>
      </w:r>
      <w:r w:rsidRPr="00DA5DBB">
        <w:rPr>
          <w:noProof/>
        </w:rPr>
        <w:t xml:space="preserve"> </w:t>
      </w:r>
      <w:r>
        <w:rPr>
          <w:noProof/>
        </w:rPr>
        <w:tab/>
      </w:r>
      <w:r w:rsidRPr="00DA5DBB">
        <w:rPr>
          <w:noProof/>
        </w:rPr>
        <w:t xml:space="preserve">– </w:t>
      </w:r>
      <w:r>
        <w:rPr>
          <w:noProof/>
        </w:rPr>
        <w:tab/>
      </w:r>
      <w:r w:rsidR="00B56438">
        <w:rPr>
          <w:noProof/>
        </w:rPr>
        <w:t>List of IAOD r</w:t>
      </w:r>
      <w:r w:rsidRPr="00DA5DBB">
        <w:rPr>
          <w:noProof/>
        </w:rPr>
        <w:t>eports</w:t>
      </w:r>
    </w:p>
    <w:p w:rsidR="004B6701" w:rsidRPr="00DA5DBB" w:rsidRDefault="004B6701" w:rsidP="004B6701">
      <w:pPr>
        <w:keepLines/>
        <w:tabs>
          <w:tab w:val="left" w:pos="1134"/>
          <w:tab w:val="left" w:pos="1560"/>
        </w:tabs>
        <w:rPr>
          <w:noProof/>
        </w:rPr>
      </w:pPr>
      <w:r w:rsidRPr="00DA5DBB">
        <w:rPr>
          <w:noProof/>
        </w:rPr>
        <w:t>ANNEX II</w:t>
      </w:r>
      <w:r>
        <w:rPr>
          <w:noProof/>
        </w:rPr>
        <w:t>I</w:t>
      </w:r>
      <w:r w:rsidRPr="00DA5DBB">
        <w:rPr>
          <w:noProof/>
        </w:rPr>
        <w:t xml:space="preserve"> </w:t>
      </w:r>
      <w:r>
        <w:rPr>
          <w:noProof/>
        </w:rPr>
        <w:tab/>
      </w:r>
      <w:r w:rsidRPr="00DA5DBB">
        <w:rPr>
          <w:noProof/>
        </w:rPr>
        <w:t xml:space="preserve">– </w:t>
      </w:r>
      <w:r>
        <w:rPr>
          <w:noProof/>
        </w:rPr>
        <w:tab/>
      </w:r>
      <w:r w:rsidRPr="00DA5DBB">
        <w:rPr>
          <w:noProof/>
        </w:rPr>
        <w:t xml:space="preserve">Investigation </w:t>
      </w:r>
      <w:r w:rsidR="00B56438">
        <w:rPr>
          <w:noProof/>
        </w:rPr>
        <w:t>s</w:t>
      </w:r>
      <w:r w:rsidRPr="00DA5DBB">
        <w:rPr>
          <w:noProof/>
        </w:rPr>
        <w:t>tatistics</w:t>
      </w:r>
    </w:p>
    <w:p w:rsidR="004B6701" w:rsidRPr="00DA5DBB" w:rsidRDefault="004B6701" w:rsidP="004B6701">
      <w:pPr>
        <w:keepLines/>
        <w:tabs>
          <w:tab w:val="left" w:pos="1134"/>
          <w:tab w:val="left" w:pos="1560"/>
        </w:tabs>
        <w:rPr>
          <w:noProof/>
        </w:rPr>
      </w:pPr>
      <w:r>
        <w:rPr>
          <w:noProof/>
        </w:rPr>
        <w:t>ANNEX IV</w:t>
      </w:r>
      <w:r w:rsidRPr="00DA5DBB">
        <w:rPr>
          <w:noProof/>
        </w:rPr>
        <w:t xml:space="preserve"> </w:t>
      </w:r>
      <w:r>
        <w:rPr>
          <w:noProof/>
        </w:rPr>
        <w:tab/>
      </w:r>
      <w:r w:rsidRPr="00DA5DBB">
        <w:rPr>
          <w:noProof/>
        </w:rPr>
        <w:t xml:space="preserve">– </w:t>
      </w:r>
      <w:r>
        <w:rPr>
          <w:noProof/>
        </w:rPr>
        <w:tab/>
      </w:r>
      <w:r w:rsidR="00B56438">
        <w:rPr>
          <w:noProof/>
        </w:rPr>
        <w:t>List of IAOD r</w:t>
      </w:r>
      <w:r w:rsidRPr="00DA5DBB">
        <w:rPr>
          <w:noProof/>
        </w:rPr>
        <w:t>ecommendat</w:t>
      </w:r>
      <w:r w:rsidR="00B56438">
        <w:rPr>
          <w:noProof/>
        </w:rPr>
        <w:t>ions c</w:t>
      </w:r>
      <w:r w:rsidRPr="00DA5DBB">
        <w:rPr>
          <w:noProof/>
        </w:rPr>
        <w:t xml:space="preserve">losed without </w:t>
      </w:r>
      <w:r w:rsidR="00B56438">
        <w:rPr>
          <w:noProof/>
        </w:rPr>
        <w:t>i</w:t>
      </w:r>
      <w:r w:rsidRPr="00DA5DBB">
        <w:rPr>
          <w:noProof/>
        </w:rPr>
        <w:t>mplementation</w:t>
      </w:r>
    </w:p>
    <w:p w:rsidR="004B6701" w:rsidRDefault="004B6701" w:rsidP="004B6701">
      <w:pPr>
        <w:keepLines/>
        <w:tabs>
          <w:tab w:val="left" w:pos="1134"/>
          <w:tab w:val="left" w:pos="1560"/>
        </w:tabs>
        <w:rPr>
          <w:noProof/>
        </w:rPr>
      </w:pPr>
      <w:r>
        <w:rPr>
          <w:noProof/>
        </w:rPr>
        <w:t xml:space="preserve">ANNEX </w:t>
      </w:r>
      <w:r w:rsidRPr="00DA5DBB">
        <w:rPr>
          <w:noProof/>
        </w:rPr>
        <w:t xml:space="preserve">V </w:t>
      </w:r>
      <w:r>
        <w:rPr>
          <w:noProof/>
        </w:rPr>
        <w:tab/>
      </w:r>
      <w:r w:rsidRPr="00DA5DBB">
        <w:rPr>
          <w:noProof/>
        </w:rPr>
        <w:t xml:space="preserve">– </w:t>
      </w:r>
      <w:r>
        <w:rPr>
          <w:noProof/>
        </w:rPr>
        <w:tab/>
      </w:r>
      <w:r w:rsidRPr="00DA5DBB">
        <w:rPr>
          <w:noProof/>
        </w:rPr>
        <w:t>List of IAOD consulting and advisory activities</w:t>
      </w:r>
    </w:p>
    <w:p w:rsidR="00DF598B" w:rsidRDefault="00DF598B">
      <w:pPr>
        <w:rPr>
          <w:noProof/>
        </w:rPr>
      </w:pPr>
      <w:r>
        <w:rPr>
          <w:noProof/>
        </w:rPr>
        <w:br w:type="page"/>
      </w:r>
    </w:p>
    <w:p w:rsidR="002928D3" w:rsidRDefault="006A0D3F" w:rsidP="00CE2815">
      <w:pPr>
        <w:pStyle w:val="Heading1"/>
      </w:pPr>
      <w:bookmarkStart w:id="11" w:name="_Toc392160739"/>
      <w:r>
        <w:lastRenderedPageBreak/>
        <w:t>LIST OF ACRONYMS</w:t>
      </w:r>
      <w:bookmarkEnd w:id="11"/>
    </w:p>
    <w:p w:rsidR="00CE2815" w:rsidRDefault="00CE2815" w:rsidP="004B6701"/>
    <w:tbl>
      <w:tblPr>
        <w:tblStyle w:val="TableGrid"/>
        <w:tblW w:w="0" w:type="auto"/>
        <w:tblInd w:w="0" w:type="dxa"/>
        <w:tblLook w:val="01E0" w:firstRow="1" w:lastRow="1" w:firstColumn="1" w:lastColumn="1" w:noHBand="0" w:noVBand="0"/>
      </w:tblPr>
      <w:tblGrid>
        <w:gridCol w:w="1384"/>
        <w:gridCol w:w="8079"/>
      </w:tblGrid>
      <w:tr w:rsidR="00871CAE" w:rsidRPr="001164EA" w:rsidTr="005D7F4E">
        <w:trPr>
          <w:trHeight w:val="340"/>
        </w:trPr>
        <w:tc>
          <w:tcPr>
            <w:tcW w:w="1384" w:type="dxa"/>
            <w:vAlign w:val="center"/>
          </w:tcPr>
          <w:p w:rsidR="00871CAE" w:rsidRPr="001329B3" w:rsidRDefault="00871CAE" w:rsidP="00871CAE">
            <w:pPr>
              <w:ind w:left="0"/>
              <w:rPr>
                <w:b/>
                <w:bCs/>
                <w:szCs w:val="22"/>
              </w:rPr>
            </w:pPr>
            <w:r>
              <w:rPr>
                <w:b/>
                <w:bCs/>
                <w:szCs w:val="22"/>
              </w:rPr>
              <w:t>BCM</w:t>
            </w:r>
          </w:p>
        </w:tc>
        <w:tc>
          <w:tcPr>
            <w:tcW w:w="8079" w:type="dxa"/>
            <w:vAlign w:val="center"/>
          </w:tcPr>
          <w:p w:rsidR="00871CAE" w:rsidRDefault="00871CAE" w:rsidP="005D7F4E">
            <w:pPr>
              <w:tabs>
                <w:tab w:val="right" w:pos="6880"/>
              </w:tabs>
              <w:ind w:left="43"/>
            </w:pPr>
            <w:r>
              <w:t>Business Continuity Management</w:t>
            </w:r>
          </w:p>
        </w:tc>
      </w:tr>
      <w:tr w:rsidR="00871CAE" w:rsidRPr="001164EA" w:rsidTr="005D7F4E">
        <w:trPr>
          <w:trHeight w:val="340"/>
        </w:trPr>
        <w:tc>
          <w:tcPr>
            <w:tcW w:w="1384" w:type="dxa"/>
            <w:vAlign w:val="center"/>
          </w:tcPr>
          <w:p w:rsidR="00871CAE" w:rsidRPr="001329B3" w:rsidRDefault="00871CAE" w:rsidP="00871CAE">
            <w:pPr>
              <w:ind w:left="0"/>
              <w:rPr>
                <w:b/>
                <w:bCs/>
                <w:szCs w:val="22"/>
              </w:rPr>
            </w:pPr>
            <w:r>
              <w:rPr>
                <w:b/>
                <w:bCs/>
                <w:szCs w:val="22"/>
              </w:rPr>
              <w:t>CPE</w:t>
            </w:r>
          </w:p>
        </w:tc>
        <w:tc>
          <w:tcPr>
            <w:tcW w:w="8079" w:type="dxa"/>
            <w:vAlign w:val="center"/>
          </w:tcPr>
          <w:p w:rsidR="00871CAE" w:rsidRDefault="00871CAE" w:rsidP="005D7F4E">
            <w:pPr>
              <w:tabs>
                <w:tab w:val="right" w:pos="6880"/>
              </w:tabs>
              <w:ind w:left="43"/>
            </w:pPr>
            <w:r>
              <w:t>Country Portfolio Evaluation</w:t>
            </w:r>
          </w:p>
        </w:tc>
      </w:tr>
      <w:tr w:rsidR="00CE2815" w:rsidRPr="001164EA" w:rsidTr="005D7F4E">
        <w:trPr>
          <w:trHeight w:val="340"/>
        </w:trPr>
        <w:tc>
          <w:tcPr>
            <w:tcW w:w="1384" w:type="dxa"/>
            <w:vAlign w:val="center"/>
          </w:tcPr>
          <w:p w:rsidR="00CE2815" w:rsidRPr="001329B3" w:rsidRDefault="00CE2815" w:rsidP="005D7F4E">
            <w:pPr>
              <w:ind w:left="0"/>
              <w:rPr>
                <w:b/>
                <w:bCs/>
                <w:szCs w:val="22"/>
              </w:rPr>
            </w:pPr>
            <w:r w:rsidRPr="001329B3">
              <w:rPr>
                <w:b/>
                <w:bCs/>
                <w:szCs w:val="22"/>
              </w:rPr>
              <w:t>ERP</w:t>
            </w:r>
          </w:p>
        </w:tc>
        <w:tc>
          <w:tcPr>
            <w:tcW w:w="8079" w:type="dxa"/>
            <w:vAlign w:val="center"/>
          </w:tcPr>
          <w:p w:rsidR="00CE2815" w:rsidRPr="007B376E" w:rsidRDefault="00CE2815" w:rsidP="005D7F4E">
            <w:pPr>
              <w:tabs>
                <w:tab w:val="right" w:pos="6880"/>
              </w:tabs>
              <w:ind w:left="43"/>
            </w:pPr>
            <w:r>
              <w:t>Enterprise Resource Planning</w:t>
            </w:r>
          </w:p>
        </w:tc>
      </w:tr>
      <w:tr w:rsidR="00CE2815" w:rsidRPr="001164EA" w:rsidTr="005D7F4E">
        <w:trPr>
          <w:trHeight w:val="340"/>
        </w:trPr>
        <w:tc>
          <w:tcPr>
            <w:tcW w:w="1384" w:type="dxa"/>
            <w:vAlign w:val="center"/>
          </w:tcPr>
          <w:p w:rsidR="00CE2815" w:rsidRPr="004F256E" w:rsidRDefault="00CE2815" w:rsidP="005D7F4E">
            <w:pPr>
              <w:ind w:left="0"/>
              <w:rPr>
                <w:b/>
                <w:bCs/>
                <w:szCs w:val="22"/>
              </w:rPr>
            </w:pPr>
            <w:r w:rsidRPr="001329B3">
              <w:rPr>
                <w:b/>
                <w:bCs/>
                <w:szCs w:val="22"/>
              </w:rPr>
              <w:t>FIT</w:t>
            </w:r>
          </w:p>
        </w:tc>
        <w:tc>
          <w:tcPr>
            <w:tcW w:w="8079" w:type="dxa"/>
            <w:vAlign w:val="center"/>
          </w:tcPr>
          <w:p w:rsidR="00CE2815" w:rsidRPr="001329B3" w:rsidRDefault="00CE2815" w:rsidP="005D7F4E">
            <w:pPr>
              <w:ind w:left="43"/>
            </w:pPr>
            <w:r>
              <w:t>Funds-in-Trust</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sidRPr="001329B3">
              <w:rPr>
                <w:b/>
                <w:bCs/>
                <w:szCs w:val="22"/>
              </w:rPr>
              <w:t xml:space="preserve">HOIA </w:t>
            </w:r>
          </w:p>
        </w:tc>
        <w:tc>
          <w:tcPr>
            <w:tcW w:w="8079" w:type="dxa"/>
            <w:vAlign w:val="center"/>
          </w:tcPr>
          <w:p w:rsidR="00CE2815" w:rsidRPr="001329B3" w:rsidRDefault="00CE2815" w:rsidP="005D7F4E">
            <w:pPr>
              <w:ind w:left="43"/>
            </w:pPr>
            <w:r w:rsidRPr="00DA5DBB">
              <w:t>Head of Internal Audit Services</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sidRPr="001329B3">
              <w:rPr>
                <w:b/>
                <w:bCs/>
                <w:szCs w:val="22"/>
              </w:rPr>
              <w:t>HR</w:t>
            </w:r>
          </w:p>
        </w:tc>
        <w:tc>
          <w:tcPr>
            <w:tcW w:w="8079" w:type="dxa"/>
            <w:vAlign w:val="center"/>
          </w:tcPr>
          <w:p w:rsidR="00CE2815" w:rsidRPr="001329B3" w:rsidRDefault="00CE2815" w:rsidP="005D7F4E">
            <w:pPr>
              <w:ind w:left="43"/>
            </w:pPr>
            <w:r w:rsidRPr="00DA5DBB">
              <w:t>Human Resources</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sidRPr="001329B3">
              <w:rPr>
                <w:b/>
                <w:bCs/>
                <w:szCs w:val="22"/>
              </w:rPr>
              <w:t>HRMD</w:t>
            </w:r>
          </w:p>
        </w:tc>
        <w:tc>
          <w:tcPr>
            <w:tcW w:w="8079" w:type="dxa"/>
            <w:vAlign w:val="center"/>
          </w:tcPr>
          <w:p w:rsidR="00CE2815" w:rsidRPr="001329B3" w:rsidRDefault="00CE2815" w:rsidP="005D7F4E">
            <w:pPr>
              <w:ind w:left="43"/>
            </w:pPr>
            <w:r w:rsidRPr="00DA5DBB">
              <w:t>Human Resources Management Department</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sidRPr="001329B3">
              <w:rPr>
                <w:b/>
                <w:bCs/>
                <w:szCs w:val="22"/>
              </w:rPr>
              <w:t>IAOC</w:t>
            </w:r>
          </w:p>
        </w:tc>
        <w:tc>
          <w:tcPr>
            <w:tcW w:w="8079" w:type="dxa"/>
            <w:vAlign w:val="center"/>
          </w:tcPr>
          <w:p w:rsidR="00CE2815" w:rsidRPr="001329B3" w:rsidRDefault="00CE2815" w:rsidP="005D7F4E">
            <w:pPr>
              <w:ind w:left="43"/>
            </w:pPr>
            <w:r w:rsidRPr="00DA5DBB">
              <w:t>Independent Advisory Oversight Committee</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sidRPr="001329B3">
              <w:rPr>
                <w:b/>
                <w:bCs/>
                <w:szCs w:val="22"/>
              </w:rPr>
              <w:t>IAOD</w:t>
            </w:r>
          </w:p>
        </w:tc>
        <w:tc>
          <w:tcPr>
            <w:tcW w:w="8079" w:type="dxa"/>
            <w:vAlign w:val="center"/>
          </w:tcPr>
          <w:p w:rsidR="00CE2815" w:rsidRPr="001329B3" w:rsidRDefault="00CE2815" w:rsidP="005D7F4E">
            <w:pPr>
              <w:ind w:left="43"/>
            </w:pPr>
            <w:r w:rsidRPr="00DA5DBB">
              <w:t>Internal Audit and Oversight Division</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IGC</w:t>
            </w:r>
          </w:p>
        </w:tc>
        <w:tc>
          <w:tcPr>
            <w:tcW w:w="8079" w:type="dxa"/>
            <w:vAlign w:val="center"/>
          </w:tcPr>
          <w:p w:rsidR="00CE2815" w:rsidRPr="001329B3" w:rsidRDefault="00CE2815" w:rsidP="005D7F4E">
            <w:pPr>
              <w:ind w:left="43"/>
            </w:pPr>
            <w:r>
              <w:t>Intergovernmental Committee on Intellectual Property and Genetic Resources, Traditional Knowledge and Folklore</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IIA</w:t>
            </w:r>
          </w:p>
        </w:tc>
        <w:tc>
          <w:tcPr>
            <w:tcW w:w="8079" w:type="dxa"/>
            <w:vAlign w:val="center"/>
          </w:tcPr>
          <w:p w:rsidR="00CE2815" w:rsidRPr="001329B3" w:rsidRDefault="00CE2815" w:rsidP="005D7F4E">
            <w:pPr>
              <w:ind w:left="43"/>
            </w:pPr>
            <w:r w:rsidRPr="00DA5DBB">
              <w:t>Institute of Internal Auditors</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IOC</w:t>
            </w:r>
          </w:p>
        </w:tc>
        <w:tc>
          <w:tcPr>
            <w:tcW w:w="8079" w:type="dxa"/>
            <w:vAlign w:val="center"/>
          </w:tcPr>
          <w:p w:rsidR="00CE2815" w:rsidRPr="001329B3" w:rsidRDefault="00CE2815" w:rsidP="005D7F4E">
            <w:pPr>
              <w:ind w:left="43"/>
            </w:pPr>
            <w:r w:rsidRPr="00DA5DBB">
              <w:t>Internal Oversight Charter</w:t>
            </w:r>
          </w:p>
        </w:tc>
      </w:tr>
      <w:tr w:rsidR="00871CAE" w:rsidRPr="001164EA" w:rsidTr="005D7F4E">
        <w:trPr>
          <w:trHeight w:val="340"/>
        </w:trPr>
        <w:tc>
          <w:tcPr>
            <w:tcW w:w="1384" w:type="dxa"/>
            <w:vAlign w:val="center"/>
          </w:tcPr>
          <w:p w:rsidR="00871CAE" w:rsidRDefault="00871CAE" w:rsidP="00871CAE">
            <w:pPr>
              <w:ind w:left="0"/>
              <w:rPr>
                <w:b/>
                <w:bCs/>
                <w:szCs w:val="22"/>
              </w:rPr>
            </w:pPr>
            <w:r>
              <w:rPr>
                <w:b/>
                <w:bCs/>
                <w:szCs w:val="22"/>
              </w:rPr>
              <w:t>IP</w:t>
            </w:r>
          </w:p>
        </w:tc>
        <w:tc>
          <w:tcPr>
            <w:tcW w:w="8079" w:type="dxa"/>
            <w:vAlign w:val="center"/>
          </w:tcPr>
          <w:p w:rsidR="00871CAE" w:rsidRDefault="00871CAE" w:rsidP="005D7F4E">
            <w:pPr>
              <w:ind w:left="43"/>
            </w:pPr>
            <w:r>
              <w:t>Intellectual Property</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IT</w:t>
            </w:r>
          </w:p>
        </w:tc>
        <w:tc>
          <w:tcPr>
            <w:tcW w:w="8079" w:type="dxa"/>
            <w:vAlign w:val="center"/>
          </w:tcPr>
          <w:p w:rsidR="00CE2815" w:rsidRPr="001329B3" w:rsidRDefault="00CE2815" w:rsidP="005D7F4E">
            <w:pPr>
              <w:ind w:left="43"/>
            </w:pPr>
            <w:r>
              <w:t>Information Technology</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JGP</w:t>
            </w:r>
          </w:p>
        </w:tc>
        <w:tc>
          <w:tcPr>
            <w:tcW w:w="8079" w:type="dxa"/>
            <w:vAlign w:val="center"/>
          </w:tcPr>
          <w:p w:rsidR="00CE2815" w:rsidRPr="001329B3" w:rsidRDefault="00CE2815" w:rsidP="005D7F4E">
            <w:pPr>
              <w:ind w:left="43"/>
            </w:pPr>
            <w:r>
              <w:t>Joint Grievance Panel</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JIU</w:t>
            </w:r>
          </w:p>
        </w:tc>
        <w:tc>
          <w:tcPr>
            <w:tcW w:w="8079" w:type="dxa"/>
            <w:vAlign w:val="center"/>
          </w:tcPr>
          <w:p w:rsidR="00CE2815" w:rsidRPr="001329B3" w:rsidRDefault="00CE2815" w:rsidP="005D7F4E">
            <w:pPr>
              <w:ind w:left="43"/>
            </w:pPr>
            <w:r>
              <w:t>Joint Inspection Unit</w:t>
            </w:r>
          </w:p>
        </w:tc>
      </w:tr>
      <w:tr w:rsidR="00871CAE" w:rsidRPr="001164EA" w:rsidTr="005D7F4E">
        <w:trPr>
          <w:trHeight w:val="340"/>
        </w:trPr>
        <w:tc>
          <w:tcPr>
            <w:tcW w:w="1384" w:type="dxa"/>
            <w:vAlign w:val="center"/>
          </w:tcPr>
          <w:p w:rsidR="00871CAE" w:rsidRDefault="00871CAE" w:rsidP="00871CAE">
            <w:pPr>
              <w:ind w:left="0"/>
              <w:rPr>
                <w:b/>
                <w:bCs/>
                <w:szCs w:val="22"/>
              </w:rPr>
            </w:pPr>
            <w:r>
              <w:rPr>
                <w:b/>
                <w:bCs/>
                <w:szCs w:val="22"/>
              </w:rPr>
              <w:t>PBC</w:t>
            </w:r>
          </w:p>
        </w:tc>
        <w:tc>
          <w:tcPr>
            <w:tcW w:w="8079" w:type="dxa"/>
            <w:vAlign w:val="center"/>
          </w:tcPr>
          <w:p w:rsidR="00871CAE" w:rsidRPr="00DA5DBB" w:rsidRDefault="00871CAE" w:rsidP="005D7F4E">
            <w:pPr>
              <w:ind w:left="43"/>
            </w:pPr>
            <w:r>
              <w:t>Program and Budget Committee</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PCT</w:t>
            </w:r>
          </w:p>
        </w:tc>
        <w:tc>
          <w:tcPr>
            <w:tcW w:w="8079" w:type="dxa"/>
            <w:vAlign w:val="center"/>
          </w:tcPr>
          <w:p w:rsidR="00CE2815" w:rsidRPr="001329B3" w:rsidRDefault="00CE2815" w:rsidP="005D7F4E">
            <w:pPr>
              <w:ind w:left="43"/>
            </w:pPr>
            <w:r w:rsidRPr="00DA5DBB">
              <w:t>Patent Cooperation Treaty</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PLD</w:t>
            </w:r>
          </w:p>
        </w:tc>
        <w:tc>
          <w:tcPr>
            <w:tcW w:w="8079" w:type="dxa"/>
            <w:vAlign w:val="center"/>
          </w:tcPr>
          <w:p w:rsidR="00CE2815" w:rsidRPr="001329B3" w:rsidRDefault="00CE2815" w:rsidP="005D7F4E">
            <w:pPr>
              <w:ind w:left="43"/>
            </w:pPr>
            <w:r>
              <w:t>Patent Law Division</w:t>
            </w:r>
          </w:p>
        </w:tc>
      </w:tr>
      <w:tr w:rsidR="00871CAE" w:rsidRPr="001164EA" w:rsidTr="005D7F4E">
        <w:trPr>
          <w:trHeight w:val="340"/>
        </w:trPr>
        <w:tc>
          <w:tcPr>
            <w:tcW w:w="1384" w:type="dxa"/>
            <w:vAlign w:val="center"/>
          </w:tcPr>
          <w:p w:rsidR="00871CAE" w:rsidRDefault="00871CAE" w:rsidP="00871CAE">
            <w:pPr>
              <w:ind w:left="0"/>
              <w:rPr>
                <w:b/>
                <w:bCs/>
                <w:szCs w:val="22"/>
              </w:rPr>
            </w:pPr>
            <w:r>
              <w:rPr>
                <w:b/>
                <w:bCs/>
                <w:szCs w:val="22"/>
              </w:rPr>
              <w:t>PPR</w:t>
            </w:r>
          </w:p>
        </w:tc>
        <w:tc>
          <w:tcPr>
            <w:tcW w:w="8079" w:type="dxa"/>
            <w:vAlign w:val="center"/>
          </w:tcPr>
          <w:p w:rsidR="00871CAE" w:rsidRDefault="00871CAE" w:rsidP="005D7F4E">
            <w:pPr>
              <w:ind w:left="43"/>
            </w:pPr>
            <w:r>
              <w:t>Program Performance Report</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RBM</w:t>
            </w:r>
          </w:p>
        </w:tc>
        <w:tc>
          <w:tcPr>
            <w:tcW w:w="8079" w:type="dxa"/>
            <w:vAlign w:val="center"/>
          </w:tcPr>
          <w:p w:rsidR="00CE2815" w:rsidRPr="001329B3" w:rsidRDefault="00CE2815" w:rsidP="005D7F4E">
            <w:pPr>
              <w:ind w:left="43"/>
            </w:pPr>
            <w:r>
              <w:t>Results based management</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RIAS</w:t>
            </w:r>
          </w:p>
        </w:tc>
        <w:tc>
          <w:tcPr>
            <w:tcW w:w="8079" w:type="dxa"/>
            <w:vAlign w:val="center"/>
          </w:tcPr>
          <w:p w:rsidR="00CE2815" w:rsidRPr="001329B3" w:rsidRDefault="00CE2815" w:rsidP="005D7F4E">
            <w:pPr>
              <w:ind w:left="43"/>
            </w:pPr>
            <w:r w:rsidRPr="00DA5DBB">
              <w:t>Representatives of Internal Audit Services</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RRP</w:t>
            </w:r>
          </w:p>
        </w:tc>
        <w:tc>
          <w:tcPr>
            <w:tcW w:w="8079" w:type="dxa"/>
            <w:vAlign w:val="center"/>
          </w:tcPr>
          <w:p w:rsidR="00CE2815" w:rsidRPr="001329B3" w:rsidRDefault="00CE2815" w:rsidP="005D7F4E">
            <w:pPr>
              <w:ind w:left="43"/>
            </w:pPr>
            <w:r>
              <w:t>Rewards and Recognition Program</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SMT</w:t>
            </w:r>
          </w:p>
        </w:tc>
        <w:tc>
          <w:tcPr>
            <w:tcW w:w="8079" w:type="dxa"/>
            <w:vAlign w:val="center"/>
          </w:tcPr>
          <w:p w:rsidR="00CE2815" w:rsidRPr="001329B3" w:rsidRDefault="00CE2815" w:rsidP="005D7F4E">
            <w:pPr>
              <w:ind w:left="43"/>
            </w:pPr>
            <w:r w:rsidRPr="00DA5DBB">
              <w:t>Senior Management Team</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SRP</w:t>
            </w:r>
          </w:p>
        </w:tc>
        <w:tc>
          <w:tcPr>
            <w:tcW w:w="8079" w:type="dxa"/>
            <w:vAlign w:val="center"/>
          </w:tcPr>
          <w:p w:rsidR="00CE2815" w:rsidRPr="001329B3" w:rsidRDefault="00CE2815" w:rsidP="005D7F4E">
            <w:pPr>
              <w:ind w:left="43"/>
            </w:pPr>
            <w:r>
              <w:t>Strategic Realignment Program</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SRR</w:t>
            </w:r>
          </w:p>
        </w:tc>
        <w:tc>
          <w:tcPr>
            <w:tcW w:w="8079" w:type="dxa"/>
            <w:vAlign w:val="center"/>
          </w:tcPr>
          <w:p w:rsidR="00CE2815" w:rsidRPr="001329B3" w:rsidRDefault="00CE2815" w:rsidP="005D7F4E">
            <w:pPr>
              <w:ind w:left="43"/>
            </w:pPr>
            <w:r>
              <w:t>Staff Regulations and Rules</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UAT</w:t>
            </w:r>
          </w:p>
        </w:tc>
        <w:tc>
          <w:tcPr>
            <w:tcW w:w="8079" w:type="dxa"/>
            <w:vAlign w:val="center"/>
          </w:tcPr>
          <w:p w:rsidR="00CE2815" w:rsidRPr="001329B3" w:rsidRDefault="00CE2815" w:rsidP="005D7F4E">
            <w:pPr>
              <w:ind w:left="43"/>
            </w:pPr>
            <w:r>
              <w:t>User Acceptance Test</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UN</w:t>
            </w:r>
          </w:p>
        </w:tc>
        <w:tc>
          <w:tcPr>
            <w:tcW w:w="8079" w:type="dxa"/>
            <w:vAlign w:val="center"/>
          </w:tcPr>
          <w:p w:rsidR="00CE2815" w:rsidRPr="001329B3" w:rsidRDefault="00CE2815" w:rsidP="005D7F4E">
            <w:pPr>
              <w:ind w:left="43"/>
            </w:pPr>
            <w:r w:rsidRPr="00DA5DBB">
              <w:t>United Nations</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UNEG</w:t>
            </w:r>
          </w:p>
        </w:tc>
        <w:tc>
          <w:tcPr>
            <w:tcW w:w="8079" w:type="dxa"/>
            <w:vAlign w:val="center"/>
          </w:tcPr>
          <w:p w:rsidR="00CE2815" w:rsidRPr="001329B3" w:rsidRDefault="00CE2815" w:rsidP="005D7F4E">
            <w:pPr>
              <w:ind w:left="43"/>
            </w:pPr>
            <w:r w:rsidRPr="00DA5DBB">
              <w:t>UN Evaluation Group</w:t>
            </w:r>
          </w:p>
        </w:tc>
      </w:tr>
      <w:tr w:rsidR="00CE2815" w:rsidRPr="001164EA" w:rsidTr="005D7F4E">
        <w:trPr>
          <w:trHeight w:val="340"/>
        </w:trPr>
        <w:tc>
          <w:tcPr>
            <w:tcW w:w="1384" w:type="dxa"/>
            <w:vAlign w:val="center"/>
          </w:tcPr>
          <w:p w:rsidR="00CE2815" w:rsidRDefault="00CE2815" w:rsidP="005D7F4E">
            <w:pPr>
              <w:ind w:left="0"/>
              <w:rPr>
                <w:b/>
                <w:bCs/>
                <w:szCs w:val="22"/>
              </w:rPr>
            </w:pPr>
            <w:r>
              <w:rPr>
                <w:b/>
                <w:bCs/>
                <w:szCs w:val="22"/>
              </w:rPr>
              <w:t>UNRIS</w:t>
            </w:r>
          </w:p>
        </w:tc>
        <w:tc>
          <w:tcPr>
            <w:tcW w:w="8079" w:type="dxa"/>
            <w:vAlign w:val="center"/>
          </w:tcPr>
          <w:p w:rsidR="00CE2815" w:rsidRPr="00DA5DBB" w:rsidRDefault="00CE2815" w:rsidP="005D7F4E">
            <w:pPr>
              <w:ind w:left="43"/>
            </w:pPr>
            <w:r>
              <w:t>UN</w:t>
            </w:r>
            <w:r w:rsidRPr="00DA5DBB">
              <w:t xml:space="preserve"> </w:t>
            </w:r>
            <w:r>
              <w:t>Representatives of Investigation Services</w:t>
            </w:r>
          </w:p>
        </w:tc>
      </w:tr>
      <w:tr w:rsidR="00CE2815" w:rsidRPr="001164EA" w:rsidTr="005D7F4E">
        <w:trPr>
          <w:trHeight w:val="340"/>
        </w:trPr>
        <w:tc>
          <w:tcPr>
            <w:tcW w:w="1384" w:type="dxa"/>
            <w:vAlign w:val="center"/>
          </w:tcPr>
          <w:p w:rsidR="00CE2815" w:rsidRDefault="00CE2815" w:rsidP="005D7F4E">
            <w:pPr>
              <w:ind w:left="0"/>
              <w:rPr>
                <w:b/>
                <w:bCs/>
                <w:szCs w:val="22"/>
              </w:rPr>
            </w:pPr>
            <w:r>
              <w:rPr>
                <w:b/>
                <w:bCs/>
                <w:szCs w:val="22"/>
              </w:rPr>
              <w:t>UNRIAS</w:t>
            </w:r>
          </w:p>
        </w:tc>
        <w:tc>
          <w:tcPr>
            <w:tcW w:w="8079" w:type="dxa"/>
            <w:vAlign w:val="center"/>
          </w:tcPr>
          <w:p w:rsidR="00CE2815" w:rsidRPr="00DA5DBB" w:rsidRDefault="00CE2815" w:rsidP="005D7F4E">
            <w:pPr>
              <w:ind w:left="43"/>
            </w:pPr>
            <w:r>
              <w:t>UN Representatives of Internal Audit Services</w:t>
            </w:r>
          </w:p>
        </w:tc>
      </w:tr>
      <w:tr w:rsidR="00CE2815" w:rsidRPr="001164EA" w:rsidTr="005D7F4E">
        <w:trPr>
          <w:trHeight w:val="340"/>
        </w:trPr>
        <w:tc>
          <w:tcPr>
            <w:tcW w:w="1384" w:type="dxa"/>
            <w:vAlign w:val="center"/>
          </w:tcPr>
          <w:p w:rsidR="00CE2815" w:rsidRDefault="00CE2815" w:rsidP="005D7F4E">
            <w:pPr>
              <w:ind w:left="0"/>
              <w:rPr>
                <w:b/>
                <w:bCs/>
                <w:szCs w:val="22"/>
              </w:rPr>
            </w:pPr>
            <w:r>
              <w:rPr>
                <w:b/>
                <w:bCs/>
                <w:szCs w:val="22"/>
              </w:rPr>
              <w:t>VSP</w:t>
            </w:r>
          </w:p>
        </w:tc>
        <w:tc>
          <w:tcPr>
            <w:tcW w:w="8079" w:type="dxa"/>
            <w:vAlign w:val="center"/>
          </w:tcPr>
          <w:p w:rsidR="00CE2815" w:rsidRPr="00DA5DBB" w:rsidRDefault="00CE2815" w:rsidP="005D7F4E">
            <w:pPr>
              <w:ind w:left="43"/>
            </w:pPr>
            <w:r>
              <w:t>Voluntary Separation Program</w:t>
            </w:r>
          </w:p>
        </w:tc>
      </w:tr>
    </w:tbl>
    <w:p w:rsidR="00CE2815" w:rsidRDefault="00CE2815" w:rsidP="004B6701">
      <w:pPr>
        <w:sectPr w:rsidR="00CE2815" w:rsidSect="001B0D88">
          <w:headerReference w:type="first" r:id="rId14"/>
          <w:endnotePr>
            <w:numFmt w:val="decimal"/>
          </w:endnotePr>
          <w:pgSz w:w="11907" w:h="16840" w:code="9"/>
          <w:pgMar w:top="1305" w:right="1134" w:bottom="1418" w:left="1418" w:header="510" w:footer="1021" w:gutter="0"/>
          <w:cols w:space="720"/>
          <w:titlePg/>
          <w:docGrid w:linePitch="299"/>
        </w:sectPr>
      </w:pPr>
    </w:p>
    <w:p w:rsidR="00E365E6" w:rsidRPr="00DA5DBB" w:rsidRDefault="00E365E6" w:rsidP="00E365E6">
      <w:pPr>
        <w:pStyle w:val="Heading1"/>
        <w:keepLines/>
        <w:jc w:val="center"/>
      </w:pPr>
      <w:bookmarkStart w:id="12" w:name="_Toc392160703"/>
      <w:bookmarkStart w:id="13" w:name="_Toc392160740"/>
      <w:r w:rsidRPr="00DA5DBB">
        <w:lastRenderedPageBreak/>
        <w:t>SUMMARY ANNUAL REPORT OF THE DIRECTOR</w:t>
      </w:r>
      <w:r w:rsidR="005D7F4E">
        <w:t xml:space="preserve"> of </w:t>
      </w:r>
      <w:r>
        <w:rPr>
          <w:rStyle w:val="Heading2Char"/>
          <w:bCs/>
          <w:iCs w:val="0"/>
        </w:rPr>
        <w:t>I</w:t>
      </w:r>
      <w:bookmarkEnd w:id="12"/>
      <w:bookmarkEnd w:id="13"/>
      <w:r w:rsidR="00E218C9">
        <w:rPr>
          <w:rStyle w:val="Heading2Char"/>
          <w:bCs/>
          <w:iCs w:val="0"/>
        </w:rPr>
        <w:t>NTERNAL AUDIT AND OVERSIGHT DIVISION</w:t>
      </w:r>
    </w:p>
    <w:p w:rsidR="00E365E6" w:rsidRPr="00DA5DBB" w:rsidRDefault="00E365E6" w:rsidP="00E365E6">
      <w:pPr>
        <w:keepLines/>
      </w:pPr>
    </w:p>
    <w:p w:rsidR="00E365E6" w:rsidRPr="00DA5DBB" w:rsidRDefault="00E365E6" w:rsidP="00E365E6">
      <w:pPr>
        <w:keepLines/>
      </w:pPr>
      <w:r w:rsidRPr="00DA5DBB">
        <w:t>July 1, 201</w:t>
      </w:r>
      <w:r>
        <w:t>3</w:t>
      </w:r>
      <w:r w:rsidRPr="00DA5DBB">
        <w:t xml:space="preserve"> to June 30, 201</w:t>
      </w:r>
      <w:r>
        <w:t>4</w:t>
      </w:r>
    </w:p>
    <w:p w:rsidR="00CE2815" w:rsidRDefault="00CE2815" w:rsidP="004B6701"/>
    <w:p w:rsidR="00E365E6" w:rsidRPr="00DA5DBB" w:rsidRDefault="00E365E6" w:rsidP="00E365E6">
      <w:pPr>
        <w:pStyle w:val="Heading1"/>
      </w:pPr>
      <w:bookmarkStart w:id="14" w:name="_Toc392160741"/>
      <w:r w:rsidRPr="00DA5DBB">
        <w:t>BACKGROUND</w:t>
      </w:r>
      <w:bookmarkEnd w:id="14"/>
    </w:p>
    <w:p w:rsidR="00E365E6" w:rsidRPr="00DA5DBB" w:rsidRDefault="00E365E6" w:rsidP="00E365E6">
      <w:pPr>
        <w:pStyle w:val="ONUME"/>
        <w:keepLines/>
        <w:numPr>
          <w:ilvl w:val="0"/>
          <w:numId w:val="10"/>
        </w:numPr>
      </w:pPr>
      <w:r w:rsidRPr="00DA5DBB">
        <w:t>The purpose of WIPO’s I</w:t>
      </w:r>
      <w:r w:rsidR="00E218C9">
        <w:t>nternal Audit and Oversight Division (IAOD)</w:t>
      </w:r>
      <w:r w:rsidRPr="00DA5DBB">
        <w:t xml:space="preserve"> is to provide independent and effective internal oversight for </w:t>
      </w:r>
      <w:r>
        <w:t>WIPO</w:t>
      </w:r>
      <w:r w:rsidRPr="00DA5DBB">
        <w:t>, in accordance with the provisions set out by the Member States in the Internal Oversight Charter (IOC).</w:t>
      </w:r>
    </w:p>
    <w:p w:rsidR="00E365E6" w:rsidRPr="00DA5DBB" w:rsidRDefault="00E365E6" w:rsidP="00E365E6">
      <w:pPr>
        <w:pStyle w:val="ONUME"/>
        <w:keepLines/>
        <w:numPr>
          <w:ilvl w:val="0"/>
          <w:numId w:val="9"/>
        </w:numPr>
      </w:pPr>
      <w:r>
        <w:t>The WIPO IOC r</w:t>
      </w:r>
      <w:r w:rsidR="005D7F4E">
        <w:t xml:space="preserve">equires the Director, </w:t>
      </w:r>
      <w:r w:rsidRPr="00DA5DBB">
        <w:t>IAOD to present a Summary Annual Report to the Independent Advisory Oversight Committee (IAOC) with a copy to the Director General and the External Auditor, of activities undertaken, including orientation and scope of such activities, the schedule of work undertaken and the progress on the implementation of prioritized recommendations.  This Summary Report is also presented to the General Assembly and enables major stakeholders and WIPO staff generally to be informed of IAOD reports, activities, and the challenges faced by IAOD in fulfilling its mandate.  IAOD also presents a status report on annual work plans in writing to the Program and Budget Committee (PBC).</w:t>
      </w:r>
    </w:p>
    <w:p w:rsidR="00E365E6" w:rsidRPr="00DA5DBB" w:rsidRDefault="00E365E6" w:rsidP="00E365E6">
      <w:pPr>
        <w:pStyle w:val="Heading1"/>
      </w:pPr>
      <w:bookmarkStart w:id="15" w:name="_Toc328920434"/>
      <w:bookmarkStart w:id="16" w:name="_Toc392160742"/>
      <w:r w:rsidRPr="00DA5DBB">
        <w:t>PLANNING, STANDARDS AND NORMS</w:t>
      </w:r>
      <w:bookmarkEnd w:id="15"/>
      <w:bookmarkEnd w:id="16"/>
    </w:p>
    <w:p w:rsidR="00E365E6" w:rsidRPr="00DA5DBB" w:rsidRDefault="00E365E6" w:rsidP="00E365E6">
      <w:pPr>
        <w:pStyle w:val="ONUME"/>
        <w:keepLines/>
        <w:numPr>
          <w:ilvl w:val="0"/>
          <w:numId w:val="9"/>
        </w:numPr>
      </w:pPr>
      <w:r>
        <w:t>T</w:t>
      </w:r>
      <w:r w:rsidRPr="00DA5DBB">
        <w:t>he activities of IAOD include internal audit and evaluation of WIPO’s control</w:t>
      </w:r>
      <w:r>
        <w:t xml:space="preserve"> systems, programs, projects and business </w:t>
      </w:r>
      <w:r w:rsidRPr="00DA5DBB">
        <w:t>processes.  IAOD monitor</w:t>
      </w:r>
      <w:r>
        <w:t>s</w:t>
      </w:r>
      <w:r w:rsidRPr="00DA5DBB">
        <w:t xml:space="preserve"> and assess</w:t>
      </w:r>
      <w:r>
        <w:t>es</w:t>
      </w:r>
      <w:r w:rsidRPr="00DA5DBB">
        <w:t xml:space="preserve"> the adequacy and effectiveness of WIPO’s control environment, and effective and efficient use of resources.  IAOD also investigates allegations </w:t>
      </w:r>
      <w:r>
        <w:t xml:space="preserve">of </w:t>
      </w:r>
      <w:r w:rsidRPr="009D79D8">
        <w:rPr>
          <w:rFonts w:eastAsia="Arial"/>
          <w:szCs w:val="22"/>
        </w:rPr>
        <w:t xml:space="preserve">misconduct, wrongdoings or irregularities including but not limited to: </w:t>
      </w:r>
      <w:r>
        <w:rPr>
          <w:rFonts w:eastAsia="Arial"/>
          <w:szCs w:val="22"/>
        </w:rPr>
        <w:t xml:space="preserve"> </w:t>
      </w:r>
      <w:r w:rsidRPr="009D79D8">
        <w:rPr>
          <w:szCs w:val="22"/>
        </w:rPr>
        <w:t>fraud</w:t>
      </w:r>
      <w:r w:rsidRPr="009D79D8">
        <w:rPr>
          <w:rFonts w:eastAsia="Arial"/>
          <w:szCs w:val="22"/>
        </w:rPr>
        <w:t xml:space="preserve"> and corruption</w:t>
      </w:r>
      <w:r w:rsidRPr="009D79D8">
        <w:rPr>
          <w:szCs w:val="22"/>
        </w:rPr>
        <w:t xml:space="preserve">, waste, abuse of </w:t>
      </w:r>
      <w:r w:rsidRPr="009D79D8">
        <w:rPr>
          <w:rFonts w:eastAsia="Arial"/>
          <w:szCs w:val="22"/>
        </w:rPr>
        <w:t xml:space="preserve">privileges and immunities, abuse of </w:t>
      </w:r>
      <w:r w:rsidRPr="009D79D8">
        <w:rPr>
          <w:szCs w:val="22"/>
        </w:rPr>
        <w:t xml:space="preserve">authority, and </w:t>
      </w:r>
      <w:r w:rsidRPr="009D79D8">
        <w:rPr>
          <w:rFonts w:eastAsia="Arial"/>
          <w:szCs w:val="22"/>
        </w:rPr>
        <w:t xml:space="preserve">violation of WIPO </w:t>
      </w:r>
      <w:r w:rsidRPr="009D79D8">
        <w:rPr>
          <w:szCs w:val="22"/>
        </w:rPr>
        <w:t xml:space="preserve">regulations </w:t>
      </w:r>
      <w:r w:rsidRPr="009D79D8">
        <w:rPr>
          <w:rFonts w:eastAsia="Arial"/>
          <w:szCs w:val="22"/>
        </w:rPr>
        <w:t>and rules</w:t>
      </w:r>
      <w:r w:rsidRPr="00DA5DBB">
        <w:t>.</w:t>
      </w:r>
    </w:p>
    <w:p w:rsidR="00E365E6" w:rsidRPr="00DA5DBB" w:rsidRDefault="00E365E6" w:rsidP="00E365E6">
      <w:pPr>
        <w:pStyle w:val="ONUME"/>
        <w:keepLines/>
        <w:numPr>
          <w:ilvl w:val="0"/>
          <w:numId w:val="9"/>
        </w:numPr>
      </w:pPr>
      <w:r w:rsidRPr="00DA5DBB">
        <w:t xml:space="preserve">For its audit activities, IAOD adheres to the International Professional Practices Framework promulgated by the Institute of Internal Auditors (IIA).  Similarly, in conducting investigative work, IAOD is guided by the Uniform Principles and Guidelines for Investigations endorsed by the Conference of International Investigators in 2009.  Evaluation </w:t>
      </w:r>
      <w:r>
        <w:t>follows</w:t>
      </w:r>
      <w:r w:rsidRPr="00DA5DBB">
        <w:t xml:space="preserve"> international standards in evaluation practice as set out by the United Nations</w:t>
      </w:r>
      <w:r>
        <w:t xml:space="preserve"> Evaluation Group </w:t>
      </w:r>
      <w:r w:rsidRPr="00DA5DBB">
        <w:t>(UNEG).</w:t>
      </w:r>
    </w:p>
    <w:p w:rsidR="00E365E6" w:rsidRDefault="00E365E6" w:rsidP="00E365E6">
      <w:pPr>
        <w:pStyle w:val="ONUME"/>
        <w:keepLines/>
        <w:numPr>
          <w:ilvl w:val="0"/>
          <w:numId w:val="9"/>
        </w:numPr>
      </w:pPr>
      <w:r w:rsidRPr="00DA5DBB">
        <w:t>In accordance with the IOC, in developing its plan, IAOD considered the following factors: risk assessment</w:t>
      </w:r>
      <w:r>
        <w:t>,</w:t>
      </w:r>
      <w:r w:rsidRPr="00DA5DBB">
        <w:t xml:space="preserve"> relevance</w:t>
      </w:r>
      <w:r>
        <w:t>,</w:t>
      </w:r>
      <w:r w:rsidRPr="00DA5DBB">
        <w:t xml:space="preserve"> country impact</w:t>
      </w:r>
      <w:r>
        <w:t>,</w:t>
      </w:r>
      <w:r w:rsidRPr="00DA5DBB">
        <w:t xml:space="preserve"> oversight cycle</w:t>
      </w:r>
      <w:r>
        <w:t>,</w:t>
      </w:r>
      <w:r w:rsidRPr="00DA5DBB">
        <w:t xml:space="preserve"> comments made by WIPO management and comments made by Member States.  IAOD also factored in its available resources.</w:t>
      </w:r>
    </w:p>
    <w:p w:rsidR="00E365E6" w:rsidRPr="00DA5DBB" w:rsidRDefault="00E365E6" w:rsidP="00E365E6">
      <w:pPr>
        <w:pStyle w:val="ONUME"/>
        <w:keepLines/>
        <w:numPr>
          <w:ilvl w:val="0"/>
          <w:numId w:val="9"/>
        </w:numPr>
      </w:pPr>
      <w:r w:rsidRPr="00DA5DBB">
        <w:rPr>
          <w:bCs/>
          <w:iCs/>
        </w:rPr>
        <w:t xml:space="preserve">IAOD has developed a </w:t>
      </w:r>
      <w:r>
        <w:rPr>
          <w:bCs/>
          <w:iCs/>
        </w:rPr>
        <w:t>r</w:t>
      </w:r>
      <w:r w:rsidRPr="00DA5DBB">
        <w:rPr>
          <w:bCs/>
          <w:iCs/>
        </w:rPr>
        <w:t xml:space="preserve">isk </w:t>
      </w:r>
      <w:r>
        <w:rPr>
          <w:bCs/>
          <w:iCs/>
        </w:rPr>
        <w:t>a</w:t>
      </w:r>
      <w:r w:rsidRPr="00DA5DBB">
        <w:rPr>
          <w:bCs/>
          <w:iCs/>
        </w:rPr>
        <w:t xml:space="preserve">ssessment </w:t>
      </w:r>
      <w:r>
        <w:rPr>
          <w:bCs/>
          <w:iCs/>
        </w:rPr>
        <w:t>m</w:t>
      </w:r>
      <w:r w:rsidRPr="00DA5DBB">
        <w:rPr>
          <w:bCs/>
          <w:iCs/>
        </w:rPr>
        <w:t xml:space="preserve">ethodology which is based on the IIA guidance as well as generally accepted good practice adopted for such exercises.  </w:t>
      </w:r>
      <w:r w:rsidRPr="00DA5DBB">
        <w:t>IAOD used its risk assessment methodology</w:t>
      </w:r>
      <w:r w:rsidRPr="00DA5DBB">
        <w:rPr>
          <w:rStyle w:val="FootnoteReference"/>
        </w:rPr>
        <w:footnoteReference w:id="2"/>
      </w:r>
      <w:r w:rsidRPr="00DA5DBB">
        <w:t xml:space="preserve"> to determine the level of audit coverage necessary for the </w:t>
      </w:r>
      <w:r>
        <w:t xml:space="preserve">current </w:t>
      </w:r>
      <w:r w:rsidRPr="00DA5DBB">
        <w:t xml:space="preserve">biennium.  </w:t>
      </w:r>
    </w:p>
    <w:p w:rsidR="00E365E6" w:rsidRPr="00DA5DBB" w:rsidRDefault="00E365E6" w:rsidP="00E365E6">
      <w:pPr>
        <w:pStyle w:val="ONUME"/>
        <w:keepLines/>
        <w:numPr>
          <w:ilvl w:val="0"/>
          <w:numId w:val="9"/>
        </w:numPr>
      </w:pPr>
      <w:r w:rsidRPr="00DA5DBB">
        <w:lastRenderedPageBreak/>
        <w:t xml:space="preserve">IAOD also makes a concerted effort to </w:t>
      </w:r>
      <w:r>
        <w:t xml:space="preserve">include in its </w:t>
      </w:r>
      <w:r w:rsidRPr="00DA5DBB">
        <w:t xml:space="preserve">oversight </w:t>
      </w:r>
      <w:r>
        <w:t xml:space="preserve">plan areas </w:t>
      </w:r>
      <w:r w:rsidRPr="00DA5DBB">
        <w:t>that are consistent with WIPO’s policy and program priorities to the extent that these are contained in public documents and/or are communicated to IAOD.  IAOD keeps abreast of general policy orientation through the review of strategic and operational documents, such as those of the General Assembly, the Program and Budget, Standing Committees, as well as revisions to Staff Regulations and</w:t>
      </w:r>
      <w:r>
        <w:t xml:space="preserve"> </w:t>
      </w:r>
      <w:r w:rsidRPr="00DA5DBB">
        <w:t>Rules</w:t>
      </w:r>
      <w:r>
        <w:t xml:space="preserve"> (SRR)</w:t>
      </w:r>
      <w:r w:rsidRPr="00DA5DBB">
        <w:t xml:space="preserve">, and other programming and planning documents.  Moreover, the Director, IAOD or his alternates participate in both regular and </w:t>
      </w:r>
      <w:r w:rsidRPr="002B716C">
        <w:rPr>
          <w:i/>
        </w:rPr>
        <w:t>ad hoc</w:t>
      </w:r>
      <w:r w:rsidRPr="00DA5DBB">
        <w:t xml:space="preserve"> senior management meetings of the Director General</w:t>
      </w:r>
      <w:r>
        <w:t xml:space="preserve"> or in regular one-on-one meetings with the latter</w:t>
      </w:r>
      <w:r w:rsidRPr="00DA5DBB">
        <w:t xml:space="preserve">.  Through these processes, IAOD gains awareness of program priorities and overall objectives of the Organization.  </w:t>
      </w:r>
    </w:p>
    <w:p w:rsidR="00E365E6" w:rsidRPr="00DA5DBB" w:rsidRDefault="00E365E6" w:rsidP="00E365E6">
      <w:pPr>
        <w:pStyle w:val="ONUME"/>
        <w:keepLines/>
        <w:numPr>
          <w:ilvl w:val="0"/>
          <w:numId w:val="9"/>
        </w:numPr>
      </w:pPr>
      <w:r w:rsidRPr="00DA5DBB">
        <w:t xml:space="preserve">In preparing its plan, IAOD also took into consideration the work done by other </w:t>
      </w:r>
      <w:r>
        <w:t xml:space="preserve">oversight actors </w:t>
      </w:r>
      <w:r w:rsidRPr="00DA5DBB">
        <w:t>such as the External Auditor, the Joint Inspection Unit</w:t>
      </w:r>
      <w:r>
        <w:t xml:space="preserve"> (JIU)</w:t>
      </w:r>
      <w:r w:rsidRPr="00DA5DBB">
        <w:t xml:space="preserve"> or evaluations commissioned by the Committee on Development and Intellectual Property</w:t>
      </w:r>
      <w:r w:rsidR="00E218C9">
        <w:t xml:space="preserve"> (CDIP)</w:t>
      </w:r>
      <w:r w:rsidRPr="00DA5DBB">
        <w:t xml:space="preserve">.  Coordinating with other oversight bodies allows IAOD to </w:t>
      </w:r>
      <w:r>
        <w:t>provide</w:t>
      </w:r>
      <w:r w:rsidRPr="00DA5DBB">
        <w:t xml:space="preserve"> proper oversight coverage </w:t>
      </w:r>
      <w:r>
        <w:t>while</w:t>
      </w:r>
      <w:r w:rsidRPr="00DA5DBB">
        <w:t xml:space="preserve"> avoid</w:t>
      </w:r>
      <w:r>
        <w:t>ing</w:t>
      </w:r>
      <w:r w:rsidRPr="00DA5DBB">
        <w:t xml:space="preserve"> “oversight fatigue” in areas facing </w:t>
      </w:r>
      <w:r>
        <w:t>multiple</w:t>
      </w:r>
      <w:r w:rsidRPr="00DA5DBB">
        <w:t xml:space="preserve"> oversight</w:t>
      </w:r>
      <w:r>
        <w:t xml:space="preserve"> activities;  </w:t>
      </w:r>
      <w:r w:rsidRPr="00DA5DBB">
        <w:t xml:space="preserve">internal and external audit and evaluation for example. </w:t>
      </w:r>
    </w:p>
    <w:p w:rsidR="00E365E6" w:rsidRPr="00DA5DBB" w:rsidRDefault="00E365E6" w:rsidP="00E365E6">
      <w:pPr>
        <w:pStyle w:val="ONUME"/>
        <w:keepLines/>
        <w:numPr>
          <w:ilvl w:val="0"/>
          <w:numId w:val="9"/>
        </w:numPr>
      </w:pPr>
      <w:r w:rsidRPr="00DA5DBB">
        <w:t xml:space="preserve">In line with the IOC, IAOD took into account, during the whole planning process, the comments from Member States, the IAOC, the Director General and management. </w:t>
      </w:r>
    </w:p>
    <w:p w:rsidR="00E365E6" w:rsidRDefault="00E365E6" w:rsidP="00E365E6">
      <w:pPr>
        <w:pStyle w:val="ONUME"/>
        <w:keepLines/>
        <w:numPr>
          <w:ilvl w:val="0"/>
          <w:numId w:val="9"/>
        </w:numPr>
      </w:pPr>
      <w:r w:rsidRPr="00DA5DBB">
        <w:t xml:space="preserve">Finally, </w:t>
      </w:r>
      <w:r>
        <w:t xml:space="preserve">as regards investigations, </w:t>
      </w:r>
      <w:r w:rsidRPr="00DA5DBB">
        <w:t xml:space="preserve">IAOD made all efforts to </w:t>
      </w:r>
      <w:r>
        <w:t>timely</w:t>
      </w:r>
      <w:r w:rsidRPr="00DA5DBB">
        <w:t xml:space="preserve"> deal with </w:t>
      </w:r>
      <w:r>
        <w:t>complaints received</w:t>
      </w:r>
      <w:r w:rsidRPr="00DA5DBB">
        <w:t xml:space="preserve">. </w:t>
      </w:r>
      <w:r>
        <w:t xml:space="preserve"> </w:t>
      </w:r>
      <w:r w:rsidRPr="00DA5DBB">
        <w:t>Much success has been achieved in this respect during the reporting period, as described in the section on “Investigative Activities”.  This allow</w:t>
      </w:r>
      <w:r>
        <w:t>ed</w:t>
      </w:r>
      <w:r w:rsidRPr="00DA5DBB">
        <w:t xml:space="preserve"> IAOD to </w:t>
      </w:r>
      <w:r>
        <w:t xml:space="preserve">start </w:t>
      </w:r>
      <w:r w:rsidRPr="00DA5DBB">
        <w:t>undertak</w:t>
      </w:r>
      <w:r>
        <w:t>ing</w:t>
      </w:r>
      <w:r w:rsidRPr="00DA5DBB">
        <w:t xml:space="preserve"> more proactive work in the area of fraud prevention</w:t>
      </w:r>
      <w:r>
        <w:t>, deterrence and detection</w:t>
      </w:r>
      <w:r w:rsidRPr="00DA5DBB">
        <w:t>.</w:t>
      </w:r>
    </w:p>
    <w:p w:rsidR="00E365E6" w:rsidRPr="00DA5DBB" w:rsidRDefault="00E365E6" w:rsidP="00E365E6">
      <w:pPr>
        <w:pStyle w:val="ONUME"/>
        <w:keepLines/>
        <w:numPr>
          <w:ilvl w:val="0"/>
          <w:numId w:val="9"/>
        </w:numPr>
      </w:pPr>
      <w:r>
        <w:t>Oversight plans for 2013 and 2014 were issued to Program Managers and shared wi</w:t>
      </w:r>
      <w:r w:rsidR="00E218C9">
        <w:t>th all WIPO staff using WIPO’s I</w:t>
      </w:r>
      <w:r>
        <w:t xml:space="preserve">ntranet.  The plan for 2013, with small adjustments, was completed on time and within budget.  The plan for 2014 is currently being implemented as described in Annex I.  </w:t>
      </w:r>
    </w:p>
    <w:p w:rsidR="00E365E6" w:rsidRPr="00DA5DBB" w:rsidRDefault="00E365E6" w:rsidP="00E365E6">
      <w:pPr>
        <w:pStyle w:val="Heading1"/>
      </w:pPr>
      <w:bookmarkStart w:id="17" w:name="_Toc392160743"/>
      <w:r>
        <w:t>S</w:t>
      </w:r>
      <w:r w:rsidRPr="00DA5DBB">
        <w:t>IGNIFICANT INTERNAL OVERSIGHT FINDINGS AND RECOMMENDATIONS</w:t>
      </w:r>
      <w:bookmarkEnd w:id="17"/>
    </w:p>
    <w:p w:rsidR="00E365E6" w:rsidRDefault="00E365E6" w:rsidP="00E365E6">
      <w:pPr>
        <w:pStyle w:val="ONUME"/>
        <w:keepLines/>
        <w:numPr>
          <w:ilvl w:val="0"/>
          <w:numId w:val="9"/>
        </w:numPr>
      </w:pPr>
      <w:r w:rsidRPr="00DA5DBB">
        <w:t>IAOD reported findings in the following major areas</w:t>
      </w:r>
      <w:r w:rsidRPr="00DA5DBB">
        <w:rPr>
          <w:rStyle w:val="FootnoteReference"/>
          <w:sz w:val="20"/>
        </w:rPr>
        <w:footnoteReference w:id="3"/>
      </w:r>
      <w:r w:rsidRPr="00DA5DBB">
        <w:t xml:space="preserve">: </w:t>
      </w:r>
      <w:r>
        <w:t xml:space="preserve"> </w:t>
      </w:r>
      <w:r w:rsidRPr="00DA5DBB">
        <w:t>Program and project management</w:t>
      </w:r>
      <w:r>
        <w:t xml:space="preserve"> through various assignments</w:t>
      </w:r>
      <w:r w:rsidRPr="00DA5DBB">
        <w:t xml:space="preserve">, </w:t>
      </w:r>
      <w:r>
        <w:t>Madrid and The Hague</w:t>
      </w:r>
      <w:r w:rsidRPr="00DA5DBB">
        <w:t xml:space="preserve"> revenue generation process,</w:t>
      </w:r>
      <w:r>
        <w:t xml:space="preserve"> Human Resources (HR) management, Events management, Knowledge sharing and Information security</w:t>
      </w:r>
      <w:r w:rsidRPr="00DA5DBB">
        <w:t>.  In accordance with the IOC, the following comments reflect the results of the oversight work done during the period.</w:t>
      </w:r>
    </w:p>
    <w:p w:rsidR="00E365E6" w:rsidRDefault="00E365E6" w:rsidP="00E365E6">
      <w:pPr>
        <w:pStyle w:val="ONUME"/>
        <w:keepLines/>
        <w:numPr>
          <w:ilvl w:val="0"/>
          <w:numId w:val="9"/>
        </w:numPr>
      </w:pPr>
      <w:r w:rsidRPr="00DA5DBB">
        <w:t xml:space="preserve">Management has already taken action on the issues identified.  </w:t>
      </w:r>
      <w:r>
        <w:t>All recommendations made by IAOD are addressed by Management through a plan with suggested activities, responsible staff and a deadline.  Management action plans are issued with IAOD reports or discussed in detail in the month following the issuance of the report.  IAOD and Management meet on a regular basis to review the status of implementation of outstanding recommendations.</w:t>
      </w:r>
    </w:p>
    <w:p w:rsidR="00E365E6" w:rsidRDefault="00E365E6">
      <w:r>
        <w:br w:type="page"/>
      </w:r>
    </w:p>
    <w:p w:rsidR="00E365E6" w:rsidRPr="00DA5DBB" w:rsidRDefault="00E365E6" w:rsidP="00E365E6">
      <w:pPr>
        <w:pStyle w:val="Heading2"/>
      </w:pPr>
      <w:r>
        <w:lastRenderedPageBreak/>
        <w:t>Performance management</w:t>
      </w:r>
    </w:p>
    <w:p w:rsidR="00E365E6" w:rsidRDefault="00E365E6" w:rsidP="00E365E6">
      <w:pPr>
        <w:pStyle w:val="ONUME"/>
        <w:keepLines/>
        <w:numPr>
          <w:ilvl w:val="0"/>
          <w:numId w:val="9"/>
        </w:numPr>
      </w:pPr>
      <w:r>
        <w:t xml:space="preserve">The </w:t>
      </w:r>
      <w:r w:rsidRPr="00551E22">
        <w:t>Validation of the Program Performance report</w:t>
      </w:r>
      <w:r>
        <w:rPr>
          <w:rStyle w:val="FootnoteReference"/>
        </w:rPr>
        <w:footnoteReference w:id="4"/>
      </w:r>
      <w:r w:rsidRPr="00551E22">
        <w:t xml:space="preserve"> </w:t>
      </w:r>
      <w:r>
        <w:t xml:space="preserve">(PPR) </w:t>
      </w:r>
      <w:r w:rsidRPr="00551E22">
        <w:t xml:space="preserve">and </w:t>
      </w:r>
      <w:r>
        <w:t>the a</w:t>
      </w:r>
      <w:r w:rsidRPr="00551E22">
        <w:t xml:space="preserve">udit of Results Based Management </w:t>
      </w:r>
      <w:r>
        <w:t xml:space="preserve">(RBM) </w:t>
      </w:r>
      <w:r w:rsidRPr="00551E22">
        <w:t>in WIPO</w:t>
      </w:r>
      <w:r>
        <w:t xml:space="preserve"> allowed taking stock of the progress made in RBM in WIPO.</w:t>
      </w:r>
    </w:p>
    <w:p w:rsidR="00E365E6" w:rsidRPr="007D3579" w:rsidRDefault="00E365E6" w:rsidP="00E365E6">
      <w:pPr>
        <w:pStyle w:val="ONUME"/>
        <w:keepLines/>
        <w:numPr>
          <w:ilvl w:val="0"/>
          <w:numId w:val="9"/>
        </w:numPr>
      </w:pPr>
      <w:r w:rsidRPr="007D3579">
        <w:t>IAOD conducted surveys</w:t>
      </w:r>
      <w:r>
        <w:t xml:space="preserve"> with WIPO Member States, WIPO Program M</w:t>
      </w:r>
      <w:r w:rsidRPr="007D3579">
        <w:t>anagers and the U</w:t>
      </w:r>
      <w:r>
        <w:t>nited Nations (U</w:t>
      </w:r>
      <w:r w:rsidRPr="007D3579">
        <w:t>N</w:t>
      </w:r>
      <w:r>
        <w:t>)</w:t>
      </w:r>
      <w:r w:rsidRPr="007D3579">
        <w:t xml:space="preserve"> and other International Organizations.  The survey results place WIPO among the Organizations that have made significant progress in developing and implementing a result based management system.  </w:t>
      </w:r>
    </w:p>
    <w:p w:rsidR="00E365E6" w:rsidRPr="007D3579" w:rsidRDefault="00E365E6" w:rsidP="00E365E6">
      <w:pPr>
        <w:pStyle w:val="ONUME"/>
        <w:keepLines/>
        <w:numPr>
          <w:ilvl w:val="0"/>
          <w:numId w:val="9"/>
        </w:numPr>
      </w:pPr>
      <w:r w:rsidRPr="007D3579">
        <w:t xml:space="preserve">The progress made in developing a better Results Framework (expected results, performance indicators, baselines and targets) and building up the in-house knowledge in implementing RBM at WIPO is commendable.  </w:t>
      </w:r>
      <w:r>
        <w:t>T</w:t>
      </w:r>
      <w:r w:rsidRPr="007D3579">
        <w:t xml:space="preserve">he outcome of these efforts can be seen in the improved work planning process and quality of related documentation.  </w:t>
      </w:r>
      <w:r>
        <w:t>T</w:t>
      </w:r>
      <w:r w:rsidRPr="007D3579">
        <w:t>he development of a formal accountability framework to consolidate the current structure and improve the overall organizational governance should be set as a priority</w:t>
      </w:r>
      <w:r w:rsidR="005D7F4E">
        <w:t xml:space="preserve"> to enhance performance management</w:t>
      </w:r>
      <w:r w:rsidRPr="007D3579">
        <w:t xml:space="preserve">.  </w:t>
      </w:r>
      <w:r>
        <w:t>IAOD is pleased to note that a proposal for an accountability framework will be presented to Member States in September 2014.</w:t>
      </w:r>
    </w:p>
    <w:p w:rsidR="00E365E6" w:rsidRPr="007D3579" w:rsidRDefault="00E365E6" w:rsidP="00E365E6">
      <w:pPr>
        <w:pStyle w:val="ONUME"/>
        <w:keepLines/>
        <w:numPr>
          <w:ilvl w:val="0"/>
          <w:numId w:val="9"/>
        </w:numPr>
      </w:pPr>
      <w:r>
        <w:t>Other</w:t>
      </w:r>
      <w:r w:rsidRPr="007D3579">
        <w:t xml:space="preserve"> areas for improvement</w:t>
      </w:r>
      <w:r>
        <w:t xml:space="preserve"> include </w:t>
      </w:r>
      <w:r w:rsidRPr="007D3579">
        <w:t xml:space="preserve">annual RBM overview/orientation for Member States representatives.  Similarly, a staff training plan, based on identified training needs for RBM should be developed and integrated into WIPO’s corporate training program.  </w:t>
      </w:r>
    </w:p>
    <w:p w:rsidR="00E365E6" w:rsidRDefault="00E365E6" w:rsidP="00E365E6">
      <w:pPr>
        <w:pStyle w:val="ONUME"/>
        <w:keepLines/>
        <w:numPr>
          <w:ilvl w:val="0"/>
          <w:numId w:val="9"/>
        </w:numPr>
      </w:pPr>
      <w:r>
        <w:t xml:space="preserve">The validation exercise showed that progress has been made on performance indicators and performance data.  However, more can be done to provide relevant outcome/impact based results as well as ensuring all performance indicators have proper baselines.  </w:t>
      </w:r>
    </w:p>
    <w:p w:rsidR="00E365E6" w:rsidRPr="00DA5DBB" w:rsidRDefault="00E365E6" w:rsidP="00E365E6">
      <w:pPr>
        <w:pStyle w:val="Heading2"/>
      </w:pPr>
      <w:r>
        <w:t>Country Portfolio Evaluation</w:t>
      </w:r>
    </w:p>
    <w:p w:rsidR="00E365E6" w:rsidRDefault="00E365E6" w:rsidP="00E365E6">
      <w:pPr>
        <w:pStyle w:val="ONUME"/>
        <w:keepLines/>
        <w:numPr>
          <w:ilvl w:val="0"/>
          <w:numId w:val="9"/>
        </w:numPr>
      </w:pPr>
      <w:r>
        <w:t>The independent country portfolio evaluation Thailand focused on an analysis of 70 activities covering, since 2007, the WIPO Academy, Business Modernization activities, a Development Agenda Project on Intellectual Property (IP), Product Branding and support to the accession process to the Madrid and the Hague Systems.  It also assessed WIPO’s approach, the role of the Regional Bureau for Asia and Pacific and that of External Offices, coordination and WIPO strategic positioning in the country.</w:t>
      </w:r>
    </w:p>
    <w:p w:rsidR="00E365E6" w:rsidRDefault="00E365E6" w:rsidP="00E365E6">
      <w:pPr>
        <w:pStyle w:val="ONUME"/>
        <w:keepLines/>
        <w:numPr>
          <w:ilvl w:val="0"/>
          <w:numId w:val="9"/>
        </w:numPr>
      </w:pPr>
      <w:r>
        <w:t>Overall 57 out of 70 sampled activities contributed to the achievement of WIPO’s expected results at the output level over the last six years.  WIPO’s activities have been in line with the country’s institutional and regional needs and have contributed to WIPO’s strategic goals.  WIPO has positioned itself as an important IP player in Thailand, especially for the Department of Intellectual Property.</w:t>
      </w:r>
    </w:p>
    <w:p w:rsidR="00E365E6" w:rsidRDefault="00E365E6" w:rsidP="00E365E6">
      <w:pPr>
        <w:pStyle w:val="ONUME"/>
        <w:keepLines/>
        <w:numPr>
          <w:ilvl w:val="0"/>
          <w:numId w:val="9"/>
        </w:numPr>
      </w:pPr>
      <w:r>
        <w:t>Activities of the various programs developed in Thailand have been found however not to be prioritized as parts of consolidated country plans or frameworks because the responsibility for consolidated planning and monitoring of in-country operations has not been defined.  WIPO activities did not significantly contribute to the building of capac</w:t>
      </w:r>
      <w:r w:rsidR="00D830F1">
        <w:t xml:space="preserve">ities because of the lack of </w:t>
      </w:r>
      <w:r w:rsidR="00D830F1" w:rsidRPr="00D830F1">
        <w:t>in</w:t>
      </w:r>
      <w:r w:rsidR="00B277A4">
        <w:noBreakHyphen/>
      </w:r>
      <w:r w:rsidR="00E218C9" w:rsidRPr="00D830F1">
        <w:t>depth</w:t>
      </w:r>
      <w:r>
        <w:t xml:space="preserve"> assessment and planning.  Activities were not regularly followed-up on their effects in order to maintain a high quality of service and not always sustainable for lack of exit strategies, joint needs assessments and planning with partners capable of ensuring sustained long-term benefits.</w:t>
      </w:r>
    </w:p>
    <w:p w:rsidR="00E365E6" w:rsidRPr="00DA5DBB" w:rsidRDefault="00E365E6" w:rsidP="00E365E6">
      <w:pPr>
        <w:pStyle w:val="Heading2"/>
      </w:pPr>
      <w:r>
        <w:lastRenderedPageBreak/>
        <w:t>Funds-in-Trust (FIT) management</w:t>
      </w:r>
    </w:p>
    <w:p w:rsidR="00E365E6" w:rsidRPr="00444B4D" w:rsidRDefault="00E365E6" w:rsidP="00E365E6">
      <w:pPr>
        <w:pStyle w:val="ONUME"/>
        <w:keepLines/>
        <w:numPr>
          <w:ilvl w:val="0"/>
          <w:numId w:val="9"/>
        </w:numPr>
      </w:pPr>
      <w:r w:rsidRPr="00444B4D">
        <w:t xml:space="preserve">WIPO’s resources for undertaking programming activities are primarily drawn from its regular biennial budget.  In addition, extra-budgetary resources are made available to WIPO, through a number of agreements with donor countries for carrying out specific activities within the scope of its mandate.  These agreements do mostly take the form of Memoranda of Understanding </w:t>
      </w:r>
      <w:r w:rsidR="00D830F1">
        <w:t>(M</w:t>
      </w:r>
      <w:r w:rsidR="00544CC8">
        <w:t>o</w:t>
      </w:r>
      <w:r w:rsidR="00D830F1">
        <w:t xml:space="preserve">U) </w:t>
      </w:r>
      <w:r w:rsidRPr="00444B4D">
        <w:t>and funds are managed through FITs</w:t>
      </w:r>
      <w:r>
        <w:rPr>
          <w:rStyle w:val="FootnoteReference"/>
        </w:rPr>
        <w:footnoteReference w:id="5"/>
      </w:r>
      <w:r w:rsidRPr="00444B4D">
        <w:t>.</w:t>
      </w:r>
    </w:p>
    <w:p w:rsidR="00E365E6" w:rsidRPr="00444B4D" w:rsidRDefault="00E365E6" w:rsidP="00E365E6">
      <w:pPr>
        <w:pStyle w:val="ONUME"/>
        <w:keepLines/>
        <w:numPr>
          <w:ilvl w:val="0"/>
          <w:numId w:val="9"/>
        </w:numPr>
      </w:pPr>
      <w:r>
        <w:t>At</w:t>
      </w:r>
      <w:r w:rsidRPr="00444B4D">
        <w:t xml:space="preserve"> the transaction level, a high level of compliance was noted with established WIPO procedures for initiating, approving and recording transactions related to FIT</w:t>
      </w:r>
      <w:r>
        <w:t>s.  In</w:t>
      </w:r>
      <w:r w:rsidRPr="00444B4D">
        <w:t xml:space="preserve"> the management and administration of FITs, there is need for a formal strategy with respect to extra-budgetary resources including FITs which will allow better alignment of FITs activities with the organization-wide expected results and program objectives.  This strategy should also outline the context within which both WIPO and donors could better achieve their respective objectives through FITs agreements.  </w:t>
      </w:r>
    </w:p>
    <w:p w:rsidR="00E365E6" w:rsidRPr="00444B4D" w:rsidRDefault="00E365E6" w:rsidP="00E365E6">
      <w:pPr>
        <w:pStyle w:val="ONUME"/>
        <w:keepLines/>
        <w:numPr>
          <w:ilvl w:val="0"/>
          <w:numId w:val="9"/>
        </w:numPr>
      </w:pPr>
      <w:r w:rsidRPr="00444B4D">
        <w:t xml:space="preserve">Clear definition of roles and responsibilities amongst WIPO programs, External Offices and Regional Bureaus would further strengthen planning, execution, monitoring and reporting of FITs activities and enable </w:t>
      </w:r>
      <w:r>
        <w:t xml:space="preserve">more </w:t>
      </w:r>
      <w:r w:rsidRPr="00444B4D">
        <w:t>effective donor relationship management</w:t>
      </w:r>
      <w:r>
        <w:t>.</w:t>
      </w:r>
      <w:r w:rsidRPr="00444B4D">
        <w:t xml:space="preserve"> </w:t>
      </w:r>
      <w:r>
        <w:t xml:space="preserve"> This</w:t>
      </w:r>
      <w:r w:rsidRPr="00444B4D">
        <w:t xml:space="preserve"> also requires better coordination and cooperation among WIPO programs </w:t>
      </w:r>
      <w:r>
        <w:t xml:space="preserve">jointly </w:t>
      </w:r>
      <w:r w:rsidRPr="00444B4D">
        <w:t>involved in the use of funds</w:t>
      </w:r>
      <w:r>
        <w:t xml:space="preserve"> and</w:t>
      </w:r>
      <w:r w:rsidRPr="00444B4D">
        <w:t xml:space="preserve"> management of FITs.</w:t>
      </w:r>
    </w:p>
    <w:p w:rsidR="00E365E6" w:rsidRPr="00DA5DBB" w:rsidRDefault="00E365E6" w:rsidP="00E365E6">
      <w:pPr>
        <w:pStyle w:val="Heading2"/>
      </w:pPr>
      <w:r>
        <w:t>Program 1 (Patent Law)</w:t>
      </w:r>
    </w:p>
    <w:p w:rsidR="00E365E6" w:rsidRPr="00503CCB" w:rsidRDefault="00E365E6" w:rsidP="00E365E6">
      <w:pPr>
        <w:pStyle w:val="ONUME"/>
        <w:keepLines/>
        <w:numPr>
          <w:ilvl w:val="0"/>
          <w:numId w:val="9"/>
        </w:numPr>
      </w:pPr>
      <w:r w:rsidRPr="00503CCB">
        <w:t>IAOD conducted its first evaluation of normative work in WIPO.  This proved to be a challenge in the absence of similar evaluations done in</w:t>
      </w:r>
      <w:r w:rsidR="00D830F1">
        <w:t xml:space="preserve"> other organizations of the UN S</w:t>
      </w:r>
      <w:r w:rsidRPr="00503CCB">
        <w:t>ystem despite the importance of normative work in the mandate of UN organizations.</w:t>
      </w:r>
    </w:p>
    <w:p w:rsidR="00E365E6" w:rsidRDefault="00E365E6" w:rsidP="00E365E6">
      <w:pPr>
        <w:pStyle w:val="ONUME"/>
        <w:keepLines/>
        <w:numPr>
          <w:ilvl w:val="0"/>
          <w:numId w:val="9"/>
        </w:numPr>
      </w:pPr>
      <w:r>
        <w:t>Program 1 is pursuing the general objective of “progressive development of balanced international patent law and practice that serves Member States, users and society as an instrument to encourage innovation and technology transfer, in particular, in developing countries and countries with economies in transition”.  Program 1 activities are performed in the following areas of work:  supporting discussions and activities of the Standing Committee on the Law of Patents;  Legislative and policy advice given to Member States;  and Treaty administration with respect to the Budapest Treaty, the Paris Convention and the Patent Law Treaty</w:t>
      </w:r>
      <w:r w:rsidR="00D830F1">
        <w:t xml:space="preserve"> (PLT)</w:t>
      </w:r>
      <w:r>
        <w:t>.</w:t>
      </w:r>
    </w:p>
    <w:p w:rsidR="00E365E6" w:rsidRDefault="00E365E6" w:rsidP="00E365E6">
      <w:pPr>
        <w:pStyle w:val="ONUME"/>
        <w:keepLines/>
        <w:numPr>
          <w:ilvl w:val="0"/>
          <w:numId w:val="9"/>
        </w:numPr>
      </w:pPr>
      <w:r>
        <w:t xml:space="preserve">The evaluation found that Program 1 has been working effectively, delivering planned outputs through dedicated work of very good quality and relevance to the needs of receivers of services.  </w:t>
      </w:r>
      <w:r w:rsidRPr="00081C1E">
        <w:t xml:space="preserve">The Program, notwithstanding the delivery on all its key results as per the </w:t>
      </w:r>
      <w:r w:rsidRPr="002B6F04">
        <w:t>Program and Budget</w:t>
      </w:r>
      <w:r w:rsidRPr="00081C1E">
        <w:t>, only made modest progress towards achieving its overall objective i.e. progressive development of balanced international law and practice.  In efficiency terms, the Program performed well delivering timely and quality outputs.  A more accurate planning, monitoring and results framework is required to enable a more precise assessment of the effectiveness, relevance and impact of the components of the Program.  The frame</w:t>
      </w:r>
      <w:r>
        <w:t>work as contained in the 2010/</w:t>
      </w:r>
      <w:r w:rsidRPr="00081C1E">
        <w:t xml:space="preserve">11 </w:t>
      </w:r>
      <w:r>
        <w:t>Program and Budget</w:t>
      </w:r>
      <w:r w:rsidRPr="00081C1E">
        <w:t xml:space="preserve"> had significant weaknesses</w:t>
      </w:r>
      <w:r>
        <w:t xml:space="preserve"> that were addressed in more recent Program and Budget documents.</w:t>
      </w:r>
    </w:p>
    <w:p w:rsidR="00E365E6" w:rsidRDefault="00E365E6" w:rsidP="00E365E6">
      <w:pPr>
        <w:pStyle w:val="Heading2"/>
      </w:pPr>
      <w:r>
        <w:lastRenderedPageBreak/>
        <w:t>Madrid and The Hague systems</w:t>
      </w:r>
      <w:r w:rsidRPr="00DA5DBB">
        <w:t xml:space="preserve"> Revenue Generation Process</w:t>
      </w:r>
    </w:p>
    <w:p w:rsidR="00E365E6" w:rsidRDefault="00D830F1" w:rsidP="00E365E6">
      <w:pPr>
        <w:pStyle w:val="ONUME"/>
        <w:keepLines/>
        <w:numPr>
          <w:ilvl w:val="0"/>
          <w:numId w:val="9"/>
        </w:numPr>
      </w:pPr>
      <w:r>
        <w:t>The Madrid S</w:t>
      </w:r>
      <w:r w:rsidR="00E365E6">
        <w:t xml:space="preserve">ystem of </w:t>
      </w:r>
      <w:r>
        <w:t>I</w:t>
      </w:r>
      <w:r w:rsidR="00E365E6">
        <w:t xml:space="preserve">nternational </w:t>
      </w:r>
      <w:r>
        <w:t>R</w:t>
      </w:r>
      <w:r w:rsidR="00E365E6">
        <w:t xml:space="preserve">egistration of </w:t>
      </w:r>
      <w:r>
        <w:t>M</w:t>
      </w:r>
      <w:r w:rsidR="00E365E6">
        <w:t xml:space="preserve">arks facilitates the registration of marks (trademarks </w:t>
      </w:r>
      <w:r>
        <w:t>and service marks).  The Hague S</w:t>
      </w:r>
      <w:r w:rsidR="00E365E6">
        <w:t>ystem for the International Registration of Industrial Designs provides a mechanism for registe</w:t>
      </w:r>
      <w:r>
        <w:t>ring a design in countries and/</w:t>
      </w:r>
      <w:r w:rsidR="00E365E6">
        <w:t>or intergovernmental organizations member of the Hague Agreement.</w:t>
      </w:r>
    </w:p>
    <w:p w:rsidR="00E365E6" w:rsidRDefault="00E365E6" w:rsidP="00E365E6">
      <w:pPr>
        <w:pStyle w:val="ONUME"/>
        <w:keepLines/>
        <w:numPr>
          <w:ilvl w:val="0"/>
          <w:numId w:val="9"/>
        </w:numPr>
      </w:pPr>
      <w:r>
        <w:t>The above systems offer the owner of a trademark or an industrial design a means of obtaining protection in several countries by simply filing one application with the International Bureau of WIPO, in one language, with one set of fees in one currency (Swiss Francs).  An international registration produces the same effects in each of the designated countries, as if the trademark/the design had been registered directly with each national office, unless protection is refused by the national office of that country.</w:t>
      </w:r>
    </w:p>
    <w:p w:rsidR="00E365E6" w:rsidRDefault="00E365E6" w:rsidP="00E365E6">
      <w:pPr>
        <w:pStyle w:val="ONUME"/>
        <w:keepLines/>
        <w:numPr>
          <w:ilvl w:val="0"/>
          <w:numId w:val="9"/>
        </w:numPr>
      </w:pPr>
      <w:r>
        <w:t>For Madrid and The Hague System</w:t>
      </w:r>
      <w:r w:rsidR="00D830F1">
        <w:t>s</w:t>
      </w:r>
      <w:r>
        <w:t xml:space="preserve"> to achieve the strategic goal of providing premier global IP services on marks and designs, a strategy document needed to be drawn up to serve as a road map to clearly define the business objectives and means to achieve them in the medium to long run.  Management has now prepared and approved such a document.</w:t>
      </w:r>
    </w:p>
    <w:p w:rsidR="00E365E6" w:rsidRDefault="00E365E6" w:rsidP="00E365E6">
      <w:pPr>
        <w:pStyle w:val="ONUME"/>
        <w:keepLines/>
        <w:numPr>
          <w:ilvl w:val="0"/>
          <w:numId w:val="9"/>
        </w:numPr>
      </w:pPr>
      <w:r>
        <w:t>The current fee structure and payment process need to be analyzed with a view to developing a more efficient payment process and an effective fee structure to maintain financial sustainability given the expected increase in membership and geographical expansion of both systems.  Process improvements should also aim to more effectively capture and analyze the cost of transactions and enhance the precision of the unit cost formula.</w:t>
      </w:r>
    </w:p>
    <w:p w:rsidR="00E365E6" w:rsidRDefault="00E365E6" w:rsidP="00E365E6">
      <w:pPr>
        <w:pStyle w:val="ONUME"/>
        <w:keepLines/>
        <w:numPr>
          <w:ilvl w:val="0"/>
          <w:numId w:val="9"/>
        </w:numPr>
      </w:pPr>
      <w:r>
        <w:t xml:space="preserve">A thorough analysis of staffing requirements, coupled with needed skills and competencies for both Systems, will provide management with valuable information to make informed decisions to address the issues effectively in a constantly evolving IP environment.  Indicatively, expected expansion in memberships may result in the need to recruit staff with specific language skills.  </w:t>
      </w:r>
    </w:p>
    <w:p w:rsidR="00E365E6" w:rsidRDefault="00E365E6" w:rsidP="00E365E6">
      <w:pPr>
        <w:pStyle w:val="ONUME"/>
        <w:keepLines/>
        <w:numPr>
          <w:ilvl w:val="0"/>
          <w:numId w:val="9"/>
        </w:numPr>
      </w:pPr>
      <w:r>
        <w:t xml:space="preserve">Further areas for improvement were noted for customer service and quality control functions where operational effectiveness and efficiency will be enhanced if proper tools are identified and utilized.  To increase consistency and efficiency, a first step would be to develop policies and guidelines for both services.  </w:t>
      </w:r>
    </w:p>
    <w:p w:rsidR="00E365E6" w:rsidRPr="0086452F" w:rsidRDefault="00E365E6" w:rsidP="00E365E6">
      <w:pPr>
        <w:pStyle w:val="ONUME"/>
        <w:keepLines/>
        <w:numPr>
          <w:ilvl w:val="0"/>
          <w:numId w:val="9"/>
        </w:numPr>
      </w:pPr>
      <w:r>
        <w:t>The Information Technology Modernization Project which aims to enhance IT systems used in both Madrid and The Hague Systems is expected to be completed by the end of 2014.  Management should conduct a post-implementation review of the project.</w:t>
      </w:r>
    </w:p>
    <w:p w:rsidR="00E365E6" w:rsidRPr="00784224" w:rsidRDefault="00E365E6" w:rsidP="00E365E6">
      <w:pPr>
        <w:pStyle w:val="Heading2"/>
      </w:pPr>
      <w:r w:rsidRPr="00784224">
        <w:t>Evaluation of Support Services to the Intergovernmental Committee on Intellectual Property and Genetic Resources, Traditional Knowledge and Folklore (IGC)</w:t>
      </w:r>
    </w:p>
    <w:p w:rsidR="00E365E6" w:rsidRDefault="00E365E6" w:rsidP="00E365E6">
      <w:pPr>
        <w:pStyle w:val="ONUME"/>
        <w:keepLines/>
        <w:numPr>
          <w:ilvl w:val="0"/>
          <w:numId w:val="9"/>
        </w:numPr>
      </w:pPr>
      <w:r>
        <w:t xml:space="preserve">The main objective of this evaluation was to assess the effectiveness and efficiency of support services </w:t>
      </w:r>
      <w:r w:rsidRPr="00611C7D">
        <w:rPr>
          <w:lang w:val="en-GB"/>
        </w:rPr>
        <w:t xml:space="preserve">provided by the WIPO Secretariat to the </w:t>
      </w:r>
      <w:r>
        <w:t>IGC.  T</w:t>
      </w:r>
      <w:r w:rsidRPr="00611C7D">
        <w:rPr>
          <w:lang w:val="en-GB"/>
        </w:rPr>
        <w:t xml:space="preserve">his assessment </w:t>
      </w:r>
      <w:r>
        <w:t xml:space="preserve">looked at the extent </w:t>
      </w:r>
      <w:r w:rsidRPr="00611C7D">
        <w:rPr>
          <w:lang w:val="en-GB"/>
        </w:rPr>
        <w:t xml:space="preserve">to which support services </w:t>
      </w:r>
      <w:r>
        <w:t>have met the needs of the IGC, and identified lessons for this and other multilateral processes.</w:t>
      </w:r>
    </w:p>
    <w:p w:rsidR="00E365E6" w:rsidRDefault="00E365E6" w:rsidP="00E365E6">
      <w:pPr>
        <w:pStyle w:val="ONUME"/>
        <w:keepLines/>
        <w:numPr>
          <w:ilvl w:val="0"/>
          <w:numId w:val="9"/>
        </w:numPr>
      </w:pPr>
      <w:r>
        <w:t>In conclusion, the overall needs of the IGC w</w:t>
      </w:r>
      <w:r w:rsidR="007C30B5">
        <w:t>ere being met by WIPO with a 96 per cent</w:t>
      </w:r>
      <w:r>
        <w:t xml:space="preserve"> positive rating from participants.  In providing the necessary expertise, the Secretariat was found to be playing its role effectively.  Practical recommendations were made on communication and publications, registration process and the selection process for the WIPO Voluntary Fund.  Also, given the current juncture reached in the negotiations, some participants suggested that the Secretariat could be even more pro-active.  </w:t>
      </w:r>
    </w:p>
    <w:p w:rsidR="00E365E6" w:rsidRPr="00DA5DBB" w:rsidRDefault="00E365E6" w:rsidP="00E365E6">
      <w:pPr>
        <w:pStyle w:val="Heading2"/>
      </w:pPr>
      <w:r>
        <w:lastRenderedPageBreak/>
        <w:t>Human Resources m</w:t>
      </w:r>
      <w:r w:rsidRPr="00DA5DBB">
        <w:t>anagement</w:t>
      </w:r>
      <w:r>
        <w:t xml:space="preserve">: </w:t>
      </w:r>
      <w:r w:rsidR="00A2657B">
        <w:t xml:space="preserve"> </w:t>
      </w:r>
      <w:r>
        <w:t>Staff separation, Benefits and entitlements, and Rewards and Recognition</w:t>
      </w:r>
    </w:p>
    <w:p w:rsidR="00E365E6" w:rsidRDefault="00E365E6" w:rsidP="00E365E6">
      <w:pPr>
        <w:pStyle w:val="ONUME"/>
        <w:keepLines/>
        <w:numPr>
          <w:ilvl w:val="0"/>
          <w:numId w:val="9"/>
        </w:numPr>
      </w:pPr>
      <w:r>
        <w:t>The implementation of the Voluntary Separation Program (VSP) between October 2009 and June 2010 resulted in separation from service of 87 staff members on regular budget posts, at an estimated total cost of 22 million Swiss francs.  The VSP proposal, approved by the Member States, was that the vacated posts would be used to recruit skills and competencies not available internally such as managerial and specific language skills as well as technological and IP expertise.</w:t>
      </w:r>
    </w:p>
    <w:p w:rsidR="00E365E6" w:rsidRDefault="00E365E6" w:rsidP="00E365E6">
      <w:pPr>
        <w:pStyle w:val="ONUME"/>
        <w:keepLines/>
        <w:numPr>
          <w:ilvl w:val="0"/>
          <w:numId w:val="9"/>
        </w:numPr>
      </w:pPr>
      <w:r>
        <w:t>The Secretariat’s proposal was also not to replace positions of regularized long-term serving employees, resulting in a net reduction in headcount.  This did not happen.  The Human Resources Management Department</w:t>
      </w:r>
      <w:r w:rsidR="005D7F4E">
        <w:t xml:space="preserve"> (HRMD)</w:t>
      </w:r>
      <w:r>
        <w:t xml:space="preserve"> explained however that filling of the vacated VSP posts with new competencies/skills closed skills gaps a</w:t>
      </w:r>
      <w:r w:rsidR="00D830F1">
        <w:t>nd helped realign the O</w:t>
      </w:r>
      <w:r>
        <w:t>rganization’s needs leading to improved productivity and income levels</w:t>
      </w:r>
    </w:p>
    <w:p w:rsidR="00E365E6" w:rsidRDefault="00E365E6" w:rsidP="00E365E6">
      <w:pPr>
        <w:pStyle w:val="ONUME"/>
        <w:keepLines/>
        <w:numPr>
          <w:ilvl w:val="0"/>
          <w:numId w:val="9"/>
        </w:numPr>
      </w:pPr>
      <w:r>
        <w:t>Review of the VSP and individual separation agreements indicated that the monetary value of the severance packages were less than the cost of retention of staff had they opted to stay in service until retirement.  However, the calculations of the compensation elements appended to a number of separation agreements were not detailed and did not clearly define the compensation elements and derogations provided under the Staff Regulations and Rules.  In several instances, the exit forms for separating staff members were not properly completed and none of the separation agreements reviewed contained a clause reminding staff members of their obligations of confidentiality regarding WIPO information, which continue after their separation.</w:t>
      </w:r>
    </w:p>
    <w:p w:rsidR="00E365E6" w:rsidRDefault="00E365E6" w:rsidP="00E365E6">
      <w:pPr>
        <w:pStyle w:val="ONUME"/>
        <w:keepLines/>
        <w:numPr>
          <w:ilvl w:val="0"/>
          <w:numId w:val="9"/>
        </w:numPr>
      </w:pPr>
      <w:r>
        <w:t>Other international organizations were surveyed regarding agreed separation from services.  The summary results of the survey suggest that WIPO’s practices with regards to agreed separation from service do not differ markedly from the practice of other international organizations.</w:t>
      </w:r>
    </w:p>
    <w:p w:rsidR="00E365E6" w:rsidRDefault="00E365E6" w:rsidP="00E365E6">
      <w:pPr>
        <w:pStyle w:val="ONUME"/>
        <w:keepLines/>
        <w:numPr>
          <w:ilvl w:val="0"/>
          <w:numId w:val="9"/>
        </w:numPr>
      </w:pPr>
      <w:r>
        <w:t>IAOD also conducted an audit of staff benefits and entitlements.  Personnel costs constitute a significant portion of WIPO’s total expenditure budget (about 63.3% in the 2012/13 biennium).  In addition to payroll costs, personnel costs include other benefits and allowances such as education grant, home leave, dependency allowance, language allowance, assignment grant and rental subsidy, which are administered by the HR Operations Service.</w:t>
      </w:r>
    </w:p>
    <w:p w:rsidR="00E365E6" w:rsidRDefault="00E365E6" w:rsidP="00E365E6">
      <w:pPr>
        <w:pStyle w:val="ONUME"/>
        <w:keepLines/>
        <w:numPr>
          <w:ilvl w:val="0"/>
          <w:numId w:val="9"/>
        </w:numPr>
      </w:pPr>
      <w:r>
        <w:t>Although HR Operations follows certain standard practices as a matter of routine when dealing with staff requests, these practices are not properly documented.  Consistent and efficient delivery of services will be further improved by fully documenting and integrating the existing standard practices in an HR Operations Manual.</w:t>
      </w:r>
    </w:p>
    <w:p w:rsidR="00E365E6" w:rsidRDefault="00E365E6" w:rsidP="00E365E6">
      <w:pPr>
        <w:pStyle w:val="ONUME"/>
        <w:keepLines/>
        <w:numPr>
          <w:ilvl w:val="0"/>
          <w:numId w:val="9"/>
        </w:numPr>
      </w:pPr>
      <w:r>
        <w:t>A review of sampled transactions indicated some non-compliance with the provisions of the SRR relating to the processing of education grant, rental subsidy and dependency allowances.  Full compliance with the SRR will ensure the effectiveness of the defined internal controls and limit any potential financial losses to the Organization.</w:t>
      </w:r>
    </w:p>
    <w:p w:rsidR="00E365E6" w:rsidRDefault="00E365E6" w:rsidP="00E365E6">
      <w:pPr>
        <w:pStyle w:val="ONUME"/>
        <w:keepLines/>
        <w:numPr>
          <w:ilvl w:val="0"/>
          <w:numId w:val="9"/>
        </w:numPr>
      </w:pPr>
      <w:r>
        <w:t>IAOD also reviewed transactions related to assignment grants, representation allowances, and mobility and hardship allowances and no exceptions were noted.</w:t>
      </w:r>
    </w:p>
    <w:p w:rsidR="00E365E6" w:rsidRDefault="00E365E6" w:rsidP="00E365E6">
      <w:pPr>
        <w:pStyle w:val="ONUME"/>
        <w:keepLines/>
        <w:numPr>
          <w:ilvl w:val="0"/>
          <w:numId w:val="9"/>
        </w:numPr>
      </w:pPr>
      <w:r>
        <w:t>Finally, IAOD joined HRMD in the evaluation of the rewards and recognition pilot program (RRP).  The RRP aims at acknowledging and publicly appreciating outstanding performance and at recognizing and rewarding exceptional performance demonstrated by staff and teams as well as creating interest and motivation for all staff to achieve similar acknowledgement and rewards in the future.</w:t>
      </w:r>
    </w:p>
    <w:p w:rsidR="00E365E6" w:rsidRDefault="00E365E6" w:rsidP="00E365E6">
      <w:pPr>
        <w:pStyle w:val="ONUME"/>
        <w:keepLines/>
        <w:numPr>
          <w:ilvl w:val="0"/>
          <w:numId w:val="9"/>
        </w:numPr>
      </w:pPr>
      <w:r>
        <w:lastRenderedPageBreak/>
        <w:t>The RRP is composed of three mechanisms:</w:t>
      </w:r>
      <w:r w:rsidR="00A2657B">
        <w:t xml:space="preserve"> </w:t>
      </w:r>
      <w:r>
        <w:t xml:space="preserve"> informal acknowledgement by managers on a regular basis;</w:t>
      </w:r>
      <w:r w:rsidR="00A2657B">
        <w:t xml:space="preserve"> </w:t>
      </w:r>
      <w:r>
        <w:t xml:space="preserve"> formal acknowledgement by letters of appreciation for outstanding performers;</w:t>
      </w:r>
      <w:r w:rsidR="00A2657B">
        <w:t xml:space="preserve"> </w:t>
      </w:r>
      <w:r>
        <w:t xml:space="preserve"> and Performance Rewards with a monetary value for individuals and teams.</w:t>
      </w:r>
    </w:p>
    <w:p w:rsidR="00E365E6" w:rsidRDefault="00E365E6" w:rsidP="00E365E6">
      <w:pPr>
        <w:pStyle w:val="ONUME"/>
        <w:keepLines/>
        <w:numPr>
          <w:ilvl w:val="0"/>
          <w:numId w:val="9"/>
        </w:numPr>
      </w:pPr>
      <w:r>
        <w:t>The results of the first phase of the evaluation showed that the RRP should be continued with the same mix of informal recognition and formal rewards for individuals and teams with and without monetary value.  The program would benefit from offering more team awards and less individual ones</w:t>
      </w:r>
      <w:r w:rsidRPr="0066707D">
        <w:t xml:space="preserve"> </w:t>
      </w:r>
      <w:r>
        <w:t>and more rewards in kind (e.g. trainings, participation in targeted missions or events) than monetary ones.</w:t>
      </w:r>
    </w:p>
    <w:p w:rsidR="00E365E6" w:rsidRDefault="00E365E6" w:rsidP="00E365E6">
      <w:pPr>
        <w:pStyle w:val="ONUME"/>
        <w:keepLines/>
        <w:numPr>
          <w:ilvl w:val="0"/>
          <w:numId w:val="9"/>
        </w:numPr>
      </w:pPr>
      <w:r>
        <w:t>On the longer term, there is a recognized need for thinking about other elements (than those addressed in the RRP) that contribute to the creation of a performance culture.</w:t>
      </w:r>
    </w:p>
    <w:p w:rsidR="00E365E6" w:rsidRPr="00DA5DBB" w:rsidRDefault="00E365E6" w:rsidP="00E365E6">
      <w:pPr>
        <w:pStyle w:val="Heading2"/>
      </w:pPr>
      <w:r>
        <w:t>Information Security and Data migration</w:t>
      </w:r>
    </w:p>
    <w:p w:rsidR="00E365E6" w:rsidRDefault="00E365E6" w:rsidP="00E365E6">
      <w:pPr>
        <w:pStyle w:val="ONUME"/>
        <w:keepLines/>
        <w:numPr>
          <w:ilvl w:val="0"/>
          <w:numId w:val="9"/>
        </w:numPr>
      </w:pPr>
      <w:r>
        <w:t xml:space="preserve">Management and staff provided evidence of their commitment to the establishment, maintenance and improvement of an Information Security Management System at WIPO.  One key achievement is the </w:t>
      </w:r>
      <w:r w:rsidR="00D830F1">
        <w:t>International Organization for Standardization (</w:t>
      </w:r>
      <w:r>
        <w:t>ISO</w:t>
      </w:r>
      <w:r w:rsidR="00D830F1">
        <w:t>)</w:t>
      </w:r>
      <w:r>
        <w:t xml:space="preserve"> certification obtained over the protection of the Patent Cooperation Treaty (PC</w:t>
      </w:r>
      <w:r w:rsidR="00B277A4">
        <w:t>T) Information Technology (IT) S</w:t>
      </w:r>
      <w:r>
        <w:t>ystems.</w:t>
      </w:r>
    </w:p>
    <w:p w:rsidR="00E365E6" w:rsidRDefault="00E365E6" w:rsidP="00E365E6">
      <w:pPr>
        <w:pStyle w:val="ONUME"/>
        <w:keepLines/>
        <w:numPr>
          <w:ilvl w:val="0"/>
          <w:numId w:val="9"/>
        </w:numPr>
      </w:pPr>
      <w:r>
        <w:t>The audit made recommendations for enhancing internal controls and business process improvements on information risk register completeness, a centralized IT vulnerability tracking system, shared access and periodic review for system administration activities, AIMS (</w:t>
      </w:r>
      <w:r w:rsidR="007B38D4">
        <w:t>PeopleSoft</w:t>
      </w:r>
      <w:r w:rsidR="007B38D4" w:rsidRPr="00536801">
        <w:rPr>
          <w:vertAlign w:val="superscript"/>
        </w:rPr>
        <w:t>©</w:t>
      </w:r>
      <w:r>
        <w:t>) user account deactivation and reviews and formalized agreed security requirements with the UN International Computing Centre.</w:t>
      </w:r>
    </w:p>
    <w:p w:rsidR="00E365E6" w:rsidRPr="0066707D" w:rsidRDefault="00E365E6" w:rsidP="00E365E6">
      <w:pPr>
        <w:pStyle w:val="ONUME"/>
        <w:keepLines/>
        <w:numPr>
          <w:ilvl w:val="0"/>
          <w:numId w:val="9"/>
        </w:numPr>
      </w:pPr>
      <w:r>
        <w:t xml:space="preserve">A more specific information technology related project was reviewed.  </w:t>
      </w:r>
      <w:r w:rsidRPr="0066707D">
        <w:t>The HR implementation project is one of the important components of the implementation of a comprehensive Enterprise Resource Planning (ERP) system in WIPO.  One of the critical tasks of the system implementation process is the conversion or migration of data from the legacy HR system (i.e. SIGAGIP) to the new ERP System (</w:t>
      </w:r>
      <w:r w:rsidR="007B38D4">
        <w:t>PeopleSoft</w:t>
      </w:r>
      <w:r w:rsidR="007B38D4" w:rsidRPr="00536801">
        <w:rPr>
          <w:vertAlign w:val="superscript"/>
        </w:rPr>
        <w:t>©</w:t>
      </w:r>
      <w:r w:rsidRPr="0066707D">
        <w:t>)</w:t>
      </w:r>
      <w:r>
        <w:t>, which IAOD audited during the period under review</w:t>
      </w:r>
      <w:r w:rsidRPr="0066707D">
        <w:t xml:space="preserve">.  </w:t>
      </w:r>
    </w:p>
    <w:p w:rsidR="00E365E6" w:rsidRPr="0066707D" w:rsidRDefault="00E365E6" w:rsidP="00E365E6">
      <w:pPr>
        <w:pStyle w:val="ONUME"/>
        <w:keepLines/>
        <w:numPr>
          <w:ilvl w:val="0"/>
          <w:numId w:val="9"/>
        </w:numPr>
      </w:pPr>
      <w:r w:rsidRPr="0066707D">
        <w:t>As the audit was conducted concurrently with the ongoing project activities</w:t>
      </w:r>
      <w:r>
        <w:t>,</w:t>
      </w:r>
      <w:r w:rsidRPr="0066707D">
        <w:t xml:space="preserve"> to improve project implementation, timely input was provided to the project management team on the development and implementation of a robust data reconciliation plan and checklist.</w:t>
      </w:r>
    </w:p>
    <w:p w:rsidR="00C71859" w:rsidRDefault="00E365E6" w:rsidP="00E365E6">
      <w:pPr>
        <w:pStyle w:val="ONUME"/>
        <w:keepLines/>
        <w:numPr>
          <w:ilvl w:val="0"/>
          <w:numId w:val="9"/>
        </w:numPr>
      </w:pPr>
      <w:r w:rsidRPr="0066707D">
        <w:t xml:space="preserve">The implementation of this </w:t>
      </w:r>
      <w:r>
        <w:t xml:space="preserve">conversion </w:t>
      </w:r>
      <w:r w:rsidRPr="0066707D">
        <w:t>project faced delays mainly due to a large number of failed User Acceptance Test</w:t>
      </w:r>
      <w:r w:rsidRPr="00010A65">
        <w:rPr>
          <w:vertAlign w:val="superscript"/>
        </w:rPr>
        <w:footnoteReference w:id="6"/>
      </w:r>
      <w:r w:rsidRPr="0066707D">
        <w:t xml:space="preserve"> (UAT) cases during the testing stage.  The main reason for this was the lack of early involvement of all concerned functional divisions from the inception stage of the project.  Some of the UAT failures were also attributable to inaccurate or incomplete data migration.  A root cause analysis of the project delay and UAT failures will be very beneficial as lessons learned to be used in subsequent phases of the HR implementation project.</w:t>
      </w:r>
    </w:p>
    <w:p w:rsidR="006E7669" w:rsidRDefault="006E7669" w:rsidP="006E7669">
      <w:pPr>
        <w:pStyle w:val="ONUME"/>
        <w:keepLines/>
        <w:numPr>
          <w:ilvl w:val="0"/>
          <w:numId w:val="0"/>
        </w:numPr>
      </w:pPr>
    </w:p>
    <w:p w:rsidR="006E7669" w:rsidRDefault="006E7669" w:rsidP="006E7669">
      <w:pPr>
        <w:pStyle w:val="ONUME"/>
        <w:keepLines/>
        <w:numPr>
          <w:ilvl w:val="0"/>
          <w:numId w:val="0"/>
        </w:numPr>
        <w:sectPr w:rsidR="006E7669" w:rsidSect="00E365E6">
          <w:headerReference w:type="default" r:id="rId15"/>
          <w:endnotePr>
            <w:numFmt w:val="decimal"/>
          </w:endnotePr>
          <w:pgSz w:w="11907" w:h="16840" w:code="9"/>
          <w:pgMar w:top="1305" w:right="1134" w:bottom="1418" w:left="1418" w:header="510" w:footer="1021" w:gutter="0"/>
          <w:cols w:space="720"/>
          <w:titlePg/>
          <w:docGrid w:linePitch="299"/>
        </w:sectPr>
      </w:pPr>
    </w:p>
    <w:p w:rsidR="00E365E6" w:rsidRPr="00DA5DBB" w:rsidRDefault="00E365E6" w:rsidP="00E365E6">
      <w:pPr>
        <w:pStyle w:val="Heading2"/>
      </w:pPr>
      <w:r>
        <w:lastRenderedPageBreak/>
        <w:t>Knowledge Sharing</w:t>
      </w:r>
    </w:p>
    <w:p w:rsidR="00E365E6" w:rsidRDefault="00E365E6" w:rsidP="00E365E6">
      <w:pPr>
        <w:pStyle w:val="ONUME"/>
        <w:keepLines/>
        <w:numPr>
          <w:ilvl w:val="0"/>
          <w:numId w:val="9"/>
        </w:numPr>
      </w:pPr>
      <w:r>
        <w:t>WIPO has developed a number of useful policies, processes and procedures related to knowledge sharing.  Improvements have been made in the “working as one” approach promoted by the Strategic Realignment Program (SRP).  Innovative or multi-dimensional approaches for the sharing of knowledge are not however prevalent across the Organization, in particular for strategy development or the planning of missions.</w:t>
      </w:r>
    </w:p>
    <w:p w:rsidR="00E365E6" w:rsidRDefault="00E365E6" w:rsidP="00E365E6">
      <w:pPr>
        <w:pStyle w:val="ONUME"/>
        <w:keepLines/>
        <w:numPr>
          <w:ilvl w:val="0"/>
          <w:numId w:val="9"/>
        </w:numPr>
      </w:pPr>
      <w:r>
        <w:t>Communication events have enhanced wider understanding of issues in WIPO but there is still a lack of effective information and knowledge sharing across sectors.  There is an absence of coherent organization wide tools and processes to facilitate content management and a lack of clarified roles on records keeping in the Organization.  Knowledge sharing is not a significant component of WIPO's organizational culture.</w:t>
      </w:r>
    </w:p>
    <w:p w:rsidR="00E365E6" w:rsidRDefault="00E365E6" w:rsidP="00E365E6">
      <w:pPr>
        <w:pStyle w:val="ONUME"/>
        <w:keepLines/>
        <w:numPr>
          <w:ilvl w:val="0"/>
          <w:numId w:val="9"/>
        </w:numPr>
      </w:pPr>
      <w:r>
        <w:t>Several technology applications and tools have been developed and implemented in WIPO in the last few y</w:t>
      </w:r>
      <w:r w:rsidR="00B277A4">
        <w:t>ears, including the redesigned w</w:t>
      </w:r>
      <w:r>
        <w:t>eb site, a Wiki</w:t>
      </w:r>
      <w:r>
        <w:rPr>
          <w:rStyle w:val="FootnoteReference"/>
        </w:rPr>
        <w:footnoteReference w:id="7"/>
      </w:r>
      <w:r w:rsidR="00B277A4">
        <w:t>, the I</w:t>
      </w:r>
      <w:r>
        <w:t>ntranet and the ERP, which have had a positive impact on information and knowledge sharing.  A strategic approach toward digital transformation and better content management is required to provide better methods for organizing, accessing and using data and information in WIPO.</w:t>
      </w:r>
    </w:p>
    <w:p w:rsidR="00E365E6" w:rsidRPr="00DA5DBB" w:rsidRDefault="00E365E6" w:rsidP="00E365E6">
      <w:pPr>
        <w:pStyle w:val="Heading2"/>
      </w:pPr>
      <w:r>
        <w:t>Events Management</w:t>
      </w:r>
    </w:p>
    <w:p w:rsidR="00E365E6" w:rsidRDefault="00E365E6" w:rsidP="00E365E6">
      <w:pPr>
        <w:pStyle w:val="ONUME"/>
        <w:keepLines/>
        <w:numPr>
          <w:ilvl w:val="0"/>
          <w:numId w:val="9"/>
        </w:numPr>
      </w:pPr>
      <w:r>
        <w:t>While events</w:t>
      </w:r>
      <w:r w:rsidRPr="00962C2B">
        <w:rPr>
          <w:vertAlign w:val="superscript"/>
        </w:rPr>
        <w:footnoteReference w:id="8"/>
      </w:r>
      <w:r>
        <w:t xml:space="preserve"> are an important component of WIPO activities and a means by which the Organization achieves its objectives and expected results in line with its RBM system, events management is currently not fully integrated with other tools and systems used to support RBM at WIPO.  </w:t>
      </w:r>
      <w:r>
        <w:rPr>
          <w:lang w:val="en-GB"/>
        </w:rPr>
        <w:t xml:space="preserve">As a result, events are currently managed outside the results chain instead of within an </w:t>
      </w:r>
      <w:r>
        <w:t>integrated system.</w:t>
      </w:r>
    </w:p>
    <w:p w:rsidR="00E365E6" w:rsidRDefault="00E365E6" w:rsidP="00E365E6">
      <w:pPr>
        <w:pStyle w:val="ONUME"/>
        <w:keepLines/>
        <w:numPr>
          <w:ilvl w:val="0"/>
          <w:numId w:val="9"/>
        </w:numPr>
      </w:pPr>
      <w:r>
        <w:t xml:space="preserve">WIPO existing planning and implementation tools must be enhanced to improve scheduling and coordination, and better control should be exercised during quarterly review of work plans to avoid potential cases of multiple events in the same location during the same period. </w:t>
      </w:r>
    </w:p>
    <w:p w:rsidR="00C71859" w:rsidRDefault="00E365E6" w:rsidP="00E365E6">
      <w:pPr>
        <w:pStyle w:val="ONUME"/>
        <w:keepLines/>
        <w:numPr>
          <w:ilvl w:val="0"/>
          <w:numId w:val="9"/>
        </w:numPr>
      </w:pPr>
      <w:r>
        <w:t>Late event requests and travel authorizations incur higher travel costs for the Organization as the opportunity to purchase lower-priced tickets is lost.  Also, additional savings could be made by using Webinars in lieu of staff or third party travels for small events in locations where the technology is available and effective.  Appropriate measures should be taken to better benefit from these potential savings.</w:t>
      </w:r>
    </w:p>
    <w:p w:rsidR="007C30B5" w:rsidRDefault="007C30B5" w:rsidP="007C30B5">
      <w:pPr>
        <w:pStyle w:val="ONUME"/>
        <w:keepLines/>
        <w:numPr>
          <w:ilvl w:val="0"/>
          <w:numId w:val="0"/>
        </w:numPr>
      </w:pPr>
    </w:p>
    <w:p w:rsidR="007C30B5" w:rsidRDefault="007C30B5" w:rsidP="007C30B5">
      <w:pPr>
        <w:pStyle w:val="ONUME"/>
        <w:keepLines/>
        <w:numPr>
          <w:ilvl w:val="0"/>
          <w:numId w:val="0"/>
        </w:numPr>
        <w:sectPr w:rsidR="007C30B5" w:rsidSect="00E365E6">
          <w:endnotePr>
            <w:numFmt w:val="decimal"/>
          </w:endnotePr>
          <w:pgSz w:w="11907" w:h="16840" w:code="9"/>
          <w:pgMar w:top="1305" w:right="1134" w:bottom="1418" w:left="1418" w:header="510" w:footer="1021" w:gutter="0"/>
          <w:cols w:space="720"/>
          <w:titlePg/>
          <w:docGrid w:linePitch="299"/>
        </w:sectPr>
      </w:pPr>
    </w:p>
    <w:p w:rsidR="00E365E6" w:rsidRPr="00DA5DBB" w:rsidRDefault="006A0D3F" w:rsidP="00E365E6">
      <w:pPr>
        <w:pStyle w:val="Heading1"/>
      </w:pPr>
      <w:bookmarkStart w:id="18" w:name="_Toc392160744"/>
      <w:r>
        <w:lastRenderedPageBreak/>
        <w:t>I</w:t>
      </w:r>
      <w:r w:rsidR="00E365E6" w:rsidRPr="00DA5DBB">
        <w:t>NVESTIGATIVE ACTIVITIES IN THE REPORTING PERIOD</w:t>
      </w:r>
      <w:bookmarkEnd w:id="18"/>
    </w:p>
    <w:p w:rsidR="00E365E6" w:rsidRPr="00713A38" w:rsidRDefault="00E365E6" w:rsidP="00E365E6">
      <w:pPr>
        <w:pStyle w:val="ONUME"/>
        <w:keepLines/>
        <w:numPr>
          <w:ilvl w:val="0"/>
          <w:numId w:val="9"/>
        </w:numPr>
      </w:pPr>
      <w:r w:rsidRPr="00713A38">
        <w:t xml:space="preserve">Since 2008, IAOD has registered a total of 127 investigation cases, of which 115 were closed as at June 30, 2014.  In the reporting period, 26 new cases were registered and 16 cases were closed (as compared with 16 cases received and 28 cases closed in the previous period).  </w:t>
      </w:r>
    </w:p>
    <w:p w:rsidR="00E365E6" w:rsidRPr="00713A38" w:rsidRDefault="00E365E6" w:rsidP="00E365E6">
      <w:pPr>
        <w:pStyle w:val="ONUME"/>
        <w:keepLines/>
        <w:numPr>
          <w:ilvl w:val="0"/>
          <w:numId w:val="9"/>
        </w:numPr>
      </w:pPr>
      <w:r w:rsidRPr="00713A38">
        <w:t>Among the new cases, three were referred to the IAOC in accordance with paragraph 5 of the Internal Oversight Charter</w:t>
      </w:r>
      <w:r w:rsidRPr="00713A38">
        <w:rPr>
          <w:rStyle w:val="FootnoteReference"/>
        </w:rPr>
        <w:footnoteReference w:id="9"/>
      </w:r>
      <w:r w:rsidRPr="00713A38">
        <w:t>.  Following the recommendations made by the IAOC, the cases were referred to outside WIPO investigation units, two within UN organizations and one to an external contractor.  Two of the three cases were still under preliminary evaluation a</w:t>
      </w:r>
      <w:r w:rsidR="00B277A4">
        <w:t>s at June </w:t>
      </w:r>
      <w:r w:rsidRPr="00713A38">
        <w:t>30, 2014.</w:t>
      </w:r>
    </w:p>
    <w:p w:rsidR="00E365E6" w:rsidRPr="00713A38" w:rsidRDefault="00E365E6" w:rsidP="00E365E6">
      <w:pPr>
        <w:pStyle w:val="ONUME"/>
        <w:keepLines/>
        <w:numPr>
          <w:ilvl w:val="0"/>
          <w:numId w:val="9"/>
        </w:numPr>
      </w:pPr>
      <w:r w:rsidRPr="00713A38">
        <w:t xml:space="preserve">Overall twelve cases </w:t>
      </w:r>
      <w:r w:rsidR="005D7F4E">
        <w:t>were</w:t>
      </w:r>
      <w:r w:rsidRPr="00713A38">
        <w:t xml:space="preserve"> open at the time of issuing this report.  Apart from cases that were being dealt by outside parties, all cases but two had been open for less than three months, at the time of issuing this report.  In two cases, the outcome of the investigations was delayed by the subjects’ absence on extended sick leave.</w:t>
      </w:r>
    </w:p>
    <w:p w:rsidR="00E365E6" w:rsidRPr="00DA5DBB" w:rsidRDefault="00E365E6" w:rsidP="00E365E6">
      <w:pPr>
        <w:pStyle w:val="ONUME"/>
        <w:keepLines/>
        <w:numPr>
          <w:ilvl w:val="0"/>
          <w:numId w:val="9"/>
        </w:numPr>
        <w:spacing w:before="240"/>
      </w:pPr>
      <w:r w:rsidRPr="00DA5DBB">
        <w:t xml:space="preserve">The average duration of cases closed during the reporting period was </w:t>
      </w:r>
      <w:r>
        <w:t>three</w:t>
      </w:r>
      <w:r w:rsidRPr="00DA5DBB">
        <w:t xml:space="preserve"> months</w:t>
      </w:r>
      <w:r>
        <w:t>, compared to six months in the previous reporting period</w:t>
      </w:r>
      <w:r w:rsidRPr="00DA5DBB">
        <w:t xml:space="preserve">.  </w:t>
      </w:r>
    </w:p>
    <w:p w:rsidR="00E365E6" w:rsidRDefault="00E365E6" w:rsidP="00E365E6">
      <w:pPr>
        <w:pStyle w:val="ONUME"/>
        <w:keepLines/>
        <w:numPr>
          <w:ilvl w:val="0"/>
          <w:numId w:val="9"/>
        </w:numPr>
      </w:pPr>
      <w:r>
        <w:t>The type of complaints received over the reporting period is described in the table below.  The nature of complaints received remain in the same categories with harassment, breach of international civil servants’ obligations and HR practices appearing as the three first categories of allegations of misconduct.</w:t>
      </w:r>
    </w:p>
    <w:p w:rsidR="00E365E6" w:rsidRPr="00DA5DBB" w:rsidRDefault="00E365E6" w:rsidP="00B66F63">
      <w:pPr>
        <w:pStyle w:val="Caption"/>
        <w:spacing w:after="120"/>
        <w:jc w:val="center"/>
      </w:pPr>
      <w:r w:rsidRPr="00DA5DBB">
        <w:t xml:space="preserve">Table </w:t>
      </w:r>
      <w:fldSimple w:instr=" SEQ Table \* ARABIC ">
        <w:r w:rsidR="00ED682D">
          <w:rPr>
            <w:noProof/>
          </w:rPr>
          <w:t>1</w:t>
        </w:r>
      </w:fldSimple>
      <w:r w:rsidRPr="00DA5DBB">
        <w:t xml:space="preserve"> – </w:t>
      </w:r>
      <w:r>
        <w:t>Type of complaints received during the reporting period</w:t>
      </w:r>
    </w:p>
    <w:tbl>
      <w:tblPr>
        <w:tblW w:w="8971" w:type="dxa"/>
        <w:jc w:val="center"/>
        <w:tblLook w:val="04A0" w:firstRow="1" w:lastRow="0" w:firstColumn="1" w:lastColumn="0" w:noHBand="0" w:noVBand="1"/>
      </w:tblPr>
      <w:tblGrid>
        <w:gridCol w:w="7420"/>
        <w:gridCol w:w="823"/>
        <w:gridCol w:w="728"/>
      </w:tblGrid>
      <w:tr w:rsidR="00E365E6" w:rsidRPr="001E5422" w:rsidTr="001E2D32">
        <w:trPr>
          <w:cantSplit/>
          <w:trHeight w:val="397"/>
          <w:jc w:val="center"/>
        </w:trPr>
        <w:tc>
          <w:tcPr>
            <w:tcW w:w="7420" w:type="dxa"/>
            <w:tcBorders>
              <w:top w:val="single" w:sz="4" w:space="0" w:color="000000"/>
              <w:left w:val="single" w:sz="4" w:space="0" w:color="000000"/>
              <w:bottom w:val="nil"/>
              <w:right w:val="nil"/>
            </w:tcBorders>
            <w:shd w:val="clear" w:color="auto" w:fill="D9D9D9" w:themeFill="background1" w:themeFillShade="D9"/>
            <w:noWrap/>
            <w:vAlign w:val="center"/>
            <w:hideMark/>
          </w:tcPr>
          <w:p w:rsidR="00E365E6" w:rsidRPr="001E5422" w:rsidRDefault="00E365E6" w:rsidP="001E2D32">
            <w:pPr>
              <w:keepNext/>
              <w:keepLines/>
              <w:rPr>
                <w:b/>
              </w:rPr>
            </w:pPr>
            <w:r w:rsidRPr="001E5422">
              <w:rPr>
                <w:b/>
              </w:rPr>
              <w:t>Report of misconduct/complaint Category</w:t>
            </w:r>
          </w:p>
        </w:tc>
        <w:tc>
          <w:tcPr>
            <w:tcW w:w="823" w:type="dxa"/>
            <w:tcBorders>
              <w:top w:val="single" w:sz="4" w:space="0" w:color="000000"/>
              <w:left w:val="single" w:sz="4" w:space="0" w:color="000000"/>
              <w:bottom w:val="nil"/>
              <w:right w:val="single" w:sz="4" w:space="0" w:color="000000"/>
            </w:tcBorders>
            <w:shd w:val="clear" w:color="auto" w:fill="D9D9D9" w:themeFill="background1" w:themeFillShade="D9"/>
            <w:noWrap/>
            <w:vAlign w:val="center"/>
            <w:hideMark/>
          </w:tcPr>
          <w:p w:rsidR="00E365E6" w:rsidRPr="001E5422" w:rsidRDefault="00E365E6" w:rsidP="001E2D32">
            <w:pPr>
              <w:keepNext/>
              <w:keepLines/>
              <w:jc w:val="center"/>
              <w:rPr>
                <w:b/>
              </w:rPr>
            </w:pPr>
            <w:r w:rsidRPr="001E5422">
              <w:rPr>
                <w:b/>
              </w:rPr>
              <w:t>Total</w:t>
            </w:r>
          </w:p>
        </w:tc>
        <w:tc>
          <w:tcPr>
            <w:tcW w:w="728" w:type="dxa"/>
            <w:tcBorders>
              <w:top w:val="single" w:sz="4" w:space="0" w:color="000000"/>
              <w:left w:val="single" w:sz="4" w:space="0" w:color="000000"/>
              <w:bottom w:val="nil"/>
              <w:right w:val="single" w:sz="4" w:space="0" w:color="000000"/>
            </w:tcBorders>
            <w:shd w:val="clear" w:color="auto" w:fill="D9D9D9" w:themeFill="background1" w:themeFillShade="D9"/>
            <w:vAlign w:val="center"/>
          </w:tcPr>
          <w:p w:rsidR="00E365E6" w:rsidRPr="001E5422" w:rsidRDefault="00E365E6" w:rsidP="001E2D32">
            <w:pPr>
              <w:keepNext/>
              <w:keepLines/>
              <w:jc w:val="center"/>
              <w:rPr>
                <w:b/>
              </w:rPr>
            </w:pPr>
            <w:r>
              <w:rPr>
                <w:b/>
              </w:rPr>
              <w:t>%</w:t>
            </w:r>
          </w:p>
        </w:tc>
      </w:tr>
      <w:tr w:rsidR="00E365E6" w:rsidRPr="001E5422" w:rsidTr="001E2D32">
        <w:trPr>
          <w:cantSplit/>
          <w:trHeight w:val="397"/>
          <w:jc w:val="center"/>
        </w:trPr>
        <w:tc>
          <w:tcPr>
            <w:tcW w:w="7420" w:type="dxa"/>
            <w:tcBorders>
              <w:top w:val="single" w:sz="4" w:space="0" w:color="000000"/>
              <w:left w:val="single" w:sz="4" w:space="0" w:color="000000"/>
              <w:bottom w:val="nil"/>
              <w:right w:val="nil"/>
            </w:tcBorders>
            <w:shd w:val="clear" w:color="auto" w:fill="auto"/>
            <w:vAlign w:val="center"/>
            <w:hideMark/>
          </w:tcPr>
          <w:p w:rsidR="00E365E6" w:rsidRPr="001E5422" w:rsidRDefault="00E365E6" w:rsidP="001E2D32">
            <w:pPr>
              <w:keepLines/>
              <w:rPr>
                <w:rFonts w:eastAsia="Times New Roman"/>
                <w:sz w:val="20"/>
                <w:lang w:eastAsia="en-US"/>
              </w:rPr>
            </w:pPr>
            <w:r w:rsidRPr="001E5422">
              <w:rPr>
                <w:rFonts w:eastAsia="Times New Roman"/>
                <w:sz w:val="20"/>
                <w:lang w:eastAsia="en-US"/>
              </w:rPr>
              <w:t>Harassment/Discrimination/Abuse of Authority</w:t>
            </w:r>
          </w:p>
        </w:tc>
        <w:tc>
          <w:tcPr>
            <w:tcW w:w="823" w:type="dxa"/>
            <w:tcBorders>
              <w:top w:val="single" w:sz="4" w:space="0" w:color="000000"/>
              <w:left w:val="single" w:sz="4" w:space="0" w:color="000000"/>
              <w:bottom w:val="nil"/>
              <w:right w:val="single" w:sz="4" w:space="0" w:color="000000"/>
            </w:tcBorders>
            <w:shd w:val="clear" w:color="auto" w:fill="auto"/>
            <w:noWrap/>
            <w:vAlign w:val="bottom"/>
            <w:hideMark/>
          </w:tcPr>
          <w:p w:rsidR="00E365E6" w:rsidRPr="001E5422" w:rsidRDefault="00E365E6" w:rsidP="001E2D32">
            <w:pPr>
              <w:keepLines/>
              <w:jc w:val="center"/>
              <w:rPr>
                <w:rFonts w:eastAsia="Times New Roman"/>
                <w:sz w:val="20"/>
                <w:lang w:eastAsia="en-US"/>
              </w:rPr>
            </w:pPr>
            <w:r w:rsidRPr="001E5422">
              <w:rPr>
                <w:rFonts w:eastAsia="Times New Roman"/>
                <w:sz w:val="20"/>
                <w:lang w:eastAsia="en-US"/>
              </w:rPr>
              <w:t>7</w:t>
            </w:r>
          </w:p>
        </w:tc>
        <w:tc>
          <w:tcPr>
            <w:tcW w:w="728" w:type="dxa"/>
            <w:tcBorders>
              <w:top w:val="single" w:sz="4" w:space="0" w:color="000000"/>
              <w:left w:val="single" w:sz="4" w:space="0" w:color="000000"/>
              <w:bottom w:val="nil"/>
              <w:right w:val="single" w:sz="4" w:space="0" w:color="000000"/>
            </w:tcBorders>
            <w:vAlign w:val="bottom"/>
          </w:tcPr>
          <w:p w:rsidR="00E365E6" w:rsidRDefault="00E365E6" w:rsidP="001E2D32">
            <w:pPr>
              <w:keepLines/>
              <w:jc w:val="center"/>
              <w:rPr>
                <w:sz w:val="20"/>
              </w:rPr>
            </w:pPr>
            <w:r>
              <w:rPr>
                <w:sz w:val="20"/>
              </w:rPr>
              <w:t>27%</w:t>
            </w:r>
          </w:p>
        </w:tc>
      </w:tr>
      <w:tr w:rsidR="00E365E6" w:rsidRPr="001E5422" w:rsidTr="001E2D32">
        <w:trPr>
          <w:cantSplit/>
          <w:trHeight w:val="397"/>
          <w:jc w:val="center"/>
        </w:trPr>
        <w:tc>
          <w:tcPr>
            <w:tcW w:w="7420" w:type="dxa"/>
            <w:tcBorders>
              <w:top w:val="nil"/>
              <w:left w:val="single" w:sz="4" w:space="0" w:color="000000"/>
              <w:bottom w:val="nil"/>
              <w:right w:val="nil"/>
            </w:tcBorders>
            <w:shd w:val="clear" w:color="auto" w:fill="auto"/>
            <w:vAlign w:val="center"/>
            <w:hideMark/>
          </w:tcPr>
          <w:p w:rsidR="00E365E6" w:rsidRPr="001E5422" w:rsidRDefault="00E365E6" w:rsidP="001E2D32">
            <w:pPr>
              <w:keepLines/>
              <w:rPr>
                <w:rFonts w:eastAsia="Times New Roman"/>
                <w:sz w:val="20"/>
                <w:lang w:eastAsia="en-US"/>
              </w:rPr>
            </w:pPr>
            <w:r w:rsidRPr="001E5422">
              <w:rPr>
                <w:rFonts w:eastAsia="Times New Roman"/>
                <w:sz w:val="20"/>
                <w:lang w:eastAsia="en-US"/>
              </w:rPr>
              <w:t>Statements, pronouncements and activities incompatible with the obligations of an international civil servant</w:t>
            </w:r>
          </w:p>
        </w:tc>
        <w:tc>
          <w:tcPr>
            <w:tcW w:w="823" w:type="dxa"/>
            <w:tcBorders>
              <w:top w:val="nil"/>
              <w:left w:val="single" w:sz="4" w:space="0" w:color="000000"/>
              <w:bottom w:val="nil"/>
              <w:right w:val="single" w:sz="4" w:space="0" w:color="000000"/>
            </w:tcBorders>
            <w:shd w:val="clear" w:color="auto" w:fill="auto"/>
            <w:noWrap/>
            <w:vAlign w:val="bottom"/>
            <w:hideMark/>
          </w:tcPr>
          <w:p w:rsidR="00E365E6" w:rsidRPr="001E5422" w:rsidRDefault="00E365E6" w:rsidP="001E2D32">
            <w:pPr>
              <w:keepLines/>
              <w:jc w:val="center"/>
              <w:rPr>
                <w:rFonts w:eastAsia="Times New Roman"/>
                <w:sz w:val="20"/>
                <w:lang w:eastAsia="en-US"/>
              </w:rPr>
            </w:pPr>
            <w:r w:rsidRPr="001E5422">
              <w:rPr>
                <w:rFonts w:eastAsia="Times New Roman"/>
                <w:sz w:val="20"/>
                <w:lang w:eastAsia="en-US"/>
              </w:rPr>
              <w:t>7</w:t>
            </w:r>
          </w:p>
        </w:tc>
        <w:tc>
          <w:tcPr>
            <w:tcW w:w="728" w:type="dxa"/>
            <w:tcBorders>
              <w:top w:val="nil"/>
              <w:left w:val="single" w:sz="4" w:space="0" w:color="000000"/>
              <w:bottom w:val="nil"/>
              <w:right w:val="single" w:sz="4" w:space="0" w:color="000000"/>
            </w:tcBorders>
            <w:vAlign w:val="bottom"/>
          </w:tcPr>
          <w:p w:rsidR="00E365E6" w:rsidRDefault="00E365E6" w:rsidP="001E2D32">
            <w:pPr>
              <w:keepLines/>
              <w:jc w:val="center"/>
              <w:rPr>
                <w:sz w:val="20"/>
              </w:rPr>
            </w:pPr>
            <w:r>
              <w:rPr>
                <w:sz w:val="20"/>
              </w:rPr>
              <w:t>27%</w:t>
            </w:r>
          </w:p>
        </w:tc>
      </w:tr>
      <w:tr w:rsidR="00E365E6" w:rsidRPr="001E5422" w:rsidTr="001E2D32">
        <w:trPr>
          <w:cantSplit/>
          <w:trHeight w:val="397"/>
          <w:jc w:val="center"/>
        </w:trPr>
        <w:tc>
          <w:tcPr>
            <w:tcW w:w="7420" w:type="dxa"/>
            <w:tcBorders>
              <w:top w:val="nil"/>
              <w:left w:val="single" w:sz="4" w:space="0" w:color="000000"/>
              <w:bottom w:val="nil"/>
              <w:right w:val="nil"/>
            </w:tcBorders>
            <w:shd w:val="clear" w:color="auto" w:fill="auto"/>
            <w:vAlign w:val="center"/>
            <w:hideMark/>
          </w:tcPr>
          <w:p w:rsidR="00E365E6" w:rsidRPr="001E5422" w:rsidRDefault="00E365E6" w:rsidP="001E2D32">
            <w:pPr>
              <w:keepLines/>
              <w:rPr>
                <w:rFonts w:eastAsia="Times New Roman"/>
                <w:sz w:val="20"/>
                <w:lang w:eastAsia="en-US"/>
              </w:rPr>
            </w:pPr>
            <w:r w:rsidRPr="001E5422">
              <w:rPr>
                <w:rFonts w:eastAsia="Times New Roman"/>
                <w:sz w:val="20"/>
                <w:lang w:eastAsia="en-US"/>
              </w:rPr>
              <w:t>Irregular HR practices</w:t>
            </w:r>
          </w:p>
        </w:tc>
        <w:tc>
          <w:tcPr>
            <w:tcW w:w="823" w:type="dxa"/>
            <w:tcBorders>
              <w:top w:val="nil"/>
              <w:left w:val="single" w:sz="4" w:space="0" w:color="000000"/>
              <w:bottom w:val="nil"/>
              <w:right w:val="single" w:sz="4" w:space="0" w:color="000000"/>
            </w:tcBorders>
            <w:shd w:val="clear" w:color="auto" w:fill="auto"/>
            <w:noWrap/>
            <w:vAlign w:val="bottom"/>
            <w:hideMark/>
          </w:tcPr>
          <w:p w:rsidR="00E365E6" w:rsidRPr="001E5422" w:rsidRDefault="00E365E6" w:rsidP="001E2D32">
            <w:pPr>
              <w:keepLines/>
              <w:jc w:val="center"/>
              <w:rPr>
                <w:rFonts w:eastAsia="Times New Roman"/>
                <w:sz w:val="20"/>
                <w:lang w:eastAsia="en-US"/>
              </w:rPr>
            </w:pPr>
            <w:r w:rsidRPr="001E5422">
              <w:rPr>
                <w:rFonts w:eastAsia="Times New Roman"/>
                <w:sz w:val="20"/>
                <w:lang w:eastAsia="en-US"/>
              </w:rPr>
              <w:t>4</w:t>
            </w:r>
          </w:p>
        </w:tc>
        <w:tc>
          <w:tcPr>
            <w:tcW w:w="728" w:type="dxa"/>
            <w:tcBorders>
              <w:top w:val="nil"/>
              <w:left w:val="single" w:sz="4" w:space="0" w:color="000000"/>
              <w:bottom w:val="nil"/>
              <w:right w:val="single" w:sz="4" w:space="0" w:color="000000"/>
            </w:tcBorders>
            <w:vAlign w:val="bottom"/>
          </w:tcPr>
          <w:p w:rsidR="00E365E6" w:rsidRDefault="00E365E6" w:rsidP="001E2D32">
            <w:pPr>
              <w:keepLines/>
              <w:jc w:val="center"/>
              <w:rPr>
                <w:sz w:val="20"/>
              </w:rPr>
            </w:pPr>
            <w:r>
              <w:rPr>
                <w:sz w:val="20"/>
              </w:rPr>
              <w:t>15%</w:t>
            </w:r>
          </w:p>
        </w:tc>
      </w:tr>
      <w:tr w:rsidR="00E365E6" w:rsidRPr="001E5422" w:rsidTr="001E2D32">
        <w:trPr>
          <w:cantSplit/>
          <w:trHeight w:val="397"/>
          <w:jc w:val="center"/>
        </w:trPr>
        <w:tc>
          <w:tcPr>
            <w:tcW w:w="7420" w:type="dxa"/>
            <w:tcBorders>
              <w:top w:val="nil"/>
              <w:left w:val="single" w:sz="4" w:space="0" w:color="000000"/>
              <w:bottom w:val="nil"/>
              <w:right w:val="nil"/>
            </w:tcBorders>
            <w:shd w:val="clear" w:color="auto" w:fill="auto"/>
            <w:vAlign w:val="center"/>
            <w:hideMark/>
          </w:tcPr>
          <w:p w:rsidR="00E365E6" w:rsidRPr="001E5422" w:rsidRDefault="00E365E6" w:rsidP="001E2D32">
            <w:pPr>
              <w:keepLines/>
              <w:rPr>
                <w:rFonts w:eastAsia="Times New Roman"/>
                <w:sz w:val="20"/>
                <w:lang w:eastAsia="en-US"/>
              </w:rPr>
            </w:pPr>
            <w:r w:rsidRPr="001E5422">
              <w:rPr>
                <w:rFonts w:eastAsia="Times New Roman"/>
                <w:sz w:val="20"/>
                <w:lang w:eastAsia="en-US"/>
              </w:rPr>
              <w:t>Unauthorized communication of information</w:t>
            </w:r>
          </w:p>
        </w:tc>
        <w:tc>
          <w:tcPr>
            <w:tcW w:w="823" w:type="dxa"/>
            <w:tcBorders>
              <w:top w:val="nil"/>
              <w:left w:val="single" w:sz="4" w:space="0" w:color="000000"/>
              <w:bottom w:val="nil"/>
              <w:right w:val="single" w:sz="4" w:space="0" w:color="000000"/>
            </w:tcBorders>
            <w:shd w:val="clear" w:color="auto" w:fill="auto"/>
            <w:noWrap/>
            <w:vAlign w:val="bottom"/>
            <w:hideMark/>
          </w:tcPr>
          <w:p w:rsidR="00E365E6" w:rsidRPr="001E5422" w:rsidRDefault="00E365E6" w:rsidP="001E2D32">
            <w:pPr>
              <w:keepLines/>
              <w:jc w:val="center"/>
              <w:rPr>
                <w:rFonts w:eastAsia="Times New Roman"/>
                <w:sz w:val="20"/>
                <w:lang w:eastAsia="en-US"/>
              </w:rPr>
            </w:pPr>
            <w:r w:rsidRPr="001E5422">
              <w:rPr>
                <w:rFonts w:eastAsia="Times New Roman"/>
                <w:sz w:val="20"/>
                <w:lang w:eastAsia="en-US"/>
              </w:rPr>
              <w:t>3</w:t>
            </w:r>
          </w:p>
        </w:tc>
        <w:tc>
          <w:tcPr>
            <w:tcW w:w="728" w:type="dxa"/>
            <w:tcBorders>
              <w:top w:val="nil"/>
              <w:left w:val="single" w:sz="4" w:space="0" w:color="000000"/>
              <w:bottom w:val="nil"/>
              <w:right w:val="single" w:sz="4" w:space="0" w:color="000000"/>
            </w:tcBorders>
            <w:vAlign w:val="bottom"/>
          </w:tcPr>
          <w:p w:rsidR="00E365E6" w:rsidRDefault="00E365E6" w:rsidP="001E2D32">
            <w:pPr>
              <w:keepLines/>
              <w:jc w:val="center"/>
              <w:rPr>
                <w:sz w:val="20"/>
              </w:rPr>
            </w:pPr>
            <w:r>
              <w:rPr>
                <w:sz w:val="20"/>
              </w:rPr>
              <w:t>12%</w:t>
            </w:r>
          </w:p>
        </w:tc>
      </w:tr>
      <w:tr w:rsidR="00E365E6" w:rsidRPr="001E5422" w:rsidTr="001E2D32">
        <w:trPr>
          <w:cantSplit/>
          <w:trHeight w:val="397"/>
          <w:jc w:val="center"/>
        </w:trPr>
        <w:tc>
          <w:tcPr>
            <w:tcW w:w="7420" w:type="dxa"/>
            <w:tcBorders>
              <w:top w:val="nil"/>
              <w:left w:val="single" w:sz="4" w:space="0" w:color="000000"/>
              <w:bottom w:val="nil"/>
              <w:right w:val="nil"/>
            </w:tcBorders>
            <w:shd w:val="clear" w:color="auto" w:fill="auto"/>
            <w:vAlign w:val="center"/>
            <w:hideMark/>
          </w:tcPr>
          <w:p w:rsidR="00E365E6" w:rsidRPr="001E5422" w:rsidRDefault="00E365E6" w:rsidP="001E2D32">
            <w:pPr>
              <w:keepLines/>
              <w:rPr>
                <w:rFonts w:eastAsia="Times New Roman"/>
                <w:sz w:val="20"/>
                <w:lang w:eastAsia="en-US"/>
              </w:rPr>
            </w:pPr>
            <w:r w:rsidRPr="001E5422">
              <w:rPr>
                <w:rFonts w:eastAsia="Times New Roman"/>
                <w:sz w:val="20"/>
                <w:lang w:eastAsia="en-US"/>
              </w:rPr>
              <w:t>Other fraudulent and corrupt practices (other than benefits and entitlements fraud)/Mi</w:t>
            </w:r>
            <w:r w:rsidR="00B277A4">
              <w:rPr>
                <w:rFonts w:eastAsia="Times New Roman"/>
                <w:sz w:val="20"/>
                <w:lang w:eastAsia="en-US"/>
              </w:rPr>
              <w:t>sappropriation or misuse</w:t>
            </w:r>
            <w:r w:rsidRPr="001E5422">
              <w:rPr>
                <w:rFonts w:eastAsia="Times New Roman"/>
                <w:sz w:val="20"/>
                <w:lang w:eastAsia="en-US"/>
              </w:rPr>
              <w:t xml:space="preserve"> of funds and assets (other than the misuse of ICT resources)</w:t>
            </w:r>
          </w:p>
        </w:tc>
        <w:tc>
          <w:tcPr>
            <w:tcW w:w="823" w:type="dxa"/>
            <w:tcBorders>
              <w:top w:val="nil"/>
              <w:left w:val="single" w:sz="4" w:space="0" w:color="000000"/>
              <w:bottom w:val="nil"/>
              <w:right w:val="single" w:sz="4" w:space="0" w:color="000000"/>
            </w:tcBorders>
            <w:shd w:val="clear" w:color="auto" w:fill="auto"/>
            <w:noWrap/>
            <w:vAlign w:val="bottom"/>
            <w:hideMark/>
          </w:tcPr>
          <w:p w:rsidR="00E365E6" w:rsidRPr="001E5422" w:rsidRDefault="00E365E6" w:rsidP="001E2D32">
            <w:pPr>
              <w:keepLines/>
              <w:jc w:val="center"/>
              <w:rPr>
                <w:rFonts w:eastAsia="Times New Roman"/>
                <w:sz w:val="20"/>
                <w:lang w:eastAsia="en-US"/>
              </w:rPr>
            </w:pPr>
            <w:r w:rsidRPr="001E5422">
              <w:rPr>
                <w:rFonts w:eastAsia="Times New Roman"/>
                <w:sz w:val="20"/>
                <w:lang w:eastAsia="en-US"/>
              </w:rPr>
              <w:t>3</w:t>
            </w:r>
          </w:p>
        </w:tc>
        <w:tc>
          <w:tcPr>
            <w:tcW w:w="728" w:type="dxa"/>
            <w:tcBorders>
              <w:top w:val="nil"/>
              <w:left w:val="single" w:sz="4" w:space="0" w:color="000000"/>
              <w:bottom w:val="nil"/>
              <w:right w:val="single" w:sz="4" w:space="0" w:color="000000"/>
            </w:tcBorders>
            <w:vAlign w:val="bottom"/>
          </w:tcPr>
          <w:p w:rsidR="00E365E6" w:rsidRDefault="00E365E6" w:rsidP="001E2D32">
            <w:pPr>
              <w:keepLines/>
              <w:jc w:val="center"/>
              <w:rPr>
                <w:sz w:val="20"/>
              </w:rPr>
            </w:pPr>
            <w:r>
              <w:rPr>
                <w:sz w:val="20"/>
              </w:rPr>
              <w:t>12%</w:t>
            </w:r>
          </w:p>
        </w:tc>
      </w:tr>
      <w:tr w:rsidR="00E365E6" w:rsidRPr="001E5422" w:rsidTr="001E2D32">
        <w:trPr>
          <w:cantSplit/>
          <w:trHeight w:val="397"/>
          <w:jc w:val="center"/>
        </w:trPr>
        <w:tc>
          <w:tcPr>
            <w:tcW w:w="7420" w:type="dxa"/>
            <w:tcBorders>
              <w:top w:val="nil"/>
              <w:left w:val="single" w:sz="4" w:space="0" w:color="000000"/>
              <w:bottom w:val="nil"/>
              <w:right w:val="nil"/>
            </w:tcBorders>
            <w:shd w:val="clear" w:color="auto" w:fill="auto"/>
            <w:vAlign w:val="center"/>
            <w:hideMark/>
          </w:tcPr>
          <w:p w:rsidR="00E365E6" w:rsidRPr="001E5422" w:rsidRDefault="00E365E6" w:rsidP="001E2D32">
            <w:pPr>
              <w:keepLines/>
              <w:rPr>
                <w:rFonts w:eastAsia="Times New Roman"/>
                <w:sz w:val="20"/>
                <w:lang w:eastAsia="en-US"/>
              </w:rPr>
            </w:pPr>
            <w:r w:rsidRPr="001E5422">
              <w:rPr>
                <w:rFonts w:eastAsia="Times New Roman"/>
                <w:sz w:val="20"/>
                <w:lang w:eastAsia="en-US"/>
              </w:rPr>
              <w:t>Benefits and Entitlements Fraud/Providing false information to the Organization</w:t>
            </w:r>
          </w:p>
        </w:tc>
        <w:tc>
          <w:tcPr>
            <w:tcW w:w="823" w:type="dxa"/>
            <w:tcBorders>
              <w:top w:val="nil"/>
              <w:left w:val="single" w:sz="4" w:space="0" w:color="000000"/>
              <w:bottom w:val="nil"/>
              <w:right w:val="single" w:sz="4" w:space="0" w:color="000000"/>
            </w:tcBorders>
            <w:shd w:val="clear" w:color="auto" w:fill="auto"/>
            <w:noWrap/>
            <w:vAlign w:val="bottom"/>
            <w:hideMark/>
          </w:tcPr>
          <w:p w:rsidR="00E365E6" w:rsidRPr="001E5422" w:rsidRDefault="00E365E6" w:rsidP="001E2D32">
            <w:pPr>
              <w:keepLines/>
              <w:jc w:val="center"/>
              <w:rPr>
                <w:rFonts w:eastAsia="Times New Roman"/>
                <w:sz w:val="20"/>
                <w:lang w:eastAsia="en-US"/>
              </w:rPr>
            </w:pPr>
            <w:r w:rsidRPr="001E5422">
              <w:rPr>
                <w:rFonts w:eastAsia="Times New Roman"/>
                <w:sz w:val="20"/>
                <w:lang w:eastAsia="en-US"/>
              </w:rPr>
              <w:t>1</w:t>
            </w:r>
          </w:p>
        </w:tc>
        <w:tc>
          <w:tcPr>
            <w:tcW w:w="728" w:type="dxa"/>
            <w:tcBorders>
              <w:top w:val="nil"/>
              <w:left w:val="single" w:sz="4" w:space="0" w:color="000000"/>
              <w:bottom w:val="nil"/>
              <w:right w:val="single" w:sz="4" w:space="0" w:color="000000"/>
            </w:tcBorders>
            <w:vAlign w:val="bottom"/>
          </w:tcPr>
          <w:p w:rsidR="00E365E6" w:rsidRDefault="00E365E6" w:rsidP="001E2D32">
            <w:pPr>
              <w:keepLines/>
              <w:jc w:val="center"/>
              <w:rPr>
                <w:sz w:val="20"/>
              </w:rPr>
            </w:pPr>
            <w:r>
              <w:rPr>
                <w:sz w:val="20"/>
              </w:rPr>
              <w:t>4%</w:t>
            </w:r>
          </w:p>
        </w:tc>
      </w:tr>
      <w:tr w:rsidR="00E365E6" w:rsidRPr="001E5422" w:rsidTr="001E2D32">
        <w:trPr>
          <w:cantSplit/>
          <w:trHeight w:val="397"/>
          <w:jc w:val="center"/>
        </w:trPr>
        <w:tc>
          <w:tcPr>
            <w:tcW w:w="7420" w:type="dxa"/>
            <w:tcBorders>
              <w:top w:val="nil"/>
              <w:left w:val="single" w:sz="4" w:space="0" w:color="000000"/>
              <w:bottom w:val="nil"/>
              <w:right w:val="nil"/>
            </w:tcBorders>
            <w:shd w:val="clear" w:color="auto" w:fill="auto"/>
            <w:vAlign w:val="center"/>
            <w:hideMark/>
          </w:tcPr>
          <w:p w:rsidR="00E365E6" w:rsidRPr="001E5422" w:rsidRDefault="00E365E6" w:rsidP="001E2D32">
            <w:pPr>
              <w:keepLines/>
              <w:rPr>
                <w:rFonts w:eastAsia="Times New Roman"/>
                <w:sz w:val="20"/>
                <w:lang w:eastAsia="en-US"/>
              </w:rPr>
            </w:pPr>
            <w:r w:rsidRPr="001E5422">
              <w:rPr>
                <w:rFonts w:eastAsia="Times New Roman"/>
                <w:sz w:val="20"/>
                <w:lang w:eastAsia="en-US"/>
              </w:rPr>
              <w:t>Misuse of ICT resources</w:t>
            </w:r>
          </w:p>
        </w:tc>
        <w:tc>
          <w:tcPr>
            <w:tcW w:w="823" w:type="dxa"/>
            <w:tcBorders>
              <w:top w:val="nil"/>
              <w:left w:val="single" w:sz="4" w:space="0" w:color="000000"/>
              <w:bottom w:val="nil"/>
              <w:right w:val="single" w:sz="4" w:space="0" w:color="000000"/>
            </w:tcBorders>
            <w:shd w:val="clear" w:color="auto" w:fill="auto"/>
            <w:noWrap/>
            <w:vAlign w:val="bottom"/>
            <w:hideMark/>
          </w:tcPr>
          <w:p w:rsidR="00E365E6" w:rsidRPr="001E5422" w:rsidRDefault="00E365E6" w:rsidP="001E2D32">
            <w:pPr>
              <w:keepLines/>
              <w:jc w:val="center"/>
              <w:rPr>
                <w:rFonts w:eastAsia="Times New Roman"/>
                <w:sz w:val="20"/>
                <w:lang w:eastAsia="en-US"/>
              </w:rPr>
            </w:pPr>
            <w:r w:rsidRPr="001E5422">
              <w:rPr>
                <w:rFonts w:eastAsia="Times New Roman"/>
                <w:sz w:val="20"/>
                <w:lang w:eastAsia="en-US"/>
              </w:rPr>
              <w:t>1</w:t>
            </w:r>
          </w:p>
        </w:tc>
        <w:tc>
          <w:tcPr>
            <w:tcW w:w="728" w:type="dxa"/>
            <w:tcBorders>
              <w:top w:val="nil"/>
              <w:left w:val="single" w:sz="4" w:space="0" w:color="000000"/>
              <w:bottom w:val="nil"/>
              <w:right w:val="single" w:sz="4" w:space="0" w:color="000000"/>
            </w:tcBorders>
            <w:vAlign w:val="bottom"/>
          </w:tcPr>
          <w:p w:rsidR="00E365E6" w:rsidRDefault="00E365E6" w:rsidP="001E2D32">
            <w:pPr>
              <w:keepLines/>
              <w:jc w:val="center"/>
              <w:rPr>
                <w:sz w:val="20"/>
              </w:rPr>
            </w:pPr>
            <w:r>
              <w:rPr>
                <w:sz w:val="20"/>
              </w:rPr>
              <w:t>4%</w:t>
            </w:r>
          </w:p>
        </w:tc>
      </w:tr>
      <w:tr w:rsidR="00E365E6" w:rsidRPr="001E5422" w:rsidTr="001E2D32">
        <w:trPr>
          <w:cantSplit/>
          <w:trHeight w:val="397"/>
          <w:jc w:val="center"/>
        </w:trPr>
        <w:tc>
          <w:tcPr>
            <w:tcW w:w="7420" w:type="dxa"/>
            <w:tcBorders>
              <w:top w:val="single" w:sz="4" w:space="0" w:color="000000"/>
              <w:left w:val="single" w:sz="4" w:space="0" w:color="000000"/>
              <w:bottom w:val="single" w:sz="4" w:space="0" w:color="000000"/>
              <w:right w:val="nil"/>
            </w:tcBorders>
            <w:shd w:val="clear" w:color="auto" w:fill="auto"/>
            <w:noWrap/>
            <w:vAlign w:val="bottom"/>
            <w:hideMark/>
          </w:tcPr>
          <w:p w:rsidR="00E365E6" w:rsidRPr="001E5422" w:rsidRDefault="00E365E6" w:rsidP="001E2D32">
            <w:pPr>
              <w:keepLines/>
              <w:rPr>
                <w:rFonts w:eastAsia="Times New Roman"/>
                <w:sz w:val="20"/>
                <w:lang w:eastAsia="en-US"/>
              </w:rPr>
            </w:pPr>
            <w:r>
              <w:rPr>
                <w:rFonts w:eastAsia="Times New Roman"/>
                <w:sz w:val="20"/>
                <w:lang w:eastAsia="en-US"/>
              </w:rPr>
              <w:t>T</w:t>
            </w:r>
            <w:r w:rsidRPr="001E5422">
              <w:rPr>
                <w:rFonts w:eastAsia="Times New Roman"/>
                <w:sz w:val="20"/>
                <w:lang w:eastAsia="en-US"/>
              </w:rPr>
              <w:t>otal</w:t>
            </w:r>
          </w:p>
        </w:tc>
        <w:tc>
          <w:tcPr>
            <w:tcW w:w="82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365E6" w:rsidRPr="001E5422" w:rsidRDefault="00E365E6" w:rsidP="001E2D32">
            <w:pPr>
              <w:keepLines/>
              <w:jc w:val="center"/>
              <w:rPr>
                <w:rFonts w:eastAsia="Times New Roman"/>
                <w:sz w:val="20"/>
                <w:lang w:eastAsia="en-US"/>
              </w:rPr>
            </w:pPr>
            <w:r w:rsidRPr="001E5422">
              <w:rPr>
                <w:rFonts w:eastAsia="Times New Roman"/>
                <w:sz w:val="20"/>
                <w:lang w:eastAsia="en-US"/>
              </w:rPr>
              <w:t>26</w:t>
            </w:r>
          </w:p>
        </w:tc>
        <w:tc>
          <w:tcPr>
            <w:tcW w:w="728" w:type="dxa"/>
            <w:tcBorders>
              <w:top w:val="single" w:sz="4" w:space="0" w:color="000000"/>
              <w:left w:val="single" w:sz="4" w:space="0" w:color="000000"/>
              <w:bottom w:val="single" w:sz="4" w:space="0" w:color="000000"/>
              <w:right w:val="single" w:sz="4" w:space="0" w:color="000000"/>
            </w:tcBorders>
            <w:vAlign w:val="bottom"/>
          </w:tcPr>
          <w:p w:rsidR="00E365E6" w:rsidRDefault="00E365E6" w:rsidP="001E2D32">
            <w:pPr>
              <w:keepLines/>
              <w:jc w:val="center"/>
              <w:rPr>
                <w:sz w:val="20"/>
              </w:rPr>
            </w:pPr>
          </w:p>
        </w:tc>
      </w:tr>
    </w:tbl>
    <w:p w:rsidR="00B66F63" w:rsidRDefault="00B66F63" w:rsidP="00E365E6">
      <w:pPr>
        <w:pStyle w:val="ONUME"/>
        <w:keepLines/>
        <w:numPr>
          <w:ilvl w:val="0"/>
          <w:numId w:val="9"/>
        </w:numPr>
        <w:spacing w:before="240"/>
        <w:sectPr w:rsidR="00B66F63" w:rsidSect="00E365E6">
          <w:endnotePr>
            <w:numFmt w:val="decimal"/>
          </w:endnotePr>
          <w:pgSz w:w="11907" w:h="16840" w:code="9"/>
          <w:pgMar w:top="1305" w:right="1134" w:bottom="1418" w:left="1418" w:header="510" w:footer="1021" w:gutter="0"/>
          <w:cols w:space="720"/>
          <w:titlePg/>
          <w:docGrid w:linePitch="299"/>
        </w:sectPr>
      </w:pPr>
    </w:p>
    <w:p w:rsidR="00E365E6" w:rsidRPr="00DA5DBB" w:rsidRDefault="00E365E6" w:rsidP="00E365E6">
      <w:pPr>
        <w:pStyle w:val="ONUME"/>
        <w:keepLines/>
        <w:numPr>
          <w:ilvl w:val="0"/>
          <w:numId w:val="9"/>
        </w:numPr>
        <w:spacing w:before="240"/>
      </w:pPr>
      <w:r>
        <w:lastRenderedPageBreak/>
        <w:t>Three</w:t>
      </w:r>
      <w:r w:rsidRPr="00DA5DBB">
        <w:t xml:space="preserve"> of the </w:t>
      </w:r>
      <w:r>
        <w:t>26</w:t>
      </w:r>
      <w:r w:rsidRPr="00DA5DBB">
        <w:t xml:space="preserve"> new cases registered during the reporting period were referred to IAOD for investigation by the Joint Grievance Panel (</w:t>
      </w:r>
      <w:r>
        <w:t xml:space="preserve">JGP), </w:t>
      </w:r>
      <w:r w:rsidRPr="00DA5DBB">
        <w:t xml:space="preserve">compared to </w:t>
      </w:r>
      <w:r>
        <w:t>one in the previous period</w:t>
      </w:r>
      <w:r w:rsidRPr="00DA5DBB">
        <w:t xml:space="preserve">.  </w:t>
      </w:r>
      <w:r>
        <w:t xml:space="preserve">Three cases were received through the hotline for reporting misconduct.  </w:t>
      </w:r>
      <w:r w:rsidRPr="00DA5DBB">
        <w:t xml:space="preserve">All other cases were registered further to complaints or requests filed by WIPO staff members, either in their individual capacity or as management representatives. </w:t>
      </w:r>
    </w:p>
    <w:p w:rsidR="00E365E6" w:rsidRPr="00DA5DBB" w:rsidRDefault="00E365E6" w:rsidP="00E365E6">
      <w:pPr>
        <w:pStyle w:val="ONUME"/>
        <w:keepLines/>
        <w:numPr>
          <w:ilvl w:val="0"/>
          <w:numId w:val="9"/>
        </w:numPr>
      </w:pPr>
      <w:r w:rsidRPr="00DA5DBB">
        <w:t xml:space="preserve">Of the </w:t>
      </w:r>
      <w:r>
        <w:t>16</w:t>
      </w:r>
      <w:r w:rsidRPr="00DA5DBB">
        <w:t xml:space="preserve"> cases closed during the reporting period, </w:t>
      </w:r>
      <w:r>
        <w:t>four</w:t>
      </w:r>
      <w:r w:rsidRPr="00DA5DBB">
        <w:t xml:space="preserve"> (</w:t>
      </w:r>
      <w:r>
        <w:t>25</w:t>
      </w:r>
      <w:r w:rsidRPr="00DA5DBB">
        <w:t xml:space="preserve"> per cent) led to a full investigation, either further to a decision by the Director, IAOD based on the outcome of the preliminary evaluation, or </w:t>
      </w:r>
      <w:r>
        <w:t>following</w:t>
      </w:r>
      <w:r w:rsidRPr="00DA5DBB">
        <w:t xml:space="preserve"> a referral from the JGP.  IAOD did not find evidence of misconduct by the alleged perpetrator in any of these </w:t>
      </w:r>
      <w:r>
        <w:t>two</w:t>
      </w:r>
      <w:r w:rsidRPr="00DA5DBB">
        <w:t xml:space="preserve"> JGP cases.  In </w:t>
      </w:r>
      <w:r>
        <w:t>the two</w:t>
      </w:r>
      <w:r w:rsidRPr="00DA5DBB">
        <w:t xml:space="preserve"> other cases, IAOD concluded that allegations of </w:t>
      </w:r>
      <w:r>
        <w:t>misconduct were substantiated.  In these cases, d</w:t>
      </w:r>
      <w:r w:rsidRPr="00DA5DBB">
        <w:t>isciplinary proceedings were initiate</w:t>
      </w:r>
      <w:r>
        <w:t>d and staff members were dismissed</w:t>
      </w:r>
      <w:r>
        <w:rPr>
          <w:rStyle w:val="FootnoteReference"/>
        </w:rPr>
        <w:footnoteReference w:id="10"/>
      </w:r>
      <w:r>
        <w:t xml:space="preserve">. </w:t>
      </w:r>
    </w:p>
    <w:p w:rsidR="00E365E6" w:rsidRPr="00DA5DBB" w:rsidRDefault="00E365E6" w:rsidP="00E365E6">
      <w:pPr>
        <w:pStyle w:val="ONUME"/>
        <w:keepLines/>
        <w:numPr>
          <w:ilvl w:val="0"/>
          <w:numId w:val="9"/>
        </w:numPr>
      </w:pPr>
      <w:r w:rsidRPr="00DA5DBB">
        <w:t xml:space="preserve">The investigative activities undertaken during the reporting period have also led IAOD to draw some lessons.  A number of management implication reports and recommendations to improve existing systems, policies and procedures have been issued.  Issues brought to management attention encompassed topics such as outside activities, </w:t>
      </w:r>
      <w:r>
        <w:t>video monitoring retention periods</w:t>
      </w:r>
      <w:r w:rsidRPr="00DA5DBB">
        <w:t>,</w:t>
      </w:r>
      <w:r>
        <w:t xml:space="preserve"> and access to unauthorized web</w:t>
      </w:r>
      <w:r w:rsidR="00B277A4">
        <w:t xml:space="preserve"> </w:t>
      </w:r>
      <w:r>
        <w:t>sites,</w:t>
      </w:r>
      <w:r w:rsidRPr="00DA5DBB">
        <w:t xml:space="preserve"> </w:t>
      </w:r>
      <w:r>
        <w:t xml:space="preserve">conflict of interest </w:t>
      </w:r>
      <w:r w:rsidRPr="00DA5DBB">
        <w:t>and dependency status determination.</w:t>
      </w:r>
    </w:p>
    <w:p w:rsidR="00E365E6" w:rsidRPr="00DA5DBB" w:rsidRDefault="00E365E6" w:rsidP="00E365E6">
      <w:pPr>
        <w:pStyle w:val="ONUME"/>
        <w:keepLines/>
        <w:numPr>
          <w:ilvl w:val="0"/>
          <w:numId w:val="9"/>
        </w:numPr>
      </w:pPr>
      <w:r>
        <w:t>The table and chart</w:t>
      </w:r>
      <w:r w:rsidRPr="00DA5DBB">
        <w:t xml:space="preserve"> in Annex I</w:t>
      </w:r>
      <w:r>
        <w:t>I</w:t>
      </w:r>
      <w:r w:rsidRPr="00DA5DBB">
        <w:t>I provide additional statistical information on investigation cases.</w:t>
      </w:r>
    </w:p>
    <w:p w:rsidR="00E365E6" w:rsidRDefault="00E365E6" w:rsidP="00E365E6">
      <w:pPr>
        <w:pStyle w:val="ONUME"/>
        <w:keepLines/>
        <w:numPr>
          <w:ilvl w:val="0"/>
          <w:numId w:val="9"/>
        </w:numPr>
      </w:pPr>
      <w:r w:rsidRPr="00DA5DBB">
        <w:t>During the reporting period, IAOD</w:t>
      </w:r>
      <w:r>
        <w:t xml:space="preserve">, after in-depth </w:t>
      </w:r>
      <w:r w:rsidRPr="00DA5DBB">
        <w:t>consultations</w:t>
      </w:r>
      <w:r>
        <w:t>,</w:t>
      </w:r>
      <w:r w:rsidRPr="00DA5DBB">
        <w:t xml:space="preserve"> </w:t>
      </w:r>
      <w:r>
        <w:t xml:space="preserve">issued </w:t>
      </w:r>
      <w:r w:rsidRPr="00DA5DBB">
        <w:t xml:space="preserve">the </w:t>
      </w:r>
      <w:r>
        <w:t>Investigation Policy, which had</w:t>
      </w:r>
      <w:r w:rsidRPr="00DA5DBB">
        <w:t xml:space="preserve"> been pending since August 2010, as well as a revised version of the Investigation Procedures Manual</w:t>
      </w:r>
      <w:r>
        <w:t xml:space="preserve">.  Based on the Uniform Guidelines for Investigations adopted by the Conference of International Investigators </w:t>
      </w:r>
      <w:r w:rsidR="00B277A4">
        <w:t>(involving the UN S</w:t>
      </w:r>
      <w:r>
        <w:t xml:space="preserve">ystem and various other international organizations) the Investigation Policy and the revised Manual clarify, </w:t>
      </w:r>
      <w:r w:rsidRPr="00B277A4">
        <w:rPr>
          <w:i/>
        </w:rPr>
        <w:t>inter alia</w:t>
      </w:r>
      <w:r>
        <w:t>, the following:</w:t>
      </w:r>
    </w:p>
    <w:p w:rsidR="00E365E6" w:rsidRDefault="00E365E6" w:rsidP="00E365E6">
      <w:pPr>
        <w:pStyle w:val="ONUME"/>
        <w:keepLines/>
        <w:numPr>
          <w:ilvl w:val="1"/>
          <w:numId w:val="9"/>
        </w:numPr>
        <w:spacing w:after="120"/>
      </w:pPr>
      <w:r>
        <w:t>Staff members’ duty to report any wrongdoing;</w:t>
      </w:r>
    </w:p>
    <w:p w:rsidR="00E365E6" w:rsidRDefault="00E365E6" w:rsidP="00E365E6">
      <w:pPr>
        <w:pStyle w:val="ONUME"/>
        <w:keepLines/>
        <w:numPr>
          <w:ilvl w:val="1"/>
          <w:numId w:val="9"/>
        </w:numPr>
        <w:spacing w:after="120"/>
      </w:pPr>
      <w:r>
        <w:t>The confidentiality of the investigation procedure;</w:t>
      </w:r>
    </w:p>
    <w:p w:rsidR="00E365E6" w:rsidRDefault="00E365E6" w:rsidP="00E365E6">
      <w:pPr>
        <w:pStyle w:val="ONUME"/>
        <w:keepLines/>
        <w:numPr>
          <w:ilvl w:val="1"/>
          <w:numId w:val="9"/>
        </w:numPr>
        <w:spacing w:after="120"/>
      </w:pPr>
      <w:r>
        <w:t>The role of investigations in the internal justice system;</w:t>
      </w:r>
    </w:p>
    <w:p w:rsidR="00E365E6" w:rsidRDefault="00E365E6" w:rsidP="00E365E6">
      <w:pPr>
        <w:pStyle w:val="ONUME"/>
        <w:keepLines/>
        <w:numPr>
          <w:ilvl w:val="1"/>
          <w:numId w:val="9"/>
        </w:numPr>
        <w:spacing w:after="120"/>
      </w:pPr>
      <w:r>
        <w:t>The two stages of investigation activities, with a preliminary evaluation followed, or not, by a full investigation;</w:t>
      </w:r>
    </w:p>
    <w:p w:rsidR="00E365E6" w:rsidRDefault="00E365E6" w:rsidP="00E365E6">
      <w:pPr>
        <w:pStyle w:val="ONUME"/>
        <w:keepLines/>
        <w:numPr>
          <w:ilvl w:val="1"/>
          <w:numId w:val="9"/>
        </w:numPr>
        <w:spacing w:after="120"/>
      </w:pPr>
      <w:r>
        <w:t>Due process rules reinforced, with investigation subjects offered the possibility of assistance by observers and the opportunity to comment on investigation reports before their finalization; and</w:t>
      </w:r>
    </w:p>
    <w:p w:rsidR="00E365E6" w:rsidRDefault="00E365E6" w:rsidP="00E365E6">
      <w:pPr>
        <w:pStyle w:val="ONUME"/>
        <w:keepLines/>
        <w:numPr>
          <w:ilvl w:val="1"/>
          <w:numId w:val="9"/>
        </w:numPr>
        <w:spacing w:after="120"/>
      </w:pPr>
      <w:r>
        <w:t>A framework for optimal timelines for the various stages of the investigative activity.</w:t>
      </w:r>
    </w:p>
    <w:p w:rsidR="00263055" w:rsidRDefault="00263055" w:rsidP="008414E9">
      <w:pPr>
        <w:pStyle w:val="ONUME"/>
        <w:keepLines/>
        <w:widowControl w:val="0"/>
        <w:numPr>
          <w:ilvl w:val="0"/>
          <w:numId w:val="9"/>
        </w:numPr>
        <w:sectPr w:rsidR="00263055" w:rsidSect="001B5644">
          <w:endnotePr>
            <w:numFmt w:val="decimal"/>
          </w:endnotePr>
          <w:pgSz w:w="11907" w:h="16840" w:code="9"/>
          <w:pgMar w:top="1560" w:right="1134" w:bottom="1418" w:left="1418" w:header="510" w:footer="1021" w:gutter="0"/>
          <w:cols w:space="720"/>
          <w:titlePg/>
          <w:docGrid w:linePitch="299"/>
        </w:sectPr>
      </w:pPr>
    </w:p>
    <w:p w:rsidR="008414E9" w:rsidRDefault="008414E9" w:rsidP="008414E9">
      <w:pPr>
        <w:pStyle w:val="ONUME"/>
        <w:keepLines/>
        <w:widowControl w:val="0"/>
        <w:numPr>
          <w:ilvl w:val="0"/>
          <w:numId w:val="9"/>
        </w:numPr>
      </w:pPr>
      <w:r>
        <w:lastRenderedPageBreak/>
        <w:t>The hotline to report possible misconduct or other wrongdoing was also implemented and advertised to all staff during the reporting period.  It consists of an online reporting form and a dedicated phone number.  The hotline led to seven reports of alleged misconduct, three of them being formally registered as cases.</w:t>
      </w:r>
    </w:p>
    <w:p w:rsidR="008414E9" w:rsidRDefault="008414E9" w:rsidP="008414E9">
      <w:pPr>
        <w:pStyle w:val="ONUME"/>
        <w:keepLines/>
        <w:widowControl w:val="0"/>
        <w:numPr>
          <w:ilvl w:val="0"/>
          <w:numId w:val="9"/>
        </w:numPr>
      </w:pPr>
      <w:r>
        <w:t>Finally, IAOD conducted a preliminary fraud risk assessment to analyze</w:t>
      </w:r>
      <w:r w:rsidRPr="00E56A45">
        <w:t xml:space="preserve"> and evaluate fraud risks within </w:t>
      </w:r>
      <w:r>
        <w:t>WIPO</w:t>
      </w:r>
      <w:r w:rsidRPr="00E56A45">
        <w:t xml:space="preserve"> and review WIPO’s strengths and weaknesses in terms of fraud risk management</w:t>
      </w:r>
      <w:r>
        <w:t xml:space="preserve">.  The assessment made practical recommendations to enhance fraud prevention and detection in the Organization. WIPO has agreed to: </w:t>
      </w:r>
      <w:r w:rsidR="00BB22C4">
        <w:t xml:space="preserve"> </w:t>
      </w:r>
      <w:r>
        <w:t xml:space="preserve">continue </w:t>
      </w:r>
      <w:r w:rsidRPr="005770DD">
        <w:t>embed</w:t>
      </w:r>
      <w:r>
        <w:t>ding</w:t>
      </w:r>
      <w:r w:rsidRPr="005770DD">
        <w:t xml:space="preserve"> fraud as a risk factor </w:t>
      </w:r>
      <w:r>
        <w:t xml:space="preserve">to be </w:t>
      </w:r>
      <w:r w:rsidRPr="005770DD">
        <w:t>routinely cons</w:t>
      </w:r>
      <w:r>
        <w:t xml:space="preserve">idered by staff and management; </w:t>
      </w:r>
      <w:r w:rsidR="00BB22C4">
        <w:t xml:space="preserve"> </w:t>
      </w:r>
      <w:r>
        <w:t xml:space="preserve">increase fraud awareness with training, resources permitting, as well as on an ongoing basis outside formal training; </w:t>
      </w:r>
      <w:r w:rsidR="00B277A4">
        <w:t xml:space="preserve"> </w:t>
      </w:r>
      <w:r>
        <w:t xml:space="preserve">and, </w:t>
      </w:r>
      <w:r w:rsidRPr="007D26A7">
        <w:rPr>
          <w:szCs w:val="22"/>
        </w:rPr>
        <w:t>publicize the outcome of the Internal Justice System following investigations establishing fraud, to strengthen their potential as a deterrent and to reinforce the culture of fair and equal treatment.</w:t>
      </w:r>
    </w:p>
    <w:p w:rsidR="008414E9" w:rsidRPr="00DA5DBB" w:rsidRDefault="008414E9" w:rsidP="008414E9">
      <w:pPr>
        <w:pStyle w:val="Heading1"/>
      </w:pPr>
      <w:bookmarkStart w:id="19" w:name="_Toc392160745"/>
      <w:r w:rsidRPr="00DA5DBB">
        <w:t>INSTANCES WHERE INFORMATION OR ASSISTANCE WAS REFUSED</w:t>
      </w:r>
      <w:bookmarkEnd w:id="19"/>
    </w:p>
    <w:p w:rsidR="008414E9" w:rsidRPr="00E323C8" w:rsidRDefault="008414E9" w:rsidP="008414E9">
      <w:pPr>
        <w:pStyle w:val="ONUME"/>
        <w:keepLines/>
        <w:numPr>
          <w:ilvl w:val="0"/>
          <w:numId w:val="9"/>
        </w:numPr>
      </w:pPr>
      <w:r w:rsidRPr="00E323C8">
        <w:t xml:space="preserve">In accordance with paragraph 27(g) of the IOC, the Director, IAOD reports that no staff member refused to </w:t>
      </w:r>
      <w:r>
        <w:t xml:space="preserve">provide information or </w:t>
      </w:r>
      <w:r w:rsidRPr="00E323C8">
        <w:t>assist in an ongoing</w:t>
      </w:r>
      <w:r>
        <w:t xml:space="preserve"> oversight process</w:t>
      </w:r>
      <w:r w:rsidRPr="00E323C8">
        <w:t xml:space="preserve"> during the reporting period.</w:t>
      </w:r>
      <w:r>
        <w:t xml:space="preserve">  </w:t>
      </w:r>
      <w:r w:rsidRPr="004F55BF">
        <w:t xml:space="preserve">However, as mentioned above, </w:t>
      </w:r>
      <w:r>
        <w:t xml:space="preserve">some staff members refused to be interviewed by IAOD on medical grounds – using </w:t>
      </w:r>
      <w:r w:rsidRPr="004F55BF">
        <w:rPr>
          <w:i/>
        </w:rPr>
        <w:t>ad hoc</w:t>
      </w:r>
      <w:r>
        <w:t xml:space="preserve"> medical certificates – resulting in </w:t>
      </w:r>
      <w:r w:rsidRPr="004F55BF">
        <w:t xml:space="preserve">investigations </w:t>
      </w:r>
      <w:r>
        <w:t>being delayed.</w:t>
      </w:r>
    </w:p>
    <w:p w:rsidR="008414E9" w:rsidRPr="00DA5DBB" w:rsidRDefault="008414E9" w:rsidP="008414E9">
      <w:pPr>
        <w:pStyle w:val="Heading1"/>
      </w:pPr>
      <w:bookmarkStart w:id="20" w:name="_Toc328920437"/>
      <w:bookmarkStart w:id="21" w:name="_Toc392160746"/>
      <w:r w:rsidRPr="00DA5DBB">
        <w:t>STATUS OF IMPLEMENTATION OF PREVIOUS RECOMMENDATIONS</w:t>
      </w:r>
      <w:bookmarkEnd w:id="20"/>
      <w:bookmarkEnd w:id="21"/>
    </w:p>
    <w:p w:rsidR="00263055" w:rsidRDefault="008414E9" w:rsidP="008414E9">
      <w:pPr>
        <w:pStyle w:val="ONUME"/>
        <w:keepLines/>
        <w:numPr>
          <w:ilvl w:val="0"/>
          <w:numId w:val="9"/>
        </w:numPr>
      </w:pPr>
      <w:r w:rsidRPr="00DA5DBB">
        <w:t>The Director General is responsible for ensuring that all recommendations made by the Director, IAOD and other oversight entities are responded to promptly, indicating actions taken regarding specific report findings and recommendations</w:t>
      </w:r>
      <w:r w:rsidRPr="00DA5DBB">
        <w:rPr>
          <w:rStyle w:val="FootnoteReference"/>
          <w:szCs w:val="22"/>
        </w:rPr>
        <w:footnoteReference w:id="11"/>
      </w:r>
      <w:r w:rsidRPr="00DA5DBB">
        <w:t>.  The Director General discharges this responsibility through the Program Managers responsible for the specific operational areas within the Organization</w:t>
      </w:r>
      <w:r w:rsidRPr="00DA5DBB">
        <w:rPr>
          <w:rStyle w:val="FootnoteReference"/>
          <w:szCs w:val="22"/>
        </w:rPr>
        <w:footnoteReference w:id="12"/>
      </w:r>
      <w:r w:rsidRPr="00DA5DBB">
        <w:t xml:space="preserve">.  The implementation of all oversight recommendations by WIPO </w:t>
      </w:r>
      <w:r>
        <w:t>P</w:t>
      </w:r>
      <w:r w:rsidRPr="00DA5DBB">
        <w:t>rogram Managers is subject to regular follow-up by IAOD</w:t>
      </w:r>
      <w:r w:rsidRPr="00DA5DBB">
        <w:rPr>
          <w:rStyle w:val="FootnoteReference"/>
          <w:szCs w:val="22"/>
        </w:rPr>
        <w:footnoteReference w:id="13"/>
      </w:r>
      <w:r w:rsidRPr="00DA5DBB">
        <w:t>.</w:t>
      </w:r>
    </w:p>
    <w:p w:rsidR="00263055" w:rsidRDefault="00263055" w:rsidP="00263055">
      <w:pPr>
        <w:pStyle w:val="ONUME"/>
        <w:keepLines/>
        <w:numPr>
          <w:ilvl w:val="0"/>
          <w:numId w:val="0"/>
        </w:numPr>
      </w:pPr>
    </w:p>
    <w:p w:rsidR="00263055" w:rsidRDefault="00263055" w:rsidP="00263055">
      <w:pPr>
        <w:pStyle w:val="ONUME"/>
        <w:keepLines/>
        <w:numPr>
          <w:ilvl w:val="0"/>
          <w:numId w:val="0"/>
        </w:numPr>
        <w:sectPr w:rsidR="00263055" w:rsidSect="00E365E6">
          <w:endnotePr>
            <w:numFmt w:val="decimal"/>
          </w:endnotePr>
          <w:pgSz w:w="11907" w:h="16840" w:code="9"/>
          <w:pgMar w:top="1305" w:right="1134" w:bottom="1418" w:left="1418" w:header="510" w:footer="1021" w:gutter="0"/>
          <w:cols w:space="720"/>
          <w:titlePg/>
          <w:docGrid w:linePitch="299"/>
        </w:sectPr>
      </w:pPr>
    </w:p>
    <w:p w:rsidR="008414E9" w:rsidRDefault="008414E9" w:rsidP="008414E9">
      <w:pPr>
        <w:pStyle w:val="Caption"/>
        <w:keepNext/>
        <w:keepLines/>
        <w:spacing w:after="120"/>
        <w:jc w:val="center"/>
      </w:pPr>
      <w:r w:rsidRPr="00DA5DBB">
        <w:lastRenderedPageBreak/>
        <w:t xml:space="preserve">Chart </w:t>
      </w:r>
      <w:fldSimple w:instr=" SEQ Chart \* ARABIC ">
        <w:r w:rsidR="00ED682D">
          <w:rPr>
            <w:noProof/>
          </w:rPr>
          <w:t>1</w:t>
        </w:r>
      </w:fldSimple>
      <w:r w:rsidRPr="00DA5DBB">
        <w:t xml:space="preserve"> – </w:t>
      </w:r>
      <w:r>
        <w:t>Recommenda</w:t>
      </w:r>
      <w:r w:rsidR="00B277A4">
        <w:t>tions by P</w:t>
      </w:r>
      <w:r>
        <w:t>riority - June 30, 2014</w:t>
      </w:r>
    </w:p>
    <w:p w:rsidR="00E365E6" w:rsidRDefault="00283187" w:rsidP="008414E9">
      <w:pPr>
        <w:jc w:val="center"/>
      </w:pPr>
      <w:r>
        <w:rPr>
          <w:noProof/>
          <w:lang w:eastAsia="en-US"/>
        </w:rPr>
        <w:drawing>
          <wp:inline distT="0" distB="0" distL="0" distR="0" wp14:anchorId="0565C556">
            <wp:extent cx="4261485" cy="1950720"/>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61485" cy="1950720"/>
                    </a:xfrm>
                    <a:prstGeom prst="rect">
                      <a:avLst/>
                    </a:prstGeom>
                    <a:noFill/>
                  </pic:spPr>
                </pic:pic>
              </a:graphicData>
            </a:graphic>
          </wp:inline>
        </w:drawing>
      </w:r>
    </w:p>
    <w:p w:rsidR="008414E9" w:rsidRDefault="008414E9" w:rsidP="008414E9">
      <w:pPr>
        <w:pStyle w:val="ONUME"/>
        <w:keepLines/>
        <w:numPr>
          <w:ilvl w:val="0"/>
          <w:numId w:val="9"/>
        </w:numPr>
        <w:spacing w:before="240"/>
        <w:rPr>
          <w:szCs w:val="22"/>
        </w:rPr>
      </w:pPr>
      <w:r w:rsidRPr="004C4FEB">
        <w:rPr>
          <w:szCs w:val="22"/>
        </w:rPr>
        <w:t xml:space="preserve">At the date of the present report, there are </w:t>
      </w:r>
      <w:r w:rsidR="001B5644">
        <w:rPr>
          <w:szCs w:val="22"/>
        </w:rPr>
        <w:t>141</w:t>
      </w:r>
      <w:r w:rsidRPr="004C4FEB">
        <w:rPr>
          <w:szCs w:val="22"/>
        </w:rPr>
        <w:t xml:space="preserve"> recommendations now recorded as open by Program Managers which include </w:t>
      </w:r>
      <w:r w:rsidR="001B5644">
        <w:rPr>
          <w:szCs w:val="22"/>
        </w:rPr>
        <w:t>95</w:t>
      </w:r>
      <w:r w:rsidRPr="004C4FEB">
        <w:rPr>
          <w:szCs w:val="22"/>
        </w:rPr>
        <w:t xml:space="preserve"> that address very high-risk (</w:t>
      </w:r>
      <w:r>
        <w:rPr>
          <w:szCs w:val="22"/>
        </w:rPr>
        <w:t>two</w:t>
      </w:r>
      <w:r w:rsidRPr="004C4FEB">
        <w:rPr>
          <w:szCs w:val="22"/>
        </w:rPr>
        <w:t>) and high-risk (</w:t>
      </w:r>
      <w:r w:rsidR="001B5644">
        <w:rPr>
          <w:szCs w:val="22"/>
        </w:rPr>
        <w:t>93</w:t>
      </w:r>
      <w:r w:rsidRPr="004C4FEB">
        <w:rPr>
          <w:szCs w:val="22"/>
        </w:rPr>
        <w:t xml:space="preserve">) issues.  The </w:t>
      </w:r>
      <w:r>
        <w:rPr>
          <w:szCs w:val="22"/>
        </w:rPr>
        <w:t>two</w:t>
      </w:r>
      <w:r w:rsidRPr="004C4FEB">
        <w:rPr>
          <w:szCs w:val="22"/>
        </w:rPr>
        <w:t xml:space="preserve"> very high risk recommendations relate primarily to </w:t>
      </w:r>
      <w:r w:rsidR="005D7F4E">
        <w:rPr>
          <w:szCs w:val="22"/>
        </w:rPr>
        <w:t>physical access control to WIPO premises and fraud prevention in the badging system</w:t>
      </w:r>
      <w:r w:rsidRPr="004C4FEB">
        <w:rPr>
          <w:szCs w:val="22"/>
        </w:rPr>
        <w:t xml:space="preserve">.  </w:t>
      </w:r>
      <w:r w:rsidR="005D7F4E">
        <w:rPr>
          <w:szCs w:val="22"/>
        </w:rPr>
        <w:t>Eight</w:t>
      </w:r>
      <w:r w:rsidRPr="004C4FEB">
        <w:rPr>
          <w:szCs w:val="22"/>
        </w:rPr>
        <w:t xml:space="preserve"> (or </w:t>
      </w:r>
      <w:r w:rsidR="005D7F4E">
        <w:rPr>
          <w:szCs w:val="22"/>
        </w:rPr>
        <w:t>8.4</w:t>
      </w:r>
      <w:r w:rsidRPr="004C4FEB">
        <w:rPr>
          <w:szCs w:val="22"/>
        </w:rPr>
        <w:t xml:space="preserve"> per cent) of the high</w:t>
      </w:r>
      <w:r>
        <w:rPr>
          <w:szCs w:val="22"/>
        </w:rPr>
        <w:t>/very high</w:t>
      </w:r>
      <w:r w:rsidRPr="004C4FEB">
        <w:rPr>
          <w:szCs w:val="22"/>
        </w:rPr>
        <w:t xml:space="preserve"> risk recommendations have been open for more than two years</w:t>
      </w:r>
      <w:r>
        <w:rPr>
          <w:szCs w:val="22"/>
        </w:rPr>
        <w:t xml:space="preserve"> (Chart 2)</w:t>
      </w:r>
      <w:r w:rsidRPr="004C4FEB">
        <w:rPr>
          <w:szCs w:val="22"/>
        </w:rPr>
        <w:t>.</w:t>
      </w:r>
    </w:p>
    <w:p w:rsidR="008414E9" w:rsidRPr="008414E9" w:rsidRDefault="008414E9" w:rsidP="008414E9">
      <w:pPr>
        <w:pStyle w:val="Caption"/>
        <w:keepNext/>
        <w:keepLines/>
        <w:spacing w:after="120"/>
        <w:jc w:val="center"/>
      </w:pPr>
      <w:r w:rsidRPr="00DA5DBB">
        <w:t xml:space="preserve">Chart </w:t>
      </w:r>
      <w:fldSimple w:instr=" SEQ Chart \* ARABIC ">
        <w:r w:rsidR="00ED682D">
          <w:rPr>
            <w:noProof/>
          </w:rPr>
          <w:t>2</w:t>
        </w:r>
      </w:fldSimple>
      <w:r w:rsidRPr="00DA5DBB">
        <w:t xml:space="preserve"> – Aging of Oversight</w:t>
      </w:r>
      <w:r>
        <w:t xml:space="preserve"> Recommendations - June 30, 2014</w:t>
      </w:r>
    </w:p>
    <w:p w:rsidR="008414E9" w:rsidRDefault="00283187" w:rsidP="001E429A">
      <w:r>
        <w:rPr>
          <w:noProof/>
          <w:lang w:eastAsia="en-US"/>
        </w:rPr>
        <w:drawing>
          <wp:inline distT="0" distB="0" distL="0" distR="0" wp14:anchorId="61D05976">
            <wp:extent cx="6334125" cy="2341245"/>
            <wp:effectExtent l="0" t="0" r="9525"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34125" cy="2341245"/>
                    </a:xfrm>
                    <a:prstGeom prst="rect">
                      <a:avLst/>
                    </a:prstGeom>
                    <a:noFill/>
                  </pic:spPr>
                </pic:pic>
              </a:graphicData>
            </a:graphic>
          </wp:inline>
        </w:drawing>
      </w:r>
    </w:p>
    <w:p w:rsidR="001B5644" w:rsidRDefault="008414E9" w:rsidP="00263055">
      <w:pPr>
        <w:pStyle w:val="ONUME"/>
        <w:keepLines/>
        <w:numPr>
          <w:ilvl w:val="0"/>
          <w:numId w:val="9"/>
        </w:numPr>
        <w:spacing w:before="240"/>
      </w:pPr>
      <w:r w:rsidRPr="00DA5DBB">
        <w:t>Since the 2012 summary annual report</w:t>
      </w:r>
      <w:r w:rsidRPr="00DA5DBB">
        <w:rPr>
          <w:rStyle w:val="FootnoteReference"/>
        </w:rPr>
        <w:footnoteReference w:id="14"/>
      </w:r>
      <w:r w:rsidRPr="00DA5DBB">
        <w:t xml:space="preserve">, IAOD </w:t>
      </w:r>
      <w:r>
        <w:t xml:space="preserve">reports using a </w:t>
      </w:r>
      <w:r w:rsidRPr="00DA5DBB">
        <w:t>Web based recomme</w:t>
      </w:r>
      <w:r>
        <w:t>ndation management system, TeamCentral</w:t>
      </w:r>
      <w:r w:rsidRPr="00B66F63">
        <w:rPr>
          <w:vertAlign w:val="superscript"/>
        </w:rPr>
        <w:t>©</w:t>
      </w:r>
      <w:r w:rsidRPr="00DA5DBB">
        <w:t xml:space="preserve">. </w:t>
      </w:r>
      <w:r>
        <w:t xml:space="preserve"> </w:t>
      </w:r>
      <w:r w:rsidRPr="00DA5DBB">
        <w:t xml:space="preserve">The software </w:t>
      </w:r>
      <w:r>
        <w:t>continued to support IAOD in facilitating</w:t>
      </w:r>
      <w:r w:rsidRPr="00DA5DBB">
        <w:t xml:space="preserve"> an ongoing dialogue </w:t>
      </w:r>
      <w:r>
        <w:t>with</w:t>
      </w:r>
      <w:r w:rsidRPr="00DA5DBB">
        <w:t xml:space="preserve"> Program</w:t>
      </w:r>
      <w:r>
        <w:t xml:space="preserve"> Managers and their delegates</w:t>
      </w:r>
      <w:r w:rsidRPr="00DA5DBB">
        <w:t xml:space="preserve"> regarding implementation of recommendations.</w:t>
      </w:r>
    </w:p>
    <w:p w:rsidR="008414E9" w:rsidRDefault="008414E9" w:rsidP="00263055">
      <w:pPr>
        <w:pStyle w:val="Caption"/>
        <w:keepNext/>
        <w:keepLines/>
        <w:spacing w:after="120"/>
        <w:jc w:val="center"/>
      </w:pPr>
      <w:r w:rsidRPr="00DA5DBB">
        <w:t xml:space="preserve">Chart </w:t>
      </w:r>
      <w:fldSimple w:instr=" SEQ Chart \* ARABIC ">
        <w:r w:rsidR="00ED682D">
          <w:rPr>
            <w:noProof/>
          </w:rPr>
          <w:t>3</w:t>
        </w:r>
      </w:fldSimple>
      <w:r w:rsidRPr="00DA5DBB">
        <w:t xml:space="preserve"> –</w:t>
      </w:r>
      <w:r>
        <w:t>Recommendations in TeamCentral</w:t>
      </w:r>
      <w:r w:rsidRPr="00FD1735">
        <w:rPr>
          <w:vertAlign w:val="superscript"/>
        </w:rPr>
        <w:t>©</w:t>
      </w:r>
      <w:r>
        <w:t xml:space="preserve"> by source - June 30, 2014</w:t>
      </w:r>
    </w:p>
    <w:p w:rsidR="008414E9" w:rsidRPr="00DA5DBB" w:rsidRDefault="00283187" w:rsidP="001B5644">
      <w:pPr>
        <w:pStyle w:val="ONUME"/>
        <w:keepLines/>
        <w:numPr>
          <w:ilvl w:val="0"/>
          <w:numId w:val="0"/>
        </w:numPr>
        <w:spacing w:before="240"/>
        <w:jc w:val="center"/>
      </w:pPr>
      <w:r>
        <w:rPr>
          <w:noProof/>
          <w:lang w:eastAsia="en-US"/>
        </w:rPr>
        <w:drawing>
          <wp:inline distT="0" distB="0" distL="0" distR="0" wp14:anchorId="72F8F0F0">
            <wp:extent cx="2780030" cy="1353185"/>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80030" cy="1353185"/>
                    </a:xfrm>
                    <a:prstGeom prst="rect">
                      <a:avLst/>
                    </a:prstGeom>
                    <a:noFill/>
                  </pic:spPr>
                </pic:pic>
              </a:graphicData>
            </a:graphic>
          </wp:inline>
        </w:drawing>
      </w:r>
    </w:p>
    <w:p w:rsidR="007C30B5" w:rsidRDefault="008414E9" w:rsidP="00263055">
      <w:pPr>
        <w:pStyle w:val="ONUME"/>
        <w:keepLines/>
        <w:numPr>
          <w:ilvl w:val="0"/>
          <w:numId w:val="9"/>
        </w:numPr>
        <w:spacing w:before="240"/>
      </w:pPr>
      <w:r>
        <w:lastRenderedPageBreak/>
        <w:t xml:space="preserve">The External Auditor uses the same tool to follow up on recommendations from external audit.  This </w:t>
      </w:r>
      <w:r w:rsidR="001E429A">
        <w:t>unique system simplifies the follow-up process</w:t>
      </w:r>
      <w:r>
        <w:t>.</w:t>
      </w:r>
    </w:p>
    <w:p w:rsidR="008414E9" w:rsidRDefault="008414E9" w:rsidP="008414E9">
      <w:pPr>
        <w:pStyle w:val="ONUME"/>
        <w:keepLines/>
        <w:numPr>
          <w:ilvl w:val="0"/>
          <w:numId w:val="9"/>
        </w:numPr>
        <w:spacing w:before="240"/>
      </w:pPr>
      <w:r>
        <w:t>As showed in Chart 4, cross-sectoral and support services programs have a significant number of recommendations open.  Likewise, recently audited programs by IAOD and the External Auditor, such as t</w:t>
      </w:r>
      <w:r w:rsidR="00B277A4">
        <w:t>he PCT or Madrid and The Hague S</w:t>
      </w:r>
      <w:r>
        <w:t>ystems, need to address an important number of open recommendations.</w:t>
      </w:r>
      <w:r w:rsidRPr="00DA5DBB">
        <w:t xml:space="preserve"> </w:t>
      </w:r>
    </w:p>
    <w:p w:rsidR="008414E9" w:rsidRDefault="008414E9" w:rsidP="008414E9">
      <w:pPr>
        <w:pStyle w:val="Caption"/>
        <w:keepNext/>
        <w:keepLines/>
        <w:spacing w:after="120"/>
        <w:jc w:val="center"/>
      </w:pPr>
      <w:r w:rsidRPr="00DA5DBB">
        <w:t xml:space="preserve">Chart </w:t>
      </w:r>
      <w:fldSimple w:instr=" SEQ Chart \* ARABIC ">
        <w:r w:rsidR="00ED682D">
          <w:rPr>
            <w:noProof/>
          </w:rPr>
          <w:t>4</w:t>
        </w:r>
      </w:fldSimple>
      <w:r w:rsidRPr="00DA5DBB">
        <w:t xml:space="preserve"> - Open recommendations by </w:t>
      </w:r>
      <w:r>
        <w:t>Program</w:t>
      </w:r>
      <w:r>
        <w:rPr>
          <w:rStyle w:val="FootnoteReference"/>
        </w:rPr>
        <w:footnoteReference w:id="15"/>
      </w:r>
    </w:p>
    <w:p w:rsidR="008414E9" w:rsidRPr="004E6553" w:rsidRDefault="00283187" w:rsidP="008414E9">
      <w:pPr>
        <w:jc w:val="center"/>
      </w:pPr>
      <w:r>
        <w:rPr>
          <w:noProof/>
          <w:lang w:eastAsia="en-US"/>
        </w:rPr>
        <w:drawing>
          <wp:inline distT="0" distB="0" distL="0" distR="0" wp14:anchorId="093395D0">
            <wp:extent cx="6206490" cy="446278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06490" cy="4462780"/>
                    </a:xfrm>
                    <a:prstGeom prst="rect">
                      <a:avLst/>
                    </a:prstGeom>
                    <a:noFill/>
                  </pic:spPr>
                </pic:pic>
              </a:graphicData>
            </a:graphic>
          </wp:inline>
        </w:drawing>
      </w:r>
    </w:p>
    <w:p w:rsidR="008414E9" w:rsidRPr="001B5644" w:rsidRDefault="008414E9" w:rsidP="008414E9">
      <w:pPr>
        <w:pStyle w:val="ONUME"/>
        <w:keepLines/>
        <w:numPr>
          <w:ilvl w:val="0"/>
          <w:numId w:val="9"/>
        </w:numPr>
        <w:spacing w:before="240"/>
      </w:pPr>
      <w:r w:rsidRPr="001B5644">
        <w:t>In accordance with the IOC this summary annual report must provide “</w:t>
      </w:r>
      <w:r w:rsidRPr="001B5644">
        <w:rPr>
          <w:i/>
        </w:rPr>
        <w:t>a description of all recommendations which were not approved by the Director General, together with his reasons for not doing so</w:t>
      </w:r>
      <w:r w:rsidRPr="001B5644">
        <w:t>”.  Annex IV provides the one recommendation closed during the reporting period without implementation together with the reasons for not implementing it.</w:t>
      </w:r>
    </w:p>
    <w:p w:rsidR="00263055" w:rsidRDefault="00263055" w:rsidP="008414E9">
      <w:pPr>
        <w:pStyle w:val="Heading1"/>
        <w:sectPr w:rsidR="00263055" w:rsidSect="00E365E6">
          <w:endnotePr>
            <w:numFmt w:val="decimal"/>
          </w:endnotePr>
          <w:pgSz w:w="11907" w:h="16840" w:code="9"/>
          <w:pgMar w:top="1305" w:right="1134" w:bottom="1418" w:left="1418" w:header="510" w:footer="1021" w:gutter="0"/>
          <w:cols w:space="720"/>
          <w:titlePg/>
          <w:docGrid w:linePitch="299"/>
        </w:sectPr>
      </w:pPr>
      <w:bookmarkStart w:id="22" w:name="_Toc392160747"/>
    </w:p>
    <w:p w:rsidR="008414E9" w:rsidRDefault="008414E9" w:rsidP="008414E9">
      <w:pPr>
        <w:pStyle w:val="Heading1"/>
      </w:pPr>
      <w:r>
        <w:lastRenderedPageBreak/>
        <w:t>EXTERNAL ASSESSMENT OF IAOD’s WORK</w:t>
      </w:r>
      <w:bookmarkEnd w:id="22"/>
    </w:p>
    <w:p w:rsidR="008414E9" w:rsidRDefault="008414E9" w:rsidP="008414E9">
      <w:pPr>
        <w:pStyle w:val="ONUME"/>
        <w:keepLines/>
        <w:numPr>
          <w:ilvl w:val="0"/>
          <w:numId w:val="9"/>
        </w:numPr>
      </w:pPr>
      <w:r>
        <w:t>In accordance with the IOC and with international standards, IAOD asked external experts to assess its internal audit and evaluation functions.</w:t>
      </w:r>
    </w:p>
    <w:p w:rsidR="008414E9" w:rsidRDefault="008414E9" w:rsidP="008414E9">
      <w:pPr>
        <w:pStyle w:val="ONUME"/>
        <w:keepLines/>
        <w:numPr>
          <w:ilvl w:val="0"/>
          <w:numId w:val="9"/>
        </w:numPr>
      </w:pPr>
      <w:r>
        <w:t>The IIA conducted the assessment for the internal audit function and they concluded that IAOD generally conforms to the standards, the code of ethics, and the definition of internal auditing.  The IIA’s Quality Assessment Manual suggests a scale of three ratings, “generally conforms,” “partially conforms,” and “does not conform.”  “Generally conforms” is the top rating and means the assessors have concluded that the relevant structures, policies, and procedures of the activity, as well as the processes by which they are applied, comply with the requirements of the standards, the code of ethics, or the definition of internal auditing in all material respects.</w:t>
      </w:r>
    </w:p>
    <w:p w:rsidR="008414E9" w:rsidRDefault="008414E9" w:rsidP="008414E9">
      <w:pPr>
        <w:pStyle w:val="ONUME"/>
        <w:keepLines/>
        <w:numPr>
          <w:ilvl w:val="0"/>
          <w:numId w:val="9"/>
        </w:numPr>
      </w:pPr>
      <w:r>
        <w:t>An external credentialed evaluator conducted the assessment for the evaluation function and concluded that overall, IAOD’s evaluation function is generally consistent with UNEG norms and standards.  The review concludes that there are specific areas that partially conform and require the attention of IAOD in order to strengthen their consistency with UNEG norms and standards and to contribute to the performance of the evaluation function.  Although taken individually or collectively the assessed gaps in conformity do not threaten the fundamental integrity of the evaluation function, they warrant action in each of the three assessed areas of independence, credibility and utility.</w:t>
      </w:r>
    </w:p>
    <w:p w:rsidR="008414E9" w:rsidRPr="00286D9A" w:rsidRDefault="008414E9" w:rsidP="008414E9">
      <w:pPr>
        <w:pStyle w:val="ONUME"/>
        <w:keepLines/>
        <w:numPr>
          <w:ilvl w:val="0"/>
          <w:numId w:val="9"/>
        </w:numPr>
      </w:pPr>
      <w:r>
        <w:t>The assessors made recommendations for the continuous improvement of IAOD’s work in servicing the Organization.  IAOD prepared an action plan to implement the recommendations</w:t>
      </w:r>
      <w:r>
        <w:rPr>
          <w:rStyle w:val="FootnoteReference"/>
        </w:rPr>
        <w:footnoteReference w:id="16"/>
      </w:r>
      <w:r>
        <w:t xml:space="preserve">.  </w:t>
      </w:r>
    </w:p>
    <w:p w:rsidR="008414E9" w:rsidRPr="00DA5DBB" w:rsidRDefault="008414E9" w:rsidP="008414E9">
      <w:pPr>
        <w:pStyle w:val="Heading1"/>
      </w:pPr>
      <w:bookmarkStart w:id="23" w:name="_Toc392160748"/>
      <w:r w:rsidRPr="00DA5DBB">
        <w:t>OTHER OVERSIGHT WORK</w:t>
      </w:r>
      <w:bookmarkEnd w:id="23"/>
    </w:p>
    <w:p w:rsidR="008414E9" w:rsidRPr="00DA5DBB" w:rsidRDefault="008414E9" w:rsidP="008414E9">
      <w:pPr>
        <w:pStyle w:val="Heading2"/>
      </w:pPr>
      <w:r w:rsidRPr="00DA5DBB">
        <w:t>Consultative and Advisory work</w:t>
      </w:r>
    </w:p>
    <w:p w:rsidR="008414E9" w:rsidRPr="00DA5DBB" w:rsidRDefault="008414E9" w:rsidP="008414E9">
      <w:pPr>
        <w:pStyle w:val="ONUME"/>
        <w:keepLines/>
        <w:numPr>
          <w:ilvl w:val="0"/>
          <w:numId w:val="9"/>
        </w:numPr>
      </w:pPr>
      <w:r w:rsidRPr="00DA5DBB">
        <w:t>In addition to its normal oversight work,</w:t>
      </w:r>
      <w:r>
        <w:t xml:space="preserve"> and in line with the IOC,</w:t>
      </w:r>
      <w:r w:rsidRPr="00DA5DBB">
        <w:t xml:space="preserve"> IAOD provides advice in two forms. </w:t>
      </w:r>
      <w:r>
        <w:t xml:space="preserve"> </w:t>
      </w:r>
      <w:r w:rsidRPr="00DA5DBB">
        <w:t xml:space="preserve">First, by participating as observer in various committees (WIPO Investment Committee and the Conference Hall </w:t>
      </w:r>
      <w:r w:rsidRPr="004C4FEB">
        <w:rPr>
          <w:i/>
        </w:rPr>
        <w:t>Ad hoc</w:t>
      </w:r>
      <w:r w:rsidRPr="00DA5DBB">
        <w:t xml:space="preserve"> Contract Committee).  Second, by providing advice as requested on the regulatory framework</w:t>
      </w:r>
      <w:r w:rsidRPr="00A826BF">
        <w:t xml:space="preserve"> </w:t>
      </w:r>
      <w:r w:rsidRPr="00DA5DBB">
        <w:t>or policy documents</w:t>
      </w:r>
      <w:r>
        <w:t xml:space="preserve"> as listed in Annex </w:t>
      </w:r>
      <w:r w:rsidRPr="00DA5DBB">
        <w:t>V.</w:t>
      </w:r>
    </w:p>
    <w:p w:rsidR="008414E9" w:rsidRPr="00DA5DBB" w:rsidRDefault="008414E9" w:rsidP="008414E9">
      <w:pPr>
        <w:pStyle w:val="Heading2"/>
      </w:pPr>
      <w:r w:rsidRPr="00DA5DBB">
        <w:t xml:space="preserve">The Independent Advisory Oversight Committee </w:t>
      </w:r>
    </w:p>
    <w:p w:rsidR="008414E9" w:rsidRPr="00DA5DBB" w:rsidRDefault="008414E9" w:rsidP="008414E9">
      <w:pPr>
        <w:pStyle w:val="ONUME"/>
        <w:keepLines/>
        <w:numPr>
          <w:ilvl w:val="0"/>
          <w:numId w:val="9"/>
        </w:numPr>
      </w:pPr>
      <w:r w:rsidRPr="00DA5DBB">
        <w:t xml:space="preserve">IAOD has been regularly invited by the IAOC to attend its quarterly meetings in order to answer detailed questions concerning the work and functioning of the Division.  The </w:t>
      </w:r>
      <w:r>
        <w:t>30</w:t>
      </w:r>
      <w:r w:rsidRPr="00DA5DBB">
        <w:rPr>
          <w:vertAlign w:val="superscript"/>
        </w:rPr>
        <w:t>th</w:t>
      </w:r>
      <w:r w:rsidRPr="00DA5DBB">
        <w:t xml:space="preserve"> through </w:t>
      </w:r>
      <w:r>
        <w:t>33</w:t>
      </w:r>
      <w:r w:rsidRPr="00E30DBE">
        <w:rPr>
          <w:vertAlign w:val="superscript"/>
        </w:rPr>
        <w:t>rd</w:t>
      </w:r>
      <w:r>
        <w:t xml:space="preserve"> </w:t>
      </w:r>
      <w:r w:rsidRPr="00DA5DBB">
        <w:t>meetings of the IAOC took place in the period covered by this report.</w:t>
      </w:r>
    </w:p>
    <w:p w:rsidR="008414E9" w:rsidRDefault="008414E9" w:rsidP="00D8524D">
      <w:pPr>
        <w:pStyle w:val="ONUME"/>
        <w:keepLines/>
        <w:numPr>
          <w:ilvl w:val="0"/>
          <w:numId w:val="9"/>
        </w:numPr>
      </w:pPr>
      <w:r w:rsidRPr="00DA5DBB">
        <w:t>IAOD has benefitted from the advice and guidance from the IAOC as reflected in the latter’s reports</w:t>
      </w:r>
      <w:r w:rsidRPr="00DA5DBB">
        <w:rPr>
          <w:rStyle w:val="FootnoteReference"/>
        </w:rPr>
        <w:footnoteReference w:id="17"/>
      </w:r>
      <w:r w:rsidRPr="00DA5DBB">
        <w:t>.</w:t>
      </w:r>
    </w:p>
    <w:p w:rsidR="008414E9" w:rsidRPr="00DA5DBB" w:rsidRDefault="008414E9" w:rsidP="008414E9">
      <w:pPr>
        <w:pStyle w:val="Heading2"/>
      </w:pPr>
      <w:r w:rsidRPr="00DA5DBB">
        <w:t>Satisfaction Survey</w:t>
      </w:r>
    </w:p>
    <w:p w:rsidR="008414E9" w:rsidRPr="00DA5DBB" w:rsidRDefault="008414E9" w:rsidP="008414E9">
      <w:pPr>
        <w:pStyle w:val="ONUME"/>
        <w:keepLines/>
        <w:numPr>
          <w:ilvl w:val="0"/>
          <w:numId w:val="9"/>
        </w:numPr>
      </w:pPr>
      <w:r w:rsidRPr="00DA5DBB">
        <w:t>To better understand expectations from colleagues and get their feedback on oversight work, IAOD has routinely used satisfaction surveys since January 2012.  Such surveys allow IAOD to better identify areas for improvement of its own work.</w:t>
      </w:r>
    </w:p>
    <w:p w:rsidR="008414E9" w:rsidRPr="00DA5DBB" w:rsidRDefault="008414E9" w:rsidP="008414E9">
      <w:pPr>
        <w:pStyle w:val="ONUME"/>
        <w:keepLines/>
        <w:numPr>
          <w:ilvl w:val="0"/>
          <w:numId w:val="9"/>
        </w:numPr>
      </w:pPr>
      <w:r>
        <w:lastRenderedPageBreak/>
        <w:t>Nine</w:t>
      </w:r>
      <w:r w:rsidRPr="00DA5DBB">
        <w:t xml:space="preserve"> surveys were issued to </w:t>
      </w:r>
      <w:r>
        <w:t>audited and evaluated entities during the reporting period</w:t>
      </w:r>
      <w:r w:rsidRPr="00DA5DBB">
        <w:t xml:space="preserve">.  On average the work was rated as </w:t>
      </w:r>
      <w:r>
        <w:t>82</w:t>
      </w:r>
      <w:r w:rsidRPr="00DA5DBB">
        <w:t xml:space="preserve"> per cent satisfactory.  The </w:t>
      </w:r>
      <w:r>
        <w:t>highest</w:t>
      </w:r>
      <w:r w:rsidRPr="00DA5DBB">
        <w:t xml:space="preserve"> average score was for the teams that “</w:t>
      </w:r>
      <w:r w:rsidRPr="00DA5DBB">
        <w:rPr>
          <w:i/>
        </w:rPr>
        <w:t>conducted themselves in an objective, professional and courteous manner</w:t>
      </w:r>
      <w:r w:rsidRPr="00DA5DBB">
        <w:t>” with a 9</w:t>
      </w:r>
      <w:r>
        <w:t>5</w:t>
      </w:r>
      <w:r w:rsidRPr="00DA5DBB">
        <w:t xml:space="preserve"> per cent satisfaction rate.  The </w:t>
      </w:r>
      <w:r>
        <w:t>lowest</w:t>
      </w:r>
      <w:r w:rsidRPr="00DA5DBB">
        <w:t xml:space="preserve"> average mark was </w:t>
      </w:r>
      <w:r>
        <w:t>recorded</w:t>
      </w:r>
      <w:r w:rsidRPr="00DA5DBB">
        <w:t xml:space="preserve"> while assessing if “</w:t>
      </w:r>
      <w:r w:rsidRPr="00C03AB8">
        <w:rPr>
          <w:i/>
        </w:rPr>
        <w:t xml:space="preserve">IAOD took account of </w:t>
      </w:r>
      <w:r>
        <w:rPr>
          <w:i/>
        </w:rPr>
        <w:t>(management)</w:t>
      </w:r>
      <w:r w:rsidRPr="00C03AB8">
        <w:rPr>
          <w:i/>
        </w:rPr>
        <w:t xml:space="preserve"> suggestions for areas of audit/evaluation.</w:t>
      </w:r>
      <w:r w:rsidRPr="00DA5DBB">
        <w:t xml:space="preserve">” with a </w:t>
      </w:r>
      <w:r>
        <w:t>66</w:t>
      </w:r>
      <w:r w:rsidR="00846A49">
        <w:t> per </w:t>
      </w:r>
      <w:r w:rsidRPr="00DA5DBB">
        <w:t>cent satisfaction rate.</w:t>
      </w:r>
    </w:p>
    <w:p w:rsidR="008414E9" w:rsidRPr="00DA5DBB" w:rsidRDefault="008414E9" w:rsidP="008414E9">
      <w:pPr>
        <w:pStyle w:val="ONUME"/>
        <w:keepLines/>
        <w:numPr>
          <w:ilvl w:val="0"/>
          <w:numId w:val="9"/>
        </w:numPr>
      </w:pPr>
      <w:r w:rsidRPr="00DA5DBB">
        <w:t>The additional comments sent by the audited/evaluated units help IAOD identify shortcomings and work on corrective act</w:t>
      </w:r>
      <w:r>
        <w:t xml:space="preserve">ions.  To measure also the mid-term impact of oversight work, IAOD began in 2014 issuing surveys on satisfaction a year after the assignment to measure the outcome and gains from the implementation of recommendations. Yet, at the time of reporting, there were too few surveys returned to be able to reliably assess perceived impact of oversight work. </w:t>
      </w:r>
    </w:p>
    <w:p w:rsidR="008414E9" w:rsidRPr="00DA5DBB" w:rsidRDefault="008414E9" w:rsidP="008414E9">
      <w:pPr>
        <w:pStyle w:val="Heading2"/>
      </w:pPr>
      <w:r w:rsidRPr="00DA5DBB">
        <w:t>The External Auditor</w:t>
      </w:r>
    </w:p>
    <w:p w:rsidR="008414E9" w:rsidRPr="00DA5DBB" w:rsidRDefault="008414E9" w:rsidP="008414E9">
      <w:pPr>
        <w:pStyle w:val="ONUME"/>
        <w:keepLines/>
        <w:numPr>
          <w:ilvl w:val="0"/>
          <w:numId w:val="9"/>
        </w:numPr>
      </w:pPr>
      <w:r w:rsidRPr="00DA5DBB">
        <w:t>The excellent professional and working cooperation and coordination established with the External Auditor has continued with regular information sharing meetings on audit, internal control and risk management issues.  The External Auditor and IAOD share</w:t>
      </w:r>
      <w:r>
        <w:t>d</w:t>
      </w:r>
      <w:r w:rsidRPr="00DA5DBB">
        <w:t xml:space="preserve"> strategies, annual plans and individual reports with a view to ensuring efficient oversight coverage and avoiding any potential unnecessary duplication.</w:t>
      </w:r>
    </w:p>
    <w:p w:rsidR="008414E9" w:rsidRPr="00DA5DBB" w:rsidRDefault="008414E9" w:rsidP="008414E9">
      <w:pPr>
        <w:pStyle w:val="Heading2"/>
      </w:pPr>
      <w:r w:rsidRPr="00DA5DBB">
        <w:t>The Ombudsman and the Ethics Office</w:t>
      </w:r>
    </w:p>
    <w:p w:rsidR="008414E9" w:rsidRPr="00DA5DBB" w:rsidRDefault="008414E9" w:rsidP="008414E9">
      <w:pPr>
        <w:pStyle w:val="ONUME"/>
        <w:keepLines/>
        <w:numPr>
          <w:ilvl w:val="0"/>
          <w:numId w:val="9"/>
        </w:numPr>
      </w:pPr>
      <w:r w:rsidRPr="00DA5DBB">
        <w:t xml:space="preserve">During the reporting period, the Director, IAOD met regularly with the Ombudsman and the Ethics Office, as required by the IOC, to ensure good liaison and avoid any unnecessary duplication of activities.  The discussions </w:t>
      </w:r>
      <w:r>
        <w:t>have</w:t>
      </w:r>
      <w:r w:rsidRPr="00DA5DBB">
        <w:t xml:space="preserve"> been very helpful and useful in ensuring that the separate and independent mandates of IAOD, the Ombudsman and the Ethics Office are carried out effectively.</w:t>
      </w:r>
    </w:p>
    <w:p w:rsidR="008414E9" w:rsidRPr="00DA5DBB" w:rsidRDefault="008414E9" w:rsidP="008414E9">
      <w:pPr>
        <w:pStyle w:val="Heading2"/>
      </w:pPr>
      <w:r w:rsidRPr="00DA5DBB">
        <w:t>Networking with other oversight functions</w:t>
      </w:r>
    </w:p>
    <w:p w:rsidR="00D8524D" w:rsidRDefault="008414E9" w:rsidP="00D8524D">
      <w:pPr>
        <w:pStyle w:val="ONUME"/>
        <w:keepLines/>
        <w:numPr>
          <w:ilvl w:val="0"/>
          <w:numId w:val="9"/>
        </w:numPr>
      </w:pPr>
      <w:r w:rsidRPr="00DA5DBB">
        <w:t>The IOC makes specific provision</w:t>
      </w:r>
      <w:r>
        <w:t>s</w:t>
      </w:r>
      <w:r w:rsidRPr="00DA5DBB">
        <w:t xml:space="preserve"> </w:t>
      </w:r>
      <w:r>
        <w:t>on</w:t>
      </w:r>
      <w:r w:rsidRPr="00DA5DBB">
        <w:t xml:space="preserve"> participation in various formal networks of the UN for oversight functions.  IAOD recognizes the value and importance of developing relationships with its peers.  During the period under review, IAOD continued its active and useful collaboration and networking with other UN organizations and entities.  In particular IAOD actively participated in:</w:t>
      </w:r>
    </w:p>
    <w:p w:rsidR="00D8524D" w:rsidRDefault="008414E9" w:rsidP="00D8524D">
      <w:pPr>
        <w:pStyle w:val="ONUME"/>
        <w:keepLines/>
        <w:numPr>
          <w:ilvl w:val="1"/>
          <w:numId w:val="9"/>
        </w:numPr>
      </w:pPr>
      <w:r w:rsidRPr="00D8524D">
        <w:t>The 4</w:t>
      </w:r>
      <w:r w:rsidR="00846A49">
        <w:t xml:space="preserve">3rd </w:t>
      </w:r>
      <w:r w:rsidRPr="00D8524D">
        <w:t>Annual Meeting of Representatives of Internal Audit Services (RIAS) of the UN, in Rome in September 2013.  IAOD leads the work on benchmarking;</w:t>
      </w:r>
    </w:p>
    <w:p w:rsidR="00D8524D" w:rsidRDefault="008414E9" w:rsidP="00D8524D">
      <w:pPr>
        <w:pStyle w:val="ONUME"/>
        <w:keepLines/>
        <w:numPr>
          <w:ilvl w:val="1"/>
          <w:numId w:val="9"/>
        </w:numPr>
      </w:pPr>
      <w:r w:rsidRPr="00D8524D">
        <w:t>The 1</w:t>
      </w:r>
      <w:r w:rsidR="00846A49">
        <w:t>4th</w:t>
      </w:r>
      <w:r w:rsidRPr="00D8524D">
        <w:t xml:space="preserve"> Conference of Internal Investigators held in Tunis in September 2013;</w:t>
      </w:r>
    </w:p>
    <w:p w:rsidR="00D8524D" w:rsidRDefault="008414E9" w:rsidP="00D8524D">
      <w:pPr>
        <w:pStyle w:val="ONUME"/>
        <w:keepLines/>
        <w:numPr>
          <w:ilvl w:val="1"/>
          <w:numId w:val="9"/>
        </w:numPr>
      </w:pPr>
      <w:r w:rsidRPr="00D8524D">
        <w:t>The annual UNEG meeting in April 2014 in Bangkok.  During the reporting period, IAOD was a member of the UNEG Strategic Objective working group on Standards and Norms;</w:t>
      </w:r>
      <w:r w:rsidR="00D8524D">
        <w:t xml:space="preserve">  and</w:t>
      </w:r>
    </w:p>
    <w:p w:rsidR="008414E9" w:rsidRPr="00D8524D" w:rsidRDefault="008414E9" w:rsidP="00D8524D">
      <w:pPr>
        <w:pStyle w:val="ONUME"/>
        <w:keepLines/>
        <w:numPr>
          <w:ilvl w:val="1"/>
          <w:numId w:val="9"/>
        </w:numPr>
      </w:pPr>
      <w:r w:rsidRPr="00D8524D">
        <w:t>The establishment of the UN Representatives of Investigation Services (UNRIS).  The mandate of the group is to strengthen investigation practices and professionalism by providing a forum for development of policies and procedures; to promote and support independence, collaboration and common professional positions of its members to add value to their Organizations; and to exchange information and provide advice, as necessary, to members of the group and UN fora.</w:t>
      </w:r>
    </w:p>
    <w:p w:rsidR="00D8524D" w:rsidRPr="00DA5DBB" w:rsidRDefault="00D8524D" w:rsidP="00D8524D">
      <w:pPr>
        <w:pStyle w:val="ONUME"/>
        <w:keepLines/>
        <w:numPr>
          <w:ilvl w:val="0"/>
          <w:numId w:val="9"/>
        </w:numPr>
      </w:pPr>
      <w:r w:rsidRPr="00DA5DBB">
        <w:lastRenderedPageBreak/>
        <w:t xml:space="preserve">In April 2014, IAOD </w:t>
      </w:r>
      <w:r>
        <w:t>hosted</w:t>
      </w:r>
      <w:r w:rsidRPr="00DA5DBB">
        <w:t xml:space="preserve"> the </w:t>
      </w:r>
      <w:r>
        <w:t xml:space="preserve">Heads of Internal Audit in European-based International Organizations </w:t>
      </w:r>
      <w:r w:rsidRPr="00DA5DBB">
        <w:t>meeting</w:t>
      </w:r>
      <w:r w:rsidRPr="00A826BF">
        <w:t xml:space="preserve"> </w:t>
      </w:r>
      <w:r>
        <w:t>at</w:t>
      </w:r>
      <w:r w:rsidRPr="00DA5DBB">
        <w:t xml:space="preserve"> WIPO.</w:t>
      </w:r>
      <w:r>
        <w:t xml:space="preserve">  </w:t>
      </w:r>
      <w:r w:rsidRPr="00D7579E">
        <w:t xml:space="preserve">There were more than 50 participants representing 35 Organizations. </w:t>
      </w:r>
      <w:r>
        <w:t xml:space="preserve"> </w:t>
      </w:r>
      <w:r w:rsidRPr="00D7579E">
        <w:t>Substantial discussions took place on the audit of governance, the three lines of defense</w:t>
      </w:r>
      <w:r>
        <w:t xml:space="preserve"> in effective risk m</w:t>
      </w:r>
      <w:r w:rsidRPr="00DE2DF8">
        <w:t xml:space="preserve">anagement and </w:t>
      </w:r>
      <w:r>
        <w:t>internal c</w:t>
      </w:r>
      <w:r w:rsidRPr="00DE2DF8">
        <w:t>ontrol</w:t>
      </w:r>
      <w:r w:rsidRPr="00D7579E">
        <w:t xml:space="preserve">, performance auditing, as well as more inward looking discussions on joint training activities and benchmarking through the IIA </w:t>
      </w:r>
      <w:r>
        <w:t>global audit information network (GAIN)</w:t>
      </w:r>
      <w:r w:rsidRPr="00D7579E">
        <w:t xml:space="preserve"> survey.</w:t>
      </w:r>
    </w:p>
    <w:p w:rsidR="00D8524D" w:rsidRPr="00DA5DBB" w:rsidRDefault="00D8524D" w:rsidP="00D8524D">
      <w:pPr>
        <w:pStyle w:val="Heading2"/>
      </w:pPr>
      <w:r w:rsidRPr="00DA5DBB">
        <w:t>Outreach activities to colleagues in the organization</w:t>
      </w:r>
    </w:p>
    <w:p w:rsidR="00D8524D" w:rsidRDefault="00D8524D" w:rsidP="00D8524D">
      <w:pPr>
        <w:pStyle w:val="ONUME"/>
        <w:keepLines/>
        <w:numPr>
          <w:ilvl w:val="0"/>
          <w:numId w:val="9"/>
        </w:numPr>
      </w:pPr>
      <w:r w:rsidRPr="00DA5DBB">
        <w:t xml:space="preserve">To better explain and advocate for its work, IAOD took several initiatives to </w:t>
      </w:r>
      <w:r>
        <w:t xml:space="preserve">continue to </w:t>
      </w:r>
      <w:r w:rsidRPr="00DA5DBB">
        <w:t>reach out</w:t>
      </w:r>
      <w:r>
        <w:t xml:space="preserve"> </w:t>
      </w:r>
      <w:r w:rsidRPr="00DA5DBB">
        <w:t>to colleagues:</w:t>
      </w:r>
    </w:p>
    <w:p w:rsidR="00D8524D" w:rsidRDefault="00D8524D" w:rsidP="00D8524D">
      <w:pPr>
        <w:pStyle w:val="ONUME"/>
        <w:keepLines/>
        <w:numPr>
          <w:ilvl w:val="1"/>
          <w:numId w:val="9"/>
        </w:numPr>
      </w:pPr>
      <w:r w:rsidRPr="00DA5DBB">
        <w:t xml:space="preserve">IAOD is </w:t>
      </w:r>
      <w:r>
        <w:t>still</w:t>
      </w:r>
      <w:r w:rsidRPr="00DA5DBB">
        <w:t xml:space="preserve"> on the agenda for induction tra</w:t>
      </w:r>
      <w:r>
        <w:t xml:space="preserve">inings organized for new staff; </w:t>
      </w:r>
    </w:p>
    <w:p w:rsidR="00D8524D" w:rsidRDefault="00D8524D" w:rsidP="00D8524D">
      <w:pPr>
        <w:pStyle w:val="ONUME"/>
        <w:keepLines/>
        <w:numPr>
          <w:ilvl w:val="1"/>
          <w:numId w:val="9"/>
        </w:numPr>
      </w:pPr>
      <w:r>
        <w:t>All staff emails were sent when the hotline for reporting misconduct was launched and the Investigation Policy issued; and</w:t>
      </w:r>
    </w:p>
    <w:p w:rsidR="00D8524D" w:rsidRPr="00DA5DBB" w:rsidRDefault="00D8524D" w:rsidP="00D8524D">
      <w:pPr>
        <w:pStyle w:val="ONUME"/>
        <w:keepLines/>
        <w:numPr>
          <w:ilvl w:val="1"/>
          <w:numId w:val="9"/>
        </w:numPr>
      </w:pPr>
      <w:r>
        <w:t>IAOD launched a newsletter that will have two issues a year.</w:t>
      </w:r>
    </w:p>
    <w:p w:rsidR="00D8524D" w:rsidRPr="00DA5DBB" w:rsidRDefault="00D8524D" w:rsidP="00D8524D">
      <w:pPr>
        <w:pStyle w:val="Heading1"/>
      </w:pPr>
      <w:bookmarkStart w:id="24" w:name="_Toc392160749"/>
      <w:r w:rsidRPr="00DA5DBB">
        <w:t>OVERSIGHT RESOURCES</w:t>
      </w:r>
      <w:bookmarkEnd w:id="24"/>
      <w:r w:rsidRPr="00DA5DBB">
        <w:t xml:space="preserve"> </w:t>
      </w:r>
    </w:p>
    <w:p w:rsidR="00D8524D" w:rsidRPr="00DA5DBB" w:rsidRDefault="00D8524D" w:rsidP="00D8524D">
      <w:pPr>
        <w:pStyle w:val="ONUME"/>
        <w:keepLines/>
        <w:numPr>
          <w:ilvl w:val="0"/>
          <w:numId w:val="9"/>
        </w:numPr>
      </w:pPr>
      <w:r w:rsidRPr="00DA5DBB">
        <w:t xml:space="preserve">The IOC specifically requires the Director, IAOD to comment on the adequacy of resources allocated to internal oversight within the Organization.  </w:t>
      </w:r>
    </w:p>
    <w:p w:rsidR="00D8524D" w:rsidRDefault="00D8524D" w:rsidP="00D8524D">
      <w:pPr>
        <w:pStyle w:val="Heading2"/>
      </w:pPr>
      <w:r w:rsidRPr="00DA5DBB">
        <w:t>Budget and Staff</w:t>
      </w:r>
    </w:p>
    <w:p w:rsidR="00D8524D" w:rsidRPr="002C1F13" w:rsidRDefault="00D8524D" w:rsidP="00D8524D">
      <w:pPr>
        <w:pStyle w:val="ONUME"/>
        <w:keepLines/>
        <w:numPr>
          <w:ilvl w:val="0"/>
          <w:numId w:val="9"/>
        </w:numPr>
      </w:pPr>
      <w:r w:rsidRPr="002C1F13">
        <w:t>IAOD work force has been an issue in the past with an insufficient number of posts or resources for external consultants and a high number of vacancies.</w:t>
      </w:r>
      <w:r>
        <w:t xml:space="preserve"> </w:t>
      </w:r>
      <w:r w:rsidRPr="002C1F13">
        <w:t xml:space="preserve"> The number of posts has been established to a proper level since 2012 with </w:t>
      </w:r>
      <w:r>
        <w:t>11 staff members</w:t>
      </w:r>
      <w:r w:rsidR="00B532CB">
        <w:t>.  Beginning with the 2012/</w:t>
      </w:r>
      <w:r w:rsidRPr="002C1F13">
        <w:t xml:space="preserve">13 biennium, resources for contracted expertise have been sufficient to hire contractual services to assist in the oversight work.  As regards vacancies, posts were filled in the 2012/13 biennium.  For the first </w:t>
      </w:r>
      <w:r>
        <w:t>six</w:t>
      </w:r>
      <w:r w:rsidRPr="002C1F13">
        <w:t xml:space="preserve"> months of 2014 however, the post of Head, Investigation section remained vacant</w:t>
      </w:r>
      <w:r>
        <w:t>, when the previous incumbent moved to another post</w:t>
      </w:r>
      <w:r w:rsidRPr="002C1F13">
        <w:t>.</w:t>
      </w:r>
      <w:r>
        <w:t xml:space="preserve">  This vacancy will be filled as of July 1, 2014.</w:t>
      </w:r>
    </w:p>
    <w:p w:rsidR="00C71859" w:rsidRDefault="00D8524D" w:rsidP="00D8524D">
      <w:pPr>
        <w:pStyle w:val="ONUME"/>
        <w:keepLines/>
        <w:numPr>
          <w:ilvl w:val="0"/>
          <w:numId w:val="9"/>
        </w:numPr>
      </w:pPr>
      <w:r w:rsidRPr="002C1F13">
        <w:t>To discharge its mandate, the current level of resources, 0.75 per cent of WIPO’s Budget and 0.88 per cent of WIPO’s staff, is low compared to some standards such as those recommended by JIU</w:t>
      </w:r>
      <w:r>
        <w:t xml:space="preserve"> reports on oversight functions</w:t>
      </w:r>
      <w:r w:rsidRPr="002C1F13">
        <w:rPr>
          <w:vertAlign w:val="superscript"/>
        </w:rPr>
        <w:footnoteReference w:id="18"/>
      </w:r>
      <w:r w:rsidRPr="002C1F13">
        <w:t xml:space="preserve">.  The level of resources has however allowed IAOD to cover the areas it identified as priorities in its workplans.  Audit has covered high risk areas, </w:t>
      </w:r>
      <w:r>
        <w:t xml:space="preserve">IAOD independent </w:t>
      </w:r>
      <w:r w:rsidRPr="002C1F13">
        <w:t>Evaluation reports hav</w:t>
      </w:r>
      <w:r w:rsidR="00B532CB">
        <w:t>e become a reality in the 2012/</w:t>
      </w:r>
      <w:r w:rsidRPr="002C1F13">
        <w:t xml:space="preserve">13 </w:t>
      </w:r>
      <w:r>
        <w:t>biennium</w:t>
      </w:r>
      <w:r w:rsidRPr="002C1F13">
        <w:t xml:space="preserve"> and the </w:t>
      </w:r>
      <w:r>
        <w:t>workload</w:t>
      </w:r>
      <w:r w:rsidRPr="002C1F13">
        <w:t xml:space="preserve"> for Investigations </w:t>
      </w:r>
      <w:r>
        <w:t>is under control</w:t>
      </w:r>
      <w:r w:rsidRPr="002C1F13">
        <w:t>.</w:t>
      </w:r>
      <w:r>
        <w:t xml:space="preserve"> </w:t>
      </w:r>
      <w:r w:rsidRPr="002C1F13">
        <w:t xml:space="preserve"> </w:t>
      </w:r>
      <w:r>
        <w:t>T</w:t>
      </w:r>
      <w:r w:rsidRPr="002C1F13">
        <w:t xml:space="preserve">he </w:t>
      </w:r>
      <w:r>
        <w:t xml:space="preserve">level of </w:t>
      </w:r>
      <w:r w:rsidRPr="002C1F13">
        <w:t xml:space="preserve">resources </w:t>
      </w:r>
      <w:r>
        <w:t>seems appropriate i</w:t>
      </w:r>
      <w:r w:rsidRPr="002C1F13">
        <w:t>n the current context where the Organization has made significant progress in terms of internal controls and risk management and has not</w:t>
      </w:r>
      <w:r>
        <w:t>, for the moment,</w:t>
      </w:r>
      <w:r w:rsidRPr="002C1F13">
        <w:t xml:space="preserve"> significantly changed its Strategic Objectives and business model.</w:t>
      </w:r>
    </w:p>
    <w:p w:rsidR="00B532CB" w:rsidRDefault="00B532CB" w:rsidP="00D8524D">
      <w:pPr>
        <w:pStyle w:val="Caption"/>
        <w:jc w:val="center"/>
      </w:pPr>
    </w:p>
    <w:p w:rsidR="00263055" w:rsidRDefault="00263055" w:rsidP="00263055">
      <w:pPr>
        <w:pStyle w:val="Caption"/>
        <w:spacing w:after="120"/>
        <w:jc w:val="center"/>
        <w:sectPr w:rsidR="00263055" w:rsidSect="00E365E6">
          <w:endnotePr>
            <w:numFmt w:val="decimal"/>
          </w:endnotePr>
          <w:pgSz w:w="11907" w:h="16840" w:code="9"/>
          <w:pgMar w:top="1305" w:right="1134" w:bottom="1418" w:left="1418" w:header="510" w:footer="1021" w:gutter="0"/>
          <w:cols w:space="720"/>
          <w:titlePg/>
          <w:docGrid w:linePitch="299"/>
        </w:sectPr>
      </w:pPr>
    </w:p>
    <w:p w:rsidR="00D8524D" w:rsidRPr="00DA5DBB" w:rsidRDefault="00D8524D" w:rsidP="00263055">
      <w:pPr>
        <w:pStyle w:val="Caption"/>
        <w:spacing w:after="120"/>
        <w:jc w:val="center"/>
      </w:pPr>
      <w:r w:rsidRPr="00DA5DBB">
        <w:lastRenderedPageBreak/>
        <w:t xml:space="preserve">Table </w:t>
      </w:r>
      <w:fldSimple w:instr=" SEQ Table \* ARABIC ">
        <w:r w:rsidR="00ED682D">
          <w:rPr>
            <w:noProof/>
          </w:rPr>
          <w:t>2</w:t>
        </w:r>
      </w:fldSimple>
      <w:r w:rsidRPr="00DA5DBB">
        <w:t>- 2012 IAOD Budget and expenditures</w:t>
      </w:r>
      <w:r w:rsidRPr="00DA5DBB">
        <w:rPr>
          <w:b w:val="0"/>
          <w:szCs w:val="18"/>
          <w:vertAlign w:val="superscript"/>
        </w:rPr>
        <w:footnoteReference w:id="19"/>
      </w:r>
      <w:r w:rsidRPr="00DA5DBB">
        <w:t xml:space="preserve"> after transfers</w:t>
      </w:r>
    </w:p>
    <w:tbl>
      <w:tblPr>
        <w:tblW w:w="0" w:type="auto"/>
        <w:tblLook w:val="04A0" w:firstRow="1" w:lastRow="0" w:firstColumn="1" w:lastColumn="0" w:noHBand="0" w:noVBand="1"/>
      </w:tblPr>
      <w:tblGrid>
        <w:gridCol w:w="2358"/>
        <w:gridCol w:w="1873"/>
        <w:gridCol w:w="2066"/>
        <w:gridCol w:w="1774"/>
        <w:gridCol w:w="1500"/>
      </w:tblGrid>
      <w:tr w:rsidR="00D8524D" w:rsidRPr="00AC148C" w:rsidTr="001E2D32">
        <w:trPr>
          <w:cantSplit/>
        </w:trPr>
        <w:tc>
          <w:tcPr>
            <w:tcW w:w="0" w:type="auto"/>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D8524D" w:rsidRPr="00AC148C" w:rsidRDefault="00D8524D" w:rsidP="001E2D32">
            <w:pPr>
              <w:keepNext/>
              <w:rPr>
                <w:color w:val="000000"/>
                <w:sz w:val="18"/>
                <w:szCs w:val="18"/>
              </w:rPr>
            </w:pPr>
            <w:r w:rsidRPr="00AC148C">
              <w:rPr>
                <w:color w:val="000000"/>
                <w:sz w:val="18"/>
                <w:szCs w:val="18"/>
              </w:rPr>
              <w:t> </w:t>
            </w:r>
            <w:r>
              <w:rPr>
                <w:color w:val="000000"/>
                <w:sz w:val="18"/>
                <w:szCs w:val="18"/>
              </w:rPr>
              <w:t xml:space="preserve">      </w:t>
            </w:r>
          </w:p>
        </w:tc>
        <w:tc>
          <w:tcPr>
            <w:tcW w:w="0" w:type="auto"/>
            <w:tcBorders>
              <w:top w:val="single" w:sz="4" w:space="0" w:color="auto"/>
              <w:left w:val="nil"/>
              <w:bottom w:val="nil"/>
              <w:right w:val="single" w:sz="4" w:space="0" w:color="auto"/>
            </w:tcBorders>
            <w:shd w:val="clear" w:color="000000" w:fill="CCFFFF"/>
            <w:vAlign w:val="center"/>
            <w:hideMark/>
          </w:tcPr>
          <w:p w:rsidR="00D8524D" w:rsidRPr="00AC148C" w:rsidRDefault="00D8524D" w:rsidP="001E2D32">
            <w:pPr>
              <w:keepNext/>
              <w:jc w:val="center"/>
              <w:rPr>
                <w:b/>
                <w:bCs/>
                <w:color w:val="000000"/>
                <w:sz w:val="18"/>
                <w:szCs w:val="18"/>
              </w:rPr>
            </w:pPr>
            <w:r w:rsidRPr="00AC148C">
              <w:rPr>
                <w:b/>
                <w:bCs/>
                <w:color w:val="000000"/>
                <w:sz w:val="18"/>
                <w:szCs w:val="18"/>
              </w:rPr>
              <w:t>Approved Budget 2012/13</w:t>
            </w:r>
          </w:p>
        </w:tc>
        <w:tc>
          <w:tcPr>
            <w:tcW w:w="0" w:type="auto"/>
            <w:tcBorders>
              <w:top w:val="single" w:sz="4" w:space="0" w:color="auto"/>
              <w:left w:val="nil"/>
              <w:bottom w:val="nil"/>
              <w:right w:val="single" w:sz="4" w:space="0" w:color="auto"/>
            </w:tcBorders>
            <w:shd w:val="clear" w:color="000000" w:fill="CCFFFF"/>
            <w:vAlign w:val="center"/>
            <w:hideMark/>
          </w:tcPr>
          <w:p w:rsidR="00D8524D" w:rsidRPr="00AC148C" w:rsidRDefault="00D8524D" w:rsidP="001E2D32">
            <w:pPr>
              <w:keepNext/>
              <w:jc w:val="center"/>
              <w:rPr>
                <w:b/>
                <w:bCs/>
                <w:color w:val="000000"/>
                <w:sz w:val="18"/>
                <w:szCs w:val="18"/>
              </w:rPr>
            </w:pPr>
            <w:r w:rsidRPr="00AC148C">
              <w:rPr>
                <w:b/>
                <w:bCs/>
                <w:color w:val="000000"/>
                <w:sz w:val="18"/>
                <w:szCs w:val="18"/>
              </w:rPr>
              <w:t>Budget after transfers 2012/13</w:t>
            </w:r>
          </w:p>
        </w:tc>
        <w:tc>
          <w:tcPr>
            <w:tcW w:w="0" w:type="auto"/>
            <w:tcBorders>
              <w:top w:val="single" w:sz="4" w:space="0" w:color="auto"/>
              <w:left w:val="nil"/>
              <w:bottom w:val="nil"/>
              <w:right w:val="single" w:sz="4" w:space="0" w:color="auto"/>
            </w:tcBorders>
            <w:shd w:val="clear" w:color="000000" w:fill="CCFFFF"/>
            <w:vAlign w:val="center"/>
            <w:hideMark/>
          </w:tcPr>
          <w:p w:rsidR="00D8524D" w:rsidRPr="00AC148C" w:rsidRDefault="00D8524D" w:rsidP="001E2D32">
            <w:pPr>
              <w:keepNext/>
              <w:jc w:val="center"/>
              <w:rPr>
                <w:b/>
                <w:bCs/>
                <w:color w:val="000000"/>
                <w:sz w:val="18"/>
                <w:szCs w:val="18"/>
              </w:rPr>
            </w:pPr>
            <w:r w:rsidRPr="00AC148C">
              <w:rPr>
                <w:b/>
                <w:bCs/>
                <w:color w:val="000000"/>
                <w:sz w:val="18"/>
                <w:szCs w:val="18"/>
              </w:rPr>
              <w:t>Expenditures 2012/13</w:t>
            </w:r>
          </w:p>
        </w:tc>
        <w:tc>
          <w:tcPr>
            <w:tcW w:w="0" w:type="auto"/>
            <w:tcBorders>
              <w:top w:val="single" w:sz="4" w:space="0" w:color="auto"/>
              <w:left w:val="nil"/>
              <w:bottom w:val="nil"/>
              <w:right w:val="single" w:sz="4" w:space="0" w:color="auto"/>
            </w:tcBorders>
            <w:shd w:val="clear" w:color="000000" w:fill="CCFFFF"/>
            <w:vAlign w:val="center"/>
            <w:hideMark/>
          </w:tcPr>
          <w:p w:rsidR="00D8524D" w:rsidRPr="00AC148C" w:rsidRDefault="00D8524D" w:rsidP="001E2D32">
            <w:pPr>
              <w:keepNext/>
              <w:jc w:val="center"/>
              <w:rPr>
                <w:b/>
                <w:bCs/>
                <w:color w:val="000000"/>
                <w:sz w:val="18"/>
                <w:szCs w:val="18"/>
              </w:rPr>
            </w:pPr>
            <w:r w:rsidRPr="00AC148C">
              <w:rPr>
                <w:b/>
                <w:bCs/>
                <w:color w:val="000000"/>
                <w:sz w:val="18"/>
                <w:szCs w:val="18"/>
              </w:rPr>
              <w:t>Utilization rate (%)</w:t>
            </w:r>
          </w:p>
        </w:tc>
      </w:tr>
      <w:tr w:rsidR="00D8524D" w:rsidRPr="00AC148C" w:rsidTr="001E2D32">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8524D" w:rsidRPr="00AC148C" w:rsidRDefault="00D8524D" w:rsidP="001E2D32">
            <w:pPr>
              <w:keepNext/>
              <w:rPr>
                <w:color w:val="000000"/>
                <w:sz w:val="18"/>
                <w:szCs w:val="18"/>
              </w:rPr>
            </w:pPr>
            <w:r w:rsidRPr="00AC148C">
              <w:rPr>
                <w:color w:val="000000"/>
                <w:sz w:val="18"/>
                <w:szCs w:val="18"/>
              </w:rPr>
              <w:t xml:space="preserve"> Personnel Resources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8524D" w:rsidRPr="00AC148C" w:rsidRDefault="00D8524D" w:rsidP="001E2D32">
            <w:pPr>
              <w:keepNext/>
              <w:jc w:val="center"/>
              <w:rPr>
                <w:color w:val="000000"/>
                <w:sz w:val="18"/>
                <w:szCs w:val="18"/>
              </w:rPr>
            </w:pPr>
            <w:r w:rsidRPr="00AC148C">
              <w:rPr>
                <w:color w:val="000000"/>
                <w:sz w:val="18"/>
                <w:szCs w:val="18"/>
              </w:rPr>
              <w:t>4,250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8524D" w:rsidRPr="00125B3A" w:rsidRDefault="00D8524D" w:rsidP="001E2D32">
            <w:pPr>
              <w:keepNext/>
              <w:jc w:val="center"/>
              <w:rPr>
                <w:color w:val="000000"/>
                <w:sz w:val="18"/>
                <w:szCs w:val="18"/>
              </w:rPr>
            </w:pPr>
            <w:r w:rsidRPr="00125B3A">
              <w:rPr>
                <w:color w:val="000000"/>
                <w:sz w:val="18"/>
                <w:szCs w:val="18"/>
              </w:rPr>
              <w:t>3,987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8524D" w:rsidRPr="00125B3A" w:rsidRDefault="00D8524D" w:rsidP="001E2D32">
            <w:pPr>
              <w:keepNext/>
              <w:jc w:val="center"/>
              <w:rPr>
                <w:color w:val="000000"/>
                <w:sz w:val="18"/>
                <w:szCs w:val="18"/>
              </w:rPr>
            </w:pPr>
            <w:r w:rsidRPr="00125B3A">
              <w:rPr>
                <w:color w:val="000000"/>
                <w:sz w:val="18"/>
                <w:szCs w:val="18"/>
              </w:rPr>
              <w:t>3,987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8524D" w:rsidRPr="00125B3A" w:rsidRDefault="00D8524D" w:rsidP="001E2D32">
            <w:pPr>
              <w:keepNext/>
              <w:jc w:val="center"/>
              <w:rPr>
                <w:color w:val="000000"/>
                <w:sz w:val="18"/>
                <w:szCs w:val="18"/>
              </w:rPr>
            </w:pPr>
            <w:r w:rsidRPr="00125B3A">
              <w:rPr>
                <w:color w:val="000000"/>
                <w:sz w:val="18"/>
                <w:szCs w:val="18"/>
              </w:rPr>
              <w:t>100%</w:t>
            </w:r>
          </w:p>
        </w:tc>
      </w:tr>
      <w:tr w:rsidR="00D8524D" w:rsidRPr="00AC148C" w:rsidTr="001E2D32">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8524D" w:rsidRPr="00AC148C" w:rsidRDefault="00D8524D" w:rsidP="001E2D32">
            <w:pPr>
              <w:keepNext/>
              <w:rPr>
                <w:color w:val="000000"/>
                <w:sz w:val="18"/>
                <w:szCs w:val="18"/>
              </w:rPr>
            </w:pPr>
            <w:r w:rsidRPr="00AC148C">
              <w:rPr>
                <w:color w:val="000000"/>
                <w:sz w:val="18"/>
                <w:szCs w:val="18"/>
              </w:rPr>
              <w:t xml:space="preserve"> Non-personnel Resources </w:t>
            </w:r>
          </w:p>
        </w:tc>
        <w:tc>
          <w:tcPr>
            <w:tcW w:w="0" w:type="auto"/>
            <w:tcBorders>
              <w:top w:val="nil"/>
              <w:left w:val="nil"/>
              <w:bottom w:val="single" w:sz="4" w:space="0" w:color="auto"/>
              <w:right w:val="single" w:sz="4" w:space="0" w:color="auto"/>
            </w:tcBorders>
            <w:shd w:val="clear" w:color="auto" w:fill="auto"/>
            <w:vAlign w:val="center"/>
            <w:hideMark/>
          </w:tcPr>
          <w:p w:rsidR="00D8524D" w:rsidRPr="00AC148C" w:rsidRDefault="00D8524D" w:rsidP="001E2D32">
            <w:pPr>
              <w:keepNext/>
              <w:jc w:val="center"/>
              <w:rPr>
                <w:color w:val="000000"/>
                <w:sz w:val="18"/>
                <w:szCs w:val="18"/>
              </w:rPr>
            </w:pPr>
            <w:r w:rsidRPr="00AC148C">
              <w:rPr>
                <w:color w:val="000000"/>
                <w:sz w:val="18"/>
                <w:szCs w:val="18"/>
              </w:rPr>
              <w:t>800</w:t>
            </w:r>
          </w:p>
        </w:tc>
        <w:tc>
          <w:tcPr>
            <w:tcW w:w="0" w:type="auto"/>
            <w:tcBorders>
              <w:top w:val="nil"/>
              <w:left w:val="nil"/>
              <w:bottom w:val="single" w:sz="4" w:space="0" w:color="auto"/>
              <w:right w:val="single" w:sz="4" w:space="0" w:color="auto"/>
            </w:tcBorders>
            <w:shd w:val="clear" w:color="auto" w:fill="auto"/>
            <w:vAlign w:val="center"/>
            <w:hideMark/>
          </w:tcPr>
          <w:p w:rsidR="00D8524D" w:rsidRPr="00125B3A" w:rsidRDefault="00D8524D" w:rsidP="001E2D32">
            <w:pPr>
              <w:keepNext/>
              <w:jc w:val="center"/>
              <w:rPr>
                <w:color w:val="000000"/>
                <w:sz w:val="18"/>
                <w:szCs w:val="18"/>
              </w:rPr>
            </w:pPr>
            <w:r w:rsidRPr="00125B3A">
              <w:rPr>
                <w:color w:val="000000"/>
                <w:sz w:val="18"/>
                <w:szCs w:val="18"/>
              </w:rPr>
              <w:t>805</w:t>
            </w:r>
          </w:p>
        </w:tc>
        <w:tc>
          <w:tcPr>
            <w:tcW w:w="0" w:type="auto"/>
            <w:tcBorders>
              <w:top w:val="nil"/>
              <w:left w:val="nil"/>
              <w:bottom w:val="single" w:sz="4" w:space="0" w:color="auto"/>
              <w:right w:val="single" w:sz="4" w:space="0" w:color="auto"/>
            </w:tcBorders>
            <w:shd w:val="clear" w:color="auto" w:fill="auto"/>
            <w:vAlign w:val="center"/>
            <w:hideMark/>
          </w:tcPr>
          <w:p w:rsidR="00D8524D" w:rsidRPr="00125B3A" w:rsidRDefault="00D8524D" w:rsidP="001E2D32">
            <w:pPr>
              <w:keepNext/>
              <w:jc w:val="center"/>
              <w:rPr>
                <w:color w:val="000000"/>
                <w:sz w:val="18"/>
                <w:szCs w:val="18"/>
              </w:rPr>
            </w:pPr>
            <w:r w:rsidRPr="00125B3A">
              <w:rPr>
                <w:color w:val="000000"/>
                <w:sz w:val="18"/>
                <w:szCs w:val="18"/>
              </w:rPr>
              <w:t>699</w:t>
            </w:r>
          </w:p>
        </w:tc>
        <w:tc>
          <w:tcPr>
            <w:tcW w:w="0" w:type="auto"/>
            <w:tcBorders>
              <w:top w:val="nil"/>
              <w:left w:val="nil"/>
              <w:bottom w:val="single" w:sz="4" w:space="0" w:color="auto"/>
              <w:right w:val="single" w:sz="4" w:space="0" w:color="auto"/>
            </w:tcBorders>
            <w:shd w:val="clear" w:color="auto" w:fill="auto"/>
            <w:vAlign w:val="center"/>
            <w:hideMark/>
          </w:tcPr>
          <w:p w:rsidR="00D8524D" w:rsidRPr="00125B3A" w:rsidRDefault="00D8524D" w:rsidP="001E2D32">
            <w:pPr>
              <w:keepNext/>
              <w:jc w:val="center"/>
              <w:rPr>
                <w:color w:val="000000"/>
                <w:sz w:val="18"/>
                <w:szCs w:val="18"/>
              </w:rPr>
            </w:pPr>
            <w:r w:rsidRPr="00125B3A">
              <w:rPr>
                <w:color w:val="000000"/>
                <w:sz w:val="18"/>
                <w:szCs w:val="18"/>
              </w:rPr>
              <w:t>87%</w:t>
            </w:r>
          </w:p>
        </w:tc>
      </w:tr>
      <w:tr w:rsidR="00D8524D" w:rsidRPr="00AC148C" w:rsidTr="001E2D32">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8524D" w:rsidRPr="00AC148C" w:rsidRDefault="00D8524D" w:rsidP="001E2D32">
            <w:pPr>
              <w:keepNext/>
              <w:jc w:val="right"/>
              <w:rPr>
                <w:b/>
                <w:bCs/>
                <w:color w:val="000000"/>
                <w:sz w:val="18"/>
                <w:szCs w:val="18"/>
              </w:rPr>
            </w:pPr>
            <w:r w:rsidRPr="00AC148C">
              <w:rPr>
                <w:b/>
                <w:bCs/>
                <w:color w:val="000000"/>
                <w:sz w:val="18"/>
                <w:szCs w:val="18"/>
              </w:rPr>
              <w:t xml:space="preserve"> TOTAL </w:t>
            </w:r>
          </w:p>
        </w:tc>
        <w:tc>
          <w:tcPr>
            <w:tcW w:w="0" w:type="auto"/>
            <w:tcBorders>
              <w:top w:val="nil"/>
              <w:left w:val="nil"/>
              <w:bottom w:val="single" w:sz="4" w:space="0" w:color="auto"/>
              <w:right w:val="single" w:sz="4" w:space="0" w:color="auto"/>
            </w:tcBorders>
            <w:shd w:val="clear" w:color="auto" w:fill="auto"/>
            <w:vAlign w:val="center"/>
            <w:hideMark/>
          </w:tcPr>
          <w:p w:rsidR="00D8524D" w:rsidRPr="00AC148C" w:rsidRDefault="00D8524D" w:rsidP="001E2D32">
            <w:pPr>
              <w:keepNext/>
              <w:jc w:val="center"/>
              <w:rPr>
                <w:b/>
                <w:bCs/>
                <w:color w:val="000000"/>
                <w:sz w:val="18"/>
                <w:szCs w:val="18"/>
              </w:rPr>
            </w:pPr>
            <w:r w:rsidRPr="00AC148C">
              <w:rPr>
                <w:b/>
                <w:bCs/>
                <w:color w:val="000000"/>
                <w:sz w:val="18"/>
                <w:szCs w:val="18"/>
              </w:rPr>
              <w:t>5,050</w:t>
            </w:r>
          </w:p>
        </w:tc>
        <w:tc>
          <w:tcPr>
            <w:tcW w:w="0" w:type="auto"/>
            <w:tcBorders>
              <w:top w:val="nil"/>
              <w:left w:val="nil"/>
              <w:bottom w:val="single" w:sz="4" w:space="0" w:color="auto"/>
              <w:right w:val="single" w:sz="4" w:space="0" w:color="auto"/>
            </w:tcBorders>
            <w:shd w:val="clear" w:color="auto" w:fill="auto"/>
            <w:vAlign w:val="center"/>
            <w:hideMark/>
          </w:tcPr>
          <w:p w:rsidR="00D8524D" w:rsidRPr="00125B3A" w:rsidRDefault="00D8524D" w:rsidP="001E2D32">
            <w:pPr>
              <w:keepNext/>
              <w:jc w:val="center"/>
              <w:rPr>
                <w:b/>
                <w:color w:val="000000"/>
                <w:sz w:val="18"/>
                <w:szCs w:val="18"/>
              </w:rPr>
            </w:pPr>
            <w:r w:rsidRPr="00125B3A">
              <w:rPr>
                <w:b/>
                <w:color w:val="000000"/>
                <w:sz w:val="18"/>
                <w:szCs w:val="18"/>
              </w:rPr>
              <w:t>4,792</w:t>
            </w:r>
          </w:p>
        </w:tc>
        <w:tc>
          <w:tcPr>
            <w:tcW w:w="0" w:type="auto"/>
            <w:tcBorders>
              <w:top w:val="nil"/>
              <w:left w:val="nil"/>
              <w:bottom w:val="single" w:sz="4" w:space="0" w:color="auto"/>
              <w:right w:val="single" w:sz="4" w:space="0" w:color="auto"/>
            </w:tcBorders>
            <w:shd w:val="clear" w:color="auto" w:fill="auto"/>
            <w:vAlign w:val="center"/>
            <w:hideMark/>
          </w:tcPr>
          <w:p w:rsidR="00D8524D" w:rsidRPr="00125B3A" w:rsidRDefault="00D8524D" w:rsidP="001E2D32">
            <w:pPr>
              <w:keepNext/>
              <w:jc w:val="center"/>
              <w:rPr>
                <w:b/>
                <w:color w:val="000000"/>
                <w:sz w:val="18"/>
                <w:szCs w:val="18"/>
              </w:rPr>
            </w:pPr>
            <w:r w:rsidRPr="00125B3A">
              <w:rPr>
                <w:b/>
                <w:color w:val="000000"/>
                <w:sz w:val="18"/>
                <w:szCs w:val="18"/>
              </w:rPr>
              <w:t>4,687</w:t>
            </w:r>
          </w:p>
        </w:tc>
        <w:tc>
          <w:tcPr>
            <w:tcW w:w="0" w:type="auto"/>
            <w:tcBorders>
              <w:top w:val="nil"/>
              <w:left w:val="nil"/>
              <w:bottom w:val="single" w:sz="4" w:space="0" w:color="auto"/>
              <w:right w:val="single" w:sz="4" w:space="0" w:color="auto"/>
            </w:tcBorders>
            <w:shd w:val="clear" w:color="auto" w:fill="auto"/>
            <w:vAlign w:val="center"/>
            <w:hideMark/>
          </w:tcPr>
          <w:p w:rsidR="00D8524D" w:rsidRPr="00125B3A" w:rsidRDefault="00D8524D" w:rsidP="001E2D32">
            <w:pPr>
              <w:keepNext/>
              <w:jc w:val="center"/>
              <w:rPr>
                <w:b/>
                <w:color w:val="000000"/>
                <w:sz w:val="18"/>
                <w:szCs w:val="18"/>
              </w:rPr>
            </w:pPr>
            <w:r w:rsidRPr="00125B3A">
              <w:rPr>
                <w:b/>
                <w:color w:val="000000"/>
                <w:sz w:val="18"/>
                <w:szCs w:val="18"/>
              </w:rPr>
              <w:t>98%</w:t>
            </w:r>
          </w:p>
        </w:tc>
      </w:tr>
    </w:tbl>
    <w:p w:rsidR="00D8524D" w:rsidRPr="00DA5DBB" w:rsidRDefault="00D8524D" w:rsidP="00D8524D">
      <w:pPr>
        <w:pStyle w:val="ONUME"/>
        <w:keepLines/>
        <w:numPr>
          <w:ilvl w:val="0"/>
          <w:numId w:val="9"/>
        </w:numPr>
        <w:spacing w:before="240"/>
      </w:pPr>
      <w:r w:rsidRPr="00DA5DBB">
        <w:t>During the reporting period, use was made of contracted experts for various oversight activities.  This was particularly valuable for work related to evaluations</w:t>
      </w:r>
      <w:r>
        <w:t xml:space="preserve"> and specialized audits and investigations.</w:t>
      </w:r>
    </w:p>
    <w:p w:rsidR="00D8524D" w:rsidRPr="00DA5DBB" w:rsidRDefault="00C71859" w:rsidP="00D8524D">
      <w:pPr>
        <w:pStyle w:val="Heading2"/>
      </w:pPr>
      <w:r>
        <w:t>t</w:t>
      </w:r>
      <w:r w:rsidR="00D8524D" w:rsidRPr="00DA5DBB">
        <w:t>raining</w:t>
      </w:r>
    </w:p>
    <w:p w:rsidR="00D8524D" w:rsidRDefault="00D8524D" w:rsidP="00D8524D">
      <w:pPr>
        <w:pStyle w:val="ONUME"/>
        <w:keepLines/>
        <w:numPr>
          <w:ilvl w:val="0"/>
          <w:numId w:val="9"/>
        </w:numPr>
      </w:pPr>
      <w:r w:rsidRPr="00DA5DBB">
        <w:t>Essential for continued professional development</w:t>
      </w:r>
      <w:r>
        <w:t xml:space="preserve"> of its staff</w:t>
      </w:r>
      <w:r w:rsidRPr="00DA5DBB">
        <w:t xml:space="preserve">, and in accordance with </w:t>
      </w:r>
      <w:r>
        <w:t>WIPO</w:t>
      </w:r>
      <w:r w:rsidRPr="00DA5DBB">
        <w:t xml:space="preserve"> training policy, IAOD ensures that </w:t>
      </w:r>
      <w:r>
        <w:t>all of its</w:t>
      </w:r>
      <w:r w:rsidRPr="00DA5DBB">
        <w:t xml:space="preserve"> staff member</w:t>
      </w:r>
      <w:r>
        <w:t>s possess and improve</w:t>
      </w:r>
      <w:r w:rsidRPr="00DA5DBB">
        <w:t xml:space="preserve"> knowledge, skills and other competencies needed to perform their individual responsibilities, with a view to continuously improving the quality of oversight work undertaken.  IAOD staff members were trained during the reporting perio</w:t>
      </w:r>
      <w:r>
        <w:t xml:space="preserve">d on </w:t>
      </w:r>
      <w:r w:rsidRPr="00DA5DBB">
        <w:t>fraud prevention and detection,</w:t>
      </w:r>
      <w:r>
        <w:t xml:space="preserve"> development evaluation,</w:t>
      </w:r>
      <w:r w:rsidRPr="00DA5DBB">
        <w:t xml:space="preserve"> risk management, International Public</w:t>
      </w:r>
      <w:r>
        <w:t xml:space="preserve"> Sector Accounting S</w:t>
      </w:r>
      <w:r w:rsidRPr="00DA5DBB">
        <w:t xml:space="preserve">tandards (IPSAS), </w:t>
      </w:r>
      <w:r>
        <w:t>the COSO</w:t>
      </w:r>
      <w:r>
        <w:rPr>
          <w:rStyle w:val="FootnoteReference"/>
        </w:rPr>
        <w:footnoteReference w:id="20"/>
      </w:r>
      <w:r>
        <w:t xml:space="preserve"> framework, data mining software, quality assessments, </w:t>
      </w:r>
      <w:r w:rsidRPr="00DA5DBB">
        <w:t>r</w:t>
      </w:r>
      <w:r>
        <w:t>eport writing and PeopleSoft</w:t>
      </w:r>
      <w:r w:rsidRPr="00536801">
        <w:rPr>
          <w:vertAlign w:val="superscript"/>
        </w:rPr>
        <w:t>©</w:t>
      </w:r>
      <w:r>
        <w:t>.</w:t>
      </w:r>
    </w:p>
    <w:p w:rsidR="00D8524D" w:rsidRDefault="00D8524D" w:rsidP="00846A49">
      <w:pPr>
        <w:keepLines/>
        <w:tabs>
          <w:tab w:val="left" w:pos="5529"/>
        </w:tabs>
        <w:ind w:firstLine="5529"/>
      </w:pPr>
      <w:r w:rsidRPr="00DA5DBB">
        <w:t>[Annexes follow]</w:t>
      </w:r>
    </w:p>
    <w:p w:rsidR="00C71859" w:rsidRDefault="00C71859" w:rsidP="00C71859">
      <w:pPr>
        <w:keepLines/>
        <w:tabs>
          <w:tab w:val="left" w:pos="5529"/>
        </w:tabs>
      </w:pPr>
    </w:p>
    <w:p w:rsidR="00D8524D" w:rsidRDefault="00D8524D" w:rsidP="00D8524D">
      <w:pPr>
        <w:pStyle w:val="ONUME"/>
        <w:keepLines/>
        <w:numPr>
          <w:ilvl w:val="0"/>
          <w:numId w:val="0"/>
        </w:numPr>
        <w:jc w:val="right"/>
        <w:sectPr w:rsidR="00D8524D" w:rsidSect="00E365E6">
          <w:endnotePr>
            <w:numFmt w:val="decimal"/>
          </w:endnotePr>
          <w:pgSz w:w="11907" w:h="16840" w:code="9"/>
          <w:pgMar w:top="1305" w:right="1134" w:bottom="1418" w:left="1418" w:header="510" w:footer="1021" w:gutter="0"/>
          <w:cols w:space="720"/>
          <w:titlePg/>
          <w:docGrid w:linePitch="299"/>
        </w:sectPr>
      </w:pPr>
    </w:p>
    <w:p w:rsidR="00E412BD" w:rsidRDefault="00E412BD" w:rsidP="00CF286F">
      <w:pPr>
        <w:spacing w:after="120"/>
        <w:ind w:left="-142"/>
        <w:jc w:val="center"/>
        <w:rPr>
          <w:b/>
        </w:rPr>
      </w:pPr>
      <w:bookmarkStart w:id="25" w:name="OLE_LINK1"/>
      <w:bookmarkStart w:id="26" w:name="OLE_LINK2"/>
      <w:r>
        <w:rPr>
          <w:b/>
        </w:rPr>
        <w:lastRenderedPageBreak/>
        <w:t>Status of 2013 Oversight assignments</w:t>
      </w:r>
    </w:p>
    <w:tbl>
      <w:tblPr>
        <w:tblW w:w="5123" w:type="pct"/>
        <w:jc w:val="center"/>
        <w:tblLayout w:type="fixed"/>
        <w:tblLook w:val="0000" w:firstRow="0" w:lastRow="0" w:firstColumn="0" w:lastColumn="0" w:noHBand="0" w:noVBand="0"/>
      </w:tblPr>
      <w:tblGrid>
        <w:gridCol w:w="5225"/>
        <w:gridCol w:w="3365"/>
        <w:gridCol w:w="1216"/>
      </w:tblGrid>
      <w:tr w:rsidR="00E412BD" w:rsidRPr="009D39F0" w:rsidTr="001E2D32">
        <w:trPr>
          <w:tblHeader/>
          <w:jc w:val="center"/>
        </w:trPr>
        <w:tc>
          <w:tcPr>
            <w:tcW w:w="2664" w:type="pct"/>
            <w:tcBorders>
              <w:top w:val="single" w:sz="4" w:space="0" w:color="auto"/>
              <w:left w:val="single" w:sz="4" w:space="0" w:color="auto"/>
              <w:bottom w:val="single" w:sz="4" w:space="0" w:color="auto"/>
              <w:right w:val="single" w:sz="4" w:space="0" w:color="auto"/>
            </w:tcBorders>
            <w:shd w:val="clear" w:color="auto" w:fill="C0C0C0"/>
            <w:vAlign w:val="center"/>
          </w:tcPr>
          <w:p w:rsidR="00E412BD" w:rsidRPr="009D39F0" w:rsidRDefault="00E412BD" w:rsidP="001E2D32">
            <w:pPr>
              <w:jc w:val="center"/>
              <w:rPr>
                <w:rFonts w:eastAsia="Times New Roman"/>
                <w:b/>
                <w:bCs/>
                <w:color w:val="000000"/>
                <w:sz w:val="18"/>
                <w:szCs w:val="18"/>
                <w:lang w:eastAsia="en-US"/>
              </w:rPr>
            </w:pPr>
            <w:bookmarkStart w:id="27" w:name="OLE_LINK9"/>
            <w:bookmarkStart w:id="28" w:name="OLE_LINK10"/>
            <w:bookmarkEnd w:id="25"/>
            <w:bookmarkEnd w:id="26"/>
            <w:r w:rsidRPr="009D39F0">
              <w:rPr>
                <w:rFonts w:eastAsia="Times New Roman"/>
                <w:b/>
                <w:bCs/>
                <w:color w:val="000000"/>
                <w:sz w:val="18"/>
                <w:szCs w:val="18"/>
                <w:lang w:eastAsia="en-US"/>
              </w:rPr>
              <w:t>Plan</w:t>
            </w:r>
          </w:p>
        </w:tc>
        <w:tc>
          <w:tcPr>
            <w:tcW w:w="1716" w:type="pct"/>
            <w:tcBorders>
              <w:top w:val="single" w:sz="4" w:space="0" w:color="auto"/>
              <w:left w:val="nil"/>
              <w:bottom w:val="single" w:sz="4" w:space="0" w:color="auto"/>
              <w:right w:val="single" w:sz="4" w:space="0" w:color="auto"/>
            </w:tcBorders>
            <w:shd w:val="clear" w:color="auto" w:fill="C0C0C0"/>
            <w:vAlign w:val="center"/>
          </w:tcPr>
          <w:p w:rsidR="00E412BD" w:rsidRPr="009D39F0" w:rsidRDefault="00E412BD" w:rsidP="001E2D32">
            <w:pPr>
              <w:jc w:val="center"/>
              <w:rPr>
                <w:rFonts w:eastAsia="Times New Roman"/>
                <w:b/>
                <w:bCs/>
                <w:color w:val="000000"/>
                <w:sz w:val="18"/>
                <w:szCs w:val="18"/>
                <w:lang w:eastAsia="en-US"/>
              </w:rPr>
            </w:pPr>
            <w:r w:rsidRPr="009D39F0">
              <w:rPr>
                <w:rFonts w:eastAsia="Times New Roman"/>
                <w:b/>
                <w:bCs/>
                <w:color w:val="000000"/>
                <w:sz w:val="18"/>
                <w:szCs w:val="18"/>
                <w:lang w:eastAsia="en-US"/>
              </w:rPr>
              <w:t>Sector</w:t>
            </w:r>
          </w:p>
        </w:tc>
        <w:tc>
          <w:tcPr>
            <w:tcW w:w="620" w:type="pct"/>
            <w:tcBorders>
              <w:top w:val="single" w:sz="4" w:space="0" w:color="auto"/>
              <w:left w:val="nil"/>
              <w:bottom w:val="single" w:sz="4" w:space="0" w:color="auto"/>
              <w:right w:val="single" w:sz="4" w:space="0" w:color="auto"/>
            </w:tcBorders>
            <w:shd w:val="clear" w:color="auto" w:fill="C0C0C0"/>
            <w:vAlign w:val="center"/>
          </w:tcPr>
          <w:p w:rsidR="00E412BD" w:rsidRPr="009D39F0" w:rsidRDefault="00E412BD" w:rsidP="001E2D32">
            <w:pPr>
              <w:jc w:val="center"/>
              <w:rPr>
                <w:rFonts w:eastAsia="Times New Roman"/>
                <w:b/>
                <w:bCs/>
                <w:color w:val="000000"/>
                <w:sz w:val="18"/>
                <w:szCs w:val="18"/>
                <w:lang w:eastAsia="en-US"/>
              </w:rPr>
            </w:pPr>
            <w:r w:rsidRPr="009D39F0">
              <w:rPr>
                <w:rFonts w:eastAsia="Times New Roman"/>
                <w:b/>
                <w:bCs/>
                <w:color w:val="000000"/>
                <w:sz w:val="18"/>
                <w:szCs w:val="18"/>
                <w:lang w:eastAsia="en-US"/>
              </w:rPr>
              <w:t>Status</w:t>
            </w:r>
          </w:p>
        </w:tc>
      </w:tr>
      <w:tr w:rsidR="00E412BD" w:rsidRPr="009D39F0" w:rsidTr="001E2D32">
        <w:trPr>
          <w:trHeight w:val="303"/>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Program evaluation: Program 1 Patent Law and Innovation</w:t>
            </w:r>
          </w:p>
        </w:tc>
        <w:tc>
          <w:tcPr>
            <w:tcW w:w="1716" w:type="pct"/>
            <w:tcBorders>
              <w:top w:val="nil"/>
              <w:left w:val="nil"/>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Innovation and Technology</w:t>
            </w:r>
          </w:p>
        </w:tc>
        <w:tc>
          <w:tcPr>
            <w:tcW w:w="620" w:type="pct"/>
            <w:tcBorders>
              <w:top w:val="single" w:sz="4" w:space="0" w:color="auto"/>
              <w:left w:val="nil"/>
              <w:bottom w:val="single" w:sz="4" w:space="0" w:color="auto"/>
              <w:right w:val="single" w:sz="4" w:space="0" w:color="auto"/>
            </w:tcBorders>
            <w:shd w:val="clear" w:color="auto" w:fill="92D050"/>
            <w:vAlign w:val="center"/>
          </w:tcPr>
          <w:p w:rsidR="00E412BD" w:rsidRPr="009D39F0" w:rsidRDefault="00E412BD" w:rsidP="001E2D32">
            <w:pPr>
              <w:jc w:val="center"/>
              <w:rPr>
                <w:rFonts w:eastAsia="Times New Roman"/>
                <w:color w:val="92D050"/>
                <w:sz w:val="18"/>
                <w:szCs w:val="18"/>
                <w:lang w:eastAsia="en-US"/>
              </w:rPr>
            </w:pPr>
          </w:p>
        </w:tc>
      </w:tr>
      <w:tr w:rsidR="00E412BD" w:rsidRPr="009D39F0" w:rsidTr="001E2D32">
        <w:trPr>
          <w:trHeight w:val="549"/>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412BD" w:rsidRPr="009D39F0" w:rsidRDefault="00E412BD" w:rsidP="002918FE">
            <w:pPr>
              <w:rPr>
                <w:rFonts w:eastAsia="Times New Roman"/>
                <w:color w:val="000000"/>
                <w:sz w:val="18"/>
                <w:szCs w:val="18"/>
                <w:lang w:eastAsia="en-US"/>
              </w:rPr>
            </w:pPr>
            <w:r w:rsidRPr="009D39F0">
              <w:rPr>
                <w:rFonts w:eastAsia="Times New Roman"/>
                <w:color w:val="000000"/>
                <w:sz w:val="18"/>
                <w:szCs w:val="18"/>
                <w:lang w:eastAsia="en-US"/>
              </w:rPr>
              <w:t>Second Country Portfolio evaluation (CPE)</w:t>
            </w:r>
            <w:r w:rsidR="002918FE">
              <w:rPr>
                <w:rFonts w:eastAsia="Times New Roman"/>
                <w:color w:val="000000"/>
                <w:sz w:val="18"/>
                <w:szCs w:val="18"/>
                <w:lang w:eastAsia="en-US"/>
              </w:rPr>
              <w:t xml:space="preserve"> </w:t>
            </w:r>
            <w:r w:rsidRPr="009D39F0">
              <w:rPr>
                <w:rFonts w:eastAsia="Times New Roman"/>
                <w:color w:val="000000"/>
                <w:sz w:val="18"/>
                <w:szCs w:val="18"/>
                <w:lang w:eastAsia="en-US"/>
              </w:rPr>
              <w:t>in Thailand (selected based on the presence of an IP strategy)</w:t>
            </w:r>
          </w:p>
        </w:tc>
        <w:tc>
          <w:tcPr>
            <w:tcW w:w="1716" w:type="pct"/>
            <w:tcBorders>
              <w:top w:val="nil"/>
              <w:left w:val="nil"/>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 xml:space="preserve">Development or Global Issues </w:t>
            </w:r>
          </w:p>
        </w:tc>
        <w:tc>
          <w:tcPr>
            <w:tcW w:w="620" w:type="pct"/>
            <w:tcBorders>
              <w:top w:val="single" w:sz="4" w:space="0" w:color="auto"/>
              <w:left w:val="nil"/>
              <w:bottom w:val="single" w:sz="4" w:space="0" w:color="auto"/>
              <w:right w:val="single" w:sz="4" w:space="0" w:color="auto"/>
            </w:tcBorders>
            <w:shd w:val="clear" w:color="auto" w:fill="92D050"/>
            <w:vAlign w:val="center"/>
          </w:tcPr>
          <w:p w:rsidR="00E412BD" w:rsidRPr="009D39F0" w:rsidRDefault="00E412BD" w:rsidP="001E2D32">
            <w:pPr>
              <w:jc w:val="center"/>
              <w:rPr>
                <w:rFonts w:eastAsia="Times New Roman"/>
                <w:color w:val="000000"/>
                <w:sz w:val="18"/>
                <w:szCs w:val="18"/>
                <w:lang w:eastAsia="en-US"/>
              </w:rPr>
            </w:pPr>
          </w:p>
        </w:tc>
      </w:tr>
      <w:tr w:rsidR="00E412BD" w:rsidRPr="009D39F0"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Evaluation on the Secretariat’s services in organizing meetings of the WIPO Intergovernmental Committee on Intellectual Property and Genetic Resources, Traditional Knowledge and Folklore (IGC)</w:t>
            </w:r>
          </w:p>
        </w:tc>
        <w:tc>
          <w:tcPr>
            <w:tcW w:w="1716" w:type="pct"/>
            <w:tcBorders>
              <w:top w:val="nil"/>
              <w:left w:val="nil"/>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Global Issues</w:t>
            </w:r>
          </w:p>
        </w:tc>
        <w:tc>
          <w:tcPr>
            <w:tcW w:w="620" w:type="pct"/>
            <w:tcBorders>
              <w:top w:val="single" w:sz="4" w:space="0" w:color="auto"/>
              <w:left w:val="nil"/>
              <w:bottom w:val="single" w:sz="4" w:space="0" w:color="auto"/>
              <w:right w:val="single" w:sz="4" w:space="0" w:color="auto"/>
            </w:tcBorders>
            <w:shd w:val="clear" w:color="auto" w:fill="92D050"/>
            <w:vAlign w:val="center"/>
          </w:tcPr>
          <w:p w:rsidR="00E412BD" w:rsidRPr="009D39F0" w:rsidRDefault="00E412BD" w:rsidP="001E2D32">
            <w:pPr>
              <w:jc w:val="center"/>
              <w:rPr>
                <w:rFonts w:eastAsia="Times New Roman"/>
                <w:color w:val="000000"/>
                <w:sz w:val="18"/>
                <w:szCs w:val="18"/>
                <w:lang w:eastAsia="en-US"/>
              </w:rPr>
            </w:pPr>
          </w:p>
        </w:tc>
      </w:tr>
      <w:tr w:rsidR="00E412BD" w:rsidRPr="009D39F0" w:rsidTr="001E2D32">
        <w:trPr>
          <w:trHeight w:val="275"/>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Review of Payment Obligations</w:t>
            </w:r>
          </w:p>
        </w:tc>
        <w:tc>
          <w:tcPr>
            <w:tcW w:w="1716" w:type="pct"/>
            <w:tcBorders>
              <w:top w:val="nil"/>
              <w:left w:val="nil"/>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Administration and Management</w:t>
            </w:r>
          </w:p>
        </w:tc>
        <w:tc>
          <w:tcPr>
            <w:tcW w:w="620" w:type="pct"/>
            <w:tcBorders>
              <w:top w:val="single" w:sz="4" w:space="0" w:color="auto"/>
              <w:left w:val="nil"/>
              <w:bottom w:val="single" w:sz="4" w:space="0" w:color="auto"/>
              <w:right w:val="single" w:sz="4" w:space="0" w:color="auto"/>
            </w:tcBorders>
            <w:shd w:val="clear" w:color="auto" w:fill="92D050"/>
            <w:vAlign w:val="center"/>
          </w:tcPr>
          <w:p w:rsidR="00E412BD" w:rsidRPr="009D39F0" w:rsidRDefault="00E412BD" w:rsidP="001E2D32">
            <w:pPr>
              <w:jc w:val="center"/>
              <w:rPr>
                <w:rFonts w:eastAsia="Times New Roman"/>
                <w:color w:val="000000"/>
                <w:sz w:val="18"/>
                <w:szCs w:val="18"/>
                <w:lang w:eastAsia="en-US"/>
              </w:rPr>
            </w:pPr>
          </w:p>
        </w:tc>
      </w:tr>
      <w:tr w:rsidR="00E412BD" w:rsidRPr="009D39F0" w:rsidTr="001E2D32">
        <w:trPr>
          <w:trHeight w:val="413"/>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Audit of Information Security</w:t>
            </w:r>
          </w:p>
        </w:tc>
        <w:tc>
          <w:tcPr>
            <w:tcW w:w="1716" w:type="pct"/>
            <w:tcBorders>
              <w:top w:val="nil"/>
              <w:left w:val="nil"/>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Administration and Management</w:t>
            </w:r>
          </w:p>
        </w:tc>
        <w:tc>
          <w:tcPr>
            <w:tcW w:w="620" w:type="pct"/>
            <w:tcBorders>
              <w:top w:val="single" w:sz="4" w:space="0" w:color="auto"/>
              <w:left w:val="nil"/>
              <w:bottom w:val="single" w:sz="4" w:space="0" w:color="auto"/>
              <w:right w:val="single" w:sz="4" w:space="0" w:color="auto"/>
            </w:tcBorders>
            <w:shd w:val="clear" w:color="auto" w:fill="92D050"/>
            <w:vAlign w:val="center"/>
          </w:tcPr>
          <w:p w:rsidR="00E412BD" w:rsidRPr="009D39F0" w:rsidRDefault="00E412BD" w:rsidP="001E2D32">
            <w:pPr>
              <w:jc w:val="center"/>
              <w:rPr>
                <w:rFonts w:eastAsia="Times New Roman"/>
                <w:color w:val="000000"/>
                <w:sz w:val="18"/>
                <w:szCs w:val="18"/>
                <w:lang w:eastAsia="en-US"/>
              </w:rPr>
            </w:pPr>
          </w:p>
        </w:tc>
      </w:tr>
      <w:tr w:rsidR="00E412BD" w:rsidRPr="009D39F0"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Review of Revenue Generation Process Under Madrid and the Hague Systems</w:t>
            </w:r>
          </w:p>
        </w:tc>
        <w:tc>
          <w:tcPr>
            <w:tcW w:w="1716" w:type="pct"/>
            <w:tcBorders>
              <w:top w:val="nil"/>
              <w:left w:val="nil"/>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Brands and Design</w:t>
            </w:r>
          </w:p>
        </w:tc>
        <w:tc>
          <w:tcPr>
            <w:tcW w:w="620" w:type="pct"/>
            <w:tcBorders>
              <w:top w:val="single" w:sz="4" w:space="0" w:color="auto"/>
              <w:left w:val="nil"/>
              <w:bottom w:val="single" w:sz="4" w:space="0" w:color="auto"/>
              <w:right w:val="single" w:sz="4" w:space="0" w:color="auto"/>
            </w:tcBorders>
            <w:shd w:val="clear" w:color="auto" w:fill="92D050"/>
            <w:vAlign w:val="center"/>
          </w:tcPr>
          <w:p w:rsidR="00E412BD" w:rsidRPr="009D39F0" w:rsidRDefault="00E412BD" w:rsidP="001E2D32">
            <w:pPr>
              <w:jc w:val="center"/>
              <w:rPr>
                <w:rFonts w:eastAsia="Times New Roman"/>
                <w:color w:val="000000"/>
                <w:sz w:val="18"/>
                <w:szCs w:val="18"/>
                <w:lang w:eastAsia="en-US"/>
              </w:rPr>
            </w:pPr>
          </w:p>
        </w:tc>
      </w:tr>
      <w:tr w:rsidR="00E412BD" w:rsidRPr="009D39F0"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Review of Management of Staff Separation from Service</w:t>
            </w:r>
          </w:p>
        </w:tc>
        <w:tc>
          <w:tcPr>
            <w:tcW w:w="1716" w:type="pct"/>
            <w:tcBorders>
              <w:top w:val="nil"/>
              <w:left w:val="nil"/>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Human Resources</w:t>
            </w:r>
          </w:p>
        </w:tc>
        <w:tc>
          <w:tcPr>
            <w:tcW w:w="620" w:type="pct"/>
            <w:tcBorders>
              <w:top w:val="single" w:sz="4" w:space="0" w:color="auto"/>
              <w:left w:val="nil"/>
              <w:bottom w:val="single" w:sz="4" w:space="0" w:color="auto"/>
              <w:right w:val="single" w:sz="4" w:space="0" w:color="auto"/>
            </w:tcBorders>
            <w:shd w:val="clear" w:color="auto" w:fill="92D050"/>
            <w:vAlign w:val="center"/>
          </w:tcPr>
          <w:p w:rsidR="00E412BD" w:rsidRPr="009D39F0" w:rsidRDefault="00E412BD" w:rsidP="001E2D32">
            <w:pPr>
              <w:jc w:val="center"/>
              <w:rPr>
                <w:rFonts w:eastAsia="Times New Roman"/>
                <w:color w:val="000000"/>
                <w:sz w:val="18"/>
                <w:szCs w:val="18"/>
                <w:lang w:eastAsia="en-US"/>
              </w:rPr>
            </w:pPr>
          </w:p>
        </w:tc>
      </w:tr>
      <w:tr w:rsidR="00E412BD" w:rsidRPr="009D39F0"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Review of an SRP initiative: Strengthen</w:t>
            </w:r>
            <w:r w:rsidRPr="009D39F0">
              <w:rPr>
                <w:rFonts w:eastAsia="Times New Roman"/>
                <w:color w:val="000000"/>
                <w:sz w:val="18"/>
                <w:szCs w:val="18"/>
                <w:lang w:eastAsia="en-US"/>
              </w:rPr>
              <w:br w:type="page"/>
              <w:t>Results-Based Management</w:t>
            </w:r>
          </w:p>
        </w:tc>
        <w:tc>
          <w:tcPr>
            <w:tcW w:w="1716" w:type="pct"/>
            <w:tcBorders>
              <w:top w:val="nil"/>
              <w:left w:val="nil"/>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Cross-cutting</w:t>
            </w:r>
          </w:p>
        </w:tc>
        <w:tc>
          <w:tcPr>
            <w:tcW w:w="620" w:type="pct"/>
            <w:tcBorders>
              <w:top w:val="single" w:sz="4" w:space="0" w:color="auto"/>
              <w:left w:val="nil"/>
              <w:bottom w:val="single" w:sz="4" w:space="0" w:color="auto"/>
              <w:right w:val="single" w:sz="4" w:space="0" w:color="auto"/>
            </w:tcBorders>
            <w:shd w:val="clear" w:color="auto" w:fill="92D050"/>
            <w:vAlign w:val="center"/>
          </w:tcPr>
          <w:p w:rsidR="00E412BD" w:rsidRPr="009D39F0" w:rsidRDefault="00E412BD" w:rsidP="001E2D32">
            <w:pPr>
              <w:jc w:val="center"/>
              <w:rPr>
                <w:rFonts w:eastAsia="Times New Roman"/>
                <w:color w:val="000000"/>
                <w:sz w:val="18"/>
                <w:szCs w:val="18"/>
                <w:lang w:eastAsia="en-US"/>
              </w:rPr>
            </w:pPr>
          </w:p>
        </w:tc>
      </w:tr>
      <w:tr w:rsidR="00E412BD" w:rsidRPr="009D39F0"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412BD" w:rsidRPr="009D39F0" w:rsidRDefault="00E412BD" w:rsidP="001E2D32">
            <w:pPr>
              <w:rPr>
                <w:rFonts w:eastAsia="Times New Roman"/>
                <w:bCs/>
                <w:color w:val="000000"/>
                <w:sz w:val="18"/>
                <w:szCs w:val="18"/>
                <w:lang w:eastAsia="en-US"/>
              </w:rPr>
            </w:pPr>
            <w:r w:rsidRPr="009D39F0">
              <w:rPr>
                <w:bCs/>
                <w:color w:val="000000"/>
                <w:sz w:val="18"/>
                <w:szCs w:val="18"/>
              </w:rPr>
              <w:t>Review of major development related projects (which can include Funds in Trust (FIT) as well).</w:t>
            </w:r>
          </w:p>
        </w:tc>
        <w:tc>
          <w:tcPr>
            <w:tcW w:w="1716" w:type="pct"/>
            <w:tcBorders>
              <w:top w:val="nil"/>
              <w:left w:val="nil"/>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 xml:space="preserve">Development or Global Issues </w:t>
            </w:r>
          </w:p>
        </w:tc>
        <w:tc>
          <w:tcPr>
            <w:tcW w:w="620" w:type="pct"/>
            <w:tcBorders>
              <w:top w:val="single" w:sz="4" w:space="0" w:color="auto"/>
              <w:left w:val="nil"/>
              <w:bottom w:val="single" w:sz="4" w:space="0" w:color="auto"/>
              <w:right w:val="single" w:sz="4" w:space="0" w:color="auto"/>
            </w:tcBorders>
            <w:shd w:val="clear" w:color="auto" w:fill="92D050"/>
            <w:vAlign w:val="center"/>
          </w:tcPr>
          <w:p w:rsidR="00E412BD" w:rsidRPr="009D39F0" w:rsidRDefault="00E412BD" w:rsidP="001E2D32">
            <w:pPr>
              <w:jc w:val="center"/>
              <w:rPr>
                <w:rFonts w:eastAsia="Times New Roman"/>
                <w:sz w:val="18"/>
                <w:szCs w:val="18"/>
                <w:lang w:eastAsia="en-US"/>
              </w:rPr>
            </w:pPr>
          </w:p>
        </w:tc>
      </w:tr>
      <w:tr w:rsidR="00E412BD" w:rsidRPr="009D39F0"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Benefits and Entitlements Fraud/Providing false information to the Organization (3 cases )</w:t>
            </w:r>
          </w:p>
        </w:tc>
        <w:tc>
          <w:tcPr>
            <w:tcW w:w="1716" w:type="pct"/>
            <w:tcBorders>
              <w:top w:val="nil"/>
              <w:left w:val="nil"/>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Not relevant</w:t>
            </w:r>
          </w:p>
        </w:tc>
        <w:tc>
          <w:tcPr>
            <w:tcW w:w="620" w:type="pct"/>
            <w:tcBorders>
              <w:top w:val="single" w:sz="4" w:space="0" w:color="auto"/>
              <w:left w:val="nil"/>
              <w:bottom w:val="single" w:sz="4" w:space="0" w:color="auto"/>
              <w:right w:val="single" w:sz="4" w:space="0" w:color="auto"/>
            </w:tcBorders>
            <w:shd w:val="clear" w:color="auto" w:fill="92D050"/>
            <w:vAlign w:val="center"/>
          </w:tcPr>
          <w:p w:rsidR="00E412BD" w:rsidRPr="009D39F0" w:rsidRDefault="00E412BD" w:rsidP="001E2D32">
            <w:pPr>
              <w:jc w:val="center"/>
              <w:rPr>
                <w:rFonts w:eastAsia="Times New Roman"/>
                <w:color w:val="000000"/>
                <w:sz w:val="18"/>
                <w:szCs w:val="18"/>
                <w:lang w:eastAsia="en-US"/>
              </w:rPr>
            </w:pPr>
          </w:p>
        </w:tc>
      </w:tr>
      <w:tr w:rsidR="00E412BD" w:rsidRPr="009D39F0" w:rsidTr="001E2D32">
        <w:trPr>
          <w:trHeight w:val="347"/>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Misuse of ICT resources (0 cases)</w:t>
            </w:r>
          </w:p>
        </w:tc>
        <w:tc>
          <w:tcPr>
            <w:tcW w:w="1716" w:type="pct"/>
            <w:tcBorders>
              <w:top w:val="nil"/>
              <w:left w:val="nil"/>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Not relevant</w:t>
            </w:r>
          </w:p>
        </w:tc>
        <w:tc>
          <w:tcPr>
            <w:tcW w:w="620" w:type="pct"/>
            <w:tcBorders>
              <w:top w:val="single" w:sz="4" w:space="0" w:color="auto"/>
              <w:left w:val="nil"/>
              <w:bottom w:val="single" w:sz="4" w:space="0" w:color="auto"/>
              <w:right w:val="single" w:sz="4" w:space="0" w:color="auto"/>
            </w:tcBorders>
            <w:shd w:val="clear" w:color="auto" w:fill="92D050"/>
            <w:vAlign w:val="center"/>
          </w:tcPr>
          <w:p w:rsidR="00E412BD" w:rsidRPr="009D39F0" w:rsidRDefault="00E412BD" w:rsidP="001E2D32">
            <w:pPr>
              <w:jc w:val="center"/>
              <w:rPr>
                <w:rFonts w:eastAsia="Times New Roman"/>
                <w:color w:val="000000"/>
                <w:sz w:val="18"/>
                <w:szCs w:val="18"/>
                <w:lang w:eastAsia="en-US"/>
              </w:rPr>
            </w:pPr>
          </w:p>
        </w:tc>
      </w:tr>
      <w:tr w:rsidR="00E412BD" w:rsidRPr="009D39F0"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Statements, pronouncements and activities incompatible with the obligations of an international civil servant (3 cases)</w:t>
            </w:r>
          </w:p>
        </w:tc>
        <w:tc>
          <w:tcPr>
            <w:tcW w:w="1716" w:type="pct"/>
            <w:tcBorders>
              <w:top w:val="nil"/>
              <w:left w:val="nil"/>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Not relevant</w:t>
            </w:r>
          </w:p>
        </w:tc>
        <w:tc>
          <w:tcPr>
            <w:tcW w:w="620" w:type="pct"/>
            <w:tcBorders>
              <w:top w:val="single" w:sz="4" w:space="0" w:color="auto"/>
              <w:left w:val="nil"/>
              <w:bottom w:val="single" w:sz="4" w:space="0" w:color="auto"/>
              <w:right w:val="single" w:sz="4" w:space="0" w:color="auto"/>
            </w:tcBorders>
            <w:shd w:val="clear" w:color="auto" w:fill="92D050"/>
            <w:vAlign w:val="center"/>
          </w:tcPr>
          <w:p w:rsidR="00E412BD" w:rsidRPr="009D39F0" w:rsidRDefault="00E412BD" w:rsidP="001E2D32">
            <w:pPr>
              <w:jc w:val="center"/>
              <w:rPr>
                <w:rFonts w:eastAsia="Times New Roman"/>
                <w:color w:val="000000"/>
                <w:sz w:val="18"/>
                <w:szCs w:val="18"/>
                <w:lang w:eastAsia="en-US"/>
              </w:rPr>
            </w:pPr>
          </w:p>
        </w:tc>
      </w:tr>
      <w:tr w:rsidR="00E412BD" w:rsidRPr="009D39F0"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Harassment/Discrimination/Abuse of Authority (5 cases)</w:t>
            </w:r>
          </w:p>
        </w:tc>
        <w:tc>
          <w:tcPr>
            <w:tcW w:w="1716" w:type="pct"/>
            <w:tcBorders>
              <w:top w:val="nil"/>
              <w:left w:val="nil"/>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Not relevant</w:t>
            </w:r>
          </w:p>
        </w:tc>
        <w:tc>
          <w:tcPr>
            <w:tcW w:w="620" w:type="pct"/>
            <w:tcBorders>
              <w:top w:val="single" w:sz="4" w:space="0" w:color="auto"/>
              <w:left w:val="nil"/>
              <w:bottom w:val="single" w:sz="4" w:space="0" w:color="auto"/>
              <w:right w:val="single" w:sz="4" w:space="0" w:color="auto"/>
            </w:tcBorders>
            <w:shd w:val="clear" w:color="auto" w:fill="92D050"/>
            <w:vAlign w:val="center"/>
          </w:tcPr>
          <w:p w:rsidR="00E412BD" w:rsidRPr="009D39F0" w:rsidRDefault="00E412BD" w:rsidP="001E2D32">
            <w:pPr>
              <w:jc w:val="center"/>
              <w:rPr>
                <w:rFonts w:eastAsia="Times New Roman"/>
                <w:color w:val="000000"/>
                <w:sz w:val="18"/>
                <w:szCs w:val="18"/>
                <w:lang w:eastAsia="en-US"/>
              </w:rPr>
            </w:pPr>
          </w:p>
        </w:tc>
      </w:tr>
      <w:tr w:rsidR="00E412BD" w:rsidRPr="009D39F0"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Unauthorized communication of information (3 cases)</w:t>
            </w:r>
          </w:p>
        </w:tc>
        <w:tc>
          <w:tcPr>
            <w:tcW w:w="1716" w:type="pct"/>
            <w:tcBorders>
              <w:top w:val="nil"/>
              <w:left w:val="nil"/>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Not relevant</w:t>
            </w:r>
          </w:p>
        </w:tc>
        <w:tc>
          <w:tcPr>
            <w:tcW w:w="620" w:type="pct"/>
            <w:tcBorders>
              <w:top w:val="single" w:sz="4" w:space="0" w:color="auto"/>
              <w:left w:val="nil"/>
              <w:bottom w:val="single" w:sz="4" w:space="0" w:color="auto"/>
              <w:right w:val="single" w:sz="4" w:space="0" w:color="auto"/>
            </w:tcBorders>
            <w:shd w:val="clear" w:color="auto" w:fill="92D050"/>
            <w:vAlign w:val="center"/>
          </w:tcPr>
          <w:p w:rsidR="00E412BD" w:rsidRPr="009D39F0" w:rsidRDefault="00E412BD" w:rsidP="001E2D32">
            <w:pPr>
              <w:jc w:val="center"/>
              <w:rPr>
                <w:rFonts w:eastAsia="Times New Roman"/>
                <w:color w:val="000000"/>
                <w:sz w:val="18"/>
                <w:szCs w:val="18"/>
                <w:lang w:eastAsia="en-US"/>
              </w:rPr>
            </w:pPr>
          </w:p>
        </w:tc>
      </w:tr>
      <w:tr w:rsidR="00E412BD" w:rsidRPr="009D39F0"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Irregular HR practices (4 cases)</w:t>
            </w:r>
          </w:p>
        </w:tc>
        <w:tc>
          <w:tcPr>
            <w:tcW w:w="1716" w:type="pct"/>
            <w:tcBorders>
              <w:top w:val="nil"/>
              <w:left w:val="nil"/>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Not relevant</w:t>
            </w:r>
          </w:p>
        </w:tc>
        <w:tc>
          <w:tcPr>
            <w:tcW w:w="620" w:type="pct"/>
            <w:tcBorders>
              <w:top w:val="single" w:sz="4" w:space="0" w:color="auto"/>
              <w:left w:val="nil"/>
              <w:bottom w:val="single" w:sz="4" w:space="0" w:color="auto"/>
              <w:right w:val="single" w:sz="4" w:space="0" w:color="auto"/>
            </w:tcBorders>
            <w:shd w:val="clear" w:color="auto" w:fill="92D050"/>
            <w:vAlign w:val="center"/>
          </w:tcPr>
          <w:p w:rsidR="00E412BD" w:rsidRPr="009D39F0" w:rsidRDefault="00E412BD" w:rsidP="001E2D32">
            <w:pPr>
              <w:jc w:val="center"/>
              <w:rPr>
                <w:rFonts w:eastAsia="Times New Roman"/>
                <w:color w:val="000000"/>
                <w:sz w:val="18"/>
                <w:szCs w:val="18"/>
                <w:lang w:eastAsia="en-US"/>
              </w:rPr>
            </w:pPr>
          </w:p>
        </w:tc>
      </w:tr>
      <w:tr w:rsidR="00E412BD" w:rsidRPr="009D39F0"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Miscellaneous (1 case)</w:t>
            </w:r>
          </w:p>
        </w:tc>
        <w:tc>
          <w:tcPr>
            <w:tcW w:w="1716" w:type="pct"/>
            <w:tcBorders>
              <w:top w:val="nil"/>
              <w:left w:val="nil"/>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Not relevant</w:t>
            </w:r>
          </w:p>
        </w:tc>
        <w:tc>
          <w:tcPr>
            <w:tcW w:w="620" w:type="pct"/>
            <w:tcBorders>
              <w:top w:val="single" w:sz="4" w:space="0" w:color="auto"/>
              <w:left w:val="nil"/>
              <w:bottom w:val="single" w:sz="4" w:space="0" w:color="auto"/>
              <w:right w:val="single" w:sz="4" w:space="0" w:color="auto"/>
            </w:tcBorders>
            <w:shd w:val="clear" w:color="auto" w:fill="92D050"/>
            <w:vAlign w:val="center"/>
          </w:tcPr>
          <w:p w:rsidR="00E412BD" w:rsidRPr="009D39F0" w:rsidRDefault="00E412BD" w:rsidP="001E2D32">
            <w:pPr>
              <w:jc w:val="center"/>
              <w:rPr>
                <w:rFonts w:eastAsia="Times New Roman"/>
                <w:color w:val="000000"/>
                <w:sz w:val="18"/>
                <w:szCs w:val="18"/>
                <w:lang w:eastAsia="en-US"/>
              </w:rPr>
            </w:pPr>
          </w:p>
        </w:tc>
      </w:tr>
      <w:tr w:rsidR="00E412BD" w:rsidRPr="009D39F0"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Fraud Risk assessment</w:t>
            </w:r>
          </w:p>
        </w:tc>
        <w:tc>
          <w:tcPr>
            <w:tcW w:w="1716" w:type="pct"/>
            <w:tcBorders>
              <w:top w:val="nil"/>
              <w:left w:val="nil"/>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Cross-cutting</w:t>
            </w:r>
          </w:p>
        </w:tc>
        <w:tc>
          <w:tcPr>
            <w:tcW w:w="620" w:type="pct"/>
            <w:tcBorders>
              <w:top w:val="single" w:sz="4" w:space="0" w:color="auto"/>
              <w:left w:val="nil"/>
              <w:bottom w:val="single" w:sz="4" w:space="0" w:color="auto"/>
              <w:right w:val="single" w:sz="4" w:space="0" w:color="auto"/>
            </w:tcBorders>
            <w:shd w:val="clear" w:color="auto" w:fill="92D050"/>
            <w:vAlign w:val="center"/>
          </w:tcPr>
          <w:p w:rsidR="00E412BD" w:rsidRPr="009D39F0" w:rsidRDefault="00E412BD" w:rsidP="001E2D32">
            <w:pPr>
              <w:jc w:val="center"/>
              <w:rPr>
                <w:rFonts w:eastAsia="Times New Roman"/>
                <w:color w:val="000000"/>
                <w:sz w:val="18"/>
                <w:szCs w:val="18"/>
                <w:lang w:eastAsia="en-US"/>
              </w:rPr>
            </w:pPr>
          </w:p>
        </w:tc>
      </w:tr>
      <w:tr w:rsidR="00E412BD" w:rsidRPr="009D39F0"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Investigation Policy and Investigation Procedure Manual</w:t>
            </w:r>
          </w:p>
        </w:tc>
        <w:tc>
          <w:tcPr>
            <w:tcW w:w="1716" w:type="pct"/>
            <w:tcBorders>
              <w:top w:val="nil"/>
              <w:left w:val="nil"/>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Cross-cutting</w:t>
            </w:r>
          </w:p>
        </w:tc>
        <w:tc>
          <w:tcPr>
            <w:tcW w:w="620" w:type="pct"/>
            <w:tcBorders>
              <w:top w:val="single" w:sz="4" w:space="0" w:color="auto"/>
              <w:left w:val="nil"/>
              <w:bottom w:val="single" w:sz="4" w:space="0" w:color="auto"/>
              <w:right w:val="single" w:sz="4" w:space="0" w:color="auto"/>
            </w:tcBorders>
            <w:shd w:val="clear" w:color="auto" w:fill="92D050"/>
            <w:vAlign w:val="center"/>
          </w:tcPr>
          <w:p w:rsidR="00E412BD" w:rsidRPr="009D39F0" w:rsidRDefault="00E412BD" w:rsidP="001E2D32">
            <w:pPr>
              <w:jc w:val="center"/>
              <w:rPr>
                <w:rFonts w:eastAsia="Times New Roman"/>
                <w:color w:val="000000"/>
                <w:sz w:val="18"/>
                <w:szCs w:val="18"/>
                <w:lang w:eastAsia="en-US"/>
              </w:rPr>
            </w:pPr>
          </w:p>
        </w:tc>
      </w:tr>
      <w:tr w:rsidR="00E412BD" w:rsidRPr="009D39F0"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Advisory and consulting engagements</w:t>
            </w:r>
          </w:p>
        </w:tc>
        <w:tc>
          <w:tcPr>
            <w:tcW w:w="1716" w:type="pct"/>
            <w:tcBorders>
              <w:top w:val="nil"/>
              <w:left w:val="nil"/>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Cross-cutting</w:t>
            </w:r>
          </w:p>
        </w:tc>
        <w:tc>
          <w:tcPr>
            <w:tcW w:w="620" w:type="pct"/>
            <w:tcBorders>
              <w:top w:val="single" w:sz="4" w:space="0" w:color="auto"/>
              <w:left w:val="nil"/>
              <w:bottom w:val="single" w:sz="4" w:space="0" w:color="auto"/>
              <w:right w:val="single" w:sz="4" w:space="0" w:color="auto"/>
            </w:tcBorders>
            <w:shd w:val="clear" w:color="auto" w:fill="92D050"/>
            <w:vAlign w:val="center"/>
          </w:tcPr>
          <w:p w:rsidR="00E412BD" w:rsidRPr="009D39F0" w:rsidRDefault="00E412BD" w:rsidP="001E2D32">
            <w:pPr>
              <w:jc w:val="center"/>
              <w:rPr>
                <w:rFonts w:eastAsia="Times New Roman"/>
                <w:color w:val="000000"/>
                <w:sz w:val="18"/>
                <w:szCs w:val="18"/>
                <w:lang w:eastAsia="en-US"/>
              </w:rPr>
            </w:pPr>
          </w:p>
        </w:tc>
      </w:tr>
      <w:tr w:rsidR="00E412BD" w:rsidRPr="009D39F0"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Networking with Other Agencies</w:t>
            </w:r>
          </w:p>
        </w:tc>
        <w:tc>
          <w:tcPr>
            <w:tcW w:w="1716" w:type="pct"/>
            <w:tcBorders>
              <w:top w:val="nil"/>
              <w:left w:val="nil"/>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IAOD</w:t>
            </w:r>
          </w:p>
        </w:tc>
        <w:tc>
          <w:tcPr>
            <w:tcW w:w="620" w:type="pct"/>
            <w:tcBorders>
              <w:top w:val="single" w:sz="4" w:space="0" w:color="auto"/>
              <w:left w:val="nil"/>
              <w:bottom w:val="single" w:sz="4" w:space="0" w:color="auto"/>
              <w:right w:val="single" w:sz="4" w:space="0" w:color="auto"/>
            </w:tcBorders>
            <w:shd w:val="clear" w:color="auto" w:fill="92D050"/>
            <w:vAlign w:val="center"/>
          </w:tcPr>
          <w:p w:rsidR="00E412BD" w:rsidRPr="009D39F0" w:rsidRDefault="00E412BD" w:rsidP="001E2D32">
            <w:pPr>
              <w:jc w:val="center"/>
              <w:rPr>
                <w:rFonts w:eastAsia="Times New Roman"/>
                <w:color w:val="000000"/>
                <w:sz w:val="18"/>
                <w:szCs w:val="18"/>
                <w:lang w:eastAsia="en-US"/>
              </w:rPr>
            </w:pPr>
          </w:p>
        </w:tc>
      </w:tr>
      <w:tr w:rsidR="00E412BD" w:rsidRPr="009D39F0"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Independent Advisory Oversight Committee</w:t>
            </w:r>
          </w:p>
        </w:tc>
        <w:tc>
          <w:tcPr>
            <w:tcW w:w="1716" w:type="pct"/>
            <w:tcBorders>
              <w:top w:val="nil"/>
              <w:left w:val="nil"/>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IAOD</w:t>
            </w:r>
          </w:p>
        </w:tc>
        <w:tc>
          <w:tcPr>
            <w:tcW w:w="620" w:type="pct"/>
            <w:tcBorders>
              <w:top w:val="single" w:sz="4" w:space="0" w:color="auto"/>
              <w:left w:val="nil"/>
              <w:bottom w:val="single" w:sz="4" w:space="0" w:color="auto"/>
              <w:right w:val="single" w:sz="4" w:space="0" w:color="auto"/>
            </w:tcBorders>
            <w:shd w:val="clear" w:color="auto" w:fill="92D050"/>
            <w:vAlign w:val="center"/>
          </w:tcPr>
          <w:p w:rsidR="00E412BD" w:rsidRPr="009D39F0" w:rsidRDefault="00E412BD" w:rsidP="001E2D32">
            <w:pPr>
              <w:jc w:val="center"/>
              <w:rPr>
                <w:rFonts w:eastAsia="Times New Roman"/>
                <w:color w:val="000000"/>
                <w:sz w:val="18"/>
                <w:szCs w:val="18"/>
                <w:lang w:eastAsia="en-US"/>
              </w:rPr>
            </w:pPr>
          </w:p>
        </w:tc>
      </w:tr>
      <w:tr w:rsidR="00E412BD" w:rsidRPr="009D39F0"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Other indirect activities</w:t>
            </w:r>
          </w:p>
        </w:tc>
        <w:tc>
          <w:tcPr>
            <w:tcW w:w="1716" w:type="pct"/>
            <w:tcBorders>
              <w:top w:val="nil"/>
              <w:left w:val="nil"/>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IAOD</w:t>
            </w:r>
          </w:p>
        </w:tc>
        <w:tc>
          <w:tcPr>
            <w:tcW w:w="620" w:type="pct"/>
            <w:tcBorders>
              <w:top w:val="single" w:sz="4" w:space="0" w:color="auto"/>
              <w:left w:val="nil"/>
              <w:bottom w:val="single" w:sz="4" w:space="0" w:color="auto"/>
              <w:right w:val="single" w:sz="4" w:space="0" w:color="auto"/>
            </w:tcBorders>
            <w:shd w:val="clear" w:color="auto" w:fill="92D050"/>
            <w:vAlign w:val="center"/>
          </w:tcPr>
          <w:p w:rsidR="00E412BD" w:rsidRPr="009D39F0" w:rsidRDefault="00E412BD" w:rsidP="001E2D32">
            <w:pPr>
              <w:jc w:val="center"/>
              <w:rPr>
                <w:rFonts w:eastAsia="Times New Roman"/>
                <w:color w:val="000000"/>
                <w:sz w:val="18"/>
                <w:szCs w:val="18"/>
                <w:lang w:eastAsia="en-US"/>
              </w:rPr>
            </w:pPr>
          </w:p>
        </w:tc>
      </w:tr>
      <w:tr w:rsidR="00E412BD" w:rsidRPr="009D39F0"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Follow-up of open recommendations</w:t>
            </w:r>
          </w:p>
        </w:tc>
        <w:tc>
          <w:tcPr>
            <w:tcW w:w="1716" w:type="pct"/>
            <w:tcBorders>
              <w:top w:val="nil"/>
              <w:left w:val="nil"/>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All</w:t>
            </w:r>
          </w:p>
        </w:tc>
        <w:tc>
          <w:tcPr>
            <w:tcW w:w="620" w:type="pct"/>
            <w:tcBorders>
              <w:top w:val="single" w:sz="4" w:space="0" w:color="auto"/>
              <w:left w:val="nil"/>
              <w:bottom w:val="single" w:sz="4" w:space="0" w:color="auto"/>
              <w:right w:val="single" w:sz="4" w:space="0" w:color="auto"/>
            </w:tcBorders>
            <w:shd w:val="clear" w:color="auto" w:fill="92D050"/>
            <w:vAlign w:val="center"/>
          </w:tcPr>
          <w:p w:rsidR="00E412BD" w:rsidRPr="009D39F0" w:rsidRDefault="00E412BD" w:rsidP="001E2D32">
            <w:pPr>
              <w:jc w:val="center"/>
              <w:rPr>
                <w:rFonts w:eastAsia="Times New Roman"/>
                <w:color w:val="000000"/>
                <w:sz w:val="18"/>
                <w:szCs w:val="18"/>
                <w:lang w:eastAsia="en-US"/>
              </w:rPr>
            </w:pPr>
          </w:p>
        </w:tc>
      </w:tr>
      <w:tr w:rsidR="00E412BD" w:rsidRPr="009D39F0"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Training</w:t>
            </w:r>
          </w:p>
        </w:tc>
        <w:tc>
          <w:tcPr>
            <w:tcW w:w="1716" w:type="pct"/>
            <w:tcBorders>
              <w:top w:val="nil"/>
              <w:left w:val="nil"/>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IAOD</w:t>
            </w:r>
          </w:p>
        </w:tc>
        <w:tc>
          <w:tcPr>
            <w:tcW w:w="620" w:type="pct"/>
            <w:tcBorders>
              <w:top w:val="single" w:sz="4" w:space="0" w:color="auto"/>
              <w:left w:val="nil"/>
              <w:bottom w:val="single" w:sz="4" w:space="0" w:color="auto"/>
              <w:right w:val="single" w:sz="4" w:space="0" w:color="auto"/>
            </w:tcBorders>
            <w:shd w:val="clear" w:color="auto" w:fill="92D050"/>
            <w:vAlign w:val="center"/>
          </w:tcPr>
          <w:p w:rsidR="00E412BD" w:rsidRPr="009D39F0" w:rsidRDefault="00E412BD" w:rsidP="001E2D32">
            <w:pPr>
              <w:jc w:val="center"/>
              <w:rPr>
                <w:rFonts w:eastAsia="Times New Roman"/>
                <w:color w:val="000000"/>
                <w:sz w:val="18"/>
                <w:szCs w:val="18"/>
                <w:lang w:eastAsia="en-US"/>
              </w:rPr>
            </w:pPr>
          </w:p>
        </w:tc>
      </w:tr>
      <w:tr w:rsidR="00E412BD" w:rsidRPr="009D39F0"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Evaluation of Knowledge Management in WIPO</w:t>
            </w:r>
          </w:p>
        </w:tc>
        <w:tc>
          <w:tcPr>
            <w:tcW w:w="1716" w:type="pct"/>
            <w:tcBorders>
              <w:top w:val="nil"/>
              <w:left w:val="nil"/>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Cross-cutting</w:t>
            </w:r>
          </w:p>
        </w:tc>
        <w:tc>
          <w:tcPr>
            <w:tcW w:w="620" w:type="pct"/>
            <w:tcBorders>
              <w:top w:val="single" w:sz="4" w:space="0" w:color="auto"/>
              <w:left w:val="nil"/>
              <w:bottom w:val="single" w:sz="4" w:space="0" w:color="auto"/>
              <w:right w:val="single" w:sz="4" w:space="0" w:color="auto"/>
            </w:tcBorders>
            <w:shd w:val="clear" w:color="auto" w:fill="FFFF00"/>
            <w:vAlign w:val="center"/>
          </w:tcPr>
          <w:p w:rsidR="00E412BD" w:rsidRPr="009D39F0" w:rsidRDefault="00E412BD" w:rsidP="001E2D32">
            <w:pPr>
              <w:jc w:val="center"/>
              <w:rPr>
                <w:rFonts w:eastAsia="Times New Roman"/>
                <w:color w:val="000000"/>
                <w:sz w:val="18"/>
                <w:szCs w:val="18"/>
                <w:lang w:eastAsia="en-US"/>
              </w:rPr>
            </w:pPr>
          </w:p>
        </w:tc>
      </w:tr>
      <w:tr w:rsidR="00E412BD" w:rsidRPr="009D39F0"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Strategic Objective evaluation - International Cooperation on Building Respect for IP</w:t>
            </w:r>
          </w:p>
        </w:tc>
        <w:tc>
          <w:tcPr>
            <w:tcW w:w="1716" w:type="pct"/>
            <w:tcBorders>
              <w:top w:val="nil"/>
              <w:left w:val="nil"/>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Global Issues</w:t>
            </w:r>
          </w:p>
        </w:tc>
        <w:tc>
          <w:tcPr>
            <w:tcW w:w="620" w:type="pct"/>
            <w:tcBorders>
              <w:top w:val="single" w:sz="4" w:space="0" w:color="auto"/>
              <w:left w:val="nil"/>
              <w:bottom w:val="single" w:sz="4" w:space="0" w:color="auto"/>
              <w:right w:val="single" w:sz="4" w:space="0" w:color="auto"/>
            </w:tcBorders>
            <w:vAlign w:val="center"/>
          </w:tcPr>
          <w:p w:rsidR="00E412BD" w:rsidRPr="009D39F0" w:rsidRDefault="00E412BD" w:rsidP="001E2D32">
            <w:pPr>
              <w:jc w:val="center"/>
              <w:rPr>
                <w:rFonts w:eastAsia="Times New Roman"/>
                <w:color w:val="000000"/>
                <w:sz w:val="18"/>
                <w:szCs w:val="18"/>
                <w:lang w:eastAsia="en-US"/>
              </w:rPr>
            </w:pPr>
            <w:r w:rsidRPr="009D39F0">
              <w:rPr>
                <w:rFonts w:eastAsia="Times New Roman"/>
                <w:color w:val="000000"/>
                <w:sz w:val="18"/>
                <w:szCs w:val="18"/>
                <w:lang w:eastAsia="en-US"/>
              </w:rPr>
              <w:t xml:space="preserve">Rolled-over </w:t>
            </w:r>
            <w:r>
              <w:rPr>
                <w:rFonts w:eastAsia="Times New Roman"/>
                <w:color w:val="000000"/>
                <w:sz w:val="18"/>
                <w:szCs w:val="18"/>
                <w:lang w:eastAsia="en-US"/>
              </w:rPr>
              <w:t xml:space="preserve">to </w:t>
            </w:r>
            <w:r w:rsidRPr="009D39F0">
              <w:rPr>
                <w:rFonts w:eastAsia="Times New Roman"/>
                <w:color w:val="000000"/>
                <w:sz w:val="18"/>
                <w:szCs w:val="18"/>
                <w:lang w:eastAsia="en-US"/>
              </w:rPr>
              <w:t>2014 Replaced by the IGC evaluation</w:t>
            </w:r>
            <w:r>
              <w:rPr>
                <w:rFonts w:eastAsia="Times New Roman"/>
                <w:color w:val="000000"/>
                <w:sz w:val="18"/>
                <w:szCs w:val="18"/>
                <w:lang w:eastAsia="en-US"/>
              </w:rPr>
              <w:t xml:space="preserve"> in 2013</w:t>
            </w:r>
          </w:p>
        </w:tc>
      </w:tr>
      <w:tr w:rsidR="00E412BD" w:rsidRPr="009D39F0"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Review of Business Continuity Management (BCM)</w:t>
            </w:r>
          </w:p>
        </w:tc>
        <w:tc>
          <w:tcPr>
            <w:tcW w:w="1716" w:type="pct"/>
            <w:tcBorders>
              <w:top w:val="nil"/>
              <w:left w:val="nil"/>
              <w:bottom w:val="single" w:sz="4" w:space="0" w:color="auto"/>
              <w:right w:val="single" w:sz="4" w:space="0" w:color="auto"/>
            </w:tcBorders>
            <w:shd w:val="clear" w:color="auto" w:fill="auto"/>
            <w:vAlign w:val="center"/>
          </w:tcPr>
          <w:p w:rsidR="00E412BD" w:rsidRPr="009D39F0" w:rsidRDefault="00E412BD" w:rsidP="001E2D32">
            <w:pPr>
              <w:rPr>
                <w:rFonts w:eastAsia="Times New Roman"/>
                <w:color w:val="000000"/>
                <w:sz w:val="18"/>
                <w:szCs w:val="18"/>
                <w:lang w:eastAsia="en-US"/>
              </w:rPr>
            </w:pPr>
            <w:r w:rsidRPr="009D39F0">
              <w:rPr>
                <w:rFonts w:eastAsia="Times New Roman"/>
                <w:color w:val="000000"/>
                <w:sz w:val="18"/>
                <w:szCs w:val="18"/>
                <w:lang w:eastAsia="en-US"/>
              </w:rPr>
              <w:t>Cross-cutting</w:t>
            </w:r>
          </w:p>
        </w:tc>
        <w:tc>
          <w:tcPr>
            <w:tcW w:w="620" w:type="pct"/>
            <w:tcBorders>
              <w:top w:val="single" w:sz="4" w:space="0" w:color="auto"/>
              <w:left w:val="nil"/>
              <w:bottom w:val="single" w:sz="4" w:space="0" w:color="auto"/>
              <w:right w:val="single" w:sz="4" w:space="0" w:color="auto"/>
            </w:tcBorders>
            <w:vAlign w:val="center"/>
          </w:tcPr>
          <w:p w:rsidR="00E412BD" w:rsidRPr="009D39F0" w:rsidRDefault="00E412BD" w:rsidP="001E2D32">
            <w:pPr>
              <w:jc w:val="center"/>
              <w:rPr>
                <w:rFonts w:eastAsia="Times New Roman"/>
                <w:color w:val="000000"/>
                <w:sz w:val="18"/>
                <w:szCs w:val="18"/>
                <w:lang w:eastAsia="en-US"/>
              </w:rPr>
            </w:pPr>
            <w:r w:rsidRPr="009D39F0">
              <w:rPr>
                <w:rFonts w:eastAsia="Times New Roman"/>
                <w:color w:val="000000"/>
                <w:sz w:val="18"/>
                <w:szCs w:val="18"/>
                <w:lang w:eastAsia="en-US"/>
              </w:rPr>
              <w:t>Rolled-over 2014 to take into account management’s request</w:t>
            </w:r>
          </w:p>
        </w:tc>
      </w:tr>
    </w:tbl>
    <w:bookmarkEnd w:id="27"/>
    <w:bookmarkEnd w:id="28"/>
    <w:p w:rsidR="00E412BD" w:rsidRDefault="00E412BD" w:rsidP="00840A87">
      <w:pPr>
        <w:spacing w:before="60" w:after="60"/>
      </w:pPr>
      <w:r>
        <w:t xml:space="preserve">Code: </w:t>
      </w:r>
    </w:p>
    <w:tbl>
      <w:tblPr>
        <w:tblStyle w:val="TableGrid"/>
        <w:tblW w:w="0" w:type="auto"/>
        <w:tblLook w:val="04A0" w:firstRow="1" w:lastRow="0" w:firstColumn="1" w:lastColumn="0" w:noHBand="0" w:noVBand="1"/>
      </w:tblPr>
      <w:tblGrid>
        <w:gridCol w:w="1843"/>
        <w:gridCol w:w="2552"/>
      </w:tblGrid>
      <w:tr w:rsidR="00E412BD" w:rsidTr="001E2D32">
        <w:tc>
          <w:tcPr>
            <w:tcW w:w="1843" w:type="dxa"/>
            <w:shd w:val="clear" w:color="auto" w:fill="FFFF00"/>
          </w:tcPr>
          <w:p w:rsidR="00E412BD" w:rsidRDefault="00E412BD" w:rsidP="001E2D32"/>
        </w:tc>
        <w:tc>
          <w:tcPr>
            <w:tcW w:w="2552" w:type="dxa"/>
          </w:tcPr>
          <w:p w:rsidR="00E412BD" w:rsidRDefault="00E412BD" w:rsidP="001E2D32">
            <w:pPr>
              <w:ind w:left="34"/>
            </w:pPr>
            <w:r>
              <w:t>In progress or on-going</w:t>
            </w:r>
          </w:p>
        </w:tc>
      </w:tr>
      <w:tr w:rsidR="00E412BD" w:rsidTr="001E2D32">
        <w:tc>
          <w:tcPr>
            <w:tcW w:w="1843" w:type="dxa"/>
            <w:shd w:val="clear" w:color="auto" w:fill="92D050"/>
          </w:tcPr>
          <w:p w:rsidR="00E412BD" w:rsidRDefault="00E412BD" w:rsidP="001E2D32"/>
        </w:tc>
        <w:tc>
          <w:tcPr>
            <w:tcW w:w="2552" w:type="dxa"/>
          </w:tcPr>
          <w:p w:rsidR="00E412BD" w:rsidRDefault="00E412BD" w:rsidP="001E2D32">
            <w:pPr>
              <w:ind w:left="34"/>
            </w:pPr>
            <w:r>
              <w:t>Completed</w:t>
            </w:r>
          </w:p>
        </w:tc>
      </w:tr>
      <w:tr w:rsidR="00E412BD" w:rsidTr="001E2D32">
        <w:tc>
          <w:tcPr>
            <w:tcW w:w="1843" w:type="dxa"/>
          </w:tcPr>
          <w:p w:rsidR="00E412BD" w:rsidRDefault="00E412BD" w:rsidP="001E2D32"/>
        </w:tc>
        <w:tc>
          <w:tcPr>
            <w:tcW w:w="2552" w:type="dxa"/>
          </w:tcPr>
          <w:p w:rsidR="00E412BD" w:rsidRDefault="00E412BD" w:rsidP="001E2D32">
            <w:pPr>
              <w:ind w:left="34"/>
            </w:pPr>
            <w:r>
              <w:t>Not started</w:t>
            </w:r>
          </w:p>
        </w:tc>
      </w:tr>
    </w:tbl>
    <w:p w:rsidR="00E412BD" w:rsidRDefault="00E412BD" w:rsidP="00E412BD">
      <w:pPr>
        <w:spacing w:after="200" w:line="276" w:lineRule="auto"/>
        <w:sectPr w:rsidR="00E412BD" w:rsidSect="001E2D32">
          <w:headerReference w:type="default" r:id="rId20"/>
          <w:footnotePr>
            <w:numRestart w:val="eachSect"/>
          </w:footnotePr>
          <w:endnotePr>
            <w:numFmt w:val="decimal"/>
          </w:endnotePr>
          <w:pgSz w:w="11907" w:h="16840" w:code="9"/>
          <w:pgMar w:top="567" w:right="1134" w:bottom="1418" w:left="1418" w:header="510" w:footer="1021" w:gutter="0"/>
          <w:cols w:space="720"/>
          <w:docGrid w:linePitch="299"/>
        </w:sectPr>
      </w:pPr>
    </w:p>
    <w:p w:rsidR="00E412BD" w:rsidRDefault="00E412BD" w:rsidP="00CF286F">
      <w:pPr>
        <w:spacing w:after="120"/>
        <w:jc w:val="center"/>
        <w:rPr>
          <w:b/>
        </w:rPr>
      </w:pPr>
      <w:r>
        <w:rPr>
          <w:b/>
        </w:rPr>
        <w:lastRenderedPageBreak/>
        <w:t>Status of Oversight assignments in 2014 (up to June 30, 2014)</w:t>
      </w:r>
    </w:p>
    <w:tbl>
      <w:tblPr>
        <w:tblW w:w="9807" w:type="dxa"/>
        <w:tblLook w:val="0000" w:firstRow="0" w:lastRow="0" w:firstColumn="0" w:lastColumn="0" w:noHBand="0" w:noVBand="0"/>
      </w:tblPr>
      <w:tblGrid>
        <w:gridCol w:w="5493"/>
        <w:gridCol w:w="2979"/>
        <w:gridCol w:w="1335"/>
      </w:tblGrid>
      <w:tr w:rsidR="00E412BD" w:rsidRPr="00152A5B" w:rsidTr="001E2D32">
        <w:trPr>
          <w:trHeight w:val="340"/>
          <w:tblHeader/>
        </w:trPr>
        <w:tc>
          <w:tcPr>
            <w:tcW w:w="5493" w:type="dxa"/>
            <w:tcBorders>
              <w:top w:val="single" w:sz="4" w:space="0" w:color="auto"/>
              <w:left w:val="single" w:sz="4" w:space="0" w:color="auto"/>
              <w:bottom w:val="single" w:sz="4" w:space="0" w:color="auto"/>
              <w:right w:val="single" w:sz="4" w:space="0" w:color="auto"/>
            </w:tcBorders>
            <w:shd w:val="clear" w:color="auto" w:fill="C0C0C0"/>
            <w:vAlign w:val="center"/>
          </w:tcPr>
          <w:p w:rsidR="00E412BD" w:rsidRPr="00152A5B" w:rsidRDefault="00E412BD" w:rsidP="001E2D32">
            <w:pPr>
              <w:keepLines/>
              <w:jc w:val="center"/>
              <w:rPr>
                <w:rFonts w:eastAsia="Times New Roman"/>
                <w:b/>
                <w:bCs/>
                <w:color w:val="000000"/>
                <w:sz w:val="18"/>
                <w:szCs w:val="18"/>
                <w:lang w:eastAsia="en-US"/>
              </w:rPr>
            </w:pPr>
            <w:r w:rsidRPr="00152A5B">
              <w:rPr>
                <w:rFonts w:eastAsia="Times New Roman"/>
                <w:b/>
                <w:bCs/>
                <w:color w:val="000000"/>
                <w:sz w:val="18"/>
                <w:szCs w:val="18"/>
                <w:lang w:eastAsia="en-US"/>
              </w:rPr>
              <w:t>Plan</w:t>
            </w:r>
          </w:p>
        </w:tc>
        <w:tc>
          <w:tcPr>
            <w:tcW w:w="2979" w:type="dxa"/>
            <w:tcBorders>
              <w:top w:val="single" w:sz="4" w:space="0" w:color="auto"/>
              <w:left w:val="nil"/>
              <w:bottom w:val="single" w:sz="4" w:space="0" w:color="auto"/>
              <w:right w:val="single" w:sz="4" w:space="0" w:color="auto"/>
            </w:tcBorders>
            <w:shd w:val="clear" w:color="auto" w:fill="C0C0C0"/>
            <w:vAlign w:val="center"/>
          </w:tcPr>
          <w:p w:rsidR="00E412BD" w:rsidRPr="00152A5B" w:rsidRDefault="00E412BD" w:rsidP="001E2D32">
            <w:pPr>
              <w:keepLines/>
              <w:jc w:val="center"/>
              <w:rPr>
                <w:rFonts w:eastAsia="Times New Roman"/>
                <w:b/>
                <w:bCs/>
                <w:color w:val="000000"/>
                <w:sz w:val="18"/>
                <w:szCs w:val="18"/>
                <w:lang w:eastAsia="en-US"/>
              </w:rPr>
            </w:pPr>
            <w:r w:rsidRPr="00152A5B">
              <w:rPr>
                <w:rFonts w:eastAsia="Times New Roman"/>
                <w:b/>
                <w:bCs/>
                <w:color w:val="000000"/>
                <w:sz w:val="18"/>
                <w:szCs w:val="18"/>
                <w:lang w:eastAsia="en-US"/>
              </w:rPr>
              <w:t>Sector</w:t>
            </w:r>
          </w:p>
        </w:tc>
        <w:tc>
          <w:tcPr>
            <w:tcW w:w="1335" w:type="dxa"/>
            <w:tcBorders>
              <w:top w:val="single" w:sz="4" w:space="0" w:color="auto"/>
              <w:left w:val="nil"/>
              <w:bottom w:val="single" w:sz="4" w:space="0" w:color="auto"/>
              <w:right w:val="single" w:sz="4" w:space="0" w:color="auto"/>
            </w:tcBorders>
            <w:shd w:val="clear" w:color="auto" w:fill="C0C0C0"/>
            <w:vAlign w:val="center"/>
          </w:tcPr>
          <w:p w:rsidR="00E412BD" w:rsidRPr="00152A5B" w:rsidRDefault="00E412BD" w:rsidP="001E2D32">
            <w:pPr>
              <w:keepLines/>
              <w:jc w:val="center"/>
              <w:rPr>
                <w:rFonts w:eastAsia="Times New Roman"/>
                <w:b/>
                <w:bCs/>
                <w:color w:val="000000"/>
                <w:sz w:val="18"/>
                <w:szCs w:val="18"/>
                <w:lang w:eastAsia="en-US"/>
              </w:rPr>
            </w:pPr>
            <w:r w:rsidRPr="00152A5B">
              <w:rPr>
                <w:rFonts w:eastAsia="Times New Roman"/>
                <w:b/>
                <w:bCs/>
                <w:color w:val="000000"/>
                <w:sz w:val="18"/>
                <w:szCs w:val="18"/>
                <w:lang w:eastAsia="en-US"/>
              </w:rPr>
              <w:t>Status</w:t>
            </w:r>
          </w:p>
        </w:tc>
      </w:tr>
      <w:tr w:rsidR="00E412BD" w:rsidRPr="00152A5B"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152A5B" w:rsidRDefault="00E412BD" w:rsidP="001E2D32">
            <w:pPr>
              <w:keepLines/>
              <w:rPr>
                <w:rFonts w:eastAsia="Times New Roman"/>
                <w:color w:val="000000"/>
                <w:sz w:val="18"/>
                <w:szCs w:val="18"/>
                <w:lang w:eastAsia="en-US"/>
              </w:rPr>
            </w:pPr>
            <w:r w:rsidRPr="00152A5B">
              <w:rPr>
                <w:rFonts w:eastAsia="Times New Roman"/>
                <w:color w:val="000000"/>
                <w:sz w:val="18"/>
                <w:szCs w:val="18"/>
                <w:lang w:eastAsia="en-US"/>
              </w:rPr>
              <w:t>Evaluation of Strategic Goal VI: International Cooperation on Building Respect for IP</w:t>
            </w:r>
          </w:p>
        </w:tc>
        <w:tc>
          <w:tcPr>
            <w:tcW w:w="2979" w:type="dxa"/>
            <w:tcBorders>
              <w:top w:val="nil"/>
              <w:left w:val="nil"/>
              <w:bottom w:val="single" w:sz="4" w:space="0" w:color="auto"/>
              <w:right w:val="single" w:sz="4" w:space="0" w:color="auto"/>
            </w:tcBorders>
            <w:shd w:val="clear" w:color="auto" w:fill="auto"/>
            <w:vAlign w:val="center"/>
          </w:tcPr>
          <w:p w:rsidR="00E412BD" w:rsidRPr="00152A5B" w:rsidRDefault="00E412BD" w:rsidP="001E2D32">
            <w:pPr>
              <w:keepLines/>
              <w:jc w:val="center"/>
              <w:rPr>
                <w:rFonts w:eastAsia="Times New Roman"/>
                <w:color w:val="000000"/>
                <w:sz w:val="18"/>
                <w:szCs w:val="18"/>
                <w:lang w:eastAsia="en-US"/>
              </w:rPr>
            </w:pPr>
            <w:r w:rsidRPr="00152A5B">
              <w:rPr>
                <w:rFonts w:eastAsia="Times New Roman"/>
                <w:color w:val="000000"/>
                <w:sz w:val="18"/>
                <w:szCs w:val="18"/>
                <w:lang w:eastAsia="en-US"/>
              </w:rPr>
              <w:t>Global Issues</w:t>
            </w:r>
          </w:p>
        </w:tc>
        <w:tc>
          <w:tcPr>
            <w:tcW w:w="1335" w:type="dxa"/>
            <w:tcBorders>
              <w:top w:val="nil"/>
              <w:left w:val="nil"/>
              <w:bottom w:val="single" w:sz="4" w:space="0" w:color="auto"/>
              <w:right w:val="single" w:sz="4" w:space="0" w:color="auto"/>
            </w:tcBorders>
            <w:shd w:val="clear" w:color="auto" w:fill="FFFF00"/>
            <w:vAlign w:val="center"/>
          </w:tcPr>
          <w:p w:rsidR="00E412BD" w:rsidRPr="00152A5B" w:rsidRDefault="00E412BD" w:rsidP="001E2D32">
            <w:pPr>
              <w:keepLines/>
              <w:jc w:val="center"/>
              <w:rPr>
                <w:color w:val="000000"/>
                <w:sz w:val="18"/>
                <w:szCs w:val="18"/>
              </w:rPr>
            </w:pPr>
          </w:p>
        </w:tc>
      </w:tr>
      <w:tr w:rsidR="00E412BD" w:rsidRPr="00152A5B"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152A5B" w:rsidRDefault="00E412BD" w:rsidP="001E2D32">
            <w:pPr>
              <w:keepLines/>
              <w:rPr>
                <w:rFonts w:eastAsia="Times New Roman"/>
                <w:color w:val="000000"/>
                <w:sz w:val="18"/>
                <w:szCs w:val="18"/>
                <w:lang w:eastAsia="en-US"/>
              </w:rPr>
            </w:pPr>
            <w:r w:rsidRPr="00152A5B">
              <w:rPr>
                <w:rFonts w:eastAsia="Times New Roman"/>
                <w:color w:val="000000"/>
                <w:sz w:val="18"/>
                <w:szCs w:val="18"/>
                <w:lang w:eastAsia="en-US"/>
              </w:rPr>
              <w:t>Evaluation of knowledge-sharing in WIPO</w:t>
            </w:r>
          </w:p>
        </w:tc>
        <w:tc>
          <w:tcPr>
            <w:tcW w:w="2979" w:type="dxa"/>
            <w:tcBorders>
              <w:top w:val="nil"/>
              <w:left w:val="nil"/>
              <w:bottom w:val="single" w:sz="4" w:space="0" w:color="auto"/>
              <w:right w:val="single" w:sz="4" w:space="0" w:color="auto"/>
            </w:tcBorders>
            <w:shd w:val="clear" w:color="auto" w:fill="auto"/>
            <w:vAlign w:val="center"/>
          </w:tcPr>
          <w:p w:rsidR="00E412BD" w:rsidRPr="00152A5B" w:rsidRDefault="00E412BD" w:rsidP="001E2D32">
            <w:pPr>
              <w:keepLines/>
              <w:jc w:val="center"/>
              <w:rPr>
                <w:rFonts w:eastAsia="Times New Roman"/>
                <w:color w:val="000000"/>
                <w:sz w:val="18"/>
                <w:szCs w:val="18"/>
                <w:lang w:eastAsia="en-US"/>
              </w:rPr>
            </w:pPr>
            <w:r w:rsidRPr="00152A5B">
              <w:rPr>
                <w:rFonts w:eastAsia="Times New Roman"/>
                <w:color w:val="000000"/>
                <w:sz w:val="18"/>
                <w:szCs w:val="18"/>
                <w:lang w:eastAsia="en-US"/>
              </w:rPr>
              <w:t>Cross-cutting</w:t>
            </w:r>
          </w:p>
        </w:tc>
        <w:tc>
          <w:tcPr>
            <w:tcW w:w="1335" w:type="dxa"/>
            <w:tcBorders>
              <w:top w:val="nil"/>
              <w:left w:val="nil"/>
              <w:bottom w:val="single" w:sz="4" w:space="0" w:color="auto"/>
              <w:right w:val="single" w:sz="4" w:space="0" w:color="auto"/>
            </w:tcBorders>
            <w:shd w:val="clear" w:color="auto" w:fill="92D050"/>
            <w:vAlign w:val="center"/>
          </w:tcPr>
          <w:p w:rsidR="00E412BD" w:rsidRPr="00152A5B" w:rsidRDefault="00E412BD" w:rsidP="001E2D32">
            <w:pPr>
              <w:keepLines/>
              <w:jc w:val="center"/>
              <w:rPr>
                <w:color w:val="000000"/>
                <w:sz w:val="18"/>
                <w:szCs w:val="18"/>
              </w:rPr>
            </w:pPr>
          </w:p>
        </w:tc>
      </w:tr>
      <w:tr w:rsidR="00E412BD" w:rsidRPr="00152A5B"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152A5B" w:rsidRDefault="00E412BD" w:rsidP="003F2B38">
            <w:pPr>
              <w:keepLines/>
              <w:rPr>
                <w:rFonts w:eastAsia="Times New Roman"/>
                <w:color w:val="000000"/>
                <w:sz w:val="18"/>
                <w:szCs w:val="18"/>
                <w:lang w:eastAsia="en-US"/>
              </w:rPr>
            </w:pPr>
            <w:r w:rsidRPr="00152A5B">
              <w:rPr>
                <w:rFonts w:eastAsia="Times New Roman"/>
                <w:color w:val="000000"/>
                <w:sz w:val="18"/>
                <w:szCs w:val="18"/>
                <w:lang w:eastAsia="en-US"/>
              </w:rPr>
              <w:t>External Assessment of IAOD’s evaluation function</w:t>
            </w:r>
            <w:r w:rsidR="003F2B38" w:rsidRPr="003F2B38">
              <w:rPr>
                <w:sz w:val="18"/>
                <w:szCs w:val="18"/>
                <w:vertAlign w:val="superscript"/>
              </w:rPr>
              <w:t>1</w:t>
            </w:r>
          </w:p>
        </w:tc>
        <w:tc>
          <w:tcPr>
            <w:tcW w:w="2979" w:type="dxa"/>
            <w:tcBorders>
              <w:top w:val="nil"/>
              <w:left w:val="nil"/>
              <w:bottom w:val="single" w:sz="4" w:space="0" w:color="auto"/>
              <w:right w:val="single" w:sz="4" w:space="0" w:color="auto"/>
            </w:tcBorders>
            <w:shd w:val="clear" w:color="auto" w:fill="auto"/>
            <w:vAlign w:val="center"/>
          </w:tcPr>
          <w:p w:rsidR="00E412BD" w:rsidRPr="00152A5B" w:rsidRDefault="00E412BD" w:rsidP="001E2D32">
            <w:pPr>
              <w:keepLines/>
              <w:jc w:val="center"/>
              <w:rPr>
                <w:rFonts w:eastAsia="Times New Roman"/>
                <w:color w:val="000000"/>
                <w:sz w:val="18"/>
                <w:szCs w:val="18"/>
                <w:lang w:eastAsia="en-US"/>
              </w:rPr>
            </w:pPr>
            <w:r w:rsidRPr="00152A5B">
              <w:rPr>
                <w:rFonts w:eastAsia="Times New Roman"/>
                <w:color w:val="000000"/>
                <w:sz w:val="18"/>
                <w:szCs w:val="18"/>
                <w:lang w:eastAsia="en-US"/>
              </w:rPr>
              <w:t>IAOD</w:t>
            </w:r>
          </w:p>
        </w:tc>
        <w:tc>
          <w:tcPr>
            <w:tcW w:w="1335" w:type="dxa"/>
            <w:tcBorders>
              <w:top w:val="nil"/>
              <w:left w:val="nil"/>
              <w:bottom w:val="single" w:sz="4" w:space="0" w:color="auto"/>
              <w:right w:val="single" w:sz="4" w:space="0" w:color="auto"/>
            </w:tcBorders>
            <w:shd w:val="clear" w:color="auto" w:fill="92D050"/>
            <w:vAlign w:val="center"/>
          </w:tcPr>
          <w:p w:rsidR="00E412BD" w:rsidRPr="00152A5B" w:rsidRDefault="00E412BD" w:rsidP="001E2D32">
            <w:pPr>
              <w:keepLines/>
              <w:jc w:val="center"/>
              <w:rPr>
                <w:color w:val="000000"/>
                <w:sz w:val="18"/>
                <w:szCs w:val="18"/>
              </w:rPr>
            </w:pPr>
          </w:p>
        </w:tc>
      </w:tr>
      <w:tr w:rsidR="00E412BD" w:rsidRPr="00152A5B"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152A5B" w:rsidRDefault="00E412BD" w:rsidP="001E2D32">
            <w:pPr>
              <w:keepLines/>
              <w:rPr>
                <w:rFonts w:eastAsia="Times New Roman"/>
                <w:color w:val="000000"/>
                <w:sz w:val="18"/>
                <w:szCs w:val="18"/>
                <w:lang w:eastAsia="en-US"/>
              </w:rPr>
            </w:pPr>
            <w:r w:rsidRPr="00152A5B">
              <w:rPr>
                <w:rFonts w:eastAsia="Times New Roman"/>
                <w:color w:val="000000"/>
                <w:sz w:val="18"/>
                <w:szCs w:val="18"/>
                <w:lang w:eastAsia="en-US"/>
              </w:rPr>
              <w:t>Program evaluation: Program 30 Small and Medium Enterprises</w:t>
            </w:r>
          </w:p>
        </w:tc>
        <w:tc>
          <w:tcPr>
            <w:tcW w:w="2979" w:type="dxa"/>
            <w:tcBorders>
              <w:top w:val="nil"/>
              <w:left w:val="nil"/>
              <w:bottom w:val="single" w:sz="4" w:space="0" w:color="auto"/>
              <w:right w:val="single" w:sz="4" w:space="0" w:color="auto"/>
            </w:tcBorders>
            <w:shd w:val="clear" w:color="auto" w:fill="auto"/>
            <w:vAlign w:val="center"/>
          </w:tcPr>
          <w:p w:rsidR="00E412BD" w:rsidRPr="00152A5B" w:rsidRDefault="00E412BD" w:rsidP="001E2D32">
            <w:pPr>
              <w:keepLines/>
              <w:jc w:val="center"/>
              <w:rPr>
                <w:rFonts w:eastAsia="Times New Roman"/>
                <w:color w:val="000000"/>
                <w:sz w:val="18"/>
                <w:szCs w:val="18"/>
                <w:lang w:eastAsia="en-US"/>
              </w:rPr>
            </w:pPr>
            <w:r w:rsidRPr="00152A5B">
              <w:rPr>
                <w:rFonts w:eastAsia="Times New Roman"/>
                <w:color w:val="000000"/>
                <w:sz w:val="18"/>
                <w:szCs w:val="18"/>
                <w:lang w:eastAsia="en-US"/>
              </w:rPr>
              <w:t>Innovation and Technology</w:t>
            </w:r>
          </w:p>
        </w:tc>
        <w:tc>
          <w:tcPr>
            <w:tcW w:w="1335" w:type="dxa"/>
            <w:tcBorders>
              <w:top w:val="nil"/>
              <w:left w:val="nil"/>
              <w:bottom w:val="single" w:sz="4" w:space="0" w:color="auto"/>
              <w:right w:val="single" w:sz="4" w:space="0" w:color="auto"/>
            </w:tcBorders>
            <w:vAlign w:val="center"/>
          </w:tcPr>
          <w:p w:rsidR="00E412BD" w:rsidRPr="00152A5B" w:rsidRDefault="00E412BD" w:rsidP="001E2D32">
            <w:pPr>
              <w:keepLines/>
              <w:jc w:val="center"/>
              <w:rPr>
                <w:color w:val="000000"/>
                <w:sz w:val="18"/>
                <w:szCs w:val="18"/>
              </w:rPr>
            </w:pPr>
          </w:p>
        </w:tc>
      </w:tr>
      <w:tr w:rsidR="00E412BD" w:rsidRPr="00152A5B"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152A5B" w:rsidRDefault="00E412BD" w:rsidP="001E2D32">
            <w:pPr>
              <w:keepLines/>
              <w:rPr>
                <w:rFonts w:eastAsia="Times New Roman"/>
                <w:color w:val="000000"/>
                <w:sz w:val="18"/>
                <w:szCs w:val="18"/>
                <w:lang w:eastAsia="en-US"/>
              </w:rPr>
            </w:pPr>
            <w:r>
              <w:rPr>
                <w:rFonts w:eastAsia="Times New Roman"/>
                <w:color w:val="000000"/>
                <w:sz w:val="18"/>
                <w:szCs w:val="18"/>
                <w:lang w:eastAsia="en-US"/>
              </w:rPr>
              <w:t xml:space="preserve">First phase of evaluation of </w:t>
            </w:r>
            <w:r w:rsidRPr="005C31B1">
              <w:rPr>
                <w:rFonts w:eastAsia="Times New Roman"/>
                <w:color w:val="000000"/>
                <w:sz w:val="18"/>
                <w:szCs w:val="18"/>
                <w:lang w:eastAsia="en-US"/>
              </w:rPr>
              <w:t>Rewards and Recognition Program - Pilot 2013</w:t>
            </w:r>
            <w:r>
              <w:rPr>
                <w:rFonts w:eastAsia="Times New Roman"/>
                <w:color w:val="000000"/>
                <w:sz w:val="18"/>
                <w:szCs w:val="18"/>
                <w:lang w:eastAsia="en-US"/>
              </w:rPr>
              <w:t xml:space="preserve"> (coauthored with HRMD)</w:t>
            </w:r>
          </w:p>
        </w:tc>
        <w:tc>
          <w:tcPr>
            <w:tcW w:w="2979" w:type="dxa"/>
            <w:tcBorders>
              <w:top w:val="nil"/>
              <w:left w:val="nil"/>
              <w:bottom w:val="single" w:sz="4" w:space="0" w:color="auto"/>
              <w:right w:val="single" w:sz="4" w:space="0" w:color="auto"/>
            </w:tcBorders>
            <w:shd w:val="clear" w:color="auto" w:fill="auto"/>
            <w:vAlign w:val="center"/>
          </w:tcPr>
          <w:p w:rsidR="00E412BD" w:rsidRPr="00152A5B" w:rsidRDefault="00E412BD" w:rsidP="001E2D32">
            <w:pPr>
              <w:keepLines/>
              <w:jc w:val="center"/>
              <w:rPr>
                <w:rFonts w:eastAsia="Times New Roman"/>
                <w:color w:val="000000"/>
                <w:sz w:val="18"/>
                <w:szCs w:val="18"/>
                <w:lang w:eastAsia="en-US"/>
              </w:rPr>
            </w:pPr>
            <w:r>
              <w:rPr>
                <w:rFonts w:eastAsia="Times New Roman"/>
                <w:color w:val="000000"/>
                <w:sz w:val="18"/>
                <w:szCs w:val="18"/>
                <w:lang w:eastAsia="en-US"/>
              </w:rPr>
              <w:t>HRMD</w:t>
            </w:r>
          </w:p>
        </w:tc>
        <w:tc>
          <w:tcPr>
            <w:tcW w:w="1335" w:type="dxa"/>
            <w:tcBorders>
              <w:top w:val="nil"/>
              <w:left w:val="nil"/>
              <w:bottom w:val="single" w:sz="4" w:space="0" w:color="auto"/>
              <w:right w:val="single" w:sz="4" w:space="0" w:color="auto"/>
            </w:tcBorders>
            <w:shd w:val="clear" w:color="auto" w:fill="92D050"/>
            <w:vAlign w:val="center"/>
          </w:tcPr>
          <w:p w:rsidR="00E412BD" w:rsidRPr="00152A5B" w:rsidRDefault="00E412BD" w:rsidP="001E2D32">
            <w:pPr>
              <w:keepLines/>
              <w:jc w:val="center"/>
              <w:rPr>
                <w:color w:val="000000"/>
                <w:sz w:val="18"/>
                <w:szCs w:val="18"/>
              </w:rPr>
            </w:pPr>
          </w:p>
        </w:tc>
      </w:tr>
      <w:tr w:rsidR="00E412BD" w:rsidRPr="00152A5B"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152A5B" w:rsidRDefault="00E412BD" w:rsidP="001E2D32">
            <w:pPr>
              <w:keepLines/>
              <w:rPr>
                <w:rFonts w:eastAsia="Times New Roman"/>
                <w:color w:val="000000"/>
                <w:sz w:val="18"/>
                <w:szCs w:val="18"/>
                <w:lang w:eastAsia="en-US"/>
              </w:rPr>
            </w:pPr>
            <w:r w:rsidRPr="00152A5B">
              <w:rPr>
                <w:rFonts w:eastAsia="Times New Roman"/>
                <w:color w:val="000000"/>
                <w:sz w:val="18"/>
                <w:szCs w:val="18"/>
                <w:lang w:eastAsia="en-US"/>
              </w:rPr>
              <w:t xml:space="preserve">Country Portfolio Evaluation </w:t>
            </w:r>
          </w:p>
          <w:p w:rsidR="00E412BD" w:rsidRPr="00152A5B" w:rsidRDefault="00E412BD" w:rsidP="001E2D32">
            <w:pPr>
              <w:keepLines/>
              <w:rPr>
                <w:rFonts w:eastAsia="Times New Roman"/>
                <w:color w:val="000000"/>
                <w:sz w:val="18"/>
                <w:szCs w:val="18"/>
                <w:lang w:eastAsia="en-US"/>
              </w:rPr>
            </w:pPr>
            <w:r w:rsidRPr="00152A5B">
              <w:rPr>
                <w:rFonts w:eastAsia="Times New Roman"/>
                <w:color w:val="000000"/>
                <w:sz w:val="18"/>
                <w:szCs w:val="18"/>
                <w:lang w:eastAsia="en-US"/>
              </w:rPr>
              <w:t>(GRULAC country)</w:t>
            </w:r>
          </w:p>
        </w:tc>
        <w:tc>
          <w:tcPr>
            <w:tcW w:w="2979" w:type="dxa"/>
            <w:tcBorders>
              <w:top w:val="nil"/>
              <w:left w:val="nil"/>
              <w:bottom w:val="single" w:sz="4" w:space="0" w:color="auto"/>
              <w:right w:val="single" w:sz="4" w:space="0" w:color="auto"/>
            </w:tcBorders>
            <w:shd w:val="clear" w:color="auto" w:fill="auto"/>
            <w:vAlign w:val="center"/>
          </w:tcPr>
          <w:p w:rsidR="00E412BD" w:rsidRPr="00152A5B" w:rsidRDefault="00E412BD" w:rsidP="001E2D32">
            <w:pPr>
              <w:keepLines/>
              <w:jc w:val="center"/>
              <w:rPr>
                <w:rFonts w:eastAsia="Times New Roman"/>
                <w:color w:val="000000"/>
                <w:sz w:val="18"/>
                <w:szCs w:val="18"/>
                <w:lang w:eastAsia="en-US"/>
              </w:rPr>
            </w:pPr>
            <w:r w:rsidRPr="00152A5B">
              <w:rPr>
                <w:rFonts w:eastAsia="Times New Roman"/>
                <w:color w:val="000000"/>
                <w:sz w:val="18"/>
                <w:szCs w:val="18"/>
                <w:lang w:eastAsia="en-US"/>
              </w:rPr>
              <w:t>Development</w:t>
            </w:r>
          </w:p>
        </w:tc>
        <w:tc>
          <w:tcPr>
            <w:tcW w:w="1335" w:type="dxa"/>
            <w:tcBorders>
              <w:top w:val="nil"/>
              <w:left w:val="nil"/>
              <w:bottom w:val="single" w:sz="4" w:space="0" w:color="auto"/>
              <w:right w:val="single" w:sz="4" w:space="0" w:color="auto"/>
            </w:tcBorders>
            <w:vAlign w:val="center"/>
          </w:tcPr>
          <w:p w:rsidR="00E412BD" w:rsidRPr="00152A5B" w:rsidRDefault="00E412BD" w:rsidP="001E2D32">
            <w:pPr>
              <w:keepLines/>
              <w:jc w:val="center"/>
              <w:rPr>
                <w:color w:val="000000"/>
                <w:sz w:val="18"/>
                <w:szCs w:val="18"/>
              </w:rPr>
            </w:pPr>
          </w:p>
        </w:tc>
      </w:tr>
      <w:tr w:rsidR="00E412BD" w:rsidRPr="00152A5B"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152A5B" w:rsidRDefault="00E412BD" w:rsidP="001E2D32">
            <w:pPr>
              <w:keepLines/>
              <w:rPr>
                <w:rFonts w:eastAsia="Times New Roman"/>
                <w:color w:val="000000"/>
                <w:sz w:val="18"/>
                <w:szCs w:val="18"/>
                <w:lang w:eastAsia="en-US"/>
              </w:rPr>
            </w:pPr>
            <w:r w:rsidRPr="00152A5B">
              <w:rPr>
                <w:rFonts w:eastAsia="Times New Roman"/>
                <w:color w:val="000000"/>
                <w:sz w:val="18"/>
                <w:szCs w:val="18"/>
                <w:lang w:eastAsia="en-US"/>
              </w:rPr>
              <w:t>Validation of the 2012-2013 Program performance Report (PPR)</w:t>
            </w:r>
          </w:p>
        </w:tc>
        <w:tc>
          <w:tcPr>
            <w:tcW w:w="2979" w:type="dxa"/>
            <w:tcBorders>
              <w:top w:val="nil"/>
              <w:left w:val="nil"/>
              <w:bottom w:val="single" w:sz="4" w:space="0" w:color="auto"/>
              <w:right w:val="single" w:sz="4" w:space="0" w:color="auto"/>
            </w:tcBorders>
            <w:shd w:val="clear" w:color="auto" w:fill="auto"/>
            <w:vAlign w:val="center"/>
          </w:tcPr>
          <w:p w:rsidR="00E412BD" w:rsidRPr="00152A5B" w:rsidRDefault="00E412BD" w:rsidP="001E2D32">
            <w:pPr>
              <w:keepLines/>
              <w:jc w:val="center"/>
              <w:rPr>
                <w:rFonts w:eastAsia="Times New Roman"/>
                <w:color w:val="000000"/>
                <w:sz w:val="18"/>
                <w:szCs w:val="18"/>
                <w:lang w:eastAsia="en-US"/>
              </w:rPr>
            </w:pPr>
            <w:r w:rsidRPr="00152A5B">
              <w:rPr>
                <w:rFonts w:eastAsia="Times New Roman"/>
                <w:color w:val="000000"/>
                <w:sz w:val="18"/>
                <w:szCs w:val="18"/>
                <w:lang w:eastAsia="en-US"/>
              </w:rPr>
              <w:t>WIPO all</w:t>
            </w:r>
          </w:p>
        </w:tc>
        <w:tc>
          <w:tcPr>
            <w:tcW w:w="1335" w:type="dxa"/>
            <w:tcBorders>
              <w:top w:val="nil"/>
              <w:left w:val="nil"/>
              <w:bottom w:val="single" w:sz="4" w:space="0" w:color="auto"/>
              <w:right w:val="single" w:sz="4" w:space="0" w:color="auto"/>
            </w:tcBorders>
            <w:shd w:val="clear" w:color="auto" w:fill="92D050"/>
            <w:vAlign w:val="center"/>
          </w:tcPr>
          <w:p w:rsidR="00E412BD" w:rsidRPr="00152A5B" w:rsidRDefault="00E412BD" w:rsidP="001E2D32">
            <w:pPr>
              <w:keepLines/>
              <w:jc w:val="center"/>
              <w:rPr>
                <w:color w:val="000000"/>
                <w:sz w:val="18"/>
                <w:szCs w:val="18"/>
              </w:rPr>
            </w:pPr>
          </w:p>
        </w:tc>
      </w:tr>
      <w:tr w:rsidR="00E412BD" w:rsidRPr="00152A5B"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152A5B" w:rsidRDefault="00E412BD" w:rsidP="001E2D32">
            <w:pPr>
              <w:keepLines/>
              <w:rPr>
                <w:rFonts w:eastAsia="Times New Roman"/>
                <w:color w:val="000000"/>
                <w:sz w:val="18"/>
                <w:szCs w:val="18"/>
                <w:lang w:eastAsia="en-US"/>
              </w:rPr>
            </w:pPr>
            <w:r w:rsidRPr="00152A5B">
              <w:rPr>
                <w:rFonts w:eastAsia="Times New Roman"/>
                <w:color w:val="000000"/>
                <w:sz w:val="18"/>
                <w:szCs w:val="18"/>
                <w:lang w:eastAsia="en-US"/>
              </w:rPr>
              <w:t>Staff benefits and entitlements</w:t>
            </w:r>
          </w:p>
        </w:tc>
        <w:tc>
          <w:tcPr>
            <w:tcW w:w="2979" w:type="dxa"/>
            <w:tcBorders>
              <w:top w:val="nil"/>
              <w:left w:val="nil"/>
              <w:bottom w:val="single" w:sz="4" w:space="0" w:color="auto"/>
              <w:right w:val="single" w:sz="4" w:space="0" w:color="auto"/>
            </w:tcBorders>
            <w:shd w:val="clear" w:color="auto" w:fill="auto"/>
            <w:vAlign w:val="center"/>
          </w:tcPr>
          <w:p w:rsidR="00E412BD" w:rsidRPr="00152A5B" w:rsidRDefault="00E412BD" w:rsidP="001E2D32">
            <w:pPr>
              <w:keepLines/>
              <w:jc w:val="center"/>
              <w:rPr>
                <w:rFonts w:eastAsia="Times New Roman"/>
                <w:color w:val="000000"/>
                <w:sz w:val="18"/>
                <w:szCs w:val="18"/>
                <w:lang w:eastAsia="en-US"/>
              </w:rPr>
            </w:pPr>
            <w:r w:rsidRPr="00152A5B">
              <w:rPr>
                <w:rFonts w:eastAsia="Times New Roman"/>
                <w:color w:val="000000"/>
                <w:sz w:val="18"/>
                <w:szCs w:val="18"/>
                <w:lang w:eastAsia="en-US"/>
              </w:rPr>
              <w:t>HRMD</w:t>
            </w:r>
          </w:p>
        </w:tc>
        <w:tc>
          <w:tcPr>
            <w:tcW w:w="1335" w:type="dxa"/>
            <w:tcBorders>
              <w:top w:val="nil"/>
              <w:left w:val="nil"/>
              <w:bottom w:val="single" w:sz="4" w:space="0" w:color="auto"/>
              <w:right w:val="single" w:sz="4" w:space="0" w:color="auto"/>
            </w:tcBorders>
            <w:shd w:val="clear" w:color="auto" w:fill="92D050"/>
            <w:vAlign w:val="center"/>
          </w:tcPr>
          <w:p w:rsidR="00E412BD" w:rsidRPr="00152A5B" w:rsidRDefault="00E412BD" w:rsidP="001E2D32">
            <w:pPr>
              <w:keepLines/>
              <w:jc w:val="center"/>
              <w:rPr>
                <w:color w:val="000000"/>
                <w:sz w:val="18"/>
                <w:szCs w:val="18"/>
              </w:rPr>
            </w:pPr>
          </w:p>
        </w:tc>
      </w:tr>
      <w:tr w:rsidR="00E412BD" w:rsidRPr="00152A5B"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152A5B" w:rsidRDefault="00E412BD" w:rsidP="001E2D32">
            <w:pPr>
              <w:keepLines/>
              <w:rPr>
                <w:rFonts w:eastAsia="Times New Roman"/>
                <w:color w:val="000000"/>
                <w:sz w:val="18"/>
                <w:szCs w:val="18"/>
                <w:lang w:eastAsia="en-US"/>
              </w:rPr>
            </w:pPr>
            <w:r w:rsidRPr="00152A5B">
              <w:rPr>
                <w:rFonts w:eastAsia="Times New Roman"/>
                <w:color w:val="000000"/>
                <w:sz w:val="18"/>
                <w:szCs w:val="18"/>
                <w:lang w:eastAsia="en-US"/>
              </w:rPr>
              <w:t>Events management</w:t>
            </w:r>
          </w:p>
        </w:tc>
        <w:tc>
          <w:tcPr>
            <w:tcW w:w="2979" w:type="dxa"/>
            <w:tcBorders>
              <w:top w:val="nil"/>
              <w:left w:val="nil"/>
              <w:bottom w:val="single" w:sz="4" w:space="0" w:color="auto"/>
              <w:right w:val="single" w:sz="4" w:space="0" w:color="auto"/>
            </w:tcBorders>
            <w:shd w:val="clear" w:color="auto" w:fill="auto"/>
            <w:vAlign w:val="center"/>
          </w:tcPr>
          <w:p w:rsidR="00E412BD" w:rsidRPr="00152A5B" w:rsidRDefault="00E412BD" w:rsidP="001E2D32">
            <w:pPr>
              <w:keepLines/>
              <w:jc w:val="center"/>
              <w:rPr>
                <w:rFonts w:eastAsia="Times New Roman"/>
                <w:color w:val="000000"/>
                <w:sz w:val="18"/>
                <w:szCs w:val="18"/>
                <w:lang w:eastAsia="en-US"/>
              </w:rPr>
            </w:pPr>
            <w:r w:rsidRPr="00152A5B">
              <w:rPr>
                <w:rFonts w:eastAsia="Times New Roman"/>
                <w:color w:val="000000"/>
                <w:sz w:val="18"/>
                <w:szCs w:val="18"/>
                <w:lang w:eastAsia="en-US"/>
              </w:rPr>
              <w:t>WIPO all</w:t>
            </w:r>
          </w:p>
        </w:tc>
        <w:tc>
          <w:tcPr>
            <w:tcW w:w="1335" w:type="dxa"/>
            <w:tcBorders>
              <w:top w:val="nil"/>
              <w:left w:val="nil"/>
              <w:bottom w:val="single" w:sz="4" w:space="0" w:color="auto"/>
              <w:right w:val="single" w:sz="4" w:space="0" w:color="auto"/>
            </w:tcBorders>
            <w:shd w:val="clear" w:color="auto" w:fill="92D050"/>
            <w:vAlign w:val="center"/>
          </w:tcPr>
          <w:p w:rsidR="00E412BD" w:rsidRPr="00152A5B" w:rsidRDefault="00E412BD" w:rsidP="001E2D32">
            <w:pPr>
              <w:keepLines/>
              <w:jc w:val="center"/>
              <w:rPr>
                <w:color w:val="000000"/>
                <w:sz w:val="18"/>
                <w:szCs w:val="18"/>
              </w:rPr>
            </w:pPr>
          </w:p>
        </w:tc>
      </w:tr>
      <w:tr w:rsidR="00E412BD" w:rsidRPr="00152A5B"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152A5B" w:rsidRDefault="00E412BD" w:rsidP="001E2D32">
            <w:pPr>
              <w:keepLines/>
              <w:rPr>
                <w:rFonts w:eastAsia="Times New Roman"/>
                <w:color w:val="000000"/>
                <w:sz w:val="18"/>
                <w:szCs w:val="18"/>
                <w:lang w:eastAsia="en-US"/>
              </w:rPr>
            </w:pPr>
            <w:r w:rsidRPr="00152A5B">
              <w:rPr>
                <w:rFonts w:eastAsia="Times New Roman"/>
                <w:color w:val="000000"/>
                <w:sz w:val="18"/>
                <w:szCs w:val="18"/>
                <w:lang w:eastAsia="en-US"/>
              </w:rPr>
              <w:t>External Assessment of IAOD’s internal audit function</w:t>
            </w:r>
            <w:r>
              <w:rPr>
                <w:rStyle w:val="FootnoteReference"/>
                <w:rFonts w:eastAsia="Times New Roman"/>
                <w:color w:val="000000"/>
                <w:sz w:val="18"/>
                <w:szCs w:val="18"/>
                <w:lang w:eastAsia="en-US"/>
              </w:rPr>
              <w:footnoteReference w:id="21"/>
            </w:r>
          </w:p>
        </w:tc>
        <w:tc>
          <w:tcPr>
            <w:tcW w:w="2979" w:type="dxa"/>
            <w:tcBorders>
              <w:top w:val="nil"/>
              <w:left w:val="nil"/>
              <w:bottom w:val="single" w:sz="4" w:space="0" w:color="auto"/>
              <w:right w:val="single" w:sz="4" w:space="0" w:color="auto"/>
            </w:tcBorders>
            <w:shd w:val="clear" w:color="auto" w:fill="auto"/>
            <w:vAlign w:val="center"/>
          </w:tcPr>
          <w:p w:rsidR="00E412BD" w:rsidRPr="00152A5B" w:rsidRDefault="00E412BD" w:rsidP="001E2D32">
            <w:pPr>
              <w:keepLines/>
              <w:jc w:val="center"/>
              <w:rPr>
                <w:rFonts w:eastAsia="Times New Roman"/>
                <w:color w:val="000000"/>
                <w:sz w:val="18"/>
                <w:szCs w:val="18"/>
                <w:lang w:eastAsia="en-US"/>
              </w:rPr>
            </w:pPr>
            <w:r w:rsidRPr="00152A5B">
              <w:rPr>
                <w:rFonts w:eastAsia="Times New Roman"/>
                <w:color w:val="000000"/>
                <w:sz w:val="18"/>
                <w:szCs w:val="18"/>
                <w:lang w:eastAsia="en-US"/>
              </w:rPr>
              <w:t>IAOD</w:t>
            </w:r>
          </w:p>
        </w:tc>
        <w:tc>
          <w:tcPr>
            <w:tcW w:w="1335" w:type="dxa"/>
            <w:tcBorders>
              <w:top w:val="nil"/>
              <w:left w:val="nil"/>
              <w:bottom w:val="single" w:sz="4" w:space="0" w:color="auto"/>
              <w:right w:val="single" w:sz="4" w:space="0" w:color="auto"/>
            </w:tcBorders>
            <w:shd w:val="clear" w:color="auto" w:fill="92D050"/>
            <w:vAlign w:val="center"/>
          </w:tcPr>
          <w:p w:rsidR="00E412BD" w:rsidRPr="00152A5B" w:rsidRDefault="00E412BD" w:rsidP="001E2D32">
            <w:pPr>
              <w:keepLines/>
              <w:jc w:val="center"/>
              <w:rPr>
                <w:color w:val="000000"/>
                <w:sz w:val="18"/>
                <w:szCs w:val="18"/>
              </w:rPr>
            </w:pPr>
          </w:p>
        </w:tc>
      </w:tr>
      <w:tr w:rsidR="00E412BD" w:rsidRPr="00152A5B"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152A5B" w:rsidRDefault="00E412BD" w:rsidP="001E2D32">
            <w:pPr>
              <w:keepLines/>
              <w:rPr>
                <w:rFonts w:eastAsia="Times New Roman"/>
                <w:color w:val="000000"/>
                <w:sz w:val="18"/>
                <w:szCs w:val="18"/>
                <w:lang w:eastAsia="en-US"/>
              </w:rPr>
            </w:pPr>
            <w:r w:rsidRPr="00152A5B">
              <w:rPr>
                <w:rFonts w:eastAsia="Times New Roman"/>
                <w:color w:val="000000"/>
                <w:sz w:val="18"/>
                <w:szCs w:val="18"/>
                <w:lang w:eastAsia="en-US"/>
              </w:rPr>
              <w:t>Review of Business Continuity Management (BCM)</w:t>
            </w:r>
          </w:p>
        </w:tc>
        <w:tc>
          <w:tcPr>
            <w:tcW w:w="2979" w:type="dxa"/>
            <w:tcBorders>
              <w:top w:val="nil"/>
              <w:left w:val="nil"/>
              <w:bottom w:val="single" w:sz="4" w:space="0" w:color="auto"/>
              <w:right w:val="single" w:sz="4" w:space="0" w:color="auto"/>
            </w:tcBorders>
            <w:shd w:val="clear" w:color="auto" w:fill="auto"/>
            <w:vAlign w:val="center"/>
          </w:tcPr>
          <w:p w:rsidR="00E412BD" w:rsidRPr="00152A5B" w:rsidRDefault="00E412BD" w:rsidP="001E2D32">
            <w:pPr>
              <w:keepLines/>
              <w:jc w:val="center"/>
              <w:rPr>
                <w:rFonts w:eastAsia="Times New Roman"/>
                <w:color w:val="000000"/>
                <w:sz w:val="18"/>
                <w:szCs w:val="18"/>
                <w:lang w:eastAsia="en-US"/>
              </w:rPr>
            </w:pPr>
            <w:r w:rsidRPr="00152A5B">
              <w:rPr>
                <w:rFonts w:eastAsia="Times New Roman"/>
                <w:color w:val="000000"/>
                <w:sz w:val="18"/>
                <w:szCs w:val="18"/>
                <w:lang w:eastAsia="en-US"/>
              </w:rPr>
              <w:t>Cross-cutting</w:t>
            </w:r>
          </w:p>
        </w:tc>
        <w:tc>
          <w:tcPr>
            <w:tcW w:w="1335" w:type="dxa"/>
            <w:tcBorders>
              <w:top w:val="nil"/>
              <w:left w:val="nil"/>
              <w:bottom w:val="single" w:sz="4" w:space="0" w:color="auto"/>
              <w:right w:val="single" w:sz="4" w:space="0" w:color="auto"/>
            </w:tcBorders>
            <w:vAlign w:val="center"/>
          </w:tcPr>
          <w:p w:rsidR="00E412BD" w:rsidRPr="00152A5B" w:rsidRDefault="00E412BD" w:rsidP="001E2D32">
            <w:pPr>
              <w:keepLines/>
              <w:jc w:val="center"/>
              <w:rPr>
                <w:color w:val="000000"/>
                <w:sz w:val="18"/>
                <w:szCs w:val="18"/>
              </w:rPr>
            </w:pPr>
          </w:p>
        </w:tc>
      </w:tr>
      <w:tr w:rsidR="00E412BD" w:rsidRPr="00152A5B"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152A5B" w:rsidRDefault="00E412BD" w:rsidP="001E2D32">
            <w:pPr>
              <w:keepLines/>
              <w:rPr>
                <w:rFonts w:eastAsia="Times New Roman"/>
                <w:color w:val="000000"/>
                <w:sz w:val="18"/>
                <w:szCs w:val="18"/>
                <w:lang w:eastAsia="en-US"/>
              </w:rPr>
            </w:pPr>
            <w:r w:rsidRPr="00152A5B">
              <w:rPr>
                <w:rFonts w:eastAsia="Times New Roman"/>
                <w:color w:val="000000"/>
                <w:sz w:val="18"/>
                <w:szCs w:val="18"/>
                <w:lang w:eastAsia="en-US"/>
              </w:rPr>
              <w:t>Assets management</w:t>
            </w:r>
          </w:p>
        </w:tc>
        <w:tc>
          <w:tcPr>
            <w:tcW w:w="2979" w:type="dxa"/>
            <w:tcBorders>
              <w:top w:val="nil"/>
              <w:left w:val="nil"/>
              <w:bottom w:val="single" w:sz="4" w:space="0" w:color="auto"/>
              <w:right w:val="single" w:sz="4" w:space="0" w:color="auto"/>
            </w:tcBorders>
            <w:shd w:val="clear" w:color="auto" w:fill="auto"/>
            <w:vAlign w:val="center"/>
          </w:tcPr>
          <w:p w:rsidR="00E412BD" w:rsidRPr="00152A5B" w:rsidRDefault="00E412BD" w:rsidP="001E2D32">
            <w:pPr>
              <w:keepLines/>
              <w:jc w:val="center"/>
              <w:rPr>
                <w:rFonts w:eastAsia="Times New Roman"/>
                <w:color w:val="000000"/>
                <w:sz w:val="18"/>
                <w:szCs w:val="18"/>
                <w:lang w:eastAsia="en-US"/>
              </w:rPr>
            </w:pPr>
            <w:r w:rsidRPr="00152A5B">
              <w:rPr>
                <w:rFonts w:eastAsia="Times New Roman"/>
                <w:color w:val="000000"/>
                <w:sz w:val="18"/>
                <w:szCs w:val="18"/>
                <w:lang w:eastAsia="en-US"/>
              </w:rPr>
              <w:t>WIPO all</w:t>
            </w:r>
          </w:p>
        </w:tc>
        <w:tc>
          <w:tcPr>
            <w:tcW w:w="1335" w:type="dxa"/>
            <w:tcBorders>
              <w:top w:val="nil"/>
              <w:left w:val="nil"/>
              <w:bottom w:val="single" w:sz="4" w:space="0" w:color="auto"/>
              <w:right w:val="single" w:sz="4" w:space="0" w:color="auto"/>
            </w:tcBorders>
            <w:vAlign w:val="center"/>
          </w:tcPr>
          <w:p w:rsidR="00E412BD" w:rsidRPr="00152A5B" w:rsidRDefault="00E412BD" w:rsidP="001E2D32">
            <w:pPr>
              <w:keepLines/>
              <w:jc w:val="center"/>
              <w:rPr>
                <w:color w:val="000000"/>
                <w:sz w:val="18"/>
                <w:szCs w:val="18"/>
              </w:rPr>
            </w:pPr>
          </w:p>
        </w:tc>
      </w:tr>
      <w:tr w:rsidR="00E412BD" w:rsidRPr="00152A5B"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152A5B" w:rsidRDefault="00E412BD" w:rsidP="001E2D32">
            <w:pPr>
              <w:keepLines/>
              <w:rPr>
                <w:rFonts w:eastAsia="Times New Roman"/>
                <w:color w:val="000000"/>
                <w:sz w:val="18"/>
                <w:szCs w:val="18"/>
                <w:lang w:eastAsia="en-US"/>
              </w:rPr>
            </w:pPr>
            <w:r w:rsidRPr="00152A5B">
              <w:rPr>
                <w:rFonts w:eastAsia="Times New Roman"/>
                <w:color w:val="000000"/>
                <w:sz w:val="18"/>
                <w:szCs w:val="18"/>
                <w:lang w:eastAsia="en-US"/>
              </w:rPr>
              <w:t>WIPO Academy</w:t>
            </w:r>
          </w:p>
        </w:tc>
        <w:tc>
          <w:tcPr>
            <w:tcW w:w="2979" w:type="dxa"/>
            <w:tcBorders>
              <w:top w:val="nil"/>
              <w:left w:val="nil"/>
              <w:bottom w:val="single" w:sz="4" w:space="0" w:color="auto"/>
              <w:right w:val="single" w:sz="4" w:space="0" w:color="auto"/>
            </w:tcBorders>
            <w:shd w:val="clear" w:color="auto" w:fill="auto"/>
            <w:vAlign w:val="center"/>
          </w:tcPr>
          <w:p w:rsidR="00E412BD" w:rsidRPr="00152A5B" w:rsidRDefault="00E412BD" w:rsidP="001E2D32">
            <w:pPr>
              <w:keepLines/>
              <w:jc w:val="center"/>
              <w:rPr>
                <w:rFonts w:eastAsia="Times New Roman"/>
                <w:color w:val="000000"/>
                <w:sz w:val="18"/>
                <w:szCs w:val="18"/>
                <w:lang w:eastAsia="en-US"/>
              </w:rPr>
            </w:pPr>
            <w:r w:rsidRPr="00152A5B">
              <w:rPr>
                <w:rFonts w:eastAsia="Times New Roman"/>
                <w:color w:val="000000"/>
                <w:sz w:val="18"/>
                <w:szCs w:val="18"/>
                <w:lang w:eastAsia="en-US"/>
              </w:rPr>
              <w:t>Development</w:t>
            </w:r>
          </w:p>
        </w:tc>
        <w:tc>
          <w:tcPr>
            <w:tcW w:w="1335" w:type="dxa"/>
            <w:tcBorders>
              <w:top w:val="nil"/>
              <w:left w:val="nil"/>
              <w:bottom w:val="single" w:sz="4" w:space="0" w:color="auto"/>
              <w:right w:val="single" w:sz="4" w:space="0" w:color="auto"/>
            </w:tcBorders>
            <w:vAlign w:val="center"/>
          </w:tcPr>
          <w:p w:rsidR="00E412BD" w:rsidRPr="00152A5B" w:rsidRDefault="00E412BD" w:rsidP="001E2D32">
            <w:pPr>
              <w:keepLines/>
              <w:jc w:val="center"/>
              <w:rPr>
                <w:color w:val="000000"/>
                <w:sz w:val="18"/>
                <w:szCs w:val="18"/>
              </w:rPr>
            </w:pPr>
          </w:p>
        </w:tc>
      </w:tr>
      <w:tr w:rsidR="00E412BD" w:rsidRPr="00152A5B"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152A5B" w:rsidRDefault="00E412BD" w:rsidP="001E2D32">
            <w:pPr>
              <w:keepLines/>
              <w:rPr>
                <w:rFonts w:eastAsia="Times New Roman"/>
                <w:color w:val="000000"/>
                <w:sz w:val="18"/>
                <w:szCs w:val="18"/>
                <w:lang w:eastAsia="en-US"/>
              </w:rPr>
            </w:pPr>
            <w:r w:rsidRPr="00152A5B">
              <w:rPr>
                <w:rFonts w:eastAsia="Times New Roman"/>
                <w:color w:val="000000"/>
                <w:sz w:val="18"/>
                <w:szCs w:val="18"/>
                <w:lang w:eastAsia="en-US"/>
              </w:rPr>
              <w:t>Audit of Information Security</w:t>
            </w:r>
          </w:p>
        </w:tc>
        <w:tc>
          <w:tcPr>
            <w:tcW w:w="2979" w:type="dxa"/>
            <w:tcBorders>
              <w:top w:val="nil"/>
              <w:left w:val="nil"/>
              <w:bottom w:val="single" w:sz="4" w:space="0" w:color="auto"/>
              <w:right w:val="single" w:sz="4" w:space="0" w:color="auto"/>
            </w:tcBorders>
            <w:shd w:val="clear" w:color="auto" w:fill="auto"/>
            <w:vAlign w:val="center"/>
          </w:tcPr>
          <w:p w:rsidR="00E412BD" w:rsidRPr="00152A5B" w:rsidRDefault="00E412BD" w:rsidP="001E2D32">
            <w:pPr>
              <w:keepLines/>
              <w:jc w:val="center"/>
              <w:rPr>
                <w:rFonts w:eastAsia="Times New Roman"/>
                <w:color w:val="000000"/>
                <w:sz w:val="18"/>
                <w:szCs w:val="18"/>
                <w:lang w:eastAsia="en-US"/>
              </w:rPr>
            </w:pPr>
            <w:r w:rsidRPr="00152A5B">
              <w:rPr>
                <w:rFonts w:eastAsia="Times New Roman"/>
                <w:color w:val="000000"/>
                <w:sz w:val="18"/>
                <w:szCs w:val="18"/>
                <w:lang w:eastAsia="en-US"/>
              </w:rPr>
              <w:t>Administration and Management</w:t>
            </w:r>
          </w:p>
        </w:tc>
        <w:tc>
          <w:tcPr>
            <w:tcW w:w="1335" w:type="dxa"/>
            <w:tcBorders>
              <w:top w:val="nil"/>
              <w:left w:val="nil"/>
              <w:bottom w:val="single" w:sz="4" w:space="0" w:color="auto"/>
              <w:right w:val="single" w:sz="4" w:space="0" w:color="auto"/>
            </w:tcBorders>
            <w:shd w:val="clear" w:color="auto" w:fill="92D050"/>
            <w:vAlign w:val="center"/>
          </w:tcPr>
          <w:p w:rsidR="00E412BD" w:rsidRPr="00152A5B" w:rsidRDefault="00E412BD" w:rsidP="001E2D32">
            <w:pPr>
              <w:keepLines/>
              <w:jc w:val="center"/>
              <w:rPr>
                <w:color w:val="000000"/>
                <w:sz w:val="18"/>
                <w:szCs w:val="18"/>
              </w:rPr>
            </w:pPr>
          </w:p>
        </w:tc>
      </w:tr>
      <w:tr w:rsidR="00E412BD" w:rsidRPr="00152A5B"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152A5B" w:rsidRDefault="00E412BD" w:rsidP="001E2D32">
            <w:pPr>
              <w:keepLines/>
              <w:rPr>
                <w:rFonts w:eastAsia="Times New Roman"/>
                <w:color w:val="000000"/>
                <w:sz w:val="18"/>
                <w:szCs w:val="18"/>
                <w:lang w:eastAsia="en-US"/>
              </w:rPr>
            </w:pPr>
            <w:r w:rsidRPr="00152A5B">
              <w:rPr>
                <w:rFonts w:eastAsia="Times New Roman"/>
                <w:color w:val="000000"/>
                <w:sz w:val="18"/>
                <w:szCs w:val="18"/>
                <w:lang w:eastAsia="en-US"/>
              </w:rPr>
              <w:t>Review of Management of Staff Separation from Service</w:t>
            </w:r>
          </w:p>
        </w:tc>
        <w:tc>
          <w:tcPr>
            <w:tcW w:w="2979" w:type="dxa"/>
            <w:tcBorders>
              <w:top w:val="nil"/>
              <w:left w:val="nil"/>
              <w:bottom w:val="single" w:sz="4" w:space="0" w:color="auto"/>
              <w:right w:val="single" w:sz="4" w:space="0" w:color="auto"/>
            </w:tcBorders>
            <w:shd w:val="clear" w:color="auto" w:fill="auto"/>
            <w:vAlign w:val="center"/>
          </w:tcPr>
          <w:p w:rsidR="00E412BD" w:rsidRPr="00152A5B" w:rsidRDefault="00E412BD" w:rsidP="001E2D32">
            <w:pPr>
              <w:keepLines/>
              <w:jc w:val="center"/>
              <w:rPr>
                <w:rFonts w:eastAsia="Times New Roman"/>
                <w:color w:val="000000"/>
                <w:sz w:val="18"/>
                <w:szCs w:val="18"/>
                <w:lang w:eastAsia="en-US"/>
              </w:rPr>
            </w:pPr>
            <w:r w:rsidRPr="00152A5B">
              <w:rPr>
                <w:rFonts w:eastAsia="Times New Roman"/>
                <w:color w:val="000000"/>
                <w:sz w:val="18"/>
                <w:szCs w:val="18"/>
                <w:lang w:eastAsia="en-US"/>
              </w:rPr>
              <w:t>Human Resources</w:t>
            </w:r>
          </w:p>
        </w:tc>
        <w:tc>
          <w:tcPr>
            <w:tcW w:w="1335" w:type="dxa"/>
            <w:tcBorders>
              <w:top w:val="nil"/>
              <w:left w:val="nil"/>
              <w:bottom w:val="single" w:sz="4" w:space="0" w:color="auto"/>
              <w:right w:val="single" w:sz="4" w:space="0" w:color="auto"/>
            </w:tcBorders>
            <w:shd w:val="clear" w:color="auto" w:fill="92D050"/>
            <w:vAlign w:val="center"/>
          </w:tcPr>
          <w:p w:rsidR="00E412BD" w:rsidRPr="00152A5B" w:rsidRDefault="00E412BD" w:rsidP="001E2D32">
            <w:pPr>
              <w:keepLines/>
              <w:jc w:val="center"/>
              <w:rPr>
                <w:color w:val="000000"/>
                <w:sz w:val="18"/>
                <w:szCs w:val="18"/>
              </w:rPr>
            </w:pPr>
          </w:p>
        </w:tc>
      </w:tr>
      <w:tr w:rsidR="00E412BD" w:rsidRPr="00152A5B"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152A5B" w:rsidRDefault="00E412BD" w:rsidP="001E2D32">
            <w:pPr>
              <w:keepLines/>
              <w:rPr>
                <w:rFonts w:eastAsia="Times New Roman"/>
                <w:color w:val="000000"/>
                <w:sz w:val="18"/>
                <w:szCs w:val="18"/>
                <w:lang w:eastAsia="en-US"/>
              </w:rPr>
            </w:pPr>
            <w:r w:rsidRPr="00152A5B">
              <w:rPr>
                <w:rFonts w:eastAsia="Times New Roman"/>
                <w:color w:val="000000"/>
                <w:sz w:val="18"/>
                <w:szCs w:val="18"/>
                <w:lang w:eastAsia="en-US"/>
              </w:rPr>
              <w:t>Review of an SRP initiative: Strengthen</w:t>
            </w:r>
            <w:r w:rsidRPr="00152A5B">
              <w:rPr>
                <w:rFonts w:eastAsia="Times New Roman"/>
                <w:color w:val="000000"/>
                <w:sz w:val="18"/>
                <w:szCs w:val="18"/>
                <w:lang w:eastAsia="en-US"/>
              </w:rPr>
              <w:br w:type="page"/>
              <w:t>Results-Based Management</w:t>
            </w:r>
          </w:p>
        </w:tc>
        <w:tc>
          <w:tcPr>
            <w:tcW w:w="2979" w:type="dxa"/>
            <w:tcBorders>
              <w:top w:val="nil"/>
              <w:left w:val="nil"/>
              <w:bottom w:val="single" w:sz="4" w:space="0" w:color="auto"/>
              <w:right w:val="single" w:sz="4" w:space="0" w:color="auto"/>
            </w:tcBorders>
            <w:shd w:val="clear" w:color="auto" w:fill="auto"/>
            <w:vAlign w:val="center"/>
          </w:tcPr>
          <w:p w:rsidR="00E412BD" w:rsidRPr="00152A5B" w:rsidRDefault="00E412BD" w:rsidP="001E2D32">
            <w:pPr>
              <w:keepLines/>
              <w:jc w:val="center"/>
              <w:rPr>
                <w:rFonts w:eastAsia="Times New Roman"/>
                <w:color w:val="000000"/>
                <w:sz w:val="18"/>
                <w:szCs w:val="18"/>
                <w:lang w:eastAsia="en-US"/>
              </w:rPr>
            </w:pPr>
            <w:r w:rsidRPr="00152A5B">
              <w:rPr>
                <w:rFonts w:eastAsia="Times New Roman"/>
                <w:color w:val="000000"/>
                <w:sz w:val="18"/>
                <w:szCs w:val="18"/>
                <w:lang w:eastAsia="en-US"/>
              </w:rPr>
              <w:t>Cross-cutting</w:t>
            </w:r>
          </w:p>
        </w:tc>
        <w:tc>
          <w:tcPr>
            <w:tcW w:w="1335" w:type="dxa"/>
            <w:tcBorders>
              <w:top w:val="nil"/>
              <w:left w:val="nil"/>
              <w:bottom w:val="single" w:sz="4" w:space="0" w:color="auto"/>
              <w:right w:val="single" w:sz="4" w:space="0" w:color="auto"/>
            </w:tcBorders>
            <w:shd w:val="clear" w:color="auto" w:fill="92D050"/>
            <w:vAlign w:val="center"/>
          </w:tcPr>
          <w:p w:rsidR="00E412BD" w:rsidRPr="00152A5B" w:rsidRDefault="00E412BD" w:rsidP="001E2D32">
            <w:pPr>
              <w:keepLines/>
              <w:jc w:val="center"/>
              <w:rPr>
                <w:color w:val="000000"/>
                <w:sz w:val="18"/>
                <w:szCs w:val="18"/>
              </w:rPr>
            </w:pPr>
          </w:p>
        </w:tc>
      </w:tr>
      <w:tr w:rsidR="00E412BD" w:rsidRPr="00152A5B"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152A5B" w:rsidRDefault="00E412BD" w:rsidP="001E2D32">
            <w:pPr>
              <w:keepLines/>
              <w:rPr>
                <w:rFonts w:eastAsia="Times New Roman"/>
                <w:color w:val="000000"/>
                <w:sz w:val="18"/>
                <w:szCs w:val="18"/>
                <w:lang w:eastAsia="en-US"/>
              </w:rPr>
            </w:pPr>
            <w:r w:rsidRPr="00152A5B">
              <w:rPr>
                <w:rFonts w:eastAsia="Times New Roman"/>
                <w:color w:val="000000"/>
                <w:sz w:val="18"/>
                <w:szCs w:val="18"/>
                <w:lang w:eastAsia="en-US"/>
              </w:rPr>
              <w:t>Statements, pronouncements and activities incompatible with the obligations of an international civil servant (4 cases)</w:t>
            </w:r>
          </w:p>
        </w:tc>
        <w:tc>
          <w:tcPr>
            <w:tcW w:w="2979" w:type="dxa"/>
            <w:tcBorders>
              <w:top w:val="nil"/>
              <w:left w:val="nil"/>
              <w:bottom w:val="single" w:sz="4" w:space="0" w:color="auto"/>
              <w:right w:val="single" w:sz="4" w:space="0" w:color="auto"/>
            </w:tcBorders>
            <w:shd w:val="clear" w:color="auto" w:fill="auto"/>
            <w:vAlign w:val="center"/>
          </w:tcPr>
          <w:p w:rsidR="00E412BD" w:rsidRPr="00152A5B" w:rsidRDefault="00E412BD" w:rsidP="001E2D32">
            <w:pPr>
              <w:keepLines/>
              <w:jc w:val="center"/>
              <w:rPr>
                <w:sz w:val="18"/>
                <w:szCs w:val="18"/>
              </w:rPr>
            </w:pPr>
            <w:r w:rsidRPr="00152A5B">
              <w:rPr>
                <w:rFonts w:eastAsia="Times New Roman"/>
                <w:color w:val="000000"/>
                <w:sz w:val="18"/>
                <w:szCs w:val="18"/>
                <w:lang w:eastAsia="en-US"/>
              </w:rPr>
              <w:t>Not relevant</w:t>
            </w:r>
          </w:p>
        </w:tc>
        <w:tc>
          <w:tcPr>
            <w:tcW w:w="1335" w:type="dxa"/>
            <w:tcBorders>
              <w:top w:val="nil"/>
              <w:left w:val="nil"/>
              <w:bottom w:val="single" w:sz="4" w:space="0" w:color="auto"/>
              <w:right w:val="single" w:sz="4" w:space="0" w:color="auto"/>
            </w:tcBorders>
            <w:shd w:val="clear" w:color="auto" w:fill="FFFF00"/>
            <w:vAlign w:val="center"/>
          </w:tcPr>
          <w:p w:rsidR="00E412BD" w:rsidRPr="00152A5B" w:rsidRDefault="00E412BD" w:rsidP="001E2D32">
            <w:pPr>
              <w:keepLines/>
              <w:jc w:val="center"/>
              <w:rPr>
                <w:color w:val="000000"/>
                <w:sz w:val="18"/>
                <w:szCs w:val="18"/>
              </w:rPr>
            </w:pPr>
          </w:p>
        </w:tc>
      </w:tr>
      <w:tr w:rsidR="00E412BD" w:rsidRPr="00152A5B"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152A5B" w:rsidRDefault="00E412BD" w:rsidP="001E2D32">
            <w:pPr>
              <w:keepLines/>
              <w:rPr>
                <w:rFonts w:eastAsia="Times New Roman"/>
                <w:color w:val="000000"/>
                <w:sz w:val="18"/>
                <w:szCs w:val="18"/>
                <w:lang w:eastAsia="en-US"/>
              </w:rPr>
            </w:pPr>
            <w:r w:rsidRPr="00152A5B">
              <w:rPr>
                <w:rFonts w:eastAsia="Times New Roman"/>
                <w:color w:val="000000"/>
                <w:sz w:val="18"/>
                <w:szCs w:val="18"/>
                <w:lang w:eastAsia="en-US"/>
              </w:rPr>
              <w:t>Unauthorized communication of information (2 cases)</w:t>
            </w:r>
          </w:p>
        </w:tc>
        <w:tc>
          <w:tcPr>
            <w:tcW w:w="2979" w:type="dxa"/>
            <w:tcBorders>
              <w:top w:val="nil"/>
              <w:left w:val="nil"/>
              <w:bottom w:val="single" w:sz="4" w:space="0" w:color="auto"/>
              <w:right w:val="single" w:sz="4" w:space="0" w:color="auto"/>
            </w:tcBorders>
            <w:shd w:val="clear" w:color="auto" w:fill="auto"/>
            <w:vAlign w:val="center"/>
          </w:tcPr>
          <w:p w:rsidR="00E412BD" w:rsidRPr="00152A5B" w:rsidRDefault="00E412BD" w:rsidP="001E2D32">
            <w:pPr>
              <w:keepLines/>
              <w:jc w:val="center"/>
              <w:rPr>
                <w:sz w:val="18"/>
                <w:szCs w:val="18"/>
              </w:rPr>
            </w:pPr>
            <w:r w:rsidRPr="00152A5B">
              <w:rPr>
                <w:rFonts w:eastAsia="Times New Roman"/>
                <w:color w:val="000000"/>
                <w:sz w:val="18"/>
                <w:szCs w:val="18"/>
                <w:lang w:eastAsia="en-US"/>
              </w:rPr>
              <w:t>Not relevant</w:t>
            </w:r>
          </w:p>
        </w:tc>
        <w:tc>
          <w:tcPr>
            <w:tcW w:w="1335" w:type="dxa"/>
            <w:tcBorders>
              <w:top w:val="nil"/>
              <w:left w:val="nil"/>
              <w:bottom w:val="single" w:sz="4" w:space="0" w:color="auto"/>
              <w:right w:val="single" w:sz="4" w:space="0" w:color="auto"/>
            </w:tcBorders>
            <w:shd w:val="clear" w:color="auto" w:fill="FFFF00"/>
            <w:vAlign w:val="center"/>
          </w:tcPr>
          <w:p w:rsidR="00E412BD" w:rsidRPr="00152A5B" w:rsidRDefault="00E412BD" w:rsidP="001E2D32">
            <w:pPr>
              <w:keepLines/>
              <w:jc w:val="center"/>
              <w:rPr>
                <w:color w:val="000000"/>
                <w:sz w:val="18"/>
                <w:szCs w:val="18"/>
              </w:rPr>
            </w:pPr>
          </w:p>
        </w:tc>
      </w:tr>
      <w:tr w:rsidR="00E412BD" w:rsidRPr="00152A5B"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E412BD" w:rsidRPr="00152A5B" w:rsidRDefault="00E412BD" w:rsidP="001E2D32">
            <w:pPr>
              <w:keepLines/>
              <w:rPr>
                <w:sz w:val="18"/>
                <w:szCs w:val="18"/>
              </w:rPr>
            </w:pPr>
            <w:r w:rsidRPr="00152A5B">
              <w:rPr>
                <w:sz w:val="18"/>
                <w:szCs w:val="18"/>
              </w:rPr>
              <w:t>Irregular HR practices</w:t>
            </w:r>
            <w:r w:rsidRPr="00152A5B">
              <w:rPr>
                <w:rFonts w:eastAsia="Times New Roman"/>
                <w:color w:val="000000"/>
                <w:sz w:val="18"/>
                <w:szCs w:val="18"/>
                <w:lang w:eastAsia="en-US"/>
              </w:rPr>
              <w:t xml:space="preserve"> (1 case)</w:t>
            </w:r>
          </w:p>
        </w:tc>
        <w:tc>
          <w:tcPr>
            <w:tcW w:w="2979" w:type="dxa"/>
            <w:tcBorders>
              <w:top w:val="nil"/>
              <w:left w:val="nil"/>
              <w:bottom w:val="single" w:sz="4" w:space="0" w:color="auto"/>
              <w:right w:val="single" w:sz="4" w:space="0" w:color="auto"/>
            </w:tcBorders>
            <w:shd w:val="clear" w:color="auto" w:fill="auto"/>
            <w:vAlign w:val="center"/>
          </w:tcPr>
          <w:p w:rsidR="00E412BD" w:rsidRPr="00152A5B" w:rsidRDefault="00E412BD" w:rsidP="001E2D32">
            <w:pPr>
              <w:keepLines/>
              <w:jc w:val="center"/>
              <w:rPr>
                <w:sz w:val="18"/>
                <w:szCs w:val="18"/>
              </w:rPr>
            </w:pPr>
            <w:r w:rsidRPr="00152A5B">
              <w:rPr>
                <w:rFonts w:eastAsia="Times New Roman"/>
                <w:color w:val="000000"/>
                <w:sz w:val="18"/>
                <w:szCs w:val="18"/>
                <w:lang w:eastAsia="en-US"/>
              </w:rPr>
              <w:t>Not relevant</w:t>
            </w:r>
          </w:p>
        </w:tc>
        <w:tc>
          <w:tcPr>
            <w:tcW w:w="1335" w:type="dxa"/>
            <w:tcBorders>
              <w:top w:val="nil"/>
              <w:left w:val="nil"/>
              <w:bottom w:val="single" w:sz="4" w:space="0" w:color="auto"/>
              <w:right w:val="single" w:sz="4" w:space="0" w:color="auto"/>
            </w:tcBorders>
            <w:shd w:val="clear" w:color="auto" w:fill="FFFF00"/>
            <w:vAlign w:val="center"/>
          </w:tcPr>
          <w:p w:rsidR="00E412BD" w:rsidRPr="00152A5B" w:rsidRDefault="00E412BD" w:rsidP="001E2D32">
            <w:pPr>
              <w:keepLines/>
              <w:jc w:val="center"/>
              <w:rPr>
                <w:color w:val="000000"/>
                <w:sz w:val="18"/>
                <w:szCs w:val="18"/>
              </w:rPr>
            </w:pPr>
          </w:p>
        </w:tc>
      </w:tr>
      <w:tr w:rsidR="00E412BD" w:rsidRPr="00152A5B"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E412BD" w:rsidRPr="00152A5B" w:rsidRDefault="00E412BD" w:rsidP="001E2D32">
            <w:pPr>
              <w:keepLines/>
              <w:rPr>
                <w:sz w:val="18"/>
                <w:szCs w:val="18"/>
              </w:rPr>
            </w:pPr>
            <w:r w:rsidRPr="00152A5B">
              <w:rPr>
                <w:sz w:val="18"/>
                <w:szCs w:val="18"/>
              </w:rPr>
              <w:t>Harassment/Discrimination/Abuse of Authority</w:t>
            </w:r>
            <w:r w:rsidRPr="00152A5B">
              <w:rPr>
                <w:rFonts w:eastAsia="Times New Roman"/>
                <w:color w:val="000000"/>
                <w:sz w:val="18"/>
                <w:szCs w:val="18"/>
                <w:lang w:eastAsia="en-US"/>
              </w:rPr>
              <w:t xml:space="preserve"> (4 cases)</w:t>
            </w:r>
          </w:p>
        </w:tc>
        <w:tc>
          <w:tcPr>
            <w:tcW w:w="2979" w:type="dxa"/>
            <w:tcBorders>
              <w:top w:val="nil"/>
              <w:left w:val="nil"/>
              <w:bottom w:val="single" w:sz="4" w:space="0" w:color="auto"/>
              <w:right w:val="single" w:sz="4" w:space="0" w:color="auto"/>
            </w:tcBorders>
            <w:shd w:val="clear" w:color="auto" w:fill="auto"/>
            <w:vAlign w:val="center"/>
          </w:tcPr>
          <w:p w:rsidR="00E412BD" w:rsidRPr="00152A5B" w:rsidRDefault="00E412BD" w:rsidP="001E2D32">
            <w:pPr>
              <w:keepLines/>
              <w:jc w:val="center"/>
              <w:rPr>
                <w:sz w:val="18"/>
                <w:szCs w:val="18"/>
              </w:rPr>
            </w:pPr>
            <w:r w:rsidRPr="00152A5B">
              <w:rPr>
                <w:rFonts w:eastAsia="Times New Roman"/>
                <w:color w:val="000000"/>
                <w:sz w:val="18"/>
                <w:szCs w:val="18"/>
                <w:lang w:eastAsia="en-US"/>
              </w:rPr>
              <w:t>Not relevant</w:t>
            </w:r>
          </w:p>
        </w:tc>
        <w:tc>
          <w:tcPr>
            <w:tcW w:w="1335" w:type="dxa"/>
            <w:tcBorders>
              <w:top w:val="nil"/>
              <w:left w:val="nil"/>
              <w:bottom w:val="single" w:sz="4" w:space="0" w:color="auto"/>
              <w:right w:val="single" w:sz="4" w:space="0" w:color="auto"/>
            </w:tcBorders>
            <w:shd w:val="clear" w:color="auto" w:fill="FFFF00"/>
            <w:vAlign w:val="center"/>
          </w:tcPr>
          <w:p w:rsidR="00E412BD" w:rsidRPr="00152A5B" w:rsidRDefault="00E412BD" w:rsidP="001E2D32">
            <w:pPr>
              <w:keepLines/>
              <w:jc w:val="center"/>
              <w:rPr>
                <w:color w:val="000000"/>
                <w:sz w:val="18"/>
                <w:szCs w:val="18"/>
              </w:rPr>
            </w:pPr>
          </w:p>
        </w:tc>
      </w:tr>
      <w:tr w:rsidR="00E412BD" w:rsidRPr="00152A5B"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E412BD" w:rsidRPr="00152A5B" w:rsidRDefault="00E412BD" w:rsidP="001E2D32">
            <w:pPr>
              <w:keepLines/>
              <w:rPr>
                <w:sz w:val="18"/>
                <w:szCs w:val="18"/>
              </w:rPr>
            </w:pPr>
            <w:r w:rsidRPr="00152A5B">
              <w:rPr>
                <w:sz w:val="18"/>
                <w:szCs w:val="18"/>
              </w:rPr>
              <w:t>Misuse of ICT resources (1 case)</w:t>
            </w:r>
          </w:p>
        </w:tc>
        <w:tc>
          <w:tcPr>
            <w:tcW w:w="2979" w:type="dxa"/>
            <w:tcBorders>
              <w:top w:val="nil"/>
              <w:left w:val="nil"/>
              <w:bottom w:val="single" w:sz="4" w:space="0" w:color="auto"/>
              <w:right w:val="single" w:sz="4" w:space="0" w:color="auto"/>
            </w:tcBorders>
            <w:shd w:val="clear" w:color="auto" w:fill="auto"/>
            <w:vAlign w:val="center"/>
          </w:tcPr>
          <w:p w:rsidR="00E412BD" w:rsidRPr="00152A5B" w:rsidRDefault="00E412BD" w:rsidP="001E2D32">
            <w:pPr>
              <w:keepLines/>
              <w:jc w:val="center"/>
              <w:rPr>
                <w:rFonts w:eastAsia="Times New Roman"/>
                <w:color w:val="000000"/>
                <w:sz w:val="18"/>
                <w:szCs w:val="18"/>
                <w:lang w:eastAsia="en-US"/>
              </w:rPr>
            </w:pPr>
            <w:r w:rsidRPr="00152A5B">
              <w:rPr>
                <w:rFonts w:eastAsia="Times New Roman"/>
                <w:color w:val="000000"/>
                <w:sz w:val="18"/>
                <w:szCs w:val="18"/>
                <w:lang w:eastAsia="en-US"/>
              </w:rPr>
              <w:t>Not relevant</w:t>
            </w:r>
          </w:p>
        </w:tc>
        <w:tc>
          <w:tcPr>
            <w:tcW w:w="1335" w:type="dxa"/>
            <w:tcBorders>
              <w:top w:val="nil"/>
              <w:left w:val="nil"/>
              <w:bottom w:val="single" w:sz="4" w:space="0" w:color="auto"/>
              <w:right w:val="single" w:sz="4" w:space="0" w:color="auto"/>
            </w:tcBorders>
            <w:shd w:val="clear" w:color="auto" w:fill="FFFF00"/>
            <w:vAlign w:val="center"/>
          </w:tcPr>
          <w:p w:rsidR="00E412BD" w:rsidRPr="00152A5B" w:rsidRDefault="00E412BD" w:rsidP="001E2D32">
            <w:pPr>
              <w:keepLines/>
              <w:jc w:val="center"/>
              <w:rPr>
                <w:color w:val="000000"/>
                <w:sz w:val="18"/>
                <w:szCs w:val="18"/>
              </w:rPr>
            </w:pPr>
          </w:p>
        </w:tc>
      </w:tr>
      <w:tr w:rsidR="00E412BD" w:rsidRPr="00152A5B"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E412BD" w:rsidRPr="00152A5B" w:rsidRDefault="00E412BD" w:rsidP="001E2D32">
            <w:pPr>
              <w:keepLines/>
              <w:rPr>
                <w:sz w:val="18"/>
                <w:szCs w:val="18"/>
              </w:rPr>
            </w:pPr>
            <w:r w:rsidRPr="00152A5B">
              <w:rPr>
                <w:rFonts w:eastAsia="Times New Roman"/>
                <w:sz w:val="18"/>
                <w:szCs w:val="18"/>
                <w:lang w:eastAsia="en-US"/>
              </w:rPr>
              <w:t>Other fraudulent and corrupt practices (other than benefits and entitlements fraud)/Misappropriation or misuse  of funds and assets (other than the misuse of ICT resources) – 2 cases</w:t>
            </w:r>
          </w:p>
        </w:tc>
        <w:tc>
          <w:tcPr>
            <w:tcW w:w="2979" w:type="dxa"/>
            <w:tcBorders>
              <w:top w:val="nil"/>
              <w:left w:val="nil"/>
              <w:bottom w:val="single" w:sz="4" w:space="0" w:color="auto"/>
              <w:right w:val="single" w:sz="4" w:space="0" w:color="auto"/>
            </w:tcBorders>
            <w:shd w:val="clear" w:color="auto" w:fill="auto"/>
            <w:vAlign w:val="center"/>
          </w:tcPr>
          <w:p w:rsidR="00E412BD" w:rsidRPr="00152A5B" w:rsidRDefault="00E412BD" w:rsidP="001E2D32">
            <w:pPr>
              <w:keepLines/>
              <w:jc w:val="center"/>
              <w:rPr>
                <w:rFonts w:eastAsia="Times New Roman"/>
                <w:color w:val="000000"/>
                <w:sz w:val="18"/>
                <w:szCs w:val="18"/>
                <w:lang w:eastAsia="en-US"/>
              </w:rPr>
            </w:pPr>
            <w:r w:rsidRPr="00152A5B">
              <w:rPr>
                <w:rFonts w:eastAsia="Times New Roman"/>
                <w:color w:val="000000"/>
                <w:sz w:val="18"/>
                <w:szCs w:val="18"/>
                <w:lang w:eastAsia="en-US"/>
              </w:rPr>
              <w:t>Not relevant</w:t>
            </w:r>
          </w:p>
        </w:tc>
        <w:tc>
          <w:tcPr>
            <w:tcW w:w="1335" w:type="dxa"/>
            <w:tcBorders>
              <w:top w:val="nil"/>
              <w:left w:val="nil"/>
              <w:bottom w:val="single" w:sz="4" w:space="0" w:color="auto"/>
              <w:right w:val="single" w:sz="4" w:space="0" w:color="auto"/>
            </w:tcBorders>
            <w:shd w:val="clear" w:color="auto" w:fill="FFFF00"/>
            <w:vAlign w:val="center"/>
          </w:tcPr>
          <w:p w:rsidR="00E412BD" w:rsidRPr="00152A5B" w:rsidRDefault="00E412BD" w:rsidP="001E2D32">
            <w:pPr>
              <w:keepLines/>
              <w:jc w:val="center"/>
              <w:rPr>
                <w:color w:val="000000"/>
                <w:sz w:val="18"/>
                <w:szCs w:val="18"/>
              </w:rPr>
            </w:pPr>
          </w:p>
        </w:tc>
      </w:tr>
      <w:tr w:rsidR="00E412BD" w:rsidRPr="00152A5B"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152A5B" w:rsidRDefault="00E412BD" w:rsidP="001E2D32">
            <w:pPr>
              <w:keepLines/>
              <w:rPr>
                <w:rFonts w:eastAsia="Times New Roman"/>
                <w:color w:val="000000"/>
                <w:sz w:val="18"/>
                <w:szCs w:val="18"/>
                <w:lang w:eastAsia="en-US"/>
              </w:rPr>
            </w:pPr>
            <w:r w:rsidRPr="00152A5B">
              <w:rPr>
                <w:rFonts w:eastAsia="Times New Roman"/>
                <w:color w:val="000000"/>
                <w:sz w:val="18"/>
                <w:szCs w:val="18"/>
                <w:lang w:eastAsia="en-US"/>
              </w:rPr>
              <w:t>Fraud Risk assessment</w:t>
            </w:r>
          </w:p>
        </w:tc>
        <w:tc>
          <w:tcPr>
            <w:tcW w:w="2979" w:type="dxa"/>
            <w:tcBorders>
              <w:top w:val="nil"/>
              <w:left w:val="nil"/>
              <w:bottom w:val="single" w:sz="4" w:space="0" w:color="auto"/>
              <w:right w:val="single" w:sz="4" w:space="0" w:color="auto"/>
            </w:tcBorders>
            <w:shd w:val="clear" w:color="auto" w:fill="auto"/>
            <w:vAlign w:val="center"/>
          </w:tcPr>
          <w:p w:rsidR="00E412BD" w:rsidRPr="00152A5B" w:rsidRDefault="00E412BD" w:rsidP="001E2D32">
            <w:pPr>
              <w:keepLines/>
              <w:jc w:val="center"/>
              <w:rPr>
                <w:rFonts w:eastAsia="Times New Roman"/>
                <w:color w:val="000000"/>
                <w:sz w:val="18"/>
                <w:szCs w:val="18"/>
                <w:lang w:eastAsia="en-US"/>
              </w:rPr>
            </w:pPr>
            <w:r w:rsidRPr="00152A5B">
              <w:rPr>
                <w:rFonts w:eastAsia="Times New Roman"/>
                <w:color w:val="000000"/>
                <w:sz w:val="18"/>
                <w:szCs w:val="18"/>
                <w:lang w:eastAsia="en-US"/>
              </w:rPr>
              <w:t>Cross-cutting</w:t>
            </w:r>
          </w:p>
        </w:tc>
        <w:tc>
          <w:tcPr>
            <w:tcW w:w="1335" w:type="dxa"/>
            <w:tcBorders>
              <w:top w:val="nil"/>
              <w:left w:val="nil"/>
              <w:bottom w:val="single" w:sz="4" w:space="0" w:color="auto"/>
              <w:right w:val="single" w:sz="4" w:space="0" w:color="auto"/>
            </w:tcBorders>
            <w:shd w:val="clear" w:color="auto" w:fill="92D050"/>
            <w:vAlign w:val="center"/>
          </w:tcPr>
          <w:p w:rsidR="00E412BD" w:rsidRPr="00152A5B" w:rsidRDefault="00E412BD" w:rsidP="001E2D32">
            <w:pPr>
              <w:keepLines/>
              <w:jc w:val="center"/>
              <w:rPr>
                <w:color w:val="000000"/>
                <w:sz w:val="18"/>
                <w:szCs w:val="18"/>
              </w:rPr>
            </w:pPr>
          </w:p>
        </w:tc>
      </w:tr>
      <w:tr w:rsidR="00E412BD" w:rsidRPr="00152A5B"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152A5B" w:rsidRDefault="00E412BD" w:rsidP="001E2D32">
            <w:pPr>
              <w:keepLines/>
              <w:rPr>
                <w:rFonts w:eastAsia="Times New Roman"/>
                <w:color w:val="000000"/>
                <w:sz w:val="18"/>
                <w:szCs w:val="18"/>
                <w:lang w:eastAsia="en-US"/>
              </w:rPr>
            </w:pPr>
            <w:r w:rsidRPr="00152A5B">
              <w:rPr>
                <w:rFonts w:eastAsia="Times New Roman"/>
                <w:color w:val="000000"/>
                <w:sz w:val="18"/>
                <w:szCs w:val="18"/>
                <w:lang w:eastAsia="en-US"/>
              </w:rPr>
              <w:t>Advisory and consulting engagements</w:t>
            </w:r>
          </w:p>
        </w:tc>
        <w:tc>
          <w:tcPr>
            <w:tcW w:w="2979" w:type="dxa"/>
            <w:tcBorders>
              <w:top w:val="nil"/>
              <w:left w:val="nil"/>
              <w:bottom w:val="single" w:sz="4" w:space="0" w:color="auto"/>
              <w:right w:val="single" w:sz="4" w:space="0" w:color="auto"/>
            </w:tcBorders>
            <w:shd w:val="clear" w:color="auto" w:fill="auto"/>
            <w:vAlign w:val="center"/>
          </w:tcPr>
          <w:p w:rsidR="00E412BD" w:rsidRPr="00152A5B" w:rsidRDefault="00E412BD" w:rsidP="001E2D32">
            <w:pPr>
              <w:keepLines/>
              <w:jc w:val="center"/>
              <w:rPr>
                <w:rFonts w:eastAsia="Times New Roman"/>
                <w:color w:val="000000"/>
                <w:sz w:val="18"/>
                <w:szCs w:val="18"/>
                <w:lang w:eastAsia="en-US"/>
              </w:rPr>
            </w:pPr>
            <w:r w:rsidRPr="00152A5B">
              <w:rPr>
                <w:rFonts w:eastAsia="Times New Roman"/>
                <w:color w:val="000000"/>
                <w:sz w:val="18"/>
                <w:szCs w:val="18"/>
                <w:lang w:eastAsia="en-US"/>
              </w:rPr>
              <w:t>Cross-cutting</w:t>
            </w:r>
          </w:p>
        </w:tc>
        <w:tc>
          <w:tcPr>
            <w:tcW w:w="1335" w:type="dxa"/>
            <w:tcBorders>
              <w:top w:val="nil"/>
              <w:left w:val="nil"/>
              <w:bottom w:val="single" w:sz="4" w:space="0" w:color="auto"/>
              <w:right w:val="single" w:sz="4" w:space="0" w:color="auto"/>
            </w:tcBorders>
            <w:shd w:val="clear" w:color="auto" w:fill="FFFF00"/>
            <w:vAlign w:val="center"/>
          </w:tcPr>
          <w:p w:rsidR="00E412BD" w:rsidRPr="00152A5B" w:rsidRDefault="00E412BD" w:rsidP="001E2D32">
            <w:pPr>
              <w:keepLines/>
              <w:jc w:val="center"/>
              <w:rPr>
                <w:color w:val="000000"/>
                <w:sz w:val="18"/>
                <w:szCs w:val="18"/>
              </w:rPr>
            </w:pPr>
          </w:p>
        </w:tc>
      </w:tr>
      <w:tr w:rsidR="00E412BD" w:rsidRPr="00152A5B"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152A5B" w:rsidRDefault="00E412BD" w:rsidP="001E2D32">
            <w:pPr>
              <w:keepLines/>
              <w:rPr>
                <w:rFonts w:eastAsia="Times New Roman"/>
                <w:color w:val="000000"/>
                <w:sz w:val="18"/>
                <w:szCs w:val="18"/>
                <w:lang w:eastAsia="en-US"/>
              </w:rPr>
            </w:pPr>
            <w:r w:rsidRPr="00152A5B">
              <w:rPr>
                <w:rFonts w:eastAsia="Times New Roman"/>
                <w:color w:val="000000"/>
                <w:sz w:val="18"/>
                <w:szCs w:val="18"/>
                <w:lang w:eastAsia="en-US"/>
              </w:rPr>
              <w:t>Networking with Other Agencies</w:t>
            </w:r>
          </w:p>
        </w:tc>
        <w:tc>
          <w:tcPr>
            <w:tcW w:w="2979" w:type="dxa"/>
            <w:tcBorders>
              <w:top w:val="nil"/>
              <w:left w:val="nil"/>
              <w:bottom w:val="single" w:sz="4" w:space="0" w:color="auto"/>
              <w:right w:val="single" w:sz="4" w:space="0" w:color="auto"/>
            </w:tcBorders>
            <w:shd w:val="clear" w:color="auto" w:fill="auto"/>
            <w:vAlign w:val="center"/>
          </w:tcPr>
          <w:p w:rsidR="00E412BD" w:rsidRPr="00152A5B" w:rsidRDefault="00E412BD" w:rsidP="001E2D32">
            <w:pPr>
              <w:keepLines/>
              <w:jc w:val="center"/>
              <w:rPr>
                <w:rFonts w:eastAsia="Times New Roman"/>
                <w:color w:val="000000"/>
                <w:sz w:val="18"/>
                <w:szCs w:val="18"/>
                <w:lang w:eastAsia="en-US"/>
              </w:rPr>
            </w:pPr>
            <w:r w:rsidRPr="00152A5B">
              <w:rPr>
                <w:rFonts w:eastAsia="Times New Roman"/>
                <w:color w:val="000000"/>
                <w:sz w:val="18"/>
                <w:szCs w:val="18"/>
                <w:lang w:eastAsia="en-US"/>
              </w:rPr>
              <w:t>IAOD</w:t>
            </w:r>
          </w:p>
        </w:tc>
        <w:tc>
          <w:tcPr>
            <w:tcW w:w="1335" w:type="dxa"/>
            <w:tcBorders>
              <w:top w:val="nil"/>
              <w:left w:val="nil"/>
              <w:bottom w:val="single" w:sz="4" w:space="0" w:color="auto"/>
              <w:right w:val="single" w:sz="4" w:space="0" w:color="auto"/>
            </w:tcBorders>
            <w:shd w:val="clear" w:color="auto" w:fill="FFFF00"/>
            <w:vAlign w:val="center"/>
          </w:tcPr>
          <w:p w:rsidR="00E412BD" w:rsidRPr="00152A5B" w:rsidRDefault="00E412BD" w:rsidP="001E2D32">
            <w:pPr>
              <w:keepLines/>
              <w:jc w:val="center"/>
              <w:rPr>
                <w:color w:val="000000"/>
                <w:sz w:val="18"/>
                <w:szCs w:val="18"/>
              </w:rPr>
            </w:pPr>
          </w:p>
        </w:tc>
      </w:tr>
      <w:tr w:rsidR="00E412BD" w:rsidRPr="00152A5B"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152A5B" w:rsidRDefault="00E412BD" w:rsidP="001E2D32">
            <w:pPr>
              <w:keepLines/>
              <w:rPr>
                <w:rFonts w:eastAsia="Times New Roman"/>
                <w:color w:val="000000"/>
                <w:sz w:val="18"/>
                <w:szCs w:val="18"/>
                <w:lang w:eastAsia="en-US"/>
              </w:rPr>
            </w:pPr>
            <w:r w:rsidRPr="00152A5B">
              <w:rPr>
                <w:rFonts w:eastAsia="Times New Roman"/>
                <w:color w:val="000000"/>
                <w:sz w:val="18"/>
                <w:szCs w:val="18"/>
                <w:lang w:eastAsia="en-US"/>
              </w:rPr>
              <w:t>Independent Advisory Oversight Committee</w:t>
            </w:r>
          </w:p>
        </w:tc>
        <w:tc>
          <w:tcPr>
            <w:tcW w:w="2979" w:type="dxa"/>
            <w:tcBorders>
              <w:top w:val="nil"/>
              <w:left w:val="nil"/>
              <w:bottom w:val="single" w:sz="4" w:space="0" w:color="auto"/>
              <w:right w:val="single" w:sz="4" w:space="0" w:color="auto"/>
            </w:tcBorders>
            <w:shd w:val="clear" w:color="auto" w:fill="auto"/>
            <w:vAlign w:val="center"/>
          </w:tcPr>
          <w:p w:rsidR="00E412BD" w:rsidRPr="00152A5B" w:rsidRDefault="00E412BD" w:rsidP="001E2D32">
            <w:pPr>
              <w:keepLines/>
              <w:jc w:val="center"/>
              <w:rPr>
                <w:rFonts w:eastAsia="Times New Roman"/>
                <w:color w:val="000000"/>
                <w:sz w:val="18"/>
                <w:szCs w:val="18"/>
                <w:lang w:eastAsia="en-US"/>
              </w:rPr>
            </w:pPr>
            <w:r w:rsidRPr="00152A5B">
              <w:rPr>
                <w:rFonts w:eastAsia="Times New Roman"/>
                <w:color w:val="000000"/>
                <w:sz w:val="18"/>
                <w:szCs w:val="18"/>
                <w:lang w:eastAsia="en-US"/>
              </w:rPr>
              <w:t>IAOD</w:t>
            </w:r>
          </w:p>
        </w:tc>
        <w:tc>
          <w:tcPr>
            <w:tcW w:w="1335" w:type="dxa"/>
            <w:tcBorders>
              <w:top w:val="nil"/>
              <w:left w:val="nil"/>
              <w:bottom w:val="single" w:sz="4" w:space="0" w:color="auto"/>
              <w:right w:val="single" w:sz="4" w:space="0" w:color="auto"/>
            </w:tcBorders>
            <w:shd w:val="clear" w:color="auto" w:fill="FFFF00"/>
            <w:vAlign w:val="center"/>
          </w:tcPr>
          <w:p w:rsidR="00E412BD" w:rsidRPr="00152A5B" w:rsidRDefault="00E412BD" w:rsidP="001E2D32">
            <w:pPr>
              <w:keepLines/>
              <w:jc w:val="center"/>
              <w:rPr>
                <w:color w:val="000000"/>
                <w:sz w:val="18"/>
                <w:szCs w:val="18"/>
              </w:rPr>
            </w:pPr>
          </w:p>
        </w:tc>
      </w:tr>
      <w:tr w:rsidR="00E412BD" w:rsidRPr="00152A5B"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152A5B" w:rsidRDefault="00E412BD" w:rsidP="001E2D32">
            <w:pPr>
              <w:keepLines/>
              <w:rPr>
                <w:rFonts w:eastAsia="Times New Roman"/>
                <w:color w:val="000000"/>
                <w:sz w:val="18"/>
                <w:szCs w:val="18"/>
                <w:lang w:eastAsia="en-US"/>
              </w:rPr>
            </w:pPr>
            <w:r w:rsidRPr="00152A5B">
              <w:rPr>
                <w:rFonts w:eastAsia="Times New Roman"/>
                <w:color w:val="000000"/>
                <w:sz w:val="18"/>
                <w:szCs w:val="18"/>
                <w:lang w:eastAsia="en-US"/>
              </w:rPr>
              <w:t>Other indirect activities</w:t>
            </w:r>
          </w:p>
        </w:tc>
        <w:tc>
          <w:tcPr>
            <w:tcW w:w="2979" w:type="dxa"/>
            <w:tcBorders>
              <w:top w:val="nil"/>
              <w:left w:val="nil"/>
              <w:bottom w:val="single" w:sz="4" w:space="0" w:color="auto"/>
              <w:right w:val="single" w:sz="4" w:space="0" w:color="auto"/>
            </w:tcBorders>
            <w:shd w:val="clear" w:color="auto" w:fill="auto"/>
            <w:vAlign w:val="center"/>
          </w:tcPr>
          <w:p w:rsidR="00E412BD" w:rsidRPr="00152A5B" w:rsidRDefault="00E412BD" w:rsidP="001E2D32">
            <w:pPr>
              <w:keepLines/>
              <w:jc w:val="center"/>
              <w:rPr>
                <w:rFonts w:eastAsia="Times New Roman"/>
                <w:color w:val="000000"/>
                <w:sz w:val="18"/>
                <w:szCs w:val="18"/>
                <w:lang w:eastAsia="en-US"/>
              </w:rPr>
            </w:pPr>
            <w:r w:rsidRPr="00152A5B">
              <w:rPr>
                <w:rFonts w:eastAsia="Times New Roman"/>
                <w:color w:val="000000"/>
                <w:sz w:val="18"/>
                <w:szCs w:val="18"/>
                <w:lang w:eastAsia="en-US"/>
              </w:rPr>
              <w:t>IAOD</w:t>
            </w:r>
          </w:p>
        </w:tc>
        <w:tc>
          <w:tcPr>
            <w:tcW w:w="1335" w:type="dxa"/>
            <w:tcBorders>
              <w:top w:val="nil"/>
              <w:left w:val="nil"/>
              <w:bottom w:val="single" w:sz="4" w:space="0" w:color="auto"/>
              <w:right w:val="single" w:sz="4" w:space="0" w:color="auto"/>
            </w:tcBorders>
            <w:shd w:val="clear" w:color="auto" w:fill="FFFF00"/>
            <w:vAlign w:val="center"/>
          </w:tcPr>
          <w:p w:rsidR="00E412BD" w:rsidRPr="00152A5B" w:rsidRDefault="00E412BD" w:rsidP="001E2D32">
            <w:pPr>
              <w:keepLines/>
              <w:jc w:val="center"/>
              <w:rPr>
                <w:color w:val="000000"/>
                <w:sz w:val="18"/>
                <w:szCs w:val="18"/>
              </w:rPr>
            </w:pPr>
          </w:p>
        </w:tc>
      </w:tr>
      <w:tr w:rsidR="00E412BD" w:rsidRPr="00152A5B"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152A5B" w:rsidRDefault="00E412BD" w:rsidP="001E2D32">
            <w:pPr>
              <w:keepLines/>
              <w:rPr>
                <w:rFonts w:eastAsia="Times New Roman"/>
                <w:color w:val="000000"/>
                <w:sz w:val="18"/>
                <w:szCs w:val="18"/>
                <w:lang w:eastAsia="en-US"/>
              </w:rPr>
            </w:pPr>
            <w:r w:rsidRPr="00152A5B">
              <w:rPr>
                <w:rFonts w:eastAsia="Times New Roman"/>
                <w:color w:val="000000"/>
                <w:sz w:val="18"/>
                <w:szCs w:val="18"/>
                <w:lang w:eastAsia="en-US"/>
              </w:rPr>
              <w:t>Follow-up of open recommendations</w:t>
            </w:r>
          </w:p>
        </w:tc>
        <w:tc>
          <w:tcPr>
            <w:tcW w:w="2979" w:type="dxa"/>
            <w:tcBorders>
              <w:top w:val="nil"/>
              <w:left w:val="nil"/>
              <w:bottom w:val="single" w:sz="4" w:space="0" w:color="auto"/>
              <w:right w:val="single" w:sz="4" w:space="0" w:color="auto"/>
            </w:tcBorders>
            <w:shd w:val="clear" w:color="auto" w:fill="auto"/>
            <w:vAlign w:val="center"/>
          </w:tcPr>
          <w:p w:rsidR="00E412BD" w:rsidRPr="00152A5B" w:rsidRDefault="00E412BD" w:rsidP="001E2D32">
            <w:pPr>
              <w:keepLines/>
              <w:jc w:val="center"/>
              <w:rPr>
                <w:rFonts w:eastAsia="Times New Roman"/>
                <w:color w:val="000000"/>
                <w:sz w:val="18"/>
                <w:szCs w:val="18"/>
                <w:lang w:eastAsia="en-US"/>
              </w:rPr>
            </w:pPr>
            <w:r w:rsidRPr="00152A5B">
              <w:rPr>
                <w:rFonts w:eastAsia="Times New Roman"/>
                <w:color w:val="000000"/>
                <w:sz w:val="18"/>
                <w:szCs w:val="18"/>
                <w:lang w:eastAsia="en-US"/>
              </w:rPr>
              <w:t>All</w:t>
            </w:r>
          </w:p>
        </w:tc>
        <w:tc>
          <w:tcPr>
            <w:tcW w:w="1335" w:type="dxa"/>
            <w:tcBorders>
              <w:top w:val="nil"/>
              <w:left w:val="nil"/>
              <w:bottom w:val="single" w:sz="4" w:space="0" w:color="auto"/>
              <w:right w:val="single" w:sz="4" w:space="0" w:color="auto"/>
            </w:tcBorders>
            <w:shd w:val="clear" w:color="auto" w:fill="FFFF00"/>
            <w:vAlign w:val="center"/>
          </w:tcPr>
          <w:p w:rsidR="00E412BD" w:rsidRPr="00152A5B" w:rsidRDefault="00E412BD" w:rsidP="001E2D32">
            <w:pPr>
              <w:keepLines/>
              <w:jc w:val="center"/>
              <w:rPr>
                <w:color w:val="000000"/>
                <w:sz w:val="18"/>
                <w:szCs w:val="18"/>
              </w:rPr>
            </w:pPr>
          </w:p>
        </w:tc>
      </w:tr>
      <w:tr w:rsidR="00E412BD" w:rsidRPr="00152A5B"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152A5B" w:rsidRDefault="00E412BD" w:rsidP="001E2D32">
            <w:pPr>
              <w:keepLines/>
              <w:rPr>
                <w:rFonts w:eastAsia="Times New Roman"/>
                <w:color w:val="000000"/>
                <w:sz w:val="18"/>
                <w:szCs w:val="18"/>
                <w:lang w:eastAsia="en-US"/>
              </w:rPr>
            </w:pPr>
            <w:r w:rsidRPr="00152A5B">
              <w:rPr>
                <w:rFonts w:eastAsia="Times New Roman"/>
                <w:color w:val="000000"/>
                <w:sz w:val="18"/>
                <w:szCs w:val="18"/>
                <w:lang w:eastAsia="en-US"/>
              </w:rPr>
              <w:t>Training</w:t>
            </w:r>
          </w:p>
        </w:tc>
        <w:tc>
          <w:tcPr>
            <w:tcW w:w="2979" w:type="dxa"/>
            <w:tcBorders>
              <w:top w:val="nil"/>
              <w:left w:val="nil"/>
              <w:bottom w:val="single" w:sz="4" w:space="0" w:color="auto"/>
              <w:right w:val="single" w:sz="4" w:space="0" w:color="auto"/>
            </w:tcBorders>
            <w:shd w:val="clear" w:color="auto" w:fill="auto"/>
            <w:vAlign w:val="center"/>
          </w:tcPr>
          <w:p w:rsidR="00E412BD" w:rsidRPr="00152A5B" w:rsidRDefault="00E412BD" w:rsidP="001E2D32">
            <w:pPr>
              <w:keepLines/>
              <w:jc w:val="center"/>
              <w:rPr>
                <w:rFonts w:eastAsia="Times New Roman"/>
                <w:color w:val="000000"/>
                <w:sz w:val="18"/>
                <w:szCs w:val="18"/>
                <w:lang w:eastAsia="en-US"/>
              </w:rPr>
            </w:pPr>
            <w:r w:rsidRPr="00152A5B">
              <w:rPr>
                <w:rFonts w:eastAsia="Times New Roman"/>
                <w:color w:val="000000"/>
                <w:sz w:val="18"/>
                <w:szCs w:val="18"/>
                <w:lang w:eastAsia="en-US"/>
              </w:rPr>
              <w:t>IAOD</w:t>
            </w:r>
          </w:p>
        </w:tc>
        <w:tc>
          <w:tcPr>
            <w:tcW w:w="1335" w:type="dxa"/>
            <w:tcBorders>
              <w:top w:val="nil"/>
              <w:left w:val="nil"/>
              <w:bottom w:val="single" w:sz="4" w:space="0" w:color="auto"/>
              <w:right w:val="single" w:sz="4" w:space="0" w:color="auto"/>
            </w:tcBorders>
            <w:shd w:val="clear" w:color="auto" w:fill="FFFF00"/>
            <w:vAlign w:val="center"/>
          </w:tcPr>
          <w:p w:rsidR="00E412BD" w:rsidRPr="00152A5B" w:rsidRDefault="00E412BD" w:rsidP="001E2D32">
            <w:pPr>
              <w:keepLines/>
              <w:jc w:val="center"/>
              <w:rPr>
                <w:color w:val="000000"/>
                <w:sz w:val="18"/>
                <w:szCs w:val="18"/>
              </w:rPr>
            </w:pPr>
          </w:p>
        </w:tc>
      </w:tr>
    </w:tbl>
    <w:p w:rsidR="003F2B38" w:rsidRDefault="003F2B38" w:rsidP="00CF286F">
      <w:pPr>
        <w:spacing w:before="60" w:after="60"/>
      </w:pPr>
      <w:r>
        <w:t>Code:</w:t>
      </w:r>
    </w:p>
    <w:tbl>
      <w:tblPr>
        <w:tblStyle w:val="TableGrid"/>
        <w:tblW w:w="0" w:type="auto"/>
        <w:tblLook w:val="04A0" w:firstRow="1" w:lastRow="0" w:firstColumn="1" w:lastColumn="0" w:noHBand="0" w:noVBand="1"/>
      </w:tblPr>
      <w:tblGrid>
        <w:gridCol w:w="1843"/>
        <w:gridCol w:w="2552"/>
      </w:tblGrid>
      <w:tr w:rsidR="003F2B38" w:rsidRPr="003F2B38" w:rsidTr="003F2B38">
        <w:trPr>
          <w:trHeight w:val="193"/>
        </w:trPr>
        <w:tc>
          <w:tcPr>
            <w:tcW w:w="1843" w:type="dxa"/>
            <w:shd w:val="clear" w:color="auto" w:fill="FFFF00"/>
          </w:tcPr>
          <w:p w:rsidR="003F2B38" w:rsidRPr="003F2B38" w:rsidRDefault="003F2B38" w:rsidP="001E2D32">
            <w:pPr>
              <w:rPr>
                <w:sz w:val="18"/>
                <w:szCs w:val="18"/>
              </w:rPr>
            </w:pPr>
          </w:p>
        </w:tc>
        <w:tc>
          <w:tcPr>
            <w:tcW w:w="2552" w:type="dxa"/>
          </w:tcPr>
          <w:p w:rsidR="003F2B38" w:rsidRPr="003F2B38" w:rsidRDefault="003F2B38" w:rsidP="001E2D32">
            <w:pPr>
              <w:ind w:left="34"/>
              <w:rPr>
                <w:sz w:val="18"/>
                <w:szCs w:val="18"/>
              </w:rPr>
            </w:pPr>
            <w:r w:rsidRPr="003F2B38">
              <w:rPr>
                <w:sz w:val="18"/>
                <w:szCs w:val="18"/>
              </w:rPr>
              <w:t>In progress or on-going</w:t>
            </w:r>
          </w:p>
        </w:tc>
      </w:tr>
      <w:tr w:rsidR="003F2B38" w:rsidRPr="003F2B38" w:rsidTr="001E2D32">
        <w:tc>
          <w:tcPr>
            <w:tcW w:w="1843" w:type="dxa"/>
            <w:shd w:val="clear" w:color="auto" w:fill="92D050"/>
          </w:tcPr>
          <w:p w:rsidR="003F2B38" w:rsidRPr="003F2B38" w:rsidRDefault="003F2B38" w:rsidP="001E2D32">
            <w:pPr>
              <w:rPr>
                <w:sz w:val="18"/>
                <w:szCs w:val="18"/>
              </w:rPr>
            </w:pPr>
          </w:p>
        </w:tc>
        <w:tc>
          <w:tcPr>
            <w:tcW w:w="2552" w:type="dxa"/>
          </w:tcPr>
          <w:p w:rsidR="003F2B38" w:rsidRPr="003F2B38" w:rsidRDefault="003F2B38" w:rsidP="001E2D32">
            <w:pPr>
              <w:ind w:left="34"/>
              <w:rPr>
                <w:sz w:val="18"/>
                <w:szCs w:val="18"/>
              </w:rPr>
            </w:pPr>
            <w:r w:rsidRPr="003F2B38">
              <w:rPr>
                <w:sz w:val="18"/>
                <w:szCs w:val="18"/>
              </w:rPr>
              <w:t>Completed</w:t>
            </w:r>
          </w:p>
        </w:tc>
      </w:tr>
      <w:tr w:rsidR="003F2B38" w:rsidRPr="003F2B38" w:rsidTr="001E2D32">
        <w:tc>
          <w:tcPr>
            <w:tcW w:w="1843" w:type="dxa"/>
          </w:tcPr>
          <w:p w:rsidR="003F2B38" w:rsidRPr="003F2B38" w:rsidRDefault="003F2B38" w:rsidP="001E2D32">
            <w:pPr>
              <w:rPr>
                <w:sz w:val="18"/>
                <w:szCs w:val="18"/>
              </w:rPr>
            </w:pPr>
          </w:p>
        </w:tc>
        <w:tc>
          <w:tcPr>
            <w:tcW w:w="2552" w:type="dxa"/>
          </w:tcPr>
          <w:p w:rsidR="003F2B38" w:rsidRPr="003F2B38" w:rsidRDefault="003F2B38" w:rsidP="001E2D32">
            <w:pPr>
              <w:ind w:left="34"/>
              <w:rPr>
                <w:sz w:val="18"/>
                <w:szCs w:val="18"/>
              </w:rPr>
            </w:pPr>
            <w:r w:rsidRPr="003F2B38">
              <w:rPr>
                <w:sz w:val="18"/>
                <w:szCs w:val="18"/>
              </w:rPr>
              <w:t>Not started</w:t>
            </w:r>
          </w:p>
        </w:tc>
      </w:tr>
    </w:tbl>
    <w:p w:rsidR="00E412BD" w:rsidRPr="00DA5DBB" w:rsidRDefault="00E412BD" w:rsidP="002918FE">
      <w:pPr>
        <w:keepLines/>
        <w:ind w:left="5533"/>
        <w:sectPr w:rsidR="00E412BD" w:rsidRPr="00DA5DBB" w:rsidSect="001E2D32">
          <w:headerReference w:type="default" r:id="rId21"/>
          <w:footnotePr>
            <w:numRestart w:val="eachSect"/>
          </w:footnotePr>
          <w:endnotePr>
            <w:numFmt w:val="decimal"/>
          </w:endnotePr>
          <w:pgSz w:w="11907" w:h="16840" w:code="9"/>
          <w:pgMar w:top="567" w:right="1134" w:bottom="1418" w:left="1418" w:header="510" w:footer="1021" w:gutter="0"/>
          <w:cols w:space="720"/>
          <w:docGrid w:linePitch="299"/>
        </w:sectPr>
      </w:pPr>
      <w:r w:rsidRPr="00DA5DBB">
        <w:t xml:space="preserve">[Annex </w:t>
      </w:r>
      <w:r>
        <w:t>I</w:t>
      </w:r>
      <w:r w:rsidRPr="00DA5DBB">
        <w:t>I follows]</w:t>
      </w:r>
    </w:p>
    <w:p w:rsidR="00E412BD" w:rsidRPr="00DA5DBB" w:rsidRDefault="00E412BD" w:rsidP="00E412BD">
      <w:pPr>
        <w:keepLines/>
        <w:jc w:val="center"/>
        <w:rPr>
          <w:b/>
          <w:bCs/>
        </w:rPr>
      </w:pPr>
      <w:r w:rsidRPr="00DA5DBB">
        <w:rPr>
          <w:b/>
          <w:bCs/>
        </w:rPr>
        <w:lastRenderedPageBreak/>
        <w:t>List of IAOD Reports</w:t>
      </w:r>
      <w:r w:rsidRPr="00DA5DBB">
        <w:rPr>
          <w:b/>
          <w:bCs/>
        </w:rPr>
        <w:br/>
        <w:t>July 1, 201</w:t>
      </w:r>
      <w:r>
        <w:rPr>
          <w:b/>
          <w:bCs/>
        </w:rPr>
        <w:t>3</w:t>
      </w:r>
      <w:r w:rsidRPr="00DA5DBB">
        <w:rPr>
          <w:b/>
          <w:bCs/>
        </w:rPr>
        <w:t xml:space="preserve"> to June 30, 201</w:t>
      </w:r>
      <w:r>
        <w:rPr>
          <w:b/>
          <w:bCs/>
        </w:rPr>
        <w:t>4</w:t>
      </w:r>
    </w:p>
    <w:p w:rsidR="00E412BD" w:rsidRPr="00DA5DBB" w:rsidRDefault="00E412BD" w:rsidP="00E412BD">
      <w:pPr>
        <w:keepLines/>
        <w:jc w:val="center"/>
        <w:rPr>
          <w:b/>
          <w:bCs/>
        </w:rPr>
      </w:pPr>
    </w:p>
    <w:tbl>
      <w:tblPr>
        <w:tblStyle w:val="TableGrid"/>
        <w:tblW w:w="0" w:type="auto"/>
        <w:tblLook w:val="04A0" w:firstRow="1" w:lastRow="0" w:firstColumn="1" w:lastColumn="0" w:noHBand="0" w:noVBand="1"/>
      </w:tblPr>
      <w:tblGrid>
        <w:gridCol w:w="7371"/>
        <w:gridCol w:w="2092"/>
      </w:tblGrid>
      <w:tr w:rsidR="00E412BD" w:rsidTr="001E429A">
        <w:trPr>
          <w:trHeight w:val="340"/>
        </w:trPr>
        <w:tc>
          <w:tcPr>
            <w:tcW w:w="7371" w:type="dxa"/>
            <w:vAlign w:val="center"/>
          </w:tcPr>
          <w:p w:rsidR="00E412BD" w:rsidRDefault="00E412BD" w:rsidP="001E429A">
            <w:pPr>
              <w:keepLines/>
              <w:ind w:left="34"/>
              <w:rPr>
                <w:b/>
                <w:bCs/>
              </w:rPr>
            </w:pPr>
            <w:r>
              <w:t>Audit of Information Security at WIPO</w:t>
            </w:r>
          </w:p>
        </w:tc>
        <w:tc>
          <w:tcPr>
            <w:tcW w:w="2092" w:type="dxa"/>
            <w:vAlign w:val="center"/>
          </w:tcPr>
          <w:p w:rsidR="00E412BD" w:rsidRDefault="00E412BD" w:rsidP="001E429A">
            <w:pPr>
              <w:keepLines/>
              <w:ind w:left="0" w:hanging="41"/>
              <w:rPr>
                <w:b/>
                <w:bCs/>
              </w:rPr>
            </w:pPr>
            <w:r>
              <w:t>IA 2013-01</w:t>
            </w:r>
          </w:p>
        </w:tc>
      </w:tr>
      <w:tr w:rsidR="00E412BD" w:rsidTr="001E429A">
        <w:trPr>
          <w:trHeight w:val="340"/>
        </w:trPr>
        <w:tc>
          <w:tcPr>
            <w:tcW w:w="7371" w:type="dxa"/>
            <w:vAlign w:val="center"/>
          </w:tcPr>
          <w:p w:rsidR="00E412BD" w:rsidRPr="00030490" w:rsidRDefault="00E412BD" w:rsidP="001E429A">
            <w:pPr>
              <w:keepLines/>
              <w:ind w:left="34"/>
            </w:pPr>
            <w:r>
              <w:t>Audit of Madrid and the Hague Systems</w:t>
            </w:r>
            <w:r>
              <w:br/>
              <w:t>(Revenue Generation Process)</w:t>
            </w:r>
          </w:p>
        </w:tc>
        <w:tc>
          <w:tcPr>
            <w:tcW w:w="2092" w:type="dxa"/>
            <w:vAlign w:val="center"/>
          </w:tcPr>
          <w:p w:rsidR="00E412BD" w:rsidRPr="00030490" w:rsidRDefault="00E412BD" w:rsidP="001E429A">
            <w:pPr>
              <w:keepLines/>
              <w:ind w:left="0" w:hanging="41"/>
            </w:pPr>
            <w:r>
              <w:t>IA 2013-02</w:t>
            </w:r>
          </w:p>
        </w:tc>
      </w:tr>
      <w:tr w:rsidR="00E412BD" w:rsidTr="001E429A">
        <w:trPr>
          <w:trHeight w:val="340"/>
        </w:trPr>
        <w:tc>
          <w:tcPr>
            <w:tcW w:w="7371" w:type="dxa"/>
            <w:vAlign w:val="center"/>
          </w:tcPr>
          <w:p w:rsidR="00E412BD" w:rsidRPr="00030490" w:rsidRDefault="00E412BD" w:rsidP="001E429A">
            <w:pPr>
              <w:keepLines/>
              <w:ind w:left="34"/>
            </w:pPr>
            <w:r>
              <w:t>Audit of Management of Staff Separation from Service</w:t>
            </w:r>
          </w:p>
        </w:tc>
        <w:tc>
          <w:tcPr>
            <w:tcW w:w="2092" w:type="dxa"/>
            <w:vAlign w:val="center"/>
          </w:tcPr>
          <w:p w:rsidR="00E412BD" w:rsidRPr="00030490" w:rsidRDefault="00E412BD" w:rsidP="001E429A">
            <w:pPr>
              <w:keepLines/>
              <w:ind w:left="0" w:hanging="41"/>
            </w:pPr>
            <w:r>
              <w:t>IA 2013-03</w:t>
            </w:r>
          </w:p>
        </w:tc>
      </w:tr>
      <w:tr w:rsidR="00E412BD" w:rsidTr="001E429A">
        <w:trPr>
          <w:trHeight w:val="340"/>
        </w:trPr>
        <w:tc>
          <w:tcPr>
            <w:tcW w:w="7371" w:type="dxa"/>
            <w:vAlign w:val="center"/>
          </w:tcPr>
          <w:p w:rsidR="00E412BD" w:rsidRPr="00030490" w:rsidRDefault="00E412BD" w:rsidP="001E429A">
            <w:pPr>
              <w:keepLines/>
              <w:ind w:left="34"/>
            </w:pPr>
            <w:r>
              <w:t xml:space="preserve">Audit of Data Migration to the New Human </w:t>
            </w:r>
            <w:r>
              <w:br/>
              <w:t>Resources Management System</w:t>
            </w:r>
          </w:p>
        </w:tc>
        <w:tc>
          <w:tcPr>
            <w:tcW w:w="2092" w:type="dxa"/>
            <w:vAlign w:val="center"/>
          </w:tcPr>
          <w:p w:rsidR="00E412BD" w:rsidRPr="00030490" w:rsidRDefault="00E412BD" w:rsidP="001E429A">
            <w:pPr>
              <w:keepLines/>
              <w:ind w:left="0" w:hanging="41"/>
            </w:pPr>
            <w:r>
              <w:t>IA 2013-04</w:t>
            </w:r>
          </w:p>
        </w:tc>
      </w:tr>
      <w:tr w:rsidR="00E412BD" w:rsidTr="001E429A">
        <w:trPr>
          <w:trHeight w:val="340"/>
        </w:trPr>
        <w:tc>
          <w:tcPr>
            <w:tcW w:w="7371" w:type="dxa"/>
            <w:vAlign w:val="center"/>
          </w:tcPr>
          <w:p w:rsidR="00E412BD" w:rsidRPr="00030490" w:rsidRDefault="00E412BD" w:rsidP="001E429A">
            <w:pPr>
              <w:keepLines/>
              <w:ind w:left="34"/>
            </w:pPr>
            <w:r>
              <w:t>Audit of Results Based Management</w:t>
            </w:r>
          </w:p>
        </w:tc>
        <w:tc>
          <w:tcPr>
            <w:tcW w:w="2092" w:type="dxa"/>
            <w:vAlign w:val="center"/>
          </w:tcPr>
          <w:p w:rsidR="00E412BD" w:rsidRPr="00030490" w:rsidRDefault="00E412BD" w:rsidP="001E429A">
            <w:pPr>
              <w:keepLines/>
              <w:ind w:left="0" w:hanging="41"/>
            </w:pPr>
            <w:r>
              <w:t>IA 2013-05</w:t>
            </w:r>
          </w:p>
        </w:tc>
      </w:tr>
      <w:tr w:rsidR="00E412BD" w:rsidTr="001E429A">
        <w:trPr>
          <w:trHeight w:val="340"/>
        </w:trPr>
        <w:tc>
          <w:tcPr>
            <w:tcW w:w="7371" w:type="dxa"/>
            <w:vAlign w:val="center"/>
          </w:tcPr>
          <w:p w:rsidR="00E412BD" w:rsidRPr="00030490" w:rsidRDefault="00E412BD" w:rsidP="001E429A">
            <w:pPr>
              <w:keepLines/>
              <w:ind w:left="34"/>
            </w:pPr>
            <w:r>
              <w:t>Audit of Funds-in-Trust managed by WIPO</w:t>
            </w:r>
          </w:p>
        </w:tc>
        <w:tc>
          <w:tcPr>
            <w:tcW w:w="2092" w:type="dxa"/>
            <w:vAlign w:val="center"/>
          </w:tcPr>
          <w:p w:rsidR="00E412BD" w:rsidRPr="00030490" w:rsidRDefault="00E412BD" w:rsidP="001E429A">
            <w:pPr>
              <w:keepLines/>
              <w:ind w:left="0" w:hanging="41"/>
            </w:pPr>
            <w:r>
              <w:t>IA 2013-06</w:t>
            </w:r>
          </w:p>
        </w:tc>
      </w:tr>
      <w:tr w:rsidR="00E412BD" w:rsidTr="001E429A">
        <w:trPr>
          <w:trHeight w:val="340"/>
        </w:trPr>
        <w:tc>
          <w:tcPr>
            <w:tcW w:w="7371" w:type="dxa"/>
            <w:vAlign w:val="center"/>
          </w:tcPr>
          <w:p w:rsidR="00E412BD" w:rsidRPr="00030490" w:rsidRDefault="00E412BD" w:rsidP="001E429A">
            <w:pPr>
              <w:keepLines/>
              <w:ind w:left="34"/>
            </w:pPr>
            <w:r>
              <w:t>Audit of management of staff benefits and entitlements</w:t>
            </w:r>
          </w:p>
        </w:tc>
        <w:tc>
          <w:tcPr>
            <w:tcW w:w="2092" w:type="dxa"/>
            <w:vAlign w:val="center"/>
          </w:tcPr>
          <w:p w:rsidR="00E412BD" w:rsidRPr="00030490" w:rsidRDefault="00E412BD" w:rsidP="001E429A">
            <w:pPr>
              <w:keepLines/>
              <w:ind w:left="0" w:hanging="41"/>
            </w:pPr>
            <w:r>
              <w:t>IA 2014-01</w:t>
            </w:r>
          </w:p>
        </w:tc>
      </w:tr>
      <w:tr w:rsidR="00E412BD" w:rsidTr="001E429A">
        <w:trPr>
          <w:trHeight w:val="340"/>
        </w:trPr>
        <w:tc>
          <w:tcPr>
            <w:tcW w:w="7371" w:type="dxa"/>
            <w:vAlign w:val="center"/>
          </w:tcPr>
          <w:p w:rsidR="00E412BD" w:rsidRPr="00030490" w:rsidRDefault="00E412BD" w:rsidP="001E429A">
            <w:pPr>
              <w:keepLines/>
              <w:ind w:left="34"/>
            </w:pPr>
            <w:r>
              <w:t>Audit of Events management</w:t>
            </w:r>
          </w:p>
        </w:tc>
        <w:tc>
          <w:tcPr>
            <w:tcW w:w="2092" w:type="dxa"/>
            <w:vAlign w:val="center"/>
          </w:tcPr>
          <w:p w:rsidR="00E412BD" w:rsidRPr="00030490" w:rsidRDefault="00E412BD" w:rsidP="001E429A">
            <w:pPr>
              <w:keepLines/>
              <w:ind w:left="0" w:hanging="41"/>
            </w:pPr>
            <w:r>
              <w:t>IA 2014-02</w:t>
            </w:r>
          </w:p>
        </w:tc>
      </w:tr>
      <w:tr w:rsidR="00E412BD" w:rsidTr="001E429A">
        <w:trPr>
          <w:trHeight w:val="340"/>
        </w:trPr>
        <w:tc>
          <w:tcPr>
            <w:tcW w:w="7371" w:type="dxa"/>
            <w:vAlign w:val="center"/>
          </w:tcPr>
          <w:p w:rsidR="00E412BD" w:rsidRPr="00030490" w:rsidRDefault="00E412BD" w:rsidP="001E429A">
            <w:pPr>
              <w:keepLines/>
              <w:ind w:left="34"/>
            </w:pPr>
            <w:r w:rsidRPr="009637D5">
              <w:t>Validation of the Program Performance report</w:t>
            </w:r>
          </w:p>
        </w:tc>
        <w:tc>
          <w:tcPr>
            <w:tcW w:w="2092" w:type="dxa"/>
            <w:vAlign w:val="center"/>
          </w:tcPr>
          <w:p w:rsidR="00E412BD" w:rsidRPr="00030490" w:rsidRDefault="00E412BD" w:rsidP="001E429A">
            <w:pPr>
              <w:keepLines/>
              <w:ind w:left="0" w:hanging="41"/>
            </w:pPr>
            <w:r>
              <w:t>VALID 2014-01</w:t>
            </w:r>
          </w:p>
        </w:tc>
      </w:tr>
      <w:tr w:rsidR="00E412BD" w:rsidTr="001E429A">
        <w:trPr>
          <w:trHeight w:val="340"/>
        </w:trPr>
        <w:tc>
          <w:tcPr>
            <w:tcW w:w="7371" w:type="dxa"/>
            <w:vAlign w:val="center"/>
          </w:tcPr>
          <w:p w:rsidR="00E412BD" w:rsidRPr="00030490" w:rsidRDefault="00E412BD" w:rsidP="001E429A">
            <w:pPr>
              <w:keepLines/>
              <w:ind w:left="34"/>
            </w:pPr>
            <w:r>
              <w:t>Evaluation of Program 1 (Patent Law)</w:t>
            </w:r>
          </w:p>
        </w:tc>
        <w:tc>
          <w:tcPr>
            <w:tcW w:w="2092" w:type="dxa"/>
            <w:vAlign w:val="center"/>
          </w:tcPr>
          <w:p w:rsidR="00E412BD" w:rsidRPr="00030490" w:rsidRDefault="00E412BD" w:rsidP="001E429A">
            <w:pPr>
              <w:keepLines/>
              <w:ind w:left="0" w:hanging="41"/>
            </w:pPr>
            <w:r>
              <w:t>EVAL 2012-03</w:t>
            </w:r>
          </w:p>
        </w:tc>
      </w:tr>
      <w:tr w:rsidR="00E412BD" w:rsidTr="001E429A">
        <w:trPr>
          <w:trHeight w:val="340"/>
        </w:trPr>
        <w:tc>
          <w:tcPr>
            <w:tcW w:w="7371" w:type="dxa"/>
            <w:vAlign w:val="center"/>
          </w:tcPr>
          <w:p w:rsidR="00E412BD" w:rsidRPr="00030490" w:rsidRDefault="00E412BD" w:rsidP="001E429A">
            <w:pPr>
              <w:keepLines/>
              <w:ind w:left="34"/>
            </w:pPr>
            <w:r>
              <w:t xml:space="preserve">Evaluation of Support Services to the </w:t>
            </w:r>
            <w:r>
              <w:br/>
              <w:t>Intergovernmental Committee on Intellectual Property</w:t>
            </w:r>
            <w:r>
              <w:br/>
              <w:t>and Genetic Resources, Traditional Knowledge</w:t>
            </w:r>
            <w:r>
              <w:br/>
              <w:t>and Folklore (IGC)</w:t>
            </w:r>
          </w:p>
        </w:tc>
        <w:tc>
          <w:tcPr>
            <w:tcW w:w="2092" w:type="dxa"/>
            <w:vAlign w:val="center"/>
          </w:tcPr>
          <w:p w:rsidR="00E412BD" w:rsidRPr="00030490" w:rsidRDefault="00E412BD" w:rsidP="001E429A">
            <w:pPr>
              <w:keepLines/>
              <w:ind w:left="0" w:hanging="41"/>
            </w:pPr>
            <w:r>
              <w:t>EVAL 2013-03</w:t>
            </w:r>
          </w:p>
        </w:tc>
      </w:tr>
      <w:tr w:rsidR="00E412BD" w:rsidTr="001E429A">
        <w:trPr>
          <w:trHeight w:val="340"/>
        </w:trPr>
        <w:tc>
          <w:tcPr>
            <w:tcW w:w="7371" w:type="dxa"/>
            <w:vAlign w:val="center"/>
          </w:tcPr>
          <w:p w:rsidR="00E412BD" w:rsidRPr="00030490" w:rsidRDefault="00E412BD" w:rsidP="001E429A">
            <w:pPr>
              <w:keepLines/>
              <w:ind w:left="34"/>
            </w:pPr>
            <w:r>
              <w:t>Country Portfolio Evaluation in Thailand</w:t>
            </w:r>
          </w:p>
        </w:tc>
        <w:tc>
          <w:tcPr>
            <w:tcW w:w="2092" w:type="dxa"/>
            <w:vAlign w:val="center"/>
          </w:tcPr>
          <w:p w:rsidR="00E412BD" w:rsidRPr="00030490" w:rsidRDefault="00E412BD" w:rsidP="001E429A">
            <w:pPr>
              <w:keepLines/>
              <w:ind w:left="0" w:hanging="41"/>
            </w:pPr>
            <w:r>
              <w:t>EVAL 2013-05</w:t>
            </w:r>
          </w:p>
        </w:tc>
      </w:tr>
      <w:tr w:rsidR="00E412BD" w:rsidTr="001E429A">
        <w:trPr>
          <w:trHeight w:val="340"/>
        </w:trPr>
        <w:tc>
          <w:tcPr>
            <w:tcW w:w="7371" w:type="dxa"/>
            <w:vAlign w:val="center"/>
          </w:tcPr>
          <w:p w:rsidR="00E412BD" w:rsidRPr="00030490" w:rsidRDefault="00E412BD" w:rsidP="001E429A">
            <w:pPr>
              <w:keepLines/>
              <w:ind w:left="34"/>
            </w:pPr>
            <w:r>
              <w:t>Evaluation of Knowledge sharing in WIPO</w:t>
            </w:r>
          </w:p>
        </w:tc>
        <w:tc>
          <w:tcPr>
            <w:tcW w:w="2092" w:type="dxa"/>
            <w:vAlign w:val="center"/>
          </w:tcPr>
          <w:p w:rsidR="00E412BD" w:rsidRPr="00030490" w:rsidRDefault="00E412BD" w:rsidP="001E429A">
            <w:pPr>
              <w:keepLines/>
              <w:ind w:left="0" w:hanging="41"/>
            </w:pPr>
            <w:r>
              <w:t>EVAL 2014-01</w:t>
            </w:r>
          </w:p>
        </w:tc>
      </w:tr>
      <w:tr w:rsidR="00E412BD" w:rsidTr="001E429A">
        <w:trPr>
          <w:trHeight w:val="340"/>
        </w:trPr>
        <w:tc>
          <w:tcPr>
            <w:tcW w:w="7371" w:type="dxa"/>
            <w:vAlign w:val="center"/>
          </w:tcPr>
          <w:p w:rsidR="00E412BD" w:rsidRPr="00030490" w:rsidRDefault="00E412BD" w:rsidP="001E429A">
            <w:pPr>
              <w:keepLines/>
              <w:ind w:left="34"/>
            </w:pPr>
            <w:r>
              <w:t xml:space="preserve">Rewards and Recognition Program </w:t>
            </w:r>
            <w:r w:rsidRPr="0075355F">
              <w:t>- Pilot 2013</w:t>
            </w:r>
            <w:r>
              <w:t xml:space="preserve"> (coauthored with HRMD)</w:t>
            </w:r>
          </w:p>
        </w:tc>
        <w:tc>
          <w:tcPr>
            <w:tcW w:w="2092" w:type="dxa"/>
            <w:vAlign w:val="center"/>
          </w:tcPr>
          <w:p w:rsidR="00E412BD" w:rsidRPr="00030490" w:rsidRDefault="00E412BD" w:rsidP="001E429A">
            <w:pPr>
              <w:keepLines/>
              <w:ind w:left="0" w:hanging="41"/>
            </w:pPr>
            <w:r>
              <w:t>EVAL 2014-06</w:t>
            </w:r>
          </w:p>
        </w:tc>
      </w:tr>
      <w:tr w:rsidR="00E412BD" w:rsidTr="001E429A">
        <w:trPr>
          <w:trHeight w:val="340"/>
        </w:trPr>
        <w:tc>
          <w:tcPr>
            <w:tcW w:w="7371" w:type="dxa"/>
            <w:vAlign w:val="center"/>
          </w:tcPr>
          <w:p w:rsidR="00E412BD" w:rsidRPr="00030490" w:rsidRDefault="00E412BD" w:rsidP="001E429A">
            <w:pPr>
              <w:keepLines/>
              <w:ind w:left="34"/>
            </w:pPr>
            <w:r>
              <w:t>Fraud Risk Assessment report</w:t>
            </w:r>
          </w:p>
        </w:tc>
        <w:tc>
          <w:tcPr>
            <w:tcW w:w="2092" w:type="dxa"/>
            <w:vAlign w:val="center"/>
          </w:tcPr>
          <w:p w:rsidR="00E412BD" w:rsidRPr="00030490" w:rsidRDefault="00E412BD" w:rsidP="001E429A">
            <w:pPr>
              <w:keepLines/>
              <w:ind w:left="0" w:hanging="41"/>
            </w:pPr>
            <w:r>
              <w:t>FRA 2014-01</w:t>
            </w:r>
          </w:p>
        </w:tc>
      </w:tr>
      <w:tr w:rsidR="00E412BD" w:rsidTr="001E429A">
        <w:trPr>
          <w:trHeight w:val="340"/>
        </w:trPr>
        <w:tc>
          <w:tcPr>
            <w:tcW w:w="9463" w:type="dxa"/>
            <w:gridSpan w:val="2"/>
            <w:vAlign w:val="center"/>
          </w:tcPr>
          <w:p w:rsidR="00E412BD" w:rsidRPr="00030490" w:rsidRDefault="00E412BD" w:rsidP="001E429A">
            <w:pPr>
              <w:keepLines/>
              <w:ind w:left="34"/>
            </w:pPr>
            <w:r>
              <w:t>26</w:t>
            </w:r>
            <w:r w:rsidRPr="00DA5DBB">
              <w:t xml:space="preserve"> investigation cases registered.</w:t>
            </w:r>
          </w:p>
        </w:tc>
      </w:tr>
      <w:tr w:rsidR="00E412BD" w:rsidTr="001E429A">
        <w:trPr>
          <w:trHeight w:val="340"/>
        </w:trPr>
        <w:tc>
          <w:tcPr>
            <w:tcW w:w="9463" w:type="dxa"/>
            <w:gridSpan w:val="2"/>
            <w:vAlign w:val="center"/>
          </w:tcPr>
          <w:p w:rsidR="00E412BD" w:rsidRPr="00030490" w:rsidRDefault="00E412BD" w:rsidP="001E429A">
            <w:pPr>
              <w:keepLines/>
              <w:ind w:left="34"/>
            </w:pPr>
            <w:r w:rsidRPr="001A3FD2">
              <w:t xml:space="preserve">16 </w:t>
            </w:r>
            <w:r w:rsidRPr="00DA5DBB">
              <w:t xml:space="preserve">investigation cases closed, representing during the reporting period </w:t>
            </w:r>
            <w:r w:rsidRPr="001A3FD2">
              <w:t>12</w:t>
            </w:r>
            <w:r w:rsidRPr="00DA5DBB">
              <w:t xml:space="preserve"> preliminary evaluation reports, </w:t>
            </w:r>
            <w:r w:rsidRPr="001A3FD2">
              <w:t xml:space="preserve">four </w:t>
            </w:r>
            <w:r w:rsidRPr="00DA5DBB">
              <w:t xml:space="preserve">investigation reports, </w:t>
            </w:r>
            <w:r w:rsidRPr="001A3FD2">
              <w:t>seven</w:t>
            </w:r>
            <w:r w:rsidRPr="00DA5DBB">
              <w:t xml:space="preserve"> management implication reports, and </w:t>
            </w:r>
            <w:r w:rsidRPr="001A3FD2">
              <w:t>one</w:t>
            </w:r>
            <w:r w:rsidRPr="00DA5DBB">
              <w:t xml:space="preserve"> </w:t>
            </w:r>
            <w:r w:rsidRPr="002918FE">
              <w:rPr>
                <w:i/>
              </w:rPr>
              <w:t>ad hoc</w:t>
            </w:r>
            <w:r w:rsidRPr="00DA5DBB">
              <w:t xml:space="preserve"> report.</w:t>
            </w:r>
          </w:p>
        </w:tc>
      </w:tr>
    </w:tbl>
    <w:p w:rsidR="005455F1" w:rsidRDefault="005455F1" w:rsidP="005455F1">
      <w:pPr>
        <w:keepLines/>
        <w:ind w:left="5533"/>
        <w:jc w:val="right"/>
      </w:pPr>
    </w:p>
    <w:p w:rsidR="00E412BD" w:rsidRDefault="00E412BD" w:rsidP="002918FE">
      <w:pPr>
        <w:keepLines/>
        <w:ind w:left="5533"/>
      </w:pPr>
      <w:r w:rsidRPr="00DA5DBB">
        <w:t>[Annex I</w:t>
      </w:r>
      <w:r>
        <w:t>I</w:t>
      </w:r>
      <w:r w:rsidRPr="00DA5DBB">
        <w:t>I follows]</w:t>
      </w:r>
    </w:p>
    <w:p w:rsidR="00E412BD" w:rsidRDefault="00E412BD" w:rsidP="00E412BD">
      <w:pPr>
        <w:keepLines/>
      </w:pPr>
    </w:p>
    <w:p w:rsidR="00E412BD" w:rsidRPr="00DA5DBB" w:rsidRDefault="00E412BD" w:rsidP="00E412BD">
      <w:pPr>
        <w:keepLines/>
        <w:sectPr w:rsidR="00E412BD" w:rsidRPr="00DA5DBB" w:rsidSect="001E2D32">
          <w:headerReference w:type="default" r:id="rId22"/>
          <w:footnotePr>
            <w:numRestart w:val="eachSect"/>
          </w:footnotePr>
          <w:endnotePr>
            <w:numFmt w:val="decimal"/>
          </w:endnotePr>
          <w:pgSz w:w="11907" w:h="16840" w:code="9"/>
          <w:pgMar w:top="567" w:right="1134" w:bottom="1418" w:left="1418" w:header="510" w:footer="1021" w:gutter="0"/>
          <w:cols w:space="720"/>
          <w:docGrid w:linePitch="299"/>
        </w:sectPr>
      </w:pPr>
    </w:p>
    <w:p w:rsidR="00E412BD" w:rsidRPr="00DA5DBB" w:rsidRDefault="00E412BD" w:rsidP="00840A87">
      <w:pPr>
        <w:keepLines/>
        <w:spacing w:after="120"/>
        <w:jc w:val="center"/>
        <w:rPr>
          <w:b/>
          <w:bCs/>
        </w:rPr>
      </w:pPr>
      <w:bookmarkStart w:id="29" w:name="_Toc328920442"/>
      <w:r w:rsidRPr="00DA5DBB">
        <w:rPr>
          <w:b/>
          <w:bCs/>
        </w:rPr>
        <w:lastRenderedPageBreak/>
        <w:t>INVESTIGATION STATISTICS</w:t>
      </w:r>
      <w:bookmarkEnd w:id="29"/>
    </w:p>
    <w:p w:rsidR="00E412BD" w:rsidRPr="00BD35EB" w:rsidRDefault="00E412BD" w:rsidP="00840A87">
      <w:pPr>
        <w:pStyle w:val="ONUME"/>
        <w:keepLines/>
        <w:numPr>
          <w:ilvl w:val="0"/>
          <w:numId w:val="0"/>
        </w:numPr>
        <w:spacing w:after="180"/>
      </w:pPr>
      <w:r w:rsidRPr="00BD35EB">
        <w:t xml:space="preserve">Between March 2008 (when the Investigation Section was established) and June 30, 2014 (end of the reporting period), IAOD registered a total of 127 investigation cases and closed 115 of them.  The table below shows the outcome of the cases that were closed (allegations substantiated or not) </w:t>
      </w:r>
      <w:r>
        <w:t xml:space="preserve">in 2008 to 2013 </w:t>
      </w:r>
      <w:r w:rsidRPr="00BD35EB">
        <w:t xml:space="preserve">and the status of the 12 open cases </w:t>
      </w:r>
      <w:r>
        <w:t xml:space="preserve">as of 30 June 2014 </w:t>
      </w:r>
      <w:r w:rsidRPr="00BD35EB">
        <w:t>(in abeyance, under preliminary evaluation, under investigation).</w:t>
      </w:r>
    </w:p>
    <w:p w:rsidR="00E412BD" w:rsidRPr="00DA5DBB" w:rsidRDefault="00E412BD" w:rsidP="00E03902">
      <w:pPr>
        <w:pStyle w:val="Caption"/>
        <w:keepLines/>
        <w:spacing w:after="120"/>
        <w:jc w:val="center"/>
        <w:rPr>
          <w:noProof/>
          <w:szCs w:val="22"/>
          <w:u w:val="single"/>
          <w:lang w:eastAsia="fr-FR"/>
        </w:rPr>
      </w:pPr>
      <w:r w:rsidRPr="00DA5DBB">
        <w:rPr>
          <w:u w:val="single"/>
        </w:rPr>
        <w:t xml:space="preserve">Chart </w:t>
      </w:r>
      <w:r w:rsidRPr="00DA5DBB">
        <w:rPr>
          <w:u w:val="single"/>
        </w:rPr>
        <w:fldChar w:fldCharType="begin"/>
      </w:r>
      <w:r w:rsidRPr="00DA5DBB">
        <w:rPr>
          <w:u w:val="single"/>
        </w:rPr>
        <w:instrText xml:space="preserve"> SEQ Chart \* ARABIC </w:instrText>
      </w:r>
      <w:r w:rsidRPr="00DA5DBB">
        <w:rPr>
          <w:u w:val="single"/>
        </w:rPr>
        <w:fldChar w:fldCharType="separate"/>
      </w:r>
      <w:r w:rsidR="00ED682D">
        <w:rPr>
          <w:noProof/>
          <w:u w:val="single"/>
        </w:rPr>
        <w:t>5</w:t>
      </w:r>
      <w:r w:rsidRPr="00DA5DBB">
        <w:rPr>
          <w:u w:val="single"/>
        </w:rPr>
        <w:fldChar w:fldCharType="end"/>
      </w:r>
      <w:r w:rsidRPr="00DA5DBB">
        <w:rPr>
          <w:noProof/>
          <w:szCs w:val="22"/>
          <w:u w:val="single"/>
          <w:lang w:eastAsia="fr-FR"/>
        </w:rPr>
        <w:t>– Status of ca</w:t>
      </w:r>
      <w:r>
        <w:rPr>
          <w:noProof/>
          <w:szCs w:val="22"/>
          <w:u w:val="single"/>
          <w:lang w:eastAsia="fr-FR"/>
        </w:rPr>
        <w:t>ses per year up to June 30, 2014</w:t>
      </w:r>
    </w:p>
    <w:p w:rsidR="00E412BD" w:rsidRPr="00DA5DBB" w:rsidRDefault="00283187" w:rsidP="00E412BD">
      <w:pPr>
        <w:pStyle w:val="ONUME"/>
        <w:keepLines/>
        <w:numPr>
          <w:ilvl w:val="0"/>
          <w:numId w:val="0"/>
        </w:numPr>
        <w:spacing w:after="120" w:line="360" w:lineRule="auto"/>
        <w:jc w:val="center"/>
      </w:pPr>
      <w:r>
        <w:rPr>
          <w:noProof/>
          <w:lang w:eastAsia="en-US"/>
        </w:rPr>
        <w:drawing>
          <wp:inline distT="0" distB="0" distL="0" distR="0" wp14:anchorId="2048D010">
            <wp:extent cx="4944110" cy="2828925"/>
            <wp:effectExtent l="0" t="0" r="889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44110" cy="2828925"/>
                    </a:xfrm>
                    <a:prstGeom prst="rect">
                      <a:avLst/>
                    </a:prstGeom>
                    <a:noFill/>
                  </pic:spPr>
                </pic:pic>
              </a:graphicData>
            </a:graphic>
          </wp:inline>
        </w:drawing>
      </w:r>
    </w:p>
    <w:p w:rsidR="00E412BD" w:rsidRPr="00DA5DBB" w:rsidRDefault="00E412BD" w:rsidP="00840A87">
      <w:pPr>
        <w:pStyle w:val="ONUME"/>
        <w:keepLines/>
        <w:numPr>
          <w:ilvl w:val="0"/>
          <w:numId w:val="0"/>
        </w:numPr>
        <w:spacing w:after="180"/>
      </w:pPr>
      <w:r w:rsidRPr="00DA5DBB">
        <w:t xml:space="preserve">The table below gives an indication of the type of allegations received since </w:t>
      </w:r>
      <w:r>
        <w:t>2010</w:t>
      </w:r>
      <w:r w:rsidRPr="00DA5DBB">
        <w:t>.</w:t>
      </w:r>
    </w:p>
    <w:p w:rsidR="00E412BD" w:rsidRPr="00DA5DBB" w:rsidRDefault="00E412BD" w:rsidP="00E03902">
      <w:pPr>
        <w:pStyle w:val="Caption"/>
        <w:spacing w:after="120"/>
        <w:jc w:val="center"/>
      </w:pPr>
      <w:r w:rsidRPr="00E03902">
        <w:rPr>
          <w:u w:val="single"/>
        </w:rPr>
        <w:t xml:space="preserve">Table </w:t>
      </w:r>
      <w:r w:rsidRPr="00E03902">
        <w:rPr>
          <w:u w:val="single"/>
        </w:rPr>
        <w:fldChar w:fldCharType="begin"/>
      </w:r>
      <w:r w:rsidRPr="00E03902">
        <w:rPr>
          <w:u w:val="single"/>
        </w:rPr>
        <w:instrText xml:space="preserve"> SEQ Table \* ARABIC </w:instrText>
      </w:r>
      <w:r w:rsidRPr="00E03902">
        <w:rPr>
          <w:u w:val="single"/>
        </w:rPr>
        <w:fldChar w:fldCharType="separate"/>
      </w:r>
      <w:r w:rsidR="00ED682D">
        <w:rPr>
          <w:noProof/>
          <w:u w:val="single"/>
        </w:rPr>
        <w:t>3</w:t>
      </w:r>
      <w:r w:rsidRPr="00E03902">
        <w:rPr>
          <w:u w:val="single"/>
        </w:rPr>
        <w:fldChar w:fldCharType="end"/>
      </w:r>
      <w:r w:rsidRPr="00E03902">
        <w:rPr>
          <w:u w:val="single"/>
        </w:rPr>
        <w:t xml:space="preserve"> – Cases by category of allegations per year</w:t>
      </w:r>
    </w:p>
    <w:tbl>
      <w:tblPr>
        <w:tblW w:w="0" w:type="auto"/>
        <w:jc w:val="center"/>
        <w:tblLook w:val="04A0" w:firstRow="1" w:lastRow="0" w:firstColumn="1" w:lastColumn="0" w:noHBand="0" w:noVBand="1"/>
      </w:tblPr>
      <w:tblGrid>
        <w:gridCol w:w="5019"/>
        <w:gridCol w:w="677"/>
        <w:gridCol w:w="677"/>
        <w:gridCol w:w="677"/>
        <w:gridCol w:w="677"/>
        <w:gridCol w:w="677"/>
        <w:gridCol w:w="1167"/>
      </w:tblGrid>
      <w:tr w:rsidR="00E412BD" w:rsidRPr="005455F1" w:rsidTr="00840A87">
        <w:trPr>
          <w:trHeight w:val="255"/>
          <w:jc w:val="center"/>
        </w:trPr>
        <w:tc>
          <w:tcPr>
            <w:tcW w:w="0" w:type="auto"/>
            <w:tcBorders>
              <w:top w:val="single" w:sz="4" w:space="0" w:color="000000"/>
              <w:left w:val="single" w:sz="4" w:space="0" w:color="000000"/>
              <w:bottom w:val="nil"/>
              <w:right w:val="nil"/>
            </w:tcBorders>
            <w:shd w:val="clear" w:color="auto" w:fill="auto"/>
            <w:noWrap/>
            <w:vAlign w:val="bottom"/>
            <w:hideMark/>
          </w:tcPr>
          <w:p w:rsidR="00E412BD" w:rsidRPr="005455F1" w:rsidRDefault="00E412BD" w:rsidP="001E2D32">
            <w:pPr>
              <w:jc w:val="right"/>
              <w:rPr>
                <w:sz w:val="18"/>
                <w:szCs w:val="18"/>
              </w:rPr>
            </w:pPr>
            <w:r w:rsidRPr="005455F1">
              <w:rPr>
                <w:sz w:val="18"/>
                <w:szCs w:val="18"/>
              </w:rPr>
              <w:t xml:space="preserve">Count of Status </w:t>
            </w:r>
          </w:p>
        </w:tc>
        <w:tc>
          <w:tcPr>
            <w:tcW w:w="0" w:type="auto"/>
            <w:gridSpan w:val="5"/>
            <w:tcBorders>
              <w:top w:val="single" w:sz="4" w:space="0" w:color="000000"/>
              <w:left w:val="single" w:sz="4" w:space="0" w:color="000000"/>
              <w:bottom w:val="nil"/>
              <w:right w:val="nil"/>
            </w:tcBorders>
            <w:shd w:val="clear" w:color="auto" w:fill="auto"/>
            <w:noWrap/>
            <w:vAlign w:val="bottom"/>
            <w:hideMark/>
          </w:tcPr>
          <w:p w:rsidR="00E412BD" w:rsidRPr="005455F1" w:rsidRDefault="00E412BD" w:rsidP="001E2D32">
            <w:pPr>
              <w:jc w:val="center"/>
              <w:rPr>
                <w:sz w:val="18"/>
                <w:szCs w:val="18"/>
              </w:rPr>
            </w:pPr>
            <w:r w:rsidRPr="005455F1">
              <w:rPr>
                <w:sz w:val="18"/>
                <w:szCs w:val="18"/>
              </w:rPr>
              <w:t>Year</w:t>
            </w:r>
          </w:p>
        </w:tc>
        <w:tc>
          <w:tcPr>
            <w:tcW w:w="0" w:type="auto"/>
            <w:tcBorders>
              <w:top w:val="single" w:sz="4" w:space="0" w:color="000000"/>
              <w:left w:val="nil"/>
              <w:bottom w:val="nil"/>
              <w:right w:val="single" w:sz="4" w:space="0" w:color="000000"/>
            </w:tcBorders>
            <w:shd w:val="clear" w:color="auto" w:fill="auto"/>
            <w:noWrap/>
            <w:vAlign w:val="center"/>
            <w:hideMark/>
          </w:tcPr>
          <w:p w:rsidR="00E412BD" w:rsidRPr="005455F1" w:rsidRDefault="00E412BD" w:rsidP="001E2D32">
            <w:pPr>
              <w:jc w:val="center"/>
              <w:rPr>
                <w:sz w:val="18"/>
                <w:szCs w:val="18"/>
              </w:rPr>
            </w:pPr>
          </w:p>
        </w:tc>
      </w:tr>
      <w:tr w:rsidR="00E412BD" w:rsidRPr="005455F1" w:rsidTr="00840A87">
        <w:trPr>
          <w:trHeight w:val="255"/>
          <w:jc w:val="center"/>
        </w:trPr>
        <w:tc>
          <w:tcPr>
            <w:tcW w:w="0" w:type="auto"/>
            <w:tcBorders>
              <w:top w:val="single" w:sz="4" w:space="0" w:color="000000"/>
              <w:left w:val="single" w:sz="4" w:space="0" w:color="000000"/>
              <w:bottom w:val="nil"/>
              <w:right w:val="nil"/>
            </w:tcBorders>
            <w:shd w:val="clear" w:color="auto" w:fill="auto"/>
            <w:noWrap/>
            <w:vAlign w:val="bottom"/>
            <w:hideMark/>
          </w:tcPr>
          <w:p w:rsidR="00E412BD" w:rsidRPr="005455F1" w:rsidRDefault="00E412BD" w:rsidP="001E2D32">
            <w:pPr>
              <w:rPr>
                <w:sz w:val="18"/>
                <w:szCs w:val="18"/>
              </w:rPr>
            </w:pPr>
            <w:r w:rsidRPr="005455F1">
              <w:rPr>
                <w:sz w:val="18"/>
                <w:szCs w:val="18"/>
              </w:rPr>
              <w:t>Case Category</w:t>
            </w:r>
          </w:p>
        </w:tc>
        <w:tc>
          <w:tcPr>
            <w:tcW w:w="0" w:type="auto"/>
            <w:tcBorders>
              <w:top w:val="single" w:sz="4" w:space="0" w:color="000000"/>
              <w:left w:val="single" w:sz="4" w:space="0" w:color="000000"/>
              <w:bottom w:val="nil"/>
              <w:right w:val="nil"/>
            </w:tcBorders>
            <w:shd w:val="clear" w:color="auto" w:fill="auto"/>
            <w:noWrap/>
            <w:vAlign w:val="bottom"/>
            <w:hideMark/>
          </w:tcPr>
          <w:p w:rsidR="00E412BD" w:rsidRPr="005455F1" w:rsidRDefault="00E412BD" w:rsidP="001E2D32">
            <w:pPr>
              <w:jc w:val="right"/>
              <w:rPr>
                <w:sz w:val="18"/>
                <w:szCs w:val="18"/>
              </w:rPr>
            </w:pPr>
            <w:r w:rsidRPr="005455F1">
              <w:rPr>
                <w:sz w:val="18"/>
                <w:szCs w:val="18"/>
              </w:rPr>
              <w:t>2010</w:t>
            </w:r>
          </w:p>
        </w:tc>
        <w:tc>
          <w:tcPr>
            <w:tcW w:w="0" w:type="auto"/>
            <w:tcBorders>
              <w:top w:val="single" w:sz="4" w:space="0" w:color="000000"/>
              <w:left w:val="nil"/>
              <w:bottom w:val="nil"/>
              <w:right w:val="nil"/>
            </w:tcBorders>
            <w:shd w:val="clear" w:color="auto" w:fill="auto"/>
            <w:noWrap/>
            <w:vAlign w:val="bottom"/>
            <w:hideMark/>
          </w:tcPr>
          <w:p w:rsidR="00E412BD" w:rsidRPr="005455F1" w:rsidRDefault="00E412BD" w:rsidP="001E2D32">
            <w:pPr>
              <w:jc w:val="right"/>
              <w:rPr>
                <w:sz w:val="18"/>
                <w:szCs w:val="18"/>
              </w:rPr>
            </w:pPr>
            <w:r w:rsidRPr="005455F1">
              <w:rPr>
                <w:sz w:val="18"/>
                <w:szCs w:val="18"/>
              </w:rPr>
              <w:t>2011</w:t>
            </w:r>
          </w:p>
        </w:tc>
        <w:tc>
          <w:tcPr>
            <w:tcW w:w="0" w:type="auto"/>
            <w:tcBorders>
              <w:top w:val="single" w:sz="4" w:space="0" w:color="000000"/>
              <w:left w:val="nil"/>
              <w:bottom w:val="nil"/>
              <w:right w:val="nil"/>
            </w:tcBorders>
            <w:shd w:val="clear" w:color="auto" w:fill="auto"/>
            <w:noWrap/>
            <w:vAlign w:val="bottom"/>
            <w:hideMark/>
          </w:tcPr>
          <w:p w:rsidR="00E412BD" w:rsidRPr="005455F1" w:rsidRDefault="00E412BD" w:rsidP="001E2D32">
            <w:pPr>
              <w:jc w:val="right"/>
              <w:rPr>
                <w:sz w:val="18"/>
                <w:szCs w:val="18"/>
              </w:rPr>
            </w:pPr>
            <w:r w:rsidRPr="005455F1">
              <w:rPr>
                <w:sz w:val="18"/>
                <w:szCs w:val="18"/>
              </w:rPr>
              <w:t>2012</w:t>
            </w:r>
          </w:p>
        </w:tc>
        <w:tc>
          <w:tcPr>
            <w:tcW w:w="0" w:type="auto"/>
            <w:tcBorders>
              <w:top w:val="single" w:sz="4" w:space="0" w:color="000000"/>
              <w:left w:val="nil"/>
              <w:bottom w:val="nil"/>
              <w:right w:val="nil"/>
            </w:tcBorders>
            <w:shd w:val="clear" w:color="auto" w:fill="auto"/>
            <w:noWrap/>
            <w:vAlign w:val="bottom"/>
            <w:hideMark/>
          </w:tcPr>
          <w:p w:rsidR="00E412BD" w:rsidRPr="005455F1" w:rsidRDefault="00E412BD" w:rsidP="001E2D32">
            <w:pPr>
              <w:jc w:val="right"/>
              <w:rPr>
                <w:sz w:val="18"/>
                <w:szCs w:val="18"/>
              </w:rPr>
            </w:pPr>
            <w:r w:rsidRPr="005455F1">
              <w:rPr>
                <w:sz w:val="18"/>
                <w:szCs w:val="18"/>
              </w:rPr>
              <w:t>2013</w:t>
            </w:r>
          </w:p>
        </w:tc>
        <w:tc>
          <w:tcPr>
            <w:tcW w:w="0" w:type="auto"/>
            <w:tcBorders>
              <w:top w:val="single" w:sz="4" w:space="0" w:color="000000"/>
              <w:left w:val="nil"/>
              <w:bottom w:val="nil"/>
              <w:right w:val="nil"/>
            </w:tcBorders>
            <w:shd w:val="clear" w:color="auto" w:fill="auto"/>
            <w:noWrap/>
            <w:vAlign w:val="bottom"/>
            <w:hideMark/>
          </w:tcPr>
          <w:p w:rsidR="00E412BD" w:rsidRPr="005455F1" w:rsidRDefault="00E412BD" w:rsidP="001E2D32">
            <w:pPr>
              <w:jc w:val="right"/>
              <w:rPr>
                <w:sz w:val="18"/>
                <w:szCs w:val="18"/>
              </w:rPr>
            </w:pPr>
            <w:r w:rsidRPr="005455F1">
              <w:rPr>
                <w:sz w:val="18"/>
                <w:szCs w:val="18"/>
              </w:rPr>
              <w:t>2014</w:t>
            </w:r>
          </w:p>
        </w:tc>
        <w:tc>
          <w:tcPr>
            <w:tcW w:w="0" w:type="auto"/>
            <w:tcBorders>
              <w:top w:val="single" w:sz="4" w:space="0" w:color="000000"/>
              <w:left w:val="single" w:sz="4" w:space="0" w:color="000000"/>
              <w:bottom w:val="nil"/>
              <w:right w:val="single" w:sz="4" w:space="0" w:color="000000"/>
            </w:tcBorders>
            <w:shd w:val="clear" w:color="auto" w:fill="auto"/>
            <w:noWrap/>
            <w:vAlign w:val="center"/>
            <w:hideMark/>
          </w:tcPr>
          <w:p w:rsidR="00E412BD" w:rsidRPr="005455F1" w:rsidRDefault="00E412BD" w:rsidP="001E2D32">
            <w:pPr>
              <w:jc w:val="center"/>
              <w:rPr>
                <w:sz w:val="18"/>
                <w:szCs w:val="18"/>
              </w:rPr>
            </w:pPr>
            <w:r w:rsidRPr="005455F1">
              <w:rPr>
                <w:sz w:val="18"/>
                <w:szCs w:val="18"/>
              </w:rPr>
              <w:t>Grand Total</w:t>
            </w:r>
          </w:p>
        </w:tc>
      </w:tr>
      <w:tr w:rsidR="00E412BD" w:rsidRPr="005455F1" w:rsidTr="00840A87">
        <w:trPr>
          <w:trHeight w:val="544"/>
          <w:jc w:val="center"/>
        </w:trPr>
        <w:tc>
          <w:tcPr>
            <w:tcW w:w="0" w:type="auto"/>
            <w:tcBorders>
              <w:top w:val="single" w:sz="4" w:space="0" w:color="000000"/>
              <w:left w:val="single" w:sz="4" w:space="0" w:color="000000"/>
              <w:bottom w:val="nil"/>
              <w:right w:val="nil"/>
            </w:tcBorders>
            <w:shd w:val="clear" w:color="auto" w:fill="auto"/>
            <w:vAlign w:val="bottom"/>
            <w:hideMark/>
          </w:tcPr>
          <w:p w:rsidR="00E412BD" w:rsidRPr="005455F1" w:rsidRDefault="00E412BD" w:rsidP="001E2D32">
            <w:pPr>
              <w:spacing w:before="120" w:after="120"/>
              <w:rPr>
                <w:sz w:val="18"/>
                <w:szCs w:val="18"/>
              </w:rPr>
            </w:pPr>
            <w:r w:rsidRPr="005455F1">
              <w:rPr>
                <w:sz w:val="18"/>
                <w:szCs w:val="18"/>
              </w:rPr>
              <w:t>Benefits and Entitlements Fraud/Providing false information to the Organization</w:t>
            </w:r>
          </w:p>
        </w:tc>
        <w:tc>
          <w:tcPr>
            <w:tcW w:w="0" w:type="auto"/>
            <w:tcBorders>
              <w:top w:val="single" w:sz="4" w:space="0" w:color="000000"/>
              <w:left w:val="single" w:sz="4" w:space="0" w:color="000000"/>
              <w:bottom w:val="nil"/>
              <w:right w:val="nil"/>
            </w:tcBorders>
            <w:shd w:val="clear" w:color="auto" w:fill="auto"/>
            <w:noWrap/>
            <w:vAlign w:val="center"/>
            <w:hideMark/>
          </w:tcPr>
          <w:p w:rsidR="00E412BD" w:rsidRPr="005455F1" w:rsidRDefault="00E412BD" w:rsidP="001E2D32">
            <w:pPr>
              <w:jc w:val="center"/>
              <w:rPr>
                <w:sz w:val="18"/>
                <w:szCs w:val="18"/>
              </w:rPr>
            </w:pPr>
            <w:r w:rsidRPr="005455F1">
              <w:rPr>
                <w:sz w:val="18"/>
                <w:szCs w:val="18"/>
              </w:rPr>
              <w:t>23%</w:t>
            </w:r>
          </w:p>
        </w:tc>
        <w:tc>
          <w:tcPr>
            <w:tcW w:w="0" w:type="auto"/>
            <w:tcBorders>
              <w:top w:val="single" w:sz="4" w:space="0" w:color="000000"/>
              <w:left w:val="nil"/>
              <w:bottom w:val="nil"/>
              <w:right w:val="nil"/>
            </w:tcBorders>
            <w:shd w:val="clear" w:color="auto" w:fill="auto"/>
            <w:noWrap/>
            <w:vAlign w:val="center"/>
            <w:hideMark/>
          </w:tcPr>
          <w:p w:rsidR="00E412BD" w:rsidRPr="005455F1" w:rsidRDefault="00E412BD" w:rsidP="001E2D32">
            <w:pPr>
              <w:jc w:val="center"/>
              <w:rPr>
                <w:sz w:val="18"/>
                <w:szCs w:val="18"/>
              </w:rPr>
            </w:pPr>
            <w:r w:rsidRPr="005455F1">
              <w:rPr>
                <w:sz w:val="18"/>
                <w:szCs w:val="18"/>
              </w:rPr>
              <w:t>23%</w:t>
            </w:r>
          </w:p>
        </w:tc>
        <w:tc>
          <w:tcPr>
            <w:tcW w:w="0" w:type="auto"/>
            <w:tcBorders>
              <w:top w:val="single" w:sz="4" w:space="0" w:color="000000"/>
              <w:left w:val="nil"/>
              <w:bottom w:val="nil"/>
              <w:right w:val="nil"/>
            </w:tcBorders>
            <w:shd w:val="clear" w:color="auto" w:fill="auto"/>
            <w:noWrap/>
            <w:vAlign w:val="center"/>
            <w:hideMark/>
          </w:tcPr>
          <w:p w:rsidR="00E412BD" w:rsidRPr="005455F1" w:rsidRDefault="00E412BD" w:rsidP="001E2D32">
            <w:pPr>
              <w:jc w:val="center"/>
              <w:rPr>
                <w:sz w:val="18"/>
                <w:szCs w:val="18"/>
              </w:rPr>
            </w:pPr>
            <w:r w:rsidRPr="005455F1">
              <w:rPr>
                <w:sz w:val="18"/>
                <w:szCs w:val="18"/>
              </w:rPr>
              <w:t>19%</w:t>
            </w:r>
          </w:p>
        </w:tc>
        <w:tc>
          <w:tcPr>
            <w:tcW w:w="0" w:type="auto"/>
            <w:tcBorders>
              <w:top w:val="single" w:sz="4" w:space="0" w:color="000000"/>
              <w:left w:val="nil"/>
              <w:bottom w:val="nil"/>
              <w:right w:val="nil"/>
            </w:tcBorders>
            <w:shd w:val="clear" w:color="auto" w:fill="auto"/>
            <w:noWrap/>
            <w:vAlign w:val="center"/>
            <w:hideMark/>
          </w:tcPr>
          <w:p w:rsidR="00E412BD" w:rsidRPr="005455F1" w:rsidRDefault="00E412BD" w:rsidP="001E2D32">
            <w:pPr>
              <w:jc w:val="center"/>
              <w:rPr>
                <w:sz w:val="18"/>
                <w:szCs w:val="18"/>
              </w:rPr>
            </w:pPr>
            <w:r w:rsidRPr="005455F1">
              <w:rPr>
                <w:sz w:val="18"/>
                <w:szCs w:val="18"/>
              </w:rPr>
              <w:t>16%</w:t>
            </w:r>
          </w:p>
        </w:tc>
        <w:tc>
          <w:tcPr>
            <w:tcW w:w="0" w:type="auto"/>
            <w:tcBorders>
              <w:top w:val="single" w:sz="4" w:space="0" w:color="000000"/>
              <w:left w:val="nil"/>
              <w:bottom w:val="nil"/>
              <w:right w:val="nil"/>
            </w:tcBorders>
            <w:shd w:val="clear" w:color="auto" w:fill="auto"/>
            <w:noWrap/>
            <w:vAlign w:val="center"/>
            <w:hideMark/>
          </w:tcPr>
          <w:p w:rsidR="00E412BD" w:rsidRPr="005455F1" w:rsidRDefault="00E412BD" w:rsidP="001E2D32">
            <w:pPr>
              <w:jc w:val="center"/>
              <w:rPr>
                <w:sz w:val="18"/>
                <w:szCs w:val="18"/>
              </w:rPr>
            </w:pPr>
            <w:r w:rsidRPr="005455F1">
              <w:rPr>
                <w:sz w:val="18"/>
                <w:szCs w:val="18"/>
              </w:rPr>
              <w:t>0%</w:t>
            </w:r>
          </w:p>
        </w:tc>
        <w:tc>
          <w:tcPr>
            <w:tcW w:w="0" w:type="auto"/>
            <w:tcBorders>
              <w:top w:val="single" w:sz="4" w:space="0" w:color="000000"/>
              <w:left w:val="single" w:sz="4" w:space="0" w:color="000000"/>
              <w:bottom w:val="nil"/>
              <w:right w:val="single" w:sz="4" w:space="0" w:color="000000"/>
            </w:tcBorders>
            <w:shd w:val="clear" w:color="auto" w:fill="auto"/>
            <w:noWrap/>
            <w:vAlign w:val="center"/>
            <w:hideMark/>
          </w:tcPr>
          <w:p w:rsidR="00E412BD" w:rsidRPr="005455F1" w:rsidRDefault="00E412BD" w:rsidP="001E2D32">
            <w:pPr>
              <w:jc w:val="center"/>
              <w:rPr>
                <w:sz w:val="18"/>
                <w:szCs w:val="18"/>
              </w:rPr>
            </w:pPr>
            <w:r w:rsidRPr="005455F1">
              <w:rPr>
                <w:sz w:val="18"/>
                <w:szCs w:val="18"/>
              </w:rPr>
              <w:t>16%</w:t>
            </w:r>
          </w:p>
        </w:tc>
      </w:tr>
      <w:tr w:rsidR="00E412BD" w:rsidRPr="005455F1" w:rsidTr="00840A87">
        <w:trPr>
          <w:trHeight w:val="255"/>
          <w:jc w:val="center"/>
        </w:trPr>
        <w:tc>
          <w:tcPr>
            <w:tcW w:w="0" w:type="auto"/>
            <w:tcBorders>
              <w:top w:val="nil"/>
              <w:left w:val="single" w:sz="4" w:space="0" w:color="000000"/>
              <w:bottom w:val="nil"/>
              <w:right w:val="nil"/>
            </w:tcBorders>
            <w:shd w:val="clear" w:color="auto" w:fill="auto"/>
            <w:noWrap/>
            <w:vAlign w:val="bottom"/>
            <w:hideMark/>
          </w:tcPr>
          <w:p w:rsidR="00E412BD" w:rsidRPr="005455F1" w:rsidRDefault="00E412BD" w:rsidP="001E2D32">
            <w:pPr>
              <w:spacing w:before="120" w:after="120"/>
              <w:rPr>
                <w:sz w:val="18"/>
                <w:szCs w:val="18"/>
              </w:rPr>
            </w:pPr>
            <w:r w:rsidRPr="005455F1">
              <w:rPr>
                <w:sz w:val="18"/>
                <w:szCs w:val="18"/>
              </w:rPr>
              <w:t>Harassment/Discrimination/Abuse of Authority</w:t>
            </w:r>
          </w:p>
        </w:tc>
        <w:tc>
          <w:tcPr>
            <w:tcW w:w="0" w:type="auto"/>
            <w:tcBorders>
              <w:top w:val="nil"/>
              <w:left w:val="single" w:sz="4" w:space="0" w:color="000000"/>
              <w:bottom w:val="nil"/>
              <w:right w:val="nil"/>
            </w:tcBorders>
            <w:shd w:val="clear" w:color="auto" w:fill="auto"/>
            <w:noWrap/>
            <w:vAlign w:val="center"/>
            <w:hideMark/>
          </w:tcPr>
          <w:p w:rsidR="00E412BD" w:rsidRPr="005455F1" w:rsidRDefault="00E412BD" w:rsidP="001E2D32">
            <w:pPr>
              <w:jc w:val="center"/>
              <w:rPr>
                <w:sz w:val="18"/>
                <w:szCs w:val="18"/>
              </w:rPr>
            </w:pPr>
            <w:r w:rsidRPr="005455F1">
              <w:rPr>
                <w:sz w:val="18"/>
                <w:szCs w:val="18"/>
              </w:rPr>
              <w:t>15%</w:t>
            </w:r>
          </w:p>
        </w:tc>
        <w:tc>
          <w:tcPr>
            <w:tcW w:w="0" w:type="auto"/>
            <w:tcBorders>
              <w:top w:val="nil"/>
              <w:left w:val="nil"/>
              <w:bottom w:val="nil"/>
              <w:right w:val="nil"/>
            </w:tcBorders>
            <w:shd w:val="clear" w:color="auto" w:fill="auto"/>
            <w:noWrap/>
            <w:vAlign w:val="center"/>
            <w:hideMark/>
          </w:tcPr>
          <w:p w:rsidR="00E412BD" w:rsidRPr="005455F1" w:rsidRDefault="00E412BD" w:rsidP="001E2D32">
            <w:pPr>
              <w:jc w:val="center"/>
              <w:rPr>
                <w:sz w:val="18"/>
                <w:szCs w:val="18"/>
              </w:rPr>
            </w:pPr>
            <w:r w:rsidRPr="005455F1">
              <w:rPr>
                <w:sz w:val="18"/>
                <w:szCs w:val="18"/>
              </w:rPr>
              <w:t>0%</w:t>
            </w:r>
          </w:p>
        </w:tc>
        <w:tc>
          <w:tcPr>
            <w:tcW w:w="0" w:type="auto"/>
            <w:tcBorders>
              <w:top w:val="nil"/>
              <w:left w:val="nil"/>
              <w:bottom w:val="nil"/>
              <w:right w:val="nil"/>
            </w:tcBorders>
            <w:shd w:val="clear" w:color="auto" w:fill="auto"/>
            <w:noWrap/>
            <w:vAlign w:val="center"/>
            <w:hideMark/>
          </w:tcPr>
          <w:p w:rsidR="00E412BD" w:rsidRPr="005455F1" w:rsidRDefault="00E412BD" w:rsidP="001E2D32">
            <w:pPr>
              <w:jc w:val="center"/>
              <w:rPr>
                <w:sz w:val="18"/>
                <w:szCs w:val="18"/>
              </w:rPr>
            </w:pPr>
            <w:r w:rsidRPr="005455F1">
              <w:rPr>
                <w:sz w:val="18"/>
                <w:szCs w:val="18"/>
              </w:rPr>
              <w:t>14%</w:t>
            </w:r>
          </w:p>
        </w:tc>
        <w:tc>
          <w:tcPr>
            <w:tcW w:w="0" w:type="auto"/>
            <w:tcBorders>
              <w:top w:val="nil"/>
              <w:left w:val="nil"/>
              <w:bottom w:val="nil"/>
              <w:right w:val="nil"/>
            </w:tcBorders>
            <w:shd w:val="clear" w:color="auto" w:fill="auto"/>
            <w:noWrap/>
            <w:vAlign w:val="center"/>
            <w:hideMark/>
          </w:tcPr>
          <w:p w:rsidR="00E412BD" w:rsidRPr="005455F1" w:rsidRDefault="00E412BD" w:rsidP="001E2D32">
            <w:pPr>
              <w:jc w:val="center"/>
              <w:rPr>
                <w:sz w:val="18"/>
                <w:szCs w:val="18"/>
              </w:rPr>
            </w:pPr>
            <w:r w:rsidRPr="005455F1">
              <w:rPr>
                <w:sz w:val="18"/>
                <w:szCs w:val="18"/>
              </w:rPr>
              <w:t>26%</w:t>
            </w:r>
          </w:p>
        </w:tc>
        <w:tc>
          <w:tcPr>
            <w:tcW w:w="0" w:type="auto"/>
            <w:tcBorders>
              <w:top w:val="nil"/>
              <w:left w:val="nil"/>
              <w:bottom w:val="nil"/>
              <w:right w:val="nil"/>
            </w:tcBorders>
            <w:shd w:val="clear" w:color="auto" w:fill="auto"/>
            <w:noWrap/>
            <w:vAlign w:val="center"/>
            <w:hideMark/>
          </w:tcPr>
          <w:p w:rsidR="00E412BD" w:rsidRPr="005455F1" w:rsidRDefault="00E412BD" w:rsidP="001E2D32">
            <w:pPr>
              <w:jc w:val="center"/>
              <w:rPr>
                <w:sz w:val="18"/>
                <w:szCs w:val="18"/>
              </w:rPr>
            </w:pPr>
            <w:r w:rsidRPr="005455F1">
              <w:rPr>
                <w:sz w:val="18"/>
                <w:szCs w:val="18"/>
              </w:rPr>
              <w:t>29%</w:t>
            </w:r>
          </w:p>
        </w:tc>
        <w:tc>
          <w:tcPr>
            <w:tcW w:w="0" w:type="auto"/>
            <w:tcBorders>
              <w:top w:val="nil"/>
              <w:left w:val="single" w:sz="4" w:space="0" w:color="000000"/>
              <w:bottom w:val="nil"/>
              <w:right w:val="single" w:sz="4" w:space="0" w:color="000000"/>
            </w:tcBorders>
            <w:shd w:val="clear" w:color="auto" w:fill="auto"/>
            <w:noWrap/>
            <w:vAlign w:val="center"/>
            <w:hideMark/>
          </w:tcPr>
          <w:p w:rsidR="00E412BD" w:rsidRPr="005455F1" w:rsidRDefault="00E412BD" w:rsidP="001E2D32">
            <w:pPr>
              <w:jc w:val="center"/>
              <w:rPr>
                <w:sz w:val="18"/>
                <w:szCs w:val="18"/>
              </w:rPr>
            </w:pPr>
            <w:r w:rsidRPr="005455F1">
              <w:rPr>
                <w:sz w:val="18"/>
                <w:szCs w:val="18"/>
              </w:rPr>
              <w:t>18%</w:t>
            </w:r>
          </w:p>
        </w:tc>
      </w:tr>
      <w:tr w:rsidR="00E412BD" w:rsidRPr="005455F1" w:rsidTr="00840A87">
        <w:trPr>
          <w:trHeight w:val="255"/>
          <w:jc w:val="center"/>
        </w:trPr>
        <w:tc>
          <w:tcPr>
            <w:tcW w:w="0" w:type="auto"/>
            <w:tcBorders>
              <w:top w:val="nil"/>
              <w:left w:val="single" w:sz="4" w:space="0" w:color="000000"/>
              <w:bottom w:val="nil"/>
              <w:right w:val="nil"/>
            </w:tcBorders>
            <w:shd w:val="clear" w:color="auto" w:fill="auto"/>
            <w:noWrap/>
            <w:vAlign w:val="bottom"/>
            <w:hideMark/>
          </w:tcPr>
          <w:p w:rsidR="00E412BD" w:rsidRPr="005455F1" w:rsidRDefault="00E412BD" w:rsidP="001E2D32">
            <w:pPr>
              <w:spacing w:before="120" w:after="120"/>
              <w:rPr>
                <w:sz w:val="18"/>
                <w:szCs w:val="18"/>
              </w:rPr>
            </w:pPr>
            <w:r w:rsidRPr="005455F1">
              <w:rPr>
                <w:sz w:val="18"/>
                <w:szCs w:val="18"/>
              </w:rPr>
              <w:t>Irregular HR practices</w:t>
            </w:r>
          </w:p>
        </w:tc>
        <w:tc>
          <w:tcPr>
            <w:tcW w:w="0" w:type="auto"/>
            <w:tcBorders>
              <w:top w:val="nil"/>
              <w:left w:val="single" w:sz="4" w:space="0" w:color="000000"/>
              <w:bottom w:val="nil"/>
              <w:right w:val="nil"/>
            </w:tcBorders>
            <w:shd w:val="clear" w:color="auto" w:fill="auto"/>
            <w:noWrap/>
            <w:vAlign w:val="center"/>
            <w:hideMark/>
          </w:tcPr>
          <w:p w:rsidR="00E412BD" w:rsidRPr="005455F1" w:rsidRDefault="00E412BD" w:rsidP="001E2D32">
            <w:pPr>
              <w:jc w:val="center"/>
              <w:rPr>
                <w:sz w:val="18"/>
                <w:szCs w:val="18"/>
              </w:rPr>
            </w:pPr>
            <w:r w:rsidRPr="005455F1">
              <w:rPr>
                <w:sz w:val="18"/>
                <w:szCs w:val="18"/>
              </w:rPr>
              <w:t>15%</w:t>
            </w:r>
          </w:p>
        </w:tc>
        <w:tc>
          <w:tcPr>
            <w:tcW w:w="0" w:type="auto"/>
            <w:tcBorders>
              <w:top w:val="nil"/>
              <w:left w:val="nil"/>
              <w:bottom w:val="nil"/>
              <w:right w:val="nil"/>
            </w:tcBorders>
            <w:shd w:val="clear" w:color="auto" w:fill="auto"/>
            <w:noWrap/>
            <w:vAlign w:val="center"/>
            <w:hideMark/>
          </w:tcPr>
          <w:p w:rsidR="00E412BD" w:rsidRPr="005455F1" w:rsidRDefault="00E412BD" w:rsidP="001E2D32">
            <w:pPr>
              <w:jc w:val="center"/>
              <w:rPr>
                <w:sz w:val="18"/>
                <w:szCs w:val="18"/>
              </w:rPr>
            </w:pPr>
            <w:r w:rsidRPr="005455F1">
              <w:rPr>
                <w:sz w:val="18"/>
                <w:szCs w:val="18"/>
              </w:rPr>
              <w:t>15%</w:t>
            </w:r>
          </w:p>
        </w:tc>
        <w:tc>
          <w:tcPr>
            <w:tcW w:w="0" w:type="auto"/>
            <w:tcBorders>
              <w:top w:val="nil"/>
              <w:left w:val="nil"/>
              <w:bottom w:val="nil"/>
              <w:right w:val="nil"/>
            </w:tcBorders>
            <w:shd w:val="clear" w:color="auto" w:fill="auto"/>
            <w:noWrap/>
            <w:vAlign w:val="center"/>
            <w:hideMark/>
          </w:tcPr>
          <w:p w:rsidR="00E412BD" w:rsidRPr="005455F1" w:rsidRDefault="00E412BD" w:rsidP="001E2D32">
            <w:pPr>
              <w:jc w:val="center"/>
              <w:rPr>
                <w:sz w:val="18"/>
                <w:szCs w:val="18"/>
              </w:rPr>
            </w:pPr>
            <w:r w:rsidRPr="005455F1">
              <w:rPr>
                <w:sz w:val="18"/>
                <w:szCs w:val="18"/>
              </w:rPr>
              <w:t>24%</w:t>
            </w:r>
          </w:p>
        </w:tc>
        <w:tc>
          <w:tcPr>
            <w:tcW w:w="0" w:type="auto"/>
            <w:tcBorders>
              <w:top w:val="nil"/>
              <w:left w:val="nil"/>
              <w:bottom w:val="nil"/>
              <w:right w:val="nil"/>
            </w:tcBorders>
            <w:shd w:val="clear" w:color="auto" w:fill="auto"/>
            <w:noWrap/>
            <w:vAlign w:val="center"/>
            <w:hideMark/>
          </w:tcPr>
          <w:p w:rsidR="00E412BD" w:rsidRPr="005455F1" w:rsidRDefault="00E412BD" w:rsidP="001E2D32">
            <w:pPr>
              <w:jc w:val="center"/>
              <w:rPr>
                <w:sz w:val="18"/>
                <w:szCs w:val="18"/>
              </w:rPr>
            </w:pPr>
            <w:r w:rsidRPr="005455F1">
              <w:rPr>
                <w:sz w:val="18"/>
                <w:szCs w:val="18"/>
              </w:rPr>
              <w:t>21%</w:t>
            </w:r>
          </w:p>
        </w:tc>
        <w:tc>
          <w:tcPr>
            <w:tcW w:w="0" w:type="auto"/>
            <w:tcBorders>
              <w:top w:val="nil"/>
              <w:left w:val="nil"/>
              <w:bottom w:val="nil"/>
              <w:right w:val="nil"/>
            </w:tcBorders>
            <w:shd w:val="clear" w:color="auto" w:fill="auto"/>
            <w:noWrap/>
            <w:vAlign w:val="center"/>
            <w:hideMark/>
          </w:tcPr>
          <w:p w:rsidR="00E412BD" w:rsidRPr="005455F1" w:rsidRDefault="00E412BD" w:rsidP="001E2D32">
            <w:pPr>
              <w:jc w:val="center"/>
              <w:rPr>
                <w:sz w:val="18"/>
                <w:szCs w:val="18"/>
              </w:rPr>
            </w:pPr>
            <w:r w:rsidRPr="005455F1">
              <w:rPr>
                <w:sz w:val="18"/>
                <w:szCs w:val="18"/>
              </w:rPr>
              <w:t>7%</w:t>
            </w:r>
          </w:p>
        </w:tc>
        <w:tc>
          <w:tcPr>
            <w:tcW w:w="0" w:type="auto"/>
            <w:tcBorders>
              <w:top w:val="nil"/>
              <w:left w:val="single" w:sz="4" w:space="0" w:color="000000"/>
              <w:bottom w:val="nil"/>
              <w:right w:val="single" w:sz="4" w:space="0" w:color="000000"/>
            </w:tcBorders>
            <w:shd w:val="clear" w:color="auto" w:fill="auto"/>
            <w:noWrap/>
            <w:vAlign w:val="center"/>
            <w:hideMark/>
          </w:tcPr>
          <w:p w:rsidR="00E412BD" w:rsidRPr="005455F1" w:rsidRDefault="00E412BD" w:rsidP="001E2D32">
            <w:pPr>
              <w:jc w:val="center"/>
              <w:rPr>
                <w:sz w:val="18"/>
                <w:szCs w:val="18"/>
              </w:rPr>
            </w:pPr>
            <w:r w:rsidRPr="005455F1">
              <w:rPr>
                <w:sz w:val="18"/>
                <w:szCs w:val="18"/>
              </w:rPr>
              <w:t>18%</w:t>
            </w:r>
          </w:p>
        </w:tc>
      </w:tr>
      <w:tr w:rsidR="00E412BD" w:rsidRPr="005455F1" w:rsidTr="00840A87">
        <w:trPr>
          <w:trHeight w:val="255"/>
          <w:jc w:val="center"/>
        </w:trPr>
        <w:tc>
          <w:tcPr>
            <w:tcW w:w="0" w:type="auto"/>
            <w:tcBorders>
              <w:top w:val="nil"/>
              <w:left w:val="single" w:sz="4" w:space="0" w:color="000000"/>
              <w:bottom w:val="nil"/>
              <w:right w:val="nil"/>
            </w:tcBorders>
            <w:shd w:val="clear" w:color="auto" w:fill="auto"/>
            <w:noWrap/>
            <w:vAlign w:val="bottom"/>
            <w:hideMark/>
          </w:tcPr>
          <w:p w:rsidR="00E412BD" w:rsidRPr="005455F1" w:rsidRDefault="00E412BD" w:rsidP="001E2D32">
            <w:pPr>
              <w:spacing w:before="120" w:after="120"/>
              <w:rPr>
                <w:sz w:val="18"/>
                <w:szCs w:val="18"/>
              </w:rPr>
            </w:pPr>
            <w:r w:rsidRPr="005455F1">
              <w:rPr>
                <w:sz w:val="18"/>
                <w:szCs w:val="18"/>
              </w:rPr>
              <w:t>Misuse of ICT resources</w:t>
            </w:r>
          </w:p>
        </w:tc>
        <w:tc>
          <w:tcPr>
            <w:tcW w:w="0" w:type="auto"/>
            <w:tcBorders>
              <w:top w:val="nil"/>
              <w:left w:val="single" w:sz="4" w:space="0" w:color="000000"/>
              <w:bottom w:val="nil"/>
              <w:right w:val="nil"/>
            </w:tcBorders>
            <w:shd w:val="clear" w:color="auto" w:fill="auto"/>
            <w:noWrap/>
            <w:vAlign w:val="center"/>
            <w:hideMark/>
          </w:tcPr>
          <w:p w:rsidR="00E412BD" w:rsidRPr="005455F1" w:rsidRDefault="00E412BD" w:rsidP="001E2D32">
            <w:pPr>
              <w:jc w:val="center"/>
              <w:rPr>
                <w:sz w:val="18"/>
                <w:szCs w:val="18"/>
              </w:rPr>
            </w:pPr>
            <w:r w:rsidRPr="005455F1">
              <w:rPr>
                <w:sz w:val="18"/>
                <w:szCs w:val="18"/>
              </w:rPr>
              <w:t>23%</w:t>
            </w:r>
          </w:p>
        </w:tc>
        <w:tc>
          <w:tcPr>
            <w:tcW w:w="0" w:type="auto"/>
            <w:tcBorders>
              <w:top w:val="nil"/>
              <w:left w:val="nil"/>
              <w:bottom w:val="nil"/>
              <w:right w:val="nil"/>
            </w:tcBorders>
            <w:shd w:val="clear" w:color="auto" w:fill="auto"/>
            <w:noWrap/>
            <w:vAlign w:val="center"/>
            <w:hideMark/>
          </w:tcPr>
          <w:p w:rsidR="00E412BD" w:rsidRPr="005455F1" w:rsidRDefault="00E412BD" w:rsidP="001E2D32">
            <w:pPr>
              <w:jc w:val="center"/>
              <w:rPr>
                <w:sz w:val="18"/>
                <w:szCs w:val="18"/>
              </w:rPr>
            </w:pPr>
            <w:r w:rsidRPr="005455F1">
              <w:rPr>
                <w:sz w:val="18"/>
                <w:szCs w:val="18"/>
              </w:rPr>
              <w:t>8%</w:t>
            </w:r>
          </w:p>
        </w:tc>
        <w:tc>
          <w:tcPr>
            <w:tcW w:w="0" w:type="auto"/>
            <w:tcBorders>
              <w:top w:val="nil"/>
              <w:left w:val="nil"/>
              <w:bottom w:val="nil"/>
              <w:right w:val="nil"/>
            </w:tcBorders>
            <w:shd w:val="clear" w:color="auto" w:fill="auto"/>
            <w:noWrap/>
            <w:vAlign w:val="center"/>
            <w:hideMark/>
          </w:tcPr>
          <w:p w:rsidR="00E412BD" w:rsidRPr="005455F1" w:rsidRDefault="00E412BD" w:rsidP="001E2D32">
            <w:pPr>
              <w:jc w:val="center"/>
              <w:rPr>
                <w:sz w:val="18"/>
                <w:szCs w:val="18"/>
              </w:rPr>
            </w:pPr>
            <w:r w:rsidRPr="005455F1">
              <w:rPr>
                <w:sz w:val="18"/>
                <w:szCs w:val="18"/>
              </w:rPr>
              <w:t>5%</w:t>
            </w:r>
          </w:p>
        </w:tc>
        <w:tc>
          <w:tcPr>
            <w:tcW w:w="0" w:type="auto"/>
            <w:tcBorders>
              <w:top w:val="nil"/>
              <w:left w:val="nil"/>
              <w:bottom w:val="nil"/>
              <w:right w:val="nil"/>
            </w:tcBorders>
            <w:shd w:val="clear" w:color="auto" w:fill="auto"/>
            <w:noWrap/>
            <w:vAlign w:val="center"/>
            <w:hideMark/>
          </w:tcPr>
          <w:p w:rsidR="00E412BD" w:rsidRPr="005455F1" w:rsidRDefault="00E412BD" w:rsidP="001E2D32">
            <w:pPr>
              <w:jc w:val="center"/>
              <w:rPr>
                <w:sz w:val="18"/>
                <w:szCs w:val="18"/>
              </w:rPr>
            </w:pPr>
            <w:r w:rsidRPr="005455F1">
              <w:rPr>
                <w:sz w:val="18"/>
                <w:szCs w:val="18"/>
              </w:rPr>
              <w:t>0%</w:t>
            </w:r>
          </w:p>
        </w:tc>
        <w:tc>
          <w:tcPr>
            <w:tcW w:w="0" w:type="auto"/>
            <w:tcBorders>
              <w:top w:val="nil"/>
              <w:left w:val="nil"/>
              <w:bottom w:val="nil"/>
              <w:right w:val="nil"/>
            </w:tcBorders>
            <w:shd w:val="clear" w:color="auto" w:fill="auto"/>
            <w:noWrap/>
            <w:vAlign w:val="center"/>
            <w:hideMark/>
          </w:tcPr>
          <w:p w:rsidR="00E412BD" w:rsidRPr="005455F1" w:rsidRDefault="00E412BD" w:rsidP="001E2D32">
            <w:pPr>
              <w:jc w:val="center"/>
              <w:rPr>
                <w:sz w:val="18"/>
                <w:szCs w:val="18"/>
              </w:rPr>
            </w:pPr>
            <w:r w:rsidRPr="005455F1">
              <w:rPr>
                <w:sz w:val="18"/>
                <w:szCs w:val="18"/>
              </w:rPr>
              <w:t>7%</w:t>
            </w:r>
          </w:p>
        </w:tc>
        <w:tc>
          <w:tcPr>
            <w:tcW w:w="0" w:type="auto"/>
            <w:tcBorders>
              <w:top w:val="nil"/>
              <w:left w:val="single" w:sz="4" w:space="0" w:color="000000"/>
              <w:bottom w:val="nil"/>
              <w:right w:val="single" w:sz="4" w:space="0" w:color="000000"/>
            </w:tcBorders>
            <w:shd w:val="clear" w:color="auto" w:fill="auto"/>
            <w:noWrap/>
            <w:vAlign w:val="center"/>
            <w:hideMark/>
          </w:tcPr>
          <w:p w:rsidR="00E412BD" w:rsidRPr="005455F1" w:rsidRDefault="00E412BD" w:rsidP="001E2D32">
            <w:pPr>
              <w:jc w:val="center"/>
              <w:rPr>
                <w:sz w:val="18"/>
                <w:szCs w:val="18"/>
              </w:rPr>
            </w:pPr>
            <w:r w:rsidRPr="005455F1">
              <w:rPr>
                <w:sz w:val="18"/>
                <w:szCs w:val="18"/>
              </w:rPr>
              <w:t>8%</w:t>
            </w:r>
          </w:p>
        </w:tc>
      </w:tr>
      <w:tr w:rsidR="00E412BD" w:rsidRPr="005455F1" w:rsidTr="00840A87">
        <w:trPr>
          <w:trHeight w:val="965"/>
          <w:jc w:val="center"/>
        </w:trPr>
        <w:tc>
          <w:tcPr>
            <w:tcW w:w="0" w:type="auto"/>
            <w:tcBorders>
              <w:top w:val="nil"/>
              <w:left w:val="single" w:sz="4" w:space="0" w:color="000000"/>
              <w:bottom w:val="nil"/>
              <w:right w:val="nil"/>
            </w:tcBorders>
            <w:shd w:val="clear" w:color="auto" w:fill="auto"/>
            <w:vAlign w:val="bottom"/>
            <w:hideMark/>
          </w:tcPr>
          <w:p w:rsidR="00E412BD" w:rsidRPr="005455F1" w:rsidRDefault="00E412BD" w:rsidP="001E2D32">
            <w:pPr>
              <w:spacing w:before="120" w:after="120"/>
              <w:rPr>
                <w:sz w:val="18"/>
                <w:szCs w:val="18"/>
              </w:rPr>
            </w:pPr>
            <w:r w:rsidRPr="005455F1">
              <w:rPr>
                <w:sz w:val="18"/>
                <w:szCs w:val="18"/>
              </w:rPr>
              <w:t>Other fraudulent and corrupt practices (other than benefits and entitlements fraud)/Misappropriation or misuse  of funds and assets (other than the misuse of ICT resources)</w:t>
            </w:r>
          </w:p>
        </w:tc>
        <w:tc>
          <w:tcPr>
            <w:tcW w:w="0" w:type="auto"/>
            <w:tcBorders>
              <w:top w:val="nil"/>
              <w:left w:val="single" w:sz="4" w:space="0" w:color="000000"/>
              <w:bottom w:val="nil"/>
              <w:right w:val="nil"/>
            </w:tcBorders>
            <w:shd w:val="clear" w:color="auto" w:fill="auto"/>
            <w:noWrap/>
            <w:vAlign w:val="center"/>
            <w:hideMark/>
          </w:tcPr>
          <w:p w:rsidR="00E412BD" w:rsidRPr="005455F1" w:rsidRDefault="00E412BD" w:rsidP="001E2D32">
            <w:pPr>
              <w:jc w:val="center"/>
              <w:rPr>
                <w:sz w:val="18"/>
                <w:szCs w:val="18"/>
              </w:rPr>
            </w:pPr>
            <w:r w:rsidRPr="005455F1">
              <w:rPr>
                <w:sz w:val="18"/>
                <w:szCs w:val="18"/>
              </w:rPr>
              <w:t>8%</w:t>
            </w:r>
          </w:p>
        </w:tc>
        <w:tc>
          <w:tcPr>
            <w:tcW w:w="0" w:type="auto"/>
            <w:tcBorders>
              <w:top w:val="nil"/>
              <w:left w:val="nil"/>
              <w:bottom w:val="nil"/>
              <w:right w:val="nil"/>
            </w:tcBorders>
            <w:shd w:val="clear" w:color="auto" w:fill="auto"/>
            <w:noWrap/>
            <w:vAlign w:val="center"/>
            <w:hideMark/>
          </w:tcPr>
          <w:p w:rsidR="00E412BD" w:rsidRPr="005455F1" w:rsidRDefault="00E412BD" w:rsidP="001E2D32">
            <w:pPr>
              <w:jc w:val="center"/>
              <w:rPr>
                <w:sz w:val="18"/>
                <w:szCs w:val="18"/>
              </w:rPr>
            </w:pPr>
            <w:r w:rsidRPr="005455F1">
              <w:rPr>
                <w:sz w:val="18"/>
                <w:szCs w:val="18"/>
              </w:rPr>
              <w:t>31%</w:t>
            </w:r>
          </w:p>
        </w:tc>
        <w:tc>
          <w:tcPr>
            <w:tcW w:w="0" w:type="auto"/>
            <w:tcBorders>
              <w:top w:val="nil"/>
              <w:left w:val="nil"/>
              <w:bottom w:val="nil"/>
              <w:right w:val="nil"/>
            </w:tcBorders>
            <w:shd w:val="clear" w:color="auto" w:fill="auto"/>
            <w:noWrap/>
            <w:vAlign w:val="center"/>
            <w:hideMark/>
          </w:tcPr>
          <w:p w:rsidR="00E412BD" w:rsidRPr="005455F1" w:rsidRDefault="00E412BD" w:rsidP="001E2D32">
            <w:pPr>
              <w:jc w:val="center"/>
              <w:rPr>
                <w:sz w:val="18"/>
                <w:szCs w:val="18"/>
              </w:rPr>
            </w:pPr>
            <w:r w:rsidRPr="005455F1">
              <w:rPr>
                <w:sz w:val="18"/>
                <w:szCs w:val="18"/>
              </w:rPr>
              <w:t>5%</w:t>
            </w:r>
          </w:p>
        </w:tc>
        <w:tc>
          <w:tcPr>
            <w:tcW w:w="0" w:type="auto"/>
            <w:tcBorders>
              <w:top w:val="nil"/>
              <w:left w:val="nil"/>
              <w:bottom w:val="nil"/>
              <w:right w:val="nil"/>
            </w:tcBorders>
            <w:shd w:val="clear" w:color="auto" w:fill="auto"/>
            <w:noWrap/>
            <w:vAlign w:val="center"/>
            <w:hideMark/>
          </w:tcPr>
          <w:p w:rsidR="00E412BD" w:rsidRPr="005455F1" w:rsidRDefault="00E412BD" w:rsidP="001E2D32">
            <w:pPr>
              <w:jc w:val="center"/>
              <w:rPr>
                <w:sz w:val="18"/>
                <w:szCs w:val="18"/>
              </w:rPr>
            </w:pPr>
            <w:r w:rsidRPr="005455F1">
              <w:rPr>
                <w:sz w:val="18"/>
                <w:szCs w:val="18"/>
              </w:rPr>
              <w:t>5%</w:t>
            </w:r>
          </w:p>
        </w:tc>
        <w:tc>
          <w:tcPr>
            <w:tcW w:w="0" w:type="auto"/>
            <w:tcBorders>
              <w:top w:val="nil"/>
              <w:left w:val="nil"/>
              <w:bottom w:val="nil"/>
              <w:right w:val="nil"/>
            </w:tcBorders>
            <w:shd w:val="clear" w:color="auto" w:fill="auto"/>
            <w:noWrap/>
            <w:vAlign w:val="center"/>
            <w:hideMark/>
          </w:tcPr>
          <w:p w:rsidR="00E412BD" w:rsidRPr="005455F1" w:rsidRDefault="00E412BD" w:rsidP="001E2D32">
            <w:pPr>
              <w:jc w:val="center"/>
              <w:rPr>
                <w:sz w:val="18"/>
                <w:szCs w:val="18"/>
              </w:rPr>
            </w:pPr>
            <w:r w:rsidRPr="005455F1">
              <w:rPr>
                <w:sz w:val="18"/>
                <w:szCs w:val="18"/>
              </w:rPr>
              <w:t>14%</w:t>
            </w:r>
          </w:p>
        </w:tc>
        <w:tc>
          <w:tcPr>
            <w:tcW w:w="0" w:type="auto"/>
            <w:tcBorders>
              <w:top w:val="nil"/>
              <w:left w:val="single" w:sz="4" w:space="0" w:color="000000"/>
              <w:bottom w:val="nil"/>
              <w:right w:val="single" w:sz="4" w:space="0" w:color="000000"/>
            </w:tcBorders>
            <w:shd w:val="clear" w:color="auto" w:fill="auto"/>
            <w:noWrap/>
            <w:vAlign w:val="center"/>
            <w:hideMark/>
          </w:tcPr>
          <w:p w:rsidR="00E412BD" w:rsidRPr="005455F1" w:rsidRDefault="00E412BD" w:rsidP="001E2D32">
            <w:pPr>
              <w:jc w:val="center"/>
              <w:rPr>
                <w:sz w:val="18"/>
                <w:szCs w:val="18"/>
              </w:rPr>
            </w:pPr>
            <w:r w:rsidRPr="005455F1">
              <w:rPr>
                <w:sz w:val="18"/>
                <w:szCs w:val="18"/>
              </w:rPr>
              <w:t>11%</w:t>
            </w:r>
          </w:p>
        </w:tc>
      </w:tr>
      <w:tr w:rsidR="00E412BD" w:rsidRPr="005455F1" w:rsidTr="00840A87">
        <w:trPr>
          <w:trHeight w:val="765"/>
          <w:jc w:val="center"/>
        </w:trPr>
        <w:tc>
          <w:tcPr>
            <w:tcW w:w="0" w:type="auto"/>
            <w:tcBorders>
              <w:top w:val="nil"/>
              <w:left w:val="single" w:sz="4" w:space="0" w:color="000000"/>
              <w:bottom w:val="nil"/>
              <w:right w:val="nil"/>
            </w:tcBorders>
            <w:shd w:val="clear" w:color="auto" w:fill="auto"/>
            <w:vAlign w:val="bottom"/>
            <w:hideMark/>
          </w:tcPr>
          <w:p w:rsidR="00E412BD" w:rsidRPr="005455F1" w:rsidRDefault="00E412BD" w:rsidP="001E2D32">
            <w:pPr>
              <w:spacing w:before="120" w:after="120"/>
              <w:rPr>
                <w:sz w:val="18"/>
                <w:szCs w:val="18"/>
              </w:rPr>
            </w:pPr>
            <w:r w:rsidRPr="005455F1">
              <w:rPr>
                <w:sz w:val="18"/>
                <w:szCs w:val="18"/>
              </w:rPr>
              <w:t>Statements, pronouncements and activities incompatible with the obligations of an international civil servant</w:t>
            </w:r>
          </w:p>
        </w:tc>
        <w:tc>
          <w:tcPr>
            <w:tcW w:w="0" w:type="auto"/>
            <w:tcBorders>
              <w:top w:val="nil"/>
              <w:left w:val="single" w:sz="4" w:space="0" w:color="000000"/>
              <w:bottom w:val="nil"/>
              <w:right w:val="nil"/>
            </w:tcBorders>
            <w:shd w:val="clear" w:color="auto" w:fill="auto"/>
            <w:noWrap/>
            <w:vAlign w:val="center"/>
            <w:hideMark/>
          </w:tcPr>
          <w:p w:rsidR="00E412BD" w:rsidRPr="005455F1" w:rsidRDefault="00E412BD" w:rsidP="001E2D32">
            <w:pPr>
              <w:jc w:val="center"/>
              <w:rPr>
                <w:sz w:val="18"/>
                <w:szCs w:val="18"/>
              </w:rPr>
            </w:pPr>
            <w:r w:rsidRPr="005455F1">
              <w:rPr>
                <w:sz w:val="18"/>
                <w:szCs w:val="18"/>
              </w:rPr>
              <w:t>15%</w:t>
            </w:r>
          </w:p>
        </w:tc>
        <w:tc>
          <w:tcPr>
            <w:tcW w:w="0" w:type="auto"/>
            <w:tcBorders>
              <w:top w:val="nil"/>
              <w:left w:val="nil"/>
              <w:bottom w:val="nil"/>
              <w:right w:val="nil"/>
            </w:tcBorders>
            <w:shd w:val="clear" w:color="auto" w:fill="auto"/>
            <w:noWrap/>
            <w:vAlign w:val="center"/>
            <w:hideMark/>
          </w:tcPr>
          <w:p w:rsidR="00E412BD" w:rsidRPr="005455F1" w:rsidRDefault="00E412BD" w:rsidP="001E2D32">
            <w:pPr>
              <w:jc w:val="center"/>
              <w:rPr>
                <w:sz w:val="18"/>
                <w:szCs w:val="18"/>
              </w:rPr>
            </w:pPr>
            <w:r w:rsidRPr="005455F1">
              <w:rPr>
                <w:sz w:val="18"/>
                <w:szCs w:val="18"/>
              </w:rPr>
              <w:t>15%</w:t>
            </w:r>
          </w:p>
        </w:tc>
        <w:tc>
          <w:tcPr>
            <w:tcW w:w="0" w:type="auto"/>
            <w:tcBorders>
              <w:top w:val="nil"/>
              <w:left w:val="nil"/>
              <w:bottom w:val="nil"/>
              <w:right w:val="nil"/>
            </w:tcBorders>
            <w:shd w:val="clear" w:color="auto" w:fill="auto"/>
            <w:noWrap/>
            <w:vAlign w:val="center"/>
            <w:hideMark/>
          </w:tcPr>
          <w:p w:rsidR="00E412BD" w:rsidRPr="005455F1" w:rsidRDefault="00E412BD" w:rsidP="001E2D32">
            <w:pPr>
              <w:jc w:val="center"/>
              <w:rPr>
                <w:sz w:val="18"/>
                <w:szCs w:val="18"/>
              </w:rPr>
            </w:pPr>
            <w:r w:rsidRPr="005455F1">
              <w:rPr>
                <w:sz w:val="18"/>
                <w:szCs w:val="18"/>
              </w:rPr>
              <w:t>19%</w:t>
            </w:r>
          </w:p>
        </w:tc>
        <w:tc>
          <w:tcPr>
            <w:tcW w:w="0" w:type="auto"/>
            <w:tcBorders>
              <w:top w:val="nil"/>
              <w:left w:val="nil"/>
              <w:bottom w:val="nil"/>
              <w:right w:val="nil"/>
            </w:tcBorders>
            <w:shd w:val="clear" w:color="auto" w:fill="auto"/>
            <w:noWrap/>
            <w:vAlign w:val="center"/>
            <w:hideMark/>
          </w:tcPr>
          <w:p w:rsidR="00E412BD" w:rsidRPr="005455F1" w:rsidRDefault="00E412BD" w:rsidP="001E2D32">
            <w:pPr>
              <w:jc w:val="center"/>
              <w:rPr>
                <w:sz w:val="18"/>
                <w:szCs w:val="18"/>
              </w:rPr>
            </w:pPr>
            <w:r w:rsidRPr="005455F1">
              <w:rPr>
                <w:sz w:val="18"/>
                <w:szCs w:val="18"/>
              </w:rPr>
              <w:t>16%</w:t>
            </w:r>
          </w:p>
        </w:tc>
        <w:tc>
          <w:tcPr>
            <w:tcW w:w="0" w:type="auto"/>
            <w:tcBorders>
              <w:top w:val="nil"/>
              <w:left w:val="nil"/>
              <w:bottom w:val="nil"/>
              <w:right w:val="nil"/>
            </w:tcBorders>
            <w:shd w:val="clear" w:color="auto" w:fill="auto"/>
            <w:noWrap/>
            <w:vAlign w:val="center"/>
            <w:hideMark/>
          </w:tcPr>
          <w:p w:rsidR="00E412BD" w:rsidRPr="005455F1" w:rsidRDefault="00E412BD" w:rsidP="001E2D32">
            <w:pPr>
              <w:jc w:val="center"/>
              <w:rPr>
                <w:sz w:val="18"/>
                <w:szCs w:val="18"/>
              </w:rPr>
            </w:pPr>
            <w:r w:rsidRPr="005455F1">
              <w:rPr>
                <w:sz w:val="18"/>
                <w:szCs w:val="18"/>
              </w:rPr>
              <w:t>29%</w:t>
            </w:r>
          </w:p>
        </w:tc>
        <w:tc>
          <w:tcPr>
            <w:tcW w:w="0" w:type="auto"/>
            <w:tcBorders>
              <w:top w:val="nil"/>
              <w:left w:val="single" w:sz="4" w:space="0" w:color="000000"/>
              <w:bottom w:val="nil"/>
              <w:right w:val="single" w:sz="4" w:space="0" w:color="000000"/>
            </w:tcBorders>
            <w:shd w:val="clear" w:color="auto" w:fill="auto"/>
            <w:noWrap/>
            <w:vAlign w:val="center"/>
            <w:hideMark/>
          </w:tcPr>
          <w:p w:rsidR="00E412BD" w:rsidRPr="005455F1" w:rsidRDefault="00E412BD" w:rsidP="001E2D32">
            <w:pPr>
              <w:jc w:val="center"/>
              <w:rPr>
                <w:sz w:val="18"/>
                <w:szCs w:val="18"/>
              </w:rPr>
            </w:pPr>
            <w:r w:rsidRPr="005455F1">
              <w:rPr>
                <w:sz w:val="18"/>
                <w:szCs w:val="18"/>
              </w:rPr>
              <w:t>19%</w:t>
            </w:r>
          </w:p>
        </w:tc>
      </w:tr>
      <w:tr w:rsidR="00E412BD" w:rsidRPr="005455F1" w:rsidTr="00840A87">
        <w:trPr>
          <w:trHeight w:val="255"/>
          <w:jc w:val="center"/>
        </w:trPr>
        <w:tc>
          <w:tcPr>
            <w:tcW w:w="0" w:type="auto"/>
            <w:tcBorders>
              <w:top w:val="nil"/>
              <w:left w:val="single" w:sz="4" w:space="0" w:color="000000"/>
              <w:bottom w:val="nil"/>
              <w:right w:val="nil"/>
            </w:tcBorders>
            <w:shd w:val="clear" w:color="auto" w:fill="auto"/>
            <w:noWrap/>
            <w:vAlign w:val="bottom"/>
            <w:hideMark/>
          </w:tcPr>
          <w:p w:rsidR="00E412BD" w:rsidRPr="005455F1" w:rsidRDefault="00E412BD" w:rsidP="001E2D32">
            <w:pPr>
              <w:spacing w:before="120" w:after="120"/>
              <w:rPr>
                <w:sz w:val="18"/>
                <w:szCs w:val="18"/>
              </w:rPr>
            </w:pPr>
            <w:r w:rsidRPr="005455F1">
              <w:rPr>
                <w:sz w:val="18"/>
                <w:szCs w:val="18"/>
              </w:rPr>
              <w:t>Unauthorized communication of information</w:t>
            </w:r>
          </w:p>
        </w:tc>
        <w:tc>
          <w:tcPr>
            <w:tcW w:w="0" w:type="auto"/>
            <w:tcBorders>
              <w:top w:val="nil"/>
              <w:left w:val="single" w:sz="4" w:space="0" w:color="000000"/>
              <w:bottom w:val="nil"/>
              <w:right w:val="nil"/>
            </w:tcBorders>
            <w:shd w:val="clear" w:color="auto" w:fill="auto"/>
            <w:noWrap/>
            <w:vAlign w:val="center"/>
            <w:hideMark/>
          </w:tcPr>
          <w:p w:rsidR="00E412BD" w:rsidRPr="005455F1" w:rsidRDefault="00E412BD" w:rsidP="001E2D32">
            <w:pPr>
              <w:jc w:val="center"/>
              <w:rPr>
                <w:sz w:val="18"/>
                <w:szCs w:val="18"/>
              </w:rPr>
            </w:pPr>
            <w:r w:rsidRPr="005455F1">
              <w:rPr>
                <w:sz w:val="18"/>
                <w:szCs w:val="18"/>
              </w:rPr>
              <w:t>0%</w:t>
            </w:r>
          </w:p>
        </w:tc>
        <w:tc>
          <w:tcPr>
            <w:tcW w:w="0" w:type="auto"/>
            <w:tcBorders>
              <w:top w:val="nil"/>
              <w:left w:val="nil"/>
              <w:bottom w:val="nil"/>
              <w:right w:val="nil"/>
            </w:tcBorders>
            <w:shd w:val="clear" w:color="auto" w:fill="auto"/>
            <w:noWrap/>
            <w:vAlign w:val="center"/>
            <w:hideMark/>
          </w:tcPr>
          <w:p w:rsidR="00E412BD" w:rsidRPr="005455F1" w:rsidRDefault="00E412BD" w:rsidP="001E2D32">
            <w:pPr>
              <w:jc w:val="center"/>
              <w:rPr>
                <w:sz w:val="18"/>
                <w:szCs w:val="18"/>
              </w:rPr>
            </w:pPr>
            <w:r w:rsidRPr="005455F1">
              <w:rPr>
                <w:sz w:val="18"/>
                <w:szCs w:val="18"/>
              </w:rPr>
              <w:t>8%</w:t>
            </w:r>
          </w:p>
        </w:tc>
        <w:tc>
          <w:tcPr>
            <w:tcW w:w="0" w:type="auto"/>
            <w:tcBorders>
              <w:top w:val="nil"/>
              <w:left w:val="nil"/>
              <w:bottom w:val="nil"/>
              <w:right w:val="nil"/>
            </w:tcBorders>
            <w:shd w:val="clear" w:color="auto" w:fill="auto"/>
            <w:noWrap/>
            <w:vAlign w:val="center"/>
            <w:hideMark/>
          </w:tcPr>
          <w:p w:rsidR="00E412BD" w:rsidRPr="005455F1" w:rsidRDefault="00E412BD" w:rsidP="001E2D32">
            <w:pPr>
              <w:jc w:val="center"/>
              <w:rPr>
                <w:sz w:val="18"/>
                <w:szCs w:val="18"/>
              </w:rPr>
            </w:pPr>
            <w:r w:rsidRPr="005455F1">
              <w:rPr>
                <w:sz w:val="18"/>
                <w:szCs w:val="18"/>
              </w:rPr>
              <w:t>14%</w:t>
            </w:r>
          </w:p>
        </w:tc>
        <w:tc>
          <w:tcPr>
            <w:tcW w:w="0" w:type="auto"/>
            <w:tcBorders>
              <w:top w:val="nil"/>
              <w:left w:val="nil"/>
              <w:bottom w:val="nil"/>
              <w:right w:val="nil"/>
            </w:tcBorders>
            <w:shd w:val="clear" w:color="auto" w:fill="auto"/>
            <w:noWrap/>
            <w:vAlign w:val="center"/>
            <w:hideMark/>
          </w:tcPr>
          <w:p w:rsidR="00E412BD" w:rsidRPr="005455F1" w:rsidRDefault="00E412BD" w:rsidP="001E2D32">
            <w:pPr>
              <w:jc w:val="center"/>
              <w:rPr>
                <w:sz w:val="18"/>
                <w:szCs w:val="18"/>
              </w:rPr>
            </w:pPr>
            <w:r w:rsidRPr="005455F1">
              <w:rPr>
                <w:sz w:val="18"/>
                <w:szCs w:val="18"/>
              </w:rPr>
              <w:t>16%</w:t>
            </w:r>
          </w:p>
        </w:tc>
        <w:tc>
          <w:tcPr>
            <w:tcW w:w="0" w:type="auto"/>
            <w:tcBorders>
              <w:top w:val="nil"/>
              <w:left w:val="nil"/>
              <w:bottom w:val="nil"/>
              <w:right w:val="nil"/>
            </w:tcBorders>
            <w:shd w:val="clear" w:color="auto" w:fill="auto"/>
            <w:noWrap/>
            <w:vAlign w:val="center"/>
            <w:hideMark/>
          </w:tcPr>
          <w:p w:rsidR="00E412BD" w:rsidRPr="005455F1" w:rsidRDefault="00E412BD" w:rsidP="001E2D32">
            <w:pPr>
              <w:jc w:val="center"/>
              <w:rPr>
                <w:sz w:val="18"/>
                <w:szCs w:val="18"/>
              </w:rPr>
            </w:pPr>
            <w:r w:rsidRPr="005455F1">
              <w:rPr>
                <w:sz w:val="18"/>
                <w:szCs w:val="18"/>
              </w:rPr>
              <w:t>14%</w:t>
            </w:r>
          </w:p>
        </w:tc>
        <w:tc>
          <w:tcPr>
            <w:tcW w:w="0" w:type="auto"/>
            <w:tcBorders>
              <w:top w:val="nil"/>
              <w:left w:val="single" w:sz="4" w:space="0" w:color="000000"/>
              <w:bottom w:val="nil"/>
              <w:right w:val="single" w:sz="4" w:space="0" w:color="000000"/>
            </w:tcBorders>
            <w:shd w:val="clear" w:color="auto" w:fill="auto"/>
            <w:noWrap/>
            <w:vAlign w:val="center"/>
            <w:hideMark/>
          </w:tcPr>
          <w:p w:rsidR="00E412BD" w:rsidRPr="005455F1" w:rsidRDefault="00E412BD" w:rsidP="001E2D32">
            <w:pPr>
              <w:jc w:val="center"/>
              <w:rPr>
                <w:sz w:val="18"/>
                <w:szCs w:val="18"/>
              </w:rPr>
            </w:pPr>
            <w:r w:rsidRPr="005455F1">
              <w:rPr>
                <w:sz w:val="18"/>
                <w:szCs w:val="18"/>
              </w:rPr>
              <w:t>11%</w:t>
            </w:r>
          </w:p>
        </w:tc>
      </w:tr>
      <w:tr w:rsidR="00E412BD" w:rsidRPr="005455F1" w:rsidTr="00840A87">
        <w:trPr>
          <w:trHeight w:val="437"/>
          <w:jc w:val="center"/>
        </w:trPr>
        <w:tc>
          <w:tcPr>
            <w:tcW w:w="0" w:type="auto"/>
            <w:tcBorders>
              <w:top w:val="single" w:sz="4" w:space="0" w:color="000000"/>
              <w:left w:val="single" w:sz="4" w:space="0" w:color="000000"/>
              <w:bottom w:val="single" w:sz="4" w:space="0" w:color="000000"/>
              <w:right w:val="nil"/>
            </w:tcBorders>
            <w:shd w:val="clear" w:color="auto" w:fill="auto"/>
            <w:noWrap/>
            <w:vAlign w:val="center"/>
            <w:hideMark/>
          </w:tcPr>
          <w:p w:rsidR="00E412BD" w:rsidRPr="005455F1" w:rsidRDefault="00E412BD" w:rsidP="001E2D32">
            <w:pPr>
              <w:rPr>
                <w:sz w:val="18"/>
                <w:szCs w:val="18"/>
              </w:rPr>
            </w:pPr>
            <w:r w:rsidRPr="005455F1">
              <w:rPr>
                <w:sz w:val="18"/>
                <w:szCs w:val="18"/>
              </w:rPr>
              <w:t>Grand Total</w:t>
            </w:r>
          </w:p>
        </w:tc>
        <w:tc>
          <w:tcPr>
            <w:tcW w:w="0" w:type="auto"/>
            <w:tcBorders>
              <w:top w:val="single" w:sz="4" w:space="0" w:color="000000"/>
              <w:left w:val="single" w:sz="4" w:space="0" w:color="000000"/>
              <w:bottom w:val="single" w:sz="4" w:space="0" w:color="000000"/>
              <w:right w:val="nil"/>
            </w:tcBorders>
            <w:shd w:val="clear" w:color="auto" w:fill="auto"/>
            <w:noWrap/>
            <w:vAlign w:val="center"/>
            <w:hideMark/>
          </w:tcPr>
          <w:p w:rsidR="00E412BD" w:rsidRPr="005455F1" w:rsidRDefault="00E412BD" w:rsidP="001E2D32">
            <w:pPr>
              <w:jc w:val="center"/>
              <w:rPr>
                <w:sz w:val="18"/>
                <w:szCs w:val="18"/>
              </w:rPr>
            </w:pPr>
            <w:r w:rsidRPr="005455F1">
              <w:rPr>
                <w:sz w:val="18"/>
                <w:szCs w:val="18"/>
              </w:rPr>
              <w:t>100%</w:t>
            </w:r>
          </w:p>
        </w:tc>
        <w:tc>
          <w:tcPr>
            <w:tcW w:w="0" w:type="auto"/>
            <w:tcBorders>
              <w:top w:val="single" w:sz="4" w:space="0" w:color="000000"/>
              <w:left w:val="nil"/>
              <w:bottom w:val="single" w:sz="4" w:space="0" w:color="000000"/>
              <w:right w:val="nil"/>
            </w:tcBorders>
            <w:shd w:val="clear" w:color="auto" w:fill="auto"/>
            <w:noWrap/>
            <w:vAlign w:val="center"/>
            <w:hideMark/>
          </w:tcPr>
          <w:p w:rsidR="00E412BD" w:rsidRPr="005455F1" w:rsidRDefault="00E412BD" w:rsidP="001E2D32">
            <w:pPr>
              <w:jc w:val="center"/>
              <w:rPr>
                <w:sz w:val="18"/>
                <w:szCs w:val="18"/>
              </w:rPr>
            </w:pPr>
            <w:r w:rsidRPr="005455F1">
              <w:rPr>
                <w:sz w:val="18"/>
                <w:szCs w:val="18"/>
              </w:rPr>
              <w:t>100%</w:t>
            </w:r>
          </w:p>
        </w:tc>
        <w:tc>
          <w:tcPr>
            <w:tcW w:w="0" w:type="auto"/>
            <w:tcBorders>
              <w:top w:val="single" w:sz="4" w:space="0" w:color="000000"/>
              <w:left w:val="nil"/>
              <w:bottom w:val="single" w:sz="4" w:space="0" w:color="000000"/>
              <w:right w:val="nil"/>
            </w:tcBorders>
            <w:shd w:val="clear" w:color="auto" w:fill="auto"/>
            <w:noWrap/>
            <w:vAlign w:val="center"/>
            <w:hideMark/>
          </w:tcPr>
          <w:p w:rsidR="00E412BD" w:rsidRPr="005455F1" w:rsidRDefault="00E412BD" w:rsidP="001E2D32">
            <w:pPr>
              <w:jc w:val="center"/>
              <w:rPr>
                <w:sz w:val="18"/>
                <w:szCs w:val="18"/>
              </w:rPr>
            </w:pPr>
            <w:r w:rsidRPr="005455F1">
              <w:rPr>
                <w:sz w:val="18"/>
                <w:szCs w:val="18"/>
              </w:rPr>
              <w:t>100%</w:t>
            </w:r>
          </w:p>
        </w:tc>
        <w:tc>
          <w:tcPr>
            <w:tcW w:w="0" w:type="auto"/>
            <w:tcBorders>
              <w:top w:val="single" w:sz="4" w:space="0" w:color="000000"/>
              <w:left w:val="nil"/>
              <w:bottom w:val="single" w:sz="4" w:space="0" w:color="000000"/>
              <w:right w:val="nil"/>
            </w:tcBorders>
            <w:shd w:val="clear" w:color="auto" w:fill="auto"/>
            <w:noWrap/>
            <w:vAlign w:val="center"/>
            <w:hideMark/>
          </w:tcPr>
          <w:p w:rsidR="00E412BD" w:rsidRPr="005455F1" w:rsidRDefault="00E412BD" w:rsidP="001E2D32">
            <w:pPr>
              <w:jc w:val="center"/>
              <w:rPr>
                <w:sz w:val="18"/>
                <w:szCs w:val="18"/>
              </w:rPr>
            </w:pPr>
            <w:r w:rsidRPr="005455F1">
              <w:rPr>
                <w:sz w:val="18"/>
                <w:szCs w:val="18"/>
              </w:rPr>
              <w:t>100%</w:t>
            </w:r>
          </w:p>
        </w:tc>
        <w:tc>
          <w:tcPr>
            <w:tcW w:w="0" w:type="auto"/>
            <w:tcBorders>
              <w:top w:val="single" w:sz="4" w:space="0" w:color="000000"/>
              <w:left w:val="nil"/>
              <w:bottom w:val="single" w:sz="4" w:space="0" w:color="000000"/>
              <w:right w:val="nil"/>
            </w:tcBorders>
            <w:shd w:val="clear" w:color="auto" w:fill="auto"/>
            <w:noWrap/>
            <w:vAlign w:val="center"/>
            <w:hideMark/>
          </w:tcPr>
          <w:p w:rsidR="00E412BD" w:rsidRPr="005455F1" w:rsidRDefault="00E412BD" w:rsidP="001E2D32">
            <w:pPr>
              <w:jc w:val="center"/>
              <w:rPr>
                <w:sz w:val="18"/>
                <w:szCs w:val="18"/>
              </w:rPr>
            </w:pPr>
            <w:r w:rsidRPr="005455F1">
              <w:rPr>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412BD" w:rsidRPr="005455F1" w:rsidRDefault="00E412BD" w:rsidP="001E2D32">
            <w:pPr>
              <w:jc w:val="center"/>
              <w:rPr>
                <w:sz w:val="18"/>
                <w:szCs w:val="18"/>
              </w:rPr>
            </w:pPr>
            <w:r w:rsidRPr="005455F1">
              <w:rPr>
                <w:sz w:val="18"/>
                <w:szCs w:val="18"/>
              </w:rPr>
              <w:t>100%</w:t>
            </w:r>
          </w:p>
        </w:tc>
      </w:tr>
    </w:tbl>
    <w:p w:rsidR="005455F1" w:rsidRDefault="00E412BD" w:rsidP="002918FE">
      <w:pPr>
        <w:keepLines/>
        <w:spacing w:before="180"/>
        <w:ind w:left="2829" w:firstLine="2700"/>
      </w:pPr>
      <w:r>
        <w:t>[Annex IV</w:t>
      </w:r>
      <w:r w:rsidRPr="00DA5DBB">
        <w:t xml:space="preserve"> follows]</w:t>
      </w:r>
    </w:p>
    <w:p w:rsidR="00840A87" w:rsidRDefault="00840A87" w:rsidP="00840A87">
      <w:pPr>
        <w:keepLines/>
        <w:spacing w:before="180"/>
        <w:ind w:left="2829" w:hanging="2971"/>
        <w:jc w:val="both"/>
      </w:pPr>
    </w:p>
    <w:p w:rsidR="00840A87" w:rsidRDefault="00840A87" w:rsidP="00840A87">
      <w:pPr>
        <w:keepLines/>
        <w:spacing w:before="180"/>
        <w:ind w:left="2829" w:firstLine="709"/>
        <w:jc w:val="both"/>
        <w:sectPr w:rsidR="00840A87" w:rsidSect="00E365E6">
          <w:headerReference w:type="first" r:id="rId24"/>
          <w:endnotePr>
            <w:numFmt w:val="decimal"/>
          </w:endnotePr>
          <w:pgSz w:w="11907" w:h="16840" w:code="9"/>
          <w:pgMar w:top="1305" w:right="1134" w:bottom="1418" w:left="1418" w:header="510" w:footer="1021" w:gutter="0"/>
          <w:cols w:space="720"/>
          <w:titlePg/>
          <w:docGrid w:linePitch="299"/>
        </w:sectPr>
      </w:pPr>
    </w:p>
    <w:p w:rsidR="00E03902" w:rsidRPr="00DA5DBB" w:rsidRDefault="00E03902" w:rsidP="00E03902">
      <w:pPr>
        <w:keepLines/>
        <w:jc w:val="center"/>
        <w:rPr>
          <w:b/>
          <w:bCs/>
        </w:rPr>
      </w:pPr>
      <w:bookmarkStart w:id="30" w:name="_Toc328920443"/>
      <w:r w:rsidRPr="00DA5DBB">
        <w:rPr>
          <w:b/>
          <w:bCs/>
        </w:rPr>
        <w:lastRenderedPageBreak/>
        <w:t>LIST OF IAOD RECOMMENDATIONS CLOSED WITHOUT IMPLEMENTATION</w:t>
      </w:r>
      <w:bookmarkEnd w:id="30"/>
    </w:p>
    <w:p w:rsidR="00E03902" w:rsidRPr="00DA5DBB" w:rsidRDefault="00E03902" w:rsidP="00E03902">
      <w:pPr>
        <w:keepLines/>
        <w:jc w:val="center"/>
        <w:rPr>
          <w:b/>
          <w:bCs/>
        </w:rPr>
      </w:pPr>
    </w:p>
    <w:tbl>
      <w:tblPr>
        <w:tblW w:w="111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4"/>
        <w:gridCol w:w="1984"/>
        <w:gridCol w:w="6804"/>
      </w:tblGrid>
      <w:tr w:rsidR="00E03902" w:rsidRPr="00DA5DBB" w:rsidTr="00B74E9E">
        <w:trPr>
          <w:trHeight w:val="796"/>
          <w:tblHeader/>
        </w:trPr>
        <w:tc>
          <w:tcPr>
            <w:tcW w:w="567" w:type="dxa"/>
            <w:vAlign w:val="center"/>
          </w:tcPr>
          <w:p w:rsidR="00E03902" w:rsidRPr="00DA5DBB" w:rsidRDefault="00E03902" w:rsidP="001E2D32">
            <w:pPr>
              <w:keepLines/>
              <w:tabs>
                <w:tab w:val="left" w:pos="2860"/>
                <w:tab w:val="left" w:pos="5610"/>
              </w:tabs>
              <w:spacing w:after="120"/>
              <w:jc w:val="center"/>
              <w:rPr>
                <w:b/>
                <w:sz w:val="20"/>
              </w:rPr>
            </w:pPr>
            <w:r w:rsidRPr="00DA5DBB">
              <w:rPr>
                <w:b/>
                <w:sz w:val="20"/>
              </w:rPr>
              <w:t>No.</w:t>
            </w:r>
          </w:p>
        </w:tc>
        <w:tc>
          <w:tcPr>
            <w:tcW w:w="1844" w:type="dxa"/>
            <w:vAlign w:val="center"/>
          </w:tcPr>
          <w:p w:rsidR="00E03902" w:rsidRPr="00DA5DBB" w:rsidRDefault="00E03902" w:rsidP="001E2D32">
            <w:pPr>
              <w:keepLines/>
              <w:tabs>
                <w:tab w:val="left" w:pos="2860"/>
                <w:tab w:val="left" w:pos="5610"/>
              </w:tabs>
              <w:spacing w:after="120"/>
              <w:jc w:val="center"/>
              <w:rPr>
                <w:b/>
                <w:sz w:val="20"/>
              </w:rPr>
            </w:pPr>
            <w:r w:rsidRPr="00DA5DBB">
              <w:rPr>
                <w:b/>
                <w:sz w:val="20"/>
              </w:rPr>
              <w:t>Reference</w:t>
            </w:r>
          </w:p>
        </w:tc>
        <w:tc>
          <w:tcPr>
            <w:tcW w:w="1984" w:type="dxa"/>
            <w:vAlign w:val="center"/>
          </w:tcPr>
          <w:p w:rsidR="00E03902" w:rsidRPr="00DA5DBB" w:rsidRDefault="00E03902" w:rsidP="001E2D32">
            <w:pPr>
              <w:keepLines/>
              <w:tabs>
                <w:tab w:val="left" w:pos="2860"/>
                <w:tab w:val="left" w:pos="5610"/>
              </w:tabs>
              <w:spacing w:after="120"/>
              <w:jc w:val="center"/>
              <w:rPr>
                <w:b/>
                <w:sz w:val="20"/>
              </w:rPr>
            </w:pPr>
            <w:r w:rsidRPr="00DA5DBB">
              <w:rPr>
                <w:b/>
                <w:sz w:val="20"/>
              </w:rPr>
              <w:t>Recommendation Description</w:t>
            </w:r>
          </w:p>
        </w:tc>
        <w:tc>
          <w:tcPr>
            <w:tcW w:w="6804" w:type="dxa"/>
            <w:vAlign w:val="center"/>
          </w:tcPr>
          <w:p w:rsidR="00E03902" w:rsidRPr="00DA5DBB" w:rsidRDefault="00E03902" w:rsidP="001E2D32">
            <w:pPr>
              <w:keepLines/>
              <w:tabs>
                <w:tab w:val="left" w:pos="2860"/>
                <w:tab w:val="left" w:pos="5610"/>
              </w:tabs>
              <w:spacing w:after="120"/>
              <w:jc w:val="center"/>
              <w:rPr>
                <w:b/>
                <w:sz w:val="20"/>
              </w:rPr>
            </w:pPr>
            <w:r>
              <w:rPr>
                <w:b/>
                <w:sz w:val="20"/>
              </w:rPr>
              <w:t>Explanation</w:t>
            </w:r>
          </w:p>
          <w:p w:rsidR="00E03902" w:rsidRPr="00DA5DBB" w:rsidRDefault="00E03902" w:rsidP="001E2D32">
            <w:pPr>
              <w:keepLines/>
              <w:tabs>
                <w:tab w:val="left" w:pos="2860"/>
                <w:tab w:val="left" w:pos="5610"/>
              </w:tabs>
              <w:spacing w:after="120"/>
              <w:jc w:val="center"/>
              <w:rPr>
                <w:b/>
                <w:sz w:val="20"/>
              </w:rPr>
            </w:pPr>
            <w:r w:rsidRPr="00DA5DBB">
              <w:rPr>
                <w:b/>
                <w:sz w:val="20"/>
              </w:rPr>
              <w:t>(Secretariat)</w:t>
            </w:r>
          </w:p>
        </w:tc>
      </w:tr>
      <w:tr w:rsidR="00E03902" w:rsidRPr="00DA5DBB" w:rsidTr="00B74E9E">
        <w:tc>
          <w:tcPr>
            <w:tcW w:w="567" w:type="dxa"/>
          </w:tcPr>
          <w:p w:rsidR="00E03902" w:rsidRPr="00DA5DBB" w:rsidRDefault="00E03902" w:rsidP="001E2D32">
            <w:pPr>
              <w:keepLines/>
              <w:tabs>
                <w:tab w:val="left" w:pos="2860"/>
                <w:tab w:val="left" w:pos="5610"/>
              </w:tabs>
              <w:spacing w:before="240" w:after="120"/>
              <w:rPr>
                <w:sz w:val="20"/>
              </w:rPr>
            </w:pPr>
            <w:r w:rsidRPr="00DA5DBB">
              <w:rPr>
                <w:sz w:val="20"/>
              </w:rPr>
              <w:t>1.</w:t>
            </w:r>
          </w:p>
        </w:tc>
        <w:tc>
          <w:tcPr>
            <w:tcW w:w="1844" w:type="dxa"/>
          </w:tcPr>
          <w:p w:rsidR="00E03902" w:rsidRPr="00DA5DBB" w:rsidRDefault="00E03902" w:rsidP="001E2D32">
            <w:pPr>
              <w:keepLines/>
              <w:tabs>
                <w:tab w:val="left" w:pos="2860"/>
                <w:tab w:val="left" w:pos="5610"/>
              </w:tabs>
              <w:spacing w:before="240" w:after="120"/>
              <w:rPr>
                <w:sz w:val="20"/>
              </w:rPr>
            </w:pPr>
            <w:r>
              <w:rPr>
                <w:sz w:val="20"/>
              </w:rPr>
              <w:t xml:space="preserve">Recommendation 9 from the Joint Inspection Unit </w:t>
            </w:r>
            <w:r w:rsidRPr="00C07266">
              <w:rPr>
                <w:sz w:val="20"/>
              </w:rPr>
              <w:t>Review of Management and Administration in WIPO:</w:t>
            </w:r>
            <w:r>
              <w:rPr>
                <w:sz w:val="20"/>
              </w:rPr>
              <w:t xml:space="preserve"> </w:t>
            </w:r>
            <w:r w:rsidRPr="00C07266">
              <w:rPr>
                <w:sz w:val="20"/>
              </w:rPr>
              <w:t>Budget, Oversight and Related Issues</w:t>
            </w:r>
            <w:r>
              <w:rPr>
                <w:sz w:val="20"/>
              </w:rPr>
              <w:t xml:space="preserve"> (J</w:t>
            </w:r>
            <w:r w:rsidRPr="00C07266">
              <w:rPr>
                <w:sz w:val="20"/>
              </w:rPr>
              <w:t>IU/REP/2005/1</w:t>
            </w:r>
            <w:r>
              <w:rPr>
                <w:sz w:val="20"/>
              </w:rPr>
              <w:t>)</w:t>
            </w:r>
          </w:p>
        </w:tc>
        <w:tc>
          <w:tcPr>
            <w:tcW w:w="1984" w:type="dxa"/>
          </w:tcPr>
          <w:p w:rsidR="00E03902" w:rsidRPr="00DA5DBB" w:rsidRDefault="00E03902" w:rsidP="001E2D32">
            <w:pPr>
              <w:keepLines/>
              <w:tabs>
                <w:tab w:val="left" w:pos="2860"/>
                <w:tab w:val="left" w:pos="5610"/>
              </w:tabs>
              <w:spacing w:before="240" w:after="120"/>
              <w:rPr>
                <w:sz w:val="20"/>
              </w:rPr>
            </w:pPr>
            <w:r w:rsidRPr="00C07266">
              <w:rPr>
                <w:sz w:val="20"/>
              </w:rPr>
              <w:t>The Director General should direct that transfer of positions with posts be discontin</w:t>
            </w:r>
            <w:r>
              <w:rPr>
                <w:sz w:val="20"/>
              </w:rPr>
              <w:t>u</w:t>
            </w:r>
            <w:r w:rsidRPr="00C07266">
              <w:rPr>
                <w:sz w:val="20"/>
              </w:rPr>
              <w:t>ed</w:t>
            </w:r>
          </w:p>
        </w:tc>
        <w:tc>
          <w:tcPr>
            <w:tcW w:w="6804" w:type="dxa"/>
          </w:tcPr>
          <w:p w:rsidR="00E03902" w:rsidRPr="002B48AF" w:rsidRDefault="00E03902" w:rsidP="001E2D32">
            <w:pPr>
              <w:keepLines/>
              <w:tabs>
                <w:tab w:val="left" w:pos="2860"/>
                <w:tab w:val="left" w:pos="5610"/>
              </w:tabs>
              <w:spacing w:after="120"/>
              <w:rPr>
                <w:sz w:val="20"/>
                <w:u w:val="single"/>
              </w:rPr>
            </w:pPr>
            <w:r w:rsidRPr="002B48AF">
              <w:rPr>
                <w:sz w:val="20"/>
                <w:u w:val="single"/>
              </w:rPr>
              <w:t>Organizational context and changes in relevant management strategies since 2005</w:t>
            </w:r>
          </w:p>
          <w:p w:rsidR="00E03902" w:rsidRPr="009A234C" w:rsidRDefault="00E03902" w:rsidP="001E2D32">
            <w:pPr>
              <w:keepLines/>
              <w:tabs>
                <w:tab w:val="left" w:pos="2860"/>
                <w:tab w:val="left" w:pos="5610"/>
              </w:tabs>
              <w:spacing w:after="120"/>
              <w:rPr>
                <w:sz w:val="20"/>
              </w:rPr>
            </w:pPr>
            <w:r w:rsidRPr="009A234C">
              <w:rPr>
                <w:sz w:val="20"/>
              </w:rPr>
              <w:t>The WIPO international registration systems (PCT, Madrid and the Hague Systems) have experienced continuous growth accompanied by changes in the geography of demand (in the PCT) and significant automation and modernization of our processing (examination, translation and customer service) operations.  These changes have resulted in the need for aligning existing, and acquiring new, skills to ensure that the International Bureau is equipped to address the demands of applicants and stakeholders, including IP offices.  This requires an active management of the workforce to ensure that it remains fit for purpose, including re-training of existing employees, recruitment of new skills where needed (foreseen and approved within the Program and Budget) and in some cases redeployment of staff between Programs within the parameters set by the Financial Regulations and Rules.  These strategies have ensured that WIPO has navigated through a serious global economic crisis, which impacted our income during the period 2009-2011, without any adverse impact on our staff.</w:t>
            </w:r>
          </w:p>
          <w:p w:rsidR="00E03902" w:rsidRPr="009A234C" w:rsidRDefault="00E03902" w:rsidP="001E2D32">
            <w:pPr>
              <w:keepLines/>
              <w:tabs>
                <w:tab w:val="left" w:pos="2860"/>
                <w:tab w:val="left" w:pos="5610"/>
              </w:tabs>
              <w:spacing w:after="120"/>
              <w:rPr>
                <w:sz w:val="20"/>
              </w:rPr>
            </w:pPr>
            <w:r w:rsidRPr="009A234C">
              <w:rPr>
                <w:sz w:val="20"/>
              </w:rPr>
              <w:t>The strengthening of WIPO’s results based management, as part of its Strategic Realignment reform Program, has firmly anchored a results-based approach in work planning, organizational design and workforce planning strategies.  This ensures that the resources deployed to Programs are in accordance with the expected results to be achieved, as approved by Member States in the Program and Budget, and take duly into account program implementation strategies including right-sourcing, cost efficiency measures and productivity improvements.  The institutionalization of a results-based approach to guide human resource allocation decisions has recently been further cemented with the issuance of a set of post management guidelines.</w:t>
            </w:r>
          </w:p>
          <w:p w:rsidR="00E03902" w:rsidRPr="009A234C" w:rsidRDefault="00E03902" w:rsidP="001E2D32">
            <w:pPr>
              <w:keepLines/>
              <w:tabs>
                <w:tab w:val="left" w:pos="2860"/>
                <w:tab w:val="left" w:pos="5610"/>
              </w:tabs>
              <w:spacing w:after="120"/>
              <w:rPr>
                <w:sz w:val="20"/>
              </w:rPr>
            </w:pPr>
            <w:r w:rsidRPr="009A234C">
              <w:rPr>
                <w:sz w:val="20"/>
              </w:rPr>
              <w:t xml:space="preserve">The measures taken by WIPO to improve the coherence of its internal structure and to align it with its activities and goals were acknowledged by the JIU in its Review of Management and Administration in WIPO (JIU/REP/2014/2 paragraph 53).  The Inspectors further noted that they “supported the objectives of such restructuring, as the WIPO business model makes it necessary to closely monitor the areas where activities are increasing or declining so as to adapt the structure accordingly and redeploy staff as required”. </w:t>
            </w:r>
          </w:p>
          <w:p w:rsidR="00E03902" w:rsidRPr="002B48AF" w:rsidRDefault="00E03902" w:rsidP="001E2D32">
            <w:pPr>
              <w:keepLines/>
              <w:tabs>
                <w:tab w:val="left" w:pos="2860"/>
                <w:tab w:val="left" w:pos="5610"/>
              </w:tabs>
              <w:spacing w:after="120"/>
              <w:rPr>
                <w:sz w:val="20"/>
                <w:u w:val="single"/>
              </w:rPr>
            </w:pPr>
            <w:r w:rsidRPr="002B48AF">
              <w:rPr>
                <w:sz w:val="20"/>
                <w:u w:val="single"/>
              </w:rPr>
              <w:t>Conclusion</w:t>
            </w:r>
          </w:p>
          <w:p w:rsidR="00E03902" w:rsidRPr="00DA5DBB" w:rsidRDefault="00E03902" w:rsidP="00FB238F">
            <w:pPr>
              <w:keepLines/>
              <w:tabs>
                <w:tab w:val="left" w:pos="2860"/>
                <w:tab w:val="left" w:pos="5610"/>
              </w:tabs>
              <w:spacing w:after="120"/>
              <w:rPr>
                <w:sz w:val="20"/>
              </w:rPr>
            </w:pPr>
            <w:r w:rsidRPr="009A234C">
              <w:rPr>
                <w:sz w:val="20"/>
              </w:rPr>
              <w:t xml:space="preserve">The extensive changes in management approaches and strategies at WIPO since 2005 and its needs to adapt its organizational structures in accordance with its business requirements, as acknowledged by the JIU in its 2014 Review of Management and Administration in WIPO, supersedes the outstanding recommendation arising out of the Management and Administrative Review carried out by the JIU in 2004 that transfers with posts be discontinued.  The transfer of human resources with posts will take place within the regulatory framework (FRR and SRR) and only when justified by business needs or in other exceptional circumstances. </w:t>
            </w:r>
            <w:r w:rsidR="00FB238F">
              <w:rPr>
                <w:sz w:val="20"/>
              </w:rPr>
              <w:t xml:space="preserve"> The Director General</w:t>
            </w:r>
            <w:r w:rsidRPr="009A234C">
              <w:rPr>
                <w:sz w:val="20"/>
              </w:rPr>
              <w:t xml:space="preserve"> will submit a proposal for the revision of the Staff Regulations and Rules to the WIPO Coordination Committee in September 2014 with a new provision (New Rule 4.3.1) to this effect.</w:t>
            </w:r>
          </w:p>
        </w:tc>
      </w:tr>
    </w:tbl>
    <w:p w:rsidR="00E03902" w:rsidRDefault="00E03902" w:rsidP="00E03902">
      <w:pPr>
        <w:keepLines/>
        <w:tabs>
          <w:tab w:val="left" w:pos="540"/>
        </w:tabs>
        <w:jc w:val="right"/>
      </w:pPr>
    </w:p>
    <w:p w:rsidR="00E03902" w:rsidRPr="00DA5DBB" w:rsidRDefault="00E03902" w:rsidP="002918FE">
      <w:pPr>
        <w:keepLines/>
        <w:tabs>
          <w:tab w:val="left" w:pos="540"/>
        </w:tabs>
        <w:ind w:firstLine="6096"/>
        <w:rPr>
          <w:szCs w:val="22"/>
        </w:rPr>
      </w:pPr>
      <w:r>
        <w:t>[Annex V</w:t>
      </w:r>
      <w:r w:rsidRPr="00DA5DBB">
        <w:t xml:space="preserve"> follows]</w:t>
      </w:r>
    </w:p>
    <w:p w:rsidR="00E03902" w:rsidRDefault="00E03902" w:rsidP="00E03902">
      <w:pPr>
        <w:spacing w:after="200" w:line="276" w:lineRule="auto"/>
        <w:rPr>
          <w:b/>
          <w:bCs/>
        </w:rPr>
        <w:sectPr w:rsidR="00E03902" w:rsidSect="001E2D32">
          <w:headerReference w:type="even" r:id="rId25"/>
          <w:headerReference w:type="default" r:id="rId26"/>
          <w:headerReference w:type="first" r:id="rId27"/>
          <w:endnotePr>
            <w:numFmt w:val="decimal"/>
          </w:endnotePr>
          <w:pgSz w:w="11907" w:h="16840" w:code="9"/>
          <w:pgMar w:top="1134" w:right="1134" w:bottom="1418" w:left="1418" w:header="510" w:footer="1021" w:gutter="0"/>
          <w:cols w:space="720"/>
          <w:titlePg/>
          <w:docGrid w:linePitch="299"/>
        </w:sectPr>
      </w:pPr>
    </w:p>
    <w:p w:rsidR="00E03902" w:rsidRPr="00DA5DBB" w:rsidRDefault="00E03902" w:rsidP="00E03902">
      <w:pPr>
        <w:keepLines/>
        <w:jc w:val="center"/>
        <w:rPr>
          <w:b/>
          <w:bCs/>
        </w:rPr>
      </w:pPr>
      <w:r w:rsidRPr="00DA5DBB">
        <w:rPr>
          <w:b/>
          <w:bCs/>
        </w:rPr>
        <w:lastRenderedPageBreak/>
        <w:t>LIST OF IAOD CONSULTING AND ADVISORY ACTIVITIES</w:t>
      </w:r>
    </w:p>
    <w:p w:rsidR="00E03902" w:rsidRPr="00DA5DBB" w:rsidRDefault="00E03902" w:rsidP="00E03902">
      <w:pPr>
        <w:keepLines/>
        <w:jc w:val="center"/>
        <w:rPr>
          <w:b/>
          <w:bCs/>
        </w:rPr>
      </w:pPr>
    </w:p>
    <w:p w:rsidR="00E03902" w:rsidRDefault="00E03902" w:rsidP="00E03902">
      <w:pPr>
        <w:keepLines/>
        <w:numPr>
          <w:ilvl w:val="0"/>
          <w:numId w:val="12"/>
        </w:numPr>
        <w:tabs>
          <w:tab w:val="left" w:pos="1134"/>
        </w:tabs>
        <w:spacing w:line="360" w:lineRule="auto"/>
      </w:pPr>
      <w:r w:rsidRPr="00DA5DBB">
        <w:t>Information Security Policies</w:t>
      </w:r>
    </w:p>
    <w:p w:rsidR="00E03902" w:rsidRPr="00DA5DBB" w:rsidRDefault="00E03902" w:rsidP="00E03902">
      <w:pPr>
        <w:keepLines/>
        <w:numPr>
          <w:ilvl w:val="0"/>
          <w:numId w:val="12"/>
        </w:numPr>
        <w:tabs>
          <w:tab w:val="left" w:pos="1134"/>
        </w:tabs>
        <w:spacing w:line="360" w:lineRule="auto"/>
      </w:pPr>
      <w:r w:rsidRPr="00DA5DBB">
        <w:t>Financial Disclosure Policy</w:t>
      </w:r>
    </w:p>
    <w:p w:rsidR="00E03902" w:rsidRDefault="00E03902" w:rsidP="00E03902">
      <w:pPr>
        <w:keepLines/>
        <w:numPr>
          <w:ilvl w:val="0"/>
          <w:numId w:val="12"/>
        </w:numPr>
        <w:tabs>
          <w:tab w:val="left" w:pos="1134"/>
        </w:tabs>
        <w:spacing w:line="360" w:lineRule="auto"/>
      </w:pPr>
      <w:r>
        <w:t>Internal Justice System and Revised SRR</w:t>
      </w:r>
    </w:p>
    <w:p w:rsidR="00E03902" w:rsidRDefault="00E03902" w:rsidP="00E03902">
      <w:pPr>
        <w:keepLines/>
        <w:numPr>
          <w:ilvl w:val="0"/>
          <w:numId w:val="12"/>
        </w:numPr>
        <w:tabs>
          <w:tab w:val="left" w:pos="1134"/>
        </w:tabs>
        <w:spacing w:line="360" w:lineRule="auto"/>
      </w:pPr>
      <w:r w:rsidRPr="00DA5DBB">
        <w:t>Institutional Integrity Initiative</w:t>
      </w:r>
    </w:p>
    <w:p w:rsidR="00E03902" w:rsidRDefault="00E03902" w:rsidP="00E03902">
      <w:pPr>
        <w:keepLines/>
        <w:numPr>
          <w:ilvl w:val="0"/>
          <w:numId w:val="12"/>
        </w:numPr>
        <w:tabs>
          <w:tab w:val="left" w:pos="1134"/>
        </w:tabs>
        <w:spacing w:line="360" w:lineRule="auto"/>
      </w:pPr>
      <w:r>
        <w:t>Respectful work place</w:t>
      </w:r>
    </w:p>
    <w:p w:rsidR="00E03902" w:rsidRDefault="00E03902" w:rsidP="00E03902">
      <w:pPr>
        <w:keepLines/>
        <w:numPr>
          <w:ilvl w:val="0"/>
          <w:numId w:val="12"/>
        </w:numPr>
        <w:tabs>
          <w:tab w:val="left" w:pos="1134"/>
        </w:tabs>
        <w:spacing w:line="360" w:lineRule="auto"/>
      </w:pPr>
      <w:r>
        <w:t>WIPO Risk Manual</w:t>
      </w:r>
    </w:p>
    <w:p w:rsidR="00E03902" w:rsidRDefault="00E03902" w:rsidP="00E03902">
      <w:pPr>
        <w:keepLines/>
        <w:numPr>
          <w:ilvl w:val="0"/>
          <w:numId w:val="12"/>
        </w:numPr>
        <w:tabs>
          <w:tab w:val="left" w:pos="1134"/>
        </w:tabs>
        <w:spacing w:line="360" w:lineRule="auto"/>
      </w:pPr>
      <w:r>
        <w:t>Outside activities</w:t>
      </w:r>
    </w:p>
    <w:p w:rsidR="00E03902" w:rsidRDefault="00E03902" w:rsidP="00E03902">
      <w:pPr>
        <w:keepLines/>
        <w:numPr>
          <w:ilvl w:val="0"/>
          <w:numId w:val="12"/>
        </w:numPr>
        <w:tabs>
          <w:tab w:val="left" w:pos="1134"/>
        </w:tabs>
        <w:spacing w:line="360" w:lineRule="auto"/>
      </w:pPr>
      <w:r w:rsidRPr="00DA5DBB">
        <w:t>Whistleblower protection policy</w:t>
      </w:r>
      <w:r>
        <w:t xml:space="preserve"> revision</w:t>
      </w:r>
    </w:p>
    <w:p w:rsidR="00E03902" w:rsidRDefault="00E03902" w:rsidP="00E03902">
      <w:pPr>
        <w:keepLines/>
        <w:numPr>
          <w:ilvl w:val="0"/>
          <w:numId w:val="12"/>
        </w:numPr>
        <w:tabs>
          <w:tab w:val="left" w:pos="1134"/>
        </w:tabs>
        <w:spacing w:line="360" w:lineRule="auto"/>
      </w:pPr>
      <w:r>
        <w:t>Alternative Dispute Resolution non staff</w:t>
      </w:r>
    </w:p>
    <w:p w:rsidR="00E03902" w:rsidRDefault="00E03902" w:rsidP="00E03902">
      <w:pPr>
        <w:keepLines/>
        <w:numPr>
          <w:ilvl w:val="0"/>
          <w:numId w:val="12"/>
        </w:numPr>
        <w:tabs>
          <w:tab w:val="left" w:pos="1134"/>
        </w:tabs>
        <w:spacing w:line="360" w:lineRule="auto"/>
      </w:pPr>
      <w:r>
        <w:t>ICT Strategy</w:t>
      </w:r>
    </w:p>
    <w:p w:rsidR="00E03902" w:rsidRDefault="00E03902" w:rsidP="00E03902">
      <w:pPr>
        <w:keepLines/>
        <w:numPr>
          <w:ilvl w:val="0"/>
          <w:numId w:val="12"/>
        </w:numPr>
        <w:tabs>
          <w:tab w:val="left" w:pos="1134"/>
        </w:tabs>
        <w:spacing w:line="360" w:lineRule="auto"/>
      </w:pPr>
      <w:r>
        <w:t>Financial Liability</w:t>
      </w:r>
    </w:p>
    <w:p w:rsidR="00E03902" w:rsidRDefault="00E03902" w:rsidP="00E03902">
      <w:pPr>
        <w:keepLines/>
        <w:numPr>
          <w:ilvl w:val="0"/>
          <w:numId w:val="12"/>
        </w:numPr>
        <w:tabs>
          <w:tab w:val="left" w:pos="1134"/>
        </w:tabs>
        <w:spacing w:line="360" w:lineRule="auto"/>
      </w:pPr>
      <w:r>
        <w:t>Office Instructions on the new Internal Justice System</w:t>
      </w:r>
    </w:p>
    <w:p w:rsidR="00E03902" w:rsidRDefault="00E03902" w:rsidP="00E03902">
      <w:pPr>
        <w:keepLines/>
        <w:numPr>
          <w:ilvl w:val="0"/>
          <w:numId w:val="12"/>
        </w:numPr>
        <w:tabs>
          <w:tab w:val="left" w:pos="1134"/>
        </w:tabs>
        <w:spacing w:line="360" w:lineRule="auto"/>
      </w:pPr>
      <w:r>
        <w:t>WIPO Ethics training evaluation and recommendations</w:t>
      </w:r>
    </w:p>
    <w:p w:rsidR="00E03902" w:rsidRDefault="00E03902" w:rsidP="00E03902">
      <w:pPr>
        <w:keepLines/>
        <w:numPr>
          <w:ilvl w:val="0"/>
          <w:numId w:val="12"/>
        </w:numPr>
        <w:tabs>
          <w:tab w:val="left" w:pos="1134"/>
        </w:tabs>
        <w:spacing w:line="360" w:lineRule="auto"/>
      </w:pPr>
      <w:r>
        <w:t>Office Instruction On Framework Contracts on Non Staff Resources</w:t>
      </w:r>
    </w:p>
    <w:p w:rsidR="00E03902" w:rsidRDefault="00E03902" w:rsidP="00E03902">
      <w:pPr>
        <w:keepLines/>
        <w:numPr>
          <w:ilvl w:val="0"/>
          <w:numId w:val="12"/>
        </w:numPr>
        <w:tabs>
          <w:tab w:val="left" w:pos="1134"/>
        </w:tabs>
        <w:spacing w:line="360" w:lineRule="auto"/>
      </w:pPr>
      <w:r>
        <w:t>Document disclosure practice</w:t>
      </w:r>
    </w:p>
    <w:p w:rsidR="00E03902" w:rsidRDefault="00E03902" w:rsidP="00E03902">
      <w:pPr>
        <w:keepLines/>
        <w:numPr>
          <w:ilvl w:val="0"/>
          <w:numId w:val="12"/>
        </w:numPr>
        <w:tabs>
          <w:tab w:val="left" w:pos="1134"/>
        </w:tabs>
        <w:spacing w:line="360" w:lineRule="auto"/>
      </w:pPr>
      <w:r>
        <w:t>Office Instruction on Financial Liability</w:t>
      </w:r>
    </w:p>
    <w:p w:rsidR="00E03902" w:rsidRDefault="00E03902" w:rsidP="00E03902">
      <w:pPr>
        <w:keepLines/>
        <w:numPr>
          <w:ilvl w:val="0"/>
          <w:numId w:val="12"/>
        </w:numPr>
        <w:tabs>
          <w:tab w:val="left" w:pos="1134"/>
        </w:tabs>
        <w:spacing w:line="360" w:lineRule="auto"/>
      </w:pPr>
      <w:r>
        <w:t>United Nations Transparency and Accountability Initiative</w:t>
      </w:r>
    </w:p>
    <w:p w:rsidR="00E03902" w:rsidRDefault="00E03902" w:rsidP="00E03902">
      <w:pPr>
        <w:keepLines/>
        <w:numPr>
          <w:ilvl w:val="0"/>
          <w:numId w:val="12"/>
        </w:numPr>
        <w:tabs>
          <w:tab w:val="left" w:pos="1134"/>
        </w:tabs>
        <w:spacing w:line="360" w:lineRule="auto"/>
      </w:pPr>
      <w:r>
        <w:t>Mobile Communications devices</w:t>
      </w:r>
    </w:p>
    <w:p w:rsidR="00E03902" w:rsidRDefault="00E03902" w:rsidP="00E03902">
      <w:pPr>
        <w:keepLines/>
        <w:numPr>
          <w:ilvl w:val="0"/>
          <w:numId w:val="12"/>
        </w:numPr>
        <w:tabs>
          <w:tab w:val="left" w:pos="1134"/>
        </w:tabs>
        <w:spacing w:line="360" w:lineRule="auto"/>
      </w:pPr>
      <w:r>
        <w:t>Policy on distribution of sensitive information to the public</w:t>
      </w:r>
    </w:p>
    <w:p w:rsidR="00E03902" w:rsidRDefault="00E03902" w:rsidP="00E03902">
      <w:pPr>
        <w:keepLines/>
        <w:numPr>
          <w:ilvl w:val="0"/>
          <w:numId w:val="12"/>
        </w:numPr>
        <w:tabs>
          <w:tab w:val="left" w:pos="1134"/>
        </w:tabs>
        <w:spacing w:line="360" w:lineRule="auto"/>
      </w:pPr>
      <w:r>
        <w:t>Policy on risk management and controls</w:t>
      </w:r>
    </w:p>
    <w:p w:rsidR="00E03902" w:rsidRDefault="00E03902" w:rsidP="00E03902">
      <w:pPr>
        <w:keepLines/>
        <w:numPr>
          <w:ilvl w:val="0"/>
          <w:numId w:val="12"/>
        </w:numPr>
        <w:tabs>
          <w:tab w:val="left" w:pos="1134"/>
        </w:tabs>
        <w:spacing w:line="360" w:lineRule="auto"/>
      </w:pPr>
      <w:r>
        <w:t>Member State questions on whistleblower protection policy</w:t>
      </w:r>
    </w:p>
    <w:p w:rsidR="00E03902" w:rsidRDefault="00E03902" w:rsidP="00E03902">
      <w:pPr>
        <w:keepLines/>
        <w:numPr>
          <w:ilvl w:val="0"/>
          <w:numId w:val="12"/>
        </w:numPr>
        <w:tabs>
          <w:tab w:val="left" w:pos="1134"/>
        </w:tabs>
        <w:spacing w:line="360" w:lineRule="auto"/>
      </w:pPr>
      <w:r>
        <w:t>Staff Regulations and Rules</w:t>
      </w:r>
    </w:p>
    <w:p w:rsidR="00E03902" w:rsidRDefault="00E03902" w:rsidP="00E03902">
      <w:pPr>
        <w:keepLines/>
        <w:numPr>
          <w:ilvl w:val="0"/>
          <w:numId w:val="12"/>
        </w:numPr>
        <w:tabs>
          <w:tab w:val="left" w:pos="1134"/>
        </w:tabs>
        <w:spacing w:line="360" w:lineRule="auto"/>
      </w:pPr>
      <w:r>
        <w:t>HRMD Rewards and Recognition Review</w:t>
      </w:r>
    </w:p>
    <w:p w:rsidR="00E03902" w:rsidRDefault="00E03902" w:rsidP="00E03902">
      <w:pPr>
        <w:keepLines/>
        <w:numPr>
          <w:ilvl w:val="0"/>
          <w:numId w:val="12"/>
        </w:numPr>
        <w:tabs>
          <w:tab w:val="left" w:pos="1134"/>
        </w:tabs>
        <w:spacing w:line="360" w:lineRule="auto"/>
      </w:pPr>
      <w:r>
        <w:t>Accountability framework</w:t>
      </w:r>
    </w:p>
    <w:p w:rsidR="00E03902" w:rsidRDefault="00E03902" w:rsidP="00E03902">
      <w:pPr>
        <w:keepLines/>
        <w:numPr>
          <w:ilvl w:val="0"/>
          <w:numId w:val="12"/>
        </w:numPr>
        <w:tabs>
          <w:tab w:val="left" w:pos="1134"/>
        </w:tabs>
        <w:spacing w:line="360" w:lineRule="auto"/>
      </w:pPr>
      <w:r>
        <w:t>Gender Policy and Action Plan</w:t>
      </w:r>
    </w:p>
    <w:p w:rsidR="00E03902" w:rsidRDefault="00E03902" w:rsidP="00E03902">
      <w:pPr>
        <w:keepLines/>
        <w:numPr>
          <w:ilvl w:val="0"/>
          <w:numId w:val="12"/>
        </w:numPr>
        <w:tabs>
          <w:tab w:val="left" w:pos="1134"/>
        </w:tabs>
        <w:spacing w:line="360" w:lineRule="auto"/>
      </w:pPr>
      <w:r>
        <w:t>Office Instruction on the Property Survey Board</w:t>
      </w:r>
    </w:p>
    <w:p w:rsidR="00E03902" w:rsidRDefault="00E03902" w:rsidP="00E03902">
      <w:pPr>
        <w:keepLines/>
        <w:tabs>
          <w:tab w:val="left" w:pos="1134"/>
        </w:tabs>
        <w:spacing w:line="360" w:lineRule="auto"/>
      </w:pPr>
    </w:p>
    <w:p w:rsidR="00E03902" w:rsidRDefault="00E03902" w:rsidP="00E03902">
      <w:pPr>
        <w:keepLines/>
        <w:tabs>
          <w:tab w:val="left" w:pos="1134"/>
        </w:tabs>
        <w:spacing w:line="360" w:lineRule="auto"/>
      </w:pPr>
    </w:p>
    <w:p w:rsidR="00E03902" w:rsidRPr="000B6226" w:rsidRDefault="00E03902" w:rsidP="00E03902">
      <w:pPr>
        <w:keepLines/>
        <w:ind w:left="5533"/>
      </w:pPr>
      <w:r>
        <w:t xml:space="preserve">[End of Annex </w:t>
      </w:r>
      <w:r w:rsidRPr="00DA5DBB">
        <w:t>V and of document]</w:t>
      </w:r>
    </w:p>
    <w:p w:rsidR="00E412BD" w:rsidRDefault="00E412BD" w:rsidP="00E412BD">
      <w:pPr>
        <w:keepLines/>
        <w:spacing w:before="240"/>
        <w:ind w:left="2832" w:firstLine="708"/>
        <w:jc w:val="right"/>
        <w:rPr>
          <w:szCs w:val="22"/>
        </w:rPr>
      </w:pPr>
    </w:p>
    <w:sectPr w:rsidR="00E412BD" w:rsidSect="001E2D32">
      <w:headerReference w:type="first" r:id="rId2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8C9" w:rsidRDefault="00E218C9">
      <w:r>
        <w:separator/>
      </w:r>
    </w:p>
  </w:endnote>
  <w:endnote w:type="continuationSeparator" w:id="0">
    <w:p w:rsidR="00E218C9" w:rsidRDefault="00E218C9" w:rsidP="003B38C1">
      <w:r>
        <w:separator/>
      </w:r>
    </w:p>
    <w:p w:rsidR="00E218C9" w:rsidRPr="003B38C1" w:rsidRDefault="00E218C9" w:rsidP="003B38C1">
      <w:pPr>
        <w:spacing w:after="60"/>
        <w:rPr>
          <w:sz w:val="17"/>
        </w:rPr>
      </w:pPr>
      <w:r>
        <w:rPr>
          <w:sz w:val="17"/>
        </w:rPr>
        <w:t>[Endnote continued from previous page]</w:t>
      </w:r>
    </w:p>
  </w:endnote>
  <w:endnote w:type="continuationNotice" w:id="1">
    <w:p w:rsidR="00E218C9" w:rsidRPr="003B38C1" w:rsidRDefault="00E218C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8C9" w:rsidRDefault="00E218C9">
      <w:r>
        <w:separator/>
      </w:r>
    </w:p>
  </w:footnote>
  <w:footnote w:type="continuationSeparator" w:id="0">
    <w:p w:rsidR="00E218C9" w:rsidRDefault="00E218C9" w:rsidP="008B60B2">
      <w:r>
        <w:separator/>
      </w:r>
    </w:p>
    <w:p w:rsidR="00E218C9" w:rsidRPr="00ED77FB" w:rsidRDefault="00E218C9" w:rsidP="008B60B2">
      <w:pPr>
        <w:spacing w:after="60"/>
        <w:rPr>
          <w:sz w:val="17"/>
          <w:szCs w:val="17"/>
        </w:rPr>
      </w:pPr>
      <w:r w:rsidRPr="00ED77FB">
        <w:rPr>
          <w:sz w:val="17"/>
          <w:szCs w:val="17"/>
        </w:rPr>
        <w:t>[Footnote continued from previous page]</w:t>
      </w:r>
    </w:p>
  </w:footnote>
  <w:footnote w:type="continuationNotice" w:id="1">
    <w:p w:rsidR="00E218C9" w:rsidRPr="00ED77FB" w:rsidRDefault="00E218C9" w:rsidP="008B60B2">
      <w:pPr>
        <w:spacing w:before="60"/>
        <w:jc w:val="right"/>
        <w:rPr>
          <w:sz w:val="17"/>
          <w:szCs w:val="17"/>
        </w:rPr>
      </w:pPr>
      <w:r w:rsidRPr="00ED77FB">
        <w:rPr>
          <w:sz w:val="17"/>
          <w:szCs w:val="17"/>
        </w:rPr>
        <w:t>[Footnote continued on next page]</w:t>
      </w:r>
    </w:p>
  </w:footnote>
  <w:footnote w:id="2">
    <w:p w:rsidR="00E218C9" w:rsidRDefault="00E218C9" w:rsidP="00E365E6">
      <w:pPr>
        <w:pStyle w:val="FootnoteText"/>
      </w:pPr>
      <w:r>
        <w:rPr>
          <w:rStyle w:val="FootnoteReference"/>
        </w:rPr>
        <w:footnoteRef/>
      </w:r>
      <w:r>
        <w:t xml:space="preserve">  </w:t>
      </w:r>
      <w:r w:rsidRPr="00DA0613">
        <w:rPr>
          <w:szCs w:val="22"/>
        </w:rPr>
        <w:t>Combining likelihood and impact gives risk values</w:t>
      </w:r>
      <w:r>
        <w:rPr>
          <w:szCs w:val="22"/>
        </w:rPr>
        <w:t xml:space="preserve">.  </w:t>
      </w:r>
      <w:r>
        <w:t>The risk assessment model was revised in 2011 by improving the definitions for likelihood and impact, which results in a more detailed assessment of risk at WIPO.  IAOD defined nine</w:t>
      </w:r>
      <w:r w:rsidRPr="00DC135F">
        <w:t xml:space="preserve"> parameters for calculating likelihood </w:t>
      </w:r>
      <w:r>
        <w:t>(time since last audit report, audit results, inherent risk of the business function, changes in business processes, change in management, financial materiality, management/IAOC concerns, fraud history, function criticality -core/non-core) and</w:t>
      </w:r>
      <w:r w:rsidRPr="00DC135F">
        <w:t xml:space="preserve"> </w:t>
      </w:r>
      <w:r>
        <w:t>two</w:t>
      </w:r>
      <w:r w:rsidRPr="00DC135F">
        <w:t xml:space="preserve"> for calculating impact</w:t>
      </w:r>
      <w:r>
        <w:t xml:space="preserve"> (financial and reputation)</w:t>
      </w:r>
      <w:r w:rsidRPr="00DC135F">
        <w:t>.</w:t>
      </w:r>
      <w:r>
        <w:t xml:space="preserve">  </w:t>
      </w:r>
      <w:r w:rsidRPr="00DC135F">
        <w:t xml:space="preserve">IAOD defined a further four weighting categories </w:t>
      </w:r>
      <w:r>
        <w:t>(f</w:t>
      </w:r>
      <w:r w:rsidRPr="00A42A1A">
        <w:t>inancial risk</w:t>
      </w:r>
      <w:r>
        <w:t>, s</w:t>
      </w:r>
      <w:r w:rsidRPr="00A42A1A">
        <w:t xml:space="preserve">trategic </w:t>
      </w:r>
      <w:r>
        <w:t>r</w:t>
      </w:r>
      <w:r w:rsidRPr="00A42A1A">
        <w:t>isks</w:t>
      </w:r>
      <w:r>
        <w:t>, o</w:t>
      </w:r>
      <w:r w:rsidRPr="00A42A1A">
        <w:t xml:space="preserve">perational </w:t>
      </w:r>
      <w:r>
        <w:t>r</w:t>
      </w:r>
      <w:r w:rsidRPr="00A42A1A">
        <w:t>isks</w:t>
      </w:r>
      <w:r>
        <w:t>, l</w:t>
      </w:r>
      <w:r w:rsidRPr="00A42A1A">
        <w:t xml:space="preserve">egal and compliance </w:t>
      </w:r>
      <w:r>
        <w:t>r</w:t>
      </w:r>
      <w:r w:rsidRPr="00A42A1A">
        <w:t>isks</w:t>
      </w:r>
      <w:r>
        <w:t xml:space="preserve">) </w:t>
      </w:r>
      <w:r w:rsidRPr="00DC135F">
        <w:t xml:space="preserve">which correspond to risk classifications.  </w:t>
      </w:r>
    </w:p>
  </w:footnote>
  <w:footnote w:id="3">
    <w:p w:rsidR="00E218C9" w:rsidRDefault="00E218C9" w:rsidP="00E365E6">
      <w:pPr>
        <w:pStyle w:val="FootnoteText"/>
      </w:pPr>
      <w:r>
        <w:rPr>
          <w:rStyle w:val="FootnoteReference"/>
        </w:rPr>
        <w:footnoteRef/>
      </w:r>
      <w:r>
        <w:t xml:space="preserve">  The list of reports features in Annex II</w:t>
      </w:r>
    </w:p>
  </w:footnote>
  <w:footnote w:id="4">
    <w:p w:rsidR="00E218C9" w:rsidRDefault="00E218C9" w:rsidP="00E365E6">
      <w:pPr>
        <w:pStyle w:val="FootnoteText"/>
      </w:pPr>
      <w:r>
        <w:rPr>
          <w:rStyle w:val="FootnoteReference"/>
        </w:rPr>
        <w:footnoteRef/>
      </w:r>
      <w:r>
        <w:t xml:space="preserve">  </w:t>
      </w:r>
      <w:r w:rsidRPr="00E46718">
        <w:t>See document WO/PBC/22/9</w:t>
      </w:r>
    </w:p>
  </w:footnote>
  <w:footnote w:id="5">
    <w:p w:rsidR="00E218C9" w:rsidRDefault="00E218C9" w:rsidP="00E365E6">
      <w:pPr>
        <w:pStyle w:val="FootnoteText"/>
      </w:pPr>
      <w:r>
        <w:rPr>
          <w:rStyle w:val="FootnoteReference"/>
        </w:rPr>
        <w:footnoteRef/>
      </w:r>
      <w:r w:rsidR="00D830F1">
        <w:t xml:space="preserve"> </w:t>
      </w:r>
      <w:r>
        <w:t xml:space="preserve"> Financial Regulation 4.5 and Financial Rule 104.1</w:t>
      </w:r>
    </w:p>
  </w:footnote>
  <w:footnote w:id="6">
    <w:p w:rsidR="00E218C9" w:rsidRDefault="00E218C9" w:rsidP="00E365E6">
      <w:pPr>
        <w:pStyle w:val="FootnoteText"/>
      </w:pPr>
      <w:r>
        <w:rPr>
          <w:rStyle w:val="FootnoteReference"/>
        </w:rPr>
        <w:footnoteRef/>
      </w:r>
      <w:r>
        <w:t xml:space="preserve"> </w:t>
      </w:r>
      <w:r w:rsidR="00B277A4">
        <w:t xml:space="preserve"> </w:t>
      </w:r>
      <w:r>
        <w:t>User Acceptance Testing is generally one of the last phases of the testing process in a system implementation project where the testing is conducted by the actual end-users of the system to ensure that it is able to handle tasks in real world scenarios.</w:t>
      </w:r>
    </w:p>
  </w:footnote>
  <w:footnote w:id="7">
    <w:p w:rsidR="00E218C9" w:rsidRPr="000818B8" w:rsidRDefault="00E218C9" w:rsidP="00E365E6">
      <w:pPr>
        <w:pStyle w:val="FootnoteText"/>
      </w:pPr>
      <w:r>
        <w:rPr>
          <w:rStyle w:val="FootnoteReference"/>
        </w:rPr>
        <w:footnoteRef/>
      </w:r>
      <w:r>
        <w:t xml:space="preserve"> </w:t>
      </w:r>
      <w:r w:rsidR="00B277A4">
        <w:t xml:space="preserve"> </w:t>
      </w:r>
      <w:r>
        <w:t>A</w:t>
      </w:r>
      <w:r w:rsidRPr="000818B8">
        <w:t xml:space="preserve"> web</w:t>
      </w:r>
      <w:r w:rsidR="00B277A4">
        <w:t xml:space="preserve"> </w:t>
      </w:r>
      <w:r w:rsidRPr="000818B8">
        <w:t xml:space="preserve">site that allows anyone to add, delete, or revise content </w:t>
      </w:r>
      <w:r>
        <w:t>in collaboration with others</w:t>
      </w:r>
    </w:p>
  </w:footnote>
  <w:footnote w:id="8">
    <w:p w:rsidR="00E218C9" w:rsidRDefault="00E218C9" w:rsidP="00E365E6">
      <w:pPr>
        <w:pStyle w:val="FootnoteText"/>
      </w:pPr>
      <w:r>
        <w:rPr>
          <w:rStyle w:val="FootnoteReference"/>
        </w:rPr>
        <w:footnoteRef/>
      </w:r>
      <w:r>
        <w:t xml:space="preserve"> </w:t>
      </w:r>
      <w:r w:rsidR="00B277A4">
        <w:t xml:space="preserve"> </w:t>
      </w:r>
      <w:r>
        <w:t xml:space="preserve">Office Instruction No. 29/2013 on Official Travel and Related Expenses:  </w:t>
      </w:r>
      <w:r w:rsidRPr="000E7C9A">
        <w:t>Events at WIPO are defined as: “all conferences, seminars, expositions, conventions and assemblies that arise from the official assignments, duties, and obligations of WIPO program delivery”</w:t>
      </w:r>
    </w:p>
  </w:footnote>
  <w:footnote w:id="9">
    <w:p w:rsidR="00E218C9" w:rsidRPr="00524915" w:rsidRDefault="00E218C9" w:rsidP="00E365E6">
      <w:pPr>
        <w:pStyle w:val="FootnoteText"/>
      </w:pPr>
      <w:r>
        <w:rPr>
          <w:rStyle w:val="FootnoteReference"/>
        </w:rPr>
        <w:footnoteRef/>
      </w:r>
      <w:r w:rsidR="00B277A4">
        <w:t xml:space="preserve"> </w:t>
      </w:r>
      <w:r>
        <w:t xml:space="preserve"> WIPO Internal Oversight Charter paragraph 5 : “ (..)Conflicts of interest shall be avoided.  Significant and material conflicts of interest are required to be reported to the IAOC who shall recommend such actions that may be needed to mitigate and reduce the undesirable effects of any conflicts of interest.  </w:t>
      </w:r>
      <w:r w:rsidRPr="00524915">
        <w:t>(..)”</w:t>
      </w:r>
    </w:p>
  </w:footnote>
  <w:footnote w:id="10">
    <w:p w:rsidR="00E218C9" w:rsidRPr="00681897" w:rsidRDefault="00E218C9" w:rsidP="00E365E6">
      <w:pPr>
        <w:pStyle w:val="FootnoteText"/>
      </w:pPr>
      <w:r>
        <w:rPr>
          <w:rStyle w:val="FootnoteReference"/>
        </w:rPr>
        <w:footnoteRef/>
      </w:r>
      <w:r>
        <w:t xml:space="preserve"> </w:t>
      </w:r>
      <w:r w:rsidR="00B277A4">
        <w:t xml:space="preserve"> </w:t>
      </w:r>
      <w:r w:rsidRPr="00681897">
        <w:t>The two cases related to fraud in medical claims and serious abuse of the flexitime system.</w:t>
      </w:r>
    </w:p>
  </w:footnote>
  <w:footnote w:id="11">
    <w:p w:rsidR="00E218C9" w:rsidRPr="00C84422" w:rsidRDefault="00E218C9" w:rsidP="008414E9">
      <w:pPr>
        <w:pStyle w:val="FootnoteText"/>
        <w:spacing w:after="20"/>
        <w:rPr>
          <w:lang w:val="fr-FR"/>
        </w:rPr>
      </w:pPr>
      <w:r w:rsidRPr="00AE32CE">
        <w:rPr>
          <w:rStyle w:val="FootnoteReference"/>
          <w:szCs w:val="18"/>
        </w:rPr>
        <w:footnoteRef/>
      </w:r>
      <w:r>
        <w:rPr>
          <w:szCs w:val="18"/>
          <w:lang w:val="fr-FR"/>
        </w:rPr>
        <w:t xml:space="preserve"> </w:t>
      </w:r>
      <w:r w:rsidR="00B277A4">
        <w:rPr>
          <w:szCs w:val="18"/>
          <w:lang w:val="fr-FR"/>
        </w:rPr>
        <w:t xml:space="preserve"> </w:t>
      </w:r>
      <w:r w:rsidRPr="00C84422">
        <w:rPr>
          <w:szCs w:val="18"/>
          <w:lang w:val="fr-FR"/>
        </w:rPr>
        <w:t>IOC</w:t>
      </w:r>
      <w:r w:rsidRPr="00524915">
        <w:rPr>
          <w:szCs w:val="18"/>
          <w:lang w:val="fr-FR"/>
        </w:rPr>
        <w:t xml:space="preserve"> paragraph</w:t>
      </w:r>
      <w:r w:rsidRPr="00C84422">
        <w:rPr>
          <w:szCs w:val="18"/>
          <w:lang w:val="fr-FR"/>
        </w:rPr>
        <w:t xml:space="preserve"> 23.</w:t>
      </w:r>
    </w:p>
  </w:footnote>
  <w:footnote w:id="12">
    <w:p w:rsidR="00E218C9" w:rsidRPr="00A84386" w:rsidRDefault="00E218C9" w:rsidP="008414E9">
      <w:pPr>
        <w:pStyle w:val="FootnoteText"/>
        <w:spacing w:after="20"/>
        <w:rPr>
          <w:lang w:val="fr-CH"/>
        </w:rPr>
      </w:pPr>
      <w:r w:rsidRPr="009131A5">
        <w:rPr>
          <w:rStyle w:val="FootnoteReference"/>
          <w:szCs w:val="18"/>
          <w:lang w:val="en-GB"/>
        </w:rPr>
        <w:footnoteRef/>
      </w:r>
      <w:r>
        <w:rPr>
          <w:szCs w:val="18"/>
          <w:lang w:val="fr-CH"/>
        </w:rPr>
        <w:t xml:space="preserve"> </w:t>
      </w:r>
      <w:r w:rsidR="00B277A4">
        <w:rPr>
          <w:szCs w:val="18"/>
          <w:lang w:val="fr-CH"/>
        </w:rPr>
        <w:t xml:space="preserve"> </w:t>
      </w:r>
      <w:r w:rsidRPr="00A84386">
        <w:rPr>
          <w:szCs w:val="18"/>
          <w:lang w:val="fr-CH"/>
        </w:rPr>
        <w:t>Office Instruction (OI) 16/2010,</w:t>
      </w:r>
      <w:r w:rsidRPr="00524915">
        <w:rPr>
          <w:szCs w:val="18"/>
          <w:lang w:val="fr-FR"/>
        </w:rPr>
        <w:t xml:space="preserve"> paragraph</w:t>
      </w:r>
      <w:r w:rsidRPr="00A84386">
        <w:rPr>
          <w:szCs w:val="18"/>
          <w:lang w:val="fr-CH"/>
        </w:rPr>
        <w:t xml:space="preserve"> 7.</w:t>
      </w:r>
    </w:p>
  </w:footnote>
  <w:footnote w:id="13">
    <w:p w:rsidR="00E218C9" w:rsidRPr="00524915" w:rsidRDefault="00E218C9" w:rsidP="008414E9">
      <w:pPr>
        <w:spacing w:after="20"/>
      </w:pPr>
      <w:r>
        <w:rPr>
          <w:rStyle w:val="FootnoteReference"/>
          <w:sz w:val="18"/>
          <w:szCs w:val="18"/>
          <w:lang w:val="en-GB"/>
        </w:rPr>
        <w:footnoteRef/>
      </w:r>
      <w:r>
        <w:rPr>
          <w:sz w:val="18"/>
          <w:szCs w:val="18"/>
        </w:rPr>
        <w:t xml:space="preserve"> </w:t>
      </w:r>
      <w:r w:rsidR="00B277A4">
        <w:rPr>
          <w:sz w:val="18"/>
          <w:szCs w:val="18"/>
        </w:rPr>
        <w:t xml:space="preserve"> </w:t>
      </w:r>
      <w:r w:rsidRPr="00524915">
        <w:rPr>
          <w:sz w:val="18"/>
          <w:szCs w:val="18"/>
        </w:rPr>
        <w:t>OI 16/2010</w:t>
      </w:r>
      <w:r w:rsidRPr="00FC2697">
        <w:rPr>
          <w:sz w:val="18"/>
          <w:szCs w:val="18"/>
        </w:rPr>
        <w:t xml:space="preserve"> paragraph</w:t>
      </w:r>
      <w:r w:rsidRPr="00524915">
        <w:rPr>
          <w:sz w:val="18"/>
          <w:szCs w:val="18"/>
        </w:rPr>
        <w:t xml:space="preserve"> 3.</w:t>
      </w:r>
    </w:p>
  </w:footnote>
  <w:footnote w:id="14">
    <w:p w:rsidR="00E218C9" w:rsidRPr="00524915" w:rsidRDefault="00E218C9" w:rsidP="008414E9">
      <w:pPr>
        <w:pStyle w:val="FootnoteText"/>
      </w:pPr>
      <w:r>
        <w:rPr>
          <w:rStyle w:val="FootnoteReference"/>
        </w:rPr>
        <w:footnoteRef/>
      </w:r>
      <w:r>
        <w:t xml:space="preserve"> </w:t>
      </w:r>
      <w:r w:rsidR="00B277A4">
        <w:t xml:space="preserve"> </w:t>
      </w:r>
      <w:r w:rsidRPr="00524915">
        <w:t>WO/GA/41/9</w:t>
      </w:r>
    </w:p>
  </w:footnote>
  <w:footnote w:id="15">
    <w:p w:rsidR="00E218C9" w:rsidRPr="00C70269" w:rsidRDefault="00E218C9" w:rsidP="008414E9">
      <w:pPr>
        <w:pStyle w:val="FootnoteText"/>
      </w:pPr>
      <w:r>
        <w:rPr>
          <w:rStyle w:val="FootnoteReference"/>
        </w:rPr>
        <w:footnoteRef/>
      </w:r>
      <w:r w:rsidR="00B277A4">
        <w:t xml:space="preserve"> </w:t>
      </w:r>
      <w:r>
        <w:t xml:space="preserve"> Program 1 Patent Law, Program 4 Traditional Knowledge, Traditional Cultural Ex</w:t>
      </w:r>
      <w:r w:rsidR="00B277A4">
        <w:t>pressions and Genetic Resources</w:t>
      </w:r>
      <w:r>
        <w:t>,</w:t>
      </w:r>
      <w:r w:rsidR="00B277A4">
        <w:t xml:space="preserve"> </w:t>
      </w:r>
      <w:r>
        <w:t>Program 5 The PCT System,</w:t>
      </w:r>
      <w:r w:rsidR="00B277A4">
        <w:t xml:space="preserve"> </w:t>
      </w:r>
      <w:r>
        <w:t>Prog</w:t>
      </w:r>
      <w:r w:rsidR="00B277A4">
        <w:t>ram 6 Madrid and Lisbon Systems</w:t>
      </w:r>
      <w:r>
        <w:t>,</w:t>
      </w:r>
      <w:r w:rsidR="00B277A4">
        <w:t xml:space="preserve"> </w:t>
      </w:r>
      <w:r>
        <w:t xml:space="preserve">Program 8 </w:t>
      </w:r>
      <w:r w:rsidR="00B277A4">
        <w:t>Development Agenda Coordination</w:t>
      </w:r>
      <w:r>
        <w:t>,</w:t>
      </w:r>
      <w:r w:rsidR="00B277A4">
        <w:t xml:space="preserve"> </w:t>
      </w:r>
      <w:r>
        <w:t>Program 9 Africa, Arab, Asia and the Pacific, Latin America and the Caribbean Countries, Least Developed Countries,</w:t>
      </w:r>
      <w:r w:rsidR="00B277A4">
        <w:t xml:space="preserve"> Program 11 The WIPO Academy</w:t>
      </w:r>
      <w:r>
        <w:t>,</w:t>
      </w:r>
      <w:r w:rsidR="00B277A4">
        <w:t xml:space="preserve"> </w:t>
      </w:r>
      <w:r>
        <w:t>Program 14 Services for Acces</w:t>
      </w:r>
      <w:r w:rsidR="00B277A4">
        <w:t xml:space="preserve">s to Information and Knowledge, </w:t>
      </w:r>
      <w:r>
        <w:t>Program 19 Communications,</w:t>
      </w:r>
      <w:r w:rsidR="00B277A4">
        <w:t xml:space="preserve"> </w:t>
      </w:r>
      <w:r>
        <w:t>Program 20 External Relations, Partnerships and External Offices,</w:t>
      </w:r>
      <w:r w:rsidR="00B277A4">
        <w:t xml:space="preserve"> Program 21 Executive Management</w:t>
      </w:r>
      <w:r>
        <w:t>,</w:t>
      </w:r>
      <w:r w:rsidR="00B277A4">
        <w:t xml:space="preserve"> </w:t>
      </w:r>
      <w:r>
        <w:t>Program 22 Program and Resource Management,</w:t>
      </w:r>
      <w:r w:rsidR="00B277A4">
        <w:t xml:space="preserve"> </w:t>
      </w:r>
      <w:r>
        <w:t>Program 23 Human Resou</w:t>
      </w:r>
      <w:r w:rsidR="00B277A4">
        <w:t>rces Management and Development</w:t>
      </w:r>
      <w:r>
        <w:t>,</w:t>
      </w:r>
      <w:r w:rsidR="00B277A4">
        <w:t xml:space="preserve"> </w:t>
      </w:r>
      <w:r>
        <w:t>Program 24 General Support Services,</w:t>
      </w:r>
      <w:r w:rsidR="00B277A4">
        <w:t xml:space="preserve"> </w:t>
      </w:r>
      <w:r>
        <w:t>Program 25 Information and Communication Technology,</w:t>
      </w:r>
      <w:r w:rsidR="00B277A4">
        <w:t xml:space="preserve"> </w:t>
      </w:r>
      <w:r>
        <w:t>Program 26 Internal Oversight,</w:t>
      </w:r>
      <w:r w:rsidR="00846A49">
        <w:t xml:space="preserve"> </w:t>
      </w:r>
      <w:r>
        <w:t>Program 27 Conference and Language Services,</w:t>
      </w:r>
      <w:r w:rsidR="00846A49">
        <w:t xml:space="preserve"> </w:t>
      </w:r>
      <w:r>
        <w:t>Program 28 Safety and Security, Program 29 New Conference Hall, Program 31 The Hague System</w:t>
      </w:r>
      <w:r w:rsidR="00846A49">
        <w:t>.</w:t>
      </w:r>
    </w:p>
  </w:footnote>
  <w:footnote w:id="16">
    <w:p w:rsidR="00E218C9" w:rsidRPr="00A34281" w:rsidRDefault="00E218C9" w:rsidP="008414E9">
      <w:pPr>
        <w:pStyle w:val="FootnoteText"/>
      </w:pPr>
      <w:r>
        <w:rPr>
          <w:rStyle w:val="FootnoteReference"/>
        </w:rPr>
        <w:footnoteRef/>
      </w:r>
      <w:r w:rsidR="00846A49">
        <w:t xml:space="preserve"> </w:t>
      </w:r>
      <w:r>
        <w:t xml:space="preserve"> Both reports and management action plans can be consulted on WIPO’s public website on IAOD’s page.</w:t>
      </w:r>
    </w:p>
  </w:footnote>
  <w:footnote w:id="17">
    <w:p w:rsidR="00E218C9" w:rsidRDefault="00E218C9" w:rsidP="008414E9">
      <w:pPr>
        <w:pStyle w:val="FootnoteText"/>
      </w:pPr>
      <w:r>
        <w:rPr>
          <w:rStyle w:val="FootnoteReference"/>
        </w:rPr>
        <w:footnoteRef/>
      </w:r>
      <w:r>
        <w:t xml:space="preserve"> </w:t>
      </w:r>
      <w:r w:rsidR="00846A49">
        <w:t xml:space="preserve"> </w:t>
      </w:r>
      <w:r w:rsidRPr="004F303B">
        <w:t>WO/IAOC/</w:t>
      </w:r>
      <w:r>
        <w:t>30</w:t>
      </w:r>
      <w:r w:rsidRPr="004F303B">
        <w:t>/2</w:t>
      </w:r>
      <w:r>
        <w:t xml:space="preserve">, </w:t>
      </w:r>
      <w:r w:rsidRPr="004F303B">
        <w:t>WO/IAOC/</w:t>
      </w:r>
      <w:r>
        <w:t>31</w:t>
      </w:r>
      <w:r w:rsidRPr="004F303B">
        <w:t>/2</w:t>
      </w:r>
      <w:r>
        <w:t xml:space="preserve">, </w:t>
      </w:r>
      <w:r w:rsidRPr="004F303B">
        <w:t>WO/IAOC/</w:t>
      </w:r>
      <w:r>
        <w:t>32</w:t>
      </w:r>
      <w:r w:rsidRPr="004F303B">
        <w:t>/2</w:t>
      </w:r>
      <w:r>
        <w:t xml:space="preserve"> and WO/IAOC/33/2</w:t>
      </w:r>
      <w:r w:rsidRPr="004F303B">
        <w:t xml:space="preserve"> </w:t>
      </w:r>
    </w:p>
  </w:footnote>
  <w:footnote w:id="18">
    <w:p w:rsidR="00E218C9" w:rsidRPr="002C1F13" w:rsidRDefault="00E218C9" w:rsidP="00D8524D">
      <w:pPr>
        <w:pStyle w:val="FootnoteText"/>
        <w:rPr>
          <w:szCs w:val="18"/>
        </w:rPr>
      </w:pPr>
      <w:r>
        <w:rPr>
          <w:rStyle w:val="FootnoteReference"/>
        </w:rPr>
        <w:footnoteRef/>
      </w:r>
      <w:r>
        <w:t xml:space="preserve"> </w:t>
      </w:r>
      <w:r w:rsidR="00846A49">
        <w:t xml:space="preserve"> </w:t>
      </w:r>
      <w:r>
        <w:rPr>
          <w:szCs w:val="18"/>
        </w:rPr>
        <w:t>- JIU/REP/2006/2 on o</w:t>
      </w:r>
      <w:r w:rsidR="00846A49">
        <w:rPr>
          <w:szCs w:val="18"/>
        </w:rPr>
        <w:t>versight lacunae in the UN S</w:t>
      </w:r>
      <w:r w:rsidRPr="002C1F13">
        <w:rPr>
          <w:szCs w:val="18"/>
        </w:rPr>
        <w:t>ystem which recommen</w:t>
      </w:r>
      <w:r>
        <w:rPr>
          <w:szCs w:val="18"/>
        </w:rPr>
        <w:t>ds that for organizations with t</w:t>
      </w:r>
      <w:r w:rsidRPr="002C1F13">
        <w:rPr>
          <w:szCs w:val="18"/>
        </w:rPr>
        <w:t>otal resources of US$ 250 million to US$ 800 million – 0.60 to 0.90 per cent to be spent on internal oversight</w:t>
      </w:r>
      <w:r>
        <w:rPr>
          <w:szCs w:val="18"/>
        </w:rPr>
        <w:t>;</w:t>
      </w:r>
      <w:r w:rsidRPr="002C1F13">
        <w:rPr>
          <w:szCs w:val="18"/>
        </w:rPr>
        <w:br/>
        <w:t>- JIU/REP/2010/5</w:t>
      </w:r>
      <w:r w:rsidR="00846A49">
        <w:rPr>
          <w:szCs w:val="18"/>
        </w:rPr>
        <w:t xml:space="preserve">  the audit function in the UN S</w:t>
      </w:r>
      <w:r w:rsidRPr="002C1F13">
        <w:rPr>
          <w:szCs w:val="18"/>
        </w:rPr>
        <w:t>ystem which recommends 6  to 10 auditors (not even counting investigators or evaluators) for WIPO;</w:t>
      </w:r>
      <w:r>
        <w:rPr>
          <w:szCs w:val="18"/>
        </w:rPr>
        <w:t xml:space="preserve"> and</w:t>
      </w:r>
      <w:r w:rsidRPr="002C1F13">
        <w:rPr>
          <w:szCs w:val="18"/>
        </w:rPr>
        <w:br/>
        <w:t>- JIU/REP/2011/7 Strengthening the in</w:t>
      </w:r>
      <w:r w:rsidR="00846A49">
        <w:rPr>
          <w:szCs w:val="18"/>
        </w:rPr>
        <w:t>vestigation function in the UN S</w:t>
      </w:r>
      <w:r w:rsidRPr="002C1F13">
        <w:rPr>
          <w:szCs w:val="18"/>
        </w:rPr>
        <w:t>ystem</w:t>
      </w:r>
    </w:p>
  </w:footnote>
  <w:footnote w:id="19">
    <w:p w:rsidR="00E218C9" w:rsidRDefault="00E218C9" w:rsidP="00D8524D">
      <w:pPr>
        <w:spacing w:after="40"/>
      </w:pPr>
      <w:r w:rsidRPr="002C6407">
        <w:rPr>
          <w:rStyle w:val="FootnoteReference"/>
          <w:sz w:val="16"/>
          <w:szCs w:val="16"/>
        </w:rPr>
        <w:footnoteRef/>
      </w:r>
      <w:r>
        <w:rPr>
          <w:sz w:val="18"/>
          <w:szCs w:val="18"/>
        </w:rPr>
        <w:t xml:space="preserve"> </w:t>
      </w:r>
      <w:r w:rsidR="00846A49">
        <w:rPr>
          <w:sz w:val="18"/>
          <w:szCs w:val="18"/>
        </w:rPr>
        <w:t xml:space="preserve"> </w:t>
      </w:r>
      <w:r>
        <w:rPr>
          <w:sz w:val="18"/>
          <w:szCs w:val="18"/>
        </w:rPr>
        <w:t>Source:  Program Performance Report as at December 31, 2013, figures i</w:t>
      </w:r>
      <w:r w:rsidRPr="00EC4872">
        <w:rPr>
          <w:sz w:val="18"/>
          <w:szCs w:val="18"/>
        </w:rPr>
        <w:t>n thousands of Swiss francs.  Staff commitments are allocated annually.</w:t>
      </w:r>
      <w:r w:rsidRPr="002C6407">
        <w:rPr>
          <w:sz w:val="16"/>
          <w:szCs w:val="16"/>
        </w:rPr>
        <w:t xml:space="preserve">  </w:t>
      </w:r>
    </w:p>
  </w:footnote>
  <w:footnote w:id="20">
    <w:p w:rsidR="00E218C9" w:rsidRDefault="00E218C9" w:rsidP="00D8524D">
      <w:pPr>
        <w:pStyle w:val="FootnoteText"/>
      </w:pPr>
      <w:r>
        <w:rPr>
          <w:rStyle w:val="FootnoteReference"/>
        </w:rPr>
        <w:footnoteRef/>
      </w:r>
      <w:r>
        <w:t xml:space="preserve"> </w:t>
      </w:r>
      <w:r w:rsidR="00846A49">
        <w:t xml:space="preserve"> </w:t>
      </w:r>
      <w:r>
        <w:t>An internal control framework designed by the Committee of Sponsoring Organizations (COSO) of the Treadway Commission:  t</w:t>
      </w:r>
      <w:r w:rsidRPr="005E4426">
        <w:t xml:space="preserve">he American Accounting Association (AAA), the American Institute of Certified Public Accountants (AICPA), Financial Executives International (FEI), </w:t>
      </w:r>
      <w:r>
        <w:t>the IIA</w:t>
      </w:r>
      <w:r w:rsidRPr="005E4426">
        <w:t>, and the National Association of Accountants (now the Institute of Management Accountants [IMA]).</w:t>
      </w:r>
    </w:p>
  </w:footnote>
  <w:footnote w:id="21">
    <w:p w:rsidR="00E218C9" w:rsidRPr="00E412BD" w:rsidRDefault="00E218C9">
      <w:pPr>
        <w:pStyle w:val="FootnoteText"/>
      </w:pPr>
      <w:r>
        <w:rPr>
          <w:rStyle w:val="FootnoteReference"/>
        </w:rPr>
        <w:footnoteRef/>
      </w:r>
      <w:r>
        <w:t xml:space="preserve"> </w:t>
      </w:r>
      <w:r w:rsidR="002918FE">
        <w:t xml:space="preserve"> </w:t>
      </w:r>
      <w:r>
        <w:t>Work conducted by external consultants, IAOD being the subject of the external assessment.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8C9" w:rsidRDefault="00E218C9" w:rsidP="00477D6B">
    <w:pPr>
      <w:jc w:val="right"/>
    </w:pPr>
    <w:bookmarkStart w:id="6" w:name="Code2"/>
    <w:bookmarkEnd w:id="6"/>
    <w:r>
      <w:t>WO/GA/46/</w:t>
    </w:r>
  </w:p>
  <w:p w:rsidR="00E218C9" w:rsidRDefault="00E218C9" w:rsidP="00477D6B">
    <w:pPr>
      <w:jc w:val="right"/>
    </w:pPr>
    <w:r>
      <w:t xml:space="preserve">page </w:t>
    </w:r>
    <w:r>
      <w:fldChar w:fldCharType="begin"/>
    </w:r>
    <w:r>
      <w:instrText xml:space="preserve"> PAGE  \* MERGEFORMAT </w:instrText>
    </w:r>
    <w:r>
      <w:fldChar w:fldCharType="separate"/>
    </w:r>
    <w:r>
      <w:rPr>
        <w:noProof/>
      </w:rPr>
      <w:t>1</w:t>
    </w:r>
    <w:r>
      <w:fldChar w:fldCharType="end"/>
    </w:r>
  </w:p>
  <w:p w:rsidR="00E218C9" w:rsidRDefault="00E218C9"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8C9" w:rsidRPr="00F87303" w:rsidRDefault="00E218C9" w:rsidP="004B6701">
    <w:pPr>
      <w:jc w:val="right"/>
    </w:pPr>
    <w:r w:rsidRPr="006300A9">
      <w:t>WO/PBC/22/</w:t>
    </w:r>
    <w:r w:rsidRPr="001329B3">
      <w:t>4</w:t>
    </w:r>
  </w:p>
  <w:p w:rsidR="00E218C9" w:rsidRDefault="00E218C9" w:rsidP="004B6701">
    <w:pPr>
      <w:pStyle w:val="Header"/>
      <w:jc w:val="right"/>
    </w:pPr>
    <w:r>
      <w:t>ANNEX III</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8C9" w:rsidRDefault="00E218C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8C9" w:rsidRPr="008137B0" w:rsidRDefault="00E218C9" w:rsidP="001E2D32">
    <w:pPr>
      <w:jc w:val="right"/>
      <w:rPr>
        <w:lang w:val="fr-FR"/>
      </w:rPr>
    </w:pPr>
    <w:r w:rsidRPr="008137B0">
      <w:rPr>
        <w:bCs/>
        <w:lang w:val="fr-FR"/>
      </w:rPr>
      <w:t>WO/</w:t>
    </w:r>
    <w:r>
      <w:rPr>
        <w:bCs/>
        <w:lang w:val="fr-FR"/>
      </w:rPr>
      <w:t>PBC</w:t>
    </w:r>
    <w:r w:rsidRPr="008137B0">
      <w:rPr>
        <w:bCs/>
        <w:lang w:val="fr-FR"/>
      </w:rPr>
      <w:t>/</w:t>
    </w:r>
    <w:r>
      <w:rPr>
        <w:bCs/>
        <w:lang w:val="fr-FR"/>
      </w:rPr>
      <w:t>22</w:t>
    </w:r>
    <w:r>
      <w:rPr>
        <w:lang w:val="fr-FR"/>
      </w:rPr>
      <w:t>/</w:t>
    </w:r>
    <w:r w:rsidRPr="00F979A4">
      <w:rPr>
        <w:highlight w:val="yellow"/>
        <w:lang w:val="fr-FR"/>
      </w:rPr>
      <w:t>4</w:t>
    </w:r>
  </w:p>
  <w:p w:rsidR="00E218C9" w:rsidRPr="00103811" w:rsidRDefault="00E218C9" w:rsidP="001E2D32">
    <w:pPr>
      <w:jc w:val="right"/>
      <w:rPr>
        <w:lang w:val="fr-FR"/>
      </w:rPr>
    </w:pPr>
    <w:r>
      <w:rPr>
        <w:lang w:val="fr-FR"/>
      </w:rPr>
      <w:t>ANNEX</w:t>
    </w:r>
    <w:r w:rsidRPr="008137B0">
      <w:rPr>
        <w:lang w:val="fr-FR"/>
      </w:rPr>
      <w:t xml:space="preserve"> </w:t>
    </w:r>
    <w:r>
      <w:rPr>
        <w:lang w:val="fr-FR"/>
      </w:rPr>
      <w:t>IV</w:t>
    </w:r>
    <w:r w:rsidRPr="00ED60EB">
      <w:rPr>
        <w:lang w:val="fr-FR"/>
      </w:rPr>
      <w:t xml:space="preserve"> </w:t>
    </w:r>
  </w:p>
  <w:p w:rsidR="00E218C9" w:rsidRPr="00103811" w:rsidRDefault="00E218C9">
    <w:pPr>
      <w:pStyle w:val="Header"/>
      <w:rPr>
        <w:lang w:val="fr-FR"/>
      </w:rPr>
    </w:pPr>
  </w:p>
  <w:p w:rsidR="00E218C9" w:rsidRPr="00103811" w:rsidRDefault="00E218C9">
    <w:pPr>
      <w:pStyle w:val="Header"/>
      <w:rPr>
        <w:lang w:val="fr-FR"/>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8C9" w:rsidRPr="00524915" w:rsidRDefault="00E218C9" w:rsidP="001E2D32">
    <w:pPr>
      <w:jc w:val="right"/>
      <w:rPr>
        <w:lang w:val="fr-FR"/>
      </w:rPr>
    </w:pPr>
    <w:r w:rsidRPr="00524915">
      <w:rPr>
        <w:lang w:val="fr-FR"/>
      </w:rPr>
      <w:t>WO/PBC/22/</w:t>
    </w:r>
    <w:r w:rsidRPr="009A618D">
      <w:rPr>
        <w:lang w:val="fr-FR"/>
      </w:rPr>
      <w:t>4</w:t>
    </w:r>
  </w:p>
  <w:p w:rsidR="00E218C9" w:rsidRPr="00524915" w:rsidRDefault="00E218C9" w:rsidP="001E2D32">
    <w:pPr>
      <w:pStyle w:val="Header"/>
      <w:jc w:val="right"/>
      <w:rPr>
        <w:lang w:val="fr-FR"/>
      </w:rPr>
    </w:pPr>
    <w:r w:rsidRPr="00524915">
      <w:rPr>
        <w:lang w:val="fr-FR"/>
      </w:rPr>
      <w:t xml:space="preserve">ANNEX </w:t>
    </w:r>
    <w:r>
      <w:rPr>
        <w:lang w:val="fr-FR"/>
      </w:rPr>
      <w:t>I</w:t>
    </w:r>
    <w:r w:rsidRPr="00524915">
      <w:rPr>
        <w:lang w:val="fr-FR"/>
      </w:rPr>
      <w:t>V</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8C9" w:rsidRPr="00524915" w:rsidRDefault="00E218C9" w:rsidP="001E2D32">
    <w:pPr>
      <w:jc w:val="right"/>
      <w:rPr>
        <w:lang w:val="fr-FR"/>
      </w:rPr>
    </w:pPr>
    <w:r w:rsidRPr="00524915">
      <w:rPr>
        <w:lang w:val="fr-FR"/>
      </w:rPr>
      <w:t>WO/PBC/22/</w:t>
    </w:r>
    <w:r w:rsidRPr="009A618D">
      <w:rPr>
        <w:lang w:val="fr-FR"/>
      </w:rPr>
      <w:t>4</w:t>
    </w:r>
  </w:p>
  <w:p w:rsidR="00E218C9" w:rsidRPr="00524915" w:rsidRDefault="00E218C9" w:rsidP="001E2D32">
    <w:pPr>
      <w:pStyle w:val="Header"/>
      <w:jc w:val="right"/>
      <w:rPr>
        <w:lang w:val="fr-FR"/>
      </w:rPr>
    </w:pPr>
    <w:r w:rsidRPr="00524915">
      <w:rPr>
        <w:lang w:val="fr-FR"/>
      </w:rPr>
      <w:t>ANNEX V</w:t>
    </w:r>
  </w:p>
  <w:p w:rsidR="00E218C9" w:rsidRPr="00524915" w:rsidRDefault="00E218C9" w:rsidP="001E2D32">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8C9" w:rsidRDefault="00E218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D7B" w:rsidRDefault="00625D7B" w:rsidP="00625D7B">
    <w:pPr>
      <w:jc w:val="right"/>
    </w:pPr>
    <w:r w:rsidRPr="006300A9">
      <w:t>WO/PBC/22/</w:t>
    </w:r>
    <w:r w:rsidRPr="001329B3">
      <w:t>4</w:t>
    </w:r>
  </w:p>
  <w:p w:rsidR="00625D7B" w:rsidRDefault="00625D7B" w:rsidP="00625D7B">
    <w:pPr>
      <w:pStyle w:val="Header"/>
      <w:jc w:val="right"/>
    </w:pPr>
    <w:r>
      <w:t xml:space="preserve">page </w:t>
    </w:r>
    <w:r>
      <w:fldChar w:fldCharType="begin"/>
    </w:r>
    <w:r>
      <w:instrText xml:space="preserve"> PAGE   \* MERGEFORMAT </w:instrText>
    </w:r>
    <w:r>
      <w:fldChar w:fldCharType="separate"/>
    </w:r>
    <w:r w:rsidR="00ED682D">
      <w:rPr>
        <w:noProof/>
      </w:rPr>
      <w:t>4</w:t>
    </w:r>
    <w:r>
      <w:rPr>
        <w:noProof/>
      </w:rPr>
      <w:fldChar w:fldCharType="end"/>
    </w:r>
  </w:p>
  <w:p w:rsidR="00E218C9" w:rsidRPr="00E365E6" w:rsidRDefault="00E218C9" w:rsidP="00E365E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8C9" w:rsidRPr="00A77BA6" w:rsidRDefault="00E218C9" w:rsidP="00A77BA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8C9" w:rsidRPr="00F87303" w:rsidRDefault="00E218C9" w:rsidP="004B6701">
    <w:pPr>
      <w:jc w:val="right"/>
    </w:pPr>
    <w:r w:rsidRPr="006300A9">
      <w:t>WO/PBC/22/</w:t>
    </w:r>
    <w:r w:rsidRPr="001329B3">
      <w:t>4</w:t>
    </w:r>
  </w:p>
  <w:p w:rsidR="00E218C9" w:rsidRDefault="00E218C9" w:rsidP="004B6701">
    <w:pPr>
      <w:pStyle w:val="Header"/>
      <w:jc w:val="right"/>
    </w:pPr>
    <w:r>
      <w:t xml:space="preserve">page </w:t>
    </w:r>
    <w:r>
      <w:fldChar w:fldCharType="begin"/>
    </w:r>
    <w:r>
      <w:instrText xml:space="preserve"> PAGE   \* MERGEFORMAT </w:instrText>
    </w:r>
    <w:r>
      <w:fldChar w:fldCharType="separate"/>
    </w:r>
    <w:r w:rsidR="00ED682D">
      <w:rPr>
        <w:noProof/>
      </w:rPr>
      <w:t>21</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8C9" w:rsidRPr="00F87303" w:rsidRDefault="00E218C9" w:rsidP="00E365E6">
    <w:pPr>
      <w:jc w:val="right"/>
    </w:pPr>
    <w:r w:rsidRPr="006300A9">
      <w:t>WO/PBC/22/</w:t>
    </w:r>
    <w:r w:rsidRPr="001329B3">
      <w:t>4</w:t>
    </w:r>
  </w:p>
  <w:p w:rsidR="00E218C9" w:rsidRPr="00E365E6" w:rsidRDefault="00E218C9" w:rsidP="001B5644">
    <w:pPr>
      <w:pStyle w:val="Header"/>
      <w:jc w:val="right"/>
    </w:pPr>
    <w:r>
      <w:t xml:space="preserve">page </w:t>
    </w:r>
    <w:r>
      <w:fldChar w:fldCharType="begin"/>
    </w:r>
    <w:r>
      <w:instrText xml:space="preserve"> PAGE   \* MERGEFORMAT </w:instrText>
    </w:r>
    <w:r>
      <w:fldChar w:fldCharType="separate"/>
    </w:r>
    <w:r w:rsidR="00ED682D">
      <w:rPr>
        <w:noProof/>
      </w:rPr>
      <w:t>20</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8C9" w:rsidRPr="00524915" w:rsidRDefault="00E218C9" w:rsidP="001E2D32">
    <w:pPr>
      <w:jc w:val="right"/>
      <w:rPr>
        <w:lang w:val="fr-FR"/>
      </w:rPr>
    </w:pPr>
    <w:r w:rsidRPr="00F654B9">
      <w:rPr>
        <w:lang w:val="fr-FR"/>
      </w:rPr>
      <w:t>WO/</w:t>
    </w:r>
    <w:r>
      <w:rPr>
        <w:lang w:val="fr-FR"/>
      </w:rPr>
      <w:t>PBC</w:t>
    </w:r>
    <w:r w:rsidRPr="00F654B9">
      <w:rPr>
        <w:lang w:val="fr-FR"/>
      </w:rPr>
      <w:t>/</w:t>
    </w:r>
    <w:r>
      <w:rPr>
        <w:lang w:val="fr-FR"/>
      </w:rPr>
      <w:t>22/</w:t>
    </w:r>
    <w:r w:rsidRPr="009A618D">
      <w:rPr>
        <w:lang w:val="fr-FR"/>
      </w:rPr>
      <w:t>4</w:t>
    </w:r>
  </w:p>
  <w:p w:rsidR="00E218C9" w:rsidRPr="00524915" w:rsidRDefault="00E218C9" w:rsidP="001E2D32">
    <w:pPr>
      <w:jc w:val="right"/>
      <w:rPr>
        <w:lang w:val="fr-FR"/>
      </w:rPr>
    </w:pPr>
    <w:r>
      <w:rPr>
        <w:lang w:val="fr-FR"/>
      </w:rPr>
      <w:t>ANNEX I</w:t>
    </w:r>
  </w:p>
  <w:p w:rsidR="00E218C9" w:rsidRPr="00524915" w:rsidRDefault="00E218C9" w:rsidP="001E2D32">
    <w:pPr>
      <w:pStyle w:val="Header"/>
      <w:rPr>
        <w:lang w:val="fr-F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8C9" w:rsidRPr="00030490" w:rsidRDefault="00E218C9" w:rsidP="001E2D32">
    <w:pPr>
      <w:jc w:val="right"/>
    </w:pPr>
    <w:r w:rsidRPr="00030490">
      <w:t>WO/PBC/22/4</w:t>
    </w:r>
  </w:p>
  <w:p w:rsidR="00E218C9" w:rsidRPr="00030490" w:rsidRDefault="00E218C9" w:rsidP="001E2D32">
    <w:pPr>
      <w:jc w:val="right"/>
    </w:pPr>
    <w:r w:rsidRPr="00030490">
      <w:t>Annex I, page 2</w:t>
    </w:r>
  </w:p>
  <w:p w:rsidR="00E218C9" w:rsidRPr="00030490" w:rsidRDefault="00E218C9" w:rsidP="001E2D3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8C9" w:rsidRPr="00524915" w:rsidRDefault="00E218C9" w:rsidP="001E2D32">
    <w:pPr>
      <w:jc w:val="right"/>
      <w:rPr>
        <w:lang w:val="fr-FR"/>
      </w:rPr>
    </w:pPr>
    <w:r w:rsidRPr="00F654B9">
      <w:rPr>
        <w:lang w:val="fr-FR"/>
      </w:rPr>
      <w:t>WO/</w:t>
    </w:r>
    <w:r>
      <w:rPr>
        <w:lang w:val="fr-FR"/>
      </w:rPr>
      <w:t>PBC</w:t>
    </w:r>
    <w:r w:rsidRPr="00F654B9">
      <w:rPr>
        <w:lang w:val="fr-FR"/>
      </w:rPr>
      <w:t>/</w:t>
    </w:r>
    <w:r>
      <w:rPr>
        <w:lang w:val="fr-FR"/>
      </w:rPr>
      <w:t>22/</w:t>
    </w:r>
    <w:r w:rsidRPr="009A618D">
      <w:rPr>
        <w:lang w:val="fr-FR"/>
      </w:rPr>
      <w:t>4</w:t>
    </w:r>
  </w:p>
  <w:p w:rsidR="00E218C9" w:rsidRPr="00524915" w:rsidRDefault="00E218C9" w:rsidP="001E2D32">
    <w:pPr>
      <w:jc w:val="right"/>
      <w:rPr>
        <w:lang w:val="fr-FR"/>
      </w:rPr>
    </w:pPr>
    <w:r w:rsidRPr="00524915">
      <w:rPr>
        <w:lang w:val="fr-FR"/>
      </w:rPr>
      <w:t>ANNEX II</w:t>
    </w:r>
  </w:p>
  <w:p w:rsidR="00E218C9" w:rsidRPr="00524915" w:rsidRDefault="00E218C9" w:rsidP="001E2D32">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B196DCA"/>
    <w:multiLevelType w:val="hybridMultilevel"/>
    <w:tmpl w:val="44A6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2064D36"/>
    <w:multiLevelType w:val="multilevel"/>
    <w:tmpl w:val="27844612"/>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ascii="Arial" w:hAnsi="Arial"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8">
    <w:nsid w:val="64A4309A"/>
    <w:multiLevelType w:val="hybridMultilevel"/>
    <w:tmpl w:val="DEB8BFC0"/>
    <w:lvl w:ilvl="0" w:tplc="23027F74">
      <w:start w:val="2"/>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DB0FF2"/>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0">
    <w:nsid w:val="77640CCF"/>
    <w:multiLevelType w:val="multilevel"/>
    <w:tmpl w:val="65341604"/>
    <w:lvl w:ilvl="0">
      <w:start w:val="1"/>
      <w:numFmt w:val="decimal"/>
      <w:lvlRestart w:val="0"/>
      <w:lvlText w:val="%1."/>
      <w:lvlJc w:val="left"/>
      <w:pPr>
        <w:tabs>
          <w:tab w:val="num" w:pos="567"/>
        </w:tabs>
      </w:pPr>
      <w:rPr>
        <w:rFonts w:cs="Times New Roman" w:hint="default"/>
        <w:b/>
        <w:i w:val="0"/>
      </w:rPr>
    </w:lvl>
    <w:lvl w:ilvl="1">
      <w:start w:val="1"/>
      <w:numFmt w:val="upperLetter"/>
      <w:lvlText w:val="%2."/>
      <w:lvlJc w:val="left"/>
      <w:pPr>
        <w:tabs>
          <w:tab w:val="num" w:pos="1134"/>
        </w:tabs>
        <w:ind w:left="567"/>
      </w:pPr>
      <w:rPr>
        <w:rFonts w:cs="Times New Roman" w:hint="default"/>
        <w:caps w:val="0"/>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9"/>
  </w:num>
  <w:num w:numId="8">
    <w:abstractNumId w:val="10"/>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4"/>
  </w:num>
  <w:num w:numId="13">
    <w:abstractNumId w:val="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701"/>
    <w:rsid w:val="000003AE"/>
    <w:rsid w:val="00043CAA"/>
    <w:rsid w:val="00075432"/>
    <w:rsid w:val="0009671F"/>
    <w:rsid w:val="000968ED"/>
    <w:rsid w:val="000F5E56"/>
    <w:rsid w:val="001362EE"/>
    <w:rsid w:val="00140A13"/>
    <w:rsid w:val="001832A6"/>
    <w:rsid w:val="001B0D88"/>
    <w:rsid w:val="001B5644"/>
    <w:rsid w:val="001C3C72"/>
    <w:rsid w:val="001E2D32"/>
    <w:rsid w:val="001E429A"/>
    <w:rsid w:val="00240678"/>
    <w:rsid w:val="00263055"/>
    <w:rsid w:val="002634C4"/>
    <w:rsid w:val="00283187"/>
    <w:rsid w:val="002918FE"/>
    <w:rsid w:val="002928D3"/>
    <w:rsid w:val="002F1FE6"/>
    <w:rsid w:val="002F4E68"/>
    <w:rsid w:val="00312F7F"/>
    <w:rsid w:val="003228B7"/>
    <w:rsid w:val="003673CF"/>
    <w:rsid w:val="003845C1"/>
    <w:rsid w:val="00390583"/>
    <w:rsid w:val="003A6F89"/>
    <w:rsid w:val="003B38C1"/>
    <w:rsid w:val="003B75C2"/>
    <w:rsid w:val="003F2B38"/>
    <w:rsid w:val="00423E3E"/>
    <w:rsid w:val="00427AF4"/>
    <w:rsid w:val="004400E2"/>
    <w:rsid w:val="004647DA"/>
    <w:rsid w:val="00474062"/>
    <w:rsid w:val="00477D6B"/>
    <w:rsid w:val="004B6701"/>
    <w:rsid w:val="004E146D"/>
    <w:rsid w:val="0053057A"/>
    <w:rsid w:val="00544CC8"/>
    <w:rsid w:val="005455F1"/>
    <w:rsid w:val="00560A29"/>
    <w:rsid w:val="005D7F4E"/>
    <w:rsid w:val="005F3F20"/>
    <w:rsid w:val="00605827"/>
    <w:rsid w:val="00625D7B"/>
    <w:rsid w:val="00646050"/>
    <w:rsid w:val="006713CA"/>
    <w:rsid w:val="00676C5C"/>
    <w:rsid w:val="006A0D3F"/>
    <w:rsid w:val="006E7669"/>
    <w:rsid w:val="007058FB"/>
    <w:rsid w:val="007B38D4"/>
    <w:rsid w:val="007B6A58"/>
    <w:rsid w:val="007C30B5"/>
    <w:rsid w:val="007D1613"/>
    <w:rsid w:val="00840A87"/>
    <w:rsid w:val="008414E9"/>
    <w:rsid w:val="00846A49"/>
    <w:rsid w:val="00871CAE"/>
    <w:rsid w:val="008B2CC1"/>
    <w:rsid w:val="008B60B2"/>
    <w:rsid w:val="008F3B49"/>
    <w:rsid w:val="0090731E"/>
    <w:rsid w:val="00916EE2"/>
    <w:rsid w:val="00924E1D"/>
    <w:rsid w:val="00935C1C"/>
    <w:rsid w:val="00966A22"/>
    <w:rsid w:val="0096722F"/>
    <w:rsid w:val="00980843"/>
    <w:rsid w:val="009E2791"/>
    <w:rsid w:val="009E3F6F"/>
    <w:rsid w:val="009F499F"/>
    <w:rsid w:val="00A10659"/>
    <w:rsid w:val="00A2657B"/>
    <w:rsid w:val="00A42DAF"/>
    <w:rsid w:val="00A45BD8"/>
    <w:rsid w:val="00A75E8D"/>
    <w:rsid w:val="00A77BA6"/>
    <w:rsid w:val="00A85B8E"/>
    <w:rsid w:val="00AA321B"/>
    <w:rsid w:val="00AC205C"/>
    <w:rsid w:val="00AE7BE4"/>
    <w:rsid w:val="00B05A69"/>
    <w:rsid w:val="00B277A4"/>
    <w:rsid w:val="00B532CB"/>
    <w:rsid w:val="00B56438"/>
    <w:rsid w:val="00B66F63"/>
    <w:rsid w:val="00B74E9E"/>
    <w:rsid w:val="00B93272"/>
    <w:rsid w:val="00B95ADC"/>
    <w:rsid w:val="00B9734B"/>
    <w:rsid w:val="00BB22C4"/>
    <w:rsid w:val="00BE4D05"/>
    <w:rsid w:val="00C11BFE"/>
    <w:rsid w:val="00C71859"/>
    <w:rsid w:val="00C94629"/>
    <w:rsid w:val="00CE0AF5"/>
    <w:rsid w:val="00CE2815"/>
    <w:rsid w:val="00CF286F"/>
    <w:rsid w:val="00D45252"/>
    <w:rsid w:val="00D516E7"/>
    <w:rsid w:val="00D71B4D"/>
    <w:rsid w:val="00D830F1"/>
    <w:rsid w:val="00D8524D"/>
    <w:rsid w:val="00D93D55"/>
    <w:rsid w:val="00DF598B"/>
    <w:rsid w:val="00E03902"/>
    <w:rsid w:val="00E218C9"/>
    <w:rsid w:val="00E335FE"/>
    <w:rsid w:val="00E365E6"/>
    <w:rsid w:val="00E412BD"/>
    <w:rsid w:val="00E5021F"/>
    <w:rsid w:val="00EC4E49"/>
    <w:rsid w:val="00ED682D"/>
    <w:rsid w:val="00ED77FB"/>
    <w:rsid w:val="00EE7BCE"/>
    <w:rsid w:val="00F021A6"/>
    <w:rsid w:val="00F66152"/>
    <w:rsid w:val="00FB2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D8524D"/>
    <w:pPr>
      <w:keepNext/>
      <w:spacing w:before="360" w:after="360"/>
      <w:outlineLvl w:val="0"/>
    </w:pPr>
    <w:rPr>
      <w:b/>
      <w:bCs/>
      <w:caps/>
      <w:kern w:val="32"/>
      <w:szCs w:val="32"/>
    </w:rPr>
  </w:style>
  <w:style w:type="paragraph" w:styleId="Heading2">
    <w:name w:val="heading 2"/>
    <w:basedOn w:val="Normal"/>
    <w:next w:val="Normal"/>
    <w:link w:val="Heading2Char"/>
    <w:qFormat/>
    <w:rsid w:val="00B66F63"/>
    <w:pPr>
      <w:keepNext/>
      <w:spacing w:before="240" w:after="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BalloonText">
    <w:name w:val="Balloon Text"/>
    <w:basedOn w:val="Normal"/>
    <w:link w:val="BalloonTextChar"/>
    <w:rsid w:val="008414E9"/>
    <w:rPr>
      <w:rFonts w:ascii="Tahoma" w:hAnsi="Tahoma" w:cs="Tahoma"/>
      <w:sz w:val="16"/>
      <w:szCs w:val="16"/>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BalloonTextChar">
    <w:name w:val="Balloon Text Char"/>
    <w:basedOn w:val="DefaultParagraphFont"/>
    <w:link w:val="BalloonText"/>
    <w:rsid w:val="008414E9"/>
    <w:rPr>
      <w:rFonts w:ascii="Tahoma" w:eastAsia="SimSun" w:hAnsi="Tahoma" w:cs="Tahoma"/>
      <w:sz w:val="16"/>
      <w:szCs w:val="16"/>
      <w:lang w:eastAsia="zh-CN"/>
    </w:rPr>
  </w:style>
  <w:style w:type="paragraph" w:styleId="FootnoteText">
    <w:name w:val="footnote text"/>
    <w:aliases w:val="Footnote,Char"/>
    <w:basedOn w:val="Normal"/>
    <w:link w:val="FootnoteTextChar"/>
    <w:semiHidden/>
    <w:rsid w:val="00676C5C"/>
    <w:rPr>
      <w:sz w:val="18"/>
    </w:rPr>
  </w:style>
  <w:style w:type="paragraph" w:styleId="Header">
    <w:name w:val="header"/>
    <w:basedOn w:val="Normal"/>
    <w:link w:val="HeaderChar"/>
    <w:uiPriority w:val="99"/>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TOC1">
    <w:name w:val="toc 1"/>
    <w:basedOn w:val="Normal"/>
    <w:next w:val="Normal"/>
    <w:autoRedefine/>
    <w:uiPriority w:val="39"/>
    <w:rsid w:val="004B6701"/>
    <w:pPr>
      <w:tabs>
        <w:tab w:val="left" w:pos="440"/>
        <w:tab w:val="right" w:leader="dot" w:pos="9345"/>
      </w:tabs>
      <w:spacing w:before="240" w:after="240"/>
    </w:pPr>
  </w:style>
  <w:style w:type="character" w:customStyle="1" w:styleId="ONUMEChar">
    <w:name w:val="ONUM E Char"/>
    <w:link w:val="ONUME"/>
    <w:locked/>
    <w:rsid w:val="004B6701"/>
    <w:rPr>
      <w:rFonts w:ascii="Arial" w:eastAsia="SimSun" w:hAnsi="Arial" w:cs="Arial"/>
      <w:sz w:val="22"/>
      <w:lang w:eastAsia="zh-CN"/>
    </w:rPr>
  </w:style>
  <w:style w:type="character" w:styleId="Hyperlink">
    <w:name w:val="Hyperlink"/>
    <w:basedOn w:val="DefaultParagraphFont"/>
    <w:uiPriority w:val="99"/>
    <w:rsid w:val="004B6701"/>
    <w:rPr>
      <w:rFonts w:cs="Times New Roman"/>
      <w:color w:val="0000FF"/>
      <w:u w:val="single"/>
    </w:rPr>
  </w:style>
  <w:style w:type="character" w:customStyle="1" w:styleId="Heading2Char">
    <w:name w:val="Heading 2 Char"/>
    <w:link w:val="Heading2"/>
    <w:locked/>
    <w:rsid w:val="00B66F63"/>
    <w:rPr>
      <w:rFonts w:ascii="Arial" w:eastAsia="SimSun" w:hAnsi="Arial" w:cs="Arial"/>
      <w:bCs/>
      <w:iCs/>
      <w:caps/>
      <w:sz w:val="22"/>
      <w:szCs w:val="28"/>
      <w:lang w:eastAsia="zh-CN"/>
    </w:rPr>
  </w:style>
  <w:style w:type="table" w:styleId="TableGrid">
    <w:name w:val="Table Grid"/>
    <w:basedOn w:val="TableNormal"/>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E365E6"/>
    <w:rPr>
      <w:rFonts w:cs="Times New Roman"/>
      <w:vertAlign w:val="superscript"/>
    </w:rPr>
  </w:style>
  <w:style w:type="character" w:customStyle="1" w:styleId="FootnoteTextChar">
    <w:name w:val="Footnote Text Char"/>
    <w:aliases w:val="Footnote Char,Char Char"/>
    <w:link w:val="FootnoteText"/>
    <w:semiHidden/>
    <w:locked/>
    <w:rsid w:val="00E365E6"/>
    <w:rPr>
      <w:rFonts w:ascii="Arial" w:eastAsia="SimSun" w:hAnsi="Arial" w:cs="Arial"/>
      <w:sz w:val="18"/>
      <w:lang w:eastAsia="zh-CN"/>
    </w:rPr>
  </w:style>
  <w:style w:type="paragraph" w:styleId="Caption">
    <w:name w:val="caption"/>
    <w:basedOn w:val="Normal"/>
    <w:next w:val="Normal"/>
    <w:link w:val="CaptionChar"/>
    <w:qFormat/>
    <w:rsid w:val="008414E9"/>
    <w:rPr>
      <w:b/>
      <w:bCs/>
      <w:sz w:val="18"/>
    </w:rPr>
  </w:style>
  <w:style w:type="character" w:customStyle="1" w:styleId="CaptionChar">
    <w:name w:val="Caption Char"/>
    <w:basedOn w:val="DefaultParagraphFont"/>
    <w:link w:val="Caption"/>
    <w:rsid w:val="008414E9"/>
    <w:rPr>
      <w:rFonts w:ascii="Arial" w:eastAsia="SimSun" w:hAnsi="Arial" w:cs="Arial"/>
      <w:b/>
      <w:bCs/>
      <w:sz w:val="18"/>
      <w:lang w:eastAsia="zh-CN"/>
    </w:rPr>
  </w:style>
  <w:style w:type="character" w:customStyle="1" w:styleId="HeaderChar">
    <w:name w:val="Header Char"/>
    <w:link w:val="Header"/>
    <w:uiPriority w:val="99"/>
    <w:semiHidden/>
    <w:locked/>
    <w:rsid w:val="00E412BD"/>
    <w:rPr>
      <w:rFonts w:ascii="Arial" w:eastAsia="SimSun" w:hAnsi="Arial" w:cs="Arial"/>
      <w:sz w:val="22"/>
      <w:lang w:eastAsia="zh-CN"/>
    </w:rPr>
  </w:style>
  <w:style w:type="paragraph" w:styleId="PlainText">
    <w:name w:val="Plain Text"/>
    <w:basedOn w:val="Normal"/>
    <w:link w:val="PlainTextChar"/>
    <w:uiPriority w:val="99"/>
    <w:rsid w:val="00E412BD"/>
    <w:rPr>
      <w:rFonts w:ascii="Courier New" w:hAnsi="Courier New" w:cs="Courier New"/>
      <w:sz w:val="20"/>
    </w:rPr>
  </w:style>
  <w:style w:type="paragraph" w:styleId="ListParagraph">
    <w:name w:val="List Paragraph"/>
    <w:basedOn w:val="Normal"/>
    <w:uiPriority w:val="34"/>
    <w:qFormat/>
    <w:rsid w:val="00D8524D"/>
    <w:pPr>
      <w:ind w:left="720"/>
      <w:contextualSpacing/>
    </w:pPr>
  </w:style>
  <w:style w:type="character" w:customStyle="1" w:styleId="PlainTextChar">
    <w:name w:val="Plain Text Char"/>
    <w:basedOn w:val="DefaultParagraphFont"/>
    <w:link w:val="PlainText"/>
    <w:uiPriority w:val="99"/>
    <w:rsid w:val="00E412BD"/>
    <w:rPr>
      <w:rFonts w:ascii="Courier New" w:eastAsia="SimSun" w:hAnsi="Courier New" w:cs="Courier New"/>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D8524D"/>
    <w:pPr>
      <w:keepNext/>
      <w:spacing w:before="360" w:after="360"/>
      <w:outlineLvl w:val="0"/>
    </w:pPr>
    <w:rPr>
      <w:b/>
      <w:bCs/>
      <w:caps/>
      <w:kern w:val="32"/>
      <w:szCs w:val="32"/>
    </w:rPr>
  </w:style>
  <w:style w:type="paragraph" w:styleId="Heading2">
    <w:name w:val="heading 2"/>
    <w:basedOn w:val="Normal"/>
    <w:next w:val="Normal"/>
    <w:link w:val="Heading2Char"/>
    <w:qFormat/>
    <w:rsid w:val="00B66F63"/>
    <w:pPr>
      <w:keepNext/>
      <w:spacing w:before="240" w:after="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BalloonText">
    <w:name w:val="Balloon Text"/>
    <w:basedOn w:val="Normal"/>
    <w:link w:val="BalloonTextChar"/>
    <w:rsid w:val="008414E9"/>
    <w:rPr>
      <w:rFonts w:ascii="Tahoma" w:hAnsi="Tahoma" w:cs="Tahoma"/>
      <w:sz w:val="16"/>
      <w:szCs w:val="16"/>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BalloonTextChar">
    <w:name w:val="Balloon Text Char"/>
    <w:basedOn w:val="DefaultParagraphFont"/>
    <w:link w:val="BalloonText"/>
    <w:rsid w:val="008414E9"/>
    <w:rPr>
      <w:rFonts w:ascii="Tahoma" w:eastAsia="SimSun" w:hAnsi="Tahoma" w:cs="Tahoma"/>
      <w:sz w:val="16"/>
      <w:szCs w:val="16"/>
      <w:lang w:eastAsia="zh-CN"/>
    </w:rPr>
  </w:style>
  <w:style w:type="paragraph" w:styleId="FootnoteText">
    <w:name w:val="footnote text"/>
    <w:aliases w:val="Footnote,Char"/>
    <w:basedOn w:val="Normal"/>
    <w:link w:val="FootnoteTextChar"/>
    <w:semiHidden/>
    <w:rsid w:val="00676C5C"/>
    <w:rPr>
      <w:sz w:val="18"/>
    </w:rPr>
  </w:style>
  <w:style w:type="paragraph" w:styleId="Header">
    <w:name w:val="header"/>
    <w:basedOn w:val="Normal"/>
    <w:link w:val="HeaderChar"/>
    <w:uiPriority w:val="99"/>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TOC1">
    <w:name w:val="toc 1"/>
    <w:basedOn w:val="Normal"/>
    <w:next w:val="Normal"/>
    <w:autoRedefine/>
    <w:uiPriority w:val="39"/>
    <w:rsid w:val="004B6701"/>
    <w:pPr>
      <w:tabs>
        <w:tab w:val="left" w:pos="440"/>
        <w:tab w:val="right" w:leader="dot" w:pos="9345"/>
      </w:tabs>
      <w:spacing w:before="240" w:after="240"/>
    </w:pPr>
  </w:style>
  <w:style w:type="character" w:customStyle="1" w:styleId="ONUMEChar">
    <w:name w:val="ONUM E Char"/>
    <w:link w:val="ONUME"/>
    <w:locked/>
    <w:rsid w:val="004B6701"/>
    <w:rPr>
      <w:rFonts w:ascii="Arial" w:eastAsia="SimSun" w:hAnsi="Arial" w:cs="Arial"/>
      <w:sz w:val="22"/>
      <w:lang w:eastAsia="zh-CN"/>
    </w:rPr>
  </w:style>
  <w:style w:type="character" w:styleId="Hyperlink">
    <w:name w:val="Hyperlink"/>
    <w:basedOn w:val="DefaultParagraphFont"/>
    <w:uiPriority w:val="99"/>
    <w:rsid w:val="004B6701"/>
    <w:rPr>
      <w:rFonts w:cs="Times New Roman"/>
      <w:color w:val="0000FF"/>
      <w:u w:val="single"/>
    </w:rPr>
  </w:style>
  <w:style w:type="character" w:customStyle="1" w:styleId="Heading2Char">
    <w:name w:val="Heading 2 Char"/>
    <w:link w:val="Heading2"/>
    <w:locked/>
    <w:rsid w:val="00B66F63"/>
    <w:rPr>
      <w:rFonts w:ascii="Arial" w:eastAsia="SimSun" w:hAnsi="Arial" w:cs="Arial"/>
      <w:bCs/>
      <w:iCs/>
      <w:caps/>
      <w:sz w:val="22"/>
      <w:szCs w:val="28"/>
      <w:lang w:eastAsia="zh-CN"/>
    </w:rPr>
  </w:style>
  <w:style w:type="table" w:styleId="TableGrid">
    <w:name w:val="Table Grid"/>
    <w:basedOn w:val="TableNormal"/>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E365E6"/>
    <w:rPr>
      <w:rFonts w:cs="Times New Roman"/>
      <w:vertAlign w:val="superscript"/>
    </w:rPr>
  </w:style>
  <w:style w:type="character" w:customStyle="1" w:styleId="FootnoteTextChar">
    <w:name w:val="Footnote Text Char"/>
    <w:aliases w:val="Footnote Char,Char Char"/>
    <w:link w:val="FootnoteText"/>
    <w:semiHidden/>
    <w:locked/>
    <w:rsid w:val="00E365E6"/>
    <w:rPr>
      <w:rFonts w:ascii="Arial" w:eastAsia="SimSun" w:hAnsi="Arial" w:cs="Arial"/>
      <w:sz w:val="18"/>
      <w:lang w:eastAsia="zh-CN"/>
    </w:rPr>
  </w:style>
  <w:style w:type="paragraph" w:styleId="Caption">
    <w:name w:val="caption"/>
    <w:basedOn w:val="Normal"/>
    <w:next w:val="Normal"/>
    <w:link w:val="CaptionChar"/>
    <w:qFormat/>
    <w:rsid w:val="008414E9"/>
    <w:rPr>
      <w:b/>
      <w:bCs/>
      <w:sz w:val="18"/>
    </w:rPr>
  </w:style>
  <w:style w:type="character" w:customStyle="1" w:styleId="CaptionChar">
    <w:name w:val="Caption Char"/>
    <w:basedOn w:val="DefaultParagraphFont"/>
    <w:link w:val="Caption"/>
    <w:rsid w:val="008414E9"/>
    <w:rPr>
      <w:rFonts w:ascii="Arial" w:eastAsia="SimSun" w:hAnsi="Arial" w:cs="Arial"/>
      <w:b/>
      <w:bCs/>
      <w:sz w:val="18"/>
      <w:lang w:eastAsia="zh-CN"/>
    </w:rPr>
  </w:style>
  <w:style w:type="character" w:customStyle="1" w:styleId="HeaderChar">
    <w:name w:val="Header Char"/>
    <w:link w:val="Header"/>
    <w:uiPriority w:val="99"/>
    <w:semiHidden/>
    <w:locked/>
    <w:rsid w:val="00E412BD"/>
    <w:rPr>
      <w:rFonts w:ascii="Arial" w:eastAsia="SimSun" w:hAnsi="Arial" w:cs="Arial"/>
      <w:sz w:val="22"/>
      <w:lang w:eastAsia="zh-CN"/>
    </w:rPr>
  </w:style>
  <w:style w:type="paragraph" w:styleId="PlainText">
    <w:name w:val="Plain Text"/>
    <w:basedOn w:val="Normal"/>
    <w:link w:val="PlainTextChar"/>
    <w:uiPriority w:val="99"/>
    <w:rsid w:val="00E412BD"/>
    <w:rPr>
      <w:rFonts w:ascii="Courier New" w:hAnsi="Courier New" w:cs="Courier New"/>
      <w:sz w:val="20"/>
    </w:rPr>
  </w:style>
  <w:style w:type="paragraph" w:styleId="ListParagraph">
    <w:name w:val="List Paragraph"/>
    <w:basedOn w:val="Normal"/>
    <w:uiPriority w:val="34"/>
    <w:qFormat/>
    <w:rsid w:val="00D8524D"/>
    <w:pPr>
      <w:ind w:left="720"/>
      <w:contextualSpacing/>
    </w:pPr>
  </w:style>
  <w:style w:type="character" w:customStyle="1" w:styleId="PlainTextChar">
    <w:name w:val="Plain Text Char"/>
    <w:basedOn w:val="DefaultParagraphFont"/>
    <w:link w:val="PlainText"/>
    <w:uiPriority w:val="99"/>
    <w:rsid w:val="00E412BD"/>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image" Target="media/image4.png"/><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image" Target="media/image6.png"/><Relationship Id="rId28" Type="http://schemas.openxmlformats.org/officeDocument/2006/relationships/header" Target="header14.xml"/><Relationship Id="rId10" Type="http://schemas.openxmlformats.org/officeDocument/2006/relationships/header" Target="header1.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21979-38CB-412A-97FD-4637CC45F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46 (E).dotm</Template>
  <TotalTime>1</TotalTime>
  <Pages>29</Pages>
  <Words>8779</Words>
  <Characters>50042</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WO/GA/46/</vt:lpstr>
    </vt:vector>
  </TitlesOfParts>
  <Company>WIPO</Company>
  <LinksUpToDate>false</LinksUpToDate>
  <CharactersWithSpaces>58704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dc:title>
  <dc:creator>SCHWOB Lise</dc:creator>
  <cp:lastModifiedBy>MARIN-CUDRAZ DAVI Nicoletta</cp:lastModifiedBy>
  <cp:revision>3</cp:revision>
  <cp:lastPrinted>2014-07-04T11:14:00Z</cp:lastPrinted>
  <dcterms:created xsi:type="dcterms:W3CDTF">2014-07-15T09:50:00Z</dcterms:created>
  <dcterms:modified xsi:type="dcterms:W3CDTF">2014-07-15T15:04:00Z</dcterms:modified>
</cp:coreProperties>
</file>