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0575" w14:textId="0F73E1EC" w:rsidR="008B2CC1" w:rsidRPr="008B2CC1" w:rsidRDefault="00873EE5" w:rsidP="00F11D94">
      <w:pPr>
        <w:spacing w:after="120"/>
        <w:jc w:val="right"/>
      </w:pPr>
      <w:bookmarkStart w:id="0" w:name="_Hlk161299341"/>
      <w:r>
        <w:rPr>
          <w:noProof/>
          <w:sz w:val="28"/>
          <w:szCs w:val="28"/>
          <w:lang w:eastAsia="en-US"/>
        </w:rPr>
        <w:drawing>
          <wp:inline distT="0" distB="0" distL="0" distR="0" wp14:anchorId="7AA88549" wp14:editId="2E0E379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087DDF">
        <w:rPr>
          <w:noProof/>
        </w:rPr>
        <mc:AlternateContent>
          <mc:Choice Requires="wps">
            <w:drawing>
              <wp:inline distT="0" distB="0" distL="0" distR="0" wp14:anchorId="25AC3AE3" wp14:editId="1F84142F">
                <wp:extent cx="5935980" cy="635"/>
                <wp:effectExtent l="0" t="0" r="7620" b="18415"/>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6583D2" id="Straight Connector 3" o:spid="_x0000_s1026" alt="&quot;&quot;"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" strokecolor="black [3040]">
                <o:lock v:ext="edit" shapetype="f"/>
                <w10:anchorlock/>
              </v:line>
            </w:pict>
          </mc:Fallback>
        </mc:AlternateContent>
      </w:r>
    </w:p>
    <w:p w14:paraId="7FCA41BA" w14:textId="1BF51C5B" w:rsidR="008B2CC1" w:rsidRPr="000B27F0" w:rsidRDefault="00912762" w:rsidP="001024FE">
      <w:pPr>
        <w:jc w:val="right"/>
        <w:rPr>
          <w:rFonts w:ascii="Arial Black" w:hAnsi="Arial Black"/>
          <w:caps/>
          <w:sz w:val="15"/>
          <w:szCs w:val="15"/>
        </w:rPr>
      </w:pPr>
      <w:r w:rsidRPr="000B27F0">
        <w:rPr>
          <w:rFonts w:ascii="Arial Black" w:hAnsi="Arial Black"/>
          <w:caps/>
          <w:sz w:val="15"/>
          <w:szCs w:val="15"/>
        </w:rPr>
        <w:t>WO/CC/8</w:t>
      </w:r>
      <w:r w:rsidR="00BF5757" w:rsidRPr="000B27F0">
        <w:rPr>
          <w:rFonts w:ascii="Arial Black" w:hAnsi="Arial Black"/>
          <w:caps/>
          <w:sz w:val="15"/>
          <w:szCs w:val="15"/>
        </w:rPr>
        <w:t>4</w:t>
      </w:r>
      <w:r w:rsidR="00095CDF" w:rsidRPr="000B27F0">
        <w:rPr>
          <w:rFonts w:ascii="Arial Black" w:hAnsi="Arial Black"/>
          <w:caps/>
          <w:sz w:val="15"/>
          <w:szCs w:val="15"/>
        </w:rPr>
        <w:t>/</w:t>
      </w:r>
      <w:bookmarkStart w:id="1" w:name="Code"/>
      <w:r w:rsidR="006761B4" w:rsidRPr="000B27F0">
        <w:rPr>
          <w:rFonts w:ascii="Arial Black" w:hAnsi="Arial Black"/>
          <w:caps/>
          <w:sz w:val="15"/>
          <w:szCs w:val="15"/>
        </w:rPr>
        <w:t>inf/</w:t>
      </w:r>
      <w:r w:rsidR="007D13EA" w:rsidRPr="000B27F0">
        <w:rPr>
          <w:rFonts w:ascii="Arial Black" w:hAnsi="Arial Black"/>
          <w:caps/>
          <w:sz w:val="15"/>
          <w:szCs w:val="15"/>
        </w:rPr>
        <w:t>2</w:t>
      </w:r>
    </w:p>
    <w:bookmarkEnd w:id="1"/>
    <w:p w14:paraId="0D486FD0" w14:textId="12843D0D" w:rsidR="00CE65D4" w:rsidRPr="000B27F0" w:rsidRDefault="00CE65D4" w:rsidP="00CE65D4">
      <w:pPr>
        <w:jc w:val="right"/>
        <w:rPr>
          <w:rFonts w:ascii="Arial Black" w:hAnsi="Arial Black"/>
          <w:caps/>
          <w:sz w:val="15"/>
          <w:szCs w:val="15"/>
        </w:rPr>
      </w:pPr>
      <w:r w:rsidRPr="000B27F0">
        <w:rPr>
          <w:rFonts w:ascii="Arial Black" w:hAnsi="Arial Black"/>
          <w:caps/>
          <w:sz w:val="15"/>
          <w:szCs w:val="15"/>
        </w:rPr>
        <w:t xml:space="preserve">ORIGINAL: </w:t>
      </w:r>
      <w:bookmarkStart w:id="2" w:name="Original"/>
      <w:r w:rsidR="006C30DC" w:rsidRPr="000B27F0">
        <w:rPr>
          <w:rFonts w:ascii="Arial Black" w:hAnsi="Arial Black"/>
          <w:caps/>
          <w:sz w:val="15"/>
          <w:szCs w:val="15"/>
        </w:rPr>
        <w:t xml:space="preserve"> </w:t>
      </w:r>
      <w:r w:rsidR="00730286" w:rsidRPr="000B27F0">
        <w:rPr>
          <w:rFonts w:ascii="Arial Black" w:hAnsi="Arial Black"/>
          <w:caps/>
          <w:sz w:val="15"/>
          <w:szCs w:val="15"/>
        </w:rPr>
        <w:t>English</w:t>
      </w:r>
    </w:p>
    <w:bookmarkEnd w:id="2"/>
    <w:p w14:paraId="2EF64020" w14:textId="03493D33" w:rsidR="008B2CC1" w:rsidRPr="00CE65D4" w:rsidRDefault="00CE65D4" w:rsidP="00CE65D4">
      <w:pPr>
        <w:spacing w:after="1200"/>
        <w:jc w:val="right"/>
        <w:rPr>
          <w:rFonts w:ascii="Arial Black" w:hAnsi="Arial Black"/>
          <w:caps/>
          <w:sz w:val="15"/>
          <w:szCs w:val="15"/>
        </w:rPr>
      </w:pPr>
      <w:r w:rsidRPr="000B27F0">
        <w:rPr>
          <w:rFonts w:ascii="Arial Black" w:hAnsi="Arial Black"/>
          <w:caps/>
          <w:sz w:val="15"/>
          <w:szCs w:val="15"/>
        </w:rPr>
        <w:t xml:space="preserve">DATE: </w:t>
      </w:r>
      <w:bookmarkStart w:id="3" w:name="Date"/>
      <w:r w:rsidR="006C30DC" w:rsidRPr="000B27F0">
        <w:rPr>
          <w:rFonts w:ascii="Arial Black" w:hAnsi="Arial Black"/>
          <w:caps/>
          <w:sz w:val="15"/>
          <w:szCs w:val="15"/>
        </w:rPr>
        <w:t xml:space="preserve"> </w:t>
      </w:r>
      <w:r w:rsidR="000B27F0">
        <w:rPr>
          <w:rFonts w:ascii="Arial Black" w:hAnsi="Arial Black"/>
          <w:caps/>
          <w:sz w:val="15"/>
          <w:szCs w:val="15"/>
        </w:rPr>
        <w:t>April</w:t>
      </w:r>
      <w:r w:rsidR="00233C29" w:rsidRPr="000B27F0">
        <w:rPr>
          <w:rFonts w:ascii="Arial Black" w:hAnsi="Arial Black"/>
          <w:caps/>
          <w:sz w:val="15"/>
          <w:szCs w:val="15"/>
        </w:rPr>
        <w:t xml:space="preserve"> </w:t>
      </w:r>
      <w:r w:rsidR="000B27F0">
        <w:rPr>
          <w:rFonts w:ascii="Arial Black" w:hAnsi="Arial Black"/>
          <w:caps/>
          <w:sz w:val="15"/>
          <w:szCs w:val="15"/>
        </w:rPr>
        <w:t>7</w:t>
      </w:r>
      <w:r w:rsidR="00780083" w:rsidRPr="000B27F0">
        <w:rPr>
          <w:rFonts w:ascii="Arial Black" w:hAnsi="Arial Black"/>
          <w:caps/>
          <w:sz w:val="15"/>
          <w:szCs w:val="15"/>
        </w:rPr>
        <w:t>,</w:t>
      </w:r>
      <w:r w:rsidR="00FB4B0B" w:rsidRPr="000B27F0">
        <w:rPr>
          <w:rFonts w:ascii="Arial Black" w:hAnsi="Arial Black"/>
          <w:caps/>
          <w:sz w:val="15"/>
          <w:szCs w:val="15"/>
        </w:rPr>
        <w:t xml:space="preserve"> </w:t>
      </w:r>
      <w:r w:rsidR="00730286" w:rsidRPr="000B27F0">
        <w:rPr>
          <w:rFonts w:ascii="Arial Black" w:hAnsi="Arial Black"/>
          <w:caps/>
          <w:sz w:val="15"/>
          <w:szCs w:val="15"/>
        </w:rPr>
        <w:t>202</w:t>
      </w:r>
      <w:r w:rsidR="00F926AD" w:rsidRPr="000B27F0">
        <w:rPr>
          <w:rFonts w:ascii="Arial Black" w:hAnsi="Arial Black"/>
          <w:caps/>
          <w:sz w:val="15"/>
          <w:szCs w:val="15"/>
        </w:rPr>
        <w:t>5</w:t>
      </w:r>
    </w:p>
    <w:bookmarkEnd w:id="3"/>
    <w:p w14:paraId="3806E2FE" w14:textId="77777777" w:rsidR="008B2CC1" w:rsidRPr="009D0995" w:rsidRDefault="00095CDF" w:rsidP="00CE65D4">
      <w:pPr>
        <w:spacing w:after="600"/>
        <w:rPr>
          <w:b/>
          <w:sz w:val="28"/>
          <w:szCs w:val="28"/>
        </w:rPr>
      </w:pPr>
      <w:r w:rsidRPr="009D0995">
        <w:rPr>
          <w:b/>
          <w:sz w:val="28"/>
          <w:szCs w:val="28"/>
        </w:rPr>
        <w:t>WIPO Coordination Committee</w:t>
      </w:r>
    </w:p>
    <w:p w14:paraId="7B3EFC2B" w14:textId="67D8E055" w:rsidR="008B2CC1" w:rsidRPr="009D0995" w:rsidRDefault="00095CDF" w:rsidP="008B2CC1">
      <w:pPr>
        <w:rPr>
          <w:b/>
          <w:sz w:val="24"/>
          <w:szCs w:val="24"/>
        </w:rPr>
      </w:pPr>
      <w:r w:rsidRPr="009D0995">
        <w:rPr>
          <w:b/>
          <w:sz w:val="24"/>
          <w:szCs w:val="24"/>
        </w:rPr>
        <w:t>Eighty-</w:t>
      </w:r>
      <w:r w:rsidR="00F926AD">
        <w:rPr>
          <w:b/>
          <w:sz w:val="24"/>
          <w:szCs w:val="24"/>
        </w:rPr>
        <w:t>Fourth</w:t>
      </w:r>
      <w:r w:rsidRPr="009D0995">
        <w:rPr>
          <w:b/>
          <w:sz w:val="24"/>
          <w:szCs w:val="24"/>
        </w:rPr>
        <w:t xml:space="preserve"> (5</w:t>
      </w:r>
      <w:r w:rsidR="00F926AD">
        <w:rPr>
          <w:b/>
          <w:sz w:val="24"/>
          <w:szCs w:val="24"/>
        </w:rPr>
        <w:t>6</w:t>
      </w:r>
      <w:r w:rsidR="00912762" w:rsidRPr="009D0995">
        <w:rPr>
          <w:b/>
          <w:sz w:val="24"/>
          <w:szCs w:val="24"/>
          <w:vertAlign w:val="superscript"/>
        </w:rPr>
        <w:t>th</w:t>
      </w:r>
      <w:r w:rsidRPr="009D0995">
        <w:rPr>
          <w:b/>
          <w:sz w:val="24"/>
          <w:szCs w:val="24"/>
        </w:rPr>
        <w:t xml:space="preserve"> Ordinary) Session</w:t>
      </w:r>
    </w:p>
    <w:p w14:paraId="3A5CEBEB" w14:textId="428938CA" w:rsidR="008B2CC1" w:rsidRPr="009F3BF9" w:rsidRDefault="00095CDF" w:rsidP="00CE65D4">
      <w:pPr>
        <w:spacing w:after="720"/>
      </w:pPr>
      <w:r w:rsidRPr="008B4AAF">
        <w:rPr>
          <w:b/>
          <w:sz w:val="24"/>
          <w:szCs w:val="24"/>
        </w:rPr>
        <w:t xml:space="preserve">Geneva, July </w:t>
      </w:r>
      <w:r w:rsidR="009A61E6" w:rsidRPr="008B4AAF">
        <w:rPr>
          <w:b/>
          <w:sz w:val="24"/>
          <w:szCs w:val="24"/>
        </w:rPr>
        <w:t>8</w:t>
      </w:r>
      <w:r w:rsidR="00E872AC" w:rsidRPr="008B4AAF">
        <w:rPr>
          <w:b/>
          <w:sz w:val="24"/>
          <w:szCs w:val="24"/>
          <w:vertAlign w:val="superscript"/>
        </w:rPr>
        <w:t xml:space="preserve"> </w:t>
      </w:r>
      <w:r w:rsidRPr="008B4AAF">
        <w:rPr>
          <w:b/>
          <w:sz w:val="24"/>
          <w:szCs w:val="24"/>
        </w:rPr>
        <w:t xml:space="preserve">to </w:t>
      </w:r>
      <w:r w:rsidR="009A61E6" w:rsidRPr="008B4AAF">
        <w:rPr>
          <w:b/>
          <w:sz w:val="24"/>
          <w:szCs w:val="24"/>
        </w:rPr>
        <w:t>17</w:t>
      </w:r>
      <w:r w:rsidR="00912762" w:rsidRPr="008B4AAF">
        <w:rPr>
          <w:b/>
          <w:sz w:val="24"/>
          <w:szCs w:val="24"/>
        </w:rPr>
        <w:t>, 202</w:t>
      </w:r>
      <w:r w:rsidR="00F926AD" w:rsidRPr="008B4AAF">
        <w:rPr>
          <w:b/>
          <w:sz w:val="24"/>
          <w:szCs w:val="24"/>
        </w:rPr>
        <w:t>5</w:t>
      </w:r>
    </w:p>
    <w:p w14:paraId="19D3583C" w14:textId="61CF70B2" w:rsidR="008B2CC1" w:rsidRPr="009F3BF9" w:rsidRDefault="00730286" w:rsidP="00CE65D4">
      <w:pPr>
        <w:spacing w:after="360"/>
        <w:rPr>
          <w:caps/>
          <w:sz w:val="24"/>
        </w:rPr>
      </w:pPr>
      <w:bookmarkStart w:id="4" w:name="TitleOfDoc"/>
      <w:r>
        <w:rPr>
          <w:caps/>
          <w:sz w:val="24"/>
        </w:rPr>
        <w:t>Annual Report by the Ethics Office</w:t>
      </w:r>
    </w:p>
    <w:p w14:paraId="5BECC2AC" w14:textId="1092CDED" w:rsidR="008B2CC1" w:rsidRPr="004D39C4" w:rsidRDefault="00BD61E8" w:rsidP="00CE65D4">
      <w:pPr>
        <w:spacing w:after="960"/>
        <w:rPr>
          <w:i/>
        </w:rPr>
      </w:pPr>
      <w:bookmarkStart w:id="5" w:name="Prepared"/>
      <w:bookmarkEnd w:id="4"/>
      <w:r>
        <w:rPr>
          <w:i/>
        </w:rPr>
        <w:t>p</w:t>
      </w:r>
      <w:r w:rsidR="00730286">
        <w:rPr>
          <w:i/>
        </w:rPr>
        <w:t>repared by the Secretariat</w:t>
      </w:r>
    </w:p>
    <w:p w14:paraId="24F52843" w14:textId="20A5F1B7" w:rsidR="006761B4" w:rsidRPr="006761B4" w:rsidRDefault="006761B4" w:rsidP="008742A8">
      <w:pPr>
        <w:pStyle w:val="Heading1"/>
        <w:numPr>
          <w:ilvl w:val="0"/>
          <w:numId w:val="22"/>
        </w:numPr>
        <w:spacing w:after="220"/>
        <w:ind w:left="0" w:firstLine="0"/>
      </w:pPr>
      <w:bookmarkStart w:id="6" w:name="_Hlk161299460"/>
      <w:bookmarkEnd w:id="5"/>
      <w:r w:rsidRPr="006761B4">
        <w:t>Introduction</w:t>
      </w:r>
    </w:p>
    <w:p w14:paraId="6C165BC4" w14:textId="39396EE4" w:rsidR="006761B4" w:rsidRPr="006761B4" w:rsidRDefault="006761B4" w:rsidP="00875BB5">
      <w:pPr>
        <w:numPr>
          <w:ilvl w:val="0"/>
          <w:numId w:val="5"/>
        </w:numPr>
        <w:spacing w:after="240"/>
      </w:pPr>
      <w:r w:rsidRPr="006761B4">
        <w:t xml:space="preserve">This report is submitted to the WIPO General Assembly, through the Director General, in accordance with </w:t>
      </w:r>
      <w:r w:rsidR="0068659E">
        <w:t xml:space="preserve">paragraph 4 of </w:t>
      </w:r>
      <w:r w:rsidRPr="006761B4">
        <w:t>Office Instruction No. 16/2020</w:t>
      </w:r>
      <w:r w:rsidR="00366A2C">
        <w:t>.</w:t>
      </w:r>
      <w:r w:rsidR="00291793">
        <w:t xml:space="preserve"> </w:t>
      </w:r>
      <w:r w:rsidRPr="006761B4">
        <w:t xml:space="preserve"> It describes the key activities undertaken by the Ethics Office in 202</w:t>
      </w:r>
      <w:r w:rsidR="00F926AD">
        <w:t>4</w:t>
      </w:r>
      <w:r w:rsidRPr="006761B4">
        <w:t xml:space="preserve">. </w:t>
      </w:r>
    </w:p>
    <w:p w14:paraId="30CB6EB5" w14:textId="46AE6985" w:rsidR="006761B4" w:rsidRPr="006761B4" w:rsidRDefault="0068659E" w:rsidP="00875BB5">
      <w:pPr>
        <w:numPr>
          <w:ilvl w:val="0"/>
          <w:numId w:val="5"/>
        </w:numPr>
        <w:spacing w:after="220"/>
      </w:pPr>
      <w:r>
        <w:rPr>
          <w:color w:val="000000" w:themeColor="text1"/>
          <w:szCs w:val="22"/>
        </w:rPr>
        <w:t>Since its establishment in 2010, t</w:t>
      </w:r>
      <w:r w:rsidRPr="00AC35BB">
        <w:rPr>
          <w:color w:val="000000" w:themeColor="text1"/>
          <w:szCs w:val="22"/>
        </w:rPr>
        <w:t>he Ethics Office</w:t>
      </w:r>
      <w:r w:rsidR="00612BF8">
        <w:rPr>
          <w:color w:val="000000" w:themeColor="text1"/>
          <w:szCs w:val="22"/>
        </w:rPr>
        <w:t xml:space="preserve"> </w:t>
      </w:r>
      <w:r>
        <w:rPr>
          <w:color w:val="000000" w:themeColor="text1"/>
          <w:szCs w:val="22"/>
        </w:rPr>
        <w:t xml:space="preserve">has been </w:t>
      </w:r>
      <w:r w:rsidRPr="00AC35BB">
        <w:rPr>
          <w:color w:val="000000" w:themeColor="text1"/>
          <w:szCs w:val="22"/>
        </w:rPr>
        <w:t>support</w:t>
      </w:r>
      <w:r>
        <w:rPr>
          <w:color w:val="000000" w:themeColor="text1"/>
          <w:szCs w:val="22"/>
        </w:rPr>
        <w:t>ing</w:t>
      </w:r>
      <w:r w:rsidRPr="00AC35BB">
        <w:rPr>
          <w:color w:val="000000" w:themeColor="text1"/>
          <w:szCs w:val="22"/>
        </w:rPr>
        <w:t xml:space="preserve"> </w:t>
      </w:r>
      <w:r w:rsidR="006761B4" w:rsidRPr="006761B4">
        <w:t xml:space="preserve">the Director General </w:t>
      </w:r>
      <w:r>
        <w:t>to</w:t>
      </w:r>
      <w:r w:rsidRPr="006761B4">
        <w:t xml:space="preserve"> </w:t>
      </w:r>
      <w:r w:rsidR="006761B4" w:rsidRPr="006761B4">
        <w:t>ens</w:t>
      </w:r>
      <w:r w:rsidR="004670CB">
        <w:t>ure</w:t>
      </w:r>
      <w:r w:rsidR="006761B4" w:rsidRPr="006761B4">
        <w:t xml:space="preserve"> that all WIPO personnel maintain the highest standards of ethics and integrity</w:t>
      </w:r>
      <w:r w:rsidR="00612BF8">
        <w:t>,</w:t>
      </w:r>
      <w:r w:rsidR="006761B4" w:rsidRPr="006761B4">
        <w:t xml:space="preserve"> as required by </w:t>
      </w:r>
      <w:r w:rsidR="00DB691C">
        <w:t xml:space="preserve">WIPO’s regulatory framework, including </w:t>
      </w:r>
      <w:r w:rsidR="0003668A">
        <w:t xml:space="preserve">the WIPO Convention, </w:t>
      </w:r>
      <w:r w:rsidR="006761B4" w:rsidRPr="006761B4">
        <w:t xml:space="preserve">the </w:t>
      </w:r>
      <w:r w:rsidR="00612BF8">
        <w:t xml:space="preserve">WIPO </w:t>
      </w:r>
      <w:r w:rsidR="006761B4" w:rsidRPr="006761B4">
        <w:t>Staff Regulations and Rules, the WIPO Code of Ethics,</w:t>
      </w:r>
      <w:r w:rsidR="00DB691C">
        <w:t xml:space="preserve"> and</w:t>
      </w:r>
      <w:r w:rsidR="006761B4" w:rsidRPr="006761B4">
        <w:t xml:space="preserve"> </w:t>
      </w:r>
      <w:r w:rsidR="00612BF8" w:rsidRPr="006761B4">
        <w:t>the Standards of Conduct for the International Civil Service</w:t>
      </w:r>
      <w:r w:rsidR="00DB691C">
        <w:t>.</w:t>
      </w:r>
      <w:r w:rsidR="006761B4" w:rsidRPr="006761B4">
        <w:t xml:space="preserve"> </w:t>
      </w:r>
    </w:p>
    <w:p w14:paraId="573A1B79" w14:textId="5589CEF4" w:rsidR="007E30EF" w:rsidRDefault="006761B4" w:rsidP="008B4AAF">
      <w:pPr>
        <w:keepNext/>
        <w:numPr>
          <w:ilvl w:val="0"/>
          <w:numId w:val="5"/>
        </w:numPr>
        <w:spacing w:after="220"/>
      </w:pPr>
      <w:r w:rsidRPr="006761B4">
        <w:t xml:space="preserve">The objective of the Ethics Office is to promote an organizational culture of ethics based on shared values of independence, loyalty, impartiality, integrity, </w:t>
      </w:r>
      <w:r w:rsidR="008F14D7" w:rsidRPr="006761B4">
        <w:t>accountability,</w:t>
      </w:r>
      <w:r w:rsidRPr="006761B4">
        <w:t xml:space="preserve"> and respect for human rights. </w:t>
      </w:r>
      <w:r w:rsidR="00291793">
        <w:t xml:space="preserve"> </w:t>
      </w:r>
      <w:r w:rsidRPr="006761B4">
        <w:t xml:space="preserve">The Ethics Office fulfills this mission by providing services to </w:t>
      </w:r>
      <w:r w:rsidR="00E25EB8">
        <w:t xml:space="preserve">all </w:t>
      </w:r>
      <w:r w:rsidRPr="006761B4">
        <w:t>WIPO</w:t>
      </w:r>
      <w:r w:rsidR="00981C9A">
        <w:t xml:space="preserve"> </w:t>
      </w:r>
      <w:r w:rsidR="00981C9A" w:rsidRPr="00290E47">
        <w:t>personnel</w:t>
      </w:r>
      <w:r w:rsidRPr="00290E47">
        <w:rPr>
          <w:vertAlign w:val="superscript"/>
        </w:rPr>
        <w:footnoteReference w:id="2"/>
      </w:r>
      <w:r w:rsidR="006F757A" w:rsidRPr="00290E47">
        <w:t>,</w:t>
      </w:r>
      <w:r w:rsidRPr="00290E47">
        <w:t xml:space="preserve"> including</w:t>
      </w:r>
      <w:r w:rsidRPr="006761B4">
        <w:t xml:space="preserve"> senior management, in the following broad areas of responsibility: </w:t>
      </w:r>
    </w:p>
    <w:p w14:paraId="76C58BF6" w14:textId="77356A40" w:rsidR="006761B4" w:rsidRPr="006761B4" w:rsidRDefault="006761B4" w:rsidP="008B4AAF">
      <w:pPr>
        <w:keepNext/>
        <w:numPr>
          <w:ilvl w:val="1"/>
          <w:numId w:val="5"/>
        </w:numPr>
        <w:spacing w:after="220"/>
      </w:pPr>
      <w:r w:rsidRPr="006761B4">
        <w:t xml:space="preserve">Confidential advice and </w:t>
      </w:r>
      <w:proofErr w:type="gramStart"/>
      <w:r w:rsidRPr="006761B4">
        <w:t>guidance;</w:t>
      </w:r>
      <w:proofErr w:type="gramEnd"/>
    </w:p>
    <w:p w14:paraId="13974E56" w14:textId="6AB2B95F" w:rsidR="006761B4" w:rsidRPr="006761B4" w:rsidRDefault="00696FDF" w:rsidP="00875BB5">
      <w:pPr>
        <w:numPr>
          <w:ilvl w:val="1"/>
          <w:numId w:val="5"/>
        </w:numPr>
        <w:spacing w:after="220"/>
      </w:pPr>
      <w:r>
        <w:t>A</w:t>
      </w:r>
      <w:r w:rsidR="006761B4" w:rsidRPr="006761B4">
        <w:t>wareness</w:t>
      </w:r>
      <w:r w:rsidR="00953D36">
        <w:t>-</w:t>
      </w:r>
      <w:r w:rsidR="006761B4" w:rsidRPr="006761B4">
        <w:t>raising</w:t>
      </w:r>
      <w:r w:rsidR="00953D36">
        <w:t>, training</w:t>
      </w:r>
      <w:r w:rsidR="006761B4" w:rsidRPr="006761B4">
        <w:t xml:space="preserve"> and </w:t>
      </w:r>
      <w:proofErr w:type="gramStart"/>
      <w:r w:rsidR="006761B4" w:rsidRPr="006761B4">
        <w:t>outreach;</w:t>
      </w:r>
      <w:proofErr w:type="gramEnd"/>
    </w:p>
    <w:p w14:paraId="2EA4F75C" w14:textId="182CDE0B" w:rsidR="006761B4" w:rsidRPr="006761B4" w:rsidRDefault="004E7C32" w:rsidP="00875BB5">
      <w:pPr>
        <w:numPr>
          <w:ilvl w:val="1"/>
          <w:numId w:val="5"/>
        </w:numPr>
        <w:spacing w:after="220"/>
      </w:pPr>
      <w:r>
        <w:t>Monitoring and s</w:t>
      </w:r>
      <w:r w:rsidR="006761B4" w:rsidRPr="006761B4">
        <w:t>tandard</w:t>
      </w:r>
      <w:r w:rsidR="00953D36">
        <w:t>-</w:t>
      </w:r>
      <w:proofErr w:type="gramStart"/>
      <w:r w:rsidR="006761B4" w:rsidRPr="006761B4">
        <w:t>setting;</w:t>
      </w:r>
      <w:proofErr w:type="gramEnd"/>
    </w:p>
    <w:p w14:paraId="09B24E28" w14:textId="5151CC99" w:rsidR="006761B4" w:rsidRPr="006761B4" w:rsidRDefault="0014184E" w:rsidP="00291793">
      <w:pPr>
        <w:numPr>
          <w:ilvl w:val="1"/>
          <w:numId w:val="5"/>
        </w:numPr>
        <w:spacing w:after="220"/>
        <w:rPr>
          <w:szCs w:val="22"/>
        </w:rPr>
      </w:pPr>
      <w:r w:rsidRPr="0014184E">
        <w:lastRenderedPageBreak/>
        <w:t xml:space="preserve">Review of </w:t>
      </w:r>
      <w:r w:rsidR="007638F2" w:rsidRPr="0014184E">
        <w:t>retaliation complaints in accordance with WIPO’s Policy to Protect against Retaliation</w:t>
      </w:r>
      <w:r w:rsidR="006761B4" w:rsidRPr="006761B4">
        <w:rPr>
          <w:szCs w:val="22"/>
        </w:rPr>
        <w:t>;</w:t>
      </w:r>
      <w:r w:rsidR="006F757A">
        <w:rPr>
          <w:szCs w:val="22"/>
        </w:rPr>
        <w:t xml:space="preserve"> </w:t>
      </w:r>
      <w:r w:rsidR="006761B4" w:rsidRPr="006761B4">
        <w:rPr>
          <w:szCs w:val="22"/>
        </w:rPr>
        <w:t>and</w:t>
      </w:r>
    </w:p>
    <w:p w14:paraId="186CFDD2" w14:textId="24616124" w:rsidR="006761B4" w:rsidRPr="006761B4" w:rsidRDefault="006761B4" w:rsidP="00291793">
      <w:pPr>
        <w:numPr>
          <w:ilvl w:val="1"/>
          <w:numId w:val="5"/>
        </w:numPr>
        <w:spacing w:after="220"/>
      </w:pPr>
      <w:r w:rsidRPr="006761B4">
        <w:t xml:space="preserve">Administration of </w:t>
      </w:r>
      <w:r w:rsidR="00B03663">
        <w:t>WIPO’s</w:t>
      </w:r>
      <w:r w:rsidR="00540D10">
        <w:t xml:space="preserve"> Policy on </w:t>
      </w:r>
      <w:r w:rsidR="00B03663">
        <w:t>F</w:t>
      </w:r>
      <w:r w:rsidRPr="006761B4">
        <w:t xml:space="preserve">inancial </w:t>
      </w:r>
      <w:r w:rsidR="00B03663">
        <w:t>D</w:t>
      </w:r>
      <w:r w:rsidRPr="006761B4">
        <w:t xml:space="preserve">isclosure and </w:t>
      </w:r>
      <w:r w:rsidR="00B03663">
        <w:t>D</w:t>
      </w:r>
      <w:r w:rsidRPr="006761B4">
        <w:t xml:space="preserve">eclaration of </w:t>
      </w:r>
      <w:r w:rsidR="00B03663">
        <w:t>I</w:t>
      </w:r>
      <w:r w:rsidRPr="006761B4">
        <w:t>nterest</w:t>
      </w:r>
      <w:r w:rsidR="00F651FA">
        <w:t>s</w:t>
      </w:r>
      <w:r w:rsidRPr="006761B4">
        <w:t> (FDDI).</w:t>
      </w:r>
    </w:p>
    <w:p w14:paraId="274EC34B" w14:textId="12510FDC" w:rsidR="000746CA" w:rsidRPr="006761B4" w:rsidRDefault="006761B4" w:rsidP="000746CA">
      <w:pPr>
        <w:pStyle w:val="ONUME"/>
        <w:rPr>
          <w:szCs w:val="22"/>
        </w:rPr>
      </w:pPr>
      <w:r w:rsidRPr="16A720B9">
        <w:t xml:space="preserve">The </w:t>
      </w:r>
      <w:r w:rsidR="0013161F" w:rsidRPr="16A720B9">
        <w:t>O</w:t>
      </w:r>
      <w:r w:rsidRPr="16A720B9">
        <w:t xml:space="preserve">ffice is headed by a Chief Ethics Officer, who is functionally and operationally independent from WIPO management. </w:t>
      </w:r>
      <w:r w:rsidR="005A77D3">
        <w:rPr>
          <w:szCs w:val="22"/>
        </w:rPr>
        <w:t xml:space="preserve"> </w:t>
      </w:r>
      <w:r w:rsidR="000746CA">
        <w:rPr>
          <w:szCs w:val="22"/>
        </w:rPr>
        <w:t>F</w:t>
      </w:r>
      <w:r w:rsidR="000746CA" w:rsidRPr="0029082F">
        <w:rPr>
          <w:szCs w:val="22"/>
        </w:rPr>
        <w:t>ollowing the departure of the previous incumbent</w:t>
      </w:r>
      <w:r w:rsidR="000746CA">
        <w:rPr>
          <w:szCs w:val="22"/>
        </w:rPr>
        <w:t>,</w:t>
      </w:r>
      <w:r w:rsidR="000746CA" w:rsidRPr="0029082F">
        <w:rPr>
          <w:szCs w:val="22"/>
        </w:rPr>
        <w:t xml:space="preserve"> Mr. David Mitchels </w:t>
      </w:r>
      <w:r w:rsidR="000746CA">
        <w:rPr>
          <w:szCs w:val="22"/>
        </w:rPr>
        <w:t xml:space="preserve">served as </w:t>
      </w:r>
      <w:r w:rsidR="000746CA" w:rsidRPr="0029082F">
        <w:rPr>
          <w:szCs w:val="22"/>
        </w:rPr>
        <w:t>Chief Ethics Office</w:t>
      </w:r>
      <w:r w:rsidR="000746CA">
        <w:rPr>
          <w:szCs w:val="22"/>
        </w:rPr>
        <w:t>r</w:t>
      </w:r>
      <w:r w:rsidR="000746CA" w:rsidRPr="0029082F">
        <w:rPr>
          <w:szCs w:val="22"/>
        </w:rPr>
        <w:t xml:space="preserve"> </w:t>
      </w:r>
      <w:r w:rsidR="000746CA" w:rsidRPr="00307BB4">
        <w:rPr>
          <w:i/>
          <w:iCs/>
          <w:szCs w:val="22"/>
        </w:rPr>
        <w:t>ad interim</w:t>
      </w:r>
      <w:r w:rsidR="000746CA" w:rsidRPr="0029082F">
        <w:rPr>
          <w:szCs w:val="22"/>
        </w:rPr>
        <w:t xml:space="preserve"> </w:t>
      </w:r>
      <w:r w:rsidR="000746CA">
        <w:rPr>
          <w:szCs w:val="22"/>
        </w:rPr>
        <w:t>until</w:t>
      </w:r>
      <w:r w:rsidR="000746CA" w:rsidRPr="0029082F">
        <w:rPr>
          <w:szCs w:val="22"/>
        </w:rPr>
        <w:t xml:space="preserve"> July 31, 2024</w:t>
      </w:r>
      <w:r w:rsidR="000746CA">
        <w:rPr>
          <w:rStyle w:val="FootnoteReference"/>
          <w:szCs w:val="22"/>
        </w:rPr>
        <w:footnoteReference w:id="3"/>
      </w:r>
      <w:r w:rsidR="00290E47">
        <w:rPr>
          <w:szCs w:val="22"/>
        </w:rPr>
        <w:t>.</w:t>
      </w:r>
      <w:r w:rsidR="000746CA" w:rsidRPr="0029082F">
        <w:rPr>
          <w:szCs w:val="22"/>
        </w:rPr>
        <w:t xml:space="preserve"> </w:t>
      </w:r>
      <w:r w:rsidR="000746CA">
        <w:rPr>
          <w:szCs w:val="22"/>
        </w:rPr>
        <w:t xml:space="preserve"> A newly appointed Chief Ethics Officer, Ms. Fanny Martin,</w:t>
      </w:r>
      <w:r w:rsidR="00D26D0E">
        <w:rPr>
          <w:szCs w:val="22"/>
        </w:rPr>
        <w:t xml:space="preserve"> began her duties</w:t>
      </w:r>
      <w:r w:rsidR="000746CA">
        <w:rPr>
          <w:szCs w:val="22"/>
        </w:rPr>
        <w:t xml:space="preserve"> on August 1, 2024.</w:t>
      </w:r>
    </w:p>
    <w:p w14:paraId="285217FD" w14:textId="47C88459" w:rsidR="006761B4" w:rsidRDefault="00736F0A" w:rsidP="001165E0">
      <w:pPr>
        <w:numPr>
          <w:ilvl w:val="0"/>
          <w:numId w:val="5"/>
        </w:numPr>
        <w:spacing w:after="220"/>
      </w:pPr>
      <w:r>
        <w:t>Th</w:t>
      </w:r>
      <w:r w:rsidR="00307F38">
        <w:t>roughout 2024, th</w:t>
      </w:r>
      <w:r>
        <w:t>e Office also include</w:t>
      </w:r>
      <w:r w:rsidR="00307F38">
        <w:t>d</w:t>
      </w:r>
      <w:r>
        <w:t xml:space="preserve"> an external reviewer</w:t>
      </w:r>
      <w:r w:rsidR="004B5F02">
        <w:t xml:space="preserve"> </w:t>
      </w:r>
      <w:r w:rsidR="00D26D0E">
        <w:t>(</w:t>
      </w:r>
      <w:r w:rsidR="00F731D3">
        <w:t xml:space="preserve">contracted under </w:t>
      </w:r>
      <w:r w:rsidR="00136F34">
        <w:t xml:space="preserve">a long-term </w:t>
      </w:r>
      <w:r w:rsidR="009D0D09">
        <w:t>agreement</w:t>
      </w:r>
      <w:r w:rsidR="00E87BE3">
        <w:t xml:space="preserve"> and </w:t>
      </w:r>
      <w:r w:rsidR="00D007E4">
        <w:t>in charge of</w:t>
      </w:r>
      <w:r w:rsidR="004645B4">
        <w:t xml:space="preserve"> </w:t>
      </w:r>
      <w:r w:rsidR="00A63258">
        <w:t xml:space="preserve">reviewing </w:t>
      </w:r>
      <w:r w:rsidR="009444AB">
        <w:t xml:space="preserve">disclosure statements filed by staff members under the FDDI </w:t>
      </w:r>
      <w:r w:rsidR="007A2CBE">
        <w:t>P</w:t>
      </w:r>
      <w:r w:rsidR="009444AB">
        <w:t>olicy</w:t>
      </w:r>
      <w:r w:rsidR="00D26D0E">
        <w:t>)</w:t>
      </w:r>
      <w:r w:rsidR="009444AB">
        <w:t xml:space="preserve">, </w:t>
      </w:r>
      <w:r w:rsidR="00870EA8">
        <w:t xml:space="preserve">an intern, </w:t>
      </w:r>
      <w:r w:rsidR="009444AB">
        <w:t xml:space="preserve">as </w:t>
      </w:r>
      <w:r w:rsidR="00307F38">
        <w:t xml:space="preserve">well as an </w:t>
      </w:r>
      <w:r w:rsidR="005A74A7">
        <w:t>agency worker</w:t>
      </w:r>
      <w:r w:rsidR="00271C73">
        <w:t xml:space="preserve"> </w:t>
      </w:r>
      <w:r w:rsidR="004645B4">
        <w:t xml:space="preserve">in charge of </w:t>
      </w:r>
      <w:r w:rsidR="00B011DD">
        <w:t xml:space="preserve">providing </w:t>
      </w:r>
      <w:r w:rsidR="0047786D">
        <w:t>management</w:t>
      </w:r>
      <w:r w:rsidR="00ED3844">
        <w:t xml:space="preserve">, administrative and technical </w:t>
      </w:r>
      <w:r w:rsidR="0047786D">
        <w:t>support</w:t>
      </w:r>
      <w:r w:rsidR="005A74A7">
        <w:t>.</w:t>
      </w:r>
      <w:r w:rsidR="00307F38">
        <w:t xml:space="preserve"> </w:t>
      </w:r>
      <w:r w:rsidR="00E9144E">
        <w:t xml:space="preserve"> </w:t>
      </w:r>
      <w:r w:rsidR="006761B4" w:rsidRPr="16A720B9">
        <w:t xml:space="preserve">In </w:t>
      </w:r>
      <w:r w:rsidR="00612BF8">
        <w:t xml:space="preserve">the first half of </w:t>
      </w:r>
      <w:r w:rsidR="006761B4" w:rsidRPr="16A720B9">
        <w:t>202</w:t>
      </w:r>
      <w:r w:rsidR="00F926AD" w:rsidRPr="16A720B9">
        <w:t>4</w:t>
      </w:r>
      <w:r w:rsidR="006761B4" w:rsidRPr="16A720B9">
        <w:t xml:space="preserve">, the </w:t>
      </w:r>
      <w:r w:rsidR="0013161F" w:rsidRPr="16A720B9">
        <w:t>O</w:t>
      </w:r>
      <w:r w:rsidR="006761B4" w:rsidRPr="16A720B9">
        <w:t xml:space="preserve">ffice </w:t>
      </w:r>
      <w:r w:rsidR="00DB642B">
        <w:t xml:space="preserve">further </w:t>
      </w:r>
      <w:r w:rsidR="006761B4" w:rsidRPr="16A720B9">
        <w:t xml:space="preserve">included </w:t>
      </w:r>
      <w:r w:rsidR="008C4DC5" w:rsidRPr="16A720B9">
        <w:t>a</w:t>
      </w:r>
      <w:r w:rsidR="00612BF8">
        <w:t>n individual contractor</w:t>
      </w:r>
      <w:r>
        <w:t xml:space="preserve">. </w:t>
      </w:r>
    </w:p>
    <w:p w14:paraId="706F0F50" w14:textId="69844AAA" w:rsidR="006761B4" w:rsidRPr="006761B4" w:rsidRDefault="00F87B7C" w:rsidP="00621C5C">
      <w:pPr>
        <w:pStyle w:val="Heading1"/>
        <w:spacing w:after="220"/>
      </w:pPr>
      <w:r>
        <w:t>II.</w:t>
      </w:r>
      <w:r>
        <w:tab/>
      </w:r>
      <w:r w:rsidR="006761B4" w:rsidRPr="006761B4">
        <w:t>REPORT ON 202</w:t>
      </w:r>
      <w:r w:rsidR="00F926AD">
        <w:t>4</w:t>
      </w:r>
      <w:r w:rsidR="006761B4" w:rsidRPr="006761B4">
        <w:t xml:space="preserve"> ACTIVITIES</w:t>
      </w:r>
    </w:p>
    <w:p w14:paraId="1B5E3C26" w14:textId="6B650A48" w:rsidR="006761B4" w:rsidRDefault="00D26D0E" w:rsidP="00291793">
      <w:pPr>
        <w:numPr>
          <w:ilvl w:val="0"/>
          <w:numId w:val="5"/>
        </w:numPr>
        <w:spacing w:after="220"/>
      </w:pPr>
      <w:r>
        <w:t>The</w:t>
      </w:r>
      <w:r w:rsidR="006761B4" w:rsidRPr="006761B4">
        <w:t xml:space="preserve"> Director General and the Independent </w:t>
      </w:r>
      <w:r w:rsidR="00BA040B">
        <w:t>Advisory</w:t>
      </w:r>
      <w:r w:rsidR="006761B4" w:rsidRPr="006761B4">
        <w:t xml:space="preserve"> Oversight Committee (</w:t>
      </w:r>
      <w:r w:rsidR="006761B4" w:rsidRPr="006259D9">
        <w:t>IAOC</w:t>
      </w:r>
      <w:r w:rsidR="006761B4" w:rsidRPr="006761B4">
        <w:t xml:space="preserve">) </w:t>
      </w:r>
      <w:r w:rsidR="00540ED2">
        <w:t xml:space="preserve">were kept </w:t>
      </w:r>
      <w:r w:rsidR="006761B4" w:rsidRPr="006761B4">
        <w:t>apprised of the performance of the ethics function</w:t>
      </w:r>
      <w:r w:rsidR="007754E4">
        <w:t>, through monthly and quarterly meetings, respectively</w:t>
      </w:r>
      <w:r>
        <w:t xml:space="preserve">, over the course of 2024. </w:t>
      </w:r>
    </w:p>
    <w:p w14:paraId="09364BA9" w14:textId="77777777" w:rsidR="006761B4" w:rsidRPr="006761B4" w:rsidRDefault="006761B4" w:rsidP="00621C5C">
      <w:pPr>
        <w:pStyle w:val="Heading2"/>
        <w:spacing w:after="220"/>
        <w:ind w:left="567"/>
      </w:pPr>
      <w:r w:rsidRPr="006761B4">
        <w:t>A.</w:t>
      </w:r>
      <w:r w:rsidRPr="006761B4">
        <w:tab/>
        <w:t>CONFIDENTIAL ADVICE AND GUIDANCE</w:t>
      </w:r>
    </w:p>
    <w:p w14:paraId="03013B4F" w14:textId="134E2884" w:rsidR="006761B4" w:rsidRPr="00522AAC" w:rsidRDefault="009A2F0A" w:rsidP="00522AAC">
      <w:pPr>
        <w:numPr>
          <w:ilvl w:val="0"/>
          <w:numId w:val="5"/>
        </w:numPr>
        <w:spacing w:after="220"/>
        <w:rPr>
          <w:szCs w:val="22"/>
        </w:rPr>
      </w:pPr>
      <w:r>
        <w:t>In</w:t>
      </w:r>
      <w:r w:rsidR="006761B4" w:rsidRPr="006761B4">
        <w:t xml:space="preserve"> providing confidential </w:t>
      </w:r>
      <w:r>
        <w:t xml:space="preserve">guidance </w:t>
      </w:r>
      <w:r w:rsidRPr="00522AAC">
        <w:rPr>
          <w:color w:val="000000" w:themeColor="text1"/>
          <w:szCs w:val="22"/>
          <w:lang w:val="en-GB"/>
        </w:rPr>
        <w:t>to WIPO personnel on situations raising ethical dilemmas</w:t>
      </w:r>
      <w:r>
        <w:t xml:space="preserve">, the Ethics Office </w:t>
      </w:r>
      <w:r w:rsidR="005E2A6C">
        <w:t xml:space="preserve">plays a key role </w:t>
      </w:r>
      <w:r w:rsidRPr="00522AAC">
        <w:rPr>
          <w:color w:val="000000" w:themeColor="text1"/>
          <w:szCs w:val="22"/>
          <w:lang w:val="en-GB"/>
        </w:rPr>
        <w:t>with a view to</w:t>
      </w:r>
      <w:r w:rsidR="00D26D0E">
        <w:rPr>
          <w:color w:val="000000" w:themeColor="text1"/>
          <w:szCs w:val="22"/>
          <w:lang w:val="en-GB"/>
        </w:rPr>
        <w:t xml:space="preserve">: </w:t>
      </w:r>
      <w:r w:rsidR="00AA071F">
        <w:rPr>
          <w:color w:val="000000" w:themeColor="text1"/>
          <w:szCs w:val="22"/>
          <w:lang w:val="en-GB"/>
        </w:rPr>
        <w:t>(</w:t>
      </w:r>
      <w:proofErr w:type="spellStart"/>
      <w:r w:rsidR="00AA071F">
        <w:rPr>
          <w:color w:val="000000" w:themeColor="text1"/>
          <w:szCs w:val="22"/>
          <w:lang w:val="en-GB"/>
        </w:rPr>
        <w:t>i</w:t>
      </w:r>
      <w:proofErr w:type="spellEnd"/>
      <w:r w:rsidR="00AA071F">
        <w:rPr>
          <w:color w:val="000000" w:themeColor="text1"/>
          <w:szCs w:val="22"/>
          <w:lang w:val="en-GB"/>
        </w:rPr>
        <w:t xml:space="preserve">) </w:t>
      </w:r>
      <w:r w:rsidRPr="00522AAC">
        <w:rPr>
          <w:color w:val="000000" w:themeColor="text1"/>
          <w:szCs w:val="22"/>
          <w:lang w:val="en-GB"/>
        </w:rPr>
        <w:t xml:space="preserve">supporting the consistent interpretation of, and compliance with, </w:t>
      </w:r>
      <w:r w:rsidR="00FE0C3B" w:rsidRPr="00522AAC">
        <w:rPr>
          <w:color w:val="000000" w:themeColor="text1"/>
          <w:szCs w:val="22"/>
          <w:lang w:val="en-GB"/>
        </w:rPr>
        <w:t xml:space="preserve">rules, </w:t>
      </w:r>
      <w:r w:rsidRPr="00522AAC">
        <w:rPr>
          <w:color w:val="000000" w:themeColor="text1"/>
          <w:szCs w:val="22"/>
          <w:lang w:val="en-GB"/>
        </w:rPr>
        <w:t>standards of conduct as well as ethics-related policies</w:t>
      </w:r>
      <w:r w:rsidR="00BA040B">
        <w:rPr>
          <w:color w:val="000000" w:themeColor="text1"/>
          <w:szCs w:val="22"/>
          <w:lang w:val="en-GB"/>
        </w:rPr>
        <w:t>;</w:t>
      </w:r>
      <w:r w:rsidR="00AA071F">
        <w:rPr>
          <w:color w:val="000000" w:themeColor="text1"/>
          <w:szCs w:val="22"/>
          <w:lang w:val="en-GB"/>
        </w:rPr>
        <w:t xml:space="preserve"> and (ii</w:t>
      </w:r>
      <w:r w:rsidR="00AA071F">
        <w:t xml:space="preserve">) </w:t>
      </w:r>
      <w:r w:rsidR="000B617C">
        <w:t xml:space="preserve">identifying, </w:t>
      </w:r>
      <w:r w:rsidR="003A0A9B">
        <w:t>monitoring</w:t>
      </w:r>
      <w:r w:rsidR="00D26D0E">
        <w:t>,</w:t>
      </w:r>
      <w:r w:rsidR="000B617C">
        <w:t xml:space="preserve"> and mitigating </w:t>
      </w:r>
      <w:r w:rsidR="003A0A9B">
        <w:t xml:space="preserve">risks that could cause reputational damage to </w:t>
      </w:r>
      <w:r w:rsidR="001741E4">
        <w:t>WIPO</w:t>
      </w:r>
      <w:r w:rsidR="006761B4" w:rsidRPr="006761B4">
        <w:t>.</w:t>
      </w:r>
      <w:r w:rsidR="006761B4" w:rsidRPr="00522AAC">
        <w:rPr>
          <w:szCs w:val="22"/>
        </w:rPr>
        <w:t xml:space="preserve"> </w:t>
      </w:r>
      <w:r w:rsidR="00777C8B">
        <w:rPr>
          <w:szCs w:val="22"/>
        </w:rPr>
        <w:t xml:space="preserve"> </w:t>
      </w:r>
    </w:p>
    <w:p w14:paraId="5569AFDA" w14:textId="21E11F42" w:rsidR="005610B8" w:rsidRDefault="00582C01" w:rsidP="00091593">
      <w:pPr>
        <w:numPr>
          <w:ilvl w:val="0"/>
          <w:numId w:val="5"/>
        </w:numPr>
        <w:spacing w:after="220"/>
        <w:rPr>
          <w:szCs w:val="22"/>
        </w:rPr>
      </w:pPr>
      <w:r w:rsidRPr="00A5482C">
        <w:rPr>
          <w:b/>
          <w:szCs w:val="22"/>
        </w:rPr>
        <w:t>Figure 1</w:t>
      </w:r>
      <w:r w:rsidRPr="00A5482C">
        <w:rPr>
          <w:szCs w:val="22"/>
        </w:rPr>
        <w:t xml:space="preserve"> </w:t>
      </w:r>
      <w:r>
        <w:rPr>
          <w:szCs w:val="22"/>
        </w:rPr>
        <w:t>provides an overview of</w:t>
      </w:r>
      <w:r w:rsidRPr="00A5482C">
        <w:rPr>
          <w:szCs w:val="22"/>
        </w:rPr>
        <w:t xml:space="preserve"> the </w:t>
      </w:r>
      <w:r>
        <w:rPr>
          <w:szCs w:val="22"/>
        </w:rPr>
        <w:t xml:space="preserve">number of </w:t>
      </w:r>
      <w:r w:rsidRPr="00A5482C">
        <w:rPr>
          <w:szCs w:val="22"/>
        </w:rPr>
        <w:t>requests</w:t>
      </w:r>
      <w:r>
        <w:rPr>
          <w:szCs w:val="22"/>
        </w:rPr>
        <w:t xml:space="preserve"> received and addressed by the Ethics Office in the last four years</w:t>
      </w:r>
      <w:r w:rsidR="00494AE3">
        <w:rPr>
          <w:szCs w:val="22"/>
        </w:rPr>
        <w:t>.</w:t>
      </w:r>
    </w:p>
    <w:p w14:paraId="07B6EC07" w14:textId="1D25126B" w:rsidR="006761B4" w:rsidRPr="009C0CBF" w:rsidRDefault="006761B4" w:rsidP="00830509">
      <w:pPr>
        <w:keepNext/>
        <w:spacing w:after="220"/>
        <w:jc w:val="center"/>
        <w:rPr>
          <w:sz w:val="20"/>
        </w:rPr>
      </w:pPr>
      <w:r w:rsidRPr="009C0CBF">
        <w:rPr>
          <w:b/>
          <w:sz w:val="20"/>
        </w:rPr>
        <w:t>Figure 1.</w:t>
      </w:r>
      <w:r w:rsidRPr="009C0CBF">
        <w:rPr>
          <w:sz w:val="20"/>
        </w:rPr>
        <w:t xml:space="preserve"> Comparison of requests per reporting year, 20</w:t>
      </w:r>
      <w:r w:rsidR="00F926AD" w:rsidRPr="009C0CBF">
        <w:rPr>
          <w:sz w:val="20"/>
        </w:rPr>
        <w:t>20</w:t>
      </w:r>
      <w:r w:rsidRPr="009C0CBF">
        <w:rPr>
          <w:sz w:val="20"/>
        </w:rPr>
        <w:t xml:space="preserve"> to 202</w:t>
      </w:r>
      <w:r w:rsidR="00F926AD" w:rsidRPr="009C0CBF">
        <w:rPr>
          <w:sz w:val="20"/>
        </w:rPr>
        <w:t>4</w:t>
      </w:r>
    </w:p>
    <w:p w14:paraId="7FD16726" w14:textId="3C3D93A5" w:rsidR="00A31304" w:rsidRDefault="00A76B17" w:rsidP="006761B4">
      <w:pPr>
        <w:spacing w:after="220"/>
        <w:jc w:val="center"/>
        <w:rPr>
          <w:sz w:val="20"/>
        </w:rPr>
      </w:pPr>
      <w:r>
        <w:rPr>
          <w:noProof/>
        </w:rPr>
        <mc:AlternateContent>
          <mc:Choice Requires="wps">
            <w:drawing>
              <wp:anchor distT="0" distB="0" distL="114300" distR="114300" simplePos="0" relativeHeight="251667456" behindDoc="0" locked="0" layoutInCell="1" allowOverlap="1" wp14:anchorId="18D4F8DA" wp14:editId="7BE70C4A">
                <wp:simplePos x="0" y="0"/>
                <wp:positionH relativeFrom="column">
                  <wp:posOffset>6305550</wp:posOffset>
                </wp:positionH>
                <wp:positionV relativeFrom="paragraph">
                  <wp:posOffset>-10822305</wp:posOffset>
                </wp:positionV>
                <wp:extent cx="895350" cy="504825"/>
                <wp:effectExtent l="0" t="0" r="19050" b="28575"/>
                <wp:wrapNone/>
                <wp:docPr id="435220472" name="Oval 16"/>
                <wp:cNvGraphicFramePr/>
                <a:graphic xmlns:a="http://schemas.openxmlformats.org/drawingml/2006/main">
                  <a:graphicData uri="http://schemas.microsoft.com/office/word/2010/wordprocessingShape">
                    <wps:wsp>
                      <wps:cNvSpPr/>
                      <wps:spPr>
                        <a:xfrm>
                          <a:off x="0" y="0"/>
                          <a:ext cx="895350" cy="504825"/>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86D10" w14:textId="77777777" w:rsidR="00A76B17" w:rsidRDefault="00A76B17" w:rsidP="002924B9">
                            <w:pPr>
                              <w:jc w:val="center"/>
                              <w:rPr>
                                <w:color w:val="0070C0"/>
                                <w:sz w:val="16"/>
                                <w:szCs w:val="16"/>
                              </w:rPr>
                            </w:pPr>
                            <w:r>
                              <w:rPr>
                                <w:color w:val="0070C0"/>
                                <w:sz w:val="16"/>
                                <w:szCs w:val="16"/>
                              </w:rPr>
                              <w:t>9 staff members</w:t>
                            </w:r>
                          </w:p>
                        </w:txbxContent>
                      </wps:txbx>
                      <wps:bodyPr vertOverflow="clip" horzOverflow="clip" rtlCol="0" anchor="t"/>
                    </wps:wsp>
                  </a:graphicData>
                </a:graphic>
                <wp14:sizeRelH relativeFrom="margin">
                  <wp14:pctWidth>0</wp14:pctWidth>
                </wp14:sizeRelH>
              </wp:anchor>
            </w:drawing>
          </mc:Choice>
          <mc:Fallback>
            <w:pict>
              <v:oval w14:anchorId="18D4F8DA" id="Oval 16" o:spid="_x0000_s1026" style="position:absolute;left:0;text-align:left;margin-left:496.5pt;margin-top:-852.15pt;width:70.5pt;height:39.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" filled="f" strokecolor="#0070c0" strokeweight="2pt">
                <v:textbox>
                  <w:txbxContent>
                    <w:p w14:paraId="4F086D10" w14:textId="77777777" w:rsidR="00A76B17" w:rsidRDefault="00A76B17" w:rsidP="002924B9">
                      <w:pPr>
                        <w:jc w:val="center"/>
                        <w:rPr>
                          <w:color w:val="0070C0"/>
                          <w:sz w:val="16"/>
                          <w:szCs w:val="16"/>
                        </w:rPr>
                      </w:pPr>
                      <w:r>
                        <w:rPr>
                          <w:color w:val="0070C0"/>
                          <w:sz w:val="16"/>
                          <w:szCs w:val="16"/>
                        </w:rPr>
                        <w:t>9 staff members</w:t>
                      </w:r>
                    </w:p>
                  </w:txbxContent>
                </v:textbox>
              </v:oval>
            </w:pict>
          </mc:Fallback>
        </mc:AlternateContent>
      </w:r>
      <w:r w:rsidR="00A31304">
        <w:rPr>
          <w:noProof/>
        </w:rPr>
        <w:drawing>
          <wp:inline distT="0" distB="0" distL="0" distR="0" wp14:anchorId="6E1E7669" wp14:editId="1249E0CC">
            <wp:extent cx="3721735" cy="2273300"/>
            <wp:effectExtent l="0" t="0" r="12065" b="12700"/>
            <wp:docPr id="834331114" name="Chart 1" descr="Figure 1. Comparison of requests per reporting year, 2020 to 2024">
              <a:extLst xmlns:a="http://schemas.openxmlformats.org/drawingml/2006/main">
                <a:ext uri="{FF2B5EF4-FFF2-40B4-BE49-F238E27FC236}">
                  <a16:creationId xmlns:a16="http://schemas.microsoft.com/office/drawing/2014/main" id="{C5DA569B-117B-E106-1E95-101D0447E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5F775F" w14:textId="5E0ADB2E" w:rsidR="00906B54" w:rsidRPr="00D05151" w:rsidRDefault="001F2E98" w:rsidP="00906B54">
      <w:pPr>
        <w:numPr>
          <w:ilvl w:val="0"/>
          <w:numId w:val="5"/>
        </w:numPr>
        <w:spacing w:after="220"/>
        <w:rPr>
          <w:szCs w:val="22"/>
        </w:rPr>
      </w:pPr>
      <w:r w:rsidRPr="00906B54">
        <w:rPr>
          <w:szCs w:val="22"/>
        </w:rPr>
        <w:lastRenderedPageBreak/>
        <w:t xml:space="preserve">In </w:t>
      </w:r>
      <w:r w:rsidR="00D26D0E">
        <w:rPr>
          <w:szCs w:val="22"/>
        </w:rPr>
        <w:t xml:space="preserve">total, </w:t>
      </w:r>
      <w:r w:rsidRPr="00906B54">
        <w:rPr>
          <w:szCs w:val="22"/>
        </w:rPr>
        <w:t xml:space="preserve">in 2024, the Ethics Office responded to </w:t>
      </w:r>
      <w:r w:rsidRPr="00906B54">
        <w:rPr>
          <w:b/>
          <w:szCs w:val="22"/>
        </w:rPr>
        <w:t>18</w:t>
      </w:r>
      <w:r w:rsidR="003D1805">
        <w:rPr>
          <w:b/>
          <w:szCs w:val="22"/>
        </w:rPr>
        <w:t>8</w:t>
      </w:r>
      <w:r w:rsidRPr="00906B54">
        <w:rPr>
          <w:b/>
          <w:szCs w:val="22"/>
        </w:rPr>
        <w:t xml:space="preserve"> </w:t>
      </w:r>
      <w:r w:rsidRPr="00906B54">
        <w:rPr>
          <w:szCs w:val="22"/>
        </w:rPr>
        <w:t>individual</w:t>
      </w:r>
      <w:r w:rsidRPr="00906B54">
        <w:rPr>
          <w:b/>
          <w:szCs w:val="22"/>
        </w:rPr>
        <w:t xml:space="preserve"> </w:t>
      </w:r>
      <w:r w:rsidRPr="00906B54">
        <w:rPr>
          <w:szCs w:val="22"/>
        </w:rPr>
        <w:t>requests</w:t>
      </w:r>
      <w:r w:rsidRPr="00906B54">
        <w:rPr>
          <w:szCs w:val="22"/>
          <w:vertAlign w:val="superscript"/>
        </w:rPr>
        <w:footnoteReference w:id="4"/>
      </w:r>
      <w:r w:rsidRPr="00906B54">
        <w:rPr>
          <w:szCs w:val="22"/>
        </w:rPr>
        <w:t xml:space="preserve">, through in-person and virtual meetings or in writing.  A comparison of this number with the number of requests received and addressed in 2023 </w:t>
      </w:r>
      <w:r w:rsidR="00352D7B" w:rsidRPr="00906B54">
        <w:rPr>
          <w:szCs w:val="22"/>
        </w:rPr>
        <w:t xml:space="preserve">(see </w:t>
      </w:r>
      <w:r w:rsidR="00352D7B" w:rsidRPr="00796DE6">
        <w:rPr>
          <w:b/>
          <w:bCs/>
          <w:szCs w:val="22"/>
        </w:rPr>
        <w:t>Figure 1</w:t>
      </w:r>
      <w:r w:rsidR="00352D7B" w:rsidRPr="00906B54">
        <w:rPr>
          <w:szCs w:val="22"/>
        </w:rPr>
        <w:t xml:space="preserve">) </w:t>
      </w:r>
      <w:r w:rsidRPr="00906B54">
        <w:rPr>
          <w:szCs w:val="22"/>
        </w:rPr>
        <w:t xml:space="preserve">shows </w:t>
      </w:r>
      <w:r w:rsidR="00AE4511" w:rsidRPr="00D05151">
        <w:rPr>
          <w:szCs w:val="22"/>
        </w:rPr>
        <w:t xml:space="preserve">a </w:t>
      </w:r>
      <w:r w:rsidR="00D05151" w:rsidRPr="00D05151">
        <w:rPr>
          <w:szCs w:val="22"/>
        </w:rPr>
        <w:t>steady</w:t>
      </w:r>
      <w:r w:rsidR="00AE4511" w:rsidRPr="00D05151">
        <w:rPr>
          <w:szCs w:val="22"/>
        </w:rPr>
        <w:t xml:space="preserve"> upward trend in </w:t>
      </w:r>
      <w:r w:rsidR="00C968B6" w:rsidRPr="00D05151">
        <w:rPr>
          <w:szCs w:val="22"/>
        </w:rPr>
        <w:t xml:space="preserve">requests, which </w:t>
      </w:r>
      <w:r w:rsidR="00AE4511" w:rsidRPr="00D05151">
        <w:rPr>
          <w:szCs w:val="22"/>
        </w:rPr>
        <w:t xml:space="preserve">in turn reflects a continued trust in the </w:t>
      </w:r>
      <w:r w:rsidR="00D05151" w:rsidRPr="00D05151">
        <w:rPr>
          <w:szCs w:val="22"/>
        </w:rPr>
        <w:t xml:space="preserve">Ethics </w:t>
      </w:r>
      <w:r w:rsidR="00AE4511" w:rsidRPr="00D05151">
        <w:rPr>
          <w:szCs w:val="22"/>
        </w:rPr>
        <w:t xml:space="preserve">Office through a period of </w:t>
      </w:r>
      <w:r w:rsidR="00E93B81" w:rsidRPr="00D05151">
        <w:rPr>
          <w:szCs w:val="22"/>
        </w:rPr>
        <w:t>change in leadership</w:t>
      </w:r>
      <w:r w:rsidRPr="00D05151">
        <w:rPr>
          <w:szCs w:val="22"/>
        </w:rPr>
        <w:t>.</w:t>
      </w:r>
    </w:p>
    <w:p w14:paraId="2AA9637F" w14:textId="7258F4E0" w:rsidR="006761B4" w:rsidRPr="006761B4" w:rsidRDefault="00FF06B2" w:rsidP="004F620E">
      <w:pPr>
        <w:pStyle w:val="ONUME"/>
      </w:pPr>
      <w:r>
        <w:t>R</w:t>
      </w:r>
      <w:r w:rsidR="006761B4" w:rsidRPr="006761B4">
        <w:t xml:space="preserve">equests for </w:t>
      </w:r>
      <w:r w:rsidR="00D066E3">
        <w:t xml:space="preserve">ethics </w:t>
      </w:r>
      <w:r w:rsidR="006761B4" w:rsidRPr="006761B4">
        <w:t xml:space="preserve">advice </w:t>
      </w:r>
      <w:r w:rsidR="00E65954">
        <w:t xml:space="preserve">received in 2024 </w:t>
      </w:r>
      <w:r w:rsidR="006761B4" w:rsidRPr="006761B4">
        <w:t xml:space="preserve">covered </w:t>
      </w:r>
      <w:r w:rsidR="007474D0">
        <w:t>various</w:t>
      </w:r>
      <w:r w:rsidR="006761B4" w:rsidRPr="006761B4">
        <w:t xml:space="preserve"> categories (see </w:t>
      </w:r>
      <w:r w:rsidR="006761B4" w:rsidRPr="00C117CC">
        <w:rPr>
          <w:b/>
        </w:rPr>
        <w:t xml:space="preserve">Figure </w:t>
      </w:r>
      <w:r w:rsidR="00796DE6">
        <w:rPr>
          <w:b/>
        </w:rPr>
        <w:t>2</w:t>
      </w:r>
      <w:r w:rsidR="006761B4" w:rsidRPr="006761B4">
        <w:t xml:space="preserve">). </w:t>
      </w:r>
      <w:r w:rsidR="00765A26">
        <w:t xml:space="preserve"> </w:t>
      </w:r>
      <w:r>
        <w:t xml:space="preserve">As in previous years, </w:t>
      </w:r>
      <w:proofErr w:type="gramStart"/>
      <w:r w:rsidR="0047146C">
        <w:t>the</w:t>
      </w:r>
      <w:r w:rsidR="007B6F75">
        <w:t xml:space="preserve"> vast </w:t>
      </w:r>
      <w:r w:rsidR="006761B4" w:rsidRPr="006761B4">
        <w:t xml:space="preserve">majority </w:t>
      </w:r>
      <w:r w:rsidR="00E65954">
        <w:t>of</w:t>
      </w:r>
      <w:proofErr w:type="gramEnd"/>
      <w:r w:rsidR="00E65954">
        <w:t xml:space="preserve"> them </w:t>
      </w:r>
      <w:r w:rsidR="006761B4" w:rsidRPr="006761B4">
        <w:t xml:space="preserve">concerned participation in outside activities and </w:t>
      </w:r>
      <w:r w:rsidR="008C2CB4">
        <w:t>occupations</w:t>
      </w:r>
      <w:r w:rsidR="006761B4" w:rsidRPr="006761B4">
        <w:t xml:space="preserve"> (</w:t>
      </w:r>
      <w:r w:rsidR="003D1805">
        <w:rPr>
          <w:b/>
        </w:rPr>
        <w:t>71</w:t>
      </w:r>
      <w:r w:rsidR="006761B4" w:rsidRPr="00C117CC">
        <w:rPr>
          <w:bCs/>
        </w:rPr>
        <w:t>, or</w:t>
      </w:r>
      <w:r w:rsidR="006761B4" w:rsidRPr="00C117CC">
        <w:rPr>
          <w:b/>
        </w:rPr>
        <w:t xml:space="preserve"> </w:t>
      </w:r>
      <w:r w:rsidR="00AD0C4B" w:rsidRPr="00D85F59">
        <w:rPr>
          <w:bCs/>
        </w:rPr>
        <w:t>app</w:t>
      </w:r>
      <w:r w:rsidR="002E07F8">
        <w:rPr>
          <w:bCs/>
        </w:rPr>
        <w:t>r</w:t>
      </w:r>
      <w:r w:rsidR="00AD0C4B" w:rsidRPr="00D85F59">
        <w:rPr>
          <w:bCs/>
        </w:rPr>
        <w:t>ox</w:t>
      </w:r>
      <w:r w:rsidR="0047146C">
        <w:rPr>
          <w:bCs/>
        </w:rPr>
        <w:t>imately</w:t>
      </w:r>
      <w:r w:rsidR="00AD0C4B">
        <w:rPr>
          <w:b/>
        </w:rPr>
        <w:t xml:space="preserve"> </w:t>
      </w:r>
      <w:r w:rsidR="003D1805" w:rsidRPr="00C117CC">
        <w:rPr>
          <w:b/>
        </w:rPr>
        <w:t>3</w:t>
      </w:r>
      <w:r w:rsidR="005A413E">
        <w:rPr>
          <w:b/>
        </w:rPr>
        <w:t>7.</w:t>
      </w:r>
      <w:r w:rsidR="003D1805">
        <w:rPr>
          <w:b/>
        </w:rPr>
        <w:t>8</w:t>
      </w:r>
      <w:r w:rsidR="003D1805" w:rsidRPr="00C117CC">
        <w:rPr>
          <w:b/>
        </w:rPr>
        <w:t> </w:t>
      </w:r>
      <w:r w:rsidR="006761B4" w:rsidRPr="00C117CC">
        <w:rPr>
          <w:b/>
        </w:rPr>
        <w:t>per</w:t>
      </w:r>
      <w:r w:rsidR="00242AD0" w:rsidRPr="00C117CC">
        <w:rPr>
          <w:b/>
        </w:rPr>
        <w:t xml:space="preserve"> </w:t>
      </w:r>
      <w:r w:rsidR="006761B4" w:rsidRPr="00C117CC">
        <w:rPr>
          <w:b/>
        </w:rPr>
        <w:t>cent</w:t>
      </w:r>
      <w:r w:rsidR="006761B4" w:rsidRPr="006761B4">
        <w:t>) such as teaching assignments</w:t>
      </w:r>
      <w:r w:rsidR="00B616F7">
        <w:t xml:space="preserve">, </w:t>
      </w:r>
      <w:r w:rsidR="00082768">
        <w:t xml:space="preserve">membership in executive </w:t>
      </w:r>
      <w:r w:rsidR="00F45F5F">
        <w:t xml:space="preserve">or advisory </w:t>
      </w:r>
      <w:r w:rsidR="00082768">
        <w:t>boards</w:t>
      </w:r>
      <w:r w:rsidR="00791C17">
        <w:t>,</w:t>
      </w:r>
      <w:r w:rsidR="006761B4" w:rsidRPr="006761B4">
        <w:t xml:space="preserve"> and publishing</w:t>
      </w:r>
      <w:r w:rsidR="00791C17">
        <w:t xml:space="preserve"> activities</w:t>
      </w:r>
      <w:r w:rsidR="006761B4" w:rsidRPr="006761B4">
        <w:t xml:space="preserve">. </w:t>
      </w:r>
      <w:r w:rsidR="00765A26">
        <w:t xml:space="preserve"> </w:t>
      </w:r>
      <w:r w:rsidR="00E17AC7">
        <w:t xml:space="preserve">About half </w:t>
      </w:r>
      <w:r w:rsidR="006761B4" w:rsidRPr="006761B4">
        <w:t>of these</w:t>
      </w:r>
      <w:r w:rsidR="006761B4" w:rsidRPr="00C117CC">
        <w:rPr>
          <w:b/>
        </w:rPr>
        <w:t xml:space="preserve"> </w:t>
      </w:r>
      <w:r w:rsidR="006761B4" w:rsidRPr="006761B4">
        <w:t>requests (</w:t>
      </w:r>
      <w:r w:rsidR="003D1805">
        <w:rPr>
          <w:b/>
          <w:bCs/>
        </w:rPr>
        <w:t>33</w:t>
      </w:r>
      <w:r w:rsidR="006761B4" w:rsidRPr="006761B4">
        <w:t xml:space="preserve">) </w:t>
      </w:r>
      <w:proofErr w:type="gramStart"/>
      <w:r w:rsidR="000F6861">
        <w:t xml:space="preserve">were </w:t>
      </w:r>
      <w:r w:rsidR="0047146C">
        <w:t xml:space="preserve"> referred</w:t>
      </w:r>
      <w:proofErr w:type="gramEnd"/>
      <w:r w:rsidR="0047146C">
        <w:t xml:space="preserve"> by</w:t>
      </w:r>
      <w:r w:rsidR="000F6861">
        <w:t xml:space="preserve"> the Human Resources Management Department</w:t>
      </w:r>
      <w:r w:rsidR="007C6EEB">
        <w:t xml:space="preserve"> (HRMD)</w:t>
      </w:r>
      <w:r w:rsidR="0047146C">
        <w:t xml:space="preserve"> and</w:t>
      </w:r>
      <w:r w:rsidR="00765A26">
        <w:t xml:space="preserve"> </w:t>
      </w:r>
      <w:r w:rsidR="0047146C">
        <w:t>t</w:t>
      </w:r>
      <w:r w:rsidR="008565DE">
        <w:t xml:space="preserve">he other requests </w:t>
      </w:r>
      <w:r w:rsidR="00EE7EB5">
        <w:t>(</w:t>
      </w:r>
      <w:r w:rsidR="00EE7EB5" w:rsidRPr="008B4AAF">
        <w:rPr>
          <w:b/>
          <w:bCs/>
        </w:rPr>
        <w:t>3</w:t>
      </w:r>
      <w:r w:rsidR="00E324E5">
        <w:rPr>
          <w:b/>
          <w:bCs/>
        </w:rPr>
        <w:t>8</w:t>
      </w:r>
      <w:r w:rsidR="00EE7EB5">
        <w:t xml:space="preserve">) </w:t>
      </w:r>
      <w:r w:rsidR="008565DE">
        <w:t xml:space="preserve">were </w:t>
      </w:r>
      <w:r w:rsidR="00412D96">
        <w:t>received directly from</w:t>
      </w:r>
      <w:r w:rsidR="008565DE">
        <w:t xml:space="preserve"> members of personnel</w:t>
      </w:r>
      <w:r w:rsidR="00C22339">
        <w:t>,</w:t>
      </w:r>
      <w:r w:rsidR="008565DE">
        <w:t xml:space="preserve"> who </w:t>
      </w:r>
      <w:r w:rsidR="00F90A66">
        <w:t>were seeking</w:t>
      </w:r>
      <w:r w:rsidR="008565DE">
        <w:t xml:space="preserve"> clarifications </w:t>
      </w:r>
      <w:r w:rsidR="00EE7EB5">
        <w:t xml:space="preserve">prior to submitting their request </w:t>
      </w:r>
      <w:r w:rsidR="000A2775">
        <w:t xml:space="preserve">for authorization </w:t>
      </w:r>
      <w:r w:rsidR="00EE7EB5">
        <w:t xml:space="preserve">to the Director of HRMD. </w:t>
      </w:r>
    </w:p>
    <w:p w14:paraId="3F5AC1D3" w14:textId="0ECCB208" w:rsidR="006761B4" w:rsidRPr="006761B4" w:rsidRDefault="006761B4" w:rsidP="00765A26">
      <w:pPr>
        <w:numPr>
          <w:ilvl w:val="0"/>
          <w:numId w:val="5"/>
        </w:numPr>
        <w:spacing w:after="220"/>
      </w:pPr>
      <w:r w:rsidRPr="006761B4">
        <w:t>The other major categories of requests related to</w:t>
      </w:r>
      <w:r w:rsidR="00A631FC">
        <w:t xml:space="preserve"> </w:t>
      </w:r>
      <w:r w:rsidRPr="006761B4">
        <w:t>standards of conduct (</w:t>
      </w:r>
      <w:r w:rsidR="00A81911">
        <w:rPr>
          <w:b/>
        </w:rPr>
        <w:t>23</w:t>
      </w:r>
      <w:r w:rsidRPr="006761B4">
        <w:rPr>
          <w:bCs/>
        </w:rPr>
        <w:t>, or</w:t>
      </w:r>
      <w:r w:rsidRPr="006761B4">
        <w:rPr>
          <w:b/>
        </w:rPr>
        <w:t xml:space="preserve"> 1</w:t>
      </w:r>
      <w:r w:rsidR="00133C78">
        <w:rPr>
          <w:b/>
        </w:rPr>
        <w:t>2.2</w:t>
      </w:r>
      <w:r w:rsidRPr="006761B4">
        <w:rPr>
          <w:b/>
        </w:rPr>
        <w:t> per</w:t>
      </w:r>
      <w:r w:rsidR="00242AD0">
        <w:rPr>
          <w:b/>
        </w:rPr>
        <w:t xml:space="preserve"> </w:t>
      </w:r>
      <w:r w:rsidRPr="006761B4">
        <w:rPr>
          <w:b/>
        </w:rPr>
        <w:t>cent</w:t>
      </w:r>
      <w:r w:rsidRPr="006761B4">
        <w:t>)</w:t>
      </w:r>
      <w:r w:rsidR="000D3B73">
        <w:t>,</w:t>
      </w:r>
      <w:r w:rsidRPr="006761B4">
        <w:t xml:space="preserve"> </w:t>
      </w:r>
      <w:r w:rsidR="000D3B73">
        <w:t xml:space="preserve">reprisals and </w:t>
      </w:r>
      <w:r w:rsidR="000D3B73" w:rsidRPr="006761B4">
        <w:t>retaliation (</w:t>
      </w:r>
      <w:r w:rsidR="000D3B73">
        <w:rPr>
          <w:b/>
        </w:rPr>
        <w:t>18</w:t>
      </w:r>
      <w:r w:rsidR="000D3B73" w:rsidRPr="006761B4">
        <w:rPr>
          <w:bCs/>
        </w:rPr>
        <w:t>, or</w:t>
      </w:r>
      <w:r w:rsidR="000D3B73" w:rsidRPr="006761B4">
        <w:rPr>
          <w:b/>
        </w:rPr>
        <w:t xml:space="preserve"> </w:t>
      </w:r>
      <w:r w:rsidR="00726B9E">
        <w:rPr>
          <w:b/>
        </w:rPr>
        <w:t>9.6</w:t>
      </w:r>
      <w:r w:rsidR="00133C78" w:rsidRPr="006761B4">
        <w:rPr>
          <w:b/>
        </w:rPr>
        <w:t xml:space="preserve"> </w:t>
      </w:r>
      <w:r w:rsidR="000D3B73" w:rsidRPr="006761B4">
        <w:rPr>
          <w:b/>
        </w:rPr>
        <w:t>per</w:t>
      </w:r>
      <w:r w:rsidR="000D3B73">
        <w:rPr>
          <w:b/>
        </w:rPr>
        <w:t xml:space="preserve"> </w:t>
      </w:r>
      <w:r w:rsidR="000D3B73" w:rsidRPr="006761B4">
        <w:rPr>
          <w:b/>
        </w:rPr>
        <w:t>cent</w:t>
      </w:r>
      <w:r w:rsidR="000D3B73" w:rsidRPr="006761B4">
        <w:rPr>
          <w:bCs/>
        </w:rPr>
        <w:t>)</w:t>
      </w:r>
      <w:r w:rsidR="0017495F">
        <w:rPr>
          <w:rStyle w:val="FootnoteReference"/>
          <w:bCs/>
        </w:rPr>
        <w:footnoteReference w:id="5"/>
      </w:r>
      <w:r w:rsidR="000D3B73">
        <w:rPr>
          <w:bCs/>
        </w:rPr>
        <w:t xml:space="preserve"> </w:t>
      </w:r>
      <w:r w:rsidRPr="006761B4">
        <w:t xml:space="preserve">and </w:t>
      </w:r>
      <w:r w:rsidR="0047146C">
        <w:t>“</w:t>
      </w:r>
      <w:r w:rsidRPr="006761B4">
        <w:t>other ethics advice</w:t>
      </w:r>
      <w:r w:rsidR="0047146C">
        <w:t>”, which</w:t>
      </w:r>
      <w:r w:rsidR="000D3B73">
        <w:t xml:space="preserve"> </w:t>
      </w:r>
      <w:r w:rsidR="00FF5E81">
        <w:t xml:space="preserve">essentially </w:t>
      </w:r>
      <w:r w:rsidRPr="006761B4">
        <w:t>related to the reporting of misconduct and other workplace concerns</w:t>
      </w:r>
      <w:r w:rsidR="00563CF4">
        <w:t xml:space="preserve"> </w:t>
      </w:r>
      <w:r w:rsidR="000C0196" w:rsidRPr="006761B4">
        <w:t>(</w:t>
      </w:r>
      <w:r w:rsidR="000C0196">
        <w:rPr>
          <w:b/>
        </w:rPr>
        <w:t>48</w:t>
      </w:r>
      <w:r w:rsidR="000C0196">
        <w:rPr>
          <w:bCs/>
        </w:rPr>
        <w:t>,</w:t>
      </w:r>
      <w:r w:rsidR="000C0196" w:rsidRPr="006761B4">
        <w:rPr>
          <w:bCs/>
        </w:rPr>
        <w:t xml:space="preserve"> or </w:t>
      </w:r>
      <w:r w:rsidR="000C0196">
        <w:rPr>
          <w:b/>
        </w:rPr>
        <w:t>2</w:t>
      </w:r>
      <w:r w:rsidR="00133C78">
        <w:rPr>
          <w:b/>
        </w:rPr>
        <w:t>5.5</w:t>
      </w:r>
      <w:r w:rsidR="000C0196" w:rsidRPr="006761B4">
        <w:rPr>
          <w:b/>
        </w:rPr>
        <w:t> per</w:t>
      </w:r>
      <w:r w:rsidR="000C0196">
        <w:rPr>
          <w:b/>
        </w:rPr>
        <w:t> </w:t>
      </w:r>
      <w:r w:rsidR="000C0196" w:rsidRPr="006761B4">
        <w:rPr>
          <w:b/>
        </w:rPr>
        <w:t>cent</w:t>
      </w:r>
      <w:r w:rsidR="000C0196" w:rsidRPr="006761B4">
        <w:t>)</w:t>
      </w:r>
      <w:r w:rsidR="000C0196">
        <w:t>.</w:t>
      </w:r>
    </w:p>
    <w:p w14:paraId="17CA8875" w14:textId="0AC93491" w:rsidR="006761B4" w:rsidRDefault="006761B4" w:rsidP="001D6BCC">
      <w:pPr>
        <w:numPr>
          <w:ilvl w:val="0"/>
          <w:numId w:val="5"/>
        </w:numPr>
        <w:spacing w:after="220"/>
      </w:pPr>
      <w:r w:rsidRPr="006761B4">
        <w:t>The Ethics Office also recorded requests in the following categories: gifts</w:t>
      </w:r>
      <w:r w:rsidRPr="006761B4">
        <w:rPr>
          <w:vertAlign w:val="superscript"/>
        </w:rPr>
        <w:footnoteReference w:id="6"/>
      </w:r>
      <w:r w:rsidR="003B7B3F">
        <w:t xml:space="preserve"> </w:t>
      </w:r>
      <w:r w:rsidRPr="006761B4">
        <w:t>(</w:t>
      </w:r>
      <w:r w:rsidR="00F0503C">
        <w:rPr>
          <w:b/>
        </w:rPr>
        <w:t>1</w:t>
      </w:r>
      <w:r w:rsidR="00FC744F">
        <w:rPr>
          <w:b/>
        </w:rPr>
        <w:t>1</w:t>
      </w:r>
      <w:r w:rsidRPr="006761B4">
        <w:rPr>
          <w:bCs/>
        </w:rPr>
        <w:t xml:space="preserve">, or </w:t>
      </w:r>
      <w:r w:rsidR="001E36C0">
        <w:rPr>
          <w:b/>
          <w:bCs/>
        </w:rPr>
        <w:t>5.9</w:t>
      </w:r>
      <w:r w:rsidR="00133C78" w:rsidRPr="006761B4">
        <w:rPr>
          <w:b/>
        </w:rPr>
        <w:t> </w:t>
      </w:r>
      <w:r w:rsidRPr="006761B4">
        <w:rPr>
          <w:b/>
        </w:rPr>
        <w:t>per</w:t>
      </w:r>
      <w:r w:rsidR="00242AD0">
        <w:rPr>
          <w:b/>
        </w:rPr>
        <w:t> </w:t>
      </w:r>
      <w:r w:rsidRPr="006761B4">
        <w:rPr>
          <w:b/>
        </w:rPr>
        <w:t>cent</w:t>
      </w:r>
      <w:r w:rsidRPr="006761B4">
        <w:t xml:space="preserve">), </w:t>
      </w:r>
      <w:r w:rsidR="00F0503C">
        <w:t>d</w:t>
      </w:r>
      <w:r w:rsidRPr="006761B4">
        <w:t>isclosure</w:t>
      </w:r>
      <w:r w:rsidR="00F0503C">
        <w:t xml:space="preserve"> of financial and other interests</w:t>
      </w:r>
      <w:r w:rsidRPr="006761B4">
        <w:t xml:space="preserve"> (</w:t>
      </w:r>
      <w:r w:rsidR="62E16270" w:rsidRPr="008B4AAF">
        <w:rPr>
          <w:b/>
        </w:rPr>
        <w:t>seven</w:t>
      </w:r>
      <w:r w:rsidRPr="006761B4">
        <w:rPr>
          <w:bCs/>
        </w:rPr>
        <w:t>, or</w:t>
      </w:r>
      <w:r w:rsidRPr="006761B4">
        <w:rPr>
          <w:b/>
        </w:rPr>
        <w:t xml:space="preserve"> </w:t>
      </w:r>
      <w:r w:rsidR="001E36C0">
        <w:rPr>
          <w:b/>
          <w:bCs/>
        </w:rPr>
        <w:t>3.7</w:t>
      </w:r>
      <w:r w:rsidR="00133C78" w:rsidRPr="006761B4">
        <w:rPr>
          <w:b/>
        </w:rPr>
        <w:t> </w:t>
      </w:r>
      <w:r w:rsidRPr="006761B4">
        <w:rPr>
          <w:b/>
        </w:rPr>
        <w:t>per</w:t>
      </w:r>
      <w:r w:rsidR="00242AD0">
        <w:rPr>
          <w:b/>
        </w:rPr>
        <w:t xml:space="preserve"> </w:t>
      </w:r>
      <w:r w:rsidRPr="006761B4">
        <w:rPr>
          <w:b/>
        </w:rPr>
        <w:t>cent</w:t>
      </w:r>
      <w:r w:rsidRPr="006761B4">
        <w:t xml:space="preserve">), </w:t>
      </w:r>
      <w:r w:rsidR="005F30F0">
        <w:t>conflict</w:t>
      </w:r>
      <w:r w:rsidR="008F037D">
        <w:t>s</w:t>
      </w:r>
      <w:r w:rsidR="005F30F0">
        <w:t xml:space="preserve"> of interest arising from </w:t>
      </w:r>
      <w:r w:rsidR="00F0503C">
        <w:t>political activity (</w:t>
      </w:r>
      <w:r w:rsidR="79F5CA62" w:rsidRPr="003B7B3F">
        <w:rPr>
          <w:b/>
          <w:bCs/>
        </w:rPr>
        <w:t>one</w:t>
      </w:r>
      <w:r w:rsidR="00F0503C">
        <w:t xml:space="preserve">, or </w:t>
      </w:r>
      <w:r w:rsidR="001E36C0">
        <w:rPr>
          <w:b/>
          <w:bCs/>
        </w:rPr>
        <w:t>0.5</w:t>
      </w:r>
      <w:r w:rsidR="00133C78">
        <w:rPr>
          <w:b/>
          <w:bCs/>
        </w:rPr>
        <w:t xml:space="preserve"> </w:t>
      </w:r>
      <w:r w:rsidR="00F0503C" w:rsidRPr="00371494">
        <w:rPr>
          <w:b/>
          <w:bCs/>
        </w:rPr>
        <w:t>per</w:t>
      </w:r>
      <w:r w:rsidR="00F0503C" w:rsidRPr="00621C5C">
        <w:rPr>
          <w:b/>
          <w:bCs/>
        </w:rPr>
        <w:t> </w:t>
      </w:r>
      <w:r w:rsidR="00F0503C" w:rsidRPr="00371494">
        <w:rPr>
          <w:b/>
          <w:bCs/>
        </w:rPr>
        <w:t>cent</w:t>
      </w:r>
      <w:r w:rsidR="00F0503C" w:rsidRPr="00371494">
        <w:t>)</w:t>
      </w:r>
      <w:r w:rsidR="001D6BCC">
        <w:t xml:space="preserve"> or</w:t>
      </w:r>
      <w:r w:rsidR="00581083">
        <w:t xml:space="preserve"> from </w:t>
      </w:r>
      <w:r w:rsidR="003B7B3F">
        <w:t>family and close relationships (</w:t>
      </w:r>
      <w:r w:rsidR="00E324E5">
        <w:rPr>
          <w:b/>
          <w:bCs/>
        </w:rPr>
        <w:t>two</w:t>
      </w:r>
      <w:r w:rsidR="003B7B3F">
        <w:t xml:space="preserve">, or </w:t>
      </w:r>
      <w:r w:rsidR="001E36C0">
        <w:rPr>
          <w:b/>
        </w:rPr>
        <w:t>1.1</w:t>
      </w:r>
      <w:r w:rsidR="00311476" w:rsidRPr="001D6BCC">
        <w:rPr>
          <w:b/>
          <w:bCs/>
        </w:rPr>
        <w:t> </w:t>
      </w:r>
      <w:r w:rsidR="003B7B3F" w:rsidRPr="001D6BCC">
        <w:rPr>
          <w:b/>
          <w:bCs/>
        </w:rPr>
        <w:t>per</w:t>
      </w:r>
      <w:r w:rsidR="00371494" w:rsidRPr="001D6BCC">
        <w:rPr>
          <w:b/>
          <w:bCs/>
        </w:rPr>
        <w:t> </w:t>
      </w:r>
      <w:r w:rsidR="003B7B3F" w:rsidRPr="001D6BCC">
        <w:rPr>
          <w:b/>
          <w:bCs/>
        </w:rPr>
        <w:t>cent</w:t>
      </w:r>
      <w:r w:rsidR="003B7B3F" w:rsidRPr="00371494">
        <w:t>)</w:t>
      </w:r>
      <w:r w:rsidR="002D600D">
        <w:t xml:space="preserve"> or other circumstances (</w:t>
      </w:r>
      <w:r w:rsidR="00F907C0">
        <w:rPr>
          <w:b/>
          <w:bCs/>
        </w:rPr>
        <w:t>seven</w:t>
      </w:r>
      <w:r w:rsidR="002D600D">
        <w:t xml:space="preserve">, or </w:t>
      </w:r>
      <w:r w:rsidR="001E36C0">
        <w:rPr>
          <w:b/>
          <w:bCs/>
        </w:rPr>
        <w:t>3.7</w:t>
      </w:r>
      <w:r w:rsidR="00133C78">
        <w:rPr>
          <w:b/>
          <w:bCs/>
        </w:rPr>
        <w:t xml:space="preserve"> </w:t>
      </w:r>
      <w:r w:rsidR="002D600D" w:rsidRPr="00F0503C">
        <w:rPr>
          <w:b/>
          <w:bCs/>
        </w:rPr>
        <w:t>per cent</w:t>
      </w:r>
      <w:r w:rsidR="002D600D">
        <w:t>)</w:t>
      </w:r>
      <w:r w:rsidR="000137BA">
        <w:t>.</w:t>
      </w:r>
      <w:r w:rsidRPr="006761B4">
        <w:t xml:space="preserve"> </w:t>
      </w:r>
    </w:p>
    <w:p w14:paraId="29C1564C" w14:textId="7EB41096" w:rsidR="00370644" w:rsidRDefault="006761B4" w:rsidP="00796DE6">
      <w:pPr>
        <w:keepNext/>
        <w:spacing w:after="220"/>
        <w:jc w:val="center"/>
        <w:rPr>
          <w:noProof/>
          <w:lang w:eastAsia="en-US"/>
        </w:rPr>
      </w:pPr>
      <w:r w:rsidRPr="00AD06DF">
        <w:rPr>
          <w:b/>
          <w:sz w:val="20"/>
        </w:rPr>
        <w:t xml:space="preserve">Figure </w:t>
      </w:r>
      <w:r w:rsidR="00796DE6">
        <w:rPr>
          <w:b/>
          <w:sz w:val="20"/>
        </w:rPr>
        <w:t>2</w:t>
      </w:r>
      <w:r w:rsidRPr="00AD06DF">
        <w:rPr>
          <w:b/>
          <w:bCs/>
          <w:sz w:val="20"/>
        </w:rPr>
        <w:t>.</w:t>
      </w:r>
      <w:r w:rsidRPr="00AD06DF">
        <w:rPr>
          <w:sz w:val="20"/>
        </w:rPr>
        <w:t xml:space="preserve"> Breakdown of advice by category</w:t>
      </w:r>
    </w:p>
    <w:p w14:paraId="521946F7" w14:textId="5AD939CD" w:rsidR="00311476" w:rsidRDefault="00311476" w:rsidP="00370644">
      <w:pPr>
        <w:spacing w:after="220"/>
        <w:jc w:val="center"/>
      </w:pPr>
      <w:r w:rsidRPr="00F6236A">
        <w:rPr>
          <w:noProof/>
          <w:sz w:val="18"/>
          <w:szCs w:val="18"/>
        </w:rPr>
        <w:drawing>
          <wp:inline distT="0" distB="0" distL="0" distR="0" wp14:anchorId="5A8B5BD7" wp14:editId="03102043">
            <wp:extent cx="4368800" cy="3257550"/>
            <wp:effectExtent l="0" t="0" r="12700" b="0"/>
            <wp:docPr id="508408292" name="Chart 1" descr="Figure 2. Breakdown of advice by category">
              <a:extLst xmlns:a="http://schemas.openxmlformats.org/drawingml/2006/main">
                <a:ext uri="{FF2B5EF4-FFF2-40B4-BE49-F238E27FC236}">
                  <a16:creationId xmlns:a16="http://schemas.microsoft.com/office/drawing/2014/main" id="{29CECB97-C43E-3C23-2AC9-2575CC1D7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4BAA5C" w14:textId="54725498" w:rsidR="006761B4" w:rsidRPr="00AD06DF" w:rsidRDefault="006761B4" w:rsidP="00370644">
      <w:pPr>
        <w:pStyle w:val="ONUME"/>
      </w:pPr>
      <w:r w:rsidRPr="00FB76D1">
        <w:lastRenderedPageBreak/>
        <w:t xml:space="preserve">As shown in </w:t>
      </w:r>
      <w:r w:rsidRPr="00FB76D1">
        <w:rPr>
          <w:b/>
        </w:rPr>
        <w:t xml:space="preserve">Figure </w:t>
      </w:r>
      <w:r w:rsidR="00796DE6">
        <w:rPr>
          <w:b/>
        </w:rPr>
        <w:t>3</w:t>
      </w:r>
      <w:r w:rsidRPr="00FB76D1">
        <w:t xml:space="preserve">, </w:t>
      </w:r>
      <w:proofErr w:type="gramStart"/>
      <w:r w:rsidRPr="00FB76D1">
        <w:t>the majority of</w:t>
      </w:r>
      <w:proofErr w:type="gramEnd"/>
      <w:r w:rsidRPr="00FB76D1">
        <w:t xml:space="preserve"> requests were </w:t>
      </w:r>
      <w:r w:rsidR="00AD4576">
        <w:t>submitted</w:t>
      </w:r>
      <w:r w:rsidR="00AD4576" w:rsidRPr="00FB76D1">
        <w:t xml:space="preserve"> </w:t>
      </w:r>
      <w:r w:rsidRPr="00FB76D1">
        <w:t xml:space="preserve">by </w:t>
      </w:r>
      <w:r w:rsidR="0055278F">
        <w:t>staff</w:t>
      </w:r>
      <w:r w:rsidR="0055278F" w:rsidRPr="00FB76D1">
        <w:t xml:space="preserve"> </w:t>
      </w:r>
      <w:r w:rsidR="00E32BD2">
        <w:t xml:space="preserve">members </w:t>
      </w:r>
      <w:r w:rsidRPr="00FB76D1">
        <w:t>(</w:t>
      </w:r>
      <w:r w:rsidR="004D0BAF">
        <w:rPr>
          <w:b/>
        </w:rPr>
        <w:t>163</w:t>
      </w:r>
      <w:r w:rsidRPr="00FB76D1">
        <w:t>)</w:t>
      </w:r>
      <w:r w:rsidR="00CA2262">
        <w:t>,</w:t>
      </w:r>
      <w:r w:rsidRPr="00FB76D1">
        <w:t xml:space="preserve"> </w:t>
      </w:r>
      <w:r w:rsidR="00906E51" w:rsidRPr="00F33410">
        <w:rPr>
          <w:b/>
          <w:bCs/>
        </w:rPr>
        <w:t>three</w:t>
      </w:r>
      <w:r w:rsidR="00906E51">
        <w:t xml:space="preserve"> from individual contractors or agency workers,</w:t>
      </w:r>
      <w:r w:rsidR="00906E51">
        <w:rPr>
          <w:b/>
        </w:rPr>
        <w:t xml:space="preserve"> </w:t>
      </w:r>
      <w:r w:rsidR="004D0BAF">
        <w:rPr>
          <w:b/>
        </w:rPr>
        <w:t>16</w:t>
      </w:r>
      <w:r w:rsidR="004D0BAF" w:rsidRPr="00FB76D1">
        <w:t xml:space="preserve"> </w:t>
      </w:r>
      <w:r w:rsidRPr="00FB76D1">
        <w:t xml:space="preserve">from </w:t>
      </w:r>
      <w:r w:rsidR="00E32BD2">
        <w:t>f</w:t>
      </w:r>
      <w:r w:rsidR="006A7C69">
        <w:t xml:space="preserve">ellows </w:t>
      </w:r>
      <w:r w:rsidR="00E32BD2">
        <w:t>or y</w:t>
      </w:r>
      <w:r w:rsidR="006A7C69">
        <w:t xml:space="preserve">oung </w:t>
      </w:r>
      <w:r w:rsidR="00E32BD2">
        <w:t>e</w:t>
      </w:r>
      <w:r w:rsidR="006A7C69">
        <w:t>xperts</w:t>
      </w:r>
      <w:r w:rsidR="00906E51">
        <w:t xml:space="preserve"> and </w:t>
      </w:r>
      <w:r w:rsidR="00906E51" w:rsidRPr="008B4AAF">
        <w:rPr>
          <w:b/>
          <w:bCs/>
        </w:rPr>
        <w:t>six</w:t>
      </w:r>
      <w:r w:rsidR="00906E51">
        <w:rPr>
          <w:b/>
        </w:rPr>
        <w:t xml:space="preserve"> </w:t>
      </w:r>
      <w:r w:rsidR="00906E51" w:rsidRPr="00BF18C6">
        <w:rPr>
          <w:bCs/>
        </w:rPr>
        <w:t>f</w:t>
      </w:r>
      <w:r w:rsidR="00906E51" w:rsidRPr="00FB76D1">
        <w:t xml:space="preserve">rom </w:t>
      </w:r>
      <w:r w:rsidR="00BA5880">
        <w:t xml:space="preserve">other WIPO </w:t>
      </w:r>
      <w:r w:rsidR="00906E51">
        <w:t>external stakeholders</w:t>
      </w:r>
      <w:r w:rsidR="00BA5880">
        <w:t xml:space="preserve"> (</w:t>
      </w:r>
      <w:r w:rsidR="00BA5880" w:rsidRPr="00BA5880">
        <w:rPr>
          <w:i/>
          <w:iCs/>
        </w:rPr>
        <w:t>e.g</w:t>
      </w:r>
      <w:r w:rsidR="00BA5880">
        <w:t xml:space="preserve">., individuals </w:t>
      </w:r>
      <w:r w:rsidR="00687BD2">
        <w:t>from other UN entities or having used services provided by WIPO)</w:t>
      </w:r>
      <w:r w:rsidR="006F757A">
        <w:t>.</w:t>
      </w:r>
      <w:r w:rsidRPr="007C7534">
        <w:t xml:space="preserve"> </w:t>
      </w:r>
      <w:r w:rsidR="00765A26" w:rsidRPr="007C7534">
        <w:t xml:space="preserve"> </w:t>
      </w:r>
      <w:r w:rsidR="002624B2" w:rsidRPr="00FB463D">
        <w:t xml:space="preserve">  </w:t>
      </w:r>
    </w:p>
    <w:p w14:paraId="47CB0774" w14:textId="67451524" w:rsidR="00FB463D" w:rsidRDefault="00FB463D" w:rsidP="00AD06DF">
      <w:pPr>
        <w:spacing w:after="220"/>
        <w:jc w:val="center"/>
        <w:rPr>
          <w:noProof/>
          <w:lang w:eastAsia="en-US"/>
        </w:rPr>
      </w:pPr>
      <w:r w:rsidRPr="006761B4">
        <w:rPr>
          <w:b/>
          <w:sz w:val="20"/>
        </w:rPr>
        <w:t xml:space="preserve">Figure </w:t>
      </w:r>
      <w:r w:rsidR="00796DE6">
        <w:rPr>
          <w:b/>
          <w:sz w:val="20"/>
        </w:rPr>
        <w:t>3</w:t>
      </w:r>
      <w:r w:rsidRPr="006761B4">
        <w:rPr>
          <w:b/>
          <w:bCs/>
          <w:sz w:val="20"/>
        </w:rPr>
        <w:t>.</w:t>
      </w:r>
      <w:r w:rsidRPr="006761B4">
        <w:rPr>
          <w:sz w:val="20"/>
        </w:rPr>
        <w:t xml:space="preserve"> Origin of requests</w:t>
      </w:r>
    </w:p>
    <w:p w14:paraId="0D0310DA" w14:textId="01B7B4ED" w:rsidR="007577A7" w:rsidRDefault="007577A7" w:rsidP="009F2A35">
      <w:pPr>
        <w:spacing w:after="220"/>
        <w:jc w:val="center"/>
        <w:rPr>
          <w:sz w:val="20"/>
        </w:rPr>
      </w:pPr>
      <w:r>
        <w:rPr>
          <w:noProof/>
        </w:rPr>
        <w:drawing>
          <wp:inline distT="0" distB="0" distL="0" distR="0" wp14:anchorId="7FA48970" wp14:editId="211299FA">
            <wp:extent cx="4524375" cy="2219325"/>
            <wp:effectExtent l="0" t="0" r="9525" b="9525"/>
            <wp:docPr id="327737588" name="Chart 1" descr="Figure 3. Origin of requests">
              <a:extLst xmlns:a="http://schemas.openxmlformats.org/drawingml/2006/main">
                <a:ext uri="{FF2B5EF4-FFF2-40B4-BE49-F238E27FC236}">
                  <a16:creationId xmlns:a16="http://schemas.microsoft.com/office/drawing/2014/main" id="{B04E1AAF-57EB-9A2D-21A4-5798D9DE51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0BEB6A" w14:textId="2F3FD616" w:rsidR="006761B4" w:rsidRPr="006761B4" w:rsidRDefault="006761B4" w:rsidP="00621C5C">
      <w:pPr>
        <w:pStyle w:val="Heading2"/>
        <w:spacing w:after="220"/>
        <w:ind w:left="567"/>
      </w:pPr>
      <w:r w:rsidRPr="006761B4">
        <w:t>B.</w:t>
      </w:r>
      <w:r w:rsidRPr="006761B4">
        <w:tab/>
      </w:r>
      <w:r w:rsidR="002624B2">
        <w:t>A</w:t>
      </w:r>
      <w:r w:rsidR="002624B2" w:rsidRPr="006761B4">
        <w:t>wareness</w:t>
      </w:r>
      <w:r w:rsidR="002624B2">
        <w:t>-</w:t>
      </w:r>
      <w:r w:rsidR="002624B2" w:rsidRPr="006761B4">
        <w:t>raising</w:t>
      </w:r>
      <w:r w:rsidR="002624B2">
        <w:t>, training</w:t>
      </w:r>
      <w:r w:rsidR="002624B2" w:rsidRPr="006761B4">
        <w:t xml:space="preserve"> and outreach</w:t>
      </w:r>
    </w:p>
    <w:p w14:paraId="3452E985" w14:textId="69831F7C" w:rsidR="006761B4" w:rsidRDefault="006761B4" w:rsidP="003C1EE2">
      <w:pPr>
        <w:numPr>
          <w:ilvl w:val="0"/>
          <w:numId w:val="5"/>
        </w:numPr>
        <w:spacing w:after="220"/>
      </w:pPr>
      <w:r w:rsidRPr="006761B4">
        <w:t>The awareness-raising</w:t>
      </w:r>
      <w:r w:rsidR="00C24804">
        <w:t xml:space="preserve">, </w:t>
      </w:r>
      <w:r w:rsidRPr="006761B4">
        <w:t>training</w:t>
      </w:r>
      <w:r w:rsidR="00C24804">
        <w:t xml:space="preserve"> and outreach</w:t>
      </w:r>
      <w:r w:rsidRPr="006761B4">
        <w:t xml:space="preserve"> activities of the Ethics Office aim to </w:t>
      </w:r>
      <w:r w:rsidR="00E6654B" w:rsidRPr="00E6654B">
        <w:t xml:space="preserve">improve </w:t>
      </w:r>
      <w:r w:rsidR="00E6654B">
        <w:t xml:space="preserve">knowledge and </w:t>
      </w:r>
      <w:r w:rsidR="00E6654B" w:rsidRPr="00E6654B">
        <w:t xml:space="preserve">understanding </w:t>
      </w:r>
      <w:r w:rsidR="00E6654B">
        <w:t>of</w:t>
      </w:r>
      <w:r w:rsidR="00E6654B" w:rsidRPr="006761B4">
        <w:t xml:space="preserve"> </w:t>
      </w:r>
      <w:r w:rsidR="00177A1E">
        <w:t xml:space="preserve">and </w:t>
      </w:r>
      <w:r w:rsidR="00177A1E" w:rsidRPr="0088165C">
        <w:rPr>
          <w:iCs/>
          <w:lang w:val="en-GB"/>
        </w:rPr>
        <w:t>reinforc</w:t>
      </w:r>
      <w:r w:rsidR="00177A1E">
        <w:rPr>
          <w:iCs/>
          <w:lang w:val="en-GB"/>
        </w:rPr>
        <w:t>e</w:t>
      </w:r>
      <w:r w:rsidR="00177A1E" w:rsidRPr="0088165C">
        <w:rPr>
          <w:iCs/>
          <w:lang w:val="en-GB"/>
        </w:rPr>
        <w:t xml:space="preserve"> accountability </w:t>
      </w:r>
      <w:r w:rsidR="00177A1E">
        <w:rPr>
          <w:iCs/>
          <w:lang w:val="en-GB"/>
        </w:rPr>
        <w:t xml:space="preserve">for </w:t>
      </w:r>
      <w:r w:rsidR="00E6654B">
        <w:t>WIPO’s</w:t>
      </w:r>
      <w:r w:rsidR="00E6654B" w:rsidRPr="006761B4">
        <w:t xml:space="preserve"> </w:t>
      </w:r>
      <w:r w:rsidR="00E6654B">
        <w:t>ethical</w:t>
      </w:r>
      <w:r w:rsidR="00E6654B" w:rsidRPr="006761B4">
        <w:t xml:space="preserve"> </w:t>
      </w:r>
      <w:r w:rsidRPr="006761B4">
        <w:t xml:space="preserve">values and principles, </w:t>
      </w:r>
      <w:r w:rsidR="0088165C" w:rsidRPr="0088165C">
        <w:rPr>
          <w:iCs/>
          <w:lang w:val="en-GB"/>
        </w:rPr>
        <w:t>across the Organization</w:t>
      </w:r>
      <w:r w:rsidRPr="006761B4">
        <w:t>.</w:t>
      </w:r>
    </w:p>
    <w:p w14:paraId="0240ACEF" w14:textId="64E98F13" w:rsidR="00206004" w:rsidRPr="009A34DF" w:rsidRDefault="00D31394" w:rsidP="00206004">
      <w:pPr>
        <w:numPr>
          <w:ilvl w:val="0"/>
          <w:numId w:val="5"/>
        </w:numPr>
        <w:spacing w:after="220"/>
        <w:rPr>
          <w:iCs/>
          <w:lang w:val="en"/>
        </w:rPr>
      </w:pPr>
      <w:r>
        <w:t xml:space="preserve">As </w:t>
      </w:r>
      <w:r w:rsidRPr="008B4AAF">
        <w:rPr>
          <w:b/>
          <w:bCs/>
        </w:rPr>
        <w:t xml:space="preserve">Figure </w:t>
      </w:r>
      <w:r w:rsidR="0030044C">
        <w:rPr>
          <w:b/>
          <w:bCs/>
        </w:rPr>
        <w:t>4</w:t>
      </w:r>
      <w:r>
        <w:t xml:space="preserve"> shows</w:t>
      </w:r>
      <w:r w:rsidR="007E59EE">
        <w:t>, t</w:t>
      </w:r>
      <w:r w:rsidR="00B61456">
        <w:t>hroughout 2024</w:t>
      </w:r>
      <w:r w:rsidR="00FB463D" w:rsidRPr="00FB76D1">
        <w:t xml:space="preserve">, the Ethics Office </w:t>
      </w:r>
      <w:r w:rsidR="00B97137" w:rsidRPr="00B97137">
        <w:rPr>
          <w:iCs/>
          <w:lang w:val="en-GB"/>
        </w:rPr>
        <w:t>undertook several outreach initiative</w:t>
      </w:r>
      <w:r w:rsidR="00C55589">
        <w:rPr>
          <w:iCs/>
          <w:lang w:val="en-GB"/>
        </w:rPr>
        <w:t xml:space="preserve">s, including </w:t>
      </w:r>
      <w:r w:rsidR="00B61456" w:rsidRPr="008B4AAF">
        <w:rPr>
          <w:bCs/>
        </w:rPr>
        <w:t>three</w:t>
      </w:r>
      <w:r w:rsidR="00B61456" w:rsidRPr="006761B4">
        <w:t xml:space="preserve"> induction training </w:t>
      </w:r>
      <w:r w:rsidR="00B61456" w:rsidRPr="008C58E9">
        <w:t xml:space="preserve">sessions </w:t>
      </w:r>
      <w:r w:rsidR="00293245">
        <w:t>(</w:t>
      </w:r>
      <w:r w:rsidR="00B61456" w:rsidRPr="008C58E9">
        <w:t>in April, June and November</w:t>
      </w:r>
      <w:r w:rsidR="00293245">
        <w:t xml:space="preserve">, </w:t>
      </w:r>
      <w:r w:rsidR="00B9738C">
        <w:t>attended by</w:t>
      </w:r>
      <w:r w:rsidR="00B61456" w:rsidRPr="008C58E9">
        <w:t xml:space="preserve"> </w:t>
      </w:r>
      <w:r w:rsidR="00B61456" w:rsidRPr="008C58E9">
        <w:rPr>
          <w:b/>
        </w:rPr>
        <w:t>65</w:t>
      </w:r>
      <w:r w:rsidR="00B61456" w:rsidRPr="008C58E9">
        <w:t xml:space="preserve"> newly recruited </w:t>
      </w:r>
      <w:r w:rsidR="00722DAE">
        <w:t xml:space="preserve">members of </w:t>
      </w:r>
      <w:r w:rsidR="00B61456" w:rsidRPr="008C58E9">
        <w:t>personnel</w:t>
      </w:r>
      <w:r w:rsidR="00C55589" w:rsidRPr="008C58E9">
        <w:t>)</w:t>
      </w:r>
      <w:r w:rsidR="00DC1913" w:rsidRPr="008C58E9">
        <w:t xml:space="preserve">, </w:t>
      </w:r>
      <w:r w:rsidR="00107A93" w:rsidRPr="008C58E9">
        <w:t xml:space="preserve">one presentation to the Directors in charge of </w:t>
      </w:r>
      <w:r w:rsidR="008C58E9" w:rsidRPr="008C58E9">
        <w:t xml:space="preserve">WIPO’s External Offices </w:t>
      </w:r>
      <w:r w:rsidR="00293245">
        <w:t>(</w:t>
      </w:r>
      <w:r w:rsidR="008C58E9" w:rsidRPr="008C58E9">
        <w:t>in July</w:t>
      </w:r>
      <w:r w:rsidR="00293245">
        <w:t>)</w:t>
      </w:r>
      <w:r w:rsidR="008C58E9" w:rsidRPr="008C58E9">
        <w:t xml:space="preserve"> </w:t>
      </w:r>
      <w:r w:rsidR="00DC1913" w:rsidRPr="008C58E9">
        <w:t xml:space="preserve">and one </w:t>
      </w:r>
      <w:r w:rsidR="00DC1913" w:rsidRPr="008C58E9">
        <w:rPr>
          <w:iCs/>
          <w:lang w:val="en-GB"/>
        </w:rPr>
        <w:t xml:space="preserve">town hall meeting </w:t>
      </w:r>
      <w:r w:rsidR="00293245">
        <w:rPr>
          <w:iCs/>
          <w:lang w:val="en-GB"/>
        </w:rPr>
        <w:t>(</w:t>
      </w:r>
      <w:r w:rsidR="003E1B0D" w:rsidRPr="008C58E9">
        <w:rPr>
          <w:iCs/>
          <w:lang w:val="en-GB"/>
        </w:rPr>
        <w:t xml:space="preserve">in </w:t>
      </w:r>
      <w:r w:rsidR="008C58E9" w:rsidRPr="008B4AAF">
        <w:rPr>
          <w:iCs/>
          <w:lang w:val="en-GB"/>
        </w:rPr>
        <w:t>November</w:t>
      </w:r>
      <w:r w:rsidR="00293245">
        <w:rPr>
          <w:iCs/>
          <w:lang w:val="en-GB"/>
        </w:rPr>
        <w:t>)</w:t>
      </w:r>
      <w:r w:rsidR="00930F12" w:rsidRPr="008C58E9">
        <w:rPr>
          <w:iCs/>
          <w:lang w:val="en-GB"/>
        </w:rPr>
        <w:t xml:space="preserve"> </w:t>
      </w:r>
      <w:r w:rsidR="00B9738C">
        <w:rPr>
          <w:iCs/>
          <w:lang w:val="en-GB"/>
        </w:rPr>
        <w:t xml:space="preserve">aimed at </w:t>
      </w:r>
      <w:r w:rsidR="00DC1913" w:rsidRPr="008C58E9">
        <w:rPr>
          <w:iCs/>
          <w:lang w:val="en-GB"/>
        </w:rPr>
        <w:t>present</w:t>
      </w:r>
      <w:r w:rsidR="00B9738C">
        <w:rPr>
          <w:iCs/>
          <w:lang w:val="en-GB"/>
        </w:rPr>
        <w:t>ing</w:t>
      </w:r>
      <w:r w:rsidR="00DC1913" w:rsidRPr="008C58E9">
        <w:rPr>
          <w:iCs/>
          <w:lang w:val="en-GB"/>
        </w:rPr>
        <w:t xml:space="preserve"> its mandate and encourag</w:t>
      </w:r>
      <w:r w:rsidR="00B9738C">
        <w:rPr>
          <w:iCs/>
          <w:lang w:val="en-GB"/>
        </w:rPr>
        <w:t>ing</w:t>
      </w:r>
      <w:r w:rsidR="00DC1913" w:rsidRPr="008C58E9">
        <w:rPr>
          <w:iCs/>
          <w:lang w:val="en-GB"/>
        </w:rPr>
        <w:t xml:space="preserve"> personnel to reach out to it for support</w:t>
      </w:r>
      <w:r w:rsidR="00EE4CB3" w:rsidRPr="008C58E9">
        <w:rPr>
          <w:iCs/>
          <w:lang w:val="en-GB"/>
        </w:rPr>
        <w:t xml:space="preserve"> (</w:t>
      </w:r>
      <w:r w:rsidR="00722DAE">
        <w:t>attended by</w:t>
      </w:r>
      <w:r w:rsidR="00083FD8">
        <w:t xml:space="preserve"> approximately</w:t>
      </w:r>
      <w:r w:rsidR="00EE4CB3" w:rsidRPr="008C58E9">
        <w:t xml:space="preserve"> </w:t>
      </w:r>
      <w:r w:rsidR="00EE4CB3" w:rsidRPr="008C58E9">
        <w:rPr>
          <w:b/>
          <w:bCs/>
        </w:rPr>
        <w:t>300</w:t>
      </w:r>
      <w:r w:rsidR="00EE4CB3" w:rsidRPr="008C58E9">
        <w:t xml:space="preserve"> </w:t>
      </w:r>
      <w:r w:rsidR="00722DAE">
        <w:t xml:space="preserve">members of </w:t>
      </w:r>
      <w:r w:rsidR="00EE4CB3" w:rsidRPr="008C58E9">
        <w:t>personnel)</w:t>
      </w:r>
      <w:r w:rsidR="00B61456" w:rsidRPr="008C58E9">
        <w:t xml:space="preserve">. </w:t>
      </w:r>
      <w:r w:rsidR="00206004" w:rsidRPr="008C58E9">
        <w:t xml:space="preserve"> </w:t>
      </w:r>
      <w:r w:rsidR="00433D17" w:rsidRPr="008C58E9">
        <w:t>In addition</w:t>
      </w:r>
      <w:r w:rsidR="00DF679E" w:rsidRPr="008C58E9">
        <w:t xml:space="preserve">, </w:t>
      </w:r>
      <w:r w:rsidR="006D43F2" w:rsidRPr="008C58E9">
        <w:t xml:space="preserve">between </w:t>
      </w:r>
      <w:r w:rsidR="00133E07" w:rsidRPr="008C58E9">
        <w:t>August</w:t>
      </w:r>
      <w:r w:rsidR="00DF679E" w:rsidRPr="008C58E9">
        <w:t xml:space="preserve"> and </w:t>
      </w:r>
      <w:r w:rsidR="006D43F2" w:rsidRPr="008C58E9">
        <w:t>December</w:t>
      </w:r>
      <w:r w:rsidR="00DF679E" w:rsidRPr="008C58E9">
        <w:t xml:space="preserve">, the Ethics Office met </w:t>
      </w:r>
      <w:r w:rsidR="00206004" w:rsidRPr="008C58E9">
        <w:rPr>
          <w:iCs/>
          <w:lang w:val="en-GB"/>
        </w:rPr>
        <w:t xml:space="preserve">with </w:t>
      </w:r>
      <w:r w:rsidR="00090E37" w:rsidRPr="008C58E9">
        <w:rPr>
          <w:iCs/>
          <w:lang w:val="en-GB"/>
        </w:rPr>
        <w:t xml:space="preserve">all </w:t>
      </w:r>
      <w:r w:rsidR="00620240" w:rsidRPr="008C58E9">
        <w:rPr>
          <w:iCs/>
          <w:lang w:val="en-GB"/>
        </w:rPr>
        <w:t xml:space="preserve">eight </w:t>
      </w:r>
      <w:r w:rsidR="00206004" w:rsidRPr="008C58E9">
        <w:rPr>
          <w:iCs/>
          <w:lang w:val="en-GB"/>
        </w:rPr>
        <w:t>Sector Leads</w:t>
      </w:r>
      <w:r w:rsidR="00F5158A" w:rsidRPr="008C58E9">
        <w:rPr>
          <w:iCs/>
          <w:lang w:val="en-GB"/>
        </w:rPr>
        <w:t xml:space="preserve"> (both</w:t>
      </w:r>
      <w:r w:rsidR="00F5158A" w:rsidRPr="00B97137">
        <w:rPr>
          <w:iCs/>
          <w:lang w:val="en-GB"/>
        </w:rPr>
        <w:t xml:space="preserve"> individually and collectively</w:t>
      </w:r>
      <w:r w:rsidR="00F5158A">
        <w:rPr>
          <w:iCs/>
          <w:lang w:val="en-GB"/>
        </w:rPr>
        <w:t xml:space="preserve">) and senior managers </w:t>
      </w:r>
      <w:r w:rsidR="008064D0">
        <w:rPr>
          <w:iCs/>
          <w:lang w:val="en-GB"/>
        </w:rPr>
        <w:t>(</w:t>
      </w:r>
      <w:r w:rsidR="008064D0">
        <w:t xml:space="preserve">reaching </w:t>
      </w:r>
      <w:r w:rsidR="008064D0" w:rsidRPr="002E3CDA">
        <w:rPr>
          <w:b/>
          <w:bCs/>
        </w:rPr>
        <w:t>188</w:t>
      </w:r>
      <w:r w:rsidR="008064D0">
        <w:t xml:space="preserve"> </w:t>
      </w:r>
      <w:r w:rsidR="0082590D">
        <w:t xml:space="preserve">members of </w:t>
      </w:r>
      <w:r w:rsidR="008064D0">
        <w:t>personnel)</w:t>
      </w:r>
      <w:r w:rsidR="00206004" w:rsidRPr="00B97137">
        <w:rPr>
          <w:lang w:bidi="en-US"/>
        </w:rPr>
        <w:t xml:space="preserve">.  </w:t>
      </w:r>
    </w:p>
    <w:p w14:paraId="57E3B75D" w14:textId="4CFF3521" w:rsidR="007F1D3B" w:rsidRPr="008B4AAF" w:rsidRDefault="00833C80" w:rsidP="00B97137">
      <w:pPr>
        <w:numPr>
          <w:ilvl w:val="0"/>
          <w:numId w:val="5"/>
        </w:numPr>
        <w:spacing w:after="220"/>
        <w:rPr>
          <w:iCs/>
          <w:lang w:val="en"/>
        </w:rPr>
      </w:pPr>
      <w:r>
        <w:rPr>
          <w:iCs/>
          <w:lang w:val="en-GB"/>
        </w:rPr>
        <w:t>T</w:t>
      </w:r>
      <w:r w:rsidR="00B97137" w:rsidRPr="00B97137">
        <w:rPr>
          <w:iCs/>
          <w:lang w:val="en-GB"/>
        </w:rPr>
        <w:t xml:space="preserve">he Intranet pages of the Ethics Office were </w:t>
      </w:r>
      <w:r>
        <w:rPr>
          <w:iCs/>
          <w:lang w:val="en-GB"/>
        </w:rPr>
        <w:t xml:space="preserve">further </w:t>
      </w:r>
      <w:r w:rsidR="00B97137" w:rsidRPr="00B97137">
        <w:rPr>
          <w:iCs/>
          <w:lang w:val="en-GB"/>
        </w:rPr>
        <w:t xml:space="preserve">redesigned </w:t>
      </w:r>
      <w:r w:rsidR="00B97137" w:rsidRPr="00B97137">
        <w:rPr>
          <w:iCs/>
          <w:lang w:bidi="en-US"/>
        </w:rPr>
        <w:t xml:space="preserve">to provide concrete guidance on ethical issues such as conflicts of interest </w:t>
      </w:r>
      <w:r w:rsidR="007A388C">
        <w:rPr>
          <w:iCs/>
          <w:lang w:bidi="en-US"/>
        </w:rPr>
        <w:t xml:space="preserve">(including those arising from intimate </w:t>
      </w:r>
      <w:r w:rsidR="005B4B56">
        <w:rPr>
          <w:iCs/>
          <w:lang w:bidi="en-US"/>
        </w:rPr>
        <w:t xml:space="preserve">relationships </w:t>
      </w:r>
      <w:r w:rsidR="00B3259F">
        <w:rPr>
          <w:iCs/>
          <w:lang w:bidi="en-US"/>
        </w:rPr>
        <w:t>and</w:t>
      </w:r>
      <w:r w:rsidR="005B4B56">
        <w:rPr>
          <w:iCs/>
          <w:lang w:bidi="en-US"/>
        </w:rPr>
        <w:t xml:space="preserve"> private and/or financial interests</w:t>
      </w:r>
      <w:r w:rsidR="007A388C">
        <w:rPr>
          <w:iCs/>
          <w:lang w:bidi="en-US"/>
        </w:rPr>
        <w:t xml:space="preserve">) </w:t>
      </w:r>
      <w:r w:rsidR="00B97137" w:rsidRPr="00B97137">
        <w:rPr>
          <w:iCs/>
          <w:lang w:bidi="en-US"/>
        </w:rPr>
        <w:t xml:space="preserve">and outside activities, </w:t>
      </w:r>
      <w:r w:rsidR="00B97137">
        <w:rPr>
          <w:iCs/>
          <w:lang w:bidi="en-US"/>
        </w:rPr>
        <w:t>as well as</w:t>
      </w:r>
      <w:r w:rsidR="00B97137" w:rsidRPr="00B97137">
        <w:rPr>
          <w:iCs/>
          <w:lang w:bidi="en-US"/>
        </w:rPr>
        <w:t xml:space="preserve"> easy access to </w:t>
      </w:r>
      <w:r w:rsidR="0082590D">
        <w:rPr>
          <w:iCs/>
          <w:lang w:bidi="en-US"/>
        </w:rPr>
        <w:t>applicable provisions</w:t>
      </w:r>
      <w:r w:rsidR="00B97137" w:rsidRPr="00B97137">
        <w:rPr>
          <w:iCs/>
          <w:lang w:bidi="en-US"/>
        </w:rPr>
        <w:t xml:space="preserve"> and key contacts within WIPO.  </w:t>
      </w:r>
      <w:r w:rsidR="007F1D3B">
        <w:rPr>
          <w:iCs/>
          <w:lang w:bidi="en-US"/>
        </w:rPr>
        <w:t xml:space="preserve">The new Intranet Pages were </w:t>
      </w:r>
      <w:r w:rsidR="00CD7A88">
        <w:rPr>
          <w:iCs/>
          <w:lang w:bidi="en-US"/>
        </w:rPr>
        <w:t>made ava</w:t>
      </w:r>
      <w:r w:rsidR="00C77774">
        <w:rPr>
          <w:iCs/>
          <w:lang w:bidi="en-US"/>
        </w:rPr>
        <w:t>ilable to WIPO personnel in September 2024.</w:t>
      </w:r>
    </w:p>
    <w:p w14:paraId="15D37FFC" w14:textId="534B65AA" w:rsidR="00206004" w:rsidRPr="008B4AAF" w:rsidRDefault="00206004" w:rsidP="00B97137">
      <w:pPr>
        <w:numPr>
          <w:ilvl w:val="0"/>
          <w:numId w:val="5"/>
        </w:numPr>
        <w:spacing w:after="220"/>
        <w:rPr>
          <w:iCs/>
          <w:lang w:val="en"/>
        </w:rPr>
      </w:pPr>
      <w:r>
        <w:rPr>
          <w:iCs/>
          <w:lang w:bidi="en-US"/>
        </w:rPr>
        <w:t xml:space="preserve">In </w:t>
      </w:r>
      <w:r w:rsidR="005A4E50">
        <w:rPr>
          <w:iCs/>
          <w:lang w:bidi="en-US"/>
        </w:rPr>
        <w:t xml:space="preserve">addition, in </w:t>
      </w:r>
      <w:r>
        <w:rPr>
          <w:iCs/>
          <w:lang w:bidi="en-US"/>
        </w:rPr>
        <w:t xml:space="preserve">October 2024, </w:t>
      </w:r>
      <w:proofErr w:type="gramStart"/>
      <w:r w:rsidR="008064D0">
        <w:rPr>
          <w:iCs/>
          <w:lang w:bidi="en-US"/>
        </w:rPr>
        <w:t>on the occasion of</w:t>
      </w:r>
      <w:proofErr w:type="gramEnd"/>
      <w:r w:rsidR="008064D0">
        <w:rPr>
          <w:iCs/>
          <w:lang w:bidi="en-US"/>
        </w:rPr>
        <w:t xml:space="preserve"> Global Ethics Day, </w:t>
      </w:r>
      <w:r>
        <w:rPr>
          <w:iCs/>
          <w:lang w:bidi="en-US"/>
        </w:rPr>
        <w:t>t</w:t>
      </w:r>
      <w:r w:rsidR="00B97137" w:rsidRPr="00B97137">
        <w:rPr>
          <w:iCs/>
          <w:lang w:bidi="en-US"/>
        </w:rPr>
        <w:t xml:space="preserve">he Ethics Office </w:t>
      </w:r>
      <w:r w:rsidR="00B97137" w:rsidRPr="00B97137">
        <w:rPr>
          <w:iCs/>
          <w:lang w:val="en-GB"/>
        </w:rPr>
        <w:t xml:space="preserve">launched a survey with a view to improving awareness of, and bringing personnel closer to, WIPO’s ethical values.  </w:t>
      </w:r>
    </w:p>
    <w:p w14:paraId="7CE9B6C7" w14:textId="441E3287" w:rsidR="00E433A4" w:rsidRDefault="00A57CA9" w:rsidP="00827881">
      <w:pPr>
        <w:numPr>
          <w:ilvl w:val="0"/>
          <w:numId w:val="5"/>
        </w:numPr>
        <w:spacing w:after="220"/>
      </w:pPr>
      <w:r>
        <w:t>I</w:t>
      </w:r>
      <w:r w:rsidR="008602D7">
        <w:t xml:space="preserve">n December 2024, the Ethics Office sent an all-staff communication </w:t>
      </w:r>
      <w:r w:rsidR="00B87A90">
        <w:t xml:space="preserve">reminding WIPO personnel of </w:t>
      </w:r>
      <w:r w:rsidR="00827881">
        <w:t>their obligations under WIPO’s Policy on Honors and Gifts</w:t>
      </w:r>
      <w:r w:rsidR="007060D6">
        <w:t>.</w:t>
      </w:r>
    </w:p>
    <w:p w14:paraId="2E3A3418" w14:textId="628B4342" w:rsidR="00A57CA9" w:rsidRDefault="00A57CA9" w:rsidP="00827881">
      <w:pPr>
        <w:numPr>
          <w:ilvl w:val="0"/>
          <w:numId w:val="5"/>
        </w:numPr>
        <w:spacing w:after="220"/>
      </w:pPr>
      <w:r w:rsidRPr="00A57CA9">
        <w:t>A</w:t>
      </w:r>
      <w:r>
        <w:t>l</w:t>
      </w:r>
      <w:r w:rsidRPr="00A57CA9">
        <w:t>s</w:t>
      </w:r>
      <w:r>
        <w:t>o in December 2024,</w:t>
      </w:r>
      <w:r w:rsidRPr="00A57CA9">
        <w:t xml:space="preserve"> </w:t>
      </w:r>
      <w:r w:rsidR="000A05EB">
        <w:t>the Ethics Office provided all</w:t>
      </w:r>
      <w:r w:rsidRPr="00A57CA9">
        <w:t xml:space="preserve"> Sector Leads</w:t>
      </w:r>
      <w:r w:rsidR="000A05EB">
        <w:rPr>
          <w:rStyle w:val="FootnoteReference"/>
        </w:rPr>
        <w:footnoteReference w:id="7"/>
      </w:r>
      <w:r w:rsidRPr="00A57CA9">
        <w:t xml:space="preserve"> with an overview of the </w:t>
      </w:r>
      <w:r w:rsidR="001141B2">
        <w:t xml:space="preserve">number and nature of </w:t>
      </w:r>
      <w:r w:rsidRPr="00A57CA9">
        <w:t>requests for ethics advice received in 2024 from members of personnel in their area</w:t>
      </w:r>
      <w:r w:rsidR="000A05EB">
        <w:t xml:space="preserve"> (while preserving confidentiality</w:t>
      </w:r>
      <w:r w:rsidR="00F93C43">
        <w:t xml:space="preserve"> and anonymity of those raising </w:t>
      </w:r>
      <w:r w:rsidR="00F93C43">
        <w:lastRenderedPageBreak/>
        <w:t>queries</w:t>
      </w:r>
      <w:r w:rsidR="000A05EB">
        <w:t>)</w:t>
      </w:r>
      <w:r w:rsidRPr="00A57CA9">
        <w:t xml:space="preserve">.  This was intended to ensure greater accountability for ethical standards, by identifying where more could be done (notably in terms of guidance or communication) to make sure that such standards are clearly understood, and complied with, across </w:t>
      </w:r>
      <w:r w:rsidR="001141B2">
        <w:t>WIPO</w:t>
      </w:r>
      <w:r w:rsidR="000A05EB">
        <w:t>.</w:t>
      </w:r>
    </w:p>
    <w:p w14:paraId="0552C1A3" w14:textId="63F250F3" w:rsidR="00FB76D1" w:rsidRDefault="00FB76D1" w:rsidP="00FB76D1">
      <w:pPr>
        <w:spacing w:after="220"/>
        <w:jc w:val="center"/>
        <w:rPr>
          <w:sz w:val="20"/>
        </w:rPr>
      </w:pPr>
      <w:r w:rsidRPr="006761B4">
        <w:rPr>
          <w:b/>
          <w:sz w:val="20"/>
        </w:rPr>
        <w:t xml:space="preserve">Figure </w:t>
      </w:r>
      <w:r w:rsidR="0030044C">
        <w:rPr>
          <w:b/>
          <w:sz w:val="20"/>
        </w:rPr>
        <w:t>4</w:t>
      </w:r>
      <w:r w:rsidRPr="006761B4">
        <w:rPr>
          <w:b/>
          <w:sz w:val="20"/>
        </w:rPr>
        <w:t xml:space="preserve">. </w:t>
      </w:r>
      <w:r w:rsidRPr="006761B4">
        <w:rPr>
          <w:sz w:val="20"/>
        </w:rPr>
        <w:t>Outreach initiatives by the Ethics Office</w:t>
      </w:r>
      <w:r w:rsidR="00C45190">
        <w:rPr>
          <w:sz w:val="20"/>
        </w:rPr>
        <w:t xml:space="preserve"> and</w:t>
      </w:r>
      <w:r w:rsidR="005A413E">
        <w:rPr>
          <w:sz w:val="20"/>
        </w:rPr>
        <w:t xml:space="preserve"> number of</w:t>
      </w:r>
      <w:r w:rsidR="00C45190">
        <w:rPr>
          <w:sz w:val="20"/>
        </w:rPr>
        <w:t xml:space="preserve"> </w:t>
      </w:r>
      <w:r w:rsidR="002511DA">
        <w:rPr>
          <w:sz w:val="20"/>
        </w:rPr>
        <w:t xml:space="preserve">members of personnel </w:t>
      </w:r>
      <w:r w:rsidR="001A26F7">
        <w:rPr>
          <w:sz w:val="20"/>
        </w:rPr>
        <w:t>reach</w:t>
      </w:r>
      <w:r w:rsidR="002511DA">
        <w:rPr>
          <w:sz w:val="20"/>
        </w:rPr>
        <w:t>ed</w:t>
      </w:r>
    </w:p>
    <w:p w14:paraId="2C27FE91" w14:textId="79EE10B7" w:rsidR="00906E51" w:rsidRPr="00906E51" w:rsidRDefault="002924B9" w:rsidP="004A0CF7">
      <w:pPr>
        <w:contextualSpacing/>
        <w:jc w:val="center"/>
        <w:rPr>
          <w:i/>
          <w:iCs/>
          <w:u w:val="single"/>
        </w:rPr>
      </w:pPr>
      <w:r>
        <w:rPr>
          <w:noProof/>
        </w:rPr>
        <w:drawing>
          <wp:inline distT="0" distB="0" distL="0" distR="0" wp14:anchorId="3D0444DA" wp14:editId="6060445F">
            <wp:extent cx="5271135" cy="3068563"/>
            <wp:effectExtent l="0" t="0" r="5715" b="0"/>
            <wp:docPr id="772985304" name="Picture 1" descr="Figure 4. Outreach initiatives by the Ethics Office and number of members of personnel re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85304" name="Picture 1" descr="Figure 4. Outreach initiatives by the Ethics Office and number of members of personnel reached"/>
                    <pic:cNvPicPr/>
                  </pic:nvPicPr>
                  <pic:blipFill rotWithShape="1">
                    <a:blip r:embed="rId12"/>
                    <a:srcRect t="11548"/>
                    <a:stretch/>
                  </pic:blipFill>
                  <pic:spPr bwMode="auto">
                    <a:xfrm>
                      <a:off x="0" y="0"/>
                      <a:ext cx="5326526" cy="3100809"/>
                    </a:xfrm>
                    <a:prstGeom prst="rect">
                      <a:avLst/>
                    </a:prstGeom>
                    <a:ln>
                      <a:noFill/>
                    </a:ln>
                    <a:extLst>
                      <a:ext uri="{53640926-AAD7-44D8-BBD7-CCE9431645EC}">
                        <a14:shadowObscured xmlns:a14="http://schemas.microsoft.com/office/drawing/2010/main"/>
                      </a:ext>
                    </a:extLst>
                  </pic:spPr>
                </pic:pic>
              </a:graphicData>
            </a:graphic>
          </wp:inline>
        </w:drawing>
      </w:r>
    </w:p>
    <w:p w14:paraId="72E8E14D" w14:textId="6675E812" w:rsidR="007C7534" w:rsidRDefault="005D6FFE" w:rsidP="00621C5C">
      <w:pPr>
        <w:pStyle w:val="Heading3"/>
        <w:spacing w:after="220"/>
        <w:ind w:left="1134"/>
      </w:pPr>
      <w:r w:rsidRPr="007C7534">
        <w:t xml:space="preserve">Mandatory Ethics </w:t>
      </w:r>
      <w:r w:rsidR="00F650DB">
        <w:t xml:space="preserve">and Integrity </w:t>
      </w:r>
      <w:r w:rsidR="00AC1DBE">
        <w:t>t</w:t>
      </w:r>
      <w:r w:rsidRPr="007C7534">
        <w:t>raining</w:t>
      </w:r>
    </w:p>
    <w:p w14:paraId="4FBAA11D" w14:textId="5D9E303A" w:rsidR="002034F4" w:rsidRDefault="002034F4" w:rsidP="00242AD0">
      <w:pPr>
        <w:numPr>
          <w:ilvl w:val="0"/>
          <w:numId w:val="5"/>
        </w:numPr>
        <w:spacing w:after="220"/>
      </w:pPr>
      <w:r w:rsidRPr="006761B4">
        <w:t xml:space="preserve">The </w:t>
      </w:r>
      <w:r w:rsidRPr="007C7534">
        <w:t xml:space="preserve">Ethics </w:t>
      </w:r>
      <w:r>
        <w:t xml:space="preserve">and Integrity </w:t>
      </w:r>
      <w:r w:rsidRPr="006761B4">
        <w:t>training gives an overview of</w:t>
      </w:r>
      <w:r w:rsidR="0049013A">
        <w:t xml:space="preserve"> available</w:t>
      </w:r>
      <w:r w:rsidRPr="006761B4">
        <w:t xml:space="preserve"> ethics resources</w:t>
      </w:r>
      <w:r w:rsidR="0049013A">
        <w:t>.  It i</w:t>
      </w:r>
      <w:r w:rsidRPr="006761B4">
        <w:t>ncludes a message from the Director General on the importance of ethics at WIPO and</w:t>
      </w:r>
      <w:r>
        <w:rPr>
          <w:rStyle w:val="CommentReference"/>
        </w:rPr>
        <w:t xml:space="preserve"> </w:t>
      </w:r>
      <w:r w:rsidRPr="006761B4">
        <w:t>infographics, interactive exercises</w:t>
      </w:r>
      <w:r w:rsidR="00B26EA5">
        <w:t xml:space="preserve">, a </w:t>
      </w:r>
      <w:r w:rsidR="00B26EA5" w:rsidRPr="006761B4">
        <w:t>closing quiz</w:t>
      </w:r>
      <w:r w:rsidRPr="006761B4">
        <w:t xml:space="preserve"> and videos to convey important ethic</w:t>
      </w:r>
      <w:r>
        <w:t>al</w:t>
      </w:r>
      <w:r w:rsidRPr="006761B4">
        <w:t xml:space="preserve"> concepts in an engaging way, such as what ethics means at WIPO, ethical risks</w:t>
      </w:r>
      <w:r w:rsidR="001F6722">
        <w:t xml:space="preserve"> or dilemmas</w:t>
      </w:r>
      <w:r w:rsidRPr="006761B4">
        <w:t xml:space="preserve"> personnel may face, the expectation for managers and supervisors to act as role models, the role of the Ethics Office, and protection against retaliation. </w:t>
      </w:r>
    </w:p>
    <w:p w14:paraId="743EE768" w14:textId="5D4311FF" w:rsidR="00AC128D" w:rsidRDefault="008E2AF0" w:rsidP="00B530C6">
      <w:pPr>
        <w:numPr>
          <w:ilvl w:val="0"/>
          <w:numId w:val="5"/>
        </w:numPr>
        <w:spacing w:after="220"/>
      </w:pPr>
      <w:r>
        <w:t>In 2024, t</w:t>
      </w:r>
      <w:r w:rsidR="00730286">
        <w:t xml:space="preserve">he Ethics Office </w:t>
      </w:r>
      <w:r>
        <w:t xml:space="preserve">continued to </w:t>
      </w:r>
      <w:r w:rsidRPr="008E2AF0">
        <w:rPr>
          <w:iCs/>
          <w:lang w:val="en-GB"/>
        </w:rPr>
        <w:t>monitor completion of th</w:t>
      </w:r>
      <w:r w:rsidR="002034F4">
        <w:rPr>
          <w:iCs/>
          <w:lang w:val="en-GB"/>
        </w:rPr>
        <w:t>is</w:t>
      </w:r>
      <w:r w:rsidRPr="008E2AF0">
        <w:rPr>
          <w:iCs/>
          <w:lang w:val="en-GB"/>
        </w:rPr>
        <w:t xml:space="preserve"> mandatory </w:t>
      </w:r>
      <w:r w:rsidR="002034F4">
        <w:rPr>
          <w:iCs/>
          <w:lang w:val="en-GB"/>
        </w:rPr>
        <w:t>training</w:t>
      </w:r>
      <w:r>
        <w:rPr>
          <w:iCs/>
          <w:lang w:val="en-GB"/>
        </w:rPr>
        <w:t>,</w:t>
      </w:r>
      <w:r w:rsidRPr="008E2AF0">
        <w:t xml:space="preserve"> </w:t>
      </w:r>
      <w:r w:rsidR="00730286">
        <w:t>with the support of the WIPO Academy</w:t>
      </w:r>
      <w:r>
        <w:t>.  R</w:t>
      </w:r>
      <w:r w:rsidR="00730286">
        <w:t xml:space="preserve">egular reminders </w:t>
      </w:r>
      <w:r>
        <w:t xml:space="preserve">were sent </w:t>
      </w:r>
      <w:r w:rsidR="00730286">
        <w:t xml:space="preserve">to </w:t>
      </w:r>
      <w:r w:rsidRPr="006761B4">
        <w:t>newly recruited personnel</w:t>
      </w:r>
      <w:r w:rsidDel="008E2AF0">
        <w:t xml:space="preserve"> </w:t>
      </w:r>
      <w:r w:rsidR="00730286">
        <w:t xml:space="preserve">after their first thirty days </w:t>
      </w:r>
      <w:r w:rsidR="00730286" w:rsidRPr="00371494">
        <w:t xml:space="preserve">within the </w:t>
      </w:r>
      <w:r w:rsidR="00371494">
        <w:t>O</w:t>
      </w:r>
      <w:r w:rsidR="00730286" w:rsidRPr="00371494">
        <w:t>rganization</w:t>
      </w:r>
      <w:r w:rsidR="006761B4" w:rsidRPr="00371494">
        <w:rPr>
          <w:vertAlign w:val="superscript"/>
        </w:rPr>
        <w:footnoteReference w:id="8"/>
      </w:r>
      <w:r w:rsidR="006F757A" w:rsidRPr="00371494">
        <w:t>.</w:t>
      </w:r>
      <w:r w:rsidR="00290E47">
        <w:t xml:space="preserve"> </w:t>
      </w:r>
      <w:r w:rsidR="006761B4" w:rsidRPr="006761B4">
        <w:rPr>
          <w:vertAlign w:val="superscript"/>
        </w:rPr>
        <w:t xml:space="preserve"> </w:t>
      </w:r>
      <w:r w:rsidR="00242AD0">
        <w:rPr>
          <w:vertAlign w:val="superscript"/>
        </w:rPr>
        <w:t xml:space="preserve"> </w:t>
      </w:r>
      <w:r w:rsidR="006761B4" w:rsidRPr="006761B4">
        <w:t xml:space="preserve">In total, </w:t>
      </w:r>
      <w:r w:rsidR="002511DA">
        <w:t>up until December 31,</w:t>
      </w:r>
      <w:r w:rsidR="002511DA" w:rsidRPr="006761B4">
        <w:t xml:space="preserve"> </w:t>
      </w:r>
      <w:r w:rsidR="006761B4" w:rsidRPr="006761B4">
        <w:t>202</w:t>
      </w:r>
      <w:r w:rsidR="006F788C">
        <w:t>4</w:t>
      </w:r>
      <w:r w:rsidR="006761B4" w:rsidRPr="006761B4">
        <w:t xml:space="preserve">, </w:t>
      </w:r>
      <w:r w:rsidR="00FB448B" w:rsidRPr="00D41306">
        <w:rPr>
          <w:bCs/>
        </w:rPr>
        <w:t>1</w:t>
      </w:r>
      <w:r w:rsidR="00FB448B">
        <w:rPr>
          <w:bCs/>
        </w:rPr>
        <w:t>279</w:t>
      </w:r>
      <w:r w:rsidR="00FB448B">
        <w:rPr>
          <w:b/>
        </w:rPr>
        <w:t xml:space="preserve"> </w:t>
      </w:r>
      <w:r w:rsidR="006761B4" w:rsidRPr="006761B4">
        <w:t xml:space="preserve">out of </w:t>
      </w:r>
      <w:r w:rsidR="00FB448B">
        <w:t xml:space="preserve">1330 </w:t>
      </w:r>
      <w:r w:rsidR="002511DA">
        <w:t>staff members</w:t>
      </w:r>
      <w:r w:rsidR="002511DA" w:rsidRPr="006761B4">
        <w:t xml:space="preserve"> </w:t>
      </w:r>
      <w:r w:rsidR="006761B4" w:rsidRPr="006761B4">
        <w:t>successfully completed the e-learning course,</w:t>
      </w:r>
      <w:r w:rsidR="006761B4" w:rsidRPr="006761B4" w:rsidDel="00861B40">
        <w:rPr>
          <w:vertAlign w:val="superscript"/>
        </w:rPr>
        <w:t xml:space="preserve"> </w:t>
      </w:r>
      <w:r w:rsidR="006761B4" w:rsidRPr="006761B4">
        <w:t xml:space="preserve">with a </w:t>
      </w:r>
      <w:r w:rsidR="00FB448B">
        <w:rPr>
          <w:b/>
        </w:rPr>
        <w:t>96</w:t>
      </w:r>
      <w:r w:rsidR="00FB448B" w:rsidRPr="006761B4">
        <w:rPr>
          <w:b/>
        </w:rPr>
        <w:t> </w:t>
      </w:r>
      <w:r w:rsidR="006761B4" w:rsidRPr="006761B4">
        <w:rPr>
          <w:b/>
        </w:rPr>
        <w:t>per</w:t>
      </w:r>
      <w:r w:rsidR="00242AD0">
        <w:rPr>
          <w:b/>
        </w:rPr>
        <w:t xml:space="preserve"> </w:t>
      </w:r>
      <w:r w:rsidR="006761B4" w:rsidRPr="006761B4">
        <w:rPr>
          <w:b/>
        </w:rPr>
        <w:t>cent completion rate</w:t>
      </w:r>
      <w:r w:rsidR="006761B4" w:rsidRPr="006761B4">
        <w:rPr>
          <w:rFonts w:eastAsia="Times New Roman"/>
          <w:szCs w:val="22"/>
        </w:rPr>
        <w:t>.</w:t>
      </w:r>
      <w:r w:rsidR="006F788C">
        <w:rPr>
          <w:rFonts w:eastAsia="Times New Roman"/>
          <w:szCs w:val="22"/>
        </w:rPr>
        <w:t xml:space="preserve"> </w:t>
      </w:r>
    </w:p>
    <w:p w14:paraId="206A7F97" w14:textId="0E7219B2" w:rsidR="006761B4" w:rsidRPr="006761B4" w:rsidRDefault="006761B4" w:rsidP="00AF62EB">
      <w:pPr>
        <w:pStyle w:val="Heading2"/>
        <w:spacing w:after="220"/>
        <w:ind w:left="567"/>
      </w:pPr>
      <w:r w:rsidRPr="006761B4">
        <w:t>C.</w:t>
      </w:r>
      <w:r w:rsidRPr="006761B4">
        <w:tab/>
      </w:r>
      <w:r w:rsidR="0085625E">
        <w:t>Monitoring and s</w:t>
      </w:r>
      <w:r w:rsidR="0085625E" w:rsidRPr="006761B4">
        <w:t>tandard</w:t>
      </w:r>
      <w:r w:rsidR="0085625E">
        <w:t>-</w:t>
      </w:r>
      <w:r w:rsidR="0085625E" w:rsidRPr="006761B4">
        <w:t>setting</w:t>
      </w:r>
    </w:p>
    <w:p w14:paraId="30AD9694" w14:textId="537B810E" w:rsidR="006761B4" w:rsidRDefault="006761B4" w:rsidP="00173335">
      <w:pPr>
        <w:numPr>
          <w:ilvl w:val="0"/>
          <w:numId w:val="5"/>
        </w:numPr>
        <w:spacing w:after="220"/>
      </w:pPr>
      <w:r w:rsidRPr="006761B4">
        <w:t>The Ethics Office provide</w:t>
      </w:r>
      <w:r w:rsidR="00D26D0E">
        <w:t>s</w:t>
      </w:r>
      <w:r w:rsidRPr="006761B4">
        <w:t xml:space="preserve"> standard-setting and policy support for the development and interpretation of ethics-related policies, and input to management to ensure that</w:t>
      </w:r>
      <w:r w:rsidR="001042BF">
        <w:t xml:space="preserve"> other</w:t>
      </w:r>
      <w:r w:rsidRPr="006761B4">
        <w:t xml:space="preserve"> policies</w:t>
      </w:r>
      <w:r w:rsidR="001042BF">
        <w:t xml:space="preserve"> </w:t>
      </w:r>
      <w:r w:rsidRPr="006761B4">
        <w:t xml:space="preserve">and practices reflect, </w:t>
      </w:r>
      <w:r w:rsidR="005D6FFE" w:rsidRPr="006761B4">
        <w:t>reinforce,</w:t>
      </w:r>
      <w:r w:rsidRPr="006761B4">
        <w:t xml:space="preserve"> and promote ethical standards and integrity within WIPO.</w:t>
      </w:r>
    </w:p>
    <w:p w14:paraId="05178D73" w14:textId="24F19778" w:rsidR="007C76DC" w:rsidRDefault="007C76DC" w:rsidP="00173335">
      <w:pPr>
        <w:numPr>
          <w:ilvl w:val="0"/>
          <w:numId w:val="5"/>
        </w:numPr>
        <w:spacing w:after="220"/>
      </w:pPr>
      <w:r>
        <w:t xml:space="preserve">In the second half of 2024, </w:t>
      </w:r>
      <w:r w:rsidR="008B37F8">
        <w:t xml:space="preserve">in anticipation of the review of WIPO’s Policy on Outside Activities, </w:t>
      </w:r>
      <w:r>
        <w:t xml:space="preserve">the Ethics Office </w:t>
      </w:r>
      <w:r w:rsidR="00204F50">
        <w:t xml:space="preserve">engaged </w:t>
      </w:r>
      <w:r w:rsidR="00F54E48">
        <w:t xml:space="preserve">in discussions with HRMD and subsequently </w:t>
      </w:r>
      <w:r>
        <w:t xml:space="preserve">undertook a comparative review of the provisions </w:t>
      </w:r>
      <w:r w:rsidR="00F54E48">
        <w:t>of other UN Common System entities</w:t>
      </w:r>
      <w:r w:rsidR="00E63AD0">
        <w:rPr>
          <w:rStyle w:val="FootnoteReference"/>
        </w:rPr>
        <w:footnoteReference w:id="9"/>
      </w:r>
      <w:r w:rsidR="00204F50">
        <w:t>.</w:t>
      </w:r>
    </w:p>
    <w:p w14:paraId="16243008" w14:textId="18FB60C5" w:rsidR="00F54E48" w:rsidRPr="007527C3" w:rsidRDefault="000D32BD" w:rsidP="00F54E48">
      <w:pPr>
        <w:numPr>
          <w:ilvl w:val="0"/>
          <w:numId w:val="5"/>
        </w:numPr>
        <w:spacing w:after="220"/>
        <w:rPr>
          <w:iCs/>
          <w:lang w:val="en"/>
        </w:rPr>
      </w:pPr>
      <w:r>
        <w:rPr>
          <w:lang w:bidi="en-US"/>
        </w:rPr>
        <w:lastRenderedPageBreak/>
        <w:t>Working closely with the relevant Sector Leads, the Office of the Controller and the Office of the Legal Counsel, t</w:t>
      </w:r>
      <w:r w:rsidR="00F54E48" w:rsidRPr="00B97137">
        <w:rPr>
          <w:lang w:val="en-GB"/>
        </w:rPr>
        <w:t xml:space="preserve">he Ethics Office </w:t>
      </w:r>
      <w:r w:rsidR="00F54E48">
        <w:rPr>
          <w:lang w:val="en-GB"/>
        </w:rPr>
        <w:t xml:space="preserve">further </w:t>
      </w:r>
      <w:r w:rsidR="00F54E48" w:rsidRPr="00B97137">
        <w:rPr>
          <w:lang w:val="en-GB"/>
        </w:rPr>
        <w:t xml:space="preserve">reviewed the </w:t>
      </w:r>
      <w:r w:rsidR="00F54E48">
        <w:rPr>
          <w:lang w:val="en-GB"/>
        </w:rPr>
        <w:t xml:space="preserve">FDDI </w:t>
      </w:r>
      <w:r w:rsidR="003842ED">
        <w:rPr>
          <w:lang w:bidi="en-US"/>
        </w:rPr>
        <w:t>P</w:t>
      </w:r>
      <w:r w:rsidR="003842ED" w:rsidRPr="00B97137">
        <w:rPr>
          <w:lang w:bidi="en-US"/>
        </w:rPr>
        <w:t>olicy</w:t>
      </w:r>
      <w:r w:rsidR="002938F5" w:rsidRPr="00B97137">
        <w:rPr>
          <w:lang w:val="en-GB"/>
        </w:rPr>
        <w:t>,</w:t>
      </w:r>
      <w:r w:rsidR="002938F5">
        <w:rPr>
          <w:lang w:val="en-GB"/>
        </w:rPr>
        <w:t xml:space="preserve"> with a view to</w:t>
      </w:r>
      <w:r w:rsidR="002938F5" w:rsidRPr="00B97137">
        <w:rPr>
          <w:lang w:val="en-GB"/>
        </w:rPr>
        <w:t xml:space="preserve"> expanding its scope to cover </w:t>
      </w:r>
      <w:r w:rsidR="002938F5" w:rsidRPr="00B97137">
        <w:rPr>
          <w:lang w:bidi="en-US"/>
        </w:rPr>
        <w:t>IP-related conflicts of interest</w:t>
      </w:r>
      <w:r w:rsidR="002938F5">
        <w:rPr>
          <w:lang w:bidi="en-US"/>
        </w:rPr>
        <w:t>, in line with two recommendations from the (former) External Auditor</w:t>
      </w:r>
      <w:r w:rsidR="0023246B">
        <w:rPr>
          <w:lang w:bidi="en-US"/>
        </w:rPr>
        <w:t>.</w:t>
      </w:r>
      <w:r w:rsidR="00F54E48" w:rsidRPr="00B97137">
        <w:rPr>
          <w:lang w:bidi="en-US"/>
        </w:rPr>
        <w:t xml:space="preserve"> </w:t>
      </w:r>
    </w:p>
    <w:p w14:paraId="1E5D4A03" w14:textId="35FCC83E" w:rsidR="008D2144" w:rsidRPr="006761B4" w:rsidRDefault="007C76DC" w:rsidP="00173335">
      <w:pPr>
        <w:numPr>
          <w:ilvl w:val="0"/>
          <w:numId w:val="5"/>
        </w:numPr>
        <w:spacing w:after="220"/>
      </w:pPr>
      <w:r w:rsidRPr="006761B4">
        <w:t>The Ethics Office</w:t>
      </w:r>
      <w:r>
        <w:t xml:space="preserve"> </w:t>
      </w:r>
      <w:r w:rsidRPr="006761B4">
        <w:t xml:space="preserve">also </w:t>
      </w:r>
      <w:r>
        <w:t xml:space="preserve">provided input on </w:t>
      </w:r>
      <w:r w:rsidR="00E63AD0">
        <w:t xml:space="preserve">several </w:t>
      </w:r>
      <w:r>
        <w:t>policies</w:t>
      </w:r>
      <w:r w:rsidR="00813F69">
        <w:t xml:space="preserve"> or guidance docume</w:t>
      </w:r>
      <w:r w:rsidR="00F368BB">
        <w:t>nts</w:t>
      </w:r>
      <w:r w:rsidR="00E63AD0">
        <w:t xml:space="preserve"> developed by other internal stakeholders</w:t>
      </w:r>
      <w:r w:rsidR="002F6B2F" w:rsidRPr="002F6B2F">
        <w:t>​</w:t>
      </w:r>
      <w:r>
        <w:t>.</w:t>
      </w:r>
    </w:p>
    <w:p w14:paraId="2CB85D44" w14:textId="46ECEBC6" w:rsidR="00327F3C" w:rsidRPr="00AC128D" w:rsidRDefault="00327F3C" w:rsidP="00621C5C">
      <w:pPr>
        <w:pStyle w:val="Heading2"/>
        <w:spacing w:after="220"/>
        <w:ind w:left="567"/>
      </w:pPr>
      <w:r w:rsidRPr="00AC128D">
        <w:t>D.</w:t>
      </w:r>
      <w:r w:rsidRPr="00AC128D">
        <w:tab/>
      </w:r>
      <w:r w:rsidR="0085625E" w:rsidRPr="0014184E">
        <w:t xml:space="preserve">Review of </w:t>
      </w:r>
      <w:r w:rsidR="0085625E" w:rsidRPr="0014184E">
        <w:rPr>
          <w:szCs w:val="20"/>
        </w:rPr>
        <w:t>retaliation complaints in accordance with WIPO’s Policy to Protect against Retaliation</w:t>
      </w:r>
    </w:p>
    <w:p w14:paraId="0C8C58FB" w14:textId="604BE846" w:rsidR="00E213C7" w:rsidRDefault="00327F3C" w:rsidP="00E213C7">
      <w:pPr>
        <w:numPr>
          <w:ilvl w:val="0"/>
          <w:numId w:val="5"/>
        </w:numPr>
        <w:spacing w:after="220"/>
      </w:pPr>
      <w:r w:rsidRPr="00BD4E04">
        <w:t>The Ethics Office administer</w:t>
      </w:r>
      <w:r w:rsidR="00D26D0E">
        <w:t xml:space="preserve">s </w:t>
      </w:r>
      <w:r w:rsidR="007E1129" w:rsidRPr="0014184E">
        <w:t>WIPO’s Policy to Protect against Retaliation</w:t>
      </w:r>
      <w:r w:rsidRPr="00BD4E04">
        <w:t xml:space="preserve">, which </w:t>
      </w:r>
      <w:r w:rsidR="00552085">
        <w:t xml:space="preserve">aims at protecting </w:t>
      </w:r>
      <w:r w:rsidR="007E1129">
        <w:t xml:space="preserve">from retaliation those </w:t>
      </w:r>
      <w:r w:rsidR="00552085" w:rsidRPr="00552085">
        <w:t>who, in good faith, make a report of misconduct or cooperate in an oversight activity</w:t>
      </w:r>
      <w:r w:rsidRPr="00BD4E04">
        <w:t>.  Upon receipt of a formal complaint</w:t>
      </w:r>
      <w:r w:rsidR="007E1129">
        <w:t xml:space="preserve"> of retaliation</w:t>
      </w:r>
      <w:r w:rsidRPr="00BD4E04">
        <w:t xml:space="preserve">, the Ethics Office undertakes a preliminary review of the request, and if a </w:t>
      </w:r>
      <w:r w:rsidRPr="00BD4E04">
        <w:rPr>
          <w:i/>
          <w:iCs/>
        </w:rPr>
        <w:t>prima facie</w:t>
      </w:r>
      <w:r w:rsidRPr="00BD4E04">
        <w:t xml:space="preserve"> case of retaliation is established, the matter is referred to IOD for investigation.  Following completion of the investigation, the Ethics Office reviews the </w:t>
      </w:r>
      <w:r w:rsidR="00B530C6">
        <w:t>investigative findings</w:t>
      </w:r>
      <w:r w:rsidRPr="00BD4E04">
        <w:t xml:space="preserve">, seeks clarification </w:t>
      </w:r>
      <w:r w:rsidR="00106E5D">
        <w:t>if</w:t>
      </w:r>
      <w:r w:rsidRPr="00BD4E04">
        <w:t xml:space="preserve"> needed</w:t>
      </w:r>
      <w:r w:rsidR="00106E5D">
        <w:t>,</w:t>
      </w:r>
      <w:r w:rsidRPr="00BD4E04">
        <w:t xml:space="preserve"> and determines whether retaliation occurred. </w:t>
      </w:r>
    </w:p>
    <w:p w14:paraId="79DF333E" w14:textId="48DBEB78" w:rsidR="00327F3C" w:rsidRPr="00BD4E04" w:rsidRDefault="004972E5" w:rsidP="00621C5C">
      <w:pPr>
        <w:pStyle w:val="Heading3"/>
        <w:spacing w:after="220"/>
        <w:ind w:left="1134"/>
      </w:pPr>
      <w:r>
        <w:t xml:space="preserve">Formal </w:t>
      </w:r>
      <w:r w:rsidR="00AC1DBE">
        <w:t>r</w:t>
      </w:r>
      <w:r>
        <w:t xml:space="preserve">etaliation </w:t>
      </w:r>
      <w:r w:rsidR="00AC1DBE">
        <w:t>c</w:t>
      </w:r>
      <w:r>
        <w:t>omplaints</w:t>
      </w:r>
    </w:p>
    <w:p w14:paraId="02BDD327" w14:textId="705E3BCF" w:rsidR="00327F3C" w:rsidRPr="008B4AAF" w:rsidRDefault="00074256" w:rsidP="00571A9C">
      <w:pPr>
        <w:numPr>
          <w:ilvl w:val="0"/>
          <w:numId w:val="5"/>
        </w:numPr>
        <w:spacing w:after="220"/>
      </w:pPr>
      <w:r>
        <w:t>As may be seen</w:t>
      </w:r>
      <w:r w:rsidR="00D26D0E">
        <w:t xml:space="preserve"> in</w:t>
      </w:r>
      <w:r>
        <w:t xml:space="preserve"> </w:t>
      </w:r>
      <w:r w:rsidRPr="008B4AAF">
        <w:rPr>
          <w:b/>
          <w:bCs/>
        </w:rPr>
        <w:t xml:space="preserve">Figure </w:t>
      </w:r>
      <w:r w:rsidR="0030044C">
        <w:rPr>
          <w:b/>
          <w:bCs/>
        </w:rPr>
        <w:t>5</w:t>
      </w:r>
      <w:r>
        <w:t>, i</w:t>
      </w:r>
      <w:r w:rsidR="00327F3C" w:rsidRPr="008B4AAF">
        <w:t>n 202</w:t>
      </w:r>
      <w:r w:rsidR="006F1C98" w:rsidRPr="008B4AAF">
        <w:t>4</w:t>
      </w:r>
      <w:r w:rsidR="00327F3C" w:rsidRPr="008B4AAF">
        <w:t xml:space="preserve"> the Ethics Office received </w:t>
      </w:r>
      <w:r w:rsidR="00C10397">
        <w:t>two</w:t>
      </w:r>
      <w:r w:rsidR="00C10397" w:rsidRPr="008B4AAF">
        <w:t xml:space="preserve"> </w:t>
      </w:r>
      <w:r w:rsidR="006F1C98" w:rsidRPr="008B4AAF">
        <w:t>formal complaint</w:t>
      </w:r>
      <w:r w:rsidR="00C10397">
        <w:t>s</w:t>
      </w:r>
      <w:r w:rsidR="006F1C98" w:rsidRPr="008B4AAF">
        <w:t xml:space="preserve"> of retaliation</w:t>
      </w:r>
      <w:r w:rsidR="004972E5" w:rsidRPr="008B4AAF">
        <w:t>.</w:t>
      </w:r>
      <w:r w:rsidR="003E4A8E" w:rsidRPr="008B4AAF">
        <w:t xml:space="preserve"> </w:t>
      </w:r>
      <w:r w:rsidR="00710A9A" w:rsidRPr="008B4AAF">
        <w:t xml:space="preserve"> Having undertaken a preliminary review of the complaint</w:t>
      </w:r>
      <w:r w:rsidR="00C10397">
        <w:t>s</w:t>
      </w:r>
      <w:r w:rsidR="00710A9A" w:rsidRPr="008B4AAF">
        <w:t xml:space="preserve">, </w:t>
      </w:r>
      <w:r w:rsidR="008F7210">
        <w:t xml:space="preserve">as required under </w:t>
      </w:r>
      <w:r w:rsidR="008F7210" w:rsidRPr="0014184E">
        <w:t>WIPO’s Policy to Protect against Retaliatio</w:t>
      </w:r>
      <w:r w:rsidR="008F7210">
        <w:t xml:space="preserve">n, </w:t>
      </w:r>
      <w:r w:rsidR="00710A9A" w:rsidRPr="008B4AAF">
        <w:t>the Ethics Office determined that there was no </w:t>
      </w:r>
      <w:r w:rsidR="00710A9A" w:rsidRPr="008B4AAF">
        <w:rPr>
          <w:i/>
          <w:iCs/>
        </w:rPr>
        <w:t>prima facie</w:t>
      </w:r>
      <w:r w:rsidR="00710A9A" w:rsidRPr="008B4AAF">
        <w:t> case of retaliation</w:t>
      </w:r>
      <w:r w:rsidR="00603453">
        <w:t xml:space="preserve"> in </w:t>
      </w:r>
      <w:r w:rsidR="00906E51">
        <w:t>either case</w:t>
      </w:r>
      <w:r w:rsidR="00571A9C">
        <w:t>.</w:t>
      </w:r>
    </w:p>
    <w:p w14:paraId="1160258F" w14:textId="01586E14" w:rsidR="00913FBD" w:rsidRPr="00BD4E04" w:rsidRDefault="00913FBD" w:rsidP="009D6C94">
      <w:pPr>
        <w:keepNext/>
        <w:spacing w:after="220"/>
        <w:jc w:val="center"/>
        <w:rPr>
          <w:sz w:val="20"/>
        </w:rPr>
      </w:pPr>
      <w:r w:rsidRPr="008B4AAF">
        <w:rPr>
          <w:b/>
          <w:sz w:val="20"/>
        </w:rPr>
        <w:t xml:space="preserve">Figure </w:t>
      </w:r>
      <w:r w:rsidR="0030044C">
        <w:rPr>
          <w:b/>
          <w:sz w:val="20"/>
        </w:rPr>
        <w:t>5</w:t>
      </w:r>
      <w:r w:rsidRPr="008B4AAF">
        <w:rPr>
          <w:b/>
          <w:sz w:val="20"/>
        </w:rPr>
        <w:t>.</w:t>
      </w:r>
      <w:r w:rsidRPr="008B4AAF">
        <w:rPr>
          <w:sz w:val="20"/>
        </w:rPr>
        <w:t xml:space="preserve"> Number of </w:t>
      </w:r>
      <w:r w:rsidR="00D84716" w:rsidRPr="008B4AAF">
        <w:rPr>
          <w:sz w:val="20"/>
        </w:rPr>
        <w:t>formal complaints</w:t>
      </w:r>
      <w:r w:rsidRPr="008B4AAF">
        <w:rPr>
          <w:sz w:val="20"/>
        </w:rPr>
        <w:t xml:space="preserve"> received from 20</w:t>
      </w:r>
      <w:r w:rsidR="00F52E29" w:rsidRPr="008B4AAF">
        <w:rPr>
          <w:sz w:val="20"/>
        </w:rPr>
        <w:t>20</w:t>
      </w:r>
      <w:r w:rsidRPr="008B4AAF">
        <w:rPr>
          <w:sz w:val="20"/>
        </w:rPr>
        <w:t xml:space="preserve"> to 20</w:t>
      </w:r>
      <w:r w:rsidR="00F52E29" w:rsidRPr="008B4AAF">
        <w:rPr>
          <w:sz w:val="20"/>
        </w:rPr>
        <w:t>24</w:t>
      </w:r>
    </w:p>
    <w:p w14:paraId="4C4328C7" w14:textId="23F61F34" w:rsidR="00C7230F" w:rsidRDefault="00C7230F" w:rsidP="006761B4">
      <w:pPr>
        <w:spacing w:after="220"/>
        <w:jc w:val="center"/>
      </w:pPr>
      <w:r>
        <w:rPr>
          <w:noProof/>
        </w:rPr>
        <w:drawing>
          <wp:inline distT="0" distB="0" distL="0" distR="0" wp14:anchorId="3417C57D" wp14:editId="5D13D765">
            <wp:extent cx="5321300" cy="2762250"/>
            <wp:effectExtent l="0" t="0" r="12700" b="0"/>
            <wp:docPr id="1725862243" name="Chart 1" descr="Figure 5. Number of formal complaints received from 2020 to 2024">
              <a:extLst xmlns:a="http://schemas.openxmlformats.org/drawingml/2006/main">
                <a:ext uri="{FF2B5EF4-FFF2-40B4-BE49-F238E27FC236}">
                  <a16:creationId xmlns:a16="http://schemas.microsoft.com/office/drawing/2014/main" id="{D1A74820-8EBC-FB32-78D5-21FD52B4F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91AAA5" w14:textId="424CE0FF" w:rsidR="00FB06D7" w:rsidRDefault="0032424E" w:rsidP="00296CDB">
      <w:pPr>
        <w:numPr>
          <w:ilvl w:val="0"/>
          <w:numId w:val="5"/>
        </w:numPr>
        <w:spacing w:after="220"/>
      </w:pPr>
      <w:r w:rsidRPr="00D41306">
        <w:t>T</w:t>
      </w:r>
      <w:r w:rsidR="0039197B" w:rsidRPr="00D41306">
        <w:t xml:space="preserve">he </w:t>
      </w:r>
      <w:bookmarkStart w:id="7" w:name="_Hlk168556432"/>
      <w:bookmarkStart w:id="8" w:name="_Hlk167799943"/>
      <w:r w:rsidR="0014675B" w:rsidRPr="00D41306">
        <w:t>three</w:t>
      </w:r>
      <w:r w:rsidR="00D464D1" w:rsidRPr="00D41306">
        <w:t xml:space="preserve"> formal complaints </w:t>
      </w:r>
      <w:r w:rsidR="0014675B" w:rsidRPr="00D41306">
        <w:t xml:space="preserve">which had been </w:t>
      </w:r>
      <w:r w:rsidR="009A786F" w:rsidRPr="00D41306">
        <w:t>submitted</w:t>
      </w:r>
      <w:r w:rsidR="00D464D1" w:rsidRPr="00D41306">
        <w:t xml:space="preserve"> in 2022</w:t>
      </w:r>
      <w:r w:rsidR="0014675B" w:rsidRPr="00D41306">
        <w:t xml:space="preserve"> and remained </w:t>
      </w:r>
      <w:r w:rsidR="006F55D2" w:rsidRPr="00D41306">
        <w:t>pending</w:t>
      </w:r>
      <w:r w:rsidR="00F74423" w:rsidRPr="00D41306">
        <w:t xml:space="preserve"> in 2024</w:t>
      </w:r>
      <w:r w:rsidR="0014675B" w:rsidRPr="00D41306">
        <w:t xml:space="preserve"> </w:t>
      </w:r>
      <w:r w:rsidR="00C63AD2" w:rsidRPr="00D41306">
        <w:t xml:space="preserve">were </w:t>
      </w:r>
      <w:r w:rsidR="00EC7082" w:rsidRPr="00D41306">
        <w:t>dismissed</w:t>
      </w:r>
      <w:r w:rsidR="00274546">
        <w:t xml:space="preserve"> after (</w:t>
      </w:r>
      <w:proofErr w:type="spellStart"/>
      <w:r w:rsidR="00274546">
        <w:t>i</w:t>
      </w:r>
      <w:proofErr w:type="spellEnd"/>
      <w:r w:rsidR="00274546">
        <w:t xml:space="preserve">) </w:t>
      </w:r>
      <w:r w:rsidR="00673BEA" w:rsidRPr="00D41306">
        <w:t>the Internal Oversight Division</w:t>
      </w:r>
      <w:r w:rsidR="001432AC">
        <w:t xml:space="preserve"> (IOD)</w:t>
      </w:r>
      <w:r w:rsidR="00673BEA" w:rsidRPr="008B4AAF">
        <w:t xml:space="preserve"> investigated the matter</w:t>
      </w:r>
      <w:r w:rsidR="0047146C">
        <w:t>s</w:t>
      </w:r>
      <w:r w:rsidR="00274546">
        <w:t>; (ii)</w:t>
      </w:r>
      <w:r w:rsidR="00EC7082">
        <w:t xml:space="preserve"> </w:t>
      </w:r>
      <w:r w:rsidR="00683C24" w:rsidRPr="008B4AAF">
        <w:t>t</w:t>
      </w:r>
      <w:r w:rsidR="0098069E" w:rsidRPr="008B4AAF">
        <w:t xml:space="preserve">he </w:t>
      </w:r>
      <w:r w:rsidR="00D5662D" w:rsidRPr="008B4AAF">
        <w:t xml:space="preserve">Ethics Office </w:t>
      </w:r>
      <w:r w:rsidR="000D0E8A" w:rsidRPr="008B4AAF">
        <w:t>determined that retaliation had not occurred</w:t>
      </w:r>
      <w:r w:rsidR="00C024FA">
        <w:t>,</w:t>
      </w:r>
      <w:r w:rsidR="00EC7082">
        <w:t xml:space="preserve"> and </w:t>
      </w:r>
      <w:r w:rsidR="00274546">
        <w:t xml:space="preserve">(iii) </w:t>
      </w:r>
      <w:r w:rsidR="00EC7082">
        <w:t xml:space="preserve">the Director General decided to endorse </w:t>
      </w:r>
      <w:r w:rsidR="00274546">
        <w:t xml:space="preserve">the Ethics Office’s </w:t>
      </w:r>
      <w:r w:rsidR="00EC7082">
        <w:t>determination</w:t>
      </w:r>
      <w:r w:rsidR="0047146C">
        <w:t>s</w:t>
      </w:r>
      <w:r w:rsidR="00D5662D" w:rsidRPr="008B4AAF">
        <w:t>.</w:t>
      </w:r>
      <w:r w:rsidR="00BB708C">
        <w:t xml:space="preserve"> </w:t>
      </w:r>
    </w:p>
    <w:p w14:paraId="60A3D0D6" w14:textId="09347ACF" w:rsidR="008B2B1F" w:rsidRDefault="001C0FEA" w:rsidP="008B4AAF">
      <w:pPr>
        <w:numPr>
          <w:ilvl w:val="0"/>
          <w:numId w:val="5"/>
        </w:numPr>
        <w:spacing w:after="220"/>
      </w:pPr>
      <w:r w:rsidRPr="008B4AAF">
        <w:t xml:space="preserve">Out of the four </w:t>
      </w:r>
      <w:r w:rsidR="009A786F" w:rsidRPr="008B4AAF">
        <w:t xml:space="preserve">formal complaints </w:t>
      </w:r>
      <w:r w:rsidR="009A786F" w:rsidRPr="00B839F0">
        <w:t xml:space="preserve">submitted in 2023, only </w:t>
      </w:r>
      <w:r w:rsidR="009A786F" w:rsidRPr="00D41306">
        <w:t>one</w:t>
      </w:r>
      <w:r w:rsidR="009A786F" w:rsidRPr="00B839F0">
        <w:t xml:space="preserve"> remained </w:t>
      </w:r>
      <w:r w:rsidR="00C30A63">
        <w:t>pending</w:t>
      </w:r>
      <w:r w:rsidR="009A786F" w:rsidRPr="00B839F0">
        <w:t xml:space="preserve"> </w:t>
      </w:r>
      <w:r w:rsidR="00B528DC">
        <w:t xml:space="preserve">with IOD </w:t>
      </w:r>
      <w:r w:rsidR="009A786F" w:rsidRPr="00B839F0">
        <w:t>in 2024</w:t>
      </w:r>
      <w:r w:rsidR="00B94FA2">
        <w:t xml:space="preserve"> (following </w:t>
      </w:r>
      <w:r w:rsidR="00B528DC">
        <w:t>the</w:t>
      </w:r>
      <w:r w:rsidR="00B812D2">
        <w:t xml:space="preserve"> determination by the </w:t>
      </w:r>
      <w:r w:rsidR="00B528DC" w:rsidRPr="007527C3">
        <w:t>Ethics Office</w:t>
      </w:r>
      <w:r w:rsidR="00B812D2">
        <w:t xml:space="preserve"> </w:t>
      </w:r>
      <w:r w:rsidR="00B528DC" w:rsidRPr="007527C3">
        <w:t xml:space="preserve">that </w:t>
      </w:r>
      <w:r w:rsidR="00B528DC">
        <w:t xml:space="preserve">there was a </w:t>
      </w:r>
      <w:r w:rsidR="00B528DC" w:rsidRPr="008B4AAF">
        <w:rPr>
          <w:i/>
          <w:iCs/>
        </w:rPr>
        <w:t>prima facie</w:t>
      </w:r>
      <w:r w:rsidR="00B528DC">
        <w:t xml:space="preserve"> case of </w:t>
      </w:r>
      <w:r w:rsidR="00B528DC" w:rsidRPr="007527C3">
        <w:t>retaliation</w:t>
      </w:r>
      <w:r w:rsidR="00B94FA2">
        <w:t>)</w:t>
      </w:r>
      <w:r w:rsidR="00B528DC">
        <w:t>.</w:t>
      </w:r>
      <w:r w:rsidR="00A02C8B">
        <w:t xml:space="preserve"> </w:t>
      </w:r>
      <w:bookmarkEnd w:id="7"/>
      <w:r w:rsidR="00CA3DE8" w:rsidRPr="008B4AAF">
        <w:rPr>
          <w:b/>
          <w:bCs/>
        </w:rPr>
        <w:t xml:space="preserve">Figure </w:t>
      </w:r>
      <w:r w:rsidR="0030044C">
        <w:rPr>
          <w:b/>
          <w:bCs/>
        </w:rPr>
        <w:t>6</w:t>
      </w:r>
      <w:r w:rsidR="00CA3DE8" w:rsidRPr="008B4AAF">
        <w:t xml:space="preserve"> shows </w:t>
      </w:r>
      <w:r w:rsidR="001F5954" w:rsidRPr="008B4AAF">
        <w:t>the status</w:t>
      </w:r>
      <w:r w:rsidR="007C3147" w:rsidRPr="008B4AAF">
        <w:t xml:space="preserve"> of </w:t>
      </w:r>
      <w:r w:rsidR="001F5954" w:rsidRPr="008B4AAF">
        <w:t xml:space="preserve">the </w:t>
      </w:r>
      <w:r w:rsidR="00CA3DE8" w:rsidRPr="008B4AAF">
        <w:t>request</w:t>
      </w:r>
      <w:r w:rsidR="008E217F" w:rsidRPr="008B4AAF">
        <w:t>s</w:t>
      </w:r>
      <w:r w:rsidR="007C3147" w:rsidRPr="008B4AAF">
        <w:t xml:space="preserve"> that were</w:t>
      </w:r>
      <w:r w:rsidR="008E217F" w:rsidRPr="008B4AAF">
        <w:t xml:space="preserve"> received </w:t>
      </w:r>
      <w:r w:rsidR="003272A6" w:rsidRPr="008B4AAF">
        <w:t xml:space="preserve">by the Ethics Office </w:t>
      </w:r>
      <w:r w:rsidR="008E217F" w:rsidRPr="008B4AAF">
        <w:t>in 202</w:t>
      </w:r>
      <w:r w:rsidR="007E7473" w:rsidRPr="008B4AAF">
        <w:t>4</w:t>
      </w:r>
      <w:r w:rsidR="008E217F" w:rsidRPr="008B4AAF">
        <w:t>,</w:t>
      </w:r>
      <w:r w:rsidR="001E0234" w:rsidRPr="008B4AAF">
        <w:t xml:space="preserve"> </w:t>
      </w:r>
      <w:r w:rsidR="007C3147" w:rsidRPr="008B4AAF">
        <w:t>and/or</w:t>
      </w:r>
      <w:r w:rsidR="001E0234" w:rsidRPr="008B4AAF">
        <w:t xml:space="preserve"> pending with IOD at the end of 202</w:t>
      </w:r>
      <w:r w:rsidR="007E7473" w:rsidRPr="008B4AAF">
        <w:t>4</w:t>
      </w:r>
      <w:r w:rsidR="001E0234" w:rsidRPr="008B4AAF">
        <w:t>.</w:t>
      </w:r>
      <w:r w:rsidR="001E0234" w:rsidDel="001E0234">
        <w:t xml:space="preserve"> </w:t>
      </w:r>
      <w:bookmarkStart w:id="9" w:name="_Hlk167799854"/>
      <w:bookmarkEnd w:id="8"/>
    </w:p>
    <w:p w14:paraId="7D3F996C" w14:textId="5C6CF516" w:rsidR="006761B4" w:rsidRPr="008C6B99" w:rsidRDefault="006761B4" w:rsidP="000B03EA">
      <w:pPr>
        <w:keepNext/>
        <w:spacing w:after="220"/>
        <w:jc w:val="center"/>
        <w:rPr>
          <w:strike/>
          <w:szCs w:val="28"/>
        </w:rPr>
      </w:pPr>
      <w:r w:rsidRPr="008B4AAF">
        <w:rPr>
          <w:b/>
          <w:sz w:val="20"/>
          <w:szCs w:val="28"/>
        </w:rPr>
        <w:lastRenderedPageBreak/>
        <w:t xml:space="preserve">Figure </w:t>
      </w:r>
      <w:r w:rsidR="0030044C">
        <w:rPr>
          <w:b/>
          <w:sz w:val="20"/>
          <w:szCs w:val="28"/>
        </w:rPr>
        <w:t>6</w:t>
      </w:r>
      <w:r w:rsidRPr="008B4AAF">
        <w:rPr>
          <w:b/>
          <w:sz w:val="20"/>
          <w:szCs w:val="28"/>
        </w:rPr>
        <w:t>.</w:t>
      </w:r>
      <w:r w:rsidRPr="008B4AAF">
        <w:rPr>
          <w:bCs/>
          <w:sz w:val="20"/>
          <w:szCs w:val="28"/>
        </w:rPr>
        <w:t xml:space="preserve"> </w:t>
      </w:r>
      <w:r w:rsidR="00BA3D84" w:rsidRPr="008B4AAF">
        <w:rPr>
          <w:sz w:val="20"/>
          <w:szCs w:val="28"/>
        </w:rPr>
        <w:t>Status</w:t>
      </w:r>
      <w:r w:rsidRPr="008B4AAF">
        <w:rPr>
          <w:sz w:val="20"/>
          <w:szCs w:val="28"/>
        </w:rPr>
        <w:t xml:space="preserve"> of </w:t>
      </w:r>
      <w:r w:rsidR="00BB708C">
        <w:rPr>
          <w:sz w:val="20"/>
          <w:szCs w:val="28"/>
        </w:rPr>
        <w:t xml:space="preserve">formal </w:t>
      </w:r>
      <w:bookmarkEnd w:id="9"/>
      <w:r w:rsidR="00BB708C">
        <w:rPr>
          <w:sz w:val="20"/>
          <w:szCs w:val="28"/>
        </w:rPr>
        <w:t>complaints</w:t>
      </w:r>
      <w:r w:rsidR="008B43B0" w:rsidRPr="008B4AAF">
        <w:rPr>
          <w:sz w:val="20"/>
          <w:szCs w:val="28"/>
        </w:rPr>
        <w:t xml:space="preserve"> at the end of 202</w:t>
      </w:r>
      <w:r w:rsidR="007E7473" w:rsidRPr="008B4AAF">
        <w:rPr>
          <w:sz w:val="20"/>
          <w:szCs w:val="28"/>
        </w:rPr>
        <w:t>4</w:t>
      </w:r>
    </w:p>
    <w:p w14:paraId="11307801" w14:textId="44978A8F" w:rsidR="0094708D" w:rsidRDefault="0094708D" w:rsidP="00C76813">
      <w:pPr>
        <w:spacing w:after="220"/>
        <w:ind w:left="-432" w:firstLine="567"/>
        <w:jc w:val="center"/>
        <w:rPr>
          <w:strike/>
          <w:szCs w:val="28"/>
        </w:rPr>
      </w:pPr>
      <w:r>
        <w:rPr>
          <w:noProof/>
        </w:rPr>
        <w:drawing>
          <wp:inline distT="0" distB="0" distL="0" distR="0" wp14:anchorId="04AB6453" wp14:editId="0AE1F0EB">
            <wp:extent cx="5695950" cy="2771775"/>
            <wp:effectExtent l="0" t="0" r="0" b="9525"/>
            <wp:docPr id="1622988588" name="Chart 1" descr="Figure 6. Status of formal complaints at the end of 2024">
              <a:extLst xmlns:a="http://schemas.openxmlformats.org/drawingml/2006/main">
                <a:ext uri="{FF2B5EF4-FFF2-40B4-BE49-F238E27FC236}">
                  <a16:creationId xmlns:a16="http://schemas.microsoft.com/office/drawing/2014/main" id="{21ED26E3-72B3-2D7C-7EB7-0F0E9DE4C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067B72" w14:textId="77777777" w:rsidR="0094708D" w:rsidRDefault="0094708D" w:rsidP="000B03EA">
      <w:pPr>
        <w:spacing w:after="220"/>
        <w:ind w:left="-432" w:firstLine="567"/>
        <w:rPr>
          <w:strike/>
          <w:szCs w:val="28"/>
        </w:rPr>
      </w:pPr>
    </w:p>
    <w:p w14:paraId="0BEDBDD9" w14:textId="0DAB6727" w:rsidR="006761B4" w:rsidRPr="006761B4" w:rsidRDefault="00DC2603" w:rsidP="00AF62EB">
      <w:pPr>
        <w:pStyle w:val="Heading3"/>
        <w:spacing w:after="220"/>
        <w:ind w:left="1134"/>
      </w:pPr>
      <w:r>
        <w:t>Confidential a</w:t>
      </w:r>
      <w:r w:rsidR="006761B4" w:rsidRPr="006761B4">
        <w:t>dvice</w:t>
      </w:r>
      <w:r>
        <w:t xml:space="preserve"> on </w:t>
      </w:r>
      <w:r w:rsidR="000F422B">
        <w:t>allegations of retaliation</w:t>
      </w:r>
    </w:p>
    <w:p w14:paraId="3A98D9D1" w14:textId="4871AC89" w:rsidR="006761B4" w:rsidRPr="00D049FF" w:rsidRDefault="006761B4" w:rsidP="006C0F0B">
      <w:pPr>
        <w:pStyle w:val="ONUME"/>
        <w:rPr>
          <w:i/>
          <w:u w:val="single"/>
        </w:rPr>
      </w:pPr>
      <w:r w:rsidRPr="008B4AAF">
        <w:t xml:space="preserve">The Ethics Office responded to </w:t>
      </w:r>
      <w:r w:rsidR="00906E51">
        <w:t>eight</w:t>
      </w:r>
      <w:r w:rsidR="00FF56B7" w:rsidRPr="008B4AAF">
        <w:t xml:space="preserve"> </w:t>
      </w:r>
      <w:r w:rsidRPr="008B4AAF">
        <w:t xml:space="preserve">separate </w:t>
      </w:r>
      <w:r w:rsidR="00FF56B7" w:rsidRPr="008B4AAF">
        <w:t>requests for advice relating to retaliation</w:t>
      </w:r>
      <w:r w:rsidRPr="008B4AAF">
        <w:t xml:space="preserve">, where colleagues sought </w:t>
      </w:r>
      <w:r w:rsidR="004F1023">
        <w:t>further clarification</w:t>
      </w:r>
      <w:r w:rsidR="00603453">
        <w:t>s</w:t>
      </w:r>
      <w:r w:rsidR="004F1023">
        <w:t xml:space="preserve"> on the applicable procedure, </w:t>
      </w:r>
      <w:r w:rsidR="00603453">
        <w:t xml:space="preserve">or </w:t>
      </w:r>
      <w:r w:rsidRPr="008B4AAF">
        <w:t xml:space="preserve">advice or reassurance about protection either before going on to report misconduct </w:t>
      </w:r>
      <w:r w:rsidR="001E1FFA">
        <w:t xml:space="preserve">or </w:t>
      </w:r>
      <w:r w:rsidRPr="008B4AAF">
        <w:t xml:space="preserve">when feeling exposed, having engaged in a protected activity. </w:t>
      </w:r>
      <w:r w:rsidR="00952B3B" w:rsidRPr="008B4AAF">
        <w:t xml:space="preserve"> </w:t>
      </w:r>
    </w:p>
    <w:p w14:paraId="176B0F52" w14:textId="0120BD78" w:rsidR="0051712C" w:rsidRPr="008B4AAF" w:rsidRDefault="0051712C" w:rsidP="0051712C">
      <w:pPr>
        <w:pStyle w:val="Heading3"/>
        <w:spacing w:after="220"/>
        <w:ind w:left="567" w:hanging="27"/>
        <w:rPr>
          <w:caps/>
          <w:u w:val="none"/>
        </w:rPr>
      </w:pPr>
      <w:r w:rsidRPr="008602C4">
        <w:rPr>
          <w:u w:val="none"/>
        </w:rPr>
        <w:t>E.</w:t>
      </w:r>
      <w:r w:rsidRPr="008602C4">
        <w:rPr>
          <w:u w:val="none"/>
        </w:rPr>
        <w:tab/>
      </w:r>
      <w:r w:rsidR="00CC1A38" w:rsidRPr="008B4AAF">
        <w:rPr>
          <w:caps/>
          <w:u w:val="none"/>
        </w:rPr>
        <w:t>Administration of the FDDI policy</w:t>
      </w:r>
    </w:p>
    <w:p w14:paraId="657405EC" w14:textId="7DEDF945" w:rsidR="00F14D60" w:rsidRDefault="006761B4" w:rsidP="00F14D60">
      <w:pPr>
        <w:numPr>
          <w:ilvl w:val="0"/>
          <w:numId w:val="5"/>
        </w:numPr>
        <w:spacing w:after="220"/>
      </w:pPr>
      <w:r w:rsidRPr="006761B4">
        <w:t xml:space="preserve">The </w:t>
      </w:r>
      <w:r w:rsidR="00F14D60">
        <w:t xml:space="preserve">purpose of the </w:t>
      </w:r>
      <w:r w:rsidRPr="006761B4">
        <w:t xml:space="preserve">FDDI program administered by the Ethics Office </w:t>
      </w:r>
      <w:r w:rsidR="00ED2BBC" w:rsidRPr="00F14D60">
        <w:rPr>
          <w:color w:val="000000" w:themeColor="text1"/>
          <w:szCs w:val="22"/>
          <w:lang w:val="en-GB"/>
        </w:rPr>
        <w:t xml:space="preserve">is threefold: </w:t>
      </w:r>
      <w:r w:rsidR="0030044C">
        <w:rPr>
          <w:color w:val="000000" w:themeColor="text1"/>
          <w:szCs w:val="22"/>
          <w:lang w:val="en-GB"/>
        </w:rPr>
        <w:br/>
        <w:t>(</w:t>
      </w:r>
      <w:proofErr w:type="spellStart"/>
      <w:r w:rsidR="002C03E8">
        <w:rPr>
          <w:color w:val="000000" w:themeColor="text1"/>
          <w:szCs w:val="22"/>
          <w:lang w:val="en-GB"/>
        </w:rPr>
        <w:t>i</w:t>
      </w:r>
      <w:proofErr w:type="spellEnd"/>
      <w:r w:rsidR="002C03E8">
        <w:rPr>
          <w:color w:val="000000" w:themeColor="text1"/>
          <w:szCs w:val="22"/>
          <w:lang w:val="en-GB"/>
        </w:rPr>
        <w:t xml:space="preserve">) </w:t>
      </w:r>
      <w:r w:rsidR="00D419FA">
        <w:rPr>
          <w:color w:val="000000" w:themeColor="text1"/>
          <w:szCs w:val="22"/>
          <w:lang w:val="en-GB"/>
        </w:rPr>
        <w:t>promoting</w:t>
      </w:r>
      <w:r w:rsidR="00D419FA" w:rsidRPr="00F14D60">
        <w:rPr>
          <w:color w:val="000000" w:themeColor="text1"/>
          <w:szCs w:val="22"/>
          <w:lang w:val="en-GB"/>
        </w:rPr>
        <w:t xml:space="preserve"> </w:t>
      </w:r>
      <w:r w:rsidR="00ED2BBC" w:rsidRPr="00F14D60">
        <w:rPr>
          <w:color w:val="000000" w:themeColor="text1"/>
          <w:szCs w:val="22"/>
          <w:lang w:val="en-GB"/>
        </w:rPr>
        <w:t xml:space="preserve">transparency and personal accountability, </w:t>
      </w:r>
      <w:r w:rsidR="002C03E8">
        <w:rPr>
          <w:color w:val="000000" w:themeColor="text1"/>
          <w:szCs w:val="22"/>
          <w:lang w:val="en-GB"/>
        </w:rPr>
        <w:t xml:space="preserve">(ii) </w:t>
      </w:r>
      <w:r w:rsidR="00ED2BBC" w:rsidRPr="00F14D60">
        <w:rPr>
          <w:color w:val="000000" w:themeColor="text1"/>
          <w:szCs w:val="22"/>
        </w:rPr>
        <w:t xml:space="preserve">enhancing internal and </w:t>
      </w:r>
      <w:r w:rsidR="00ED2BBC" w:rsidRPr="008B4AAF">
        <w:t>external</w:t>
      </w:r>
      <w:r w:rsidR="00ED2BBC" w:rsidRPr="00F14D60">
        <w:rPr>
          <w:color w:val="000000" w:themeColor="text1"/>
          <w:szCs w:val="22"/>
        </w:rPr>
        <w:t xml:space="preserve"> public trust in </w:t>
      </w:r>
      <w:r w:rsidR="00F14D60">
        <w:rPr>
          <w:color w:val="000000" w:themeColor="text1"/>
          <w:szCs w:val="22"/>
        </w:rPr>
        <w:t xml:space="preserve">WIPO’s </w:t>
      </w:r>
      <w:r w:rsidR="00ED2BBC" w:rsidRPr="00F14D60">
        <w:rPr>
          <w:color w:val="000000" w:themeColor="text1"/>
          <w:szCs w:val="22"/>
        </w:rPr>
        <w:t>integrity</w:t>
      </w:r>
      <w:r w:rsidR="00F14D60">
        <w:rPr>
          <w:color w:val="000000" w:themeColor="text1"/>
          <w:szCs w:val="22"/>
        </w:rPr>
        <w:t>,</w:t>
      </w:r>
      <w:r w:rsidR="00ED2BBC" w:rsidRPr="00F14D60">
        <w:rPr>
          <w:color w:val="000000" w:themeColor="text1"/>
          <w:szCs w:val="22"/>
        </w:rPr>
        <w:t xml:space="preserve"> and </w:t>
      </w:r>
      <w:r w:rsidR="002C03E8">
        <w:rPr>
          <w:color w:val="000000" w:themeColor="text1"/>
          <w:szCs w:val="22"/>
        </w:rPr>
        <w:t xml:space="preserve">(iii) </w:t>
      </w:r>
      <w:r w:rsidR="00ED2BBC" w:rsidRPr="00F14D60">
        <w:rPr>
          <w:color w:val="000000" w:themeColor="text1"/>
          <w:szCs w:val="22"/>
        </w:rPr>
        <w:t xml:space="preserve">assisting </w:t>
      </w:r>
      <w:r w:rsidR="0030044C">
        <w:rPr>
          <w:color w:val="000000" w:themeColor="text1"/>
          <w:szCs w:val="22"/>
        </w:rPr>
        <w:t xml:space="preserve">the Organization </w:t>
      </w:r>
      <w:r w:rsidR="00ED2BBC" w:rsidRPr="00F14D60">
        <w:rPr>
          <w:color w:val="000000" w:themeColor="text1"/>
          <w:szCs w:val="22"/>
        </w:rPr>
        <w:t xml:space="preserve">to manage the risk of </w:t>
      </w:r>
      <w:r w:rsidR="00ED2BBC" w:rsidRPr="008B4AAF">
        <w:t>actual</w:t>
      </w:r>
      <w:r w:rsidR="00ED2BBC" w:rsidRPr="00F14D60">
        <w:rPr>
          <w:color w:val="000000" w:themeColor="text1"/>
          <w:szCs w:val="22"/>
        </w:rPr>
        <w:t>, potential and perceived conflicts of interest through disclosure, mitigation and prevention</w:t>
      </w:r>
      <w:r w:rsidR="00ED2BBC" w:rsidRPr="00F14D60">
        <w:rPr>
          <w:color w:val="000000" w:themeColor="text1"/>
          <w:szCs w:val="22"/>
          <w:lang w:val="en-GB"/>
        </w:rPr>
        <w:t>, by requiring selected members of personnel to report annually on their financial and other interests</w:t>
      </w:r>
      <w:r w:rsidR="00F14D60" w:rsidRPr="00F14D60">
        <w:rPr>
          <w:color w:val="000000" w:themeColor="text1"/>
          <w:szCs w:val="22"/>
          <w:lang w:val="en-GB"/>
        </w:rPr>
        <w:t>.</w:t>
      </w:r>
    </w:p>
    <w:p w14:paraId="77ABBFFA" w14:textId="77777777" w:rsidR="000914F5" w:rsidRPr="000914F5" w:rsidRDefault="006761B4" w:rsidP="0030044C">
      <w:pPr>
        <w:numPr>
          <w:ilvl w:val="0"/>
          <w:numId w:val="5"/>
        </w:numPr>
        <w:spacing w:after="220"/>
        <w:rPr>
          <w:noProof/>
          <w:sz w:val="20"/>
        </w:rPr>
      </w:pPr>
      <w:r w:rsidRPr="006761B4">
        <w:t>In 202</w:t>
      </w:r>
      <w:r w:rsidR="006F788C">
        <w:t>4</w:t>
      </w:r>
      <w:r w:rsidRPr="006761B4">
        <w:t xml:space="preserve">, a total of </w:t>
      </w:r>
      <w:r w:rsidR="009216FE" w:rsidRPr="001B51B4">
        <w:rPr>
          <w:bCs/>
        </w:rPr>
        <w:t>110</w:t>
      </w:r>
      <w:r w:rsidRPr="006761B4">
        <w:t xml:space="preserve"> staff members</w:t>
      </w:r>
      <w:r w:rsidR="005C1474">
        <w:rPr>
          <w:rStyle w:val="FootnoteReference"/>
        </w:rPr>
        <w:footnoteReference w:id="10"/>
      </w:r>
      <w:r w:rsidR="00C60A57">
        <w:t xml:space="preserve"> </w:t>
      </w:r>
      <w:r w:rsidRPr="006761B4">
        <w:t xml:space="preserve">– at the level of D1 and above, as well as other staff working in specifically designated </w:t>
      </w:r>
      <w:r w:rsidRPr="0030044C">
        <w:rPr>
          <w:color w:val="000000" w:themeColor="text1"/>
          <w:szCs w:val="22"/>
          <w:lang w:val="en-GB"/>
        </w:rPr>
        <w:t>categories</w:t>
      </w:r>
      <w:r w:rsidRPr="006761B4">
        <w:t xml:space="preserve"> – </w:t>
      </w:r>
      <w:r w:rsidR="009216FE">
        <w:t xml:space="preserve">were invited to </w:t>
      </w:r>
      <w:r w:rsidRPr="006761B4">
        <w:t xml:space="preserve">participate in the annual FDDI </w:t>
      </w:r>
      <w:r w:rsidR="00D84483">
        <w:t>exercise</w:t>
      </w:r>
      <w:r w:rsidRPr="006761B4">
        <w:t>, which covered the 202</w:t>
      </w:r>
      <w:r w:rsidR="006F788C">
        <w:t>3</w:t>
      </w:r>
      <w:r w:rsidRPr="006761B4">
        <w:t xml:space="preserve"> calendar year.</w:t>
      </w:r>
      <w:r w:rsidR="00DF490E">
        <w:t xml:space="preserve"> </w:t>
      </w:r>
      <w:r w:rsidR="001E1FFA">
        <w:t xml:space="preserve"> </w:t>
      </w:r>
    </w:p>
    <w:p w14:paraId="49912079" w14:textId="1C1BA9BF" w:rsidR="005C251C" w:rsidRPr="001B51B4" w:rsidRDefault="00621C5C" w:rsidP="000D1BE8">
      <w:pPr>
        <w:keepNext/>
        <w:spacing w:after="220"/>
        <w:jc w:val="center"/>
        <w:rPr>
          <w:noProof/>
          <w:sz w:val="20"/>
        </w:rPr>
      </w:pPr>
      <w:r w:rsidRPr="001B51B4">
        <w:rPr>
          <w:b/>
          <w:sz w:val="20"/>
        </w:rPr>
        <w:lastRenderedPageBreak/>
        <w:t xml:space="preserve">Figure </w:t>
      </w:r>
      <w:r w:rsidR="0030044C">
        <w:rPr>
          <w:b/>
          <w:sz w:val="20"/>
        </w:rPr>
        <w:t>7</w:t>
      </w:r>
      <w:r w:rsidRPr="001B51B4">
        <w:rPr>
          <w:b/>
          <w:sz w:val="20"/>
        </w:rPr>
        <w:t>.</w:t>
      </w:r>
      <w:r w:rsidRPr="001B51B4">
        <w:rPr>
          <w:bCs/>
          <w:sz w:val="20"/>
        </w:rPr>
        <w:t xml:space="preserve"> </w:t>
      </w:r>
      <w:r w:rsidR="000914F5">
        <w:rPr>
          <w:bCs/>
          <w:sz w:val="20"/>
        </w:rPr>
        <w:t>Staff members invited to participate in the annual FDDI exercise</w:t>
      </w:r>
      <w:r w:rsidRPr="001B51B4">
        <w:rPr>
          <w:sz w:val="20"/>
        </w:rPr>
        <w:t>, 20</w:t>
      </w:r>
      <w:r w:rsidR="006F788C" w:rsidRPr="001B51B4">
        <w:rPr>
          <w:sz w:val="20"/>
        </w:rPr>
        <w:t>20</w:t>
      </w:r>
      <w:r w:rsidRPr="001B51B4">
        <w:rPr>
          <w:sz w:val="20"/>
        </w:rPr>
        <w:t xml:space="preserve"> to 202</w:t>
      </w:r>
      <w:r w:rsidR="006F788C" w:rsidRPr="001B51B4">
        <w:rPr>
          <w:sz w:val="20"/>
        </w:rPr>
        <w:t>4</w:t>
      </w:r>
    </w:p>
    <w:p w14:paraId="6687A86B" w14:textId="16460021" w:rsidR="00957B0C" w:rsidRDefault="00957B0C" w:rsidP="005C251C">
      <w:pPr>
        <w:spacing w:after="220"/>
        <w:jc w:val="center"/>
        <w:rPr>
          <w:noProof/>
        </w:rPr>
      </w:pPr>
      <w:r>
        <w:rPr>
          <w:noProof/>
        </w:rPr>
        <w:drawing>
          <wp:inline distT="0" distB="0" distL="0" distR="0" wp14:anchorId="167FBD5E" wp14:editId="056FB477">
            <wp:extent cx="4572000" cy="2743200"/>
            <wp:effectExtent l="0" t="0" r="0" b="0"/>
            <wp:docPr id="1971788386" name="Chart 1" descr="Figure 7. Staff members invited to participate in the annual FDDI exercise, 2020 to 2024">
              <a:extLst xmlns:a="http://schemas.openxmlformats.org/drawingml/2006/main">
                <a:ext uri="{FF2B5EF4-FFF2-40B4-BE49-F238E27FC236}">
                  <a16:creationId xmlns:a16="http://schemas.microsoft.com/office/drawing/2014/main" id="{A73F577B-F0AB-4B61-8C77-58545E2F8E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9A553C" w14:textId="2C13C6FC" w:rsidR="000F7DED" w:rsidRPr="000F7DED" w:rsidRDefault="007155A0" w:rsidP="000270A9">
      <w:pPr>
        <w:pStyle w:val="ONUME"/>
      </w:pPr>
      <w:r>
        <w:t xml:space="preserve">Having </w:t>
      </w:r>
      <w:r w:rsidR="00486881">
        <w:t xml:space="preserve">assessed the completeness </w:t>
      </w:r>
      <w:r w:rsidR="00FC276E">
        <w:t xml:space="preserve">of, and </w:t>
      </w:r>
      <w:r>
        <w:t>analyzed</w:t>
      </w:r>
      <w:r w:rsidR="00FC276E">
        <w:t>,</w:t>
      </w:r>
      <w:r w:rsidR="0077604E">
        <w:t xml:space="preserve"> </w:t>
      </w:r>
      <w:r w:rsidR="000C6DBD">
        <w:t xml:space="preserve">the </w:t>
      </w:r>
      <w:r w:rsidR="00FC276E">
        <w:t>FDDI</w:t>
      </w:r>
      <w:r w:rsidR="000C6DBD">
        <w:t xml:space="preserve"> statements, </w:t>
      </w:r>
      <w:r w:rsidR="009E2047">
        <w:t>the external reviewer</w:t>
      </w:r>
      <w:r w:rsidR="00C20F7C" w:rsidRPr="00E913B6">
        <w:t xml:space="preserve"> </w:t>
      </w:r>
      <w:r w:rsidR="0086396B">
        <w:t xml:space="preserve">did not identify any actual, perceived or potential </w:t>
      </w:r>
      <w:r w:rsidR="00D57302">
        <w:t>conflict</w:t>
      </w:r>
      <w:r w:rsidR="00B04D31">
        <w:t>s</w:t>
      </w:r>
      <w:r w:rsidR="00D57302">
        <w:t xml:space="preserve"> of interest.</w:t>
      </w:r>
      <w:r w:rsidR="00C20F7C" w:rsidRPr="00E913B6">
        <w:t xml:space="preserve"> </w:t>
      </w:r>
      <w:r w:rsidR="0086396B">
        <w:t xml:space="preserve"> </w:t>
      </w:r>
      <w:r w:rsidR="001B508E">
        <w:t xml:space="preserve">Subsequently, </w:t>
      </w:r>
      <w:r w:rsidR="00D049FF">
        <w:t>nine</w:t>
      </w:r>
      <w:r w:rsidR="006761B4" w:rsidRPr="006761B4">
        <w:t xml:space="preserve"> participants were randomly selected to participate in the verification process </w:t>
      </w:r>
      <w:r w:rsidR="002F7339">
        <w:t xml:space="preserve">contemplated in the </w:t>
      </w:r>
      <w:r w:rsidR="00B821EA">
        <w:t>applicable</w:t>
      </w:r>
      <w:r w:rsidR="000B3A88">
        <w:t xml:space="preserve"> </w:t>
      </w:r>
      <w:r w:rsidR="00B821EA">
        <w:t>guidelines</w:t>
      </w:r>
      <w:r w:rsidR="0030044C">
        <w:t xml:space="preserve"> (t</w:t>
      </w:r>
      <w:r w:rsidR="006761B4" w:rsidRPr="006761B4">
        <w:t xml:space="preserve">his verification process allows the Ethics Office to ensure that staff are completing their </w:t>
      </w:r>
      <w:r w:rsidR="009F653A">
        <w:t>FDDI</w:t>
      </w:r>
      <w:r w:rsidR="006761B4" w:rsidRPr="006761B4">
        <w:t xml:space="preserve"> statements accurately</w:t>
      </w:r>
      <w:r w:rsidR="0030044C">
        <w:t>)</w:t>
      </w:r>
      <w:r w:rsidR="006761B4" w:rsidRPr="006761B4">
        <w:t xml:space="preserve">. </w:t>
      </w:r>
      <w:r w:rsidR="002F4800">
        <w:t xml:space="preserve"> </w:t>
      </w:r>
      <w:r w:rsidR="0030044C">
        <w:t>They</w:t>
      </w:r>
      <w:r w:rsidR="009F7D66">
        <w:t xml:space="preserve"> were </w:t>
      </w:r>
      <w:r w:rsidR="0030044C">
        <w:t xml:space="preserve">all </w:t>
      </w:r>
      <w:r w:rsidR="009F7D66">
        <w:t>found to be compliant</w:t>
      </w:r>
      <w:r w:rsidR="00C9725A" w:rsidRPr="001B508E">
        <w:rPr>
          <w:szCs w:val="22"/>
        </w:rPr>
        <w:t>.</w:t>
      </w:r>
      <w:r w:rsidR="00083968" w:rsidRPr="001B508E">
        <w:rPr>
          <w:szCs w:val="22"/>
        </w:rPr>
        <w:t xml:space="preserve"> </w:t>
      </w:r>
      <w:r w:rsidR="00C9725A" w:rsidRPr="001B508E">
        <w:rPr>
          <w:szCs w:val="22"/>
        </w:rPr>
        <w:t xml:space="preserve"> </w:t>
      </w:r>
    </w:p>
    <w:p w14:paraId="20C9E1C5" w14:textId="4F47FF4C" w:rsidR="00D60EEB" w:rsidRPr="00D4280A" w:rsidRDefault="007162AC" w:rsidP="00D60EEB">
      <w:pPr>
        <w:pStyle w:val="ONUME"/>
      </w:pPr>
      <w:r>
        <w:t>At the end of October 2024, the external</w:t>
      </w:r>
      <w:r w:rsidR="002B609F">
        <w:t xml:space="preserve"> reviewer</w:t>
      </w:r>
      <w:r w:rsidR="00730286" w:rsidRPr="006761B4">
        <w:t xml:space="preserve"> </w:t>
      </w:r>
      <w:r w:rsidR="00355D1E">
        <w:t>transmitted</w:t>
      </w:r>
      <w:r w:rsidR="002B609F">
        <w:t xml:space="preserve"> </w:t>
      </w:r>
      <w:r w:rsidR="006761B4" w:rsidRPr="006761B4">
        <w:t>an anonymized report to the Director General</w:t>
      </w:r>
      <w:r w:rsidR="00D76686">
        <w:t xml:space="preserve">, </w:t>
      </w:r>
      <w:r w:rsidR="00935931">
        <w:t>following which</w:t>
      </w:r>
      <w:r w:rsidR="00D76686">
        <w:t xml:space="preserve"> the FDDI exercise </w:t>
      </w:r>
      <w:r w:rsidR="00A5082A">
        <w:t>was</w:t>
      </w:r>
      <w:r w:rsidR="006761B4" w:rsidRPr="006761B4">
        <w:t xml:space="preserve"> closed </w:t>
      </w:r>
      <w:r w:rsidR="006761B4" w:rsidRPr="00D4280A">
        <w:t>with</w:t>
      </w:r>
      <w:r w:rsidR="00D4280A" w:rsidRPr="00D4280A">
        <w:t xml:space="preserve">out there being any </w:t>
      </w:r>
      <w:r w:rsidR="002E4389">
        <w:t xml:space="preserve">actual, perceived or potential </w:t>
      </w:r>
      <w:r w:rsidR="001075AF" w:rsidRPr="00D85F59">
        <w:t xml:space="preserve">conflict of interest </w:t>
      </w:r>
      <w:r w:rsidR="00D4280A" w:rsidRPr="00D85F59">
        <w:t>identified</w:t>
      </w:r>
      <w:r w:rsidR="006761B4" w:rsidRPr="00D4280A">
        <w:t>.</w:t>
      </w:r>
    </w:p>
    <w:p w14:paraId="43A34F31" w14:textId="473320E9" w:rsidR="006761B4" w:rsidRDefault="006761B4" w:rsidP="002F4800">
      <w:pPr>
        <w:numPr>
          <w:ilvl w:val="0"/>
          <w:numId w:val="5"/>
        </w:numPr>
        <w:spacing w:after="220"/>
      </w:pPr>
      <w:r w:rsidRPr="006761B4">
        <w:t xml:space="preserve">Consistent with its mandate, the Ethics Office </w:t>
      </w:r>
      <w:r w:rsidR="00167D87">
        <w:t xml:space="preserve">also </w:t>
      </w:r>
      <w:r w:rsidR="009E0C7E">
        <w:t>launched</w:t>
      </w:r>
      <w:r w:rsidR="00935931">
        <w:t>,</w:t>
      </w:r>
      <w:r w:rsidR="009E0C7E">
        <w:t xml:space="preserve"> administered </w:t>
      </w:r>
      <w:r w:rsidR="009E0C7E" w:rsidRPr="006761B4">
        <w:t xml:space="preserve">and managed the annual </w:t>
      </w:r>
      <w:r w:rsidR="00B1128B">
        <w:t>2024</w:t>
      </w:r>
      <w:r w:rsidR="009E0C7E" w:rsidRPr="006761B4">
        <w:t xml:space="preserve"> disclosure exercise </w:t>
      </w:r>
      <w:r w:rsidR="00B1128B">
        <w:t xml:space="preserve">under the </w:t>
      </w:r>
      <w:r w:rsidR="00B1128B" w:rsidRPr="00B1128B">
        <w:t>International Public Sector Accounting Standards (IPSAS)</w:t>
      </w:r>
      <w:r w:rsidR="009E0C7E">
        <w:t>.</w:t>
      </w:r>
      <w:r w:rsidR="002F4800">
        <w:t xml:space="preserve"> </w:t>
      </w:r>
      <w:r w:rsidR="00D35175">
        <w:t xml:space="preserve"> </w:t>
      </w:r>
      <w:r w:rsidRPr="006761B4">
        <w:t xml:space="preserve">All staff members at the D2 level and above were required to disclose </w:t>
      </w:r>
      <w:r w:rsidR="00073FEC" w:rsidRPr="00DB695E">
        <w:t xml:space="preserve">transactions of their close family members with the Organization, as well as transactions between the Organization and entities in which </w:t>
      </w:r>
      <w:r w:rsidR="00073FEC">
        <w:t>they</w:t>
      </w:r>
      <w:r w:rsidR="00073FEC" w:rsidRPr="00DB695E">
        <w:t xml:space="preserve"> or their close family members hold a substantial ownership interest or over which they </w:t>
      </w:r>
      <w:proofErr w:type="gramStart"/>
      <w:r w:rsidR="00073FEC" w:rsidRPr="00DB695E">
        <w:t>are able to</w:t>
      </w:r>
      <w:proofErr w:type="gramEnd"/>
      <w:r w:rsidR="00073FEC" w:rsidRPr="00DB695E">
        <w:t xml:space="preserve"> exercise significant influence</w:t>
      </w:r>
      <w:r w:rsidRPr="006761B4">
        <w:t xml:space="preserve">. </w:t>
      </w:r>
      <w:r w:rsidR="002F4800">
        <w:t xml:space="preserve"> </w:t>
      </w:r>
      <w:r w:rsidRPr="006761B4">
        <w:t xml:space="preserve">All participants responded and the </w:t>
      </w:r>
      <w:r w:rsidR="00843E75">
        <w:t xml:space="preserve">IPSAS </w:t>
      </w:r>
      <w:r w:rsidRPr="006761B4">
        <w:t xml:space="preserve">exercise </w:t>
      </w:r>
      <w:r w:rsidR="00843E75">
        <w:t xml:space="preserve">was </w:t>
      </w:r>
      <w:r w:rsidRPr="006761B4">
        <w:t xml:space="preserve">closed </w:t>
      </w:r>
      <w:r w:rsidR="00843E75" w:rsidRPr="00D4280A">
        <w:t xml:space="preserve">without there being any </w:t>
      </w:r>
      <w:r w:rsidR="00843E75">
        <w:t>issues</w:t>
      </w:r>
      <w:r w:rsidR="00843E75" w:rsidRPr="00D85F59">
        <w:t xml:space="preserve"> identified</w:t>
      </w:r>
      <w:r w:rsidRPr="006761B4">
        <w:t>.</w:t>
      </w:r>
    </w:p>
    <w:p w14:paraId="5D4C08C1" w14:textId="72F6F60B" w:rsidR="00167D87" w:rsidRDefault="00B04D31" w:rsidP="00167D87">
      <w:pPr>
        <w:numPr>
          <w:ilvl w:val="0"/>
          <w:numId w:val="5"/>
        </w:numPr>
        <w:spacing w:before="220" w:after="220"/>
      </w:pPr>
      <w:r>
        <w:t xml:space="preserve">The year </w:t>
      </w:r>
      <w:r w:rsidR="00167D87">
        <w:t>2024</w:t>
      </w:r>
      <w:r w:rsidR="001D681F">
        <w:t xml:space="preserve"> was </w:t>
      </w:r>
      <w:r w:rsidR="00220B99">
        <w:t xml:space="preserve">also </w:t>
      </w:r>
      <w:r w:rsidR="001D681F">
        <w:t>marked by</w:t>
      </w:r>
      <w:r w:rsidR="00167D87">
        <w:t xml:space="preserve"> t</w:t>
      </w:r>
      <w:r w:rsidR="00167D87" w:rsidRPr="00F72E55">
        <w:t xml:space="preserve">he successful launch of </w:t>
      </w:r>
      <w:r w:rsidR="00D60EEB">
        <w:t xml:space="preserve">the </w:t>
      </w:r>
      <w:r w:rsidR="001D681F">
        <w:t>IPSAS exercise</w:t>
      </w:r>
      <w:r w:rsidR="00167D87" w:rsidRPr="00F72E55">
        <w:t xml:space="preserve"> </w:t>
      </w:r>
      <w:r w:rsidR="00B825B1">
        <w:t xml:space="preserve">within </w:t>
      </w:r>
      <w:r w:rsidR="00D60EEB">
        <w:t>the new in house FDDI IT platform</w:t>
      </w:r>
      <w:r w:rsidR="00ED154D">
        <w:t xml:space="preserve">, which now provides for a central and confidential repository for both </w:t>
      </w:r>
      <w:r w:rsidR="00D84483">
        <w:t xml:space="preserve">the </w:t>
      </w:r>
      <w:r w:rsidR="00ED154D">
        <w:t xml:space="preserve">FDDI and </w:t>
      </w:r>
      <w:r w:rsidR="00D84483">
        <w:t xml:space="preserve">the </w:t>
      </w:r>
      <w:r w:rsidR="00ED154D">
        <w:t>IPSAS</w:t>
      </w:r>
      <w:r w:rsidR="00D84483">
        <w:t xml:space="preserve"> disclosure exercises</w:t>
      </w:r>
      <w:r w:rsidR="00167D87" w:rsidRPr="00F72E55">
        <w:t xml:space="preserve">. </w:t>
      </w:r>
    </w:p>
    <w:p w14:paraId="371701A1" w14:textId="265CB36D" w:rsidR="00167D87" w:rsidRPr="006761B4" w:rsidRDefault="00893CF3" w:rsidP="002F4800">
      <w:pPr>
        <w:numPr>
          <w:ilvl w:val="0"/>
          <w:numId w:val="5"/>
        </w:numPr>
        <w:spacing w:after="220"/>
      </w:pPr>
      <w:r>
        <w:t>In collaboration with HRMD, t</w:t>
      </w:r>
      <w:r w:rsidR="00167D87" w:rsidRPr="00F72E55">
        <w:t>he Ethics Office</w:t>
      </w:r>
      <w:r w:rsidR="00D84483">
        <w:t xml:space="preserve"> further</w:t>
      </w:r>
      <w:r w:rsidR="00167D87" w:rsidRPr="00F72E55">
        <w:t xml:space="preserve"> </w:t>
      </w:r>
      <w:r>
        <w:t>designed a process allowing it to be informed of upcoming separations,</w:t>
      </w:r>
      <w:r w:rsidR="00B04D31">
        <w:t xml:space="preserve"> enabling it</w:t>
      </w:r>
      <w:r>
        <w:t xml:space="preserve"> to </w:t>
      </w:r>
      <w:r w:rsidR="0087670D">
        <w:t xml:space="preserve">invite departing staff members to complete their IPSAS disclosure statements prior to their separation from service. </w:t>
      </w:r>
    </w:p>
    <w:p w14:paraId="6B21EB3B" w14:textId="3088566B" w:rsidR="006761B4" w:rsidRPr="006761B4" w:rsidRDefault="006761B4" w:rsidP="00621C5C">
      <w:pPr>
        <w:pStyle w:val="Heading3"/>
        <w:spacing w:after="220"/>
        <w:ind w:left="1134"/>
      </w:pPr>
      <w:r w:rsidRPr="006761B4">
        <w:t xml:space="preserve">Policy </w:t>
      </w:r>
      <w:r w:rsidR="00404708">
        <w:t>r</w:t>
      </w:r>
      <w:r w:rsidRPr="006761B4">
        <w:t>eview</w:t>
      </w:r>
    </w:p>
    <w:p w14:paraId="34C029B7" w14:textId="4D5C1551" w:rsidR="002E3CDA" w:rsidRPr="007527C3" w:rsidRDefault="00404708" w:rsidP="002E3CDA">
      <w:pPr>
        <w:numPr>
          <w:ilvl w:val="0"/>
          <w:numId w:val="5"/>
        </w:numPr>
        <w:spacing w:after="220"/>
        <w:rPr>
          <w:iCs/>
          <w:lang w:val="en"/>
        </w:rPr>
      </w:pPr>
      <w:r>
        <w:rPr>
          <w:lang w:bidi="en-US"/>
        </w:rPr>
        <w:t>As mentioned earlier</w:t>
      </w:r>
      <w:r>
        <w:rPr>
          <w:rStyle w:val="FootnoteReference"/>
          <w:lang w:bidi="en-US"/>
        </w:rPr>
        <w:footnoteReference w:id="11"/>
      </w:r>
      <w:r>
        <w:rPr>
          <w:lang w:bidi="en-US"/>
        </w:rPr>
        <w:t xml:space="preserve">, </w:t>
      </w:r>
      <w:r w:rsidR="002E3CDA" w:rsidRPr="00B97137">
        <w:rPr>
          <w:lang w:bidi="en-US"/>
        </w:rPr>
        <w:t>t</w:t>
      </w:r>
      <w:r w:rsidR="002E3CDA" w:rsidRPr="00B97137">
        <w:rPr>
          <w:lang w:val="en-GB"/>
        </w:rPr>
        <w:t xml:space="preserve">he Ethics Office reviewed the </w:t>
      </w:r>
      <w:r w:rsidR="00E84029">
        <w:rPr>
          <w:lang w:val="en-GB"/>
        </w:rPr>
        <w:t xml:space="preserve">FDDI </w:t>
      </w:r>
      <w:r w:rsidR="00D06233">
        <w:rPr>
          <w:lang w:val="en-GB"/>
        </w:rPr>
        <w:t>P</w:t>
      </w:r>
      <w:proofErr w:type="spellStart"/>
      <w:r w:rsidR="002E3CDA" w:rsidRPr="00B97137">
        <w:rPr>
          <w:lang w:bidi="en-US"/>
        </w:rPr>
        <w:t>olicy</w:t>
      </w:r>
      <w:proofErr w:type="spellEnd"/>
      <w:r w:rsidR="002E3CDA" w:rsidRPr="00B97137">
        <w:rPr>
          <w:lang w:val="en-GB"/>
        </w:rPr>
        <w:t>,</w:t>
      </w:r>
      <w:r w:rsidR="00E84029">
        <w:rPr>
          <w:lang w:val="en-GB"/>
        </w:rPr>
        <w:t xml:space="preserve"> with a view to</w:t>
      </w:r>
      <w:r w:rsidR="002E3CDA" w:rsidRPr="00B97137">
        <w:rPr>
          <w:lang w:val="en-GB"/>
        </w:rPr>
        <w:t xml:space="preserve"> expanding its scope to cover </w:t>
      </w:r>
      <w:r w:rsidR="002E3CDA" w:rsidRPr="00B97137">
        <w:rPr>
          <w:lang w:bidi="en-US"/>
        </w:rPr>
        <w:t>IP-related conflicts of interest</w:t>
      </w:r>
      <w:r w:rsidR="00D06233">
        <w:rPr>
          <w:lang w:bidi="en-US"/>
        </w:rPr>
        <w:t xml:space="preserve">, in line with two pending recommendations </w:t>
      </w:r>
      <w:r w:rsidR="00835B54">
        <w:rPr>
          <w:lang w:bidi="en-US"/>
        </w:rPr>
        <w:t>from the (former) External Auditor</w:t>
      </w:r>
      <w:r w:rsidR="002E3CDA" w:rsidRPr="00B97137">
        <w:rPr>
          <w:lang w:bidi="en-US"/>
        </w:rPr>
        <w:t xml:space="preserve">. </w:t>
      </w:r>
      <w:r w:rsidR="008774E5">
        <w:rPr>
          <w:lang w:bidi="en-US"/>
        </w:rPr>
        <w:t xml:space="preserve"> A new section of the FDDI questionnaire was </w:t>
      </w:r>
      <w:r w:rsidR="003529EA">
        <w:rPr>
          <w:lang w:bidi="en-US"/>
        </w:rPr>
        <w:t xml:space="preserve">designed </w:t>
      </w:r>
      <w:r w:rsidR="008774E5">
        <w:rPr>
          <w:lang w:bidi="en-US"/>
        </w:rPr>
        <w:t>accordingly and will be implemented in 2025.</w:t>
      </w:r>
    </w:p>
    <w:p w14:paraId="2DE42464" w14:textId="77777777" w:rsidR="006761B4" w:rsidRPr="0051712C" w:rsidRDefault="00F87B7C" w:rsidP="0051712C">
      <w:pPr>
        <w:pStyle w:val="Heading2"/>
        <w:spacing w:after="220"/>
        <w:rPr>
          <w:b/>
          <w:bCs w:val="0"/>
        </w:rPr>
      </w:pPr>
      <w:r w:rsidRPr="0051712C">
        <w:rPr>
          <w:b/>
          <w:bCs w:val="0"/>
        </w:rPr>
        <w:lastRenderedPageBreak/>
        <w:t>III.</w:t>
      </w:r>
      <w:r w:rsidRPr="0051712C">
        <w:rPr>
          <w:b/>
          <w:bCs w:val="0"/>
        </w:rPr>
        <w:tab/>
      </w:r>
      <w:r w:rsidR="006761B4" w:rsidRPr="0051712C">
        <w:rPr>
          <w:b/>
          <w:bCs w:val="0"/>
        </w:rPr>
        <w:t>OTHER ACTIVITIES OF THE ETHICS OFFICE</w:t>
      </w:r>
    </w:p>
    <w:p w14:paraId="76A0DBDE" w14:textId="7AA37D8F" w:rsidR="00CA36BB" w:rsidRPr="006761B4" w:rsidRDefault="006761B4" w:rsidP="00841A95">
      <w:pPr>
        <w:numPr>
          <w:ilvl w:val="0"/>
          <w:numId w:val="5"/>
        </w:numPr>
        <w:spacing w:after="220"/>
      </w:pPr>
      <w:r w:rsidRPr="006761B4">
        <w:t xml:space="preserve">Throughout </w:t>
      </w:r>
      <w:r w:rsidR="00000603">
        <w:t>2024</w:t>
      </w:r>
      <w:r w:rsidRPr="006761B4">
        <w:t>, the</w:t>
      </w:r>
      <w:r w:rsidRPr="008D2144">
        <w:rPr>
          <w:szCs w:val="22"/>
        </w:rPr>
        <w:t xml:space="preserve"> </w:t>
      </w:r>
      <w:r w:rsidRPr="006761B4">
        <w:t>Ethics Office continued to engage</w:t>
      </w:r>
      <w:r w:rsidR="003529EA">
        <w:t xml:space="preserve"> regularly</w:t>
      </w:r>
      <w:r w:rsidRPr="006761B4">
        <w:t xml:space="preserve"> with the IAOC</w:t>
      </w:r>
      <w:r w:rsidRPr="008D2144">
        <w:rPr>
          <w:szCs w:val="22"/>
        </w:rPr>
        <w:t xml:space="preserve"> and submitted timely updates and reports</w:t>
      </w:r>
      <w:r w:rsidRPr="008D2144">
        <w:rPr>
          <w:lang w:val="en-GB"/>
        </w:rPr>
        <w:t xml:space="preserve">, </w:t>
      </w:r>
      <w:proofErr w:type="gramStart"/>
      <w:r w:rsidRPr="006761B4">
        <w:t>in particular on</w:t>
      </w:r>
      <w:proofErr w:type="gramEnd"/>
      <w:r w:rsidRPr="006761B4">
        <w:t xml:space="preserve"> the implementation of the </w:t>
      </w:r>
      <w:r w:rsidR="0061362A">
        <w:t>O</w:t>
      </w:r>
      <w:r w:rsidRPr="006761B4">
        <w:t>ffice</w:t>
      </w:r>
      <w:r w:rsidR="0024530C">
        <w:t>’</w:t>
      </w:r>
      <w:r w:rsidRPr="006761B4">
        <w:t>s workplan.</w:t>
      </w:r>
      <w:r w:rsidR="00B02B17">
        <w:t xml:space="preserve"> </w:t>
      </w:r>
      <w:r w:rsidRPr="006761B4">
        <w:t xml:space="preserve"> </w:t>
      </w:r>
      <w:r w:rsidR="000E4CA5">
        <w:t>D</w:t>
      </w:r>
      <w:r w:rsidR="000E4CA5" w:rsidRPr="006761B4">
        <w:t>rawing on</w:t>
      </w:r>
      <w:r w:rsidR="003529EA">
        <w:t xml:space="preserve"> its</w:t>
      </w:r>
      <w:r w:rsidR="000E4CA5" w:rsidRPr="006761B4">
        <w:t xml:space="preserve"> extensive organizational experience</w:t>
      </w:r>
      <w:r w:rsidR="000E4CA5">
        <w:t>, t</w:t>
      </w:r>
      <w:r w:rsidRPr="006761B4">
        <w:t xml:space="preserve">he </w:t>
      </w:r>
      <w:r w:rsidR="00583603">
        <w:t>IAOC</w:t>
      </w:r>
      <w:r w:rsidRPr="006761B4">
        <w:t xml:space="preserve"> provided useful guidance to the Chief Ethics Officer</w:t>
      </w:r>
      <w:r w:rsidR="00734B96">
        <w:t xml:space="preserve">, including on the Office’s proposed </w:t>
      </w:r>
      <w:r w:rsidR="00D22B27">
        <w:t xml:space="preserve">annual </w:t>
      </w:r>
      <w:r w:rsidR="00734B96">
        <w:t>and biennial workplan</w:t>
      </w:r>
      <w:r w:rsidR="0026790E">
        <w:t>s</w:t>
      </w:r>
      <w:r w:rsidRPr="006761B4">
        <w:t xml:space="preserve">. </w:t>
      </w:r>
      <w:r w:rsidR="008D2144">
        <w:t xml:space="preserve"> </w:t>
      </w:r>
    </w:p>
    <w:p w14:paraId="64DCB101" w14:textId="22DD0494" w:rsidR="006761B4" w:rsidRDefault="006761B4" w:rsidP="008D2144">
      <w:pPr>
        <w:numPr>
          <w:ilvl w:val="0"/>
          <w:numId w:val="5"/>
        </w:numPr>
        <w:spacing w:after="220"/>
      </w:pPr>
      <w:r w:rsidRPr="006761B4">
        <w:t>The Ethics Office</w:t>
      </w:r>
      <w:r w:rsidR="0026790E">
        <w:t xml:space="preserve"> </w:t>
      </w:r>
      <w:r w:rsidR="008D2144">
        <w:t>further</w:t>
      </w:r>
      <w:r w:rsidRPr="006761B4">
        <w:t xml:space="preserve"> </w:t>
      </w:r>
      <w:r w:rsidR="003C222D">
        <w:t xml:space="preserve">responded </w:t>
      </w:r>
      <w:r w:rsidRPr="006761B4">
        <w:t xml:space="preserve">to </w:t>
      </w:r>
      <w:r w:rsidR="00CA36BB">
        <w:t xml:space="preserve">several </w:t>
      </w:r>
      <w:r w:rsidR="003C222D">
        <w:t xml:space="preserve">enquiries </w:t>
      </w:r>
      <w:r w:rsidR="00866D81">
        <w:t xml:space="preserve">in the context of </w:t>
      </w:r>
      <w:r w:rsidR="00BE34B8">
        <w:t xml:space="preserve">internal and/or external </w:t>
      </w:r>
      <w:r w:rsidR="00F6213B">
        <w:t>audit</w:t>
      </w:r>
      <w:r w:rsidR="00A775F3">
        <w:t>, control</w:t>
      </w:r>
      <w:r w:rsidR="00F6213B">
        <w:t xml:space="preserve"> and </w:t>
      </w:r>
      <w:r w:rsidR="002D670F">
        <w:t xml:space="preserve">other </w:t>
      </w:r>
      <w:r w:rsidR="00B34151">
        <w:t>oversight</w:t>
      </w:r>
      <w:r w:rsidRPr="006761B4">
        <w:t xml:space="preserve"> processes</w:t>
      </w:r>
      <w:r w:rsidR="007C76DC">
        <w:t>,</w:t>
      </w:r>
      <w:r w:rsidR="008D2144">
        <w:t xml:space="preserve"> and </w:t>
      </w:r>
      <w:r w:rsidR="002D670F">
        <w:t xml:space="preserve">it </w:t>
      </w:r>
      <w:r w:rsidR="008D2144">
        <w:t xml:space="preserve">attended </w:t>
      </w:r>
      <w:r w:rsidR="007C76DC">
        <w:t xml:space="preserve">the Risk Management Group meeting in </w:t>
      </w:r>
      <w:r w:rsidR="00E27B20">
        <w:t xml:space="preserve">November </w:t>
      </w:r>
      <w:r w:rsidR="007C76DC">
        <w:t>2024</w:t>
      </w:r>
      <w:r w:rsidRPr="006761B4">
        <w:t>.</w:t>
      </w:r>
    </w:p>
    <w:p w14:paraId="017F5898" w14:textId="77777777" w:rsidR="006761B4" w:rsidRPr="0051712C" w:rsidRDefault="00F87B7C" w:rsidP="0051712C">
      <w:pPr>
        <w:pStyle w:val="Heading2"/>
        <w:spacing w:after="220"/>
        <w:rPr>
          <w:b/>
          <w:bCs w:val="0"/>
        </w:rPr>
      </w:pPr>
      <w:r w:rsidRPr="0051712C">
        <w:rPr>
          <w:b/>
          <w:bCs w:val="0"/>
        </w:rPr>
        <w:t>IV.</w:t>
      </w:r>
      <w:r w:rsidRPr="0051712C">
        <w:rPr>
          <w:b/>
          <w:bCs w:val="0"/>
        </w:rPr>
        <w:tab/>
      </w:r>
      <w:r w:rsidR="006761B4" w:rsidRPr="0051712C">
        <w:rPr>
          <w:b/>
          <w:bCs w:val="0"/>
        </w:rPr>
        <w:t xml:space="preserve">COLLABORATION ON ETHICS-RELATED ISSUES WITHIN THE UN SYSTEM </w:t>
      </w:r>
    </w:p>
    <w:p w14:paraId="4D86FA32" w14:textId="52C0BC0F" w:rsidR="006761B4" w:rsidRPr="006761B4" w:rsidRDefault="006761B4" w:rsidP="00300698">
      <w:pPr>
        <w:pStyle w:val="Heading3"/>
        <w:spacing w:after="220"/>
        <w:ind w:left="1134"/>
      </w:pPr>
      <w:r w:rsidRPr="006761B4">
        <w:t>Ethics Network of Multilateral Organizations (ENMO)</w:t>
      </w:r>
    </w:p>
    <w:p w14:paraId="4E393F35" w14:textId="1531D150" w:rsidR="006761B4" w:rsidRPr="006761B4" w:rsidRDefault="006761B4" w:rsidP="000A7536">
      <w:pPr>
        <w:numPr>
          <w:ilvl w:val="0"/>
          <w:numId w:val="5"/>
        </w:numPr>
        <w:spacing w:after="220"/>
      </w:pPr>
      <w:r w:rsidRPr="006761B4">
        <w:t xml:space="preserve">The Ethics Office </w:t>
      </w:r>
      <w:r w:rsidR="0002774E">
        <w:t>pursued</w:t>
      </w:r>
      <w:r w:rsidR="0002774E" w:rsidRPr="006761B4">
        <w:t xml:space="preserve"> </w:t>
      </w:r>
      <w:r w:rsidRPr="006761B4">
        <w:t xml:space="preserve">its engagement with the ENMO, which serves as a broad forum of ethics functions from UN system entities, affiliated international </w:t>
      </w:r>
      <w:r w:rsidR="009F798A" w:rsidRPr="006761B4">
        <w:t>organizations,</w:t>
      </w:r>
      <w:r w:rsidRPr="006761B4">
        <w:t xml:space="preserve"> and international financial institutions, and aims to promote system-wide collaborat</w:t>
      </w:r>
      <w:r w:rsidR="000A7536">
        <w:t>ion on ethics</w:t>
      </w:r>
      <w:r w:rsidR="000A7536">
        <w:noBreakHyphen/>
      </w:r>
      <w:r w:rsidRPr="006761B4">
        <w:t xml:space="preserve">related issues for participating bodies. </w:t>
      </w:r>
      <w:r w:rsidR="0002774E">
        <w:t xml:space="preserve"> In August 2024, the Ethics Office </w:t>
      </w:r>
      <w:r w:rsidR="00026FD1">
        <w:t xml:space="preserve">took an active part in the discussions on </w:t>
      </w:r>
      <w:r w:rsidR="00C00AF3">
        <w:t xml:space="preserve">proposed </w:t>
      </w:r>
      <w:r w:rsidR="00E026C9">
        <w:t xml:space="preserve">standards of practice. </w:t>
      </w:r>
    </w:p>
    <w:p w14:paraId="19DA8A75" w14:textId="6FEF141F" w:rsidR="006761B4" w:rsidRPr="00000603" w:rsidRDefault="00D8430A" w:rsidP="00000603">
      <w:pPr>
        <w:pStyle w:val="Heading2"/>
        <w:spacing w:after="220"/>
        <w:rPr>
          <w:b/>
          <w:bCs w:val="0"/>
        </w:rPr>
      </w:pPr>
      <w:r w:rsidRPr="0051712C">
        <w:rPr>
          <w:b/>
          <w:bCs w:val="0"/>
        </w:rPr>
        <w:t>V.</w:t>
      </w:r>
      <w:r w:rsidRPr="0051712C">
        <w:rPr>
          <w:b/>
          <w:bCs w:val="0"/>
        </w:rPr>
        <w:tab/>
      </w:r>
      <w:r w:rsidR="006761B4" w:rsidRPr="0051712C">
        <w:rPr>
          <w:b/>
          <w:bCs w:val="0"/>
        </w:rPr>
        <w:t>OBSERVATIONS AND Looking Forward</w:t>
      </w:r>
    </w:p>
    <w:p w14:paraId="34E76127" w14:textId="54C584BD" w:rsidR="001D5A06" w:rsidRPr="008B4AAF" w:rsidRDefault="005019AD" w:rsidP="00A0330A">
      <w:pPr>
        <w:numPr>
          <w:ilvl w:val="0"/>
          <w:numId w:val="5"/>
        </w:numPr>
        <w:spacing w:after="220"/>
      </w:pPr>
      <w:r>
        <w:t xml:space="preserve">Having noted the </w:t>
      </w:r>
      <w:r w:rsidR="008114EC">
        <w:t>steady</w:t>
      </w:r>
      <w:r w:rsidR="001D5A06" w:rsidRPr="008B4AAF">
        <w:t xml:space="preserve"> increase in </w:t>
      </w:r>
      <w:r w:rsidR="008114EC">
        <w:t>requests for ethics advice</w:t>
      </w:r>
      <w:r w:rsidR="004F53C3">
        <w:t>, t</w:t>
      </w:r>
      <w:r w:rsidR="001D5A06" w:rsidRPr="008B4AAF">
        <w:t>he Ethics Office has already improved</w:t>
      </w:r>
      <w:r w:rsidR="00657462">
        <w:t xml:space="preserve"> and </w:t>
      </w:r>
      <w:r w:rsidR="00AF292B">
        <w:t>intends to</w:t>
      </w:r>
      <w:r w:rsidR="00657462">
        <w:t xml:space="preserve"> further refine </w:t>
      </w:r>
      <w:r w:rsidR="001D5A06" w:rsidRPr="008B4AAF">
        <w:t xml:space="preserve">its case-tracking capabilities, </w:t>
      </w:r>
      <w:r w:rsidR="004F53C3">
        <w:t xml:space="preserve">with a view </w:t>
      </w:r>
      <w:r w:rsidR="00657462">
        <w:t xml:space="preserve">to reporting </w:t>
      </w:r>
      <w:r w:rsidR="001D5A06" w:rsidRPr="008B4AAF">
        <w:t xml:space="preserve">more efficiently and </w:t>
      </w:r>
      <w:r w:rsidR="00670D0D">
        <w:t>accurately</w:t>
      </w:r>
      <w:r w:rsidR="001D5A06" w:rsidRPr="008B4AAF">
        <w:t xml:space="preserve"> on ethical maturity within WIPO.</w:t>
      </w:r>
    </w:p>
    <w:p w14:paraId="02A9BE6E" w14:textId="09DBD03E" w:rsidR="005160D5" w:rsidRDefault="00DD2377" w:rsidP="005160D5">
      <w:pPr>
        <w:numPr>
          <w:ilvl w:val="0"/>
          <w:numId w:val="5"/>
        </w:numPr>
        <w:spacing w:after="220"/>
      </w:pPr>
      <w:r>
        <w:t>The</w:t>
      </w:r>
      <w:r w:rsidR="005160D5" w:rsidRPr="006761B4">
        <w:t xml:space="preserve"> Ethics Office </w:t>
      </w:r>
      <w:r>
        <w:t xml:space="preserve">has also </w:t>
      </w:r>
      <w:r w:rsidR="00A1344E">
        <w:t xml:space="preserve">made substantial strides in diversifying </w:t>
      </w:r>
      <w:r w:rsidR="00CF3481">
        <w:t xml:space="preserve">its </w:t>
      </w:r>
      <w:r w:rsidR="00CF3481" w:rsidRPr="006761B4">
        <w:t>outreach</w:t>
      </w:r>
      <w:r w:rsidR="00CF3481">
        <w:t xml:space="preserve"> activities, </w:t>
      </w:r>
      <w:r w:rsidR="005160D5" w:rsidRPr="006761B4">
        <w:t>to</w:t>
      </w:r>
      <w:r>
        <w:t xml:space="preserve"> further</w:t>
      </w:r>
      <w:r w:rsidR="005160D5" w:rsidRPr="006761B4">
        <w:t xml:space="preserve"> </w:t>
      </w:r>
      <w:proofErr w:type="gramStart"/>
      <w:r w:rsidR="005160D5" w:rsidRPr="006761B4">
        <w:t>increase</w:t>
      </w:r>
      <w:proofErr w:type="gramEnd"/>
      <w:r w:rsidR="005160D5" w:rsidRPr="006761B4">
        <w:t xml:space="preserve"> </w:t>
      </w:r>
      <w:r w:rsidR="005160D5">
        <w:t xml:space="preserve">awareness of ethical standards </w:t>
      </w:r>
      <w:r w:rsidR="005160D5" w:rsidRPr="006761B4">
        <w:t xml:space="preserve">among WIPO staff. </w:t>
      </w:r>
      <w:r w:rsidR="005160D5">
        <w:t xml:space="preserve"> </w:t>
      </w:r>
    </w:p>
    <w:p w14:paraId="037A0FEB" w14:textId="7693BAA3" w:rsidR="006761B4" w:rsidRDefault="00F3291F" w:rsidP="00A0330A">
      <w:pPr>
        <w:numPr>
          <w:ilvl w:val="0"/>
          <w:numId w:val="5"/>
        </w:numPr>
        <w:rPr>
          <w:szCs w:val="22"/>
        </w:rPr>
      </w:pPr>
      <w:r>
        <w:rPr>
          <w:rStyle w:val="cf01"/>
          <w:rFonts w:ascii="Arial" w:hAnsi="Arial" w:cs="Arial"/>
          <w:sz w:val="22"/>
          <w:szCs w:val="22"/>
        </w:rPr>
        <w:t>T</w:t>
      </w:r>
      <w:r w:rsidR="005A6162" w:rsidRPr="00ED41CF">
        <w:rPr>
          <w:rStyle w:val="cf01"/>
          <w:rFonts w:ascii="Arial" w:hAnsi="Arial" w:cs="Arial"/>
          <w:sz w:val="22"/>
          <w:szCs w:val="22"/>
        </w:rPr>
        <w:t xml:space="preserve">he Ethics Office </w:t>
      </w:r>
      <w:r w:rsidR="00A1344E">
        <w:rPr>
          <w:rStyle w:val="cf01"/>
          <w:rFonts w:ascii="Arial" w:hAnsi="Arial" w:cs="Arial"/>
          <w:sz w:val="22"/>
          <w:szCs w:val="22"/>
        </w:rPr>
        <w:t xml:space="preserve">has further </w:t>
      </w:r>
      <w:r w:rsidR="005A6162" w:rsidRPr="00ED41CF">
        <w:rPr>
          <w:rStyle w:val="cf01"/>
          <w:rFonts w:ascii="Arial" w:hAnsi="Arial" w:cs="Arial"/>
          <w:sz w:val="22"/>
          <w:szCs w:val="22"/>
        </w:rPr>
        <w:t xml:space="preserve">initiated </w:t>
      </w:r>
      <w:r w:rsidR="005A6162" w:rsidRPr="008B4AAF">
        <w:rPr>
          <w:rStyle w:val="cf01"/>
          <w:rFonts w:ascii="Arial" w:hAnsi="Arial" w:cs="Arial"/>
          <w:sz w:val="22"/>
          <w:szCs w:val="22"/>
        </w:rPr>
        <w:t>two</w:t>
      </w:r>
      <w:r w:rsidR="005A6162" w:rsidRPr="00ED41CF">
        <w:rPr>
          <w:rStyle w:val="cf01"/>
          <w:rFonts w:ascii="Arial" w:hAnsi="Arial" w:cs="Arial"/>
          <w:sz w:val="22"/>
          <w:szCs w:val="22"/>
        </w:rPr>
        <w:t xml:space="preserve"> policy reviews in relation to FDDI</w:t>
      </w:r>
      <w:r w:rsidR="005A6162" w:rsidRPr="00D17357">
        <w:rPr>
          <w:rStyle w:val="cf01"/>
          <w:rFonts w:ascii="Arial" w:hAnsi="Arial" w:cs="Arial"/>
          <w:sz w:val="22"/>
          <w:szCs w:val="22"/>
        </w:rPr>
        <w:t xml:space="preserve"> and </w:t>
      </w:r>
      <w:r w:rsidR="005A6162" w:rsidRPr="00ED41CF">
        <w:rPr>
          <w:rStyle w:val="cf01"/>
          <w:rFonts w:ascii="Arial" w:hAnsi="Arial" w:cs="Arial"/>
          <w:sz w:val="22"/>
          <w:szCs w:val="22"/>
        </w:rPr>
        <w:t>outside activities</w:t>
      </w:r>
      <w:r w:rsidR="002452D0">
        <w:rPr>
          <w:rStyle w:val="cf01"/>
          <w:rFonts w:ascii="Arial" w:hAnsi="Arial" w:cs="Arial"/>
          <w:sz w:val="22"/>
          <w:szCs w:val="22"/>
        </w:rPr>
        <w:t>, respectively</w:t>
      </w:r>
      <w:r w:rsidR="005A6162" w:rsidRPr="00ED41CF">
        <w:rPr>
          <w:rStyle w:val="cf01"/>
          <w:rFonts w:ascii="Arial" w:hAnsi="Arial" w:cs="Arial"/>
          <w:sz w:val="22"/>
          <w:szCs w:val="22"/>
        </w:rPr>
        <w:t>.</w:t>
      </w:r>
      <w:r w:rsidR="005A6162" w:rsidRPr="00D17357">
        <w:rPr>
          <w:rStyle w:val="cf01"/>
          <w:rFonts w:ascii="Arial" w:hAnsi="Arial" w:cs="Arial"/>
          <w:sz w:val="22"/>
          <w:szCs w:val="22"/>
        </w:rPr>
        <w:t xml:space="preserve"> </w:t>
      </w:r>
      <w:r w:rsidR="005A6162">
        <w:t xml:space="preserve"> </w:t>
      </w:r>
      <w:r w:rsidR="00107AA9">
        <w:rPr>
          <w:szCs w:val="22"/>
        </w:rPr>
        <w:t>It</w:t>
      </w:r>
      <w:r w:rsidR="00872DC3">
        <w:rPr>
          <w:szCs w:val="22"/>
        </w:rPr>
        <w:t xml:space="preserve"> further</w:t>
      </w:r>
      <w:r w:rsidR="006761B4" w:rsidRPr="006761B4">
        <w:rPr>
          <w:szCs w:val="22"/>
        </w:rPr>
        <w:t xml:space="preserve"> encourage</w:t>
      </w:r>
      <w:r>
        <w:rPr>
          <w:szCs w:val="22"/>
        </w:rPr>
        <w:t>s</w:t>
      </w:r>
      <w:r w:rsidR="006761B4" w:rsidRPr="006761B4">
        <w:rPr>
          <w:szCs w:val="22"/>
        </w:rPr>
        <w:t xml:space="preserve"> </w:t>
      </w:r>
      <w:r w:rsidR="00DA1EA9">
        <w:rPr>
          <w:szCs w:val="22"/>
        </w:rPr>
        <w:t>other organizational units</w:t>
      </w:r>
      <w:r w:rsidR="00DA1EA9" w:rsidRPr="006761B4">
        <w:rPr>
          <w:szCs w:val="22"/>
        </w:rPr>
        <w:t xml:space="preserve"> </w:t>
      </w:r>
      <w:r w:rsidR="006761B4" w:rsidRPr="006761B4">
        <w:rPr>
          <w:szCs w:val="22"/>
        </w:rPr>
        <w:t>to draw on its expertise in future discussions regarding WIPO</w:t>
      </w:r>
      <w:r w:rsidR="0024530C">
        <w:rPr>
          <w:szCs w:val="22"/>
        </w:rPr>
        <w:t>’</w:t>
      </w:r>
      <w:r w:rsidR="006761B4" w:rsidRPr="006761B4">
        <w:rPr>
          <w:szCs w:val="22"/>
        </w:rPr>
        <w:t>s policies, to make sure that ethical considerations are always incorporated into organizational policies and guidelines, as appropriate.</w:t>
      </w:r>
    </w:p>
    <w:p w14:paraId="5AA9F487" w14:textId="5E969B40" w:rsidR="00621C5C" w:rsidRDefault="00621C5C" w:rsidP="00621C5C">
      <w:pPr>
        <w:rPr>
          <w:szCs w:val="22"/>
        </w:rPr>
      </w:pPr>
    </w:p>
    <w:p w14:paraId="1A975F9A" w14:textId="3AF0136F" w:rsidR="001D2886" w:rsidRDefault="001D2886" w:rsidP="000E2F90">
      <w:pPr>
        <w:pStyle w:val="ONUME"/>
      </w:pPr>
      <w:r>
        <w:t xml:space="preserve">The </w:t>
      </w:r>
      <w:r w:rsidR="00D17357">
        <w:t xml:space="preserve">FDDI </w:t>
      </w:r>
      <w:r w:rsidR="006042D2">
        <w:t xml:space="preserve">IT platform </w:t>
      </w:r>
      <w:r>
        <w:t>was</w:t>
      </w:r>
      <w:r w:rsidR="00CA2C26">
        <w:t xml:space="preserve"> </w:t>
      </w:r>
      <w:r w:rsidR="009E0C7E">
        <w:t>enhanced regularly throughout</w:t>
      </w:r>
      <w:r>
        <w:t xml:space="preserve"> </w:t>
      </w:r>
      <w:r w:rsidRPr="006761B4">
        <w:t>202</w:t>
      </w:r>
      <w:r w:rsidR="009E0C7E">
        <w:t>4</w:t>
      </w:r>
      <w:r w:rsidR="00CC10C7" w:rsidRPr="00CC10C7">
        <w:t xml:space="preserve"> to improve the overall functionality, efficiency, </w:t>
      </w:r>
      <w:r w:rsidR="00893CF3">
        <w:t xml:space="preserve">accuracy, user experience </w:t>
      </w:r>
      <w:r w:rsidR="00CC10C7" w:rsidRPr="00CC10C7">
        <w:t xml:space="preserve">and security of the system. </w:t>
      </w:r>
    </w:p>
    <w:p w14:paraId="29C5D849" w14:textId="2D28C492" w:rsidR="00F8440B" w:rsidRDefault="00A1344E" w:rsidP="00F8440B">
      <w:pPr>
        <w:numPr>
          <w:ilvl w:val="0"/>
          <w:numId w:val="5"/>
        </w:numPr>
        <w:spacing w:before="220" w:after="220"/>
      </w:pPr>
      <w:r>
        <w:rPr>
          <w:lang w:bidi="en-US"/>
        </w:rPr>
        <w:t>Lastly, t</w:t>
      </w:r>
      <w:r w:rsidR="00F8440B">
        <w:rPr>
          <w:lang w:bidi="en-US"/>
        </w:rPr>
        <w:t xml:space="preserve">he Ethics Office has </w:t>
      </w:r>
      <w:r>
        <w:rPr>
          <w:lang w:bidi="en-US"/>
        </w:rPr>
        <w:t xml:space="preserve">actively sought to further </w:t>
      </w:r>
      <w:r w:rsidR="00F8440B" w:rsidRPr="005445E6">
        <w:rPr>
          <w:lang w:bidi="en-US"/>
        </w:rPr>
        <w:t xml:space="preserve">enhance exchanges with key </w:t>
      </w:r>
      <w:r w:rsidR="00F8440B">
        <w:rPr>
          <w:lang w:bidi="en-US"/>
        </w:rPr>
        <w:t xml:space="preserve">internal </w:t>
      </w:r>
      <w:r w:rsidR="00F8440B" w:rsidRPr="005445E6">
        <w:rPr>
          <w:lang w:bidi="en-US"/>
        </w:rPr>
        <w:t>stakeholders</w:t>
      </w:r>
      <w:r w:rsidR="00F8440B">
        <w:rPr>
          <w:lang w:bidi="en-US"/>
        </w:rPr>
        <w:t xml:space="preserve">, including the Director of HRMD (through monthly meetings), the Ombudsperson and the Director of IOD (through bi-weekly meetings), </w:t>
      </w:r>
      <w:r w:rsidR="00B812D2">
        <w:rPr>
          <w:lang w:bidi="en-US"/>
        </w:rPr>
        <w:t xml:space="preserve">the </w:t>
      </w:r>
      <w:r w:rsidR="00F8440B">
        <w:rPr>
          <w:lang w:bidi="en-US"/>
        </w:rPr>
        <w:t xml:space="preserve">Senior Medical Adviser and the Staff Council.  </w:t>
      </w:r>
      <w:r w:rsidR="00F8440B">
        <w:t xml:space="preserve">Through various meetings with Sector Leads and senior managers, the Ethics Office has </w:t>
      </w:r>
      <w:r w:rsidR="00AC027B">
        <w:t xml:space="preserve">sought to </w:t>
      </w:r>
      <w:r w:rsidR="00F8440B" w:rsidRPr="006761B4">
        <w:t>prom</w:t>
      </w:r>
      <w:r w:rsidR="00F8440B">
        <w:t>ote accountability in decision</w:t>
      </w:r>
      <w:r w:rsidR="00F8440B">
        <w:noBreakHyphen/>
      </w:r>
      <w:r w:rsidR="00F8440B" w:rsidRPr="006761B4">
        <w:t xml:space="preserve">making and strengthened ethical leadership at all levels of the </w:t>
      </w:r>
      <w:r w:rsidR="00F8440B">
        <w:t>O</w:t>
      </w:r>
      <w:r w:rsidR="00F8440B" w:rsidRPr="006761B4">
        <w:t>rganization.</w:t>
      </w:r>
      <w:r w:rsidR="00F8440B">
        <w:t xml:space="preserve"> </w:t>
      </w:r>
      <w:r w:rsidR="00F8440B">
        <w:rPr>
          <w:lang w:bidi="en-US"/>
        </w:rPr>
        <w:t>T</w:t>
      </w:r>
      <w:r w:rsidR="00F8440B" w:rsidRPr="006761B4">
        <w:t xml:space="preserve">he Ethics Office </w:t>
      </w:r>
      <w:r w:rsidR="00F8440B">
        <w:t xml:space="preserve">is grateful for </w:t>
      </w:r>
      <w:r w:rsidR="00F8440B" w:rsidRPr="006761B4">
        <w:t xml:space="preserve">the support </w:t>
      </w:r>
      <w:r w:rsidR="00F8440B">
        <w:t xml:space="preserve">it </w:t>
      </w:r>
      <w:r w:rsidR="00F8440B" w:rsidRPr="006761B4">
        <w:t xml:space="preserve">received from </w:t>
      </w:r>
      <w:r w:rsidR="00F8440B">
        <w:t xml:space="preserve">all these </w:t>
      </w:r>
      <w:proofErr w:type="gramStart"/>
      <w:r w:rsidR="00F8440B">
        <w:t>stakeholders, and</w:t>
      </w:r>
      <w:proofErr w:type="gramEnd"/>
      <w:r w:rsidR="00F8440B">
        <w:t xml:space="preserve"> plans to</w:t>
      </w:r>
      <w:r w:rsidR="00F8440B" w:rsidRPr="006761B4">
        <w:t xml:space="preserve"> </w:t>
      </w:r>
      <w:r w:rsidR="00F8440B">
        <w:t>maintain continuous dialogue with them</w:t>
      </w:r>
      <w:r w:rsidR="00F8440B" w:rsidRPr="006761B4">
        <w:t>.</w:t>
      </w:r>
      <w:r w:rsidR="00F8440B">
        <w:t xml:space="preserve"> </w:t>
      </w:r>
      <w:r w:rsidR="00F8440B" w:rsidRPr="006761B4">
        <w:t xml:space="preserve">  </w:t>
      </w:r>
    </w:p>
    <w:p w14:paraId="3B0AB1B7" w14:textId="77777777" w:rsidR="006761B4" w:rsidRPr="0051712C" w:rsidRDefault="00D8430A" w:rsidP="0051712C">
      <w:pPr>
        <w:pStyle w:val="Heading2"/>
        <w:spacing w:after="220"/>
        <w:rPr>
          <w:b/>
          <w:bCs w:val="0"/>
        </w:rPr>
      </w:pPr>
      <w:r w:rsidRPr="0051712C">
        <w:rPr>
          <w:b/>
          <w:bCs w:val="0"/>
        </w:rPr>
        <w:t>vI.</w:t>
      </w:r>
      <w:r w:rsidRPr="0051712C">
        <w:rPr>
          <w:b/>
          <w:bCs w:val="0"/>
        </w:rPr>
        <w:tab/>
      </w:r>
      <w:r w:rsidR="006761B4" w:rsidRPr="0051712C">
        <w:rPr>
          <w:b/>
          <w:bCs w:val="0"/>
        </w:rPr>
        <w:t>CONCLUSION</w:t>
      </w:r>
    </w:p>
    <w:p w14:paraId="24509D70" w14:textId="746F5498" w:rsidR="006761B4" w:rsidRPr="001A3470" w:rsidRDefault="006761B4" w:rsidP="006761B4">
      <w:pPr>
        <w:numPr>
          <w:ilvl w:val="0"/>
          <w:numId w:val="5"/>
        </w:numPr>
        <w:spacing w:after="220"/>
      </w:pPr>
      <w:r w:rsidRPr="006761B4">
        <w:t>In 202</w:t>
      </w:r>
      <w:r w:rsidR="00B91A85">
        <w:t>4</w:t>
      </w:r>
      <w:r w:rsidRPr="006761B4">
        <w:t xml:space="preserve">, the Ethics Office made significant efforts to provide consistent ethics advice, high-quality </w:t>
      </w:r>
      <w:r w:rsidR="00A7425B" w:rsidRPr="006761B4">
        <w:t>training,</w:t>
      </w:r>
      <w:r w:rsidRPr="006761B4">
        <w:t xml:space="preserve"> and meaningful outreach to strengthen capacity and further </w:t>
      </w:r>
      <w:r w:rsidR="00A7425B" w:rsidRPr="006761B4">
        <w:t>increase</w:t>
      </w:r>
      <w:r w:rsidRPr="006761B4">
        <w:t xml:space="preserve"> understanding </w:t>
      </w:r>
      <w:r w:rsidR="00A21548">
        <w:t xml:space="preserve">of </w:t>
      </w:r>
      <w:r w:rsidRPr="006761B4">
        <w:t>and compliance with WIPO</w:t>
      </w:r>
      <w:r w:rsidR="0024530C">
        <w:t>’</w:t>
      </w:r>
      <w:r w:rsidRPr="006761B4">
        <w:t xml:space="preserve">s </w:t>
      </w:r>
      <w:r w:rsidR="00A21548">
        <w:t>ethical standards</w:t>
      </w:r>
      <w:r w:rsidRPr="006761B4">
        <w:t xml:space="preserve">. </w:t>
      </w:r>
      <w:r w:rsidR="00CD5E27">
        <w:t xml:space="preserve"> </w:t>
      </w:r>
      <w:r w:rsidRPr="006761B4">
        <w:t xml:space="preserve">The </w:t>
      </w:r>
      <w:r w:rsidR="00CD5E27">
        <w:t>O</w:t>
      </w:r>
      <w:r w:rsidRPr="006761B4">
        <w:t xml:space="preserve">ffice is encouraged by its increased interactions with </w:t>
      </w:r>
      <w:r w:rsidR="0013179D">
        <w:t xml:space="preserve">WIPO </w:t>
      </w:r>
      <w:r w:rsidRPr="006761B4">
        <w:t xml:space="preserve">personnel on </w:t>
      </w:r>
      <w:r w:rsidRPr="001A3470">
        <w:t xml:space="preserve">ethics issues and looks forward to continuing this work in the next year. </w:t>
      </w:r>
    </w:p>
    <w:p w14:paraId="43B49101" w14:textId="54ED228C" w:rsidR="006761B4" w:rsidRPr="001A3470" w:rsidRDefault="008B400E" w:rsidP="00CD5E27">
      <w:pPr>
        <w:numPr>
          <w:ilvl w:val="0"/>
          <w:numId w:val="5"/>
        </w:numPr>
        <w:spacing w:after="720"/>
      </w:pPr>
      <w:r>
        <w:lastRenderedPageBreak/>
        <w:t>As was done last year</w:t>
      </w:r>
      <w:r w:rsidR="006761B4" w:rsidRPr="00913FBD">
        <w:t xml:space="preserve">, the Ethics Office </w:t>
      </w:r>
      <w:r>
        <w:t>will</w:t>
      </w:r>
      <w:r w:rsidR="006761B4" w:rsidRPr="00913FBD">
        <w:t xml:space="preserve"> issue an illustrated summary report to </w:t>
      </w:r>
      <w:r w:rsidR="00152C87">
        <w:t xml:space="preserve">provide </w:t>
      </w:r>
      <w:r w:rsidR="006761B4" w:rsidRPr="00913FBD">
        <w:t>WIPO personnel</w:t>
      </w:r>
      <w:r w:rsidR="00152C87">
        <w:t xml:space="preserve"> with an </w:t>
      </w:r>
      <w:r w:rsidR="006761B4" w:rsidRPr="00913FBD">
        <w:t xml:space="preserve">overview of </w:t>
      </w:r>
      <w:r w:rsidR="00152C87">
        <w:t>its</w:t>
      </w:r>
      <w:r w:rsidR="00152C87" w:rsidRPr="00913FBD">
        <w:t xml:space="preserve"> </w:t>
      </w:r>
      <w:r w:rsidR="006761B4" w:rsidRPr="00913FBD">
        <w:t xml:space="preserve">work. </w:t>
      </w:r>
      <w:r w:rsidR="00EA0F9A">
        <w:t xml:space="preserve"> </w:t>
      </w:r>
      <w:r w:rsidR="006761B4" w:rsidRPr="00913FBD">
        <w:t>A on</w:t>
      </w:r>
      <w:r w:rsidR="006761B4" w:rsidRPr="001A3470">
        <w:t>e</w:t>
      </w:r>
      <w:r w:rsidR="00EA0F9A">
        <w:noBreakHyphen/>
      </w:r>
      <w:r w:rsidR="006761B4" w:rsidRPr="001A3470">
        <w:t xml:space="preserve">page snapshot of this report is available in the Annex. </w:t>
      </w:r>
    </w:p>
    <w:p w14:paraId="19A77E17" w14:textId="77777777" w:rsidR="002E427D" w:rsidRDefault="006761B4" w:rsidP="006761B4">
      <w:pPr>
        <w:spacing w:after="220"/>
        <w:ind w:left="5533"/>
        <w:sectPr w:rsidR="002E427D" w:rsidSect="00EA0F9A">
          <w:headerReference w:type="default" r:id="rId16"/>
          <w:endnotePr>
            <w:numFmt w:val="decimal"/>
          </w:endnotePr>
          <w:pgSz w:w="11907" w:h="16840" w:code="9"/>
          <w:pgMar w:top="567" w:right="1134" w:bottom="1418" w:left="1418" w:header="510" w:footer="1021" w:gutter="0"/>
          <w:cols w:space="720"/>
          <w:titlePg/>
          <w:docGrid w:linePitch="299"/>
        </w:sectPr>
      </w:pPr>
      <w:r w:rsidRPr="007E04F7">
        <w:t>[</w:t>
      </w:r>
      <w:r w:rsidR="00D8430A" w:rsidRPr="007E04F7">
        <w:t>Annex follows</w:t>
      </w:r>
      <w:r w:rsidRPr="007E04F7">
        <w:t>]</w:t>
      </w:r>
    </w:p>
    <w:p w14:paraId="4251CB3C" w14:textId="18C28C26" w:rsidR="00297419" w:rsidRDefault="00297419" w:rsidP="00297419">
      <w:pPr>
        <w:spacing w:after="220"/>
        <w:ind w:left="-288"/>
      </w:pPr>
      <w:r>
        <w:rPr>
          <w:noProof/>
        </w:rPr>
        <w:lastRenderedPageBreak/>
        <w:drawing>
          <wp:inline distT="0" distB="0" distL="0" distR="0" wp14:anchorId="7A875AC1" wp14:editId="750B79F6">
            <wp:extent cx="5718884" cy="8087345"/>
            <wp:effectExtent l="0" t="0" r="0" b="9525"/>
            <wp:docPr id="1160230654" name="Picture 1" descr="ethics office: 2024 in numb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30654" name="Picture 1" descr="ethics office: 2024 in numbers&#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8884" cy="8087345"/>
                    </a:xfrm>
                    <a:prstGeom prst="rect">
                      <a:avLst/>
                    </a:prstGeom>
                  </pic:spPr>
                </pic:pic>
              </a:graphicData>
            </a:graphic>
          </wp:inline>
        </w:drawing>
      </w:r>
    </w:p>
    <w:p w14:paraId="012B9980" w14:textId="652107FD" w:rsidR="00297419" w:rsidRDefault="00297419" w:rsidP="00297419">
      <w:pPr>
        <w:spacing w:after="220"/>
        <w:ind w:left="5533"/>
        <w:jc w:val="both"/>
        <w:sectPr w:rsidR="00297419" w:rsidSect="00EA0F9A">
          <w:headerReference w:type="first" r:id="rId18"/>
          <w:endnotePr>
            <w:numFmt w:val="decimal"/>
          </w:endnotePr>
          <w:pgSz w:w="11907" w:h="16840" w:code="9"/>
          <w:pgMar w:top="567" w:right="1134" w:bottom="1418" w:left="1418" w:header="510" w:footer="1021" w:gutter="0"/>
          <w:cols w:space="720"/>
          <w:titlePg/>
          <w:docGrid w:linePitch="299"/>
        </w:sectPr>
      </w:pPr>
    </w:p>
    <w:p w14:paraId="49CDE3C9" w14:textId="385879FB" w:rsidR="002928D3" w:rsidRDefault="00D8430A" w:rsidP="00913FBD">
      <w:pPr>
        <w:spacing w:before="360" w:after="220"/>
        <w:ind w:left="5530"/>
      </w:pPr>
      <w:bookmarkStart w:id="10" w:name="_Hlk161299472"/>
      <w:bookmarkEnd w:id="6"/>
      <w:r>
        <w:lastRenderedPageBreak/>
        <w:t>[End of Annex and of document]</w:t>
      </w:r>
      <w:bookmarkEnd w:id="0"/>
      <w:bookmarkEnd w:id="10"/>
    </w:p>
    <w:sectPr w:rsidR="002928D3" w:rsidSect="00DE5187">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04BB" w14:textId="77777777" w:rsidR="004619C1" w:rsidRDefault="004619C1">
      <w:r>
        <w:separator/>
      </w:r>
    </w:p>
  </w:endnote>
  <w:endnote w:type="continuationSeparator" w:id="0">
    <w:p w14:paraId="01F1C5B7" w14:textId="77777777" w:rsidR="004619C1" w:rsidRDefault="004619C1" w:rsidP="003B38C1">
      <w:r>
        <w:separator/>
      </w:r>
    </w:p>
    <w:p w14:paraId="333A9D53" w14:textId="77777777" w:rsidR="004619C1" w:rsidRPr="003B38C1" w:rsidRDefault="004619C1" w:rsidP="003B38C1">
      <w:pPr>
        <w:spacing w:after="60"/>
        <w:rPr>
          <w:sz w:val="17"/>
        </w:rPr>
      </w:pPr>
      <w:r>
        <w:rPr>
          <w:sz w:val="17"/>
        </w:rPr>
        <w:t>[Endnote continued from previous page]</w:t>
      </w:r>
    </w:p>
  </w:endnote>
  <w:endnote w:type="continuationNotice" w:id="1">
    <w:p w14:paraId="574915E3" w14:textId="77777777" w:rsidR="004619C1" w:rsidRPr="003B38C1" w:rsidRDefault="004619C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30F4" w14:textId="3D32F325" w:rsidR="00D44980" w:rsidRDefault="00D44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98F8" w14:textId="3725B8E5" w:rsidR="00D44980" w:rsidRDefault="00D44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1AF6" w14:textId="4BCA9E3F" w:rsidR="00D44980" w:rsidRDefault="00D4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FC87" w14:textId="77777777" w:rsidR="004619C1" w:rsidRDefault="004619C1">
      <w:r>
        <w:separator/>
      </w:r>
    </w:p>
  </w:footnote>
  <w:footnote w:type="continuationSeparator" w:id="0">
    <w:p w14:paraId="65A47FE1" w14:textId="77777777" w:rsidR="004619C1" w:rsidRDefault="004619C1" w:rsidP="008B60B2">
      <w:r>
        <w:separator/>
      </w:r>
    </w:p>
    <w:p w14:paraId="72CAD8FD" w14:textId="77777777" w:rsidR="004619C1" w:rsidRPr="00ED77FB" w:rsidRDefault="004619C1" w:rsidP="008B60B2">
      <w:pPr>
        <w:spacing w:after="60"/>
        <w:rPr>
          <w:sz w:val="17"/>
          <w:szCs w:val="17"/>
        </w:rPr>
      </w:pPr>
      <w:r w:rsidRPr="00ED77FB">
        <w:rPr>
          <w:sz w:val="17"/>
          <w:szCs w:val="17"/>
        </w:rPr>
        <w:t>[Footnote continued from previous page]</w:t>
      </w:r>
    </w:p>
  </w:footnote>
  <w:footnote w:type="continuationNotice" w:id="1">
    <w:p w14:paraId="16669FF1" w14:textId="77777777" w:rsidR="004619C1" w:rsidRPr="00ED77FB" w:rsidRDefault="004619C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9D2DAD7" w14:textId="4FEF59C4" w:rsidR="006761B4" w:rsidRPr="00544FB8" w:rsidRDefault="006761B4" w:rsidP="00291793">
      <w:pPr>
        <w:pStyle w:val="FootnoteText"/>
      </w:pPr>
      <w:r>
        <w:rPr>
          <w:rStyle w:val="FootnoteReference"/>
        </w:rPr>
        <w:footnoteRef/>
      </w:r>
      <w:r>
        <w:t xml:space="preserve"> </w:t>
      </w:r>
      <w:r w:rsidR="00B26EA5">
        <w:tab/>
      </w:r>
      <w:r>
        <w:t>This includes all staff and non-staff personnel</w:t>
      </w:r>
      <w:r w:rsidR="00D77823">
        <w:t xml:space="preserve"> </w:t>
      </w:r>
      <w:r w:rsidR="008A425E">
        <w:t xml:space="preserve">of </w:t>
      </w:r>
      <w:proofErr w:type="gramStart"/>
      <w:r w:rsidR="008A425E">
        <w:t>WIPO</w:t>
      </w:r>
      <w:proofErr w:type="gramEnd"/>
      <w:r w:rsidR="008A425E">
        <w:t xml:space="preserve"> and</w:t>
      </w:r>
      <w:r w:rsidR="00FA59FF">
        <w:t xml:space="preserve"> the</w:t>
      </w:r>
      <w:r w:rsidR="008A425E">
        <w:t xml:space="preserve"> </w:t>
      </w:r>
      <w:r w:rsidR="008A425E" w:rsidRPr="008A425E">
        <w:t>International Union for the Protection of New Varieties of Plants</w:t>
      </w:r>
      <w:r w:rsidR="008A425E">
        <w:t xml:space="preserve"> (UPOV) </w:t>
      </w:r>
      <w:r w:rsidR="00D77823">
        <w:t>based in WIPO</w:t>
      </w:r>
      <w:r w:rsidR="00981C9A">
        <w:t>/UPOV</w:t>
      </w:r>
      <w:r w:rsidR="00D77823">
        <w:t xml:space="preserve"> headquarters and </w:t>
      </w:r>
      <w:r w:rsidR="003D7F63">
        <w:t>elsewhere</w:t>
      </w:r>
      <w:r>
        <w:t>.</w:t>
      </w:r>
      <w:r w:rsidRPr="00544FB8">
        <w:t xml:space="preserve"> </w:t>
      </w:r>
      <w:r w:rsidR="006F757A">
        <w:t xml:space="preserve"> </w:t>
      </w:r>
    </w:p>
  </w:footnote>
  <w:footnote w:id="3">
    <w:p w14:paraId="04985530" w14:textId="3F9FF785" w:rsidR="000746CA" w:rsidRPr="00582A06" w:rsidRDefault="000746CA" w:rsidP="000746CA">
      <w:pPr>
        <w:pStyle w:val="ONUME"/>
        <w:numPr>
          <w:ilvl w:val="0"/>
          <w:numId w:val="0"/>
        </w:numPr>
      </w:pPr>
      <w:r w:rsidRPr="00307BB4">
        <w:rPr>
          <w:rStyle w:val="FootnoteReference"/>
          <w:sz w:val="18"/>
          <w:szCs w:val="18"/>
        </w:rPr>
        <w:footnoteRef/>
      </w:r>
      <w:r w:rsidRPr="00307BB4">
        <w:rPr>
          <w:sz w:val="18"/>
          <w:szCs w:val="18"/>
        </w:rPr>
        <w:t xml:space="preserve"> </w:t>
      </w:r>
      <w:r w:rsidR="00B26EA5">
        <w:rPr>
          <w:sz w:val="18"/>
          <w:szCs w:val="18"/>
        </w:rPr>
        <w:tab/>
      </w:r>
      <w:r w:rsidRPr="00307BB4">
        <w:rPr>
          <w:sz w:val="18"/>
          <w:szCs w:val="18"/>
        </w:rPr>
        <w:t>Up until mid-October</w:t>
      </w:r>
      <w:r>
        <w:rPr>
          <w:sz w:val="18"/>
          <w:szCs w:val="18"/>
        </w:rPr>
        <w:t xml:space="preserve"> 2024</w:t>
      </w:r>
      <w:r w:rsidRPr="00307BB4">
        <w:rPr>
          <w:sz w:val="18"/>
          <w:szCs w:val="18"/>
        </w:rPr>
        <w:t xml:space="preserve">, Mr. Mitchels </w:t>
      </w:r>
      <w:r w:rsidR="0002625E">
        <w:rPr>
          <w:sz w:val="18"/>
          <w:szCs w:val="18"/>
        </w:rPr>
        <w:t xml:space="preserve">remained </w:t>
      </w:r>
      <w:r w:rsidR="009B3C16">
        <w:rPr>
          <w:sz w:val="18"/>
          <w:szCs w:val="18"/>
        </w:rPr>
        <w:t xml:space="preserve">as an Individual Service Contractor </w:t>
      </w:r>
      <w:r w:rsidRPr="00307BB4">
        <w:rPr>
          <w:sz w:val="18"/>
          <w:szCs w:val="18"/>
        </w:rPr>
        <w:t xml:space="preserve">on a part-time basis, to ensure proper handing over of all pending requests, cases, policy reviews and files. </w:t>
      </w:r>
    </w:p>
  </w:footnote>
  <w:footnote w:id="4">
    <w:p w14:paraId="6DFA7A41" w14:textId="4E883D84" w:rsidR="001F2E98" w:rsidRPr="00FB02CC" w:rsidRDefault="001F2E98" w:rsidP="008B4AAF">
      <w:pPr>
        <w:pStyle w:val="FootnoteText"/>
      </w:pPr>
      <w:r>
        <w:rPr>
          <w:rStyle w:val="FootnoteReference"/>
        </w:rPr>
        <w:footnoteRef/>
      </w:r>
      <w:r>
        <w:t xml:space="preserve"> </w:t>
      </w:r>
      <w:r w:rsidR="00B26EA5">
        <w:tab/>
      </w:r>
      <w:r w:rsidRPr="00FB02CC">
        <w:t>The Eth</w:t>
      </w:r>
      <w:r>
        <w:t>ic</w:t>
      </w:r>
      <w:r w:rsidRPr="00FB02CC">
        <w:t xml:space="preserve">s Office counts as </w:t>
      </w:r>
      <w:r>
        <w:t>one</w:t>
      </w:r>
      <w:r w:rsidRPr="00FB02CC">
        <w:t xml:space="preserve"> request any request for </w:t>
      </w:r>
      <w:r>
        <w:t xml:space="preserve">confidential </w:t>
      </w:r>
      <w:r w:rsidRPr="00FB02CC">
        <w:t xml:space="preserve">advice </w:t>
      </w:r>
      <w:r>
        <w:t xml:space="preserve">made individually </w:t>
      </w:r>
      <w:r w:rsidRPr="00FB02CC">
        <w:t>by one</w:t>
      </w:r>
      <w:r w:rsidR="00B40C4F">
        <w:t>,</w:t>
      </w:r>
      <w:r w:rsidRPr="00FB02CC">
        <w:t xml:space="preserve"> </w:t>
      </w:r>
      <w:r>
        <w:t>or jointly by several</w:t>
      </w:r>
      <w:r w:rsidR="00B40C4F">
        <w:t>,</w:t>
      </w:r>
      <w:r>
        <w:t xml:space="preserve"> member(s) of</w:t>
      </w:r>
      <w:r w:rsidRPr="00FB02CC">
        <w:t xml:space="preserve"> personnel, in relation to a set of facts.</w:t>
      </w:r>
      <w:r>
        <w:t xml:space="preserve"> </w:t>
      </w:r>
      <w:r w:rsidRPr="00FB02CC">
        <w:t xml:space="preserve"> </w:t>
      </w:r>
    </w:p>
  </w:footnote>
  <w:footnote w:id="5">
    <w:p w14:paraId="79F6B89E" w14:textId="0E122940" w:rsidR="0017495F" w:rsidRPr="00A508F7" w:rsidRDefault="0017495F">
      <w:pPr>
        <w:pStyle w:val="FootnoteText"/>
      </w:pPr>
      <w:r>
        <w:rPr>
          <w:rStyle w:val="FootnoteReference"/>
        </w:rPr>
        <w:footnoteRef/>
      </w:r>
      <w:r>
        <w:t xml:space="preserve"> </w:t>
      </w:r>
      <w:r w:rsidR="00B26EA5">
        <w:tab/>
      </w:r>
      <w:r w:rsidRPr="008B4AAF">
        <w:rPr>
          <w:lang w:val="en-GB"/>
        </w:rPr>
        <w:t xml:space="preserve">This </w:t>
      </w:r>
      <w:r w:rsidRPr="008B4AAF">
        <w:t>category includes</w:t>
      </w:r>
      <w:r w:rsidR="00B7708C" w:rsidRPr="008B4AAF">
        <w:t xml:space="preserve"> requests </w:t>
      </w:r>
      <w:r w:rsidR="00B7708C" w:rsidRPr="007527C3">
        <w:t>relating to retaliation</w:t>
      </w:r>
      <w:r w:rsidR="008475F1">
        <w:t xml:space="preserve"> as defined in </w:t>
      </w:r>
      <w:r w:rsidR="008475F1" w:rsidRPr="008B4AAF">
        <w:t xml:space="preserve">WIPO’s Policy to Protect against Retaliation (that is, retaliation </w:t>
      </w:r>
      <w:r w:rsidR="008475F1">
        <w:t xml:space="preserve">for having </w:t>
      </w:r>
      <w:r w:rsidR="00A508F7" w:rsidRPr="00A508F7">
        <w:t>report</w:t>
      </w:r>
      <w:r w:rsidR="00A508F7">
        <w:t>ed</w:t>
      </w:r>
      <w:r w:rsidR="00A508F7" w:rsidRPr="00A508F7">
        <w:t xml:space="preserve"> misconduct or cooperate</w:t>
      </w:r>
      <w:r w:rsidR="00A508F7">
        <w:t>d</w:t>
      </w:r>
      <w:r w:rsidR="00A508F7" w:rsidRPr="00A508F7">
        <w:t xml:space="preserve"> in an oversight activity</w:t>
      </w:r>
      <w:r w:rsidR="00A508F7">
        <w:t xml:space="preserve">), as well as those </w:t>
      </w:r>
      <w:r w:rsidR="00A508F7" w:rsidRPr="007527C3">
        <w:t xml:space="preserve">relating to </w:t>
      </w:r>
      <w:r w:rsidR="00A508F7">
        <w:t xml:space="preserve">reprisals </w:t>
      </w:r>
      <w:r w:rsidR="002D6613">
        <w:t xml:space="preserve">within the </w:t>
      </w:r>
      <w:r w:rsidR="007C03E9">
        <w:t>ordinary meaning</w:t>
      </w:r>
      <w:r w:rsidR="002D6613">
        <w:t xml:space="preserve"> of this term (</w:t>
      </w:r>
      <w:r w:rsidR="00FF0EA3">
        <w:t xml:space="preserve">that is, </w:t>
      </w:r>
      <w:r w:rsidR="00D911A2">
        <w:t xml:space="preserve">adverse </w:t>
      </w:r>
      <w:r w:rsidR="00FF0EA3">
        <w:t xml:space="preserve">action against </w:t>
      </w:r>
      <w:r w:rsidR="00D911A2">
        <w:t xml:space="preserve">someone in </w:t>
      </w:r>
      <w:r w:rsidR="00C70867">
        <w:t>reaction</w:t>
      </w:r>
      <w:r w:rsidR="00D911A2">
        <w:t xml:space="preserve"> to</w:t>
      </w:r>
      <w:r w:rsidR="00FF1F71">
        <w:t>, or intended to punish</w:t>
      </w:r>
      <w:r w:rsidR="00E25C4E">
        <w:t xml:space="preserve"> for</w:t>
      </w:r>
      <w:r w:rsidR="00FF1F71">
        <w:t>,</w:t>
      </w:r>
      <w:r w:rsidR="00D911A2">
        <w:t xml:space="preserve"> a</w:t>
      </w:r>
      <w:r w:rsidR="00FF1F71">
        <w:t xml:space="preserve"> prior</w:t>
      </w:r>
      <w:r w:rsidR="00D911A2">
        <w:t xml:space="preserve"> action</w:t>
      </w:r>
      <w:r w:rsidR="00A0722A">
        <w:t>).</w:t>
      </w:r>
    </w:p>
  </w:footnote>
  <w:footnote w:id="6">
    <w:p w14:paraId="34D6668F" w14:textId="4AAEF064" w:rsidR="006761B4" w:rsidRDefault="006761B4" w:rsidP="00B769B7">
      <w:pPr>
        <w:pStyle w:val="FootnoteText"/>
      </w:pPr>
      <w:r>
        <w:rPr>
          <w:rStyle w:val="FootnoteReference"/>
        </w:rPr>
        <w:footnoteRef/>
      </w:r>
      <w:r>
        <w:t xml:space="preserve"> </w:t>
      </w:r>
      <w:r w:rsidR="00B26EA5">
        <w:tab/>
      </w:r>
      <w:r w:rsidR="000921DB">
        <w:t xml:space="preserve">For the purposes of WIPO’s Policy on Honors and Gifts, </w:t>
      </w:r>
      <w:r w:rsidR="00673CDB">
        <w:t xml:space="preserve">“gift” also includes any favor, remuneration, benefit or other compensation of a financial value in excess of a nominal value of </w:t>
      </w:r>
      <w:r w:rsidR="00B769B7">
        <w:t>(</w:t>
      </w:r>
      <w:proofErr w:type="spellStart"/>
      <w:r w:rsidR="00B769B7">
        <w:t>i</w:t>
      </w:r>
      <w:proofErr w:type="spellEnd"/>
      <w:r w:rsidR="00B769B7">
        <w:t xml:space="preserve">) </w:t>
      </w:r>
      <w:r w:rsidR="00673CDB">
        <w:t>200 Swiss francs for staff based in Geneva, New York, Japan and Singapore</w:t>
      </w:r>
      <w:r w:rsidR="00B769B7">
        <w:t xml:space="preserve">, as well as staff on mission to these locations, and (ii) </w:t>
      </w:r>
      <w:r w:rsidR="00673CDB">
        <w:t>100 Swiss francs for staff based in any other location</w:t>
      </w:r>
      <w:r>
        <w:t xml:space="preserve">. </w:t>
      </w:r>
    </w:p>
  </w:footnote>
  <w:footnote w:id="7">
    <w:p w14:paraId="75535169" w14:textId="07D93346" w:rsidR="000A05EB" w:rsidRPr="000A05EB" w:rsidRDefault="000A05EB">
      <w:pPr>
        <w:pStyle w:val="FootnoteText"/>
      </w:pPr>
      <w:r>
        <w:rPr>
          <w:rStyle w:val="FootnoteReference"/>
        </w:rPr>
        <w:footnoteRef/>
      </w:r>
      <w:r>
        <w:t xml:space="preserve"> </w:t>
      </w:r>
      <w:r w:rsidR="00B26EA5">
        <w:tab/>
      </w:r>
      <w:r>
        <w:t>T</w:t>
      </w:r>
      <w:r w:rsidRPr="00A57CA9">
        <w:t>he UPOV Secretary-General and Vice Secretary-General</w:t>
      </w:r>
      <w:r>
        <w:t xml:space="preserve"> were also provided with an overview of </w:t>
      </w:r>
      <w:r w:rsidRPr="00A57CA9">
        <w:t xml:space="preserve">the requests for ethics advice received in 2024 from members of </w:t>
      </w:r>
      <w:r>
        <w:t xml:space="preserve">UPOV </w:t>
      </w:r>
      <w:r w:rsidRPr="00A57CA9">
        <w:t>personnel</w:t>
      </w:r>
      <w:r>
        <w:t xml:space="preserve">. </w:t>
      </w:r>
    </w:p>
  </w:footnote>
  <w:footnote w:id="8">
    <w:p w14:paraId="51ABD4FF" w14:textId="273A52FE" w:rsidR="006761B4" w:rsidRPr="00DD56E0" w:rsidRDefault="006761B4" w:rsidP="006761B4">
      <w:pPr>
        <w:pStyle w:val="FootnoteText"/>
        <w:jc w:val="both"/>
      </w:pPr>
      <w:r w:rsidRPr="00CD2420">
        <w:rPr>
          <w:rStyle w:val="FootnoteReference"/>
        </w:rPr>
        <w:footnoteRef/>
      </w:r>
      <w:r w:rsidR="00B26EA5">
        <w:t xml:space="preserve"> </w:t>
      </w:r>
      <w:r w:rsidR="00B26EA5">
        <w:tab/>
      </w:r>
      <w:r w:rsidR="00DE54D3" w:rsidRPr="006761B4">
        <w:t xml:space="preserve">All new recruits since </w:t>
      </w:r>
      <w:r w:rsidR="00DE54D3">
        <w:t xml:space="preserve">the launch of the new Ethics and Integrity training in 2022 </w:t>
      </w:r>
      <w:r w:rsidR="00DE54D3" w:rsidRPr="006761B4">
        <w:t>have been required to complete the training</w:t>
      </w:r>
      <w:r w:rsidR="008873D4" w:rsidRPr="006F20A2">
        <w:t>.</w:t>
      </w:r>
      <w:r w:rsidR="008873D4" w:rsidRPr="00CD2420">
        <w:t xml:space="preserve"> </w:t>
      </w:r>
      <w:r w:rsidRPr="00CD2420">
        <w:t xml:space="preserve"> </w:t>
      </w:r>
    </w:p>
  </w:footnote>
  <w:footnote w:id="9">
    <w:p w14:paraId="520E6057" w14:textId="7CC8345C" w:rsidR="00E63AD0" w:rsidRPr="00E63AD0" w:rsidRDefault="00E63AD0">
      <w:pPr>
        <w:pStyle w:val="FootnoteText"/>
      </w:pPr>
      <w:r>
        <w:rPr>
          <w:rStyle w:val="FootnoteReference"/>
        </w:rPr>
        <w:footnoteRef/>
      </w:r>
      <w:r>
        <w:t xml:space="preserve"> </w:t>
      </w:r>
      <w:r>
        <w:tab/>
        <w:t>Th</w:t>
      </w:r>
      <w:r w:rsidR="001D1544">
        <w:t>e</w:t>
      </w:r>
      <w:r>
        <w:t xml:space="preserve"> review </w:t>
      </w:r>
      <w:r w:rsidR="001D1544">
        <w:t xml:space="preserve">of WIPO’s Policy on Outside Activities </w:t>
      </w:r>
      <w:r>
        <w:t>will be completed once the International Civil Service Commission will have issued its revised Standards of Conduct for the International Civil Service.</w:t>
      </w:r>
    </w:p>
  </w:footnote>
  <w:footnote w:id="10">
    <w:p w14:paraId="392CCDC6" w14:textId="1D02CF42" w:rsidR="005C1474" w:rsidRPr="008B4AAF" w:rsidRDefault="005C1474">
      <w:pPr>
        <w:pStyle w:val="FootnoteText"/>
        <w:rPr>
          <w:lang w:val="en-GB"/>
        </w:rPr>
      </w:pPr>
      <w:r>
        <w:rPr>
          <w:rStyle w:val="FootnoteReference"/>
        </w:rPr>
        <w:footnoteRef/>
      </w:r>
      <w:r>
        <w:t xml:space="preserve"> </w:t>
      </w:r>
      <w:r w:rsidR="0063046A">
        <w:rPr>
          <w:lang w:val="en-GB"/>
        </w:rPr>
        <w:t>Out of the</w:t>
      </w:r>
      <w:r w:rsidR="001F32A1" w:rsidRPr="008B4AAF">
        <w:rPr>
          <w:lang w:val="en-GB"/>
        </w:rPr>
        <w:t xml:space="preserve"> 110 staff members invited to participate </w:t>
      </w:r>
      <w:r w:rsidR="009A2C9C">
        <w:rPr>
          <w:lang w:val="en-GB"/>
        </w:rPr>
        <w:t>in the program</w:t>
      </w:r>
      <w:r w:rsidR="00E22E5E">
        <w:rPr>
          <w:lang w:val="en-GB"/>
        </w:rPr>
        <w:t xml:space="preserve">, </w:t>
      </w:r>
      <w:r w:rsidR="0063046A">
        <w:rPr>
          <w:lang w:val="en-GB"/>
        </w:rPr>
        <w:t>three could not complete</w:t>
      </w:r>
      <w:r w:rsidR="00A16D3F">
        <w:rPr>
          <w:lang w:val="en-GB"/>
        </w:rPr>
        <w:t xml:space="preserve"> the exercise</w:t>
      </w:r>
      <w:r w:rsidR="0063046A">
        <w:rPr>
          <w:lang w:val="en-GB"/>
        </w:rPr>
        <w:t xml:space="preserve"> it as they </w:t>
      </w:r>
      <w:r w:rsidR="006C0B18">
        <w:rPr>
          <w:lang w:val="en-GB"/>
        </w:rPr>
        <w:t xml:space="preserve">either retired from </w:t>
      </w:r>
      <w:r w:rsidR="00D06233">
        <w:rPr>
          <w:lang w:val="en-GB"/>
        </w:rPr>
        <w:t>WIPO</w:t>
      </w:r>
      <w:r w:rsidR="006C0B18">
        <w:rPr>
          <w:lang w:val="en-GB"/>
        </w:rPr>
        <w:t xml:space="preserve"> or were on extended sick leave.</w:t>
      </w:r>
    </w:p>
  </w:footnote>
  <w:footnote w:id="11">
    <w:p w14:paraId="7995F4CF" w14:textId="69C53591" w:rsidR="00404708" w:rsidRPr="008B4AAF" w:rsidRDefault="00404708">
      <w:pPr>
        <w:pStyle w:val="FootnoteText"/>
        <w:rPr>
          <w:lang w:val="fr-FR"/>
        </w:rPr>
      </w:pPr>
      <w:r>
        <w:rPr>
          <w:rStyle w:val="FootnoteReference"/>
        </w:rPr>
        <w:footnoteRef/>
      </w:r>
      <w:r>
        <w:t xml:space="preserve"> </w:t>
      </w:r>
      <w:r>
        <w:rPr>
          <w:lang w:val="fr-FR"/>
        </w:rPr>
        <w:t xml:space="preserve">See </w:t>
      </w:r>
      <w:proofErr w:type="spellStart"/>
      <w:r>
        <w:rPr>
          <w:lang w:val="fr-FR"/>
        </w:rPr>
        <w:t>paragraph</w:t>
      </w:r>
      <w:proofErr w:type="spellEnd"/>
      <w:r>
        <w:rPr>
          <w:lang w:val="fr-FR"/>
        </w:rPr>
        <w:t xml:space="preserve"> </w:t>
      </w:r>
      <w:r w:rsidR="008774E5" w:rsidRPr="00C5013D">
        <w:rPr>
          <w:lang w:val="fr-FR"/>
        </w:rPr>
        <w:t>2</w:t>
      </w:r>
      <w:r w:rsidR="00220B99" w:rsidRPr="00C5013D">
        <w:rPr>
          <w:lang w:val="fr-FR"/>
        </w:rPr>
        <w:t>4</w:t>
      </w:r>
      <w:r w:rsidR="008774E5">
        <w:rPr>
          <w:lang w:val="fr-FR"/>
        </w:rPr>
        <w:t xml:space="preserve"> </w:t>
      </w:r>
      <w:proofErr w:type="spellStart"/>
      <w:r w:rsidR="008774E5">
        <w:rPr>
          <w:lang w:val="fr-FR"/>
        </w:rPr>
        <w:t>above</w:t>
      </w:r>
      <w:proofErr w:type="spellEnd"/>
      <w:r w:rsidR="008774E5">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EE07" w14:textId="614C7F02" w:rsidR="00EC4E49" w:rsidRDefault="006761B4" w:rsidP="006B2DBC">
    <w:pPr>
      <w:jc w:val="right"/>
    </w:pPr>
    <w:r w:rsidRPr="008B4AAF">
      <w:t>W</w:t>
    </w:r>
    <w:r w:rsidR="008A709A" w:rsidRPr="008B4AAF">
      <w:t>O/CC/8</w:t>
    </w:r>
    <w:r w:rsidR="00A716CD" w:rsidRPr="008B4AAF">
      <w:t>4</w:t>
    </w:r>
    <w:r w:rsidR="008A709A" w:rsidRPr="008B4AAF">
      <w:t>/INF</w:t>
    </w:r>
    <w:r w:rsidRPr="000B27F0">
      <w:t>/</w:t>
    </w:r>
    <w:r w:rsidR="007D13EA" w:rsidRPr="000B27F0">
      <w:t>2</w:t>
    </w:r>
  </w:p>
  <w:p w14:paraId="7C0A722F" w14:textId="206839DF" w:rsidR="00EC4E49" w:rsidRDefault="00EC4E49" w:rsidP="00477D6B">
    <w:pPr>
      <w:jc w:val="right"/>
    </w:pPr>
    <w:r>
      <w:t xml:space="preserve">page </w:t>
    </w:r>
    <w:r>
      <w:fldChar w:fldCharType="begin"/>
    </w:r>
    <w:r>
      <w:instrText xml:space="preserve"> PAGE  \* MERGEFORMAT </w:instrText>
    </w:r>
    <w:r>
      <w:fldChar w:fldCharType="separate"/>
    </w:r>
    <w:r w:rsidR="003F09F8">
      <w:rPr>
        <w:noProof/>
      </w:rPr>
      <w:t>15</w:t>
    </w:r>
    <w:r>
      <w:fldChar w:fldCharType="end"/>
    </w:r>
  </w:p>
  <w:p w14:paraId="37CB67CA" w14:textId="5980F0EF" w:rsidR="00EC4E49" w:rsidRDefault="00EC4E49" w:rsidP="00477D6B">
    <w:pPr>
      <w:jc w:val="right"/>
    </w:pPr>
  </w:p>
  <w:p w14:paraId="11598DD2"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7DD3" w14:textId="77777777" w:rsidR="002E427D" w:rsidRDefault="002E427D" w:rsidP="002E427D">
    <w:pPr>
      <w:jc w:val="right"/>
    </w:pPr>
    <w:r w:rsidRPr="008B4AAF">
      <w:t>WO/CC/84/INF</w:t>
    </w:r>
    <w:r w:rsidRPr="000B27F0">
      <w:t>/2</w:t>
    </w:r>
  </w:p>
  <w:p w14:paraId="7446C6B4" w14:textId="2D54C1A7" w:rsidR="002E427D" w:rsidRDefault="002E427D" w:rsidP="002E427D">
    <w:pPr>
      <w:pStyle w:val="Header"/>
      <w:jc w:val="right"/>
    </w:pPr>
    <w:r>
      <w:t>ANNEX</w:t>
    </w:r>
  </w:p>
  <w:p w14:paraId="3D9053E7" w14:textId="77777777" w:rsidR="002E427D" w:rsidRDefault="002E427D" w:rsidP="002E427D">
    <w:pPr>
      <w:pStyle w:val="Header"/>
      <w:jc w:val="right"/>
    </w:pPr>
  </w:p>
  <w:p w14:paraId="57261019" w14:textId="77777777" w:rsidR="002E427D" w:rsidRDefault="002E427D" w:rsidP="002E42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51D" w14:textId="6D1070B6" w:rsidR="00EA0F9A" w:rsidRDefault="00EA0F9A" w:rsidP="006B2DBC">
    <w:pPr>
      <w:jc w:val="right"/>
    </w:pPr>
    <w:r w:rsidRPr="00966626">
      <w:t>WO/CC/8</w:t>
    </w:r>
    <w:r w:rsidR="001D6E56">
      <w:t>4</w:t>
    </w:r>
    <w:r w:rsidRPr="00966626">
      <w:t>/INF/2</w:t>
    </w:r>
  </w:p>
  <w:p w14:paraId="53BA38AA" w14:textId="74CFC9CC" w:rsidR="00EA0F9A" w:rsidRDefault="002E427D" w:rsidP="00477D6B">
    <w:pPr>
      <w:jc w:val="right"/>
    </w:pPr>
    <w:r>
      <w:t xml:space="preserve">Annex, page </w:t>
    </w:r>
    <w:r w:rsidR="001D6E56">
      <w:t>2</w:t>
    </w:r>
  </w:p>
  <w:p w14:paraId="74E934B0" w14:textId="77777777" w:rsidR="001D6E56" w:rsidRDefault="001D6E56" w:rsidP="00477D6B">
    <w:pPr>
      <w:jc w:val="right"/>
    </w:pPr>
  </w:p>
  <w:p w14:paraId="0F32B80A" w14:textId="77777777" w:rsidR="001D6E56" w:rsidRDefault="001D6E56"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C783" w14:textId="77777777" w:rsidR="00D8430A" w:rsidRDefault="00D8430A" w:rsidP="00D8430A">
    <w:pPr>
      <w:jc w:val="right"/>
    </w:pPr>
    <w:r>
      <w:t>WO/CC/82/INF/2</w:t>
    </w:r>
  </w:p>
  <w:p w14:paraId="4937B7D1" w14:textId="77777777" w:rsidR="00D8430A" w:rsidRDefault="00D8430A" w:rsidP="00D8430A">
    <w:pPr>
      <w:jc w:val="right"/>
    </w:pPr>
    <w:r>
      <w:t>ANNEX</w:t>
    </w:r>
  </w:p>
  <w:p w14:paraId="7993B4D9" w14:textId="77777777" w:rsidR="00D8430A" w:rsidRDefault="00D8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267D"/>
    <w:multiLevelType w:val="hybridMultilevel"/>
    <w:tmpl w:val="710E9250"/>
    <w:lvl w:ilvl="0" w:tplc="B3DA34CE">
      <w:start w:val="1"/>
      <w:numFmt w:val="bullet"/>
      <w:lvlText w:val=""/>
      <w:lvlJc w:val="left"/>
      <w:pPr>
        <w:ind w:left="720" w:hanging="360"/>
      </w:pPr>
      <w:rPr>
        <w:rFonts w:ascii="Symbol" w:hAnsi="Symbol"/>
      </w:rPr>
    </w:lvl>
    <w:lvl w:ilvl="1" w:tplc="41803F9E">
      <w:start w:val="1"/>
      <w:numFmt w:val="bullet"/>
      <w:lvlText w:val=""/>
      <w:lvlJc w:val="left"/>
      <w:pPr>
        <w:ind w:left="720" w:hanging="360"/>
      </w:pPr>
      <w:rPr>
        <w:rFonts w:ascii="Symbol" w:hAnsi="Symbol"/>
      </w:rPr>
    </w:lvl>
    <w:lvl w:ilvl="2" w:tplc="DD604D2E">
      <w:start w:val="1"/>
      <w:numFmt w:val="bullet"/>
      <w:lvlText w:val=""/>
      <w:lvlJc w:val="left"/>
      <w:pPr>
        <w:ind w:left="720" w:hanging="360"/>
      </w:pPr>
      <w:rPr>
        <w:rFonts w:ascii="Symbol" w:hAnsi="Symbol"/>
      </w:rPr>
    </w:lvl>
    <w:lvl w:ilvl="3" w:tplc="2F94BA6E">
      <w:start w:val="1"/>
      <w:numFmt w:val="bullet"/>
      <w:lvlText w:val=""/>
      <w:lvlJc w:val="left"/>
      <w:pPr>
        <w:ind w:left="720" w:hanging="360"/>
      </w:pPr>
      <w:rPr>
        <w:rFonts w:ascii="Symbol" w:hAnsi="Symbol"/>
      </w:rPr>
    </w:lvl>
    <w:lvl w:ilvl="4" w:tplc="AFE43954">
      <w:start w:val="1"/>
      <w:numFmt w:val="bullet"/>
      <w:lvlText w:val=""/>
      <w:lvlJc w:val="left"/>
      <w:pPr>
        <w:ind w:left="720" w:hanging="360"/>
      </w:pPr>
      <w:rPr>
        <w:rFonts w:ascii="Symbol" w:hAnsi="Symbol"/>
      </w:rPr>
    </w:lvl>
    <w:lvl w:ilvl="5" w:tplc="D718609E">
      <w:start w:val="1"/>
      <w:numFmt w:val="bullet"/>
      <w:lvlText w:val=""/>
      <w:lvlJc w:val="left"/>
      <w:pPr>
        <w:ind w:left="720" w:hanging="360"/>
      </w:pPr>
      <w:rPr>
        <w:rFonts w:ascii="Symbol" w:hAnsi="Symbol"/>
      </w:rPr>
    </w:lvl>
    <w:lvl w:ilvl="6" w:tplc="02D867C8">
      <w:start w:val="1"/>
      <w:numFmt w:val="bullet"/>
      <w:lvlText w:val=""/>
      <w:lvlJc w:val="left"/>
      <w:pPr>
        <w:ind w:left="720" w:hanging="360"/>
      </w:pPr>
      <w:rPr>
        <w:rFonts w:ascii="Symbol" w:hAnsi="Symbol"/>
      </w:rPr>
    </w:lvl>
    <w:lvl w:ilvl="7" w:tplc="F3F007C2">
      <w:start w:val="1"/>
      <w:numFmt w:val="bullet"/>
      <w:lvlText w:val=""/>
      <w:lvlJc w:val="left"/>
      <w:pPr>
        <w:ind w:left="720" w:hanging="360"/>
      </w:pPr>
      <w:rPr>
        <w:rFonts w:ascii="Symbol" w:hAnsi="Symbol"/>
      </w:rPr>
    </w:lvl>
    <w:lvl w:ilvl="8" w:tplc="F44A4B48">
      <w:start w:val="1"/>
      <w:numFmt w:val="bullet"/>
      <w:lvlText w:val=""/>
      <w:lvlJc w:val="left"/>
      <w:pPr>
        <w:ind w:left="720" w:hanging="360"/>
      </w:pPr>
      <w:rPr>
        <w:rFonts w:ascii="Symbol" w:hAnsi="Symbol"/>
      </w:rPr>
    </w:lvl>
  </w:abstractNum>
  <w:abstractNum w:abstractNumId="2" w15:restartNumberingAfterBreak="0">
    <w:nsid w:val="06CD29E3"/>
    <w:multiLevelType w:val="multilevel"/>
    <w:tmpl w:val="BA3280CC"/>
    <w:lvl w:ilvl="0">
      <w:start w:val="1"/>
      <w:numFmt w:val="decimal"/>
      <w:lvlRestart w:val="0"/>
      <w:pStyle w:val="ONUME"/>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7A4C6A"/>
    <w:multiLevelType w:val="hybridMultilevel"/>
    <w:tmpl w:val="85CE956A"/>
    <w:lvl w:ilvl="0" w:tplc="A1F81802">
      <w:start w:val="1"/>
      <w:numFmt w:val="bullet"/>
      <w:lvlText w:val=""/>
      <w:lvlJc w:val="left"/>
      <w:pPr>
        <w:ind w:left="720" w:hanging="360"/>
      </w:pPr>
      <w:rPr>
        <w:rFonts w:ascii="Symbol" w:hAnsi="Symbol"/>
      </w:rPr>
    </w:lvl>
    <w:lvl w:ilvl="1" w:tplc="83468914">
      <w:start w:val="1"/>
      <w:numFmt w:val="bullet"/>
      <w:lvlText w:val=""/>
      <w:lvlJc w:val="left"/>
      <w:pPr>
        <w:ind w:left="720" w:hanging="360"/>
      </w:pPr>
      <w:rPr>
        <w:rFonts w:ascii="Symbol" w:hAnsi="Symbol"/>
      </w:rPr>
    </w:lvl>
    <w:lvl w:ilvl="2" w:tplc="5E30D468">
      <w:start w:val="1"/>
      <w:numFmt w:val="bullet"/>
      <w:lvlText w:val=""/>
      <w:lvlJc w:val="left"/>
      <w:pPr>
        <w:ind w:left="720" w:hanging="360"/>
      </w:pPr>
      <w:rPr>
        <w:rFonts w:ascii="Symbol" w:hAnsi="Symbol"/>
      </w:rPr>
    </w:lvl>
    <w:lvl w:ilvl="3" w:tplc="1ACA3DFA">
      <w:start w:val="1"/>
      <w:numFmt w:val="bullet"/>
      <w:lvlText w:val=""/>
      <w:lvlJc w:val="left"/>
      <w:pPr>
        <w:ind w:left="720" w:hanging="360"/>
      </w:pPr>
      <w:rPr>
        <w:rFonts w:ascii="Symbol" w:hAnsi="Symbol"/>
      </w:rPr>
    </w:lvl>
    <w:lvl w:ilvl="4" w:tplc="0C50CF2E">
      <w:start w:val="1"/>
      <w:numFmt w:val="bullet"/>
      <w:lvlText w:val=""/>
      <w:lvlJc w:val="left"/>
      <w:pPr>
        <w:ind w:left="720" w:hanging="360"/>
      </w:pPr>
      <w:rPr>
        <w:rFonts w:ascii="Symbol" w:hAnsi="Symbol"/>
      </w:rPr>
    </w:lvl>
    <w:lvl w:ilvl="5" w:tplc="B108EBB8">
      <w:start w:val="1"/>
      <w:numFmt w:val="bullet"/>
      <w:lvlText w:val=""/>
      <w:lvlJc w:val="left"/>
      <w:pPr>
        <w:ind w:left="720" w:hanging="360"/>
      </w:pPr>
      <w:rPr>
        <w:rFonts w:ascii="Symbol" w:hAnsi="Symbol"/>
      </w:rPr>
    </w:lvl>
    <w:lvl w:ilvl="6" w:tplc="9C18AD3C">
      <w:start w:val="1"/>
      <w:numFmt w:val="bullet"/>
      <w:lvlText w:val=""/>
      <w:lvlJc w:val="left"/>
      <w:pPr>
        <w:ind w:left="720" w:hanging="360"/>
      </w:pPr>
      <w:rPr>
        <w:rFonts w:ascii="Symbol" w:hAnsi="Symbol"/>
      </w:rPr>
    </w:lvl>
    <w:lvl w:ilvl="7" w:tplc="61CA2076">
      <w:start w:val="1"/>
      <w:numFmt w:val="bullet"/>
      <w:lvlText w:val=""/>
      <w:lvlJc w:val="left"/>
      <w:pPr>
        <w:ind w:left="720" w:hanging="360"/>
      </w:pPr>
      <w:rPr>
        <w:rFonts w:ascii="Symbol" w:hAnsi="Symbol"/>
      </w:rPr>
    </w:lvl>
    <w:lvl w:ilvl="8" w:tplc="BD40DC00">
      <w:start w:val="1"/>
      <w:numFmt w:val="bullet"/>
      <w:lvlText w:val=""/>
      <w:lvlJc w:val="left"/>
      <w:pPr>
        <w:ind w:left="720" w:hanging="360"/>
      </w:pPr>
      <w:rPr>
        <w:rFonts w:ascii="Symbol" w:hAnsi="Symbol"/>
      </w:rPr>
    </w:lvl>
  </w:abstractNum>
  <w:abstractNum w:abstractNumId="4" w15:restartNumberingAfterBreak="0">
    <w:nsid w:val="0C607F98"/>
    <w:multiLevelType w:val="hybridMultilevel"/>
    <w:tmpl w:val="684ED34E"/>
    <w:lvl w:ilvl="0" w:tplc="14AAFB72">
      <w:start w:val="1"/>
      <w:numFmt w:val="bullet"/>
      <w:lvlText w:val=""/>
      <w:lvlJc w:val="left"/>
      <w:pPr>
        <w:ind w:left="720" w:hanging="360"/>
      </w:pPr>
      <w:rPr>
        <w:rFonts w:ascii="Symbol" w:hAnsi="Symbol"/>
      </w:rPr>
    </w:lvl>
    <w:lvl w:ilvl="1" w:tplc="DF544E78">
      <w:start w:val="1"/>
      <w:numFmt w:val="bullet"/>
      <w:lvlText w:val=""/>
      <w:lvlJc w:val="left"/>
      <w:pPr>
        <w:ind w:left="720" w:hanging="360"/>
      </w:pPr>
      <w:rPr>
        <w:rFonts w:ascii="Symbol" w:hAnsi="Symbol"/>
      </w:rPr>
    </w:lvl>
    <w:lvl w:ilvl="2" w:tplc="A5AAE9F6">
      <w:start w:val="1"/>
      <w:numFmt w:val="bullet"/>
      <w:lvlText w:val=""/>
      <w:lvlJc w:val="left"/>
      <w:pPr>
        <w:ind w:left="720" w:hanging="360"/>
      </w:pPr>
      <w:rPr>
        <w:rFonts w:ascii="Symbol" w:hAnsi="Symbol"/>
      </w:rPr>
    </w:lvl>
    <w:lvl w:ilvl="3" w:tplc="2F66D90E">
      <w:start w:val="1"/>
      <w:numFmt w:val="bullet"/>
      <w:lvlText w:val=""/>
      <w:lvlJc w:val="left"/>
      <w:pPr>
        <w:ind w:left="720" w:hanging="360"/>
      </w:pPr>
      <w:rPr>
        <w:rFonts w:ascii="Symbol" w:hAnsi="Symbol"/>
      </w:rPr>
    </w:lvl>
    <w:lvl w:ilvl="4" w:tplc="92C40FE8">
      <w:start w:val="1"/>
      <w:numFmt w:val="bullet"/>
      <w:lvlText w:val=""/>
      <w:lvlJc w:val="left"/>
      <w:pPr>
        <w:ind w:left="720" w:hanging="360"/>
      </w:pPr>
      <w:rPr>
        <w:rFonts w:ascii="Symbol" w:hAnsi="Symbol"/>
      </w:rPr>
    </w:lvl>
    <w:lvl w:ilvl="5" w:tplc="A4641B30">
      <w:start w:val="1"/>
      <w:numFmt w:val="bullet"/>
      <w:lvlText w:val=""/>
      <w:lvlJc w:val="left"/>
      <w:pPr>
        <w:ind w:left="720" w:hanging="360"/>
      </w:pPr>
      <w:rPr>
        <w:rFonts w:ascii="Symbol" w:hAnsi="Symbol"/>
      </w:rPr>
    </w:lvl>
    <w:lvl w:ilvl="6" w:tplc="8AC88234">
      <w:start w:val="1"/>
      <w:numFmt w:val="bullet"/>
      <w:lvlText w:val=""/>
      <w:lvlJc w:val="left"/>
      <w:pPr>
        <w:ind w:left="720" w:hanging="360"/>
      </w:pPr>
      <w:rPr>
        <w:rFonts w:ascii="Symbol" w:hAnsi="Symbol"/>
      </w:rPr>
    </w:lvl>
    <w:lvl w:ilvl="7" w:tplc="8540741E">
      <w:start w:val="1"/>
      <w:numFmt w:val="bullet"/>
      <w:lvlText w:val=""/>
      <w:lvlJc w:val="left"/>
      <w:pPr>
        <w:ind w:left="720" w:hanging="360"/>
      </w:pPr>
      <w:rPr>
        <w:rFonts w:ascii="Symbol" w:hAnsi="Symbol"/>
      </w:rPr>
    </w:lvl>
    <w:lvl w:ilvl="8" w:tplc="10780C52">
      <w:start w:val="1"/>
      <w:numFmt w:val="bullet"/>
      <w:lvlText w:val=""/>
      <w:lvlJc w:val="left"/>
      <w:pPr>
        <w:ind w:left="720" w:hanging="360"/>
      </w:pPr>
      <w:rPr>
        <w:rFonts w:ascii="Symbol" w:hAnsi="Symbol"/>
      </w:rPr>
    </w:lvl>
  </w:abstractNum>
  <w:abstractNum w:abstractNumId="5" w15:restartNumberingAfterBreak="0">
    <w:nsid w:val="0DAE7DCB"/>
    <w:multiLevelType w:val="hybridMultilevel"/>
    <w:tmpl w:val="6226C5CA"/>
    <w:lvl w:ilvl="0" w:tplc="744852A2">
      <w:start w:val="1"/>
      <w:numFmt w:val="bullet"/>
      <w:lvlText w:val=""/>
      <w:lvlJc w:val="left"/>
      <w:pPr>
        <w:ind w:left="720" w:hanging="360"/>
      </w:pPr>
      <w:rPr>
        <w:rFonts w:ascii="Symbol" w:hAnsi="Symbol"/>
      </w:rPr>
    </w:lvl>
    <w:lvl w:ilvl="1" w:tplc="9CEEF988">
      <w:start w:val="1"/>
      <w:numFmt w:val="bullet"/>
      <w:lvlText w:val=""/>
      <w:lvlJc w:val="left"/>
      <w:pPr>
        <w:ind w:left="720" w:hanging="360"/>
      </w:pPr>
      <w:rPr>
        <w:rFonts w:ascii="Symbol" w:hAnsi="Symbol"/>
      </w:rPr>
    </w:lvl>
    <w:lvl w:ilvl="2" w:tplc="7C5C51A4">
      <w:start w:val="1"/>
      <w:numFmt w:val="bullet"/>
      <w:lvlText w:val=""/>
      <w:lvlJc w:val="left"/>
      <w:pPr>
        <w:ind w:left="720" w:hanging="360"/>
      </w:pPr>
      <w:rPr>
        <w:rFonts w:ascii="Symbol" w:hAnsi="Symbol"/>
      </w:rPr>
    </w:lvl>
    <w:lvl w:ilvl="3" w:tplc="63A423E8">
      <w:start w:val="1"/>
      <w:numFmt w:val="bullet"/>
      <w:lvlText w:val=""/>
      <w:lvlJc w:val="left"/>
      <w:pPr>
        <w:ind w:left="720" w:hanging="360"/>
      </w:pPr>
      <w:rPr>
        <w:rFonts w:ascii="Symbol" w:hAnsi="Symbol"/>
      </w:rPr>
    </w:lvl>
    <w:lvl w:ilvl="4" w:tplc="D0445AA8">
      <w:start w:val="1"/>
      <w:numFmt w:val="bullet"/>
      <w:lvlText w:val=""/>
      <w:lvlJc w:val="left"/>
      <w:pPr>
        <w:ind w:left="720" w:hanging="360"/>
      </w:pPr>
      <w:rPr>
        <w:rFonts w:ascii="Symbol" w:hAnsi="Symbol"/>
      </w:rPr>
    </w:lvl>
    <w:lvl w:ilvl="5" w:tplc="3272C2C8">
      <w:start w:val="1"/>
      <w:numFmt w:val="bullet"/>
      <w:lvlText w:val=""/>
      <w:lvlJc w:val="left"/>
      <w:pPr>
        <w:ind w:left="720" w:hanging="360"/>
      </w:pPr>
      <w:rPr>
        <w:rFonts w:ascii="Symbol" w:hAnsi="Symbol"/>
      </w:rPr>
    </w:lvl>
    <w:lvl w:ilvl="6" w:tplc="20D6136A">
      <w:start w:val="1"/>
      <w:numFmt w:val="bullet"/>
      <w:lvlText w:val=""/>
      <w:lvlJc w:val="left"/>
      <w:pPr>
        <w:ind w:left="720" w:hanging="360"/>
      </w:pPr>
      <w:rPr>
        <w:rFonts w:ascii="Symbol" w:hAnsi="Symbol"/>
      </w:rPr>
    </w:lvl>
    <w:lvl w:ilvl="7" w:tplc="22E04382">
      <w:start w:val="1"/>
      <w:numFmt w:val="bullet"/>
      <w:lvlText w:val=""/>
      <w:lvlJc w:val="left"/>
      <w:pPr>
        <w:ind w:left="720" w:hanging="360"/>
      </w:pPr>
      <w:rPr>
        <w:rFonts w:ascii="Symbol" w:hAnsi="Symbol"/>
      </w:rPr>
    </w:lvl>
    <w:lvl w:ilvl="8" w:tplc="47F4DE24">
      <w:start w:val="1"/>
      <w:numFmt w:val="bullet"/>
      <w:lvlText w:val=""/>
      <w:lvlJc w:val="left"/>
      <w:pPr>
        <w:ind w:left="720" w:hanging="360"/>
      </w:pPr>
      <w:rPr>
        <w:rFonts w:ascii="Symbol" w:hAnsi="Symbol"/>
      </w:rPr>
    </w:lvl>
  </w:abstractNum>
  <w:abstractNum w:abstractNumId="6"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24300"/>
    <w:multiLevelType w:val="hybridMultilevel"/>
    <w:tmpl w:val="58B8DFF4"/>
    <w:lvl w:ilvl="0" w:tplc="3B86EFB2">
      <w:start w:val="1"/>
      <w:numFmt w:val="bullet"/>
      <w:lvlText w:val=""/>
      <w:lvlJc w:val="left"/>
      <w:pPr>
        <w:ind w:left="720" w:hanging="360"/>
      </w:pPr>
      <w:rPr>
        <w:rFonts w:ascii="Symbol" w:hAnsi="Symbol"/>
      </w:rPr>
    </w:lvl>
    <w:lvl w:ilvl="1" w:tplc="160288D0">
      <w:start w:val="1"/>
      <w:numFmt w:val="bullet"/>
      <w:lvlText w:val=""/>
      <w:lvlJc w:val="left"/>
      <w:pPr>
        <w:ind w:left="720" w:hanging="360"/>
      </w:pPr>
      <w:rPr>
        <w:rFonts w:ascii="Symbol" w:hAnsi="Symbol"/>
      </w:rPr>
    </w:lvl>
    <w:lvl w:ilvl="2" w:tplc="2B3C1BD6">
      <w:start w:val="1"/>
      <w:numFmt w:val="bullet"/>
      <w:lvlText w:val=""/>
      <w:lvlJc w:val="left"/>
      <w:pPr>
        <w:ind w:left="720" w:hanging="360"/>
      </w:pPr>
      <w:rPr>
        <w:rFonts w:ascii="Symbol" w:hAnsi="Symbol"/>
      </w:rPr>
    </w:lvl>
    <w:lvl w:ilvl="3" w:tplc="21B46434">
      <w:start w:val="1"/>
      <w:numFmt w:val="bullet"/>
      <w:lvlText w:val=""/>
      <w:lvlJc w:val="left"/>
      <w:pPr>
        <w:ind w:left="720" w:hanging="360"/>
      </w:pPr>
      <w:rPr>
        <w:rFonts w:ascii="Symbol" w:hAnsi="Symbol"/>
      </w:rPr>
    </w:lvl>
    <w:lvl w:ilvl="4" w:tplc="A9747B12">
      <w:start w:val="1"/>
      <w:numFmt w:val="bullet"/>
      <w:lvlText w:val=""/>
      <w:lvlJc w:val="left"/>
      <w:pPr>
        <w:ind w:left="720" w:hanging="360"/>
      </w:pPr>
      <w:rPr>
        <w:rFonts w:ascii="Symbol" w:hAnsi="Symbol"/>
      </w:rPr>
    </w:lvl>
    <w:lvl w:ilvl="5" w:tplc="CB2E3F4C">
      <w:start w:val="1"/>
      <w:numFmt w:val="bullet"/>
      <w:lvlText w:val=""/>
      <w:lvlJc w:val="left"/>
      <w:pPr>
        <w:ind w:left="720" w:hanging="360"/>
      </w:pPr>
      <w:rPr>
        <w:rFonts w:ascii="Symbol" w:hAnsi="Symbol"/>
      </w:rPr>
    </w:lvl>
    <w:lvl w:ilvl="6" w:tplc="94C83734">
      <w:start w:val="1"/>
      <w:numFmt w:val="bullet"/>
      <w:lvlText w:val=""/>
      <w:lvlJc w:val="left"/>
      <w:pPr>
        <w:ind w:left="720" w:hanging="360"/>
      </w:pPr>
      <w:rPr>
        <w:rFonts w:ascii="Symbol" w:hAnsi="Symbol"/>
      </w:rPr>
    </w:lvl>
    <w:lvl w:ilvl="7" w:tplc="1B2E20C2">
      <w:start w:val="1"/>
      <w:numFmt w:val="bullet"/>
      <w:lvlText w:val=""/>
      <w:lvlJc w:val="left"/>
      <w:pPr>
        <w:ind w:left="720" w:hanging="360"/>
      </w:pPr>
      <w:rPr>
        <w:rFonts w:ascii="Symbol" w:hAnsi="Symbol"/>
      </w:rPr>
    </w:lvl>
    <w:lvl w:ilvl="8" w:tplc="3B50E192">
      <w:start w:val="1"/>
      <w:numFmt w:val="bullet"/>
      <w:lvlText w:val=""/>
      <w:lvlJc w:val="left"/>
      <w:pPr>
        <w:ind w:left="720" w:hanging="360"/>
      </w:pPr>
      <w:rPr>
        <w:rFonts w:ascii="Symbol" w:hAnsi="Symbol"/>
      </w:rPr>
    </w:lvl>
  </w:abstractNum>
  <w:abstractNum w:abstractNumId="8" w15:restartNumberingAfterBreak="0">
    <w:nsid w:val="1275491F"/>
    <w:multiLevelType w:val="hybridMultilevel"/>
    <w:tmpl w:val="E06C3540"/>
    <w:lvl w:ilvl="0" w:tplc="32009DB2">
      <w:start w:val="1"/>
      <w:numFmt w:val="bullet"/>
      <w:lvlText w:val=""/>
      <w:lvlJc w:val="left"/>
      <w:pPr>
        <w:ind w:left="1320" w:hanging="360"/>
      </w:pPr>
      <w:rPr>
        <w:rFonts w:ascii="Symbol" w:hAnsi="Symbol"/>
      </w:rPr>
    </w:lvl>
    <w:lvl w:ilvl="1" w:tplc="5FA6DD36">
      <w:start w:val="1"/>
      <w:numFmt w:val="bullet"/>
      <w:lvlText w:val=""/>
      <w:lvlJc w:val="left"/>
      <w:pPr>
        <w:ind w:left="1320" w:hanging="360"/>
      </w:pPr>
      <w:rPr>
        <w:rFonts w:ascii="Symbol" w:hAnsi="Symbol"/>
      </w:rPr>
    </w:lvl>
    <w:lvl w:ilvl="2" w:tplc="EEDCF7C4">
      <w:start w:val="1"/>
      <w:numFmt w:val="bullet"/>
      <w:lvlText w:val=""/>
      <w:lvlJc w:val="left"/>
      <w:pPr>
        <w:ind w:left="1320" w:hanging="360"/>
      </w:pPr>
      <w:rPr>
        <w:rFonts w:ascii="Symbol" w:hAnsi="Symbol"/>
      </w:rPr>
    </w:lvl>
    <w:lvl w:ilvl="3" w:tplc="C73831B8">
      <w:start w:val="1"/>
      <w:numFmt w:val="bullet"/>
      <w:lvlText w:val=""/>
      <w:lvlJc w:val="left"/>
      <w:pPr>
        <w:ind w:left="1320" w:hanging="360"/>
      </w:pPr>
      <w:rPr>
        <w:rFonts w:ascii="Symbol" w:hAnsi="Symbol"/>
      </w:rPr>
    </w:lvl>
    <w:lvl w:ilvl="4" w:tplc="E4644FC2">
      <w:start w:val="1"/>
      <w:numFmt w:val="bullet"/>
      <w:lvlText w:val=""/>
      <w:lvlJc w:val="left"/>
      <w:pPr>
        <w:ind w:left="1320" w:hanging="360"/>
      </w:pPr>
      <w:rPr>
        <w:rFonts w:ascii="Symbol" w:hAnsi="Symbol"/>
      </w:rPr>
    </w:lvl>
    <w:lvl w:ilvl="5" w:tplc="3E442046">
      <w:start w:val="1"/>
      <w:numFmt w:val="bullet"/>
      <w:lvlText w:val=""/>
      <w:lvlJc w:val="left"/>
      <w:pPr>
        <w:ind w:left="1320" w:hanging="360"/>
      </w:pPr>
      <w:rPr>
        <w:rFonts w:ascii="Symbol" w:hAnsi="Symbol"/>
      </w:rPr>
    </w:lvl>
    <w:lvl w:ilvl="6" w:tplc="824033D2">
      <w:start w:val="1"/>
      <w:numFmt w:val="bullet"/>
      <w:lvlText w:val=""/>
      <w:lvlJc w:val="left"/>
      <w:pPr>
        <w:ind w:left="1320" w:hanging="360"/>
      </w:pPr>
      <w:rPr>
        <w:rFonts w:ascii="Symbol" w:hAnsi="Symbol"/>
      </w:rPr>
    </w:lvl>
    <w:lvl w:ilvl="7" w:tplc="8E6AF156">
      <w:start w:val="1"/>
      <w:numFmt w:val="bullet"/>
      <w:lvlText w:val=""/>
      <w:lvlJc w:val="left"/>
      <w:pPr>
        <w:ind w:left="1320" w:hanging="360"/>
      </w:pPr>
      <w:rPr>
        <w:rFonts w:ascii="Symbol" w:hAnsi="Symbol"/>
      </w:rPr>
    </w:lvl>
    <w:lvl w:ilvl="8" w:tplc="FE30102C">
      <w:start w:val="1"/>
      <w:numFmt w:val="bullet"/>
      <w:lvlText w:val=""/>
      <w:lvlJc w:val="left"/>
      <w:pPr>
        <w:ind w:left="1320" w:hanging="360"/>
      </w:pPr>
      <w:rPr>
        <w:rFonts w:ascii="Symbol" w:hAnsi="Symbol"/>
      </w:rPr>
    </w:lvl>
  </w:abstractNum>
  <w:abstractNum w:abstractNumId="9"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F630A"/>
    <w:multiLevelType w:val="hybridMultilevel"/>
    <w:tmpl w:val="8F508586"/>
    <w:lvl w:ilvl="0" w:tplc="E9ACF6DE">
      <w:start w:val="1"/>
      <w:numFmt w:val="bullet"/>
      <w:lvlText w:val=""/>
      <w:lvlJc w:val="left"/>
      <w:pPr>
        <w:ind w:left="720" w:hanging="360"/>
      </w:pPr>
      <w:rPr>
        <w:rFonts w:ascii="Symbol" w:hAnsi="Symbol"/>
      </w:rPr>
    </w:lvl>
    <w:lvl w:ilvl="1" w:tplc="6A34C634">
      <w:start w:val="1"/>
      <w:numFmt w:val="bullet"/>
      <w:lvlText w:val=""/>
      <w:lvlJc w:val="left"/>
      <w:pPr>
        <w:ind w:left="720" w:hanging="360"/>
      </w:pPr>
      <w:rPr>
        <w:rFonts w:ascii="Symbol" w:hAnsi="Symbol"/>
      </w:rPr>
    </w:lvl>
    <w:lvl w:ilvl="2" w:tplc="63A060DE">
      <w:start w:val="1"/>
      <w:numFmt w:val="bullet"/>
      <w:lvlText w:val=""/>
      <w:lvlJc w:val="left"/>
      <w:pPr>
        <w:ind w:left="720" w:hanging="360"/>
      </w:pPr>
      <w:rPr>
        <w:rFonts w:ascii="Symbol" w:hAnsi="Symbol"/>
      </w:rPr>
    </w:lvl>
    <w:lvl w:ilvl="3" w:tplc="ABD6E50E">
      <w:start w:val="1"/>
      <w:numFmt w:val="bullet"/>
      <w:lvlText w:val=""/>
      <w:lvlJc w:val="left"/>
      <w:pPr>
        <w:ind w:left="720" w:hanging="360"/>
      </w:pPr>
      <w:rPr>
        <w:rFonts w:ascii="Symbol" w:hAnsi="Symbol"/>
      </w:rPr>
    </w:lvl>
    <w:lvl w:ilvl="4" w:tplc="F692E7DA">
      <w:start w:val="1"/>
      <w:numFmt w:val="bullet"/>
      <w:lvlText w:val=""/>
      <w:lvlJc w:val="left"/>
      <w:pPr>
        <w:ind w:left="720" w:hanging="360"/>
      </w:pPr>
      <w:rPr>
        <w:rFonts w:ascii="Symbol" w:hAnsi="Symbol"/>
      </w:rPr>
    </w:lvl>
    <w:lvl w:ilvl="5" w:tplc="4AF28072">
      <w:start w:val="1"/>
      <w:numFmt w:val="bullet"/>
      <w:lvlText w:val=""/>
      <w:lvlJc w:val="left"/>
      <w:pPr>
        <w:ind w:left="720" w:hanging="360"/>
      </w:pPr>
      <w:rPr>
        <w:rFonts w:ascii="Symbol" w:hAnsi="Symbol"/>
      </w:rPr>
    </w:lvl>
    <w:lvl w:ilvl="6" w:tplc="FFF29914">
      <w:start w:val="1"/>
      <w:numFmt w:val="bullet"/>
      <w:lvlText w:val=""/>
      <w:lvlJc w:val="left"/>
      <w:pPr>
        <w:ind w:left="720" w:hanging="360"/>
      </w:pPr>
      <w:rPr>
        <w:rFonts w:ascii="Symbol" w:hAnsi="Symbol"/>
      </w:rPr>
    </w:lvl>
    <w:lvl w:ilvl="7" w:tplc="0728F490">
      <w:start w:val="1"/>
      <w:numFmt w:val="bullet"/>
      <w:lvlText w:val=""/>
      <w:lvlJc w:val="left"/>
      <w:pPr>
        <w:ind w:left="720" w:hanging="360"/>
      </w:pPr>
      <w:rPr>
        <w:rFonts w:ascii="Symbol" w:hAnsi="Symbol"/>
      </w:rPr>
    </w:lvl>
    <w:lvl w:ilvl="8" w:tplc="CAAA7526">
      <w:start w:val="1"/>
      <w:numFmt w:val="bullet"/>
      <w:lvlText w:val=""/>
      <w:lvlJc w:val="left"/>
      <w:pPr>
        <w:ind w:left="720" w:hanging="360"/>
      </w:pPr>
      <w:rPr>
        <w:rFonts w:ascii="Symbol" w:hAnsi="Symbol"/>
      </w:rPr>
    </w:lvl>
  </w:abstractNum>
  <w:abstractNum w:abstractNumId="13"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8159E"/>
    <w:multiLevelType w:val="hybridMultilevel"/>
    <w:tmpl w:val="10BC5B94"/>
    <w:lvl w:ilvl="0" w:tplc="9DB6DF90">
      <w:start w:val="1"/>
      <w:numFmt w:val="bullet"/>
      <w:lvlText w:val=""/>
      <w:lvlJc w:val="left"/>
      <w:pPr>
        <w:ind w:left="720" w:hanging="360"/>
      </w:pPr>
      <w:rPr>
        <w:rFonts w:ascii="Symbol" w:hAnsi="Symbol"/>
      </w:rPr>
    </w:lvl>
    <w:lvl w:ilvl="1" w:tplc="2196C556">
      <w:start w:val="1"/>
      <w:numFmt w:val="bullet"/>
      <w:lvlText w:val=""/>
      <w:lvlJc w:val="left"/>
      <w:pPr>
        <w:ind w:left="720" w:hanging="360"/>
      </w:pPr>
      <w:rPr>
        <w:rFonts w:ascii="Symbol" w:hAnsi="Symbol"/>
      </w:rPr>
    </w:lvl>
    <w:lvl w:ilvl="2" w:tplc="EA125478">
      <w:start w:val="1"/>
      <w:numFmt w:val="bullet"/>
      <w:lvlText w:val=""/>
      <w:lvlJc w:val="left"/>
      <w:pPr>
        <w:ind w:left="720" w:hanging="360"/>
      </w:pPr>
      <w:rPr>
        <w:rFonts w:ascii="Symbol" w:hAnsi="Symbol"/>
      </w:rPr>
    </w:lvl>
    <w:lvl w:ilvl="3" w:tplc="D5666B92">
      <w:start w:val="1"/>
      <w:numFmt w:val="bullet"/>
      <w:lvlText w:val=""/>
      <w:lvlJc w:val="left"/>
      <w:pPr>
        <w:ind w:left="720" w:hanging="360"/>
      </w:pPr>
      <w:rPr>
        <w:rFonts w:ascii="Symbol" w:hAnsi="Symbol"/>
      </w:rPr>
    </w:lvl>
    <w:lvl w:ilvl="4" w:tplc="4D6A4290">
      <w:start w:val="1"/>
      <w:numFmt w:val="bullet"/>
      <w:lvlText w:val=""/>
      <w:lvlJc w:val="left"/>
      <w:pPr>
        <w:ind w:left="720" w:hanging="360"/>
      </w:pPr>
      <w:rPr>
        <w:rFonts w:ascii="Symbol" w:hAnsi="Symbol"/>
      </w:rPr>
    </w:lvl>
    <w:lvl w:ilvl="5" w:tplc="0AD6EEFA">
      <w:start w:val="1"/>
      <w:numFmt w:val="bullet"/>
      <w:lvlText w:val=""/>
      <w:lvlJc w:val="left"/>
      <w:pPr>
        <w:ind w:left="720" w:hanging="360"/>
      </w:pPr>
      <w:rPr>
        <w:rFonts w:ascii="Symbol" w:hAnsi="Symbol"/>
      </w:rPr>
    </w:lvl>
    <w:lvl w:ilvl="6" w:tplc="9FA02934">
      <w:start w:val="1"/>
      <w:numFmt w:val="bullet"/>
      <w:lvlText w:val=""/>
      <w:lvlJc w:val="left"/>
      <w:pPr>
        <w:ind w:left="720" w:hanging="360"/>
      </w:pPr>
      <w:rPr>
        <w:rFonts w:ascii="Symbol" w:hAnsi="Symbol"/>
      </w:rPr>
    </w:lvl>
    <w:lvl w:ilvl="7" w:tplc="377016DE">
      <w:start w:val="1"/>
      <w:numFmt w:val="bullet"/>
      <w:lvlText w:val=""/>
      <w:lvlJc w:val="left"/>
      <w:pPr>
        <w:ind w:left="720" w:hanging="360"/>
      </w:pPr>
      <w:rPr>
        <w:rFonts w:ascii="Symbol" w:hAnsi="Symbol"/>
      </w:rPr>
    </w:lvl>
    <w:lvl w:ilvl="8" w:tplc="A57025B8">
      <w:start w:val="1"/>
      <w:numFmt w:val="bullet"/>
      <w:lvlText w:val=""/>
      <w:lvlJc w:val="left"/>
      <w:pPr>
        <w:ind w:left="720" w:hanging="360"/>
      </w:pPr>
      <w:rPr>
        <w:rFonts w:ascii="Symbol" w:hAnsi="Symbol"/>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D27F1"/>
    <w:multiLevelType w:val="hybridMultilevel"/>
    <w:tmpl w:val="045EE83A"/>
    <w:lvl w:ilvl="0" w:tplc="871A53F2">
      <w:start w:val="1"/>
      <w:numFmt w:val="bullet"/>
      <w:lvlText w:val=""/>
      <w:lvlJc w:val="left"/>
      <w:pPr>
        <w:ind w:left="720" w:hanging="360"/>
      </w:pPr>
      <w:rPr>
        <w:rFonts w:ascii="Symbol" w:hAnsi="Symbol"/>
      </w:rPr>
    </w:lvl>
    <w:lvl w:ilvl="1" w:tplc="CF5C83F4">
      <w:start w:val="1"/>
      <w:numFmt w:val="bullet"/>
      <w:lvlText w:val=""/>
      <w:lvlJc w:val="left"/>
      <w:pPr>
        <w:ind w:left="720" w:hanging="360"/>
      </w:pPr>
      <w:rPr>
        <w:rFonts w:ascii="Symbol" w:hAnsi="Symbol"/>
      </w:rPr>
    </w:lvl>
    <w:lvl w:ilvl="2" w:tplc="AE6E217C">
      <w:start w:val="1"/>
      <w:numFmt w:val="bullet"/>
      <w:lvlText w:val=""/>
      <w:lvlJc w:val="left"/>
      <w:pPr>
        <w:ind w:left="720" w:hanging="360"/>
      </w:pPr>
      <w:rPr>
        <w:rFonts w:ascii="Symbol" w:hAnsi="Symbol"/>
      </w:rPr>
    </w:lvl>
    <w:lvl w:ilvl="3" w:tplc="0A9EC306">
      <w:start w:val="1"/>
      <w:numFmt w:val="bullet"/>
      <w:lvlText w:val=""/>
      <w:lvlJc w:val="left"/>
      <w:pPr>
        <w:ind w:left="720" w:hanging="360"/>
      </w:pPr>
      <w:rPr>
        <w:rFonts w:ascii="Symbol" w:hAnsi="Symbol"/>
      </w:rPr>
    </w:lvl>
    <w:lvl w:ilvl="4" w:tplc="3364DC86">
      <w:start w:val="1"/>
      <w:numFmt w:val="bullet"/>
      <w:lvlText w:val=""/>
      <w:lvlJc w:val="left"/>
      <w:pPr>
        <w:ind w:left="720" w:hanging="360"/>
      </w:pPr>
      <w:rPr>
        <w:rFonts w:ascii="Symbol" w:hAnsi="Symbol"/>
      </w:rPr>
    </w:lvl>
    <w:lvl w:ilvl="5" w:tplc="A48AD60A">
      <w:start w:val="1"/>
      <w:numFmt w:val="bullet"/>
      <w:lvlText w:val=""/>
      <w:lvlJc w:val="left"/>
      <w:pPr>
        <w:ind w:left="720" w:hanging="360"/>
      </w:pPr>
      <w:rPr>
        <w:rFonts w:ascii="Symbol" w:hAnsi="Symbol"/>
      </w:rPr>
    </w:lvl>
    <w:lvl w:ilvl="6" w:tplc="B66E236E">
      <w:start w:val="1"/>
      <w:numFmt w:val="bullet"/>
      <w:lvlText w:val=""/>
      <w:lvlJc w:val="left"/>
      <w:pPr>
        <w:ind w:left="720" w:hanging="360"/>
      </w:pPr>
      <w:rPr>
        <w:rFonts w:ascii="Symbol" w:hAnsi="Symbol"/>
      </w:rPr>
    </w:lvl>
    <w:lvl w:ilvl="7" w:tplc="92902784">
      <w:start w:val="1"/>
      <w:numFmt w:val="bullet"/>
      <w:lvlText w:val=""/>
      <w:lvlJc w:val="left"/>
      <w:pPr>
        <w:ind w:left="720" w:hanging="360"/>
      </w:pPr>
      <w:rPr>
        <w:rFonts w:ascii="Symbol" w:hAnsi="Symbol"/>
      </w:rPr>
    </w:lvl>
    <w:lvl w:ilvl="8" w:tplc="464E913E">
      <w:start w:val="1"/>
      <w:numFmt w:val="bullet"/>
      <w:lvlText w:val=""/>
      <w:lvlJc w:val="left"/>
      <w:pPr>
        <w:ind w:left="720" w:hanging="360"/>
      </w:pPr>
      <w:rPr>
        <w:rFonts w:ascii="Symbol" w:hAnsi="Symbol"/>
      </w:rPr>
    </w:lvl>
  </w:abstractNum>
  <w:abstractNum w:abstractNumId="19"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9E2E72"/>
    <w:multiLevelType w:val="hybridMultilevel"/>
    <w:tmpl w:val="2580E79C"/>
    <w:lvl w:ilvl="0" w:tplc="A1A836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D5AF7"/>
    <w:multiLevelType w:val="hybridMultilevel"/>
    <w:tmpl w:val="20B4236C"/>
    <w:lvl w:ilvl="0" w:tplc="2FEE1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84999"/>
    <w:multiLevelType w:val="hybridMultilevel"/>
    <w:tmpl w:val="541287C0"/>
    <w:lvl w:ilvl="0" w:tplc="56B605FC">
      <w:start w:val="1"/>
      <w:numFmt w:val="bullet"/>
      <w:lvlText w:val=""/>
      <w:lvlJc w:val="left"/>
      <w:pPr>
        <w:ind w:left="720" w:hanging="360"/>
      </w:pPr>
      <w:rPr>
        <w:rFonts w:ascii="Symbol" w:hAnsi="Symbol"/>
      </w:rPr>
    </w:lvl>
    <w:lvl w:ilvl="1" w:tplc="E0746EBE">
      <w:start w:val="1"/>
      <w:numFmt w:val="bullet"/>
      <w:lvlText w:val=""/>
      <w:lvlJc w:val="left"/>
      <w:pPr>
        <w:ind w:left="720" w:hanging="360"/>
      </w:pPr>
      <w:rPr>
        <w:rFonts w:ascii="Symbol" w:hAnsi="Symbol"/>
      </w:rPr>
    </w:lvl>
    <w:lvl w:ilvl="2" w:tplc="ED8EE75C">
      <w:start w:val="1"/>
      <w:numFmt w:val="bullet"/>
      <w:lvlText w:val=""/>
      <w:lvlJc w:val="left"/>
      <w:pPr>
        <w:ind w:left="720" w:hanging="360"/>
      </w:pPr>
      <w:rPr>
        <w:rFonts w:ascii="Symbol" w:hAnsi="Symbol"/>
      </w:rPr>
    </w:lvl>
    <w:lvl w:ilvl="3" w:tplc="64EA0340">
      <w:start w:val="1"/>
      <w:numFmt w:val="bullet"/>
      <w:lvlText w:val=""/>
      <w:lvlJc w:val="left"/>
      <w:pPr>
        <w:ind w:left="720" w:hanging="360"/>
      </w:pPr>
      <w:rPr>
        <w:rFonts w:ascii="Symbol" w:hAnsi="Symbol"/>
      </w:rPr>
    </w:lvl>
    <w:lvl w:ilvl="4" w:tplc="23DCF1CC">
      <w:start w:val="1"/>
      <w:numFmt w:val="bullet"/>
      <w:lvlText w:val=""/>
      <w:lvlJc w:val="left"/>
      <w:pPr>
        <w:ind w:left="720" w:hanging="360"/>
      </w:pPr>
      <w:rPr>
        <w:rFonts w:ascii="Symbol" w:hAnsi="Symbol"/>
      </w:rPr>
    </w:lvl>
    <w:lvl w:ilvl="5" w:tplc="E1F06FC0">
      <w:start w:val="1"/>
      <w:numFmt w:val="bullet"/>
      <w:lvlText w:val=""/>
      <w:lvlJc w:val="left"/>
      <w:pPr>
        <w:ind w:left="720" w:hanging="360"/>
      </w:pPr>
      <w:rPr>
        <w:rFonts w:ascii="Symbol" w:hAnsi="Symbol"/>
      </w:rPr>
    </w:lvl>
    <w:lvl w:ilvl="6" w:tplc="70F4D056">
      <w:start w:val="1"/>
      <w:numFmt w:val="bullet"/>
      <w:lvlText w:val=""/>
      <w:lvlJc w:val="left"/>
      <w:pPr>
        <w:ind w:left="720" w:hanging="360"/>
      </w:pPr>
      <w:rPr>
        <w:rFonts w:ascii="Symbol" w:hAnsi="Symbol"/>
      </w:rPr>
    </w:lvl>
    <w:lvl w:ilvl="7" w:tplc="26389F40">
      <w:start w:val="1"/>
      <w:numFmt w:val="bullet"/>
      <w:lvlText w:val=""/>
      <w:lvlJc w:val="left"/>
      <w:pPr>
        <w:ind w:left="720" w:hanging="360"/>
      </w:pPr>
      <w:rPr>
        <w:rFonts w:ascii="Symbol" w:hAnsi="Symbol"/>
      </w:rPr>
    </w:lvl>
    <w:lvl w:ilvl="8" w:tplc="CF50E9AC">
      <w:start w:val="1"/>
      <w:numFmt w:val="bullet"/>
      <w:lvlText w:val=""/>
      <w:lvlJc w:val="left"/>
      <w:pPr>
        <w:ind w:left="720" w:hanging="360"/>
      </w:pPr>
      <w:rPr>
        <w:rFonts w:ascii="Symbol" w:hAnsi="Symbol"/>
      </w:rPr>
    </w:lvl>
  </w:abstractNum>
  <w:abstractNum w:abstractNumId="29" w15:restartNumberingAfterBreak="0">
    <w:nsid w:val="6DD1453F"/>
    <w:multiLevelType w:val="hybridMultilevel"/>
    <w:tmpl w:val="83361602"/>
    <w:lvl w:ilvl="0" w:tplc="D422CA14">
      <w:start w:val="1"/>
      <w:numFmt w:val="bullet"/>
      <w:lvlText w:val=""/>
      <w:lvlJc w:val="left"/>
      <w:pPr>
        <w:ind w:left="720" w:hanging="360"/>
      </w:pPr>
      <w:rPr>
        <w:rFonts w:ascii="Symbol" w:hAnsi="Symbol"/>
      </w:rPr>
    </w:lvl>
    <w:lvl w:ilvl="1" w:tplc="DB283870">
      <w:start w:val="1"/>
      <w:numFmt w:val="bullet"/>
      <w:lvlText w:val=""/>
      <w:lvlJc w:val="left"/>
      <w:pPr>
        <w:ind w:left="720" w:hanging="360"/>
      </w:pPr>
      <w:rPr>
        <w:rFonts w:ascii="Symbol" w:hAnsi="Symbol"/>
      </w:rPr>
    </w:lvl>
    <w:lvl w:ilvl="2" w:tplc="7EFABDFA">
      <w:start w:val="1"/>
      <w:numFmt w:val="bullet"/>
      <w:lvlText w:val=""/>
      <w:lvlJc w:val="left"/>
      <w:pPr>
        <w:ind w:left="720" w:hanging="360"/>
      </w:pPr>
      <w:rPr>
        <w:rFonts w:ascii="Symbol" w:hAnsi="Symbol"/>
      </w:rPr>
    </w:lvl>
    <w:lvl w:ilvl="3" w:tplc="9B4EAB92">
      <w:start w:val="1"/>
      <w:numFmt w:val="bullet"/>
      <w:lvlText w:val=""/>
      <w:lvlJc w:val="left"/>
      <w:pPr>
        <w:ind w:left="720" w:hanging="360"/>
      </w:pPr>
      <w:rPr>
        <w:rFonts w:ascii="Symbol" w:hAnsi="Symbol"/>
      </w:rPr>
    </w:lvl>
    <w:lvl w:ilvl="4" w:tplc="B406C3DA">
      <w:start w:val="1"/>
      <w:numFmt w:val="bullet"/>
      <w:lvlText w:val=""/>
      <w:lvlJc w:val="left"/>
      <w:pPr>
        <w:ind w:left="720" w:hanging="360"/>
      </w:pPr>
      <w:rPr>
        <w:rFonts w:ascii="Symbol" w:hAnsi="Symbol"/>
      </w:rPr>
    </w:lvl>
    <w:lvl w:ilvl="5" w:tplc="0F0201A0">
      <w:start w:val="1"/>
      <w:numFmt w:val="bullet"/>
      <w:lvlText w:val=""/>
      <w:lvlJc w:val="left"/>
      <w:pPr>
        <w:ind w:left="720" w:hanging="360"/>
      </w:pPr>
      <w:rPr>
        <w:rFonts w:ascii="Symbol" w:hAnsi="Symbol"/>
      </w:rPr>
    </w:lvl>
    <w:lvl w:ilvl="6" w:tplc="A25AED6C">
      <w:start w:val="1"/>
      <w:numFmt w:val="bullet"/>
      <w:lvlText w:val=""/>
      <w:lvlJc w:val="left"/>
      <w:pPr>
        <w:ind w:left="720" w:hanging="360"/>
      </w:pPr>
      <w:rPr>
        <w:rFonts w:ascii="Symbol" w:hAnsi="Symbol"/>
      </w:rPr>
    </w:lvl>
    <w:lvl w:ilvl="7" w:tplc="0C184FEC">
      <w:start w:val="1"/>
      <w:numFmt w:val="bullet"/>
      <w:lvlText w:val=""/>
      <w:lvlJc w:val="left"/>
      <w:pPr>
        <w:ind w:left="720" w:hanging="360"/>
      </w:pPr>
      <w:rPr>
        <w:rFonts w:ascii="Symbol" w:hAnsi="Symbol"/>
      </w:rPr>
    </w:lvl>
    <w:lvl w:ilvl="8" w:tplc="7DFA4588">
      <w:start w:val="1"/>
      <w:numFmt w:val="bullet"/>
      <w:lvlText w:val=""/>
      <w:lvlJc w:val="left"/>
      <w:pPr>
        <w:ind w:left="720" w:hanging="360"/>
      </w:pPr>
      <w:rPr>
        <w:rFonts w:ascii="Symbol" w:hAnsi="Symbol"/>
      </w:rPr>
    </w:lvl>
  </w:abstractNum>
  <w:abstractNum w:abstractNumId="30" w15:restartNumberingAfterBreak="0">
    <w:nsid w:val="74F956E1"/>
    <w:multiLevelType w:val="hybridMultilevel"/>
    <w:tmpl w:val="63DC5B9E"/>
    <w:lvl w:ilvl="0" w:tplc="2F24CA70">
      <w:start w:val="1"/>
      <w:numFmt w:val="decimal"/>
      <w:lvlText w:val="%1."/>
      <w:lvlJc w:val="left"/>
      <w:pPr>
        <w:ind w:left="720" w:hanging="360"/>
      </w:pPr>
    </w:lvl>
    <w:lvl w:ilvl="1" w:tplc="C4A0DC6C">
      <w:start w:val="1"/>
      <w:numFmt w:val="decimal"/>
      <w:lvlText w:val="%2."/>
      <w:lvlJc w:val="left"/>
      <w:pPr>
        <w:ind w:left="720" w:hanging="360"/>
      </w:pPr>
    </w:lvl>
    <w:lvl w:ilvl="2" w:tplc="D10C49C0">
      <w:start w:val="1"/>
      <w:numFmt w:val="decimal"/>
      <w:lvlText w:val="%3."/>
      <w:lvlJc w:val="left"/>
      <w:pPr>
        <w:ind w:left="720" w:hanging="360"/>
      </w:pPr>
    </w:lvl>
    <w:lvl w:ilvl="3" w:tplc="B95A5BF0">
      <w:start w:val="1"/>
      <w:numFmt w:val="decimal"/>
      <w:lvlText w:val="%4."/>
      <w:lvlJc w:val="left"/>
      <w:pPr>
        <w:ind w:left="720" w:hanging="360"/>
      </w:pPr>
    </w:lvl>
    <w:lvl w:ilvl="4" w:tplc="741009B2">
      <w:start w:val="1"/>
      <w:numFmt w:val="decimal"/>
      <w:lvlText w:val="%5."/>
      <w:lvlJc w:val="left"/>
      <w:pPr>
        <w:ind w:left="720" w:hanging="360"/>
      </w:pPr>
    </w:lvl>
    <w:lvl w:ilvl="5" w:tplc="70747C3E">
      <w:start w:val="1"/>
      <w:numFmt w:val="decimal"/>
      <w:lvlText w:val="%6."/>
      <w:lvlJc w:val="left"/>
      <w:pPr>
        <w:ind w:left="720" w:hanging="360"/>
      </w:pPr>
    </w:lvl>
    <w:lvl w:ilvl="6" w:tplc="F89AE526">
      <w:start w:val="1"/>
      <w:numFmt w:val="decimal"/>
      <w:lvlText w:val="%7."/>
      <w:lvlJc w:val="left"/>
      <w:pPr>
        <w:ind w:left="720" w:hanging="360"/>
      </w:pPr>
    </w:lvl>
    <w:lvl w:ilvl="7" w:tplc="6A04B9F8">
      <w:start w:val="1"/>
      <w:numFmt w:val="decimal"/>
      <w:lvlText w:val="%8."/>
      <w:lvlJc w:val="left"/>
      <w:pPr>
        <w:ind w:left="720" w:hanging="360"/>
      </w:pPr>
    </w:lvl>
    <w:lvl w:ilvl="8" w:tplc="E070D14E">
      <w:start w:val="1"/>
      <w:numFmt w:val="decimal"/>
      <w:lvlText w:val="%9."/>
      <w:lvlJc w:val="left"/>
      <w:pPr>
        <w:ind w:left="720" w:hanging="360"/>
      </w:pPr>
    </w:lvl>
  </w:abstractNum>
  <w:abstractNum w:abstractNumId="31"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D539E"/>
    <w:multiLevelType w:val="hybridMultilevel"/>
    <w:tmpl w:val="3E047772"/>
    <w:lvl w:ilvl="0" w:tplc="C84A5FA8">
      <w:start w:val="1"/>
      <w:numFmt w:val="decimal"/>
      <w:lvlText w:val="%1."/>
      <w:lvlJc w:val="left"/>
      <w:pPr>
        <w:ind w:left="720" w:hanging="360"/>
      </w:pPr>
    </w:lvl>
    <w:lvl w:ilvl="1" w:tplc="242AD6BE">
      <w:start w:val="1"/>
      <w:numFmt w:val="decimal"/>
      <w:lvlText w:val="%2."/>
      <w:lvlJc w:val="left"/>
      <w:pPr>
        <w:ind w:left="720" w:hanging="360"/>
      </w:pPr>
    </w:lvl>
    <w:lvl w:ilvl="2" w:tplc="CC2EBCA6">
      <w:start w:val="1"/>
      <w:numFmt w:val="decimal"/>
      <w:lvlText w:val="%3."/>
      <w:lvlJc w:val="left"/>
      <w:pPr>
        <w:ind w:left="720" w:hanging="360"/>
      </w:pPr>
    </w:lvl>
    <w:lvl w:ilvl="3" w:tplc="E250BD24">
      <w:start w:val="1"/>
      <w:numFmt w:val="decimal"/>
      <w:lvlText w:val="%4."/>
      <w:lvlJc w:val="left"/>
      <w:pPr>
        <w:ind w:left="720" w:hanging="360"/>
      </w:pPr>
    </w:lvl>
    <w:lvl w:ilvl="4" w:tplc="B5389EE8">
      <w:start w:val="1"/>
      <w:numFmt w:val="decimal"/>
      <w:lvlText w:val="%5."/>
      <w:lvlJc w:val="left"/>
      <w:pPr>
        <w:ind w:left="720" w:hanging="360"/>
      </w:pPr>
    </w:lvl>
    <w:lvl w:ilvl="5" w:tplc="93B4EBEE">
      <w:start w:val="1"/>
      <w:numFmt w:val="decimal"/>
      <w:lvlText w:val="%6."/>
      <w:lvlJc w:val="left"/>
      <w:pPr>
        <w:ind w:left="720" w:hanging="360"/>
      </w:pPr>
    </w:lvl>
    <w:lvl w:ilvl="6" w:tplc="A93E3BFC">
      <w:start w:val="1"/>
      <w:numFmt w:val="decimal"/>
      <w:lvlText w:val="%7."/>
      <w:lvlJc w:val="left"/>
      <w:pPr>
        <w:ind w:left="720" w:hanging="360"/>
      </w:pPr>
    </w:lvl>
    <w:lvl w:ilvl="7" w:tplc="991C6668">
      <w:start w:val="1"/>
      <w:numFmt w:val="decimal"/>
      <w:lvlText w:val="%8."/>
      <w:lvlJc w:val="left"/>
      <w:pPr>
        <w:ind w:left="720" w:hanging="360"/>
      </w:pPr>
    </w:lvl>
    <w:lvl w:ilvl="8" w:tplc="0212DB64">
      <w:start w:val="1"/>
      <w:numFmt w:val="decimal"/>
      <w:lvlText w:val="%9."/>
      <w:lvlJc w:val="left"/>
      <w:pPr>
        <w:ind w:left="720" w:hanging="360"/>
      </w:pPr>
    </w:lvl>
  </w:abstractNum>
  <w:num w:numId="1" w16cid:durableId="787820912">
    <w:abstractNumId w:val="10"/>
  </w:num>
  <w:num w:numId="2" w16cid:durableId="1586065221">
    <w:abstractNumId w:val="21"/>
  </w:num>
  <w:num w:numId="3" w16cid:durableId="1813019816">
    <w:abstractNumId w:val="0"/>
  </w:num>
  <w:num w:numId="4" w16cid:durableId="974414233">
    <w:abstractNumId w:val="23"/>
  </w:num>
  <w:num w:numId="5" w16cid:durableId="1128007351">
    <w:abstractNumId w:val="2"/>
  </w:num>
  <w:num w:numId="6" w16cid:durableId="1995378354">
    <w:abstractNumId w:val="15"/>
  </w:num>
  <w:num w:numId="7" w16cid:durableId="1358122451">
    <w:abstractNumId w:val="17"/>
  </w:num>
  <w:num w:numId="8" w16cid:durableId="1694112172">
    <w:abstractNumId w:val="9"/>
  </w:num>
  <w:num w:numId="9" w16cid:durableId="1354259586">
    <w:abstractNumId w:val="25"/>
  </w:num>
  <w:num w:numId="10" w16cid:durableId="871530244">
    <w:abstractNumId w:val="6"/>
  </w:num>
  <w:num w:numId="11" w16cid:durableId="1990595404">
    <w:abstractNumId w:val="13"/>
  </w:num>
  <w:num w:numId="12" w16cid:durableId="63646288">
    <w:abstractNumId w:val="11"/>
  </w:num>
  <w:num w:numId="13" w16cid:durableId="427510575">
    <w:abstractNumId w:val="24"/>
  </w:num>
  <w:num w:numId="14" w16cid:durableId="997805861">
    <w:abstractNumId w:val="2"/>
    <w:lvlOverride w:ilvl="0">
      <w:startOverride w:val="12"/>
    </w:lvlOverride>
  </w:num>
  <w:num w:numId="15" w16cid:durableId="729235068">
    <w:abstractNumId w:val="16"/>
  </w:num>
  <w:num w:numId="16" w16cid:durableId="1971474035">
    <w:abstractNumId w:val="19"/>
  </w:num>
  <w:num w:numId="17" w16cid:durableId="236864607">
    <w:abstractNumId w:val="20"/>
  </w:num>
  <w:num w:numId="18" w16cid:durableId="42602224">
    <w:abstractNumId w:val="27"/>
  </w:num>
  <w:num w:numId="19" w16cid:durableId="936139805">
    <w:abstractNumId w:val="31"/>
  </w:num>
  <w:num w:numId="20" w16cid:durableId="1543208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597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222477">
    <w:abstractNumId w:val="26"/>
  </w:num>
  <w:num w:numId="23" w16cid:durableId="702053708">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0936585">
    <w:abstractNumId w:val="7"/>
  </w:num>
  <w:num w:numId="25" w16cid:durableId="1013874494">
    <w:abstractNumId w:val="3"/>
  </w:num>
  <w:num w:numId="26" w16cid:durableId="2116168155">
    <w:abstractNumId w:val="29"/>
  </w:num>
  <w:num w:numId="27" w16cid:durableId="1154101533">
    <w:abstractNumId w:val="22"/>
  </w:num>
  <w:num w:numId="28" w16cid:durableId="748891758">
    <w:abstractNumId w:val="1"/>
  </w:num>
  <w:num w:numId="29" w16cid:durableId="1733850434">
    <w:abstractNumId w:val="12"/>
  </w:num>
  <w:num w:numId="30" w16cid:durableId="1022121745">
    <w:abstractNumId w:val="18"/>
  </w:num>
  <w:num w:numId="31" w16cid:durableId="82072907">
    <w:abstractNumId w:val="28"/>
  </w:num>
  <w:num w:numId="32" w16cid:durableId="1961720467">
    <w:abstractNumId w:val="4"/>
  </w:num>
  <w:num w:numId="33" w16cid:durableId="1842816793">
    <w:abstractNumId w:val="8"/>
  </w:num>
  <w:num w:numId="34" w16cid:durableId="778139485">
    <w:abstractNumId w:val="2"/>
  </w:num>
  <w:num w:numId="35" w16cid:durableId="1033002469">
    <w:abstractNumId w:val="2"/>
  </w:num>
  <w:num w:numId="36" w16cid:durableId="1359771614">
    <w:abstractNumId w:val="5"/>
  </w:num>
  <w:num w:numId="37" w16cid:durableId="860244041">
    <w:abstractNumId w:val="14"/>
  </w:num>
  <w:num w:numId="38" w16cid:durableId="334647908">
    <w:abstractNumId w:val="30"/>
  </w:num>
  <w:num w:numId="39" w16cid:durableId="2417944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B4"/>
    <w:rsid w:val="00000603"/>
    <w:rsid w:val="00010497"/>
    <w:rsid w:val="00010CDC"/>
    <w:rsid w:val="000123B6"/>
    <w:rsid w:val="000137BA"/>
    <w:rsid w:val="00014525"/>
    <w:rsid w:val="000151BA"/>
    <w:rsid w:val="000160A0"/>
    <w:rsid w:val="0001647B"/>
    <w:rsid w:val="0002216A"/>
    <w:rsid w:val="00022DD4"/>
    <w:rsid w:val="000237E3"/>
    <w:rsid w:val="0002397E"/>
    <w:rsid w:val="00024AED"/>
    <w:rsid w:val="0002625E"/>
    <w:rsid w:val="00026FD1"/>
    <w:rsid w:val="0002774E"/>
    <w:rsid w:val="00030126"/>
    <w:rsid w:val="00030AA7"/>
    <w:rsid w:val="00033498"/>
    <w:rsid w:val="0003668A"/>
    <w:rsid w:val="00036B29"/>
    <w:rsid w:val="00036E5A"/>
    <w:rsid w:val="00043CAA"/>
    <w:rsid w:val="000441D0"/>
    <w:rsid w:val="00044F10"/>
    <w:rsid w:val="00046992"/>
    <w:rsid w:val="00047278"/>
    <w:rsid w:val="000472E8"/>
    <w:rsid w:val="00050CF1"/>
    <w:rsid w:val="00052B59"/>
    <w:rsid w:val="00053A39"/>
    <w:rsid w:val="00056BEF"/>
    <w:rsid w:val="000575C4"/>
    <w:rsid w:val="00061C83"/>
    <w:rsid w:val="00062DF3"/>
    <w:rsid w:val="0006731F"/>
    <w:rsid w:val="000704DC"/>
    <w:rsid w:val="00070D89"/>
    <w:rsid w:val="00072016"/>
    <w:rsid w:val="000721B3"/>
    <w:rsid w:val="00073FEC"/>
    <w:rsid w:val="00074256"/>
    <w:rsid w:val="000746CA"/>
    <w:rsid w:val="00075432"/>
    <w:rsid w:val="00082768"/>
    <w:rsid w:val="00083968"/>
    <w:rsid w:val="00083B89"/>
    <w:rsid w:val="00083FD8"/>
    <w:rsid w:val="00085FE8"/>
    <w:rsid w:val="00087DDF"/>
    <w:rsid w:val="00087E4C"/>
    <w:rsid w:val="0009039D"/>
    <w:rsid w:val="00090E37"/>
    <w:rsid w:val="000914F5"/>
    <w:rsid w:val="00091593"/>
    <w:rsid w:val="00091930"/>
    <w:rsid w:val="000921DB"/>
    <w:rsid w:val="000930E9"/>
    <w:rsid w:val="0009388E"/>
    <w:rsid w:val="00093DA9"/>
    <w:rsid w:val="00094CA9"/>
    <w:rsid w:val="00095CDF"/>
    <w:rsid w:val="000968ED"/>
    <w:rsid w:val="000A05EB"/>
    <w:rsid w:val="000A2775"/>
    <w:rsid w:val="000A2B80"/>
    <w:rsid w:val="000A2F59"/>
    <w:rsid w:val="000A59F5"/>
    <w:rsid w:val="000A7536"/>
    <w:rsid w:val="000B03EA"/>
    <w:rsid w:val="000B27F0"/>
    <w:rsid w:val="000B371B"/>
    <w:rsid w:val="000B3A88"/>
    <w:rsid w:val="000B46D3"/>
    <w:rsid w:val="000B52B7"/>
    <w:rsid w:val="000B58DD"/>
    <w:rsid w:val="000B617C"/>
    <w:rsid w:val="000C0196"/>
    <w:rsid w:val="000C05D1"/>
    <w:rsid w:val="000C1A14"/>
    <w:rsid w:val="000C4254"/>
    <w:rsid w:val="000C6AC1"/>
    <w:rsid w:val="000C6DBD"/>
    <w:rsid w:val="000D04C8"/>
    <w:rsid w:val="000D0E8A"/>
    <w:rsid w:val="000D1BE8"/>
    <w:rsid w:val="000D32BD"/>
    <w:rsid w:val="000D3B73"/>
    <w:rsid w:val="000D4B3D"/>
    <w:rsid w:val="000D563E"/>
    <w:rsid w:val="000D66F9"/>
    <w:rsid w:val="000E04AC"/>
    <w:rsid w:val="000E0800"/>
    <w:rsid w:val="000E29B5"/>
    <w:rsid w:val="000E4CA5"/>
    <w:rsid w:val="000E5C0D"/>
    <w:rsid w:val="000F169D"/>
    <w:rsid w:val="000F422B"/>
    <w:rsid w:val="000F579A"/>
    <w:rsid w:val="000F5B80"/>
    <w:rsid w:val="000F5E56"/>
    <w:rsid w:val="000F668E"/>
    <w:rsid w:val="000F6861"/>
    <w:rsid w:val="000F6F87"/>
    <w:rsid w:val="000F7DED"/>
    <w:rsid w:val="00101633"/>
    <w:rsid w:val="001024FE"/>
    <w:rsid w:val="001042BF"/>
    <w:rsid w:val="00106E5D"/>
    <w:rsid w:val="001075AF"/>
    <w:rsid w:val="00107A93"/>
    <w:rsid w:val="00107AA9"/>
    <w:rsid w:val="00110652"/>
    <w:rsid w:val="00111176"/>
    <w:rsid w:val="001118B1"/>
    <w:rsid w:val="00113E06"/>
    <w:rsid w:val="001141B2"/>
    <w:rsid w:val="00116224"/>
    <w:rsid w:val="001165E0"/>
    <w:rsid w:val="0012165F"/>
    <w:rsid w:val="0013161F"/>
    <w:rsid w:val="0013179D"/>
    <w:rsid w:val="001317D6"/>
    <w:rsid w:val="001327AE"/>
    <w:rsid w:val="00133609"/>
    <w:rsid w:val="00133C78"/>
    <w:rsid w:val="00133E07"/>
    <w:rsid w:val="001362EE"/>
    <w:rsid w:val="00136F34"/>
    <w:rsid w:val="00140D4A"/>
    <w:rsid w:val="00141527"/>
    <w:rsid w:val="001415B5"/>
    <w:rsid w:val="0014184E"/>
    <w:rsid w:val="00142868"/>
    <w:rsid w:val="00143119"/>
    <w:rsid w:val="001432AC"/>
    <w:rsid w:val="00143652"/>
    <w:rsid w:val="00145404"/>
    <w:rsid w:val="00145BA2"/>
    <w:rsid w:val="00146004"/>
    <w:rsid w:val="0014618C"/>
    <w:rsid w:val="00146756"/>
    <w:rsid w:val="0014675B"/>
    <w:rsid w:val="001475F6"/>
    <w:rsid w:val="00152C87"/>
    <w:rsid w:val="0015401B"/>
    <w:rsid w:val="00154620"/>
    <w:rsid w:val="00155454"/>
    <w:rsid w:val="00156571"/>
    <w:rsid w:val="0015733A"/>
    <w:rsid w:val="00160BD7"/>
    <w:rsid w:val="00162FBF"/>
    <w:rsid w:val="00164914"/>
    <w:rsid w:val="00167D87"/>
    <w:rsid w:val="00170399"/>
    <w:rsid w:val="00170543"/>
    <w:rsid w:val="00171227"/>
    <w:rsid w:val="00173335"/>
    <w:rsid w:val="001741E4"/>
    <w:rsid w:val="0017495F"/>
    <w:rsid w:val="001768BF"/>
    <w:rsid w:val="00176E68"/>
    <w:rsid w:val="001776F4"/>
    <w:rsid w:val="00177A1E"/>
    <w:rsid w:val="0018114D"/>
    <w:rsid w:val="00181824"/>
    <w:rsid w:val="00181BB2"/>
    <w:rsid w:val="001832A6"/>
    <w:rsid w:val="00185784"/>
    <w:rsid w:val="00195B99"/>
    <w:rsid w:val="001963CB"/>
    <w:rsid w:val="00197DBA"/>
    <w:rsid w:val="001A12B6"/>
    <w:rsid w:val="001A1F57"/>
    <w:rsid w:val="001A26F7"/>
    <w:rsid w:val="001A29AD"/>
    <w:rsid w:val="001A2B9E"/>
    <w:rsid w:val="001A3470"/>
    <w:rsid w:val="001A403F"/>
    <w:rsid w:val="001A5E04"/>
    <w:rsid w:val="001B03B2"/>
    <w:rsid w:val="001B0825"/>
    <w:rsid w:val="001B1228"/>
    <w:rsid w:val="001B3090"/>
    <w:rsid w:val="001B3D54"/>
    <w:rsid w:val="001B508E"/>
    <w:rsid w:val="001B51B4"/>
    <w:rsid w:val="001B5751"/>
    <w:rsid w:val="001B6224"/>
    <w:rsid w:val="001C076B"/>
    <w:rsid w:val="001C0FEA"/>
    <w:rsid w:val="001C4850"/>
    <w:rsid w:val="001C4C24"/>
    <w:rsid w:val="001C6808"/>
    <w:rsid w:val="001C7F4E"/>
    <w:rsid w:val="001D06E9"/>
    <w:rsid w:val="001D1544"/>
    <w:rsid w:val="001D1BCA"/>
    <w:rsid w:val="001D1F7F"/>
    <w:rsid w:val="001D2886"/>
    <w:rsid w:val="001D4E8C"/>
    <w:rsid w:val="001D5A06"/>
    <w:rsid w:val="001D63A1"/>
    <w:rsid w:val="001D681F"/>
    <w:rsid w:val="001D6BCC"/>
    <w:rsid w:val="001D6E56"/>
    <w:rsid w:val="001E0234"/>
    <w:rsid w:val="001E02C9"/>
    <w:rsid w:val="001E0828"/>
    <w:rsid w:val="001E1FFA"/>
    <w:rsid w:val="001E225F"/>
    <w:rsid w:val="001E2F23"/>
    <w:rsid w:val="001E36C0"/>
    <w:rsid w:val="001E3F3B"/>
    <w:rsid w:val="001F2E98"/>
    <w:rsid w:val="001F32A1"/>
    <w:rsid w:val="001F5954"/>
    <w:rsid w:val="001F5B7B"/>
    <w:rsid w:val="001F6722"/>
    <w:rsid w:val="00200753"/>
    <w:rsid w:val="00200A13"/>
    <w:rsid w:val="00202970"/>
    <w:rsid w:val="002034F4"/>
    <w:rsid w:val="00204F50"/>
    <w:rsid w:val="00206004"/>
    <w:rsid w:val="002121FA"/>
    <w:rsid w:val="002148BC"/>
    <w:rsid w:val="00215213"/>
    <w:rsid w:val="00216EFA"/>
    <w:rsid w:val="00220B99"/>
    <w:rsid w:val="002237A6"/>
    <w:rsid w:val="00224B25"/>
    <w:rsid w:val="0022600E"/>
    <w:rsid w:val="00227ED8"/>
    <w:rsid w:val="00231F01"/>
    <w:rsid w:val="0023246B"/>
    <w:rsid w:val="00233C29"/>
    <w:rsid w:val="00242AD0"/>
    <w:rsid w:val="002437EF"/>
    <w:rsid w:val="002452D0"/>
    <w:rsid w:val="0024530C"/>
    <w:rsid w:val="00245C7D"/>
    <w:rsid w:val="00246D2D"/>
    <w:rsid w:val="002511DA"/>
    <w:rsid w:val="00252709"/>
    <w:rsid w:val="00252DDE"/>
    <w:rsid w:val="00254287"/>
    <w:rsid w:val="00255293"/>
    <w:rsid w:val="002558EA"/>
    <w:rsid w:val="0025625C"/>
    <w:rsid w:val="00257CBC"/>
    <w:rsid w:val="00257F70"/>
    <w:rsid w:val="002618E6"/>
    <w:rsid w:val="002624B2"/>
    <w:rsid w:val="00263322"/>
    <w:rsid w:val="002634C4"/>
    <w:rsid w:val="00263D2A"/>
    <w:rsid w:val="00267594"/>
    <w:rsid w:val="0026790E"/>
    <w:rsid w:val="00270B6A"/>
    <w:rsid w:val="00271567"/>
    <w:rsid w:val="00271C73"/>
    <w:rsid w:val="00271F1B"/>
    <w:rsid w:val="00273569"/>
    <w:rsid w:val="00273CE7"/>
    <w:rsid w:val="00274546"/>
    <w:rsid w:val="00280491"/>
    <w:rsid w:val="00281F16"/>
    <w:rsid w:val="00283803"/>
    <w:rsid w:val="002839C8"/>
    <w:rsid w:val="00285955"/>
    <w:rsid w:val="002876DC"/>
    <w:rsid w:val="002906CC"/>
    <w:rsid w:val="0029082F"/>
    <w:rsid w:val="00290E47"/>
    <w:rsid w:val="00291793"/>
    <w:rsid w:val="002924B9"/>
    <w:rsid w:val="002928D3"/>
    <w:rsid w:val="00293245"/>
    <w:rsid w:val="002938F5"/>
    <w:rsid w:val="002960DD"/>
    <w:rsid w:val="00296CDB"/>
    <w:rsid w:val="00297419"/>
    <w:rsid w:val="00297588"/>
    <w:rsid w:val="002A08DE"/>
    <w:rsid w:val="002A1349"/>
    <w:rsid w:val="002A4B04"/>
    <w:rsid w:val="002B2503"/>
    <w:rsid w:val="002B36C4"/>
    <w:rsid w:val="002B409F"/>
    <w:rsid w:val="002B4667"/>
    <w:rsid w:val="002B5B49"/>
    <w:rsid w:val="002B609F"/>
    <w:rsid w:val="002B791F"/>
    <w:rsid w:val="002C03E8"/>
    <w:rsid w:val="002C26E6"/>
    <w:rsid w:val="002C4092"/>
    <w:rsid w:val="002C6196"/>
    <w:rsid w:val="002C7465"/>
    <w:rsid w:val="002D458C"/>
    <w:rsid w:val="002D4E9F"/>
    <w:rsid w:val="002D600D"/>
    <w:rsid w:val="002D6613"/>
    <w:rsid w:val="002D670F"/>
    <w:rsid w:val="002D6914"/>
    <w:rsid w:val="002E002E"/>
    <w:rsid w:val="002E07F8"/>
    <w:rsid w:val="002E15EC"/>
    <w:rsid w:val="002E2F4B"/>
    <w:rsid w:val="002E3CDA"/>
    <w:rsid w:val="002E40B5"/>
    <w:rsid w:val="002E427D"/>
    <w:rsid w:val="002E4389"/>
    <w:rsid w:val="002E4A45"/>
    <w:rsid w:val="002F0950"/>
    <w:rsid w:val="002F1FE6"/>
    <w:rsid w:val="002F4800"/>
    <w:rsid w:val="002F4E68"/>
    <w:rsid w:val="002F5488"/>
    <w:rsid w:val="002F5758"/>
    <w:rsid w:val="002F6B2F"/>
    <w:rsid w:val="002F7339"/>
    <w:rsid w:val="0030044C"/>
    <w:rsid w:val="00300698"/>
    <w:rsid w:val="00304869"/>
    <w:rsid w:val="00304A6D"/>
    <w:rsid w:val="003069FD"/>
    <w:rsid w:val="00307F38"/>
    <w:rsid w:val="00311476"/>
    <w:rsid w:val="00312F7F"/>
    <w:rsid w:val="00316225"/>
    <w:rsid w:val="00320511"/>
    <w:rsid w:val="00321DDF"/>
    <w:rsid w:val="003227EB"/>
    <w:rsid w:val="003228B7"/>
    <w:rsid w:val="0032371C"/>
    <w:rsid w:val="0032424E"/>
    <w:rsid w:val="003258D8"/>
    <w:rsid w:val="003272A6"/>
    <w:rsid w:val="00327F3C"/>
    <w:rsid w:val="00335C02"/>
    <w:rsid w:val="0033612C"/>
    <w:rsid w:val="00336CAA"/>
    <w:rsid w:val="003503CB"/>
    <w:rsid w:val="003508A3"/>
    <w:rsid w:val="003517A7"/>
    <w:rsid w:val="003521F4"/>
    <w:rsid w:val="003529EA"/>
    <w:rsid w:val="00352D7B"/>
    <w:rsid w:val="00353862"/>
    <w:rsid w:val="003555DF"/>
    <w:rsid w:val="00355D1E"/>
    <w:rsid w:val="0035652D"/>
    <w:rsid w:val="00356D8D"/>
    <w:rsid w:val="0036310D"/>
    <w:rsid w:val="00366A2C"/>
    <w:rsid w:val="003673CF"/>
    <w:rsid w:val="00370644"/>
    <w:rsid w:val="00371494"/>
    <w:rsid w:val="00372EF5"/>
    <w:rsid w:val="00373B62"/>
    <w:rsid w:val="00377956"/>
    <w:rsid w:val="003842ED"/>
    <w:rsid w:val="003845C1"/>
    <w:rsid w:val="00387479"/>
    <w:rsid w:val="003879B0"/>
    <w:rsid w:val="003913FC"/>
    <w:rsid w:val="00391613"/>
    <w:rsid w:val="0039197B"/>
    <w:rsid w:val="00392648"/>
    <w:rsid w:val="00394AB7"/>
    <w:rsid w:val="003A026D"/>
    <w:rsid w:val="003A0A9B"/>
    <w:rsid w:val="003A2BB5"/>
    <w:rsid w:val="003A32D9"/>
    <w:rsid w:val="003A6F89"/>
    <w:rsid w:val="003B2EF6"/>
    <w:rsid w:val="003B31EE"/>
    <w:rsid w:val="003B38C1"/>
    <w:rsid w:val="003B4278"/>
    <w:rsid w:val="003B5D7C"/>
    <w:rsid w:val="003B628F"/>
    <w:rsid w:val="003B7151"/>
    <w:rsid w:val="003B7B3F"/>
    <w:rsid w:val="003C1EE2"/>
    <w:rsid w:val="003C222D"/>
    <w:rsid w:val="003C57E4"/>
    <w:rsid w:val="003C62D3"/>
    <w:rsid w:val="003C6753"/>
    <w:rsid w:val="003D1721"/>
    <w:rsid w:val="003D1805"/>
    <w:rsid w:val="003D66FE"/>
    <w:rsid w:val="003D7F63"/>
    <w:rsid w:val="003E1B0D"/>
    <w:rsid w:val="003E4A8E"/>
    <w:rsid w:val="003F03E3"/>
    <w:rsid w:val="003F09F8"/>
    <w:rsid w:val="00400217"/>
    <w:rsid w:val="004023A8"/>
    <w:rsid w:val="00402C5A"/>
    <w:rsid w:val="004033B9"/>
    <w:rsid w:val="00404708"/>
    <w:rsid w:val="00410F10"/>
    <w:rsid w:val="00412D96"/>
    <w:rsid w:val="00414871"/>
    <w:rsid w:val="004148D4"/>
    <w:rsid w:val="00414CBC"/>
    <w:rsid w:val="00417302"/>
    <w:rsid w:val="00421432"/>
    <w:rsid w:val="00421E03"/>
    <w:rsid w:val="00423E3E"/>
    <w:rsid w:val="0042462B"/>
    <w:rsid w:val="00427AF4"/>
    <w:rsid w:val="004313AB"/>
    <w:rsid w:val="00431F65"/>
    <w:rsid w:val="00432C43"/>
    <w:rsid w:val="00433D17"/>
    <w:rsid w:val="00433DB9"/>
    <w:rsid w:val="00433F9D"/>
    <w:rsid w:val="004400E2"/>
    <w:rsid w:val="00442119"/>
    <w:rsid w:val="00443567"/>
    <w:rsid w:val="00443AF1"/>
    <w:rsid w:val="0044512F"/>
    <w:rsid w:val="00450F94"/>
    <w:rsid w:val="00453595"/>
    <w:rsid w:val="00461632"/>
    <w:rsid w:val="004619C1"/>
    <w:rsid w:val="004645B4"/>
    <w:rsid w:val="004647DA"/>
    <w:rsid w:val="00465BA0"/>
    <w:rsid w:val="00465CA8"/>
    <w:rsid w:val="00466332"/>
    <w:rsid w:val="004670CB"/>
    <w:rsid w:val="0047146C"/>
    <w:rsid w:val="00472C4B"/>
    <w:rsid w:val="00473BF4"/>
    <w:rsid w:val="00474062"/>
    <w:rsid w:val="00474DA5"/>
    <w:rsid w:val="0047786D"/>
    <w:rsid w:val="00477C30"/>
    <w:rsid w:val="00477D6B"/>
    <w:rsid w:val="00482537"/>
    <w:rsid w:val="0048371C"/>
    <w:rsid w:val="00483C13"/>
    <w:rsid w:val="004841D9"/>
    <w:rsid w:val="00484BAE"/>
    <w:rsid w:val="0048557C"/>
    <w:rsid w:val="00486881"/>
    <w:rsid w:val="0049013A"/>
    <w:rsid w:val="00493C7D"/>
    <w:rsid w:val="00494AE3"/>
    <w:rsid w:val="00496267"/>
    <w:rsid w:val="004972E5"/>
    <w:rsid w:val="004A0CF7"/>
    <w:rsid w:val="004A2F89"/>
    <w:rsid w:val="004A304B"/>
    <w:rsid w:val="004A624D"/>
    <w:rsid w:val="004A79F9"/>
    <w:rsid w:val="004B0641"/>
    <w:rsid w:val="004B34D6"/>
    <w:rsid w:val="004B3F13"/>
    <w:rsid w:val="004B405C"/>
    <w:rsid w:val="004B5AF5"/>
    <w:rsid w:val="004B5F02"/>
    <w:rsid w:val="004B7A05"/>
    <w:rsid w:val="004C2FF0"/>
    <w:rsid w:val="004C5147"/>
    <w:rsid w:val="004D0BAF"/>
    <w:rsid w:val="004D2DF5"/>
    <w:rsid w:val="004D39C4"/>
    <w:rsid w:val="004D5092"/>
    <w:rsid w:val="004D5FFC"/>
    <w:rsid w:val="004E0EE7"/>
    <w:rsid w:val="004E29DD"/>
    <w:rsid w:val="004E586B"/>
    <w:rsid w:val="004E6B24"/>
    <w:rsid w:val="004E7C32"/>
    <w:rsid w:val="004F1023"/>
    <w:rsid w:val="004F2F05"/>
    <w:rsid w:val="004F53C3"/>
    <w:rsid w:val="004F568B"/>
    <w:rsid w:val="005019AD"/>
    <w:rsid w:val="00503BD8"/>
    <w:rsid w:val="00503F3F"/>
    <w:rsid w:val="00506895"/>
    <w:rsid w:val="00507BCD"/>
    <w:rsid w:val="00510644"/>
    <w:rsid w:val="005160D5"/>
    <w:rsid w:val="0051673A"/>
    <w:rsid w:val="00516D92"/>
    <w:rsid w:val="0051712C"/>
    <w:rsid w:val="00521A7E"/>
    <w:rsid w:val="00522AAC"/>
    <w:rsid w:val="005238BC"/>
    <w:rsid w:val="00525397"/>
    <w:rsid w:val="00525777"/>
    <w:rsid w:val="00526CBB"/>
    <w:rsid w:val="0053057A"/>
    <w:rsid w:val="00531973"/>
    <w:rsid w:val="00533D42"/>
    <w:rsid w:val="0053554C"/>
    <w:rsid w:val="00540D10"/>
    <w:rsid w:val="00540ED2"/>
    <w:rsid w:val="00542CBC"/>
    <w:rsid w:val="00543741"/>
    <w:rsid w:val="005445E6"/>
    <w:rsid w:val="00544F73"/>
    <w:rsid w:val="00552085"/>
    <w:rsid w:val="0055278F"/>
    <w:rsid w:val="00553A42"/>
    <w:rsid w:val="00553FE9"/>
    <w:rsid w:val="005568C0"/>
    <w:rsid w:val="005609EC"/>
    <w:rsid w:val="00560A29"/>
    <w:rsid w:val="00560E5F"/>
    <w:rsid w:val="005610B8"/>
    <w:rsid w:val="00563CF4"/>
    <w:rsid w:val="005654C4"/>
    <w:rsid w:val="00567088"/>
    <w:rsid w:val="00570C95"/>
    <w:rsid w:val="00571A9C"/>
    <w:rsid w:val="00572F52"/>
    <w:rsid w:val="00573A75"/>
    <w:rsid w:val="00576DB9"/>
    <w:rsid w:val="00581083"/>
    <w:rsid w:val="00582A06"/>
    <w:rsid w:val="00582C01"/>
    <w:rsid w:val="00583603"/>
    <w:rsid w:val="00584136"/>
    <w:rsid w:val="005845DE"/>
    <w:rsid w:val="00587598"/>
    <w:rsid w:val="00587D1E"/>
    <w:rsid w:val="00593B18"/>
    <w:rsid w:val="00593C8C"/>
    <w:rsid w:val="00594B85"/>
    <w:rsid w:val="00594D27"/>
    <w:rsid w:val="005952C2"/>
    <w:rsid w:val="005970A7"/>
    <w:rsid w:val="005A0A21"/>
    <w:rsid w:val="005A1EC6"/>
    <w:rsid w:val="005A295A"/>
    <w:rsid w:val="005A413E"/>
    <w:rsid w:val="005A4E50"/>
    <w:rsid w:val="005A5FCD"/>
    <w:rsid w:val="005A6162"/>
    <w:rsid w:val="005A64B6"/>
    <w:rsid w:val="005A7079"/>
    <w:rsid w:val="005A74A7"/>
    <w:rsid w:val="005A77D3"/>
    <w:rsid w:val="005B1427"/>
    <w:rsid w:val="005B175A"/>
    <w:rsid w:val="005B36A7"/>
    <w:rsid w:val="005B4B56"/>
    <w:rsid w:val="005B6650"/>
    <w:rsid w:val="005B713B"/>
    <w:rsid w:val="005C1474"/>
    <w:rsid w:val="005C251C"/>
    <w:rsid w:val="005C2782"/>
    <w:rsid w:val="005C409C"/>
    <w:rsid w:val="005C53F2"/>
    <w:rsid w:val="005D262C"/>
    <w:rsid w:val="005D30C1"/>
    <w:rsid w:val="005D6FFE"/>
    <w:rsid w:val="005E0356"/>
    <w:rsid w:val="005E2A6C"/>
    <w:rsid w:val="005E6890"/>
    <w:rsid w:val="005F14A3"/>
    <w:rsid w:val="005F1BAF"/>
    <w:rsid w:val="005F30F0"/>
    <w:rsid w:val="005F7E99"/>
    <w:rsid w:val="00601270"/>
    <w:rsid w:val="00601760"/>
    <w:rsid w:val="00601C56"/>
    <w:rsid w:val="00603453"/>
    <w:rsid w:val="006042D2"/>
    <w:rsid w:val="00605827"/>
    <w:rsid w:val="00611425"/>
    <w:rsid w:val="00612BF8"/>
    <w:rsid w:val="006130BE"/>
    <w:rsid w:val="0061362A"/>
    <w:rsid w:val="00613ADE"/>
    <w:rsid w:val="00620240"/>
    <w:rsid w:val="0062151F"/>
    <w:rsid w:val="00621C5C"/>
    <w:rsid w:val="0062274E"/>
    <w:rsid w:val="00623E6B"/>
    <w:rsid w:val="006259D9"/>
    <w:rsid w:val="0062702A"/>
    <w:rsid w:val="0062779F"/>
    <w:rsid w:val="0063046A"/>
    <w:rsid w:val="00633A32"/>
    <w:rsid w:val="00634CFE"/>
    <w:rsid w:val="006373D3"/>
    <w:rsid w:val="00642717"/>
    <w:rsid w:val="00646050"/>
    <w:rsid w:val="00652AB8"/>
    <w:rsid w:val="00657462"/>
    <w:rsid w:val="00661F2D"/>
    <w:rsid w:val="00664440"/>
    <w:rsid w:val="006669EC"/>
    <w:rsid w:val="00670D0D"/>
    <w:rsid w:val="006713CA"/>
    <w:rsid w:val="00673BEA"/>
    <w:rsid w:val="00673CDB"/>
    <w:rsid w:val="006761B4"/>
    <w:rsid w:val="00676C5C"/>
    <w:rsid w:val="00683C24"/>
    <w:rsid w:val="0068452E"/>
    <w:rsid w:val="006847B4"/>
    <w:rsid w:val="0068659E"/>
    <w:rsid w:val="00687BD2"/>
    <w:rsid w:val="006906ED"/>
    <w:rsid w:val="00691A71"/>
    <w:rsid w:val="00695267"/>
    <w:rsid w:val="00695558"/>
    <w:rsid w:val="00696FDF"/>
    <w:rsid w:val="00697B7C"/>
    <w:rsid w:val="006A100F"/>
    <w:rsid w:val="006A2504"/>
    <w:rsid w:val="006A3064"/>
    <w:rsid w:val="006A51AB"/>
    <w:rsid w:val="006A7C69"/>
    <w:rsid w:val="006A7F36"/>
    <w:rsid w:val="006B0E2E"/>
    <w:rsid w:val="006B165E"/>
    <w:rsid w:val="006B19EF"/>
    <w:rsid w:val="006B2DBC"/>
    <w:rsid w:val="006B4136"/>
    <w:rsid w:val="006C0B18"/>
    <w:rsid w:val="006C0F0B"/>
    <w:rsid w:val="006C15C8"/>
    <w:rsid w:val="006C30DC"/>
    <w:rsid w:val="006C3838"/>
    <w:rsid w:val="006C3847"/>
    <w:rsid w:val="006D048C"/>
    <w:rsid w:val="006D0BE2"/>
    <w:rsid w:val="006D0D41"/>
    <w:rsid w:val="006D1A7E"/>
    <w:rsid w:val="006D1AB1"/>
    <w:rsid w:val="006D27B4"/>
    <w:rsid w:val="006D3123"/>
    <w:rsid w:val="006D3F37"/>
    <w:rsid w:val="006D410F"/>
    <w:rsid w:val="006D43F2"/>
    <w:rsid w:val="006D5E0F"/>
    <w:rsid w:val="006D6706"/>
    <w:rsid w:val="006D71BB"/>
    <w:rsid w:val="006D7308"/>
    <w:rsid w:val="006E48C0"/>
    <w:rsid w:val="006F1C98"/>
    <w:rsid w:val="006F20A2"/>
    <w:rsid w:val="006F29A5"/>
    <w:rsid w:val="006F3189"/>
    <w:rsid w:val="006F33B3"/>
    <w:rsid w:val="006F4008"/>
    <w:rsid w:val="006F55D2"/>
    <w:rsid w:val="006F56A0"/>
    <w:rsid w:val="006F757A"/>
    <w:rsid w:val="006F788C"/>
    <w:rsid w:val="00701D33"/>
    <w:rsid w:val="007033B9"/>
    <w:rsid w:val="0070503A"/>
    <w:rsid w:val="007058FB"/>
    <w:rsid w:val="00705B34"/>
    <w:rsid w:val="007060D6"/>
    <w:rsid w:val="00710A9A"/>
    <w:rsid w:val="00713DE1"/>
    <w:rsid w:val="00714943"/>
    <w:rsid w:val="007155A0"/>
    <w:rsid w:val="007162AC"/>
    <w:rsid w:val="00722DAE"/>
    <w:rsid w:val="00723709"/>
    <w:rsid w:val="00724D2D"/>
    <w:rsid w:val="0072607C"/>
    <w:rsid w:val="007263C1"/>
    <w:rsid w:val="00726B9E"/>
    <w:rsid w:val="007300A2"/>
    <w:rsid w:val="00730286"/>
    <w:rsid w:val="00731D6A"/>
    <w:rsid w:val="00734B96"/>
    <w:rsid w:val="0073519E"/>
    <w:rsid w:val="00736071"/>
    <w:rsid w:val="00736F0A"/>
    <w:rsid w:val="007374CC"/>
    <w:rsid w:val="00737C01"/>
    <w:rsid w:val="00740B12"/>
    <w:rsid w:val="0074103B"/>
    <w:rsid w:val="0074129B"/>
    <w:rsid w:val="00742419"/>
    <w:rsid w:val="00742A62"/>
    <w:rsid w:val="00744D95"/>
    <w:rsid w:val="0074612C"/>
    <w:rsid w:val="007474D0"/>
    <w:rsid w:val="00751AE0"/>
    <w:rsid w:val="00751DF0"/>
    <w:rsid w:val="00753861"/>
    <w:rsid w:val="00753F11"/>
    <w:rsid w:val="007547E1"/>
    <w:rsid w:val="0075689D"/>
    <w:rsid w:val="007577A7"/>
    <w:rsid w:val="007614CC"/>
    <w:rsid w:val="007618F9"/>
    <w:rsid w:val="00762E65"/>
    <w:rsid w:val="007633A8"/>
    <w:rsid w:val="007638F2"/>
    <w:rsid w:val="0076477D"/>
    <w:rsid w:val="00765A26"/>
    <w:rsid w:val="00765E4D"/>
    <w:rsid w:val="007711E9"/>
    <w:rsid w:val="00772668"/>
    <w:rsid w:val="00772AFF"/>
    <w:rsid w:val="00774FFE"/>
    <w:rsid w:val="00775102"/>
    <w:rsid w:val="007754E4"/>
    <w:rsid w:val="00775C31"/>
    <w:rsid w:val="0077604E"/>
    <w:rsid w:val="00777C8B"/>
    <w:rsid w:val="00780083"/>
    <w:rsid w:val="00780298"/>
    <w:rsid w:val="00782B68"/>
    <w:rsid w:val="00783C88"/>
    <w:rsid w:val="00790A1B"/>
    <w:rsid w:val="00791C17"/>
    <w:rsid w:val="00792456"/>
    <w:rsid w:val="007929E2"/>
    <w:rsid w:val="007938F9"/>
    <w:rsid w:val="00795258"/>
    <w:rsid w:val="00796DE6"/>
    <w:rsid w:val="00796EAD"/>
    <w:rsid w:val="007A07E8"/>
    <w:rsid w:val="007A2CBE"/>
    <w:rsid w:val="007A388C"/>
    <w:rsid w:val="007A6F7C"/>
    <w:rsid w:val="007A7EFF"/>
    <w:rsid w:val="007B6A58"/>
    <w:rsid w:val="007B6F75"/>
    <w:rsid w:val="007C03E9"/>
    <w:rsid w:val="007C0A53"/>
    <w:rsid w:val="007C3147"/>
    <w:rsid w:val="007C473A"/>
    <w:rsid w:val="007C490E"/>
    <w:rsid w:val="007C50FB"/>
    <w:rsid w:val="007C62EE"/>
    <w:rsid w:val="007C6EEB"/>
    <w:rsid w:val="007C7534"/>
    <w:rsid w:val="007C7566"/>
    <w:rsid w:val="007C76DC"/>
    <w:rsid w:val="007D13EA"/>
    <w:rsid w:val="007D1613"/>
    <w:rsid w:val="007D31C9"/>
    <w:rsid w:val="007D66E0"/>
    <w:rsid w:val="007D67E1"/>
    <w:rsid w:val="007E04F7"/>
    <w:rsid w:val="007E1129"/>
    <w:rsid w:val="007E19D5"/>
    <w:rsid w:val="007E1DB0"/>
    <w:rsid w:val="007E30EF"/>
    <w:rsid w:val="007E59EE"/>
    <w:rsid w:val="007E5AC4"/>
    <w:rsid w:val="007E7473"/>
    <w:rsid w:val="007E7684"/>
    <w:rsid w:val="007F1D3B"/>
    <w:rsid w:val="007F75F6"/>
    <w:rsid w:val="00800D0E"/>
    <w:rsid w:val="00801A5B"/>
    <w:rsid w:val="00802D44"/>
    <w:rsid w:val="00806340"/>
    <w:rsid w:val="008064D0"/>
    <w:rsid w:val="00807B89"/>
    <w:rsid w:val="008114EC"/>
    <w:rsid w:val="00812563"/>
    <w:rsid w:val="00813F69"/>
    <w:rsid w:val="0081617D"/>
    <w:rsid w:val="008163C5"/>
    <w:rsid w:val="008220A5"/>
    <w:rsid w:val="00822C26"/>
    <w:rsid w:val="008237F3"/>
    <w:rsid w:val="008246DD"/>
    <w:rsid w:val="0082590D"/>
    <w:rsid w:val="00826358"/>
    <w:rsid w:val="00826B8A"/>
    <w:rsid w:val="008275AD"/>
    <w:rsid w:val="00827881"/>
    <w:rsid w:val="0083048D"/>
    <w:rsid w:val="00830509"/>
    <w:rsid w:val="00833C80"/>
    <w:rsid w:val="008350E9"/>
    <w:rsid w:val="00835B54"/>
    <w:rsid w:val="008373E7"/>
    <w:rsid w:val="00837AD1"/>
    <w:rsid w:val="00841A95"/>
    <w:rsid w:val="00841B31"/>
    <w:rsid w:val="00843E75"/>
    <w:rsid w:val="00843F99"/>
    <w:rsid w:val="0084534C"/>
    <w:rsid w:val="008475F1"/>
    <w:rsid w:val="00851E9D"/>
    <w:rsid w:val="0085625E"/>
    <w:rsid w:val="008565DE"/>
    <w:rsid w:val="008602D7"/>
    <w:rsid w:val="00862F72"/>
    <w:rsid w:val="0086396B"/>
    <w:rsid w:val="00863DCC"/>
    <w:rsid w:val="0086577E"/>
    <w:rsid w:val="00866D81"/>
    <w:rsid w:val="0087084F"/>
    <w:rsid w:val="00870EA8"/>
    <w:rsid w:val="00872DC3"/>
    <w:rsid w:val="008735E5"/>
    <w:rsid w:val="00873A75"/>
    <w:rsid w:val="00873EE5"/>
    <w:rsid w:val="008742A8"/>
    <w:rsid w:val="008751BF"/>
    <w:rsid w:val="008755BB"/>
    <w:rsid w:val="00875A1B"/>
    <w:rsid w:val="00875BB5"/>
    <w:rsid w:val="0087600D"/>
    <w:rsid w:val="0087670D"/>
    <w:rsid w:val="00876A1F"/>
    <w:rsid w:val="008774E5"/>
    <w:rsid w:val="0088165C"/>
    <w:rsid w:val="00882101"/>
    <w:rsid w:val="0088240C"/>
    <w:rsid w:val="008829A6"/>
    <w:rsid w:val="0088736F"/>
    <w:rsid w:val="008873D4"/>
    <w:rsid w:val="00890FB6"/>
    <w:rsid w:val="00893CF3"/>
    <w:rsid w:val="008956F3"/>
    <w:rsid w:val="008A009E"/>
    <w:rsid w:val="008A1D84"/>
    <w:rsid w:val="008A425E"/>
    <w:rsid w:val="008A43E7"/>
    <w:rsid w:val="008A446D"/>
    <w:rsid w:val="008A629D"/>
    <w:rsid w:val="008A686D"/>
    <w:rsid w:val="008A709A"/>
    <w:rsid w:val="008B06BB"/>
    <w:rsid w:val="008B2B1F"/>
    <w:rsid w:val="008B2CC1"/>
    <w:rsid w:val="008B37F8"/>
    <w:rsid w:val="008B3F8F"/>
    <w:rsid w:val="008B400E"/>
    <w:rsid w:val="008B43B0"/>
    <w:rsid w:val="008B48B4"/>
    <w:rsid w:val="008B4AAF"/>
    <w:rsid w:val="008B4B5E"/>
    <w:rsid w:val="008B5AD1"/>
    <w:rsid w:val="008B60B2"/>
    <w:rsid w:val="008C0983"/>
    <w:rsid w:val="008C1C09"/>
    <w:rsid w:val="008C2CB4"/>
    <w:rsid w:val="008C4DC5"/>
    <w:rsid w:val="008C58E9"/>
    <w:rsid w:val="008C5DFE"/>
    <w:rsid w:val="008C6B99"/>
    <w:rsid w:val="008D14DD"/>
    <w:rsid w:val="008D18FE"/>
    <w:rsid w:val="008D2144"/>
    <w:rsid w:val="008D6F8C"/>
    <w:rsid w:val="008E217F"/>
    <w:rsid w:val="008E22AB"/>
    <w:rsid w:val="008E2AF0"/>
    <w:rsid w:val="008E2D46"/>
    <w:rsid w:val="008E30C3"/>
    <w:rsid w:val="008E3C5A"/>
    <w:rsid w:val="008E67FE"/>
    <w:rsid w:val="008E71B2"/>
    <w:rsid w:val="008F037D"/>
    <w:rsid w:val="008F14D7"/>
    <w:rsid w:val="008F3478"/>
    <w:rsid w:val="008F4450"/>
    <w:rsid w:val="008F557E"/>
    <w:rsid w:val="008F69D6"/>
    <w:rsid w:val="008F7210"/>
    <w:rsid w:val="008F763D"/>
    <w:rsid w:val="008F7E79"/>
    <w:rsid w:val="009002F8"/>
    <w:rsid w:val="00904A53"/>
    <w:rsid w:val="00906B54"/>
    <w:rsid w:val="00906E51"/>
    <w:rsid w:val="0090731E"/>
    <w:rsid w:val="00907A9D"/>
    <w:rsid w:val="00910741"/>
    <w:rsid w:val="00911B38"/>
    <w:rsid w:val="00912762"/>
    <w:rsid w:val="00912E10"/>
    <w:rsid w:val="00913FBD"/>
    <w:rsid w:val="00914A39"/>
    <w:rsid w:val="00916BB3"/>
    <w:rsid w:val="00916EE2"/>
    <w:rsid w:val="009216FE"/>
    <w:rsid w:val="00921CA2"/>
    <w:rsid w:val="0092549C"/>
    <w:rsid w:val="00925703"/>
    <w:rsid w:val="00926670"/>
    <w:rsid w:val="00930F12"/>
    <w:rsid w:val="009321E5"/>
    <w:rsid w:val="0093425F"/>
    <w:rsid w:val="00934706"/>
    <w:rsid w:val="009350A2"/>
    <w:rsid w:val="00935931"/>
    <w:rsid w:val="00941C71"/>
    <w:rsid w:val="009444AB"/>
    <w:rsid w:val="00944D3E"/>
    <w:rsid w:val="0094708D"/>
    <w:rsid w:val="00951F7E"/>
    <w:rsid w:val="00952B3B"/>
    <w:rsid w:val="00953D36"/>
    <w:rsid w:val="0095575E"/>
    <w:rsid w:val="0095604E"/>
    <w:rsid w:val="00956061"/>
    <w:rsid w:val="0095619B"/>
    <w:rsid w:val="00957B0C"/>
    <w:rsid w:val="00961324"/>
    <w:rsid w:val="009626F2"/>
    <w:rsid w:val="00962CCD"/>
    <w:rsid w:val="00966626"/>
    <w:rsid w:val="00966A22"/>
    <w:rsid w:val="0096722F"/>
    <w:rsid w:val="00971BBE"/>
    <w:rsid w:val="00971DCE"/>
    <w:rsid w:val="00971E13"/>
    <w:rsid w:val="0097282B"/>
    <w:rsid w:val="009736AA"/>
    <w:rsid w:val="00973B13"/>
    <w:rsid w:val="00974E29"/>
    <w:rsid w:val="009771AA"/>
    <w:rsid w:val="009775EA"/>
    <w:rsid w:val="0097780E"/>
    <w:rsid w:val="00980607"/>
    <w:rsid w:val="0098069E"/>
    <w:rsid w:val="00980843"/>
    <w:rsid w:val="00981C9A"/>
    <w:rsid w:val="00981ED1"/>
    <w:rsid w:val="0098221D"/>
    <w:rsid w:val="009844D1"/>
    <w:rsid w:val="00987B20"/>
    <w:rsid w:val="0099117B"/>
    <w:rsid w:val="009915D3"/>
    <w:rsid w:val="00992533"/>
    <w:rsid w:val="00992ADC"/>
    <w:rsid w:val="00993E41"/>
    <w:rsid w:val="0099422A"/>
    <w:rsid w:val="009953A4"/>
    <w:rsid w:val="00996925"/>
    <w:rsid w:val="009978F1"/>
    <w:rsid w:val="009A0D08"/>
    <w:rsid w:val="009A0F3A"/>
    <w:rsid w:val="009A2C9C"/>
    <w:rsid w:val="009A2F0A"/>
    <w:rsid w:val="009A3B06"/>
    <w:rsid w:val="009A425A"/>
    <w:rsid w:val="009A54E9"/>
    <w:rsid w:val="009A61E6"/>
    <w:rsid w:val="009A786F"/>
    <w:rsid w:val="009B3C16"/>
    <w:rsid w:val="009B3F1A"/>
    <w:rsid w:val="009B7A4E"/>
    <w:rsid w:val="009C0CBF"/>
    <w:rsid w:val="009C0EF8"/>
    <w:rsid w:val="009C5EBB"/>
    <w:rsid w:val="009D0995"/>
    <w:rsid w:val="009D0D09"/>
    <w:rsid w:val="009D2013"/>
    <w:rsid w:val="009D22D0"/>
    <w:rsid w:val="009D60B2"/>
    <w:rsid w:val="009D612C"/>
    <w:rsid w:val="009D6C94"/>
    <w:rsid w:val="009E0C7E"/>
    <w:rsid w:val="009E19A2"/>
    <w:rsid w:val="009E1C71"/>
    <w:rsid w:val="009E2047"/>
    <w:rsid w:val="009E2791"/>
    <w:rsid w:val="009E2A7A"/>
    <w:rsid w:val="009E2EA8"/>
    <w:rsid w:val="009E317A"/>
    <w:rsid w:val="009E3F6F"/>
    <w:rsid w:val="009E5639"/>
    <w:rsid w:val="009E5DF8"/>
    <w:rsid w:val="009E7CFB"/>
    <w:rsid w:val="009F1B0C"/>
    <w:rsid w:val="009F2A35"/>
    <w:rsid w:val="009F387C"/>
    <w:rsid w:val="009F3BF9"/>
    <w:rsid w:val="009F499F"/>
    <w:rsid w:val="009F6286"/>
    <w:rsid w:val="009F653A"/>
    <w:rsid w:val="009F773B"/>
    <w:rsid w:val="009F798A"/>
    <w:rsid w:val="009F7D66"/>
    <w:rsid w:val="00A00816"/>
    <w:rsid w:val="00A02C8B"/>
    <w:rsid w:val="00A0330A"/>
    <w:rsid w:val="00A05045"/>
    <w:rsid w:val="00A066F1"/>
    <w:rsid w:val="00A0722A"/>
    <w:rsid w:val="00A073BF"/>
    <w:rsid w:val="00A11FC7"/>
    <w:rsid w:val="00A1344E"/>
    <w:rsid w:val="00A13694"/>
    <w:rsid w:val="00A155A7"/>
    <w:rsid w:val="00A16D3F"/>
    <w:rsid w:val="00A16FE1"/>
    <w:rsid w:val="00A171A1"/>
    <w:rsid w:val="00A2051D"/>
    <w:rsid w:val="00A21548"/>
    <w:rsid w:val="00A22430"/>
    <w:rsid w:val="00A22C1B"/>
    <w:rsid w:val="00A2459B"/>
    <w:rsid w:val="00A24ECB"/>
    <w:rsid w:val="00A273A8"/>
    <w:rsid w:val="00A2767F"/>
    <w:rsid w:val="00A31304"/>
    <w:rsid w:val="00A32BD7"/>
    <w:rsid w:val="00A331C5"/>
    <w:rsid w:val="00A34CB4"/>
    <w:rsid w:val="00A36171"/>
    <w:rsid w:val="00A36888"/>
    <w:rsid w:val="00A371E9"/>
    <w:rsid w:val="00A374F0"/>
    <w:rsid w:val="00A40583"/>
    <w:rsid w:val="00A4171D"/>
    <w:rsid w:val="00A41CF3"/>
    <w:rsid w:val="00A42878"/>
    <w:rsid w:val="00A42DAF"/>
    <w:rsid w:val="00A43948"/>
    <w:rsid w:val="00A449D6"/>
    <w:rsid w:val="00A44DEC"/>
    <w:rsid w:val="00A45BD8"/>
    <w:rsid w:val="00A46033"/>
    <w:rsid w:val="00A46DE9"/>
    <w:rsid w:val="00A5082A"/>
    <w:rsid w:val="00A508F7"/>
    <w:rsid w:val="00A537ED"/>
    <w:rsid w:val="00A5482C"/>
    <w:rsid w:val="00A57CA9"/>
    <w:rsid w:val="00A60D89"/>
    <w:rsid w:val="00A612A9"/>
    <w:rsid w:val="00A62626"/>
    <w:rsid w:val="00A62DD7"/>
    <w:rsid w:val="00A631FC"/>
    <w:rsid w:val="00A63258"/>
    <w:rsid w:val="00A63E2B"/>
    <w:rsid w:val="00A65A9C"/>
    <w:rsid w:val="00A660E4"/>
    <w:rsid w:val="00A66BC2"/>
    <w:rsid w:val="00A67E56"/>
    <w:rsid w:val="00A714F0"/>
    <w:rsid w:val="00A716CD"/>
    <w:rsid w:val="00A71BC6"/>
    <w:rsid w:val="00A7425B"/>
    <w:rsid w:val="00A75359"/>
    <w:rsid w:val="00A76B17"/>
    <w:rsid w:val="00A775F3"/>
    <w:rsid w:val="00A778BF"/>
    <w:rsid w:val="00A8026B"/>
    <w:rsid w:val="00A81799"/>
    <w:rsid w:val="00A81911"/>
    <w:rsid w:val="00A8200D"/>
    <w:rsid w:val="00A83218"/>
    <w:rsid w:val="00A83CE8"/>
    <w:rsid w:val="00A84845"/>
    <w:rsid w:val="00A85B8E"/>
    <w:rsid w:val="00A87502"/>
    <w:rsid w:val="00A92C71"/>
    <w:rsid w:val="00A93FB2"/>
    <w:rsid w:val="00A94CEA"/>
    <w:rsid w:val="00A94F4C"/>
    <w:rsid w:val="00A975E7"/>
    <w:rsid w:val="00A97F96"/>
    <w:rsid w:val="00AA071F"/>
    <w:rsid w:val="00AA234C"/>
    <w:rsid w:val="00AA2A44"/>
    <w:rsid w:val="00AA6C11"/>
    <w:rsid w:val="00AB2636"/>
    <w:rsid w:val="00AB3207"/>
    <w:rsid w:val="00AB3BCB"/>
    <w:rsid w:val="00AB44A8"/>
    <w:rsid w:val="00AB7986"/>
    <w:rsid w:val="00AC027B"/>
    <w:rsid w:val="00AC028A"/>
    <w:rsid w:val="00AC128D"/>
    <w:rsid w:val="00AC1B03"/>
    <w:rsid w:val="00AC1DBE"/>
    <w:rsid w:val="00AC1F9E"/>
    <w:rsid w:val="00AC205C"/>
    <w:rsid w:val="00AC3C37"/>
    <w:rsid w:val="00AC5327"/>
    <w:rsid w:val="00AC6ECB"/>
    <w:rsid w:val="00AD06DF"/>
    <w:rsid w:val="00AD0C4B"/>
    <w:rsid w:val="00AD1F46"/>
    <w:rsid w:val="00AD2E31"/>
    <w:rsid w:val="00AD4576"/>
    <w:rsid w:val="00AD5B85"/>
    <w:rsid w:val="00AD6B13"/>
    <w:rsid w:val="00AE2465"/>
    <w:rsid w:val="00AE331D"/>
    <w:rsid w:val="00AE4511"/>
    <w:rsid w:val="00AE4A18"/>
    <w:rsid w:val="00AE4D83"/>
    <w:rsid w:val="00AF04BB"/>
    <w:rsid w:val="00AF06E2"/>
    <w:rsid w:val="00AF292B"/>
    <w:rsid w:val="00AF4760"/>
    <w:rsid w:val="00AF5C73"/>
    <w:rsid w:val="00AF62EB"/>
    <w:rsid w:val="00B011DD"/>
    <w:rsid w:val="00B02B17"/>
    <w:rsid w:val="00B03663"/>
    <w:rsid w:val="00B04D31"/>
    <w:rsid w:val="00B04DAF"/>
    <w:rsid w:val="00B05278"/>
    <w:rsid w:val="00B05A69"/>
    <w:rsid w:val="00B0783F"/>
    <w:rsid w:val="00B1128B"/>
    <w:rsid w:val="00B12BEB"/>
    <w:rsid w:val="00B12D99"/>
    <w:rsid w:val="00B13616"/>
    <w:rsid w:val="00B263B0"/>
    <w:rsid w:val="00B26EA5"/>
    <w:rsid w:val="00B2792B"/>
    <w:rsid w:val="00B3259F"/>
    <w:rsid w:val="00B34151"/>
    <w:rsid w:val="00B378E1"/>
    <w:rsid w:val="00B40598"/>
    <w:rsid w:val="00B40C4F"/>
    <w:rsid w:val="00B41A6B"/>
    <w:rsid w:val="00B4459F"/>
    <w:rsid w:val="00B45DE2"/>
    <w:rsid w:val="00B47EB4"/>
    <w:rsid w:val="00B50B99"/>
    <w:rsid w:val="00B528DC"/>
    <w:rsid w:val="00B530C6"/>
    <w:rsid w:val="00B53C14"/>
    <w:rsid w:val="00B61456"/>
    <w:rsid w:val="00B616F7"/>
    <w:rsid w:val="00B62A18"/>
    <w:rsid w:val="00B62CD9"/>
    <w:rsid w:val="00B63D13"/>
    <w:rsid w:val="00B65FC4"/>
    <w:rsid w:val="00B71810"/>
    <w:rsid w:val="00B732F0"/>
    <w:rsid w:val="00B769B7"/>
    <w:rsid w:val="00B7708C"/>
    <w:rsid w:val="00B812D2"/>
    <w:rsid w:val="00B813CE"/>
    <w:rsid w:val="00B813F2"/>
    <w:rsid w:val="00B81DE0"/>
    <w:rsid w:val="00B821EA"/>
    <w:rsid w:val="00B825B1"/>
    <w:rsid w:val="00B839F0"/>
    <w:rsid w:val="00B874CA"/>
    <w:rsid w:val="00B87A90"/>
    <w:rsid w:val="00B91A85"/>
    <w:rsid w:val="00B92B2B"/>
    <w:rsid w:val="00B94FA2"/>
    <w:rsid w:val="00B9537A"/>
    <w:rsid w:val="00B953FC"/>
    <w:rsid w:val="00B97137"/>
    <w:rsid w:val="00B9734B"/>
    <w:rsid w:val="00B9738C"/>
    <w:rsid w:val="00B97560"/>
    <w:rsid w:val="00B975E6"/>
    <w:rsid w:val="00BA000D"/>
    <w:rsid w:val="00BA040B"/>
    <w:rsid w:val="00BA0998"/>
    <w:rsid w:val="00BA13F3"/>
    <w:rsid w:val="00BA1CBB"/>
    <w:rsid w:val="00BA1EAA"/>
    <w:rsid w:val="00BA3D84"/>
    <w:rsid w:val="00BA423F"/>
    <w:rsid w:val="00BA42DB"/>
    <w:rsid w:val="00BA5880"/>
    <w:rsid w:val="00BB0DE4"/>
    <w:rsid w:val="00BB1A66"/>
    <w:rsid w:val="00BB708C"/>
    <w:rsid w:val="00BB784B"/>
    <w:rsid w:val="00BC1EC6"/>
    <w:rsid w:val="00BC322A"/>
    <w:rsid w:val="00BC55A9"/>
    <w:rsid w:val="00BC6DC9"/>
    <w:rsid w:val="00BD0050"/>
    <w:rsid w:val="00BD1DA4"/>
    <w:rsid w:val="00BD4E04"/>
    <w:rsid w:val="00BD5E03"/>
    <w:rsid w:val="00BD61E8"/>
    <w:rsid w:val="00BD657F"/>
    <w:rsid w:val="00BE34B8"/>
    <w:rsid w:val="00BE3773"/>
    <w:rsid w:val="00BE3DCD"/>
    <w:rsid w:val="00BE63DA"/>
    <w:rsid w:val="00BF18C6"/>
    <w:rsid w:val="00BF5757"/>
    <w:rsid w:val="00BF681B"/>
    <w:rsid w:val="00BF712E"/>
    <w:rsid w:val="00C0090F"/>
    <w:rsid w:val="00C00AF3"/>
    <w:rsid w:val="00C01411"/>
    <w:rsid w:val="00C024FA"/>
    <w:rsid w:val="00C028BF"/>
    <w:rsid w:val="00C03049"/>
    <w:rsid w:val="00C10397"/>
    <w:rsid w:val="00C117CC"/>
    <w:rsid w:val="00C11BFE"/>
    <w:rsid w:val="00C16E67"/>
    <w:rsid w:val="00C20F7C"/>
    <w:rsid w:val="00C21A1F"/>
    <w:rsid w:val="00C22339"/>
    <w:rsid w:val="00C24804"/>
    <w:rsid w:val="00C25951"/>
    <w:rsid w:val="00C27041"/>
    <w:rsid w:val="00C271A3"/>
    <w:rsid w:val="00C30359"/>
    <w:rsid w:val="00C30A63"/>
    <w:rsid w:val="00C32413"/>
    <w:rsid w:val="00C334D5"/>
    <w:rsid w:val="00C34276"/>
    <w:rsid w:val="00C34623"/>
    <w:rsid w:val="00C3480E"/>
    <w:rsid w:val="00C3691A"/>
    <w:rsid w:val="00C373BF"/>
    <w:rsid w:val="00C37614"/>
    <w:rsid w:val="00C37DF7"/>
    <w:rsid w:val="00C37E63"/>
    <w:rsid w:val="00C43024"/>
    <w:rsid w:val="00C43E73"/>
    <w:rsid w:val="00C44060"/>
    <w:rsid w:val="00C45190"/>
    <w:rsid w:val="00C47432"/>
    <w:rsid w:val="00C5013D"/>
    <w:rsid w:val="00C52DEA"/>
    <w:rsid w:val="00C55589"/>
    <w:rsid w:val="00C56146"/>
    <w:rsid w:val="00C57465"/>
    <w:rsid w:val="00C60A57"/>
    <w:rsid w:val="00C63014"/>
    <w:rsid w:val="00C63AD2"/>
    <w:rsid w:val="00C63D29"/>
    <w:rsid w:val="00C641E1"/>
    <w:rsid w:val="00C70867"/>
    <w:rsid w:val="00C7230F"/>
    <w:rsid w:val="00C726C6"/>
    <w:rsid w:val="00C76813"/>
    <w:rsid w:val="00C775AE"/>
    <w:rsid w:val="00C77774"/>
    <w:rsid w:val="00C843DC"/>
    <w:rsid w:val="00C84D17"/>
    <w:rsid w:val="00C94629"/>
    <w:rsid w:val="00C96041"/>
    <w:rsid w:val="00C968B6"/>
    <w:rsid w:val="00C96E3E"/>
    <w:rsid w:val="00C9725A"/>
    <w:rsid w:val="00CA2262"/>
    <w:rsid w:val="00CA2C26"/>
    <w:rsid w:val="00CA36BB"/>
    <w:rsid w:val="00CA3DE8"/>
    <w:rsid w:val="00CA6DA2"/>
    <w:rsid w:val="00CB0330"/>
    <w:rsid w:val="00CB4167"/>
    <w:rsid w:val="00CC10C7"/>
    <w:rsid w:val="00CC1A38"/>
    <w:rsid w:val="00CC36D1"/>
    <w:rsid w:val="00CC52BC"/>
    <w:rsid w:val="00CD20AA"/>
    <w:rsid w:val="00CD4706"/>
    <w:rsid w:val="00CD5E27"/>
    <w:rsid w:val="00CD669D"/>
    <w:rsid w:val="00CD77EB"/>
    <w:rsid w:val="00CD7A88"/>
    <w:rsid w:val="00CD7F3D"/>
    <w:rsid w:val="00CE0D36"/>
    <w:rsid w:val="00CE20A9"/>
    <w:rsid w:val="00CE2C4E"/>
    <w:rsid w:val="00CE55E4"/>
    <w:rsid w:val="00CE65D4"/>
    <w:rsid w:val="00CE6E79"/>
    <w:rsid w:val="00CF3481"/>
    <w:rsid w:val="00CF3A60"/>
    <w:rsid w:val="00CF3AC7"/>
    <w:rsid w:val="00CF424E"/>
    <w:rsid w:val="00CF7A4F"/>
    <w:rsid w:val="00D007E4"/>
    <w:rsid w:val="00D01044"/>
    <w:rsid w:val="00D016CA"/>
    <w:rsid w:val="00D01799"/>
    <w:rsid w:val="00D0301C"/>
    <w:rsid w:val="00D049FF"/>
    <w:rsid w:val="00D04A96"/>
    <w:rsid w:val="00D05151"/>
    <w:rsid w:val="00D06233"/>
    <w:rsid w:val="00D06682"/>
    <w:rsid w:val="00D066E3"/>
    <w:rsid w:val="00D073DA"/>
    <w:rsid w:val="00D1040E"/>
    <w:rsid w:val="00D11479"/>
    <w:rsid w:val="00D158B5"/>
    <w:rsid w:val="00D16AAF"/>
    <w:rsid w:val="00D17357"/>
    <w:rsid w:val="00D218E9"/>
    <w:rsid w:val="00D22647"/>
    <w:rsid w:val="00D228AE"/>
    <w:rsid w:val="00D22B27"/>
    <w:rsid w:val="00D24AB0"/>
    <w:rsid w:val="00D25046"/>
    <w:rsid w:val="00D25A90"/>
    <w:rsid w:val="00D26D0E"/>
    <w:rsid w:val="00D2772E"/>
    <w:rsid w:val="00D27A04"/>
    <w:rsid w:val="00D30AB2"/>
    <w:rsid w:val="00D31394"/>
    <w:rsid w:val="00D3420E"/>
    <w:rsid w:val="00D34A72"/>
    <w:rsid w:val="00D34D36"/>
    <w:rsid w:val="00D35175"/>
    <w:rsid w:val="00D36B82"/>
    <w:rsid w:val="00D41306"/>
    <w:rsid w:val="00D419FA"/>
    <w:rsid w:val="00D4280A"/>
    <w:rsid w:val="00D434B9"/>
    <w:rsid w:val="00D44980"/>
    <w:rsid w:val="00D44EF2"/>
    <w:rsid w:val="00D45252"/>
    <w:rsid w:val="00D464D1"/>
    <w:rsid w:val="00D528C0"/>
    <w:rsid w:val="00D52902"/>
    <w:rsid w:val="00D56314"/>
    <w:rsid w:val="00D5662D"/>
    <w:rsid w:val="00D57302"/>
    <w:rsid w:val="00D60EEB"/>
    <w:rsid w:val="00D60F00"/>
    <w:rsid w:val="00D62CF6"/>
    <w:rsid w:val="00D64D60"/>
    <w:rsid w:val="00D6592B"/>
    <w:rsid w:val="00D66498"/>
    <w:rsid w:val="00D71B4D"/>
    <w:rsid w:val="00D72765"/>
    <w:rsid w:val="00D7427E"/>
    <w:rsid w:val="00D7545E"/>
    <w:rsid w:val="00D76686"/>
    <w:rsid w:val="00D76EA9"/>
    <w:rsid w:val="00D77823"/>
    <w:rsid w:val="00D8053C"/>
    <w:rsid w:val="00D80FD6"/>
    <w:rsid w:val="00D81116"/>
    <w:rsid w:val="00D8138E"/>
    <w:rsid w:val="00D81521"/>
    <w:rsid w:val="00D82066"/>
    <w:rsid w:val="00D8430A"/>
    <w:rsid w:val="00D84483"/>
    <w:rsid w:val="00D84716"/>
    <w:rsid w:val="00D84904"/>
    <w:rsid w:val="00D8498B"/>
    <w:rsid w:val="00D85F59"/>
    <w:rsid w:val="00D87101"/>
    <w:rsid w:val="00D90328"/>
    <w:rsid w:val="00D911A2"/>
    <w:rsid w:val="00D9362B"/>
    <w:rsid w:val="00D93D55"/>
    <w:rsid w:val="00D94159"/>
    <w:rsid w:val="00D9434D"/>
    <w:rsid w:val="00D94EBA"/>
    <w:rsid w:val="00D95287"/>
    <w:rsid w:val="00D9541A"/>
    <w:rsid w:val="00D957D8"/>
    <w:rsid w:val="00D96472"/>
    <w:rsid w:val="00DA1EA9"/>
    <w:rsid w:val="00DA23E5"/>
    <w:rsid w:val="00DA68B5"/>
    <w:rsid w:val="00DB347B"/>
    <w:rsid w:val="00DB642B"/>
    <w:rsid w:val="00DB67BD"/>
    <w:rsid w:val="00DB691C"/>
    <w:rsid w:val="00DC1701"/>
    <w:rsid w:val="00DC1913"/>
    <w:rsid w:val="00DC2603"/>
    <w:rsid w:val="00DC2B01"/>
    <w:rsid w:val="00DC2B6F"/>
    <w:rsid w:val="00DC64BC"/>
    <w:rsid w:val="00DC7E0E"/>
    <w:rsid w:val="00DD1EBE"/>
    <w:rsid w:val="00DD2377"/>
    <w:rsid w:val="00DD2B0F"/>
    <w:rsid w:val="00DD2EAB"/>
    <w:rsid w:val="00DD4F92"/>
    <w:rsid w:val="00DD5215"/>
    <w:rsid w:val="00DD57CB"/>
    <w:rsid w:val="00DE0A77"/>
    <w:rsid w:val="00DE5187"/>
    <w:rsid w:val="00DE54D3"/>
    <w:rsid w:val="00DE6371"/>
    <w:rsid w:val="00DE6E51"/>
    <w:rsid w:val="00DF1475"/>
    <w:rsid w:val="00DF490E"/>
    <w:rsid w:val="00DF679E"/>
    <w:rsid w:val="00DF796F"/>
    <w:rsid w:val="00E00797"/>
    <w:rsid w:val="00E013CE"/>
    <w:rsid w:val="00E0221E"/>
    <w:rsid w:val="00E026C9"/>
    <w:rsid w:val="00E032E6"/>
    <w:rsid w:val="00E03DBF"/>
    <w:rsid w:val="00E0434E"/>
    <w:rsid w:val="00E043B3"/>
    <w:rsid w:val="00E043DE"/>
    <w:rsid w:val="00E044BD"/>
    <w:rsid w:val="00E05D1F"/>
    <w:rsid w:val="00E06556"/>
    <w:rsid w:val="00E14367"/>
    <w:rsid w:val="00E14857"/>
    <w:rsid w:val="00E161A2"/>
    <w:rsid w:val="00E169DB"/>
    <w:rsid w:val="00E17AC7"/>
    <w:rsid w:val="00E17EAD"/>
    <w:rsid w:val="00E20BC1"/>
    <w:rsid w:val="00E213C7"/>
    <w:rsid w:val="00E22E5E"/>
    <w:rsid w:val="00E25C4E"/>
    <w:rsid w:val="00E25EB8"/>
    <w:rsid w:val="00E26101"/>
    <w:rsid w:val="00E26C1F"/>
    <w:rsid w:val="00E271F8"/>
    <w:rsid w:val="00E27B20"/>
    <w:rsid w:val="00E3116D"/>
    <w:rsid w:val="00E319CD"/>
    <w:rsid w:val="00E324E5"/>
    <w:rsid w:val="00E327E4"/>
    <w:rsid w:val="00E32AA8"/>
    <w:rsid w:val="00E32BD2"/>
    <w:rsid w:val="00E335FE"/>
    <w:rsid w:val="00E33A08"/>
    <w:rsid w:val="00E33F3B"/>
    <w:rsid w:val="00E346ED"/>
    <w:rsid w:val="00E34E59"/>
    <w:rsid w:val="00E362EE"/>
    <w:rsid w:val="00E40F2F"/>
    <w:rsid w:val="00E42755"/>
    <w:rsid w:val="00E431D4"/>
    <w:rsid w:val="00E433A4"/>
    <w:rsid w:val="00E45EA0"/>
    <w:rsid w:val="00E46E62"/>
    <w:rsid w:val="00E5021F"/>
    <w:rsid w:val="00E552EC"/>
    <w:rsid w:val="00E60774"/>
    <w:rsid w:val="00E61CC0"/>
    <w:rsid w:val="00E63AD0"/>
    <w:rsid w:val="00E6434F"/>
    <w:rsid w:val="00E64BE2"/>
    <w:rsid w:val="00E65954"/>
    <w:rsid w:val="00E6654B"/>
    <w:rsid w:val="00E671A6"/>
    <w:rsid w:val="00E7064D"/>
    <w:rsid w:val="00E713A2"/>
    <w:rsid w:val="00E71A6E"/>
    <w:rsid w:val="00E75D6D"/>
    <w:rsid w:val="00E77DD7"/>
    <w:rsid w:val="00E81AB0"/>
    <w:rsid w:val="00E822F1"/>
    <w:rsid w:val="00E84029"/>
    <w:rsid w:val="00E872AC"/>
    <w:rsid w:val="00E87845"/>
    <w:rsid w:val="00E87B68"/>
    <w:rsid w:val="00E87BE3"/>
    <w:rsid w:val="00E913B6"/>
    <w:rsid w:val="00E9144E"/>
    <w:rsid w:val="00E91DA1"/>
    <w:rsid w:val="00E93B81"/>
    <w:rsid w:val="00E967A9"/>
    <w:rsid w:val="00EA0F9A"/>
    <w:rsid w:val="00EB3A56"/>
    <w:rsid w:val="00EB4988"/>
    <w:rsid w:val="00EB5118"/>
    <w:rsid w:val="00EB6EBD"/>
    <w:rsid w:val="00EC07C1"/>
    <w:rsid w:val="00EC1F8A"/>
    <w:rsid w:val="00EC27FA"/>
    <w:rsid w:val="00EC2FA7"/>
    <w:rsid w:val="00EC4E49"/>
    <w:rsid w:val="00EC5611"/>
    <w:rsid w:val="00EC7082"/>
    <w:rsid w:val="00ED154D"/>
    <w:rsid w:val="00ED17BC"/>
    <w:rsid w:val="00ED2BBC"/>
    <w:rsid w:val="00ED3844"/>
    <w:rsid w:val="00ED56BB"/>
    <w:rsid w:val="00ED648A"/>
    <w:rsid w:val="00ED77FB"/>
    <w:rsid w:val="00ED7810"/>
    <w:rsid w:val="00EE1610"/>
    <w:rsid w:val="00EE2B6B"/>
    <w:rsid w:val="00EE3725"/>
    <w:rsid w:val="00EE4CB3"/>
    <w:rsid w:val="00EE7EB5"/>
    <w:rsid w:val="00EF0985"/>
    <w:rsid w:val="00EF345B"/>
    <w:rsid w:val="00EF4536"/>
    <w:rsid w:val="00EF4BB3"/>
    <w:rsid w:val="00EF5AC8"/>
    <w:rsid w:val="00EF76D7"/>
    <w:rsid w:val="00EF7809"/>
    <w:rsid w:val="00F021A6"/>
    <w:rsid w:val="00F02E1E"/>
    <w:rsid w:val="00F04B6A"/>
    <w:rsid w:val="00F0503C"/>
    <w:rsid w:val="00F11D94"/>
    <w:rsid w:val="00F14D60"/>
    <w:rsid w:val="00F2118A"/>
    <w:rsid w:val="00F22D34"/>
    <w:rsid w:val="00F22DF4"/>
    <w:rsid w:val="00F24D0F"/>
    <w:rsid w:val="00F259DB"/>
    <w:rsid w:val="00F26F9A"/>
    <w:rsid w:val="00F3291F"/>
    <w:rsid w:val="00F33410"/>
    <w:rsid w:val="00F33BA2"/>
    <w:rsid w:val="00F35027"/>
    <w:rsid w:val="00F368BB"/>
    <w:rsid w:val="00F4132A"/>
    <w:rsid w:val="00F4501A"/>
    <w:rsid w:val="00F45625"/>
    <w:rsid w:val="00F45F5F"/>
    <w:rsid w:val="00F501F5"/>
    <w:rsid w:val="00F5158A"/>
    <w:rsid w:val="00F51FEB"/>
    <w:rsid w:val="00F52E29"/>
    <w:rsid w:val="00F53FE1"/>
    <w:rsid w:val="00F54044"/>
    <w:rsid w:val="00F54E48"/>
    <w:rsid w:val="00F568D4"/>
    <w:rsid w:val="00F56D3A"/>
    <w:rsid w:val="00F610F4"/>
    <w:rsid w:val="00F6213B"/>
    <w:rsid w:val="00F6236A"/>
    <w:rsid w:val="00F63281"/>
    <w:rsid w:val="00F650DB"/>
    <w:rsid w:val="00F651FA"/>
    <w:rsid w:val="00F65702"/>
    <w:rsid w:val="00F66152"/>
    <w:rsid w:val="00F67A82"/>
    <w:rsid w:val="00F71005"/>
    <w:rsid w:val="00F71006"/>
    <w:rsid w:val="00F71615"/>
    <w:rsid w:val="00F72E55"/>
    <w:rsid w:val="00F731D3"/>
    <w:rsid w:val="00F74423"/>
    <w:rsid w:val="00F76452"/>
    <w:rsid w:val="00F81649"/>
    <w:rsid w:val="00F81CF9"/>
    <w:rsid w:val="00F8440B"/>
    <w:rsid w:val="00F8481E"/>
    <w:rsid w:val="00F86E6C"/>
    <w:rsid w:val="00F870C4"/>
    <w:rsid w:val="00F87B7C"/>
    <w:rsid w:val="00F907C0"/>
    <w:rsid w:val="00F90A52"/>
    <w:rsid w:val="00F90A66"/>
    <w:rsid w:val="00F90C71"/>
    <w:rsid w:val="00F926AD"/>
    <w:rsid w:val="00F93C43"/>
    <w:rsid w:val="00F961DB"/>
    <w:rsid w:val="00F96562"/>
    <w:rsid w:val="00FA12FE"/>
    <w:rsid w:val="00FA2615"/>
    <w:rsid w:val="00FA44E0"/>
    <w:rsid w:val="00FA59FF"/>
    <w:rsid w:val="00FB06D7"/>
    <w:rsid w:val="00FB1053"/>
    <w:rsid w:val="00FB16A9"/>
    <w:rsid w:val="00FB29F7"/>
    <w:rsid w:val="00FB448B"/>
    <w:rsid w:val="00FB463D"/>
    <w:rsid w:val="00FB4B0B"/>
    <w:rsid w:val="00FB53F8"/>
    <w:rsid w:val="00FB7559"/>
    <w:rsid w:val="00FB76D1"/>
    <w:rsid w:val="00FC01D9"/>
    <w:rsid w:val="00FC11ED"/>
    <w:rsid w:val="00FC276E"/>
    <w:rsid w:val="00FC35B5"/>
    <w:rsid w:val="00FC4381"/>
    <w:rsid w:val="00FC744F"/>
    <w:rsid w:val="00FC7A59"/>
    <w:rsid w:val="00FD29E4"/>
    <w:rsid w:val="00FD45C1"/>
    <w:rsid w:val="00FD4F41"/>
    <w:rsid w:val="00FD623A"/>
    <w:rsid w:val="00FE0C3B"/>
    <w:rsid w:val="00FE2F9F"/>
    <w:rsid w:val="00FE6B93"/>
    <w:rsid w:val="00FE7083"/>
    <w:rsid w:val="00FE7321"/>
    <w:rsid w:val="00FE7832"/>
    <w:rsid w:val="00FE7ACA"/>
    <w:rsid w:val="00FF06B2"/>
    <w:rsid w:val="00FF0EA3"/>
    <w:rsid w:val="00FF1B55"/>
    <w:rsid w:val="00FF1F71"/>
    <w:rsid w:val="00FF56B7"/>
    <w:rsid w:val="00FF5E81"/>
    <w:rsid w:val="00FF7F12"/>
    <w:rsid w:val="032B8F89"/>
    <w:rsid w:val="06A1079F"/>
    <w:rsid w:val="0B940A38"/>
    <w:rsid w:val="0FA957B1"/>
    <w:rsid w:val="16A720B9"/>
    <w:rsid w:val="17D0A618"/>
    <w:rsid w:val="24BAEEEB"/>
    <w:rsid w:val="294C6CF3"/>
    <w:rsid w:val="2AD35FF1"/>
    <w:rsid w:val="2E936A9E"/>
    <w:rsid w:val="30F40DF8"/>
    <w:rsid w:val="3165B700"/>
    <w:rsid w:val="3697F588"/>
    <w:rsid w:val="3FB1C83F"/>
    <w:rsid w:val="4F02E802"/>
    <w:rsid w:val="531B05C9"/>
    <w:rsid w:val="5E492F20"/>
    <w:rsid w:val="62E16270"/>
    <w:rsid w:val="69565CF2"/>
    <w:rsid w:val="70EC3DAD"/>
    <w:rsid w:val="79F5CA6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8A23"/>
  <w15:docId w15:val="{FA7F3B6D-BE87-4B02-AA12-B92C0996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uiPriority w:val="99"/>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uiPriority w:val="99"/>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en-US" w:eastAsia="zh-CN"/>
    </w:rPr>
  </w:style>
  <w:style w:type="paragraph" w:styleId="Revision">
    <w:name w:val="Revision"/>
    <w:hidden/>
    <w:uiPriority w:val="99"/>
    <w:semiHidden/>
    <w:rsid w:val="006761B4"/>
    <w:rPr>
      <w:rFonts w:ascii="Arial" w:eastAsia="SimSun" w:hAnsi="Arial" w:cs="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1"/>
    <w:qFormat/>
    <w:rsid w:val="006761B4"/>
    <w:pPr>
      <w:ind w:left="720"/>
      <w:contextualSpacing/>
    </w:pPr>
  </w:style>
  <w:style w:type="character" w:customStyle="1" w:styleId="cf01">
    <w:name w:val="cf01"/>
    <w:basedOn w:val="DefaultParagraphFont"/>
    <w:rsid w:val="008C0983"/>
    <w:rPr>
      <w:rFonts w:ascii="Segoe UI" w:hAnsi="Segoe UI" w:cs="Segoe UI" w:hint="default"/>
      <w:sz w:val="18"/>
      <w:szCs w:val="18"/>
    </w:rPr>
  </w:style>
  <w:style w:type="character" w:styleId="UnresolvedMention">
    <w:name w:val="Unresolved Mention"/>
    <w:basedOn w:val="DefaultParagraphFont"/>
    <w:uiPriority w:val="99"/>
    <w:semiHidden/>
    <w:unhideWhenUsed/>
    <w:rsid w:val="006F20A2"/>
    <w:rPr>
      <w:color w:val="605E5C"/>
      <w:shd w:val="clear" w:color="auto" w:fill="E1DFDD"/>
    </w:rPr>
  </w:style>
  <w:style w:type="paragraph" w:customStyle="1" w:styleId="pf0">
    <w:name w:val="pf0"/>
    <w:basedOn w:val="Normal"/>
    <w:rsid w:val="00621C5C"/>
    <w:pPr>
      <w:spacing w:before="100" w:beforeAutospacing="1" w:after="100" w:afterAutospacing="1"/>
    </w:pPr>
    <w:rPr>
      <w:rFonts w:ascii="Times New Roman" w:eastAsia="Times New Roman" w:hAnsi="Times New Roman" w:cs="Times New Roman"/>
      <w:sz w:val="24"/>
      <w:szCs w:val="24"/>
      <w:lang w:eastAsia="en-US"/>
    </w:rPr>
  </w:style>
  <w:style w:type="character" w:styleId="Mention">
    <w:name w:val="Mention"/>
    <w:basedOn w:val="DefaultParagraphFont"/>
    <w:uiPriority w:val="99"/>
    <w:unhideWhenUsed/>
    <w:rsid w:val="00A44D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661">
      <w:bodyDiv w:val="1"/>
      <w:marLeft w:val="0"/>
      <w:marRight w:val="0"/>
      <w:marTop w:val="0"/>
      <w:marBottom w:val="0"/>
      <w:divBdr>
        <w:top w:val="none" w:sz="0" w:space="0" w:color="auto"/>
        <w:left w:val="none" w:sz="0" w:space="0" w:color="auto"/>
        <w:bottom w:val="none" w:sz="0" w:space="0" w:color="auto"/>
        <w:right w:val="none" w:sz="0" w:space="0" w:color="auto"/>
      </w:divBdr>
    </w:div>
    <w:div w:id="1835880097">
      <w:bodyDiv w:val="1"/>
      <w:marLeft w:val="0"/>
      <w:marRight w:val="0"/>
      <w:marTop w:val="0"/>
      <w:marBottom w:val="0"/>
      <w:divBdr>
        <w:top w:val="none" w:sz="0" w:space="0" w:color="auto"/>
        <w:left w:val="none" w:sz="0" w:space="0" w:color="auto"/>
        <w:bottom w:val="none" w:sz="0" w:space="0" w:color="auto"/>
        <w:right w:val="none" w:sz="0" w:space="0" w:color="auto"/>
      </w:divBdr>
      <w:divsChild>
        <w:div w:id="2061519099">
          <w:marLeft w:val="0"/>
          <w:marRight w:val="0"/>
          <w:marTop w:val="0"/>
          <w:marBottom w:val="0"/>
          <w:divBdr>
            <w:top w:val="none" w:sz="0" w:space="0" w:color="auto"/>
            <w:left w:val="none" w:sz="0" w:space="0" w:color="auto"/>
            <w:bottom w:val="none" w:sz="0" w:space="0" w:color="auto"/>
            <w:right w:val="none" w:sz="0" w:space="0" w:color="auto"/>
          </w:divBdr>
        </w:div>
      </w:divsChild>
    </w:div>
    <w:div w:id="1927420586">
      <w:bodyDiv w:val="1"/>
      <w:marLeft w:val="0"/>
      <w:marRight w:val="0"/>
      <w:marTop w:val="0"/>
      <w:marBottom w:val="0"/>
      <w:divBdr>
        <w:top w:val="none" w:sz="0" w:space="0" w:color="auto"/>
        <w:left w:val="none" w:sz="0" w:space="0" w:color="auto"/>
        <w:bottom w:val="none" w:sz="0" w:space="0" w:color="auto"/>
        <w:right w:val="none" w:sz="0" w:space="0" w:color="auto"/>
      </w:divBdr>
    </w:div>
    <w:div w:id="1949847691">
      <w:bodyDiv w:val="1"/>
      <w:marLeft w:val="0"/>
      <w:marRight w:val="0"/>
      <w:marTop w:val="0"/>
      <w:marBottom w:val="0"/>
      <w:divBdr>
        <w:top w:val="none" w:sz="0" w:space="0" w:color="auto"/>
        <w:left w:val="none" w:sz="0" w:space="0" w:color="auto"/>
        <w:bottom w:val="none" w:sz="0" w:space="0" w:color="auto"/>
        <w:right w:val="none" w:sz="0" w:space="0" w:color="auto"/>
      </w:divBdr>
    </w:div>
    <w:div w:id="2056855290">
      <w:bodyDiv w:val="1"/>
      <w:marLeft w:val="0"/>
      <w:marRight w:val="0"/>
      <w:marTop w:val="0"/>
      <w:marBottom w:val="0"/>
      <w:divBdr>
        <w:top w:val="none" w:sz="0" w:space="0" w:color="auto"/>
        <w:left w:val="none" w:sz="0" w:space="0" w:color="auto"/>
        <w:bottom w:val="none" w:sz="0" w:space="0" w:color="auto"/>
        <w:right w:val="none" w:sz="0" w:space="0" w:color="auto"/>
      </w:divBdr>
      <w:divsChild>
        <w:div w:id="51390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ipogvafs01\Ethics_Team\01%20-%20Requests%20for%20Advice\01%20-%20Case%20Log\2024\2024%20-%20Case%20Database_ETH_%20January%202024_Tracking_Final%20(version%202)%20(version%202).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'Annual Charts'!$B$2</c:f>
              <c:strCache>
                <c:ptCount val="1"/>
                <c:pt idx="0">
                  <c:v>2020</c:v>
                </c:pt>
              </c:strCache>
            </c:strRef>
          </c:tx>
          <c:spPr>
            <a:solidFill>
              <a:schemeClr val="accent1"/>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5-7699-40C1-BF94-49BFDBD7E38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Charts'!$C$2</c:f>
              <c:numCache>
                <c:formatCode>General</c:formatCode>
                <c:ptCount val="1"/>
                <c:pt idx="0">
                  <c:v>50</c:v>
                </c:pt>
              </c:numCache>
            </c:numRef>
          </c:val>
          <c:extLst>
            <c:ext xmlns:c16="http://schemas.microsoft.com/office/drawing/2014/chart" uri="{C3380CC4-5D6E-409C-BE32-E72D297353CC}">
              <c16:uniqueId val="{00000000-7699-40C1-BF94-49BFDBD7E38B}"/>
            </c:ext>
          </c:extLst>
        </c:ser>
        <c:ser>
          <c:idx val="1"/>
          <c:order val="1"/>
          <c:tx>
            <c:strRef>
              <c:f>'Annual Charts'!$B$3</c:f>
              <c:strCache>
                <c:ptCount val="1"/>
                <c:pt idx="0">
                  <c:v>2021</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Charts'!$C$3</c:f>
              <c:numCache>
                <c:formatCode>General</c:formatCode>
                <c:ptCount val="1"/>
                <c:pt idx="0">
                  <c:v>53</c:v>
                </c:pt>
              </c:numCache>
            </c:numRef>
          </c:val>
          <c:extLst>
            <c:ext xmlns:c16="http://schemas.microsoft.com/office/drawing/2014/chart" uri="{C3380CC4-5D6E-409C-BE32-E72D297353CC}">
              <c16:uniqueId val="{00000001-7699-40C1-BF94-49BFDBD7E38B}"/>
            </c:ext>
          </c:extLst>
        </c:ser>
        <c:ser>
          <c:idx val="2"/>
          <c:order val="2"/>
          <c:tx>
            <c:strRef>
              <c:f>'Annual Charts'!$B$4</c:f>
              <c:strCache>
                <c:ptCount val="1"/>
                <c:pt idx="0">
                  <c:v>2022</c:v>
                </c:pt>
              </c:strCache>
            </c:strRef>
          </c:tx>
          <c:spPr>
            <a:solidFill>
              <a:srgbClr val="00FFFF"/>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Charts'!$C$4</c:f>
              <c:numCache>
                <c:formatCode>General</c:formatCode>
                <c:ptCount val="1"/>
                <c:pt idx="0">
                  <c:v>155</c:v>
                </c:pt>
              </c:numCache>
            </c:numRef>
          </c:val>
          <c:extLst>
            <c:ext xmlns:c16="http://schemas.microsoft.com/office/drawing/2014/chart" uri="{C3380CC4-5D6E-409C-BE32-E72D297353CC}">
              <c16:uniqueId val="{00000002-7699-40C1-BF94-49BFDBD7E38B}"/>
            </c:ext>
          </c:extLst>
        </c:ser>
        <c:ser>
          <c:idx val="3"/>
          <c:order val="3"/>
          <c:tx>
            <c:strRef>
              <c:f>'Annual Charts'!$B$5</c:f>
              <c:strCache>
                <c:ptCount val="1"/>
                <c:pt idx="0">
                  <c:v>2023</c:v>
                </c:pt>
              </c:strCache>
            </c:strRef>
          </c:tx>
          <c:spPr>
            <a:solidFill>
              <a:srgbClr val="00CC9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Charts'!$C$5</c:f>
              <c:numCache>
                <c:formatCode>General</c:formatCode>
                <c:ptCount val="1"/>
                <c:pt idx="0">
                  <c:v>168</c:v>
                </c:pt>
              </c:numCache>
            </c:numRef>
          </c:val>
          <c:extLst>
            <c:ext xmlns:c16="http://schemas.microsoft.com/office/drawing/2014/chart" uri="{C3380CC4-5D6E-409C-BE32-E72D297353CC}">
              <c16:uniqueId val="{00000003-7699-40C1-BF94-49BFDBD7E38B}"/>
            </c:ext>
          </c:extLst>
        </c:ser>
        <c:ser>
          <c:idx val="4"/>
          <c:order val="4"/>
          <c:tx>
            <c:strRef>
              <c:f>'Annual Charts'!$B$6</c:f>
              <c:strCache>
                <c:ptCount val="1"/>
                <c:pt idx="0">
                  <c:v>2024</c:v>
                </c:pt>
              </c:strCache>
            </c:strRef>
          </c:tx>
          <c:spPr>
            <a:solidFill>
              <a:srgbClr val="00A84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'Annual Charts'!$C$6</c:f>
              <c:numCache>
                <c:formatCode>General</c:formatCode>
                <c:ptCount val="1"/>
                <c:pt idx="0">
                  <c:v>188</c:v>
                </c:pt>
              </c:numCache>
            </c:numRef>
          </c:val>
          <c:extLst>
            <c:ext xmlns:c16="http://schemas.microsoft.com/office/drawing/2014/chart" uri="{C3380CC4-5D6E-409C-BE32-E72D297353CC}">
              <c16:uniqueId val="{00000004-7699-40C1-BF94-49BFDBD7E38B}"/>
            </c:ext>
          </c:extLst>
        </c:ser>
        <c:dLbls>
          <c:dLblPos val="outEnd"/>
          <c:showLegendKey val="0"/>
          <c:showVal val="1"/>
          <c:showCatName val="0"/>
          <c:showSerName val="0"/>
          <c:showPercent val="0"/>
          <c:showBubbleSize val="0"/>
        </c:dLbls>
        <c:gapWidth val="219"/>
        <c:overlap val="-27"/>
        <c:axId val="1079775712"/>
        <c:axId val="1079774752"/>
      </c:barChart>
      <c:catAx>
        <c:axId val="1079775712"/>
        <c:scaling>
          <c:orientation val="minMax"/>
        </c:scaling>
        <c:delete val="1"/>
        <c:axPos val="b"/>
        <c:numFmt formatCode="General" sourceLinked="1"/>
        <c:majorTickMark val="none"/>
        <c:minorTickMark val="none"/>
        <c:tickLblPos val="nextTo"/>
        <c:crossAx val="1079774752"/>
        <c:crosses val="autoZero"/>
        <c:auto val="1"/>
        <c:lblAlgn val="ctr"/>
        <c:lblOffset val="100"/>
        <c:noMultiLvlLbl val="0"/>
      </c:catAx>
      <c:valAx>
        <c:axId val="107977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1079775712"/>
        <c:crosses val="autoZero"/>
        <c:crossBetween val="between"/>
      </c:valAx>
      <c:spPr>
        <a:noFill/>
        <a:ln>
          <a:noFill/>
        </a:ln>
        <a:effectLst/>
      </c:spPr>
    </c:plotArea>
    <c:legend>
      <c:legendPos val="b"/>
      <c:layout>
        <c:manualLayout>
          <c:xMode val="edge"/>
          <c:yMode val="edge"/>
          <c:x val="0.19551792760765202"/>
          <c:y val="0.87944606789037882"/>
          <c:w val="0.67030829484288623"/>
          <c:h val="8.89333918714463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[2024 - Case Database_ETH_ January 2024_Tracking_Final (version 2) (version 2).xlsx]Case Types by Sector!PivotTable2</c:name>
    <c:fmtId val="-1"/>
  </c:pivotSource>
  <c:chart>
    <c:autoTitleDeleted val="1"/>
    <c:pivotFmts>
      <c:pivotFmt>
        <c:idx val="0"/>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dLbl>
          <c:idx val="0"/>
          <c:layout>
            <c:manualLayout>
              <c:x val="-0.20194112222458679"/>
              <c:y val="0.1073456666869232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7.2515712562956663E-2"/>
              <c:y val="-0.15622880657007196"/>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2118464921614527"/>
              <c:y val="-0.1094327671850935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layout>
            <c:manualLayout>
              <c:x val="9.6004539973043909E-2"/>
              <c:y val="1.7492201904514001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
        <c:spPr>
          <a:solidFill>
            <a:srgbClr val="00B050"/>
          </a:solidFill>
          <a:ln w="19050">
            <a:solidFill>
              <a:schemeClr val="lt1"/>
            </a:solidFill>
          </a:ln>
          <a:effectLst/>
        </c:spPr>
        <c:dLbl>
          <c:idx val="0"/>
          <c:layout>
            <c:manualLayout>
              <c:x val="-6.8914918758183633E-2"/>
              <c:y val="7.5139466442108185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13293779917888812"/>
                  <c:h val="8.8091744871472102E-2"/>
                </c:manualLayout>
              </c15:layout>
            </c:ext>
          </c:extLst>
        </c:dLbl>
      </c:pivotFmt>
      <c:pivotFmt>
        <c:idx val="6"/>
        <c:spPr>
          <a:solidFill>
            <a:srgbClr val="92D050"/>
          </a:solidFill>
          <a:ln w="19050">
            <a:solidFill>
              <a:schemeClr val="lt1"/>
            </a:solidFill>
          </a:ln>
          <a:effectLst/>
        </c:spPr>
      </c:pivotFmt>
      <c:pivotFmt>
        <c:idx val="7"/>
        <c:spPr>
          <a:solidFill>
            <a:schemeClr val="accent1"/>
          </a:solidFill>
          <a:ln w="19050">
            <a:solidFill>
              <a:schemeClr val="lt1"/>
            </a:solidFill>
          </a:ln>
          <a:effectLst/>
        </c:spPr>
        <c:dLbl>
          <c:idx val="0"/>
          <c:layout>
            <c:manualLayout>
              <c:x val="-8.8477252646258331E-2"/>
              <c:y val="1.631753031973537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8"/>
        <c:spPr>
          <a:solidFill>
            <a:schemeClr val="accent3">
              <a:lumMod val="20000"/>
              <a:lumOff val="80000"/>
            </a:schemeClr>
          </a:solidFill>
          <a:ln w="19050">
            <a:solidFill>
              <a:schemeClr val="lt1"/>
            </a:solidFill>
          </a:ln>
          <a:effectLst/>
        </c:spPr>
        <c:dLbl>
          <c:idx val="0"/>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1%</a:t>
                </a:r>
              </a:p>
            </c:rich>
          </c:tx>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9"/>
        <c:spPr>
          <a:solidFill>
            <a:srgbClr val="002060"/>
          </a:solidFill>
          <a:ln w="19050">
            <a:solidFill>
              <a:schemeClr val="lt1"/>
            </a:solidFill>
          </a:ln>
          <a:effectLst/>
        </c:spPr>
        <c:dLbl>
          <c:idx val="0"/>
          <c:layout>
            <c:manualLayout>
              <c:x val="0.17243803515096889"/>
              <c:y val="7.5698141038155354E-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2"/>
        <c:spPr>
          <a:solidFill>
            <a:schemeClr val="accent1"/>
          </a:solidFill>
          <a:ln w="19050">
            <a:solidFill>
              <a:schemeClr val="lt1"/>
            </a:solidFill>
          </a:ln>
          <a:effectLst/>
        </c:spPr>
        <c:dLbl>
          <c:idx val="0"/>
          <c:layout>
            <c:manualLayout>
              <c:x val="-0.20194112222458679"/>
              <c:y val="0.1073456666869232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dLbl>
          <c:idx val="0"/>
          <c:layout>
            <c:manualLayout>
              <c:x val="-7.2515712562956663E-2"/>
              <c:y val="-0.15622880657007196"/>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0.12118464921614527"/>
              <c:y val="-0.1094327671850935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9.6004539973043909E-2"/>
              <c:y val="1.7492201904514001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rgbClr val="92D050"/>
          </a:solidFill>
          <a:ln w="19050">
            <a:solidFill>
              <a:schemeClr val="lt1"/>
            </a:solidFill>
          </a:ln>
          <a:effectLst/>
        </c:spPr>
      </c:pivotFmt>
      <c:pivotFmt>
        <c:idx val="17"/>
        <c:spPr>
          <a:solidFill>
            <a:srgbClr val="00B050"/>
          </a:solidFill>
          <a:ln w="19050">
            <a:solidFill>
              <a:schemeClr val="lt1"/>
            </a:solidFill>
          </a:ln>
          <a:effectLst/>
        </c:spPr>
        <c:dLbl>
          <c:idx val="0"/>
          <c:layout>
            <c:manualLayout>
              <c:x val="-6.8914918758183633E-2"/>
              <c:y val="7.5139466442108185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13293779917888812"/>
                  <c:h val="8.8091744871472102E-2"/>
                </c:manualLayout>
              </c15:layout>
            </c:ext>
          </c:extLst>
        </c:dLbl>
      </c:pivotFmt>
      <c:pivotFmt>
        <c:idx val="18"/>
        <c:spPr>
          <a:solidFill>
            <a:schemeClr val="accent1"/>
          </a:solidFill>
          <a:ln w="19050">
            <a:solidFill>
              <a:schemeClr val="lt1"/>
            </a:solidFill>
          </a:ln>
          <a:effectLst/>
        </c:spPr>
        <c:dLbl>
          <c:idx val="0"/>
          <c:layout>
            <c:manualLayout>
              <c:x val="-8.8477252646258331E-2"/>
              <c:y val="1.631753031973537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9"/>
        <c:spPr>
          <a:solidFill>
            <a:srgbClr val="002060"/>
          </a:solidFill>
          <a:ln w="19050">
            <a:solidFill>
              <a:schemeClr val="lt1"/>
            </a:solidFill>
          </a:ln>
          <a:effectLst/>
        </c:spPr>
        <c:dLbl>
          <c:idx val="0"/>
          <c:layout>
            <c:manualLayout>
              <c:x val="0.17243803515096889"/>
              <c:y val="7.5698141038155354E-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0"/>
        <c:spPr>
          <a:solidFill>
            <a:schemeClr val="accent3">
              <a:lumMod val="20000"/>
              <a:lumOff val="80000"/>
            </a:schemeClr>
          </a:solidFill>
          <a:ln w="19050">
            <a:solidFill>
              <a:schemeClr val="lt1"/>
            </a:solidFill>
          </a:ln>
          <a:effectLst/>
        </c:spPr>
        <c:dLbl>
          <c:idx val="0"/>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1%</a:t>
                </a:r>
              </a:p>
            </c:rich>
          </c:tx>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
        <c:idx val="21"/>
        <c:spPr>
          <a:solidFill>
            <a:schemeClr val="accent1"/>
          </a:solidFill>
          <a:ln w="19050">
            <a:solidFill>
              <a:schemeClr val="lt1"/>
            </a:solidFill>
          </a:ln>
          <a:effectLst/>
        </c:spPr>
        <c:marker>
          <c:symbol val="none"/>
        </c:marker>
        <c:dLbl>
          <c:idx val="0"/>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2"/>
        <c:spPr>
          <a:solidFill>
            <a:schemeClr val="accent1"/>
          </a:solidFill>
          <a:ln w="19050">
            <a:solidFill>
              <a:schemeClr val="lt1"/>
            </a:solidFill>
          </a:ln>
          <a:effectLst/>
        </c:spPr>
        <c:dLbl>
          <c:idx val="0"/>
          <c:layout>
            <c:manualLayout>
              <c:x val="-0.20194112222458679"/>
              <c:y val="0.1073456666869232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3"/>
        <c:spPr>
          <a:solidFill>
            <a:schemeClr val="accent1"/>
          </a:solidFill>
          <a:ln w="19050">
            <a:solidFill>
              <a:schemeClr val="lt1"/>
            </a:solidFill>
          </a:ln>
          <a:effectLst/>
        </c:spPr>
        <c:dLbl>
          <c:idx val="0"/>
          <c:layout>
            <c:manualLayout>
              <c:x val="-7.2515712562956663E-2"/>
              <c:y val="-0.15622880657007196"/>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4"/>
        <c:spPr>
          <a:solidFill>
            <a:schemeClr val="accent1"/>
          </a:solidFill>
          <a:ln w="19050">
            <a:solidFill>
              <a:schemeClr val="lt1"/>
            </a:solidFill>
          </a:ln>
          <a:effectLst/>
        </c:spPr>
        <c:dLbl>
          <c:idx val="0"/>
          <c:layout>
            <c:manualLayout>
              <c:x val="0.12118464921614527"/>
              <c:y val="-0.1094327671850935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dLbl>
          <c:idx val="0"/>
          <c:layout>
            <c:manualLayout>
              <c:x val="9.6004539973043909E-2"/>
              <c:y val="1.7492201904514001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6"/>
        <c:spPr>
          <a:solidFill>
            <a:srgbClr val="92D050"/>
          </a:solidFill>
          <a:ln w="19050">
            <a:solidFill>
              <a:schemeClr val="lt1"/>
            </a:solidFill>
          </a:ln>
          <a:effectLst/>
        </c:spPr>
      </c:pivotFmt>
      <c:pivotFmt>
        <c:idx val="27"/>
        <c:spPr>
          <a:solidFill>
            <a:srgbClr val="00B050"/>
          </a:solidFill>
          <a:ln w="19050">
            <a:solidFill>
              <a:schemeClr val="lt1"/>
            </a:solidFill>
          </a:ln>
          <a:effectLst/>
        </c:spPr>
        <c:dLbl>
          <c:idx val="0"/>
          <c:layout>
            <c:manualLayout>
              <c:x val="-6.8914918758183633E-2"/>
              <c:y val="7.5139466442108185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13293779917888812"/>
                  <c:h val="8.8091744871472102E-2"/>
                </c:manualLayout>
              </c15:layout>
            </c:ext>
          </c:extLst>
        </c:dLbl>
      </c:pivotFmt>
      <c:pivotFmt>
        <c:idx val="28"/>
        <c:spPr>
          <a:solidFill>
            <a:schemeClr val="accent1"/>
          </a:solidFill>
          <a:ln w="19050">
            <a:solidFill>
              <a:schemeClr val="lt1"/>
            </a:solidFill>
          </a:ln>
          <a:effectLst/>
        </c:spPr>
        <c:dLbl>
          <c:idx val="0"/>
          <c:layout>
            <c:manualLayout>
              <c:x val="-8.8477252646258331E-2"/>
              <c:y val="1.631753031973537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rgbClr val="002060"/>
          </a:solidFill>
          <a:ln w="19050">
            <a:solidFill>
              <a:schemeClr val="lt1"/>
            </a:solidFill>
          </a:ln>
          <a:effectLst/>
        </c:spPr>
        <c:dLbl>
          <c:idx val="0"/>
          <c:layout>
            <c:manualLayout>
              <c:x val="0.17243803515096889"/>
              <c:y val="7.5698141038155354E-3"/>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3">
              <a:lumMod val="20000"/>
              <a:lumOff val="80000"/>
            </a:schemeClr>
          </a:solidFill>
          <a:ln w="19050">
            <a:solidFill>
              <a:schemeClr val="lt1"/>
            </a:solidFill>
          </a:ln>
          <a:effectLst/>
        </c:spPr>
        <c:dLbl>
          <c:idx val="0"/>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521C204D-5C32-4A8E-8B09-63477A6DC47C}" type="CATEGORYNAME">
                  <a:rPr lang="en-US"/>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[CATEGORY NAME]</a:t>
                </a:fld>
                <a:r>
                  <a:rPr lang="en-US"/>
                  <a:t>
1%</a:t>
                </a:r>
              </a:p>
            </c:rich>
          </c:tx>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pivotFmt>
    </c:pivotFmts>
    <c:plotArea>
      <c:layout>
        <c:manualLayout>
          <c:layoutTarget val="inner"/>
          <c:xMode val="edge"/>
          <c:yMode val="edge"/>
          <c:x val="0.18971790738878111"/>
          <c:y val="0.12613238672320476"/>
          <c:w val="0.62911576191939134"/>
          <c:h val="0.81413445189596145"/>
        </c:manualLayout>
      </c:layout>
      <c:pieChart>
        <c:varyColors val="1"/>
        <c:ser>
          <c:idx val="0"/>
          <c:order val="0"/>
          <c:tx>
            <c:strRef>
              <c:f>'Case Types by Sector'!$C$5</c:f>
              <c:strCache>
                <c:ptCount val="1"/>
                <c:pt idx="0">
                  <c:v>Total</c:v>
                </c:pt>
              </c:strCache>
            </c:strRef>
          </c:tx>
          <c:dPt>
            <c:idx val="0"/>
            <c:bubble3D val="0"/>
            <c:spPr>
              <a:solidFill>
                <a:srgbClr val="00B0F0"/>
              </a:solidFill>
              <a:ln w="19050">
                <a:solidFill>
                  <a:schemeClr val="lt1"/>
                </a:solidFill>
              </a:ln>
              <a:effectLst/>
            </c:spPr>
            <c:extLst>
              <c:ext xmlns:c16="http://schemas.microsoft.com/office/drawing/2014/chart" uri="{C3380CC4-5D6E-409C-BE32-E72D297353CC}">
                <c16:uniqueId val="{00000001-8C28-4F98-94A6-C2C479337292}"/>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8C28-4F98-94A6-C2C479337292}"/>
              </c:ext>
            </c:extLst>
          </c:dPt>
          <c:dPt>
            <c:idx val="2"/>
            <c:bubble3D val="0"/>
            <c:spPr>
              <a:solidFill>
                <a:srgbClr val="00E7E2"/>
              </a:solidFill>
              <a:ln w="19050">
                <a:solidFill>
                  <a:schemeClr val="lt1"/>
                </a:solidFill>
              </a:ln>
              <a:effectLst/>
            </c:spPr>
            <c:extLst>
              <c:ext xmlns:c16="http://schemas.microsoft.com/office/drawing/2014/chart" uri="{C3380CC4-5D6E-409C-BE32-E72D297353CC}">
                <c16:uniqueId val="{00000005-8C28-4F98-94A6-C2C479337292}"/>
              </c:ext>
            </c:extLst>
          </c:dPt>
          <c:dPt>
            <c:idx val="3"/>
            <c:bubble3D val="0"/>
            <c:spPr>
              <a:solidFill>
                <a:srgbClr val="00CC99"/>
              </a:solidFill>
              <a:ln w="19050">
                <a:solidFill>
                  <a:schemeClr val="lt1"/>
                </a:solidFill>
              </a:ln>
              <a:effectLst/>
            </c:spPr>
            <c:extLst>
              <c:ext xmlns:c16="http://schemas.microsoft.com/office/drawing/2014/chart" uri="{C3380CC4-5D6E-409C-BE32-E72D297353CC}">
                <c16:uniqueId val="{00000007-8C28-4F98-94A6-C2C479337292}"/>
              </c:ext>
            </c:extLst>
          </c:dPt>
          <c:dPt>
            <c:idx val="4"/>
            <c:bubble3D val="0"/>
            <c:spPr>
              <a:solidFill>
                <a:srgbClr val="92D050"/>
              </a:solidFill>
              <a:ln w="19050">
                <a:solidFill>
                  <a:schemeClr val="lt1"/>
                </a:solidFill>
              </a:ln>
              <a:effectLst/>
            </c:spPr>
            <c:extLst>
              <c:ext xmlns:c16="http://schemas.microsoft.com/office/drawing/2014/chart" uri="{C3380CC4-5D6E-409C-BE32-E72D297353CC}">
                <c16:uniqueId val="{00000009-8C28-4F98-94A6-C2C479337292}"/>
              </c:ext>
            </c:extLst>
          </c:dPt>
          <c:dPt>
            <c:idx val="5"/>
            <c:bubble3D val="0"/>
            <c:spPr>
              <a:solidFill>
                <a:srgbClr val="00B050"/>
              </a:solidFill>
              <a:ln w="19050">
                <a:solidFill>
                  <a:schemeClr val="lt1"/>
                </a:solidFill>
              </a:ln>
              <a:effectLst/>
            </c:spPr>
            <c:extLst>
              <c:ext xmlns:c16="http://schemas.microsoft.com/office/drawing/2014/chart" uri="{C3380CC4-5D6E-409C-BE32-E72D297353CC}">
                <c16:uniqueId val="{0000000B-8C28-4F98-94A6-C2C479337292}"/>
              </c:ext>
            </c:extLst>
          </c:dPt>
          <c:dPt>
            <c:idx val="6"/>
            <c:bubble3D val="0"/>
            <c:spPr>
              <a:solidFill>
                <a:schemeClr val="tx2"/>
              </a:solidFill>
              <a:ln w="19050">
                <a:solidFill>
                  <a:schemeClr val="lt1"/>
                </a:solidFill>
              </a:ln>
              <a:effectLst/>
            </c:spPr>
            <c:extLst>
              <c:ext xmlns:c16="http://schemas.microsoft.com/office/drawing/2014/chart" uri="{C3380CC4-5D6E-409C-BE32-E72D297353CC}">
                <c16:uniqueId val="{0000000D-8C28-4F98-94A6-C2C479337292}"/>
              </c:ext>
            </c:extLst>
          </c:dPt>
          <c:dPt>
            <c:idx val="7"/>
            <c:bubble3D val="0"/>
            <c:spPr>
              <a:solidFill>
                <a:srgbClr val="002060"/>
              </a:solidFill>
              <a:ln w="19050">
                <a:solidFill>
                  <a:schemeClr val="lt1"/>
                </a:solidFill>
              </a:ln>
              <a:effectLst/>
            </c:spPr>
            <c:extLst>
              <c:ext xmlns:c16="http://schemas.microsoft.com/office/drawing/2014/chart" uri="{C3380CC4-5D6E-409C-BE32-E72D297353CC}">
                <c16:uniqueId val="{0000000F-8C28-4F98-94A6-C2C479337292}"/>
              </c:ext>
            </c:extLst>
          </c:dPt>
          <c:dPt>
            <c:idx val="8"/>
            <c:bubble3D val="0"/>
            <c:spPr>
              <a:solidFill>
                <a:schemeClr val="accent3">
                  <a:lumMod val="20000"/>
                  <a:lumOff val="80000"/>
                </a:schemeClr>
              </a:solidFill>
              <a:ln w="19050">
                <a:solidFill>
                  <a:schemeClr val="lt1"/>
                </a:solidFill>
              </a:ln>
              <a:effectLst/>
            </c:spPr>
            <c:extLst>
              <c:ext xmlns:c16="http://schemas.microsoft.com/office/drawing/2014/chart" uri="{C3380CC4-5D6E-409C-BE32-E72D297353CC}">
                <c16:uniqueId val="{00000011-8C28-4F98-94A6-C2C47933729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C28-4F98-94A6-C2C479337292}"/>
              </c:ext>
            </c:extLst>
          </c:dPt>
          <c:dLbls>
            <c:dLbl>
              <c:idx val="0"/>
              <c:layout>
                <c:manualLayout>
                  <c:x val="-0.25085172129646582"/>
                  <c:y val="0.13048395266381177"/>
                </c:manualLayout>
              </c:layout>
              <c:tx>
                <c:rich>
                  <a:bodyPr/>
                  <a:lstStyle/>
                  <a:p>
                    <a:r>
                      <a:rPr lang="en-US"/>
                      <a:t>Outside</a:t>
                    </a:r>
                    <a:r>
                      <a:rPr lang="en-US" baseline="0"/>
                      <a:t> activity
37.8%</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C28-4F98-94A6-C2C479337292}"/>
                </c:ext>
              </c:extLst>
            </c:dLbl>
            <c:dLbl>
              <c:idx val="1"/>
              <c:layout>
                <c:manualLayout>
                  <c:x val="9.3405511811024151E-3"/>
                  <c:y val="-0.142361897745238"/>
                </c:manualLayout>
              </c:layout>
              <c:tx>
                <c:rich>
                  <a:bodyPr/>
                  <a:lstStyle/>
                  <a:p>
                    <a:r>
                      <a:rPr lang="en-US"/>
                      <a:t>Other ethics advice</a:t>
                    </a:r>
                    <a:r>
                      <a:rPr lang="en-US" baseline="0"/>
                      <a:t>
</a:t>
                    </a:r>
                    <a:fld id="{C4BE6317-ED04-4C70-99AA-020A1B4C34EE}"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{C4BE6317-ED04-4C70-99AA-020A1B4C34EE}</c15:txfldGUID>
                      <c15:f>'[2024 - Case Database_ETH_ January 2024_Tracking_Final (version 2) (version 2).xlsx]Case Types by Sector'!$C$5</c15:f>
                      <c15:dlblFieldTableCache>
                        <c:ptCount val="1"/>
                        <c:pt idx="0">
                          <c:v>25.5%</c:v>
                        </c:pt>
                      </c15:dlblFieldTableCache>
                    </c15:dlblFTEntry>
                  </c15:dlblFieldTable>
                  <c15:showDataLabelsRange val="0"/>
                </c:ext>
                <c:ext xmlns:c16="http://schemas.microsoft.com/office/drawing/2014/chart" uri="{C3380CC4-5D6E-409C-BE32-E72D297353CC}">
                  <c16:uniqueId val="{00000003-8C28-4F98-94A6-C2C479337292}"/>
                </c:ext>
              </c:extLst>
            </c:dLbl>
            <c:dLbl>
              <c:idx val="2"/>
              <c:layout>
                <c:manualLayout>
                  <c:x val="0.18736769822376856"/>
                  <c:y val="-7.6735890469831688E-2"/>
                </c:manualLayout>
              </c:layout>
              <c:tx>
                <c:rich>
                  <a:bodyPr/>
                  <a:lstStyle/>
                  <a:p>
                    <a:r>
                      <a:rPr lang="en-US"/>
                      <a:t>Standards</a:t>
                    </a:r>
                    <a:r>
                      <a:rPr lang="en-US" baseline="0"/>
                      <a:t> of conduct
</a:t>
                    </a:r>
                    <a:fld id="{A3E35DD4-0A68-4F99-B724-F32237B8B871}"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{A3E35DD4-0A68-4F99-B724-F32237B8B871}</c15:txfldGUID>
                      <c15:f>'[2024 - Case Database_ETH_ January 2024_Tracking_Final (version 2) (version 2).xlsx]Case Types by Sector'!$C$6</c15:f>
                      <c15:dlblFieldTableCache>
                        <c:ptCount val="1"/>
                        <c:pt idx="0">
                          <c:v>12.2%</c:v>
                        </c:pt>
                      </c15:dlblFieldTableCache>
                    </c15:dlblFTEntry>
                  </c15:dlblFieldTable>
                  <c15:showDataLabelsRange val="0"/>
                </c:ext>
                <c:ext xmlns:c16="http://schemas.microsoft.com/office/drawing/2014/chart" uri="{C3380CC4-5D6E-409C-BE32-E72D297353CC}">
                  <c16:uniqueId val="{00000005-8C28-4F98-94A6-C2C479337292}"/>
                </c:ext>
              </c:extLst>
            </c:dLbl>
            <c:dLbl>
              <c:idx val="3"/>
              <c:layout>
                <c:manualLayout>
                  <c:x val="0.17165995238967216"/>
                  <c:y val="7.9639606452702114E-2"/>
                </c:manualLayout>
              </c:layout>
              <c:tx>
                <c:rich>
                  <a:bodyPr/>
                  <a:lstStyle/>
                  <a:p>
                    <a:fld id="{E5742644-BAEE-4D70-ABE9-3965450C08C3}" type="CATEGORYNAME">
                      <a:rPr lang="en-US"/>
                      <a:pPr/>
                      <a:t>[CATEGORY NAME]</a:t>
                    </a:fld>
                    <a:r>
                      <a:rPr lang="en-US" baseline="0"/>
                      <a:t>
</a:t>
                    </a:r>
                    <a:fld id="{1CED930E-4FD0-4C68-A622-285C07337564}"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{1CED930E-4FD0-4C68-A622-285C07337564}</c15:txfldGUID>
                      <c15:f>'[2024 - Case Database_ETH_ January 2024_Tracking_Final (version 2) (version 2).xlsx]Case Types by Sector'!$C$7</c15:f>
                      <c15:dlblFieldTableCache>
                        <c:ptCount val="1"/>
                        <c:pt idx="0">
                          <c:v>9.6%</c:v>
                        </c:pt>
                      </c15:dlblFieldTableCache>
                    </c15:dlblFTEntry>
                  </c15:dlblFieldTable>
                  <c15:showDataLabelsRange val="0"/>
                </c:ext>
                <c:ext xmlns:c16="http://schemas.microsoft.com/office/drawing/2014/chart" uri="{C3380CC4-5D6E-409C-BE32-E72D297353CC}">
                  <c16:uniqueId val="{00000007-8C28-4F98-94A6-C2C479337292}"/>
                </c:ext>
              </c:extLst>
            </c:dLbl>
            <c:dLbl>
              <c:idx val="4"/>
              <c:tx>
                <c:rich>
                  <a:bodyPr/>
                  <a:lstStyle/>
                  <a:p>
                    <a:fld id="{7D9A3E70-543E-4248-B341-B27D19D5A5F8}" type="CATEGORYNAME">
                      <a:rPr lang="en-US"/>
                      <a:pPr/>
                      <a:t>[CATEGORY NAME]</a:t>
                    </a:fld>
                    <a:r>
                      <a:rPr lang="en-US" baseline="0"/>
                      <a:t>
</a:t>
                    </a:r>
                    <a:fld id="{CC0E6D4C-39F2-4AC0-A233-5CE9F8F65513}"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{CC0E6D4C-39F2-4AC0-A233-5CE9F8F65513}</c15:txfldGUID>
                      <c15:f>'[2024 - Case Database_ETH_ January 2024_Tracking_Final (version 2) (version 2).xlsx]Case Types by Sector'!$C$8</c15:f>
                      <c15:dlblFieldTableCache>
                        <c:ptCount val="1"/>
                        <c:pt idx="0">
                          <c:v>5.9%</c:v>
                        </c:pt>
                      </c15:dlblFieldTableCache>
                    </c15:dlblFTEntry>
                  </c15:dlblFieldTable>
                  <c15:showDataLabelsRange val="0"/>
                </c:ext>
                <c:ext xmlns:c16="http://schemas.microsoft.com/office/drawing/2014/chart" uri="{C3380CC4-5D6E-409C-BE32-E72D297353CC}">
                  <c16:uniqueId val="{00000009-8C28-4F98-94A6-C2C479337292}"/>
                </c:ext>
              </c:extLst>
            </c:dLbl>
            <c:dLbl>
              <c:idx val="5"/>
              <c:layout>
                <c:manualLayout>
                  <c:x val="-0.17461019044131112"/>
                  <c:y val="0.1811545486638732"/>
                </c:manualLayout>
              </c:layout>
              <c:tx>
                <c:rich>
                  <a:bodyPr/>
                  <a:lstStyle/>
                  <a:p>
                    <a:r>
                      <a:rPr lang="en-US"/>
                      <a:t>Conflicts</a:t>
                    </a:r>
                    <a:r>
                      <a:rPr lang="en-US" baseline="0"/>
                      <a:t> of interest
</a:t>
                    </a:r>
                    <a:fld id="{B46421F2-6FBB-4445-9CE3-F4813015A10B}"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{B46421F2-6FBB-4445-9CE3-F4813015A10B}</c15:txfldGUID>
                      <c15:f>'[2024 - Case Database_ETH_ January 2024_Tracking_Final (version 2) (version 2).xlsx]Case Types by Sector'!$C$9</c15:f>
                      <c15:dlblFieldTableCache>
                        <c:ptCount val="1"/>
                        <c:pt idx="0">
                          <c:v>3.7%</c:v>
                        </c:pt>
                      </c15:dlblFieldTableCache>
                    </c15:dlblFTEntry>
                  </c15:dlblFieldTable>
                  <c15:showDataLabelsRange val="0"/>
                </c:ext>
                <c:ext xmlns:c16="http://schemas.microsoft.com/office/drawing/2014/chart" uri="{C3380CC4-5D6E-409C-BE32-E72D297353CC}">
                  <c16:uniqueId val="{0000000B-8C28-4F98-94A6-C2C479337292}"/>
                </c:ext>
              </c:extLst>
            </c:dLbl>
            <c:dLbl>
              <c:idx val="6"/>
              <c:layout>
                <c:manualLayout>
                  <c:x val="-0.11413190133702553"/>
                  <c:y val="2.2133075114123667E-2"/>
                </c:manualLayout>
              </c:layout>
              <c:tx>
                <c:rich>
                  <a:bodyPr/>
                  <a:lstStyle/>
                  <a:p>
                    <a:r>
                      <a:rPr lang="en-US"/>
                      <a:t>Disclosure of financial and other interests</a:t>
                    </a:r>
                    <a:r>
                      <a:rPr lang="en-US" baseline="0"/>
                      <a:t>
</a:t>
                    </a:r>
                    <a:fld id="{232377E2-921F-4D67-92D8-C3DA494C7641}"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{232377E2-921F-4D67-92D8-C3DA494C7641}</c15:txfldGUID>
                      <c15:f>'[2024 - Case Database_ETH_ January 2024_Tracking_Final (version 2) (version 2).xlsx]Case Types by Sector'!$C$10</c15:f>
                      <c15:dlblFieldTableCache>
                        <c:ptCount val="1"/>
                        <c:pt idx="0">
                          <c:v>3.7%</c:v>
                        </c:pt>
                      </c15:dlblFieldTableCache>
                    </c15:dlblFTEntry>
                  </c15:dlblFieldTable>
                  <c15:showDataLabelsRange val="0"/>
                </c:ext>
                <c:ext xmlns:c16="http://schemas.microsoft.com/office/drawing/2014/chart" uri="{C3380CC4-5D6E-409C-BE32-E72D297353CC}">
                  <c16:uniqueId val="{0000000D-8C28-4F98-94A6-C2C479337292}"/>
                </c:ext>
              </c:extLst>
            </c:dLbl>
            <c:dLbl>
              <c:idx val="7"/>
              <c:layout>
                <c:manualLayout>
                  <c:x val="2.064751259379586E-2"/>
                  <c:y val="1.0336538199705255E-2"/>
                </c:manualLayout>
              </c:layout>
              <c:tx>
                <c:rich>
                  <a:bodyPr/>
                  <a:lstStyle/>
                  <a:p>
                    <a:r>
                      <a:rPr lang="en-US"/>
                      <a:t>Family</a:t>
                    </a:r>
                    <a:r>
                      <a:rPr lang="en-US" baseline="0"/>
                      <a:t> &amp; close relationships
</a:t>
                    </a:r>
                    <a:fld id="{59BBADF9-F5F2-44F5-8B73-126B4C6A12CA}"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{59BBADF9-F5F2-44F5-8B73-126B4C6A12CA}</c15:txfldGUID>
                      <c15:f>'[2024 - Case Database_ETH_ January 2024_Tracking_Final (version 2) (version 2).xlsx]Case Types by Sector'!$C$11</c15:f>
                      <c15:dlblFieldTableCache>
                        <c:ptCount val="1"/>
                        <c:pt idx="0">
                          <c:v>1.1%</c:v>
                        </c:pt>
                      </c15:dlblFieldTableCache>
                    </c15:dlblFTEntry>
                  </c15:dlblFieldTable>
                  <c15:showDataLabelsRange val="0"/>
                </c:ext>
                <c:ext xmlns:c16="http://schemas.microsoft.com/office/drawing/2014/chart" uri="{C3380CC4-5D6E-409C-BE32-E72D297353CC}">
                  <c16:uniqueId val="{0000000F-8C28-4F98-94A6-C2C479337292}"/>
                </c:ext>
              </c:extLst>
            </c:dLbl>
            <c:dLbl>
              <c:idx val="8"/>
              <c:layout>
                <c:manualLayout>
                  <c:x val="0.22989631019959714"/>
                  <c:y val="6.1668431796902588E-2"/>
                </c:manualLayout>
              </c:layout>
              <c:tx>
                <c:rich>
                  <a:bodyPr/>
                  <a:lstStyle/>
                  <a:p>
                    <a:r>
                      <a:rPr lang="en-US"/>
                      <a:t>Political</a:t>
                    </a:r>
                    <a:r>
                      <a:rPr lang="en-US" baseline="0"/>
                      <a:t> activity</a:t>
                    </a:r>
                    <a:r>
                      <a:rPr lang="en-US"/>
                      <a:t>
0.5%</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8C28-4F98-94A6-C2C479337292}"/>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'Case Types by Sector'!$C$5</c:f>
              <c:strCache>
                <c:ptCount val="9"/>
                <c:pt idx="0">
                  <c:v>Outside Activity</c:v>
                </c:pt>
                <c:pt idx="1">
                  <c:v>Other Ethics Advice</c:v>
                </c:pt>
                <c:pt idx="2">
                  <c:v>Standards of Conduct</c:v>
                </c:pt>
                <c:pt idx="3">
                  <c:v>Retaliation</c:v>
                </c:pt>
                <c:pt idx="4">
                  <c:v>Gifts</c:v>
                </c:pt>
                <c:pt idx="5">
                  <c:v>Conflict of Interest (other)</c:v>
                </c:pt>
                <c:pt idx="6">
                  <c:v>Disclosure of Financial and Other Interests</c:v>
                </c:pt>
                <c:pt idx="7">
                  <c:v>Family &amp; Close Relationships</c:v>
                </c:pt>
                <c:pt idx="8">
                  <c:v>Political Activity</c:v>
                </c:pt>
              </c:strCache>
            </c:strRef>
          </c:cat>
          <c:val>
            <c:numRef>
              <c:f>'Case Types by Sector'!$C$5</c:f>
              <c:numCache>
                <c:formatCode>General</c:formatCode>
                <c:ptCount val="9"/>
                <c:pt idx="0">
                  <c:v>71</c:v>
                </c:pt>
                <c:pt idx="1">
                  <c:v>48</c:v>
                </c:pt>
                <c:pt idx="2">
                  <c:v>23</c:v>
                </c:pt>
                <c:pt idx="3">
                  <c:v>18</c:v>
                </c:pt>
                <c:pt idx="4">
                  <c:v>11</c:v>
                </c:pt>
                <c:pt idx="5">
                  <c:v>7</c:v>
                </c:pt>
                <c:pt idx="6">
                  <c:v>7</c:v>
                </c:pt>
                <c:pt idx="7">
                  <c:v>2</c:v>
                </c:pt>
                <c:pt idx="8">
                  <c:v>1</c:v>
                </c:pt>
              </c:numCache>
            </c:numRef>
          </c:val>
          <c:extLst>
            <c:ext xmlns:c16="http://schemas.microsoft.com/office/drawing/2014/chart" uri="{C3380CC4-5D6E-409C-BE32-E72D297353CC}">
              <c16:uniqueId val="{00000014-8C28-4F98-94A6-C2C479337292}"/>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fr-FR"/>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78400829-51BC-4476-8D02-438149214DA0}" type="CELLREF">
                      <a:rPr lang="en-US"/>
                      <a:pPr/>
                      <a:t>[CELLREF]</a:t>
                    </a:fld>
                    <a:endParaRPr lang="en-US"/>
                  </a:p>
                </c:rich>
              </c:tx>
              <c:showLegendKey val="0"/>
              <c:showVal val="1"/>
              <c:showCatName val="0"/>
              <c:showSerName val="0"/>
              <c:showPercent val="0"/>
              <c:showBubbleSize val="0"/>
              <c:extLst>
                <c:ext xmlns:c15="http://schemas.microsoft.com/office/drawing/2012/chart" uri="{CE6537A1-D6FC-4f65-9D91-7224C49458BB}">
                  <c15:dlblFieldTable>
                    <c15:dlblFTEntry>
                      <c15:txfldGUID>{78400829-51BC-4476-8D02-438149214DA0}</c15:txfldGUID>
                      <c15:f>'[2024 - Case Database_ETH_ January 2024_Tracking_Final (version 2) (version 2).xlsx]Annual Charts'!$C$29</c15:f>
                      <c15:dlblFieldTableCache>
                        <c:ptCount val="1"/>
                        <c:pt idx="0">
                          <c:v>163</c:v>
                        </c:pt>
                      </c15:dlblFieldTableCache>
                    </c15:dlblFTEntry>
                  </c15:dlblFieldTable>
                  <c15:showDataLabelsRange val="0"/>
                </c:ext>
                <c:ext xmlns:c16="http://schemas.microsoft.com/office/drawing/2014/chart" uri="{C3380CC4-5D6E-409C-BE32-E72D297353CC}">
                  <c16:uniqueId val="{00000000-851C-4A8C-B559-B31990AD3F6C}"/>
                </c:ext>
              </c:extLst>
            </c:dLbl>
            <c:spPr>
              <a:solidFill>
                <a:sysClr val="window" lastClr="FFFFFF"/>
              </a:solidFill>
              <a:ln>
                <a:noFill/>
              </a:ln>
              <a:effectLst/>
            </c:spPr>
            <c:txPr>
              <a:bodyPr rot="0" spcFirstLastPara="1" vertOverflow="ellipsis" vert="horz" wrap="square" anchor="ctr" anchorCtr="1"/>
              <a:lstStyle/>
              <a:p>
                <a:pPr>
                  <a:defRPr sz="900" b="1" i="0" u="none" strike="noStrike" kern="1200" baseline="0">
                    <a:solidFill>
                      <a:schemeClr val="accent1"/>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'Annual Charts'!$B$29:$B$33</c:f>
              <c:strCache>
                <c:ptCount val="5"/>
                <c:pt idx="0">
                  <c:v>Staff members</c:v>
                </c:pt>
                <c:pt idx="1">
                  <c:v>Individual contractors or agency workers</c:v>
                </c:pt>
                <c:pt idx="2">
                  <c:v>Fellows or young experts</c:v>
                </c:pt>
                <c:pt idx="3">
                  <c:v>Interns</c:v>
                </c:pt>
                <c:pt idx="4">
                  <c:v>Other WIPO external stakeholders</c:v>
                </c:pt>
              </c:strCache>
            </c:strRef>
          </c:cat>
          <c:val>
            <c:numRef>
              <c:f>'Annual Charts'!$C$29:$C$33</c:f>
              <c:numCache>
                <c:formatCode>General</c:formatCode>
                <c:ptCount val="5"/>
                <c:pt idx="0">
                  <c:v>163</c:v>
                </c:pt>
                <c:pt idx="1">
                  <c:v>3</c:v>
                </c:pt>
                <c:pt idx="2">
                  <c:v>16</c:v>
                </c:pt>
                <c:pt idx="3">
                  <c:v>0</c:v>
                </c:pt>
                <c:pt idx="4">
                  <c:v>6</c:v>
                </c:pt>
              </c:numCache>
            </c:numRef>
          </c:val>
          <c:extLst>
            <c:ext xmlns:c16="http://schemas.microsoft.com/office/drawing/2014/chart" uri="{C3380CC4-5D6E-409C-BE32-E72D297353CC}">
              <c16:uniqueId val="{00000000-AD95-4E5A-B7E5-3CD194A24FDA}"/>
            </c:ext>
          </c:extLst>
        </c:ser>
        <c:dLbls>
          <c:showLegendKey val="0"/>
          <c:showVal val="0"/>
          <c:showCatName val="0"/>
          <c:showSerName val="0"/>
          <c:showPercent val="0"/>
          <c:showBubbleSize val="0"/>
        </c:dLbls>
        <c:gapWidth val="150"/>
        <c:axId val="977709567"/>
        <c:axId val="977705727"/>
      </c:barChart>
      <c:catAx>
        <c:axId val="977709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7705727"/>
        <c:crosses val="autoZero"/>
        <c:auto val="1"/>
        <c:lblAlgn val="ctr"/>
        <c:lblOffset val="100"/>
        <c:noMultiLvlLbl val="0"/>
      </c:catAx>
      <c:valAx>
        <c:axId val="977705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77095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'Annual Charts'!$B$43:$B$47</c:f>
              <c:numCache>
                <c:formatCode>General</c:formatCode>
                <c:ptCount val="5"/>
                <c:pt idx="0">
                  <c:v>2020</c:v>
                </c:pt>
                <c:pt idx="1">
                  <c:v>2021</c:v>
                </c:pt>
                <c:pt idx="2">
                  <c:v>2022</c:v>
                </c:pt>
                <c:pt idx="3">
                  <c:v>2023</c:v>
                </c:pt>
                <c:pt idx="4">
                  <c:v>2024</c:v>
                </c:pt>
              </c:numCache>
            </c:numRef>
          </c:cat>
          <c:val>
            <c:numRef>
              <c:f>'Annual Charts'!$C$43:$C$47</c:f>
              <c:numCache>
                <c:formatCode>General</c:formatCode>
                <c:ptCount val="5"/>
                <c:pt idx="0">
                  <c:v>0</c:v>
                </c:pt>
                <c:pt idx="1">
                  <c:v>0</c:v>
                </c:pt>
                <c:pt idx="2">
                  <c:v>4</c:v>
                </c:pt>
                <c:pt idx="3">
                  <c:v>4</c:v>
                </c:pt>
                <c:pt idx="4">
                  <c:v>2</c:v>
                </c:pt>
              </c:numCache>
            </c:numRef>
          </c:val>
          <c:extLst>
            <c:ext xmlns:c16="http://schemas.microsoft.com/office/drawing/2014/chart" uri="{C3380CC4-5D6E-409C-BE32-E72D297353CC}">
              <c16:uniqueId val="{00000000-679C-4028-93A8-E901055C8023}"/>
            </c:ext>
          </c:extLst>
        </c:ser>
        <c:dLbls>
          <c:showLegendKey val="0"/>
          <c:showVal val="0"/>
          <c:showCatName val="0"/>
          <c:showSerName val="0"/>
          <c:showPercent val="0"/>
          <c:showBubbleSize val="0"/>
        </c:dLbls>
        <c:gapWidth val="219"/>
        <c:overlap val="-27"/>
        <c:axId val="976096159"/>
        <c:axId val="976075999"/>
      </c:barChart>
      <c:catAx>
        <c:axId val="976096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6075999"/>
        <c:crosses val="autoZero"/>
        <c:auto val="1"/>
        <c:lblAlgn val="ctr"/>
        <c:lblOffset val="100"/>
        <c:noMultiLvlLbl val="0"/>
      </c:catAx>
      <c:valAx>
        <c:axId val="976075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60961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'Annual Charts'!$B$51:$B$53</c:f>
              <c:strCache>
                <c:ptCount val="3"/>
                <c:pt idx="0">
                  <c:v>No prima facie case (following Ethics Office preliminary review)</c:v>
                </c:pt>
                <c:pt idx="1">
                  <c:v>Pending with IOD (following Ethics Office preliminary review)</c:v>
                </c:pt>
                <c:pt idx="2">
                  <c:v>Not substantiated (following investigation)</c:v>
                </c:pt>
              </c:strCache>
            </c:strRef>
          </c:cat>
          <c:val>
            <c:numRef>
              <c:f>'Annual Charts'!$C$51:$C$53</c:f>
              <c:numCache>
                <c:formatCode>General</c:formatCode>
                <c:ptCount val="3"/>
                <c:pt idx="0">
                  <c:v>2</c:v>
                </c:pt>
                <c:pt idx="1">
                  <c:v>1</c:v>
                </c:pt>
                <c:pt idx="2">
                  <c:v>3</c:v>
                </c:pt>
              </c:numCache>
            </c:numRef>
          </c:val>
          <c:extLst>
            <c:ext xmlns:c16="http://schemas.microsoft.com/office/drawing/2014/chart" uri="{C3380CC4-5D6E-409C-BE32-E72D297353CC}">
              <c16:uniqueId val="{00000000-926C-4997-8291-559273A0273A}"/>
            </c:ext>
          </c:extLst>
        </c:ser>
        <c:dLbls>
          <c:showLegendKey val="0"/>
          <c:showVal val="0"/>
          <c:showCatName val="0"/>
          <c:showSerName val="0"/>
          <c:showPercent val="0"/>
          <c:showBubbleSize val="0"/>
        </c:dLbls>
        <c:gapWidth val="219"/>
        <c:overlap val="-27"/>
        <c:axId val="976115359"/>
        <c:axId val="976135519"/>
      </c:barChart>
      <c:catAx>
        <c:axId val="976115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6135519"/>
        <c:crosses val="autoZero"/>
        <c:auto val="0"/>
        <c:lblAlgn val="ctr"/>
        <c:lblOffset val="100"/>
        <c:noMultiLvlLbl val="0"/>
      </c:catAx>
      <c:valAx>
        <c:axId val="976135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97611535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'Annual Charts'!$C$58</c:f>
              <c:strCache>
                <c:ptCount val="1"/>
                <c:pt idx="0">
                  <c:v>Total participants per year</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[2]Sheet1!$A$4:$A$8</c:f>
              <c:numCache>
                <c:formatCode>General</c:formatCode>
                <c:ptCount val="5"/>
                <c:pt idx="0">
                  <c:v>2020</c:v>
                </c:pt>
                <c:pt idx="1">
                  <c:v>2021</c:v>
                </c:pt>
                <c:pt idx="2">
                  <c:v>2022</c:v>
                </c:pt>
                <c:pt idx="3">
                  <c:v>2023</c:v>
                </c:pt>
                <c:pt idx="4">
                  <c:v>2024</c:v>
                </c:pt>
              </c:numCache>
            </c:numRef>
          </c:cat>
          <c:val>
            <c:numRef>
              <c:f>[2]Sheet1!$B$4:$B$8</c:f>
              <c:numCache>
                <c:formatCode>General</c:formatCode>
                <c:ptCount val="5"/>
                <c:pt idx="0">
                  <c:v>110</c:v>
                </c:pt>
                <c:pt idx="1">
                  <c:v>107</c:v>
                </c:pt>
                <c:pt idx="2">
                  <c:v>106</c:v>
                </c:pt>
                <c:pt idx="3">
                  <c:v>111</c:v>
                </c:pt>
                <c:pt idx="4">
                  <c:v>110</c:v>
                </c:pt>
              </c:numCache>
            </c:numRef>
          </c:val>
          <c:extLst>
            <c:ext xmlns:c16="http://schemas.microsoft.com/office/drawing/2014/chart" uri="{C3380CC4-5D6E-409C-BE32-E72D297353CC}">
              <c16:uniqueId val="{00000000-C16D-4155-9FDC-7EEE63526E45}"/>
            </c:ext>
          </c:extLst>
        </c:ser>
        <c:ser>
          <c:idx val="1"/>
          <c:order val="1"/>
          <c:tx>
            <c:strRef>
              <c:f>[2]Sheet1!$C$3</c:f>
              <c:strCache>
                <c:ptCount val="1"/>
                <c:pt idx="0">
                  <c:v>Statements flagged for discussion</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[2]Sheet1!$A$4:$A$8</c:f>
              <c:numCache>
                <c:formatCode>General</c:formatCode>
                <c:ptCount val="5"/>
                <c:pt idx="0">
                  <c:v>2020</c:v>
                </c:pt>
                <c:pt idx="1">
                  <c:v>2021</c:v>
                </c:pt>
                <c:pt idx="2">
                  <c:v>2022</c:v>
                </c:pt>
                <c:pt idx="3">
                  <c:v>2023</c:v>
                </c:pt>
                <c:pt idx="4">
                  <c:v>2024</c:v>
                </c:pt>
              </c:numCache>
            </c:numRef>
          </c:cat>
          <c:val>
            <c:numRef>
              <c:f>[2]Sheet1!$C$4:$C$8</c:f>
              <c:numCache>
                <c:formatCode>General</c:formatCode>
                <c:ptCount val="5"/>
                <c:pt idx="0">
                  <c:v>9</c:v>
                </c:pt>
                <c:pt idx="1">
                  <c:v>5</c:v>
                </c:pt>
                <c:pt idx="2">
                  <c:v>2</c:v>
                </c:pt>
                <c:pt idx="3">
                  <c:v>3</c:v>
                </c:pt>
                <c:pt idx="4">
                  <c:v>0</c:v>
                </c:pt>
              </c:numCache>
            </c:numRef>
          </c:val>
          <c:extLst>
            <c:ext xmlns:c16="http://schemas.microsoft.com/office/drawing/2014/chart" uri="{C3380CC4-5D6E-409C-BE32-E72D297353CC}">
              <c16:uniqueId val="{00000001-C16D-4155-9FDC-7EEE63526E45}"/>
            </c:ext>
          </c:extLst>
        </c:ser>
        <c:dLbls>
          <c:dLblPos val="outEnd"/>
          <c:showLegendKey val="0"/>
          <c:showVal val="1"/>
          <c:showCatName val="0"/>
          <c:showSerName val="0"/>
          <c:showPercent val="0"/>
          <c:showBubbleSize val="0"/>
        </c:dLbls>
        <c:gapWidth val="219"/>
        <c:overlap val="-27"/>
        <c:axId val="2003664255"/>
        <c:axId val="2003664671"/>
      </c:barChart>
      <c:catAx>
        <c:axId val="2003664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2003664671"/>
        <c:crosses val="autoZero"/>
        <c:auto val="1"/>
        <c:lblAlgn val="ctr"/>
        <c:lblOffset val="100"/>
        <c:noMultiLvlLbl val="0"/>
      </c:catAx>
      <c:valAx>
        <c:axId val="2003664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200366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CAEE-8A77-422C-9E75-9337C7DD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WO/CC/84/INF/2</vt:lpstr>
    </vt:vector>
  </TitlesOfParts>
  <Manager>ethicsoffice@wipo.int</Manager>
  <Company>WIPO</Company>
  <LinksUpToDate>false</LinksUpToDate>
  <CharactersWithSpaces>18077</CharactersWithSpaces>
  <SharedDoc>false</SharedDoc>
  <HLinks>
    <vt:vector size="72" baseType="variant">
      <vt:variant>
        <vt:i4>4128847</vt:i4>
      </vt:variant>
      <vt:variant>
        <vt:i4>33</vt:i4>
      </vt:variant>
      <vt:variant>
        <vt:i4>0</vt:i4>
      </vt:variant>
      <vt:variant>
        <vt:i4>5</vt:i4>
      </vt:variant>
      <vt:variant>
        <vt:lpwstr>mailto:sarah.castroroberts@wipo.int</vt:lpwstr>
      </vt:variant>
      <vt:variant>
        <vt:lpwstr/>
      </vt:variant>
      <vt:variant>
        <vt:i4>4128847</vt:i4>
      </vt:variant>
      <vt:variant>
        <vt:i4>30</vt:i4>
      </vt:variant>
      <vt:variant>
        <vt:i4>0</vt:i4>
      </vt:variant>
      <vt:variant>
        <vt:i4>5</vt:i4>
      </vt:variant>
      <vt:variant>
        <vt:lpwstr>mailto:sarah.castroroberts@wipo.int</vt:lpwstr>
      </vt:variant>
      <vt:variant>
        <vt:lpwstr/>
      </vt:variant>
      <vt:variant>
        <vt:i4>4128847</vt:i4>
      </vt:variant>
      <vt:variant>
        <vt:i4>27</vt:i4>
      </vt:variant>
      <vt:variant>
        <vt:i4>0</vt:i4>
      </vt:variant>
      <vt:variant>
        <vt:i4>5</vt:i4>
      </vt:variant>
      <vt:variant>
        <vt:lpwstr>mailto:sarah.castroroberts@wipo.int</vt:lpwstr>
      </vt:variant>
      <vt:variant>
        <vt:lpwstr/>
      </vt:variant>
      <vt:variant>
        <vt:i4>4128847</vt:i4>
      </vt:variant>
      <vt:variant>
        <vt:i4>24</vt:i4>
      </vt:variant>
      <vt:variant>
        <vt:i4>0</vt:i4>
      </vt:variant>
      <vt:variant>
        <vt:i4>5</vt:i4>
      </vt:variant>
      <vt:variant>
        <vt:lpwstr>mailto:sarah.castroroberts@wipo.int</vt:lpwstr>
      </vt:variant>
      <vt:variant>
        <vt:lpwstr/>
      </vt:variant>
      <vt:variant>
        <vt:i4>4128847</vt:i4>
      </vt:variant>
      <vt:variant>
        <vt:i4>21</vt:i4>
      </vt:variant>
      <vt:variant>
        <vt:i4>0</vt:i4>
      </vt:variant>
      <vt:variant>
        <vt:i4>5</vt:i4>
      </vt:variant>
      <vt:variant>
        <vt:lpwstr>mailto:sarah.castroroberts@wipo.int</vt:lpwstr>
      </vt:variant>
      <vt:variant>
        <vt:lpwstr/>
      </vt:variant>
      <vt:variant>
        <vt:i4>1310835</vt:i4>
      </vt:variant>
      <vt:variant>
        <vt:i4>18</vt:i4>
      </vt:variant>
      <vt:variant>
        <vt:i4>0</vt:i4>
      </vt:variant>
      <vt:variant>
        <vt:i4>5</vt:i4>
      </vt:variant>
      <vt:variant>
        <vt:lpwstr>https://intranet.wipo.int/oiic_doc/en/2023/oi_33_2017_rev_1.pdf</vt:lpwstr>
      </vt:variant>
      <vt:variant>
        <vt:lpwstr/>
      </vt:variant>
      <vt:variant>
        <vt:i4>4128847</vt:i4>
      </vt:variant>
      <vt:variant>
        <vt:i4>15</vt:i4>
      </vt:variant>
      <vt:variant>
        <vt:i4>0</vt:i4>
      </vt:variant>
      <vt:variant>
        <vt:i4>5</vt:i4>
      </vt:variant>
      <vt:variant>
        <vt:lpwstr>mailto:sarah.castroroberts@wipo.int</vt:lpwstr>
      </vt:variant>
      <vt:variant>
        <vt:lpwstr/>
      </vt:variant>
      <vt:variant>
        <vt:i4>4128847</vt:i4>
      </vt:variant>
      <vt:variant>
        <vt:i4>12</vt:i4>
      </vt:variant>
      <vt:variant>
        <vt:i4>0</vt:i4>
      </vt:variant>
      <vt:variant>
        <vt:i4>5</vt:i4>
      </vt:variant>
      <vt:variant>
        <vt:lpwstr>mailto:sarah.castroroberts@wipo.int</vt:lpwstr>
      </vt:variant>
      <vt:variant>
        <vt:lpwstr/>
      </vt:variant>
      <vt:variant>
        <vt:i4>4128847</vt:i4>
      </vt:variant>
      <vt:variant>
        <vt:i4>9</vt:i4>
      </vt:variant>
      <vt:variant>
        <vt:i4>0</vt:i4>
      </vt:variant>
      <vt:variant>
        <vt:i4>5</vt:i4>
      </vt:variant>
      <vt:variant>
        <vt:lpwstr>mailto:sarah.castroroberts@wipo.int</vt:lpwstr>
      </vt:variant>
      <vt:variant>
        <vt:lpwstr/>
      </vt:variant>
      <vt:variant>
        <vt:i4>4128847</vt:i4>
      </vt:variant>
      <vt:variant>
        <vt:i4>6</vt:i4>
      </vt:variant>
      <vt:variant>
        <vt:i4>0</vt:i4>
      </vt:variant>
      <vt:variant>
        <vt:i4>5</vt:i4>
      </vt:variant>
      <vt:variant>
        <vt:lpwstr>mailto:sarah.castroroberts@wipo.int</vt:lpwstr>
      </vt:variant>
      <vt:variant>
        <vt:lpwstr/>
      </vt:variant>
      <vt:variant>
        <vt:i4>4128847</vt:i4>
      </vt:variant>
      <vt:variant>
        <vt:i4>3</vt:i4>
      </vt:variant>
      <vt:variant>
        <vt:i4>0</vt:i4>
      </vt:variant>
      <vt:variant>
        <vt:i4>5</vt:i4>
      </vt:variant>
      <vt:variant>
        <vt:lpwstr>mailto:sarah.castroroberts@wipo.int</vt:lpwstr>
      </vt:variant>
      <vt:variant>
        <vt:lpwstr/>
      </vt:variant>
      <vt:variant>
        <vt:i4>4128847</vt:i4>
      </vt:variant>
      <vt:variant>
        <vt:i4>0</vt:i4>
      </vt:variant>
      <vt:variant>
        <vt:i4>0</vt:i4>
      </vt:variant>
      <vt:variant>
        <vt:i4>5</vt:i4>
      </vt:variant>
      <vt:variant>
        <vt:lpwstr>mailto:sarah.castroroberts@wipo.int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WO/CC/84/INF/2</dc:title>
  <dc:subject>WO/CC/84/INF/2</dc:subject>
  <dc:creator>WIPO</dc:creator>
  <cp:keywords>FOR OFFICIAL USE ONLY</cp:keywords>
  <dc:description/>
  <cp:lastModifiedBy>RUSSO Antonella</cp:lastModifiedBy>
  <cp:revision>4</cp:revision>
  <cp:lastPrinted>2025-04-01T10:01:00Z</cp:lastPrinted>
  <dcterms:created xsi:type="dcterms:W3CDTF">2025-04-07T09:26:00Z</dcterms:created>
  <dcterms:modified xsi:type="dcterms:W3CDTF">2025-04-07T09:28:00Z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2025-03-07T09:59:07Z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f32a4462-f57a-4309-8620-e05e0887282b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