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0575" w14:textId="0F73E1EC" w:rsidR="008B2CC1" w:rsidRPr="008B2CC1" w:rsidRDefault="00873EE5" w:rsidP="00F11D94">
      <w:pPr>
        <w:spacing w:after="120"/>
        <w:jc w:val="right"/>
      </w:pPr>
      <w:bookmarkStart w:id="0" w:name="_Hlk161299341"/>
      <w:r>
        <w:rPr>
          <w:noProof/>
          <w:sz w:val="28"/>
          <w:szCs w:val="28"/>
          <w:lang w:eastAsia="en-US"/>
        </w:rPr>
        <w:drawing>
          <wp:inline distT="0" distB="0" distL="0" distR="0" wp14:anchorId="7AA88549" wp14:editId="2E0E379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087DDF">
        <w:rPr>
          <w:noProof/>
        </w:rPr>
        <mc:AlternateContent>
          <mc:Choice Requires="wps">
            <w:drawing>
              <wp:inline distT="0" distB="0" distL="0" distR="0" wp14:anchorId="25AC3AE3" wp14:editId="1F84142F">
                <wp:extent cx="5935980" cy="635"/>
                <wp:effectExtent l="0" t="0" r="7620" b="18415"/>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598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580435" id="Straight Connector 3" o:spid="_x0000_s1026" alt="&quot;&quot;"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" strokecolor="black [3040]">
                <o:lock v:ext="edit" shapetype="f"/>
                <w10:anchorlock/>
              </v:line>
            </w:pict>
          </mc:Fallback>
        </mc:AlternateContent>
      </w:r>
    </w:p>
    <w:p w14:paraId="7FCA41BA" w14:textId="74897130" w:rsidR="008B2CC1" w:rsidRPr="001024FE" w:rsidRDefault="00912762" w:rsidP="001024FE">
      <w:pPr>
        <w:jc w:val="right"/>
        <w:rPr>
          <w:rFonts w:ascii="Arial Black" w:hAnsi="Arial Black"/>
          <w:caps/>
          <w:sz w:val="15"/>
          <w:szCs w:val="15"/>
        </w:rPr>
      </w:pPr>
      <w:r w:rsidRPr="009D0995">
        <w:rPr>
          <w:rFonts w:ascii="Arial Black" w:hAnsi="Arial Black"/>
          <w:caps/>
          <w:sz w:val="15"/>
          <w:szCs w:val="15"/>
        </w:rPr>
        <w:t>WO/CC/8</w:t>
      </w:r>
      <w:r w:rsidR="00E872AC">
        <w:rPr>
          <w:rFonts w:ascii="Arial Black" w:hAnsi="Arial Black"/>
          <w:caps/>
          <w:sz w:val="15"/>
          <w:szCs w:val="15"/>
        </w:rPr>
        <w:t>3</w:t>
      </w:r>
      <w:r w:rsidR="00095CDF" w:rsidRPr="009D0995">
        <w:rPr>
          <w:rFonts w:ascii="Arial Black" w:hAnsi="Arial Black"/>
          <w:caps/>
          <w:sz w:val="15"/>
          <w:szCs w:val="15"/>
        </w:rPr>
        <w:t>/</w:t>
      </w:r>
      <w:bookmarkStart w:id="1" w:name="Code"/>
      <w:r w:rsidR="006761B4" w:rsidRPr="009D0995">
        <w:rPr>
          <w:rFonts w:ascii="Arial Black" w:hAnsi="Arial Black"/>
          <w:caps/>
          <w:sz w:val="15"/>
          <w:szCs w:val="15"/>
        </w:rPr>
        <w:t>inf/2</w:t>
      </w:r>
      <w:r w:rsidR="00443AF1">
        <w:rPr>
          <w:rFonts w:ascii="Arial Black" w:hAnsi="Arial Black"/>
          <w:caps/>
          <w:sz w:val="15"/>
          <w:szCs w:val="15"/>
        </w:rPr>
        <w:t xml:space="preserve"> rev.</w:t>
      </w:r>
    </w:p>
    <w:bookmarkEnd w:id="1"/>
    <w:p w14:paraId="0D486FD0" w14:textId="12843D0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6C30DC">
        <w:rPr>
          <w:rFonts w:ascii="Arial Black" w:hAnsi="Arial Black"/>
          <w:caps/>
          <w:sz w:val="15"/>
          <w:szCs w:val="15"/>
        </w:rPr>
        <w:t xml:space="preserve"> </w:t>
      </w:r>
      <w:r w:rsidR="00730286">
        <w:rPr>
          <w:rFonts w:ascii="Arial Black" w:hAnsi="Arial Black"/>
          <w:caps/>
          <w:sz w:val="15"/>
          <w:szCs w:val="15"/>
        </w:rPr>
        <w:t>English</w:t>
      </w:r>
    </w:p>
    <w:bookmarkEnd w:id="2"/>
    <w:p w14:paraId="2EF64020" w14:textId="392F062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6C30DC">
        <w:rPr>
          <w:rFonts w:ascii="Arial Black" w:hAnsi="Arial Black"/>
          <w:caps/>
          <w:sz w:val="15"/>
          <w:szCs w:val="15"/>
        </w:rPr>
        <w:t xml:space="preserve"> </w:t>
      </w:r>
      <w:r w:rsidR="008B2B1F">
        <w:rPr>
          <w:rFonts w:ascii="Arial Black" w:hAnsi="Arial Black"/>
          <w:caps/>
          <w:sz w:val="15"/>
          <w:szCs w:val="15"/>
        </w:rPr>
        <w:t>June</w:t>
      </w:r>
      <w:r w:rsidR="00443AF1">
        <w:rPr>
          <w:rFonts w:ascii="Arial Black" w:hAnsi="Arial Black"/>
          <w:caps/>
          <w:sz w:val="15"/>
          <w:szCs w:val="15"/>
        </w:rPr>
        <w:t xml:space="preserve"> </w:t>
      </w:r>
      <w:r w:rsidR="00162FBF">
        <w:rPr>
          <w:rFonts w:ascii="Arial Black" w:hAnsi="Arial Black"/>
          <w:caps/>
          <w:sz w:val="15"/>
          <w:szCs w:val="15"/>
        </w:rPr>
        <w:t>7</w:t>
      </w:r>
      <w:r w:rsidR="00780083">
        <w:rPr>
          <w:rFonts w:ascii="Arial Black" w:hAnsi="Arial Black"/>
          <w:caps/>
          <w:sz w:val="15"/>
          <w:szCs w:val="15"/>
        </w:rPr>
        <w:t>,</w:t>
      </w:r>
      <w:r w:rsidR="00FB4B0B">
        <w:rPr>
          <w:rFonts w:ascii="Arial Black" w:hAnsi="Arial Black"/>
          <w:caps/>
          <w:sz w:val="15"/>
          <w:szCs w:val="15"/>
        </w:rPr>
        <w:t xml:space="preserve"> </w:t>
      </w:r>
      <w:r w:rsidR="00730286">
        <w:rPr>
          <w:rFonts w:ascii="Arial Black" w:hAnsi="Arial Black"/>
          <w:caps/>
          <w:sz w:val="15"/>
          <w:szCs w:val="15"/>
        </w:rPr>
        <w:t>2024</w:t>
      </w:r>
    </w:p>
    <w:bookmarkEnd w:id="3"/>
    <w:p w14:paraId="3806E2FE" w14:textId="77777777" w:rsidR="008B2CC1" w:rsidRPr="009D0995" w:rsidRDefault="00095CDF" w:rsidP="00CE65D4">
      <w:pPr>
        <w:spacing w:after="600"/>
        <w:rPr>
          <w:b/>
          <w:sz w:val="28"/>
          <w:szCs w:val="28"/>
        </w:rPr>
      </w:pPr>
      <w:r w:rsidRPr="009D0995">
        <w:rPr>
          <w:b/>
          <w:sz w:val="28"/>
          <w:szCs w:val="28"/>
        </w:rPr>
        <w:t>WIPO Coordination Committee</w:t>
      </w:r>
    </w:p>
    <w:p w14:paraId="7B3EFC2B" w14:textId="2E9E20F2" w:rsidR="008B2CC1" w:rsidRPr="009D0995" w:rsidRDefault="00095CDF" w:rsidP="008B2CC1">
      <w:pPr>
        <w:rPr>
          <w:b/>
          <w:sz w:val="24"/>
          <w:szCs w:val="24"/>
        </w:rPr>
      </w:pPr>
      <w:r w:rsidRPr="009D0995">
        <w:rPr>
          <w:b/>
          <w:sz w:val="24"/>
          <w:szCs w:val="24"/>
        </w:rPr>
        <w:t>Eighty-</w:t>
      </w:r>
      <w:r w:rsidR="00E872AC">
        <w:rPr>
          <w:b/>
          <w:sz w:val="24"/>
          <w:szCs w:val="24"/>
        </w:rPr>
        <w:t>Third</w:t>
      </w:r>
      <w:r w:rsidRPr="009D0995">
        <w:rPr>
          <w:b/>
          <w:sz w:val="24"/>
          <w:szCs w:val="24"/>
        </w:rPr>
        <w:t xml:space="preserve"> (5</w:t>
      </w:r>
      <w:r w:rsidR="00E872AC">
        <w:rPr>
          <w:b/>
          <w:sz w:val="24"/>
          <w:szCs w:val="24"/>
        </w:rPr>
        <w:t>5</w:t>
      </w:r>
      <w:r w:rsidR="00912762" w:rsidRPr="009D0995">
        <w:rPr>
          <w:b/>
          <w:sz w:val="24"/>
          <w:szCs w:val="24"/>
          <w:vertAlign w:val="superscript"/>
        </w:rPr>
        <w:t>th</w:t>
      </w:r>
      <w:r w:rsidRPr="009D0995">
        <w:rPr>
          <w:b/>
          <w:sz w:val="24"/>
          <w:szCs w:val="24"/>
        </w:rPr>
        <w:t xml:space="preserve"> Ordinary) Session</w:t>
      </w:r>
    </w:p>
    <w:p w14:paraId="3A5CEBEB" w14:textId="447282C7" w:rsidR="008B2CC1" w:rsidRPr="009F3BF9" w:rsidRDefault="00095CDF" w:rsidP="00CE65D4">
      <w:pPr>
        <w:spacing w:after="720"/>
      </w:pPr>
      <w:r w:rsidRPr="009D0995">
        <w:rPr>
          <w:b/>
          <w:sz w:val="24"/>
          <w:szCs w:val="24"/>
        </w:rPr>
        <w:t xml:space="preserve">Geneva, July </w:t>
      </w:r>
      <w:r w:rsidR="00D80FD6" w:rsidRPr="009D0995">
        <w:rPr>
          <w:b/>
          <w:sz w:val="24"/>
          <w:szCs w:val="24"/>
        </w:rPr>
        <w:t>9</w:t>
      </w:r>
      <w:r w:rsidR="00E872AC">
        <w:rPr>
          <w:b/>
          <w:sz w:val="24"/>
          <w:szCs w:val="24"/>
          <w:vertAlign w:val="superscript"/>
        </w:rPr>
        <w:t xml:space="preserve"> </w:t>
      </w:r>
      <w:r w:rsidRPr="009D0995">
        <w:rPr>
          <w:b/>
          <w:sz w:val="24"/>
          <w:szCs w:val="24"/>
        </w:rPr>
        <w:t xml:space="preserve">to </w:t>
      </w:r>
      <w:r w:rsidR="00D80FD6" w:rsidRPr="009D0995">
        <w:rPr>
          <w:b/>
          <w:sz w:val="24"/>
          <w:szCs w:val="24"/>
        </w:rPr>
        <w:t>17</w:t>
      </w:r>
      <w:r w:rsidR="00912762" w:rsidRPr="009D0995">
        <w:rPr>
          <w:b/>
          <w:sz w:val="24"/>
          <w:szCs w:val="24"/>
        </w:rPr>
        <w:t>, 202</w:t>
      </w:r>
      <w:r w:rsidR="008F14D7" w:rsidRPr="009D0995">
        <w:rPr>
          <w:b/>
          <w:sz w:val="24"/>
          <w:szCs w:val="24"/>
        </w:rPr>
        <w:t>4</w:t>
      </w:r>
    </w:p>
    <w:p w14:paraId="19D3583C" w14:textId="61CF70B2" w:rsidR="008B2CC1" w:rsidRPr="009F3BF9" w:rsidRDefault="00730286" w:rsidP="00CE65D4">
      <w:pPr>
        <w:spacing w:after="360"/>
        <w:rPr>
          <w:caps/>
          <w:sz w:val="24"/>
        </w:rPr>
      </w:pPr>
      <w:bookmarkStart w:id="4" w:name="TitleOfDoc"/>
      <w:r>
        <w:rPr>
          <w:caps/>
          <w:sz w:val="24"/>
        </w:rPr>
        <w:t>Annual Report by the Ethics Office</w:t>
      </w:r>
    </w:p>
    <w:p w14:paraId="5BECC2AC" w14:textId="1092CDED" w:rsidR="008B2CC1" w:rsidRPr="004D39C4" w:rsidRDefault="00BD61E8" w:rsidP="00CE65D4">
      <w:pPr>
        <w:spacing w:after="960"/>
        <w:rPr>
          <w:i/>
        </w:rPr>
      </w:pPr>
      <w:bookmarkStart w:id="5" w:name="Prepared"/>
      <w:bookmarkEnd w:id="4"/>
      <w:r>
        <w:rPr>
          <w:i/>
        </w:rPr>
        <w:t>p</w:t>
      </w:r>
      <w:r w:rsidR="00730286">
        <w:rPr>
          <w:i/>
        </w:rPr>
        <w:t xml:space="preserve">repared by the </w:t>
      </w:r>
      <w:proofErr w:type="gramStart"/>
      <w:r w:rsidR="00730286">
        <w:rPr>
          <w:i/>
        </w:rPr>
        <w:t>Secretariat</w:t>
      </w:r>
      <w:proofErr w:type="gramEnd"/>
    </w:p>
    <w:p w14:paraId="24F52843" w14:textId="20A5F1B7" w:rsidR="006761B4" w:rsidRPr="006761B4" w:rsidRDefault="006761B4" w:rsidP="008742A8">
      <w:pPr>
        <w:pStyle w:val="Heading1"/>
        <w:numPr>
          <w:ilvl w:val="0"/>
          <w:numId w:val="22"/>
        </w:numPr>
        <w:spacing w:after="220"/>
        <w:ind w:left="0" w:firstLine="0"/>
      </w:pPr>
      <w:bookmarkStart w:id="6" w:name="_Hlk161299460"/>
      <w:bookmarkEnd w:id="5"/>
      <w:r w:rsidRPr="006761B4">
        <w:t>Introduction</w:t>
      </w:r>
    </w:p>
    <w:p w14:paraId="6C165BC4" w14:textId="28F4088A" w:rsidR="006761B4" w:rsidRPr="006761B4" w:rsidRDefault="006761B4" w:rsidP="00875BB5">
      <w:pPr>
        <w:numPr>
          <w:ilvl w:val="0"/>
          <w:numId w:val="5"/>
        </w:numPr>
        <w:spacing w:after="240"/>
      </w:pPr>
      <w:r w:rsidRPr="006761B4">
        <w:t xml:space="preserve">This report is submitted to the WIPO General Assembly, through the Director General, in accordance with Office Instruction No. 16/2020 entitled </w:t>
      </w:r>
      <w:r w:rsidR="0024530C">
        <w:t>“</w:t>
      </w:r>
      <w:r w:rsidRPr="006761B4">
        <w:t>WIPO Ethics Office</w:t>
      </w:r>
      <w:r w:rsidR="0024530C">
        <w:t>”</w:t>
      </w:r>
      <w:r w:rsidR="00366A2C">
        <w:t>.</w:t>
      </w:r>
      <w:r w:rsidR="00291793">
        <w:t xml:space="preserve"> </w:t>
      </w:r>
      <w:r w:rsidRPr="006761B4">
        <w:t xml:space="preserve"> It describes the key activities undertaken by the Ethics Office in 202</w:t>
      </w:r>
      <w:r w:rsidR="008F14D7">
        <w:t>3</w:t>
      </w:r>
      <w:r w:rsidRPr="006761B4">
        <w:t xml:space="preserve">. </w:t>
      </w:r>
    </w:p>
    <w:p w14:paraId="30CB6EB5" w14:textId="77777777" w:rsidR="006761B4" w:rsidRPr="006761B4" w:rsidRDefault="006761B4" w:rsidP="00875BB5">
      <w:pPr>
        <w:numPr>
          <w:ilvl w:val="0"/>
          <w:numId w:val="5"/>
        </w:numPr>
        <w:spacing w:after="220"/>
      </w:pPr>
      <w:r w:rsidRPr="006761B4">
        <w:t xml:space="preserve">The Ethics Office was established in 2010 to support the Director General in ensuring that all WIPO personnel maintain the highest standards of ethics and integrity as required by the WIPO Convention, the Standards of Conduct for the International Civil Service, the Staff Regulations and Rules, the WIPO Code of Ethics, and relevant policies and procedures. </w:t>
      </w:r>
    </w:p>
    <w:p w14:paraId="0762DD04" w14:textId="467014BF" w:rsidR="006761B4" w:rsidRPr="006761B4" w:rsidRDefault="006761B4" w:rsidP="00875BB5">
      <w:pPr>
        <w:numPr>
          <w:ilvl w:val="0"/>
          <w:numId w:val="5"/>
        </w:numPr>
        <w:spacing w:after="220"/>
      </w:pPr>
      <w:r w:rsidRPr="006761B4">
        <w:t xml:space="preserve">The objective of the Ethics Office is to promote an organizational culture of ethics based on shared values of independence, loyalty, impartiality, integrity, </w:t>
      </w:r>
      <w:r w:rsidR="008F14D7" w:rsidRPr="006761B4">
        <w:t>accountability,</w:t>
      </w:r>
      <w:r w:rsidRPr="006761B4">
        <w:t xml:space="preserve"> and respect for human rights. </w:t>
      </w:r>
      <w:r w:rsidR="00291793">
        <w:t xml:space="preserve"> </w:t>
      </w:r>
      <w:r w:rsidRPr="006761B4">
        <w:t>The Ethics Office fulfills this mission by providing services to WIPO</w:t>
      </w:r>
      <w:r w:rsidR="0024530C">
        <w:t>’</w:t>
      </w:r>
      <w:r w:rsidRPr="006761B4">
        <w:t>s international workforce</w:t>
      </w:r>
      <w:r w:rsidRPr="006761B4">
        <w:rPr>
          <w:vertAlign w:val="superscript"/>
        </w:rPr>
        <w:footnoteReference w:id="2"/>
      </w:r>
      <w:r w:rsidR="006F757A">
        <w:t>,</w:t>
      </w:r>
      <w:r w:rsidRPr="006761B4">
        <w:t xml:space="preserve"> including senior management, in the following broad areas of responsibility: </w:t>
      </w:r>
    </w:p>
    <w:p w14:paraId="573A1B79" w14:textId="77777777" w:rsidR="007E30EF" w:rsidRDefault="007E30EF">
      <w:r>
        <w:br w:type="page"/>
      </w:r>
    </w:p>
    <w:p w14:paraId="76C58BF6" w14:textId="77356A40" w:rsidR="006761B4" w:rsidRPr="006761B4" w:rsidRDefault="006761B4" w:rsidP="00875BB5">
      <w:pPr>
        <w:numPr>
          <w:ilvl w:val="1"/>
          <w:numId w:val="5"/>
        </w:numPr>
        <w:spacing w:after="220"/>
      </w:pPr>
      <w:r w:rsidRPr="006761B4">
        <w:lastRenderedPageBreak/>
        <w:t xml:space="preserve">Confidential advice and </w:t>
      </w:r>
      <w:proofErr w:type="gramStart"/>
      <w:r w:rsidRPr="006761B4">
        <w:t>guidance;</w:t>
      </w:r>
      <w:proofErr w:type="gramEnd"/>
    </w:p>
    <w:p w14:paraId="13974E56" w14:textId="63033276" w:rsidR="006761B4" w:rsidRPr="006761B4" w:rsidRDefault="006761B4" w:rsidP="00875BB5">
      <w:pPr>
        <w:numPr>
          <w:ilvl w:val="1"/>
          <w:numId w:val="5"/>
        </w:numPr>
        <w:spacing w:after="220"/>
      </w:pPr>
      <w:r w:rsidRPr="006761B4">
        <w:t xml:space="preserve">Ethics training, awareness raising and </w:t>
      </w:r>
      <w:proofErr w:type="gramStart"/>
      <w:r w:rsidRPr="006761B4">
        <w:t>outreach;</w:t>
      </w:r>
      <w:proofErr w:type="gramEnd"/>
    </w:p>
    <w:p w14:paraId="2EA4F75C" w14:textId="77777777" w:rsidR="006761B4" w:rsidRPr="006761B4" w:rsidRDefault="006761B4" w:rsidP="00875BB5">
      <w:pPr>
        <w:numPr>
          <w:ilvl w:val="1"/>
          <w:numId w:val="5"/>
        </w:numPr>
        <w:spacing w:after="220"/>
      </w:pPr>
      <w:r w:rsidRPr="006761B4">
        <w:t xml:space="preserve">Standard setting and policy </w:t>
      </w:r>
      <w:proofErr w:type="gramStart"/>
      <w:r w:rsidRPr="006761B4">
        <w:t>advocacy;</w:t>
      </w:r>
      <w:proofErr w:type="gramEnd"/>
    </w:p>
    <w:p w14:paraId="09B24E28" w14:textId="29C661B7" w:rsidR="006761B4" w:rsidRPr="006761B4" w:rsidRDefault="006761B4" w:rsidP="00291793">
      <w:pPr>
        <w:numPr>
          <w:ilvl w:val="1"/>
          <w:numId w:val="5"/>
        </w:numPr>
        <w:spacing w:after="220"/>
        <w:rPr>
          <w:szCs w:val="22"/>
        </w:rPr>
      </w:pPr>
      <w:r w:rsidRPr="006761B4">
        <w:rPr>
          <w:szCs w:val="22"/>
        </w:rPr>
        <w:t>Administration of the protection against retaliation policy;</w:t>
      </w:r>
      <w:r w:rsidR="006F757A">
        <w:rPr>
          <w:szCs w:val="22"/>
        </w:rPr>
        <w:t xml:space="preserve"> </w:t>
      </w:r>
      <w:r w:rsidRPr="006761B4">
        <w:rPr>
          <w:szCs w:val="22"/>
        </w:rPr>
        <w:t>and</w:t>
      </w:r>
    </w:p>
    <w:p w14:paraId="186CFDD2" w14:textId="6C6C28C1" w:rsidR="006761B4" w:rsidRPr="006761B4" w:rsidRDefault="006761B4" w:rsidP="00291793">
      <w:pPr>
        <w:numPr>
          <w:ilvl w:val="1"/>
          <w:numId w:val="5"/>
        </w:numPr>
        <w:spacing w:after="220"/>
      </w:pPr>
      <w:r w:rsidRPr="006761B4">
        <w:t>Administration of the financial disclosure and declaration of interest (FDDI) policy.</w:t>
      </w:r>
    </w:p>
    <w:p w14:paraId="285217FD" w14:textId="4C33DA04" w:rsidR="006761B4" w:rsidRPr="006761B4" w:rsidRDefault="006761B4" w:rsidP="00291793">
      <w:pPr>
        <w:numPr>
          <w:ilvl w:val="0"/>
          <w:numId w:val="5"/>
        </w:numPr>
        <w:spacing w:after="220"/>
        <w:rPr>
          <w:szCs w:val="22"/>
        </w:rPr>
      </w:pPr>
      <w:r w:rsidRPr="006761B4">
        <w:rPr>
          <w:szCs w:val="22"/>
        </w:rPr>
        <w:t xml:space="preserve">The </w:t>
      </w:r>
      <w:r w:rsidR="0013161F">
        <w:rPr>
          <w:szCs w:val="22"/>
        </w:rPr>
        <w:t>O</w:t>
      </w:r>
      <w:r w:rsidRPr="006761B4">
        <w:rPr>
          <w:szCs w:val="22"/>
        </w:rPr>
        <w:t xml:space="preserve">ffice is headed by a Chief Ethics Officer, who is functionally and operationally independent from WIPO management. </w:t>
      </w:r>
      <w:r w:rsidR="005A77D3">
        <w:rPr>
          <w:szCs w:val="22"/>
        </w:rPr>
        <w:t xml:space="preserve"> </w:t>
      </w:r>
      <w:r w:rsidRPr="006761B4">
        <w:rPr>
          <w:szCs w:val="22"/>
        </w:rPr>
        <w:t>In 202</w:t>
      </w:r>
      <w:r w:rsidR="008F14D7">
        <w:rPr>
          <w:szCs w:val="22"/>
        </w:rPr>
        <w:t>3</w:t>
      </w:r>
      <w:r w:rsidRPr="006761B4">
        <w:rPr>
          <w:szCs w:val="22"/>
        </w:rPr>
        <w:t xml:space="preserve">, the </w:t>
      </w:r>
      <w:r w:rsidR="0013161F">
        <w:rPr>
          <w:szCs w:val="22"/>
        </w:rPr>
        <w:t>O</w:t>
      </w:r>
      <w:r w:rsidRPr="006761B4">
        <w:rPr>
          <w:szCs w:val="22"/>
        </w:rPr>
        <w:t>ffice staff also included an intern</w:t>
      </w:r>
      <w:r w:rsidR="007E30EF">
        <w:rPr>
          <w:szCs w:val="22"/>
        </w:rPr>
        <w:t>,</w:t>
      </w:r>
      <w:r w:rsidR="008C4DC5">
        <w:rPr>
          <w:szCs w:val="22"/>
        </w:rPr>
        <w:t xml:space="preserve"> a </w:t>
      </w:r>
      <w:r w:rsidR="00987B20">
        <w:rPr>
          <w:szCs w:val="22"/>
        </w:rPr>
        <w:t>consultant</w:t>
      </w:r>
      <w:r w:rsidR="008C4DC5">
        <w:rPr>
          <w:szCs w:val="22"/>
        </w:rPr>
        <w:t xml:space="preserve"> (as needed), an external reviewer (FDDI/</w:t>
      </w:r>
      <w:r w:rsidR="001D4E8C">
        <w:rPr>
          <w:szCs w:val="22"/>
        </w:rPr>
        <w:t>I</w:t>
      </w:r>
      <w:r w:rsidR="008C4DC5">
        <w:rPr>
          <w:szCs w:val="22"/>
        </w:rPr>
        <w:t>PSAS)</w:t>
      </w:r>
      <w:r w:rsidR="00987B20" w:rsidRPr="006761B4">
        <w:rPr>
          <w:szCs w:val="22"/>
        </w:rPr>
        <w:t xml:space="preserve"> </w:t>
      </w:r>
      <w:r w:rsidRPr="006761B4">
        <w:rPr>
          <w:szCs w:val="22"/>
        </w:rPr>
        <w:t xml:space="preserve">and </w:t>
      </w:r>
      <w:r w:rsidR="008F14D7">
        <w:rPr>
          <w:szCs w:val="22"/>
        </w:rPr>
        <w:t xml:space="preserve">an agency worker for </w:t>
      </w:r>
      <w:r w:rsidRPr="006761B4">
        <w:rPr>
          <w:szCs w:val="22"/>
        </w:rPr>
        <w:t>administrative support</w:t>
      </w:r>
      <w:r w:rsidRPr="006761B4">
        <w:rPr>
          <w:szCs w:val="22"/>
          <w:vertAlign w:val="superscript"/>
        </w:rPr>
        <w:footnoteReference w:id="3"/>
      </w:r>
      <w:r w:rsidR="006F757A">
        <w:rPr>
          <w:szCs w:val="22"/>
        </w:rPr>
        <w:t>.</w:t>
      </w:r>
    </w:p>
    <w:p w14:paraId="706F0F50" w14:textId="3C979DD2" w:rsidR="006761B4" w:rsidRPr="006761B4" w:rsidRDefault="00F87B7C" w:rsidP="00621C5C">
      <w:pPr>
        <w:pStyle w:val="Heading1"/>
        <w:spacing w:after="220"/>
      </w:pPr>
      <w:r>
        <w:t>II.</w:t>
      </w:r>
      <w:r>
        <w:tab/>
      </w:r>
      <w:r w:rsidR="006761B4" w:rsidRPr="006761B4">
        <w:t>REPORT ON 202</w:t>
      </w:r>
      <w:r w:rsidR="008F14D7">
        <w:t>3</w:t>
      </w:r>
      <w:r w:rsidR="006761B4" w:rsidRPr="006761B4">
        <w:t xml:space="preserve"> ACTIVITIES</w:t>
      </w:r>
    </w:p>
    <w:p w14:paraId="6FAB580F" w14:textId="47361DC6" w:rsidR="006761B4" w:rsidRPr="0093425F" w:rsidRDefault="006761B4" w:rsidP="00291793">
      <w:pPr>
        <w:numPr>
          <w:ilvl w:val="0"/>
          <w:numId w:val="5"/>
        </w:numPr>
        <w:spacing w:after="220"/>
      </w:pPr>
      <w:r w:rsidRPr="0093425F">
        <w:t>In 202</w:t>
      </w:r>
      <w:r w:rsidR="008F14D7" w:rsidRPr="0093425F">
        <w:t>3</w:t>
      </w:r>
      <w:r w:rsidR="005A77D3" w:rsidRPr="0093425F">
        <w:t>,</w:t>
      </w:r>
      <w:r w:rsidRPr="0093425F">
        <w:t xml:space="preserve"> the Ethics Office saw a</w:t>
      </w:r>
      <w:r w:rsidR="00B04DAF">
        <w:t>n</w:t>
      </w:r>
      <w:r w:rsidRPr="0093425F">
        <w:t xml:space="preserve"> increase in requests for its services. </w:t>
      </w:r>
      <w:r w:rsidR="005A77D3" w:rsidRPr="0093425F">
        <w:t xml:space="preserve"> </w:t>
      </w:r>
      <w:r w:rsidRPr="0093425F">
        <w:t xml:space="preserve">Despite challenges in managing the workload, the </w:t>
      </w:r>
      <w:r w:rsidR="0013161F" w:rsidRPr="0093425F">
        <w:t>O</w:t>
      </w:r>
      <w:r w:rsidRPr="0093425F">
        <w:t xml:space="preserve">ffice operated effectively and delivered results. </w:t>
      </w:r>
    </w:p>
    <w:p w14:paraId="1B5E3C26" w14:textId="2A0AE97C" w:rsidR="006761B4" w:rsidRDefault="006761B4" w:rsidP="00291793">
      <w:pPr>
        <w:numPr>
          <w:ilvl w:val="0"/>
          <w:numId w:val="5"/>
        </w:numPr>
        <w:spacing w:after="220"/>
      </w:pPr>
      <w:r w:rsidRPr="006761B4">
        <w:t xml:space="preserve">The Chief Ethics Officer met regularly with the Director General to discuss issues of </w:t>
      </w:r>
      <w:r w:rsidR="00A631FC">
        <w:t xml:space="preserve">general </w:t>
      </w:r>
      <w:r w:rsidRPr="006761B4">
        <w:t xml:space="preserve">concern. </w:t>
      </w:r>
      <w:r w:rsidR="005A77D3">
        <w:t xml:space="preserve"> </w:t>
      </w:r>
      <w:r w:rsidRPr="006761B4">
        <w:t>The Chief Ethics Officer also kept the Director General and the Independent Audit and Oversight Committee (IAOC) apprised of the performance of the ethics function.</w:t>
      </w:r>
    </w:p>
    <w:p w14:paraId="09364BA9" w14:textId="77777777" w:rsidR="006761B4" w:rsidRPr="006761B4" w:rsidRDefault="006761B4" w:rsidP="00621C5C">
      <w:pPr>
        <w:pStyle w:val="Heading2"/>
        <w:spacing w:after="220"/>
        <w:ind w:left="567"/>
      </w:pPr>
      <w:r w:rsidRPr="006761B4">
        <w:t>A.</w:t>
      </w:r>
      <w:r w:rsidRPr="006761B4">
        <w:tab/>
        <w:t>CONFIDENTIAL ADVICE AND GUIDANCE</w:t>
      </w:r>
    </w:p>
    <w:p w14:paraId="03013B4F" w14:textId="16C0F5C6" w:rsidR="006761B4" w:rsidRPr="006761B4" w:rsidRDefault="006761B4" w:rsidP="00291793">
      <w:pPr>
        <w:numPr>
          <w:ilvl w:val="0"/>
          <w:numId w:val="5"/>
        </w:numPr>
        <w:spacing w:after="220"/>
        <w:rPr>
          <w:szCs w:val="22"/>
        </w:rPr>
      </w:pPr>
      <w:r w:rsidRPr="006761B4">
        <w:t>The Ethics Office plays a key role in supporting WIPO</w:t>
      </w:r>
      <w:r w:rsidR="0024530C">
        <w:t>’</w:t>
      </w:r>
      <w:r w:rsidRPr="006761B4">
        <w:t xml:space="preserve">s ethical values by providing confidential ethics advice to all WIPO personnel. </w:t>
      </w:r>
      <w:r w:rsidR="005A77D3">
        <w:t xml:space="preserve"> </w:t>
      </w:r>
      <w:r w:rsidRPr="006761B4">
        <w:t>This includes managing potential conflicts of interest and advising on complex ethical issues before they escalate, thereby avoiding operational and reputational damage.</w:t>
      </w:r>
      <w:r w:rsidR="005A77D3">
        <w:t xml:space="preserve"> </w:t>
      </w:r>
      <w:r w:rsidRPr="006761B4">
        <w:t xml:space="preserve"> In this way, the Ethics Office also plays a fundamental role in risk management, promoting awareness of and compliance with applicable rules, </w:t>
      </w:r>
      <w:r w:rsidR="009F798A" w:rsidRPr="006761B4">
        <w:t>policies,</w:t>
      </w:r>
      <w:r w:rsidRPr="006761B4">
        <w:t xml:space="preserve"> and standards of conduct.</w:t>
      </w:r>
      <w:r w:rsidR="005A77D3">
        <w:t xml:space="preserve"> </w:t>
      </w:r>
      <w:r w:rsidRPr="006761B4">
        <w:t xml:space="preserve"> Serving as a trusted consultative resource for all personnel, the Ethics Office also provides a confidential space to raise concerns and seek guidance.</w:t>
      </w:r>
      <w:r w:rsidRPr="006761B4">
        <w:rPr>
          <w:szCs w:val="22"/>
        </w:rPr>
        <w:t xml:space="preserve"> </w:t>
      </w:r>
    </w:p>
    <w:p w14:paraId="614CFFEB" w14:textId="16E822C6" w:rsidR="006761B4" w:rsidRPr="006761B4" w:rsidRDefault="006761B4" w:rsidP="00291793">
      <w:pPr>
        <w:numPr>
          <w:ilvl w:val="0"/>
          <w:numId w:val="5"/>
        </w:numPr>
        <w:spacing w:after="220"/>
        <w:rPr>
          <w:szCs w:val="22"/>
        </w:rPr>
      </w:pPr>
      <w:r w:rsidRPr="006761B4">
        <w:rPr>
          <w:szCs w:val="22"/>
        </w:rPr>
        <w:t>In 202</w:t>
      </w:r>
      <w:r w:rsidR="00A87502">
        <w:rPr>
          <w:szCs w:val="22"/>
        </w:rPr>
        <w:t>3</w:t>
      </w:r>
      <w:r w:rsidRPr="006761B4">
        <w:rPr>
          <w:szCs w:val="22"/>
        </w:rPr>
        <w:t xml:space="preserve">, the Ethics Office responded to </w:t>
      </w:r>
      <w:r w:rsidRPr="006761B4">
        <w:rPr>
          <w:b/>
          <w:szCs w:val="22"/>
        </w:rPr>
        <w:t>1</w:t>
      </w:r>
      <w:r w:rsidR="0093425F">
        <w:rPr>
          <w:b/>
          <w:szCs w:val="22"/>
        </w:rPr>
        <w:t>68</w:t>
      </w:r>
      <w:r w:rsidRPr="006761B4">
        <w:rPr>
          <w:b/>
          <w:szCs w:val="22"/>
        </w:rPr>
        <w:t xml:space="preserve"> </w:t>
      </w:r>
      <w:r w:rsidRPr="006761B4">
        <w:rPr>
          <w:szCs w:val="22"/>
        </w:rPr>
        <w:t>individual</w:t>
      </w:r>
      <w:r w:rsidRPr="006761B4">
        <w:rPr>
          <w:b/>
          <w:szCs w:val="22"/>
        </w:rPr>
        <w:t xml:space="preserve"> </w:t>
      </w:r>
      <w:r w:rsidRPr="006761B4">
        <w:rPr>
          <w:szCs w:val="22"/>
        </w:rPr>
        <w:t>requests for ethics advice</w:t>
      </w:r>
      <w:r w:rsidRPr="006761B4">
        <w:rPr>
          <w:szCs w:val="22"/>
          <w:vertAlign w:val="superscript"/>
        </w:rPr>
        <w:footnoteReference w:id="4"/>
      </w:r>
      <w:r w:rsidR="006F757A">
        <w:rPr>
          <w:szCs w:val="22"/>
        </w:rPr>
        <w:t>,</w:t>
      </w:r>
      <w:r w:rsidRPr="006761B4">
        <w:rPr>
          <w:szCs w:val="22"/>
        </w:rPr>
        <w:t xml:space="preserve"> through in-person and virtual meetings or in writing.</w:t>
      </w:r>
      <w:r w:rsidR="005A77D3">
        <w:rPr>
          <w:szCs w:val="22"/>
        </w:rPr>
        <w:t xml:space="preserve"> </w:t>
      </w:r>
      <w:r w:rsidRPr="006761B4">
        <w:rPr>
          <w:szCs w:val="22"/>
        </w:rPr>
        <w:t xml:space="preserve"> </w:t>
      </w:r>
      <w:r w:rsidRPr="006761B4">
        <w:rPr>
          <w:b/>
          <w:szCs w:val="22"/>
        </w:rPr>
        <w:t>Figure 1</w:t>
      </w:r>
      <w:r w:rsidRPr="006761B4">
        <w:rPr>
          <w:szCs w:val="22"/>
        </w:rPr>
        <w:t xml:space="preserve"> summa</w:t>
      </w:r>
      <w:r w:rsidR="005A77D3">
        <w:rPr>
          <w:szCs w:val="22"/>
        </w:rPr>
        <w:t>rizes the requests from 201</w:t>
      </w:r>
      <w:r w:rsidR="00D80FD6">
        <w:rPr>
          <w:szCs w:val="22"/>
        </w:rPr>
        <w:t>9</w:t>
      </w:r>
      <w:r w:rsidR="005A77D3">
        <w:rPr>
          <w:szCs w:val="22"/>
        </w:rPr>
        <w:t xml:space="preserve"> to </w:t>
      </w:r>
      <w:r w:rsidRPr="006761B4">
        <w:rPr>
          <w:szCs w:val="22"/>
        </w:rPr>
        <w:t>202</w:t>
      </w:r>
      <w:r w:rsidR="00A87502">
        <w:rPr>
          <w:szCs w:val="22"/>
        </w:rPr>
        <w:t>3</w:t>
      </w:r>
      <w:r w:rsidRPr="006761B4">
        <w:rPr>
          <w:szCs w:val="22"/>
        </w:rPr>
        <w:t>.</w:t>
      </w:r>
    </w:p>
    <w:p w14:paraId="6202B961" w14:textId="6FF4CFF4" w:rsidR="006761B4" w:rsidRPr="006761B4" w:rsidRDefault="00E327E4" w:rsidP="00291793">
      <w:pPr>
        <w:numPr>
          <w:ilvl w:val="0"/>
          <w:numId w:val="5"/>
        </w:numPr>
        <w:spacing w:after="220"/>
        <w:rPr>
          <w:szCs w:val="22"/>
        </w:rPr>
      </w:pPr>
      <w:r>
        <w:rPr>
          <w:szCs w:val="22"/>
        </w:rPr>
        <w:t>A c</w:t>
      </w:r>
      <w:r w:rsidR="006761B4" w:rsidRPr="006761B4">
        <w:rPr>
          <w:szCs w:val="22"/>
        </w:rPr>
        <w:t>ompari</w:t>
      </w:r>
      <w:r>
        <w:rPr>
          <w:szCs w:val="22"/>
        </w:rPr>
        <w:t>son</w:t>
      </w:r>
      <w:r w:rsidR="006761B4" w:rsidRPr="006761B4">
        <w:rPr>
          <w:szCs w:val="22"/>
        </w:rPr>
        <w:t xml:space="preserve"> </w:t>
      </w:r>
      <w:r>
        <w:rPr>
          <w:szCs w:val="22"/>
        </w:rPr>
        <w:t xml:space="preserve">of </w:t>
      </w:r>
      <w:r w:rsidR="006761B4" w:rsidRPr="006761B4">
        <w:rPr>
          <w:szCs w:val="22"/>
        </w:rPr>
        <w:t>the number of requests received in 202</w:t>
      </w:r>
      <w:r w:rsidR="00730286">
        <w:rPr>
          <w:szCs w:val="22"/>
        </w:rPr>
        <w:t>3</w:t>
      </w:r>
      <w:r w:rsidR="006761B4" w:rsidRPr="006761B4">
        <w:rPr>
          <w:szCs w:val="22"/>
        </w:rPr>
        <w:t xml:space="preserve"> to those received in 202</w:t>
      </w:r>
      <w:r w:rsidR="00730286">
        <w:rPr>
          <w:szCs w:val="22"/>
        </w:rPr>
        <w:t>2</w:t>
      </w:r>
      <w:r w:rsidR="006761B4" w:rsidRPr="006761B4">
        <w:rPr>
          <w:szCs w:val="22"/>
        </w:rPr>
        <w:t xml:space="preserve"> shows a </w:t>
      </w:r>
      <w:r w:rsidR="00730286">
        <w:rPr>
          <w:szCs w:val="22"/>
        </w:rPr>
        <w:t>continuous</w:t>
      </w:r>
      <w:r w:rsidR="00730286" w:rsidRPr="006761B4">
        <w:rPr>
          <w:szCs w:val="22"/>
        </w:rPr>
        <w:t xml:space="preserve"> </w:t>
      </w:r>
      <w:r w:rsidR="006761B4" w:rsidRPr="006761B4">
        <w:rPr>
          <w:szCs w:val="22"/>
        </w:rPr>
        <w:t>increase</w:t>
      </w:r>
      <w:r w:rsidR="00730286">
        <w:rPr>
          <w:szCs w:val="22"/>
        </w:rPr>
        <w:t>.</w:t>
      </w:r>
      <w:r w:rsidR="006761B4" w:rsidRPr="006761B4">
        <w:rPr>
          <w:szCs w:val="22"/>
        </w:rPr>
        <w:t xml:space="preserve"> </w:t>
      </w:r>
      <w:r w:rsidR="005A77D3">
        <w:rPr>
          <w:szCs w:val="22"/>
        </w:rPr>
        <w:t xml:space="preserve"> </w:t>
      </w:r>
      <w:r w:rsidR="006761B4" w:rsidRPr="006761B4">
        <w:rPr>
          <w:szCs w:val="22"/>
        </w:rPr>
        <w:t xml:space="preserve">This reflects strengthened staff and management engagement with the Ethics </w:t>
      </w:r>
      <w:r w:rsidR="00414CBC" w:rsidRPr="006761B4">
        <w:rPr>
          <w:szCs w:val="22"/>
        </w:rPr>
        <w:t>Office and</w:t>
      </w:r>
      <w:r w:rsidR="006761B4" w:rsidRPr="006761B4">
        <w:rPr>
          <w:szCs w:val="22"/>
        </w:rPr>
        <w:t xml:space="preserve"> indicates a high level of trust in the Ethics Office as a resource for advice and a </w:t>
      </w:r>
      <w:r w:rsidR="0024530C">
        <w:rPr>
          <w:szCs w:val="22"/>
        </w:rPr>
        <w:t>“</w:t>
      </w:r>
      <w:r w:rsidR="006761B4" w:rsidRPr="006761B4">
        <w:rPr>
          <w:szCs w:val="22"/>
        </w:rPr>
        <w:t>safe space</w:t>
      </w:r>
      <w:r w:rsidR="0024530C">
        <w:rPr>
          <w:szCs w:val="22"/>
        </w:rPr>
        <w:t>”</w:t>
      </w:r>
      <w:r w:rsidR="006761B4" w:rsidRPr="006761B4">
        <w:rPr>
          <w:szCs w:val="22"/>
        </w:rPr>
        <w:t xml:space="preserve"> for practical guidance and support. </w:t>
      </w:r>
      <w:r w:rsidR="00421E03">
        <w:rPr>
          <w:szCs w:val="22"/>
        </w:rPr>
        <w:t xml:space="preserve"> </w:t>
      </w:r>
      <w:r w:rsidR="006761B4" w:rsidRPr="006761B4">
        <w:rPr>
          <w:szCs w:val="22"/>
        </w:rPr>
        <w:t>The higher number is also attributable to the Ethics Office</w:t>
      </w:r>
      <w:r w:rsidR="0024530C">
        <w:rPr>
          <w:szCs w:val="22"/>
        </w:rPr>
        <w:t>’</w:t>
      </w:r>
      <w:r w:rsidR="006761B4" w:rsidRPr="006761B4">
        <w:rPr>
          <w:szCs w:val="22"/>
        </w:rPr>
        <w:t xml:space="preserve">s proactive approach to outreach and training activities. The Ethics Office received a very high number of requests from the Human Resources Management Division (HRMD) to assess potential conflicts of interest related to the engagement of personnel in outside activities and employment, and this significantly increased the workload. </w:t>
      </w:r>
    </w:p>
    <w:p w14:paraId="1D8EBB5F" w14:textId="77777777" w:rsidR="00421E03" w:rsidRDefault="00421E03">
      <w:pPr>
        <w:rPr>
          <w:b/>
          <w:sz w:val="20"/>
        </w:rPr>
      </w:pPr>
      <w:r>
        <w:rPr>
          <w:b/>
          <w:sz w:val="20"/>
        </w:rPr>
        <w:br w:type="page"/>
      </w:r>
    </w:p>
    <w:p w14:paraId="07B6EC07" w14:textId="46CB56DC" w:rsidR="006761B4" w:rsidRPr="006761B4" w:rsidRDefault="006761B4" w:rsidP="006761B4">
      <w:pPr>
        <w:spacing w:after="220"/>
        <w:jc w:val="center"/>
        <w:rPr>
          <w:sz w:val="20"/>
        </w:rPr>
      </w:pPr>
      <w:r w:rsidRPr="006761B4">
        <w:rPr>
          <w:b/>
          <w:sz w:val="20"/>
        </w:rPr>
        <w:lastRenderedPageBreak/>
        <w:t>Figure 1.</w:t>
      </w:r>
      <w:r w:rsidRPr="006761B4">
        <w:rPr>
          <w:sz w:val="20"/>
        </w:rPr>
        <w:t xml:space="preserve"> Comparison of requests per reporting year, 201</w:t>
      </w:r>
      <w:r w:rsidR="00CF424E">
        <w:rPr>
          <w:sz w:val="20"/>
        </w:rPr>
        <w:t>9</w:t>
      </w:r>
      <w:r w:rsidRPr="006761B4">
        <w:rPr>
          <w:sz w:val="20"/>
        </w:rPr>
        <w:t xml:space="preserve"> to 202</w:t>
      </w:r>
      <w:r w:rsidR="00A87502">
        <w:rPr>
          <w:sz w:val="20"/>
        </w:rPr>
        <w:t>3</w:t>
      </w:r>
    </w:p>
    <w:p w14:paraId="0F898B15" w14:textId="23FAFB36" w:rsidR="006761B4" w:rsidRDefault="006761B4" w:rsidP="006761B4">
      <w:pPr>
        <w:spacing w:after="220"/>
        <w:jc w:val="center"/>
        <w:rPr>
          <w:sz w:val="20"/>
        </w:rPr>
      </w:pPr>
    </w:p>
    <w:p w14:paraId="4CEE2C3E" w14:textId="36F7620D" w:rsidR="00496267" w:rsidRPr="006761B4" w:rsidRDefault="00496267" w:rsidP="006761B4">
      <w:pPr>
        <w:spacing w:after="220"/>
        <w:jc w:val="center"/>
        <w:rPr>
          <w:sz w:val="20"/>
        </w:rPr>
      </w:pPr>
      <w:r>
        <w:rPr>
          <w:noProof/>
        </w:rPr>
        <w:drawing>
          <wp:inline distT="0" distB="0" distL="0" distR="0" wp14:anchorId="4B796C55" wp14:editId="5DD906A5">
            <wp:extent cx="5905500" cy="3309620"/>
            <wp:effectExtent l="0" t="0" r="0" b="5080"/>
            <wp:docPr id="2" name="Chart 2" descr="this chart compares the number of individual requests for ethics advice received each year, from 2019 to 2023.&#10;In 2019 there were 55 requests, in 2020 there were 50 requests, in 2021 there were 53 requests, in 2022 there were 155 requests and in 2023 there were 168 requests.">
              <a:extLst xmlns:a="http://schemas.openxmlformats.org/drawingml/2006/main">
                <a:ext uri="{FF2B5EF4-FFF2-40B4-BE49-F238E27FC236}">
                  <a16:creationId xmlns:a16="http://schemas.microsoft.com/office/drawing/2014/main" id="{918D7350-9FBB-E522-57B5-40A7612247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A9637F" w14:textId="65F8D9F2" w:rsidR="006761B4" w:rsidRPr="006761B4" w:rsidRDefault="006761B4" w:rsidP="00765A26">
      <w:pPr>
        <w:numPr>
          <w:ilvl w:val="0"/>
          <w:numId w:val="5"/>
        </w:numPr>
        <w:spacing w:after="220"/>
      </w:pPr>
      <w:r w:rsidRPr="006761B4">
        <w:t xml:space="preserve">Requests for advice and guidance covered a broad range of categories (see </w:t>
      </w:r>
      <w:r w:rsidRPr="006761B4">
        <w:rPr>
          <w:b/>
        </w:rPr>
        <w:t>Figure 2</w:t>
      </w:r>
      <w:r w:rsidRPr="006761B4">
        <w:t xml:space="preserve">). </w:t>
      </w:r>
      <w:r w:rsidR="00765A26">
        <w:t xml:space="preserve"> </w:t>
      </w:r>
      <w:r w:rsidRPr="006761B4">
        <w:t>The</w:t>
      </w:r>
      <w:r w:rsidRPr="006761B4">
        <w:rPr>
          <w:b/>
        </w:rPr>
        <w:t xml:space="preserve"> </w:t>
      </w:r>
      <w:r w:rsidRPr="006761B4">
        <w:t>majority concerned participation in outside activities and employment</w:t>
      </w:r>
      <w:r w:rsidRPr="006761B4">
        <w:rPr>
          <w:vertAlign w:val="superscript"/>
        </w:rPr>
        <w:footnoteReference w:id="5"/>
      </w:r>
      <w:r w:rsidRPr="006761B4">
        <w:t xml:space="preserve"> (</w:t>
      </w:r>
      <w:r w:rsidR="00F568D4">
        <w:rPr>
          <w:b/>
        </w:rPr>
        <w:t>68</w:t>
      </w:r>
      <w:r w:rsidRPr="006761B4">
        <w:rPr>
          <w:bCs/>
        </w:rPr>
        <w:t>, or</w:t>
      </w:r>
      <w:r w:rsidRPr="006761B4">
        <w:rPr>
          <w:b/>
        </w:rPr>
        <w:t xml:space="preserve"> </w:t>
      </w:r>
      <w:r w:rsidR="00913FBD">
        <w:rPr>
          <w:b/>
        </w:rPr>
        <w:t>40</w:t>
      </w:r>
      <w:r w:rsidRPr="006761B4">
        <w:rPr>
          <w:b/>
        </w:rPr>
        <w:t> per</w:t>
      </w:r>
      <w:r w:rsidR="00242AD0">
        <w:rPr>
          <w:b/>
        </w:rPr>
        <w:t xml:space="preserve"> </w:t>
      </w:r>
      <w:r w:rsidRPr="006761B4">
        <w:rPr>
          <w:b/>
        </w:rPr>
        <w:t>cent</w:t>
      </w:r>
      <w:r w:rsidRPr="006761B4">
        <w:t xml:space="preserve">) such as speaking engagements, teaching assignments and publishing, often on the topic of intellectual property (IP). </w:t>
      </w:r>
      <w:r w:rsidR="00765A26">
        <w:t xml:space="preserve"> </w:t>
      </w:r>
      <w:r w:rsidRPr="006761B4">
        <w:t>Most of these</w:t>
      </w:r>
      <w:r w:rsidRPr="006761B4">
        <w:rPr>
          <w:b/>
        </w:rPr>
        <w:t xml:space="preserve"> </w:t>
      </w:r>
      <w:r w:rsidRPr="006761B4">
        <w:t>requests (</w:t>
      </w:r>
      <w:r w:rsidR="0093425F">
        <w:rPr>
          <w:b/>
        </w:rPr>
        <w:t>43</w:t>
      </w:r>
      <w:r w:rsidRPr="006761B4">
        <w:t xml:space="preserve">) did not come directly to the Ethics Office, but rather through HRMD. </w:t>
      </w:r>
      <w:r w:rsidR="00765A26">
        <w:t xml:space="preserve"> </w:t>
      </w:r>
      <w:r w:rsidRPr="006761B4">
        <w:t>In these cases, the Ethics Office provided advice to the Director, HRMD on potential conflicts of interest</w:t>
      </w:r>
      <w:r w:rsidRPr="006761B4">
        <w:rPr>
          <w:vertAlign w:val="superscript"/>
        </w:rPr>
        <w:footnoteReference w:id="6"/>
      </w:r>
      <w:r w:rsidR="006F757A">
        <w:t>,</w:t>
      </w:r>
      <w:r w:rsidRPr="006761B4">
        <w:t xml:space="preserve"> </w:t>
      </w:r>
      <w:r w:rsidR="00772AFF" w:rsidRPr="006761B4">
        <w:t>although</w:t>
      </w:r>
      <w:r w:rsidRPr="006761B4">
        <w:t xml:space="preserve"> not having a dedicated role in the review of these cases under the current policy on outside activities.</w:t>
      </w:r>
      <w:r w:rsidR="00765A26">
        <w:t xml:space="preserve"> </w:t>
      </w:r>
      <w:r w:rsidRPr="006761B4">
        <w:t xml:space="preserve"> In other situations (</w:t>
      </w:r>
      <w:r w:rsidR="00730286">
        <w:rPr>
          <w:b/>
        </w:rPr>
        <w:t>2</w:t>
      </w:r>
      <w:r w:rsidR="00F568D4">
        <w:rPr>
          <w:b/>
        </w:rPr>
        <w:t>5</w:t>
      </w:r>
      <w:r w:rsidRPr="006761B4">
        <w:t>), individuals asked the Ethics Office whether an activity was appropriate (serving on a board of directors, providing third-party services, using WIPO information in written and research assignments, etc.), and the Ethics Office directly advised the individuals concerned.</w:t>
      </w:r>
    </w:p>
    <w:p w14:paraId="3F5AC1D3" w14:textId="0E3DA44C" w:rsidR="006761B4" w:rsidRPr="006761B4" w:rsidRDefault="006761B4" w:rsidP="00765A26">
      <w:pPr>
        <w:numPr>
          <w:ilvl w:val="0"/>
          <w:numId w:val="5"/>
        </w:numPr>
        <w:spacing w:after="220"/>
      </w:pPr>
      <w:r w:rsidRPr="006761B4">
        <w:t>The other major categories of requests related to</w:t>
      </w:r>
      <w:r w:rsidR="00A631FC">
        <w:t xml:space="preserve"> other</w:t>
      </w:r>
      <w:r w:rsidRPr="006761B4">
        <w:t xml:space="preserve"> conflict</w:t>
      </w:r>
      <w:r w:rsidR="00B12BEB">
        <w:t>s</w:t>
      </w:r>
      <w:r w:rsidRPr="006761B4">
        <w:t xml:space="preserve"> of interest</w:t>
      </w:r>
      <w:r w:rsidRPr="006761B4">
        <w:rPr>
          <w:vertAlign w:val="superscript"/>
        </w:rPr>
        <w:footnoteReference w:id="7"/>
      </w:r>
      <w:r w:rsidRPr="006761B4">
        <w:t xml:space="preserve"> (</w:t>
      </w:r>
      <w:r w:rsidR="00FC744F">
        <w:rPr>
          <w:b/>
        </w:rPr>
        <w:t>18</w:t>
      </w:r>
      <w:r w:rsidRPr="006761B4">
        <w:rPr>
          <w:bCs/>
        </w:rPr>
        <w:t xml:space="preserve">, or </w:t>
      </w:r>
      <w:r w:rsidR="00FC744F">
        <w:rPr>
          <w:b/>
        </w:rPr>
        <w:t>11</w:t>
      </w:r>
      <w:r w:rsidRPr="006761B4">
        <w:rPr>
          <w:b/>
        </w:rPr>
        <w:t> per</w:t>
      </w:r>
      <w:r w:rsidR="00371494">
        <w:rPr>
          <w:b/>
        </w:rPr>
        <w:t> </w:t>
      </w:r>
      <w:r w:rsidRPr="006761B4">
        <w:rPr>
          <w:b/>
        </w:rPr>
        <w:t>cent</w:t>
      </w:r>
      <w:r w:rsidRPr="006761B4">
        <w:t>), standards of conduct</w:t>
      </w:r>
      <w:r w:rsidRPr="006761B4">
        <w:rPr>
          <w:vertAlign w:val="superscript"/>
        </w:rPr>
        <w:footnoteReference w:id="8"/>
      </w:r>
      <w:r w:rsidRPr="006761B4">
        <w:t xml:space="preserve"> (</w:t>
      </w:r>
      <w:r w:rsidR="00FC744F">
        <w:rPr>
          <w:b/>
        </w:rPr>
        <w:t>21</w:t>
      </w:r>
      <w:r w:rsidRPr="006761B4">
        <w:rPr>
          <w:bCs/>
        </w:rPr>
        <w:t>, or</w:t>
      </w:r>
      <w:r w:rsidRPr="006761B4">
        <w:rPr>
          <w:b/>
        </w:rPr>
        <w:t xml:space="preserve"> 1</w:t>
      </w:r>
      <w:r w:rsidR="00913FBD">
        <w:rPr>
          <w:b/>
        </w:rPr>
        <w:t>2</w:t>
      </w:r>
      <w:r w:rsidRPr="006761B4">
        <w:rPr>
          <w:b/>
        </w:rPr>
        <w:t> per</w:t>
      </w:r>
      <w:r w:rsidR="00242AD0">
        <w:rPr>
          <w:b/>
        </w:rPr>
        <w:t xml:space="preserve"> </w:t>
      </w:r>
      <w:r w:rsidRPr="006761B4">
        <w:rPr>
          <w:b/>
        </w:rPr>
        <w:t>cent</w:t>
      </w:r>
      <w:r w:rsidRPr="006761B4">
        <w:t>) and other ethics advice</w:t>
      </w:r>
      <w:r w:rsidRPr="006761B4">
        <w:rPr>
          <w:vertAlign w:val="superscript"/>
        </w:rPr>
        <w:footnoteReference w:id="9"/>
      </w:r>
      <w:r w:rsidRPr="006761B4">
        <w:t xml:space="preserve"> (</w:t>
      </w:r>
      <w:r w:rsidRPr="006761B4">
        <w:rPr>
          <w:b/>
        </w:rPr>
        <w:t>1</w:t>
      </w:r>
      <w:r w:rsidR="00FC744F">
        <w:rPr>
          <w:b/>
        </w:rPr>
        <w:t>5</w:t>
      </w:r>
      <w:r w:rsidRPr="006761B4">
        <w:rPr>
          <w:bCs/>
        </w:rPr>
        <w:t xml:space="preserve">, or </w:t>
      </w:r>
      <w:r w:rsidRPr="006761B4">
        <w:rPr>
          <w:b/>
        </w:rPr>
        <w:t>9 per</w:t>
      </w:r>
      <w:r w:rsidR="00371494">
        <w:rPr>
          <w:b/>
        </w:rPr>
        <w:t> </w:t>
      </w:r>
      <w:r w:rsidRPr="006761B4">
        <w:rPr>
          <w:b/>
        </w:rPr>
        <w:t>cent</w:t>
      </w:r>
      <w:r w:rsidRPr="006761B4">
        <w:t xml:space="preserve">) related to the fair and transparent application of policies and procedures, the </w:t>
      </w:r>
      <w:r w:rsidRPr="006761B4">
        <w:lastRenderedPageBreak/>
        <w:t xml:space="preserve">reporting of misconduct including harassment and sexual harassment, and other workplace concerns. </w:t>
      </w:r>
    </w:p>
    <w:p w14:paraId="17CA8875" w14:textId="13A49A74" w:rsidR="006761B4" w:rsidRDefault="006761B4" w:rsidP="00765A26">
      <w:pPr>
        <w:numPr>
          <w:ilvl w:val="0"/>
          <w:numId w:val="5"/>
        </w:numPr>
        <w:spacing w:after="220"/>
      </w:pPr>
      <w:r w:rsidRPr="006761B4">
        <w:t>The Ethics Office also recorded requests in the following categories: gifts</w:t>
      </w:r>
      <w:r w:rsidRPr="006761B4">
        <w:rPr>
          <w:vertAlign w:val="superscript"/>
        </w:rPr>
        <w:footnoteReference w:id="10"/>
      </w:r>
      <w:r w:rsidR="003B7B3F">
        <w:t xml:space="preserve"> </w:t>
      </w:r>
      <w:r w:rsidRPr="006761B4">
        <w:t>(</w:t>
      </w:r>
      <w:r w:rsidR="00FC744F">
        <w:rPr>
          <w:b/>
        </w:rPr>
        <w:t>21</w:t>
      </w:r>
      <w:r w:rsidRPr="006761B4">
        <w:rPr>
          <w:bCs/>
        </w:rPr>
        <w:t xml:space="preserve">, or </w:t>
      </w:r>
      <w:r w:rsidR="00FC744F">
        <w:rPr>
          <w:b/>
        </w:rPr>
        <w:t>1</w:t>
      </w:r>
      <w:r w:rsidR="00913FBD">
        <w:rPr>
          <w:b/>
        </w:rPr>
        <w:t>2</w:t>
      </w:r>
      <w:r w:rsidRPr="006761B4">
        <w:rPr>
          <w:b/>
        </w:rPr>
        <w:t> per</w:t>
      </w:r>
      <w:r w:rsidR="00242AD0">
        <w:rPr>
          <w:b/>
        </w:rPr>
        <w:t> </w:t>
      </w:r>
      <w:r w:rsidRPr="006761B4">
        <w:rPr>
          <w:b/>
        </w:rPr>
        <w:t>cent</w:t>
      </w:r>
      <w:r w:rsidRPr="006761B4">
        <w:t>), financial disclosure (</w:t>
      </w:r>
      <w:r w:rsidR="00FC744F">
        <w:rPr>
          <w:b/>
        </w:rPr>
        <w:t>13</w:t>
      </w:r>
      <w:r w:rsidRPr="006761B4">
        <w:rPr>
          <w:bCs/>
        </w:rPr>
        <w:t>, or</w:t>
      </w:r>
      <w:r w:rsidRPr="006761B4">
        <w:rPr>
          <w:b/>
        </w:rPr>
        <w:t xml:space="preserve"> </w:t>
      </w:r>
      <w:r w:rsidR="00FC744F">
        <w:rPr>
          <w:b/>
        </w:rPr>
        <w:t>8</w:t>
      </w:r>
      <w:r w:rsidRPr="006761B4">
        <w:rPr>
          <w:b/>
        </w:rPr>
        <w:t> per</w:t>
      </w:r>
      <w:r w:rsidR="00242AD0">
        <w:rPr>
          <w:b/>
        </w:rPr>
        <w:t xml:space="preserve"> </w:t>
      </w:r>
      <w:r w:rsidRPr="006761B4">
        <w:rPr>
          <w:b/>
        </w:rPr>
        <w:t>cent</w:t>
      </w:r>
      <w:r w:rsidRPr="006761B4">
        <w:t xml:space="preserve">), </w:t>
      </w:r>
      <w:r w:rsidR="003B7B3F">
        <w:t>family and close relationships (</w:t>
      </w:r>
      <w:r w:rsidR="003B7B3F" w:rsidRPr="003B7B3F">
        <w:rPr>
          <w:b/>
          <w:bCs/>
        </w:rPr>
        <w:t>1</w:t>
      </w:r>
      <w:r w:rsidR="003B7B3F">
        <w:t xml:space="preserve">, or </w:t>
      </w:r>
      <w:r w:rsidR="003B7B3F" w:rsidRPr="00371494">
        <w:rPr>
          <w:b/>
          <w:bCs/>
        </w:rPr>
        <w:t>1</w:t>
      </w:r>
      <w:r w:rsidR="00371494" w:rsidRPr="00621C5C">
        <w:rPr>
          <w:b/>
          <w:bCs/>
        </w:rPr>
        <w:t> </w:t>
      </w:r>
      <w:r w:rsidR="003B7B3F" w:rsidRPr="00371494">
        <w:rPr>
          <w:b/>
          <w:bCs/>
        </w:rPr>
        <w:t>per</w:t>
      </w:r>
      <w:r w:rsidR="00371494" w:rsidRPr="00621C5C">
        <w:rPr>
          <w:b/>
          <w:bCs/>
        </w:rPr>
        <w:t> </w:t>
      </w:r>
      <w:r w:rsidR="003B7B3F" w:rsidRPr="00371494">
        <w:rPr>
          <w:b/>
          <w:bCs/>
        </w:rPr>
        <w:t>cent</w:t>
      </w:r>
      <w:r w:rsidR="003B7B3F" w:rsidRPr="00371494">
        <w:t>)</w:t>
      </w:r>
      <w:r w:rsidR="003B7B3F">
        <w:t xml:space="preserve"> </w:t>
      </w:r>
      <w:r w:rsidRPr="006761B4">
        <w:t>and retaliation (</w:t>
      </w:r>
      <w:r w:rsidR="00FC744F">
        <w:rPr>
          <w:b/>
        </w:rPr>
        <w:t>11</w:t>
      </w:r>
      <w:r w:rsidRPr="006761B4">
        <w:rPr>
          <w:bCs/>
        </w:rPr>
        <w:t>, or</w:t>
      </w:r>
      <w:r w:rsidRPr="006761B4">
        <w:rPr>
          <w:b/>
        </w:rPr>
        <w:t xml:space="preserve"> </w:t>
      </w:r>
      <w:r w:rsidR="00FC744F">
        <w:rPr>
          <w:b/>
        </w:rPr>
        <w:t>7</w:t>
      </w:r>
      <w:r w:rsidRPr="006761B4">
        <w:rPr>
          <w:b/>
        </w:rPr>
        <w:t xml:space="preserve"> per</w:t>
      </w:r>
      <w:r w:rsidR="00242AD0">
        <w:rPr>
          <w:b/>
        </w:rPr>
        <w:t xml:space="preserve"> </w:t>
      </w:r>
      <w:r w:rsidRPr="006761B4">
        <w:rPr>
          <w:b/>
        </w:rPr>
        <w:t>cent</w:t>
      </w:r>
      <w:r w:rsidRPr="006761B4">
        <w:rPr>
          <w:bCs/>
        </w:rPr>
        <w:t>)</w:t>
      </w:r>
      <w:r w:rsidR="00765A26">
        <w:t xml:space="preserve"> (see Section </w:t>
      </w:r>
      <w:r w:rsidRPr="006761B4">
        <w:t>D).</w:t>
      </w:r>
    </w:p>
    <w:p w14:paraId="7C6DB2ED" w14:textId="77777777" w:rsidR="008873D4" w:rsidRPr="006761B4" w:rsidRDefault="008873D4" w:rsidP="008873D4">
      <w:pPr>
        <w:spacing w:after="220"/>
      </w:pPr>
    </w:p>
    <w:p w14:paraId="29C1564C" w14:textId="3176F605" w:rsidR="00370644" w:rsidRDefault="006761B4" w:rsidP="00370644">
      <w:pPr>
        <w:spacing w:after="220"/>
        <w:jc w:val="center"/>
        <w:rPr>
          <w:noProof/>
          <w:lang w:eastAsia="en-US"/>
        </w:rPr>
      </w:pPr>
      <w:r w:rsidRPr="00AD06DF">
        <w:rPr>
          <w:b/>
          <w:sz w:val="20"/>
        </w:rPr>
        <w:t>Figure 2</w:t>
      </w:r>
      <w:r w:rsidRPr="00AD06DF">
        <w:rPr>
          <w:b/>
          <w:bCs/>
          <w:sz w:val="20"/>
        </w:rPr>
        <w:t>.</w:t>
      </w:r>
      <w:r w:rsidRPr="00AD06DF">
        <w:rPr>
          <w:sz w:val="20"/>
        </w:rPr>
        <w:t xml:space="preserve"> Breakdown of advice by category</w:t>
      </w:r>
    </w:p>
    <w:p w14:paraId="02BC6418" w14:textId="7F41B105" w:rsidR="00751AE0" w:rsidRDefault="00B47EB4" w:rsidP="00370644">
      <w:pPr>
        <w:spacing w:after="220"/>
        <w:jc w:val="center"/>
      </w:pPr>
      <w:r>
        <w:rPr>
          <w:noProof/>
        </w:rPr>
        <w:drawing>
          <wp:inline distT="0" distB="0" distL="0" distR="0" wp14:anchorId="3C51CF61" wp14:editId="71D4FD3B">
            <wp:extent cx="5940425" cy="3726815"/>
            <wp:effectExtent l="0" t="0" r="3175" b="6985"/>
            <wp:docPr id="14" name="Chart 14" descr="Figure 2. Requests for advice and guidance covered a broad range of categories The majority concerned participation in outside activities and employment  (68, or 40 per cent) such as speaking engagements, teaching assignments and publishing, often on the topic of intellectual property (IP).  Most of these requests (43) did not come directly to the Ethics Office, but rather through  HRMD.  In these cases, the Ethics Office provided advice to the Director, HRMD on potential conflicts of interest , although not having a dedicated role in the review of these cases under the current policy on outside activities.  In other situations (25), individuals asked the Ethics Office whether an activity was appropriate (serving on a board of directors, providing third-party services, using WIPO information in written and research assignments, etc.), and the Ethics Office directly advised the individuals concerned.&#10;The other major categories of requests related to other conflicts of interest  (18, or 11 per cent), standards of conduct    (21, or 12 per cent) and other ethics advice  (15, or 9 per cent) related to the fair and transparent application of policies and procedures, the reporting of misconduct including harassment and sexual harassment, and other workplace concerns.&#10;">
              <a:extLst xmlns:a="http://schemas.openxmlformats.org/drawingml/2006/main">
                <a:ext uri="{FF2B5EF4-FFF2-40B4-BE49-F238E27FC236}">
                  <a16:creationId xmlns:a16="http://schemas.microsoft.com/office/drawing/2014/main" id="{00C3D9C7-8AD5-1AA6-12E0-BF7154D6220B}"/>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554414" w14:textId="77777777" w:rsidR="00DB67BD" w:rsidRDefault="00DB67BD" w:rsidP="00370644">
      <w:pPr>
        <w:spacing w:after="220"/>
        <w:jc w:val="center"/>
      </w:pPr>
    </w:p>
    <w:p w14:paraId="4C4BAA5C" w14:textId="0B2EF6A0" w:rsidR="006761B4" w:rsidRPr="00AD06DF" w:rsidRDefault="006761B4" w:rsidP="00370644">
      <w:pPr>
        <w:pStyle w:val="ONUME"/>
      </w:pPr>
      <w:r w:rsidRPr="00FB76D1">
        <w:t xml:space="preserve">As shown in </w:t>
      </w:r>
      <w:r w:rsidRPr="00FB76D1">
        <w:rPr>
          <w:b/>
        </w:rPr>
        <w:t>Figure 3</w:t>
      </w:r>
      <w:r w:rsidRPr="00FB76D1">
        <w:t xml:space="preserve">, </w:t>
      </w:r>
      <w:proofErr w:type="gramStart"/>
      <w:r w:rsidRPr="00FB76D1">
        <w:t>the majority of</w:t>
      </w:r>
      <w:proofErr w:type="gramEnd"/>
      <w:r w:rsidRPr="00FB76D1">
        <w:t xml:space="preserve"> requests were made by WIPO personnel (</w:t>
      </w:r>
      <w:r w:rsidR="00D56314" w:rsidRPr="00FB76D1">
        <w:rPr>
          <w:b/>
        </w:rPr>
        <w:t>168</w:t>
      </w:r>
      <w:r w:rsidRPr="00FB76D1">
        <w:t xml:space="preserve">). </w:t>
      </w:r>
      <w:r w:rsidR="00765A26" w:rsidRPr="00FB76D1">
        <w:t xml:space="preserve"> </w:t>
      </w:r>
      <w:r w:rsidRPr="00FB76D1">
        <w:t xml:space="preserve">Within this category, </w:t>
      </w:r>
      <w:r w:rsidR="00F568D4" w:rsidRPr="00FB76D1">
        <w:rPr>
          <w:b/>
        </w:rPr>
        <w:t>114</w:t>
      </w:r>
      <w:r w:rsidRPr="00FB76D1">
        <w:t xml:space="preserve"> came from staff members, </w:t>
      </w:r>
      <w:r w:rsidR="00751AE0" w:rsidRPr="00FB76D1">
        <w:rPr>
          <w:b/>
        </w:rPr>
        <w:t>1</w:t>
      </w:r>
      <w:r w:rsidR="00C3691A">
        <w:rPr>
          <w:b/>
        </w:rPr>
        <w:t xml:space="preserve"> </w:t>
      </w:r>
      <w:r w:rsidR="00BF18C6" w:rsidRPr="00BF18C6">
        <w:rPr>
          <w:bCs/>
        </w:rPr>
        <w:t>f</w:t>
      </w:r>
      <w:r w:rsidRPr="00FB76D1">
        <w:t>rom non-staff personnel</w:t>
      </w:r>
      <w:r w:rsidRPr="00AD06DF">
        <w:rPr>
          <w:vertAlign w:val="superscript"/>
        </w:rPr>
        <w:footnoteReference w:id="11"/>
      </w:r>
      <w:r w:rsidR="006F757A">
        <w:t>.</w:t>
      </w:r>
      <w:r w:rsidRPr="007C7534">
        <w:t xml:space="preserve"> </w:t>
      </w:r>
      <w:r w:rsidR="00765A26" w:rsidRPr="007C7534">
        <w:t xml:space="preserve"> </w:t>
      </w:r>
      <w:r w:rsidRPr="007C7534">
        <w:t>The Ethics Office also received departmental requests</w:t>
      </w:r>
      <w:r w:rsidR="007633A8" w:rsidRPr="007C7534">
        <w:t xml:space="preserve"> </w:t>
      </w:r>
      <w:r w:rsidRPr="007C7534">
        <w:t xml:space="preserve">from HRMD </w:t>
      </w:r>
      <w:r w:rsidR="007633A8" w:rsidRPr="007C7534">
        <w:t xml:space="preserve">on outside activities </w:t>
      </w:r>
      <w:r w:rsidRPr="007C7534">
        <w:t>(</w:t>
      </w:r>
      <w:r w:rsidR="00F568D4" w:rsidRPr="007C7534">
        <w:rPr>
          <w:b/>
        </w:rPr>
        <w:t>43</w:t>
      </w:r>
      <w:r w:rsidRPr="007C7534">
        <w:t xml:space="preserve">), and </w:t>
      </w:r>
      <w:r w:rsidR="00C3691A">
        <w:t>m</w:t>
      </w:r>
      <w:r w:rsidRPr="007C7534">
        <w:t>anagement</w:t>
      </w:r>
      <w:r w:rsidR="00C3691A">
        <w:t xml:space="preserve"> </w:t>
      </w:r>
      <w:r w:rsidRPr="007C7534">
        <w:t>requests, meaning queries from WIPO</w:t>
      </w:r>
      <w:r w:rsidR="00C3691A">
        <w:t xml:space="preserve"> managers</w:t>
      </w:r>
      <w:r w:rsidRPr="007C7534">
        <w:t xml:space="preserve"> in </w:t>
      </w:r>
      <w:r w:rsidR="007633A8" w:rsidRPr="007C7534">
        <w:t xml:space="preserve">the performance of </w:t>
      </w:r>
      <w:r w:rsidRPr="007C7534">
        <w:t xml:space="preserve">their official </w:t>
      </w:r>
      <w:r w:rsidR="007633A8" w:rsidRPr="007C7534">
        <w:t>managerial function</w:t>
      </w:r>
      <w:r w:rsidRPr="007C7534">
        <w:t xml:space="preserve"> (</w:t>
      </w:r>
      <w:r w:rsidR="00D56314" w:rsidRPr="007C7534">
        <w:rPr>
          <w:b/>
        </w:rPr>
        <w:t>7</w:t>
      </w:r>
      <w:r w:rsidRPr="007C7534">
        <w:t xml:space="preserve">). </w:t>
      </w:r>
      <w:r w:rsidR="00765A26" w:rsidRPr="007C7534">
        <w:t xml:space="preserve"> </w:t>
      </w:r>
      <w:r w:rsidRPr="007C7534">
        <w:t xml:space="preserve">There </w:t>
      </w:r>
      <w:r w:rsidR="00FB463D" w:rsidRPr="007C7534">
        <w:t>were</w:t>
      </w:r>
      <w:r w:rsidRPr="007C7534">
        <w:t xml:space="preserve"> </w:t>
      </w:r>
      <w:r w:rsidR="00F568D4" w:rsidRPr="007C7534">
        <w:rPr>
          <w:b/>
          <w:bCs/>
        </w:rPr>
        <w:t>four</w:t>
      </w:r>
      <w:r w:rsidR="00F568D4" w:rsidRPr="007C7534">
        <w:t xml:space="preserve"> </w:t>
      </w:r>
      <w:r w:rsidRPr="007C7534">
        <w:t>request</w:t>
      </w:r>
      <w:r w:rsidR="00BC1EC6" w:rsidRPr="007C7534">
        <w:t>s</w:t>
      </w:r>
      <w:r w:rsidRPr="00AD06DF">
        <w:t xml:space="preserve"> from former member</w:t>
      </w:r>
      <w:r w:rsidR="0024530C">
        <w:t>s</w:t>
      </w:r>
      <w:r w:rsidRPr="00AD06DF">
        <w:t xml:space="preserve"> of WIPO personnel. </w:t>
      </w:r>
    </w:p>
    <w:p w14:paraId="1024A115" w14:textId="77777777" w:rsidR="00DB67BD" w:rsidRDefault="00DB67BD" w:rsidP="00DB67BD">
      <w:pPr>
        <w:pStyle w:val="ONUME"/>
        <w:numPr>
          <w:ilvl w:val="0"/>
          <w:numId w:val="0"/>
        </w:numPr>
        <w:rPr>
          <w:highlight w:val="yellow"/>
        </w:rPr>
      </w:pPr>
    </w:p>
    <w:p w14:paraId="617CFCAC" w14:textId="77777777" w:rsidR="00DB67BD" w:rsidRDefault="00DB67BD" w:rsidP="00DB67BD">
      <w:pPr>
        <w:pStyle w:val="ONUME"/>
        <w:numPr>
          <w:ilvl w:val="0"/>
          <w:numId w:val="0"/>
        </w:numPr>
        <w:rPr>
          <w:highlight w:val="yellow"/>
        </w:rPr>
      </w:pPr>
    </w:p>
    <w:p w14:paraId="29B912C9" w14:textId="77777777" w:rsidR="005D6FFE" w:rsidRDefault="005D6FFE" w:rsidP="00DB67BD">
      <w:pPr>
        <w:pStyle w:val="ONUME"/>
        <w:numPr>
          <w:ilvl w:val="0"/>
          <w:numId w:val="0"/>
        </w:numPr>
        <w:rPr>
          <w:highlight w:val="yellow"/>
        </w:rPr>
      </w:pPr>
    </w:p>
    <w:p w14:paraId="47CB0774" w14:textId="77777777" w:rsidR="00FB463D" w:rsidRDefault="00FB463D" w:rsidP="00AD06DF">
      <w:pPr>
        <w:spacing w:after="220"/>
        <w:jc w:val="center"/>
        <w:rPr>
          <w:noProof/>
          <w:lang w:eastAsia="en-US"/>
        </w:rPr>
      </w:pPr>
      <w:r w:rsidRPr="006761B4">
        <w:rPr>
          <w:b/>
          <w:sz w:val="20"/>
        </w:rPr>
        <w:lastRenderedPageBreak/>
        <w:t>Figure 3</w:t>
      </w:r>
      <w:r w:rsidRPr="006761B4">
        <w:rPr>
          <w:b/>
          <w:bCs/>
          <w:sz w:val="20"/>
        </w:rPr>
        <w:t>.</w:t>
      </w:r>
      <w:r w:rsidRPr="006761B4">
        <w:rPr>
          <w:sz w:val="20"/>
        </w:rPr>
        <w:t xml:space="preserve"> Origin of requests</w:t>
      </w:r>
    </w:p>
    <w:p w14:paraId="0A05EE8E" w14:textId="77777777" w:rsidR="008873D4" w:rsidRDefault="00FB463D" w:rsidP="008873D4">
      <w:pPr>
        <w:spacing w:after="220"/>
        <w:rPr>
          <w:sz w:val="20"/>
        </w:rPr>
      </w:pPr>
      <w:r>
        <w:rPr>
          <w:noProof/>
        </w:rPr>
        <w:drawing>
          <wp:inline distT="0" distB="0" distL="0" distR="0" wp14:anchorId="1280D055" wp14:editId="31B49F6D">
            <wp:extent cx="5695950" cy="3524250"/>
            <wp:effectExtent l="0" t="0" r="0" b="0"/>
            <wp:docPr id="7" name="Chart 7" descr="Figure 3, the majority of requests were made by WIPO personnel (168).  Within this category, 114 came from staff members, 1 from non-staff personnel .  The Ethics Office also received departmental requests from HRMD on outside activities (43), and management requests, meaning queries from WIPO managers in the performance of their official managerial function (7).  There were four requests from former members of WIPO personnel. ">
              <a:extLst xmlns:a="http://schemas.openxmlformats.org/drawingml/2006/main">
                <a:ext uri="{FF2B5EF4-FFF2-40B4-BE49-F238E27FC236}">
                  <a16:creationId xmlns:a16="http://schemas.microsoft.com/office/drawing/2014/main" id="{3FD2CDF5-183B-8C66-1326-C806F885E866}"/>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634058" w14:textId="77777777" w:rsidR="008873D4" w:rsidRPr="008873D4" w:rsidRDefault="008873D4" w:rsidP="008873D4">
      <w:pPr>
        <w:spacing w:after="220"/>
        <w:rPr>
          <w:sz w:val="20"/>
        </w:rPr>
      </w:pPr>
    </w:p>
    <w:p w14:paraId="1CC0E23E" w14:textId="4F51A3CE" w:rsidR="00FB463D" w:rsidRPr="00FB463D" w:rsidRDefault="00FB463D" w:rsidP="00FB463D">
      <w:pPr>
        <w:numPr>
          <w:ilvl w:val="0"/>
          <w:numId w:val="5"/>
        </w:numPr>
        <w:spacing w:after="220"/>
        <w:rPr>
          <w:sz w:val="20"/>
        </w:rPr>
      </w:pPr>
      <w:r w:rsidRPr="00FB463D">
        <w:t xml:space="preserve">A total of </w:t>
      </w:r>
      <w:r w:rsidRPr="00FB463D">
        <w:rPr>
          <w:b/>
        </w:rPr>
        <w:t>152</w:t>
      </w:r>
      <w:r w:rsidRPr="00FB463D">
        <w:t xml:space="preserve"> requests (</w:t>
      </w:r>
      <w:r w:rsidRPr="00FB463D">
        <w:rPr>
          <w:b/>
        </w:rPr>
        <w:t>90 per cent</w:t>
      </w:r>
      <w:r w:rsidRPr="00FB463D">
        <w:t xml:space="preserve">) out of </w:t>
      </w:r>
      <w:r w:rsidRPr="00FB463D">
        <w:rPr>
          <w:b/>
        </w:rPr>
        <w:t>168</w:t>
      </w:r>
      <w:r w:rsidRPr="00FB463D">
        <w:t xml:space="preserve"> were substantively handled solely by the Ethics Office.  In a small number of cases (</w:t>
      </w:r>
      <w:r w:rsidRPr="00FB463D">
        <w:rPr>
          <w:b/>
        </w:rPr>
        <w:t>16</w:t>
      </w:r>
      <w:r w:rsidRPr="00FB463D">
        <w:rPr>
          <w:bCs/>
        </w:rPr>
        <w:t>, or</w:t>
      </w:r>
      <w:r w:rsidRPr="00FB463D">
        <w:rPr>
          <w:b/>
        </w:rPr>
        <w:t xml:space="preserve"> 10 per cent</w:t>
      </w:r>
      <w:r w:rsidRPr="00FB463D">
        <w:t>), the Ethics Office directed staff and non-staff personnel to seek external support for matters related to grievances, dispute settlements and for reporting alleged wrongdoing.  Referrals were mad</w:t>
      </w:r>
      <w:r w:rsidRPr="00366A2C">
        <w:t xml:space="preserve">e to HRMD, the Office of the Ombudsperson (OMB), the Internal Oversight Division (IOD), and to management (see </w:t>
      </w:r>
      <w:r w:rsidRPr="00366A2C">
        <w:rPr>
          <w:b/>
        </w:rPr>
        <w:t>Figure 4</w:t>
      </w:r>
      <w:r w:rsidRPr="00366A2C">
        <w:t xml:space="preserve">). </w:t>
      </w:r>
    </w:p>
    <w:p w14:paraId="1204E02F" w14:textId="77777777" w:rsidR="00FB463D" w:rsidRDefault="00FB463D" w:rsidP="00FB463D">
      <w:pPr>
        <w:spacing w:after="220"/>
        <w:jc w:val="center"/>
        <w:rPr>
          <w:sz w:val="20"/>
        </w:rPr>
      </w:pPr>
      <w:r w:rsidRPr="006761B4">
        <w:rPr>
          <w:b/>
          <w:sz w:val="20"/>
        </w:rPr>
        <w:t>Figure 4</w:t>
      </w:r>
      <w:r w:rsidRPr="006761B4">
        <w:rPr>
          <w:b/>
          <w:bCs/>
          <w:sz w:val="20"/>
        </w:rPr>
        <w:t>.</w:t>
      </w:r>
      <w:r w:rsidRPr="006761B4">
        <w:rPr>
          <w:sz w:val="20"/>
        </w:rPr>
        <w:t xml:space="preserve"> External referrals</w:t>
      </w:r>
    </w:p>
    <w:p w14:paraId="2B5F27DB" w14:textId="4C96719C" w:rsidR="00353862" w:rsidRPr="006761B4" w:rsidRDefault="00FB463D" w:rsidP="006761B4">
      <w:pPr>
        <w:spacing w:after="220"/>
        <w:jc w:val="center"/>
      </w:pPr>
      <w:r>
        <w:rPr>
          <w:noProof/>
        </w:rPr>
        <w:drawing>
          <wp:inline distT="0" distB="0" distL="0" distR="0" wp14:anchorId="294F5986" wp14:editId="3A2FE59C">
            <wp:extent cx="4676775" cy="2638425"/>
            <wp:effectExtent l="0" t="0" r="9525" b="9525"/>
            <wp:docPr id="6" name="Chart 6" descr="Figure 4. A total of 152 requests (90 per cent) out of 168 were substantively handled solely by the Ethics Office.  In a small number of cases (16, or 10 per cent), the Ethics Office directed staff and non-staff personnel to seek external support for matters related to grievances, dispute settlements and for reporting alleged wrongdoing.  Referrals were made to HRMD, the Office of the Ombudsperson (OMB), the Internal Oversight Division (IOD), and to management.">
              <a:extLst xmlns:a="http://schemas.openxmlformats.org/drawingml/2006/main">
                <a:ext uri="{FF2B5EF4-FFF2-40B4-BE49-F238E27FC236}">
                  <a16:creationId xmlns:a16="http://schemas.microsoft.com/office/drawing/2014/main" id="{1D74C6D2-1787-3EB4-EB03-BC6841A5BF39}"/>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0BEB6A" w14:textId="77777777" w:rsidR="006761B4" w:rsidRPr="006761B4" w:rsidRDefault="006761B4" w:rsidP="00621C5C">
      <w:pPr>
        <w:pStyle w:val="Heading2"/>
        <w:spacing w:after="220"/>
        <w:ind w:left="567"/>
      </w:pPr>
      <w:r w:rsidRPr="006761B4">
        <w:lastRenderedPageBreak/>
        <w:t>B.</w:t>
      </w:r>
      <w:r w:rsidRPr="006761B4">
        <w:tab/>
        <w:t>AWARENESS RAISING AND TRAINING</w:t>
      </w:r>
    </w:p>
    <w:p w14:paraId="3452E985" w14:textId="77777777" w:rsidR="006761B4" w:rsidRDefault="006761B4" w:rsidP="003C1EE2">
      <w:pPr>
        <w:numPr>
          <w:ilvl w:val="0"/>
          <w:numId w:val="5"/>
        </w:numPr>
        <w:spacing w:after="220"/>
      </w:pPr>
      <w:r w:rsidRPr="006761B4">
        <w:t>The awareness-raising and training activities of the Ethics Office aim to reinforce the core values and principles of WIPO, increase knowledge of and compliance with ethics-related policies, and encourage personnel and management to maintain high ethical standards.</w:t>
      </w:r>
    </w:p>
    <w:p w14:paraId="17C97B6F" w14:textId="0568454D" w:rsidR="00FB463D" w:rsidRPr="00FB76D1" w:rsidRDefault="00FB463D" w:rsidP="003C1EE2">
      <w:pPr>
        <w:numPr>
          <w:ilvl w:val="0"/>
          <w:numId w:val="5"/>
        </w:numPr>
        <w:spacing w:after="220"/>
      </w:pPr>
      <w:r w:rsidRPr="00FB76D1">
        <w:t xml:space="preserve">In 2023, the Ethics Office </w:t>
      </w:r>
      <w:r w:rsidR="00796EAD">
        <w:t>continued its</w:t>
      </w:r>
      <w:r w:rsidR="00796EAD" w:rsidRPr="00FB76D1">
        <w:t xml:space="preserve"> </w:t>
      </w:r>
      <w:r w:rsidRPr="00FB76D1">
        <w:t>training and awareness-raising activities</w:t>
      </w:r>
      <w:r w:rsidR="00FB76D1" w:rsidRPr="00FB76D1">
        <w:t>.</w:t>
      </w:r>
    </w:p>
    <w:p w14:paraId="6429EDFB" w14:textId="43074274" w:rsidR="00FB76D1" w:rsidRDefault="00FB76D1" w:rsidP="003C1EE2">
      <w:pPr>
        <w:numPr>
          <w:ilvl w:val="0"/>
          <w:numId w:val="5"/>
        </w:numPr>
        <w:spacing w:after="220"/>
      </w:pPr>
      <w:r w:rsidRPr="006761B4">
        <w:t xml:space="preserve">The </w:t>
      </w:r>
      <w:r>
        <w:t>Ethics Office</w:t>
      </w:r>
      <w:r w:rsidRPr="006761B4">
        <w:t xml:space="preserve"> delivered </w:t>
      </w:r>
      <w:r>
        <w:rPr>
          <w:b/>
        </w:rPr>
        <w:t>four</w:t>
      </w:r>
      <w:r w:rsidRPr="006761B4">
        <w:t xml:space="preserve"> induction training sessions on ethics at WIPO in March</w:t>
      </w:r>
      <w:r>
        <w:t>, July, October, and December</w:t>
      </w:r>
      <w:r w:rsidRPr="006761B4">
        <w:t xml:space="preserve">, reaching </w:t>
      </w:r>
      <w:r>
        <w:rPr>
          <w:b/>
        </w:rPr>
        <w:t>109</w:t>
      </w:r>
      <w:r w:rsidRPr="006761B4">
        <w:t xml:space="preserve"> newly recruited personnel, including managers and staff at senior levels.</w:t>
      </w:r>
    </w:p>
    <w:p w14:paraId="5FC815FB" w14:textId="6DAAFEBC" w:rsidR="005D6FFE" w:rsidRDefault="005D6FFE" w:rsidP="003C1EE2">
      <w:pPr>
        <w:numPr>
          <w:ilvl w:val="0"/>
          <w:numId w:val="5"/>
        </w:numPr>
        <w:spacing w:after="220"/>
      </w:pPr>
      <w:r>
        <w:rPr>
          <w:b/>
        </w:rPr>
        <w:t>Sixty-six</w:t>
      </w:r>
      <w:r w:rsidRPr="006761B4">
        <w:t xml:space="preserve"> participants</w:t>
      </w:r>
      <w:r>
        <w:t xml:space="preserve"> attended </w:t>
      </w:r>
      <w:r w:rsidRPr="006761B4">
        <w:t xml:space="preserve">the FDDI </w:t>
      </w:r>
      <w:r>
        <w:t xml:space="preserve">information session </w:t>
      </w:r>
      <w:r w:rsidRPr="006761B4">
        <w:t>delivered by the Chief Ethics Officer</w:t>
      </w:r>
      <w:r>
        <w:t xml:space="preserve"> in preparation of the new internal FDDI program launch</w:t>
      </w:r>
      <w:r w:rsidR="008873D4">
        <w:t xml:space="preserve"> (June 2023)</w:t>
      </w:r>
      <w:r>
        <w:t>.</w:t>
      </w:r>
    </w:p>
    <w:p w14:paraId="3021DF03" w14:textId="77777777" w:rsidR="00E913B6" w:rsidRDefault="00E913B6" w:rsidP="00FB76D1">
      <w:pPr>
        <w:spacing w:after="220"/>
        <w:jc w:val="center"/>
        <w:rPr>
          <w:b/>
          <w:sz w:val="20"/>
        </w:rPr>
      </w:pPr>
    </w:p>
    <w:p w14:paraId="0552C1A3" w14:textId="119F879A" w:rsidR="00FB76D1" w:rsidRDefault="00FB76D1" w:rsidP="00FB76D1">
      <w:pPr>
        <w:spacing w:after="220"/>
        <w:jc w:val="center"/>
        <w:rPr>
          <w:sz w:val="20"/>
        </w:rPr>
      </w:pPr>
      <w:r w:rsidRPr="006761B4">
        <w:rPr>
          <w:b/>
          <w:sz w:val="20"/>
        </w:rPr>
        <w:t xml:space="preserve">Figure 5. </w:t>
      </w:r>
      <w:r w:rsidRPr="006761B4">
        <w:rPr>
          <w:sz w:val="20"/>
        </w:rPr>
        <w:t>Outreach initiatives by the Ethics Office</w:t>
      </w:r>
    </w:p>
    <w:p w14:paraId="6E48F57F" w14:textId="31254725" w:rsidR="006761B4" w:rsidRPr="006761B4" w:rsidRDefault="007C7534" w:rsidP="00FB76D1">
      <w:pPr>
        <w:spacing w:after="220"/>
        <w:contextualSpacing/>
      </w:pPr>
      <w:r>
        <w:rPr>
          <w:noProof/>
        </w:rPr>
        <w:drawing>
          <wp:inline distT="0" distB="0" distL="0" distR="0" wp14:anchorId="55982CB2" wp14:editId="7A5D7992">
            <wp:extent cx="5940425" cy="3392170"/>
            <wp:effectExtent l="0" t="0" r="3175" b="0"/>
            <wp:docPr id="1" name="Picture 1" descr="Figure 5 shows the outreach initiatives by the Ethics Office in 2023.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5 shows the outreach initiatives by the Ethics Office in 2023. ">
                      <a:extLst>
                        <a:ext uri="{C183D7F6-B498-43B3-948B-1728B52AA6E4}">
                          <adec:decorative xmlns:adec="http://schemas.microsoft.com/office/drawing/2017/decorative" val="0"/>
                        </a:ext>
                      </a:extLst>
                    </pic:cNvPr>
                    <pic:cNvPicPr/>
                  </pic:nvPicPr>
                  <pic:blipFill>
                    <a:blip r:embed="rId13"/>
                    <a:stretch>
                      <a:fillRect/>
                    </a:stretch>
                  </pic:blipFill>
                  <pic:spPr>
                    <a:xfrm>
                      <a:off x="0" y="0"/>
                      <a:ext cx="5940425" cy="3392170"/>
                    </a:xfrm>
                    <a:prstGeom prst="rect">
                      <a:avLst/>
                    </a:prstGeom>
                  </pic:spPr>
                </pic:pic>
              </a:graphicData>
            </a:graphic>
          </wp:inline>
        </w:drawing>
      </w:r>
    </w:p>
    <w:p w14:paraId="162C1C65" w14:textId="77777777" w:rsidR="007C7534" w:rsidRDefault="007C7534" w:rsidP="007C7534">
      <w:pPr>
        <w:contextualSpacing/>
        <w:jc w:val="both"/>
        <w:rPr>
          <w:i/>
          <w:iCs/>
          <w:u w:val="single"/>
        </w:rPr>
      </w:pPr>
    </w:p>
    <w:p w14:paraId="72E8E14D" w14:textId="7E0B0C2D" w:rsidR="007C7534" w:rsidRDefault="005D6FFE" w:rsidP="00621C5C">
      <w:pPr>
        <w:pStyle w:val="Heading3"/>
        <w:spacing w:after="220"/>
        <w:ind w:left="1134"/>
      </w:pPr>
      <w:r w:rsidRPr="007C7534">
        <w:t>Mandatory Ethics Training</w:t>
      </w:r>
    </w:p>
    <w:p w14:paraId="6F05430A" w14:textId="307504D8" w:rsidR="00730286" w:rsidRDefault="00730286" w:rsidP="00242AD0">
      <w:pPr>
        <w:numPr>
          <w:ilvl w:val="0"/>
          <w:numId w:val="5"/>
        </w:numPr>
        <w:spacing w:after="220"/>
      </w:pPr>
      <w:r>
        <w:t xml:space="preserve">The Ethics Office with the support of the WIPO Academy, </w:t>
      </w:r>
      <w:r w:rsidR="00371494">
        <w:t xml:space="preserve">sent </w:t>
      </w:r>
      <w:r>
        <w:t xml:space="preserve">regular reminders to all personnel working in WIPO after their first thirty days </w:t>
      </w:r>
      <w:r w:rsidRPr="00371494">
        <w:t xml:space="preserve">within the </w:t>
      </w:r>
      <w:r w:rsidR="00371494">
        <w:t>O</w:t>
      </w:r>
      <w:r w:rsidRPr="00371494">
        <w:t>rganization</w:t>
      </w:r>
      <w:r w:rsidR="006761B4" w:rsidRPr="00371494">
        <w:rPr>
          <w:vertAlign w:val="superscript"/>
        </w:rPr>
        <w:footnoteReference w:id="12"/>
      </w:r>
      <w:r w:rsidR="006F757A" w:rsidRPr="00371494">
        <w:t>.</w:t>
      </w:r>
      <w:r w:rsidR="006761B4" w:rsidRPr="006761B4">
        <w:rPr>
          <w:vertAlign w:val="superscript"/>
        </w:rPr>
        <w:t xml:space="preserve"> </w:t>
      </w:r>
      <w:r w:rsidR="00242AD0">
        <w:rPr>
          <w:vertAlign w:val="superscript"/>
        </w:rPr>
        <w:t xml:space="preserve"> </w:t>
      </w:r>
      <w:r w:rsidR="006761B4" w:rsidRPr="006761B4">
        <w:t xml:space="preserve">All new recruits since </w:t>
      </w:r>
      <w:r>
        <w:t>the launch of the new ethics and integrity training</w:t>
      </w:r>
      <w:r w:rsidR="00366A2C">
        <w:t xml:space="preserve"> </w:t>
      </w:r>
      <w:r w:rsidR="00391613">
        <w:t xml:space="preserve">in </w:t>
      </w:r>
      <w:r>
        <w:t xml:space="preserve">2022 </w:t>
      </w:r>
      <w:r w:rsidR="006761B4" w:rsidRPr="006761B4">
        <w:t xml:space="preserve">have been required to complete the training. </w:t>
      </w:r>
      <w:r w:rsidR="00242AD0">
        <w:t xml:space="preserve"> </w:t>
      </w:r>
      <w:r w:rsidR="006761B4" w:rsidRPr="006761B4">
        <w:t>In total, for 202</w:t>
      </w:r>
      <w:r>
        <w:t>3</w:t>
      </w:r>
      <w:r w:rsidR="006761B4" w:rsidRPr="006761B4">
        <w:t xml:space="preserve">, </w:t>
      </w:r>
      <w:r w:rsidR="008C1C09">
        <w:rPr>
          <w:b/>
        </w:rPr>
        <w:t>1495</w:t>
      </w:r>
      <w:r w:rsidR="00366A2C">
        <w:rPr>
          <w:b/>
        </w:rPr>
        <w:t xml:space="preserve"> </w:t>
      </w:r>
      <w:r w:rsidR="006761B4" w:rsidRPr="006761B4">
        <w:t xml:space="preserve">out of </w:t>
      </w:r>
      <w:r w:rsidR="008C1C09">
        <w:t>1</w:t>
      </w:r>
      <w:r w:rsidR="00254287">
        <w:t>576</w:t>
      </w:r>
      <w:r w:rsidR="00366A2C">
        <w:t xml:space="preserve"> </w:t>
      </w:r>
      <w:r w:rsidR="006761B4" w:rsidRPr="006761B4">
        <w:t>participants successfully completed the e-learning course,</w:t>
      </w:r>
      <w:r w:rsidR="006761B4" w:rsidRPr="006761B4" w:rsidDel="00861B40">
        <w:rPr>
          <w:vertAlign w:val="superscript"/>
        </w:rPr>
        <w:t xml:space="preserve"> </w:t>
      </w:r>
      <w:r w:rsidR="006761B4" w:rsidRPr="006761B4">
        <w:t xml:space="preserve">with a </w:t>
      </w:r>
      <w:r w:rsidR="006761B4" w:rsidRPr="006761B4">
        <w:rPr>
          <w:b/>
        </w:rPr>
        <w:t>9</w:t>
      </w:r>
      <w:r>
        <w:rPr>
          <w:b/>
        </w:rPr>
        <w:t>5</w:t>
      </w:r>
      <w:r w:rsidR="006761B4" w:rsidRPr="006761B4">
        <w:rPr>
          <w:b/>
        </w:rPr>
        <w:t> per</w:t>
      </w:r>
      <w:r w:rsidR="00242AD0">
        <w:rPr>
          <w:b/>
        </w:rPr>
        <w:t xml:space="preserve"> </w:t>
      </w:r>
      <w:r w:rsidR="006761B4" w:rsidRPr="006761B4">
        <w:rPr>
          <w:b/>
        </w:rPr>
        <w:t>cent completion rate</w:t>
      </w:r>
      <w:r w:rsidR="006761B4" w:rsidRPr="006761B4">
        <w:rPr>
          <w:rFonts w:eastAsia="Times New Roman"/>
          <w:szCs w:val="22"/>
        </w:rPr>
        <w:t>).</w:t>
      </w:r>
      <w:r w:rsidR="006761B4" w:rsidRPr="006761B4">
        <w:t xml:space="preserve"> </w:t>
      </w:r>
    </w:p>
    <w:p w14:paraId="743EE768" w14:textId="2CD855CB" w:rsidR="00AC128D" w:rsidRDefault="00C3691A" w:rsidP="00C3691A">
      <w:pPr>
        <w:numPr>
          <w:ilvl w:val="0"/>
          <w:numId w:val="5"/>
        </w:numPr>
        <w:spacing w:after="220"/>
      </w:pPr>
      <w:r w:rsidRPr="006761B4">
        <w:t>The training gives an overview of ethics resources available, and includes a message from the Director General on the importance of ethics at WIPO and a closing quiz</w:t>
      </w:r>
      <w:r>
        <w:rPr>
          <w:rStyle w:val="CommentReference"/>
        </w:rPr>
        <w:t xml:space="preserve">, </w:t>
      </w:r>
      <w:r>
        <w:rPr>
          <w:rStyle w:val="CommentReference"/>
          <w:sz w:val="22"/>
          <w:szCs w:val="22"/>
        </w:rPr>
        <w:t>d</w:t>
      </w:r>
      <w:r w:rsidRPr="006761B4">
        <w:t>eveloped</w:t>
      </w:r>
      <w:r>
        <w:t xml:space="preserve"> </w:t>
      </w:r>
      <w:r w:rsidR="00730286" w:rsidRPr="006761B4">
        <w:t>infographics, interactive exercises and videos to convey important ethic</w:t>
      </w:r>
      <w:r w:rsidR="00730286">
        <w:t>al</w:t>
      </w:r>
      <w:r w:rsidR="00730286" w:rsidRPr="006761B4">
        <w:t xml:space="preserve"> concepts in an engaging way, such as what ethics means at WIPO, ethical risks personnel may face, the </w:t>
      </w:r>
      <w:r w:rsidR="00730286" w:rsidRPr="006761B4">
        <w:lastRenderedPageBreak/>
        <w:t>expectation for managers and supervisors to act as ethical role models, the role of the Ethics Office, and protection against retaliation. The</w:t>
      </w:r>
      <w:r w:rsidR="006761B4" w:rsidRPr="006761B4">
        <w:t xml:space="preserve"> training </w:t>
      </w:r>
      <w:r w:rsidR="0006731F">
        <w:t>pass remains</w:t>
      </w:r>
      <w:r w:rsidR="006761B4" w:rsidRPr="006761B4">
        <w:t xml:space="preserve"> valid for three years and new recruits are required to complete it within 30 days of joining WIPO.</w:t>
      </w:r>
      <w:r w:rsidR="006761B4" w:rsidRPr="006761B4">
        <w:rPr>
          <w:vertAlign w:val="superscript"/>
        </w:rPr>
        <w:footnoteReference w:id="13"/>
      </w:r>
    </w:p>
    <w:p w14:paraId="206A7F97" w14:textId="0CD65649" w:rsidR="006761B4" w:rsidRPr="006761B4" w:rsidRDefault="006761B4" w:rsidP="00AF62EB">
      <w:pPr>
        <w:pStyle w:val="Heading2"/>
        <w:spacing w:after="220"/>
        <w:ind w:left="567"/>
      </w:pPr>
      <w:r w:rsidRPr="006761B4">
        <w:t>C.</w:t>
      </w:r>
      <w:r w:rsidRPr="006761B4">
        <w:tab/>
        <w:t>STANDARD SETTING AND POLICY ADVOCACY</w:t>
      </w:r>
    </w:p>
    <w:p w14:paraId="30AD9694" w14:textId="3EF4DCB5" w:rsidR="006761B4" w:rsidRPr="006761B4" w:rsidRDefault="006761B4" w:rsidP="00173335">
      <w:pPr>
        <w:numPr>
          <w:ilvl w:val="0"/>
          <w:numId w:val="5"/>
        </w:numPr>
        <w:spacing w:after="220"/>
      </w:pPr>
      <w:r w:rsidRPr="006761B4">
        <w:t xml:space="preserve">The Ethics Office is mandated to provide standard-setting and policy support for the development and interpretation of ethics-related policies, and input to management to ensure that policies, </w:t>
      </w:r>
      <w:r w:rsidR="005D6FFE" w:rsidRPr="006761B4">
        <w:t>procedures,</w:t>
      </w:r>
      <w:r w:rsidRPr="006761B4">
        <w:t xml:space="preserve"> and practices reflect, </w:t>
      </w:r>
      <w:r w:rsidR="005D6FFE" w:rsidRPr="006761B4">
        <w:t>reinforce,</w:t>
      </w:r>
      <w:r w:rsidRPr="006761B4">
        <w:t xml:space="preserve"> and promote ethical standards and integrity within WIPO.</w:t>
      </w:r>
    </w:p>
    <w:p w14:paraId="2CB85D44" w14:textId="77777777" w:rsidR="00327F3C" w:rsidRPr="00AC128D" w:rsidRDefault="00327F3C" w:rsidP="00621C5C">
      <w:pPr>
        <w:pStyle w:val="Heading2"/>
        <w:spacing w:after="220"/>
        <w:ind w:left="567"/>
      </w:pPr>
      <w:r w:rsidRPr="00AC128D">
        <w:t>D.</w:t>
      </w:r>
      <w:r w:rsidRPr="00AC128D">
        <w:tab/>
        <w:t>protection against retaliation policy</w:t>
      </w:r>
    </w:p>
    <w:p w14:paraId="37DED005" w14:textId="76334213" w:rsidR="00327F3C" w:rsidRDefault="00327F3C" w:rsidP="00327F3C">
      <w:pPr>
        <w:numPr>
          <w:ilvl w:val="0"/>
          <w:numId w:val="5"/>
        </w:numPr>
        <w:spacing w:after="220"/>
      </w:pPr>
      <w:r w:rsidRPr="00BD4E04">
        <w:t xml:space="preserve">The Ethics Office is charged with administering the protection against retaliation policy, which sets out the prohibition against retaliation, the procedures for lodging a complaint and the steps WIPO may take to address retaliation.  Upon receipt of a formal complaint, the Ethics Office undertakes a preliminary review of the request, and if a </w:t>
      </w:r>
      <w:r w:rsidRPr="00BD4E04">
        <w:rPr>
          <w:i/>
          <w:iCs/>
        </w:rPr>
        <w:t>prima facie</w:t>
      </w:r>
      <w:r w:rsidRPr="00BD4E04">
        <w:t xml:space="preserve"> case of retaliation is established, the matter is referred to IOD for investigation.  Following completion of the investigation, the Ethics Office reviews the IOD report, seeks clarification as needed and then determines whether retaliation occurred. </w:t>
      </w:r>
    </w:p>
    <w:p w14:paraId="79DF333E" w14:textId="77777777" w:rsidR="00327F3C" w:rsidRPr="00BD4E04" w:rsidRDefault="00327F3C" w:rsidP="00621C5C">
      <w:pPr>
        <w:pStyle w:val="Heading3"/>
        <w:spacing w:after="220"/>
        <w:ind w:left="1134"/>
      </w:pPr>
      <w:r w:rsidRPr="00BD4E04">
        <w:t>Requests for Protection Against Retaliation</w:t>
      </w:r>
    </w:p>
    <w:p w14:paraId="02BDD327" w14:textId="7005B41B" w:rsidR="00327F3C" w:rsidRDefault="00327F3C" w:rsidP="00327F3C">
      <w:pPr>
        <w:numPr>
          <w:ilvl w:val="0"/>
          <w:numId w:val="5"/>
        </w:numPr>
        <w:spacing w:after="220"/>
      </w:pPr>
      <w:r w:rsidRPr="00BD4E04">
        <w:t>In 202</w:t>
      </w:r>
      <w:r w:rsidRPr="00AC128D">
        <w:t>3</w:t>
      </w:r>
      <w:r w:rsidRPr="00BD4E04">
        <w:t xml:space="preserve">, the Ethics Office received </w:t>
      </w:r>
      <w:r>
        <w:rPr>
          <w:b/>
          <w:bCs/>
        </w:rPr>
        <w:t>seven</w:t>
      </w:r>
      <w:r w:rsidRPr="00AC128D">
        <w:rPr>
          <w:b/>
          <w:bCs/>
        </w:rPr>
        <w:t xml:space="preserve"> retaliation-related</w:t>
      </w:r>
      <w:r>
        <w:rPr>
          <w:b/>
          <w:bCs/>
        </w:rPr>
        <w:t xml:space="preserve"> requests for advice and, further, four</w:t>
      </w:r>
      <w:r w:rsidRPr="00BD4E04">
        <w:t xml:space="preserve"> formal requests for protection against retaliation. </w:t>
      </w:r>
      <w:r w:rsidRPr="00BD4E04">
        <w:rPr>
          <w:b/>
        </w:rPr>
        <w:t xml:space="preserve">Figure </w:t>
      </w:r>
      <w:r w:rsidR="009E5DF8">
        <w:rPr>
          <w:b/>
        </w:rPr>
        <w:t>6</w:t>
      </w:r>
      <w:r w:rsidRPr="00BD4E04">
        <w:t xml:space="preserve"> shows the number of </w:t>
      </w:r>
      <w:r w:rsidR="00AF62EB">
        <w:t xml:space="preserve">formal </w:t>
      </w:r>
      <w:r w:rsidRPr="00BD4E04">
        <w:t>requests each year since 201</w:t>
      </w:r>
      <w:r w:rsidRPr="00AC128D">
        <w:t>9</w:t>
      </w:r>
      <w:r w:rsidRPr="00BD4E04">
        <w:t xml:space="preserve">. </w:t>
      </w:r>
    </w:p>
    <w:p w14:paraId="1160258F" w14:textId="6D3042FC" w:rsidR="00913FBD" w:rsidRPr="00BD4E04" w:rsidRDefault="00913FBD" w:rsidP="00913FBD">
      <w:pPr>
        <w:spacing w:after="220"/>
        <w:jc w:val="center"/>
        <w:rPr>
          <w:sz w:val="20"/>
        </w:rPr>
      </w:pPr>
      <w:r w:rsidRPr="00BD4E04">
        <w:rPr>
          <w:b/>
          <w:sz w:val="20"/>
        </w:rPr>
        <w:t xml:space="preserve">Figure </w:t>
      </w:r>
      <w:r w:rsidR="009E5DF8">
        <w:rPr>
          <w:b/>
          <w:sz w:val="20"/>
        </w:rPr>
        <w:t>6</w:t>
      </w:r>
      <w:r w:rsidRPr="00BD4E04">
        <w:rPr>
          <w:b/>
          <w:sz w:val="20"/>
        </w:rPr>
        <w:t>.</w:t>
      </w:r>
      <w:r w:rsidRPr="00BD4E04">
        <w:rPr>
          <w:sz w:val="20"/>
        </w:rPr>
        <w:t xml:space="preserve"> Number of requests for protection against retaliation received from 201</w:t>
      </w:r>
      <w:r w:rsidRPr="00AC128D">
        <w:rPr>
          <w:sz w:val="20"/>
        </w:rPr>
        <w:t>9</w:t>
      </w:r>
      <w:r w:rsidRPr="00BD4E04">
        <w:rPr>
          <w:sz w:val="20"/>
        </w:rPr>
        <w:t xml:space="preserve"> to </w:t>
      </w:r>
      <w:proofErr w:type="gramStart"/>
      <w:r w:rsidRPr="00BD4E04">
        <w:rPr>
          <w:sz w:val="20"/>
        </w:rPr>
        <w:t>202</w:t>
      </w:r>
      <w:r w:rsidRPr="00AC128D">
        <w:rPr>
          <w:sz w:val="20"/>
        </w:rPr>
        <w:t>3</w:t>
      </w:r>
      <w:proofErr w:type="gramEnd"/>
    </w:p>
    <w:p w14:paraId="3F4ACE1C" w14:textId="0075C137" w:rsidR="00483C13" w:rsidRDefault="00483C13" w:rsidP="006761B4">
      <w:pPr>
        <w:spacing w:after="220"/>
        <w:jc w:val="center"/>
      </w:pPr>
      <w:r w:rsidRPr="00AC128D">
        <w:rPr>
          <w:noProof/>
        </w:rPr>
        <w:drawing>
          <wp:inline distT="0" distB="0" distL="0" distR="0" wp14:anchorId="40820697" wp14:editId="46511961">
            <wp:extent cx="5514975" cy="3133725"/>
            <wp:effectExtent l="0" t="0" r="9525" b="9525"/>
            <wp:docPr id="11" name="Chart 11" descr="this figure shows the number of requests for protection against retaliation received from 2019 to 2023. in 2019 there was one request, in 2020 and 2021 there were no request, in 2022 there were 4 requests, and in 2023 there have been 11 requests.">
              <a:extLst xmlns:a="http://schemas.openxmlformats.org/drawingml/2006/main">
                <a:ext uri="{FF2B5EF4-FFF2-40B4-BE49-F238E27FC236}">
                  <a16:creationId xmlns:a16="http://schemas.microsoft.com/office/drawing/2014/main" id="{CBC2B0C1-8095-9324-33D3-E33D9BCE93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4082DE" w14:textId="77777777" w:rsidR="00327F3C" w:rsidRPr="00AC128D" w:rsidRDefault="00327F3C" w:rsidP="006761B4">
      <w:pPr>
        <w:spacing w:after="220"/>
        <w:jc w:val="center"/>
      </w:pPr>
    </w:p>
    <w:p w14:paraId="4723F647" w14:textId="77777777" w:rsidR="00443AF1" w:rsidRDefault="00443AF1" w:rsidP="00443AF1">
      <w:pPr>
        <w:spacing w:after="220"/>
      </w:pPr>
      <w:bookmarkStart w:id="7" w:name="_Hlk167799943"/>
    </w:p>
    <w:p w14:paraId="60A3D0D6" w14:textId="602E9894" w:rsidR="008B2B1F" w:rsidRPr="00181824" w:rsidRDefault="008B2B1F" w:rsidP="00181824">
      <w:pPr>
        <w:pStyle w:val="ONUME"/>
        <w:numPr>
          <w:ilvl w:val="0"/>
          <w:numId w:val="0"/>
        </w:numPr>
        <w:rPr>
          <w:strike/>
          <w:szCs w:val="28"/>
        </w:rPr>
      </w:pPr>
      <w:r>
        <w:lastRenderedPageBreak/>
        <w:t>24.</w:t>
      </w:r>
      <w:r>
        <w:tab/>
      </w:r>
      <w:bookmarkStart w:id="8" w:name="_Hlk168556432"/>
      <w:r w:rsidR="00CA3DE8" w:rsidRPr="00C3691A">
        <w:t xml:space="preserve">The </w:t>
      </w:r>
      <w:r w:rsidR="00CA3DE8" w:rsidRPr="008C6B99">
        <w:rPr>
          <w:b/>
          <w:bCs/>
        </w:rPr>
        <w:t>four</w:t>
      </w:r>
      <w:r w:rsidR="00CA3DE8" w:rsidRPr="00C3691A">
        <w:t xml:space="preserve"> complaints </w:t>
      </w:r>
      <w:r w:rsidR="003D1721">
        <w:t xml:space="preserve">of retaliation </w:t>
      </w:r>
      <w:r w:rsidR="00CA3DE8" w:rsidRPr="00C3691A">
        <w:t>arose in the context of alleged misconduct (harassment and abuse of authority)</w:t>
      </w:r>
      <w:r w:rsidR="00CA3DE8">
        <w:t>.</w:t>
      </w:r>
      <w:r w:rsidR="00CA3DE8" w:rsidRPr="000B1224">
        <w:t xml:space="preserve">  In one case, a partial </w:t>
      </w:r>
      <w:r w:rsidR="00CA3DE8" w:rsidRPr="008C6B99">
        <w:rPr>
          <w:i/>
          <w:iCs/>
        </w:rPr>
        <w:t xml:space="preserve">prima facie </w:t>
      </w:r>
      <w:r w:rsidR="00CA3DE8" w:rsidRPr="003D1721">
        <w:t>case</w:t>
      </w:r>
      <w:r w:rsidR="00CA3DE8" w:rsidRPr="000B1224">
        <w:t xml:space="preserve"> of retaliation was found, and the case referred for investigation.  In </w:t>
      </w:r>
      <w:r w:rsidR="00C63D29">
        <w:t>another</w:t>
      </w:r>
      <w:r w:rsidR="00CA3DE8" w:rsidRPr="000B1224">
        <w:t xml:space="preserve"> case, no </w:t>
      </w:r>
      <w:r w:rsidR="00CA3DE8" w:rsidRPr="008C6B99">
        <w:rPr>
          <w:i/>
          <w:iCs/>
        </w:rPr>
        <w:t xml:space="preserve">prima facie </w:t>
      </w:r>
      <w:r w:rsidR="00CA3DE8" w:rsidRPr="003521F4">
        <w:t xml:space="preserve">case </w:t>
      </w:r>
      <w:r w:rsidR="00CA3DE8" w:rsidRPr="000B1224">
        <w:t xml:space="preserve">was found on </w:t>
      </w:r>
      <w:r w:rsidR="0074103B">
        <w:t>a preliminary</w:t>
      </w:r>
      <w:r>
        <w:t xml:space="preserve"> </w:t>
      </w:r>
      <w:r w:rsidR="00CA3DE8" w:rsidRPr="000B1224">
        <w:t xml:space="preserve">review, a </w:t>
      </w:r>
      <w:r w:rsidR="00A66BC2">
        <w:t xml:space="preserve">further </w:t>
      </w:r>
      <w:r w:rsidR="00CA3DE8" w:rsidRPr="000B1224">
        <w:t xml:space="preserve">case was time-barred, and in </w:t>
      </w:r>
      <w:r w:rsidR="008B3F8F">
        <w:t>the fourth</w:t>
      </w:r>
      <w:r w:rsidR="00CA3DE8" w:rsidRPr="000B1224">
        <w:t xml:space="preserve"> case</w:t>
      </w:r>
      <w:r w:rsidR="002618E6">
        <w:t>,</w:t>
      </w:r>
      <w:r w:rsidR="00CA3DE8" w:rsidRPr="000B1224">
        <w:t xml:space="preserve"> the underlying problem was settled by management action, and the case</w:t>
      </w:r>
      <w:r w:rsidR="00D34A72">
        <w:t xml:space="preserve"> </w:t>
      </w:r>
      <w:r w:rsidR="00CE55E4">
        <w:t>withdrawn</w:t>
      </w:r>
      <w:r w:rsidR="00CA3DE8" w:rsidRPr="000B1224">
        <w:t>.</w:t>
      </w:r>
      <w:r w:rsidR="00477C30">
        <w:t xml:space="preserve"> </w:t>
      </w:r>
      <w:r w:rsidR="008C6B99">
        <w:t xml:space="preserve">At the end of 2023, there were </w:t>
      </w:r>
      <w:r w:rsidR="00DA23E5">
        <w:t xml:space="preserve">also </w:t>
      </w:r>
      <w:r w:rsidR="008C6B99">
        <w:t>three referrals from 2022 that were still pending with IOD</w:t>
      </w:r>
      <w:bookmarkEnd w:id="8"/>
      <w:r w:rsidR="008C6B99">
        <w:t xml:space="preserve">.  </w:t>
      </w:r>
      <w:r w:rsidR="00CA3DE8" w:rsidRPr="000B1224">
        <w:t> </w:t>
      </w:r>
      <w:r w:rsidR="00CA3DE8" w:rsidRPr="008E217F">
        <w:rPr>
          <w:b/>
          <w:bCs/>
        </w:rPr>
        <w:t>Figure 7</w:t>
      </w:r>
      <w:r w:rsidR="00CA3DE8">
        <w:t xml:space="preserve"> shows </w:t>
      </w:r>
      <w:r w:rsidR="001F5954">
        <w:t>the status</w:t>
      </w:r>
      <w:r w:rsidR="007C3147">
        <w:t xml:space="preserve"> of </w:t>
      </w:r>
      <w:r w:rsidR="001F5954">
        <w:t xml:space="preserve">the </w:t>
      </w:r>
      <w:r w:rsidR="00CA3DE8">
        <w:t>request</w:t>
      </w:r>
      <w:r w:rsidR="008E217F">
        <w:t>s</w:t>
      </w:r>
      <w:r w:rsidR="007C3147">
        <w:t xml:space="preserve"> that were</w:t>
      </w:r>
      <w:r w:rsidR="008E217F">
        <w:t xml:space="preserve"> received </w:t>
      </w:r>
      <w:r w:rsidR="003272A6">
        <w:t xml:space="preserve">by the Ethics Office </w:t>
      </w:r>
      <w:r w:rsidR="008E217F">
        <w:t>in 2023,</w:t>
      </w:r>
      <w:r w:rsidR="001E0234">
        <w:t xml:space="preserve"> </w:t>
      </w:r>
      <w:r w:rsidR="007C3147">
        <w:t>and/or</w:t>
      </w:r>
      <w:r w:rsidR="001E0234">
        <w:t xml:space="preserve"> pending with IOD at the end of 2023.</w:t>
      </w:r>
      <w:r w:rsidR="001E0234" w:rsidDel="001E0234">
        <w:t xml:space="preserve"> </w:t>
      </w:r>
      <w:bookmarkStart w:id="9" w:name="_Hlk167799854"/>
      <w:bookmarkEnd w:id="7"/>
    </w:p>
    <w:p w14:paraId="7D3F996C" w14:textId="073E8060" w:rsidR="006761B4" w:rsidRPr="008C6B99" w:rsidRDefault="006761B4" w:rsidP="000B03EA">
      <w:pPr>
        <w:keepNext/>
        <w:spacing w:after="220"/>
        <w:jc w:val="center"/>
        <w:rPr>
          <w:strike/>
          <w:szCs w:val="28"/>
        </w:rPr>
      </w:pPr>
      <w:r w:rsidRPr="008C6B99">
        <w:rPr>
          <w:b/>
          <w:sz w:val="20"/>
          <w:szCs w:val="28"/>
        </w:rPr>
        <w:t xml:space="preserve">Figure </w:t>
      </w:r>
      <w:r w:rsidR="009E5DF8" w:rsidRPr="008C6B99">
        <w:rPr>
          <w:b/>
          <w:sz w:val="20"/>
          <w:szCs w:val="28"/>
        </w:rPr>
        <w:t>7</w:t>
      </w:r>
      <w:r w:rsidRPr="008C6B99">
        <w:rPr>
          <w:b/>
          <w:sz w:val="20"/>
          <w:szCs w:val="28"/>
        </w:rPr>
        <w:t>.</w:t>
      </w:r>
      <w:r w:rsidRPr="008C6B99">
        <w:rPr>
          <w:bCs/>
          <w:sz w:val="20"/>
          <w:szCs w:val="28"/>
        </w:rPr>
        <w:t xml:space="preserve"> </w:t>
      </w:r>
      <w:r w:rsidR="00BA3D84">
        <w:rPr>
          <w:sz w:val="20"/>
          <w:szCs w:val="28"/>
        </w:rPr>
        <w:t>Status</w:t>
      </w:r>
      <w:r w:rsidRPr="008C6B99">
        <w:rPr>
          <w:sz w:val="20"/>
          <w:szCs w:val="28"/>
        </w:rPr>
        <w:t xml:space="preserve"> of </w:t>
      </w:r>
      <w:r w:rsidR="008C6B99" w:rsidRPr="008C6B99">
        <w:rPr>
          <w:sz w:val="20"/>
          <w:szCs w:val="28"/>
        </w:rPr>
        <w:t>R</w:t>
      </w:r>
      <w:r w:rsidRPr="008C6B99">
        <w:rPr>
          <w:sz w:val="20"/>
          <w:szCs w:val="28"/>
        </w:rPr>
        <w:t xml:space="preserve">equests for </w:t>
      </w:r>
      <w:r w:rsidR="008E217F">
        <w:rPr>
          <w:sz w:val="20"/>
          <w:szCs w:val="28"/>
        </w:rPr>
        <w:t>P</w:t>
      </w:r>
      <w:r w:rsidRPr="008C6B99">
        <w:rPr>
          <w:sz w:val="20"/>
          <w:szCs w:val="28"/>
        </w:rPr>
        <w:t xml:space="preserve">rotection against </w:t>
      </w:r>
      <w:r w:rsidR="008E217F">
        <w:rPr>
          <w:sz w:val="20"/>
          <w:szCs w:val="28"/>
        </w:rPr>
        <w:t>R</w:t>
      </w:r>
      <w:r w:rsidRPr="008C6B99">
        <w:rPr>
          <w:sz w:val="20"/>
          <w:szCs w:val="28"/>
        </w:rPr>
        <w:t>etaliation</w:t>
      </w:r>
      <w:bookmarkEnd w:id="9"/>
      <w:r w:rsidR="00D64D60">
        <w:rPr>
          <w:sz w:val="20"/>
          <w:szCs w:val="28"/>
        </w:rPr>
        <w:t xml:space="preserve"> (</w:t>
      </w:r>
      <w:proofErr w:type="spellStart"/>
      <w:r w:rsidR="00D64D60">
        <w:rPr>
          <w:sz w:val="20"/>
          <w:szCs w:val="28"/>
        </w:rPr>
        <w:t>PaR</w:t>
      </w:r>
      <w:proofErr w:type="spellEnd"/>
      <w:r w:rsidR="00D64D60">
        <w:rPr>
          <w:sz w:val="20"/>
          <w:szCs w:val="28"/>
        </w:rPr>
        <w:t>)</w:t>
      </w:r>
      <w:r w:rsidR="008B43B0">
        <w:rPr>
          <w:sz w:val="20"/>
          <w:szCs w:val="28"/>
        </w:rPr>
        <w:t xml:space="preserve"> at the end of 2023</w:t>
      </w:r>
    </w:p>
    <w:p w14:paraId="33E74602" w14:textId="7BE21101" w:rsidR="00CE55E4" w:rsidRDefault="000B03EA" w:rsidP="000B03EA">
      <w:pPr>
        <w:spacing w:after="220"/>
        <w:ind w:left="-432" w:firstLine="567"/>
        <w:rPr>
          <w:strike/>
          <w:szCs w:val="28"/>
        </w:rPr>
      </w:pPr>
      <w:r>
        <w:rPr>
          <w:noProof/>
        </w:rPr>
        <w:drawing>
          <wp:inline distT="0" distB="0" distL="0" distR="0" wp14:anchorId="2AB35DAF" wp14:editId="0F6236D3">
            <wp:extent cx="5681663" cy="3740150"/>
            <wp:effectExtent l="0" t="0" r="14605" b="12700"/>
            <wp:docPr id="12" name="Chart 12">
              <a:extLst xmlns:a="http://schemas.openxmlformats.org/drawingml/2006/main">
                <a:ext uri="{FF2B5EF4-FFF2-40B4-BE49-F238E27FC236}">
                  <a16:creationId xmlns:a16="http://schemas.microsoft.com/office/drawing/2014/main" id="{0A6ACBE0-B6D0-AFAC-F05B-DE37F33D6A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EDBDD9" w14:textId="314D1585" w:rsidR="006761B4" w:rsidRPr="006761B4" w:rsidRDefault="006761B4" w:rsidP="00AF62EB">
      <w:pPr>
        <w:pStyle w:val="Heading3"/>
        <w:spacing w:after="220"/>
        <w:ind w:left="1134"/>
      </w:pPr>
      <w:r w:rsidRPr="006761B4">
        <w:t>Advice</w:t>
      </w:r>
    </w:p>
    <w:p w14:paraId="3A98D9D1" w14:textId="0CD28556" w:rsidR="006761B4" w:rsidRPr="008B2B1F" w:rsidRDefault="006761B4" w:rsidP="008B2B1F">
      <w:pPr>
        <w:pStyle w:val="ONUME"/>
        <w:numPr>
          <w:ilvl w:val="0"/>
          <w:numId w:val="23"/>
        </w:numPr>
        <w:rPr>
          <w:i/>
          <w:u w:val="single"/>
        </w:rPr>
      </w:pPr>
      <w:r w:rsidRPr="00A714F0">
        <w:t xml:space="preserve">The Ethics Office responded to </w:t>
      </w:r>
      <w:r w:rsidR="00701D33" w:rsidRPr="008B2B1F">
        <w:rPr>
          <w:b/>
        </w:rPr>
        <w:t>seven</w:t>
      </w:r>
      <w:r w:rsidR="00D66498" w:rsidRPr="00A714F0">
        <w:t xml:space="preserve"> </w:t>
      </w:r>
      <w:r w:rsidRPr="00A714F0">
        <w:t xml:space="preserve">separate retaliation-related inquiries, where colleagues sought advice or reassurance about protection either before going on to report misconduct or when feeling exposed, having engaged in a protected activity. </w:t>
      </w:r>
      <w:r w:rsidR="00952B3B" w:rsidRPr="00A714F0">
        <w:t xml:space="preserve"> </w:t>
      </w:r>
      <w:r w:rsidRPr="00A714F0">
        <w:t xml:space="preserve">These inquiries did not escalate into formal requests. </w:t>
      </w:r>
    </w:p>
    <w:p w14:paraId="14E8F24E" w14:textId="0E36017D" w:rsidR="006761B4" w:rsidRPr="003C6753" w:rsidRDefault="006761B4" w:rsidP="00621C5C">
      <w:pPr>
        <w:pStyle w:val="Heading3"/>
        <w:spacing w:after="220"/>
        <w:ind w:left="1134"/>
      </w:pPr>
      <w:r w:rsidRPr="003C6753">
        <w:t>Preventi</w:t>
      </w:r>
      <w:r w:rsidR="00701D33">
        <w:t>ve</w:t>
      </w:r>
      <w:r w:rsidRPr="003C6753">
        <w:t xml:space="preserve"> </w:t>
      </w:r>
      <w:r w:rsidR="00952B3B" w:rsidRPr="003C6753">
        <w:t>A</w:t>
      </w:r>
      <w:r w:rsidRPr="003C6753">
        <w:t xml:space="preserve">ction </w:t>
      </w:r>
    </w:p>
    <w:p w14:paraId="47A469D6" w14:textId="6FB7A211" w:rsidR="006761B4" w:rsidRDefault="006761B4" w:rsidP="00952B3B">
      <w:pPr>
        <w:numPr>
          <w:ilvl w:val="0"/>
          <w:numId w:val="5"/>
        </w:numPr>
        <w:spacing w:after="220"/>
      </w:pPr>
      <w:r w:rsidRPr="003C6753">
        <w:t>WIPO</w:t>
      </w:r>
      <w:r w:rsidR="0024530C">
        <w:t>’</w:t>
      </w:r>
      <w:r w:rsidRPr="003C6753">
        <w:t xml:space="preserve">s policy on protection against retaliation provides that IOD will inform the Ethics Office of any report of wrongdoing received that IOD identifies as posing a retaliation risk. </w:t>
      </w:r>
      <w:r w:rsidR="00952B3B" w:rsidRPr="003C6753">
        <w:t xml:space="preserve"> </w:t>
      </w:r>
      <w:r w:rsidRPr="003C6753">
        <w:t>The Ethics Office then consults with the individual</w:t>
      </w:r>
      <w:r w:rsidR="003258D8" w:rsidRPr="003C6753">
        <w:t xml:space="preserve"> concerned</w:t>
      </w:r>
      <w:r w:rsidRPr="003C6753">
        <w:t xml:space="preserve"> about possible preventive action. </w:t>
      </w:r>
      <w:r w:rsidR="00952B3B" w:rsidRPr="003C6753">
        <w:t xml:space="preserve"> </w:t>
      </w:r>
      <w:r w:rsidRPr="003C6753">
        <w:t xml:space="preserve">Through this provision, the Ethics Office can be proactive in offering advice to a complainant rather than waiting to see if retaliation will materialize. </w:t>
      </w:r>
    </w:p>
    <w:p w14:paraId="4A65FEA3" w14:textId="324FE130" w:rsidR="006B4136" w:rsidRPr="003C6753" w:rsidRDefault="006B4136" w:rsidP="00952B3B">
      <w:pPr>
        <w:numPr>
          <w:ilvl w:val="0"/>
          <w:numId w:val="5"/>
        </w:numPr>
        <w:spacing w:after="220"/>
      </w:pPr>
      <w:r>
        <w:t>In 2023</w:t>
      </w:r>
      <w:r w:rsidR="002839C8">
        <w:t>, the Ethics Office received on</w:t>
      </w:r>
      <w:r>
        <w:t xml:space="preserve">e </w:t>
      </w:r>
      <w:r w:rsidR="002839C8">
        <w:t xml:space="preserve">report of wrongdoing </w:t>
      </w:r>
      <w:r w:rsidR="00E013CE">
        <w:t>that</w:t>
      </w:r>
      <w:r w:rsidR="002839C8">
        <w:t xml:space="preserve"> IOD identified as posing a risk of retaliation</w:t>
      </w:r>
      <w:r>
        <w:t>.</w:t>
      </w:r>
    </w:p>
    <w:p w14:paraId="1C56E84C" w14:textId="041519C2" w:rsidR="006761B4" w:rsidRPr="00E913B6" w:rsidRDefault="006761B4" w:rsidP="00621C5C">
      <w:pPr>
        <w:pStyle w:val="Heading3"/>
        <w:spacing w:after="220"/>
        <w:ind w:left="1134"/>
      </w:pPr>
      <w:r w:rsidRPr="00E913B6">
        <w:lastRenderedPageBreak/>
        <w:t xml:space="preserve">Policy </w:t>
      </w:r>
      <w:r w:rsidR="00952B3B" w:rsidRPr="00E913B6">
        <w:t>R</w:t>
      </w:r>
      <w:r w:rsidRPr="00E913B6">
        <w:t>eview</w:t>
      </w:r>
    </w:p>
    <w:p w14:paraId="4D1A6C7F" w14:textId="298BBB84" w:rsidR="006761B4" w:rsidRPr="00621C5C" w:rsidRDefault="000472E8" w:rsidP="00952B3B">
      <w:pPr>
        <w:numPr>
          <w:ilvl w:val="0"/>
          <w:numId w:val="5"/>
        </w:numPr>
        <w:spacing w:after="220"/>
        <w:rPr>
          <w:rStyle w:val="cf01"/>
          <w:rFonts w:ascii="Arial" w:hAnsi="Arial" w:cs="Arial"/>
          <w:sz w:val="22"/>
          <w:szCs w:val="20"/>
        </w:rPr>
      </w:pPr>
      <w:r w:rsidRPr="000472E8">
        <w:rPr>
          <w:rStyle w:val="cf01"/>
          <w:rFonts w:ascii="Arial" w:hAnsi="Arial" w:cs="Arial"/>
          <w:sz w:val="22"/>
          <w:szCs w:val="22"/>
        </w:rPr>
        <w:t>To reflect observations of</w:t>
      </w:r>
      <w:r w:rsidR="00AB3207">
        <w:rPr>
          <w:rStyle w:val="cf01"/>
          <w:rFonts w:ascii="Arial" w:hAnsi="Arial" w:cs="Arial"/>
          <w:sz w:val="22"/>
          <w:szCs w:val="22"/>
        </w:rPr>
        <w:t xml:space="preserve"> the</w:t>
      </w:r>
      <w:r w:rsidRPr="000472E8">
        <w:rPr>
          <w:rStyle w:val="cf01"/>
          <w:rFonts w:ascii="Arial" w:hAnsi="Arial" w:cs="Arial"/>
          <w:sz w:val="22"/>
          <w:szCs w:val="22"/>
        </w:rPr>
        <w:t xml:space="preserve"> IAOC regarding time limits, and to replace the United Nations Office for Project Services with the United Nations Ethics Office as the second-tier reviewer of determinations of no </w:t>
      </w:r>
      <w:r w:rsidRPr="00621C5C">
        <w:rPr>
          <w:rStyle w:val="cf01"/>
          <w:rFonts w:ascii="Arial" w:hAnsi="Arial" w:cs="Arial"/>
          <w:i/>
          <w:iCs/>
          <w:sz w:val="22"/>
          <w:szCs w:val="22"/>
        </w:rPr>
        <w:t>prima facie</w:t>
      </w:r>
      <w:r w:rsidRPr="000472E8">
        <w:rPr>
          <w:rStyle w:val="cf01"/>
          <w:rFonts w:ascii="Arial" w:hAnsi="Arial" w:cs="Arial"/>
          <w:sz w:val="22"/>
          <w:szCs w:val="22"/>
        </w:rPr>
        <w:t xml:space="preserve"> case of retaliation, </w:t>
      </w:r>
      <w:r w:rsidR="001B1228">
        <w:rPr>
          <w:rStyle w:val="cf01"/>
          <w:rFonts w:ascii="Arial" w:hAnsi="Arial" w:cs="Arial"/>
          <w:sz w:val="22"/>
          <w:szCs w:val="22"/>
        </w:rPr>
        <w:t>the protection against retaliation</w:t>
      </w:r>
      <w:r w:rsidRPr="000472E8">
        <w:rPr>
          <w:rStyle w:val="cf01"/>
          <w:rFonts w:ascii="Arial" w:hAnsi="Arial" w:cs="Arial"/>
          <w:sz w:val="22"/>
          <w:szCs w:val="22"/>
        </w:rPr>
        <w:t xml:space="preserve"> policy was </w:t>
      </w:r>
      <w:r w:rsidR="001A403F">
        <w:rPr>
          <w:rStyle w:val="cf01"/>
          <w:rFonts w:ascii="Arial" w:hAnsi="Arial" w:cs="Arial"/>
          <w:sz w:val="22"/>
          <w:szCs w:val="22"/>
        </w:rPr>
        <w:t>amended</w:t>
      </w:r>
      <w:r w:rsidRPr="000472E8">
        <w:rPr>
          <w:rStyle w:val="cf01"/>
          <w:rFonts w:ascii="Arial" w:hAnsi="Arial" w:cs="Arial"/>
          <w:sz w:val="22"/>
          <w:szCs w:val="22"/>
        </w:rPr>
        <w:t xml:space="preserve"> on December</w:t>
      </w:r>
      <w:r w:rsidR="001A403F">
        <w:rPr>
          <w:rStyle w:val="cf01"/>
          <w:rFonts w:ascii="Arial" w:hAnsi="Arial" w:cs="Arial"/>
          <w:sz w:val="22"/>
          <w:szCs w:val="22"/>
        </w:rPr>
        <w:t xml:space="preserve"> 22,</w:t>
      </w:r>
      <w:r w:rsidRPr="000472E8">
        <w:rPr>
          <w:rStyle w:val="cf01"/>
          <w:rFonts w:ascii="Arial" w:hAnsi="Arial" w:cs="Arial"/>
          <w:sz w:val="22"/>
          <w:szCs w:val="22"/>
        </w:rPr>
        <w:t xml:space="preserve"> 2023</w:t>
      </w:r>
      <w:r w:rsidR="001A403F">
        <w:rPr>
          <w:rStyle w:val="cf01"/>
          <w:rFonts w:ascii="Arial" w:hAnsi="Arial" w:cs="Arial"/>
          <w:sz w:val="22"/>
          <w:szCs w:val="22"/>
        </w:rPr>
        <w:t>, following consultation with the IAOC</w:t>
      </w:r>
      <w:r w:rsidRPr="000472E8">
        <w:rPr>
          <w:rStyle w:val="cf01"/>
          <w:rFonts w:ascii="Arial" w:hAnsi="Arial" w:cs="Arial"/>
          <w:sz w:val="22"/>
          <w:szCs w:val="22"/>
        </w:rPr>
        <w:t>.</w:t>
      </w:r>
    </w:p>
    <w:p w14:paraId="176B0F52" w14:textId="77777777" w:rsidR="0051712C" w:rsidRPr="006761B4" w:rsidRDefault="0051712C" w:rsidP="0051712C">
      <w:pPr>
        <w:pStyle w:val="Heading3"/>
        <w:spacing w:after="220"/>
        <w:ind w:left="567" w:hanging="27"/>
      </w:pPr>
      <w:r w:rsidRPr="008602C4">
        <w:rPr>
          <w:u w:val="none"/>
        </w:rPr>
        <w:t>E.</w:t>
      </w:r>
      <w:r w:rsidRPr="008602C4">
        <w:rPr>
          <w:u w:val="none"/>
        </w:rPr>
        <w:tab/>
        <w:t>FINANCIAL DISCLOSURE AND DECLARATION OF INTERESTS (FDDI</w:t>
      </w:r>
      <w:r w:rsidRPr="00535D5D">
        <w:t>)</w:t>
      </w:r>
    </w:p>
    <w:p w14:paraId="27785B54" w14:textId="232A3E58" w:rsidR="006761B4" w:rsidRDefault="006761B4" w:rsidP="001A2B9E">
      <w:pPr>
        <w:numPr>
          <w:ilvl w:val="0"/>
          <w:numId w:val="5"/>
        </w:numPr>
        <w:spacing w:after="220"/>
      </w:pPr>
      <w:r w:rsidRPr="006761B4">
        <w:t xml:space="preserve">The FDDI program administered by the Ethics Office helps to promote transparency and accountability, thus enhancing public trust in the integrity of WIPO and its staff. </w:t>
      </w:r>
      <w:r w:rsidR="001A2B9E">
        <w:t xml:space="preserve"> </w:t>
      </w:r>
      <w:r w:rsidRPr="006761B4">
        <w:t xml:space="preserve">The program is primarily a tool for identifying and assessing conflict-of-interest risks arising from the financial investments and outside activities of staff and their immediate family. </w:t>
      </w:r>
    </w:p>
    <w:p w14:paraId="26A67F64" w14:textId="5E75A414" w:rsidR="00D66498" w:rsidRPr="001A29AD" w:rsidRDefault="00D66498" w:rsidP="001A2B9E">
      <w:pPr>
        <w:numPr>
          <w:ilvl w:val="0"/>
          <w:numId w:val="5"/>
        </w:numPr>
        <w:spacing w:after="220"/>
      </w:pPr>
      <w:r w:rsidRPr="001A29AD">
        <w:t xml:space="preserve">In April 2023, the contract with KPMG as an external reviewer of the FDDI process came to an end. </w:t>
      </w:r>
      <w:r w:rsidR="00516D92">
        <w:t xml:space="preserve"> </w:t>
      </w:r>
      <w:r w:rsidRPr="001A29AD">
        <w:rPr>
          <w:szCs w:val="22"/>
        </w:rPr>
        <w:t xml:space="preserve">The Chief Ethics Officer proposed that WIPO should have its own FDDI </w:t>
      </w:r>
      <w:r w:rsidR="001A29AD" w:rsidRPr="001A29AD">
        <w:rPr>
          <w:szCs w:val="22"/>
        </w:rPr>
        <w:t>software,</w:t>
      </w:r>
      <w:r w:rsidRPr="001A29AD">
        <w:rPr>
          <w:szCs w:val="22"/>
        </w:rPr>
        <w:t xml:space="preserve"> and that KPMG should be replaced as the external reviewer, and management has approved these recommendations.  </w:t>
      </w:r>
      <w:r w:rsidR="001A29AD" w:rsidRPr="001A29AD">
        <w:rPr>
          <w:szCs w:val="22"/>
        </w:rPr>
        <w:t xml:space="preserve">The launch of the new WIPO FDDI/IPSAS platform was developed in time for the 2023 exercise. </w:t>
      </w:r>
      <w:r w:rsidR="00083968">
        <w:rPr>
          <w:szCs w:val="22"/>
        </w:rPr>
        <w:t xml:space="preserve"> </w:t>
      </w:r>
      <w:r w:rsidRPr="001A29AD">
        <w:rPr>
          <w:szCs w:val="22"/>
        </w:rPr>
        <w:t xml:space="preserve">This new approach made the process more effective and efficient, yielding significant annual savings for WIPO.  The Ethics Office </w:t>
      </w:r>
      <w:r w:rsidR="00C3691A">
        <w:rPr>
          <w:szCs w:val="22"/>
        </w:rPr>
        <w:t>has led</w:t>
      </w:r>
      <w:r w:rsidRPr="001A29AD">
        <w:rPr>
          <w:szCs w:val="22"/>
        </w:rPr>
        <w:t xml:space="preserve"> the project with the support of the Information and Communication Technology Department and the Information Security Section to develop a secure and dependable system that the Office will manage confidentially.</w:t>
      </w:r>
    </w:p>
    <w:p w14:paraId="38992BE8" w14:textId="499D8EB0" w:rsidR="005C251C" w:rsidRDefault="006761B4" w:rsidP="001D2886">
      <w:pPr>
        <w:pStyle w:val="ONUME"/>
      </w:pPr>
      <w:r w:rsidRPr="006761B4">
        <w:t>In 202</w:t>
      </w:r>
      <w:r w:rsidR="00730286">
        <w:t>3</w:t>
      </w:r>
      <w:r w:rsidRPr="006761B4">
        <w:t xml:space="preserve">, a total of </w:t>
      </w:r>
      <w:r w:rsidRPr="006761B4">
        <w:rPr>
          <w:b/>
        </w:rPr>
        <w:t>1</w:t>
      </w:r>
      <w:r w:rsidR="00730286">
        <w:rPr>
          <w:b/>
        </w:rPr>
        <w:t>11</w:t>
      </w:r>
      <w:r w:rsidRPr="006761B4">
        <w:rPr>
          <w:vertAlign w:val="superscript"/>
        </w:rPr>
        <w:footnoteReference w:id="14"/>
      </w:r>
      <w:r w:rsidRPr="006761B4">
        <w:t xml:space="preserve"> staff members – at the level of D1 and above, as well as other staff working in specifically designated categories – participated in the annual FDDI program, which covered the 202</w:t>
      </w:r>
      <w:r w:rsidR="00730286">
        <w:t>2</w:t>
      </w:r>
      <w:r w:rsidRPr="006761B4">
        <w:t xml:space="preserve"> calendar year. </w:t>
      </w:r>
    </w:p>
    <w:p w14:paraId="49912079" w14:textId="063C74DF" w:rsidR="005C251C" w:rsidRDefault="00621C5C" w:rsidP="005C251C">
      <w:pPr>
        <w:spacing w:after="220"/>
        <w:jc w:val="center"/>
      </w:pPr>
      <w:r w:rsidRPr="00BD4E04">
        <w:rPr>
          <w:b/>
        </w:rPr>
        <w:t xml:space="preserve">Figure </w:t>
      </w:r>
      <w:r w:rsidR="009E5DF8">
        <w:rPr>
          <w:b/>
        </w:rPr>
        <w:t>8</w:t>
      </w:r>
      <w:r w:rsidRPr="00BD4E04">
        <w:rPr>
          <w:b/>
        </w:rPr>
        <w:t>.</w:t>
      </w:r>
      <w:r w:rsidRPr="00BD4E04">
        <w:rPr>
          <w:bCs/>
        </w:rPr>
        <w:t xml:space="preserve"> </w:t>
      </w:r>
      <w:r w:rsidRPr="00BD4E04">
        <w:t>FDDI participants, 201</w:t>
      </w:r>
      <w:r w:rsidR="009E2EA8">
        <w:t>9</w:t>
      </w:r>
      <w:r w:rsidRPr="00BD4E04">
        <w:t xml:space="preserve"> to 2023</w:t>
      </w:r>
      <w:r w:rsidR="005C251C">
        <w:rPr>
          <w:noProof/>
        </w:rPr>
        <w:drawing>
          <wp:inline distT="0" distB="0" distL="0" distR="0" wp14:anchorId="55B3C260" wp14:editId="10D99587">
            <wp:extent cx="5848350" cy="3524250"/>
            <wp:effectExtent l="0" t="0" r="0" b="0"/>
            <wp:docPr id="5" name="Chart 5" descr="Figure 8, FDDI participants, 2018 to 2023">
              <a:extLst xmlns:a="http://schemas.openxmlformats.org/drawingml/2006/main">
                <a:ext uri="{FF2B5EF4-FFF2-40B4-BE49-F238E27FC236}">
                  <a16:creationId xmlns:a16="http://schemas.microsoft.com/office/drawing/2014/main" id="{6F475CA5-014D-3FFD-9240-7D2ADCEB26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75CF12" w14:textId="1FCC956F" w:rsidR="006761B4" w:rsidRPr="00E913B6" w:rsidRDefault="00C20F7C" w:rsidP="001D2886">
      <w:pPr>
        <w:pStyle w:val="ONUME"/>
      </w:pPr>
      <w:r w:rsidRPr="00E913B6">
        <w:t>Hudson Ethics 2</w:t>
      </w:r>
      <w:r w:rsidR="009E2047">
        <w:t xml:space="preserve"> LLC, the newly contracted external reviewer,</w:t>
      </w:r>
      <w:r w:rsidRPr="00E913B6">
        <w:t xml:space="preserve"> sou</w:t>
      </w:r>
      <w:r w:rsidR="00C9725A" w:rsidRPr="00E913B6">
        <w:t xml:space="preserve">ght advice from the Ethics Office on potential or perceived conflict of interest for </w:t>
      </w:r>
      <w:r w:rsidR="00FC7A59">
        <w:rPr>
          <w:b/>
          <w:bCs/>
        </w:rPr>
        <w:t>three</w:t>
      </w:r>
      <w:r w:rsidR="00C9725A" w:rsidRPr="00E913B6">
        <w:t xml:space="preserve"> participan</w:t>
      </w:r>
      <w:r w:rsidR="00C9725A" w:rsidRPr="00300698">
        <w:rPr>
          <w:szCs w:val="22"/>
        </w:rPr>
        <w:t>ts.</w:t>
      </w:r>
      <w:r w:rsidR="00300698" w:rsidRPr="00300698">
        <w:rPr>
          <w:szCs w:val="22"/>
        </w:rPr>
        <w:t xml:space="preserve"> The Ethics </w:t>
      </w:r>
      <w:r w:rsidR="00300698" w:rsidRPr="00300698">
        <w:rPr>
          <w:szCs w:val="22"/>
        </w:rPr>
        <w:lastRenderedPageBreak/>
        <w:t xml:space="preserve">Office reviewed these </w:t>
      </w:r>
      <w:r w:rsidR="00300698" w:rsidRPr="001D2886">
        <w:rPr>
          <w:b/>
          <w:bCs/>
          <w:szCs w:val="22"/>
        </w:rPr>
        <w:t>three</w:t>
      </w:r>
      <w:r w:rsidR="00300698" w:rsidRPr="00300698">
        <w:rPr>
          <w:szCs w:val="22"/>
        </w:rPr>
        <w:t xml:space="preserve"> cases with the staff members concerned and determined that there was no actual conflict of interest</w:t>
      </w:r>
      <w:r w:rsidR="00300698">
        <w:rPr>
          <w:sz w:val="20"/>
        </w:rPr>
        <w:t>.</w:t>
      </w:r>
      <w:r w:rsidRPr="00E913B6">
        <w:t xml:space="preserve"> </w:t>
      </w:r>
    </w:p>
    <w:p w14:paraId="5B95CB84" w14:textId="25CBE77C" w:rsidR="006761B4" w:rsidRDefault="006761B4" w:rsidP="001D2886">
      <w:pPr>
        <w:pStyle w:val="ONUME"/>
      </w:pPr>
      <w:r w:rsidRPr="006761B4">
        <w:t xml:space="preserve">Following the closure of the exercise, approximately </w:t>
      </w:r>
      <w:r w:rsidR="00C20F7C" w:rsidRPr="005C251C">
        <w:rPr>
          <w:b/>
          <w:bCs/>
        </w:rPr>
        <w:t>10</w:t>
      </w:r>
      <w:r w:rsidRPr="005C251C">
        <w:rPr>
          <w:b/>
          <w:bCs/>
        </w:rPr>
        <w:t> per</w:t>
      </w:r>
      <w:r w:rsidR="00242AD0" w:rsidRPr="005C251C">
        <w:rPr>
          <w:b/>
          <w:bCs/>
        </w:rPr>
        <w:t xml:space="preserve"> </w:t>
      </w:r>
      <w:r w:rsidRPr="005C251C">
        <w:rPr>
          <w:b/>
          <w:bCs/>
        </w:rPr>
        <w:t>cent</w:t>
      </w:r>
      <w:r w:rsidRPr="006761B4">
        <w:t xml:space="preserve"> (</w:t>
      </w:r>
      <w:r w:rsidR="00C20F7C" w:rsidRPr="005C251C">
        <w:rPr>
          <w:b/>
        </w:rPr>
        <w:t>10</w:t>
      </w:r>
      <w:r w:rsidRPr="006761B4">
        <w:t xml:space="preserve">) of the participants were randomly selected to participate in the verification process prescribed by the rules. </w:t>
      </w:r>
      <w:r w:rsidR="002F4800">
        <w:t xml:space="preserve"> </w:t>
      </w:r>
      <w:r w:rsidRPr="006761B4">
        <w:t xml:space="preserve">This verification process allows the Ethics Office to ensure that staff are completing their financial disclosure statements diligently and accurately. </w:t>
      </w:r>
      <w:r w:rsidR="002F4800">
        <w:t xml:space="preserve"> </w:t>
      </w:r>
      <w:r w:rsidR="00C9725A" w:rsidRPr="005C251C">
        <w:rPr>
          <w:b/>
          <w:bCs/>
        </w:rPr>
        <w:t>Four</w:t>
      </w:r>
      <w:r w:rsidR="00C9725A" w:rsidRPr="006761B4">
        <w:t xml:space="preserve"> </w:t>
      </w:r>
      <w:r w:rsidRPr="006761B4">
        <w:t>participants selected were compliant and provided the necessary third-party documentation or confirmation</w:t>
      </w:r>
      <w:r w:rsidR="00C9725A">
        <w:t xml:space="preserve">. </w:t>
      </w:r>
      <w:r w:rsidR="00083968">
        <w:t xml:space="preserve"> </w:t>
      </w:r>
      <w:r w:rsidR="00C9725A" w:rsidRPr="005C251C">
        <w:rPr>
          <w:b/>
          <w:bCs/>
          <w:szCs w:val="22"/>
        </w:rPr>
        <w:t>Six</w:t>
      </w:r>
      <w:r w:rsidR="00C9725A" w:rsidRPr="005C251C">
        <w:rPr>
          <w:szCs w:val="22"/>
        </w:rPr>
        <w:t xml:space="preserve"> participants had not disclosed any assets or liabilities on their FDDI statements.</w:t>
      </w:r>
      <w:r w:rsidR="00083968" w:rsidRPr="005C251C">
        <w:rPr>
          <w:szCs w:val="22"/>
        </w:rPr>
        <w:t xml:space="preserve"> </w:t>
      </w:r>
      <w:r w:rsidR="00C9725A" w:rsidRPr="005C251C">
        <w:rPr>
          <w:szCs w:val="22"/>
        </w:rPr>
        <w:t xml:space="preserve"> These </w:t>
      </w:r>
      <w:r w:rsidR="00C9725A" w:rsidRPr="005C251C">
        <w:rPr>
          <w:b/>
          <w:bCs/>
          <w:szCs w:val="22"/>
        </w:rPr>
        <w:t>six</w:t>
      </w:r>
      <w:r w:rsidR="00C9725A" w:rsidRPr="005C251C">
        <w:rPr>
          <w:szCs w:val="22"/>
        </w:rPr>
        <w:t xml:space="preserve"> were requested to sign and submit a clarification document confirming </w:t>
      </w:r>
      <w:r w:rsidR="00FC7A59" w:rsidRPr="005C251C">
        <w:rPr>
          <w:szCs w:val="22"/>
        </w:rPr>
        <w:t>(</w:t>
      </w:r>
      <w:r w:rsidR="00C9725A" w:rsidRPr="005C251C">
        <w:rPr>
          <w:szCs w:val="22"/>
        </w:rPr>
        <w:t xml:space="preserve">1) that they did not hold or acquire any reportable financial instruments, assets and/or non-WIPO sources of income at any time during the reporting period and </w:t>
      </w:r>
      <w:r w:rsidR="00FC7A59" w:rsidRPr="005C251C">
        <w:rPr>
          <w:szCs w:val="22"/>
        </w:rPr>
        <w:t>(</w:t>
      </w:r>
      <w:r w:rsidR="00C9725A" w:rsidRPr="005C251C">
        <w:rPr>
          <w:szCs w:val="22"/>
        </w:rPr>
        <w:t xml:space="preserve">2) that they did not hold any reportable financial liability during the reporting period. </w:t>
      </w:r>
      <w:r w:rsidR="00FC7A59" w:rsidRPr="005C251C">
        <w:rPr>
          <w:szCs w:val="22"/>
        </w:rPr>
        <w:t xml:space="preserve"> </w:t>
      </w:r>
      <w:r w:rsidR="00C9725A" w:rsidRPr="005C251C">
        <w:rPr>
          <w:szCs w:val="22"/>
        </w:rPr>
        <w:t>All six complied.</w:t>
      </w:r>
      <w:r w:rsidRPr="006761B4">
        <w:t xml:space="preserve"> </w:t>
      </w:r>
      <w:r w:rsidR="002F4800">
        <w:t xml:space="preserve"> </w:t>
      </w:r>
      <w:r w:rsidRPr="006761B4">
        <w:t xml:space="preserve">At the end of the process, </w:t>
      </w:r>
      <w:r w:rsidR="00730286">
        <w:t>Hudson Ethics 2</w:t>
      </w:r>
      <w:r w:rsidR="00730286" w:rsidRPr="006761B4">
        <w:t xml:space="preserve"> </w:t>
      </w:r>
      <w:r w:rsidRPr="006761B4">
        <w:t xml:space="preserve">provided an anonymized report to the Director General. </w:t>
      </w:r>
      <w:r w:rsidR="002F4800">
        <w:t xml:space="preserve"> </w:t>
      </w:r>
      <w:r w:rsidRPr="006761B4">
        <w:t xml:space="preserve">The program closed successfully with </w:t>
      </w:r>
      <w:r w:rsidRPr="005C251C">
        <w:rPr>
          <w:b/>
          <w:bCs/>
        </w:rPr>
        <w:t>100 per</w:t>
      </w:r>
      <w:r w:rsidR="00242AD0" w:rsidRPr="005C251C">
        <w:rPr>
          <w:b/>
          <w:bCs/>
        </w:rPr>
        <w:t xml:space="preserve"> </w:t>
      </w:r>
      <w:r w:rsidRPr="005C251C">
        <w:rPr>
          <w:b/>
          <w:bCs/>
        </w:rPr>
        <w:t>cent compliance</w:t>
      </w:r>
      <w:r w:rsidRPr="006761B4">
        <w:t>.</w:t>
      </w:r>
    </w:p>
    <w:p w14:paraId="1CAD6909" w14:textId="77777777" w:rsidR="006761B4" w:rsidRPr="006761B4" w:rsidRDefault="006761B4" w:rsidP="00621C5C">
      <w:pPr>
        <w:pStyle w:val="Heading3"/>
        <w:spacing w:after="220"/>
        <w:ind w:left="1134"/>
      </w:pPr>
      <w:r w:rsidRPr="006761B4">
        <w:t>International Public Sector Accounting Standards (IPSAS) disclosure</w:t>
      </w:r>
    </w:p>
    <w:p w14:paraId="43A34F31" w14:textId="692C5930" w:rsidR="006761B4" w:rsidRPr="006761B4" w:rsidRDefault="006761B4" w:rsidP="002F4800">
      <w:pPr>
        <w:numPr>
          <w:ilvl w:val="0"/>
          <w:numId w:val="5"/>
        </w:numPr>
        <w:spacing w:after="220"/>
      </w:pPr>
      <w:r w:rsidRPr="006761B4">
        <w:t>Consistent with its mandate, the Ethics Office administered and managed the annual IPSAS disclosure exercise for 202</w:t>
      </w:r>
      <w:r w:rsidR="00730286">
        <w:t>3</w:t>
      </w:r>
      <w:r w:rsidRPr="006761B4">
        <w:t xml:space="preserve">. </w:t>
      </w:r>
      <w:r w:rsidR="002F4800">
        <w:t xml:space="preserve"> </w:t>
      </w:r>
      <w:r w:rsidRPr="006761B4">
        <w:t xml:space="preserve">All staff members at the D2 level and above were required to disclose transactions with close family members. </w:t>
      </w:r>
      <w:r w:rsidR="002F4800">
        <w:t xml:space="preserve"> </w:t>
      </w:r>
      <w:r w:rsidRPr="006761B4">
        <w:t>All participants responded to the request</w:t>
      </w:r>
      <w:r w:rsidR="00E0221E">
        <w:t xml:space="preserve"> </w:t>
      </w:r>
      <w:r w:rsidRPr="006761B4">
        <w:t xml:space="preserve">and the exercise closed successfully with </w:t>
      </w:r>
      <w:r w:rsidRPr="006761B4">
        <w:rPr>
          <w:b/>
          <w:bCs/>
        </w:rPr>
        <w:t>100 per</w:t>
      </w:r>
      <w:r w:rsidR="00242AD0">
        <w:rPr>
          <w:b/>
          <w:bCs/>
        </w:rPr>
        <w:t xml:space="preserve"> </w:t>
      </w:r>
      <w:r w:rsidRPr="006761B4">
        <w:rPr>
          <w:b/>
          <w:bCs/>
        </w:rPr>
        <w:t>cent compliance</w:t>
      </w:r>
      <w:r w:rsidRPr="006761B4">
        <w:t>.</w:t>
      </w:r>
    </w:p>
    <w:p w14:paraId="6B21EB3B" w14:textId="00409A69" w:rsidR="006761B4" w:rsidRPr="006761B4" w:rsidRDefault="006761B4" w:rsidP="00621C5C">
      <w:pPr>
        <w:pStyle w:val="Heading3"/>
        <w:spacing w:after="220"/>
        <w:ind w:left="1134"/>
      </w:pPr>
      <w:r w:rsidRPr="006761B4">
        <w:t xml:space="preserve">Policy </w:t>
      </w:r>
      <w:r w:rsidR="002F4800">
        <w:t>R</w:t>
      </w:r>
      <w:r w:rsidRPr="006761B4">
        <w:t>eview</w:t>
      </w:r>
    </w:p>
    <w:p w14:paraId="2BCE8C2B" w14:textId="5090A38B" w:rsidR="006761B4" w:rsidRDefault="006761B4" w:rsidP="002F4800">
      <w:pPr>
        <w:numPr>
          <w:ilvl w:val="0"/>
          <w:numId w:val="5"/>
        </w:numPr>
        <w:spacing w:after="220"/>
      </w:pPr>
      <w:r w:rsidRPr="006761B4">
        <w:t xml:space="preserve">The Ethics Office also initiated the revision of the FDDI policy to reflect changes </w:t>
      </w:r>
      <w:r w:rsidR="000A2B80">
        <w:t>that had been</w:t>
      </w:r>
      <w:r w:rsidR="000A2B80" w:rsidRPr="006761B4">
        <w:t xml:space="preserve"> </w:t>
      </w:r>
      <w:r w:rsidRPr="006761B4">
        <w:t xml:space="preserve">made to the FDDI program, including the use of in-house FDDI software to manage the program. </w:t>
      </w:r>
      <w:r w:rsidR="00B02B17">
        <w:t xml:space="preserve"> </w:t>
      </w:r>
      <w:r w:rsidRPr="006761B4">
        <w:t xml:space="preserve">The policy </w:t>
      </w:r>
      <w:r w:rsidR="001A29AD">
        <w:t>was</w:t>
      </w:r>
      <w:r w:rsidRPr="006761B4">
        <w:t xml:space="preserve"> finalized for publication ahead of the launch of the </w:t>
      </w:r>
      <w:r w:rsidR="001A29AD">
        <w:t>2023</w:t>
      </w:r>
      <w:r w:rsidR="001A29AD" w:rsidRPr="006761B4">
        <w:t xml:space="preserve"> </w:t>
      </w:r>
      <w:r w:rsidRPr="006761B4">
        <w:t>FDDI exercise.</w:t>
      </w:r>
    </w:p>
    <w:p w14:paraId="2DE42464" w14:textId="77777777" w:rsidR="006761B4" w:rsidRPr="0051712C" w:rsidRDefault="00F87B7C" w:rsidP="0051712C">
      <w:pPr>
        <w:pStyle w:val="Heading2"/>
        <w:spacing w:after="220"/>
        <w:rPr>
          <w:b/>
          <w:bCs w:val="0"/>
        </w:rPr>
      </w:pPr>
      <w:r w:rsidRPr="0051712C">
        <w:rPr>
          <w:b/>
          <w:bCs w:val="0"/>
        </w:rPr>
        <w:t>III.</w:t>
      </w:r>
      <w:r w:rsidRPr="0051712C">
        <w:rPr>
          <w:b/>
          <w:bCs w:val="0"/>
        </w:rPr>
        <w:tab/>
      </w:r>
      <w:r w:rsidR="006761B4" w:rsidRPr="0051712C">
        <w:rPr>
          <w:b/>
          <w:bCs w:val="0"/>
        </w:rPr>
        <w:t>OTHER ACTIVITIES OF THE ETHICS OFFICE</w:t>
      </w:r>
    </w:p>
    <w:p w14:paraId="2454D0D8" w14:textId="20D4D664" w:rsidR="006761B4" w:rsidRPr="006761B4" w:rsidRDefault="006761B4" w:rsidP="00B02B17">
      <w:pPr>
        <w:numPr>
          <w:ilvl w:val="0"/>
          <w:numId w:val="5"/>
        </w:numPr>
        <w:spacing w:after="220"/>
      </w:pPr>
      <w:r w:rsidRPr="006761B4">
        <w:t>Throughout 202</w:t>
      </w:r>
      <w:r w:rsidR="00944D3E">
        <w:t>3</w:t>
      </w:r>
      <w:r w:rsidRPr="006761B4">
        <w:t>, the</w:t>
      </w:r>
      <w:r w:rsidRPr="006761B4">
        <w:rPr>
          <w:szCs w:val="22"/>
        </w:rPr>
        <w:t xml:space="preserve"> </w:t>
      </w:r>
      <w:r w:rsidRPr="006761B4">
        <w:t>Ethics Office continued to engage with the IAOC</w:t>
      </w:r>
      <w:r w:rsidRPr="006761B4">
        <w:rPr>
          <w:szCs w:val="22"/>
        </w:rPr>
        <w:t xml:space="preserve"> and submitted timely updates and reports</w:t>
      </w:r>
      <w:r w:rsidRPr="006761B4">
        <w:rPr>
          <w:lang w:val="en-GB"/>
        </w:rPr>
        <w:t xml:space="preserve">, </w:t>
      </w:r>
      <w:proofErr w:type="gramStart"/>
      <w:r w:rsidRPr="006761B4">
        <w:t>in particular on</w:t>
      </w:r>
      <w:proofErr w:type="gramEnd"/>
      <w:r w:rsidRPr="006761B4">
        <w:t xml:space="preserve"> the implementation of the </w:t>
      </w:r>
      <w:r w:rsidR="0061362A">
        <w:t>O</w:t>
      </w:r>
      <w:r w:rsidRPr="006761B4">
        <w:t>ffice</w:t>
      </w:r>
      <w:r w:rsidR="0024530C">
        <w:t>’</w:t>
      </w:r>
      <w:r w:rsidRPr="006761B4">
        <w:t>s workplan.</w:t>
      </w:r>
      <w:r w:rsidR="00B02B17">
        <w:t xml:space="preserve"> </w:t>
      </w:r>
      <w:r w:rsidRPr="006761B4">
        <w:t xml:space="preserve"> The committee members engaged in constructive discussions with, and provided useful guidance to, the Chief Ethics Officer, drawing on their extensive and varied organizational experience. </w:t>
      </w:r>
    </w:p>
    <w:p w14:paraId="64DCB101" w14:textId="1BA4F510" w:rsidR="006761B4" w:rsidRDefault="006761B4" w:rsidP="00B02B17">
      <w:pPr>
        <w:numPr>
          <w:ilvl w:val="0"/>
          <w:numId w:val="5"/>
        </w:numPr>
        <w:spacing w:after="220"/>
      </w:pPr>
      <w:r w:rsidRPr="006761B4">
        <w:t xml:space="preserve">The Ethics Office, as with all program units within the </w:t>
      </w:r>
      <w:r w:rsidR="00CE20A9">
        <w:t>O</w:t>
      </w:r>
      <w:r w:rsidRPr="006761B4">
        <w:t>rganization, also contributed to WIPO</w:t>
      </w:r>
      <w:r w:rsidR="0024530C">
        <w:t>’</w:t>
      </w:r>
      <w:r w:rsidRPr="006761B4">
        <w:t>s annual and biennial planning and risk-management processes.</w:t>
      </w:r>
    </w:p>
    <w:p w14:paraId="017F5898" w14:textId="77777777" w:rsidR="006761B4" w:rsidRPr="0051712C" w:rsidRDefault="00F87B7C" w:rsidP="0051712C">
      <w:pPr>
        <w:pStyle w:val="Heading2"/>
        <w:spacing w:after="220"/>
        <w:rPr>
          <w:b/>
          <w:bCs w:val="0"/>
        </w:rPr>
      </w:pPr>
      <w:r w:rsidRPr="0051712C">
        <w:rPr>
          <w:b/>
          <w:bCs w:val="0"/>
        </w:rPr>
        <w:t>IV.</w:t>
      </w:r>
      <w:r w:rsidRPr="0051712C">
        <w:rPr>
          <w:b/>
          <w:bCs w:val="0"/>
        </w:rPr>
        <w:tab/>
      </w:r>
      <w:r w:rsidR="006761B4" w:rsidRPr="0051712C">
        <w:rPr>
          <w:b/>
          <w:bCs w:val="0"/>
        </w:rPr>
        <w:t xml:space="preserve">COLLABORATION ON ETHICS-RELATED ISSUES WITHIN THE UN SYSTEM </w:t>
      </w:r>
    </w:p>
    <w:p w14:paraId="4D86FA32" w14:textId="52C0BC0F" w:rsidR="006761B4" w:rsidRPr="006761B4" w:rsidRDefault="006761B4" w:rsidP="00300698">
      <w:pPr>
        <w:pStyle w:val="Heading3"/>
        <w:spacing w:after="220"/>
        <w:ind w:left="1134"/>
      </w:pPr>
      <w:r w:rsidRPr="006761B4">
        <w:t>Ethics Network of Multilateral Organizations (ENMO)</w:t>
      </w:r>
    </w:p>
    <w:p w14:paraId="4E393F35" w14:textId="2B0B176F" w:rsidR="006761B4" w:rsidRPr="006761B4" w:rsidRDefault="006761B4" w:rsidP="000A7536">
      <w:pPr>
        <w:numPr>
          <w:ilvl w:val="0"/>
          <w:numId w:val="5"/>
        </w:numPr>
        <w:spacing w:after="220"/>
      </w:pPr>
      <w:r w:rsidRPr="006761B4">
        <w:t xml:space="preserve">The Ethics Office continued its active engagement with the ENMO, which serves as a broad forum of ethics functions from UN system entities, affiliated international </w:t>
      </w:r>
      <w:r w:rsidR="009F798A" w:rsidRPr="006761B4">
        <w:t>organizations,</w:t>
      </w:r>
      <w:r w:rsidRPr="006761B4">
        <w:t xml:space="preserve"> and international financial institutions, and aims to promote system-wide collaborat</w:t>
      </w:r>
      <w:r w:rsidR="000A7536">
        <w:t>ion on ethics</w:t>
      </w:r>
      <w:r w:rsidR="000A7536">
        <w:noBreakHyphen/>
      </w:r>
      <w:r w:rsidRPr="006761B4">
        <w:t xml:space="preserve">related issues for participating bodies. </w:t>
      </w:r>
    </w:p>
    <w:p w14:paraId="053AB571" w14:textId="326AD1E1" w:rsidR="006761B4" w:rsidRPr="00521A7E" w:rsidRDefault="006761B4" w:rsidP="000A7536">
      <w:pPr>
        <w:numPr>
          <w:ilvl w:val="0"/>
          <w:numId w:val="5"/>
        </w:numPr>
        <w:spacing w:after="220"/>
      </w:pPr>
      <w:r w:rsidRPr="00521A7E">
        <w:t>In May 202</w:t>
      </w:r>
      <w:r w:rsidR="001A29AD" w:rsidRPr="00521A7E">
        <w:t>3</w:t>
      </w:r>
      <w:r w:rsidRPr="00521A7E">
        <w:t>, the Chief Ethics Officer brought together the heads of ethics</w:t>
      </w:r>
      <w:r w:rsidR="009E2047">
        <w:t xml:space="preserve"> offices</w:t>
      </w:r>
      <w:r w:rsidRPr="00521A7E">
        <w:t xml:space="preserve"> of ENMO</w:t>
      </w:r>
      <w:r w:rsidR="009E2047">
        <w:t xml:space="preserve"> members</w:t>
      </w:r>
      <w:r w:rsidRPr="00521A7E">
        <w:t xml:space="preserve"> in Geneva</w:t>
      </w:r>
      <w:r w:rsidR="009E2047">
        <w:t>.</w:t>
      </w:r>
      <w:r w:rsidR="00E33F3B" w:rsidRPr="00521A7E">
        <w:t xml:space="preserve"> </w:t>
      </w:r>
      <w:r w:rsidRPr="00521A7E">
        <w:t xml:space="preserve">The group has since met three times and continues to exchange regularly on matters of common concern. </w:t>
      </w:r>
    </w:p>
    <w:p w14:paraId="2A4049D8" w14:textId="41A5F0F2" w:rsidR="00C641E1" w:rsidRPr="0051712C" w:rsidRDefault="00D8430A" w:rsidP="0051712C">
      <w:pPr>
        <w:pStyle w:val="Heading2"/>
        <w:spacing w:after="220"/>
        <w:rPr>
          <w:b/>
          <w:bCs w:val="0"/>
        </w:rPr>
      </w:pPr>
      <w:r w:rsidRPr="0051712C">
        <w:rPr>
          <w:b/>
          <w:bCs w:val="0"/>
        </w:rPr>
        <w:lastRenderedPageBreak/>
        <w:t>V.</w:t>
      </w:r>
      <w:r w:rsidRPr="0051712C">
        <w:rPr>
          <w:b/>
          <w:bCs w:val="0"/>
        </w:rPr>
        <w:tab/>
      </w:r>
      <w:r w:rsidR="006761B4" w:rsidRPr="0051712C">
        <w:rPr>
          <w:b/>
          <w:bCs w:val="0"/>
        </w:rPr>
        <w:t>OBSERVATIONS AND Looking Forward</w:t>
      </w:r>
    </w:p>
    <w:p w14:paraId="295415F1" w14:textId="44A50ECE" w:rsidR="006761B4" w:rsidRPr="00B378E1" w:rsidRDefault="006761B4" w:rsidP="00A0330A">
      <w:pPr>
        <w:numPr>
          <w:ilvl w:val="0"/>
          <w:numId w:val="5"/>
        </w:numPr>
      </w:pPr>
      <w:r w:rsidRPr="00B378E1">
        <w:t xml:space="preserve">The </w:t>
      </w:r>
      <w:r w:rsidR="009E2047">
        <w:t xml:space="preserve">increase in advisory cases is </w:t>
      </w:r>
      <w:r w:rsidRPr="00B378E1">
        <w:t xml:space="preserve">an area the </w:t>
      </w:r>
      <w:r w:rsidR="009E2047">
        <w:t xml:space="preserve">Ethics </w:t>
      </w:r>
      <w:r w:rsidR="00560E5F" w:rsidRPr="00B378E1">
        <w:t>O</w:t>
      </w:r>
      <w:r w:rsidRPr="00B378E1">
        <w:t>ffice will continue to monitor carefully into 202</w:t>
      </w:r>
      <w:r w:rsidR="00944D3E" w:rsidRPr="00B378E1">
        <w:t>4</w:t>
      </w:r>
      <w:r w:rsidRPr="00B378E1">
        <w:t xml:space="preserve">. </w:t>
      </w:r>
      <w:r w:rsidR="00560E5F" w:rsidRPr="00B378E1">
        <w:t xml:space="preserve"> </w:t>
      </w:r>
      <w:r w:rsidRPr="00B378E1">
        <w:t xml:space="preserve">The </w:t>
      </w:r>
      <w:r w:rsidR="009E2047">
        <w:t xml:space="preserve">Ethics </w:t>
      </w:r>
      <w:r w:rsidR="00560E5F" w:rsidRPr="00B378E1">
        <w:t>O</w:t>
      </w:r>
      <w:r w:rsidRPr="00B378E1">
        <w:t>ffice has already improved its case-tracking and reporting capabilities, but still plans to move to an automated case-tracking and data-recording system that will further help with monitoring cases and analytics to better inform its strategy and help it report more efficiently and consistently on ethical maturity within WIPO.</w:t>
      </w:r>
    </w:p>
    <w:p w14:paraId="19DA8A75" w14:textId="77777777" w:rsidR="006761B4" w:rsidRPr="00B378E1" w:rsidRDefault="006761B4" w:rsidP="00A0330A"/>
    <w:p w14:paraId="6FFE5E0D" w14:textId="10205807" w:rsidR="006761B4" w:rsidRPr="00B378E1" w:rsidRDefault="006761B4" w:rsidP="00A0330A">
      <w:pPr>
        <w:numPr>
          <w:ilvl w:val="0"/>
          <w:numId w:val="5"/>
        </w:numPr>
        <w:spacing w:after="220"/>
      </w:pPr>
      <w:r w:rsidRPr="00B378E1">
        <w:t xml:space="preserve">Based on the large number and the nature of requests received in the category of outside activities and employment, the Ethics Office considers that it would be in the best interests of WIPO to enhance the existing regulatory frameworks for the engagement of personnel in outside activities, particularly related to IP. </w:t>
      </w:r>
      <w:r w:rsidR="00285955" w:rsidRPr="00B378E1">
        <w:t xml:space="preserve"> </w:t>
      </w:r>
      <w:r w:rsidRPr="00B378E1">
        <w:t>It would also be helpful to include clearer guidance for personnel on the approval process and the role of the Ethics Office in the review of cases</w:t>
      </w:r>
      <w:r w:rsidRPr="00B378E1">
        <w:rPr>
          <w:szCs w:val="22"/>
        </w:rPr>
        <w:t>.</w:t>
      </w:r>
      <w:r w:rsidR="007618F9" w:rsidRPr="00B378E1">
        <w:rPr>
          <w:szCs w:val="22"/>
        </w:rPr>
        <w:t xml:space="preserve"> T</w:t>
      </w:r>
      <w:r w:rsidR="007618F9" w:rsidRPr="00B378E1">
        <w:rPr>
          <w:rStyle w:val="cf01"/>
          <w:rFonts w:ascii="Arial" w:hAnsi="Arial" w:cs="Arial"/>
          <w:sz w:val="22"/>
          <w:szCs w:val="22"/>
        </w:rPr>
        <w:t xml:space="preserve">he Ethics Office and HRMD have agreed to form a working group to </w:t>
      </w:r>
      <w:r w:rsidR="009E2047">
        <w:rPr>
          <w:rStyle w:val="cf01"/>
          <w:rFonts w:ascii="Arial" w:hAnsi="Arial" w:cs="Arial"/>
          <w:sz w:val="22"/>
          <w:szCs w:val="22"/>
        </w:rPr>
        <w:t>consider</w:t>
      </w:r>
      <w:r w:rsidR="007618F9" w:rsidRPr="00B378E1">
        <w:rPr>
          <w:rStyle w:val="cf01"/>
          <w:rFonts w:ascii="Arial" w:hAnsi="Arial" w:cs="Arial"/>
          <w:sz w:val="22"/>
          <w:szCs w:val="22"/>
        </w:rPr>
        <w:t xml:space="preserve"> possible changes </w:t>
      </w:r>
      <w:r w:rsidR="009E2047">
        <w:rPr>
          <w:rStyle w:val="cf01"/>
          <w:rFonts w:ascii="Arial" w:hAnsi="Arial" w:cs="Arial"/>
          <w:sz w:val="22"/>
          <w:szCs w:val="22"/>
        </w:rPr>
        <w:t>to</w:t>
      </w:r>
      <w:r w:rsidR="007618F9" w:rsidRPr="00B378E1">
        <w:rPr>
          <w:rStyle w:val="cf01"/>
          <w:rFonts w:ascii="Arial" w:hAnsi="Arial" w:cs="Arial"/>
          <w:sz w:val="22"/>
          <w:szCs w:val="22"/>
        </w:rPr>
        <w:t xml:space="preserve"> the current outside activity approval process.</w:t>
      </w:r>
    </w:p>
    <w:p w14:paraId="0C6B17BB" w14:textId="5406BBF5" w:rsidR="006761B4" w:rsidRPr="006761B4" w:rsidRDefault="006761B4" w:rsidP="00A0330A">
      <w:pPr>
        <w:numPr>
          <w:ilvl w:val="0"/>
          <w:numId w:val="5"/>
        </w:numPr>
        <w:spacing w:after="220"/>
      </w:pPr>
      <w:r w:rsidRPr="006761B4">
        <w:t xml:space="preserve">Considering the results of the mandatory ethics and integrity training, the Ethics Office is confident that a strong foundation has been laid to increase trust among WIPO staff and managers, and in the </w:t>
      </w:r>
      <w:r w:rsidR="00285955">
        <w:t>O</w:t>
      </w:r>
      <w:r w:rsidRPr="006761B4">
        <w:t xml:space="preserve">rganization itself. </w:t>
      </w:r>
      <w:r w:rsidR="00285955">
        <w:t xml:space="preserve"> </w:t>
      </w:r>
      <w:r w:rsidRPr="006761B4">
        <w:t>It has also prom</w:t>
      </w:r>
      <w:r w:rsidR="00285955">
        <w:t>oted accountability in decision</w:t>
      </w:r>
      <w:r w:rsidR="00285955">
        <w:noBreakHyphen/>
      </w:r>
      <w:r w:rsidRPr="006761B4">
        <w:t xml:space="preserve">making and strengthened ethical leadership at all levels of the </w:t>
      </w:r>
      <w:r w:rsidR="00285955">
        <w:t>O</w:t>
      </w:r>
      <w:r w:rsidRPr="006761B4">
        <w:t xml:space="preserve">rganization. </w:t>
      </w:r>
      <w:r w:rsidR="00285955">
        <w:t xml:space="preserve"> </w:t>
      </w:r>
      <w:r w:rsidRPr="006761B4">
        <w:t xml:space="preserve">As the Ethics Office, and other concerned stakeholders, continue to reinforce the expectation for personnel to align their conduct with UN values, and WIPO </w:t>
      </w:r>
      <w:r w:rsidR="00AC5327">
        <w:t xml:space="preserve">values </w:t>
      </w:r>
      <w:r w:rsidRPr="006761B4">
        <w:t xml:space="preserve">in particular, they will in turn naturally expect procedural fairness from the </w:t>
      </w:r>
      <w:r w:rsidR="00285955">
        <w:t>O</w:t>
      </w:r>
      <w:r w:rsidRPr="006761B4">
        <w:t xml:space="preserve">rganization. </w:t>
      </w:r>
      <w:r w:rsidR="00285955">
        <w:t xml:space="preserve"> </w:t>
      </w:r>
      <w:r w:rsidRPr="006761B4">
        <w:t>Therefore</w:t>
      </w:r>
      <w:r w:rsidR="00285955">
        <w:t>,</w:t>
      </w:r>
      <w:r w:rsidRPr="006761B4">
        <w:t xml:space="preserve"> it is important that policies and guidelines are not only explicitly aligned with those values, with clear roles and responsibilities, but also clearly communicated to personnel, and implemented with integrity and fairness. </w:t>
      </w:r>
    </w:p>
    <w:p w14:paraId="037A0FEB" w14:textId="5384D1BF" w:rsidR="006761B4" w:rsidRDefault="006761B4" w:rsidP="00A0330A">
      <w:pPr>
        <w:numPr>
          <w:ilvl w:val="0"/>
          <w:numId w:val="5"/>
        </w:numPr>
        <w:rPr>
          <w:szCs w:val="22"/>
        </w:rPr>
      </w:pPr>
      <w:r w:rsidRPr="006761B4">
        <w:rPr>
          <w:szCs w:val="22"/>
        </w:rPr>
        <w:t>The Ethics Office</w:t>
      </w:r>
      <w:r w:rsidR="0024530C">
        <w:rPr>
          <w:szCs w:val="22"/>
        </w:rPr>
        <w:t>’</w:t>
      </w:r>
      <w:r w:rsidRPr="006761B4">
        <w:rPr>
          <w:szCs w:val="22"/>
        </w:rPr>
        <w:t xml:space="preserve">s mandate includes supporting management in the review of policies that </w:t>
      </w:r>
      <w:r w:rsidR="009E2047">
        <w:rPr>
          <w:szCs w:val="22"/>
        </w:rPr>
        <w:t>raise</w:t>
      </w:r>
      <w:r w:rsidRPr="006761B4">
        <w:rPr>
          <w:szCs w:val="22"/>
        </w:rPr>
        <w:t xml:space="preserve"> implicit or explicit ethical considerations. </w:t>
      </w:r>
      <w:r w:rsidR="00A05045">
        <w:rPr>
          <w:szCs w:val="22"/>
        </w:rPr>
        <w:t xml:space="preserve"> </w:t>
      </w:r>
      <w:r w:rsidRPr="006761B4">
        <w:rPr>
          <w:szCs w:val="22"/>
        </w:rPr>
        <w:t xml:space="preserve">The </w:t>
      </w:r>
      <w:r w:rsidR="00A05045">
        <w:rPr>
          <w:szCs w:val="22"/>
        </w:rPr>
        <w:t>O</w:t>
      </w:r>
      <w:r w:rsidRPr="006761B4">
        <w:rPr>
          <w:szCs w:val="22"/>
        </w:rPr>
        <w:t>ffice encourages management to draw on its expertise in future discussions regarding WIPO</w:t>
      </w:r>
      <w:r w:rsidR="0024530C">
        <w:rPr>
          <w:szCs w:val="22"/>
        </w:rPr>
        <w:t>’</w:t>
      </w:r>
      <w:r w:rsidRPr="006761B4">
        <w:rPr>
          <w:szCs w:val="22"/>
        </w:rPr>
        <w:t xml:space="preserve">s policies, particularly concerning the ongoing culture change initiative </w:t>
      </w:r>
      <w:proofErr w:type="gramStart"/>
      <w:r w:rsidRPr="006761B4">
        <w:rPr>
          <w:szCs w:val="22"/>
        </w:rPr>
        <w:t>in order to</w:t>
      </w:r>
      <w:proofErr w:type="gramEnd"/>
      <w:r w:rsidRPr="006761B4">
        <w:rPr>
          <w:szCs w:val="22"/>
        </w:rPr>
        <w:t xml:space="preserve"> make sure that ethical considerations and considerations related to the Standards of Conduct for the International Civil Service are always incorporated into organizational policies and guidelines, as appropriate.</w:t>
      </w:r>
    </w:p>
    <w:p w14:paraId="5AA9F487" w14:textId="5E969B40" w:rsidR="00621C5C" w:rsidRDefault="00621C5C" w:rsidP="00621C5C">
      <w:pPr>
        <w:rPr>
          <w:szCs w:val="22"/>
        </w:rPr>
      </w:pPr>
    </w:p>
    <w:p w14:paraId="0261A9D0" w14:textId="77777777" w:rsidR="00621C5C" w:rsidRPr="00E53725" w:rsidRDefault="00621C5C" w:rsidP="00621C5C">
      <w:pPr>
        <w:pStyle w:val="ONUME"/>
        <w:rPr>
          <w:rFonts w:eastAsia="Times New Roman"/>
          <w:szCs w:val="22"/>
          <w:lang w:eastAsia="en-US"/>
        </w:rPr>
      </w:pPr>
      <w:r>
        <w:rPr>
          <w:rStyle w:val="cf01"/>
          <w:rFonts w:ascii="Arial" w:hAnsi="Arial" w:cs="Arial"/>
          <w:sz w:val="22"/>
          <w:szCs w:val="22"/>
        </w:rPr>
        <w:t>In 2023, t</w:t>
      </w:r>
      <w:r w:rsidRPr="00E53725">
        <w:rPr>
          <w:rStyle w:val="cf01"/>
          <w:rFonts w:ascii="Arial" w:hAnsi="Arial" w:cs="Arial"/>
          <w:sz w:val="22"/>
          <w:szCs w:val="22"/>
        </w:rPr>
        <w:t xml:space="preserve">he Ethics Office initiated </w:t>
      </w:r>
      <w:r w:rsidRPr="00E53725">
        <w:rPr>
          <w:rStyle w:val="cf01"/>
          <w:rFonts w:ascii="Arial" w:hAnsi="Arial" w:cs="Arial"/>
          <w:b/>
          <w:bCs/>
          <w:sz w:val="22"/>
          <w:szCs w:val="22"/>
        </w:rPr>
        <w:t>four</w:t>
      </w:r>
      <w:r>
        <w:rPr>
          <w:rStyle w:val="cf01"/>
          <w:rFonts w:ascii="Arial" w:hAnsi="Arial" w:cs="Arial"/>
          <w:sz w:val="22"/>
          <w:szCs w:val="22"/>
        </w:rPr>
        <w:t xml:space="preserve"> </w:t>
      </w:r>
      <w:r w:rsidRPr="00E53725">
        <w:rPr>
          <w:rStyle w:val="cf01"/>
          <w:rFonts w:ascii="Arial" w:hAnsi="Arial" w:cs="Arial"/>
          <w:sz w:val="22"/>
          <w:szCs w:val="22"/>
        </w:rPr>
        <w:t xml:space="preserve">policy reviews in relation to FDDI/IPSAS, </w:t>
      </w:r>
      <w:proofErr w:type="spellStart"/>
      <w:r w:rsidRPr="00E53725">
        <w:rPr>
          <w:rStyle w:val="cf01"/>
          <w:rFonts w:ascii="Arial" w:hAnsi="Arial" w:cs="Arial"/>
          <w:sz w:val="22"/>
          <w:szCs w:val="22"/>
        </w:rPr>
        <w:t>PaR</w:t>
      </w:r>
      <w:proofErr w:type="spellEnd"/>
      <w:r w:rsidRPr="00E53725">
        <w:rPr>
          <w:rStyle w:val="cf01"/>
          <w:rFonts w:ascii="Arial" w:hAnsi="Arial" w:cs="Arial"/>
          <w:sz w:val="22"/>
          <w:szCs w:val="22"/>
        </w:rPr>
        <w:t>, consensual intimate relations between staff, and outside activities.</w:t>
      </w:r>
    </w:p>
    <w:p w14:paraId="1A975F9A" w14:textId="77777777" w:rsidR="001D2886" w:rsidRDefault="001D2886" w:rsidP="001D2886">
      <w:pPr>
        <w:pStyle w:val="ONUME"/>
      </w:pPr>
      <w:r>
        <w:t xml:space="preserve">The new internal platform (FDDI) was successfully launched in June </w:t>
      </w:r>
      <w:r w:rsidRPr="006761B4">
        <w:t xml:space="preserve">2023, </w:t>
      </w:r>
      <w:r>
        <w:t>followed by the development of IPSAS, ahead of the launch in January 2024.</w:t>
      </w:r>
    </w:p>
    <w:p w14:paraId="1F8D33C8" w14:textId="77777777" w:rsidR="001D2886" w:rsidRDefault="001D2886" w:rsidP="001D2886">
      <w:pPr>
        <w:pStyle w:val="ONUME"/>
      </w:pPr>
      <w:r w:rsidRPr="00D22A57">
        <w:t xml:space="preserve">As per </w:t>
      </w:r>
      <w:r w:rsidRPr="00EA0F9A">
        <w:rPr>
          <w:b/>
        </w:rPr>
        <w:t>2023 Staff Resources Report</w:t>
      </w:r>
      <w:r w:rsidRPr="00EA0F9A">
        <w:t>,</w:t>
      </w:r>
      <w:r w:rsidRPr="00D22A57">
        <w:t xml:space="preserve"> </w:t>
      </w:r>
      <w:r>
        <w:t>t</w:t>
      </w:r>
      <w:r w:rsidRPr="00D22A57">
        <w:t>he</w:t>
      </w:r>
      <w:r>
        <w:t xml:space="preserve"> Ethics</w:t>
      </w:r>
      <w:r w:rsidRPr="00D22A57">
        <w:t xml:space="preserve"> Office is comprised of one </w:t>
      </w:r>
      <w:r>
        <w:t xml:space="preserve">staff position, the </w:t>
      </w:r>
      <w:r w:rsidRPr="0048267C">
        <w:t>Chief Ethics Officer</w:t>
      </w:r>
      <w:r>
        <w:t xml:space="preserve">. The Chief Ethics Officer is supported by one administrative agency worker (part-time), and contractors as needed, </w:t>
      </w:r>
      <w:proofErr w:type="gramStart"/>
      <w:r>
        <w:t>in particular during</w:t>
      </w:r>
      <w:proofErr w:type="gramEnd"/>
      <w:r>
        <w:t xml:space="preserve"> the financial disclosure process.  Following the departure</w:t>
      </w:r>
      <w:r w:rsidRPr="007E6671">
        <w:t xml:space="preserve"> of </w:t>
      </w:r>
      <w:r w:rsidRPr="00EA0F9A">
        <w:t>Ms.</w:t>
      </w:r>
      <w:r w:rsidRPr="00300698">
        <w:t> </w:t>
      </w:r>
      <w:r w:rsidRPr="00EA0F9A">
        <w:t xml:space="preserve">Jovanie </w:t>
      </w:r>
      <w:proofErr w:type="spellStart"/>
      <w:r w:rsidRPr="00EA0F9A">
        <w:t>Philogène</w:t>
      </w:r>
      <w:proofErr w:type="spellEnd"/>
      <w:r w:rsidRPr="007E6671">
        <w:t>, WIPO</w:t>
      </w:r>
      <w:r>
        <w:t>’</w:t>
      </w:r>
      <w:r w:rsidRPr="007E6671">
        <w:t>s Chief Ethics Officer, on October 16, 2023, Mr. David</w:t>
      </w:r>
      <w:r>
        <w:t xml:space="preserve"> </w:t>
      </w:r>
      <w:proofErr w:type="spellStart"/>
      <w:r w:rsidRPr="007E6671">
        <w:t>Mitchels</w:t>
      </w:r>
      <w:proofErr w:type="spellEnd"/>
      <w:r w:rsidRPr="007E6671">
        <w:t xml:space="preserve"> has taken up his duties as interim Chief Ethics Officer</w:t>
      </w:r>
      <w:r>
        <w:t xml:space="preserve"> until a new Chief Ethics Officer is appointed. </w:t>
      </w:r>
    </w:p>
    <w:p w14:paraId="46608E9E" w14:textId="77777777" w:rsidR="001D2886" w:rsidRPr="006761B4" w:rsidRDefault="001D2886" w:rsidP="0051712C">
      <w:pPr>
        <w:numPr>
          <w:ilvl w:val="0"/>
          <w:numId w:val="5"/>
        </w:numPr>
        <w:spacing w:before="220"/>
      </w:pPr>
      <w:r w:rsidRPr="006761B4">
        <w:t xml:space="preserve">Finally, the Ethics Office appreciates the support received from management and other offices for the implementation of its mandate. </w:t>
      </w:r>
      <w:r>
        <w:t xml:space="preserve"> </w:t>
      </w:r>
      <w:r w:rsidRPr="006761B4">
        <w:t xml:space="preserve">The </w:t>
      </w:r>
      <w:r>
        <w:t>Ethics Office</w:t>
      </w:r>
      <w:r w:rsidRPr="006761B4">
        <w:t xml:space="preserve"> plans to increase the frequency of briefings to WIPO Senior Leadership, as this is an opportunity to raise awareness of ethical issues while respecting the </w:t>
      </w:r>
      <w:r>
        <w:t>O</w:t>
      </w:r>
      <w:r w:rsidRPr="006761B4">
        <w:t>ffice</w:t>
      </w:r>
      <w:r>
        <w:t>’</w:t>
      </w:r>
      <w:r w:rsidRPr="006761B4">
        <w:t>s independence and obligations of confidentiality.</w:t>
      </w:r>
      <w:r>
        <w:t xml:space="preserve"> </w:t>
      </w:r>
      <w:r w:rsidRPr="006761B4">
        <w:t xml:space="preserve"> In addition, the </w:t>
      </w:r>
      <w:r>
        <w:t>O</w:t>
      </w:r>
      <w:r w:rsidRPr="006761B4">
        <w:t xml:space="preserve">ffice </w:t>
      </w:r>
      <w:r>
        <w:t xml:space="preserve">has </w:t>
      </w:r>
      <w:r w:rsidRPr="006761B4">
        <w:t>appreciate</w:t>
      </w:r>
      <w:r>
        <w:t>d</w:t>
      </w:r>
      <w:r w:rsidRPr="006761B4">
        <w:t xml:space="preserve"> the availability of temporary staffing which has helped its delivery capacity in 202</w:t>
      </w:r>
      <w:r>
        <w:t>3</w:t>
      </w:r>
      <w:r w:rsidRPr="006761B4">
        <w:t xml:space="preserve">. </w:t>
      </w:r>
      <w:r>
        <w:t xml:space="preserve"> </w:t>
      </w:r>
      <w:r w:rsidRPr="00D96472">
        <w:t xml:space="preserve">With more sustained and durable resources, the Ethics Office looks forward to </w:t>
      </w:r>
      <w:r>
        <w:t xml:space="preserve">obtaining additional staff headcounts to </w:t>
      </w:r>
      <w:r w:rsidRPr="00D96472">
        <w:t>respond to the increasing number of cases</w:t>
      </w:r>
      <w:r>
        <w:t>,</w:t>
      </w:r>
      <w:r w:rsidRPr="00D96472">
        <w:t xml:space="preserve"> impact the workforce more significantly and carry out new and strategic initiatives.</w:t>
      </w:r>
      <w:r w:rsidRPr="006761B4">
        <w:t xml:space="preserve">  </w:t>
      </w:r>
    </w:p>
    <w:p w14:paraId="3B0AB1B7" w14:textId="77777777" w:rsidR="006761B4" w:rsidRPr="0051712C" w:rsidRDefault="00D8430A" w:rsidP="0051712C">
      <w:pPr>
        <w:pStyle w:val="Heading2"/>
        <w:spacing w:after="220"/>
        <w:rPr>
          <w:b/>
          <w:bCs w:val="0"/>
        </w:rPr>
      </w:pPr>
      <w:r w:rsidRPr="0051712C">
        <w:rPr>
          <w:b/>
          <w:bCs w:val="0"/>
        </w:rPr>
        <w:lastRenderedPageBreak/>
        <w:t>vI.</w:t>
      </w:r>
      <w:r w:rsidRPr="0051712C">
        <w:rPr>
          <w:b/>
          <w:bCs w:val="0"/>
        </w:rPr>
        <w:tab/>
      </w:r>
      <w:r w:rsidR="006761B4" w:rsidRPr="0051712C">
        <w:rPr>
          <w:b/>
          <w:bCs w:val="0"/>
        </w:rPr>
        <w:t>CONCLUSION</w:t>
      </w:r>
    </w:p>
    <w:p w14:paraId="24509D70" w14:textId="40D056CF" w:rsidR="006761B4" w:rsidRPr="001A3470" w:rsidRDefault="006761B4" w:rsidP="006761B4">
      <w:pPr>
        <w:numPr>
          <w:ilvl w:val="0"/>
          <w:numId w:val="5"/>
        </w:numPr>
        <w:spacing w:after="220"/>
      </w:pPr>
      <w:r w:rsidRPr="006761B4">
        <w:t>In 202</w:t>
      </w:r>
      <w:r w:rsidR="00730286">
        <w:t>3</w:t>
      </w:r>
      <w:r w:rsidRPr="006761B4">
        <w:t xml:space="preserve">, the Ethics Office made significant efforts to provide consistent expert ethics advice, high-quality </w:t>
      </w:r>
      <w:r w:rsidR="00A7425B" w:rsidRPr="006761B4">
        <w:t>training,</w:t>
      </w:r>
      <w:r w:rsidRPr="006761B4">
        <w:t xml:space="preserve"> and meaningful outreach to strengthen capacity and further </w:t>
      </w:r>
      <w:r w:rsidR="00A7425B" w:rsidRPr="006761B4">
        <w:t>increased</w:t>
      </w:r>
      <w:r w:rsidRPr="006761B4">
        <w:t xml:space="preserve"> awareness, understanding and compliance with WIPO</w:t>
      </w:r>
      <w:r w:rsidR="0024530C">
        <w:t>’</w:t>
      </w:r>
      <w:r w:rsidRPr="006761B4">
        <w:t xml:space="preserve">s guiding principles and standards of conduct. </w:t>
      </w:r>
      <w:r w:rsidR="00CD5E27">
        <w:t xml:space="preserve"> </w:t>
      </w:r>
      <w:r w:rsidRPr="006761B4">
        <w:t xml:space="preserve">The </w:t>
      </w:r>
      <w:r w:rsidR="00CD5E27">
        <w:t>O</w:t>
      </w:r>
      <w:r w:rsidRPr="006761B4">
        <w:t xml:space="preserve">ffice is encouraged by its increased interactions with personnel on </w:t>
      </w:r>
      <w:r w:rsidRPr="001A3470">
        <w:t xml:space="preserve">ethics issues and looks forward to continuing this work in the next year. </w:t>
      </w:r>
    </w:p>
    <w:p w14:paraId="43B49101" w14:textId="1493C139" w:rsidR="006761B4" w:rsidRPr="001A3470" w:rsidRDefault="002B791F" w:rsidP="00CD5E27">
      <w:pPr>
        <w:numPr>
          <w:ilvl w:val="0"/>
          <w:numId w:val="5"/>
        </w:numPr>
        <w:spacing w:after="720"/>
      </w:pPr>
      <w:r>
        <w:t>Following positive feedback</w:t>
      </w:r>
      <w:r w:rsidR="006761B4" w:rsidRPr="00913FBD">
        <w:t xml:space="preserve">, the Ethics Office </w:t>
      </w:r>
      <w:r w:rsidR="0024530C">
        <w:t>plans to</w:t>
      </w:r>
      <w:r w:rsidR="006761B4" w:rsidRPr="00913FBD">
        <w:t xml:space="preserve"> issue an illustrated summary report to all WIPO personnel.</w:t>
      </w:r>
      <w:r w:rsidR="00CD5E27" w:rsidRPr="00913FBD">
        <w:t xml:space="preserve"> </w:t>
      </w:r>
      <w:r w:rsidR="006761B4" w:rsidRPr="00913FBD">
        <w:t xml:space="preserve"> This report will provide an overview of the work of the </w:t>
      </w:r>
      <w:r w:rsidR="00CD5E27" w:rsidRPr="00913FBD">
        <w:t>O</w:t>
      </w:r>
      <w:r w:rsidR="006761B4" w:rsidRPr="00913FBD">
        <w:t xml:space="preserve">ffice. </w:t>
      </w:r>
      <w:r w:rsidR="00EA0F9A">
        <w:t xml:space="preserve"> </w:t>
      </w:r>
      <w:r w:rsidR="006761B4" w:rsidRPr="00913FBD">
        <w:t>A on</w:t>
      </w:r>
      <w:r w:rsidR="006761B4" w:rsidRPr="001A3470">
        <w:t>e</w:t>
      </w:r>
      <w:r w:rsidR="00EA0F9A">
        <w:noBreakHyphen/>
      </w:r>
      <w:r w:rsidR="006761B4" w:rsidRPr="001A3470">
        <w:t xml:space="preserve">page snapshot of this report is available in the Annex. </w:t>
      </w:r>
    </w:p>
    <w:p w14:paraId="012B9980" w14:textId="652107FD" w:rsidR="00D8430A" w:rsidRDefault="006761B4" w:rsidP="006761B4">
      <w:pPr>
        <w:spacing w:after="220"/>
        <w:ind w:left="5533"/>
        <w:sectPr w:rsidR="00D8430A" w:rsidSect="00EA0F9A">
          <w:headerReference w:type="default" r:id="rId17"/>
          <w:endnotePr>
            <w:numFmt w:val="decimal"/>
          </w:endnotePr>
          <w:pgSz w:w="11907" w:h="16840" w:code="9"/>
          <w:pgMar w:top="567" w:right="1134" w:bottom="1418" w:left="1418" w:header="510" w:footer="1021" w:gutter="0"/>
          <w:cols w:space="720"/>
          <w:titlePg/>
          <w:docGrid w:linePitch="299"/>
        </w:sectPr>
      </w:pPr>
      <w:r w:rsidRPr="007E04F7">
        <w:t>[</w:t>
      </w:r>
      <w:r w:rsidR="00D8430A" w:rsidRPr="007E04F7">
        <w:t>Annex follows</w:t>
      </w:r>
      <w:r w:rsidRPr="007E04F7">
        <w:t>]</w:t>
      </w:r>
    </w:p>
    <w:p w14:paraId="14D75743" w14:textId="35C0AD1C" w:rsidR="00AC1F9E" w:rsidRDefault="00A449D6" w:rsidP="00AC1F9E">
      <w:pPr>
        <w:spacing w:before="360" w:after="220"/>
        <w:ind w:left="-144"/>
      </w:pPr>
      <w:r>
        <w:rPr>
          <w:noProof/>
        </w:rPr>
        <w:lastRenderedPageBreak/>
        <w:drawing>
          <wp:inline distT="0" distB="0" distL="0" distR="0" wp14:anchorId="3BBDECA7" wp14:editId="32CE9D5C">
            <wp:extent cx="5940425" cy="8305800"/>
            <wp:effectExtent l="0" t="0" r="3175" b="0"/>
            <wp:docPr id="9" name="Picture 9" descr="One-page snapshot - Ethics Office 2023 in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ne-page snapshot - Ethics Office 2023 in numbers"/>
                    <pic:cNvPicPr/>
                  </pic:nvPicPr>
                  <pic:blipFill>
                    <a:blip r:embed="rId18"/>
                    <a:stretch>
                      <a:fillRect/>
                    </a:stretch>
                  </pic:blipFill>
                  <pic:spPr>
                    <a:xfrm>
                      <a:off x="0" y="0"/>
                      <a:ext cx="5940425" cy="8305800"/>
                    </a:xfrm>
                    <a:prstGeom prst="rect">
                      <a:avLst/>
                    </a:prstGeom>
                  </pic:spPr>
                </pic:pic>
              </a:graphicData>
            </a:graphic>
          </wp:inline>
        </w:drawing>
      </w:r>
    </w:p>
    <w:p w14:paraId="49CDE3C9" w14:textId="385879FB" w:rsidR="002928D3" w:rsidRDefault="00D8430A" w:rsidP="00913FBD">
      <w:pPr>
        <w:spacing w:before="360" w:after="220"/>
        <w:ind w:left="5530"/>
      </w:pPr>
      <w:bookmarkStart w:id="10" w:name="_Hlk161299472"/>
      <w:bookmarkEnd w:id="6"/>
      <w:r>
        <w:t>[End of Annex and of document]</w:t>
      </w:r>
      <w:bookmarkEnd w:id="0"/>
      <w:bookmarkEnd w:id="10"/>
    </w:p>
    <w:sectPr w:rsidR="002928D3" w:rsidSect="00DE5187">
      <w:headerReference w:type="default" r:id="rId19"/>
      <w:headerReference w:type="first" r:id="rId20"/>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0F787" w14:textId="77777777" w:rsidR="004A2F89" w:rsidRDefault="004A2F89">
      <w:r>
        <w:separator/>
      </w:r>
    </w:p>
  </w:endnote>
  <w:endnote w:type="continuationSeparator" w:id="0">
    <w:p w14:paraId="629DD42D" w14:textId="77777777" w:rsidR="004A2F89" w:rsidRDefault="004A2F89" w:rsidP="003B38C1">
      <w:r>
        <w:separator/>
      </w:r>
    </w:p>
    <w:p w14:paraId="5BE19D16" w14:textId="77777777" w:rsidR="004A2F89" w:rsidRPr="003B38C1" w:rsidRDefault="004A2F89" w:rsidP="003B38C1">
      <w:pPr>
        <w:spacing w:after="60"/>
        <w:rPr>
          <w:sz w:val="17"/>
        </w:rPr>
      </w:pPr>
      <w:r>
        <w:rPr>
          <w:sz w:val="17"/>
        </w:rPr>
        <w:t>[Endnote continued from previous page]</w:t>
      </w:r>
    </w:p>
  </w:endnote>
  <w:endnote w:type="continuationNotice" w:id="1">
    <w:p w14:paraId="2D649540" w14:textId="77777777" w:rsidR="004A2F89" w:rsidRPr="003B38C1" w:rsidRDefault="004A2F8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1A360" w14:textId="77777777" w:rsidR="004A2F89" w:rsidRDefault="004A2F89">
      <w:r>
        <w:separator/>
      </w:r>
    </w:p>
  </w:footnote>
  <w:footnote w:type="continuationSeparator" w:id="0">
    <w:p w14:paraId="63C81088" w14:textId="77777777" w:rsidR="004A2F89" w:rsidRDefault="004A2F89" w:rsidP="008B60B2">
      <w:r>
        <w:separator/>
      </w:r>
    </w:p>
    <w:p w14:paraId="0D2F1C2F" w14:textId="77777777" w:rsidR="004A2F89" w:rsidRPr="00ED77FB" w:rsidRDefault="004A2F89" w:rsidP="008B60B2">
      <w:pPr>
        <w:spacing w:after="60"/>
        <w:rPr>
          <w:sz w:val="17"/>
          <w:szCs w:val="17"/>
        </w:rPr>
      </w:pPr>
      <w:r w:rsidRPr="00ED77FB">
        <w:rPr>
          <w:sz w:val="17"/>
          <w:szCs w:val="17"/>
        </w:rPr>
        <w:t>[Footnote continued from previous page]</w:t>
      </w:r>
    </w:p>
  </w:footnote>
  <w:footnote w:type="continuationNotice" w:id="1">
    <w:p w14:paraId="643C5FA0" w14:textId="77777777" w:rsidR="004A2F89" w:rsidRPr="00ED77FB" w:rsidRDefault="004A2F8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9D2DAD7" w14:textId="7DDBE6BE" w:rsidR="006761B4" w:rsidRPr="00544FB8" w:rsidRDefault="006761B4" w:rsidP="00291793">
      <w:pPr>
        <w:pStyle w:val="FootnoteText"/>
      </w:pPr>
      <w:r>
        <w:rPr>
          <w:rStyle w:val="FootnoteReference"/>
        </w:rPr>
        <w:footnoteRef/>
      </w:r>
      <w:r>
        <w:t xml:space="preserve"> This includes all WIPO staff and non-staff personnel</w:t>
      </w:r>
      <w:r w:rsidR="00D77823">
        <w:t xml:space="preserve"> based in WIPO headquarters and outside Geneva</w:t>
      </w:r>
      <w:r>
        <w:t>.</w:t>
      </w:r>
      <w:r w:rsidRPr="00544FB8">
        <w:t xml:space="preserve"> </w:t>
      </w:r>
      <w:r w:rsidR="006F757A">
        <w:t xml:space="preserve"> </w:t>
      </w:r>
      <w:r w:rsidRPr="00D737BE">
        <w:t>The Ethics Office also provides services to staff of</w:t>
      </w:r>
      <w:r>
        <w:t xml:space="preserve"> the International Union for the Protection of New Varieties of Plants.</w:t>
      </w:r>
    </w:p>
  </w:footnote>
  <w:footnote w:id="3">
    <w:p w14:paraId="092247FF" w14:textId="1E11CF88" w:rsidR="006761B4" w:rsidRPr="00FC6AAA" w:rsidRDefault="006761B4" w:rsidP="006761B4">
      <w:pPr>
        <w:pStyle w:val="FootnoteText"/>
      </w:pPr>
      <w:r>
        <w:rPr>
          <w:rStyle w:val="FootnoteReference"/>
        </w:rPr>
        <w:footnoteRef/>
      </w:r>
      <w:r>
        <w:t xml:space="preserve"> The </w:t>
      </w:r>
      <w:r w:rsidR="0061362A">
        <w:t>O</w:t>
      </w:r>
      <w:r>
        <w:t xml:space="preserve">ffice relied on the support of a </w:t>
      </w:r>
      <w:r w:rsidRPr="0099422A">
        <w:t>consultant (</w:t>
      </w:r>
      <w:r w:rsidR="00CF424E" w:rsidRPr="0099422A">
        <w:t>on</w:t>
      </w:r>
      <w:r w:rsidR="00CF424E">
        <w:t xml:space="preserve"> an hourly basis as needed</w:t>
      </w:r>
      <w:r>
        <w:t xml:space="preserve">), </w:t>
      </w:r>
      <w:r w:rsidR="008C4DC5">
        <w:t xml:space="preserve">an external reviewer (FDDI/IPSAS), </w:t>
      </w:r>
      <w:r>
        <w:t>an intern (</w:t>
      </w:r>
      <w:r w:rsidR="00DB67BD">
        <w:t>8</w:t>
      </w:r>
      <w:r>
        <w:t xml:space="preserve"> months) and </w:t>
      </w:r>
      <w:r w:rsidR="0051673A">
        <w:t xml:space="preserve">a </w:t>
      </w:r>
      <w:r>
        <w:t xml:space="preserve">part-time </w:t>
      </w:r>
      <w:r w:rsidR="00A631FC">
        <w:t xml:space="preserve">(80 per cent) </w:t>
      </w:r>
      <w:r w:rsidR="00A87502">
        <w:t xml:space="preserve">agency worker </w:t>
      </w:r>
      <w:r w:rsidR="0051673A">
        <w:t xml:space="preserve">for </w:t>
      </w:r>
      <w:r>
        <w:t>administrative support (</w:t>
      </w:r>
      <w:r w:rsidR="00A87502">
        <w:t>9</w:t>
      </w:r>
      <w:r>
        <w:t xml:space="preserve"> months).</w:t>
      </w:r>
    </w:p>
  </w:footnote>
  <w:footnote w:id="4">
    <w:p w14:paraId="0330A59B" w14:textId="77777777" w:rsidR="006761B4" w:rsidRPr="00FB02CC" w:rsidRDefault="006761B4" w:rsidP="006761B4">
      <w:pPr>
        <w:pStyle w:val="FootnoteText"/>
        <w:jc w:val="both"/>
      </w:pPr>
      <w:r>
        <w:rPr>
          <w:rStyle w:val="FootnoteReference"/>
        </w:rPr>
        <w:footnoteRef/>
      </w:r>
      <w:r>
        <w:t xml:space="preserve"> </w:t>
      </w:r>
      <w:r w:rsidRPr="00FB02CC">
        <w:t>The Eth</w:t>
      </w:r>
      <w:r>
        <w:t>ic</w:t>
      </w:r>
      <w:r w:rsidRPr="00FB02CC">
        <w:t xml:space="preserve">s Office counts as a request any individual request for </w:t>
      </w:r>
      <w:r>
        <w:t xml:space="preserve">confidential </w:t>
      </w:r>
      <w:r w:rsidRPr="00FB02CC">
        <w:t xml:space="preserve">advice and guidance by one </w:t>
      </w:r>
      <w:r>
        <w:t xml:space="preserve">member of </w:t>
      </w:r>
      <w:r w:rsidRPr="00FB02CC">
        <w:t>staff or non-staff personnel, in relation to a set of facts.</w:t>
      </w:r>
      <w:r w:rsidR="00421E03">
        <w:t xml:space="preserve"> </w:t>
      </w:r>
      <w:r w:rsidRPr="00FB02CC">
        <w:t xml:space="preserve"> </w:t>
      </w:r>
      <w:r>
        <w:t xml:space="preserve">One request may require multiple communications by email and/or conversations, or it may require only a single exchange. </w:t>
      </w:r>
    </w:p>
  </w:footnote>
  <w:footnote w:id="5">
    <w:p w14:paraId="7C4DE5F9" w14:textId="7E743B3A" w:rsidR="006761B4" w:rsidRPr="00BE6AAA" w:rsidRDefault="006761B4" w:rsidP="00765A26">
      <w:pPr>
        <w:pStyle w:val="FootnoteText"/>
      </w:pPr>
      <w:r>
        <w:rPr>
          <w:rStyle w:val="FootnoteReference"/>
        </w:rPr>
        <w:footnoteRef/>
      </w:r>
      <w:r>
        <w:t xml:space="preserve"> </w:t>
      </w:r>
      <w:r w:rsidRPr="00B340AE">
        <w:rPr>
          <w:i/>
        </w:rPr>
        <w:t>Outside activities</w:t>
      </w:r>
      <w:r>
        <w:t xml:space="preserve">. </w:t>
      </w:r>
      <w:r w:rsidR="00765A26">
        <w:t xml:space="preserve"> </w:t>
      </w:r>
      <w:r w:rsidRPr="00B340AE">
        <w:t>This category covers questions co</w:t>
      </w:r>
      <w:r>
        <w:t>ncerning external employment, oc</w:t>
      </w:r>
      <w:r w:rsidRPr="00B340AE">
        <w:t>cupation</w:t>
      </w:r>
      <w:r>
        <w:t>s</w:t>
      </w:r>
      <w:r w:rsidRPr="00B340AE">
        <w:t xml:space="preserve"> and other outside </w:t>
      </w:r>
      <w:r w:rsidRPr="00BE6AAA">
        <w:t xml:space="preserve">activities that might interfere with the ability of WIPO personnel to serve the </w:t>
      </w:r>
      <w:r w:rsidR="00765A26">
        <w:t>O</w:t>
      </w:r>
      <w:r w:rsidRPr="00BE6AAA">
        <w:t>rganization.</w:t>
      </w:r>
    </w:p>
  </w:footnote>
  <w:footnote w:id="6">
    <w:p w14:paraId="537C8A47" w14:textId="332FD206" w:rsidR="006761B4" w:rsidRPr="000002EC" w:rsidRDefault="006761B4" w:rsidP="00772AFF">
      <w:pPr>
        <w:pStyle w:val="CommentText"/>
      </w:pPr>
      <w:r w:rsidRPr="00BE6AAA">
        <w:rPr>
          <w:rStyle w:val="FootnoteReference"/>
        </w:rPr>
        <w:footnoteRef/>
      </w:r>
      <w:r w:rsidRPr="00BE6AAA">
        <w:t xml:space="preserve"> </w:t>
      </w:r>
      <w:r w:rsidRPr="005E2D2D">
        <w:t xml:space="preserve">Currently, </w:t>
      </w:r>
      <w:r w:rsidR="00A631FC" w:rsidRPr="00A631FC">
        <w:t>WIPO’s Policy on Outside Activity</w:t>
      </w:r>
      <w:r w:rsidRPr="005E2D2D">
        <w:t xml:space="preserve"> does not provide for the advisory role of the Ethics Office in each request to engage in an outside activity. </w:t>
      </w:r>
      <w:r w:rsidR="00765A26">
        <w:t xml:space="preserve"> </w:t>
      </w:r>
      <w:r w:rsidRPr="005E2D2D">
        <w:t xml:space="preserve">The </w:t>
      </w:r>
      <w:r w:rsidR="003C1EE2">
        <w:t>O</w:t>
      </w:r>
      <w:r w:rsidRPr="005E2D2D">
        <w:t>ffice agreed to support HRMD, consistent with best practice in the UN system, to screen requests for outside activities to prevent any potential conflict of interest.</w:t>
      </w:r>
      <w:r w:rsidR="00956061">
        <w:t xml:space="preserve"> </w:t>
      </w:r>
      <w:r w:rsidR="00956061" w:rsidRPr="0099000E">
        <w:t xml:space="preserve">Pursuant to Office Instruction </w:t>
      </w:r>
      <w:r w:rsidR="00956061" w:rsidRPr="009D0995">
        <w:t>No. 16/2020</w:t>
      </w:r>
      <w:r w:rsidR="00956061" w:rsidRPr="0099000E">
        <w:t xml:space="preserve"> on the WIPO Ethics Office</w:t>
      </w:r>
      <w:r w:rsidR="00956061" w:rsidRPr="00371494">
        <w:t>, “[p]</w:t>
      </w:r>
      <w:proofErr w:type="spellStart"/>
      <w:r w:rsidR="00956061" w:rsidRPr="00371494">
        <w:t>roviding</w:t>
      </w:r>
      <w:proofErr w:type="spellEnd"/>
      <w:r w:rsidR="00956061" w:rsidRPr="0099000E">
        <w:t xml:space="preserve"> confidential advice and guidance to staff and other personnel on ethical</w:t>
      </w:r>
      <w:r w:rsidR="00956061">
        <w:t xml:space="preserve"> </w:t>
      </w:r>
      <w:r w:rsidR="00956061" w:rsidRPr="0099000E">
        <w:t>issues” falls within its main responsibilities.</w:t>
      </w:r>
      <w:r w:rsidR="006F757A">
        <w:t xml:space="preserve"> </w:t>
      </w:r>
      <w:r w:rsidR="00956061" w:rsidRPr="0099000E">
        <w:t xml:space="preserve"> Conflicts of interest are, by their very nature, an ethical issue.</w:t>
      </w:r>
    </w:p>
  </w:footnote>
  <w:footnote w:id="7">
    <w:p w14:paraId="6BD1AA45" w14:textId="77777777" w:rsidR="006761B4" w:rsidRPr="00F97A3C" w:rsidRDefault="006761B4" w:rsidP="00765A26">
      <w:pPr>
        <w:pStyle w:val="FootnoteText"/>
      </w:pPr>
      <w:r>
        <w:rPr>
          <w:rStyle w:val="FootnoteReference"/>
        </w:rPr>
        <w:footnoteRef/>
      </w:r>
      <w:r>
        <w:t xml:space="preserve"> </w:t>
      </w:r>
      <w:r w:rsidRPr="001B4473">
        <w:rPr>
          <w:i/>
        </w:rPr>
        <w:t>Conflict of interest</w:t>
      </w:r>
      <w:r w:rsidRPr="001B4473">
        <w:t xml:space="preserve">. </w:t>
      </w:r>
      <w:r w:rsidR="00765A26">
        <w:t xml:space="preserve"> </w:t>
      </w:r>
      <w:r w:rsidRPr="001B4473">
        <w:t xml:space="preserve">This category covers questions about independence and impartiality, such as personal financial </w:t>
      </w:r>
      <w:r>
        <w:t>conflicts of interest,</w:t>
      </w:r>
      <w:r w:rsidRPr="001B4473">
        <w:t xml:space="preserve"> use of </w:t>
      </w:r>
      <w:r>
        <w:t>WIPO’s</w:t>
      </w:r>
      <w:r w:rsidRPr="001B4473">
        <w:t xml:space="preserve"> assets</w:t>
      </w:r>
      <w:r>
        <w:t>,</w:t>
      </w:r>
      <w:r w:rsidRPr="001B4473">
        <w:t xml:space="preserve"> and post-employment restrictions.</w:t>
      </w:r>
      <w:r w:rsidRPr="001B4473">
        <w:rPr>
          <w:highlight w:val="yellow"/>
        </w:rPr>
        <w:t xml:space="preserve"> </w:t>
      </w:r>
    </w:p>
  </w:footnote>
  <w:footnote w:id="8">
    <w:p w14:paraId="657E0928" w14:textId="405A1F13" w:rsidR="006761B4" w:rsidRDefault="006761B4" w:rsidP="00765A26">
      <w:pPr>
        <w:pStyle w:val="FootnoteText"/>
      </w:pPr>
      <w:r>
        <w:rPr>
          <w:rStyle w:val="FootnoteReference"/>
        </w:rPr>
        <w:footnoteRef/>
      </w:r>
      <w:r>
        <w:t xml:space="preserve"> </w:t>
      </w:r>
      <w:r w:rsidRPr="00213220">
        <w:rPr>
          <w:i/>
        </w:rPr>
        <w:t>Standards of conduct</w:t>
      </w:r>
      <w:r>
        <w:t>.</w:t>
      </w:r>
      <w:r w:rsidR="00765A26">
        <w:t xml:space="preserve"> </w:t>
      </w:r>
      <w:r>
        <w:t xml:space="preserve"> This category covers questions related to the </w:t>
      </w:r>
      <w:hyperlink r:id="rId1" w:history="1">
        <w:r w:rsidRPr="00BC322A">
          <w:rPr>
            <w:rStyle w:val="Hyperlink"/>
            <w:color w:val="auto"/>
          </w:rPr>
          <w:t>Standards of Conduct for the International Civil Service</w:t>
        </w:r>
      </w:hyperlink>
      <w:r>
        <w:t xml:space="preserve"> and </w:t>
      </w:r>
      <w:r w:rsidRPr="00213220">
        <w:t xml:space="preserve">allegations or queries about workplace conduct, including possible misconduct, </w:t>
      </w:r>
      <w:r>
        <w:t xml:space="preserve">fraud and corruption, </w:t>
      </w:r>
      <w:r w:rsidRPr="00213220">
        <w:t>harassme</w:t>
      </w:r>
      <w:r>
        <w:t xml:space="preserve">nt, abuse of authority, discrimination and fair application of policies. </w:t>
      </w:r>
    </w:p>
  </w:footnote>
  <w:footnote w:id="9">
    <w:p w14:paraId="2F32398B" w14:textId="77777777" w:rsidR="006761B4" w:rsidRPr="00D801FC" w:rsidRDefault="006761B4" w:rsidP="00765A26">
      <w:pPr>
        <w:pStyle w:val="FootnoteText"/>
      </w:pPr>
      <w:r>
        <w:rPr>
          <w:rStyle w:val="FootnoteReference"/>
        </w:rPr>
        <w:footnoteRef/>
      </w:r>
      <w:r>
        <w:t xml:space="preserve"> Other ethics matters include employment-related inquiries related to ethics, and questions from personnel about how to speak up and the fair application of WIPO policies and practices. </w:t>
      </w:r>
    </w:p>
  </w:footnote>
  <w:footnote w:id="10">
    <w:p w14:paraId="34D6668F" w14:textId="679ADF53" w:rsidR="006761B4" w:rsidRDefault="006761B4" w:rsidP="00765A26">
      <w:pPr>
        <w:pStyle w:val="FootnoteText"/>
      </w:pPr>
      <w:r>
        <w:rPr>
          <w:rStyle w:val="FootnoteReference"/>
        </w:rPr>
        <w:footnoteRef/>
      </w:r>
      <w:r>
        <w:t xml:space="preserve"> </w:t>
      </w:r>
      <w:r w:rsidRPr="00213220">
        <w:rPr>
          <w:i/>
        </w:rPr>
        <w:t xml:space="preserve">Gifts, awards, </w:t>
      </w:r>
      <w:proofErr w:type="gramStart"/>
      <w:r w:rsidRPr="00213220">
        <w:rPr>
          <w:i/>
        </w:rPr>
        <w:t>honors</w:t>
      </w:r>
      <w:proofErr w:type="gramEnd"/>
      <w:r w:rsidRPr="00213220">
        <w:rPr>
          <w:i/>
        </w:rPr>
        <w:t xml:space="preserve"> and hospitality</w:t>
      </w:r>
      <w:r>
        <w:t xml:space="preserve">. </w:t>
      </w:r>
      <w:r w:rsidR="00765A26">
        <w:t xml:space="preserve"> </w:t>
      </w:r>
      <w:r w:rsidRPr="00213220">
        <w:t xml:space="preserve">This category includes advice </w:t>
      </w:r>
      <w:r>
        <w:t>given</w:t>
      </w:r>
      <w:r w:rsidRPr="00213220">
        <w:t xml:space="preserve"> to </w:t>
      </w:r>
      <w:r>
        <w:t>WIPO personnel</w:t>
      </w:r>
      <w:r w:rsidRPr="00213220">
        <w:t xml:space="preserve"> on how to conduct themselves when offered gifts, favors, remuneration, honors, </w:t>
      </w:r>
      <w:r w:rsidR="00516D92" w:rsidRPr="00213220">
        <w:t>awards,</w:t>
      </w:r>
      <w:r w:rsidRPr="00213220">
        <w:t xml:space="preserve"> or hospitality by external sources in the course of their official duties or in relation to their </w:t>
      </w:r>
      <w:r>
        <w:t>WIPO</w:t>
      </w:r>
      <w:r w:rsidRPr="00213220">
        <w:t xml:space="preserve"> status</w:t>
      </w:r>
      <w:r>
        <w:t xml:space="preserve">, while also clarifying if the gift was under the CHF 200 threshold, as indicated in </w:t>
      </w:r>
      <w:r w:rsidR="00A631FC" w:rsidRPr="00A631FC">
        <w:t>WIPO’s Gifts and Honors Policy</w:t>
      </w:r>
      <w:r>
        <w:t xml:space="preserve">. </w:t>
      </w:r>
    </w:p>
  </w:footnote>
  <w:footnote w:id="11">
    <w:p w14:paraId="2029465B" w14:textId="04FA6E59" w:rsidR="006761B4" w:rsidRPr="00660AC8" w:rsidRDefault="006761B4" w:rsidP="00765A26">
      <w:pPr>
        <w:pStyle w:val="FootnoteText"/>
        <w:jc w:val="both"/>
      </w:pPr>
      <w:r>
        <w:rPr>
          <w:rStyle w:val="FootnoteReference"/>
        </w:rPr>
        <w:footnoteRef/>
      </w:r>
      <w:r>
        <w:t xml:space="preserve"> This category includes agency workers, </w:t>
      </w:r>
      <w:r w:rsidR="00516D92">
        <w:t>contractors,</w:t>
      </w:r>
      <w:r>
        <w:t xml:space="preserve"> and other external providers.</w:t>
      </w:r>
    </w:p>
  </w:footnote>
  <w:footnote w:id="12">
    <w:p w14:paraId="51ABD4FF" w14:textId="742514BF" w:rsidR="006761B4" w:rsidRPr="00DD56E0" w:rsidRDefault="006761B4" w:rsidP="006761B4">
      <w:pPr>
        <w:pStyle w:val="FootnoteText"/>
        <w:jc w:val="both"/>
      </w:pPr>
      <w:r w:rsidRPr="00CD2420">
        <w:rPr>
          <w:rStyle w:val="FootnoteReference"/>
        </w:rPr>
        <w:footnoteRef/>
      </w:r>
      <w:r w:rsidRPr="00CD2420">
        <w:t xml:space="preserve"> </w:t>
      </w:r>
      <w:r w:rsidR="008873D4">
        <w:t>See</w:t>
      </w:r>
      <w:r w:rsidR="008873D4" w:rsidRPr="00CD2420">
        <w:t xml:space="preserve"> the HRMD publication</w:t>
      </w:r>
      <w:r w:rsidR="008873D4">
        <w:t xml:space="preserve"> on the</w:t>
      </w:r>
      <w:r w:rsidR="006F20A2">
        <w:rPr>
          <w:rStyle w:val="Hyperlink"/>
        </w:rPr>
        <w:t xml:space="preserve"> </w:t>
      </w:r>
      <w:hyperlink r:id="rId2" w:history="1">
        <w:r w:rsidR="006F20A2" w:rsidRPr="006F20A2">
          <w:rPr>
            <w:rStyle w:val="Hyperlink"/>
          </w:rPr>
          <w:t>WIPO Workforce 2023</w:t>
        </w:r>
      </w:hyperlink>
      <w:r w:rsidR="008873D4" w:rsidRPr="006F20A2">
        <w:t>.</w:t>
      </w:r>
      <w:r w:rsidR="008873D4" w:rsidRPr="00CD2420">
        <w:t xml:space="preserve"> </w:t>
      </w:r>
      <w:r w:rsidRPr="00CD2420">
        <w:t xml:space="preserve"> </w:t>
      </w:r>
    </w:p>
  </w:footnote>
  <w:footnote w:id="13">
    <w:p w14:paraId="48172EC7" w14:textId="18DC98F7" w:rsidR="006761B4" w:rsidRPr="00861B40" w:rsidRDefault="006761B4" w:rsidP="006761B4">
      <w:pPr>
        <w:pStyle w:val="FootnoteText"/>
      </w:pPr>
      <w:r>
        <w:rPr>
          <w:rStyle w:val="FootnoteReference"/>
        </w:rPr>
        <w:footnoteRef/>
      </w:r>
      <w:r>
        <w:t xml:space="preserve"> The timeline for completion of the previous mandatory ethics training was one year</w:t>
      </w:r>
      <w:r w:rsidR="00772AFF">
        <w:t>, and there was no timeline set for the training validity</w:t>
      </w:r>
      <w:r>
        <w:t xml:space="preserve">. </w:t>
      </w:r>
    </w:p>
  </w:footnote>
  <w:footnote w:id="14">
    <w:p w14:paraId="3C6A5099" w14:textId="3C5559A0" w:rsidR="006761B4" w:rsidRPr="00B7089A" w:rsidRDefault="0032371C" w:rsidP="00A65A9C">
      <w:pPr>
        <w:pStyle w:val="FootnoteText"/>
        <w:rPr>
          <w:szCs w:val="18"/>
        </w:rPr>
      </w:pPr>
      <w:r w:rsidRPr="00B7089A">
        <w:rPr>
          <w:rStyle w:val="FootnoteReference"/>
          <w:szCs w:val="18"/>
        </w:rPr>
        <w:footnoteRef/>
      </w:r>
      <w:r>
        <w:rPr>
          <w:szCs w:val="18"/>
        </w:rPr>
        <w:t xml:space="preserve"> One-hundred and eleven</w:t>
      </w:r>
      <w:r w:rsidRPr="00B7089A">
        <w:rPr>
          <w:szCs w:val="18"/>
        </w:rPr>
        <w:t xml:space="preserve"> staff members were invited to participate at the start of the program.</w:t>
      </w:r>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EE07" w14:textId="22C3AC10" w:rsidR="00EC4E49" w:rsidRDefault="006761B4" w:rsidP="006B2DBC">
    <w:pPr>
      <w:jc w:val="right"/>
    </w:pPr>
    <w:r>
      <w:t>W</w:t>
    </w:r>
    <w:r w:rsidR="008A709A">
      <w:t>O/CC/8</w:t>
    </w:r>
    <w:r w:rsidR="00E872AC">
      <w:t>3</w:t>
    </w:r>
    <w:r w:rsidR="008A709A">
      <w:t>/INF</w:t>
    </w:r>
    <w:r>
      <w:t>/2</w:t>
    </w:r>
    <w:r w:rsidR="00443AF1">
      <w:t xml:space="preserve"> Rev.</w:t>
    </w:r>
  </w:p>
  <w:p w14:paraId="7C0A722F" w14:textId="206839DF" w:rsidR="00EC4E49" w:rsidRDefault="00EC4E49" w:rsidP="00477D6B">
    <w:pPr>
      <w:jc w:val="right"/>
    </w:pPr>
    <w:r>
      <w:t xml:space="preserve">page </w:t>
    </w:r>
    <w:r>
      <w:fldChar w:fldCharType="begin"/>
    </w:r>
    <w:r>
      <w:instrText xml:space="preserve"> PAGE  \* MERGEFORMAT </w:instrText>
    </w:r>
    <w:r>
      <w:fldChar w:fldCharType="separate"/>
    </w:r>
    <w:r w:rsidR="003F09F8">
      <w:rPr>
        <w:noProof/>
      </w:rPr>
      <w:t>15</w:t>
    </w:r>
    <w:r>
      <w:fldChar w:fldCharType="end"/>
    </w:r>
  </w:p>
  <w:p w14:paraId="37CB67CA" w14:textId="5980F0EF" w:rsidR="00EC4E49" w:rsidRDefault="00EC4E49" w:rsidP="00477D6B">
    <w:pPr>
      <w:jc w:val="right"/>
    </w:pPr>
  </w:p>
  <w:p w14:paraId="11598DD2"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B51D" w14:textId="282A66B1" w:rsidR="00EA0F9A" w:rsidRDefault="00EA0F9A" w:rsidP="006B2DBC">
    <w:pPr>
      <w:jc w:val="right"/>
    </w:pPr>
    <w:r>
      <w:t>WO/CC/83/INF/2</w:t>
    </w:r>
    <w:r w:rsidR="00141527">
      <w:t xml:space="preserve"> Rev.</w:t>
    </w:r>
  </w:p>
  <w:p w14:paraId="076E248B" w14:textId="66911A5B" w:rsidR="00EA0F9A" w:rsidRDefault="00EA0F9A" w:rsidP="006B2DBC">
    <w:pPr>
      <w:jc w:val="right"/>
    </w:pPr>
    <w:r>
      <w:t>ANNEX</w:t>
    </w:r>
  </w:p>
  <w:p w14:paraId="53BA38AA" w14:textId="77777777" w:rsidR="00EA0F9A" w:rsidRDefault="00EA0F9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C783" w14:textId="77777777" w:rsidR="00D8430A" w:rsidRDefault="00D8430A" w:rsidP="00D8430A">
    <w:pPr>
      <w:jc w:val="right"/>
    </w:pPr>
    <w:r>
      <w:t>WO/CC/82/INF/2</w:t>
    </w:r>
  </w:p>
  <w:p w14:paraId="4937B7D1" w14:textId="77777777" w:rsidR="00D8430A" w:rsidRDefault="00D8430A" w:rsidP="00D8430A">
    <w:pPr>
      <w:jc w:val="right"/>
    </w:pPr>
    <w:r>
      <w:t>ANNEX</w:t>
    </w:r>
  </w:p>
  <w:p w14:paraId="7993B4D9" w14:textId="77777777" w:rsidR="00D8430A" w:rsidRDefault="00D8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A3280CC"/>
    <w:lvl w:ilvl="0">
      <w:start w:val="1"/>
      <w:numFmt w:val="decimal"/>
      <w:lvlRestart w:val="0"/>
      <w:pStyle w:val="ONUME"/>
      <w:lvlText w:val="%1."/>
      <w:lvlJc w:val="left"/>
      <w:pPr>
        <w:tabs>
          <w:tab w:val="num" w:pos="567"/>
        </w:tabs>
        <w:ind w:left="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81752"/>
    <w:multiLevelType w:val="hybridMultilevel"/>
    <w:tmpl w:val="AD1ED3EC"/>
    <w:lvl w:ilvl="0" w:tplc="668A4C4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B9706FD"/>
    <w:multiLevelType w:val="hybridMultilevel"/>
    <w:tmpl w:val="9886EB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05A1E"/>
    <w:multiLevelType w:val="hybridMultilevel"/>
    <w:tmpl w:val="49CA284A"/>
    <w:lvl w:ilvl="0" w:tplc="9E6AE25A">
      <w:start w:val="4"/>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7865CE"/>
    <w:multiLevelType w:val="hybridMultilevel"/>
    <w:tmpl w:val="8702D91C"/>
    <w:lvl w:ilvl="0" w:tplc="9E12C8A8">
      <w:start w:val="183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4D591E"/>
    <w:multiLevelType w:val="hybridMultilevel"/>
    <w:tmpl w:val="FE349452"/>
    <w:lvl w:ilvl="0" w:tplc="7DD0F3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D5AF7"/>
    <w:multiLevelType w:val="hybridMultilevel"/>
    <w:tmpl w:val="20B4236C"/>
    <w:lvl w:ilvl="0" w:tplc="2FEE1A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D786C"/>
    <w:multiLevelType w:val="hybridMultilevel"/>
    <w:tmpl w:val="0DA8648C"/>
    <w:lvl w:ilvl="0" w:tplc="0A524308">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E23947"/>
    <w:multiLevelType w:val="hybridMultilevel"/>
    <w:tmpl w:val="3B24309C"/>
    <w:lvl w:ilvl="0" w:tplc="01520F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820912">
    <w:abstractNumId w:val="4"/>
  </w:num>
  <w:num w:numId="2" w16cid:durableId="1586065221">
    <w:abstractNumId w:val="12"/>
  </w:num>
  <w:num w:numId="3" w16cid:durableId="1813019816">
    <w:abstractNumId w:val="0"/>
  </w:num>
  <w:num w:numId="4" w16cid:durableId="974414233">
    <w:abstractNumId w:val="13"/>
  </w:num>
  <w:num w:numId="5" w16cid:durableId="1128007351">
    <w:abstractNumId w:val="1"/>
  </w:num>
  <w:num w:numId="6" w16cid:durableId="1995378354">
    <w:abstractNumId w:val="7"/>
  </w:num>
  <w:num w:numId="7" w16cid:durableId="1358122451">
    <w:abstractNumId w:val="9"/>
  </w:num>
  <w:num w:numId="8" w16cid:durableId="1694112172">
    <w:abstractNumId w:val="3"/>
  </w:num>
  <w:num w:numId="9" w16cid:durableId="1354259586">
    <w:abstractNumId w:val="15"/>
  </w:num>
  <w:num w:numId="10" w16cid:durableId="871530244">
    <w:abstractNumId w:val="2"/>
  </w:num>
  <w:num w:numId="11" w16cid:durableId="1990595404">
    <w:abstractNumId w:val="6"/>
  </w:num>
  <w:num w:numId="12" w16cid:durableId="63646288">
    <w:abstractNumId w:val="5"/>
  </w:num>
  <w:num w:numId="13" w16cid:durableId="427510575">
    <w:abstractNumId w:val="14"/>
  </w:num>
  <w:num w:numId="14" w16cid:durableId="997805861">
    <w:abstractNumId w:val="1"/>
    <w:lvlOverride w:ilvl="0">
      <w:startOverride w:val="12"/>
    </w:lvlOverride>
  </w:num>
  <w:num w:numId="15" w16cid:durableId="729235068">
    <w:abstractNumId w:val="8"/>
  </w:num>
  <w:num w:numId="16" w16cid:durableId="1971474035">
    <w:abstractNumId w:val="10"/>
  </w:num>
  <w:num w:numId="17" w16cid:durableId="236864607">
    <w:abstractNumId w:val="11"/>
  </w:num>
  <w:num w:numId="18" w16cid:durableId="42602224">
    <w:abstractNumId w:val="17"/>
  </w:num>
  <w:num w:numId="19" w16cid:durableId="936139805">
    <w:abstractNumId w:val="18"/>
  </w:num>
  <w:num w:numId="20" w16cid:durableId="1543208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59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222477">
    <w:abstractNumId w:val="16"/>
  </w:num>
  <w:num w:numId="23" w16cid:durableId="702053708">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B4"/>
    <w:rsid w:val="00010497"/>
    <w:rsid w:val="000123B6"/>
    <w:rsid w:val="0001647B"/>
    <w:rsid w:val="0002216A"/>
    <w:rsid w:val="00024AED"/>
    <w:rsid w:val="00030126"/>
    <w:rsid w:val="00030AA7"/>
    <w:rsid w:val="00033498"/>
    <w:rsid w:val="00036B29"/>
    <w:rsid w:val="00043CAA"/>
    <w:rsid w:val="000441D0"/>
    <w:rsid w:val="00047278"/>
    <w:rsid w:val="000472E8"/>
    <w:rsid w:val="00050CF1"/>
    <w:rsid w:val="00052B59"/>
    <w:rsid w:val="00053A39"/>
    <w:rsid w:val="0006731F"/>
    <w:rsid w:val="00072016"/>
    <w:rsid w:val="000721B3"/>
    <w:rsid w:val="00075432"/>
    <w:rsid w:val="00083968"/>
    <w:rsid w:val="00087DDF"/>
    <w:rsid w:val="00087E4C"/>
    <w:rsid w:val="0009039D"/>
    <w:rsid w:val="0009388E"/>
    <w:rsid w:val="00094CA9"/>
    <w:rsid w:val="00095CDF"/>
    <w:rsid w:val="000968ED"/>
    <w:rsid w:val="000A2B80"/>
    <w:rsid w:val="000A2F59"/>
    <w:rsid w:val="000A7536"/>
    <w:rsid w:val="000B03EA"/>
    <w:rsid w:val="000C1A14"/>
    <w:rsid w:val="000C4254"/>
    <w:rsid w:val="000C6AC1"/>
    <w:rsid w:val="000D66F9"/>
    <w:rsid w:val="000E0800"/>
    <w:rsid w:val="000E29B5"/>
    <w:rsid w:val="000E5C0D"/>
    <w:rsid w:val="000F5E56"/>
    <w:rsid w:val="000F668E"/>
    <w:rsid w:val="00101633"/>
    <w:rsid w:val="001024FE"/>
    <w:rsid w:val="0013161F"/>
    <w:rsid w:val="001362EE"/>
    <w:rsid w:val="00141527"/>
    <w:rsid w:val="00142868"/>
    <w:rsid w:val="00143652"/>
    <w:rsid w:val="00145404"/>
    <w:rsid w:val="0014618C"/>
    <w:rsid w:val="0015401B"/>
    <w:rsid w:val="00155454"/>
    <w:rsid w:val="00160BD7"/>
    <w:rsid w:val="00162FBF"/>
    <w:rsid w:val="00173335"/>
    <w:rsid w:val="0018114D"/>
    <w:rsid w:val="00181824"/>
    <w:rsid w:val="001832A6"/>
    <w:rsid w:val="00185784"/>
    <w:rsid w:val="00195B99"/>
    <w:rsid w:val="001A1F57"/>
    <w:rsid w:val="001A29AD"/>
    <w:rsid w:val="001A2B9E"/>
    <w:rsid w:val="001A3470"/>
    <w:rsid w:val="001A403F"/>
    <w:rsid w:val="001B1228"/>
    <w:rsid w:val="001B3D54"/>
    <w:rsid w:val="001C076B"/>
    <w:rsid w:val="001C4C24"/>
    <w:rsid w:val="001C6808"/>
    <w:rsid w:val="001D06E9"/>
    <w:rsid w:val="001D1F7F"/>
    <w:rsid w:val="001D2886"/>
    <w:rsid w:val="001D4E8C"/>
    <w:rsid w:val="001D63A1"/>
    <w:rsid w:val="001E0234"/>
    <w:rsid w:val="001E0828"/>
    <w:rsid w:val="001E225F"/>
    <w:rsid w:val="001E2F23"/>
    <w:rsid w:val="001F5954"/>
    <w:rsid w:val="002121FA"/>
    <w:rsid w:val="002237A6"/>
    <w:rsid w:val="0022600E"/>
    <w:rsid w:val="00242AD0"/>
    <w:rsid w:val="0024530C"/>
    <w:rsid w:val="00245C7D"/>
    <w:rsid w:val="00246D2D"/>
    <w:rsid w:val="00252709"/>
    <w:rsid w:val="00254287"/>
    <w:rsid w:val="002558EA"/>
    <w:rsid w:val="0025625C"/>
    <w:rsid w:val="002618E6"/>
    <w:rsid w:val="002634C4"/>
    <w:rsid w:val="00263D2A"/>
    <w:rsid w:val="00271567"/>
    <w:rsid w:val="00273569"/>
    <w:rsid w:val="002839C8"/>
    <w:rsid w:val="00285955"/>
    <w:rsid w:val="00291793"/>
    <w:rsid w:val="002928D3"/>
    <w:rsid w:val="002B2503"/>
    <w:rsid w:val="002B36C4"/>
    <w:rsid w:val="002B409F"/>
    <w:rsid w:val="002B4667"/>
    <w:rsid w:val="002B791F"/>
    <w:rsid w:val="002C26E6"/>
    <w:rsid w:val="002C4092"/>
    <w:rsid w:val="002C6196"/>
    <w:rsid w:val="002D458C"/>
    <w:rsid w:val="002D6914"/>
    <w:rsid w:val="002E2F4B"/>
    <w:rsid w:val="002E40B5"/>
    <w:rsid w:val="002E4A45"/>
    <w:rsid w:val="002F1FE6"/>
    <w:rsid w:val="002F4800"/>
    <w:rsid w:val="002F4E68"/>
    <w:rsid w:val="00300698"/>
    <w:rsid w:val="003069FD"/>
    <w:rsid w:val="00312F7F"/>
    <w:rsid w:val="00321DDF"/>
    <w:rsid w:val="003228B7"/>
    <w:rsid w:val="0032371C"/>
    <w:rsid w:val="003258D8"/>
    <w:rsid w:val="003272A6"/>
    <w:rsid w:val="00327F3C"/>
    <w:rsid w:val="00335C02"/>
    <w:rsid w:val="003503CB"/>
    <w:rsid w:val="003508A3"/>
    <w:rsid w:val="003517A7"/>
    <w:rsid w:val="003521F4"/>
    <w:rsid w:val="00353862"/>
    <w:rsid w:val="00366A2C"/>
    <w:rsid w:val="003673CF"/>
    <w:rsid w:val="00370644"/>
    <w:rsid w:val="00371494"/>
    <w:rsid w:val="003845C1"/>
    <w:rsid w:val="003879B0"/>
    <w:rsid w:val="00391613"/>
    <w:rsid w:val="003A2BB5"/>
    <w:rsid w:val="003A6F89"/>
    <w:rsid w:val="003B38C1"/>
    <w:rsid w:val="003B5D7C"/>
    <w:rsid w:val="003B7B3F"/>
    <w:rsid w:val="003C1EE2"/>
    <w:rsid w:val="003C57E4"/>
    <w:rsid w:val="003C6753"/>
    <w:rsid w:val="003D1721"/>
    <w:rsid w:val="003F03E3"/>
    <w:rsid w:val="003F09F8"/>
    <w:rsid w:val="00400217"/>
    <w:rsid w:val="004033B9"/>
    <w:rsid w:val="00410F10"/>
    <w:rsid w:val="004148D4"/>
    <w:rsid w:val="00414CBC"/>
    <w:rsid w:val="00421E03"/>
    <w:rsid w:val="00423E3E"/>
    <w:rsid w:val="00427AF4"/>
    <w:rsid w:val="00432C43"/>
    <w:rsid w:val="004400E2"/>
    <w:rsid w:val="00443AF1"/>
    <w:rsid w:val="00453595"/>
    <w:rsid w:val="00461632"/>
    <w:rsid w:val="004647DA"/>
    <w:rsid w:val="00472C4B"/>
    <w:rsid w:val="00474062"/>
    <w:rsid w:val="00474DA5"/>
    <w:rsid w:val="00477C30"/>
    <w:rsid w:val="00477D6B"/>
    <w:rsid w:val="0048371C"/>
    <w:rsid w:val="00483C13"/>
    <w:rsid w:val="00484BAE"/>
    <w:rsid w:val="00496267"/>
    <w:rsid w:val="004A2F89"/>
    <w:rsid w:val="004B405C"/>
    <w:rsid w:val="004B7A05"/>
    <w:rsid w:val="004D2DF5"/>
    <w:rsid w:val="004D39C4"/>
    <w:rsid w:val="004D5092"/>
    <w:rsid w:val="004D5FFC"/>
    <w:rsid w:val="004F568B"/>
    <w:rsid w:val="00503BD8"/>
    <w:rsid w:val="00503F3F"/>
    <w:rsid w:val="00506895"/>
    <w:rsid w:val="00510644"/>
    <w:rsid w:val="0051673A"/>
    <w:rsid w:val="00516D92"/>
    <w:rsid w:val="0051712C"/>
    <w:rsid w:val="00521A7E"/>
    <w:rsid w:val="00526CBB"/>
    <w:rsid w:val="0053057A"/>
    <w:rsid w:val="0053554C"/>
    <w:rsid w:val="00542CBC"/>
    <w:rsid w:val="00553A42"/>
    <w:rsid w:val="005609EC"/>
    <w:rsid w:val="00560A29"/>
    <w:rsid w:val="00560E5F"/>
    <w:rsid w:val="00567088"/>
    <w:rsid w:val="00570C95"/>
    <w:rsid w:val="00573A75"/>
    <w:rsid w:val="00584136"/>
    <w:rsid w:val="00587598"/>
    <w:rsid w:val="00593B18"/>
    <w:rsid w:val="00594D27"/>
    <w:rsid w:val="005A0A21"/>
    <w:rsid w:val="005A77D3"/>
    <w:rsid w:val="005B175A"/>
    <w:rsid w:val="005B36A7"/>
    <w:rsid w:val="005C251C"/>
    <w:rsid w:val="005C53F2"/>
    <w:rsid w:val="005D30C1"/>
    <w:rsid w:val="005D6FFE"/>
    <w:rsid w:val="005F7E99"/>
    <w:rsid w:val="00601760"/>
    <w:rsid w:val="00605827"/>
    <w:rsid w:val="00611425"/>
    <w:rsid w:val="0061362A"/>
    <w:rsid w:val="00613ADE"/>
    <w:rsid w:val="00621C5C"/>
    <w:rsid w:val="0062702A"/>
    <w:rsid w:val="00634CFE"/>
    <w:rsid w:val="006373D3"/>
    <w:rsid w:val="00642717"/>
    <w:rsid w:val="00646050"/>
    <w:rsid w:val="00661F2D"/>
    <w:rsid w:val="006713CA"/>
    <w:rsid w:val="006761B4"/>
    <w:rsid w:val="00676C5C"/>
    <w:rsid w:val="006847B4"/>
    <w:rsid w:val="00695267"/>
    <w:rsid w:val="00695558"/>
    <w:rsid w:val="006B0E2E"/>
    <w:rsid w:val="006B2DBC"/>
    <w:rsid w:val="006B4136"/>
    <w:rsid w:val="006C30DC"/>
    <w:rsid w:val="006C3838"/>
    <w:rsid w:val="006C3847"/>
    <w:rsid w:val="006D048C"/>
    <w:rsid w:val="006D0BE2"/>
    <w:rsid w:val="006D5E0F"/>
    <w:rsid w:val="006E48C0"/>
    <w:rsid w:val="006F20A2"/>
    <w:rsid w:val="006F29A5"/>
    <w:rsid w:val="006F757A"/>
    <w:rsid w:val="00701D33"/>
    <w:rsid w:val="007033B9"/>
    <w:rsid w:val="0070503A"/>
    <w:rsid w:val="007058FB"/>
    <w:rsid w:val="00713DE1"/>
    <w:rsid w:val="00714943"/>
    <w:rsid w:val="00724D2D"/>
    <w:rsid w:val="007300A2"/>
    <w:rsid w:val="00730286"/>
    <w:rsid w:val="00740B12"/>
    <w:rsid w:val="0074103B"/>
    <w:rsid w:val="00742A62"/>
    <w:rsid w:val="00744D95"/>
    <w:rsid w:val="00751AE0"/>
    <w:rsid w:val="00753861"/>
    <w:rsid w:val="0075689D"/>
    <w:rsid w:val="007618F9"/>
    <w:rsid w:val="007633A8"/>
    <w:rsid w:val="00765A26"/>
    <w:rsid w:val="00772AFF"/>
    <w:rsid w:val="00780083"/>
    <w:rsid w:val="00783C88"/>
    <w:rsid w:val="00792456"/>
    <w:rsid w:val="007929E2"/>
    <w:rsid w:val="00796EAD"/>
    <w:rsid w:val="007A07E8"/>
    <w:rsid w:val="007A6F7C"/>
    <w:rsid w:val="007A7EFF"/>
    <w:rsid w:val="007B6A58"/>
    <w:rsid w:val="007C0A53"/>
    <w:rsid w:val="007C3147"/>
    <w:rsid w:val="007C50FB"/>
    <w:rsid w:val="007C62EE"/>
    <w:rsid w:val="007C7534"/>
    <w:rsid w:val="007C7566"/>
    <w:rsid w:val="007D1613"/>
    <w:rsid w:val="007D31C9"/>
    <w:rsid w:val="007D66E0"/>
    <w:rsid w:val="007E04F7"/>
    <w:rsid w:val="007E19D5"/>
    <w:rsid w:val="007E30EF"/>
    <w:rsid w:val="007E5AC4"/>
    <w:rsid w:val="007F75F6"/>
    <w:rsid w:val="00800D0E"/>
    <w:rsid w:val="00801A5B"/>
    <w:rsid w:val="00802D44"/>
    <w:rsid w:val="00806340"/>
    <w:rsid w:val="00812563"/>
    <w:rsid w:val="00826B8A"/>
    <w:rsid w:val="008275AD"/>
    <w:rsid w:val="008373E7"/>
    <w:rsid w:val="00837AD1"/>
    <w:rsid w:val="0084534C"/>
    <w:rsid w:val="00863DCC"/>
    <w:rsid w:val="00873A75"/>
    <w:rsid w:val="00873EE5"/>
    <w:rsid w:val="008742A8"/>
    <w:rsid w:val="00875A1B"/>
    <w:rsid w:val="00875BB5"/>
    <w:rsid w:val="0087600D"/>
    <w:rsid w:val="008873D4"/>
    <w:rsid w:val="008A43E7"/>
    <w:rsid w:val="008A709A"/>
    <w:rsid w:val="008B2B1F"/>
    <w:rsid w:val="008B2CC1"/>
    <w:rsid w:val="008B3F8F"/>
    <w:rsid w:val="008B43B0"/>
    <w:rsid w:val="008B48B4"/>
    <w:rsid w:val="008B4B5E"/>
    <w:rsid w:val="008B60B2"/>
    <w:rsid w:val="008C0983"/>
    <w:rsid w:val="008C1C09"/>
    <w:rsid w:val="008C4DC5"/>
    <w:rsid w:val="008C6B99"/>
    <w:rsid w:val="008E217F"/>
    <w:rsid w:val="008E3C5A"/>
    <w:rsid w:val="008F14D7"/>
    <w:rsid w:val="008F4450"/>
    <w:rsid w:val="008F7E79"/>
    <w:rsid w:val="0090731E"/>
    <w:rsid w:val="00911B38"/>
    <w:rsid w:val="00912762"/>
    <w:rsid w:val="00913FBD"/>
    <w:rsid w:val="00916BB3"/>
    <w:rsid w:val="00916EE2"/>
    <w:rsid w:val="00921CA2"/>
    <w:rsid w:val="0092549C"/>
    <w:rsid w:val="00925703"/>
    <w:rsid w:val="00926670"/>
    <w:rsid w:val="0093425F"/>
    <w:rsid w:val="009350A2"/>
    <w:rsid w:val="00941C71"/>
    <w:rsid w:val="00944D3E"/>
    <w:rsid w:val="00952B3B"/>
    <w:rsid w:val="00956061"/>
    <w:rsid w:val="00961324"/>
    <w:rsid w:val="009626F2"/>
    <w:rsid w:val="00966A22"/>
    <w:rsid w:val="0096722F"/>
    <w:rsid w:val="00971BBE"/>
    <w:rsid w:val="00973B13"/>
    <w:rsid w:val="009771AA"/>
    <w:rsid w:val="0097780E"/>
    <w:rsid w:val="00980607"/>
    <w:rsid w:val="00980843"/>
    <w:rsid w:val="00981ED1"/>
    <w:rsid w:val="0098221D"/>
    <w:rsid w:val="009844D1"/>
    <w:rsid w:val="00987B20"/>
    <w:rsid w:val="0099422A"/>
    <w:rsid w:val="00996925"/>
    <w:rsid w:val="009978F1"/>
    <w:rsid w:val="009A3B06"/>
    <w:rsid w:val="009B7A4E"/>
    <w:rsid w:val="009D0995"/>
    <w:rsid w:val="009E2047"/>
    <w:rsid w:val="009E2791"/>
    <w:rsid w:val="009E2EA8"/>
    <w:rsid w:val="009E3F6F"/>
    <w:rsid w:val="009E5DF8"/>
    <w:rsid w:val="009F387C"/>
    <w:rsid w:val="009F3BF9"/>
    <w:rsid w:val="009F499F"/>
    <w:rsid w:val="009F6286"/>
    <w:rsid w:val="009F773B"/>
    <w:rsid w:val="009F798A"/>
    <w:rsid w:val="00A0330A"/>
    <w:rsid w:val="00A05045"/>
    <w:rsid w:val="00A16FE1"/>
    <w:rsid w:val="00A2459B"/>
    <w:rsid w:val="00A24ECB"/>
    <w:rsid w:val="00A2767F"/>
    <w:rsid w:val="00A331C5"/>
    <w:rsid w:val="00A36171"/>
    <w:rsid w:val="00A371E9"/>
    <w:rsid w:val="00A42DAF"/>
    <w:rsid w:val="00A449D6"/>
    <w:rsid w:val="00A45BD8"/>
    <w:rsid w:val="00A46033"/>
    <w:rsid w:val="00A60D89"/>
    <w:rsid w:val="00A62DD7"/>
    <w:rsid w:val="00A631FC"/>
    <w:rsid w:val="00A65A9C"/>
    <w:rsid w:val="00A66BC2"/>
    <w:rsid w:val="00A67E56"/>
    <w:rsid w:val="00A714F0"/>
    <w:rsid w:val="00A71BC6"/>
    <w:rsid w:val="00A7425B"/>
    <w:rsid w:val="00A75359"/>
    <w:rsid w:val="00A778BF"/>
    <w:rsid w:val="00A81799"/>
    <w:rsid w:val="00A83CE8"/>
    <w:rsid w:val="00A85B8E"/>
    <w:rsid w:val="00A87502"/>
    <w:rsid w:val="00AA234C"/>
    <w:rsid w:val="00AA6C11"/>
    <w:rsid w:val="00AB3207"/>
    <w:rsid w:val="00AB44A8"/>
    <w:rsid w:val="00AB7986"/>
    <w:rsid w:val="00AC128D"/>
    <w:rsid w:val="00AC1F9E"/>
    <w:rsid w:val="00AC205C"/>
    <w:rsid w:val="00AC5327"/>
    <w:rsid w:val="00AD06DF"/>
    <w:rsid w:val="00AD6B13"/>
    <w:rsid w:val="00AE2465"/>
    <w:rsid w:val="00AE4A18"/>
    <w:rsid w:val="00AF5C73"/>
    <w:rsid w:val="00AF62EB"/>
    <w:rsid w:val="00B02B17"/>
    <w:rsid w:val="00B04DAF"/>
    <w:rsid w:val="00B05A69"/>
    <w:rsid w:val="00B12BEB"/>
    <w:rsid w:val="00B263B0"/>
    <w:rsid w:val="00B2792B"/>
    <w:rsid w:val="00B378E1"/>
    <w:rsid w:val="00B40598"/>
    <w:rsid w:val="00B45DE2"/>
    <w:rsid w:val="00B47EB4"/>
    <w:rsid w:val="00B50B99"/>
    <w:rsid w:val="00B62CD9"/>
    <w:rsid w:val="00B63D13"/>
    <w:rsid w:val="00B65FC4"/>
    <w:rsid w:val="00B732F0"/>
    <w:rsid w:val="00B874CA"/>
    <w:rsid w:val="00B92B2B"/>
    <w:rsid w:val="00B9734B"/>
    <w:rsid w:val="00B97560"/>
    <w:rsid w:val="00B975E6"/>
    <w:rsid w:val="00BA13F3"/>
    <w:rsid w:val="00BA1EAA"/>
    <w:rsid w:val="00BA3D84"/>
    <w:rsid w:val="00BA423F"/>
    <w:rsid w:val="00BC1EC6"/>
    <w:rsid w:val="00BC322A"/>
    <w:rsid w:val="00BC55A9"/>
    <w:rsid w:val="00BC6DC9"/>
    <w:rsid w:val="00BD0050"/>
    <w:rsid w:val="00BD4E04"/>
    <w:rsid w:val="00BD61E8"/>
    <w:rsid w:val="00BE3773"/>
    <w:rsid w:val="00BF18C6"/>
    <w:rsid w:val="00BF712E"/>
    <w:rsid w:val="00C03049"/>
    <w:rsid w:val="00C11BFE"/>
    <w:rsid w:val="00C16E67"/>
    <w:rsid w:val="00C20F7C"/>
    <w:rsid w:val="00C27041"/>
    <w:rsid w:val="00C271A3"/>
    <w:rsid w:val="00C32413"/>
    <w:rsid w:val="00C34276"/>
    <w:rsid w:val="00C3691A"/>
    <w:rsid w:val="00C37DF7"/>
    <w:rsid w:val="00C43024"/>
    <w:rsid w:val="00C44060"/>
    <w:rsid w:val="00C47432"/>
    <w:rsid w:val="00C52DEA"/>
    <w:rsid w:val="00C56146"/>
    <w:rsid w:val="00C57465"/>
    <w:rsid w:val="00C63014"/>
    <w:rsid w:val="00C63D29"/>
    <w:rsid w:val="00C641E1"/>
    <w:rsid w:val="00C726C6"/>
    <w:rsid w:val="00C84D17"/>
    <w:rsid w:val="00C94629"/>
    <w:rsid w:val="00C96E3E"/>
    <w:rsid w:val="00C9725A"/>
    <w:rsid w:val="00CA3DE8"/>
    <w:rsid w:val="00CA6DA2"/>
    <w:rsid w:val="00CB0330"/>
    <w:rsid w:val="00CC36D1"/>
    <w:rsid w:val="00CD4706"/>
    <w:rsid w:val="00CD5E27"/>
    <w:rsid w:val="00CD77EB"/>
    <w:rsid w:val="00CD7F3D"/>
    <w:rsid w:val="00CE20A9"/>
    <w:rsid w:val="00CE2C4E"/>
    <w:rsid w:val="00CE55E4"/>
    <w:rsid w:val="00CE65D4"/>
    <w:rsid w:val="00CF3A60"/>
    <w:rsid w:val="00CF424E"/>
    <w:rsid w:val="00CF7A4F"/>
    <w:rsid w:val="00D01044"/>
    <w:rsid w:val="00D04A96"/>
    <w:rsid w:val="00D16AAF"/>
    <w:rsid w:val="00D22647"/>
    <w:rsid w:val="00D24AB0"/>
    <w:rsid w:val="00D34A72"/>
    <w:rsid w:val="00D34D36"/>
    <w:rsid w:val="00D36B82"/>
    <w:rsid w:val="00D45252"/>
    <w:rsid w:val="00D52902"/>
    <w:rsid w:val="00D56314"/>
    <w:rsid w:val="00D64D60"/>
    <w:rsid w:val="00D6592B"/>
    <w:rsid w:val="00D66498"/>
    <w:rsid w:val="00D71B4D"/>
    <w:rsid w:val="00D76EA9"/>
    <w:rsid w:val="00D77823"/>
    <w:rsid w:val="00D8053C"/>
    <w:rsid w:val="00D80FD6"/>
    <w:rsid w:val="00D8138E"/>
    <w:rsid w:val="00D8430A"/>
    <w:rsid w:val="00D90328"/>
    <w:rsid w:val="00D93D55"/>
    <w:rsid w:val="00D9434D"/>
    <w:rsid w:val="00D94EBA"/>
    <w:rsid w:val="00D95287"/>
    <w:rsid w:val="00D96472"/>
    <w:rsid w:val="00DA23E5"/>
    <w:rsid w:val="00DB67BD"/>
    <w:rsid w:val="00DC1701"/>
    <w:rsid w:val="00DC64BC"/>
    <w:rsid w:val="00DC7E0E"/>
    <w:rsid w:val="00DD2B0F"/>
    <w:rsid w:val="00DD4F92"/>
    <w:rsid w:val="00DD5215"/>
    <w:rsid w:val="00DE5187"/>
    <w:rsid w:val="00DE6371"/>
    <w:rsid w:val="00DF1475"/>
    <w:rsid w:val="00E013CE"/>
    <w:rsid w:val="00E0221E"/>
    <w:rsid w:val="00E032E6"/>
    <w:rsid w:val="00E043B3"/>
    <w:rsid w:val="00E043DE"/>
    <w:rsid w:val="00E044BD"/>
    <w:rsid w:val="00E06556"/>
    <w:rsid w:val="00E161A2"/>
    <w:rsid w:val="00E169DB"/>
    <w:rsid w:val="00E17EAD"/>
    <w:rsid w:val="00E20BC1"/>
    <w:rsid w:val="00E319CD"/>
    <w:rsid w:val="00E327E4"/>
    <w:rsid w:val="00E32AA8"/>
    <w:rsid w:val="00E335FE"/>
    <w:rsid w:val="00E33F3B"/>
    <w:rsid w:val="00E346ED"/>
    <w:rsid w:val="00E362EE"/>
    <w:rsid w:val="00E40F2F"/>
    <w:rsid w:val="00E431D4"/>
    <w:rsid w:val="00E45EA0"/>
    <w:rsid w:val="00E5021F"/>
    <w:rsid w:val="00E60774"/>
    <w:rsid w:val="00E61CC0"/>
    <w:rsid w:val="00E671A6"/>
    <w:rsid w:val="00E7064D"/>
    <w:rsid w:val="00E872AC"/>
    <w:rsid w:val="00E913B6"/>
    <w:rsid w:val="00EA0F9A"/>
    <w:rsid w:val="00EB3A56"/>
    <w:rsid w:val="00EB5118"/>
    <w:rsid w:val="00EC27FA"/>
    <w:rsid w:val="00EC4E49"/>
    <w:rsid w:val="00EC5611"/>
    <w:rsid w:val="00ED77FB"/>
    <w:rsid w:val="00ED7810"/>
    <w:rsid w:val="00EF345B"/>
    <w:rsid w:val="00EF5AC8"/>
    <w:rsid w:val="00F021A6"/>
    <w:rsid w:val="00F11D94"/>
    <w:rsid w:val="00F2118A"/>
    <w:rsid w:val="00F33BA2"/>
    <w:rsid w:val="00F4132A"/>
    <w:rsid w:val="00F501F5"/>
    <w:rsid w:val="00F568D4"/>
    <w:rsid w:val="00F610F4"/>
    <w:rsid w:val="00F63281"/>
    <w:rsid w:val="00F66152"/>
    <w:rsid w:val="00F71005"/>
    <w:rsid w:val="00F87B7C"/>
    <w:rsid w:val="00F96562"/>
    <w:rsid w:val="00FA44E0"/>
    <w:rsid w:val="00FB1053"/>
    <w:rsid w:val="00FB16A9"/>
    <w:rsid w:val="00FB463D"/>
    <w:rsid w:val="00FB4B0B"/>
    <w:rsid w:val="00FB76D1"/>
    <w:rsid w:val="00FC35B5"/>
    <w:rsid w:val="00FC744F"/>
    <w:rsid w:val="00FC7A59"/>
    <w:rsid w:val="00FD29E4"/>
    <w:rsid w:val="00FD45C1"/>
    <w:rsid w:val="00FD4F41"/>
    <w:rsid w:val="00FE6B93"/>
    <w:rsid w:val="00FE78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8A23"/>
  <w15:docId w15:val="{FA7F3B6D-BE87-4B02-AA12-B92C0996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6761B4"/>
    <w:rPr>
      <w:vertAlign w:val="superscript"/>
    </w:rPr>
  </w:style>
  <w:style w:type="character" w:styleId="CommentReference">
    <w:name w:val="annotation reference"/>
    <w:basedOn w:val="DefaultParagraphFont"/>
    <w:uiPriority w:val="99"/>
    <w:semiHidden/>
    <w:unhideWhenUsed/>
    <w:rsid w:val="006761B4"/>
    <w:rPr>
      <w:sz w:val="16"/>
      <w:szCs w:val="16"/>
    </w:rPr>
  </w:style>
  <w:style w:type="paragraph" w:styleId="CommentSubject">
    <w:name w:val="annotation subject"/>
    <w:basedOn w:val="CommentText"/>
    <w:next w:val="CommentText"/>
    <w:link w:val="CommentSubjectChar"/>
    <w:semiHidden/>
    <w:unhideWhenUsed/>
    <w:rsid w:val="006761B4"/>
    <w:rPr>
      <w:b/>
      <w:bCs/>
      <w:sz w:val="20"/>
    </w:rPr>
  </w:style>
  <w:style w:type="character" w:customStyle="1" w:styleId="CommentTextChar">
    <w:name w:val="Comment Text Char"/>
    <w:basedOn w:val="DefaultParagraphFont"/>
    <w:link w:val="CommentText"/>
    <w:uiPriority w:val="99"/>
    <w:rsid w:val="006761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761B4"/>
    <w:rPr>
      <w:rFonts w:ascii="Arial" w:eastAsia="SimSun" w:hAnsi="Arial" w:cs="Arial"/>
      <w:b/>
      <w:bCs/>
      <w:sz w:val="18"/>
      <w:lang w:val="en-US" w:eastAsia="zh-CN"/>
    </w:rPr>
  </w:style>
  <w:style w:type="paragraph" w:styleId="BalloonText">
    <w:name w:val="Balloon Text"/>
    <w:basedOn w:val="Normal"/>
    <w:link w:val="BalloonTextChar"/>
    <w:semiHidden/>
    <w:unhideWhenUsed/>
    <w:rsid w:val="006761B4"/>
    <w:rPr>
      <w:rFonts w:ascii="Segoe UI" w:hAnsi="Segoe UI" w:cs="Segoe UI"/>
      <w:sz w:val="18"/>
      <w:szCs w:val="18"/>
    </w:rPr>
  </w:style>
  <w:style w:type="character" w:customStyle="1" w:styleId="BalloonTextChar">
    <w:name w:val="Balloon Text Char"/>
    <w:basedOn w:val="DefaultParagraphFont"/>
    <w:link w:val="BalloonText"/>
    <w:semiHidden/>
    <w:rsid w:val="006761B4"/>
    <w:rPr>
      <w:rFonts w:ascii="Segoe UI" w:eastAsia="SimSun" w:hAnsi="Segoe UI" w:cs="Segoe UI"/>
      <w:sz w:val="18"/>
      <w:szCs w:val="18"/>
      <w:lang w:val="en-US" w:eastAsia="zh-CN"/>
    </w:rPr>
  </w:style>
  <w:style w:type="paragraph" w:styleId="Revision">
    <w:name w:val="Revision"/>
    <w:hidden/>
    <w:uiPriority w:val="99"/>
    <w:semiHidden/>
    <w:rsid w:val="006761B4"/>
    <w:rPr>
      <w:rFonts w:ascii="Arial" w:eastAsia="SimSun" w:hAnsi="Arial" w:cs="Arial"/>
      <w:sz w:val="22"/>
      <w:lang w:val="en-US" w:eastAsia="zh-CN"/>
    </w:rPr>
  </w:style>
  <w:style w:type="character" w:styleId="Hyperlink">
    <w:name w:val="Hyperlink"/>
    <w:basedOn w:val="DefaultParagraphFont"/>
    <w:uiPriority w:val="99"/>
    <w:unhideWhenUsed/>
    <w:rsid w:val="006761B4"/>
    <w:rPr>
      <w:color w:val="0563C1"/>
      <w:u w:val="single"/>
    </w:rPr>
  </w:style>
  <w:style w:type="character" w:customStyle="1" w:styleId="markedcontent">
    <w:name w:val="markedcontent"/>
    <w:basedOn w:val="DefaultParagraphFont"/>
    <w:rsid w:val="006761B4"/>
  </w:style>
  <w:style w:type="character" w:customStyle="1" w:styleId="highlight">
    <w:name w:val="highlight"/>
    <w:basedOn w:val="DefaultParagraphFont"/>
    <w:rsid w:val="006761B4"/>
  </w:style>
  <w:style w:type="character" w:styleId="FollowedHyperlink">
    <w:name w:val="FollowedHyperlink"/>
    <w:basedOn w:val="DefaultParagraphFont"/>
    <w:semiHidden/>
    <w:unhideWhenUsed/>
    <w:rsid w:val="006761B4"/>
    <w:rPr>
      <w:color w:val="800080" w:themeColor="followedHyperlink"/>
      <w:u w:val="single"/>
    </w:rPr>
  </w:style>
  <w:style w:type="paragraph" w:styleId="ListParagraph">
    <w:name w:val="List Paragraph"/>
    <w:basedOn w:val="Normal"/>
    <w:uiPriority w:val="34"/>
    <w:qFormat/>
    <w:rsid w:val="006761B4"/>
    <w:pPr>
      <w:ind w:left="720"/>
      <w:contextualSpacing/>
    </w:pPr>
  </w:style>
  <w:style w:type="character" w:customStyle="1" w:styleId="cf01">
    <w:name w:val="cf01"/>
    <w:basedOn w:val="DefaultParagraphFont"/>
    <w:rsid w:val="008C0983"/>
    <w:rPr>
      <w:rFonts w:ascii="Segoe UI" w:hAnsi="Segoe UI" w:cs="Segoe UI" w:hint="default"/>
      <w:sz w:val="18"/>
      <w:szCs w:val="18"/>
    </w:rPr>
  </w:style>
  <w:style w:type="character" w:styleId="UnresolvedMention">
    <w:name w:val="Unresolved Mention"/>
    <w:basedOn w:val="DefaultParagraphFont"/>
    <w:uiPriority w:val="99"/>
    <w:semiHidden/>
    <w:unhideWhenUsed/>
    <w:rsid w:val="006F20A2"/>
    <w:rPr>
      <w:color w:val="605E5C"/>
      <w:shd w:val="clear" w:color="auto" w:fill="E1DFDD"/>
    </w:rPr>
  </w:style>
  <w:style w:type="paragraph" w:customStyle="1" w:styleId="pf0">
    <w:name w:val="pf0"/>
    <w:basedOn w:val="Normal"/>
    <w:rsid w:val="00621C5C"/>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7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publications/en/details.jsp?id=4672&amp;plang=EN" TargetMode="External"/><Relationship Id="rId1" Type="http://schemas.openxmlformats.org/officeDocument/2006/relationships/hyperlink" Target="https://icsc.un.org/Resources/General/Publications/standardsE.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ipogvafs01\Ethics_Team\NEW%20FOLDER%20STRUCTURE%20(BFP)\11%20Planning%20and%20Reporting\04%20Reporting%20and%20Statistics\2023\Annual%20Ethics%20Office%20Data%20%202023.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5">
                  <a:lumMod val="20000"/>
                  <a:lumOff val="80000"/>
                </a:schemeClr>
              </a:solidFill>
              <a:ln>
                <a:noFill/>
              </a:ln>
              <a:effectLst/>
            </c:spPr>
            <c:extLst>
              <c:ext xmlns:c16="http://schemas.microsoft.com/office/drawing/2014/chart" uri="{C3380CC4-5D6E-409C-BE32-E72D297353CC}">
                <c16:uniqueId val="{00000001-033F-464B-BBA5-2F7D62423ED2}"/>
              </c:ext>
            </c:extLst>
          </c:dPt>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3-033F-464B-BBA5-2F7D62423ED2}"/>
              </c:ext>
            </c:extLst>
          </c:dPt>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033F-464B-BBA5-2F7D62423ED2}"/>
              </c:ext>
            </c:extLst>
          </c:dPt>
          <c:dPt>
            <c:idx val="3"/>
            <c:invertIfNegative val="0"/>
            <c:bubble3D val="0"/>
            <c:spPr>
              <a:solidFill>
                <a:schemeClr val="accent5"/>
              </a:solidFill>
              <a:ln>
                <a:noFill/>
              </a:ln>
              <a:effectLst/>
            </c:spPr>
            <c:extLst>
              <c:ext xmlns:c16="http://schemas.microsoft.com/office/drawing/2014/chart" uri="{C3380CC4-5D6E-409C-BE32-E72D297353CC}">
                <c16:uniqueId val="{00000007-033F-464B-BBA5-2F7D62423ED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1'!$A$2:$A$6</c:f>
              <c:numCache>
                <c:formatCode>General</c:formatCode>
                <c:ptCount val="5"/>
                <c:pt idx="0">
                  <c:v>2019</c:v>
                </c:pt>
                <c:pt idx="1">
                  <c:v>2020</c:v>
                </c:pt>
                <c:pt idx="2">
                  <c:v>2021</c:v>
                </c:pt>
                <c:pt idx="3">
                  <c:v>2022</c:v>
                </c:pt>
                <c:pt idx="4">
                  <c:v>2023</c:v>
                </c:pt>
              </c:numCache>
            </c:numRef>
          </c:cat>
          <c:val>
            <c:numRef>
              <c:f>'Figure 1'!$B$2:$B$6</c:f>
              <c:numCache>
                <c:formatCode>General</c:formatCode>
                <c:ptCount val="5"/>
                <c:pt idx="0">
                  <c:v>55</c:v>
                </c:pt>
                <c:pt idx="1">
                  <c:v>50</c:v>
                </c:pt>
                <c:pt idx="2">
                  <c:v>53</c:v>
                </c:pt>
                <c:pt idx="3">
                  <c:v>155</c:v>
                </c:pt>
                <c:pt idx="4">
                  <c:v>168</c:v>
                </c:pt>
              </c:numCache>
            </c:numRef>
          </c:val>
          <c:extLst>
            <c:ext xmlns:c16="http://schemas.microsoft.com/office/drawing/2014/chart" uri="{C3380CC4-5D6E-409C-BE32-E72D297353CC}">
              <c16:uniqueId val="{00000008-033F-464B-BBA5-2F7D62423ED2}"/>
            </c:ext>
          </c:extLst>
        </c:ser>
        <c:dLbls>
          <c:dLblPos val="outEnd"/>
          <c:showLegendKey val="0"/>
          <c:showVal val="1"/>
          <c:showCatName val="0"/>
          <c:showSerName val="0"/>
          <c:showPercent val="0"/>
          <c:showBubbleSize val="0"/>
        </c:dLbls>
        <c:gapWidth val="219"/>
        <c:overlap val="-27"/>
        <c:axId val="2132297648"/>
        <c:axId val="2078074016"/>
      </c:barChart>
      <c:catAx>
        <c:axId val="213229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074016"/>
        <c:crosses val="autoZero"/>
        <c:auto val="1"/>
        <c:lblAlgn val="ctr"/>
        <c:lblOffset val="100"/>
        <c:noMultiLvlLbl val="0"/>
      </c:catAx>
      <c:valAx>
        <c:axId val="207807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29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89181894715991"/>
          <c:y val="0.16044858928969066"/>
          <c:w val="0.44204678762980715"/>
          <c:h val="0.70949589082243991"/>
        </c:manualLayout>
      </c:layout>
      <c:pieChart>
        <c:varyColors val="1"/>
        <c:ser>
          <c:idx val="0"/>
          <c:order val="0"/>
          <c:dPt>
            <c:idx val="0"/>
            <c:bubble3D val="0"/>
            <c:spPr>
              <a:solidFill>
                <a:srgbClr val="00B0F0"/>
              </a:solidFill>
              <a:ln w="19050">
                <a:solidFill>
                  <a:schemeClr val="lt1"/>
                </a:solidFill>
              </a:ln>
              <a:effectLst/>
            </c:spPr>
            <c:extLst>
              <c:ext xmlns:c16="http://schemas.microsoft.com/office/drawing/2014/chart" uri="{C3380CC4-5D6E-409C-BE32-E72D297353CC}">
                <c16:uniqueId val="{00000001-E39E-4D49-96BA-A57F8CF7FBF8}"/>
              </c:ext>
            </c:extLst>
          </c:dPt>
          <c:dPt>
            <c:idx val="1"/>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3-E39E-4D49-96BA-A57F8CF7FBF8}"/>
              </c:ext>
            </c:extLst>
          </c:dPt>
          <c:dPt>
            <c:idx val="2"/>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5-E39E-4D49-96BA-A57F8CF7FBF8}"/>
              </c:ext>
            </c:extLst>
          </c:dPt>
          <c:dPt>
            <c:idx val="3"/>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7-E39E-4D49-96BA-A57F8CF7FBF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39E-4D49-96BA-A57F8CF7FBF8}"/>
              </c:ext>
            </c:extLst>
          </c:dPt>
          <c:dPt>
            <c:idx val="5"/>
            <c:bubble3D val="0"/>
            <c:spPr>
              <a:solidFill>
                <a:schemeClr val="tx2">
                  <a:lumMod val="60000"/>
                  <a:lumOff val="40000"/>
                </a:schemeClr>
              </a:solidFill>
              <a:ln w="19050">
                <a:solidFill>
                  <a:schemeClr val="lt1"/>
                </a:solidFill>
              </a:ln>
              <a:effectLst/>
            </c:spPr>
            <c:extLst>
              <c:ext xmlns:c16="http://schemas.microsoft.com/office/drawing/2014/chart" uri="{C3380CC4-5D6E-409C-BE32-E72D297353CC}">
                <c16:uniqueId val="{0000000B-E39E-4D49-96BA-A57F8CF7FBF8}"/>
              </c:ext>
            </c:extLst>
          </c:dPt>
          <c:dPt>
            <c:idx val="6"/>
            <c:bubble3D val="0"/>
            <c:spPr>
              <a:solidFill>
                <a:srgbClr val="92D050"/>
              </a:solidFill>
              <a:ln w="19050">
                <a:solidFill>
                  <a:schemeClr val="lt1"/>
                </a:solidFill>
              </a:ln>
              <a:effectLst/>
            </c:spPr>
            <c:extLst>
              <c:ext xmlns:c16="http://schemas.microsoft.com/office/drawing/2014/chart" uri="{C3380CC4-5D6E-409C-BE32-E72D297353CC}">
                <c16:uniqueId val="{0000000D-E39E-4D49-96BA-A57F8CF7FBF8}"/>
              </c:ext>
            </c:extLst>
          </c:dPt>
          <c:dPt>
            <c:idx val="7"/>
            <c:bubble3D val="0"/>
            <c:spPr>
              <a:solidFill>
                <a:schemeClr val="accent6"/>
              </a:solidFill>
              <a:ln w="19050">
                <a:solidFill>
                  <a:schemeClr val="lt1"/>
                </a:solidFill>
              </a:ln>
              <a:effectLst/>
            </c:spPr>
            <c:extLst>
              <c:ext xmlns:c16="http://schemas.microsoft.com/office/drawing/2014/chart" uri="{C3380CC4-5D6E-409C-BE32-E72D297353CC}">
                <c16:uniqueId val="{0000000F-E39E-4D49-96BA-A57F8CF7FBF8}"/>
              </c:ext>
            </c:extLst>
          </c:dPt>
          <c:dLbls>
            <c:dLbl>
              <c:idx val="0"/>
              <c:layout>
                <c:manualLayout>
                  <c:x val="-0.19635000862732885"/>
                  <c:y val="9.190823799947139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Outside Activity</a:t>
                    </a:r>
                  </a:p>
                  <a:p>
                    <a:pPr>
                      <a:defRPr>
                        <a:cs typeface="Arial" panose="020B0604020202020204" pitchFamily="34" charset="0"/>
                      </a:defRPr>
                    </a:pPr>
                    <a:r>
                      <a:rPr lang="en-US" sz="900" b="0" baseline="0">
                        <a:latin typeface="+mn-lt"/>
                        <a:cs typeface="Arial" panose="020B0604020202020204" pitchFamily="34" charset="0"/>
                      </a:rPr>
                      <a:t> </a:t>
                    </a:r>
                    <a:fld id="{71F52470-BB8C-4B76-9980-F3DF559DF7E2}" type="PERCENTAGE">
                      <a:rPr lang="en-US" sz="900" b="0">
                        <a:latin typeface="+mn-lt"/>
                        <a:cs typeface="Arial" panose="020B0604020202020204" pitchFamily="34" charset="0"/>
                      </a:rPr>
                      <a:pPr>
                        <a:defRPr>
                          <a:cs typeface="Arial" panose="020B0604020202020204" pitchFamily="34" charset="0"/>
                        </a:defRPr>
                      </a:pPr>
                      <a:t>[PERCENTAGE]</a:t>
                    </a:fld>
                    <a:endParaRPr lang="en-US" sz="900" b="0" baseline="0">
                      <a:latin typeface="+mn-lt"/>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5761313374043101"/>
                      <c:h val="0.11286661666865676"/>
                    </c:manualLayout>
                  </c15:layout>
                  <c15:dlblFieldTable/>
                  <c15:showDataLabelsRange val="0"/>
                </c:ext>
                <c:ext xmlns:c16="http://schemas.microsoft.com/office/drawing/2014/chart" uri="{C3380CC4-5D6E-409C-BE32-E72D297353CC}">
                  <c16:uniqueId val="{00000001-E39E-4D49-96BA-A57F8CF7FBF8}"/>
                </c:ext>
              </c:extLst>
            </c:dLbl>
            <c:dLbl>
              <c:idx val="1"/>
              <c:layout>
                <c:manualLayout>
                  <c:x val="-7.4700210843500259E-2"/>
                  <c:y val="-0.1432480549745560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Gifts/</a:t>
                    </a:r>
                  </a:p>
                  <a:p>
                    <a:pPr>
                      <a:defRPr>
                        <a:cs typeface="Arial" panose="020B0604020202020204" pitchFamily="34" charset="0"/>
                      </a:defRPr>
                    </a:pPr>
                    <a:r>
                      <a:rPr lang="en-US" sz="900" b="0">
                        <a:latin typeface="+mn-lt"/>
                        <a:cs typeface="Arial" panose="020B0604020202020204" pitchFamily="34" charset="0"/>
                      </a:rPr>
                      <a:t>award/honor/</a:t>
                    </a:r>
                  </a:p>
                  <a:p>
                    <a:pPr>
                      <a:defRPr>
                        <a:cs typeface="Arial" panose="020B0604020202020204" pitchFamily="34" charset="0"/>
                      </a:defRPr>
                    </a:pPr>
                    <a:r>
                      <a:rPr lang="en-US" sz="900" b="0">
                        <a:latin typeface="+mn-lt"/>
                        <a:cs typeface="Arial" panose="020B0604020202020204" pitchFamily="34" charset="0"/>
                      </a:rPr>
                      <a:t>hospitality</a:t>
                    </a:r>
                  </a:p>
                  <a:p>
                    <a:pPr>
                      <a:defRPr>
                        <a:cs typeface="Arial" panose="020B0604020202020204" pitchFamily="34" charset="0"/>
                      </a:defRPr>
                    </a:pPr>
                    <a:r>
                      <a:rPr lang="en-US" sz="900" b="0">
                        <a:latin typeface="+mn-lt"/>
                        <a:cs typeface="Arial" panose="020B0604020202020204" pitchFamily="34" charset="0"/>
                      </a:rPr>
                      <a:t> </a:t>
                    </a:r>
                    <a:fld id="{B5143D7E-73B4-46A1-A719-188D5A1F535D}" type="PERCENTAGE">
                      <a:rPr lang="en-US" sz="900" b="0">
                        <a:latin typeface="+mn-lt"/>
                        <a:cs typeface="Arial" panose="020B0604020202020204" pitchFamily="34" charset="0"/>
                      </a:rPr>
                      <a:pPr>
                        <a:defRPr>
                          <a:cs typeface="Arial" panose="020B0604020202020204" pitchFamily="34" charset="0"/>
                        </a:defRPr>
                      </a:pPr>
                      <a:t>[PERCENTAGE]</a:t>
                    </a:fld>
                    <a:endParaRPr lang="en-US" sz="900" b="0">
                      <a:latin typeface="+mn-lt"/>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8194943964446988"/>
                      <c:h val="0.19000326015646068"/>
                    </c:manualLayout>
                  </c15:layout>
                  <c15:dlblFieldTable/>
                  <c15:showDataLabelsRange val="0"/>
                </c:ext>
                <c:ext xmlns:c16="http://schemas.microsoft.com/office/drawing/2014/chart" uri="{C3380CC4-5D6E-409C-BE32-E72D297353CC}">
                  <c16:uniqueId val="{00000003-E39E-4D49-96BA-A57F8CF7FBF8}"/>
                </c:ext>
              </c:extLst>
            </c:dLbl>
            <c:dLbl>
              <c:idx val="2"/>
              <c:layout>
                <c:manualLayout>
                  <c:x val="0.10167109255650901"/>
                  <c:y val="-0.148662732118444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900" b="0">
                        <a:latin typeface="+mn-lt"/>
                      </a:rPr>
                      <a:t>Standards</a:t>
                    </a:r>
                    <a:r>
                      <a:rPr lang="en-US" sz="900" b="0" baseline="0">
                        <a:latin typeface="+mn-lt"/>
                      </a:rPr>
                      <a:t> of Conduct </a:t>
                    </a:r>
                    <a:fld id="{59C93FA0-AF60-4C1F-8C05-DBAB6847FAB5}" type="PERCENTAGE">
                      <a:rPr lang="en-US" sz="900" b="0">
                        <a:latin typeface="+mn-lt"/>
                      </a:rPr>
                      <a:pPr>
                        <a:defRPr/>
                      </a:pPr>
                      <a:t>[PERCENTAGE]</a:t>
                    </a:fld>
                    <a:endParaRPr lang="en-US" sz="900" b="0" baseline="0">
                      <a:latin typeface="+mn-lt"/>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3547650210212231"/>
                      <c:h val="0.11296106729204426"/>
                    </c:manualLayout>
                  </c15:layout>
                  <c15:dlblFieldTable/>
                  <c15:showDataLabelsRange val="0"/>
                </c:ext>
                <c:ext xmlns:c16="http://schemas.microsoft.com/office/drawing/2014/chart" uri="{C3380CC4-5D6E-409C-BE32-E72D297353CC}">
                  <c16:uniqueId val="{00000005-E39E-4D49-96BA-A57F8CF7FBF8}"/>
                </c:ext>
              </c:extLst>
            </c:dLbl>
            <c:dLbl>
              <c:idx val="3"/>
              <c:layout>
                <c:manualLayout>
                  <c:x val="0.11293501727569995"/>
                  <c:y val="-5.032071621478393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Conflict of</a:t>
                    </a:r>
                    <a:r>
                      <a:rPr lang="en-US" sz="900" b="0" baseline="0">
                        <a:latin typeface="+mn-lt"/>
                        <a:cs typeface="Arial" panose="020B0604020202020204" pitchFamily="34" charset="0"/>
                      </a:rPr>
                      <a:t> Interest (other)</a:t>
                    </a:r>
                  </a:p>
                  <a:p>
                    <a:pPr>
                      <a:defRPr>
                        <a:cs typeface="Arial" panose="020B0604020202020204" pitchFamily="34" charset="0"/>
                      </a:defRPr>
                    </a:pPr>
                    <a:r>
                      <a:rPr lang="en-US" sz="900" b="0" baseline="0">
                        <a:latin typeface="+mn-lt"/>
                        <a:cs typeface="Arial" panose="020B0604020202020204" pitchFamily="34" charset="0"/>
                      </a:rPr>
                      <a:t>  </a:t>
                    </a:r>
                    <a:fld id="{96BB5F6F-711C-4D1A-802D-06B2FA14204E}" type="PERCENTAGE">
                      <a:rPr lang="en-US" sz="900" b="0">
                        <a:latin typeface="+mn-lt"/>
                        <a:cs typeface="Arial" panose="020B0604020202020204" pitchFamily="34" charset="0"/>
                      </a:rPr>
                      <a:pPr>
                        <a:defRPr>
                          <a:cs typeface="Arial" panose="020B0604020202020204" pitchFamily="34" charset="0"/>
                        </a:defRPr>
                      </a:pPr>
                      <a:t>[PERCENTAGE]</a:t>
                    </a:fld>
                    <a:endParaRPr lang="en-US" sz="900" b="0" baseline="0">
                      <a:latin typeface="+mn-lt"/>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20965553811385548"/>
                      <c:h val="0.12445962571257227"/>
                    </c:manualLayout>
                  </c15:layout>
                  <c15:dlblFieldTable/>
                  <c15:showDataLabelsRange val="0"/>
                </c:ext>
                <c:ext xmlns:c16="http://schemas.microsoft.com/office/drawing/2014/chart" uri="{C3380CC4-5D6E-409C-BE32-E72D297353CC}">
                  <c16:uniqueId val="{00000007-E39E-4D49-96BA-A57F8CF7FBF8}"/>
                </c:ext>
              </c:extLst>
            </c:dLbl>
            <c:dLbl>
              <c:idx val="4"/>
              <c:layout>
                <c:manualLayout>
                  <c:x val="0.13579724409448818"/>
                  <c:y val="6.726856511357123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Other</a:t>
                    </a:r>
                    <a:r>
                      <a:rPr lang="en-US" sz="900" b="0" baseline="0">
                        <a:latin typeface="+mn-lt"/>
                        <a:cs typeface="Arial" panose="020B0604020202020204" pitchFamily="34" charset="0"/>
                      </a:rPr>
                      <a:t> Ethics Advice </a:t>
                    </a:r>
                    <a:fld id="{048F0FC4-FF40-4858-8E2A-DD1F508D93F6}" type="PERCENTAGE">
                      <a:rPr lang="en-US" sz="900" b="0">
                        <a:latin typeface="+mn-lt"/>
                        <a:cs typeface="Arial" panose="020B0604020202020204" pitchFamily="34" charset="0"/>
                      </a:rPr>
                      <a:pPr>
                        <a:defRPr>
                          <a:cs typeface="Arial" panose="020B0604020202020204" pitchFamily="34" charset="0"/>
                        </a:defRPr>
                      </a:pPr>
                      <a:t>[PERCENTAGE]</a:t>
                    </a:fld>
                    <a:endParaRPr lang="en-US" sz="900" b="0" baseline="0">
                      <a:latin typeface="+mn-lt"/>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2552317733136545"/>
                      <c:h val="9.3064166656066219E-2"/>
                    </c:manualLayout>
                  </c15:layout>
                  <c15:dlblFieldTable/>
                  <c15:showDataLabelsRange val="0"/>
                </c:ext>
                <c:ext xmlns:c16="http://schemas.microsoft.com/office/drawing/2014/chart" uri="{C3380CC4-5D6E-409C-BE32-E72D297353CC}">
                  <c16:uniqueId val="{00000009-E39E-4D49-96BA-A57F8CF7FBF8}"/>
                </c:ext>
              </c:extLst>
            </c:dLbl>
            <c:dLbl>
              <c:idx val="5"/>
              <c:layout>
                <c:manualLayout>
                  <c:x val="1.3259152333376819E-2"/>
                  <c:y val="4.862301992451999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Financia</a:t>
                    </a:r>
                    <a:r>
                      <a:rPr lang="en-US" sz="900" b="0" baseline="0">
                        <a:latin typeface="+mn-lt"/>
                        <a:cs typeface="Arial" panose="020B0604020202020204" pitchFamily="34" charset="0"/>
                      </a:rPr>
                      <a:t>l Disclosure and Declaration/  Interests</a:t>
                    </a:r>
                  </a:p>
                  <a:p>
                    <a:pPr>
                      <a:defRPr>
                        <a:cs typeface="Arial" panose="020B0604020202020204" pitchFamily="34" charset="0"/>
                      </a:defRPr>
                    </a:pPr>
                    <a:r>
                      <a:rPr lang="en-US" sz="900" b="0" baseline="0">
                        <a:latin typeface="+mn-lt"/>
                        <a:cs typeface="Arial" panose="020B0604020202020204" pitchFamily="34" charset="0"/>
                      </a:rPr>
                      <a:t> </a:t>
                    </a:r>
                    <a:fld id="{3511BB5E-36BA-4462-9682-48017E28F746}" type="PERCENTAGE">
                      <a:rPr lang="en-US" sz="900" b="0">
                        <a:latin typeface="+mn-lt"/>
                        <a:cs typeface="Arial" panose="020B0604020202020204" pitchFamily="34" charset="0"/>
                      </a:rPr>
                      <a:pPr>
                        <a:defRPr>
                          <a:cs typeface="Arial" panose="020B0604020202020204" pitchFamily="34" charset="0"/>
                        </a:defRPr>
                      </a:pPr>
                      <a:t>[PERCENTAGE]</a:t>
                    </a:fld>
                    <a:endParaRPr lang="en-US" sz="900" b="0" baseline="0">
                      <a:latin typeface="+mn-lt"/>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20798410888109858"/>
                      <c:h val="0.14446169181995885"/>
                    </c:manualLayout>
                  </c15:layout>
                  <c15:dlblFieldTable/>
                  <c15:showDataLabelsRange val="0"/>
                </c:ext>
                <c:ext xmlns:c16="http://schemas.microsoft.com/office/drawing/2014/chart" uri="{C3380CC4-5D6E-409C-BE32-E72D297353CC}">
                  <c16:uniqueId val="{0000000B-E39E-4D49-96BA-A57F8CF7FBF8}"/>
                </c:ext>
              </c:extLst>
            </c:dLbl>
            <c:dLbl>
              <c:idx val="6"/>
              <c:layout>
                <c:manualLayout>
                  <c:x val="6.5374110438225826E-3"/>
                  <c:y val="8.5051176406663598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r>
                      <a:rPr lang="en-US" sz="900" b="0">
                        <a:latin typeface="+mn-lt"/>
                        <a:cs typeface="Arial" panose="020B0604020202020204" pitchFamily="34" charset="0"/>
                      </a:rPr>
                      <a:t>Retaliation</a:t>
                    </a:r>
                    <a:r>
                      <a:rPr lang="en-US" sz="900" b="0" baseline="0">
                        <a:latin typeface="+mn-lt"/>
                        <a:cs typeface="Arial" panose="020B0604020202020204" pitchFamily="34" charset="0"/>
                      </a:rPr>
                      <a:t>  </a:t>
                    </a:r>
                  </a:p>
                  <a:p>
                    <a:pPr>
                      <a:defRPr>
                        <a:cs typeface="Arial" panose="020B0604020202020204" pitchFamily="34" charset="0"/>
                      </a:defRPr>
                    </a:pPr>
                    <a:fld id="{D8ABEF02-8711-4A83-BC7E-65FF572983D8}" type="PERCENTAGE">
                      <a:rPr lang="en-US" sz="900" b="0">
                        <a:latin typeface="+mn-lt"/>
                        <a:cs typeface="Arial" panose="020B0604020202020204" pitchFamily="34" charset="0"/>
                      </a:rPr>
                      <a:pPr>
                        <a:defRPr>
                          <a:cs typeface="Arial" panose="020B0604020202020204" pitchFamily="34" charset="0"/>
                        </a:defRPr>
                      </a:pPr>
                      <a:t>[PERCENTAGE]</a:t>
                    </a:fld>
                    <a:endParaRPr 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E39E-4D49-96BA-A57F8CF7FBF8}"/>
                </c:ext>
              </c:extLst>
            </c:dLbl>
            <c:dLbl>
              <c:idx val="7"/>
              <c:layout>
                <c:manualLayout>
                  <c:x val="0.16994680262940001"/>
                  <c:y val="4.9687683242843034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r>
                      <a:rPr lang="en-US" b="0">
                        <a:latin typeface="+mn-lt"/>
                      </a:rPr>
                      <a:t>Family &amp;</a:t>
                    </a:r>
                    <a:r>
                      <a:rPr lang="en-US" b="0" baseline="0">
                        <a:latin typeface="+mn-lt"/>
                      </a:rPr>
                      <a:t> Close Relationships</a:t>
                    </a:r>
                  </a:p>
                  <a:p>
                    <a:pPr>
                      <a:defRPr sz="1000"/>
                    </a:pPr>
                    <a:r>
                      <a:rPr lang="en-US" b="0" baseline="0">
                        <a:latin typeface="+mn-lt"/>
                      </a:rPr>
                      <a:t> </a:t>
                    </a:r>
                    <a:fld id="{924D0C43-D1E7-497F-8F78-3DB305378FE2}" type="PERCENTAGE">
                      <a:rPr lang="en-US" b="0">
                        <a:latin typeface="+mn-lt"/>
                      </a:rPr>
                      <a:pPr>
                        <a:defRPr sz="1000"/>
                      </a:pPr>
                      <a:t>[PERCENTAGE]</a:t>
                    </a:fld>
                    <a:endParaRPr lang="en-US" b="0" baseline="0">
                      <a:latin typeface="+mn-lt"/>
                    </a:endParaRP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27683928338460634"/>
                      <c:h val="0.1200928943347067"/>
                    </c:manualLayout>
                  </c15:layout>
                  <c15:dlblFieldTable/>
                  <c15:showDataLabelsRange val="0"/>
                </c:ext>
                <c:ext xmlns:c16="http://schemas.microsoft.com/office/drawing/2014/chart" uri="{C3380CC4-5D6E-409C-BE32-E72D297353CC}">
                  <c16:uniqueId val="{0000000F-E39E-4D49-96BA-A57F8CF7FBF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2'!$A$3:$A$10</c:f>
              <c:strCache>
                <c:ptCount val="8"/>
                <c:pt idx="0">
                  <c:v>Outside Activity</c:v>
                </c:pt>
                <c:pt idx="1">
                  <c:v>Gift/ award/honor/hospitality</c:v>
                </c:pt>
                <c:pt idx="2">
                  <c:v>Standards of Conduct </c:v>
                </c:pt>
                <c:pt idx="3">
                  <c:v>Conflict of Interest (Other) </c:v>
                </c:pt>
                <c:pt idx="4">
                  <c:v>Other Ethics Advice </c:v>
                </c:pt>
                <c:pt idx="5">
                  <c:v>Financial Disclosure /Declaration of Interests</c:v>
                </c:pt>
                <c:pt idx="6">
                  <c:v>Retaliation</c:v>
                </c:pt>
                <c:pt idx="7">
                  <c:v>Family &amp; Close Relationships </c:v>
                </c:pt>
              </c:strCache>
            </c:strRef>
          </c:cat>
          <c:val>
            <c:numRef>
              <c:f>'Figure 2'!$B$3:$B$10</c:f>
              <c:numCache>
                <c:formatCode>General</c:formatCode>
                <c:ptCount val="8"/>
                <c:pt idx="0">
                  <c:v>68</c:v>
                </c:pt>
                <c:pt idx="1">
                  <c:v>21</c:v>
                </c:pt>
                <c:pt idx="2">
                  <c:v>21</c:v>
                </c:pt>
                <c:pt idx="3">
                  <c:v>18</c:v>
                </c:pt>
                <c:pt idx="4">
                  <c:v>15</c:v>
                </c:pt>
                <c:pt idx="5">
                  <c:v>13</c:v>
                </c:pt>
                <c:pt idx="6">
                  <c:v>11</c:v>
                </c:pt>
                <c:pt idx="7">
                  <c:v>1</c:v>
                </c:pt>
              </c:numCache>
            </c:numRef>
          </c:val>
          <c:extLst>
            <c:ext xmlns:c16="http://schemas.microsoft.com/office/drawing/2014/chart" uri="{C3380CC4-5D6E-409C-BE32-E72D297353CC}">
              <c16:uniqueId val="{00000010-E39E-4D49-96BA-A57F8CF7FBF8}"/>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12-E39E-4D49-96BA-A57F8CF7FBF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4-E39E-4D49-96BA-A57F8CF7FBF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6-E39E-4D49-96BA-A57F8CF7FBF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8-E39E-4D49-96BA-A57F8CF7FBF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A-E39E-4D49-96BA-A57F8CF7FBF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C-E39E-4D49-96BA-A57F8CF7FBF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E-E39E-4D49-96BA-A57F8CF7FBF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0-E39E-4D49-96BA-A57F8CF7FB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2'!$A$3:$A$10</c:f>
              <c:strCache>
                <c:ptCount val="8"/>
                <c:pt idx="0">
                  <c:v>Outside Activity</c:v>
                </c:pt>
                <c:pt idx="1">
                  <c:v>Gift/ award/honor/hospitality</c:v>
                </c:pt>
                <c:pt idx="2">
                  <c:v>Standards of Conduct </c:v>
                </c:pt>
                <c:pt idx="3">
                  <c:v>Conflict of Interest (Other) </c:v>
                </c:pt>
                <c:pt idx="4">
                  <c:v>Other Ethics Advice </c:v>
                </c:pt>
                <c:pt idx="5">
                  <c:v>Financial Disclosure /Declaration of Interests</c:v>
                </c:pt>
                <c:pt idx="6">
                  <c:v>Retaliation</c:v>
                </c:pt>
                <c:pt idx="7">
                  <c:v>Family &amp; Close Relationships </c:v>
                </c:pt>
              </c:strCache>
            </c:strRef>
          </c:cat>
          <c:val>
            <c:numRef>
              <c:f>'Figure 2'!$C$3:$C$10</c:f>
              <c:numCache>
                <c:formatCode>General</c:formatCode>
                <c:ptCount val="8"/>
                <c:pt idx="0">
                  <c:v>40</c:v>
                </c:pt>
                <c:pt idx="1">
                  <c:v>13</c:v>
                </c:pt>
                <c:pt idx="2">
                  <c:v>13</c:v>
                </c:pt>
                <c:pt idx="3">
                  <c:v>11</c:v>
                </c:pt>
                <c:pt idx="4">
                  <c:v>9</c:v>
                </c:pt>
                <c:pt idx="5">
                  <c:v>8</c:v>
                </c:pt>
                <c:pt idx="6">
                  <c:v>7</c:v>
                </c:pt>
                <c:pt idx="7">
                  <c:v>1</c:v>
                </c:pt>
              </c:numCache>
            </c:numRef>
          </c:val>
          <c:extLst>
            <c:ext xmlns:c16="http://schemas.microsoft.com/office/drawing/2014/chart" uri="{C3380CC4-5D6E-409C-BE32-E72D297353CC}">
              <c16:uniqueId val="{00000021-E39E-4D49-96BA-A57F8CF7FBF8}"/>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5">
                    <a:lumMod val="50000"/>
                  </a:schemeClr>
                </a:solidFill>
                <a:latin typeface="+mn-lt"/>
                <a:ea typeface="+mn-ea"/>
                <a:cs typeface="+mn-cs"/>
              </a:defRPr>
            </a:pPr>
            <a:r>
              <a:rPr lang="en-US" b="1">
                <a:solidFill>
                  <a:schemeClr val="accent5">
                    <a:lumMod val="50000"/>
                  </a:schemeClr>
                </a:solidFill>
              </a:rPr>
              <a:t>Total</a:t>
            </a:r>
            <a:r>
              <a:rPr lang="en-US" b="1" baseline="0">
                <a:solidFill>
                  <a:schemeClr val="accent5">
                    <a:lumMod val="50000"/>
                  </a:schemeClr>
                </a:solidFill>
              </a:rPr>
              <a:t> Cases: 168 </a:t>
            </a:r>
            <a:endParaRPr lang="en-US" b="1">
              <a:solidFill>
                <a:schemeClr val="accent5">
                  <a:lumMod val="50000"/>
                </a:schemeClr>
              </a:solidFill>
            </a:endParaRPr>
          </a:p>
        </c:rich>
      </c:tx>
      <c:layout>
        <c:manualLayout>
          <c:xMode val="edge"/>
          <c:yMode val="edge"/>
          <c:x val="0.75573372303525377"/>
          <c:y val="5.122950819672131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accent5">
                  <a:lumMod val="50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bg2">
                  <a:lumMod val="75000"/>
                </a:schemeClr>
              </a:solidFill>
              <a:ln>
                <a:noFill/>
              </a:ln>
              <a:effectLst/>
            </c:spPr>
            <c:extLst>
              <c:ext xmlns:c16="http://schemas.microsoft.com/office/drawing/2014/chart" uri="{C3380CC4-5D6E-409C-BE32-E72D297353CC}">
                <c16:uniqueId val="{00000001-8E99-4282-85F2-255B35884225}"/>
              </c:ext>
            </c:extLst>
          </c:dPt>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8E99-4282-85F2-255B35884225}"/>
              </c:ext>
            </c:extLst>
          </c:dPt>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8E99-4282-85F2-255B35884225}"/>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lumMod val="65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8E99-4282-85F2-255B35884225}"/>
                </c:ext>
              </c:extLst>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6">
                          <a:lumMod val="40000"/>
                          <a:lumOff val="60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8E99-4282-85F2-255B35884225}"/>
                </c:ext>
              </c:extLst>
            </c:dLbl>
            <c:dLbl>
              <c:idx val="3"/>
              <c:tx>
                <c:rich>
                  <a:bodyPr/>
                  <a:lstStyle/>
                  <a:p>
                    <a:fld id="{48284104-2E3C-431B-B2FD-CC5A175D7539}" type="VALUE">
                      <a:rPr lang="en-US">
                        <a:solidFill>
                          <a:schemeClr val="accent1"/>
                        </a:solidFill>
                      </a:rPr>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E99-4282-85F2-255B3588422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1">
                        <a:lumMod val="60000"/>
                        <a:lumOff val="4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3'!$A$3:$A$6</c:f>
              <c:strCache>
                <c:ptCount val="4"/>
                <c:pt idx="0">
                  <c:v>Former WIPO Personnel</c:v>
                </c:pt>
                <c:pt idx="1">
                  <c:v>Management </c:v>
                </c:pt>
                <c:pt idx="2">
                  <c:v>Human Resources</c:v>
                </c:pt>
                <c:pt idx="3">
                  <c:v>WIPO Personnel </c:v>
                </c:pt>
              </c:strCache>
            </c:strRef>
          </c:cat>
          <c:val>
            <c:numRef>
              <c:f>'Figure 3'!$B$3:$B$6</c:f>
              <c:numCache>
                <c:formatCode>General</c:formatCode>
                <c:ptCount val="4"/>
                <c:pt idx="0">
                  <c:v>4</c:v>
                </c:pt>
                <c:pt idx="1">
                  <c:v>7</c:v>
                </c:pt>
                <c:pt idx="2">
                  <c:v>43</c:v>
                </c:pt>
                <c:pt idx="3">
                  <c:v>114</c:v>
                </c:pt>
              </c:numCache>
            </c:numRef>
          </c:val>
          <c:extLst>
            <c:ext xmlns:c16="http://schemas.microsoft.com/office/drawing/2014/chart" uri="{C3380CC4-5D6E-409C-BE32-E72D297353CC}">
              <c16:uniqueId val="{00000007-8E99-4282-85F2-255B35884225}"/>
            </c:ext>
          </c:extLst>
        </c:ser>
        <c:dLbls>
          <c:dLblPos val="outEnd"/>
          <c:showLegendKey val="0"/>
          <c:showVal val="1"/>
          <c:showCatName val="0"/>
          <c:showSerName val="0"/>
          <c:showPercent val="0"/>
          <c:showBubbleSize val="0"/>
        </c:dLbls>
        <c:gapWidth val="182"/>
        <c:axId val="651246608"/>
        <c:axId val="660168288"/>
      </c:barChart>
      <c:catAx>
        <c:axId val="651246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168288"/>
        <c:crosses val="autoZero"/>
        <c:auto val="1"/>
        <c:lblAlgn val="ctr"/>
        <c:lblOffset val="100"/>
        <c:noMultiLvlLbl val="0"/>
      </c:catAx>
      <c:valAx>
        <c:axId val="660168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246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7772902060456663E-2"/>
          <c:y val="6.5613390026057733E-2"/>
          <c:w val="0.60074853644712534"/>
          <c:h val="0.84503112489303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03F-4B8D-8F03-C19FA7F2671F}"/>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503F-4B8D-8F03-C19FA7F2671F}"/>
              </c:ext>
            </c:extLst>
          </c:dPt>
          <c:dLbls>
            <c:dLbl>
              <c:idx val="0"/>
              <c:tx>
                <c:rich>
                  <a:bodyPr/>
                  <a:lstStyle/>
                  <a:p>
                    <a:r>
                      <a:rPr lang="en-US"/>
                      <a:t>Ethics Office</a:t>
                    </a:r>
                  </a:p>
                  <a:p>
                    <a:r>
                      <a:rPr lang="en-US"/>
                      <a:t> </a:t>
                    </a:r>
                    <a:fld id="{748C7B97-5D97-440C-B102-B772081C14B2}" type="PERCENTAGE">
                      <a:rPr lang="en-US"/>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03F-4B8D-8F03-C19FA7F2671F}"/>
                </c:ext>
              </c:extLst>
            </c:dLbl>
            <c:dLbl>
              <c:idx val="1"/>
              <c:layout>
                <c:manualLayout>
                  <c:x val="-2.9460502993513174E-2"/>
                  <c:y val="1.925390780197074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Referrals</a:t>
                    </a:r>
                  </a:p>
                  <a:p>
                    <a:pPr>
                      <a:defRPr sz="900" b="0" i="0" u="none" strike="noStrike" kern="1200" baseline="0">
                        <a:solidFill>
                          <a:schemeClr val="tx1">
                            <a:lumMod val="75000"/>
                            <a:lumOff val="25000"/>
                          </a:schemeClr>
                        </a:solidFill>
                        <a:latin typeface="+mn-lt"/>
                        <a:ea typeface="+mn-ea"/>
                        <a:cs typeface="+mn-cs"/>
                      </a:defRPr>
                    </a:pPr>
                    <a:r>
                      <a:rPr lang="en-US"/>
                      <a:t> </a:t>
                    </a:r>
                    <a:fld id="{8C40B7AF-BF82-48BC-9753-889243A64233}" type="PERCENTAGE">
                      <a:rPr lang="en-US"/>
                      <a:pPr>
                        <a:defRPr sz="900" b="0" i="0" u="none" strike="noStrike" kern="1200" baseline="0">
                          <a:solidFill>
                            <a:schemeClr val="tx1">
                              <a:lumMod val="75000"/>
                              <a:lumOff val="25000"/>
                            </a:schemeClr>
                          </a:solidFill>
                          <a:latin typeface="+mn-lt"/>
                          <a:ea typeface="+mn-ea"/>
                          <a:cs typeface="+mn-cs"/>
                        </a:defRPr>
                      </a:pPr>
                      <a:t>[PERCENTAGE]</a:t>
                    </a:fld>
                    <a:endParaRPr lang="en-US"/>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0.12971203446819657"/>
                      <c:h val="0.13514956839781306"/>
                    </c:manualLayout>
                  </c15:layout>
                  <c15:dlblFieldTable/>
                  <c15:showDataLabelsRange val="0"/>
                </c:ext>
                <c:ext xmlns:c16="http://schemas.microsoft.com/office/drawing/2014/chart" uri="{C3380CC4-5D6E-409C-BE32-E72D297353CC}">
                  <c16:uniqueId val="{00000003-503F-4B8D-8F03-C19FA7F26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'Figure 4'!$A$4:$A$5</c:f>
              <c:strCache>
                <c:ptCount val="2"/>
                <c:pt idx="0">
                  <c:v>Ethics Office </c:v>
                </c:pt>
                <c:pt idx="1">
                  <c:v>Referral </c:v>
                </c:pt>
              </c:strCache>
            </c:strRef>
          </c:cat>
          <c:val>
            <c:numRef>
              <c:f>'Figure 4'!$B$4:$B$5</c:f>
              <c:numCache>
                <c:formatCode>General</c:formatCode>
                <c:ptCount val="2"/>
                <c:pt idx="0">
                  <c:v>152</c:v>
                </c:pt>
                <c:pt idx="1">
                  <c:v>16</c:v>
                </c:pt>
              </c:numCache>
            </c:numRef>
          </c:val>
          <c:extLst>
            <c:ext xmlns:c16="http://schemas.microsoft.com/office/drawing/2014/chart" uri="{C3380CC4-5D6E-409C-BE32-E72D297353CC}">
              <c16:uniqueId val="{00000004-503F-4B8D-8F03-C19FA7F2671F}"/>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503F-4B8D-8F03-C19FA7F267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503F-4B8D-8F03-C19FA7F2671F}"/>
              </c:ext>
            </c:extLst>
          </c:dPt>
          <c:cat>
            <c:strRef>
              <c:f>'Figure 4'!$A$4:$A$5</c:f>
              <c:strCache>
                <c:ptCount val="2"/>
                <c:pt idx="0">
                  <c:v>Ethics Office </c:v>
                </c:pt>
                <c:pt idx="1">
                  <c:v>Referral </c:v>
                </c:pt>
              </c:strCache>
            </c:strRef>
          </c:cat>
          <c:val>
            <c:numRef>
              <c:f>'Figure 4'!$C$4:$C$5</c:f>
              <c:numCache>
                <c:formatCode>General</c:formatCode>
                <c:ptCount val="2"/>
                <c:pt idx="0">
                  <c:v>90</c:v>
                </c:pt>
                <c:pt idx="1">
                  <c:v>10</c:v>
                </c:pt>
              </c:numCache>
            </c:numRef>
          </c:val>
          <c:extLst>
            <c:ext xmlns:c16="http://schemas.microsoft.com/office/drawing/2014/chart" uri="{C3380CC4-5D6E-409C-BE32-E72D297353CC}">
              <c16:uniqueId val="{00000009-503F-4B8D-8F03-C19FA7F2671F}"/>
            </c:ext>
          </c:extLst>
        </c:ser>
        <c:dLbls>
          <c:showLegendKey val="0"/>
          <c:showVal val="0"/>
          <c:showCatName val="0"/>
          <c:showSerName val="0"/>
          <c:showPercent val="0"/>
          <c:showBubbleSize val="0"/>
          <c:showLeaderLines val="0"/>
        </c:dLbls>
        <c:firstSliceAng val="107"/>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2F0B-4ACD-8869-B17089E2EEF1}"/>
              </c:ext>
            </c:extLst>
          </c:dPt>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2F0B-4ACD-8869-B17089E2EEF1}"/>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4-044B-45D3-89A6-F7F0C6B68486}"/>
              </c:ext>
            </c:extLst>
          </c:dPt>
          <c:dLbls>
            <c:dLbl>
              <c:idx val="4"/>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44B-45D3-89A6-F7F0C6B6848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8'!$A$3:$A$7</c:f>
              <c:numCache>
                <c:formatCode>General</c:formatCode>
                <c:ptCount val="5"/>
                <c:pt idx="0">
                  <c:v>2019</c:v>
                </c:pt>
                <c:pt idx="1">
                  <c:v>2020</c:v>
                </c:pt>
                <c:pt idx="2">
                  <c:v>2021</c:v>
                </c:pt>
                <c:pt idx="3">
                  <c:v>2022</c:v>
                </c:pt>
                <c:pt idx="4">
                  <c:v>2023</c:v>
                </c:pt>
              </c:numCache>
            </c:numRef>
          </c:cat>
          <c:val>
            <c:numRef>
              <c:f>'Figure 8'!$B$3:$B$7</c:f>
              <c:numCache>
                <c:formatCode>General</c:formatCode>
                <c:ptCount val="5"/>
                <c:pt idx="0">
                  <c:v>1</c:v>
                </c:pt>
                <c:pt idx="1">
                  <c:v>0</c:v>
                </c:pt>
                <c:pt idx="2">
                  <c:v>0</c:v>
                </c:pt>
                <c:pt idx="3">
                  <c:v>4</c:v>
                </c:pt>
                <c:pt idx="4">
                  <c:v>4</c:v>
                </c:pt>
              </c:numCache>
            </c:numRef>
          </c:val>
          <c:extLst>
            <c:ext xmlns:c16="http://schemas.microsoft.com/office/drawing/2014/chart" uri="{C3380CC4-5D6E-409C-BE32-E72D297353CC}">
              <c16:uniqueId val="{00000004-2F0B-4ACD-8869-B17089E2EEF1}"/>
            </c:ext>
          </c:extLst>
        </c:ser>
        <c:dLbls>
          <c:dLblPos val="outEnd"/>
          <c:showLegendKey val="0"/>
          <c:showVal val="1"/>
          <c:showCatName val="0"/>
          <c:showSerName val="0"/>
          <c:showPercent val="0"/>
          <c:showBubbleSize val="0"/>
        </c:dLbls>
        <c:gapWidth val="219"/>
        <c:overlap val="-27"/>
        <c:axId val="654930816"/>
        <c:axId val="656949680"/>
      </c:barChart>
      <c:catAx>
        <c:axId val="65493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56949680"/>
        <c:crosses val="autoZero"/>
        <c:auto val="1"/>
        <c:lblAlgn val="ctr"/>
        <c:lblOffset val="100"/>
        <c:noMultiLvlLbl val="0"/>
      </c:catAx>
      <c:valAx>
        <c:axId val="65694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93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803149606299212E-2"/>
          <c:y val="7.407407407407407E-2"/>
          <c:w val="0.9155301837270341"/>
          <c:h val="0.6891046952464274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'NEW Figure 7'!$A$5:$A$10</c:f>
              <c:strCache>
                <c:ptCount val="5"/>
                <c:pt idx="0">
                  <c:v>Not Substantiated (following investigation)</c:v>
                </c:pt>
                <c:pt idx="1">
                  <c:v>Withdrawn</c:v>
                </c:pt>
                <c:pt idx="2">
                  <c:v>Not Substantiated (no prima facie case)</c:v>
                </c:pt>
                <c:pt idx="3">
                  <c:v>Time-Barred</c:v>
                </c:pt>
                <c:pt idx="4">
                  <c:v>Ongoing
(pending with IOD)</c:v>
                </c:pt>
              </c:strCache>
            </c:strRef>
          </c:cat>
          <c:val>
            <c:numRef>
              <c:f>'NEW Figure 7'!$B$5:$B$10</c:f>
              <c:numCache>
                <c:formatCode>General</c:formatCode>
                <c:ptCount val="6"/>
                <c:pt idx="0">
                  <c:v>0</c:v>
                </c:pt>
                <c:pt idx="1">
                  <c:v>1</c:v>
                </c:pt>
                <c:pt idx="2">
                  <c:v>1</c:v>
                </c:pt>
                <c:pt idx="3">
                  <c:v>1</c:v>
                </c:pt>
                <c:pt idx="4">
                  <c:v>4</c:v>
                </c:pt>
              </c:numCache>
            </c:numRef>
          </c:val>
          <c:extLst>
            <c:ext xmlns:c16="http://schemas.microsoft.com/office/drawing/2014/chart" uri="{C3380CC4-5D6E-409C-BE32-E72D297353CC}">
              <c16:uniqueId val="{00000000-24B5-40D6-B57C-2C22AB95E0E0}"/>
            </c:ext>
          </c:extLst>
        </c:ser>
        <c:dLbls>
          <c:dLblPos val="outEnd"/>
          <c:showLegendKey val="0"/>
          <c:showVal val="1"/>
          <c:showCatName val="0"/>
          <c:showSerName val="0"/>
          <c:showPercent val="0"/>
          <c:showBubbleSize val="0"/>
        </c:dLbls>
        <c:gapWidth val="219"/>
        <c:overlap val="-27"/>
        <c:axId val="157157007"/>
        <c:axId val="67703903"/>
      </c:barChart>
      <c:catAx>
        <c:axId val="15715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03903"/>
        <c:crosses val="autoZero"/>
        <c:auto val="1"/>
        <c:lblAlgn val="ctr"/>
        <c:lblOffset val="100"/>
        <c:noMultiLvlLbl val="0"/>
      </c:catAx>
      <c:valAx>
        <c:axId val="67703903"/>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57007"/>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10 Final'!$A$2:$A$6</c:f>
              <c:numCache>
                <c:formatCode>General</c:formatCode>
                <c:ptCount val="5"/>
                <c:pt idx="0">
                  <c:v>2019</c:v>
                </c:pt>
                <c:pt idx="1">
                  <c:v>2020</c:v>
                </c:pt>
                <c:pt idx="2">
                  <c:v>2021</c:v>
                </c:pt>
                <c:pt idx="3">
                  <c:v>2022</c:v>
                </c:pt>
                <c:pt idx="4">
                  <c:v>2023</c:v>
                </c:pt>
              </c:numCache>
            </c:numRef>
          </c:cat>
          <c:val>
            <c:numRef>
              <c:f>'Figure 10 Final'!$B$2:$B$6</c:f>
              <c:numCache>
                <c:formatCode>General</c:formatCode>
                <c:ptCount val="5"/>
                <c:pt idx="0">
                  <c:v>105</c:v>
                </c:pt>
                <c:pt idx="1">
                  <c:v>110</c:v>
                </c:pt>
                <c:pt idx="2">
                  <c:v>107</c:v>
                </c:pt>
                <c:pt idx="3">
                  <c:v>106</c:v>
                </c:pt>
                <c:pt idx="4">
                  <c:v>111</c:v>
                </c:pt>
              </c:numCache>
            </c:numRef>
          </c:val>
          <c:extLst>
            <c:ext xmlns:c16="http://schemas.microsoft.com/office/drawing/2014/chart" uri="{C3380CC4-5D6E-409C-BE32-E72D297353CC}">
              <c16:uniqueId val="{00000000-49F7-464D-A185-22F1E5EEC2F0}"/>
            </c:ext>
          </c:extLst>
        </c:ser>
        <c:ser>
          <c:idx val="1"/>
          <c:order val="1"/>
          <c:spPr>
            <a:solidFill>
              <a:srgbClr val="F5801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10 Final'!$A$2:$A$6</c:f>
              <c:numCache>
                <c:formatCode>General</c:formatCode>
                <c:ptCount val="5"/>
                <c:pt idx="0">
                  <c:v>2019</c:v>
                </c:pt>
                <c:pt idx="1">
                  <c:v>2020</c:v>
                </c:pt>
                <c:pt idx="2">
                  <c:v>2021</c:v>
                </c:pt>
                <c:pt idx="3">
                  <c:v>2022</c:v>
                </c:pt>
                <c:pt idx="4">
                  <c:v>2023</c:v>
                </c:pt>
              </c:numCache>
            </c:numRef>
          </c:cat>
          <c:val>
            <c:numRef>
              <c:f>'Figure 10 Final'!$C$2:$C$6</c:f>
              <c:numCache>
                <c:formatCode>General</c:formatCode>
                <c:ptCount val="5"/>
                <c:pt idx="0">
                  <c:v>9</c:v>
                </c:pt>
                <c:pt idx="1">
                  <c:v>9</c:v>
                </c:pt>
                <c:pt idx="2">
                  <c:v>5</c:v>
                </c:pt>
                <c:pt idx="3">
                  <c:v>2</c:v>
                </c:pt>
                <c:pt idx="4">
                  <c:v>3</c:v>
                </c:pt>
              </c:numCache>
            </c:numRef>
          </c:val>
          <c:extLst>
            <c:ext xmlns:c16="http://schemas.microsoft.com/office/drawing/2014/chart" uri="{C3380CC4-5D6E-409C-BE32-E72D297353CC}">
              <c16:uniqueId val="{00000001-49F7-464D-A185-22F1E5EEC2F0}"/>
            </c:ext>
          </c:extLst>
        </c:ser>
        <c:dLbls>
          <c:dLblPos val="outEnd"/>
          <c:showLegendKey val="0"/>
          <c:showVal val="1"/>
          <c:showCatName val="0"/>
          <c:showSerName val="0"/>
          <c:showPercent val="0"/>
          <c:showBubbleSize val="0"/>
        </c:dLbls>
        <c:gapWidth val="219"/>
        <c:overlap val="-27"/>
        <c:axId val="1487618128"/>
        <c:axId val="1056769792"/>
      </c:barChart>
      <c:catAx>
        <c:axId val="148761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6769792"/>
        <c:crosses val="autoZero"/>
        <c:auto val="1"/>
        <c:lblAlgn val="ctr"/>
        <c:lblOffset val="100"/>
        <c:noMultiLvlLbl val="0"/>
      </c:catAx>
      <c:valAx>
        <c:axId val="105676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7618128"/>
        <c:crosses val="autoZero"/>
        <c:crossBetween val="between"/>
      </c:valAx>
      <c:spPr>
        <a:noFill/>
        <a:ln w="25400">
          <a:noFill/>
        </a:ln>
        <a:effectLst/>
      </c:spPr>
    </c:plotArea>
    <c:legend>
      <c:legendPos val="b"/>
      <c:legendEntry>
        <c:idx val="1"/>
        <c:delete val="1"/>
      </c:legendEntry>
      <c:layout>
        <c:manualLayout>
          <c:xMode val="edge"/>
          <c:yMode val="edge"/>
          <c:x val="0.96471048302041629"/>
          <c:y val="0.98946396342539611"/>
          <c:w val="3.395607198126642E-2"/>
          <c:h val="1.05360365746038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0.68365</cdr:x>
      <cdr:y>0.32491</cdr:y>
    </cdr:from>
    <cdr:to>
      <cdr:x>0.90792</cdr:x>
      <cdr:y>0.61372</cdr:y>
    </cdr:to>
    <cdr:sp macro="" textlink="">
      <cdr:nvSpPr>
        <cdr:cNvPr id="2" name="TextBox 1">
          <a:extLst xmlns:a="http://schemas.openxmlformats.org/drawingml/2006/main">
            <a:ext uri="{FF2B5EF4-FFF2-40B4-BE49-F238E27FC236}">
              <a16:creationId xmlns:a16="http://schemas.microsoft.com/office/drawing/2014/main" id="{73E4488C-BA7E-5F13-D46C-9525699F15CB}"/>
            </a:ext>
          </a:extLst>
        </cdr:cNvPr>
        <cdr:cNvSpPr txBox="1"/>
      </cdr:nvSpPr>
      <cdr:spPr>
        <a:xfrm xmlns:a="http://schemas.openxmlformats.org/drawingml/2006/main">
          <a:off x="3197277" y="857251"/>
          <a:ext cx="1048861" cy="762000"/>
        </a:xfrm>
        <a:prstGeom xmlns:a="http://schemas.openxmlformats.org/drawingml/2006/main" prst="rect">
          <a:avLst/>
        </a:prstGeom>
        <a:solidFill xmlns:a="http://schemas.openxmlformats.org/drawingml/2006/main">
          <a:schemeClr val="accent2">
            <a:lumMod val="40000"/>
            <a:lumOff val="60000"/>
          </a:schemeClr>
        </a:solidFill>
      </cdr:spPr>
      <cdr:txBody>
        <a:bodyPr xmlns:a="http://schemas.openxmlformats.org/drawingml/2006/main" vertOverflow="clip" wrap="square" rtlCol="0"/>
        <a:lstStyle xmlns:a="http://schemas.openxmlformats.org/drawingml/2006/main"/>
        <a:p xmlns:a="http://schemas.openxmlformats.org/drawingml/2006/main">
          <a:r>
            <a:rPr lang="en-US" sz="1000" baseline="0"/>
            <a:t>  HRMD</a:t>
          </a:r>
        </a:p>
        <a:p xmlns:a="http://schemas.openxmlformats.org/drawingml/2006/main">
          <a:r>
            <a:rPr lang="en-US" sz="1000" baseline="0"/>
            <a:t>  OMB</a:t>
          </a:r>
        </a:p>
        <a:p xmlns:a="http://schemas.openxmlformats.org/drawingml/2006/main">
          <a:r>
            <a:rPr lang="en-US" sz="1000" baseline="0"/>
            <a:t>  IOD</a:t>
          </a:r>
        </a:p>
        <a:p xmlns:a="http://schemas.openxmlformats.org/drawingml/2006/main">
          <a:r>
            <a:rPr lang="en-US" sz="1000" baseline="0"/>
            <a:t>  Management</a:t>
          </a:r>
        </a:p>
        <a:p xmlns:a="http://schemas.openxmlformats.org/drawingml/2006/main">
          <a:endParaRPr lang="en-US" sz="1000"/>
        </a:p>
      </cdr:txBody>
    </cdr:sp>
  </cdr:relSizeAnchor>
  <cdr:relSizeAnchor xmlns:cdr="http://schemas.openxmlformats.org/drawingml/2006/chartDrawing">
    <cdr:from>
      <cdr:x>0.61928</cdr:x>
      <cdr:y>0.34473</cdr:y>
    </cdr:from>
    <cdr:to>
      <cdr:x>0.79584</cdr:x>
      <cdr:y>0.59337</cdr:y>
    </cdr:to>
    <cdr:sp macro="" textlink="">
      <cdr:nvSpPr>
        <cdr:cNvPr id="6" name="TextBox 5">
          <a:extLst xmlns:a="http://schemas.openxmlformats.org/drawingml/2006/main">
            <a:ext uri="{FF2B5EF4-FFF2-40B4-BE49-F238E27FC236}">
              <a16:creationId xmlns:a16="http://schemas.microsoft.com/office/drawing/2014/main" id="{5423E599-D163-E977-8A20-85C06E4FEA2E}"/>
            </a:ext>
          </a:extLst>
        </cdr:cNvPr>
        <cdr:cNvSpPr txBox="1"/>
      </cdr:nvSpPr>
      <cdr:spPr>
        <a:xfrm xmlns:a="http://schemas.openxmlformats.org/drawingml/2006/main">
          <a:off x="3207068" y="126777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0.69654</cdr:x>
      <cdr:y>0.36462</cdr:y>
    </cdr:from>
    <cdr:to>
      <cdr:x>0.70672</cdr:x>
      <cdr:y>0.38195</cdr:y>
    </cdr:to>
    <cdr:sp macro="" textlink="">
      <cdr:nvSpPr>
        <cdr:cNvPr id="3" name="Rectangle 2"/>
        <cdr:cNvSpPr/>
      </cdr:nvSpPr>
      <cdr:spPr>
        <a:xfrm xmlns:a="http://schemas.openxmlformats.org/drawingml/2006/main">
          <a:off x="3257550" y="962025"/>
          <a:ext cx="47625" cy="45719"/>
        </a:xfrm>
        <a:prstGeom xmlns:a="http://schemas.openxmlformats.org/drawingml/2006/main" prst="rect">
          <a:avLst/>
        </a:prstGeom>
        <a:solidFill xmlns:a="http://schemas.openxmlformats.org/drawingml/2006/main">
          <a:schemeClr val="accent6">
            <a:lumMod val="20000"/>
            <a:lumOff val="80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0.69722</cdr:x>
      <cdr:y>0.47774</cdr:y>
    </cdr:from>
    <cdr:to>
      <cdr:x>0.7074</cdr:x>
      <cdr:y>0.49507</cdr:y>
    </cdr:to>
    <cdr:sp macro="" textlink="">
      <cdr:nvSpPr>
        <cdr:cNvPr id="9" name="Rectangle 8"/>
        <cdr:cNvSpPr/>
      </cdr:nvSpPr>
      <cdr:spPr>
        <a:xfrm xmlns:a="http://schemas.openxmlformats.org/drawingml/2006/main">
          <a:off x="3260725" y="1260475"/>
          <a:ext cx="47625" cy="45719"/>
        </a:xfrm>
        <a:prstGeom xmlns:a="http://schemas.openxmlformats.org/drawingml/2006/main" prst="rect">
          <a:avLst/>
        </a:prstGeom>
        <a:solidFill xmlns:a="http://schemas.openxmlformats.org/drawingml/2006/main">
          <a:schemeClr val="accent6">
            <a:lumMod val="60000"/>
            <a:lumOff val="40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0.69722</cdr:x>
      <cdr:y>0.41998</cdr:y>
    </cdr:from>
    <cdr:to>
      <cdr:x>0.7074</cdr:x>
      <cdr:y>0.4373</cdr:y>
    </cdr:to>
    <cdr:sp macro="" textlink="">
      <cdr:nvSpPr>
        <cdr:cNvPr id="10" name="Rectangle 9"/>
        <cdr:cNvSpPr/>
      </cdr:nvSpPr>
      <cdr:spPr>
        <a:xfrm xmlns:a="http://schemas.openxmlformats.org/drawingml/2006/main">
          <a:off x="3260725" y="1108075"/>
          <a:ext cx="47625" cy="45719"/>
        </a:xfrm>
        <a:prstGeom xmlns:a="http://schemas.openxmlformats.org/drawingml/2006/main" prst="rect">
          <a:avLst/>
        </a:prstGeom>
        <a:solidFill xmlns:a="http://schemas.openxmlformats.org/drawingml/2006/main">
          <a:schemeClr val="accent6">
            <a:lumMod val="40000"/>
            <a:lumOff val="60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0.69722</cdr:x>
      <cdr:y>0.53911</cdr:y>
    </cdr:from>
    <cdr:to>
      <cdr:x>0.7074</cdr:x>
      <cdr:y>0.55644</cdr:y>
    </cdr:to>
    <cdr:sp macro="" textlink="">
      <cdr:nvSpPr>
        <cdr:cNvPr id="11" name="Rectangle 10"/>
        <cdr:cNvSpPr/>
      </cdr:nvSpPr>
      <cdr:spPr>
        <a:xfrm xmlns:a="http://schemas.openxmlformats.org/drawingml/2006/main">
          <a:off x="3260725" y="1422400"/>
          <a:ext cx="47625" cy="45719"/>
        </a:xfrm>
        <a:prstGeom xmlns:a="http://schemas.openxmlformats.org/drawingml/2006/main" prst="rect">
          <a:avLst/>
        </a:prstGeom>
        <a:solidFill xmlns:a="http://schemas.openxmlformats.org/drawingml/2006/main">
          <a:schemeClr val="accent6">
            <a:lumMod val="75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0.19118</cdr:x>
      <cdr:y>0.92678</cdr:y>
    </cdr:from>
    <cdr:to>
      <cdr:x>0.85235</cdr:x>
      <cdr:y>1</cdr:y>
    </cdr:to>
    <cdr:sp macro="" textlink="">
      <cdr:nvSpPr>
        <cdr:cNvPr id="2" name="TextBox 1">
          <a:extLst xmlns:a="http://schemas.openxmlformats.org/drawingml/2006/main">
            <a:ext uri="{FF2B5EF4-FFF2-40B4-BE49-F238E27FC236}">
              <a16:creationId xmlns:a16="http://schemas.microsoft.com/office/drawing/2014/main" id="{D4B1F0A0-E1F6-521E-8F48-FD7B26ADBCA3}"/>
            </a:ext>
          </a:extLst>
        </cdr:cNvPr>
        <cdr:cNvSpPr txBox="1"/>
      </cdr:nvSpPr>
      <cdr:spPr>
        <a:xfrm xmlns:a="http://schemas.openxmlformats.org/drawingml/2006/main">
          <a:off x="1414928" y="4219576"/>
          <a:ext cx="4893221" cy="3333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Total</a:t>
          </a:r>
          <a:r>
            <a:rPr lang="en-US" sz="900" baseline="0"/>
            <a:t> participants per year                     Statements flagged for discussion</a:t>
          </a:r>
          <a:endParaRPr lang="en-US" sz="900"/>
        </a:p>
      </cdr:txBody>
    </cdr:sp>
  </cdr:relSizeAnchor>
  <cdr:relSizeAnchor xmlns:cdr="http://schemas.openxmlformats.org/drawingml/2006/chartDrawing">
    <cdr:from>
      <cdr:x>0.18084</cdr:x>
      <cdr:y>0.94892</cdr:y>
    </cdr:from>
    <cdr:to>
      <cdr:x>0.19271</cdr:x>
      <cdr:y>0.96732</cdr:y>
    </cdr:to>
    <cdr:sp macro="" textlink="">
      <cdr:nvSpPr>
        <cdr:cNvPr id="3" name="TextBox 4">
          <a:extLst xmlns:a="http://schemas.openxmlformats.org/drawingml/2006/main">
            <a:ext uri="{FF2B5EF4-FFF2-40B4-BE49-F238E27FC236}">
              <a16:creationId xmlns:a16="http://schemas.microsoft.com/office/drawing/2014/main" id="{6E1CAFCE-AE94-A603-CC87-A8182FF7152D}"/>
            </a:ext>
          </a:extLst>
        </cdr:cNvPr>
        <cdr:cNvSpPr txBox="1"/>
      </cdr:nvSpPr>
      <cdr:spPr>
        <a:xfrm xmlns:a="http://schemas.openxmlformats.org/drawingml/2006/main">
          <a:off x="1057631" y="3344215"/>
          <a:ext cx="69420" cy="64846"/>
        </a:xfrm>
        <a:prstGeom xmlns:a="http://schemas.openxmlformats.org/drawingml/2006/main" prst="rect">
          <a:avLst/>
        </a:prstGeom>
        <a:solidFill xmlns:a="http://schemas.openxmlformats.org/drawingml/2006/main">
          <a:schemeClr val="accent1"/>
        </a:solidFill>
        <a:ln xmlns:a="http://schemas.openxmlformats.org/drawingml/2006/main"/>
      </cdr:spPr>
      <cdr:style>
        <a:lnRef xmlns:a="http://schemas.openxmlformats.org/drawingml/2006/main" idx="2">
          <a:schemeClr val="accent5"/>
        </a:lnRef>
        <a:fillRef xmlns:a="http://schemas.openxmlformats.org/drawingml/2006/main" idx="1">
          <a:schemeClr val="lt1"/>
        </a:fillRef>
        <a:effectRef xmlns:a="http://schemas.openxmlformats.org/drawingml/2006/main" idx="0">
          <a:schemeClr val="accent5"/>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en-US" sz="1100"/>
        </a:p>
      </cdr:txBody>
    </cdr:sp>
  </cdr:relSizeAnchor>
  <cdr:relSizeAnchor xmlns:cdr="http://schemas.openxmlformats.org/drawingml/2006/chartDrawing">
    <cdr:from>
      <cdr:x>0.47903</cdr:x>
      <cdr:y>0.95135</cdr:y>
    </cdr:from>
    <cdr:to>
      <cdr:x>0.49511</cdr:x>
      <cdr:y>0.97388</cdr:y>
    </cdr:to>
    <cdr:sp macro="" textlink="">
      <cdr:nvSpPr>
        <cdr:cNvPr id="4" name="TextBox 1">
          <a:extLst xmlns:a="http://schemas.openxmlformats.org/drawingml/2006/main">
            <a:ext uri="{FF2B5EF4-FFF2-40B4-BE49-F238E27FC236}">
              <a16:creationId xmlns:a16="http://schemas.microsoft.com/office/drawing/2014/main" id="{A35C8502-6334-ADAC-D463-F16219784510}"/>
            </a:ext>
          </a:extLst>
        </cdr:cNvPr>
        <cdr:cNvSpPr txBox="1"/>
      </cdr:nvSpPr>
      <cdr:spPr>
        <a:xfrm xmlns:a="http://schemas.openxmlformats.org/drawingml/2006/main">
          <a:off x="2801547" y="3352799"/>
          <a:ext cx="94054" cy="79391"/>
        </a:xfrm>
        <a:prstGeom xmlns:a="http://schemas.openxmlformats.org/drawingml/2006/main" prst="rect">
          <a:avLst/>
        </a:prstGeom>
        <a:solidFill xmlns:a="http://schemas.openxmlformats.org/drawingml/2006/main">
          <a:schemeClr val="accent2"/>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CAEE-8A77-422C-9E75-9337C7DD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WO/CC/83/INF/2 Rev.</vt:lpstr>
    </vt:vector>
  </TitlesOfParts>
  <Company>WIPO</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WO/CC/83/INF/2 Rev.</dc:title>
  <dc:subject/>
  <dc:creator>WIPO</dc:creator>
  <cp:keywords>FOR OFFICIAL USE ONLY</cp:keywords>
  <dc:description/>
  <cp:lastModifiedBy>HÄFLIGER Patience</cp:lastModifiedBy>
  <cp:revision>6</cp:revision>
  <cp:lastPrinted>2024-06-07T11:14:00Z</cp:lastPrinted>
  <dcterms:created xsi:type="dcterms:W3CDTF">2024-06-06T07:16:00Z</dcterms:created>
  <dcterms:modified xsi:type="dcterms:W3CDTF">2024-06-07T11:15:00Z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2024-04-11T09:10:36Z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884f090f-25e1-4fae-af15-fd6b420c7572</vt:lpwstr>
  </property>
  <property fmtid="{D5CDD505-2E9C-101B-9397-08002B2CF9AE}" pid="14" name="MSIP_Label_20773ee6-353b-4fb9-a59d-0b94c8c67bea_ContentBits">
    <vt:lpwstr>0</vt:lpwstr>
  </property>
</Properties>
</file>