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1B49B" w14:textId="77777777" w:rsidR="001F22A6" w:rsidRPr="008B2CC1" w:rsidRDefault="001F22A6" w:rsidP="001F22A6">
      <w:pPr>
        <w:spacing w:after="120"/>
        <w:jc w:val="right"/>
      </w:pPr>
      <w:bookmarkStart w:id="0" w:name="_GoBack"/>
      <w:bookmarkEnd w:id="0"/>
      <w:r>
        <w:rPr>
          <w:noProof/>
          <w:sz w:val="28"/>
          <w:szCs w:val="28"/>
          <w:lang w:eastAsia="en-US"/>
        </w:rPr>
        <w:drawing>
          <wp:inline distT="0" distB="0" distL="0" distR="0" wp14:anchorId="1484D21F" wp14:editId="467DBC2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60A7727D" wp14:editId="12E0153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B390D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24DA747A" w14:textId="4CAE5AEB" w:rsidR="001F22A6" w:rsidRPr="001024FE" w:rsidRDefault="001F22A6" w:rsidP="001F22A6">
      <w:pPr>
        <w:jc w:val="right"/>
        <w:rPr>
          <w:rFonts w:ascii="Arial Black" w:hAnsi="Arial Black"/>
          <w:caps/>
          <w:sz w:val="15"/>
          <w:szCs w:val="15"/>
        </w:rPr>
      </w:pPr>
      <w:r>
        <w:rPr>
          <w:rFonts w:ascii="Arial Black" w:hAnsi="Arial Black"/>
          <w:caps/>
          <w:sz w:val="15"/>
          <w:szCs w:val="15"/>
        </w:rPr>
        <w:t>WO/CC/82/INF/1</w:t>
      </w:r>
    </w:p>
    <w:p w14:paraId="6BB341D0" w14:textId="1063D387" w:rsidR="001F22A6" w:rsidRPr="00CE65D4" w:rsidRDefault="001F22A6" w:rsidP="001F22A6">
      <w:pPr>
        <w:jc w:val="right"/>
        <w:rPr>
          <w:rFonts w:ascii="Arial Black" w:hAnsi="Arial Black"/>
          <w:caps/>
          <w:sz w:val="15"/>
          <w:szCs w:val="15"/>
        </w:rPr>
      </w:pPr>
      <w:r w:rsidRPr="00CE65D4">
        <w:rPr>
          <w:rFonts w:ascii="Arial Black" w:hAnsi="Arial Black"/>
          <w:caps/>
          <w:sz w:val="15"/>
          <w:szCs w:val="15"/>
        </w:rPr>
        <w:t xml:space="preserve">ORIGINAL:  </w:t>
      </w:r>
      <w:r>
        <w:rPr>
          <w:rFonts w:ascii="Arial Black" w:hAnsi="Arial Black"/>
          <w:caps/>
          <w:sz w:val="15"/>
          <w:szCs w:val="15"/>
        </w:rPr>
        <w:t>ENGLISH</w:t>
      </w:r>
    </w:p>
    <w:p w14:paraId="56F0AC11" w14:textId="3F5B4375" w:rsidR="001F22A6" w:rsidRPr="00CE65D4" w:rsidRDefault="001F22A6" w:rsidP="001F22A6">
      <w:pPr>
        <w:spacing w:after="1200"/>
        <w:jc w:val="right"/>
        <w:rPr>
          <w:rFonts w:ascii="Arial Black" w:hAnsi="Arial Black"/>
          <w:caps/>
          <w:sz w:val="15"/>
          <w:szCs w:val="15"/>
        </w:rPr>
      </w:pPr>
      <w:r w:rsidRPr="00CE65D4">
        <w:rPr>
          <w:rFonts w:ascii="Arial Black" w:hAnsi="Arial Black"/>
          <w:caps/>
          <w:sz w:val="15"/>
          <w:szCs w:val="15"/>
        </w:rPr>
        <w:t xml:space="preserve">DATE:  </w:t>
      </w:r>
      <w:r w:rsidR="006E1516">
        <w:rPr>
          <w:rFonts w:ascii="Arial Black" w:hAnsi="Arial Black"/>
          <w:caps/>
          <w:sz w:val="15"/>
          <w:szCs w:val="15"/>
        </w:rPr>
        <w:t>JUNE 13</w:t>
      </w:r>
      <w:r>
        <w:rPr>
          <w:rFonts w:ascii="Arial Black" w:hAnsi="Arial Black"/>
          <w:caps/>
          <w:sz w:val="15"/>
          <w:szCs w:val="15"/>
        </w:rPr>
        <w:t>, 2023</w:t>
      </w:r>
    </w:p>
    <w:p w14:paraId="6A05EA68" w14:textId="77777777" w:rsidR="001F22A6" w:rsidRPr="003845C1" w:rsidRDefault="001F22A6" w:rsidP="001F22A6">
      <w:pPr>
        <w:spacing w:after="600"/>
        <w:rPr>
          <w:b/>
          <w:sz w:val="28"/>
          <w:szCs w:val="28"/>
        </w:rPr>
      </w:pPr>
      <w:r w:rsidRPr="00095CDF">
        <w:rPr>
          <w:b/>
          <w:sz w:val="28"/>
          <w:szCs w:val="28"/>
        </w:rPr>
        <w:t>WIPO Coordination Committee</w:t>
      </w:r>
    </w:p>
    <w:p w14:paraId="7FFE76A3" w14:textId="77777777" w:rsidR="001F22A6" w:rsidRPr="003845C1" w:rsidRDefault="001F22A6" w:rsidP="001F22A6">
      <w:pPr>
        <w:rPr>
          <w:b/>
          <w:sz w:val="24"/>
          <w:szCs w:val="24"/>
        </w:rPr>
      </w:pPr>
      <w:r w:rsidRPr="00095CDF">
        <w:rPr>
          <w:b/>
          <w:sz w:val="24"/>
          <w:szCs w:val="24"/>
        </w:rPr>
        <w:t>Eighty-</w:t>
      </w:r>
      <w:r>
        <w:rPr>
          <w:b/>
          <w:sz w:val="24"/>
          <w:szCs w:val="24"/>
        </w:rPr>
        <w:t>Second</w:t>
      </w:r>
      <w:r w:rsidRPr="00095CDF">
        <w:rPr>
          <w:b/>
          <w:sz w:val="24"/>
          <w:szCs w:val="24"/>
        </w:rPr>
        <w:t xml:space="preserve"> (5</w:t>
      </w:r>
      <w:r>
        <w:rPr>
          <w:b/>
          <w:sz w:val="24"/>
          <w:szCs w:val="24"/>
        </w:rPr>
        <w:t>4</w:t>
      </w:r>
      <w:r w:rsidRPr="00912762">
        <w:rPr>
          <w:b/>
          <w:sz w:val="24"/>
          <w:szCs w:val="24"/>
          <w:vertAlign w:val="superscript"/>
        </w:rPr>
        <w:t>th</w:t>
      </w:r>
      <w:r w:rsidRPr="00095CDF">
        <w:rPr>
          <w:b/>
          <w:sz w:val="24"/>
          <w:szCs w:val="24"/>
        </w:rPr>
        <w:t xml:space="preserve"> Ordinary) Session</w:t>
      </w:r>
    </w:p>
    <w:p w14:paraId="601A49C4" w14:textId="77777777" w:rsidR="001F22A6" w:rsidRPr="009F3BF9" w:rsidRDefault="001F22A6" w:rsidP="001F22A6">
      <w:pPr>
        <w:spacing w:after="720"/>
      </w:pPr>
      <w:r w:rsidRPr="00095CDF">
        <w:rPr>
          <w:b/>
          <w:sz w:val="24"/>
          <w:szCs w:val="24"/>
        </w:rPr>
        <w:t xml:space="preserve">Geneva, July </w:t>
      </w:r>
      <w:r>
        <w:rPr>
          <w:b/>
          <w:sz w:val="24"/>
          <w:szCs w:val="24"/>
        </w:rPr>
        <w:t>6</w:t>
      </w:r>
      <w:r w:rsidRPr="00095CDF">
        <w:rPr>
          <w:b/>
          <w:sz w:val="24"/>
          <w:szCs w:val="24"/>
        </w:rPr>
        <w:t xml:space="preserve"> to </w:t>
      </w:r>
      <w:r>
        <w:rPr>
          <w:b/>
          <w:sz w:val="24"/>
          <w:szCs w:val="24"/>
        </w:rPr>
        <w:t>14, 2023</w:t>
      </w:r>
    </w:p>
    <w:p w14:paraId="6B8CDC76" w14:textId="77777777" w:rsidR="001F22A6" w:rsidRPr="003845C1" w:rsidRDefault="001F22A6" w:rsidP="001F22A6">
      <w:pPr>
        <w:spacing w:after="360"/>
        <w:outlineLvl w:val="0"/>
        <w:rPr>
          <w:caps/>
          <w:sz w:val="24"/>
        </w:rPr>
      </w:pPr>
      <w:r>
        <w:rPr>
          <w:caps/>
          <w:sz w:val="24"/>
        </w:rPr>
        <w:t>Annual Report on Human Resources</w:t>
      </w:r>
    </w:p>
    <w:p w14:paraId="15F2892A" w14:textId="77777777" w:rsidR="001F22A6" w:rsidRPr="009F3BF9" w:rsidRDefault="001F22A6" w:rsidP="001F22A6">
      <w:pPr>
        <w:spacing w:after="960"/>
        <w:rPr>
          <w:caps/>
          <w:sz w:val="24"/>
        </w:rPr>
      </w:pPr>
      <w:r>
        <w:rPr>
          <w:i/>
        </w:rPr>
        <w:t>prepared by the Secretariat</w:t>
      </w:r>
    </w:p>
    <w:p w14:paraId="38CDDDAA" w14:textId="77777777" w:rsidR="00276BEE" w:rsidRDefault="00276BEE" w:rsidP="00276BEE">
      <w:pPr>
        <w:pStyle w:val="Heading1"/>
        <w:numPr>
          <w:ilvl w:val="0"/>
          <w:numId w:val="11"/>
        </w:numPr>
        <w:spacing w:before="0"/>
        <w:ind w:left="567" w:hanging="567"/>
      </w:pPr>
      <w:bookmarkStart w:id="1" w:name="Code"/>
      <w:bookmarkStart w:id="2" w:name="Prepared"/>
      <w:bookmarkEnd w:id="1"/>
      <w:bookmarkEnd w:id="2"/>
      <w:r w:rsidRPr="00C74477">
        <w:t>INTRODUCTION</w:t>
      </w:r>
    </w:p>
    <w:p w14:paraId="4CBD87C4" w14:textId="77777777" w:rsidR="00276BEE" w:rsidRDefault="00276BEE" w:rsidP="00276BEE">
      <w:pPr>
        <w:pStyle w:val="ListParagraph"/>
        <w:ind w:left="0"/>
        <w:rPr>
          <w:szCs w:val="22"/>
        </w:rPr>
      </w:pPr>
    </w:p>
    <w:p w14:paraId="621879E0" w14:textId="4B871542" w:rsidR="00CC1735" w:rsidRDefault="00C768DA" w:rsidP="00CC1735">
      <w:pPr>
        <w:pStyle w:val="ListParagraph"/>
        <w:numPr>
          <w:ilvl w:val="0"/>
          <w:numId w:val="12"/>
        </w:numPr>
        <w:ind w:left="0" w:firstLine="0"/>
        <w:rPr>
          <w:szCs w:val="22"/>
        </w:rPr>
      </w:pPr>
      <w:r w:rsidRPr="00C768DA">
        <w:rPr>
          <w:szCs w:val="22"/>
        </w:rPr>
        <w:t>T</w:t>
      </w:r>
      <w:r w:rsidR="00276BEE" w:rsidRPr="00C768DA">
        <w:rPr>
          <w:szCs w:val="22"/>
        </w:rPr>
        <w:t>his Annual Repor</w:t>
      </w:r>
      <w:r w:rsidR="004D274C" w:rsidRPr="00C768DA">
        <w:rPr>
          <w:szCs w:val="22"/>
        </w:rPr>
        <w:t>t on Human Resources (HR) covers the period from January 1 to December 31, 202</w:t>
      </w:r>
      <w:r w:rsidRPr="00C768DA">
        <w:rPr>
          <w:szCs w:val="22"/>
        </w:rPr>
        <w:t>2</w:t>
      </w:r>
      <w:r w:rsidR="001678B5">
        <w:rPr>
          <w:szCs w:val="22"/>
        </w:rPr>
        <w:t>,</w:t>
      </w:r>
      <w:r w:rsidRPr="00C768DA">
        <w:rPr>
          <w:szCs w:val="22"/>
        </w:rPr>
        <w:t xml:space="preserve"> and </w:t>
      </w:r>
      <w:r w:rsidR="006D41E0" w:rsidRPr="00C768DA">
        <w:rPr>
          <w:szCs w:val="22"/>
        </w:rPr>
        <w:t>comprises</w:t>
      </w:r>
      <w:r w:rsidR="006D41E0" w:rsidRPr="00C768DA" w:rsidDel="006D41E0">
        <w:rPr>
          <w:szCs w:val="22"/>
        </w:rPr>
        <w:t xml:space="preserve"> </w:t>
      </w:r>
      <w:r w:rsidR="004F467D" w:rsidRPr="00C768DA">
        <w:rPr>
          <w:szCs w:val="22"/>
        </w:rPr>
        <w:t>all HR matters for which reporting to the WIPO Coordination Committee is required</w:t>
      </w:r>
      <w:r w:rsidR="00CC1735">
        <w:rPr>
          <w:szCs w:val="22"/>
        </w:rPr>
        <w:t>,</w:t>
      </w:r>
      <w:r w:rsidR="004F467D" w:rsidRPr="00C768DA">
        <w:rPr>
          <w:szCs w:val="22"/>
        </w:rPr>
        <w:t xml:space="preserve"> </w:t>
      </w:r>
      <w:r w:rsidR="00CC1735">
        <w:rPr>
          <w:szCs w:val="22"/>
        </w:rPr>
        <w:t>as well as</w:t>
      </w:r>
      <w:r w:rsidR="00276BEE" w:rsidRPr="00C768DA">
        <w:rPr>
          <w:szCs w:val="22"/>
        </w:rPr>
        <w:t xml:space="preserve"> an overview of HR-related policies, initiatives and activities </w:t>
      </w:r>
      <w:r w:rsidR="00CC1735" w:rsidRPr="00C768DA">
        <w:rPr>
          <w:szCs w:val="22"/>
        </w:rPr>
        <w:t>of interest to Member States</w:t>
      </w:r>
      <w:r w:rsidR="00276BEE" w:rsidRPr="00C768DA">
        <w:rPr>
          <w:szCs w:val="22"/>
        </w:rPr>
        <w:t xml:space="preserve">. </w:t>
      </w:r>
    </w:p>
    <w:p w14:paraId="05FF8BEE" w14:textId="77777777" w:rsidR="0093274F" w:rsidRDefault="0093274F" w:rsidP="0093274F">
      <w:pPr>
        <w:pStyle w:val="ListParagraph"/>
        <w:ind w:left="0"/>
        <w:rPr>
          <w:szCs w:val="22"/>
        </w:rPr>
      </w:pPr>
    </w:p>
    <w:p w14:paraId="4916A538" w14:textId="090C2006" w:rsidR="00077B3B" w:rsidRDefault="00077B3B" w:rsidP="00CC1735">
      <w:pPr>
        <w:pStyle w:val="ListParagraph"/>
        <w:numPr>
          <w:ilvl w:val="0"/>
          <w:numId w:val="12"/>
        </w:numPr>
        <w:ind w:left="0" w:firstLine="0"/>
        <w:rPr>
          <w:szCs w:val="22"/>
        </w:rPr>
      </w:pPr>
      <w:r>
        <w:rPr>
          <w:szCs w:val="22"/>
        </w:rPr>
        <w:t xml:space="preserve">Mandatory reporting, based on decisions taken by Member States at previous sessions of the </w:t>
      </w:r>
      <w:r w:rsidR="00F44EB0">
        <w:rPr>
          <w:szCs w:val="22"/>
        </w:rPr>
        <w:t xml:space="preserve">WIPO </w:t>
      </w:r>
      <w:r>
        <w:rPr>
          <w:szCs w:val="22"/>
        </w:rPr>
        <w:t xml:space="preserve">Coordination Committee, is covered under Chapter </w:t>
      </w:r>
      <w:r w:rsidR="00335166">
        <w:rPr>
          <w:szCs w:val="22"/>
        </w:rPr>
        <w:t xml:space="preserve">IX </w:t>
      </w:r>
      <w:r>
        <w:rPr>
          <w:szCs w:val="22"/>
        </w:rPr>
        <w:t>of this Annual</w:t>
      </w:r>
      <w:r w:rsidR="00794F67">
        <w:rPr>
          <w:szCs w:val="22"/>
        </w:rPr>
        <w:t xml:space="preserve"> Report</w:t>
      </w:r>
      <w:r>
        <w:rPr>
          <w:szCs w:val="22"/>
        </w:rPr>
        <w:t>.</w:t>
      </w:r>
      <w:r w:rsidR="00B240AC">
        <w:rPr>
          <w:szCs w:val="22"/>
        </w:rPr>
        <w:t xml:space="preserve"> </w:t>
      </w:r>
      <w:r w:rsidR="00F44EB0">
        <w:rPr>
          <w:szCs w:val="22"/>
        </w:rPr>
        <w:t xml:space="preserve"> </w:t>
      </w:r>
      <w:r w:rsidR="00B240AC">
        <w:rPr>
          <w:szCs w:val="22"/>
        </w:rPr>
        <w:t xml:space="preserve">As a follow-up to the decision taken by the </w:t>
      </w:r>
      <w:r w:rsidR="00F44EB0">
        <w:rPr>
          <w:szCs w:val="22"/>
        </w:rPr>
        <w:t xml:space="preserve">WIPO </w:t>
      </w:r>
      <w:r w:rsidR="00B240AC">
        <w:rPr>
          <w:szCs w:val="22"/>
        </w:rPr>
        <w:t xml:space="preserve">Coordination Committee at its 2022 session, a first action plan with respect to geographical balance of posts subject to geographical distribution has been developed and is reflected as an Annex </w:t>
      </w:r>
      <w:r w:rsidR="009B1D1C">
        <w:rPr>
          <w:szCs w:val="22"/>
        </w:rPr>
        <w:t xml:space="preserve">to </w:t>
      </w:r>
      <w:r w:rsidR="00B240AC">
        <w:rPr>
          <w:szCs w:val="22"/>
        </w:rPr>
        <w:t>this report.</w:t>
      </w:r>
    </w:p>
    <w:p w14:paraId="4767A584" w14:textId="2A2A6131" w:rsidR="00B240AC" w:rsidRDefault="00B240AC" w:rsidP="00B240AC">
      <w:pPr>
        <w:pStyle w:val="Heading3"/>
        <w:rPr>
          <w:i/>
          <w:szCs w:val="22"/>
          <w:u w:val="none"/>
        </w:rPr>
      </w:pPr>
      <w:r>
        <w:rPr>
          <w:i/>
          <w:szCs w:val="22"/>
          <w:u w:val="none"/>
        </w:rPr>
        <w:tab/>
        <w:t xml:space="preserve">Workforce at a </w:t>
      </w:r>
      <w:r w:rsidR="00F44EB0">
        <w:rPr>
          <w:i/>
          <w:szCs w:val="22"/>
          <w:u w:val="none"/>
        </w:rPr>
        <w:t>G</w:t>
      </w:r>
      <w:r>
        <w:rPr>
          <w:i/>
          <w:szCs w:val="22"/>
          <w:u w:val="none"/>
        </w:rPr>
        <w:t>lance</w:t>
      </w:r>
    </w:p>
    <w:p w14:paraId="2D95C9D1" w14:textId="77777777" w:rsidR="00B240AC" w:rsidRPr="00B240AC" w:rsidRDefault="00B240AC" w:rsidP="00B240AC"/>
    <w:p w14:paraId="62082D49" w14:textId="7AE0BE5E" w:rsidR="00B240AC" w:rsidRPr="00B240AC" w:rsidRDefault="00B240AC" w:rsidP="00B36D9A">
      <w:pPr>
        <w:pStyle w:val="ListParagraph"/>
        <w:keepNext/>
        <w:numPr>
          <w:ilvl w:val="0"/>
          <w:numId w:val="12"/>
        </w:numPr>
        <w:ind w:left="0" w:firstLine="0"/>
        <w:rPr>
          <w:szCs w:val="22"/>
        </w:rPr>
      </w:pPr>
      <w:r w:rsidRPr="00B240AC">
        <w:rPr>
          <w:szCs w:val="22"/>
        </w:rPr>
        <w:t xml:space="preserve">As at December 31, 2022, WIPO’s total workforce stood at 1,635. </w:t>
      </w:r>
      <w:r w:rsidR="00F44EB0">
        <w:rPr>
          <w:szCs w:val="22"/>
        </w:rPr>
        <w:t xml:space="preserve"> </w:t>
      </w:r>
      <w:r w:rsidRPr="00B240AC">
        <w:rPr>
          <w:szCs w:val="22"/>
        </w:rPr>
        <w:t>The core</w:t>
      </w:r>
      <w:r>
        <w:rPr>
          <w:rStyle w:val="FootnoteReference"/>
          <w:rFonts w:eastAsia="SimSun"/>
          <w:szCs w:val="22"/>
        </w:rPr>
        <w:footnoteReference w:id="2"/>
      </w:r>
      <w:r w:rsidRPr="00B240AC">
        <w:rPr>
          <w:szCs w:val="22"/>
        </w:rPr>
        <w:t xml:space="preserve"> workforce represented 65.4 per cent (1,069) of the total workforce, whereas the flexible</w:t>
      </w:r>
      <w:r>
        <w:rPr>
          <w:rStyle w:val="FootnoteReference"/>
          <w:rFonts w:eastAsia="SimSun"/>
          <w:szCs w:val="22"/>
        </w:rPr>
        <w:footnoteReference w:id="3"/>
      </w:r>
      <w:r w:rsidRPr="00B240AC">
        <w:rPr>
          <w:szCs w:val="22"/>
        </w:rPr>
        <w:t xml:space="preserve"> workforce constituted 34.6 per cent (566) of the total workforce. </w:t>
      </w:r>
    </w:p>
    <w:p w14:paraId="6EBE3B55" w14:textId="77777777" w:rsidR="00B240AC" w:rsidRDefault="00B240AC" w:rsidP="00B240AC">
      <w:pPr>
        <w:pStyle w:val="ListParagraph"/>
        <w:keepNext/>
        <w:ind w:left="0"/>
        <w:rPr>
          <w:szCs w:val="22"/>
        </w:rPr>
      </w:pPr>
    </w:p>
    <w:p w14:paraId="07D81469" w14:textId="77777777" w:rsidR="00BA1639" w:rsidRDefault="00BA1639">
      <w:pPr>
        <w:rPr>
          <w:rFonts w:eastAsia="Times New Roman"/>
          <w:szCs w:val="22"/>
          <w:lang w:eastAsia="en-US"/>
        </w:rPr>
      </w:pPr>
      <w:r>
        <w:rPr>
          <w:szCs w:val="22"/>
        </w:rPr>
        <w:br w:type="page"/>
      </w:r>
    </w:p>
    <w:p w14:paraId="12F728B6" w14:textId="26FB0ABF" w:rsidR="00B240AC" w:rsidRDefault="00B240AC" w:rsidP="00B240AC">
      <w:pPr>
        <w:pStyle w:val="ListParagraph"/>
        <w:keepNext/>
        <w:numPr>
          <w:ilvl w:val="0"/>
          <w:numId w:val="12"/>
        </w:numPr>
        <w:ind w:left="0" w:firstLine="0"/>
        <w:rPr>
          <w:szCs w:val="22"/>
        </w:rPr>
      </w:pPr>
      <w:r>
        <w:rPr>
          <w:szCs w:val="22"/>
        </w:rPr>
        <w:lastRenderedPageBreak/>
        <w:t xml:space="preserve">From a gender perspective, women represented 54.3 per cent of the workforce (887), whilst men represented 45.7 per cent (748), noting that this representation varies across categories. </w:t>
      </w:r>
      <w:r w:rsidRPr="00502AD3">
        <w:rPr>
          <w:szCs w:val="22"/>
        </w:rPr>
        <w:t xml:space="preserve"> With respect to the core workforce of </w:t>
      </w:r>
      <w:r>
        <w:rPr>
          <w:szCs w:val="22"/>
        </w:rPr>
        <w:t>1,069 staff members</w:t>
      </w:r>
      <w:r w:rsidRPr="00502AD3">
        <w:rPr>
          <w:szCs w:val="22"/>
        </w:rPr>
        <w:t>, women represent</w:t>
      </w:r>
      <w:r>
        <w:rPr>
          <w:szCs w:val="22"/>
        </w:rPr>
        <w:t>ed</w:t>
      </w:r>
      <w:r w:rsidRPr="00502AD3">
        <w:rPr>
          <w:szCs w:val="22"/>
        </w:rPr>
        <w:t xml:space="preserve"> </w:t>
      </w:r>
      <w:r>
        <w:rPr>
          <w:szCs w:val="22"/>
        </w:rPr>
        <w:t>54.2</w:t>
      </w:r>
      <w:r w:rsidRPr="00502AD3">
        <w:rPr>
          <w:szCs w:val="22"/>
        </w:rPr>
        <w:t xml:space="preserve"> per cent (</w:t>
      </w:r>
      <w:r>
        <w:rPr>
          <w:szCs w:val="22"/>
        </w:rPr>
        <w:t>579</w:t>
      </w:r>
      <w:r w:rsidRPr="00502AD3">
        <w:rPr>
          <w:szCs w:val="22"/>
        </w:rPr>
        <w:t>) of this category</w:t>
      </w:r>
      <w:r>
        <w:rPr>
          <w:szCs w:val="22"/>
        </w:rPr>
        <w:t xml:space="preserve"> with men representing 45.8 per cent (490).  The combined average age of the core workforce was </w:t>
      </w:r>
      <w:r w:rsidR="00F70F3B">
        <w:rPr>
          <w:szCs w:val="22"/>
        </w:rPr>
        <w:t>50</w:t>
      </w:r>
      <w:r w:rsidRPr="00EC08E5">
        <w:rPr>
          <w:szCs w:val="22"/>
        </w:rPr>
        <w:t>.6 years</w:t>
      </w:r>
      <w:r>
        <w:rPr>
          <w:szCs w:val="22"/>
        </w:rPr>
        <w:t xml:space="preserve">. </w:t>
      </w:r>
    </w:p>
    <w:p w14:paraId="2EE19946" w14:textId="77777777" w:rsidR="00B240AC" w:rsidRPr="00C10578" w:rsidRDefault="00B240AC" w:rsidP="00B240AC">
      <w:pPr>
        <w:pStyle w:val="ListParagraph"/>
        <w:rPr>
          <w:szCs w:val="22"/>
        </w:rPr>
      </w:pPr>
    </w:p>
    <w:p w14:paraId="1FC1CD07" w14:textId="6BC74996" w:rsidR="00B240AC" w:rsidRDefault="00B240AC" w:rsidP="00B240AC">
      <w:pPr>
        <w:pStyle w:val="ListParagraph"/>
        <w:keepNext/>
        <w:numPr>
          <w:ilvl w:val="0"/>
          <w:numId w:val="12"/>
        </w:numPr>
        <w:ind w:left="0" w:firstLine="0"/>
        <w:rPr>
          <w:szCs w:val="22"/>
        </w:rPr>
      </w:pPr>
      <w:r w:rsidRPr="00C133FC">
        <w:rPr>
          <w:szCs w:val="22"/>
        </w:rPr>
        <w:t xml:space="preserve">From an overall </w:t>
      </w:r>
      <w:r>
        <w:rPr>
          <w:szCs w:val="22"/>
        </w:rPr>
        <w:t>geographical representation</w:t>
      </w:r>
      <w:r w:rsidRPr="00C133FC">
        <w:rPr>
          <w:szCs w:val="22"/>
        </w:rPr>
        <w:t xml:space="preserve"> perspective</w:t>
      </w:r>
      <w:r>
        <w:rPr>
          <w:szCs w:val="22"/>
        </w:rPr>
        <w:t xml:space="preserve"> and as a result of</w:t>
      </w:r>
      <w:r w:rsidRPr="0006645A">
        <w:rPr>
          <w:szCs w:val="22"/>
        </w:rPr>
        <w:t xml:space="preserve"> a suite of outreach efforts, </w:t>
      </w:r>
      <w:r w:rsidRPr="00C133FC">
        <w:rPr>
          <w:szCs w:val="22"/>
        </w:rPr>
        <w:t>12</w:t>
      </w:r>
      <w:r>
        <w:rPr>
          <w:szCs w:val="22"/>
        </w:rPr>
        <w:t>1 </w:t>
      </w:r>
      <w:r w:rsidRPr="00C133FC">
        <w:rPr>
          <w:szCs w:val="22"/>
        </w:rPr>
        <w:t xml:space="preserve">Member States </w:t>
      </w:r>
      <w:r>
        <w:rPr>
          <w:szCs w:val="22"/>
        </w:rPr>
        <w:t>were</w:t>
      </w:r>
      <w:r w:rsidRPr="00C133FC">
        <w:rPr>
          <w:szCs w:val="22"/>
        </w:rPr>
        <w:t xml:space="preserve"> represented at all levels and categories of staff</w:t>
      </w:r>
      <w:r>
        <w:rPr>
          <w:szCs w:val="22"/>
        </w:rPr>
        <w:t>, whereas 1</w:t>
      </w:r>
      <w:r w:rsidR="00F70F3B">
        <w:rPr>
          <w:szCs w:val="22"/>
        </w:rPr>
        <w:t>11</w:t>
      </w:r>
      <w:r>
        <w:rPr>
          <w:szCs w:val="22"/>
        </w:rPr>
        <w:t> Member States were</w:t>
      </w:r>
      <w:r w:rsidRPr="00C133FC">
        <w:rPr>
          <w:szCs w:val="22"/>
        </w:rPr>
        <w:t xml:space="preserve"> represented on posts subje</w:t>
      </w:r>
      <w:r w:rsidR="00F70F3B">
        <w:rPr>
          <w:szCs w:val="22"/>
        </w:rPr>
        <w:t>ct to geographical distribution</w:t>
      </w:r>
      <w:r w:rsidRPr="0006645A">
        <w:rPr>
          <w:rStyle w:val="FootnoteReference"/>
          <w:rFonts w:eastAsia="SimSun"/>
          <w:szCs w:val="22"/>
        </w:rPr>
        <w:footnoteReference w:id="4"/>
      </w:r>
      <w:r w:rsidR="00F70F3B">
        <w:rPr>
          <w:szCs w:val="22"/>
        </w:rPr>
        <w:t>.</w:t>
      </w:r>
      <w:r w:rsidRPr="00C133FC">
        <w:rPr>
          <w:szCs w:val="22"/>
        </w:rPr>
        <w:t xml:space="preserve"> </w:t>
      </w:r>
    </w:p>
    <w:p w14:paraId="68E33AAA" w14:textId="77777777" w:rsidR="00B240AC" w:rsidRPr="00C00A0C" w:rsidRDefault="00B240AC" w:rsidP="00B240AC">
      <w:pPr>
        <w:pStyle w:val="ListParagraph"/>
        <w:rPr>
          <w:szCs w:val="22"/>
        </w:rPr>
      </w:pPr>
    </w:p>
    <w:p w14:paraId="2BC16F43" w14:textId="786E3AA9" w:rsidR="0093274F" w:rsidRDefault="0093274F" w:rsidP="00CC1735">
      <w:pPr>
        <w:pStyle w:val="ListParagraph"/>
        <w:numPr>
          <w:ilvl w:val="0"/>
          <w:numId w:val="12"/>
        </w:numPr>
        <w:ind w:left="0" w:firstLine="0"/>
        <w:rPr>
          <w:szCs w:val="22"/>
        </w:rPr>
      </w:pPr>
      <w:r>
        <w:rPr>
          <w:szCs w:val="22"/>
        </w:rPr>
        <w:t xml:space="preserve">Complementing this report is a separate </w:t>
      </w:r>
      <w:hyperlink r:id="rId12" w:history="1">
        <w:r w:rsidRPr="00AC5F3D">
          <w:rPr>
            <w:rStyle w:val="Hyperlink"/>
            <w:szCs w:val="22"/>
          </w:rPr>
          <w:t xml:space="preserve">HR </w:t>
        </w:r>
        <w:r w:rsidR="009442DC" w:rsidRPr="00AC5F3D">
          <w:rPr>
            <w:rStyle w:val="Hyperlink"/>
            <w:szCs w:val="22"/>
          </w:rPr>
          <w:t>Workforce</w:t>
        </w:r>
      </w:hyperlink>
      <w:r w:rsidR="009442DC" w:rsidRPr="009442DC">
        <w:rPr>
          <w:szCs w:val="22"/>
        </w:rPr>
        <w:t xml:space="preserve"> </w:t>
      </w:r>
      <w:r w:rsidR="009442DC">
        <w:rPr>
          <w:szCs w:val="22"/>
        </w:rPr>
        <w:t>b</w:t>
      </w:r>
      <w:r w:rsidRPr="009442DC">
        <w:rPr>
          <w:szCs w:val="22"/>
        </w:rPr>
        <w:t>rochure</w:t>
      </w:r>
      <w:r>
        <w:rPr>
          <w:szCs w:val="22"/>
        </w:rPr>
        <w:t xml:space="preserve"> containing key data and metrics on WIPO’s workforce, </w:t>
      </w:r>
      <w:r w:rsidR="00922D22">
        <w:rPr>
          <w:szCs w:val="22"/>
        </w:rPr>
        <w:t xml:space="preserve">geographical and gender </w:t>
      </w:r>
      <w:r>
        <w:rPr>
          <w:szCs w:val="22"/>
        </w:rPr>
        <w:t>diversity, talent sourcing, development and training</w:t>
      </w:r>
      <w:r w:rsidR="00C42833">
        <w:rPr>
          <w:szCs w:val="22"/>
        </w:rPr>
        <w:t>,</w:t>
      </w:r>
      <w:r>
        <w:rPr>
          <w:szCs w:val="22"/>
        </w:rPr>
        <w:t xml:space="preserve"> as well as conflict management</w:t>
      </w:r>
      <w:r w:rsidR="00B520B0">
        <w:rPr>
          <w:szCs w:val="22"/>
        </w:rPr>
        <w:t>.</w:t>
      </w:r>
    </w:p>
    <w:p w14:paraId="4A2CF230" w14:textId="338F0A58" w:rsidR="00B240AC" w:rsidRDefault="00B240AC" w:rsidP="00B240AC">
      <w:pPr>
        <w:pStyle w:val="Heading3"/>
        <w:rPr>
          <w:i/>
          <w:szCs w:val="22"/>
          <w:u w:val="none"/>
        </w:rPr>
      </w:pPr>
      <w:r>
        <w:rPr>
          <w:i/>
          <w:szCs w:val="22"/>
          <w:u w:val="none"/>
        </w:rPr>
        <w:tab/>
        <w:t>HR Initiatives</w:t>
      </w:r>
    </w:p>
    <w:p w14:paraId="4B4BF440" w14:textId="5DEFE6C1" w:rsidR="00B240AC" w:rsidRDefault="00B240AC" w:rsidP="00CC1735">
      <w:pPr>
        <w:pStyle w:val="ListParagraph"/>
        <w:ind w:left="0"/>
        <w:rPr>
          <w:szCs w:val="22"/>
        </w:rPr>
      </w:pPr>
    </w:p>
    <w:p w14:paraId="68D8FB77" w14:textId="0A0ACC40" w:rsidR="00CC1735" w:rsidRDefault="00B520B0" w:rsidP="00CC1735">
      <w:pPr>
        <w:pStyle w:val="ListParagraph"/>
        <w:numPr>
          <w:ilvl w:val="0"/>
          <w:numId w:val="12"/>
        </w:numPr>
        <w:ind w:left="0" w:firstLine="0"/>
        <w:rPr>
          <w:szCs w:val="22"/>
        </w:rPr>
      </w:pPr>
      <w:r>
        <w:rPr>
          <w:szCs w:val="22"/>
        </w:rPr>
        <w:t>T</w:t>
      </w:r>
      <w:r w:rsidR="00CC1735" w:rsidRPr="00CC1735">
        <w:rPr>
          <w:szCs w:val="22"/>
        </w:rPr>
        <w:t xml:space="preserve">he Human Resources Management Department </w:t>
      </w:r>
      <w:r w:rsidR="00CC1735">
        <w:rPr>
          <w:szCs w:val="22"/>
        </w:rPr>
        <w:t xml:space="preserve">(HRMD) </w:t>
      </w:r>
      <w:r>
        <w:rPr>
          <w:szCs w:val="22"/>
        </w:rPr>
        <w:t xml:space="preserve">is preparing </w:t>
      </w:r>
      <w:r w:rsidR="00CC1735" w:rsidRPr="00CC1735">
        <w:rPr>
          <w:szCs w:val="22"/>
        </w:rPr>
        <w:t xml:space="preserve">an ambitious agenda of initiatives, </w:t>
      </w:r>
      <w:r w:rsidR="00CC1735">
        <w:rPr>
          <w:szCs w:val="22"/>
        </w:rPr>
        <w:t xml:space="preserve">based on and </w:t>
      </w:r>
      <w:r w:rsidR="00CC1735" w:rsidRPr="00C768DA">
        <w:rPr>
          <w:szCs w:val="22"/>
        </w:rPr>
        <w:t>aligned with WIPO’s </w:t>
      </w:r>
      <w:r w:rsidR="00CC1735">
        <w:rPr>
          <w:szCs w:val="22"/>
        </w:rPr>
        <w:t xml:space="preserve">Medium-term Strategic Plan (MTSP) 2022-2026 and </w:t>
      </w:r>
      <w:r w:rsidR="00CC1735" w:rsidRPr="00C768DA">
        <w:rPr>
          <w:szCs w:val="22"/>
        </w:rPr>
        <w:t>HR Strategy 20</w:t>
      </w:r>
      <w:r w:rsidR="00CC1735">
        <w:rPr>
          <w:szCs w:val="22"/>
        </w:rPr>
        <w:t>22</w:t>
      </w:r>
      <w:r w:rsidR="00CC1735" w:rsidRPr="00C768DA">
        <w:rPr>
          <w:szCs w:val="22"/>
        </w:rPr>
        <w:t>-202</w:t>
      </w:r>
      <w:r w:rsidR="00CC1735">
        <w:rPr>
          <w:szCs w:val="22"/>
        </w:rPr>
        <w:t>6</w:t>
      </w:r>
      <w:r w:rsidR="00CC1735" w:rsidRPr="00CC1735">
        <w:rPr>
          <w:szCs w:val="22"/>
        </w:rPr>
        <w:t>.</w:t>
      </w:r>
    </w:p>
    <w:p w14:paraId="6733EDA7" w14:textId="77777777" w:rsidR="00CC1735" w:rsidRPr="00F44EB0" w:rsidRDefault="00CC1735" w:rsidP="00F44EB0">
      <w:pPr>
        <w:rPr>
          <w:szCs w:val="22"/>
        </w:rPr>
      </w:pPr>
    </w:p>
    <w:p w14:paraId="3FF0A9BA" w14:textId="644D2E1C" w:rsidR="00CC1735" w:rsidRDefault="00F56819" w:rsidP="00CC1735">
      <w:pPr>
        <w:pStyle w:val="ListParagraph"/>
        <w:numPr>
          <w:ilvl w:val="0"/>
          <w:numId w:val="12"/>
        </w:numPr>
        <w:ind w:left="0" w:firstLine="0"/>
        <w:rPr>
          <w:szCs w:val="22"/>
        </w:rPr>
      </w:pPr>
      <w:r>
        <w:rPr>
          <w:szCs w:val="22"/>
        </w:rPr>
        <w:t>This</w:t>
      </w:r>
      <w:r w:rsidR="00CC1735" w:rsidRPr="00CC1735">
        <w:rPr>
          <w:szCs w:val="22"/>
        </w:rPr>
        <w:t xml:space="preserve"> transformation requires </w:t>
      </w:r>
      <w:r>
        <w:rPr>
          <w:szCs w:val="22"/>
        </w:rPr>
        <w:t>the Organization, with HRMD at the core,</w:t>
      </w:r>
      <w:r w:rsidR="00CC1735" w:rsidRPr="00CC1735">
        <w:rPr>
          <w:szCs w:val="22"/>
        </w:rPr>
        <w:t xml:space="preserve"> to develop a strong foundation that includes among other things:</w:t>
      </w:r>
    </w:p>
    <w:p w14:paraId="73EE2A09" w14:textId="77777777" w:rsidR="00F56819" w:rsidRPr="00F56819" w:rsidRDefault="00F56819" w:rsidP="00F56819">
      <w:pPr>
        <w:pStyle w:val="ListParagraph"/>
        <w:rPr>
          <w:szCs w:val="22"/>
        </w:rPr>
      </w:pPr>
    </w:p>
    <w:p w14:paraId="5CB0F1F5" w14:textId="48429072" w:rsidR="00F56819" w:rsidRPr="005434F1" w:rsidRDefault="00930667" w:rsidP="00F56819">
      <w:pPr>
        <w:pStyle w:val="ListParagraph"/>
        <w:numPr>
          <w:ilvl w:val="0"/>
          <w:numId w:val="24"/>
        </w:numPr>
        <w:rPr>
          <w:szCs w:val="22"/>
        </w:rPr>
      </w:pPr>
      <w:r>
        <w:rPr>
          <w:szCs w:val="22"/>
        </w:rPr>
        <w:t>A vibrant</w:t>
      </w:r>
      <w:r w:rsidR="00F56819" w:rsidRPr="005434F1">
        <w:rPr>
          <w:szCs w:val="22"/>
        </w:rPr>
        <w:t xml:space="preserve"> organizational culture supportive of open dialogue, trust-building, new ways of working, collaboration</w:t>
      </w:r>
      <w:r>
        <w:rPr>
          <w:szCs w:val="22"/>
        </w:rPr>
        <w:t>, knowledge sharing</w:t>
      </w:r>
      <w:r w:rsidR="00F56819" w:rsidRPr="005434F1">
        <w:rPr>
          <w:szCs w:val="22"/>
        </w:rPr>
        <w:t>;</w:t>
      </w:r>
    </w:p>
    <w:p w14:paraId="0B3F3C0B" w14:textId="1D86A588" w:rsidR="00F56819" w:rsidRPr="005434F1" w:rsidRDefault="00930667" w:rsidP="00F56819">
      <w:pPr>
        <w:pStyle w:val="ListParagraph"/>
        <w:numPr>
          <w:ilvl w:val="0"/>
          <w:numId w:val="24"/>
        </w:numPr>
        <w:rPr>
          <w:szCs w:val="22"/>
        </w:rPr>
      </w:pPr>
      <w:r>
        <w:rPr>
          <w:szCs w:val="22"/>
        </w:rPr>
        <w:t>Organizational agility</w:t>
      </w:r>
      <w:r w:rsidR="00AC07A8">
        <w:rPr>
          <w:szCs w:val="22"/>
        </w:rPr>
        <w:t xml:space="preserve"> and mobility</w:t>
      </w:r>
      <w:r w:rsidR="00F56819" w:rsidRPr="005434F1">
        <w:rPr>
          <w:szCs w:val="22"/>
        </w:rPr>
        <w:t>;</w:t>
      </w:r>
    </w:p>
    <w:p w14:paraId="13EF2506" w14:textId="469AAFBE" w:rsidR="00F56819" w:rsidRPr="005434F1" w:rsidRDefault="00930667" w:rsidP="00F56819">
      <w:pPr>
        <w:pStyle w:val="ListParagraph"/>
        <w:numPr>
          <w:ilvl w:val="0"/>
          <w:numId w:val="24"/>
        </w:numPr>
        <w:rPr>
          <w:szCs w:val="22"/>
        </w:rPr>
      </w:pPr>
      <w:r>
        <w:rPr>
          <w:szCs w:val="22"/>
        </w:rPr>
        <w:t>A performance-driven Organization</w:t>
      </w:r>
      <w:r w:rsidR="00F56819" w:rsidRPr="005434F1">
        <w:rPr>
          <w:szCs w:val="22"/>
        </w:rPr>
        <w:t>;</w:t>
      </w:r>
    </w:p>
    <w:p w14:paraId="6B27DFBA" w14:textId="3CAC4F83" w:rsidR="00B520B0" w:rsidRDefault="003C67AA" w:rsidP="00F56819">
      <w:pPr>
        <w:pStyle w:val="ListParagraph"/>
        <w:numPr>
          <w:ilvl w:val="0"/>
          <w:numId w:val="24"/>
        </w:numPr>
        <w:rPr>
          <w:szCs w:val="22"/>
        </w:rPr>
      </w:pPr>
      <w:r>
        <w:rPr>
          <w:szCs w:val="22"/>
        </w:rPr>
        <w:t>A h</w:t>
      </w:r>
      <w:r w:rsidR="00930667">
        <w:rPr>
          <w:szCs w:val="22"/>
        </w:rPr>
        <w:t>olistic perspective of learning and development</w:t>
      </w:r>
      <w:r w:rsidR="00F56819" w:rsidRPr="005434F1">
        <w:rPr>
          <w:szCs w:val="22"/>
        </w:rPr>
        <w:t>;</w:t>
      </w:r>
    </w:p>
    <w:p w14:paraId="47E3D289" w14:textId="1F3328BC" w:rsidR="00F56819" w:rsidRPr="005434F1" w:rsidRDefault="003C67AA" w:rsidP="00F56819">
      <w:pPr>
        <w:pStyle w:val="ListParagraph"/>
        <w:numPr>
          <w:ilvl w:val="0"/>
          <w:numId w:val="24"/>
        </w:numPr>
        <w:rPr>
          <w:szCs w:val="22"/>
        </w:rPr>
      </w:pPr>
      <w:r>
        <w:rPr>
          <w:szCs w:val="22"/>
        </w:rPr>
        <w:t xml:space="preserve">A </w:t>
      </w:r>
      <w:r w:rsidR="00930667">
        <w:rPr>
          <w:szCs w:val="22"/>
        </w:rPr>
        <w:t>‘One Stop Shop’ service model for HRMD</w:t>
      </w:r>
      <w:r w:rsidR="00AE4BF4">
        <w:rPr>
          <w:szCs w:val="22"/>
        </w:rPr>
        <w:t>;</w:t>
      </w:r>
    </w:p>
    <w:p w14:paraId="17B0C7D0" w14:textId="063C94EA" w:rsidR="00F56819" w:rsidRDefault="00930667" w:rsidP="00F56819">
      <w:pPr>
        <w:pStyle w:val="ListParagraph"/>
        <w:numPr>
          <w:ilvl w:val="0"/>
          <w:numId w:val="24"/>
        </w:numPr>
        <w:rPr>
          <w:szCs w:val="22"/>
        </w:rPr>
      </w:pPr>
      <w:r>
        <w:rPr>
          <w:szCs w:val="22"/>
        </w:rPr>
        <w:t xml:space="preserve">Enhanced </w:t>
      </w:r>
      <w:r w:rsidR="001354E8">
        <w:rPr>
          <w:szCs w:val="22"/>
        </w:rPr>
        <w:t xml:space="preserve">employee engagement; </w:t>
      </w:r>
      <w:r w:rsidR="00F44EB0">
        <w:rPr>
          <w:szCs w:val="22"/>
        </w:rPr>
        <w:t xml:space="preserve"> </w:t>
      </w:r>
      <w:r w:rsidR="001354E8">
        <w:rPr>
          <w:szCs w:val="22"/>
        </w:rPr>
        <w:t>and</w:t>
      </w:r>
    </w:p>
    <w:p w14:paraId="4A384FB4" w14:textId="66FA2B21" w:rsidR="001354E8" w:rsidRPr="001354E8" w:rsidRDefault="00214AC6" w:rsidP="001354E8">
      <w:pPr>
        <w:pStyle w:val="ListParagraph"/>
        <w:numPr>
          <w:ilvl w:val="0"/>
          <w:numId w:val="24"/>
        </w:numPr>
        <w:rPr>
          <w:szCs w:val="22"/>
        </w:rPr>
      </w:pPr>
      <w:r>
        <w:rPr>
          <w:szCs w:val="22"/>
        </w:rPr>
        <w:t>A diverse (both from gender and geographical distribution perspective</w:t>
      </w:r>
      <w:r w:rsidR="00BA1639">
        <w:rPr>
          <w:szCs w:val="22"/>
        </w:rPr>
        <w:t>s</w:t>
      </w:r>
      <w:r>
        <w:rPr>
          <w:szCs w:val="22"/>
        </w:rPr>
        <w:t>) and inclusive workforce.</w:t>
      </w:r>
    </w:p>
    <w:p w14:paraId="74341FF5" w14:textId="77777777" w:rsidR="00F56819" w:rsidRPr="00CC1735" w:rsidRDefault="00F56819" w:rsidP="00F56819">
      <w:pPr>
        <w:pStyle w:val="ListParagraph"/>
        <w:ind w:left="927"/>
        <w:rPr>
          <w:szCs w:val="22"/>
        </w:rPr>
      </w:pPr>
    </w:p>
    <w:p w14:paraId="51D7A2A8" w14:textId="0FBEEF05" w:rsidR="00276BEE" w:rsidRDefault="00F56819" w:rsidP="00F56819">
      <w:pPr>
        <w:pStyle w:val="ListParagraph"/>
        <w:numPr>
          <w:ilvl w:val="0"/>
          <w:numId w:val="12"/>
        </w:numPr>
        <w:ind w:left="0" w:firstLine="0"/>
        <w:rPr>
          <w:szCs w:val="22"/>
        </w:rPr>
      </w:pPr>
      <w:r>
        <w:rPr>
          <w:szCs w:val="22"/>
        </w:rPr>
        <w:t xml:space="preserve">HRMD is committed to moving forward </w:t>
      </w:r>
      <w:r w:rsidR="00796FE2">
        <w:rPr>
          <w:szCs w:val="22"/>
        </w:rPr>
        <w:t xml:space="preserve">on this ambitious set of initiatives, </w:t>
      </w:r>
      <w:r>
        <w:rPr>
          <w:szCs w:val="22"/>
        </w:rPr>
        <w:t>whilst</w:t>
      </w:r>
      <w:r w:rsidRPr="005434F1">
        <w:rPr>
          <w:szCs w:val="22"/>
        </w:rPr>
        <w:t xml:space="preserve"> </w:t>
      </w:r>
      <w:r w:rsidR="00B853B4">
        <w:rPr>
          <w:szCs w:val="22"/>
        </w:rPr>
        <w:t>recognizing</w:t>
      </w:r>
      <w:r w:rsidRPr="005434F1">
        <w:rPr>
          <w:szCs w:val="22"/>
        </w:rPr>
        <w:t xml:space="preserve"> the importance of prioritizing</w:t>
      </w:r>
      <w:r w:rsidR="00493095">
        <w:rPr>
          <w:szCs w:val="22"/>
        </w:rPr>
        <w:t xml:space="preserve"> given existing human and financial resources.</w:t>
      </w:r>
      <w:r>
        <w:rPr>
          <w:szCs w:val="22"/>
        </w:rPr>
        <w:t xml:space="preserve"> </w:t>
      </w:r>
      <w:r w:rsidR="00F44EB0">
        <w:rPr>
          <w:szCs w:val="22"/>
        </w:rPr>
        <w:t xml:space="preserve"> </w:t>
      </w:r>
      <w:r w:rsidR="00E72D25">
        <w:rPr>
          <w:szCs w:val="22"/>
        </w:rPr>
        <w:t xml:space="preserve">           </w:t>
      </w:r>
      <w:r w:rsidR="0089407C">
        <w:rPr>
          <w:szCs w:val="22"/>
        </w:rPr>
        <w:t>A</w:t>
      </w:r>
      <w:r>
        <w:rPr>
          <w:szCs w:val="22"/>
        </w:rPr>
        <w:t xml:space="preserve"> guiding principle </w:t>
      </w:r>
      <w:r w:rsidR="009E3AFE">
        <w:rPr>
          <w:szCs w:val="22"/>
        </w:rPr>
        <w:t>for</w:t>
      </w:r>
      <w:r w:rsidR="0089407C">
        <w:rPr>
          <w:szCs w:val="22"/>
        </w:rPr>
        <w:t xml:space="preserve"> the </w:t>
      </w:r>
      <w:r w:rsidR="009E3AFE">
        <w:rPr>
          <w:szCs w:val="22"/>
        </w:rPr>
        <w:t xml:space="preserve">Organization’s </w:t>
      </w:r>
      <w:r w:rsidR="0089407C">
        <w:rPr>
          <w:szCs w:val="22"/>
        </w:rPr>
        <w:t>HR-related work is that</w:t>
      </w:r>
      <w:r>
        <w:rPr>
          <w:szCs w:val="22"/>
        </w:rPr>
        <w:t xml:space="preserve"> </w:t>
      </w:r>
      <w:r w:rsidRPr="005434F1">
        <w:rPr>
          <w:szCs w:val="22"/>
        </w:rPr>
        <w:t xml:space="preserve">responsibility for people management </w:t>
      </w:r>
      <w:r w:rsidR="0089407C">
        <w:rPr>
          <w:szCs w:val="22"/>
        </w:rPr>
        <w:t>is the</w:t>
      </w:r>
      <w:r w:rsidRPr="005434F1">
        <w:rPr>
          <w:szCs w:val="22"/>
        </w:rPr>
        <w:t xml:space="preserve"> joint responsibility of </w:t>
      </w:r>
      <w:r w:rsidR="00077B3B">
        <w:rPr>
          <w:szCs w:val="22"/>
        </w:rPr>
        <w:t>everyone</w:t>
      </w:r>
      <w:r>
        <w:rPr>
          <w:szCs w:val="22"/>
        </w:rPr>
        <w:t>, supported by HRMD</w:t>
      </w:r>
      <w:r w:rsidRPr="005434F1">
        <w:rPr>
          <w:szCs w:val="22"/>
        </w:rPr>
        <w:t xml:space="preserve">. </w:t>
      </w:r>
    </w:p>
    <w:p w14:paraId="1A25F8C2" w14:textId="326D28A3" w:rsidR="00276BEE" w:rsidRPr="00933C4C" w:rsidRDefault="00276BEE" w:rsidP="00F56819">
      <w:pPr>
        <w:pStyle w:val="ListParagraph"/>
        <w:widowControl w:val="0"/>
        <w:autoSpaceDE w:val="0"/>
        <w:autoSpaceDN w:val="0"/>
        <w:spacing w:before="114"/>
        <w:ind w:left="990" w:right="30"/>
        <w:contextualSpacing w:val="0"/>
        <w:rPr>
          <w:szCs w:val="22"/>
        </w:rPr>
      </w:pPr>
    </w:p>
    <w:p w14:paraId="424E8D30" w14:textId="1C131137" w:rsidR="009F7AB3" w:rsidRDefault="009F7AB3" w:rsidP="00276BEE">
      <w:pPr>
        <w:pStyle w:val="Heading1"/>
        <w:numPr>
          <w:ilvl w:val="0"/>
          <w:numId w:val="11"/>
        </w:numPr>
        <w:spacing w:before="0"/>
        <w:ind w:left="567" w:hanging="567"/>
      </w:pPr>
      <w:r>
        <w:t>towards a new organizational culture</w:t>
      </w:r>
    </w:p>
    <w:p w14:paraId="22883563" w14:textId="51777DD5" w:rsidR="009F7AB3" w:rsidRDefault="009F7AB3" w:rsidP="009F7AB3"/>
    <w:p w14:paraId="5C23DB00" w14:textId="64C05866" w:rsidR="00930667" w:rsidRDefault="009F7AB3" w:rsidP="009F7AB3">
      <w:pPr>
        <w:pStyle w:val="ListParagraph"/>
        <w:keepNext/>
        <w:numPr>
          <w:ilvl w:val="0"/>
          <w:numId w:val="12"/>
        </w:numPr>
        <w:ind w:left="0" w:firstLine="0"/>
        <w:rPr>
          <w:szCs w:val="22"/>
        </w:rPr>
      </w:pPr>
      <w:r>
        <w:t xml:space="preserve">The MTSP marks a move towards an increasingly </w:t>
      </w:r>
      <w:r w:rsidR="008D67A9">
        <w:t>people</w:t>
      </w:r>
      <w:r>
        <w:t xml:space="preserve">-centric Organization, where a team-based culture and approach to work are actively encouraged. </w:t>
      </w:r>
      <w:r w:rsidR="00F44EB0">
        <w:t xml:space="preserve"> </w:t>
      </w:r>
      <w:r w:rsidRPr="009F7AB3">
        <w:rPr>
          <w:szCs w:val="22"/>
        </w:rPr>
        <w:t xml:space="preserve">A common theme evident across all four pillars of </w:t>
      </w:r>
      <w:r>
        <w:rPr>
          <w:szCs w:val="22"/>
        </w:rPr>
        <w:t xml:space="preserve">the </w:t>
      </w:r>
      <w:r w:rsidRPr="009F7AB3">
        <w:rPr>
          <w:szCs w:val="22"/>
        </w:rPr>
        <w:t xml:space="preserve">MTSP is the importance of creating a supportive internal culture. </w:t>
      </w:r>
    </w:p>
    <w:p w14:paraId="2196D5E9" w14:textId="6AEA6081" w:rsidR="00930667" w:rsidRPr="00B35EC2" w:rsidRDefault="00B35EC2" w:rsidP="00B35EC2">
      <w:pPr>
        <w:rPr>
          <w:rFonts w:eastAsia="Times New Roman"/>
          <w:szCs w:val="22"/>
          <w:lang w:eastAsia="en-US"/>
        </w:rPr>
      </w:pPr>
      <w:r>
        <w:rPr>
          <w:szCs w:val="22"/>
        </w:rPr>
        <w:br w:type="page"/>
      </w:r>
    </w:p>
    <w:p w14:paraId="29A9447E" w14:textId="2E46ED07" w:rsidR="009F7AB3" w:rsidRDefault="00077B3B" w:rsidP="009F7AB3">
      <w:pPr>
        <w:pStyle w:val="ListParagraph"/>
        <w:keepNext/>
        <w:numPr>
          <w:ilvl w:val="0"/>
          <w:numId w:val="12"/>
        </w:numPr>
        <w:ind w:left="0" w:firstLine="0"/>
        <w:rPr>
          <w:szCs w:val="22"/>
        </w:rPr>
      </w:pPr>
      <w:r>
        <w:rPr>
          <w:szCs w:val="22"/>
        </w:rPr>
        <w:lastRenderedPageBreak/>
        <w:t>C</w:t>
      </w:r>
      <w:r w:rsidR="009F7AB3" w:rsidRPr="009F7AB3">
        <w:rPr>
          <w:szCs w:val="22"/>
        </w:rPr>
        <w:t xml:space="preserve">ulture change does not take place overnight, </w:t>
      </w:r>
      <w:r w:rsidR="009E3AFE">
        <w:rPr>
          <w:szCs w:val="22"/>
        </w:rPr>
        <w:t>but</w:t>
      </w:r>
      <w:r w:rsidR="009F7AB3" w:rsidRPr="009F7AB3">
        <w:rPr>
          <w:szCs w:val="22"/>
        </w:rPr>
        <w:t xml:space="preserve"> evolves gradually. </w:t>
      </w:r>
      <w:r w:rsidR="00F44EB0">
        <w:rPr>
          <w:szCs w:val="22"/>
        </w:rPr>
        <w:t xml:space="preserve"> </w:t>
      </w:r>
      <w:r w:rsidR="009F7AB3" w:rsidRPr="009F7AB3">
        <w:rPr>
          <w:szCs w:val="22"/>
        </w:rPr>
        <w:t xml:space="preserve">Influencing the culture we aspire to </w:t>
      </w:r>
      <w:r w:rsidR="009E3AFE">
        <w:rPr>
          <w:szCs w:val="22"/>
        </w:rPr>
        <w:t>achiev</w:t>
      </w:r>
      <w:r w:rsidR="00CF5F53">
        <w:rPr>
          <w:szCs w:val="22"/>
        </w:rPr>
        <w:t>e</w:t>
      </w:r>
      <w:r w:rsidR="009E3AFE">
        <w:rPr>
          <w:szCs w:val="22"/>
        </w:rPr>
        <w:t xml:space="preserve"> </w:t>
      </w:r>
      <w:r w:rsidR="009F7AB3" w:rsidRPr="009F7AB3">
        <w:rPr>
          <w:szCs w:val="22"/>
        </w:rPr>
        <w:t xml:space="preserve">– one that encourages dialogue, collaboration, knowledge sharing and teamwork – requires changes on multiple levels, and in </w:t>
      </w:r>
      <w:r w:rsidR="00794F67" w:rsidRPr="009F7AB3">
        <w:rPr>
          <w:szCs w:val="22"/>
        </w:rPr>
        <w:t>particular,</w:t>
      </w:r>
      <w:r w:rsidR="00794F67">
        <w:rPr>
          <w:szCs w:val="22"/>
        </w:rPr>
        <w:t xml:space="preserve"> among</w:t>
      </w:r>
      <w:r w:rsidR="009F7AB3" w:rsidRPr="009F7AB3">
        <w:rPr>
          <w:szCs w:val="22"/>
        </w:rPr>
        <w:t xml:space="preserve"> all those</w:t>
      </w:r>
      <w:r w:rsidR="00BA1639">
        <w:rPr>
          <w:szCs w:val="22"/>
        </w:rPr>
        <w:t xml:space="preserve"> w</w:t>
      </w:r>
      <w:r w:rsidR="009F7AB3" w:rsidRPr="009F7AB3">
        <w:rPr>
          <w:szCs w:val="22"/>
        </w:rPr>
        <w:t xml:space="preserve">ho contribute to WIPO – Member States, </w:t>
      </w:r>
      <w:r w:rsidR="00796FE2">
        <w:rPr>
          <w:szCs w:val="22"/>
        </w:rPr>
        <w:t>m</w:t>
      </w:r>
      <w:r w:rsidR="009F7AB3" w:rsidRPr="009F7AB3">
        <w:rPr>
          <w:szCs w:val="22"/>
        </w:rPr>
        <w:t>anagement, employees, contractors, and operational partners</w:t>
      </w:r>
      <w:r w:rsidR="00930667">
        <w:rPr>
          <w:szCs w:val="22"/>
        </w:rPr>
        <w:t>, alike</w:t>
      </w:r>
      <w:r w:rsidR="009F7AB3" w:rsidRPr="009F7AB3">
        <w:rPr>
          <w:szCs w:val="22"/>
        </w:rPr>
        <w:t>.</w:t>
      </w:r>
    </w:p>
    <w:p w14:paraId="133F547A" w14:textId="49EBE537" w:rsidR="00843039" w:rsidRPr="00B05357" w:rsidRDefault="00B240AC" w:rsidP="00843039">
      <w:pPr>
        <w:pStyle w:val="Heading3"/>
        <w:rPr>
          <w:i/>
          <w:szCs w:val="22"/>
          <w:u w:val="none"/>
        </w:rPr>
      </w:pPr>
      <w:r>
        <w:rPr>
          <w:i/>
          <w:szCs w:val="22"/>
          <w:u w:val="none"/>
        </w:rPr>
        <w:tab/>
      </w:r>
      <w:r w:rsidR="00AC07A8">
        <w:rPr>
          <w:i/>
          <w:szCs w:val="22"/>
          <w:u w:val="none"/>
        </w:rPr>
        <w:t xml:space="preserve">Listening and </w:t>
      </w:r>
      <w:r w:rsidR="00843039">
        <w:rPr>
          <w:i/>
          <w:szCs w:val="22"/>
          <w:u w:val="none"/>
        </w:rPr>
        <w:t>Communicati</w:t>
      </w:r>
      <w:r w:rsidR="00AC07A8">
        <w:rPr>
          <w:i/>
          <w:szCs w:val="22"/>
          <w:u w:val="none"/>
        </w:rPr>
        <w:t>ng</w:t>
      </w:r>
      <w:r w:rsidR="00843039" w:rsidRPr="00B05357">
        <w:rPr>
          <w:i/>
          <w:szCs w:val="22"/>
          <w:u w:val="none"/>
        </w:rPr>
        <w:t xml:space="preserve"> </w:t>
      </w:r>
    </w:p>
    <w:p w14:paraId="0E4CDB4F" w14:textId="45BF8ED1" w:rsidR="00212CCB" w:rsidRDefault="00212CCB" w:rsidP="00B520B0">
      <w:pPr>
        <w:pStyle w:val="ListParagraph"/>
        <w:keepNext/>
        <w:ind w:left="0"/>
        <w:rPr>
          <w:szCs w:val="22"/>
        </w:rPr>
      </w:pPr>
    </w:p>
    <w:p w14:paraId="561D7575" w14:textId="355DA8D6" w:rsidR="0089407C" w:rsidRDefault="0089407C" w:rsidP="00B520B0">
      <w:pPr>
        <w:pStyle w:val="ListParagraph"/>
        <w:keepNext/>
        <w:numPr>
          <w:ilvl w:val="0"/>
          <w:numId w:val="12"/>
        </w:numPr>
        <w:ind w:left="0" w:firstLine="0"/>
        <w:rPr>
          <w:szCs w:val="22"/>
        </w:rPr>
      </w:pPr>
      <w:r w:rsidRPr="00B520B0">
        <w:rPr>
          <w:szCs w:val="22"/>
        </w:rPr>
        <w:t xml:space="preserve">In 2022, measures were put in place to strengthen internal communications across the Organization. </w:t>
      </w:r>
      <w:r w:rsidR="00C0438D">
        <w:rPr>
          <w:szCs w:val="22"/>
        </w:rPr>
        <w:t xml:space="preserve"> </w:t>
      </w:r>
      <w:r w:rsidRPr="00B520B0">
        <w:rPr>
          <w:szCs w:val="22"/>
        </w:rPr>
        <w:t>HRMD is working closely with the News and Media Division to improve communications on all matters of interest to colleagues.</w:t>
      </w:r>
      <w:r w:rsidR="00C0438D">
        <w:rPr>
          <w:szCs w:val="22"/>
        </w:rPr>
        <w:t xml:space="preserve"> </w:t>
      </w:r>
      <w:r w:rsidRPr="00B520B0">
        <w:rPr>
          <w:szCs w:val="22"/>
        </w:rPr>
        <w:t xml:space="preserve"> </w:t>
      </w:r>
      <w:r w:rsidR="00F069F2">
        <w:rPr>
          <w:szCs w:val="22"/>
        </w:rPr>
        <w:t xml:space="preserve">HRMD </w:t>
      </w:r>
      <w:r w:rsidR="00CF5F53">
        <w:rPr>
          <w:szCs w:val="22"/>
        </w:rPr>
        <w:t>increased</w:t>
      </w:r>
      <w:r w:rsidR="00F069F2">
        <w:rPr>
          <w:szCs w:val="22"/>
        </w:rPr>
        <w:t xml:space="preserve"> internal communications on its activities through a dedicated newsletter that adopted an informal tone of voice that spoke to issues with clarity, simplicity and transparency. </w:t>
      </w:r>
      <w:r w:rsidR="005F152C">
        <w:rPr>
          <w:szCs w:val="22"/>
        </w:rPr>
        <w:t xml:space="preserve"> </w:t>
      </w:r>
      <w:r w:rsidR="00F069F2">
        <w:rPr>
          <w:szCs w:val="22"/>
        </w:rPr>
        <w:t xml:space="preserve">Feedback from colleagues was encouraged. </w:t>
      </w:r>
      <w:r w:rsidR="005F152C">
        <w:rPr>
          <w:szCs w:val="22"/>
        </w:rPr>
        <w:t xml:space="preserve"> </w:t>
      </w:r>
      <w:r w:rsidR="00F069F2">
        <w:rPr>
          <w:szCs w:val="22"/>
        </w:rPr>
        <w:t>The News and Media Division worked to streamline</w:t>
      </w:r>
      <w:r w:rsidR="006572D4">
        <w:rPr>
          <w:szCs w:val="22"/>
        </w:rPr>
        <w:t xml:space="preserve"> the approach of </w:t>
      </w:r>
      <w:r w:rsidR="00F069F2">
        <w:rPr>
          <w:szCs w:val="22"/>
        </w:rPr>
        <w:t xml:space="preserve">other substantive areas who also sought to </w:t>
      </w:r>
      <w:r w:rsidR="00CF5F53">
        <w:rPr>
          <w:szCs w:val="22"/>
        </w:rPr>
        <w:t>increase</w:t>
      </w:r>
      <w:r w:rsidR="00F069F2">
        <w:rPr>
          <w:szCs w:val="22"/>
        </w:rPr>
        <w:t xml:space="preserve"> their internal communications through dedicated messaging tools,</w:t>
      </w:r>
      <w:r w:rsidR="00E21C40">
        <w:rPr>
          <w:szCs w:val="22"/>
        </w:rPr>
        <w:t xml:space="preserve"> </w:t>
      </w:r>
      <w:r w:rsidR="00F069F2">
        <w:rPr>
          <w:szCs w:val="22"/>
        </w:rPr>
        <w:t xml:space="preserve">including newsletters and emails. </w:t>
      </w:r>
      <w:r w:rsidR="005F152C">
        <w:rPr>
          <w:szCs w:val="22"/>
        </w:rPr>
        <w:t xml:space="preserve"> </w:t>
      </w:r>
      <w:r w:rsidRPr="002263AA">
        <w:rPr>
          <w:szCs w:val="22"/>
        </w:rPr>
        <w:t>In addition,</w:t>
      </w:r>
      <w:r w:rsidRPr="00B520B0">
        <w:rPr>
          <w:szCs w:val="22"/>
        </w:rPr>
        <w:t xml:space="preserve"> Town Hall</w:t>
      </w:r>
      <w:r w:rsidR="00CF5F53">
        <w:rPr>
          <w:szCs w:val="22"/>
        </w:rPr>
        <w:t xml:space="preserve"> meeting</w:t>
      </w:r>
      <w:r w:rsidRPr="00B520B0">
        <w:rPr>
          <w:szCs w:val="22"/>
        </w:rPr>
        <w:t xml:space="preserve">s </w:t>
      </w:r>
      <w:r w:rsidR="00F56B9B">
        <w:rPr>
          <w:szCs w:val="22"/>
        </w:rPr>
        <w:t>were</w:t>
      </w:r>
      <w:r w:rsidRPr="00B520B0">
        <w:rPr>
          <w:szCs w:val="22"/>
        </w:rPr>
        <w:t xml:space="preserve"> held more regularly in 2022</w:t>
      </w:r>
      <w:r w:rsidR="00F56B9B">
        <w:rPr>
          <w:szCs w:val="22"/>
        </w:rPr>
        <w:t xml:space="preserve"> (</w:t>
      </w:r>
      <w:r w:rsidR="005F152C">
        <w:rPr>
          <w:szCs w:val="22"/>
        </w:rPr>
        <w:t>11</w:t>
      </w:r>
      <w:r w:rsidR="00F56B9B">
        <w:rPr>
          <w:szCs w:val="22"/>
        </w:rPr>
        <w:t>)</w:t>
      </w:r>
      <w:r w:rsidR="00493095">
        <w:rPr>
          <w:szCs w:val="22"/>
        </w:rPr>
        <w:t xml:space="preserve">. </w:t>
      </w:r>
      <w:r w:rsidR="005F152C">
        <w:rPr>
          <w:szCs w:val="22"/>
        </w:rPr>
        <w:t xml:space="preserve"> </w:t>
      </w:r>
      <w:r w:rsidR="00DF4904">
        <w:rPr>
          <w:szCs w:val="22"/>
        </w:rPr>
        <w:t>At the same time</w:t>
      </w:r>
      <w:r w:rsidR="00493095">
        <w:rPr>
          <w:szCs w:val="22"/>
        </w:rPr>
        <w:t xml:space="preserve">, some meetings formerly only open to </w:t>
      </w:r>
      <w:r w:rsidR="00F56B9B">
        <w:rPr>
          <w:szCs w:val="22"/>
        </w:rPr>
        <w:t>management</w:t>
      </w:r>
      <w:r w:rsidR="00493095">
        <w:rPr>
          <w:szCs w:val="22"/>
        </w:rPr>
        <w:t xml:space="preserve">, have been opened to all employees. </w:t>
      </w:r>
      <w:r w:rsidR="005F152C">
        <w:rPr>
          <w:szCs w:val="22"/>
        </w:rPr>
        <w:t xml:space="preserve"> </w:t>
      </w:r>
      <w:r w:rsidR="00493095">
        <w:rPr>
          <w:szCs w:val="22"/>
        </w:rPr>
        <w:t xml:space="preserve">In </w:t>
      </w:r>
      <w:r w:rsidRPr="00B520B0">
        <w:rPr>
          <w:szCs w:val="22"/>
        </w:rPr>
        <w:t>a further bid to stren</w:t>
      </w:r>
      <w:r w:rsidR="00B520B0">
        <w:rPr>
          <w:szCs w:val="22"/>
        </w:rPr>
        <w:t xml:space="preserve">gthen internal communications, </w:t>
      </w:r>
      <w:r w:rsidR="00493095">
        <w:rPr>
          <w:szCs w:val="22"/>
        </w:rPr>
        <w:t>the Director General accompanied by th</w:t>
      </w:r>
      <w:r w:rsidR="00CF5F53">
        <w:rPr>
          <w:szCs w:val="22"/>
        </w:rPr>
        <w:t xml:space="preserve">e Director, HRMD, met with all </w:t>
      </w:r>
      <w:r w:rsidR="005F152C">
        <w:rPr>
          <w:szCs w:val="22"/>
        </w:rPr>
        <w:t>S</w:t>
      </w:r>
      <w:r w:rsidR="00493095">
        <w:rPr>
          <w:szCs w:val="22"/>
        </w:rPr>
        <w:t xml:space="preserve">ectors in early 2023 to provide an opportunity for discussion on HR-related matters. </w:t>
      </w:r>
      <w:r w:rsidR="005F152C">
        <w:rPr>
          <w:szCs w:val="22"/>
        </w:rPr>
        <w:t xml:space="preserve"> </w:t>
      </w:r>
      <w:r w:rsidRPr="00B520B0">
        <w:rPr>
          <w:szCs w:val="22"/>
        </w:rPr>
        <w:t xml:space="preserve">Sector Leads/Directors are </w:t>
      </w:r>
      <w:r w:rsidR="00493095">
        <w:rPr>
          <w:szCs w:val="22"/>
        </w:rPr>
        <w:t xml:space="preserve">also </w:t>
      </w:r>
      <w:r w:rsidRPr="00B520B0">
        <w:rPr>
          <w:szCs w:val="22"/>
        </w:rPr>
        <w:t>encouraged to include their Talent Business Partner in regular meetings, thereby opening another communication channel on HR-related matters.</w:t>
      </w:r>
    </w:p>
    <w:p w14:paraId="432FDBDA" w14:textId="77777777" w:rsidR="0089407C" w:rsidRDefault="0089407C" w:rsidP="0089407C"/>
    <w:p w14:paraId="2C8ADB2D" w14:textId="3A106B70" w:rsidR="00212CCB" w:rsidRPr="009E3AFE" w:rsidRDefault="00212CCB" w:rsidP="00212CCB">
      <w:pPr>
        <w:pStyle w:val="ListParagraph"/>
        <w:keepNext/>
        <w:numPr>
          <w:ilvl w:val="0"/>
          <w:numId w:val="12"/>
        </w:numPr>
        <w:ind w:left="0" w:firstLine="0"/>
        <w:rPr>
          <w:szCs w:val="22"/>
        </w:rPr>
      </w:pPr>
      <w:r w:rsidRPr="00212CCB">
        <w:rPr>
          <w:szCs w:val="22"/>
        </w:rPr>
        <w:t xml:space="preserve">An Employee Engagement Survey </w:t>
      </w:r>
      <w:r w:rsidR="0082705D">
        <w:rPr>
          <w:szCs w:val="22"/>
        </w:rPr>
        <w:t>(see point VI</w:t>
      </w:r>
      <w:r w:rsidR="00FB25F5">
        <w:rPr>
          <w:szCs w:val="22"/>
        </w:rPr>
        <w:t>I</w:t>
      </w:r>
      <w:r w:rsidR="0082705D">
        <w:rPr>
          <w:szCs w:val="22"/>
        </w:rPr>
        <w:t xml:space="preserve">) </w:t>
      </w:r>
      <w:r w:rsidRPr="00212CCB">
        <w:rPr>
          <w:szCs w:val="22"/>
        </w:rPr>
        <w:t xml:space="preserve">was also launched in </w:t>
      </w:r>
      <w:r w:rsidR="00AC07A8">
        <w:rPr>
          <w:szCs w:val="22"/>
        </w:rPr>
        <w:t>May</w:t>
      </w:r>
      <w:r w:rsidRPr="00212CCB">
        <w:rPr>
          <w:szCs w:val="22"/>
        </w:rPr>
        <w:t xml:space="preserve"> </w:t>
      </w:r>
      <w:r w:rsidR="00AC07A8" w:rsidRPr="00212CCB">
        <w:rPr>
          <w:szCs w:val="22"/>
        </w:rPr>
        <w:t>202</w:t>
      </w:r>
      <w:r w:rsidR="00AC07A8">
        <w:rPr>
          <w:szCs w:val="22"/>
        </w:rPr>
        <w:t xml:space="preserve">2 </w:t>
      </w:r>
      <w:r w:rsidRPr="00212CCB">
        <w:rPr>
          <w:szCs w:val="22"/>
        </w:rPr>
        <w:t xml:space="preserve">and for the first time, WIPO employees were given the opportunity to </w:t>
      </w:r>
      <w:r w:rsidR="00290A31">
        <w:rPr>
          <w:szCs w:val="22"/>
        </w:rPr>
        <w:t xml:space="preserve">formally </w:t>
      </w:r>
      <w:r w:rsidRPr="00212CCB">
        <w:rPr>
          <w:szCs w:val="22"/>
        </w:rPr>
        <w:t>share their opinions on what they perceive as working well and areas to be addressed.</w:t>
      </w:r>
      <w:r w:rsidR="009E3AFE">
        <w:rPr>
          <w:szCs w:val="22"/>
        </w:rPr>
        <w:t xml:space="preserve"> </w:t>
      </w:r>
      <w:r w:rsidR="006453EE">
        <w:rPr>
          <w:szCs w:val="22"/>
        </w:rPr>
        <w:t xml:space="preserve"> </w:t>
      </w:r>
      <w:r w:rsidR="009E3AFE">
        <w:rPr>
          <w:color w:val="000000"/>
          <w:szCs w:val="22"/>
          <w:shd w:val="clear" w:color="auto" w:fill="FFFFFF"/>
        </w:rPr>
        <w:t>A key</w:t>
      </w:r>
      <w:r w:rsidR="009E3AFE" w:rsidRPr="00D17AA7">
        <w:rPr>
          <w:color w:val="000000"/>
          <w:szCs w:val="22"/>
          <w:shd w:val="clear" w:color="auto" w:fill="FFFFFF"/>
        </w:rPr>
        <w:t xml:space="preserve"> objective was to ensure that we all collectively act on the insights revealed </w:t>
      </w:r>
      <w:r w:rsidR="009E3AFE">
        <w:rPr>
          <w:color w:val="000000"/>
          <w:szCs w:val="22"/>
          <w:shd w:val="clear" w:color="auto" w:fill="FFFFFF"/>
        </w:rPr>
        <w:t>by</w:t>
      </w:r>
      <w:r w:rsidR="009E3AFE" w:rsidRPr="00D17AA7">
        <w:rPr>
          <w:color w:val="000000"/>
          <w:szCs w:val="22"/>
          <w:shd w:val="clear" w:color="auto" w:fill="FFFFFF"/>
        </w:rPr>
        <w:t xml:space="preserve"> the </w:t>
      </w:r>
      <w:r w:rsidR="009E3AFE">
        <w:rPr>
          <w:color w:val="000000"/>
          <w:szCs w:val="22"/>
          <w:shd w:val="clear" w:color="auto" w:fill="FFFFFF"/>
        </w:rPr>
        <w:t>S</w:t>
      </w:r>
      <w:r w:rsidR="009E3AFE" w:rsidRPr="00D17AA7">
        <w:rPr>
          <w:color w:val="000000"/>
          <w:szCs w:val="22"/>
          <w:shd w:val="clear" w:color="auto" w:fill="FFFFFF"/>
        </w:rPr>
        <w:t>urvey to inspire people to do things differently.</w:t>
      </w:r>
      <w:r w:rsidRPr="009E3AFE">
        <w:rPr>
          <w:szCs w:val="22"/>
        </w:rPr>
        <w:t xml:space="preserve">  </w:t>
      </w:r>
    </w:p>
    <w:p w14:paraId="025B505E" w14:textId="16F58DFB" w:rsidR="00843039" w:rsidRPr="00B05357" w:rsidRDefault="00BA1639" w:rsidP="00843039">
      <w:pPr>
        <w:pStyle w:val="Heading3"/>
        <w:rPr>
          <w:i/>
          <w:szCs w:val="22"/>
          <w:u w:val="none"/>
        </w:rPr>
      </w:pPr>
      <w:r>
        <w:rPr>
          <w:i/>
          <w:szCs w:val="22"/>
          <w:u w:val="none"/>
        </w:rPr>
        <w:tab/>
      </w:r>
      <w:r w:rsidR="00843039">
        <w:rPr>
          <w:i/>
          <w:szCs w:val="22"/>
          <w:u w:val="none"/>
        </w:rPr>
        <w:t>Collaboration across Sectors</w:t>
      </w:r>
      <w:r w:rsidR="00843039" w:rsidRPr="00B05357">
        <w:rPr>
          <w:i/>
          <w:szCs w:val="22"/>
          <w:u w:val="none"/>
        </w:rPr>
        <w:t xml:space="preserve"> </w:t>
      </w:r>
    </w:p>
    <w:p w14:paraId="34A5E3D6" w14:textId="77777777" w:rsidR="0082705D" w:rsidRPr="00212CCB" w:rsidRDefault="0082705D" w:rsidP="0082705D">
      <w:pPr>
        <w:pStyle w:val="ListParagraph"/>
        <w:keepNext/>
        <w:ind w:left="0"/>
        <w:rPr>
          <w:szCs w:val="22"/>
        </w:rPr>
      </w:pPr>
    </w:p>
    <w:p w14:paraId="16B0A4B1" w14:textId="6522F6E0" w:rsidR="001921A8" w:rsidRDefault="000A123E" w:rsidP="00D2087C">
      <w:pPr>
        <w:pStyle w:val="ListParagraph"/>
        <w:keepNext/>
        <w:numPr>
          <w:ilvl w:val="0"/>
          <w:numId w:val="12"/>
        </w:numPr>
        <w:ind w:left="0" w:firstLine="0"/>
        <w:rPr>
          <w:szCs w:val="22"/>
        </w:rPr>
      </w:pPr>
      <w:r w:rsidRPr="003C4E17">
        <w:rPr>
          <w:szCs w:val="22"/>
        </w:rPr>
        <w:t>First</w:t>
      </w:r>
      <w:r w:rsidR="0082705D" w:rsidRPr="003C4E17">
        <w:rPr>
          <w:szCs w:val="22"/>
        </w:rPr>
        <w:t xml:space="preserve"> steps along the path to ‘working as one’ across and within </w:t>
      </w:r>
      <w:r w:rsidR="00477228">
        <w:rPr>
          <w:szCs w:val="22"/>
        </w:rPr>
        <w:t>S</w:t>
      </w:r>
      <w:r w:rsidR="0082705D" w:rsidRPr="003C4E17">
        <w:rPr>
          <w:szCs w:val="22"/>
        </w:rPr>
        <w:t xml:space="preserve">ectors and breaking the ‘silo’ mentality have </w:t>
      </w:r>
      <w:r w:rsidR="00130647" w:rsidRPr="003C4E17">
        <w:rPr>
          <w:szCs w:val="22"/>
        </w:rPr>
        <w:t>b</w:t>
      </w:r>
      <w:r w:rsidRPr="003C4E17">
        <w:rPr>
          <w:szCs w:val="22"/>
        </w:rPr>
        <w:t>een taken</w:t>
      </w:r>
      <w:r w:rsidR="0082705D" w:rsidRPr="003C4E17">
        <w:rPr>
          <w:szCs w:val="22"/>
        </w:rPr>
        <w:t xml:space="preserve">.  In the Regional and National Development Sector (RNDS), a project approach to working across the Regional Bureaus was launched with the </w:t>
      </w:r>
      <w:r w:rsidR="00CF5F53">
        <w:rPr>
          <w:szCs w:val="22"/>
        </w:rPr>
        <w:t>establishment</w:t>
      </w:r>
      <w:r w:rsidR="0082705D" w:rsidRPr="003C4E17">
        <w:rPr>
          <w:szCs w:val="22"/>
        </w:rPr>
        <w:t xml:space="preserve"> of a pilot RNDS projects team. </w:t>
      </w:r>
      <w:r w:rsidR="00477228">
        <w:rPr>
          <w:szCs w:val="22"/>
        </w:rPr>
        <w:t xml:space="preserve"> </w:t>
      </w:r>
      <w:r w:rsidR="003C4E17" w:rsidRPr="00D2087C">
        <w:rPr>
          <w:szCs w:val="22"/>
        </w:rPr>
        <w:t>This initiative was taken to incubate new ways of implementing, in an efficient and timely manner, urgent strategic cooperation initiatives (or projects) in WIPO Member States in numerous areas relating to IP.</w:t>
      </w:r>
      <w:r w:rsidR="0082705D" w:rsidRPr="003C4E17">
        <w:rPr>
          <w:szCs w:val="22"/>
        </w:rPr>
        <w:t xml:space="preserve"> </w:t>
      </w:r>
    </w:p>
    <w:p w14:paraId="43712EFD" w14:textId="77777777" w:rsidR="00D2087C" w:rsidRPr="003C4E17" w:rsidRDefault="00D2087C" w:rsidP="003C4E17">
      <w:pPr>
        <w:pStyle w:val="ListParagraph"/>
        <w:keepNext/>
        <w:ind w:left="0"/>
        <w:rPr>
          <w:szCs w:val="22"/>
        </w:rPr>
      </w:pPr>
    </w:p>
    <w:p w14:paraId="5B975B11" w14:textId="291AF81C" w:rsidR="001921A8" w:rsidRPr="00D2087C" w:rsidRDefault="0082705D" w:rsidP="00954CB8">
      <w:pPr>
        <w:pStyle w:val="ListParagraph"/>
        <w:keepNext/>
        <w:numPr>
          <w:ilvl w:val="0"/>
          <w:numId w:val="12"/>
        </w:numPr>
        <w:ind w:left="0" w:firstLine="0"/>
        <w:rPr>
          <w:b/>
          <w:bCs/>
          <w:caps/>
          <w:kern w:val="32"/>
          <w:szCs w:val="32"/>
        </w:rPr>
      </w:pPr>
      <w:r w:rsidRPr="008F79EE">
        <w:rPr>
          <w:szCs w:val="22"/>
        </w:rPr>
        <w:t xml:space="preserve">Another </w:t>
      </w:r>
      <w:r w:rsidR="00130647" w:rsidRPr="008F79EE">
        <w:rPr>
          <w:szCs w:val="22"/>
        </w:rPr>
        <w:t xml:space="preserve">initiative that will also help </w:t>
      </w:r>
      <w:r w:rsidR="00FF13E3" w:rsidRPr="008F79EE">
        <w:rPr>
          <w:szCs w:val="22"/>
        </w:rPr>
        <w:t>to reduce silos</w:t>
      </w:r>
      <w:r w:rsidR="00130647" w:rsidRPr="008F79EE">
        <w:rPr>
          <w:szCs w:val="22"/>
        </w:rPr>
        <w:t xml:space="preserve"> </w:t>
      </w:r>
      <w:r w:rsidR="001921A8" w:rsidRPr="008F79EE">
        <w:rPr>
          <w:szCs w:val="22"/>
        </w:rPr>
        <w:t>is</w:t>
      </w:r>
      <w:r w:rsidRPr="008F79EE">
        <w:rPr>
          <w:szCs w:val="22"/>
        </w:rPr>
        <w:t xml:space="preserve"> </w:t>
      </w:r>
      <w:r w:rsidR="00CF5F53">
        <w:rPr>
          <w:szCs w:val="22"/>
        </w:rPr>
        <w:t>the</w:t>
      </w:r>
      <w:r w:rsidRPr="008F79EE">
        <w:rPr>
          <w:szCs w:val="22"/>
        </w:rPr>
        <w:t xml:space="preserve"> Young Experts Program</w:t>
      </w:r>
      <w:r w:rsidRPr="00D2087C">
        <w:rPr>
          <w:szCs w:val="22"/>
        </w:rPr>
        <w:t xml:space="preserve"> (YEP)</w:t>
      </w:r>
      <w:r w:rsidR="00843039" w:rsidRPr="00D2087C">
        <w:rPr>
          <w:szCs w:val="22"/>
        </w:rPr>
        <w:t xml:space="preserve">, designed to </w:t>
      </w:r>
      <w:r w:rsidR="008D67A9">
        <w:rPr>
          <w:szCs w:val="22"/>
        </w:rPr>
        <w:t>develop</w:t>
      </w:r>
      <w:r w:rsidR="00843039" w:rsidRPr="00D2087C">
        <w:rPr>
          <w:szCs w:val="22"/>
        </w:rPr>
        <w:t xml:space="preserve"> the next generation of </w:t>
      </w:r>
      <w:r w:rsidR="00477228">
        <w:rPr>
          <w:szCs w:val="22"/>
        </w:rPr>
        <w:t>intellectual property (</w:t>
      </w:r>
      <w:r w:rsidR="00843039" w:rsidRPr="00D2087C">
        <w:rPr>
          <w:szCs w:val="22"/>
        </w:rPr>
        <w:t>IP</w:t>
      </w:r>
      <w:r w:rsidR="00477228">
        <w:rPr>
          <w:szCs w:val="22"/>
        </w:rPr>
        <w:t>)</w:t>
      </w:r>
      <w:r w:rsidR="00843039" w:rsidRPr="00D2087C">
        <w:rPr>
          <w:szCs w:val="22"/>
        </w:rPr>
        <w:t xml:space="preserve"> leaders in WIPO Member States, especially those from developing and least developed countries</w:t>
      </w:r>
      <w:r w:rsidR="00477228">
        <w:rPr>
          <w:szCs w:val="22"/>
        </w:rPr>
        <w:t xml:space="preserve"> (LDCs)</w:t>
      </w:r>
      <w:r w:rsidR="00843039" w:rsidRPr="00D2087C">
        <w:rPr>
          <w:szCs w:val="22"/>
        </w:rPr>
        <w:t xml:space="preserve"> as well as countries in transition</w:t>
      </w:r>
      <w:r w:rsidRPr="00D2087C">
        <w:rPr>
          <w:szCs w:val="22"/>
        </w:rPr>
        <w:t xml:space="preserve">.  Under this program, launched in February 2022, young professionals are engaged </w:t>
      </w:r>
      <w:r w:rsidR="00DF4904">
        <w:rPr>
          <w:szCs w:val="22"/>
        </w:rPr>
        <w:t xml:space="preserve">by the Organization </w:t>
      </w:r>
      <w:r w:rsidRPr="00D2087C">
        <w:rPr>
          <w:szCs w:val="22"/>
        </w:rPr>
        <w:t xml:space="preserve">for two years, spending the first year in one Sector before moving to another for the second year.  </w:t>
      </w:r>
      <w:r w:rsidR="005214BB" w:rsidRPr="00D2087C">
        <w:rPr>
          <w:szCs w:val="22"/>
        </w:rPr>
        <w:t>The YEP program therefore also encourages cross-germination at the young professional level.</w:t>
      </w:r>
    </w:p>
    <w:p w14:paraId="79142437" w14:textId="7FFB34FC" w:rsidR="00D2087C" w:rsidRPr="00D2087C" w:rsidRDefault="00D2087C" w:rsidP="00D2087C">
      <w:pPr>
        <w:pStyle w:val="ListParagraph"/>
        <w:keepNext/>
        <w:ind w:left="0"/>
        <w:rPr>
          <w:b/>
          <w:bCs/>
          <w:caps/>
          <w:kern w:val="32"/>
          <w:szCs w:val="32"/>
        </w:rPr>
      </w:pPr>
    </w:p>
    <w:p w14:paraId="402F0FFB" w14:textId="45EACBC0" w:rsidR="00633917" w:rsidRDefault="00633917" w:rsidP="00633917">
      <w:pPr>
        <w:pStyle w:val="Heading1"/>
        <w:numPr>
          <w:ilvl w:val="0"/>
          <w:numId w:val="11"/>
        </w:numPr>
        <w:spacing w:before="0"/>
        <w:ind w:left="567" w:hanging="567"/>
      </w:pPr>
      <w:r>
        <w:t>organizational agility</w:t>
      </w:r>
      <w:r w:rsidR="003E6687">
        <w:t xml:space="preserve"> and mobility</w:t>
      </w:r>
    </w:p>
    <w:p w14:paraId="398E37EA" w14:textId="4DA67FF7" w:rsidR="00633917" w:rsidRDefault="00633917" w:rsidP="00633917"/>
    <w:p w14:paraId="79424F17" w14:textId="4A83742A" w:rsidR="00FE73B3" w:rsidRDefault="00633917" w:rsidP="00D17AA7">
      <w:pPr>
        <w:pStyle w:val="ListParagraph"/>
        <w:numPr>
          <w:ilvl w:val="0"/>
          <w:numId w:val="12"/>
        </w:numPr>
        <w:ind w:left="0" w:firstLine="0"/>
        <w:rPr>
          <w:szCs w:val="22"/>
        </w:rPr>
      </w:pPr>
      <w:r w:rsidRPr="00633917">
        <w:rPr>
          <w:szCs w:val="22"/>
        </w:rPr>
        <w:t xml:space="preserve">The </w:t>
      </w:r>
      <w:r w:rsidR="004F2A8C">
        <w:rPr>
          <w:szCs w:val="22"/>
        </w:rPr>
        <w:t xml:space="preserve">COVID-19 </w:t>
      </w:r>
      <w:r w:rsidRPr="00633917">
        <w:rPr>
          <w:szCs w:val="22"/>
        </w:rPr>
        <w:t xml:space="preserve">pandemic </w:t>
      </w:r>
      <w:r w:rsidR="00FF13E3">
        <w:rPr>
          <w:szCs w:val="22"/>
        </w:rPr>
        <w:t xml:space="preserve">expedited </w:t>
      </w:r>
      <w:r w:rsidR="00097394">
        <w:rPr>
          <w:szCs w:val="22"/>
        </w:rPr>
        <w:t xml:space="preserve">WIPO’s </w:t>
      </w:r>
      <w:r w:rsidR="00FF13E3">
        <w:rPr>
          <w:szCs w:val="22"/>
        </w:rPr>
        <w:t xml:space="preserve">efforts </w:t>
      </w:r>
      <w:r w:rsidRPr="00633917">
        <w:rPr>
          <w:szCs w:val="22"/>
        </w:rPr>
        <w:t>to recognize and embrace an agile work culture</w:t>
      </w:r>
      <w:r w:rsidR="00311933">
        <w:rPr>
          <w:szCs w:val="22"/>
        </w:rPr>
        <w:t>, re-imagining how to get the work done in a challenging context</w:t>
      </w:r>
      <w:r w:rsidRPr="00633917">
        <w:rPr>
          <w:szCs w:val="22"/>
        </w:rPr>
        <w:t xml:space="preserve">. </w:t>
      </w:r>
      <w:r w:rsidR="006A66A5">
        <w:rPr>
          <w:szCs w:val="22"/>
        </w:rPr>
        <w:t xml:space="preserve"> </w:t>
      </w:r>
      <w:r w:rsidR="00311933">
        <w:rPr>
          <w:szCs w:val="22"/>
        </w:rPr>
        <w:t>The world continues to be</w:t>
      </w:r>
      <w:r w:rsidRPr="00633917">
        <w:rPr>
          <w:szCs w:val="22"/>
        </w:rPr>
        <w:t xml:space="preserve"> in flux and the world of work is no different. </w:t>
      </w:r>
    </w:p>
    <w:p w14:paraId="18F1442E" w14:textId="10D4E35F" w:rsidR="00FE73B3" w:rsidRPr="00B35EC2" w:rsidRDefault="00B35EC2" w:rsidP="00B35EC2">
      <w:pPr>
        <w:rPr>
          <w:rFonts w:eastAsia="Times New Roman"/>
          <w:szCs w:val="22"/>
          <w:lang w:eastAsia="en-US"/>
        </w:rPr>
      </w:pPr>
      <w:r>
        <w:rPr>
          <w:szCs w:val="22"/>
        </w:rPr>
        <w:br w:type="page"/>
      </w:r>
    </w:p>
    <w:p w14:paraId="0EE30B6F" w14:textId="41AF24AF" w:rsidR="00782A54" w:rsidRPr="00FE73B3" w:rsidRDefault="00633917" w:rsidP="00D17AA7">
      <w:pPr>
        <w:pStyle w:val="ListParagraph"/>
        <w:numPr>
          <w:ilvl w:val="0"/>
          <w:numId w:val="12"/>
        </w:numPr>
        <w:ind w:left="0" w:firstLine="0"/>
        <w:rPr>
          <w:szCs w:val="22"/>
        </w:rPr>
      </w:pPr>
      <w:r w:rsidRPr="00FE73B3">
        <w:rPr>
          <w:szCs w:val="22"/>
        </w:rPr>
        <w:lastRenderedPageBreak/>
        <w:t xml:space="preserve">Agility </w:t>
      </w:r>
      <w:r w:rsidR="00311933" w:rsidRPr="00FE73B3">
        <w:rPr>
          <w:szCs w:val="22"/>
        </w:rPr>
        <w:t>also means that the O</w:t>
      </w:r>
      <w:r w:rsidRPr="00FE73B3">
        <w:rPr>
          <w:szCs w:val="22"/>
        </w:rPr>
        <w:t xml:space="preserve">rganization </w:t>
      </w:r>
      <w:r w:rsidR="00311933" w:rsidRPr="00FE73B3">
        <w:rPr>
          <w:szCs w:val="22"/>
        </w:rPr>
        <w:t>need</w:t>
      </w:r>
      <w:r w:rsidR="00130647" w:rsidRPr="00FE73B3">
        <w:rPr>
          <w:szCs w:val="22"/>
        </w:rPr>
        <w:t>s</w:t>
      </w:r>
      <w:r w:rsidR="00311933" w:rsidRPr="00FE73B3">
        <w:rPr>
          <w:szCs w:val="22"/>
        </w:rPr>
        <w:t xml:space="preserve"> to be</w:t>
      </w:r>
      <w:r w:rsidRPr="00FE73B3">
        <w:rPr>
          <w:szCs w:val="22"/>
        </w:rPr>
        <w:t xml:space="preserve"> both stable and dynamic at the same time.  </w:t>
      </w:r>
      <w:r w:rsidR="00DF4904">
        <w:rPr>
          <w:szCs w:val="22"/>
        </w:rPr>
        <w:t>Stability undergirds</w:t>
      </w:r>
      <w:r w:rsidR="00311933" w:rsidRPr="00FE73B3">
        <w:rPr>
          <w:szCs w:val="22"/>
        </w:rPr>
        <w:t xml:space="preserve"> WIPO</w:t>
      </w:r>
      <w:r w:rsidRPr="00FE73B3">
        <w:rPr>
          <w:szCs w:val="22"/>
        </w:rPr>
        <w:t xml:space="preserve">’s mandate and expresses its unique identity.  The dynamic capabilities enable </w:t>
      </w:r>
      <w:r w:rsidR="00311933" w:rsidRPr="00FE73B3">
        <w:rPr>
          <w:szCs w:val="22"/>
        </w:rPr>
        <w:t>it</w:t>
      </w:r>
      <w:r w:rsidRPr="00FE73B3">
        <w:rPr>
          <w:szCs w:val="22"/>
        </w:rPr>
        <w:t xml:space="preserve"> to react quickly when faced with new challenges and/or opportunities.  These include low</w:t>
      </w:r>
      <w:r w:rsidR="00130647" w:rsidRPr="00FE73B3">
        <w:rPr>
          <w:szCs w:val="22"/>
        </w:rPr>
        <w:t>ering</w:t>
      </w:r>
      <w:r w:rsidRPr="00FE73B3">
        <w:rPr>
          <w:szCs w:val="22"/>
        </w:rPr>
        <w:t xml:space="preserve"> internal organizational barriers, </w:t>
      </w:r>
      <w:r w:rsidR="00130647" w:rsidRPr="00FE73B3">
        <w:rPr>
          <w:szCs w:val="22"/>
        </w:rPr>
        <w:t xml:space="preserve">the </w:t>
      </w:r>
      <w:r w:rsidRPr="00FE73B3">
        <w:rPr>
          <w:szCs w:val="22"/>
        </w:rPr>
        <w:t xml:space="preserve">ability to shift resources where most needed, including assembling teams from across the </w:t>
      </w:r>
      <w:r w:rsidR="00311933" w:rsidRPr="00FE73B3">
        <w:rPr>
          <w:szCs w:val="22"/>
        </w:rPr>
        <w:t>O</w:t>
      </w:r>
      <w:r w:rsidRPr="00FE73B3">
        <w:rPr>
          <w:szCs w:val="22"/>
        </w:rPr>
        <w:t xml:space="preserve">rganization, and a culture that attracts </w:t>
      </w:r>
      <w:r w:rsidR="00521AE1">
        <w:rPr>
          <w:szCs w:val="22"/>
        </w:rPr>
        <w:t xml:space="preserve">and nurtures talent, empowers </w:t>
      </w:r>
      <w:r w:rsidRPr="00FE73B3">
        <w:rPr>
          <w:szCs w:val="22"/>
        </w:rPr>
        <w:t>teams to act, and acc</w:t>
      </w:r>
      <w:r w:rsidR="00D2087C" w:rsidRPr="00FE73B3">
        <w:rPr>
          <w:szCs w:val="22"/>
        </w:rPr>
        <w:t xml:space="preserve">epts accountability. </w:t>
      </w:r>
      <w:r w:rsidR="006A66A5">
        <w:rPr>
          <w:szCs w:val="22"/>
        </w:rPr>
        <w:t xml:space="preserve"> </w:t>
      </w:r>
      <w:r w:rsidR="00493095" w:rsidRPr="00FE73B3">
        <w:rPr>
          <w:szCs w:val="22"/>
        </w:rPr>
        <w:t xml:space="preserve">Less emphasis is now </w:t>
      </w:r>
      <w:r w:rsidR="00DF4904">
        <w:rPr>
          <w:szCs w:val="22"/>
        </w:rPr>
        <w:t xml:space="preserve">also </w:t>
      </w:r>
      <w:r w:rsidR="00493095" w:rsidRPr="00FE73B3">
        <w:rPr>
          <w:szCs w:val="22"/>
        </w:rPr>
        <w:t xml:space="preserve">placed on communication through hierarchal structures in a bid to encourage and improve horizontal communications across </w:t>
      </w:r>
      <w:r w:rsidR="006A66A5">
        <w:rPr>
          <w:szCs w:val="22"/>
        </w:rPr>
        <w:t>S</w:t>
      </w:r>
      <w:r w:rsidR="00493095" w:rsidRPr="00FE73B3">
        <w:rPr>
          <w:szCs w:val="22"/>
        </w:rPr>
        <w:t>ectors.</w:t>
      </w:r>
    </w:p>
    <w:p w14:paraId="2B4AC21C" w14:textId="77777777" w:rsidR="002C22EA" w:rsidRPr="00493095" w:rsidRDefault="002C22EA" w:rsidP="00D17AA7">
      <w:pPr>
        <w:pStyle w:val="ListParagraph"/>
        <w:ind w:left="0"/>
        <w:rPr>
          <w:szCs w:val="22"/>
        </w:rPr>
      </w:pPr>
    </w:p>
    <w:p w14:paraId="130DEAAA" w14:textId="1D7C7AED" w:rsidR="00782A54" w:rsidRPr="00782A54" w:rsidRDefault="00D2087C" w:rsidP="00782A54">
      <w:pPr>
        <w:pStyle w:val="Default"/>
        <w:numPr>
          <w:ilvl w:val="0"/>
          <w:numId w:val="12"/>
        </w:numPr>
        <w:ind w:left="0" w:firstLine="0"/>
        <w:rPr>
          <w:rFonts w:ascii="Arial" w:hAnsi="Arial" w:cs="Arial"/>
          <w:color w:val="auto"/>
          <w:sz w:val="22"/>
          <w:szCs w:val="22"/>
        </w:rPr>
      </w:pPr>
      <w:r>
        <w:rPr>
          <w:rFonts w:ascii="Arial" w:hAnsi="Arial" w:cs="Arial"/>
          <w:color w:val="auto"/>
          <w:sz w:val="22"/>
          <w:szCs w:val="22"/>
        </w:rPr>
        <w:t>As mentioned previously, WIPO</w:t>
      </w:r>
      <w:r w:rsidR="00782A54">
        <w:rPr>
          <w:rFonts w:ascii="Arial" w:hAnsi="Arial" w:cs="Arial"/>
          <w:color w:val="auto"/>
          <w:sz w:val="22"/>
          <w:szCs w:val="22"/>
        </w:rPr>
        <w:t xml:space="preserve"> sees </w:t>
      </w:r>
      <w:r w:rsidR="00782A54" w:rsidRPr="008501CC">
        <w:rPr>
          <w:rFonts w:ascii="Arial" w:hAnsi="Arial" w:cs="Arial"/>
          <w:color w:val="auto"/>
          <w:sz w:val="22"/>
          <w:szCs w:val="22"/>
        </w:rPr>
        <w:t xml:space="preserve">talent mobility </w:t>
      </w:r>
      <w:r w:rsidR="00782A54">
        <w:rPr>
          <w:rFonts w:ascii="Arial" w:hAnsi="Arial" w:cs="Arial"/>
          <w:color w:val="auto"/>
          <w:sz w:val="22"/>
          <w:szCs w:val="22"/>
        </w:rPr>
        <w:t xml:space="preserve">as an effective </w:t>
      </w:r>
      <w:r w:rsidR="00782A54" w:rsidRPr="008501CC">
        <w:rPr>
          <w:rFonts w:ascii="Arial" w:hAnsi="Arial" w:cs="Arial"/>
          <w:color w:val="auto"/>
          <w:sz w:val="22"/>
          <w:szCs w:val="22"/>
        </w:rPr>
        <w:t>initiative to engage employees</w:t>
      </w:r>
      <w:r w:rsidR="00782A54">
        <w:rPr>
          <w:rFonts w:ascii="Arial" w:hAnsi="Arial" w:cs="Arial"/>
          <w:color w:val="auto"/>
          <w:sz w:val="22"/>
          <w:szCs w:val="22"/>
        </w:rPr>
        <w:t>,</w:t>
      </w:r>
      <w:r w:rsidR="00782A54" w:rsidRPr="008501CC">
        <w:rPr>
          <w:rFonts w:ascii="Arial" w:hAnsi="Arial" w:cs="Arial"/>
          <w:color w:val="auto"/>
          <w:sz w:val="22"/>
          <w:szCs w:val="22"/>
        </w:rPr>
        <w:t xml:space="preserve"> while also enabling </w:t>
      </w:r>
      <w:r w:rsidR="00782A54">
        <w:rPr>
          <w:rFonts w:ascii="Arial" w:hAnsi="Arial" w:cs="Arial"/>
          <w:color w:val="auto"/>
          <w:sz w:val="22"/>
          <w:szCs w:val="22"/>
        </w:rPr>
        <w:t xml:space="preserve">managers to </w:t>
      </w:r>
      <w:r w:rsidR="003F2128">
        <w:rPr>
          <w:rFonts w:ascii="Arial" w:hAnsi="Arial" w:cs="Arial"/>
          <w:color w:val="auto"/>
          <w:sz w:val="22"/>
          <w:szCs w:val="22"/>
        </w:rPr>
        <w:t>take stock of</w:t>
      </w:r>
      <w:r w:rsidR="00782A54">
        <w:rPr>
          <w:rFonts w:ascii="Arial" w:hAnsi="Arial" w:cs="Arial"/>
          <w:color w:val="auto"/>
          <w:sz w:val="22"/>
          <w:szCs w:val="22"/>
        </w:rPr>
        <w:t xml:space="preserve"> internal skills</w:t>
      </w:r>
      <w:r w:rsidR="003F2128">
        <w:rPr>
          <w:rFonts w:ascii="Arial" w:hAnsi="Arial" w:cs="Arial"/>
          <w:color w:val="auto"/>
          <w:sz w:val="22"/>
          <w:szCs w:val="22"/>
        </w:rPr>
        <w:t>,</w:t>
      </w:r>
      <w:r w:rsidR="00782A54">
        <w:rPr>
          <w:rFonts w:ascii="Arial" w:hAnsi="Arial" w:cs="Arial"/>
          <w:color w:val="auto"/>
          <w:sz w:val="22"/>
          <w:szCs w:val="22"/>
        </w:rPr>
        <w:t xml:space="preserve"> </w:t>
      </w:r>
      <w:r>
        <w:rPr>
          <w:rFonts w:ascii="Arial" w:hAnsi="Arial" w:cs="Arial"/>
          <w:color w:val="auto"/>
          <w:sz w:val="22"/>
          <w:szCs w:val="22"/>
        </w:rPr>
        <w:t xml:space="preserve">notably to </w:t>
      </w:r>
      <w:r w:rsidR="003F2128">
        <w:rPr>
          <w:rFonts w:ascii="Arial" w:hAnsi="Arial" w:cs="Arial"/>
          <w:color w:val="auto"/>
          <w:sz w:val="22"/>
          <w:szCs w:val="22"/>
        </w:rPr>
        <w:t>identify</w:t>
      </w:r>
      <w:r w:rsidR="00280F51">
        <w:rPr>
          <w:rFonts w:ascii="Arial" w:hAnsi="Arial" w:cs="Arial"/>
          <w:color w:val="auto"/>
          <w:sz w:val="22"/>
          <w:szCs w:val="22"/>
        </w:rPr>
        <w:t xml:space="preserve"> shortages</w:t>
      </w:r>
      <w:r w:rsidR="00890069">
        <w:rPr>
          <w:rFonts w:ascii="Arial" w:hAnsi="Arial" w:cs="Arial"/>
          <w:color w:val="auto"/>
          <w:sz w:val="22"/>
          <w:szCs w:val="22"/>
        </w:rPr>
        <w:t xml:space="preserve"> thereof</w:t>
      </w:r>
      <w:r>
        <w:rPr>
          <w:rFonts w:ascii="Arial" w:hAnsi="Arial" w:cs="Arial"/>
          <w:color w:val="auto"/>
          <w:sz w:val="22"/>
          <w:szCs w:val="22"/>
        </w:rPr>
        <w:t xml:space="preserve">. </w:t>
      </w:r>
      <w:r w:rsidR="006A66A5">
        <w:rPr>
          <w:rFonts w:ascii="Arial" w:hAnsi="Arial" w:cs="Arial"/>
          <w:color w:val="auto"/>
          <w:sz w:val="22"/>
          <w:szCs w:val="22"/>
        </w:rPr>
        <w:t xml:space="preserve"> </w:t>
      </w:r>
      <w:r w:rsidR="00782A54" w:rsidRPr="008501CC">
        <w:rPr>
          <w:rFonts w:ascii="Arial" w:hAnsi="Arial" w:cs="Arial"/>
          <w:color w:val="auto"/>
          <w:sz w:val="22"/>
          <w:szCs w:val="22"/>
        </w:rPr>
        <w:t xml:space="preserve">Significant progress has been made in identifying </w:t>
      </w:r>
      <w:r>
        <w:rPr>
          <w:rFonts w:ascii="Arial" w:hAnsi="Arial" w:cs="Arial"/>
          <w:color w:val="auto"/>
          <w:sz w:val="22"/>
          <w:szCs w:val="22"/>
        </w:rPr>
        <w:t>a Talent Market Platform</w:t>
      </w:r>
      <w:r w:rsidR="004C121E">
        <w:rPr>
          <w:rFonts w:ascii="Arial" w:hAnsi="Arial" w:cs="Arial"/>
          <w:color w:val="auto"/>
          <w:sz w:val="22"/>
          <w:szCs w:val="22"/>
        </w:rPr>
        <w:t>,</w:t>
      </w:r>
      <w:r>
        <w:rPr>
          <w:rFonts w:ascii="Arial" w:hAnsi="Arial" w:cs="Arial"/>
          <w:color w:val="auto"/>
          <w:sz w:val="22"/>
          <w:szCs w:val="22"/>
        </w:rPr>
        <w:t xml:space="preserve"> a software </w:t>
      </w:r>
      <w:r w:rsidR="003F2128">
        <w:rPr>
          <w:rFonts w:ascii="Arial" w:hAnsi="Arial" w:cs="Arial"/>
          <w:color w:val="auto"/>
          <w:sz w:val="22"/>
          <w:szCs w:val="22"/>
        </w:rPr>
        <w:t xml:space="preserve">tool </w:t>
      </w:r>
      <w:r>
        <w:rPr>
          <w:rFonts w:ascii="Arial" w:hAnsi="Arial" w:cs="Arial"/>
          <w:color w:val="auto"/>
          <w:sz w:val="22"/>
          <w:szCs w:val="22"/>
        </w:rPr>
        <w:t xml:space="preserve">to find </w:t>
      </w:r>
      <w:r w:rsidR="00FF13E3">
        <w:rPr>
          <w:rFonts w:ascii="Arial" w:hAnsi="Arial" w:cs="Arial"/>
          <w:color w:val="auto"/>
          <w:sz w:val="22"/>
          <w:szCs w:val="22"/>
        </w:rPr>
        <w:t xml:space="preserve">a </w:t>
      </w:r>
      <w:r>
        <w:rPr>
          <w:rFonts w:ascii="Arial" w:hAnsi="Arial" w:cs="Arial"/>
          <w:color w:val="auto"/>
          <w:sz w:val="22"/>
          <w:szCs w:val="22"/>
        </w:rPr>
        <w:t xml:space="preserve">potential match between opportunities in the </w:t>
      </w:r>
      <w:r w:rsidR="00FF13E3">
        <w:rPr>
          <w:rFonts w:ascii="Arial" w:hAnsi="Arial" w:cs="Arial"/>
          <w:color w:val="auto"/>
          <w:sz w:val="22"/>
          <w:szCs w:val="22"/>
        </w:rPr>
        <w:t xml:space="preserve">Organization </w:t>
      </w:r>
      <w:r>
        <w:rPr>
          <w:rFonts w:ascii="Arial" w:hAnsi="Arial" w:cs="Arial"/>
          <w:color w:val="auto"/>
          <w:sz w:val="22"/>
          <w:szCs w:val="22"/>
        </w:rPr>
        <w:t>and the skills available internally</w:t>
      </w:r>
      <w:r w:rsidR="00FF13E3">
        <w:rPr>
          <w:rFonts w:ascii="Arial" w:hAnsi="Arial" w:cs="Arial"/>
          <w:color w:val="auto"/>
          <w:sz w:val="22"/>
          <w:szCs w:val="22"/>
        </w:rPr>
        <w:t xml:space="preserve">. </w:t>
      </w:r>
      <w:r w:rsidR="006A66A5">
        <w:rPr>
          <w:rFonts w:ascii="Arial" w:hAnsi="Arial" w:cs="Arial"/>
          <w:color w:val="auto"/>
          <w:sz w:val="22"/>
          <w:szCs w:val="22"/>
        </w:rPr>
        <w:t xml:space="preserve"> </w:t>
      </w:r>
      <w:r w:rsidR="00782A54">
        <w:rPr>
          <w:rFonts w:ascii="Arial" w:hAnsi="Arial" w:cs="Arial"/>
          <w:color w:val="auto"/>
          <w:sz w:val="22"/>
          <w:szCs w:val="22"/>
        </w:rPr>
        <w:t xml:space="preserve">HRMD </w:t>
      </w:r>
      <w:r w:rsidR="00FF13E3">
        <w:rPr>
          <w:rFonts w:ascii="Arial" w:hAnsi="Arial" w:cs="Arial"/>
          <w:color w:val="auto"/>
          <w:sz w:val="22"/>
          <w:szCs w:val="22"/>
        </w:rPr>
        <w:t xml:space="preserve">is aiming </w:t>
      </w:r>
      <w:r w:rsidR="00782A54">
        <w:rPr>
          <w:rFonts w:ascii="Arial" w:hAnsi="Arial" w:cs="Arial"/>
          <w:color w:val="auto"/>
          <w:sz w:val="22"/>
          <w:szCs w:val="22"/>
        </w:rPr>
        <w:t xml:space="preserve">to launch </w:t>
      </w:r>
      <w:r w:rsidR="00BD295B">
        <w:rPr>
          <w:rFonts w:ascii="Arial" w:hAnsi="Arial" w:cs="Arial"/>
          <w:color w:val="auto"/>
          <w:sz w:val="22"/>
          <w:szCs w:val="22"/>
        </w:rPr>
        <w:t>the platform</w:t>
      </w:r>
      <w:r w:rsidR="00782A54">
        <w:rPr>
          <w:rFonts w:ascii="Arial" w:hAnsi="Arial" w:cs="Arial"/>
          <w:color w:val="auto"/>
          <w:sz w:val="22"/>
          <w:szCs w:val="22"/>
        </w:rPr>
        <w:t xml:space="preserve"> towards </w:t>
      </w:r>
      <w:r w:rsidR="00583A62">
        <w:rPr>
          <w:rFonts w:ascii="Arial" w:hAnsi="Arial" w:cs="Arial"/>
          <w:color w:val="auto"/>
          <w:sz w:val="22"/>
          <w:szCs w:val="22"/>
        </w:rPr>
        <w:t xml:space="preserve">the </w:t>
      </w:r>
      <w:r w:rsidR="00782A54">
        <w:rPr>
          <w:rFonts w:ascii="Arial" w:hAnsi="Arial" w:cs="Arial"/>
          <w:color w:val="auto"/>
          <w:sz w:val="22"/>
          <w:szCs w:val="22"/>
        </w:rPr>
        <w:t>end</w:t>
      </w:r>
      <w:r w:rsidR="00583A62">
        <w:rPr>
          <w:rFonts w:ascii="Arial" w:hAnsi="Arial" w:cs="Arial"/>
          <w:color w:val="auto"/>
          <w:sz w:val="22"/>
          <w:szCs w:val="22"/>
        </w:rPr>
        <w:t xml:space="preserve"> of </w:t>
      </w:r>
      <w:r w:rsidR="00782A54">
        <w:rPr>
          <w:rFonts w:ascii="Arial" w:hAnsi="Arial" w:cs="Arial"/>
          <w:color w:val="auto"/>
          <w:sz w:val="22"/>
          <w:szCs w:val="22"/>
        </w:rPr>
        <w:t xml:space="preserve">2023. </w:t>
      </w:r>
      <w:r w:rsidR="006A66A5">
        <w:rPr>
          <w:rFonts w:ascii="Arial" w:hAnsi="Arial" w:cs="Arial"/>
          <w:color w:val="auto"/>
          <w:sz w:val="22"/>
          <w:szCs w:val="22"/>
        </w:rPr>
        <w:t xml:space="preserve"> </w:t>
      </w:r>
      <w:r w:rsidR="00583A62">
        <w:rPr>
          <w:rFonts w:ascii="Arial" w:hAnsi="Arial" w:cs="Arial"/>
          <w:color w:val="auto"/>
          <w:sz w:val="22"/>
          <w:szCs w:val="22"/>
        </w:rPr>
        <w:t>In parallel,</w:t>
      </w:r>
      <w:r w:rsidR="00782A54">
        <w:rPr>
          <w:rFonts w:ascii="Arial" w:hAnsi="Arial" w:cs="Arial"/>
          <w:color w:val="auto"/>
          <w:sz w:val="22"/>
          <w:szCs w:val="22"/>
        </w:rPr>
        <w:t xml:space="preserve"> work has also started</w:t>
      </w:r>
      <w:r w:rsidR="00583A62">
        <w:rPr>
          <w:rFonts w:ascii="Arial" w:hAnsi="Arial" w:cs="Arial"/>
          <w:color w:val="auto"/>
          <w:sz w:val="22"/>
          <w:szCs w:val="22"/>
        </w:rPr>
        <w:t xml:space="preserve"> </w:t>
      </w:r>
      <w:r w:rsidR="00782A54">
        <w:rPr>
          <w:rFonts w:ascii="Arial" w:hAnsi="Arial" w:cs="Arial"/>
          <w:color w:val="auto"/>
          <w:sz w:val="22"/>
          <w:szCs w:val="22"/>
        </w:rPr>
        <w:t>on drafting a policy framework to facilitate this initiative</w:t>
      </w:r>
      <w:r>
        <w:rPr>
          <w:rFonts w:ascii="Arial" w:hAnsi="Arial" w:cs="Arial"/>
          <w:color w:val="auto"/>
          <w:sz w:val="22"/>
          <w:szCs w:val="22"/>
        </w:rPr>
        <w:t xml:space="preserve"> and allow </w:t>
      </w:r>
      <w:r w:rsidR="006A66A5">
        <w:rPr>
          <w:rFonts w:ascii="Arial" w:hAnsi="Arial" w:cs="Arial"/>
          <w:color w:val="auto"/>
          <w:sz w:val="22"/>
          <w:szCs w:val="22"/>
        </w:rPr>
        <w:t>on</w:t>
      </w:r>
      <w:r w:rsidR="006A66A5">
        <w:rPr>
          <w:rFonts w:ascii="Arial" w:hAnsi="Arial" w:cs="Arial"/>
          <w:color w:val="auto"/>
          <w:sz w:val="22"/>
          <w:szCs w:val="22"/>
        </w:rPr>
        <w:noBreakHyphen/>
        <w:t>the</w:t>
      </w:r>
      <w:r w:rsidR="006A66A5">
        <w:rPr>
          <w:rFonts w:ascii="Arial" w:hAnsi="Arial" w:cs="Arial"/>
          <w:color w:val="auto"/>
          <w:sz w:val="22"/>
          <w:szCs w:val="22"/>
        </w:rPr>
        <w:noBreakHyphen/>
      </w:r>
      <w:r>
        <w:rPr>
          <w:rFonts w:ascii="Arial" w:hAnsi="Arial" w:cs="Arial"/>
          <w:color w:val="auto"/>
          <w:sz w:val="22"/>
          <w:szCs w:val="22"/>
        </w:rPr>
        <w:t>job training through exposure to other areas</w:t>
      </w:r>
      <w:r w:rsidR="00782A54">
        <w:rPr>
          <w:rFonts w:ascii="Arial" w:hAnsi="Arial" w:cs="Arial"/>
          <w:color w:val="auto"/>
          <w:sz w:val="22"/>
          <w:szCs w:val="22"/>
        </w:rPr>
        <w:t xml:space="preserve">. </w:t>
      </w:r>
      <w:r w:rsidR="006A66A5">
        <w:rPr>
          <w:rFonts w:ascii="Arial" w:hAnsi="Arial" w:cs="Arial"/>
          <w:color w:val="auto"/>
          <w:sz w:val="22"/>
          <w:szCs w:val="22"/>
        </w:rPr>
        <w:t xml:space="preserve"> </w:t>
      </w:r>
      <w:r w:rsidR="00782A54" w:rsidRPr="008501CC">
        <w:rPr>
          <w:rFonts w:ascii="Arial" w:hAnsi="Arial" w:cs="Arial"/>
          <w:color w:val="auto"/>
          <w:sz w:val="22"/>
          <w:szCs w:val="22"/>
        </w:rPr>
        <w:t xml:space="preserve">Additionally, </w:t>
      </w:r>
      <w:r w:rsidR="00782A54">
        <w:rPr>
          <w:rFonts w:ascii="Arial" w:hAnsi="Arial" w:cs="Arial"/>
          <w:color w:val="auto"/>
          <w:sz w:val="22"/>
          <w:szCs w:val="22"/>
        </w:rPr>
        <w:t xml:space="preserve">the </w:t>
      </w:r>
      <w:r w:rsidR="00782A54" w:rsidRPr="008501CC">
        <w:rPr>
          <w:rFonts w:ascii="Arial" w:hAnsi="Arial" w:cs="Arial"/>
          <w:color w:val="auto"/>
          <w:sz w:val="22"/>
          <w:szCs w:val="22"/>
        </w:rPr>
        <w:t xml:space="preserve">pilot project </w:t>
      </w:r>
      <w:r w:rsidR="004C121E">
        <w:rPr>
          <w:rFonts w:ascii="Arial" w:hAnsi="Arial" w:cs="Arial"/>
          <w:color w:val="auto"/>
          <w:sz w:val="22"/>
          <w:szCs w:val="22"/>
        </w:rPr>
        <w:t xml:space="preserve">on the temporary assignments of staff that was launched in 2020 was extended in 2022, given the success of the initiative, and converted into a </w:t>
      </w:r>
      <w:r w:rsidR="00FF13E3">
        <w:rPr>
          <w:rFonts w:ascii="Arial" w:hAnsi="Arial" w:cs="Arial"/>
          <w:color w:val="auto"/>
          <w:sz w:val="22"/>
          <w:szCs w:val="22"/>
        </w:rPr>
        <w:t xml:space="preserve">fixed </w:t>
      </w:r>
      <w:r w:rsidR="004C121E">
        <w:rPr>
          <w:rFonts w:ascii="Arial" w:hAnsi="Arial" w:cs="Arial"/>
          <w:color w:val="auto"/>
          <w:sz w:val="22"/>
          <w:szCs w:val="22"/>
        </w:rPr>
        <w:t xml:space="preserve">policy in 2023. </w:t>
      </w:r>
      <w:r w:rsidR="002D581B">
        <w:rPr>
          <w:rFonts w:ascii="Arial" w:hAnsi="Arial" w:cs="Arial"/>
          <w:color w:val="auto"/>
          <w:sz w:val="22"/>
          <w:szCs w:val="22"/>
        </w:rPr>
        <w:t xml:space="preserve"> </w:t>
      </w:r>
      <w:r w:rsidR="004C121E">
        <w:rPr>
          <w:rFonts w:ascii="Arial" w:hAnsi="Arial" w:cs="Arial"/>
          <w:color w:val="auto"/>
          <w:sz w:val="22"/>
          <w:szCs w:val="22"/>
        </w:rPr>
        <w:t xml:space="preserve">It </w:t>
      </w:r>
      <w:r w:rsidR="00782A54" w:rsidRPr="008501CC">
        <w:rPr>
          <w:rFonts w:ascii="Arial" w:hAnsi="Arial" w:cs="Arial"/>
          <w:color w:val="auto"/>
          <w:sz w:val="22"/>
          <w:szCs w:val="22"/>
        </w:rPr>
        <w:t>allow</w:t>
      </w:r>
      <w:r w:rsidR="004C121E">
        <w:rPr>
          <w:rFonts w:ascii="Arial" w:hAnsi="Arial" w:cs="Arial"/>
          <w:color w:val="auto"/>
          <w:sz w:val="22"/>
          <w:szCs w:val="22"/>
        </w:rPr>
        <w:t>s</w:t>
      </w:r>
      <w:r w:rsidR="00782A54" w:rsidRPr="008501CC">
        <w:rPr>
          <w:rFonts w:ascii="Arial" w:hAnsi="Arial" w:cs="Arial"/>
          <w:color w:val="auto"/>
          <w:sz w:val="22"/>
          <w:szCs w:val="22"/>
        </w:rPr>
        <w:t xml:space="preserve"> staff on fixed-term, continuing and permanent appointments to be </w:t>
      </w:r>
      <w:r w:rsidR="004C121E">
        <w:rPr>
          <w:rFonts w:ascii="Arial" w:hAnsi="Arial" w:cs="Arial"/>
          <w:color w:val="auto"/>
          <w:sz w:val="22"/>
          <w:szCs w:val="22"/>
        </w:rPr>
        <w:t>temporarily assigned</w:t>
      </w:r>
      <w:r w:rsidR="00782A54" w:rsidRPr="008501CC">
        <w:rPr>
          <w:rFonts w:ascii="Arial" w:hAnsi="Arial" w:cs="Arial"/>
          <w:color w:val="auto"/>
          <w:sz w:val="22"/>
          <w:szCs w:val="22"/>
        </w:rPr>
        <w:t xml:space="preserve"> to temporary and project pos</w:t>
      </w:r>
      <w:r w:rsidR="005214BB">
        <w:rPr>
          <w:rFonts w:ascii="Arial" w:hAnsi="Arial" w:cs="Arial"/>
          <w:color w:val="auto"/>
          <w:sz w:val="22"/>
          <w:szCs w:val="22"/>
        </w:rPr>
        <w:t>i</w:t>
      </w:r>
      <w:r w:rsidR="00782A54" w:rsidRPr="008501CC">
        <w:rPr>
          <w:rFonts w:ascii="Arial" w:hAnsi="Arial" w:cs="Arial"/>
          <w:color w:val="auto"/>
          <w:sz w:val="22"/>
          <w:szCs w:val="22"/>
        </w:rPr>
        <w:t>t</w:t>
      </w:r>
      <w:r w:rsidR="005214BB">
        <w:rPr>
          <w:rFonts w:ascii="Arial" w:hAnsi="Arial" w:cs="Arial"/>
          <w:color w:val="auto"/>
          <w:sz w:val="22"/>
          <w:szCs w:val="22"/>
        </w:rPr>
        <w:t>ion</w:t>
      </w:r>
      <w:r w:rsidR="00782A54" w:rsidRPr="008501CC">
        <w:rPr>
          <w:rFonts w:ascii="Arial" w:hAnsi="Arial" w:cs="Arial"/>
          <w:color w:val="auto"/>
          <w:sz w:val="22"/>
          <w:szCs w:val="22"/>
        </w:rPr>
        <w:t>s</w:t>
      </w:r>
      <w:r w:rsidR="004C121E">
        <w:rPr>
          <w:rFonts w:ascii="Arial" w:hAnsi="Arial" w:cs="Arial"/>
          <w:color w:val="auto"/>
          <w:sz w:val="22"/>
          <w:szCs w:val="22"/>
        </w:rPr>
        <w:t>, while</w:t>
      </w:r>
      <w:r w:rsidR="00782A54" w:rsidRPr="008501CC">
        <w:rPr>
          <w:rFonts w:ascii="Arial" w:hAnsi="Arial" w:cs="Arial"/>
          <w:color w:val="auto"/>
          <w:sz w:val="22"/>
          <w:szCs w:val="22"/>
        </w:rPr>
        <w:t xml:space="preserve"> retaining their contractual status and related benefits and entitlements.  </w:t>
      </w:r>
    </w:p>
    <w:p w14:paraId="1604D3FF" w14:textId="77777777" w:rsidR="00311933" w:rsidRPr="00311933" w:rsidRDefault="00311933" w:rsidP="00311933">
      <w:pPr>
        <w:pStyle w:val="ListParagraph"/>
        <w:rPr>
          <w:szCs w:val="22"/>
        </w:rPr>
      </w:pPr>
    </w:p>
    <w:p w14:paraId="7B6ECEDC" w14:textId="33630559" w:rsidR="009118DE" w:rsidRDefault="00633917" w:rsidP="00633917">
      <w:pPr>
        <w:pStyle w:val="ListParagraph"/>
        <w:numPr>
          <w:ilvl w:val="0"/>
          <w:numId w:val="12"/>
        </w:numPr>
        <w:ind w:left="0" w:firstLine="0"/>
        <w:rPr>
          <w:szCs w:val="22"/>
        </w:rPr>
      </w:pPr>
      <w:r w:rsidRPr="00311933">
        <w:rPr>
          <w:szCs w:val="22"/>
        </w:rPr>
        <w:t>Anticipating the rapidly changing need for new skills</w:t>
      </w:r>
      <w:r w:rsidR="00DF4904">
        <w:rPr>
          <w:szCs w:val="22"/>
        </w:rPr>
        <w:t xml:space="preserve">, HRMD is revisiting </w:t>
      </w:r>
      <w:r w:rsidR="00350C15">
        <w:rPr>
          <w:szCs w:val="22"/>
        </w:rPr>
        <w:t xml:space="preserve">all HR policies to </w:t>
      </w:r>
      <w:r w:rsidR="002C22EA">
        <w:rPr>
          <w:szCs w:val="22"/>
        </w:rPr>
        <w:t>make sure</w:t>
      </w:r>
      <w:r w:rsidR="00350C15">
        <w:rPr>
          <w:szCs w:val="22"/>
        </w:rPr>
        <w:t xml:space="preserve"> the whole HR framework is encouraging mobility</w:t>
      </w:r>
      <w:r w:rsidR="00DF4904">
        <w:rPr>
          <w:szCs w:val="22"/>
        </w:rPr>
        <w:t xml:space="preserve">. </w:t>
      </w:r>
      <w:r w:rsidR="00836086">
        <w:rPr>
          <w:szCs w:val="22"/>
        </w:rPr>
        <w:t xml:space="preserve"> </w:t>
      </w:r>
      <w:r w:rsidR="00DF4904">
        <w:rPr>
          <w:szCs w:val="22"/>
        </w:rPr>
        <w:t>To this end</w:t>
      </w:r>
      <w:r w:rsidR="00350C15">
        <w:rPr>
          <w:szCs w:val="22"/>
        </w:rPr>
        <w:t xml:space="preserve">, </w:t>
      </w:r>
      <w:r w:rsidR="00130647">
        <w:rPr>
          <w:szCs w:val="22"/>
        </w:rPr>
        <w:t xml:space="preserve">several measures </w:t>
      </w:r>
      <w:r w:rsidR="004C121E">
        <w:rPr>
          <w:szCs w:val="22"/>
        </w:rPr>
        <w:t>were</w:t>
      </w:r>
      <w:r w:rsidR="00130647">
        <w:rPr>
          <w:szCs w:val="22"/>
        </w:rPr>
        <w:t xml:space="preserve"> put in place</w:t>
      </w:r>
      <w:r w:rsidR="003978A5">
        <w:rPr>
          <w:szCs w:val="22"/>
        </w:rPr>
        <w:t xml:space="preserve"> and/or are envisaged</w:t>
      </w:r>
      <w:r w:rsidR="00130647">
        <w:rPr>
          <w:szCs w:val="22"/>
        </w:rPr>
        <w:t xml:space="preserve"> </w:t>
      </w:r>
      <w:r w:rsidR="003978A5">
        <w:rPr>
          <w:szCs w:val="22"/>
        </w:rPr>
        <w:t>to ensure we are able to navigate a changing environment and manage the transition</w:t>
      </w:r>
      <w:r w:rsidR="00A60098">
        <w:rPr>
          <w:szCs w:val="22"/>
        </w:rPr>
        <w:t>:</w:t>
      </w:r>
    </w:p>
    <w:p w14:paraId="25028042" w14:textId="77777777" w:rsidR="009118DE" w:rsidRPr="009118DE" w:rsidRDefault="009118DE" w:rsidP="002867CB">
      <w:pPr>
        <w:pStyle w:val="ListParagraph"/>
        <w:rPr>
          <w:szCs w:val="22"/>
        </w:rPr>
      </w:pPr>
    </w:p>
    <w:p w14:paraId="0E82269D" w14:textId="02526740" w:rsidR="00311933" w:rsidRDefault="00836086" w:rsidP="006572D4">
      <w:pPr>
        <w:pStyle w:val="ListParagraph"/>
        <w:ind w:left="540"/>
        <w:rPr>
          <w:szCs w:val="22"/>
        </w:rPr>
      </w:pPr>
      <w:r>
        <w:rPr>
          <w:szCs w:val="22"/>
        </w:rPr>
        <w:t>(i)</w:t>
      </w:r>
      <w:r>
        <w:rPr>
          <w:szCs w:val="22"/>
        </w:rPr>
        <w:tab/>
      </w:r>
      <w:r w:rsidR="004C121E">
        <w:rPr>
          <w:szCs w:val="22"/>
        </w:rPr>
        <w:t>N</w:t>
      </w:r>
      <w:r w:rsidR="00633917" w:rsidRPr="00311933">
        <w:rPr>
          <w:szCs w:val="22"/>
        </w:rPr>
        <w:t>ew F</w:t>
      </w:r>
      <w:r w:rsidR="00311933" w:rsidRPr="00311933">
        <w:rPr>
          <w:szCs w:val="22"/>
        </w:rPr>
        <w:t>ixed-</w:t>
      </w:r>
      <w:r w:rsidR="00583A62">
        <w:rPr>
          <w:szCs w:val="22"/>
        </w:rPr>
        <w:t>T</w:t>
      </w:r>
      <w:r w:rsidR="00311933" w:rsidRPr="00311933">
        <w:rPr>
          <w:szCs w:val="22"/>
        </w:rPr>
        <w:t>erm</w:t>
      </w:r>
      <w:r w:rsidR="004C121E">
        <w:rPr>
          <w:szCs w:val="22"/>
        </w:rPr>
        <w:t xml:space="preserve"> appointments of limited duration, with no possibility of renewal</w:t>
      </w:r>
      <w:r w:rsidR="00583A62">
        <w:rPr>
          <w:szCs w:val="22"/>
        </w:rPr>
        <w:t xml:space="preserve"> </w:t>
      </w:r>
      <w:r w:rsidR="004C121E">
        <w:rPr>
          <w:szCs w:val="22"/>
        </w:rPr>
        <w:t>beyond that term and no possibility of conversion to a continuing appointment</w:t>
      </w:r>
      <w:r w:rsidR="005122B1">
        <w:rPr>
          <w:szCs w:val="22"/>
        </w:rPr>
        <w:t xml:space="preserve"> (“FT-LT”)</w:t>
      </w:r>
      <w:r w:rsidR="00B1060E">
        <w:rPr>
          <w:szCs w:val="22"/>
        </w:rPr>
        <w:t>,</w:t>
      </w:r>
      <w:r w:rsidR="00633917" w:rsidRPr="00311933">
        <w:rPr>
          <w:szCs w:val="22"/>
        </w:rPr>
        <w:t xml:space="preserve"> were introduced in November 2021</w:t>
      </w:r>
      <w:r w:rsidR="009118DE">
        <w:rPr>
          <w:szCs w:val="22"/>
        </w:rPr>
        <w:t>.</w:t>
      </w:r>
      <w:r>
        <w:rPr>
          <w:szCs w:val="22"/>
        </w:rPr>
        <w:t xml:space="preserve"> </w:t>
      </w:r>
      <w:r w:rsidR="005122B1">
        <w:rPr>
          <w:szCs w:val="22"/>
        </w:rPr>
        <w:t xml:space="preserve"> </w:t>
      </w:r>
      <w:r w:rsidR="009118DE" w:rsidRPr="00311933">
        <w:rPr>
          <w:szCs w:val="22"/>
        </w:rPr>
        <w:t>In 2022</w:t>
      </w:r>
      <w:r w:rsidR="009118DE">
        <w:rPr>
          <w:szCs w:val="22"/>
        </w:rPr>
        <w:t>,</w:t>
      </w:r>
      <w:r w:rsidR="009118DE" w:rsidRPr="00311933">
        <w:rPr>
          <w:szCs w:val="22"/>
        </w:rPr>
        <w:t xml:space="preserve"> </w:t>
      </w:r>
      <w:r w:rsidR="009118DE">
        <w:rPr>
          <w:szCs w:val="22"/>
        </w:rPr>
        <w:t>29</w:t>
      </w:r>
      <w:r w:rsidR="009118DE" w:rsidRPr="00311933">
        <w:rPr>
          <w:szCs w:val="22"/>
        </w:rPr>
        <w:t xml:space="preserve"> FT-LT positions were advertised</w:t>
      </w:r>
      <w:r w:rsidR="009118DE">
        <w:rPr>
          <w:szCs w:val="22"/>
        </w:rPr>
        <w:t>,</w:t>
      </w:r>
      <w:r w:rsidR="009118DE" w:rsidRPr="00311933">
        <w:rPr>
          <w:szCs w:val="22"/>
        </w:rPr>
        <w:t xml:space="preserve"> of which </w:t>
      </w:r>
      <w:r w:rsidR="009118DE">
        <w:rPr>
          <w:szCs w:val="22"/>
        </w:rPr>
        <w:t>eight</w:t>
      </w:r>
      <w:r w:rsidR="009118DE" w:rsidRPr="00311933">
        <w:rPr>
          <w:szCs w:val="22"/>
        </w:rPr>
        <w:t xml:space="preserve"> were filled with </w:t>
      </w:r>
      <w:r w:rsidR="009118DE">
        <w:rPr>
          <w:szCs w:val="22"/>
        </w:rPr>
        <w:t>staff</w:t>
      </w:r>
      <w:r w:rsidR="009118DE" w:rsidRPr="00311933">
        <w:rPr>
          <w:szCs w:val="22"/>
        </w:rPr>
        <w:t xml:space="preserve"> on </w:t>
      </w:r>
      <w:r w:rsidR="009118DE">
        <w:rPr>
          <w:szCs w:val="22"/>
        </w:rPr>
        <w:t>fixed-term</w:t>
      </w:r>
      <w:r w:rsidR="009118DE" w:rsidRPr="00311933">
        <w:rPr>
          <w:szCs w:val="22"/>
        </w:rPr>
        <w:t xml:space="preserve">, </w:t>
      </w:r>
      <w:r w:rsidR="009118DE">
        <w:rPr>
          <w:szCs w:val="22"/>
        </w:rPr>
        <w:t>c</w:t>
      </w:r>
      <w:r w:rsidR="009118DE" w:rsidRPr="00311933">
        <w:rPr>
          <w:szCs w:val="22"/>
        </w:rPr>
        <w:t xml:space="preserve">ontinuing or </w:t>
      </w:r>
      <w:r w:rsidR="009118DE">
        <w:rPr>
          <w:szCs w:val="22"/>
        </w:rPr>
        <w:t>p</w:t>
      </w:r>
      <w:r w:rsidR="009118DE" w:rsidRPr="00311933">
        <w:rPr>
          <w:szCs w:val="22"/>
        </w:rPr>
        <w:t xml:space="preserve">ermanent </w:t>
      </w:r>
      <w:r w:rsidR="009118DE">
        <w:rPr>
          <w:szCs w:val="22"/>
        </w:rPr>
        <w:t>appointments (who are not subject to the restrictions applicable to FT-LT positions)</w:t>
      </w:r>
      <w:r w:rsidR="009118DE" w:rsidRPr="00311933">
        <w:rPr>
          <w:szCs w:val="22"/>
        </w:rPr>
        <w:t xml:space="preserve">.  </w:t>
      </w:r>
      <w:r w:rsidR="005214BB">
        <w:rPr>
          <w:szCs w:val="22"/>
        </w:rPr>
        <w:t>T</w:t>
      </w:r>
      <w:r w:rsidR="00633917" w:rsidRPr="00311933">
        <w:rPr>
          <w:szCs w:val="22"/>
        </w:rPr>
        <w:t xml:space="preserve">he </w:t>
      </w:r>
      <w:r w:rsidR="005122B1">
        <w:rPr>
          <w:szCs w:val="22"/>
        </w:rPr>
        <w:t xml:space="preserve">maximum cumulative duration of an </w:t>
      </w:r>
      <w:r w:rsidR="00633917" w:rsidRPr="00311933">
        <w:rPr>
          <w:szCs w:val="22"/>
        </w:rPr>
        <w:t xml:space="preserve">FT-LT </w:t>
      </w:r>
      <w:r w:rsidR="005122B1">
        <w:rPr>
          <w:szCs w:val="22"/>
        </w:rPr>
        <w:t>appointment</w:t>
      </w:r>
      <w:r w:rsidR="005122B1" w:rsidRPr="00311933">
        <w:rPr>
          <w:szCs w:val="22"/>
        </w:rPr>
        <w:t xml:space="preserve"> </w:t>
      </w:r>
      <w:r w:rsidR="00633917" w:rsidRPr="00311933">
        <w:rPr>
          <w:szCs w:val="22"/>
        </w:rPr>
        <w:t xml:space="preserve">is </w:t>
      </w:r>
      <w:r w:rsidR="005122B1">
        <w:rPr>
          <w:szCs w:val="22"/>
        </w:rPr>
        <w:t>five</w:t>
      </w:r>
      <w:r w:rsidR="00633917" w:rsidRPr="00311933">
        <w:rPr>
          <w:szCs w:val="22"/>
        </w:rPr>
        <w:t xml:space="preserve"> years</w:t>
      </w:r>
      <w:r w:rsidR="005122B1">
        <w:rPr>
          <w:szCs w:val="22"/>
        </w:rPr>
        <w:t>.</w:t>
      </w:r>
      <w:r>
        <w:rPr>
          <w:szCs w:val="22"/>
        </w:rPr>
        <w:t xml:space="preserve"> </w:t>
      </w:r>
      <w:r w:rsidR="005122B1">
        <w:rPr>
          <w:szCs w:val="22"/>
        </w:rPr>
        <w:t xml:space="preserve"> This type of appointment</w:t>
      </w:r>
      <w:r w:rsidR="00633917" w:rsidRPr="00311933">
        <w:rPr>
          <w:szCs w:val="22"/>
        </w:rPr>
        <w:t xml:space="preserve"> is used for openings where the skills are evolving rapidly, </w:t>
      </w:r>
      <w:r w:rsidR="00DF4904">
        <w:rPr>
          <w:szCs w:val="22"/>
        </w:rPr>
        <w:t xml:space="preserve">where </w:t>
      </w:r>
      <w:r w:rsidR="00633917" w:rsidRPr="00311933">
        <w:rPr>
          <w:szCs w:val="22"/>
        </w:rPr>
        <w:t xml:space="preserve">WIPO anticipates a business/workforce </w:t>
      </w:r>
      <w:r w:rsidR="005214BB">
        <w:rPr>
          <w:szCs w:val="22"/>
        </w:rPr>
        <w:t>transformation</w:t>
      </w:r>
      <w:r w:rsidR="00633917" w:rsidRPr="00311933">
        <w:rPr>
          <w:szCs w:val="22"/>
        </w:rPr>
        <w:t xml:space="preserve"> and or where the Organization cannot offer longer-term career opportunities. </w:t>
      </w:r>
      <w:r>
        <w:rPr>
          <w:szCs w:val="22"/>
        </w:rPr>
        <w:t xml:space="preserve"> </w:t>
      </w:r>
      <w:r w:rsidR="00583A62">
        <w:rPr>
          <w:szCs w:val="22"/>
        </w:rPr>
        <w:t>A</w:t>
      </w:r>
      <w:r w:rsidR="00E016D1">
        <w:rPr>
          <w:szCs w:val="22"/>
        </w:rPr>
        <w:t>n</w:t>
      </w:r>
      <w:r w:rsidR="00583A62">
        <w:rPr>
          <w:szCs w:val="22"/>
        </w:rPr>
        <w:t xml:space="preserve"> </w:t>
      </w:r>
      <w:r w:rsidR="00DF4904">
        <w:rPr>
          <w:szCs w:val="22"/>
        </w:rPr>
        <w:t>ancillary objective</w:t>
      </w:r>
      <w:r w:rsidR="00583A62">
        <w:rPr>
          <w:szCs w:val="22"/>
        </w:rPr>
        <w:t xml:space="preserve"> </w:t>
      </w:r>
      <w:r w:rsidR="005214BB">
        <w:rPr>
          <w:szCs w:val="22"/>
        </w:rPr>
        <w:t>of the</w:t>
      </w:r>
      <w:r w:rsidR="00583A62">
        <w:rPr>
          <w:szCs w:val="22"/>
        </w:rPr>
        <w:t xml:space="preserve"> </w:t>
      </w:r>
      <w:r w:rsidR="005122B1" w:rsidRPr="00311933">
        <w:rPr>
          <w:szCs w:val="22"/>
        </w:rPr>
        <w:t xml:space="preserve">FT-LT </w:t>
      </w:r>
      <w:r w:rsidR="00DF4904">
        <w:rPr>
          <w:szCs w:val="22"/>
        </w:rPr>
        <w:t>appointment</w:t>
      </w:r>
      <w:r w:rsidR="00583A62">
        <w:rPr>
          <w:szCs w:val="22"/>
        </w:rPr>
        <w:t xml:space="preserve"> is to be clear about position e</w:t>
      </w:r>
      <w:r w:rsidR="005122B1" w:rsidRPr="00311933">
        <w:rPr>
          <w:szCs w:val="22"/>
        </w:rPr>
        <w:t>xpectations and</w:t>
      </w:r>
      <w:r w:rsidR="005122B1">
        <w:rPr>
          <w:szCs w:val="22"/>
        </w:rPr>
        <w:t xml:space="preserve"> </w:t>
      </w:r>
      <w:r w:rsidR="005122B1" w:rsidRPr="00311933">
        <w:rPr>
          <w:szCs w:val="22"/>
        </w:rPr>
        <w:t xml:space="preserve">encourage mobility.  </w:t>
      </w:r>
      <w:r w:rsidR="00633917" w:rsidRPr="00311933">
        <w:rPr>
          <w:szCs w:val="22"/>
        </w:rPr>
        <w:t xml:space="preserve">Contrary to other agencies such as </w:t>
      </w:r>
      <w:r>
        <w:rPr>
          <w:szCs w:val="22"/>
        </w:rPr>
        <w:t>the</w:t>
      </w:r>
      <w:r w:rsidRPr="00836086">
        <w:rPr>
          <w:szCs w:val="22"/>
        </w:rPr>
        <w:t xml:space="preserve"> International Atomic Energy Agency</w:t>
      </w:r>
      <w:r>
        <w:rPr>
          <w:szCs w:val="22"/>
        </w:rPr>
        <w:t xml:space="preserve"> (</w:t>
      </w:r>
      <w:r w:rsidR="00633917" w:rsidRPr="00311933">
        <w:rPr>
          <w:szCs w:val="22"/>
        </w:rPr>
        <w:t>IAEA</w:t>
      </w:r>
      <w:r>
        <w:rPr>
          <w:szCs w:val="22"/>
        </w:rPr>
        <w:t>)</w:t>
      </w:r>
      <w:r w:rsidR="00633917" w:rsidRPr="00311933">
        <w:rPr>
          <w:szCs w:val="22"/>
        </w:rPr>
        <w:t xml:space="preserve"> and </w:t>
      </w:r>
      <w:r>
        <w:rPr>
          <w:szCs w:val="22"/>
        </w:rPr>
        <w:t xml:space="preserve">the </w:t>
      </w:r>
      <w:r w:rsidRPr="00836086">
        <w:rPr>
          <w:szCs w:val="22"/>
        </w:rPr>
        <w:t>European Organization for Nuclear Research</w:t>
      </w:r>
      <w:r>
        <w:rPr>
          <w:szCs w:val="22"/>
        </w:rPr>
        <w:t xml:space="preserve"> (</w:t>
      </w:r>
      <w:r w:rsidR="00633917" w:rsidRPr="00311933">
        <w:rPr>
          <w:szCs w:val="22"/>
        </w:rPr>
        <w:t>CERN</w:t>
      </w:r>
      <w:r>
        <w:rPr>
          <w:szCs w:val="22"/>
        </w:rPr>
        <w:t>)</w:t>
      </w:r>
      <w:r w:rsidR="00633917" w:rsidRPr="00311933">
        <w:rPr>
          <w:szCs w:val="22"/>
        </w:rPr>
        <w:t xml:space="preserve">, upon completion of the five years, </w:t>
      </w:r>
      <w:r w:rsidR="005122B1">
        <w:rPr>
          <w:szCs w:val="22"/>
        </w:rPr>
        <w:t>staff holding FT-LT appointments</w:t>
      </w:r>
      <w:r w:rsidR="005122B1" w:rsidRPr="00311933">
        <w:rPr>
          <w:szCs w:val="22"/>
        </w:rPr>
        <w:t xml:space="preserve"> </w:t>
      </w:r>
      <w:r w:rsidR="00633917" w:rsidRPr="00311933">
        <w:rPr>
          <w:szCs w:val="22"/>
        </w:rPr>
        <w:t xml:space="preserve">may </w:t>
      </w:r>
      <w:r w:rsidR="00FF13E3">
        <w:rPr>
          <w:szCs w:val="22"/>
        </w:rPr>
        <w:t>compete</w:t>
      </w:r>
      <w:r w:rsidR="005122B1">
        <w:rPr>
          <w:szCs w:val="22"/>
        </w:rPr>
        <w:t xml:space="preserve"> </w:t>
      </w:r>
      <w:r w:rsidR="00633917" w:rsidRPr="00311933">
        <w:rPr>
          <w:szCs w:val="22"/>
        </w:rPr>
        <w:t xml:space="preserve">for other positions at WIPO, </w:t>
      </w:r>
      <w:r w:rsidR="005122B1">
        <w:rPr>
          <w:szCs w:val="22"/>
        </w:rPr>
        <w:t xml:space="preserve">however </w:t>
      </w:r>
      <w:r w:rsidR="00794F67">
        <w:rPr>
          <w:szCs w:val="22"/>
        </w:rPr>
        <w:t xml:space="preserve">they </w:t>
      </w:r>
      <w:r w:rsidR="00794F67" w:rsidRPr="00311933">
        <w:rPr>
          <w:szCs w:val="22"/>
        </w:rPr>
        <w:t>may</w:t>
      </w:r>
      <w:r w:rsidR="00633917" w:rsidRPr="00311933">
        <w:rPr>
          <w:szCs w:val="22"/>
        </w:rPr>
        <w:t xml:space="preserve"> </w:t>
      </w:r>
      <w:r w:rsidR="005122B1">
        <w:rPr>
          <w:szCs w:val="22"/>
        </w:rPr>
        <w:t>not</w:t>
      </w:r>
      <w:r w:rsidR="00633917" w:rsidRPr="00311933">
        <w:rPr>
          <w:szCs w:val="22"/>
        </w:rPr>
        <w:t xml:space="preserve"> remain in the same position</w:t>
      </w:r>
      <w:r w:rsidR="005214BB">
        <w:rPr>
          <w:szCs w:val="22"/>
        </w:rPr>
        <w:t xml:space="preserve"> beyond five years</w:t>
      </w:r>
      <w:r w:rsidR="00633917" w:rsidRPr="00311933">
        <w:rPr>
          <w:szCs w:val="22"/>
        </w:rPr>
        <w:t xml:space="preserve">.  </w:t>
      </w:r>
    </w:p>
    <w:p w14:paraId="288DB654" w14:textId="77777777" w:rsidR="00311933" w:rsidRPr="00311933" w:rsidRDefault="00311933" w:rsidP="008F79EE">
      <w:pPr>
        <w:pStyle w:val="ListParagraph"/>
        <w:ind w:left="540"/>
        <w:rPr>
          <w:szCs w:val="22"/>
        </w:rPr>
      </w:pPr>
    </w:p>
    <w:p w14:paraId="7528B2EA" w14:textId="43576E1B" w:rsidR="00633917" w:rsidRDefault="006D3834" w:rsidP="006572D4">
      <w:pPr>
        <w:pStyle w:val="ListParagraph"/>
        <w:ind w:left="540"/>
        <w:rPr>
          <w:szCs w:val="22"/>
        </w:rPr>
      </w:pPr>
      <w:r>
        <w:rPr>
          <w:szCs w:val="22"/>
        </w:rPr>
        <w:t>(ii)</w:t>
      </w:r>
      <w:r>
        <w:rPr>
          <w:szCs w:val="22"/>
        </w:rPr>
        <w:tab/>
      </w:r>
      <w:r w:rsidR="00A60098">
        <w:rPr>
          <w:szCs w:val="22"/>
        </w:rPr>
        <w:t>T</w:t>
      </w:r>
      <w:r w:rsidR="00633917" w:rsidRPr="00ED32B0">
        <w:rPr>
          <w:szCs w:val="22"/>
        </w:rPr>
        <w:t>he process for award</w:t>
      </w:r>
      <w:r w:rsidR="00FF13E3">
        <w:rPr>
          <w:szCs w:val="22"/>
        </w:rPr>
        <w:t>ing</w:t>
      </w:r>
      <w:r w:rsidR="00633917" w:rsidRPr="00ED32B0">
        <w:rPr>
          <w:szCs w:val="22"/>
        </w:rPr>
        <w:t xml:space="preserve"> continuing </w:t>
      </w:r>
      <w:r w:rsidR="005122B1" w:rsidRPr="00ED32B0">
        <w:rPr>
          <w:szCs w:val="22"/>
        </w:rPr>
        <w:t xml:space="preserve">appointments </w:t>
      </w:r>
      <w:r w:rsidR="00607E7F" w:rsidRPr="00ED32B0">
        <w:rPr>
          <w:szCs w:val="22"/>
        </w:rPr>
        <w:t xml:space="preserve">(that is, appointments of unlimited duration) </w:t>
      </w:r>
      <w:r w:rsidR="00ED32B0" w:rsidRPr="00ED32B0">
        <w:rPr>
          <w:szCs w:val="22"/>
        </w:rPr>
        <w:t xml:space="preserve">considers </w:t>
      </w:r>
      <w:r w:rsidR="005214BB" w:rsidRPr="00ED32B0">
        <w:rPr>
          <w:szCs w:val="22"/>
        </w:rPr>
        <w:t>organizational business needs in addition to length in service and performance.</w:t>
      </w:r>
      <w:r w:rsidR="00477829">
        <w:rPr>
          <w:szCs w:val="22"/>
        </w:rPr>
        <w:t xml:space="preserve"> </w:t>
      </w:r>
      <w:r w:rsidR="00ED32B0" w:rsidRPr="00ED32B0">
        <w:rPr>
          <w:szCs w:val="22"/>
        </w:rPr>
        <w:t xml:space="preserve"> Where there is uncertainty due</w:t>
      </w:r>
      <w:r w:rsidR="00583A62">
        <w:rPr>
          <w:szCs w:val="22"/>
        </w:rPr>
        <w:t xml:space="preserve"> to</w:t>
      </w:r>
      <w:r w:rsidR="00ED32B0" w:rsidRPr="00ED32B0">
        <w:rPr>
          <w:szCs w:val="22"/>
        </w:rPr>
        <w:t xml:space="preserve"> transformation or other business-related reason</w:t>
      </w:r>
      <w:r w:rsidR="00583A62">
        <w:rPr>
          <w:szCs w:val="22"/>
        </w:rPr>
        <w:t>s</w:t>
      </w:r>
      <w:r w:rsidR="00ED32B0" w:rsidRPr="00ED32B0">
        <w:rPr>
          <w:szCs w:val="22"/>
        </w:rPr>
        <w:t>, the granting of the continuing appointment is deferred p</w:t>
      </w:r>
      <w:r w:rsidR="00954CB8">
        <w:rPr>
          <w:szCs w:val="22"/>
        </w:rPr>
        <w:t>ending a future review</w:t>
      </w:r>
      <w:r w:rsidR="00ED32B0" w:rsidRPr="00ED32B0">
        <w:rPr>
          <w:szCs w:val="22"/>
        </w:rPr>
        <w:t>.</w:t>
      </w:r>
      <w:r w:rsidR="005214BB" w:rsidRPr="00ED32B0">
        <w:rPr>
          <w:szCs w:val="22"/>
        </w:rPr>
        <w:t xml:space="preserve"> </w:t>
      </w:r>
      <w:r w:rsidR="00477829">
        <w:rPr>
          <w:szCs w:val="22"/>
        </w:rPr>
        <w:t xml:space="preserve"> </w:t>
      </w:r>
      <w:r w:rsidR="007C762A">
        <w:rPr>
          <w:szCs w:val="22"/>
        </w:rPr>
        <w:t>Nearly 67</w:t>
      </w:r>
      <w:r w:rsidR="00773265" w:rsidRPr="00ED32B0">
        <w:rPr>
          <w:szCs w:val="22"/>
        </w:rPr>
        <w:t xml:space="preserve"> </w:t>
      </w:r>
      <w:r w:rsidR="009442DC" w:rsidRPr="00ED32B0">
        <w:rPr>
          <w:szCs w:val="22"/>
        </w:rPr>
        <w:t>per cent</w:t>
      </w:r>
      <w:r w:rsidR="00633917" w:rsidRPr="00ED32B0">
        <w:rPr>
          <w:szCs w:val="22"/>
        </w:rPr>
        <w:t xml:space="preserve"> of </w:t>
      </w:r>
      <w:r w:rsidR="00773265" w:rsidRPr="00ED32B0">
        <w:rPr>
          <w:szCs w:val="22"/>
        </w:rPr>
        <w:t>staff</w:t>
      </w:r>
      <w:r w:rsidR="00633917" w:rsidRPr="00ED32B0">
        <w:rPr>
          <w:szCs w:val="22"/>
        </w:rPr>
        <w:t xml:space="preserve"> </w:t>
      </w:r>
      <w:r w:rsidR="00ED32B0">
        <w:rPr>
          <w:szCs w:val="22"/>
        </w:rPr>
        <w:t xml:space="preserve">on positions funded by the </w:t>
      </w:r>
      <w:r w:rsidR="00954CB8">
        <w:rPr>
          <w:szCs w:val="22"/>
        </w:rPr>
        <w:t>regular budget</w:t>
      </w:r>
      <w:r w:rsidR="00633917" w:rsidRPr="00ED32B0">
        <w:rPr>
          <w:szCs w:val="22"/>
        </w:rPr>
        <w:t xml:space="preserve"> hold continuing </w:t>
      </w:r>
      <w:r w:rsidR="00607E7F" w:rsidRPr="00ED32B0">
        <w:rPr>
          <w:szCs w:val="22"/>
        </w:rPr>
        <w:t>or permanent appointments</w:t>
      </w:r>
      <w:r w:rsidR="00633917" w:rsidRPr="00ED32B0">
        <w:rPr>
          <w:szCs w:val="22"/>
        </w:rPr>
        <w:t xml:space="preserve">, while fixed-term </w:t>
      </w:r>
      <w:r w:rsidR="00607E7F" w:rsidRPr="00ED32B0">
        <w:rPr>
          <w:szCs w:val="22"/>
        </w:rPr>
        <w:t>appointments</w:t>
      </w:r>
      <w:r w:rsidR="00633917" w:rsidRPr="00ED32B0">
        <w:rPr>
          <w:szCs w:val="22"/>
        </w:rPr>
        <w:t xml:space="preserve"> </w:t>
      </w:r>
      <w:r w:rsidR="00311933" w:rsidRPr="00ED32B0">
        <w:rPr>
          <w:szCs w:val="22"/>
        </w:rPr>
        <w:t>ac</w:t>
      </w:r>
      <w:r w:rsidR="00633917" w:rsidRPr="00ED32B0">
        <w:rPr>
          <w:szCs w:val="22"/>
        </w:rPr>
        <w:t xml:space="preserve">count for </w:t>
      </w:r>
      <w:r w:rsidR="00773265" w:rsidRPr="00ED32B0">
        <w:rPr>
          <w:szCs w:val="22"/>
        </w:rPr>
        <w:t xml:space="preserve">approximately </w:t>
      </w:r>
      <w:r w:rsidR="007C762A">
        <w:rPr>
          <w:szCs w:val="22"/>
        </w:rPr>
        <w:t>28</w:t>
      </w:r>
      <w:r w:rsidR="00773265" w:rsidRPr="00ED32B0">
        <w:rPr>
          <w:szCs w:val="22"/>
        </w:rPr>
        <w:t xml:space="preserve"> </w:t>
      </w:r>
      <w:r w:rsidR="009442DC" w:rsidRPr="00ED32B0">
        <w:rPr>
          <w:szCs w:val="22"/>
        </w:rPr>
        <w:t>per cent</w:t>
      </w:r>
      <w:r w:rsidR="00633917" w:rsidRPr="00ED32B0">
        <w:rPr>
          <w:szCs w:val="22"/>
        </w:rPr>
        <w:t xml:space="preserve"> and some </w:t>
      </w:r>
      <w:r w:rsidR="00773265" w:rsidRPr="00ED32B0">
        <w:rPr>
          <w:szCs w:val="22"/>
        </w:rPr>
        <w:t xml:space="preserve">5 </w:t>
      </w:r>
      <w:r w:rsidR="009442DC" w:rsidRPr="00ED32B0">
        <w:rPr>
          <w:szCs w:val="22"/>
        </w:rPr>
        <w:t>per cent</w:t>
      </w:r>
      <w:r w:rsidR="00633917" w:rsidRPr="00ED32B0">
        <w:rPr>
          <w:szCs w:val="22"/>
        </w:rPr>
        <w:t xml:space="preserve"> are temporary </w:t>
      </w:r>
      <w:r w:rsidR="00607E7F" w:rsidRPr="00ED32B0">
        <w:rPr>
          <w:szCs w:val="22"/>
        </w:rPr>
        <w:t>appointments</w:t>
      </w:r>
      <w:r w:rsidR="00633917" w:rsidRPr="00ED32B0">
        <w:rPr>
          <w:szCs w:val="22"/>
        </w:rPr>
        <w:t>.</w:t>
      </w:r>
      <w:r w:rsidR="00954CB8">
        <w:rPr>
          <w:szCs w:val="22"/>
        </w:rPr>
        <w:t xml:space="preserve"> </w:t>
      </w:r>
      <w:r w:rsidR="00477829">
        <w:rPr>
          <w:szCs w:val="22"/>
        </w:rPr>
        <w:t xml:space="preserve"> </w:t>
      </w:r>
      <w:r w:rsidR="00954CB8">
        <w:rPr>
          <w:szCs w:val="22"/>
        </w:rPr>
        <w:t>I</w:t>
      </w:r>
      <w:r w:rsidR="00FB124F">
        <w:rPr>
          <w:szCs w:val="22"/>
        </w:rPr>
        <w:t>t is to be noted that the process might be review</w:t>
      </w:r>
      <w:r w:rsidR="00AF6C92">
        <w:rPr>
          <w:szCs w:val="22"/>
        </w:rPr>
        <w:t>ed</w:t>
      </w:r>
      <w:r w:rsidR="00FB124F">
        <w:rPr>
          <w:szCs w:val="22"/>
        </w:rPr>
        <w:t xml:space="preserve"> </w:t>
      </w:r>
      <w:r w:rsidR="00AF6C92">
        <w:rPr>
          <w:szCs w:val="22"/>
        </w:rPr>
        <w:t>as</w:t>
      </w:r>
      <w:r w:rsidR="00FB124F">
        <w:rPr>
          <w:szCs w:val="22"/>
        </w:rPr>
        <w:t xml:space="preserve"> progress </w:t>
      </w:r>
      <w:r w:rsidR="00AF6C92">
        <w:rPr>
          <w:szCs w:val="22"/>
        </w:rPr>
        <w:t xml:space="preserve">advances </w:t>
      </w:r>
      <w:r w:rsidR="00FB124F">
        <w:rPr>
          <w:szCs w:val="22"/>
        </w:rPr>
        <w:t xml:space="preserve">on the framework to facilitate internal mobility, notably to take into account the individual commitment to continuous learning and demonstrated versatility. </w:t>
      </w:r>
    </w:p>
    <w:p w14:paraId="715B9813" w14:textId="1E9D3DEC" w:rsidR="00954CB8" w:rsidRPr="00ED32B0" w:rsidRDefault="00954CB8" w:rsidP="008F79EE">
      <w:pPr>
        <w:pStyle w:val="ListParagraph"/>
        <w:ind w:left="540"/>
        <w:rPr>
          <w:szCs w:val="22"/>
        </w:rPr>
      </w:pPr>
    </w:p>
    <w:p w14:paraId="6AAA642C" w14:textId="2AD3F8D2" w:rsidR="00521AE1" w:rsidRPr="00B35EC2" w:rsidRDefault="006D3834" w:rsidP="00B35EC2">
      <w:pPr>
        <w:pStyle w:val="ListParagraph"/>
        <w:ind w:left="540"/>
        <w:rPr>
          <w:szCs w:val="22"/>
        </w:rPr>
      </w:pPr>
      <w:r>
        <w:rPr>
          <w:szCs w:val="22"/>
        </w:rPr>
        <w:lastRenderedPageBreak/>
        <w:t>(iii)</w:t>
      </w:r>
      <w:r>
        <w:rPr>
          <w:szCs w:val="22"/>
        </w:rPr>
        <w:tab/>
      </w:r>
      <w:r w:rsidR="00311933">
        <w:rPr>
          <w:szCs w:val="22"/>
        </w:rPr>
        <w:t xml:space="preserve">Additionally, </w:t>
      </w:r>
      <w:r w:rsidR="00FB124F">
        <w:rPr>
          <w:szCs w:val="22"/>
        </w:rPr>
        <w:t>the policy on classification of</w:t>
      </w:r>
      <w:r w:rsidR="00350C15">
        <w:rPr>
          <w:szCs w:val="22"/>
        </w:rPr>
        <w:t xml:space="preserve"> occupied</w:t>
      </w:r>
      <w:r w:rsidR="00FB124F">
        <w:rPr>
          <w:szCs w:val="22"/>
        </w:rPr>
        <w:t xml:space="preserve"> </w:t>
      </w:r>
      <w:r w:rsidR="00726C8A">
        <w:rPr>
          <w:szCs w:val="22"/>
        </w:rPr>
        <w:t xml:space="preserve">positions </w:t>
      </w:r>
      <w:r w:rsidR="00FB124F">
        <w:rPr>
          <w:szCs w:val="22"/>
        </w:rPr>
        <w:t>will need to be reviewed.</w:t>
      </w:r>
      <w:r w:rsidR="00477829">
        <w:rPr>
          <w:szCs w:val="22"/>
        </w:rPr>
        <w:t xml:space="preserve"> </w:t>
      </w:r>
      <w:r w:rsidR="00FB124F">
        <w:rPr>
          <w:szCs w:val="22"/>
        </w:rPr>
        <w:t xml:space="preserve"> </w:t>
      </w:r>
      <w:r w:rsidR="00633917" w:rsidRPr="005434F1">
        <w:rPr>
          <w:szCs w:val="22"/>
        </w:rPr>
        <w:t xml:space="preserve">Reclassification of </w:t>
      </w:r>
      <w:r w:rsidR="00350C15">
        <w:rPr>
          <w:szCs w:val="22"/>
        </w:rPr>
        <w:t>occupied</w:t>
      </w:r>
      <w:r w:rsidR="001D0448" w:rsidRPr="005434F1">
        <w:rPr>
          <w:szCs w:val="22"/>
        </w:rPr>
        <w:t xml:space="preserve"> </w:t>
      </w:r>
      <w:r w:rsidR="00633917" w:rsidRPr="005434F1">
        <w:rPr>
          <w:szCs w:val="22"/>
        </w:rPr>
        <w:t xml:space="preserve">positions </w:t>
      </w:r>
      <w:r w:rsidR="001D0448">
        <w:rPr>
          <w:szCs w:val="22"/>
        </w:rPr>
        <w:t>runs counter</w:t>
      </w:r>
      <w:r w:rsidR="00633917" w:rsidRPr="005434F1">
        <w:rPr>
          <w:szCs w:val="22"/>
        </w:rPr>
        <w:t xml:space="preserve"> to mobility</w:t>
      </w:r>
      <w:r w:rsidR="00FB124F">
        <w:rPr>
          <w:szCs w:val="22"/>
        </w:rPr>
        <w:t xml:space="preserve"> (and</w:t>
      </w:r>
      <w:r w:rsidR="003C21A3">
        <w:rPr>
          <w:szCs w:val="22"/>
        </w:rPr>
        <w:t xml:space="preserve"> requests tend to favor male colleagues</w:t>
      </w:r>
      <w:r w:rsidR="00FB124F">
        <w:rPr>
          <w:szCs w:val="22"/>
        </w:rPr>
        <w:t>)</w:t>
      </w:r>
      <w:r w:rsidR="003C21A3">
        <w:rPr>
          <w:szCs w:val="22"/>
        </w:rPr>
        <w:t>.</w:t>
      </w:r>
      <w:r w:rsidR="00FB124F">
        <w:rPr>
          <w:szCs w:val="22"/>
        </w:rPr>
        <w:t xml:space="preserve">. </w:t>
      </w:r>
      <w:r w:rsidR="00477829">
        <w:rPr>
          <w:szCs w:val="22"/>
        </w:rPr>
        <w:t xml:space="preserve"> </w:t>
      </w:r>
    </w:p>
    <w:p w14:paraId="3254B9D6" w14:textId="77777777" w:rsidR="00097394" w:rsidRDefault="00097394">
      <w:pPr>
        <w:rPr>
          <w:b/>
          <w:bCs/>
          <w:caps/>
          <w:kern w:val="32"/>
          <w:szCs w:val="32"/>
        </w:rPr>
      </w:pPr>
    </w:p>
    <w:p w14:paraId="6BCFEEDE" w14:textId="18C8CE98" w:rsidR="00311933" w:rsidRDefault="00311933" w:rsidP="00311933">
      <w:pPr>
        <w:pStyle w:val="Heading1"/>
        <w:numPr>
          <w:ilvl w:val="0"/>
          <w:numId w:val="11"/>
        </w:numPr>
        <w:spacing w:before="0"/>
        <w:ind w:left="567" w:hanging="567"/>
      </w:pPr>
      <w:r>
        <w:t>a performance-driven organization</w:t>
      </w:r>
    </w:p>
    <w:p w14:paraId="5D4113D9" w14:textId="150AB14E" w:rsidR="00311933" w:rsidRDefault="00311933" w:rsidP="00311933"/>
    <w:p w14:paraId="4ECE877B" w14:textId="362BA340" w:rsidR="0015681B" w:rsidRDefault="00311933" w:rsidP="00311933">
      <w:pPr>
        <w:pStyle w:val="ListParagraph"/>
        <w:keepNext/>
        <w:numPr>
          <w:ilvl w:val="0"/>
          <w:numId w:val="12"/>
        </w:numPr>
        <w:ind w:left="0" w:firstLine="0"/>
        <w:rPr>
          <w:szCs w:val="22"/>
        </w:rPr>
      </w:pPr>
      <w:r>
        <w:rPr>
          <w:szCs w:val="22"/>
        </w:rPr>
        <w:t>It is recalled that</w:t>
      </w:r>
      <w:r w:rsidR="00D51505">
        <w:rPr>
          <w:szCs w:val="22"/>
        </w:rPr>
        <w:t xml:space="preserve"> </w:t>
      </w:r>
      <w:r w:rsidRPr="00311933">
        <w:rPr>
          <w:szCs w:val="22"/>
        </w:rPr>
        <w:t>Price Waterhouse Coopers (PWC) conducted a review of WIPO’s Performance Management and Staff Development System</w:t>
      </w:r>
      <w:r w:rsidR="00D51505">
        <w:rPr>
          <w:szCs w:val="22"/>
        </w:rPr>
        <w:t xml:space="preserve"> i</w:t>
      </w:r>
      <w:r w:rsidR="00D51505" w:rsidRPr="00311933">
        <w:rPr>
          <w:szCs w:val="22"/>
        </w:rPr>
        <w:t>n 2021</w:t>
      </w:r>
      <w:r w:rsidRPr="00311933">
        <w:rPr>
          <w:szCs w:val="22"/>
        </w:rPr>
        <w:t>.  Recognizing the importance of culture in performance management, a Cultural Thumbprint was established for WIPO</w:t>
      </w:r>
      <w:r w:rsidR="003C21A3">
        <w:rPr>
          <w:szCs w:val="22"/>
        </w:rPr>
        <w:t>, which is a snapshot o</w:t>
      </w:r>
      <w:r w:rsidR="006572D4">
        <w:rPr>
          <w:szCs w:val="22"/>
        </w:rPr>
        <w:t>f</w:t>
      </w:r>
      <w:r w:rsidR="003C21A3">
        <w:rPr>
          <w:szCs w:val="22"/>
        </w:rPr>
        <w:t xml:space="preserve"> the </w:t>
      </w:r>
      <w:r w:rsidR="00FA0927">
        <w:rPr>
          <w:szCs w:val="22"/>
        </w:rPr>
        <w:t>O</w:t>
      </w:r>
      <w:r w:rsidR="003C21A3">
        <w:rPr>
          <w:szCs w:val="22"/>
        </w:rPr>
        <w:t>rganization’s culture</w:t>
      </w:r>
      <w:r w:rsidR="0015681B">
        <w:rPr>
          <w:szCs w:val="22"/>
        </w:rPr>
        <w:t>.</w:t>
      </w:r>
      <w:r w:rsidRPr="00311933">
        <w:rPr>
          <w:szCs w:val="22"/>
        </w:rPr>
        <w:t xml:space="preserve"> </w:t>
      </w:r>
      <w:r w:rsidR="00382A45">
        <w:rPr>
          <w:szCs w:val="22"/>
        </w:rPr>
        <w:t xml:space="preserve"> </w:t>
      </w:r>
      <w:r w:rsidRPr="00311933">
        <w:rPr>
          <w:szCs w:val="22"/>
        </w:rPr>
        <w:t>The review also identified the need for a number of key changes in WIPO’s performance management</w:t>
      </w:r>
      <w:r w:rsidR="00AF6C92">
        <w:rPr>
          <w:szCs w:val="22"/>
        </w:rPr>
        <w:t xml:space="preserve">. </w:t>
      </w:r>
      <w:r w:rsidR="00382A45">
        <w:rPr>
          <w:szCs w:val="22"/>
        </w:rPr>
        <w:t xml:space="preserve"> </w:t>
      </w:r>
      <w:r w:rsidR="00AF6C92">
        <w:rPr>
          <w:szCs w:val="22"/>
        </w:rPr>
        <w:t>This</w:t>
      </w:r>
      <w:r w:rsidRPr="00311933">
        <w:rPr>
          <w:szCs w:val="22"/>
        </w:rPr>
        <w:t xml:space="preserve"> included the need for more objectivity, recognition and development supported by a more user-centric process</w:t>
      </w:r>
      <w:r w:rsidR="00AF6C92">
        <w:rPr>
          <w:szCs w:val="22"/>
        </w:rPr>
        <w:t>.</w:t>
      </w:r>
      <w:r w:rsidR="00382A45">
        <w:rPr>
          <w:szCs w:val="22"/>
        </w:rPr>
        <w:t xml:space="preserve"> </w:t>
      </w:r>
      <w:r w:rsidR="00AF6C92">
        <w:rPr>
          <w:szCs w:val="22"/>
        </w:rPr>
        <w:t xml:space="preserve"> It als</w:t>
      </w:r>
      <w:r w:rsidR="00726C8A">
        <w:rPr>
          <w:szCs w:val="22"/>
        </w:rPr>
        <w:t>o</w:t>
      </w:r>
      <w:r w:rsidR="00AF6C92">
        <w:rPr>
          <w:szCs w:val="22"/>
        </w:rPr>
        <w:t xml:space="preserve"> included</w:t>
      </w:r>
      <w:r w:rsidR="00773265">
        <w:rPr>
          <w:szCs w:val="22"/>
        </w:rPr>
        <w:t xml:space="preserve"> the</w:t>
      </w:r>
      <w:r w:rsidRPr="00311933">
        <w:rPr>
          <w:szCs w:val="22"/>
        </w:rPr>
        <w:t xml:space="preserve"> need for a deep cultural evolution of mindsets and behaviors around performance</w:t>
      </w:r>
      <w:r w:rsidR="00773265">
        <w:rPr>
          <w:szCs w:val="22"/>
        </w:rPr>
        <w:t>, whilst developing</w:t>
      </w:r>
      <w:r w:rsidRPr="00311933">
        <w:rPr>
          <w:szCs w:val="22"/>
        </w:rPr>
        <w:t xml:space="preserve"> a “growth mindset” across the Organization.  </w:t>
      </w:r>
      <w:r w:rsidR="00BD295B" w:rsidRPr="003E6687">
        <w:rPr>
          <w:szCs w:val="22"/>
        </w:rPr>
        <w:t>This will not only prove valuable for the new system design</w:t>
      </w:r>
      <w:r w:rsidR="00BD295B">
        <w:rPr>
          <w:szCs w:val="22"/>
        </w:rPr>
        <w:t>,</w:t>
      </w:r>
      <w:r w:rsidR="00BD295B" w:rsidRPr="003E6687">
        <w:rPr>
          <w:szCs w:val="22"/>
        </w:rPr>
        <w:t xml:space="preserve"> but also in the cultural change around performance management, namely, moving towards more continuous performance feedback and future-focused conversations, feedback from multi</w:t>
      </w:r>
      <w:r w:rsidR="00D90A1A">
        <w:rPr>
          <w:szCs w:val="22"/>
        </w:rPr>
        <w:t>ple</w:t>
      </w:r>
      <w:r w:rsidR="00BD295B" w:rsidRPr="003E6687">
        <w:rPr>
          <w:szCs w:val="22"/>
        </w:rPr>
        <w:t>-</w:t>
      </w:r>
      <w:r w:rsidR="003C21A3">
        <w:rPr>
          <w:szCs w:val="22"/>
        </w:rPr>
        <w:t>reviewers</w:t>
      </w:r>
      <w:r w:rsidR="003C21A3" w:rsidRPr="003E6687">
        <w:rPr>
          <w:szCs w:val="22"/>
        </w:rPr>
        <w:t xml:space="preserve"> </w:t>
      </w:r>
      <w:r w:rsidR="00BD295B" w:rsidRPr="003E6687">
        <w:rPr>
          <w:szCs w:val="22"/>
        </w:rPr>
        <w:t>and a greater focus on the management of performance itself rather than compliance.</w:t>
      </w:r>
    </w:p>
    <w:p w14:paraId="54528CF2" w14:textId="77777777" w:rsidR="0015681B" w:rsidRDefault="0015681B" w:rsidP="0015681B">
      <w:pPr>
        <w:pStyle w:val="ListParagraph"/>
        <w:keepNext/>
        <w:ind w:left="0"/>
        <w:rPr>
          <w:szCs w:val="22"/>
        </w:rPr>
      </w:pPr>
    </w:p>
    <w:p w14:paraId="6026BAE1" w14:textId="453E262F" w:rsidR="0015681B" w:rsidRDefault="00773265" w:rsidP="0015681B">
      <w:pPr>
        <w:pStyle w:val="ListParagraph"/>
        <w:keepNext/>
        <w:numPr>
          <w:ilvl w:val="0"/>
          <w:numId w:val="12"/>
        </w:numPr>
        <w:ind w:left="0" w:firstLine="0"/>
        <w:rPr>
          <w:szCs w:val="22"/>
        </w:rPr>
      </w:pPr>
      <w:r>
        <w:rPr>
          <w:szCs w:val="22"/>
        </w:rPr>
        <w:t>Consequently, i</w:t>
      </w:r>
      <w:r w:rsidR="0015681B">
        <w:rPr>
          <w:szCs w:val="22"/>
        </w:rPr>
        <w:t>n 2022, a</w:t>
      </w:r>
      <w:r w:rsidR="00311933" w:rsidRPr="00311933">
        <w:rPr>
          <w:szCs w:val="22"/>
        </w:rPr>
        <w:t>n organizational Performance Management Philosophy</w:t>
      </w:r>
      <w:r w:rsidR="00A677F2">
        <w:rPr>
          <w:rStyle w:val="FootnoteReference"/>
          <w:szCs w:val="22"/>
        </w:rPr>
        <w:footnoteReference w:id="5"/>
      </w:r>
      <w:r w:rsidR="00311933" w:rsidRPr="00311933">
        <w:rPr>
          <w:szCs w:val="22"/>
        </w:rPr>
        <w:t xml:space="preserve"> was established by senior management in collaboration with WIPO personnel with a view to setting the vision for our new performance management system.  Following this, extensive consultations were </w:t>
      </w:r>
      <w:r w:rsidR="00DF4904">
        <w:rPr>
          <w:szCs w:val="22"/>
        </w:rPr>
        <w:t>conducted</w:t>
      </w:r>
      <w:r w:rsidR="00311933" w:rsidRPr="00311933">
        <w:rPr>
          <w:szCs w:val="22"/>
        </w:rPr>
        <w:t xml:space="preserve"> with managers and staff to understand their views and come up with the </w:t>
      </w:r>
      <w:r w:rsidR="00DF4904">
        <w:rPr>
          <w:szCs w:val="22"/>
        </w:rPr>
        <w:t>underlying objective</w:t>
      </w:r>
      <w:r w:rsidR="00311933" w:rsidRPr="00311933">
        <w:rPr>
          <w:szCs w:val="22"/>
        </w:rPr>
        <w:t xml:space="preserve"> of our new performance management system </w:t>
      </w:r>
      <w:r w:rsidR="00DF4904">
        <w:rPr>
          <w:szCs w:val="22"/>
        </w:rPr>
        <w:t xml:space="preserve">as essential in the </w:t>
      </w:r>
      <w:r w:rsidR="00311933" w:rsidRPr="00311933">
        <w:rPr>
          <w:szCs w:val="22"/>
        </w:rPr>
        <w:t>operationaliz</w:t>
      </w:r>
      <w:r w:rsidR="00DF4904">
        <w:rPr>
          <w:szCs w:val="22"/>
        </w:rPr>
        <w:t>ation of</w:t>
      </w:r>
      <w:r w:rsidR="00311933" w:rsidRPr="00311933">
        <w:rPr>
          <w:szCs w:val="22"/>
        </w:rPr>
        <w:t xml:space="preserve"> the philosophy.</w:t>
      </w:r>
    </w:p>
    <w:p w14:paraId="5423824E" w14:textId="77777777" w:rsidR="0015681B" w:rsidRPr="0015681B" w:rsidRDefault="0015681B" w:rsidP="0015681B">
      <w:pPr>
        <w:pStyle w:val="ListParagraph"/>
        <w:rPr>
          <w:szCs w:val="22"/>
        </w:rPr>
      </w:pPr>
    </w:p>
    <w:p w14:paraId="2EC1C34C" w14:textId="353AE084" w:rsidR="0015681B" w:rsidRPr="003E6687" w:rsidRDefault="00311933" w:rsidP="00954CB8">
      <w:pPr>
        <w:pStyle w:val="ListParagraph"/>
        <w:keepNext/>
        <w:numPr>
          <w:ilvl w:val="0"/>
          <w:numId w:val="12"/>
        </w:numPr>
        <w:ind w:left="0" w:firstLine="0"/>
        <w:rPr>
          <w:szCs w:val="22"/>
        </w:rPr>
      </w:pPr>
      <w:r w:rsidRPr="003E6687">
        <w:rPr>
          <w:szCs w:val="22"/>
        </w:rPr>
        <w:t xml:space="preserve">In 2023, the new design of a system will take shape so that a </w:t>
      </w:r>
      <w:r w:rsidR="002500E0">
        <w:rPr>
          <w:szCs w:val="22"/>
        </w:rPr>
        <w:t>redesigned</w:t>
      </w:r>
      <w:r w:rsidR="002500E0" w:rsidRPr="003E6687">
        <w:rPr>
          <w:szCs w:val="22"/>
        </w:rPr>
        <w:t xml:space="preserve"> </w:t>
      </w:r>
      <w:r w:rsidRPr="003E6687">
        <w:rPr>
          <w:szCs w:val="22"/>
        </w:rPr>
        <w:t>performance management system may be int</w:t>
      </w:r>
      <w:r w:rsidR="00FB124F">
        <w:rPr>
          <w:szCs w:val="22"/>
        </w:rPr>
        <w:t xml:space="preserve">roduced in 2024.  Since early 2023, </w:t>
      </w:r>
      <w:r w:rsidRPr="003E6687">
        <w:rPr>
          <w:szCs w:val="22"/>
        </w:rPr>
        <w:t>“road-tests” (pilots)</w:t>
      </w:r>
      <w:r w:rsidR="00FB124F">
        <w:rPr>
          <w:szCs w:val="22"/>
        </w:rPr>
        <w:t xml:space="preserve"> have been initiated</w:t>
      </w:r>
      <w:r w:rsidRPr="003E6687">
        <w:rPr>
          <w:szCs w:val="22"/>
        </w:rPr>
        <w:t xml:space="preserve"> to test some of the possible features and desired behaviors for a new performance management system.  </w:t>
      </w:r>
    </w:p>
    <w:p w14:paraId="507FDE00" w14:textId="77777777" w:rsidR="0015681B" w:rsidRPr="0015681B" w:rsidRDefault="0015681B" w:rsidP="0015681B">
      <w:pPr>
        <w:pStyle w:val="ListParagraph"/>
        <w:rPr>
          <w:szCs w:val="22"/>
        </w:rPr>
      </w:pPr>
    </w:p>
    <w:p w14:paraId="27095C90" w14:textId="4CB598A7" w:rsidR="0015681B" w:rsidRDefault="0015681B" w:rsidP="0015681B">
      <w:pPr>
        <w:pStyle w:val="Heading1"/>
        <w:numPr>
          <w:ilvl w:val="0"/>
          <w:numId w:val="11"/>
        </w:numPr>
        <w:spacing w:before="0"/>
        <w:ind w:left="567" w:hanging="567"/>
      </w:pPr>
      <w:r>
        <w:t>holistic perspective on learning and development</w:t>
      </w:r>
    </w:p>
    <w:p w14:paraId="2D30BB5C" w14:textId="77777777" w:rsidR="0015681B" w:rsidRDefault="0015681B" w:rsidP="0015681B"/>
    <w:p w14:paraId="26DAF95C" w14:textId="24FF9EAA" w:rsidR="00692F15" w:rsidRDefault="00A677F2" w:rsidP="0015681B">
      <w:pPr>
        <w:pStyle w:val="Default"/>
        <w:numPr>
          <w:ilvl w:val="0"/>
          <w:numId w:val="12"/>
        </w:numPr>
        <w:ind w:left="0" w:firstLine="0"/>
        <w:rPr>
          <w:rFonts w:ascii="Arial" w:hAnsi="Arial" w:cs="Arial"/>
          <w:color w:val="auto"/>
          <w:sz w:val="22"/>
          <w:szCs w:val="22"/>
        </w:rPr>
      </w:pPr>
      <w:r>
        <w:rPr>
          <w:rFonts w:ascii="Arial" w:hAnsi="Arial" w:cs="Arial"/>
          <w:color w:val="auto"/>
          <w:sz w:val="22"/>
          <w:szCs w:val="22"/>
        </w:rPr>
        <w:t>The Organization is acutely aware</w:t>
      </w:r>
      <w:r w:rsidR="0015681B" w:rsidRPr="008501CC">
        <w:rPr>
          <w:rFonts w:ascii="Arial" w:hAnsi="Arial" w:cs="Arial"/>
          <w:color w:val="auto"/>
          <w:sz w:val="22"/>
          <w:szCs w:val="22"/>
        </w:rPr>
        <w:t xml:space="preserve"> that personal</w:t>
      </w:r>
      <w:r w:rsidR="00987ED6">
        <w:rPr>
          <w:rFonts w:ascii="Arial" w:hAnsi="Arial" w:cs="Arial"/>
          <w:color w:val="auto"/>
          <w:sz w:val="22"/>
          <w:szCs w:val="22"/>
        </w:rPr>
        <w:t xml:space="preserve"> and professional development are</w:t>
      </w:r>
      <w:r w:rsidR="0015681B" w:rsidRPr="008501CC">
        <w:rPr>
          <w:rFonts w:ascii="Arial" w:hAnsi="Arial" w:cs="Arial"/>
          <w:color w:val="auto"/>
          <w:sz w:val="22"/>
          <w:szCs w:val="22"/>
        </w:rPr>
        <w:t xml:space="preserve"> key to managing and motivating performance.  </w:t>
      </w:r>
      <w:r w:rsidR="0015681B">
        <w:rPr>
          <w:rFonts w:ascii="Arial" w:hAnsi="Arial" w:cs="Arial"/>
          <w:color w:val="auto"/>
          <w:sz w:val="22"/>
          <w:szCs w:val="22"/>
        </w:rPr>
        <w:t>It is also</w:t>
      </w:r>
      <w:r w:rsidR="0015681B" w:rsidRPr="008501CC">
        <w:rPr>
          <w:rFonts w:ascii="Arial" w:hAnsi="Arial" w:cs="Arial"/>
          <w:color w:val="auto"/>
          <w:sz w:val="22"/>
          <w:szCs w:val="22"/>
        </w:rPr>
        <w:t xml:space="preserve"> clear that </w:t>
      </w:r>
      <w:r w:rsidR="0015681B">
        <w:rPr>
          <w:rFonts w:ascii="Arial" w:hAnsi="Arial" w:cs="Arial"/>
          <w:color w:val="auto"/>
          <w:sz w:val="22"/>
          <w:szCs w:val="22"/>
        </w:rPr>
        <w:t>the Organization</w:t>
      </w:r>
      <w:r w:rsidR="0015681B" w:rsidRPr="008501CC">
        <w:rPr>
          <w:rFonts w:ascii="Arial" w:hAnsi="Arial" w:cs="Arial"/>
          <w:color w:val="auto"/>
          <w:sz w:val="22"/>
          <w:szCs w:val="22"/>
        </w:rPr>
        <w:t xml:space="preserve"> must invest in its </w:t>
      </w:r>
      <w:r w:rsidR="0015681B">
        <w:rPr>
          <w:rFonts w:ascii="Arial" w:hAnsi="Arial" w:cs="Arial"/>
          <w:color w:val="auto"/>
          <w:sz w:val="22"/>
          <w:szCs w:val="22"/>
        </w:rPr>
        <w:t>employees</w:t>
      </w:r>
      <w:r w:rsidR="0015681B" w:rsidRPr="008501CC">
        <w:rPr>
          <w:rFonts w:ascii="Arial" w:hAnsi="Arial" w:cs="Arial"/>
          <w:color w:val="auto"/>
          <w:sz w:val="22"/>
          <w:szCs w:val="22"/>
        </w:rPr>
        <w:t xml:space="preserve"> to ensure that </w:t>
      </w:r>
      <w:r w:rsidR="0015681B">
        <w:rPr>
          <w:rFonts w:ascii="Arial" w:hAnsi="Arial" w:cs="Arial"/>
          <w:color w:val="auto"/>
          <w:sz w:val="22"/>
          <w:szCs w:val="22"/>
        </w:rPr>
        <w:t>it</w:t>
      </w:r>
      <w:r w:rsidR="0015681B" w:rsidRPr="008501CC">
        <w:rPr>
          <w:rFonts w:ascii="Arial" w:hAnsi="Arial" w:cs="Arial"/>
          <w:color w:val="auto"/>
          <w:sz w:val="22"/>
          <w:szCs w:val="22"/>
        </w:rPr>
        <w:t xml:space="preserve"> has the skills to meet </w:t>
      </w:r>
      <w:r w:rsidR="0015681B">
        <w:rPr>
          <w:rFonts w:ascii="Arial" w:hAnsi="Arial" w:cs="Arial"/>
          <w:color w:val="auto"/>
          <w:sz w:val="22"/>
          <w:szCs w:val="22"/>
        </w:rPr>
        <w:t>current and future demands</w:t>
      </w:r>
      <w:r w:rsidR="007B3730">
        <w:rPr>
          <w:rFonts w:ascii="Arial" w:hAnsi="Arial" w:cs="Arial"/>
          <w:color w:val="auto"/>
          <w:sz w:val="22"/>
          <w:szCs w:val="22"/>
        </w:rPr>
        <w:t xml:space="preserve"> and remain competitive in an ever-tightening market for talent.</w:t>
      </w:r>
      <w:r w:rsidR="0015681B" w:rsidRPr="008501CC">
        <w:rPr>
          <w:rFonts w:ascii="Arial" w:hAnsi="Arial" w:cs="Arial"/>
          <w:color w:val="auto"/>
          <w:sz w:val="22"/>
          <w:szCs w:val="22"/>
        </w:rPr>
        <w:t xml:space="preserve"> </w:t>
      </w:r>
    </w:p>
    <w:p w14:paraId="5E0B788C" w14:textId="4432C31D" w:rsidR="00692F15" w:rsidRPr="00B35EC2" w:rsidRDefault="00B35EC2" w:rsidP="00B35EC2">
      <w:pPr>
        <w:rPr>
          <w:rFonts w:eastAsia="Times New Roman"/>
          <w:szCs w:val="22"/>
          <w:lang w:eastAsia="en-US"/>
        </w:rPr>
      </w:pPr>
      <w:r>
        <w:rPr>
          <w:szCs w:val="22"/>
        </w:rPr>
        <w:br w:type="page"/>
      </w:r>
    </w:p>
    <w:p w14:paraId="000D0D25" w14:textId="0FB6107D" w:rsidR="004E71CF" w:rsidRPr="004E71CF" w:rsidRDefault="004E71CF" w:rsidP="004E71CF">
      <w:pPr>
        <w:pStyle w:val="ListParagraph"/>
        <w:numPr>
          <w:ilvl w:val="0"/>
          <w:numId w:val="12"/>
        </w:numPr>
        <w:tabs>
          <w:tab w:val="left" w:pos="540"/>
          <w:tab w:val="left" w:pos="6930"/>
        </w:tabs>
        <w:ind w:left="0" w:firstLine="0"/>
      </w:pPr>
      <w:r w:rsidRPr="004E71CF">
        <w:rPr>
          <w:szCs w:val="22"/>
        </w:rPr>
        <w:lastRenderedPageBreak/>
        <w:t>With the restructuring of HRMD in early 2022, the responsibility for the implementation and delivery of learning programs</w:t>
      </w:r>
      <w:r>
        <w:rPr>
          <w:szCs w:val="22"/>
        </w:rPr>
        <w:t xml:space="preserve"> </w:t>
      </w:r>
      <w:r w:rsidRPr="004E71CF">
        <w:rPr>
          <w:color w:val="000000"/>
          <w:szCs w:val="22"/>
        </w:rPr>
        <w:t xml:space="preserve">was transferred to the WIPO Academy. </w:t>
      </w:r>
      <w:r w:rsidR="00A3316D">
        <w:rPr>
          <w:color w:val="000000"/>
          <w:szCs w:val="22"/>
        </w:rPr>
        <w:t xml:space="preserve"> </w:t>
      </w:r>
      <w:r w:rsidRPr="004E71CF">
        <w:rPr>
          <w:color w:val="000000"/>
          <w:szCs w:val="22"/>
        </w:rPr>
        <w:t xml:space="preserve">In this manner, the expertise that sits within the WIPO Academy can also benefit WIPO staff. </w:t>
      </w:r>
      <w:r w:rsidR="00A3316D">
        <w:rPr>
          <w:color w:val="000000"/>
          <w:szCs w:val="22"/>
        </w:rPr>
        <w:t xml:space="preserve"> </w:t>
      </w:r>
      <w:r w:rsidRPr="004E71CF">
        <w:rPr>
          <w:color w:val="000000"/>
          <w:szCs w:val="22"/>
        </w:rPr>
        <w:t xml:space="preserve">A Learning and Development Task Force was </w:t>
      </w:r>
      <w:r w:rsidR="00DF4904">
        <w:rPr>
          <w:color w:val="000000"/>
          <w:szCs w:val="22"/>
        </w:rPr>
        <w:t>established</w:t>
      </w:r>
      <w:r w:rsidRPr="004E71CF">
        <w:rPr>
          <w:color w:val="000000"/>
          <w:szCs w:val="22"/>
        </w:rPr>
        <w:t xml:space="preserve"> to ensure that internal training at WIPO is more strategically focused.</w:t>
      </w:r>
      <w:r w:rsidR="00A3316D">
        <w:rPr>
          <w:color w:val="000000"/>
          <w:szCs w:val="22"/>
        </w:rPr>
        <w:t xml:space="preserve"> </w:t>
      </w:r>
      <w:r w:rsidRPr="004E71CF">
        <w:rPr>
          <w:color w:val="000000"/>
          <w:szCs w:val="22"/>
        </w:rPr>
        <w:t xml:space="preserve"> A WIPO Learning and Development Framework was developed to ensure that training programs meet both the development and business needs of employees and the Organization</w:t>
      </w:r>
      <w:r w:rsidR="00DF4904">
        <w:rPr>
          <w:color w:val="000000"/>
          <w:szCs w:val="22"/>
        </w:rPr>
        <w:t xml:space="preserve"> alike</w:t>
      </w:r>
      <w:r w:rsidRPr="004E71CF">
        <w:rPr>
          <w:color w:val="000000"/>
          <w:szCs w:val="22"/>
        </w:rPr>
        <w:t xml:space="preserve">. </w:t>
      </w:r>
      <w:r w:rsidR="00A3316D">
        <w:rPr>
          <w:color w:val="000000"/>
          <w:szCs w:val="22"/>
        </w:rPr>
        <w:t xml:space="preserve"> </w:t>
      </w:r>
      <w:r w:rsidRPr="004E71CF">
        <w:rPr>
          <w:color w:val="000000"/>
          <w:szCs w:val="22"/>
        </w:rPr>
        <w:t xml:space="preserve">The framework is divided into three parts – mandatory, substantive and optional training, and considers the </w:t>
      </w:r>
      <w:r w:rsidR="00DF4904">
        <w:rPr>
          <w:color w:val="000000"/>
          <w:szCs w:val="22"/>
        </w:rPr>
        <w:t xml:space="preserve">lifecycle of the </w:t>
      </w:r>
      <w:r w:rsidRPr="004E71CF">
        <w:rPr>
          <w:color w:val="000000"/>
          <w:szCs w:val="22"/>
        </w:rPr>
        <w:t xml:space="preserve">employee journey to ensure we provide the right training at the right stage. </w:t>
      </w:r>
      <w:r w:rsidR="00A3316D">
        <w:rPr>
          <w:color w:val="000000"/>
          <w:szCs w:val="22"/>
        </w:rPr>
        <w:t xml:space="preserve"> </w:t>
      </w:r>
      <w:r w:rsidRPr="004E71CF">
        <w:rPr>
          <w:color w:val="000000"/>
          <w:szCs w:val="22"/>
        </w:rPr>
        <w:t>One significant achievement in this regard was the extensive work undertaken by the Task Force in 2022 with lead</w:t>
      </w:r>
      <w:r w:rsidR="0020718C">
        <w:rPr>
          <w:color w:val="000000"/>
          <w:szCs w:val="22"/>
        </w:rPr>
        <w:t>ing</w:t>
      </w:r>
      <w:r w:rsidRPr="004E71CF">
        <w:rPr>
          <w:color w:val="000000"/>
          <w:szCs w:val="22"/>
        </w:rPr>
        <w:t xml:space="preserve"> universities</w:t>
      </w:r>
      <w:r w:rsidRPr="004E71CF">
        <w:rPr>
          <w:szCs w:val="22"/>
        </w:rPr>
        <w:t xml:space="preserve"> to identify Leadership and Management Programs suited to WIPO staff.  A menu of high level programs </w:t>
      </w:r>
      <w:r w:rsidR="002C22EA">
        <w:rPr>
          <w:szCs w:val="22"/>
        </w:rPr>
        <w:t xml:space="preserve">has </w:t>
      </w:r>
      <w:r w:rsidRPr="004E71CF">
        <w:rPr>
          <w:szCs w:val="22"/>
        </w:rPr>
        <w:t xml:space="preserve">been identified and a first cohort of some </w:t>
      </w:r>
      <w:r>
        <w:rPr>
          <w:szCs w:val="22"/>
        </w:rPr>
        <w:t>70</w:t>
      </w:r>
      <w:r w:rsidRPr="004E71CF">
        <w:rPr>
          <w:szCs w:val="22"/>
        </w:rPr>
        <w:t xml:space="preserve"> participants will benefit from Leadership and Management training in the coming months of 2023.</w:t>
      </w:r>
    </w:p>
    <w:p w14:paraId="2742DBBD" w14:textId="4094006D" w:rsidR="004E71CF" w:rsidRDefault="004E71CF" w:rsidP="004E71CF">
      <w:pPr>
        <w:pStyle w:val="ListParagraph"/>
        <w:tabs>
          <w:tab w:val="left" w:pos="540"/>
          <w:tab w:val="left" w:pos="6930"/>
        </w:tabs>
        <w:ind w:left="0"/>
      </w:pPr>
    </w:p>
    <w:p w14:paraId="554A6D3C" w14:textId="11399695" w:rsidR="00DC0039" w:rsidRDefault="00DC0039" w:rsidP="00311933">
      <w:pPr>
        <w:pStyle w:val="ListParagraph"/>
        <w:keepNext/>
        <w:numPr>
          <w:ilvl w:val="0"/>
          <w:numId w:val="12"/>
        </w:numPr>
        <w:ind w:left="0" w:firstLine="0"/>
        <w:rPr>
          <w:szCs w:val="22"/>
        </w:rPr>
      </w:pPr>
      <w:r>
        <w:rPr>
          <w:szCs w:val="22"/>
        </w:rPr>
        <w:t>Furthermore, s</w:t>
      </w:r>
      <w:r w:rsidRPr="005434F1">
        <w:rPr>
          <w:szCs w:val="22"/>
        </w:rPr>
        <w:t xml:space="preserve">trategic workforce planning sessions coordinated by the Talent Business Partners in late 2022 and questionnaires completed by the Sectors fed into </w:t>
      </w:r>
      <w:r w:rsidR="003F59EE">
        <w:rPr>
          <w:szCs w:val="22"/>
        </w:rPr>
        <w:t>the development of Learning and Development frameworks for sectors/specific work areas</w:t>
      </w:r>
      <w:r w:rsidRPr="005434F1">
        <w:rPr>
          <w:szCs w:val="22"/>
        </w:rPr>
        <w:t xml:space="preserve">.  </w:t>
      </w:r>
    </w:p>
    <w:p w14:paraId="6E48B8A9" w14:textId="6FF00F99" w:rsidR="00077B3B" w:rsidRDefault="00077B3B">
      <w:pPr>
        <w:rPr>
          <w:b/>
          <w:bCs/>
          <w:caps/>
          <w:kern w:val="32"/>
          <w:szCs w:val="32"/>
        </w:rPr>
      </w:pPr>
    </w:p>
    <w:p w14:paraId="2B1B1924" w14:textId="11ADEB65" w:rsidR="00DC0039" w:rsidRDefault="00DC0039" w:rsidP="00276BEE">
      <w:pPr>
        <w:pStyle w:val="Heading1"/>
        <w:numPr>
          <w:ilvl w:val="0"/>
          <w:numId w:val="11"/>
        </w:numPr>
        <w:spacing w:before="0"/>
        <w:ind w:left="567" w:hanging="567"/>
      </w:pPr>
      <w:r>
        <w:t>“one s</w:t>
      </w:r>
      <w:r w:rsidR="003F59EE">
        <w:t>top shop” service model for hR Management</w:t>
      </w:r>
    </w:p>
    <w:p w14:paraId="3E7BCE94" w14:textId="3289F1BA" w:rsidR="00DC0039" w:rsidRDefault="00DC0039" w:rsidP="00DC0039"/>
    <w:p w14:paraId="223324D7" w14:textId="3B55AC51" w:rsidR="00D60296" w:rsidRDefault="00D60296" w:rsidP="00D60296">
      <w:pPr>
        <w:pStyle w:val="ListParagraph"/>
        <w:numPr>
          <w:ilvl w:val="0"/>
          <w:numId w:val="12"/>
        </w:numPr>
        <w:ind w:left="0" w:firstLine="0"/>
        <w:rPr>
          <w:szCs w:val="22"/>
        </w:rPr>
      </w:pPr>
      <w:r>
        <w:rPr>
          <w:szCs w:val="22"/>
        </w:rPr>
        <w:t>Based on</w:t>
      </w:r>
      <w:r w:rsidRPr="002B4139">
        <w:rPr>
          <w:szCs w:val="22"/>
        </w:rPr>
        <w:t xml:space="preserve"> the new HR Strategy, </w:t>
      </w:r>
      <w:r>
        <w:rPr>
          <w:szCs w:val="22"/>
        </w:rPr>
        <w:t>the first phase of</w:t>
      </w:r>
      <w:r w:rsidR="00DF4904">
        <w:rPr>
          <w:szCs w:val="22"/>
        </w:rPr>
        <w:t xml:space="preserve"> the</w:t>
      </w:r>
      <w:r>
        <w:rPr>
          <w:szCs w:val="22"/>
        </w:rPr>
        <w:t xml:space="preserve"> </w:t>
      </w:r>
      <w:r w:rsidRPr="002B4139">
        <w:rPr>
          <w:szCs w:val="22"/>
        </w:rPr>
        <w:t>‘One-Stop-Shop’ service model for HRMD took effect in February 2022</w:t>
      </w:r>
      <w:r w:rsidR="00AF6C92">
        <w:rPr>
          <w:szCs w:val="22"/>
        </w:rPr>
        <w:t xml:space="preserve">. </w:t>
      </w:r>
      <w:r w:rsidR="004513DC">
        <w:rPr>
          <w:szCs w:val="22"/>
        </w:rPr>
        <w:t xml:space="preserve"> </w:t>
      </w:r>
      <w:r w:rsidR="00AF6C92">
        <w:rPr>
          <w:szCs w:val="22"/>
        </w:rPr>
        <w:t xml:space="preserve">This is the </w:t>
      </w:r>
      <w:r>
        <w:rPr>
          <w:szCs w:val="22"/>
        </w:rPr>
        <w:t xml:space="preserve">cornerstone of a </w:t>
      </w:r>
      <w:r w:rsidRPr="002B4139">
        <w:rPr>
          <w:szCs w:val="22"/>
        </w:rPr>
        <w:t xml:space="preserve">new </w:t>
      </w:r>
      <w:r>
        <w:rPr>
          <w:szCs w:val="22"/>
        </w:rPr>
        <w:t xml:space="preserve">business </w:t>
      </w:r>
      <w:r w:rsidRPr="002B4139">
        <w:rPr>
          <w:szCs w:val="22"/>
        </w:rPr>
        <w:t>model</w:t>
      </w:r>
      <w:r>
        <w:rPr>
          <w:szCs w:val="22"/>
        </w:rPr>
        <w:t xml:space="preserve"> that focuses</w:t>
      </w:r>
      <w:r w:rsidRPr="002B4139">
        <w:rPr>
          <w:szCs w:val="22"/>
        </w:rPr>
        <w:t xml:space="preserve"> on service delivery and </w:t>
      </w:r>
      <w:r w:rsidR="00AF6C92">
        <w:rPr>
          <w:szCs w:val="22"/>
        </w:rPr>
        <w:t xml:space="preserve">is </w:t>
      </w:r>
      <w:r w:rsidRPr="002B4139">
        <w:rPr>
          <w:szCs w:val="22"/>
        </w:rPr>
        <w:t>integrate</w:t>
      </w:r>
      <w:r>
        <w:rPr>
          <w:szCs w:val="22"/>
        </w:rPr>
        <w:t xml:space="preserve">d </w:t>
      </w:r>
      <w:r w:rsidR="00AF6C92">
        <w:rPr>
          <w:szCs w:val="22"/>
        </w:rPr>
        <w:t>according to</w:t>
      </w:r>
      <w:r w:rsidR="00AF6C92" w:rsidRPr="002B4139">
        <w:rPr>
          <w:szCs w:val="22"/>
        </w:rPr>
        <w:t xml:space="preserve"> </w:t>
      </w:r>
      <w:r w:rsidRPr="002B4139">
        <w:rPr>
          <w:szCs w:val="22"/>
        </w:rPr>
        <w:t>thematic</w:t>
      </w:r>
      <w:r>
        <w:rPr>
          <w:szCs w:val="22"/>
        </w:rPr>
        <w:t xml:space="preserve"> areas rather than functions</w:t>
      </w:r>
      <w:r w:rsidR="00AF6C92">
        <w:rPr>
          <w:szCs w:val="22"/>
        </w:rPr>
        <w:t xml:space="preserve">. </w:t>
      </w:r>
      <w:r w:rsidR="004513DC">
        <w:rPr>
          <w:szCs w:val="22"/>
        </w:rPr>
        <w:t xml:space="preserve"> </w:t>
      </w:r>
      <w:r w:rsidR="00AF6C92">
        <w:rPr>
          <w:szCs w:val="22"/>
        </w:rPr>
        <w:t xml:space="preserve">It </w:t>
      </w:r>
      <w:r w:rsidRPr="002B4139">
        <w:rPr>
          <w:szCs w:val="22"/>
        </w:rPr>
        <w:t>aim</w:t>
      </w:r>
      <w:r w:rsidR="00AF6C92">
        <w:rPr>
          <w:szCs w:val="22"/>
        </w:rPr>
        <w:t xml:space="preserve">s </w:t>
      </w:r>
      <w:r>
        <w:rPr>
          <w:szCs w:val="22"/>
        </w:rPr>
        <w:t>at ensuring</w:t>
      </w:r>
      <w:r w:rsidRPr="002B4139">
        <w:rPr>
          <w:szCs w:val="22"/>
        </w:rPr>
        <w:t xml:space="preserve"> </w:t>
      </w:r>
      <w:r>
        <w:rPr>
          <w:szCs w:val="22"/>
        </w:rPr>
        <w:t>a</w:t>
      </w:r>
      <w:r w:rsidRPr="002B4139">
        <w:rPr>
          <w:szCs w:val="22"/>
        </w:rPr>
        <w:t xml:space="preserve"> better integrat</w:t>
      </w:r>
      <w:r>
        <w:rPr>
          <w:szCs w:val="22"/>
        </w:rPr>
        <w:t>ion of people and processes to deliver a seamless</w:t>
      </w:r>
      <w:r w:rsidRPr="002B4139">
        <w:rPr>
          <w:szCs w:val="22"/>
        </w:rPr>
        <w:t xml:space="preserve"> experience for internal and external users of HRMD’s services.</w:t>
      </w:r>
      <w:r>
        <w:rPr>
          <w:szCs w:val="22"/>
        </w:rPr>
        <w:t xml:space="preserve"> </w:t>
      </w:r>
      <w:r w:rsidR="004513DC">
        <w:rPr>
          <w:szCs w:val="22"/>
        </w:rPr>
        <w:t xml:space="preserve"> </w:t>
      </w:r>
      <w:r>
        <w:rPr>
          <w:szCs w:val="22"/>
        </w:rPr>
        <w:t>Most importantly,</w:t>
      </w:r>
      <w:r w:rsidRPr="002B4139">
        <w:rPr>
          <w:szCs w:val="22"/>
        </w:rPr>
        <w:t xml:space="preserve"> </w:t>
      </w:r>
      <w:r w:rsidRPr="003527C3">
        <w:rPr>
          <w:szCs w:val="22"/>
        </w:rPr>
        <w:t xml:space="preserve">HRMD </w:t>
      </w:r>
      <w:r>
        <w:rPr>
          <w:szCs w:val="22"/>
        </w:rPr>
        <w:t>also began</w:t>
      </w:r>
      <w:r w:rsidRPr="003527C3">
        <w:rPr>
          <w:szCs w:val="22"/>
        </w:rPr>
        <w:t xml:space="preserve"> to work alongside the business as a ‘</w:t>
      </w:r>
      <w:r>
        <w:rPr>
          <w:szCs w:val="22"/>
        </w:rPr>
        <w:t xml:space="preserve">strategic </w:t>
      </w:r>
      <w:r w:rsidRPr="003527C3">
        <w:rPr>
          <w:szCs w:val="22"/>
        </w:rPr>
        <w:t>partner’, assisting business areas to adapt and transform</w:t>
      </w:r>
      <w:r>
        <w:rPr>
          <w:szCs w:val="22"/>
        </w:rPr>
        <w:t xml:space="preserve"> to remain fit-for-purpose</w:t>
      </w:r>
      <w:r w:rsidRPr="003527C3">
        <w:rPr>
          <w:szCs w:val="22"/>
        </w:rPr>
        <w:t xml:space="preserve">. </w:t>
      </w:r>
    </w:p>
    <w:p w14:paraId="1F191DC8" w14:textId="77777777" w:rsidR="00D60296" w:rsidRDefault="00D60296" w:rsidP="00D60296">
      <w:pPr>
        <w:pStyle w:val="ListParagraph"/>
        <w:ind w:left="0"/>
        <w:rPr>
          <w:szCs w:val="22"/>
        </w:rPr>
      </w:pPr>
    </w:p>
    <w:p w14:paraId="219834AF" w14:textId="2EC3E565" w:rsidR="00D60296" w:rsidRPr="00D92619" w:rsidRDefault="00D60296" w:rsidP="00D60296">
      <w:pPr>
        <w:pStyle w:val="ListParagraph"/>
        <w:numPr>
          <w:ilvl w:val="0"/>
          <w:numId w:val="12"/>
        </w:numPr>
        <w:ind w:left="0" w:firstLine="0"/>
        <w:rPr>
          <w:szCs w:val="22"/>
        </w:rPr>
      </w:pPr>
      <w:r>
        <w:rPr>
          <w:szCs w:val="22"/>
        </w:rPr>
        <w:t>T</w:t>
      </w:r>
      <w:r w:rsidRPr="00D92619">
        <w:rPr>
          <w:szCs w:val="22"/>
        </w:rPr>
        <w:t>he subsequent creation of the Talent Management Service</w:t>
      </w:r>
      <w:r>
        <w:rPr>
          <w:szCs w:val="22"/>
        </w:rPr>
        <w:t xml:space="preserve"> under this new model</w:t>
      </w:r>
      <w:r w:rsidRPr="00D92619">
        <w:rPr>
          <w:szCs w:val="22"/>
        </w:rPr>
        <w:t xml:space="preserve"> </w:t>
      </w:r>
      <w:r>
        <w:rPr>
          <w:szCs w:val="22"/>
        </w:rPr>
        <w:t xml:space="preserve">brought to life the concept of </w:t>
      </w:r>
      <w:r w:rsidRPr="00D92619">
        <w:rPr>
          <w:szCs w:val="22"/>
        </w:rPr>
        <w:t>designated Talent Business Partners for each Sector</w:t>
      </w:r>
      <w:r w:rsidR="003F59EE">
        <w:rPr>
          <w:szCs w:val="22"/>
        </w:rPr>
        <w:t>, which brings</w:t>
      </w:r>
      <w:r>
        <w:rPr>
          <w:szCs w:val="22"/>
        </w:rPr>
        <w:t xml:space="preserve"> HR closer to the hear</w:t>
      </w:r>
      <w:r w:rsidR="003F59EE">
        <w:rPr>
          <w:szCs w:val="22"/>
        </w:rPr>
        <w:t>t of the business, and enhanced</w:t>
      </w:r>
      <w:r>
        <w:rPr>
          <w:szCs w:val="22"/>
        </w:rPr>
        <w:t xml:space="preserve"> the capacity of HRMD to </w:t>
      </w:r>
      <w:r w:rsidR="00DF4904">
        <w:rPr>
          <w:szCs w:val="22"/>
        </w:rPr>
        <w:t>anticipate,</w:t>
      </w:r>
      <w:r>
        <w:rPr>
          <w:szCs w:val="22"/>
        </w:rPr>
        <w:t xml:space="preserve"> identify and cater to strategic organizational needs alongside key business stakeholders</w:t>
      </w:r>
      <w:r w:rsidRPr="00D92619">
        <w:rPr>
          <w:szCs w:val="22"/>
        </w:rPr>
        <w:t xml:space="preserve">. </w:t>
      </w:r>
      <w:r w:rsidR="004513DC">
        <w:rPr>
          <w:szCs w:val="22"/>
        </w:rPr>
        <w:t xml:space="preserve"> </w:t>
      </w:r>
      <w:r w:rsidRPr="00D92619">
        <w:rPr>
          <w:szCs w:val="22"/>
        </w:rPr>
        <w:t xml:space="preserve">Similarly, the new HR Data </w:t>
      </w:r>
      <w:r>
        <w:rPr>
          <w:szCs w:val="22"/>
        </w:rPr>
        <w:t xml:space="preserve">and Technology </w:t>
      </w:r>
      <w:r w:rsidRPr="00D92619">
        <w:rPr>
          <w:szCs w:val="22"/>
        </w:rPr>
        <w:t xml:space="preserve">Unit </w:t>
      </w:r>
      <w:r>
        <w:rPr>
          <w:szCs w:val="22"/>
        </w:rPr>
        <w:t xml:space="preserve">was created to </w:t>
      </w:r>
      <w:r w:rsidRPr="00D92619">
        <w:rPr>
          <w:szCs w:val="22"/>
        </w:rPr>
        <w:t xml:space="preserve">enable HRMD to </w:t>
      </w:r>
      <w:r>
        <w:rPr>
          <w:szCs w:val="22"/>
        </w:rPr>
        <w:t>embrace and unlock the power of data anal</w:t>
      </w:r>
      <w:r w:rsidRPr="00D92619">
        <w:rPr>
          <w:szCs w:val="22"/>
        </w:rPr>
        <w:t xml:space="preserve">ytics </w:t>
      </w:r>
      <w:r>
        <w:rPr>
          <w:szCs w:val="22"/>
        </w:rPr>
        <w:t xml:space="preserve">and enhance its ability to support the attainment of organizational priorities through digitally enabled and data-driven insights, practices and decisions. </w:t>
      </w:r>
      <w:r w:rsidR="004513DC">
        <w:rPr>
          <w:szCs w:val="22"/>
        </w:rPr>
        <w:t xml:space="preserve"> </w:t>
      </w:r>
      <w:r w:rsidRPr="00D92619">
        <w:rPr>
          <w:color w:val="000000"/>
          <w:szCs w:val="22"/>
        </w:rPr>
        <w:t xml:space="preserve">Furthermore, </w:t>
      </w:r>
      <w:r w:rsidRPr="00D92619">
        <w:rPr>
          <w:iCs/>
          <w:szCs w:val="22"/>
        </w:rPr>
        <w:t xml:space="preserve">HRMD continued to make significant </w:t>
      </w:r>
      <w:r>
        <w:rPr>
          <w:iCs/>
          <w:szCs w:val="22"/>
        </w:rPr>
        <w:t>progr</w:t>
      </w:r>
      <w:r w:rsidRPr="00D92619">
        <w:rPr>
          <w:iCs/>
          <w:szCs w:val="22"/>
        </w:rPr>
        <w:t xml:space="preserve">ess in the implementation of a </w:t>
      </w:r>
      <w:r w:rsidR="000F4617">
        <w:rPr>
          <w:iCs/>
          <w:szCs w:val="22"/>
        </w:rPr>
        <w:t>suite</w:t>
      </w:r>
      <w:r w:rsidR="000F4617" w:rsidRPr="00D92619">
        <w:rPr>
          <w:iCs/>
          <w:szCs w:val="22"/>
        </w:rPr>
        <w:t xml:space="preserve"> </w:t>
      </w:r>
      <w:r w:rsidRPr="00D92619">
        <w:rPr>
          <w:iCs/>
          <w:szCs w:val="22"/>
        </w:rPr>
        <w:t xml:space="preserve">of new HR tools, processes and procedures to improve </w:t>
      </w:r>
      <w:r>
        <w:rPr>
          <w:iCs/>
          <w:szCs w:val="22"/>
        </w:rPr>
        <w:t xml:space="preserve">efficiency, effectiveness and overall </w:t>
      </w:r>
      <w:r w:rsidRPr="00D92619">
        <w:rPr>
          <w:iCs/>
          <w:szCs w:val="22"/>
        </w:rPr>
        <w:t>employee experience.</w:t>
      </w:r>
    </w:p>
    <w:p w14:paraId="6729EBCC" w14:textId="77777777" w:rsidR="00D60296" w:rsidRPr="00D92619" w:rsidRDefault="00D60296" w:rsidP="00D60296">
      <w:pPr>
        <w:pStyle w:val="ListParagraph"/>
        <w:rPr>
          <w:iCs/>
          <w:szCs w:val="22"/>
        </w:rPr>
      </w:pPr>
    </w:p>
    <w:p w14:paraId="2EF789E4" w14:textId="4E430FB3" w:rsidR="00507450" w:rsidRPr="00507450" w:rsidRDefault="00D60296" w:rsidP="00D60296">
      <w:pPr>
        <w:pStyle w:val="ListParagraph"/>
        <w:numPr>
          <w:ilvl w:val="0"/>
          <w:numId w:val="12"/>
        </w:numPr>
        <w:ind w:left="0" w:firstLine="0"/>
        <w:rPr>
          <w:szCs w:val="22"/>
        </w:rPr>
      </w:pPr>
      <w:r>
        <w:rPr>
          <w:szCs w:val="22"/>
        </w:rPr>
        <w:t>A</w:t>
      </w:r>
      <w:r w:rsidRPr="00507450">
        <w:rPr>
          <w:szCs w:val="22"/>
        </w:rPr>
        <w:t xml:space="preserve"> </w:t>
      </w:r>
      <w:r>
        <w:rPr>
          <w:szCs w:val="22"/>
        </w:rPr>
        <w:t xml:space="preserve">cross-functional </w:t>
      </w:r>
      <w:r w:rsidRPr="00507450">
        <w:rPr>
          <w:szCs w:val="22"/>
        </w:rPr>
        <w:t>wor</w:t>
      </w:r>
      <w:r>
        <w:rPr>
          <w:szCs w:val="22"/>
        </w:rPr>
        <w:t>king group comprising members from</w:t>
      </w:r>
      <w:r w:rsidRPr="00507450">
        <w:rPr>
          <w:szCs w:val="22"/>
        </w:rPr>
        <w:t xml:space="preserve"> </w:t>
      </w:r>
      <w:r w:rsidR="003F59EE">
        <w:rPr>
          <w:szCs w:val="22"/>
        </w:rPr>
        <w:t>HRMD</w:t>
      </w:r>
      <w:r w:rsidRPr="00507450">
        <w:rPr>
          <w:szCs w:val="22"/>
        </w:rPr>
        <w:t xml:space="preserve">, </w:t>
      </w:r>
      <w:r w:rsidR="00BA0737">
        <w:rPr>
          <w:szCs w:val="22"/>
        </w:rPr>
        <w:t xml:space="preserve">the </w:t>
      </w:r>
      <w:r w:rsidRPr="00507450">
        <w:rPr>
          <w:szCs w:val="22"/>
        </w:rPr>
        <w:t>D</w:t>
      </w:r>
      <w:r w:rsidR="003F59EE">
        <w:rPr>
          <w:szCs w:val="22"/>
        </w:rPr>
        <w:t xml:space="preserve">epartment of </w:t>
      </w:r>
      <w:r w:rsidRPr="00507450">
        <w:rPr>
          <w:szCs w:val="22"/>
        </w:rPr>
        <w:t>P</w:t>
      </w:r>
      <w:r w:rsidR="003F59EE">
        <w:rPr>
          <w:szCs w:val="22"/>
        </w:rPr>
        <w:t xml:space="preserve">rogram </w:t>
      </w:r>
      <w:r w:rsidRPr="00507450">
        <w:rPr>
          <w:szCs w:val="22"/>
        </w:rPr>
        <w:t>P</w:t>
      </w:r>
      <w:r w:rsidR="003F59EE">
        <w:rPr>
          <w:szCs w:val="22"/>
        </w:rPr>
        <w:t xml:space="preserve">lanning and </w:t>
      </w:r>
      <w:r w:rsidRPr="00507450">
        <w:rPr>
          <w:szCs w:val="22"/>
        </w:rPr>
        <w:t>F</w:t>
      </w:r>
      <w:r w:rsidR="003F59EE">
        <w:rPr>
          <w:szCs w:val="22"/>
        </w:rPr>
        <w:t>inance (DPPF)</w:t>
      </w:r>
      <w:r w:rsidRPr="00507450">
        <w:rPr>
          <w:szCs w:val="22"/>
        </w:rPr>
        <w:t xml:space="preserve">, </w:t>
      </w:r>
      <w:r w:rsidR="00BA0737">
        <w:rPr>
          <w:szCs w:val="22"/>
        </w:rPr>
        <w:t xml:space="preserve">the </w:t>
      </w:r>
      <w:r w:rsidRPr="00507450">
        <w:rPr>
          <w:szCs w:val="22"/>
        </w:rPr>
        <w:t>O</w:t>
      </w:r>
      <w:r w:rsidR="003F59EE">
        <w:rPr>
          <w:szCs w:val="22"/>
        </w:rPr>
        <w:t xml:space="preserve">ffice of the </w:t>
      </w:r>
      <w:r w:rsidRPr="00507450">
        <w:rPr>
          <w:szCs w:val="22"/>
        </w:rPr>
        <w:t>L</w:t>
      </w:r>
      <w:r w:rsidR="003F59EE">
        <w:rPr>
          <w:szCs w:val="22"/>
        </w:rPr>
        <w:t xml:space="preserve">egal </w:t>
      </w:r>
      <w:r w:rsidRPr="00507450">
        <w:rPr>
          <w:szCs w:val="22"/>
        </w:rPr>
        <w:t>C</w:t>
      </w:r>
      <w:r w:rsidR="003F59EE">
        <w:rPr>
          <w:szCs w:val="22"/>
        </w:rPr>
        <w:t>ounsel (OLC)</w:t>
      </w:r>
      <w:r w:rsidRPr="00507450">
        <w:rPr>
          <w:szCs w:val="22"/>
        </w:rPr>
        <w:t xml:space="preserve"> and </w:t>
      </w:r>
      <w:r w:rsidR="00BA0737">
        <w:rPr>
          <w:szCs w:val="22"/>
        </w:rPr>
        <w:t xml:space="preserve">the </w:t>
      </w:r>
      <w:r w:rsidRPr="00507450">
        <w:rPr>
          <w:szCs w:val="22"/>
        </w:rPr>
        <w:t>I</w:t>
      </w:r>
      <w:r w:rsidR="003F59EE">
        <w:rPr>
          <w:szCs w:val="22"/>
        </w:rPr>
        <w:t xml:space="preserve">nternal </w:t>
      </w:r>
      <w:r w:rsidRPr="00507450">
        <w:rPr>
          <w:szCs w:val="22"/>
        </w:rPr>
        <w:t>O</w:t>
      </w:r>
      <w:r w:rsidR="003F59EE">
        <w:rPr>
          <w:szCs w:val="22"/>
        </w:rPr>
        <w:t xml:space="preserve">versight </w:t>
      </w:r>
      <w:r w:rsidRPr="00507450">
        <w:rPr>
          <w:szCs w:val="22"/>
        </w:rPr>
        <w:t>D</w:t>
      </w:r>
      <w:r w:rsidR="003F59EE">
        <w:rPr>
          <w:szCs w:val="22"/>
        </w:rPr>
        <w:t>ivision (IOD)</w:t>
      </w:r>
      <w:r w:rsidRPr="00507450">
        <w:rPr>
          <w:szCs w:val="22"/>
        </w:rPr>
        <w:t xml:space="preserve"> </w:t>
      </w:r>
      <w:r>
        <w:rPr>
          <w:szCs w:val="22"/>
        </w:rPr>
        <w:t xml:space="preserve">also </w:t>
      </w:r>
      <w:r w:rsidRPr="00507450">
        <w:rPr>
          <w:szCs w:val="22"/>
        </w:rPr>
        <w:t xml:space="preserve">led </w:t>
      </w:r>
      <w:r>
        <w:rPr>
          <w:szCs w:val="22"/>
        </w:rPr>
        <w:t>a</w:t>
      </w:r>
      <w:r w:rsidRPr="00507450">
        <w:rPr>
          <w:szCs w:val="22"/>
        </w:rPr>
        <w:t xml:space="preserve"> review </w:t>
      </w:r>
      <w:r>
        <w:rPr>
          <w:szCs w:val="22"/>
        </w:rPr>
        <w:t xml:space="preserve">of WIPO’s </w:t>
      </w:r>
      <w:r w:rsidRPr="00507450">
        <w:rPr>
          <w:szCs w:val="22"/>
        </w:rPr>
        <w:t>regulatory framework with the aim of streamlining policies and procedures, and enhancing accessibility of information</w:t>
      </w:r>
      <w:r w:rsidR="00B1505B">
        <w:rPr>
          <w:szCs w:val="22"/>
        </w:rPr>
        <w:t>.  The review</w:t>
      </w:r>
      <w:r w:rsidRPr="00507450">
        <w:rPr>
          <w:szCs w:val="22"/>
        </w:rPr>
        <w:t xml:space="preserve"> </w:t>
      </w:r>
      <w:r w:rsidR="00DF4904">
        <w:rPr>
          <w:szCs w:val="22"/>
        </w:rPr>
        <w:t>culminat</w:t>
      </w:r>
      <w:r w:rsidR="00B1505B">
        <w:rPr>
          <w:szCs w:val="22"/>
        </w:rPr>
        <w:t>ed</w:t>
      </w:r>
      <w:r w:rsidR="00DF4904">
        <w:rPr>
          <w:szCs w:val="22"/>
        </w:rPr>
        <w:t xml:space="preserve"> with </w:t>
      </w:r>
      <w:r>
        <w:rPr>
          <w:szCs w:val="22"/>
        </w:rPr>
        <w:t xml:space="preserve">the decision </w:t>
      </w:r>
      <w:r w:rsidRPr="00507450">
        <w:rPr>
          <w:szCs w:val="22"/>
        </w:rPr>
        <w:t xml:space="preserve">to retain Office Instructions </w:t>
      </w:r>
      <w:r>
        <w:rPr>
          <w:szCs w:val="22"/>
        </w:rPr>
        <w:t xml:space="preserve">only </w:t>
      </w:r>
      <w:r w:rsidRPr="00507450">
        <w:rPr>
          <w:szCs w:val="22"/>
        </w:rPr>
        <w:t xml:space="preserve">for high-level policies and strategies, and </w:t>
      </w:r>
      <w:r w:rsidR="003F59EE">
        <w:rPr>
          <w:szCs w:val="22"/>
        </w:rPr>
        <w:t xml:space="preserve">the </w:t>
      </w:r>
      <w:r>
        <w:rPr>
          <w:szCs w:val="22"/>
        </w:rPr>
        <w:t xml:space="preserve">issuance of </w:t>
      </w:r>
      <w:r w:rsidRPr="00507450">
        <w:rPr>
          <w:szCs w:val="22"/>
        </w:rPr>
        <w:t xml:space="preserve">new guidelines </w:t>
      </w:r>
      <w:r>
        <w:rPr>
          <w:szCs w:val="22"/>
        </w:rPr>
        <w:t>explaining</w:t>
      </w:r>
      <w:r w:rsidRPr="00507450">
        <w:rPr>
          <w:szCs w:val="22"/>
        </w:rPr>
        <w:t xml:space="preserve"> the hierarchy of norms and principles governing the choice of </w:t>
      </w:r>
      <w:r>
        <w:rPr>
          <w:szCs w:val="22"/>
        </w:rPr>
        <w:t xml:space="preserve">a </w:t>
      </w:r>
      <w:r w:rsidRPr="00507450">
        <w:rPr>
          <w:szCs w:val="22"/>
        </w:rPr>
        <w:t xml:space="preserve">specific instrument. </w:t>
      </w:r>
      <w:r w:rsidR="004513DC">
        <w:rPr>
          <w:szCs w:val="22"/>
        </w:rPr>
        <w:t xml:space="preserve"> </w:t>
      </w:r>
      <w:r w:rsidRPr="00507450">
        <w:rPr>
          <w:szCs w:val="22"/>
        </w:rPr>
        <w:t xml:space="preserve">In this context, HRMD carried out a </w:t>
      </w:r>
      <w:r>
        <w:rPr>
          <w:szCs w:val="22"/>
        </w:rPr>
        <w:t>comprehensive review of</w:t>
      </w:r>
      <w:r w:rsidRPr="00507450">
        <w:rPr>
          <w:szCs w:val="22"/>
        </w:rPr>
        <w:t xml:space="preserve"> HR-related Office Instructions</w:t>
      </w:r>
      <w:r>
        <w:rPr>
          <w:szCs w:val="22"/>
        </w:rPr>
        <w:t xml:space="preserve"> in 2022</w:t>
      </w:r>
      <w:r w:rsidRPr="00507450">
        <w:rPr>
          <w:szCs w:val="22"/>
        </w:rPr>
        <w:t xml:space="preserve">, </w:t>
      </w:r>
      <w:r>
        <w:rPr>
          <w:szCs w:val="22"/>
        </w:rPr>
        <w:t xml:space="preserve">and </w:t>
      </w:r>
      <w:r w:rsidRPr="00507450">
        <w:rPr>
          <w:szCs w:val="22"/>
        </w:rPr>
        <w:t>a new HR Manual</w:t>
      </w:r>
      <w:r>
        <w:rPr>
          <w:szCs w:val="22"/>
        </w:rPr>
        <w:t xml:space="preserve"> was launched </w:t>
      </w:r>
      <w:r w:rsidRPr="00507450">
        <w:rPr>
          <w:szCs w:val="22"/>
        </w:rPr>
        <w:t>in March 2023</w:t>
      </w:r>
      <w:r>
        <w:rPr>
          <w:szCs w:val="22"/>
        </w:rPr>
        <w:t xml:space="preserve">. </w:t>
      </w:r>
      <w:r w:rsidR="004513DC">
        <w:rPr>
          <w:szCs w:val="22"/>
        </w:rPr>
        <w:t xml:space="preserve"> </w:t>
      </w:r>
      <w:r>
        <w:rPr>
          <w:szCs w:val="22"/>
        </w:rPr>
        <w:t xml:space="preserve">This exercise led to </w:t>
      </w:r>
      <w:r w:rsidRPr="00507450">
        <w:rPr>
          <w:szCs w:val="22"/>
        </w:rPr>
        <w:t>the abolition of 50 HR-relate</w:t>
      </w:r>
      <w:r>
        <w:rPr>
          <w:szCs w:val="22"/>
        </w:rPr>
        <w:t>d Office Instructions that were migrated to the new</w:t>
      </w:r>
      <w:r w:rsidRPr="00507450">
        <w:rPr>
          <w:szCs w:val="22"/>
        </w:rPr>
        <w:t xml:space="preserve"> HR Manual, which is </w:t>
      </w:r>
      <w:r>
        <w:rPr>
          <w:szCs w:val="22"/>
        </w:rPr>
        <w:t>easily accessible and searchable</w:t>
      </w:r>
      <w:r w:rsidRPr="00507450">
        <w:rPr>
          <w:szCs w:val="22"/>
        </w:rPr>
        <w:t xml:space="preserve">, </w:t>
      </w:r>
      <w:r>
        <w:rPr>
          <w:szCs w:val="22"/>
        </w:rPr>
        <w:t xml:space="preserve">with a modern feel, simplified language and </w:t>
      </w:r>
      <w:r w:rsidRPr="00507450">
        <w:rPr>
          <w:szCs w:val="22"/>
        </w:rPr>
        <w:t>streamlined information.</w:t>
      </w:r>
    </w:p>
    <w:p w14:paraId="322F6EBA" w14:textId="6425EC30" w:rsidR="00507450" w:rsidRPr="00B35EC2" w:rsidRDefault="00B35EC2" w:rsidP="00B35EC2">
      <w:pPr>
        <w:rPr>
          <w:rFonts w:eastAsia="Times New Roman"/>
          <w:color w:val="000000"/>
          <w:szCs w:val="22"/>
          <w:lang w:eastAsia="en-US"/>
        </w:rPr>
      </w:pPr>
      <w:r>
        <w:rPr>
          <w:color w:val="000000"/>
          <w:szCs w:val="22"/>
        </w:rPr>
        <w:br w:type="page"/>
      </w:r>
    </w:p>
    <w:p w14:paraId="6EE247B8" w14:textId="47E47DAA" w:rsidR="00835D5F" w:rsidRPr="002867CB" w:rsidRDefault="00DF4904" w:rsidP="00835D5F">
      <w:pPr>
        <w:pStyle w:val="ListParagraph"/>
        <w:numPr>
          <w:ilvl w:val="0"/>
          <w:numId w:val="12"/>
        </w:numPr>
        <w:tabs>
          <w:tab w:val="left" w:pos="270"/>
        </w:tabs>
        <w:ind w:left="0" w:firstLine="0"/>
        <w:rPr>
          <w:szCs w:val="22"/>
        </w:rPr>
      </w:pPr>
      <w:r>
        <w:rPr>
          <w:color w:val="000000"/>
          <w:szCs w:val="22"/>
        </w:rPr>
        <w:lastRenderedPageBreak/>
        <w:t xml:space="preserve">Additionally, HRMD invests significant efforts in </w:t>
      </w:r>
      <w:r w:rsidRPr="002518F5">
        <w:rPr>
          <w:color w:val="000000"/>
          <w:szCs w:val="22"/>
        </w:rPr>
        <w:t xml:space="preserve">the </w:t>
      </w:r>
      <w:r>
        <w:rPr>
          <w:color w:val="000000"/>
          <w:szCs w:val="22"/>
        </w:rPr>
        <w:t>continuous</w:t>
      </w:r>
      <w:r w:rsidRPr="002518F5">
        <w:rPr>
          <w:color w:val="000000"/>
          <w:szCs w:val="22"/>
        </w:rPr>
        <w:t xml:space="preserve"> review </w:t>
      </w:r>
      <w:r>
        <w:rPr>
          <w:color w:val="000000"/>
          <w:szCs w:val="22"/>
        </w:rPr>
        <w:t xml:space="preserve">and updating </w:t>
      </w:r>
      <w:r w:rsidRPr="002518F5">
        <w:rPr>
          <w:color w:val="000000"/>
          <w:szCs w:val="22"/>
        </w:rPr>
        <w:t xml:space="preserve">of </w:t>
      </w:r>
      <w:r>
        <w:rPr>
          <w:color w:val="000000"/>
          <w:szCs w:val="22"/>
        </w:rPr>
        <w:t xml:space="preserve">the rules and policies governing the conditions of service of WIPO employees. </w:t>
      </w:r>
      <w:r w:rsidR="004513DC">
        <w:rPr>
          <w:color w:val="000000"/>
          <w:szCs w:val="22"/>
        </w:rPr>
        <w:t xml:space="preserve"> </w:t>
      </w:r>
      <w:r>
        <w:rPr>
          <w:color w:val="000000"/>
          <w:szCs w:val="22"/>
        </w:rPr>
        <w:t xml:space="preserve">This allows WIPO </w:t>
      </w:r>
      <w:r w:rsidRPr="002518F5">
        <w:rPr>
          <w:color w:val="000000"/>
          <w:szCs w:val="22"/>
        </w:rPr>
        <w:t xml:space="preserve">to maintain a sound regulatory framework that </w:t>
      </w:r>
      <w:r>
        <w:rPr>
          <w:color w:val="000000"/>
          <w:szCs w:val="22"/>
        </w:rPr>
        <w:t xml:space="preserve">swiftly </w:t>
      </w:r>
      <w:r w:rsidRPr="002518F5">
        <w:rPr>
          <w:color w:val="000000"/>
          <w:szCs w:val="22"/>
        </w:rPr>
        <w:t>adapts</w:t>
      </w:r>
      <w:r w:rsidRPr="0031425E">
        <w:rPr>
          <w:color w:val="000000"/>
          <w:szCs w:val="22"/>
        </w:rPr>
        <w:t xml:space="preserve"> to</w:t>
      </w:r>
      <w:r>
        <w:rPr>
          <w:color w:val="000000"/>
          <w:szCs w:val="22"/>
        </w:rPr>
        <w:t>,</w:t>
      </w:r>
      <w:r w:rsidRPr="0031425E">
        <w:rPr>
          <w:color w:val="000000"/>
          <w:szCs w:val="22"/>
        </w:rPr>
        <w:t xml:space="preserve"> and supports</w:t>
      </w:r>
      <w:r>
        <w:rPr>
          <w:color w:val="000000"/>
          <w:szCs w:val="22"/>
        </w:rPr>
        <w:t>,</w:t>
      </w:r>
      <w:r w:rsidRPr="0031425E">
        <w:rPr>
          <w:color w:val="000000"/>
          <w:szCs w:val="22"/>
        </w:rPr>
        <w:t xml:space="preserve"> the changing needs and</w:t>
      </w:r>
      <w:r w:rsidRPr="002518F5">
        <w:rPr>
          <w:color w:val="000000"/>
          <w:szCs w:val="22"/>
        </w:rPr>
        <w:t xml:space="preserve"> priorities of the Organization, while ensurin</w:t>
      </w:r>
      <w:r>
        <w:rPr>
          <w:color w:val="000000"/>
          <w:szCs w:val="22"/>
        </w:rPr>
        <w:t xml:space="preserve">g alignment with best practices. </w:t>
      </w:r>
      <w:r w:rsidR="004513DC">
        <w:rPr>
          <w:color w:val="000000"/>
          <w:szCs w:val="22"/>
        </w:rPr>
        <w:t xml:space="preserve"> </w:t>
      </w:r>
      <w:r>
        <w:rPr>
          <w:color w:val="000000"/>
          <w:szCs w:val="22"/>
        </w:rPr>
        <w:t>One instance is the implementation of the new process for the home leave lump sum payment, in which the Organization processes the payment first instead of requiring staff members to request the applicable amount.</w:t>
      </w:r>
      <w:r w:rsidR="004513DC">
        <w:rPr>
          <w:color w:val="000000"/>
          <w:szCs w:val="22"/>
        </w:rPr>
        <w:t xml:space="preserve"> </w:t>
      </w:r>
      <w:r>
        <w:rPr>
          <w:color w:val="000000"/>
          <w:szCs w:val="22"/>
        </w:rPr>
        <w:t xml:space="preserve"> </w:t>
      </w:r>
      <w:r w:rsidRPr="00B05357">
        <w:rPr>
          <w:color w:val="000000"/>
          <w:szCs w:val="22"/>
        </w:rPr>
        <w:t xml:space="preserve">As part of the continued enhancement of the HR policy framework, </w:t>
      </w:r>
      <w:r>
        <w:rPr>
          <w:szCs w:val="22"/>
        </w:rPr>
        <w:t>these</w:t>
      </w:r>
      <w:r w:rsidRPr="00D92619">
        <w:rPr>
          <w:szCs w:val="22"/>
        </w:rPr>
        <w:t xml:space="preserve"> changes were </w:t>
      </w:r>
      <w:r w:rsidRPr="00B05357">
        <w:rPr>
          <w:color w:val="000000"/>
          <w:szCs w:val="22"/>
        </w:rPr>
        <w:t xml:space="preserve">accompanied </w:t>
      </w:r>
      <w:r>
        <w:rPr>
          <w:color w:val="000000"/>
          <w:szCs w:val="22"/>
        </w:rPr>
        <w:t>by targeted</w:t>
      </w:r>
      <w:r w:rsidRPr="00B05357">
        <w:rPr>
          <w:color w:val="000000"/>
          <w:szCs w:val="22"/>
        </w:rPr>
        <w:t xml:space="preserve"> </w:t>
      </w:r>
      <w:r>
        <w:rPr>
          <w:color w:val="000000"/>
          <w:szCs w:val="22"/>
        </w:rPr>
        <w:t>c</w:t>
      </w:r>
      <w:r w:rsidRPr="00B05357">
        <w:rPr>
          <w:color w:val="000000"/>
          <w:szCs w:val="22"/>
        </w:rPr>
        <w:t>ommunications to ensure the policy developments</w:t>
      </w:r>
      <w:r>
        <w:rPr>
          <w:color w:val="000000"/>
          <w:szCs w:val="22"/>
        </w:rPr>
        <w:t xml:space="preserve"> were clearly explained and understood</w:t>
      </w:r>
      <w:r w:rsidR="00835D5F" w:rsidRPr="00B05357">
        <w:rPr>
          <w:color w:val="000000"/>
          <w:szCs w:val="22"/>
        </w:rPr>
        <w:t xml:space="preserve">. </w:t>
      </w:r>
    </w:p>
    <w:p w14:paraId="23A1763B" w14:textId="6757F71F" w:rsidR="00BA1639" w:rsidRDefault="00BA1639">
      <w:pPr>
        <w:rPr>
          <w:b/>
          <w:bCs/>
          <w:caps/>
          <w:kern w:val="32"/>
          <w:szCs w:val="22"/>
        </w:rPr>
      </w:pPr>
    </w:p>
    <w:p w14:paraId="726E1B56" w14:textId="3FAE7A95" w:rsidR="0081524F" w:rsidRPr="00B05357" w:rsidRDefault="0081524F" w:rsidP="0081524F">
      <w:pPr>
        <w:pStyle w:val="Heading1"/>
        <w:numPr>
          <w:ilvl w:val="0"/>
          <w:numId w:val="11"/>
        </w:numPr>
        <w:spacing w:before="0"/>
        <w:ind w:left="567" w:hanging="567"/>
        <w:rPr>
          <w:szCs w:val="22"/>
        </w:rPr>
      </w:pPr>
      <w:r>
        <w:rPr>
          <w:szCs w:val="22"/>
        </w:rPr>
        <w:t xml:space="preserve">enhanced </w:t>
      </w:r>
      <w:r w:rsidR="00603B76">
        <w:rPr>
          <w:szCs w:val="22"/>
        </w:rPr>
        <w:t>employee</w:t>
      </w:r>
      <w:r>
        <w:rPr>
          <w:szCs w:val="22"/>
        </w:rPr>
        <w:t xml:space="preserve"> engag</w:t>
      </w:r>
      <w:r w:rsidR="00716788">
        <w:rPr>
          <w:szCs w:val="22"/>
        </w:rPr>
        <w:t>e</w:t>
      </w:r>
      <w:r>
        <w:rPr>
          <w:szCs w:val="22"/>
        </w:rPr>
        <w:t>ment and wellbeing</w:t>
      </w:r>
    </w:p>
    <w:p w14:paraId="6B59C22F" w14:textId="590094A2" w:rsidR="00716788" w:rsidRPr="00B05357" w:rsidRDefault="00716788" w:rsidP="00716788">
      <w:pPr>
        <w:pStyle w:val="Heading3"/>
        <w:rPr>
          <w:i/>
          <w:szCs w:val="22"/>
          <w:u w:val="none"/>
        </w:rPr>
      </w:pPr>
      <w:r>
        <w:rPr>
          <w:i/>
          <w:szCs w:val="22"/>
          <w:u w:val="none"/>
        </w:rPr>
        <w:tab/>
        <w:t>Employee Engagement</w:t>
      </w:r>
      <w:r w:rsidRPr="00B05357">
        <w:rPr>
          <w:i/>
          <w:szCs w:val="22"/>
          <w:u w:val="none"/>
        </w:rPr>
        <w:t xml:space="preserve"> </w:t>
      </w:r>
    </w:p>
    <w:p w14:paraId="44791A8C" w14:textId="77777777" w:rsidR="00716788" w:rsidRDefault="00716788" w:rsidP="00716788">
      <w:pPr>
        <w:pStyle w:val="ListParagraph"/>
        <w:ind w:left="0"/>
        <w:rPr>
          <w:szCs w:val="22"/>
        </w:rPr>
      </w:pPr>
    </w:p>
    <w:p w14:paraId="7F6DAD3B" w14:textId="141D039F" w:rsidR="00986583" w:rsidRPr="00986583" w:rsidRDefault="00716788" w:rsidP="00716788">
      <w:pPr>
        <w:pStyle w:val="ListParagraph"/>
        <w:numPr>
          <w:ilvl w:val="0"/>
          <w:numId w:val="12"/>
        </w:numPr>
        <w:ind w:left="0" w:firstLine="0"/>
      </w:pPr>
      <w:r w:rsidRPr="00986583">
        <w:rPr>
          <w:szCs w:val="22"/>
        </w:rPr>
        <w:t xml:space="preserve">As mentioned in this report, changing WIPO’s culture, listening to the voice of </w:t>
      </w:r>
      <w:r w:rsidR="00986583">
        <w:rPr>
          <w:szCs w:val="22"/>
        </w:rPr>
        <w:t>employees</w:t>
      </w:r>
      <w:r w:rsidRPr="00986583">
        <w:rPr>
          <w:szCs w:val="22"/>
        </w:rPr>
        <w:t xml:space="preserve"> to create a trust-based, dynamic and rewarding </w:t>
      </w:r>
      <w:r w:rsidR="006572D4">
        <w:rPr>
          <w:szCs w:val="22"/>
        </w:rPr>
        <w:t>environment</w:t>
      </w:r>
      <w:r w:rsidRPr="00986583">
        <w:rPr>
          <w:szCs w:val="22"/>
        </w:rPr>
        <w:t xml:space="preserve"> </w:t>
      </w:r>
      <w:r w:rsidR="00C6242E">
        <w:rPr>
          <w:szCs w:val="22"/>
        </w:rPr>
        <w:t>are</w:t>
      </w:r>
      <w:r w:rsidRPr="00986583">
        <w:rPr>
          <w:szCs w:val="22"/>
        </w:rPr>
        <w:t xml:space="preserve"> key priorit</w:t>
      </w:r>
      <w:r w:rsidR="00C6242E">
        <w:rPr>
          <w:szCs w:val="22"/>
        </w:rPr>
        <w:t>ies</w:t>
      </w:r>
      <w:r w:rsidRPr="00986583">
        <w:rPr>
          <w:szCs w:val="22"/>
        </w:rPr>
        <w:t xml:space="preserve"> to identify what works and what does not, to better understand employee motivations and aspirations, how to improve employee well-being and to include the voice of employees in business decisions.  </w:t>
      </w:r>
    </w:p>
    <w:p w14:paraId="4B54BD66" w14:textId="77777777" w:rsidR="00986583" w:rsidRPr="00986583" w:rsidRDefault="00986583" w:rsidP="00986583">
      <w:pPr>
        <w:pStyle w:val="ListParagraph"/>
        <w:ind w:left="0"/>
      </w:pPr>
    </w:p>
    <w:p w14:paraId="04F3E007" w14:textId="3820A79B" w:rsidR="00986583" w:rsidRPr="00986583" w:rsidRDefault="00986583" w:rsidP="00716788">
      <w:pPr>
        <w:pStyle w:val="ListParagraph"/>
        <w:numPr>
          <w:ilvl w:val="0"/>
          <w:numId w:val="12"/>
        </w:numPr>
        <w:ind w:left="0" w:firstLine="0"/>
      </w:pPr>
      <w:r w:rsidRPr="00986583">
        <w:rPr>
          <w:szCs w:val="22"/>
          <w:lang w:val="en-GB"/>
        </w:rPr>
        <w:t xml:space="preserve">As such, an organizational-wide Engagement Survey was conducted for the first time in </w:t>
      </w:r>
      <w:r>
        <w:rPr>
          <w:szCs w:val="22"/>
          <w:lang w:val="en-GB"/>
        </w:rPr>
        <w:t xml:space="preserve">May </w:t>
      </w:r>
      <w:r w:rsidRPr="00986583">
        <w:rPr>
          <w:szCs w:val="22"/>
          <w:lang w:val="en-GB"/>
        </w:rPr>
        <w:t xml:space="preserve">2022, </w:t>
      </w:r>
      <w:r w:rsidRPr="00986583">
        <w:rPr>
          <w:szCs w:val="22"/>
        </w:rPr>
        <w:t xml:space="preserve">providing real-time and on-demand access to employee feedback and an understanding of key opportunities for </w:t>
      </w:r>
      <w:r w:rsidR="00C64E1A">
        <w:rPr>
          <w:szCs w:val="22"/>
        </w:rPr>
        <w:t xml:space="preserve">all across the </w:t>
      </w:r>
      <w:r w:rsidR="004513DC">
        <w:rPr>
          <w:szCs w:val="22"/>
        </w:rPr>
        <w:t>O</w:t>
      </w:r>
      <w:r w:rsidR="00C64E1A">
        <w:rPr>
          <w:szCs w:val="22"/>
        </w:rPr>
        <w:t>rganization</w:t>
      </w:r>
      <w:r w:rsidRPr="00986583">
        <w:rPr>
          <w:szCs w:val="22"/>
        </w:rPr>
        <w:t>.</w:t>
      </w:r>
      <w:r w:rsidRPr="00986583">
        <w:rPr>
          <w:szCs w:val="22"/>
          <w:lang w:val="en-GB"/>
        </w:rPr>
        <w:t xml:space="preserve"> </w:t>
      </w:r>
      <w:r w:rsidR="004513DC">
        <w:rPr>
          <w:szCs w:val="22"/>
          <w:lang w:val="en-GB"/>
        </w:rPr>
        <w:t xml:space="preserve"> </w:t>
      </w:r>
      <w:r w:rsidRPr="00986583">
        <w:rPr>
          <w:szCs w:val="22"/>
          <w:lang w:val="en-GB"/>
        </w:rPr>
        <w:t xml:space="preserve">The overall eSat </w:t>
      </w:r>
      <w:r w:rsidR="002867CB">
        <w:rPr>
          <w:szCs w:val="22"/>
          <w:lang w:val="en-GB"/>
        </w:rPr>
        <w:t xml:space="preserve">(employee satisfaction) </w:t>
      </w:r>
      <w:r w:rsidRPr="00986583">
        <w:rPr>
          <w:szCs w:val="22"/>
          <w:lang w:val="en-GB"/>
        </w:rPr>
        <w:t>score to the question “How happy are you working at WIPO” was 74, noting t</w:t>
      </w:r>
      <w:r w:rsidR="0091035B">
        <w:rPr>
          <w:szCs w:val="22"/>
          <w:lang w:val="en-GB"/>
        </w:rPr>
        <w:t>hat the benchmark score was 75</w:t>
      </w:r>
      <w:r w:rsidR="00E50051">
        <w:rPr>
          <w:szCs w:val="22"/>
          <w:lang w:val="en-GB"/>
        </w:rPr>
        <w:t>.</w:t>
      </w:r>
      <w:r w:rsidR="0091035B">
        <w:rPr>
          <w:rStyle w:val="FootnoteReference"/>
          <w:szCs w:val="22"/>
          <w:lang w:val="en-GB"/>
        </w:rPr>
        <w:footnoteReference w:id="6"/>
      </w:r>
      <w:r w:rsidRPr="00986583">
        <w:rPr>
          <w:szCs w:val="22"/>
          <w:lang w:val="en-GB"/>
        </w:rPr>
        <w:t xml:space="preserve"> </w:t>
      </w:r>
      <w:r w:rsidR="004513DC">
        <w:rPr>
          <w:szCs w:val="22"/>
          <w:lang w:val="en-GB"/>
        </w:rPr>
        <w:t xml:space="preserve"> </w:t>
      </w:r>
      <w:r w:rsidRPr="00986583">
        <w:rPr>
          <w:szCs w:val="22"/>
          <w:lang w:val="en-GB"/>
        </w:rPr>
        <w:t xml:space="preserve">Furthermore, </w:t>
      </w:r>
      <w:r w:rsidRPr="00986583">
        <w:rPr>
          <w:rStyle w:val="null1"/>
          <w:szCs w:val="22"/>
        </w:rPr>
        <w:t>the 60</w:t>
      </w:r>
      <w:r w:rsidR="009442DC">
        <w:rPr>
          <w:rStyle w:val="null1"/>
          <w:szCs w:val="22"/>
        </w:rPr>
        <w:t xml:space="preserve"> per cent</w:t>
      </w:r>
      <w:r w:rsidRPr="00986583">
        <w:rPr>
          <w:rStyle w:val="null1"/>
          <w:szCs w:val="22"/>
        </w:rPr>
        <w:t xml:space="preserve"> response rate </w:t>
      </w:r>
      <w:r w:rsidR="00835D5F">
        <w:rPr>
          <w:rStyle w:val="null1"/>
          <w:szCs w:val="22"/>
        </w:rPr>
        <w:t>wa</w:t>
      </w:r>
      <w:r w:rsidRPr="00986583">
        <w:rPr>
          <w:rStyle w:val="null1"/>
          <w:szCs w:val="22"/>
        </w:rPr>
        <w:t>s much better than the previous participation rates of about 35</w:t>
      </w:r>
      <w:r w:rsidR="009442DC">
        <w:rPr>
          <w:rStyle w:val="null1"/>
          <w:szCs w:val="22"/>
        </w:rPr>
        <w:t xml:space="preserve"> per cent</w:t>
      </w:r>
      <w:r w:rsidRPr="00986583">
        <w:rPr>
          <w:rStyle w:val="null1"/>
          <w:szCs w:val="22"/>
        </w:rPr>
        <w:t xml:space="preserve"> for similar surveys. </w:t>
      </w:r>
      <w:r w:rsidR="004513DC">
        <w:rPr>
          <w:rStyle w:val="null1"/>
          <w:szCs w:val="22"/>
        </w:rPr>
        <w:t xml:space="preserve"> </w:t>
      </w:r>
      <w:r w:rsidRPr="00986583">
        <w:rPr>
          <w:rStyle w:val="null1"/>
          <w:szCs w:val="22"/>
        </w:rPr>
        <w:t xml:space="preserve">The survey </w:t>
      </w:r>
      <w:r w:rsidR="0028780F">
        <w:rPr>
          <w:rStyle w:val="null1"/>
          <w:szCs w:val="22"/>
        </w:rPr>
        <w:t>sought</w:t>
      </w:r>
      <w:r w:rsidRPr="00986583">
        <w:rPr>
          <w:rStyle w:val="null1"/>
          <w:szCs w:val="22"/>
        </w:rPr>
        <w:t xml:space="preserve"> to strengthen everyone’s </w:t>
      </w:r>
      <w:r w:rsidRPr="0028780F">
        <w:rPr>
          <w:rStyle w:val="null1"/>
          <w:szCs w:val="22"/>
        </w:rPr>
        <w:t xml:space="preserve">engagement with WIPO, </w:t>
      </w:r>
      <w:r w:rsidR="0028780F" w:rsidRPr="0028780F">
        <w:rPr>
          <w:rStyle w:val="null1"/>
          <w:szCs w:val="22"/>
        </w:rPr>
        <w:t>and</w:t>
      </w:r>
      <w:r w:rsidR="0028780F" w:rsidRPr="0028780F">
        <w:rPr>
          <w:rStyle w:val="contentpasted0"/>
          <w:color w:val="000000"/>
          <w:szCs w:val="22"/>
        </w:rPr>
        <w:t xml:space="preserve"> the data gathered triggered a series of actions </w:t>
      </w:r>
      <w:r w:rsidR="0028780F" w:rsidRPr="0028780F">
        <w:rPr>
          <w:szCs w:val="22"/>
          <w:lang w:val="en-GB"/>
        </w:rPr>
        <w:t>focused on key areas for development</w:t>
      </w:r>
      <w:r w:rsidR="0028780F" w:rsidRPr="0028780F">
        <w:rPr>
          <w:rStyle w:val="contentpasted0"/>
          <w:color w:val="000000"/>
          <w:szCs w:val="22"/>
        </w:rPr>
        <w:t xml:space="preserve"> at the team and organizational levels, as </w:t>
      </w:r>
      <w:r w:rsidR="00C64E1A">
        <w:rPr>
          <w:rStyle w:val="contentpasted0"/>
          <w:color w:val="000000"/>
          <w:szCs w:val="22"/>
        </w:rPr>
        <w:t>well as commitments by managers during a management retreat held in September 2022.</w:t>
      </w:r>
    </w:p>
    <w:p w14:paraId="696C61E3" w14:textId="77777777" w:rsidR="00986583" w:rsidRDefault="00986583" w:rsidP="00986583">
      <w:pPr>
        <w:pStyle w:val="ListParagraph"/>
      </w:pPr>
    </w:p>
    <w:p w14:paraId="3F35F7EA" w14:textId="6C0F3EDF" w:rsidR="00986583" w:rsidRPr="0028780F" w:rsidRDefault="009A7D28" w:rsidP="00716788">
      <w:pPr>
        <w:pStyle w:val="ListParagraph"/>
        <w:numPr>
          <w:ilvl w:val="0"/>
          <w:numId w:val="12"/>
        </w:numPr>
        <w:ind w:left="0" w:firstLine="0"/>
        <w:rPr>
          <w:szCs w:val="22"/>
        </w:rPr>
      </w:pPr>
      <w:r w:rsidRPr="0028780F">
        <w:rPr>
          <w:szCs w:val="22"/>
        </w:rPr>
        <w:t xml:space="preserve">A </w:t>
      </w:r>
      <w:r>
        <w:rPr>
          <w:szCs w:val="22"/>
        </w:rPr>
        <w:t>second Engagement Survey was</w:t>
      </w:r>
      <w:r w:rsidRPr="0028780F">
        <w:rPr>
          <w:szCs w:val="22"/>
        </w:rPr>
        <w:t xml:space="preserve"> launched in </w:t>
      </w:r>
      <w:r>
        <w:rPr>
          <w:szCs w:val="22"/>
        </w:rPr>
        <w:t>April</w:t>
      </w:r>
      <w:r w:rsidRPr="0028780F">
        <w:rPr>
          <w:szCs w:val="22"/>
        </w:rPr>
        <w:t xml:space="preserve"> 2023 to take stock and </w:t>
      </w:r>
      <w:r w:rsidRPr="0028780F">
        <w:rPr>
          <w:rStyle w:val="contentpasted0"/>
          <w:color w:val="000000"/>
          <w:szCs w:val="22"/>
        </w:rPr>
        <w:t xml:space="preserve">to let employees express their views on how </w:t>
      </w:r>
      <w:r>
        <w:rPr>
          <w:rStyle w:val="contentpasted0"/>
          <w:color w:val="000000"/>
          <w:szCs w:val="22"/>
        </w:rPr>
        <w:t>the Organization has</w:t>
      </w:r>
      <w:r w:rsidRPr="0028780F">
        <w:rPr>
          <w:rStyle w:val="contentpasted0"/>
          <w:color w:val="000000"/>
          <w:szCs w:val="22"/>
        </w:rPr>
        <w:t xml:space="preserve"> fared since the last survey and how </w:t>
      </w:r>
      <w:r>
        <w:rPr>
          <w:rStyle w:val="contentpasted0"/>
          <w:color w:val="000000"/>
          <w:szCs w:val="22"/>
        </w:rPr>
        <w:t>WIPO</w:t>
      </w:r>
      <w:r w:rsidRPr="0028780F">
        <w:rPr>
          <w:rStyle w:val="contentpasted0"/>
          <w:color w:val="000000"/>
          <w:szCs w:val="22"/>
        </w:rPr>
        <w:t xml:space="preserve"> may improve</w:t>
      </w:r>
      <w:r w:rsidRPr="00A378E2">
        <w:rPr>
          <w:rStyle w:val="contentpasted0"/>
          <w:color w:val="000000"/>
          <w:szCs w:val="22"/>
        </w:rPr>
        <w:t xml:space="preserve"> </w:t>
      </w:r>
      <w:r w:rsidRPr="0028780F">
        <w:rPr>
          <w:rStyle w:val="contentpasted0"/>
          <w:color w:val="000000"/>
          <w:szCs w:val="22"/>
        </w:rPr>
        <w:t>further</w:t>
      </w:r>
      <w:r w:rsidR="0028780F" w:rsidRPr="0028780F">
        <w:rPr>
          <w:rStyle w:val="contentpasted0"/>
          <w:color w:val="000000"/>
          <w:szCs w:val="22"/>
        </w:rPr>
        <w:t>.</w:t>
      </w:r>
    </w:p>
    <w:p w14:paraId="62370874" w14:textId="4EFA2423" w:rsidR="0081524F" w:rsidRPr="00B05357" w:rsidRDefault="00986583" w:rsidP="0081524F">
      <w:pPr>
        <w:pStyle w:val="Heading3"/>
        <w:rPr>
          <w:i/>
          <w:szCs w:val="22"/>
          <w:u w:val="none"/>
        </w:rPr>
      </w:pPr>
      <w:r>
        <w:rPr>
          <w:i/>
          <w:szCs w:val="22"/>
          <w:u w:val="none"/>
        </w:rPr>
        <w:tab/>
        <w:t>W</w:t>
      </w:r>
      <w:r w:rsidR="0081524F" w:rsidRPr="00B05357">
        <w:rPr>
          <w:i/>
          <w:szCs w:val="22"/>
          <w:u w:val="none"/>
        </w:rPr>
        <w:t xml:space="preserve">ellbeing and </w:t>
      </w:r>
      <w:r w:rsidR="00DA25B3">
        <w:rPr>
          <w:i/>
          <w:szCs w:val="22"/>
          <w:u w:val="none"/>
        </w:rPr>
        <w:t>W</w:t>
      </w:r>
      <w:r w:rsidR="0081524F" w:rsidRPr="00B05357">
        <w:rPr>
          <w:i/>
          <w:szCs w:val="22"/>
          <w:u w:val="none"/>
        </w:rPr>
        <w:t>ork-</w:t>
      </w:r>
      <w:r w:rsidR="00DA25B3">
        <w:rPr>
          <w:i/>
          <w:szCs w:val="22"/>
          <w:u w:val="none"/>
        </w:rPr>
        <w:t>L</w:t>
      </w:r>
      <w:r w:rsidR="0081524F" w:rsidRPr="00B05357">
        <w:rPr>
          <w:i/>
          <w:szCs w:val="22"/>
          <w:u w:val="none"/>
        </w:rPr>
        <w:t xml:space="preserve">ife </w:t>
      </w:r>
      <w:r w:rsidR="00DA25B3">
        <w:rPr>
          <w:i/>
          <w:szCs w:val="22"/>
          <w:u w:val="none"/>
        </w:rPr>
        <w:t>B</w:t>
      </w:r>
      <w:r w:rsidR="0081524F" w:rsidRPr="00B05357">
        <w:rPr>
          <w:i/>
          <w:szCs w:val="22"/>
          <w:u w:val="none"/>
        </w:rPr>
        <w:t>alance</w:t>
      </w:r>
    </w:p>
    <w:p w14:paraId="744C4372" w14:textId="77777777" w:rsidR="0081524F" w:rsidRPr="00B05357" w:rsidRDefault="0081524F" w:rsidP="0081524F">
      <w:pPr>
        <w:pStyle w:val="ListParagraph"/>
        <w:ind w:left="0"/>
        <w:rPr>
          <w:szCs w:val="22"/>
        </w:rPr>
      </w:pPr>
    </w:p>
    <w:p w14:paraId="6CE05C67" w14:textId="5DC9BDA9" w:rsidR="0081524F" w:rsidRPr="00603B76" w:rsidRDefault="00A82B1C" w:rsidP="009D0322">
      <w:pPr>
        <w:pStyle w:val="ListParagraph"/>
        <w:numPr>
          <w:ilvl w:val="0"/>
          <w:numId w:val="12"/>
        </w:numPr>
        <w:ind w:left="0" w:firstLine="0"/>
        <w:rPr>
          <w:szCs w:val="22"/>
        </w:rPr>
      </w:pPr>
      <w:r>
        <w:rPr>
          <w:szCs w:val="22"/>
        </w:rPr>
        <w:t>E</w:t>
      </w:r>
      <w:r w:rsidR="0081524F" w:rsidRPr="00603B76">
        <w:rPr>
          <w:szCs w:val="22"/>
        </w:rPr>
        <w:t>mployee</w:t>
      </w:r>
      <w:r>
        <w:rPr>
          <w:szCs w:val="22"/>
        </w:rPr>
        <w:t>s’</w:t>
      </w:r>
      <w:r w:rsidR="00D92619" w:rsidRPr="00603B76">
        <w:rPr>
          <w:szCs w:val="22"/>
        </w:rPr>
        <w:t xml:space="preserve"> wellbeing and mental health</w:t>
      </w:r>
      <w:r>
        <w:rPr>
          <w:szCs w:val="22"/>
        </w:rPr>
        <w:t xml:space="preserve"> is of utmost importance to the Organization</w:t>
      </w:r>
      <w:r w:rsidR="00F34D00">
        <w:rPr>
          <w:szCs w:val="22"/>
        </w:rPr>
        <w:t>.</w:t>
      </w:r>
      <w:r w:rsidR="00DA25B3">
        <w:rPr>
          <w:szCs w:val="22"/>
        </w:rPr>
        <w:t xml:space="preserve"> </w:t>
      </w:r>
      <w:r w:rsidR="00F34D00">
        <w:rPr>
          <w:szCs w:val="22"/>
        </w:rPr>
        <w:t xml:space="preserve"> It is also </w:t>
      </w:r>
      <w:r w:rsidR="009A7D28">
        <w:rPr>
          <w:szCs w:val="22"/>
        </w:rPr>
        <w:t>an evidenced-</w:t>
      </w:r>
      <w:r w:rsidR="002C22EA">
        <w:rPr>
          <w:szCs w:val="22"/>
        </w:rPr>
        <w:t xml:space="preserve">based fact </w:t>
      </w:r>
      <w:r w:rsidR="00F34D00">
        <w:rPr>
          <w:szCs w:val="22"/>
        </w:rPr>
        <w:t xml:space="preserve">that </w:t>
      </w:r>
      <w:r w:rsidR="00F34D00" w:rsidRPr="00603B76">
        <w:rPr>
          <w:szCs w:val="22"/>
        </w:rPr>
        <w:t>a flexible approach to working is business critical</w:t>
      </w:r>
      <w:r w:rsidR="00BD295B">
        <w:rPr>
          <w:rStyle w:val="FootnoteReference"/>
          <w:szCs w:val="22"/>
        </w:rPr>
        <w:footnoteReference w:id="7"/>
      </w:r>
      <w:r w:rsidR="00F34D00" w:rsidRPr="00603B76">
        <w:rPr>
          <w:szCs w:val="22"/>
        </w:rPr>
        <w:t>, contributes to WIPO being an attractive employer</w:t>
      </w:r>
      <w:r w:rsidR="00F34D00">
        <w:rPr>
          <w:szCs w:val="22"/>
        </w:rPr>
        <w:t xml:space="preserve"> and </w:t>
      </w:r>
      <w:r w:rsidR="0081524F" w:rsidRPr="00603B76">
        <w:rPr>
          <w:szCs w:val="22"/>
        </w:rPr>
        <w:t>support</w:t>
      </w:r>
      <w:r w:rsidR="00AF14C1">
        <w:rPr>
          <w:szCs w:val="22"/>
        </w:rPr>
        <w:t>s</w:t>
      </w:r>
      <w:r w:rsidR="0081524F" w:rsidRPr="00603B76">
        <w:rPr>
          <w:szCs w:val="22"/>
        </w:rPr>
        <w:t xml:space="preserve"> the work-life balance of staff.</w:t>
      </w:r>
      <w:r w:rsidR="0081524F" w:rsidRPr="00603B76">
        <w:rPr>
          <w:color w:val="000000"/>
          <w:szCs w:val="22"/>
        </w:rPr>
        <w:t xml:space="preserve">  As such:</w:t>
      </w:r>
    </w:p>
    <w:p w14:paraId="1070652C" w14:textId="39624F8A" w:rsidR="0081524F" w:rsidRPr="00B35EC2" w:rsidRDefault="00B35EC2" w:rsidP="00B35EC2">
      <w:pPr>
        <w:rPr>
          <w:rFonts w:eastAsia="Times New Roman"/>
          <w:color w:val="000000"/>
          <w:szCs w:val="22"/>
          <w:lang w:eastAsia="en-US"/>
        </w:rPr>
      </w:pPr>
      <w:r>
        <w:rPr>
          <w:color w:val="000000"/>
          <w:szCs w:val="22"/>
        </w:rPr>
        <w:br w:type="page"/>
      </w:r>
    </w:p>
    <w:p w14:paraId="703DFD8F" w14:textId="084600DB" w:rsidR="0081524F" w:rsidRPr="00AF14C1" w:rsidRDefault="0081524F" w:rsidP="0081524F">
      <w:pPr>
        <w:pStyle w:val="ListParagraph"/>
        <w:numPr>
          <w:ilvl w:val="2"/>
          <w:numId w:val="16"/>
        </w:numPr>
        <w:autoSpaceDE w:val="0"/>
        <w:autoSpaceDN w:val="0"/>
        <w:adjustRightInd w:val="0"/>
        <w:ind w:left="990" w:hanging="450"/>
        <w:rPr>
          <w:color w:val="000000"/>
          <w:szCs w:val="22"/>
        </w:rPr>
      </w:pPr>
      <w:r w:rsidRPr="00AF14C1">
        <w:rPr>
          <w:szCs w:val="22"/>
        </w:rPr>
        <w:lastRenderedPageBreak/>
        <w:t xml:space="preserve">WIPO’s </w:t>
      </w:r>
      <w:r w:rsidR="00E50051">
        <w:rPr>
          <w:szCs w:val="22"/>
        </w:rPr>
        <w:t xml:space="preserve">revised </w:t>
      </w:r>
      <w:r w:rsidR="00AF14C1" w:rsidRPr="00AF14C1">
        <w:rPr>
          <w:szCs w:val="22"/>
        </w:rPr>
        <w:t xml:space="preserve">policy </w:t>
      </w:r>
      <w:r w:rsidRPr="00AF14C1">
        <w:rPr>
          <w:szCs w:val="22"/>
        </w:rPr>
        <w:t>on working hours and flexible working arrangements entered into force in January 2022</w:t>
      </w:r>
      <w:r w:rsidR="00AF14C1" w:rsidRPr="00AF14C1">
        <w:rPr>
          <w:szCs w:val="22"/>
        </w:rPr>
        <w:t>, which</w:t>
      </w:r>
      <w:r w:rsidRPr="00AF14C1">
        <w:rPr>
          <w:szCs w:val="22"/>
        </w:rPr>
        <w:t xml:space="preserve"> introduced teleworking as a flexible working arrangement, </w:t>
      </w:r>
      <w:r w:rsidR="00E50051">
        <w:rPr>
          <w:szCs w:val="22"/>
        </w:rPr>
        <w:t xml:space="preserve">drawing from the lessons learned during the COVID-19 pandemic. </w:t>
      </w:r>
      <w:r w:rsidR="00DA25B3">
        <w:rPr>
          <w:szCs w:val="22"/>
        </w:rPr>
        <w:t xml:space="preserve"> </w:t>
      </w:r>
      <w:r w:rsidR="00E50051">
        <w:rPr>
          <w:szCs w:val="22"/>
        </w:rPr>
        <w:t xml:space="preserve">Teleworking </w:t>
      </w:r>
      <w:r w:rsidR="007D3914">
        <w:rPr>
          <w:szCs w:val="22"/>
        </w:rPr>
        <w:t xml:space="preserve">– for positions that are not premises dependent - </w:t>
      </w:r>
      <w:r w:rsidR="00E50051">
        <w:rPr>
          <w:szCs w:val="22"/>
        </w:rPr>
        <w:t xml:space="preserve">is </w:t>
      </w:r>
      <w:r w:rsidR="00A82B1C" w:rsidRPr="00AF14C1">
        <w:rPr>
          <w:color w:val="000000"/>
          <w:szCs w:val="22"/>
        </w:rPr>
        <w:t>by far the most</w:t>
      </w:r>
      <w:r w:rsidR="00A82B1C" w:rsidRPr="00AF14C1">
        <w:rPr>
          <w:szCs w:val="22"/>
        </w:rPr>
        <w:t xml:space="preserve"> popular flexible working arrangement among employees.</w:t>
      </w:r>
      <w:r w:rsidR="00E50051">
        <w:rPr>
          <w:rStyle w:val="FootnoteReference"/>
          <w:szCs w:val="22"/>
        </w:rPr>
        <w:footnoteReference w:id="8"/>
      </w:r>
      <w:r w:rsidR="00A82B1C" w:rsidRPr="00AF14C1">
        <w:rPr>
          <w:szCs w:val="22"/>
        </w:rPr>
        <w:t xml:space="preserve"> </w:t>
      </w:r>
      <w:r w:rsidR="00DA25B3">
        <w:rPr>
          <w:szCs w:val="22"/>
        </w:rPr>
        <w:t xml:space="preserve"> </w:t>
      </w:r>
      <w:r w:rsidR="00A82B1C" w:rsidRPr="00AF14C1">
        <w:rPr>
          <w:szCs w:val="22"/>
        </w:rPr>
        <w:t>It supports their work-life balance and is key to making WIPO an employer of choice.</w:t>
      </w:r>
      <w:r w:rsidR="00E50051" w:rsidRPr="00DA25B3">
        <w:rPr>
          <w:rFonts w:eastAsia="SimSun"/>
          <w:sz w:val="20"/>
          <w:lang w:eastAsia="zh-CN"/>
        </w:rPr>
        <w:t xml:space="preserve"> </w:t>
      </w:r>
      <w:r w:rsidR="00DA25B3" w:rsidRPr="00DA25B3">
        <w:rPr>
          <w:rFonts w:eastAsia="SimSun"/>
          <w:sz w:val="20"/>
          <w:lang w:eastAsia="zh-CN"/>
        </w:rPr>
        <w:t xml:space="preserve"> </w:t>
      </w:r>
      <w:r w:rsidR="00E50051" w:rsidRPr="00E50051">
        <w:rPr>
          <w:szCs w:val="22"/>
        </w:rPr>
        <w:t xml:space="preserve">While business needs take precedence, a number of changes were made to the provisions on working hours and the compressed work schedule, in order to give staff more flexibility to organize their work and manage their time according to their personal preferences and needs, thus supporting work-life balance. </w:t>
      </w:r>
      <w:r w:rsidR="009B7419">
        <w:rPr>
          <w:szCs w:val="22"/>
        </w:rPr>
        <w:t xml:space="preserve"> </w:t>
      </w:r>
      <w:r w:rsidR="00E50051" w:rsidRPr="00E50051">
        <w:rPr>
          <w:szCs w:val="22"/>
        </w:rPr>
        <w:t>These changes also give supervisors more latitude to manage their teams’ working arrangements according to both organizational and individual needs</w:t>
      </w:r>
      <w:r w:rsidR="00E50051">
        <w:rPr>
          <w:szCs w:val="22"/>
        </w:rPr>
        <w:t>.</w:t>
      </w:r>
    </w:p>
    <w:p w14:paraId="6D227A12" w14:textId="77777777" w:rsidR="0081524F" w:rsidRPr="00AF14C1" w:rsidRDefault="0081524F" w:rsidP="0081524F">
      <w:pPr>
        <w:pStyle w:val="ListParagraph"/>
        <w:autoSpaceDE w:val="0"/>
        <w:autoSpaceDN w:val="0"/>
        <w:adjustRightInd w:val="0"/>
        <w:ind w:left="990"/>
        <w:rPr>
          <w:color w:val="000000"/>
          <w:szCs w:val="22"/>
        </w:rPr>
      </w:pPr>
    </w:p>
    <w:p w14:paraId="0F698670" w14:textId="1266DF96" w:rsidR="00A82B1C" w:rsidRPr="00BD295B" w:rsidRDefault="007B3730" w:rsidP="00B36D9A">
      <w:pPr>
        <w:pStyle w:val="ListParagraph"/>
        <w:numPr>
          <w:ilvl w:val="2"/>
          <w:numId w:val="16"/>
        </w:numPr>
        <w:autoSpaceDE w:val="0"/>
        <w:autoSpaceDN w:val="0"/>
        <w:adjustRightInd w:val="0"/>
        <w:ind w:left="990" w:hanging="450"/>
        <w:rPr>
          <w:szCs w:val="22"/>
        </w:rPr>
      </w:pPr>
      <w:r w:rsidRPr="00BD295B">
        <w:rPr>
          <w:szCs w:val="22"/>
        </w:rPr>
        <w:t>The</w:t>
      </w:r>
      <w:r w:rsidR="00A82B1C" w:rsidRPr="00BD295B">
        <w:rPr>
          <w:szCs w:val="22"/>
        </w:rPr>
        <w:t xml:space="preserve"> parental leave entitlement of fellows was increased, grant</w:t>
      </w:r>
      <w:r w:rsidR="00230120">
        <w:rPr>
          <w:szCs w:val="22"/>
        </w:rPr>
        <w:t>ing them</w:t>
      </w:r>
      <w:r w:rsidR="00A82B1C" w:rsidRPr="00BD295B">
        <w:rPr>
          <w:szCs w:val="22"/>
        </w:rPr>
        <w:t xml:space="preserve"> more flexibility to use their entitlement.</w:t>
      </w:r>
      <w:r w:rsidR="009B7419">
        <w:rPr>
          <w:szCs w:val="22"/>
        </w:rPr>
        <w:t xml:space="preserve"> </w:t>
      </w:r>
      <w:r w:rsidR="00A82B1C" w:rsidRPr="00BD295B">
        <w:rPr>
          <w:szCs w:val="22"/>
        </w:rPr>
        <w:t xml:space="preserve"> These changes followed the revision of WIPO’s parental leave policy for staff in 2021</w:t>
      </w:r>
      <w:r w:rsidR="00E016D1">
        <w:rPr>
          <w:szCs w:val="22"/>
        </w:rPr>
        <w:t>,</w:t>
      </w:r>
      <w:r w:rsidR="00C64E1A" w:rsidRPr="00BD295B">
        <w:rPr>
          <w:szCs w:val="22"/>
        </w:rPr>
        <w:t xml:space="preserve"> which is aligned with the </w:t>
      </w:r>
      <w:r w:rsidR="00FE19FC">
        <w:rPr>
          <w:szCs w:val="22"/>
        </w:rPr>
        <w:t>United Nations (</w:t>
      </w:r>
      <w:r w:rsidR="00C64E1A" w:rsidRPr="00BD295B">
        <w:rPr>
          <w:szCs w:val="22"/>
        </w:rPr>
        <w:t>UN</w:t>
      </w:r>
      <w:r w:rsidR="00FE19FC">
        <w:rPr>
          <w:szCs w:val="22"/>
        </w:rPr>
        <w:t>)</w:t>
      </w:r>
      <w:r w:rsidR="00C64E1A" w:rsidRPr="00BD295B">
        <w:rPr>
          <w:szCs w:val="22"/>
        </w:rPr>
        <w:t xml:space="preserve"> recommendations</w:t>
      </w:r>
      <w:r w:rsidR="00A82B1C" w:rsidRPr="00BD295B">
        <w:rPr>
          <w:szCs w:val="22"/>
        </w:rPr>
        <w:t xml:space="preserve">. </w:t>
      </w:r>
      <w:r w:rsidR="009B7419">
        <w:rPr>
          <w:szCs w:val="22"/>
        </w:rPr>
        <w:t xml:space="preserve"> </w:t>
      </w:r>
      <w:r w:rsidR="00A82B1C" w:rsidRPr="00BD295B">
        <w:rPr>
          <w:szCs w:val="22"/>
        </w:rPr>
        <w:t>They aim to help fellows to better balance professional and personal demands during an important moment of their lives, as well as to promote gender equality and inclusion</w:t>
      </w:r>
      <w:r w:rsidR="0081524F" w:rsidRPr="00BD295B">
        <w:rPr>
          <w:szCs w:val="22"/>
        </w:rPr>
        <w:t>.</w:t>
      </w:r>
    </w:p>
    <w:p w14:paraId="75482198" w14:textId="4B6CB51E" w:rsidR="00BA1639" w:rsidRDefault="00BA1639">
      <w:pPr>
        <w:rPr>
          <w:rFonts w:eastAsia="Times New Roman"/>
          <w:szCs w:val="22"/>
          <w:lang w:eastAsia="en-US"/>
        </w:rPr>
      </w:pPr>
    </w:p>
    <w:p w14:paraId="73588A70" w14:textId="75AF7289" w:rsidR="0081524F" w:rsidRPr="00B520B0" w:rsidRDefault="00A82B1C" w:rsidP="00A82B1C">
      <w:pPr>
        <w:pStyle w:val="ListParagraph"/>
        <w:numPr>
          <w:ilvl w:val="2"/>
          <w:numId w:val="16"/>
        </w:numPr>
        <w:autoSpaceDE w:val="0"/>
        <w:autoSpaceDN w:val="0"/>
        <w:adjustRightInd w:val="0"/>
        <w:ind w:left="990" w:hanging="450"/>
        <w:rPr>
          <w:color w:val="000000"/>
          <w:szCs w:val="22"/>
        </w:rPr>
      </w:pPr>
      <w:r w:rsidRPr="00AF14C1">
        <w:rPr>
          <w:szCs w:val="22"/>
        </w:rPr>
        <w:t>Through a policy change, increased flexibility was granted to staff who need to take leave due to a family-related emergency.</w:t>
      </w:r>
      <w:r w:rsidR="009B7419">
        <w:rPr>
          <w:szCs w:val="22"/>
        </w:rPr>
        <w:t xml:space="preserve"> </w:t>
      </w:r>
      <w:r w:rsidRPr="00AF14C1">
        <w:rPr>
          <w:szCs w:val="22"/>
        </w:rPr>
        <w:t xml:space="preserve"> Notably, staff may now use this leave entitlement for more than three consecutive working days (up to seven days per year).</w:t>
      </w:r>
      <w:r w:rsidR="009B7419">
        <w:rPr>
          <w:szCs w:val="22"/>
        </w:rPr>
        <w:t xml:space="preserve"> </w:t>
      </w:r>
      <w:r w:rsidRPr="00AF14C1">
        <w:rPr>
          <w:szCs w:val="22"/>
        </w:rPr>
        <w:t xml:space="preserve"> In the same spirit of granting more flexibility to staff in difficult personal situations, the time limit to submit medical certificates in case of sick leave was increased from four to 10 working days following the start date of the sick leave</w:t>
      </w:r>
      <w:r w:rsidR="0081524F" w:rsidRPr="00AF14C1">
        <w:rPr>
          <w:szCs w:val="22"/>
        </w:rPr>
        <w:t>.</w:t>
      </w:r>
      <w:r w:rsidR="00E50051" w:rsidRPr="00E50051">
        <w:rPr>
          <w:rFonts w:eastAsia="SimSun"/>
          <w:sz w:val="20"/>
          <w:lang w:eastAsia="zh-CN"/>
        </w:rPr>
        <w:t xml:space="preserve"> </w:t>
      </w:r>
      <w:r w:rsidR="009B7419">
        <w:rPr>
          <w:rFonts w:eastAsia="SimSun"/>
          <w:sz w:val="20"/>
          <w:lang w:eastAsia="zh-CN"/>
        </w:rPr>
        <w:t xml:space="preserve"> </w:t>
      </w:r>
      <w:r w:rsidR="00E50051" w:rsidRPr="00E50051">
        <w:rPr>
          <w:szCs w:val="22"/>
        </w:rPr>
        <w:t>To allow the Medical Unit to monitor sick leave more consistently, the 20 (cumulative or consecutive) days of certified sick leave following which staff must submit medical information to the WIPO Medical Adviser are no</w:t>
      </w:r>
      <w:r w:rsidR="009B7419">
        <w:rPr>
          <w:szCs w:val="22"/>
        </w:rPr>
        <w:t>w counted within a period of 12 </w:t>
      </w:r>
      <w:r w:rsidR="00E50051" w:rsidRPr="00E50051">
        <w:rPr>
          <w:szCs w:val="22"/>
        </w:rPr>
        <w:t>months (rather than per calendar year previously).</w:t>
      </w:r>
    </w:p>
    <w:p w14:paraId="5E5FB979" w14:textId="079D027F" w:rsidR="007B3730" w:rsidRPr="00C64E1A" w:rsidRDefault="007B3730" w:rsidP="00C64E1A">
      <w:pPr>
        <w:autoSpaceDE w:val="0"/>
        <w:autoSpaceDN w:val="0"/>
        <w:adjustRightInd w:val="0"/>
        <w:rPr>
          <w:color w:val="000000"/>
          <w:szCs w:val="22"/>
        </w:rPr>
      </w:pPr>
    </w:p>
    <w:p w14:paraId="54EC6EC7" w14:textId="104F456E" w:rsidR="00BF29C6" w:rsidRPr="00BF29C6" w:rsidRDefault="00D60296" w:rsidP="00BF29C6">
      <w:pPr>
        <w:pStyle w:val="ListParagraph"/>
        <w:numPr>
          <w:ilvl w:val="0"/>
          <w:numId w:val="12"/>
        </w:numPr>
        <w:ind w:left="0" w:firstLine="0"/>
        <w:rPr>
          <w:szCs w:val="22"/>
        </w:rPr>
      </w:pPr>
      <w:r>
        <w:rPr>
          <w:szCs w:val="22"/>
        </w:rPr>
        <w:t>L</w:t>
      </w:r>
      <w:r w:rsidRPr="00D60296">
        <w:rPr>
          <w:szCs w:val="22"/>
        </w:rPr>
        <w:t>ikewise, the Medical Unit and the Staff Counsellor continued to provide comprehensive advice as well as a broad range of support services to staff on wellbeing and mental health, in line with W</w:t>
      </w:r>
      <w:r w:rsidR="00BD295B">
        <w:rPr>
          <w:szCs w:val="22"/>
        </w:rPr>
        <w:t>orld Health Organization</w:t>
      </w:r>
      <w:r w:rsidR="00CD6D10">
        <w:rPr>
          <w:szCs w:val="22"/>
        </w:rPr>
        <w:t xml:space="preserve"> (WHO)</w:t>
      </w:r>
      <w:r w:rsidRPr="00D60296">
        <w:rPr>
          <w:szCs w:val="22"/>
        </w:rPr>
        <w:t>/</w:t>
      </w:r>
      <w:r w:rsidR="00BD295B" w:rsidRPr="00D60296">
        <w:rPr>
          <w:szCs w:val="22"/>
        </w:rPr>
        <w:t>I</w:t>
      </w:r>
      <w:r w:rsidR="00BD295B">
        <w:rPr>
          <w:szCs w:val="22"/>
        </w:rPr>
        <w:t xml:space="preserve">nternational </w:t>
      </w:r>
      <w:r w:rsidRPr="00D60296">
        <w:rPr>
          <w:szCs w:val="22"/>
        </w:rPr>
        <w:t>L</w:t>
      </w:r>
      <w:r w:rsidR="00BD295B">
        <w:rPr>
          <w:szCs w:val="22"/>
        </w:rPr>
        <w:t xml:space="preserve">abour </w:t>
      </w:r>
      <w:r w:rsidRPr="00D60296">
        <w:rPr>
          <w:szCs w:val="22"/>
        </w:rPr>
        <w:t>O</w:t>
      </w:r>
      <w:r w:rsidR="00BD295B">
        <w:rPr>
          <w:szCs w:val="22"/>
        </w:rPr>
        <w:t>rganization</w:t>
      </w:r>
      <w:r w:rsidR="00CD6D10">
        <w:rPr>
          <w:szCs w:val="22"/>
        </w:rPr>
        <w:t xml:space="preserve"> (ILO)</w:t>
      </w:r>
      <w:r w:rsidRPr="00D60296">
        <w:rPr>
          <w:szCs w:val="22"/>
        </w:rPr>
        <w:t xml:space="preserve"> policy and guidelines on mental health at work and in collaboration with the UN Mental Health Implementation Board.  Based on the results of the 2021 United Nations Health Intelligence (UNHI) Health and Wellbeing Survey,</w:t>
      </w:r>
      <w:r w:rsidR="00C64E1A">
        <w:rPr>
          <w:szCs w:val="22"/>
        </w:rPr>
        <w:t xml:space="preserve"> and actions identified as a result of the engagement survey,</w:t>
      </w:r>
      <w:r w:rsidRPr="00D60296">
        <w:rPr>
          <w:szCs w:val="22"/>
        </w:rPr>
        <w:t xml:space="preserve"> several </w:t>
      </w:r>
      <w:r>
        <w:t>measures were implemented in 2022</w:t>
      </w:r>
      <w:r w:rsidR="007D3914">
        <w:t xml:space="preserve">. </w:t>
      </w:r>
      <w:r w:rsidR="00CD6D10">
        <w:t xml:space="preserve"> </w:t>
      </w:r>
      <w:r w:rsidR="007D3914">
        <w:t xml:space="preserve">These </w:t>
      </w:r>
      <w:r>
        <w:t>includ</w:t>
      </w:r>
      <w:r w:rsidR="007D3914">
        <w:t>ed</w:t>
      </w:r>
      <w:r>
        <w:t xml:space="preserve"> a free wellbeing application available to all personnel, webinars on relevant topics related to wellbeing and mental health, and </w:t>
      </w:r>
      <w:r w:rsidR="00A932C1">
        <w:t xml:space="preserve">the </w:t>
      </w:r>
      <w:r>
        <w:t xml:space="preserve">marking of world mental health and suicide prevention days. </w:t>
      </w:r>
      <w:r w:rsidR="00CD6D10">
        <w:t xml:space="preserve"> </w:t>
      </w:r>
      <w:r w:rsidR="00B43D29">
        <w:t>The latest activity in this regard is the</w:t>
      </w:r>
      <w:r w:rsidR="003D1DC9">
        <w:t xml:space="preserve"> event called “Mental Health is Everybody’s Business”</w:t>
      </w:r>
      <w:r w:rsidR="004E53F5">
        <w:t>,</w:t>
      </w:r>
      <w:r w:rsidR="003D1DC9">
        <w:t xml:space="preserve"> which took place in March 2023 and attended by over 550 WIPO colleagues.</w:t>
      </w:r>
      <w:r w:rsidR="00CD6D10">
        <w:t xml:space="preserve"> </w:t>
      </w:r>
      <w:r w:rsidR="00B43D29">
        <w:t xml:space="preserve"> </w:t>
      </w:r>
      <w:r>
        <w:t>Several additional initiatives are in the pipeline for implementation in the coming years.</w:t>
      </w:r>
    </w:p>
    <w:p w14:paraId="34AD84F0" w14:textId="08FDF818" w:rsidR="00BF29C6" w:rsidRPr="00B05357" w:rsidRDefault="00BF29C6" w:rsidP="00BF29C6">
      <w:pPr>
        <w:pStyle w:val="Heading3"/>
        <w:rPr>
          <w:i/>
          <w:szCs w:val="22"/>
          <w:u w:val="none"/>
        </w:rPr>
      </w:pPr>
      <w:r>
        <w:rPr>
          <w:i/>
          <w:szCs w:val="22"/>
          <w:u w:val="none"/>
        </w:rPr>
        <w:tab/>
      </w:r>
      <w:r w:rsidRPr="00A932C1">
        <w:rPr>
          <w:i/>
          <w:szCs w:val="22"/>
          <w:u w:val="none"/>
        </w:rPr>
        <w:t xml:space="preserve">A </w:t>
      </w:r>
      <w:r w:rsidR="008144D9" w:rsidRPr="00A932C1">
        <w:rPr>
          <w:i/>
          <w:szCs w:val="22"/>
          <w:u w:val="none"/>
        </w:rPr>
        <w:t>R</w:t>
      </w:r>
      <w:r w:rsidRPr="00A932C1">
        <w:rPr>
          <w:i/>
          <w:szCs w:val="22"/>
          <w:u w:val="none"/>
        </w:rPr>
        <w:t xml:space="preserve">espectful and </w:t>
      </w:r>
      <w:r w:rsidR="008144D9" w:rsidRPr="00A932C1">
        <w:rPr>
          <w:i/>
          <w:szCs w:val="22"/>
          <w:u w:val="none"/>
        </w:rPr>
        <w:t>H</w:t>
      </w:r>
      <w:r w:rsidRPr="00A932C1">
        <w:rPr>
          <w:i/>
          <w:szCs w:val="22"/>
          <w:u w:val="none"/>
        </w:rPr>
        <w:t xml:space="preserve">armonious </w:t>
      </w:r>
      <w:r w:rsidR="008144D9" w:rsidRPr="00A932C1">
        <w:rPr>
          <w:i/>
          <w:szCs w:val="22"/>
          <w:u w:val="none"/>
        </w:rPr>
        <w:t>W</w:t>
      </w:r>
      <w:r w:rsidRPr="00A932C1">
        <w:rPr>
          <w:i/>
          <w:szCs w:val="22"/>
          <w:u w:val="none"/>
        </w:rPr>
        <w:t>orkplace</w:t>
      </w:r>
    </w:p>
    <w:p w14:paraId="152F68E4" w14:textId="77777777" w:rsidR="00BF29C6" w:rsidRPr="00BF29C6" w:rsidRDefault="00BF29C6" w:rsidP="00BF29C6">
      <w:pPr>
        <w:pStyle w:val="ListParagraph"/>
        <w:ind w:left="0"/>
        <w:rPr>
          <w:szCs w:val="22"/>
        </w:rPr>
      </w:pPr>
    </w:p>
    <w:p w14:paraId="3918DC32" w14:textId="034E7452" w:rsidR="00FB5BF6" w:rsidRDefault="00BF29C6" w:rsidP="00FB5BF6">
      <w:pPr>
        <w:pStyle w:val="ListParagraph"/>
        <w:numPr>
          <w:ilvl w:val="0"/>
          <w:numId w:val="12"/>
        </w:numPr>
        <w:ind w:left="0" w:firstLine="0"/>
        <w:rPr>
          <w:szCs w:val="22"/>
        </w:rPr>
      </w:pPr>
      <w:r w:rsidRPr="00BF29C6">
        <w:rPr>
          <w:szCs w:val="22"/>
        </w:rPr>
        <w:t>WIPO has a zero tolerance policy towards any type of harassment and it has systematically embedded</w:t>
      </w:r>
      <w:r w:rsidR="006572D4">
        <w:rPr>
          <w:szCs w:val="22"/>
        </w:rPr>
        <w:t xml:space="preserve"> </w:t>
      </w:r>
      <w:r w:rsidR="00D760D1">
        <w:rPr>
          <w:szCs w:val="22"/>
        </w:rPr>
        <w:t xml:space="preserve">initiatives </w:t>
      </w:r>
      <w:r w:rsidR="006572D4">
        <w:rPr>
          <w:szCs w:val="22"/>
        </w:rPr>
        <w:t>within other processes</w:t>
      </w:r>
      <w:r w:rsidRPr="00BF29C6">
        <w:rPr>
          <w:szCs w:val="22"/>
        </w:rPr>
        <w:t xml:space="preserve"> to promote a respectful and harmonious workplace. </w:t>
      </w:r>
      <w:r w:rsidR="008144D9">
        <w:rPr>
          <w:szCs w:val="22"/>
        </w:rPr>
        <w:t xml:space="preserve"> </w:t>
      </w:r>
      <w:r w:rsidR="00514382">
        <w:rPr>
          <w:szCs w:val="22"/>
        </w:rPr>
        <w:t>On sexual harassment more specifically, t</w:t>
      </w:r>
      <w:r w:rsidRPr="00BF29C6">
        <w:rPr>
          <w:szCs w:val="22"/>
        </w:rPr>
        <w:t>his is a multi-pronged endeavor, involv</w:t>
      </w:r>
      <w:r w:rsidR="00CF1828">
        <w:rPr>
          <w:szCs w:val="22"/>
        </w:rPr>
        <w:t>ing</w:t>
      </w:r>
      <w:r w:rsidRPr="00BF29C6">
        <w:rPr>
          <w:szCs w:val="22"/>
        </w:rPr>
        <w:t xml:space="preserve"> the Office of the Ombudsperson, the Ethics Office, IOD, the WIPO Academy, </w:t>
      </w:r>
      <w:r w:rsidR="00467C25">
        <w:rPr>
          <w:szCs w:val="22"/>
        </w:rPr>
        <w:t xml:space="preserve">the Gender and Diversity Specialist, </w:t>
      </w:r>
      <w:r w:rsidRPr="00BF29C6">
        <w:rPr>
          <w:szCs w:val="22"/>
        </w:rPr>
        <w:t>the Staff Counsellor and the Talent Business Partners in HRMD.</w:t>
      </w:r>
    </w:p>
    <w:p w14:paraId="5B412B06" w14:textId="467F0F82" w:rsidR="00D34522" w:rsidRPr="008144D9" w:rsidRDefault="00BF29C6" w:rsidP="00B36D9A">
      <w:pPr>
        <w:pStyle w:val="ListParagraph"/>
        <w:numPr>
          <w:ilvl w:val="0"/>
          <w:numId w:val="12"/>
        </w:numPr>
        <w:ind w:left="0" w:firstLine="0"/>
        <w:rPr>
          <w:szCs w:val="22"/>
        </w:rPr>
      </w:pPr>
      <w:r w:rsidRPr="008144D9">
        <w:rPr>
          <w:szCs w:val="22"/>
        </w:rPr>
        <w:lastRenderedPageBreak/>
        <w:t xml:space="preserve">WIPO’s commitment to this important issue is clearly validated </w:t>
      </w:r>
      <w:r w:rsidR="00514382" w:rsidRPr="008144D9">
        <w:rPr>
          <w:szCs w:val="22"/>
        </w:rPr>
        <w:t>by</w:t>
      </w:r>
      <w:r w:rsidRPr="008144D9">
        <w:rPr>
          <w:szCs w:val="22"/>
        </w:rPr>
        <w:t xml:space="preserve"> its high-level policy on preventing and addressing sexual exploitation and sexual abuse</w:t>
      </w:r>
      <w:r w:rsidR="00514382" w:rsidRPr="008144D9">
        <w:rPr>
          <w:szCs w:val="22"/>
        </w:rPr>
        <w:t xml:space="preserve"> (</w:t>
      </w:r>
      <w:r w:rsidRPr="008144D9">
        <w:rPr>
          <w:szCs w:val="22"/>
        </w:rPr>
        <w:t>which provides all members of personnel with clear standards to which they are expected to adhere</w:t>
      </w:r>
      <w:r w:rsidR="00514382" w:rsidRPr="008144D9">
        <w:rPr>
          <w:szCs w:val="22"/>
        </w:rPr>
        <w:t>) and by its Staff Regulations and Rules</w:t>
      </w:r>
      <w:r w:rsidR="00D34522" w:rsidRPr="008144D9">
        <w:rPr>
          <w:szCs w:val="22"/>
        </w:rPr>
        <w:t xml:space="preserve"> (SRR)</w:t>
      </w:r>
      <w:r w:rsidR="002F2284" w:rsidRPr="008144D9">
        <w:rPr>
          <w:szCs w:val="22"/>
        </w:rPr>
        <w:t>, which</w:t>
      </w:r>
      <w:r w:rsidR="00514382" w:rsidRPr="008144D9">
        <w:rPr>
          <w:szCs w:val="22"/>
        </w:rPr>
        <w:t xml:space="preserve"> expressly prohibit</w:t>
      </w:r>
      <w:r w:rsidR="002F2284" w:rsidRPr="008144D9">
        <w:rPr>
          <w:szCs w:val="22"/>
        </w:rPr>
        <w:t>s sexual harassment.</w:t>
      </w:r>
      <w:r w:rsidR="008144D9" w:rsidRPr="008144D9">
        <w:rPr>
          <w:szCs w:val="22"/>
        </w:rPr>
        <w:t xml:space="preserve"> </w:t>
      </w:r>
      <w:r w:rsidR="00D34522" w:rsidRPr="008144D9">
        <w:rPr>
          <w:szCs w:val="22"/>
        </w:rPr>
        <w:t xml:space="preserve"> </w:t>
      </w:r>
      <w:r w:rsidR="00FB5BF6" w:rsidRPr="008144D9">
        <w:rPr>
          <w:rStyle w:val="ui-provider"/>
          <w:iCs/>
        </w:rPr>
        <w:t>It is recalled that the SRR provides that allegations of sexual harassment should be reported to IOD for investigation in accordance with IOD’s investigati</w:t>
      </w:r>
      <w:r w:rsidR="00F76E36">
        <w:rPr>
          <w:rStyle w:val="ui-provider"/>
          <w:iCs/>
        </w:rPr>
        <w:t>ve</w:t>
      </w:r>
      <w:r w:rsidR="00FB5BF6" w:rsidRPr="008144D9">
        <w:rPr>
          <w:rStyle w:val="ui-provider"/>
          <w:iCs/>
        </w:rPr>
        <w:t xml:space="preserve"> framework. </w:t>
      </w:r>
      <w:r w:rsidR="008144D9">
        <w:rPr>
          <w:rStyle w:val="ui-provider"/>
          <w:iCs/>
        </w:rPr>
        <w:t xml:space="preserve"> </w:t>
      </w:r>
      <w:r w:rsidR="00FB5BF6" w:rsidRPr="008144D9">
        <w:rPr>
          <w:rStyle w:val="ui-provider"/>
          <w:iCs/>
        </w:rPr>
        <w:t>The status of sexual harassment allegations and investigations are reported quarterly to the Independent Advisory Oversight Committee</w:t>
      </w:r>
      <w:r w:rsidR="005C2B54">
        <w:rPr>
          <w:rStyle w:val="ui-provider"/>
          <w:iCs/>
        </w:rPr>
        <w:t xml:space="preserve"> (IAOC)</w:t>
      </w:r>
      <w:r w:rsidR="00FB5BF6" w:rsidRPr="008144D9">
        <w:rPr>
          <w:rStyle w:val="ui-provider"/>
          <w:iCs/>
        </w:rPr>
        <w:t>, and annually in the Report of the Director IOD</w:t>
      </w:r>
      <w:r w:rsidR="00D34522" w:rsidRPr="008144D9">
        <w:rPr>
          <w:szCs w:val="22"/>
        </w:rPr>
        <w:t>.</w:t>
      </w:r>
    </w:p>
    <w:p w14:paraId="0DA00883" w14:textId="77777777" w:rsidR="00514382" w:rsidRPr="00514382" w:rsidRDefault="00514382" w:rsidP="00514382">
      <w:pPr>
        <w:pStyle w:val="ListParagraph"/>
        <w:rPr>
          <w:szCs w:val="22"/>
        </w:rPr>
      </w:pPr>
    </w:p>
    <w:p w14:paraId="127EF686" w14:textId="584BC666" w:rsidR="00BF29C6" w:rsidRPr="00BF29C6" w:rsidRDefault="00BF29C6" w:rsidP="00BF29C6">
      <w:pPr>
        <w:pStyle w:val="ListParagraph"/>
        <w:numPr>
          <w:ilvl w:val="0"/>
          <w:numId w:val="12"/>
        </w:numPr>
        <w:ind w:left="0" w:firstLine="0"/>
        <w:rPr>
          <w:szCs w:val="22"/>
        </w:rPr>
      </w:pPr>
      <w:r w:rsidRPr="00BF29C6">
        <w:rPr>
          <w:szCs w:val="22"/>
        </w:rPr>
        <w:t xml:space="preserve">The Organization has also integrated awareness-raising of the zero-tolerance policy in key processes, such as the induction program for newcomers, the performance evaluation process and in the exit questionnaire. </w:t>
      </w:r>
      <w:r w:rsidR="005C2B54">
        <w:rPr>
          <w:szCs w:val="22"/>
        </w:rPr>
        <w:t xml:space="preserve"> </w:t>
      </w:r>
      <w:r w:rsidRPr="00BF29C6">
        <w:rPr>
          <w:szCs w:val="22"/>
        </w:rPr>
        <w:t xml:space="preserve">In addition, the mandatory course on “Working Together Harmoniously” – with a specific additional component for managers - enables staff to learn how to address situations of harassment, more specifically sexual harassment.  As of </w:t>
      </w:r>
      <w:r w:rsidR="00B36D9A">
        <w:rPr>
          <w:szCs w:val="22"/>
        </w:rPr>
        <w:t xml:space="preserve">the </w:t>
      </w:r>
      <w:r w:rsidRPr="00BF29C6">
        <w:rPr>
          <w:szCs w:val="22"/>
        </w:rPr>
        <w:t>end</w:t>
      </w:r>
      <w:r w:rsidR="00CC06F9">
        <w:rPr>
          <w:szCs w:val="22"/>
        </w:rPr>
        <w:t xml:space="preserve"> </w:t>
      </w:r>
      <w:r w:rsidR="00B36D9A">
        <w:rPr>
          <w:szCs w:val="22"/>
        </w:rPr>
        <w:t xml:space="preserve">of </w:t>
      </w:r>
      <w:r w:rsidRPr="00BF29C6">
        <w:rPr>
          <w:szCs w:val="22"/>
        </w:rPr>
        <w:t xml:space="preserve">2022, over 85 per cent of staff had completed the first module, whilst 90 per cent of managers had completed the manager-specific module.  </w:t>
      </w:r>
    </w:p>
    <w:p w14:paraId="59AF9ADC" w14:textId="568E1D30" w:rsidR="00BA1639" w:rsidRPr="00B35EC2" w:rsidRDefault="00B35EC2" w:rsidP="00B35EC2">
      <w:pPr>
        <w:pStyle w:val="xdefault"/>
        <w:rPr>
          <w:color w:val="auto"/>
          <w:sz w:val="22"/>
          <w:szCs w:val="22"/>
        </w:rPr>
      </w:pPr>
      <w:r>
        <w:rPr>
          <w:color w:val="auto"/>
          <w:sz w:val="22"/>
          <w:szCs w:val="22"/>
        </w:rPr>
        <w:t> </w:t>
      </w:r>
    </w:p>
    <w:p w14:paraId="02475F1E" w14:textId="68D2B990" w:rsidR="0081524F" w:rsidRDefault="00BF29C6" w:rsidP="00BF29C6">
      <w:pPr>
        <w:pStyle w:val="ListParagraph"/>
        <w:numPr>
          <w:ilvl w:val="0"/>
          <w:numId w:val="12"/>
        </w:numPr>
        <w:ind w:left="0" w:firstLine="0"/>
        <w:rPr>
          <w:szCs w:val="22"/>
        </w:rPr>
      </w:pPr>
      <w:r w:rsidRPr="0056647B">
        <w:rPr>
          <w:szCs w:val="22"/>
        </w:rPr>
        <w:t xml:space="preserve">Furthermore, the procedures governing workplace-related conflicts and grievances allows not only staff, but also non-staff personnel </w:t>
      </w:r>
      <w:r w:rsidRPr="0056647B">
        <w:t>to file</w:t>
      </w:r>
      <w:r w:rsidRPr="0056647B">
        <w:rPr>
          <w:szCs w:val="22"/>
        </w:rPr>
        <w:t xml:space="preserve"> formal complaints of sexual harassment, and the mandate of the Office of the Ombudsperson was </w:t>
      </w:r>
      <w:r w:rsidRPr="0056647B">
        <w:t xml:space="preserve">also </w:t>
      </w:r>
      <w:r w:rsidRPr="0056647B">
        <w:rPr>
          <w:szCs w:val="22"/>
        </w:rPr>
        <w:t>expanded consequently to include access to non-staff.</w:t>
      </w:r>
      <w:r w:rsidR="008A77C7">
        <w:rPr>
          <w:szCs w:val="22"/>
        </w:rPr>
        <w:t xml:space="preserve"> </w:t>
      </w:r>
      <w:r w:rsidRPr="0056647B">
        <w:rPr>
          <w:szCs w:val="22"/>
        </w:rPr>
        <w:t xml:space="preserve"> In the same vein, the “Guide to a Respectful and Harmonious Workplace”</w:t>
      </w:r>
      <w:r w:rsidRPr="0056647B">
        <w:rPr>
          <w:rStyle w:val="FootnoteReference"/>
          <w:szCs w:val="22"/>
        </w:rPr>
        <w:t xml:space="preserve"> </w:t>
      </w:r>
      <w:r w:rsidRPr="0056647B">
        <w:rPr>
          <w:rStyle w:val="FootnoteReference"/>
          <w:szCs w:val="22"/>
        </w:rPr>
        <w:footnoteReference w:id="9"/>
      </w:r>
      <w:r w:rsidRPr="0056647B">
        <w:rPr>
          <w:rStyle w:val="FootnoteReference"/>
          <w:szCs w:val="22"/>
        </w:rPr>
        <w:t xml:space="preserve"> </w:t>
      </w:r>
      <w:r w:rsidRPr="0056647B">
        <w:rPr>
          <w:szCs w:val="22"/>
        </w:rPr>
        <w:t>provides guidance and reinforces the principle that everyone has a right to work in a safe and respectful work environment.</w:t>
      </w:r>
      <w:r w:rsidR="0081524F">
        <w:rPr>
          <w:szCs w:val="22"/>
        </w:rPr>
        <w:t xml:space="preserve"> </w:t>
      </w:r>
    </w:p>
    <w:p w14:paraId="0885108A" w14:textId="77777777" w:rsidR="00925BF5" w:rsidRPr="00925BF5" w:rsidRDefault="00925BF5" w:rsidP="00925BF5">
      <w:pPr>
        <w:pStyle w:val="ListParagraph"/>
        <w:rPr>
          <w:szCs w:val="22"/>
        </w:rPr>
      </w:pPr>
    </w:p>
    <w:p w14:paraId="11FF797D" w14:textId="4432D231" w:rsidR="00E21C40" w:rsidRDefault="00E21C40" w:rsidP="00E21C40">
      <w:pPr>
        <w:pStyle w:val="Heading1"/>
        <w:numPr>
          <w:ilvl w:val="0"/>
          <w:numId w:val="11"/>
        </w:numPr>
        <w:spacing w:before="0"/>
        <w:ind w:left="567" w:hanging="567"/>
        <w:rPr>
          <w:szCs w:val="22"/>
        </w:rPr>
      </w:pPr>
      <w:r>
        <w:rPr>
          <w:szCs w:val="22"/>
        </w:rPr>
        <w:t>a diverse and inclusive workforce</w:t>
      </w:r>
    </w:p>
    <w:p w14:paraId="4534A8A3" w14:textId="77777777" w:rsidR="00E21C40" w:rsidRPr="00E21C40" w:rsidRDefault="00E21C40" w:rsidP="00E21C40"/>
    <w:p w14:paraId="0D1697DF" w14:textId="25E8C50A" w:rsidR="00966002" w:rsidRPr="00BF54BF" w:rsidRDefault="00966002" w:rsidP="00966002">
      <w:pPr>
        <w:pStyle w:val="ListParagraph"/>
        <w:numPr>
          <w:ilvl w:val="0"/>
          <w:numId w:val="12"/>
        </w:numPr>
        <w:ind w:left="0" w:firstLine="0"/>
        <w:rPr>
          <w:szCs w:val="22"/>
        </w:rPr>
      </w:pPr>
      <w:r w:rsidRPr="0018674A">
        <w:rPr>
          <w:szCs w:val="22"/>
        </w:rPr>
        <w:t xml:space="preserve">At its </w:t>
      </w:r>
      <w:r>
        <w:rPr>
          <w:szCs w:val="22"/>
        </w:rPr>
        <w:t>last</w:t>
      </w:r>
      <w:r w:rsidRPr="0018674A">
        <w:rPr>
          <w:szCs w:val="22"/>
        </w:rPr>
        <w:t xml:space="preserve"> meeting in </w:t>
      </w:r>
      <w:r>
        <w:rPr>
          <w:szCs w:val="22"/>
        </w:rPr>
        <w:t>July 2022</w:t>
      </w:r>
      <w:r w:rsidRPr="0018674A">
        <w:rPr>
          <w:szCs w:val="22"/>
        </w:rPr>
        <w:t xml:space="preserve">, the WIPO Coordination Committee requested the Secretariat to include systematically in its Annual Report on Human Resources </w:t>
      </w:r>
      <w:r w:rsidRPr="009670DE">
        <w:t xml:space="preserve">detailed information on the concrete measures taken to improve geographical balance on positions subject to geographical distribution, as well as gender balance, in all </w:t>
      </w:r>
      <w:r w:rsidR="008A77C7">
        <w:t>S</w:t>
      </w:r>
      <w:r w:rsidRPr="009670DE">
        <w:t>ectors of WIPO and at all levels.</w:t>
      </w:r>
      <w:r w:rsidR="00935BAC">
        <w:t xml:space="preserve"> </w:t>
      </w:r>
      <w:r w:rsidR="008A77C7">
        <w:t xml:space="preserve"> </w:t>
      </w:r>
      <w:r w:rsidR="00935BAC">
        <w:t xml:space="preserve">To this end, this Annual Report encloses an Annex presenting </w:t>
      </w:r>
      <w:r w:rsidR="00FF4755">
        <w:t xml:space="preserve">the first version of an action plan </w:t>
      </w:r>
      <w:r w:rsidR="00935BAC">
        <w:t>to further enhance geographical diversity in WIPO.</w:t>
      </w:r>
      <w:r w:rsidR="00FF4755">
        <w:t xml:space="preserve"> </w:t>
      </w:r>
      <w:r w:rsidR="008A77C7">
        <w:t xml:space="preserve"> </w:t>
      </w:r>
      <w:r w:rsidR="00FF4755">
        <w:t xml:space="preserve">The work with Member States is expected to continue in 2023 to monitor the impact of </w:t>
      </w:r>
      <w:r w:rsidR="009A7D28">
        <w:t xml:space="preserve">these </w:t>
      </w:r>
      <w:r w:rsidR="00FF4755">
        <w:t xml:space="preserve">measures and </w:t>
      </w:r>
      <w:r w:rsidR="009A7D28">
        <w:t>to</w:t>
      </w:r>
      <w:r w:rsidR="00FF4755">
        <w:t xml:space="preserve"> identify </w:t>
      </w:r>
      <w:r w:rsidR="009A7D28">
        <w:t xml:space="preserve">jointly </w:t>
      </w:r>
      <w:r w:rsidR="00FF4755">
        <w:t xml:space="preserve">further </w:t>
      </w:r>
      <w:r w:rsidR="00096048">
        <w:t>activities.</w:t>
      </w:r>
    </w:p>
    <w:p w14:paraId="36CD0148" w14:textId="44D54D53" w:rsidR="00966002" w:rsidRDefault="00966002" w:rsidP="00966002">
      <w:pPr>
        <w:pStyle w:val="ListParagraph"/>
        <w:ind w:left="0"/>
        <w:rPr>
          <w:szCs w:val="22"/>
        </w:rPr>
      </w:pPr>
    </w:p>
    <w:p w14:paraId="551F9F98" w14:textId="3B838BFB" w:rsidR="00E47D9E" w:rsidRPr="00935BAC" w:rsidRDefault="00E47D9E" w:rsidP="00966002">
      <w:pPr>
        <w:pStyle w:val="ListParagraph"/>
        <w:numPr>
          <w:ilvl w:val="0"/>
          <w:numId w:val="12"/>
        </w:numPr>
        <w:ind w:left="0" w:firstLine="0"/>
        <w:rPr>
          <w:szCs w:val="22"/>
        </w:rPr>
      </w:pPr>
      <w:r>
        <w:rPr>
          <w:iCs/>
          <w:szCs w:val="22"/>
        </w:rPr>
        <w:t>As a first step, HRMD initiated several meetings with Group Coordinators to better ascertain their needs with respect to the decision taken by the</w:t>
      </w:r>
      <w:r w:rsidR="00543125">
        <w:rPr>
          <w:iCs/>
          <w:szCs w:val="22"/>
        </w:rPr>
        <w:t xml:space="preserve"> WIPO</w:t>
      </w:r>
      <w:r>
        <w:rPr>
          <w:iCs/>
          <w:szCs w:val="22"/>
        </w:rPr>
        <w:t xml:space="preserve"> Coordination Committee and to explain what information was already available to Member States on these two topics</w:t>
      </w:r>
      <w:r w:rsidRPr="00843039">
        <w:rPr>
          <w:iCs/>
          <w:szCs w:val="22"/>
        </w:rPr>
        <w:t>.</w:t>
      </w:r>
      <w:r w:rsidR="00543125">
        <w:rPr>
          <w:iCs/>
          <w:szCs w:val="22"/>
        </w:rPr>
        <w:t xml:space="preserve"> </w:t>
      </w:r>
      <w:r>
        <w:rPr>
          <w:iCs/>
          <w:szCs w:val="22"/>
        </w:rPr>
        <w:t xml:space="preserve"> </w:t>
      </w:r>
      <w:r w:rsidR="003E7B31">
        <w:rPr>
          <w:iCs/>
          <w:szCs w:val="22"/>
        </w:rPr>
        <w:t xml:space="preserve">  </w:t>
      </w:r>
      <w:r w:rsidR="007D3914">
        <w:rPr>
          <w:iCs/>
          <w:szCs w:val="22"/>
        </w:rPr>
        <w:t>I</w:t>
      </w:r>
      <w:r>
        <w:rPr>
          <w:iCs/>
          <w:szCs w:val="22"/>
        </w:rPr>
        <w:t>n addition to the Annual Report on Human Resources</w:t>
      </w:r>
      <w:r w:rsidR="009A7D28">
        <w:rPr>
          <w:iCs/>
          <w:szCs w:val="22"/>
        </w:rPr>
        <w:t>,</w:t>
      </w:r>
      <w:r>
        <w:rPr>
          <w:iCs/>
          <w:szCs w:val="22"/>
        </w:rPr>
        <w:t xml:space="preserve"> which </w:t>
      </w:r>
      <w:r w:rsidR="009A7D28">
        <w:rPr>
          <w:iCs/>
          <w:szCs w:val="22"/>
        </w:rPr>
        <w:t xml:space="preserve">already </w:t>
      </w:r>
      <w:r>
        <w:rPr>
          <w:iCs/>
          <w:szCs w:val="22"/>
        </w:rPr>
        <w:t>extensively report</w:t>
      </w:r>
      <w:r w:rsidR="009A7D28">
        <w:rPr>
          <w:iCs/>
          <w:szCs w:val="22"/>
        </w:rPr>
        <w:t>s</w:t>
      </w:r>
      <w:r>
        <w:rPr>
          <w:iCs/>
          <w:szCs w:val="22"/>
        </w:rPr>
        <w:t xml:space="preserve"> on gender balance issues on the basis of a previous decision taken by Member States, both the HR Workforce brochure as well as the </w:t>
      </w:r>
      <w:r w:rsidRPr="003E7B31">
        <w:rPr>
          <w:iCs/>
          <w:szCs w:val="22"/>
        </w:rPr>
        <w:t>Member States Report</w:t>
      </w:r>
      <w:r>
        <w:rPr>
          <w:iCs/>
          <w:szCs w:val="22"/>
        </w:rPr>
        <w:t xml:space="preserve"> on key data on geographical distribution were updated and made available to Member States twice a year as at end-</w:t>
      </w:r>
      <w:r w:rsidR="0020718C">
        <w:rPr>
          <w:iCs/>
          <w:szCs w:val="22"/>
        </w:rPr>
        <w:t>June</w:t>
      </w:r>
      <w:r>
        <w:rPr>
          <w:szCs w:val="22"/>
        </w:rPr>
        <w:t xml:space="preserve"> and end-</w:t>
      </w:r>
      <w:r w:rsidR="0020718C">
        <w:rPr>
          <w:szCs w:val="22"/>
        </w:rPr>
        <w:t>December</w:t>
      </w:r>
      <w:r>
        <w:rPr>
          <w:szCs w:val="22"/>
        </w:rPr>
        <w:t xml:space="preserve">. </w:t>
      </w:r>
    </w:p>
    <w:p w14:paraId="464602A6" w14:textId="5CACE6FC" w:rsidR="00935BAC" w:rsidRPr="00B35EC2" w:rsidRDefault="00B35EC2" w:rsidP="00B35EC2">
      <w:pPr>
        <w:rPr>
          <w:rFonts w:eastAsia="Times New Roman"/>
          <w:szCs w:val="22"/>
          <w:lang w:eastAsia="en-US"/>
        </w:rPr>
      </w:pPr>
      <w:r>
        <w:rPr>
          <w:szCs w:val="22"/>
        </w:rPr>
        <w:br w:type="page"/>
      </w:r>
    </w:p>
    <w:p w14:paraId="51B447EB" w14:textId="6DDBE107" w:rsidR="00935BAC" w:rsidRDefault="00935BAC" w:rsidP="00966002">
      <w:pPr>
        <w:pStyle w:val="ListParagraph"/>
        <w:numPr>
          <w:ilvl w:val="0"/>
          <w:numId w:val="12"/>
        </w:numPr>
        <w:ind w:left="0" w:firstLine="0"/>
        <w:rPr>
          <w:szCs w:val="22"/>
        </w:rPr>
      </w:pPr>
      <w:r>
        <w:rPr>
          <w:szCs w:val="22"/>
        </w:rPr>
        <w:lastRenderedPageBreak/>
        <w:t>Concurrently, c</w:t>
      </w:r>
      <w:r w:rsidRPr="007B028B">
        <w:rPr>
          <w:szCs w:val="22"/>
        </w:rPr>
        <w:t xml:space="preserve">larifications were provided </w:t>
      </w:r>
      <w:r>
        <w:rPr>
          <w:szCs w:val="22"/>
        </w:rPr>
        <w:t xml:space="preserve">to </w:t>
      </w:r>
      <w:r w:rsidRPr="007B028B">
        <w:rPr>
          <w:szCs w:val="22"/>
        </w:rPr>
        <w:t xml:space="preserve">the </w:t>
      </w:r>
      <w:r w:rsidRPr="007B028B">
        <w:rPr>
          <w:iCs/>
          <w:szCs w:val="22"/>
        </w:rPr>
        <w:t xml:space="preserve">Group Coordinators </w:t>
      </w:r>
      <w:r w:rsidRPr="007B028B">
        <w:rPr>
          <w:szCs w:val="22"/>
        </w:rPr>
        <w:t>on various issues, including on WIPO’s recruitment processes, geographical representation on posts subject to geographical distribution v</w:t>
      </w:r>
      <w:r w:rsidR="009A7D28">
        <w:rPr>
          <w:szCs w:val="22"/>
        </w:rPr>
        <w:t>ersus</w:t>
      </w:r>
      <w:r w:rsidRPr="007B028B">
        <w:rPr>
          <w:szCs w:val="22"/>
        </w:rPr>
        <w:t xml:space="preserve"> geographical diversity, on recruitment and application data by geographical region as well as on what additional information could be of use to Member States.</w:t>
      </w:r>
      <w:r w:rsidR="00DF1A0D">
        <w:rPr>
          <w:szCs w:val="22"/>
        </w:rPr>
        <w:t xml:space="preserve"> </w:t>
      </w:r>
      <w:r w:rsidRPr="007B028B">
        <w:rPr>
          <w:szCs w:val="22"/>
        </w:rPr>
        <w:t xml:space="preserve"> It was also agreed </w:t>
      </w:r>
      <w:r w:rsidR="0020718C">
        <w:rPr>
          <w:szCs w:val="22"/>
        </w:rPr>
        <w:t xml:space="preserve">with </w:t>
      </w:r>
      <w:r w:rsidR="0020718C" w:rsidRPr="007B028B">
        <w:rPr>
          <w:szCs w:val="22"/>
        </w:rPr>
        <w:t xml:space="preserve">the </w:t>
      </w:r>
      <w:r w:rsidR="0020718C" w:rsidRPr="007B028B">
        <w:rPr>
          <w:iCs/>
          <w:szCs w:val="22"/>
        </w:rPr>
        <w:t xml:space="preserve">Group Coordinators </w:t>
      </w:r>
      <w:r w:rsidRPr="007B028B">
        <w:rPr>
          <w:szCs w:val="22"/>
        </w:rPr>
        <w:t>that in order to be consistent with the Principles of Geographical Distribution approved by the WIPO Coordination Committee in 1975</w:t>
      </w:r>
      <w:r>
        <w:rPr>
          <w:rStyle w:val="FootnoteReference"/>
          <w:szCs w:val="22"/>
        </w:rPr>
        <w:footnoteReference w:id="10"/>
      </w:r>
      <w:r w:rsidRPr="007B028B">
        <w:rPr>
          <w:szCs w:val="22"/>
        </w:rPr>
        <w:t>, the seven geographical regions will continue to be used for reporting purposes</w:t>
      </w:r>
      <w:r w:rsidR="00E21C40">
        <w:rPr>
          <w:szCs w:val="22"/>
        </w:rPr>
        <w:t xml:space="preserve"> (noting that </w:t>
      </w:r>
      <w:r w:rsidR="0020718C">
        <w:rPr>
          <w:szCs w:val="22"/>
        </w:rPr>
        <w:t>two</w:t>
      </w:r>
      <w:r w:rsidR="009A7D28">
        <w:rPr>
          <w:szCs w:val="22"/>
        </w:rPr>
        <w:t xml:space="preserve"> tables based on WIPO regional g</w:t>
      </w:r>
      <w:r w:rsidR="00E21C40">
        <w:rPr>
          <w:szCs w:val="22"/>
        </w:rPr>
        <w:t xml:space="preserve">roupings are included in the </w:t>
      </w:r>
      <w:r w:rsidR="00E21C40">
        <w:rPr>
          <w:iCs/>
          <w:szCs w:val="22"/>
        </w:rPr>
        <w:t>Report on key data on geographical distribution as requested by Member States)</w:t>
      </w:r>
      <w:r w:rsidRPr="007B028B">
        <w:rPr>
          <w:szCs w:val="22"/>
        </w:rPr>
        <w:t>.</w:t>
      </w:r>
    </w:p>
    <w:p w14:paraId="4118F853" w14:textId="2FA5AD06" w:rsidR="00935BAC" w:rsidRPr="00935BAC" w:rsidRDefault="00935BAC" w:rsidP="00935BAC">
      <w:pPr>
        <w:pStyle w:val="ListParagraph"/>
        <w:ind w:left="0"/>
        <w:rPr>
          <w:szCs w:val="22"/>
        </w:rPr>
      </w:pPr>
    </w:p>
    <w:p w14:paraId="12D3BDA7" w14:textId="18D2DE6B" w:rsidR="00966002" w:rsidRPr="00935BAC" w:rsidRDefault="00966002" w:rsidP="00935BAC">
      <w:pPr>
        <w:pStyle w:val="ListParagraph"/>
        <w:numPr>
          <w:ilvl w:val="0"/>
          <w:numId w:val="12"/>
        </w:numPr>
        <w:ind w:left="0" w:firstLine="0"/>
        <w:rPr>
          <w:szCs w:val="22"/>
        </w:rPr>
      </w:pPr>
      <w:r w:rsidRPr="0018674A">
        <w:rPr>
          <w:szCs w:val="22"/>
        </w:rPr>
        <w:t xml:space="preserve"> </w:t>
      </w:r>
      <w:r w:rsidR="00935BAC">
        <w:rPr>
          <w:szCs w:val="22"/>
        </w:rPr>
        <w:t>Moreover</w:t>
      </w:r>
      <w:r>
        <w:rPr>
          <w:szCs w:val="22"/>
        </w:rPr>
        <w:t xml:space="preserve">, </w:t>
      </w:r>
      <w:r w:rsidRPr="00843039">
        <w:rPr>
          <w:iCs/>
          <w:szCs w:val="22"/>
        </w:rPr>
        <w:t xml:space="preserve">a number of meetings between </w:t>
      </w:r>
      <w:r>
        <w:rPr>
          <w:iCs/>
          <w:szCs w:val="22"/>
        </w:rPr>
        <w:t>HRMD</w:t>
      </w:r>
      <w:r w:rsidRPr="00843039">
        <w:rPr>
          <w:iCs/>
          <w:szCs w:val="22"/>
        </w:rPr>
        <w:t xml:space="preserve"> and </w:t>
      </w:r>
      <w:r>
        <w:rPr>
          <w:iCs/>
          <w:szCs w:val="22"/>
        </w:rPr>
        <w:t>M</w:t>
      </w:r>
      <w:r w:rsidRPr="00843039">
        <w:rPr>
          <w:iCs/>
          <w:szCs w:val="22"/>
        </w:rPr>
        <w:t xml:space="preserve">ember </w:t>
      </w:r>
      <w:r>
        <w:rPr>
          <w:iCs/>
          <w:szCs w:val="22"/>
        </w:rPr>
        <w:t>S</w:t>
      </w:r>
      <w:r w:rsidRPr="00843039">
        <w:rPr>
          <w:iCs/>
          <w:szCs w:val="22"/>
        </w:rPr>
        <w:t xml:space="preserve">tates were held throughout 2022 </w:t>
      </w:r>
      <w:r w:rsidR="00935BAC">
        <w:rPr>
          <w:iCs/>
          <w:szCs w:val="22"/>
        </w:rPr>
        <w:t xml:space="preserve">and in early 2023 </w:t>
      </w:r>
      <w:r w:rsidRPr="00843039">
        <w:rPr>
          <w:iCs/>
          <w:szCs w:val="22"/>
        </w:rPr>
        <w:t xml:space="preserve">to maximize the use of the </w:t>
      </w:r>
      <w:r>
        <w:rPr>
          <w:iCs/>
          <w:szCs w:val="22"/>
        </w:rPr>
        <w:t xml:space="preserve">Focal Point </w:t>
      </w:r>
      <w:r w:rsidRPr="00843039">
        <w:rPr>
          <w:iCs/>
          <w:szCs w:val="22"/>
        </w:rPr>
        <w:t>Initi</w:t>
      </w:r>
      <w:r>
        <w:rPr>
          <w:iCs/>
          <w:szCs w:val="22"/>
        </w:rPr>
        <w:t xml:space="preserve">ative, which was created </w:t>
      </w:r>
      <w:r w:rsidR="007D3914">
        <w:rPr>
          <w:iCs/>
          <w:szCs w:val="22"/>
        </w:rPr>
        <w:t xml:space="preserve">further to </w:t>
      </w:r>
      <w:r>
        <w:rPr>
          <w:iCs/>
          <w:szCs w:val="22"/>
        </w:rPr>
        <w:t xml:space="preserve">a decision taken by the </w:t>
      </w:r>
      <w:r w:rsidR="00DF1A0D">
        <w:rPr>
          <w:iCs/>
          <w:szCs w:val="22"/>
        </w:rPr>
        <w:t xml:space="preserve">WIPO </w:t>
      </w:r>
      <w:r>
        <w:rPr>
          <w:iCs/>
          <w:szCs w:val="22"/>
        </w:rPr>
        <w:t>Coordination Committee in 2016</w:t>
      </w:r>
      <w:r w:rsidR="006556ED">
        <w:rPr>
          <w:iCs/>
          <w:szCs w:val="22"/>
        </w:rPr>
        <w:t>,</w:t>
      </w:r>
      <w:r>
        <w:rPr>
          <w:rStyle w:val="FootnoteReference"/>
          <w:iCs/>
          <w:szCs w:val="22"/>
        </w:rPr>
        <w:footnoteReference w:id="11"/>
      </w:r>
      <w:r>
        <w:rPr>
          <w:iCs/>
          <w:szCs w:val="22"/>
        </w:rPr>
        <w:t xml:space="preserve"> </w:t>
      </w:r>
      <w:r w:rsidR="009A7D28">
        <w:rPr>
          <w:iCs/>
          <w:szCs w:val="22"/>
        </w:rPr>
        <w:t>the</w:t>
      </w:r>
      <w:r w:rsidR="009A7D28" w:rsidRPr="00843039">
        <w:rPr>
          <w:iCs/>
          <w:szCs w:val="22"/>
        </w:rPr>
        <w:t xml:space="preserve"> objective</w:t>
      </w:r>
      <w:r w:rsidR="009A7D28">
        <w:rPr>
          <w:iCs/>
          <w:szCs w:val="22"/>
        </w:rPr>
        <w:t xml:space="preserve"> of which</w:t>
      </w:r>
      <w:r w:rsidR="009A7D28" w:rsidRPr="00843039">
        <w:rPr>
          <w:iCs/>
          <w:szCs w:val="22"/>
        </w:rPr>
        <w:t xml:space="preserve"> is to attract a diverse </w:t>
      </w:r>
      <w:r w:rsidR="009A7D28">
        <w:rPr>
          <w:iCs/>
          <w:szCs w:val="22"/>
        </w:rPr>
        <w:t>applicant</w:t>
      </w:r>
      <w:r w:rsidR="009A7D28" w:rsidRPr="00843039">
        <w:rPr>
          <w:iCs/>
          <w:szCs w:val="22"/>
        </w:rPr>
        <w:t xml:space="preserve"> pool </w:t>
      </w:r>
      <w:r w:rsidR="009A7D28">
        <w:rPr>
          <w:iCs/>
          <w:szCs w:val="22"/>
        </w:rPr>
        <w:t>for</w:t>
      </w:r>
      <w:r w:rsidR="009A7D28" w:rsidRPr="00843039">
        <w:rPr>
          <w:iCs/>
          <w:szCs w:val="22"/>
        </w:rPr>
        <w:t xml:space="preserve"> vacancies, especially candidates from un</w:t>
      </w:r>
      <w:r w:rsidR="009A7D28">
        <w:rPr>
          <w:iCs/>
          <w:szCs w:val="22"/>
        </w:rPr>
        <w:t>represented Member States and</w:t>
      </w:r>
      <w:r w:rsidR="009A7D28" w:rsidRPr="00843039">
        <w:rPr>
          <w:iCs/>
          <w:szCs w:val="22"/>
        </w:rPr>
        <w:t xml:space="preserve"> </w:t>
      </w:r>
      <w:r w:rsidR="009A7D28">
        <w:rPr>
          <w:iCs/>
          <w:szCs w:val="22"/>
        </w:rPr>
        <w:t>underrepresented regions</w:t>
      </w:r>
      <w:r w:rsidRPr="00843039">
        <w:rPr>
          <w:iCs/>
          <w:szCs w:val="22"/>
        </w:rPr>
        <w:t xml:space="preserve">. </w:t>
      </w:r>
      <w:r w:rsidR="00DF1A0D">
        <w:rPr>
          <w:iCs/>
          <w:szCs w:val="22"/>
        </w:rPr>
        <w:t xml:space="preserve"> </w:t>
      </w:r>
      <w:r w:rsidR="00935BAC">
        <w:rPr>
          <w:iCs/>
          <w:szCs w:val="22"/>
        </w:rPr>
        <w:t>T</w:t>
      </w:r>
      <w:r>
        <w:rPr>
          <w:iCs/>
          <w:szCs w:val="22"/>
        </w:rPr>
        <w:t>hree</w:t>
      </w:r>
      <w:r w:rsidRPr="00843039">
        <w:rPr>
          <w:iCs/>
          <w:szCs w:val="22"/>
        </w:rPr>
        <w:t xml:space="preserve"> countries (Serbia, India, and Indonesia) were newly added </w:t>
      </w:r>
      <w:r w:rsidR="007D3914">
        <w:rPr>
          <w:iCs/>
          <w:szCs w:val="22"/>
        </w:rPr>
        <w:t>to</w:t>
      </w:r>
      <w:r w:rsidR="007D3914" w:rsidRPr="00843039">
        <w:rPr>
          <w:iCs/>
          <w:szCs w:val="22"/>
        </w:rPr>
        <w:t xml:space="preserve"> </w:t>
      </w:r>
      <w:r w:rsidRPr="00843039">
        <w:rPr>
          <w:iCs/>
          <w:szCs w:val="22"/>
        </w:rPr>
        <w:t xml:space="preserve">the contact list in 2022, and they will work closely with </w:t>
      </w:r>
      <w:r>
        <w:rPr>
          <w:iCs/>
          <w:szCs w:val="22"/>
        </w:rPr>
        <w:t>HRMD</w:t>
      </w:r>
      <w:r w:rsidRPr="00843039">
        <w:rPr>
          <w:iCs/>
          <w:szCs w:val="22"/>
        </w:rPr>
        <w:t xml:space="preserve"> to promote job opportunities in WIPO and provide initial assistance in the selection process.</w:t>
      </w:r>
      <w:r w:rsidR="00935BAC">
        <w:rPr>
          <w:iCs/>
          <w:szCs w:val="22"/>
        </w:rPr>
        <w:t xml:space="preserve"> </w:t>
      </w:r>
      <w:r w:rsidR="00DF1A0D">
        <w:rPr>
          <w:iCs/>
          <w:szCs w:val="22"/>
        </w:rPr>
        <w:t xml:space="preserve"> </w:t>
      </w:r>
      <w:r w:rsidR="00935BAC">
        <w:rPr>
          <w:iCs/>
          <w:szCs w:val="22"/>
        </w:rPr>
        <w:t>Furthermore, a</w:t>
      </w:r>
      <w:r w:rsidR="00935BAC" w:rsidRPr="00843039">
        <w:rPr>
          <w:iCs/>
          <w:szCs w:val="22"/>
        </w:rPr>
        <w:t xml:space="preserve"> survey was </w:t>
      </w:r>
      <w:r w:rsidR="007D3914">
        <w:rPr>
          <w:iCs/>
          <w:szCs w:val="22"/>
        </w:rPr>
        <w:t>conducted in July 2022 with all focal points and</w:t>
      </w:r>
      <w:r w:rsidR="00935BAC">
        <w:rPr>
          <w:iCs/>
          <w:szCs w:val="22"/>
        </w:rPr>
        <w:t xml:space="preserve"> revealed that </w:t>
      </w:r>
      <w:r w:rsidR="00EF115A">
        <w:rPr>
          <w:iCs/>
          <w:szCs w:val="22"/>
        </w:rPr>
        <w:t xml:space="preserve">contrary to what </w:t>
      </w:r>
      <w:r w:rsidR="002C22EA">
        <w:rPr>
          <w:iCs/>
          <w:szCs w:val="22"/>
        </w:rPr>
        <w:t>this initiative</w:t>
      </w:r>
      <w:r w:rsidR="00EF115A">
        <w:rPr>
          <w:iCs/>
          <w:szCs w:val="22"/>
        </w:rPr>
        <w:t xml:space="preserve"> hoped to achieve, there is little engagement from the focal points to actively promote WIPO career opportunities – only 22 out of the 40 survey respondents indicated they are disseminating WIPO employment opportunities to the network, and only one respondent mentioned they have hosted a dedicated career event related to WIPO opportunities in the past year.</w:t>
      </w:r>
      <w:r w:rsidR="00895F39">
        <w:rPr>
          <w:iCs/>
          <w:szCs w:val="22"/>
        </w:rPr>
        <w:t xml:space="preserve"> </w:t>
      </w:r>
      <w:r w:rsidR="00EF115A">
        <w:rPr>
          <w:iCs/>
          <w:szCs w:val="22"/>
        </w:rPr>
        <w:t xml:space="preserve"> It should also be noted that less than 20</w:t>
      </w:r>
      <w:r w:rsidR="00895F39">
        <w:rPr>
          <w:iCs/>
          <w:szCs w:val="22"/>
        </w:rPr>
        <w:t> per cent</w:t>
      </w:r>
      <w:r w:rsidR="00EF115A">
        <w:rPr>
          <w:iCs/>
          <w:szCs w:val="22"/>
        </w:rPr>
        <w:t xml:space="preserve"> responded </w:t>
      </w:r>
      <w:r w:rsidR="00187688">
        <w:rPr>
          <w:iCs/>
          <w:szCs w:val="22"/>
        </w:rPr>
        <w:t xml:space="preserve">that </w:t>
      </w:r>
      <w:r w:rsidR="00EF115A">
        <w:rPr>
          <w:iCs/>
          <w:szCs w:val="22"/>
        </w:rPr>
        <w:t xml:space="preserve">they are in touch with other focal points for peer learning. </w:t>
      </w:r>
      <w:r w:rsidR="00895F39">
        <w:rPr>
          <w:iCs/>
          <w:szCs w:val="22"/>
        </w:rPr>
        <w:t xml:space="preserve"> </w:t>
      </w:r>
      <w:r w:rsidR="00935BAC">
        <w:rPr>
          <w:iCs/>
          <w:szCs w:val="22"/>
        </w:rPr>
        <w:t xml:space="preserve">Such </w:t>
      </w:r>
      <w:r w:rsidR="0020718C">
        <w:rPr>
          <w:iCs/>
          <w:szCs w:val="22"/>
        </w:rPr>
        <w:t>lessons</w:t>
      </w:r>
      <w:r w:rsidR="00935BAC">
        <w:rPr>
          <w:iCs/>
          <w:szCs w:val="22"/>
        </w:rPr>
        <w:t xml:space="preserve"> were taken into consideration to formulate the action plan presented in the Annex.</w:t>
      </w:r>
    </w:p>
    <w:p w14:paraId="4E3855B8" w14:textId="77777777" w:rsidR="00966002" w:rsidRPr="00983077" w:rsidRDefault="00966002" w:rsidP="00966002">
      <w:pPr>
        <w:pStyle w:val="ListParagraph"/>
        <w:rPr>
          <w:szCs w:val="22"/>
        </w:rPr>
      </w:pPr>
    </w:p>
    <w:p w14:paraId="623D4F08" w14:textId="525D38D7" w:rsidR="00966002" w:rsidRPr="007B028B" w:rsidRDefault="00966002" w:rsidP="00966002">
      <w:pPr>
        <w:pStyle w:val="ListParagraph"/>
        <w:numPr>
          <w:ilvl w:val="0"/>
          <w:numId w:val="12"/>
        </w:numPr>
        <w:ind w:left="0" w:firstLine="0"/>
        <w:rPr>
          <w:szCs w:val="22"/>
        </w:rPr>
      </w:pPr>
      <w:r w:rsidRPr="007B028B">
        <w:rPr>
          <w:szCs w:val="22"/>
        </w:rPr>
        <w:t>During these meetings, HRMD highlighted that</w:t>
      </w:r>
      <w:r w:rsidR="007113E6">
        <w:rPr>
          <w:szCs w:val="22"/>
        </w:rPr>
        <w:t xml:space="preserve"> </w:t>
      </w:r>
      <w:r w:rsidR="007113E6" w:rsidRPr="007B028B">
        <w:rPr>
          <w:szCs w:val="22"/>
        </w:rPr>
        <w:t>improv</w:t>
      </w:r>
      <w:r w:rsidR="007113E6">
        <w:rPr>
          <w:szCs w:val="22"/>
        </w:rPr>
        <w:t xml:space="preserve">ing </w:t>
      </w:r>
      <w:r w:rsidR="007113E6" w:rsidRPr="009670DE">
        <w:t>geographical balance on positions subject to geographical distribution, as well as gender balance</w:t>
      </w:r>
      <w:r w:rsidR="0020718C">
        <w:t>,</w:t>
      </w:r>
      <w:r w:rsidR="007113E6" w:rsidRPr="007B028B">
        <w:rPr>
          <w:szCs w:val="22"/>
        </w:rPr>
        <w:t xml:space="preserve"> is </w:t>
      </w:r>
      <w:r w:rsidR="0020718C">
        <w:rPr>
          <w:szCs w:val="22"/>
        </w:rPr>
        <w:t>most likely to succeed when</w:t>
      </w:r>
      <w:r w:rsidR="0020718C" w:rsidRPr="007B028B">
        <w:rPr>
          <w:szCs w:val="22"/>
        </w:rPr>
        <w:t xml:space="preserve"> </w:t>
      </w:r>
      <w:r w:rsidR="007113E6" w:rsidRPr="007B028B">
        <w:rPr>
          <w:szCs w:val="22"/>
        </w:rPr>
        <w:t>Member States and the Organization</w:t>
      </w:r>
      <w:r w:rsidR="0020718C">
        <w:rPr>
          <w:szCs w:val="22"/>
        </w:rPr>
        <w:t xml:space="preserve"> work together to ensure diverse pools of candidates</w:t>
      </w:r>
      <w:r w:rsidR="007113E6" w:rsidRPr="007B028B">
        <w:rPr>
          <w:szCs w:val="22"/>
        </w:rPr>
        <w:t>.</w:t>
      </w:r>
      <w:r>
        <w:rPr>
          <w:szCs w:val="22"/>
        </w:rPr>
        <w:t xml:space="preserve"> </w:t>
      </w:r>
      <w:r w:rsidR="00FD385B">
        <w:rPr>
          <w:szCs w:val="22"/>
        </w:rPr>
        <w:t xml:space="preserve"> </w:t>
      </w:r>
      <w:r w:rsidR="007113E6">
        <w:rPr>
          <w:szCs w:val="22"/>
        </w:rPr>
        <w:t xml:space="preserve">It should be noted that a number of initiatives are already </w:t>
      </w:r>
      <w:r>
        <w:rPr>
          <w:szCs w:val="22"/>
        </w:rPr>
        <w:t>in place</w:t>
      </w:r>
      <w:r w:rsidR="007113E6">
        <w:rPr>
          <w:szCs w:val="22"/>
        </w:rPr>
        <w:t xml:space="preserve">. </w:t>
      </w:r>
      <w:r w:rsidR="00FD385B">
        <w:rPr>
          <w:szCs w:val="22"/>
        </w:rPr>
        <w:t xml:space="preserve"> </w:t>
      </w:r>
      <w:r w:rsidR="007113E6">
        <w:rPr>
          <w:szCs w:val="22"/>
        </w:rPr>
        <w:t xml:space="preserve">These include: </w:t>
      </w:r>
      <w:r>
        <w:rPr>
          <w:szCs w:val="22"/>
        </w:rPr>
        <w:t>the Focal Point Initiative</w:t>
      </w:r>
      <w:r w:rsidR="00935BAC">
        <w:rPr>
          <w:szCs w:val="22"/>
        </w:rPr>
        <w:t xml:space="preserve"> </w:t>
      </w:r>
      <w:r w:rsidR="007113E6">
        <w:rPr>
          <w:szCs w:val="22"/>
        </w:rPr>
        <w:t xml:space="preserve">that was </w:t>
      </w:r>
      <w:r w:rsidR="00935BAC">
        <w:rPr>
          <w:szCs w:val="22"/>
        </w:rPr>
        <w:t>initiated in 2016 at the request of the Member States</w:t>
      </w:r>
      <w:r>
        <w:rPr>
          <w:szCs w:val="22"/>
        </w:rPr>
        <w:t>, targeted recruitment campaigns on social media, use of executive search firms</w:t>
      </w:r>
      <w:r w:rsidR="007113E6">
        <w:rPr>
          <w:szCs w:val="22"/>
        </w:rPr>
        <w:t xml:space="preserve"> and</w:t>
      </w:r>
      <w:r>
        <w:rPr>
          <w:szCs w:val="22"/>
        </w:rPr>
        <w:t xml:space="preserve"> participation in career fairs</w:t>
      </w:r>
      <w:r w:rsidR="007D3914">
        <w:rPr>
          <w:szCs w:val="22"/>
        </w:rPr>
        <w:t xml:space="preserve"> and</w:t>
      </w:r>
      <w:r>
        <w:rPr>
          <w:szCs w:val="22"/>
        </w:rPr>
        <w:t xml:space="preserve"> talent pools</w:t>
      </w:r>
      <w:r w:rsidR="007113E6">
        <w:rPr>
          <w:szCs w:val="22"/>
        </w:rPr>
        <w:t>.</w:t>
      </w:r>
      <w:r w:rsidR="00FD385B">
        <w:rPr>
          <w:szCs w:val="22"/>
        </w:rPr>
        <w:t xml:space="preserve"> </w:t>
      </w:r>
      <w:r w:rsidR="007113E6">
        <w:rPr>
          <w:szCs w:val="22"/>
        </w:rPr>
        <w:t xml:space="preserve"> </w:t>
      </w:r>
      <w:r w:rsidRPr="007B028B">
        <w:rPr>
          <w:szCs w:val="22"/>
        </w:rPr>
        <w:t xml:space="preserve">HRMD also stated that it </w:t>
      </w:r>
      <w:r>
        <w:rPr>
          <w:szCs w:val="22"/>
        </w:rPr>
        <w:t>would</w:t>
      </w:r>
      <w:r w:rsidRPr="007B028B">
        <w:rPr>
          <w:szCs w:val="22"/>
        </w:rPr>
        <w:t xml:space="preserve"> continue with this approach of engaging with the Group Coordinators </w:t>
      </w:r>
      <w:r>
        <w:rPr>
          <w:szCs w:val="22"/>
        </w:rPr>
        <w:t xml:space="preserve">in 2023 </w:t>
      </w:r>
      <w:r w:rsidRPr="007B028B">
        <w:rPr>
          <w:szCs w:val="22"/>
        </w:rPr>
        <w:t xml:space="preserve">and </w:t>
      </w:r>
      <w:r w:rsidR="009A7D28">
        <w:rPr>
          <w:szCs w:val="22"/>
        </w:rPr>
        <w:t>underscored</w:t>
      </w:r>
      <w:r w:rsidRPr="007B028B">
        <w:rPr>
          <w:szCs w:val="22"/>
        </w:rPr>
        <w:t xml:space="preserve"> the </w:t>
      </w:r>
      <w:r w:rsidR="007113E6">
        <w:rPr>
          <w:szCs w:val="22"/>
        </w:rPr>
        <w:t xml:space="preserve">importance of </w:t>
      </w:r>
      <w:r w:rsidRPr="007B028B">
        <w:rPr>
          <w:szCs w:val="22"/>
        </w:rPr>
        <w:t>establish</w:t>
      </w:r>
      <w:r w:rsidR="007113E6">
        <w:rPr>
          <w:szCs w:val="22"/>
        </w:rPr>
        <w:t>ing</w:t>
      </w:r>
      <w:r w:rsidRPr="007B028B">
        <w:rPr>
          <w:szCs w:val="22"/>
        </w:rPr>
        <w:t xml:space="preserve"> me</w:t>
      </w:r>
      <w:r w:rsidR="007113E6">
        <w:rPr>
          <w:szCs w:val="22"/>
        </w:rPr>
        <w:t>trics</w:t>
      </w:r>
      <w:r w:rsidRPr="007B028B">
        <w:rPr>
          <w:szCs w:val="22"/>
        </w:rPr>
        <w:t xml:space="preserve">, in coordination with Member States, in order to </w:t>
      </w:r>
      <w:r w:rsidR="007113E6">
        <w:rPr>
          <w:szCs w:val="22"/>
        </w:rPr>
        <w:t>measure the impact of the activities</w:t>
      </w:r>
      <w:r w:rsidRPr="007B028B">
        <w:rPr>
          <w:szCs w:val="22"/>
        </w:rPr>
        <w:t>.</w:t>
      </w:r>
      <w:r>
        <w:rPr>
          <w:szCs w:val="22"/>
        </w:rPr>
        <w:t xml:space="preserve"> </w:t>
      </w:r>
    </w:p>
    <w:p w14:paraId="650DC1EB" w14:textId="6CAB6A23" w:rsidR="00966002" w:rsidRDefault="00935BAC" w:rsidP="00966002">
      <w:pPr>
        <w:pStyle w:val="Heading3"/>
        <w:rPr>
          <w:i/>
          <w:szCs w:val="22"/>
          <w:u w:val="none"/>
        </w:rPr>
      </w:pPr>
      <w:r>
        <w:rPr>
          <w:i/>
          <w:szCs w:val="22"/>
          <w:u w:val="none"/>
        </w:rPr>
        <w:tab/>
      </w:r>
      <w:r w:rsidR="00C2077D">
        <w:rPr>
          <w:i/>
          <w:szCs w:val="22"/>
          <w:u w:val="none"/>
        </w:rPr>
        <w:t xml:space="preserve">Geographical </w:t>
      </w:r>
      <w:r w:rsidR="00FD385B">
        <w:rPr>
          <w:i/>
          <w:szCs w:val="22"/>
          <w:u w:val="none"/>
        </w:rPr>
        <w:t>D</w:t>
      </w:r>
      <w:r>
        <w:rPr>
          <w:i/>
          <w:szCs w:val="22"/>
          <w:u w:val="none"/>
        </w:rPr>
        <w:t xml:space="preserve">iversity </w:t>
      </w:r>
    </w:p>
    <w:p w14:paraId="7A0462ED" w14:textId="5236270D" w:rsidR="00935BAC" w:rsidRDefault="00935BAC" w:rsidP="00935BAC"/>
    <w:p w14:paraId="190E084B" w14:textId="1F3C31A7" w:rsidR="00FB5BF6" w:rsidRPr="00FB5BF6" w:rsidRDefault="00A219E4" w:rsidP="00A219E4">
      <w:pPr>
        <w:pStyle w:val="ListParagraph"/>
        <w:numPr>
          <w:ilvl w:val="0"/>
          <w:numId w:val="12"/>
        </w:numPr>
        <w:tabs>
          <w:tab w:val="left" w:pos="540"/>
        </w:tabs>
        <w:ind w:left="0" w:firstLine="0"/>
        <w:rPr>
          <w:szCs w:val="22"/>
        </w:rPr>
      </w:pPr>
      <w:r>
        <w:rPr>
          <w:rFonts w:eastAsia="Calibri"/>
          <w:szCs w:val="22"/>
          <w:lang w:val="en-GB"/>
        </w:rPr>
        <w:t xml:space="preserve">On posts subject to geographical distribution based on </w:t>
      </w:r>
      <w:r w:rsidRPr="005645E2">
        <w:rPr>
          <w:szCs w:val="22"/>
        </w:rPr>
        <w:t>the Principles of Geographical Distribution approved by the WIPO Coordination Committee in 1975</w:t>
      </w:r>
      <w:r>
        <w:rPr>
          <w:rStyle w:val="FootnoteReference"/>
          <w:szCs w:val="22"/>
        </w:rPr>
        <w:footnoteReference w:id="12"/>
      </w:r>
      <w:r>
        <w:rPr>
          <w:szCs w:val="22"/>
        </w:rPr>
        <w:t xml:space="preserve">, representation of the seven geographical regions in </w:t>
      </w:r>
      <w:r w:rsidR="009A7D28">
        <w:rPr>
          <w:szCs w:val="22"/>
        </w:rPr>
        <w:t xml:space="preserve">the </w:t>
      </w:r>
      <w:r>
        <w:rPr>
          <w:szCs w:val="22"/>
        </w:rPr>
        <w:t xml:space="preserve">WIPO workforce </w:t>
      </w:r>
      <w:r w:rsidRPr="005645E2">
        <w:rPr>
          <w:rFonts w:eastAsia="Calibri"/>
          <w:szCs w:val="22"/>
          <w:lang w:val="en-GB"/>
        </w:rPr>
        <w:t>continued to evolve in 2022.</w:t>
      </w:r>
    </w:p>
    <w:p w14:paraId="1F0A4DDC" w14:textId="243B7BED" w:rsidR="00FB5BF6" w:rsidRPr="00FB5BF6" w:rsidRDefault="00A219E4" w:rsidP="00FB5BF6">
      <w:pPr>
        <w:pStyle w:val="ListParagraph"/>
        <w:tabs>
          <w:tab w:val="left" w:pos="540"/>
        </w:tabs>
        <w:ind w:left="0"/>
        <w:rPr>
          <w:szCs w:val="22"/>
        </w:rPr>
      </w:pPr>
      <w:r w:rsidRPr="005645E2">
        <w:rPr>
          <w:rFonts w:eastAsia="Calibri"/>
          <w:szCs w:val="22"/>
          <w:lang w:val="en-GB"/>
        </w:rPr>
        <w:t xml:space="preserve">  </w:t>
      </w:r>
    </w:p>
    <w:p w14:paraId="3A010DF5" w14:textId="0713B48F" w:rsidR="00A219E4" w:rsidRPr="0020718C" w:rsidRDefault="00E91899" w:rsidP="00A219E4">
      <w:pPr>
        <w:pStyle w:val="ListParagraph"/>
        <w:numPr>
          <w:ilvl w:val="0"/>
          <w:numId w:val="12"/>
        </w:numPr>
        <w:tabs>
          <w:tab w:val="left" w:pos="540"/>
        </w:tabs>
        <w:ind w:left="0" w:firstLine="0"/>
        <w:rPr>
          <w:szCs w:val="22"/>
        </w:rPr>
      </w:pPr>
      <w:r>
        <w:rPr>
          <w:rFonts w:eastAsia="Calibri"/>
          <w:szCs w:val="22"/>
          <w:lang w:val="en-GB"/>
        </w:rPr>
        <w:t>The table below shows that the</w:t>
      </w:r>
      <w:r w:rsidR="00A219E4" w:rsidRPr="005645E2">
        <w:rPr>
          <w:rFonts w:eastAsia="Calibri"/>
          <w:szCs w:val="22"/>
          <w:lang w:val="en-GB"/>
        </w:rPr>
        <w:t xml:space="preserve"> proportion of staff members from A</w:t>
      </w:r>
      <w:r w:rsidR="00A219E4">
        <w:rPr>
          <w:rFonts w:eastAsia="Calibri"/>
          <w:szCs w:val="22"/>
          <w:lang w:val="en-GB"/>
        </w:rPr>
        <w:t>frica, the Asia and the Pacific</w:t>
      </w:r>
      <w:r w:rsidR="00A219E4" w:rsidRPr="005645E2">
        <w:rPr>
          <w:rFonts w:eastAsia="Calibri"/>
          <w:szCs w:val="22"/>
          <w:lang w:val="en-GB"/>
        </w:rPr>
        <w:t xml:space="preserve">, Latin America and the Caribbean, Eastern </w:t>
      </w:r>
      <w:r w:rsidR="00A219E4">
        <w:rPr>
          <w:rFonts w:eastAsia="Calibri"/>
          <w:szCs w:val="22"/>
          <w:lang w:val="en-GB"/>
        </w:rPr>
        <w:t>and</w:t>
      </w:r>
      <w:r w:rsidR="00A219E4" w:rsidRPr="005645E2">
        <w:rPr>
          <w:rFonts w:eastAsia="Calibri"/>
          <w:szCs w:val="22"/>
          <w:lang w:val="en-GB"/>
        </w:rPr>
        <w:t xml:space="preserve"> Central Europe </w:t>
      </w:r>
      <w:r w:rsidR="00A219E4">
        <w:rPr>
          <w:rFonts w:eastAsia="Calibri"/>
          <w:szCs w:val="22"/>
          <w:lang w:val="en-GB"/>
        </w:rPr>
        <w:t>and</w:t>
      </w:r>
      <w:r w:rsidR="00A219E4" w:rsidRPr="005645E2">
        <w:rPr>
          <w:rFonts w:eastAsia="Calibri"/>
          <w:szCs w:val="22"/>
          <w:lang w:val="en-GB"/>
        </w:rPr>
        <w:t xml:space="preserve"> Central Asia as well as the Middle </w:t>
      </w:r>
      <w:r w:rsidR="007113E6">
        <w:rPr>
          <w:rFonts w:eastAsia="Calibri"/>
          <w:szCs w:val="22"/>
          <w:lang w:val="en-GB"/>
        </w:rPr>
        <w:t xml:space="preserve">East </w:t>
      </w:r>
      <w:r w:rsidR="003D3207">
        <w:rPr>
          <w:rFonts w:eastAsia="Calibri"/>
          <w:szCs w:val="22"/>
          <w:lang w:val="en-GB"/>
        </w:rPr>
        <w:t xml:space="preserve">has slightly increased over the past </w:t>
      </w:r>
      <w:r w:rsidR="00FD385B">
        <w:rPr>
          <w:rFonts w:eastAsia="Calibri"/>
          <w:szCs w:val="22"/>
          <w:lang w:val="en-GB"/>
        </w:rPr>
        <w:t>three</w:t>
      </w:r>
      <w:r w:rsidR="003D3207">
        <w:rPr>
          <w:rFonts w:eastAsia="Calibri"/>
          <w:szCs w:val="22"/>
          <w:lang w:val="en-GB"/>
        </w:rPr>
        <w:t xml:space="preserve"> years</w:t>
      </w:r>
      <w:r w:rsidR="00A219E4" w:rsidRPr="005645E2">
        <w:rPr>
          <w:rFonts w:eastAsia="Calibri"/>
          <w:szCs w:val="22"/>
          <w:lang w:val="en-GB"/>
        </w:rPr>
        <w:t>, while the percentage of staff members from Western Europe continued to decrease</w:t>
      </w:r>
      <w:r w:rsidR="00A219E4">
        <w:rPr>
          <w:rFonts w:eastAsia="Calibri"/>
          <w:szCs w:val="22"/>
          <w:lang w:val="en-GB"/>
        </w:rPr>
        <w:t>.</w:t>
      </w:r>
    </w:p>
    <w:p w14:paraId="1A844B55" w14:textId="40C0F8CE" w:rsidR="0020718C" w:rsidRPr="00593114" w:rsidRDefault="0020718C" w:rsidP="0020718C">
      <w:pPr>
        <w:pStyle w:val="ListParagraph"/>
        <w:tabs>
          <w:tab w:val="left" w:pos="540"/>
        </w:tabs>
        <w:ind w:left="0"/>
        <w:rPr>
          <w:szCs w:val="22"/>
        </w:rPr>
      </w:pPr>
    </w:p>
    <w:p w14:paraId="02F53DAF" w14:textId="2BC07DD8" w:rsidR="00A219E4" w:rsidRDefault="00A219E4" w:rsidP="00A219E4">
      <w:pPr>
        <w:pStyle w:val="ListParagraph"/>
        <w:ind w:left="0"/>
        <w:rPr>
          <w:szCs w:val="22"/>
        </w:rPr>
      </w:pPr>
    </w:p>
    <w:p w14:paraId="5DC8B315" w14:textId="2040C0D7" w:rsidR="00593114" w:rsidRDefault="00335166" w:rsidP="00A219E4">
      <w:pPr>
        <w:pStyle w:val="ListParagraph"/>
        <w:ind w:left="0"/>
        <w:rPr>
          <w:szCs w:val="22"/>
        </w:rPr>
      </w:pPr>
      <w:r>
        <w:rPr>
          <w:noProof/>
        </w:rPr>
        <w:lastRenderedPageBreak/>
        <w:drawing>
          <wp:inline distT="0" distB="0" distL="0" distR="0" wp14:anchorId="0BA85075" wp14:editId="3C97E48F">
            <wp:extent cx="5940425" cy="3372485"/>
            <wp:effectExtent l="0" t="0" r="3175" b="18415"/>
            <wp:docPr id="7" name="Chart 7" title="Posts subject to geographical distribution - representation by geographical re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287169" w14:textId="77777777" w:rsidR="00BB4946" w:rsidRDefault="00BB4946" w:rsidP="00A219E4">
      <w:pPr>
        <w:pStyle w:val="ListParagraph"/>
        <w:ind w:left="0"/>
        <w:rPr>
          <w:szCs w:val="22"/>
        </w:rPr>
      </w:pPr>
    </w:p>
    <w:p w14:paraId="408DCE1F" w14:textId="1640BB36" w:rsidR="00AE7470" w:rsidRDefault="00593114" w:rsidP="002C22EA">
      <w:pPr>
        <w:pStyle w:val="ListParagraph"/>
        <w:numPr>
          <w:ilvl w:val="0"/>
          <w:numId w:val="12"/>
        </w:numPr>
        <w:ind w:left="0" w:firstLine="0"/>
        <w:rPr>
          <w:szCs w:val="22"/>
        </w:rPr>
      </w:pPr>
      <w:r w:rsidRPr="00E21C40">
        <w:rPr>
          <w:szCs w:val="22"/>
        </w:rPr>
        <w:t>WIPO also</w:t>
      </w:r>
      <w:r w:rsidR="00096048" w:rsidRPr="00E21C40">
        <w:rPr>
          <w:szCs w:val="22"/>
        </w:rPr>
        <w:t xml:space="preserve"> </w:t>
      </w:r>
      <w:r w:rsidR="009A7D28">
        <w:rPr>
          <w:szCs w:val="22"/>
        </w:rPr>
        <w:t>began</w:t>
      </w:r>
      <w:r w:rsidR="00AE7470" w:rsidRPr="00E21C40">
        <w:rPr>
          <w:szCs w:val="22"/>
        </w:rPr>
        <w:t xml:space="preserve"> </w:t>
      </w:r>
      <w:r w:rsidRPr="00E21C40">
        <w:rPr>
          <w:szCs w:val="22"/>
        </w:rPr>
        <w:t>track</w:t>
      </w:r>
      <w:r w:rsidR="00096048" w:rsidRPr="00E21C40">
        <w:rPr>
          <w:szCs w:val="22"/>
        </w:rPr>
        <w:t xml:space="preserve">ing </w:t>
      </w:r>
      <w:r w:rsidR="009A7D28">
        <w:rPr>
          <w:szCs w:val="22"/>
        </w:rPr>
        <w:t xml:space="preserve">systematically </w:t>
      </w:r>
      <w:r w:rsidRPr="00E21C40">
        <w:rPr>
          <w:szCs w:val="22"/>
        </w:rPr>
        <w:t>the progression of candidates through the selection process b</w:t>
      </w:r>
      <w:r w:rsidR="00C3292C" w:rsidRPr="00E21C40">
        <w:rPr>
          <w:szCs w:val="22"/>
        </w:rPr>
        <w:t xml:space="preserve">y gender and </w:t>
      </w:r>
      <w:r w:rsidR="00E91899" w:rsidRPr="00E21C40">
        <w:rPr>
          <w:szCs w:val="22"/>
        </w:rPr>
        <w:t xml:space="preserve">geographical </w:t>
      </w:r>
      <w:r w:rsidR="00C3292C" w:rsidRPr="00E21C40">
        <w:rPr>
          <w:szCs w:val="22"/>
        </w:rPr>
        <w:t>region</w:t>
      </w:r>
      <w:r w:rsidR="00096048" w:rsidRPr="00E21C40">
        <w:rPr>
          <w:szCs w:val="22"/>
        </w:rPr>
        <w:t xml:space="preserve"> in order to focus not only on the increase in candidatures</w:t>
      </w:r>
      <w:r w:rsidR="00E91899" w:rsidRPr="00E21C40">
        <w:rPr>
          <w:szCs w:val="22"/>
        </w:rPr>
        <w:t>,</w:t>
      </w:r>
      <w:r w:rsidR="00096048" w:rsidRPr="00E21C40">
        <w:rPr>
          <w:szCs w:val="22"/>
        </w:rPr>
        <w:t xml:space="preserve"> but also to identify </w:t>
      </w:r>
      <w:r w:rsidR="00692D98">
        <w:rPr>
          <w:szCs w:val="22"/>
        </w:rPr>
        <w:t xml:space="preserve">targeted </w:t>
      </w:r>
      <w:r w:rsidR="00096048" w:rsidRPr="00E21C40">
        <w:rPr>
          <w:szCs w:val="22"/>
        </w:rPr>
        <w:t xml:space="preserve">measures that could help to increase the success rate of candidates from less represented </w:t>
      </w:r>
      <w:r w:rsidR="00780095">
        <w:rPr>
          <w:szCs w:val="22"/>
        </w:rPr>
        <w:t>regions</w:t>
      </w:r>
      <w:r w:rsidR="00096048" w:rsidRPr="00E21C40">
        <w:rPr>
          <w:szCs w:val="22"/>
        </w:rPr>
        <w:t xml:space="preserve"> in the competitive </w:t>
      </w:r>
      <w:r w:rsidR="00E91899" w:rsidRPr="00E21C40">
        <w:rPr>
          <w:szCs w:val="22"/>
        </w:rPr>
        <w:t>recruitment</w:t>
      </w:r>
      <w:r w:rsidR="00096048" w:rsidRPr="00E21C40">
        <w:rPr>
          <w:szCs w:val="22"/>
        </w:rPr>
        <w:t xml:space="preserve"> process</w:t>
      </w:r>
      <w:r w:rsidR="00C3292C" w:rsidRPr="00E21C40">
        <w:rPr>
          <w:szCs w:val="22"/>
        </w:rPr>
        <w:t>.</w:t>
      </w:r>
    </w:p>
    <w:p w14:paraId="4C5AD3B8" w14:textId="77777777" w:rsidR="003C0A60" w:rsidRDefault="003C0A60" w:rsidP="003C0A60">
      <w:pPr>
        <w:pStyle w:val="ListParagraph"/>
        <w:ind w:left="0"/>
        <w:rPr>
          <w:szCs w:val="22"/>
        </w:rPr>
      </w:pPr>
    </w:p>
    <w:p w14:paraId="7A267073" w14:textId="3FC02D40" w:rsidR="00983386" w:rsidRPr="00AE7470" w:rsidRDefault="00780095" w:rsidP="002C22EA">
      <w:pPr>
        <w:pStyle w:val="ListParagraph"/>
        <w:numPr>
          <w:ilvl w:val="0"/>
          <w:numId w:val="12"/>
        </w:numPr>
        <w:ind w:left="0" w:firstLine="0"/>
        <w:rPr>
          <w:szCs w:val="22"/>
        </w:rPr>
      </w:pPr>
      <w:r w:rsidRPr="00AE7470">
        <w:rPr>
          <w:szCs w:val="22"/>
        </w:rPr>
        <w:t xml:space="preserve">The </w:t>
      </w:r>
      <w:r w:rsidRPr="005F4179">
        <w:rPr>
          <w:szCs w:val="22"/>
        </w:rPr>
        <w:t>table</w:t>
      </w:r>
      <w:r w:rsidRPr="00AE7470">
        <w:rPr>
          <w:szCs w:val="22"/>
        </w:rPr>
        <w:t xml:space="preserve"> below provide</w:t>
      </w:r>
      <w:r w:rsidR="0020718C">
        <w:rPr>
          <w:szCs w:val="22"/>
        </w:rPr>
        <w:t>s</w:t>
      </w:r>
      <w:r w:rsidRPr="00AE7470">
        <w:rPr>
          <w:szCs w:val="22"/>
        </w:rPr>
        <w:t xml:space="preserve"> a </w:t>
      </w:r>
      <w:r w:rsidR="00350919">
        <w:rPr>
          <w:szCs w:val="22"/>
        </w:rPr>
        <w:t>breakdown of applicants by</w:t>
      </w:r>
      <w:r w:rsidR="00350919" w:rsidRPr="00AE7470">
        <w:rPr>
          <w:szCs w:val="22"/>
        </w:rPr>
        <w:t xml:space="preserve"> geographical region</w:t>
      </w:r>
      <w:r w:rsidR="0020718C">
        <w:rPr>
          <w:szCs w:val="22"/>
        </w:rPr>
        <w:t>, as well as</w:t>
      </w:r>
      <w:r w:rsidR="00350919">
        <w:rPr>
          <w:szCs w:val="22"/>
        </w:rPr>
        <w:t xml:space="preserve"> their progress through the different phases of the recruitment process. </w:t>
      </w:r>
      <w:r w:rsidR="00B05B0A">
        <w:rPr>
          <w:szCs w:val="22"/>
        </w:rPr>
        <w:t xml:space="preserve"> </w:t>
      </w:r>
      <w:r w:rsidR="00350919">
        <w:rPr>
          <w:szCs w:val="22"/>
        </w:rPr>
        <w:t xml:space="preserve">This </w:t>
      </w:r>
      <w:r w:rsidR="0020718C">
        <w:rPr>
          <w:szCs w:val="22"/>
        </w:rPr>
        <w:t>snapshot</w:t>
      </w:r>
      <w:r w:rsidR="00350919">
        <w:rPr>
          <w:szCs w:val="22"/>
        </w:rPr>
        <w:t>, as of mid</w:t>
      </w:r>
      <w:r w:rsidR="00B05B0A">
        <w:rPr>
          <w:szCs w:val="22"/>
        </w:rPr>
        <w:noBreakHyphen/>
      </w:r>
      <w:r w:rsidR="00350919">
        <w:rPr>
          <w:szCs w:val="22"/>
        </w:rPr>
        <w:t>May 2023,</w:t>
      </w:r>
      <w:r w:rsidRPr="00AE7470">
        <w:rPr>
          <w:szCs w:val="22"/>
        </w:rPr>
        <w:t xml:space="preserve"> </w:t>
      </w:r>
      <w:r w:rsidR="00350919">
        <w:rPr>
          <w:szCs w:val="22"/>
        </w:rPr>
        <w:t xml:space="preserve">covers the 109 </w:t>
      </w:r>
      <w:r w:rsidR="00B8006D">
        <w:rPr>
          <w:szCs w:val="22"/>
        </w:rPr>
        <w:t>job openings</w:t>
      </w:r>
      <w:r>
        <w:rPr>
          <w:szCs w:val="22"/>
        </w:rPr>
        <w:t xml:space="preserve"> </w:t>
      </w:r>
      <w:r w:rsidR="00350919">
        <w:rPr>
          <w:szCs w:val="22"/>
        </w:rPr>
        <w:t xml:space="preserve">advertised in 2022 </w:t>
      </w:r>
      <w:r w:rsidR="00AE7470" w:rsidRPr="00AE7470">
        <w:rPr>
          <w:szCs w:val="22"/>
        </w:rPr>
        <w:t xml:space="preserve">for positions at </w:t>
      </w:r>
      <w:r w:rsidR="00C2077D">
        <w:rPr>
          <w:szCs w:val="22"/>
        </w:rPr>
        <w:t>the professional grades</w:t>
      </w:r>
      <w:r w:rsidR="00AE7470" w:rsidRPr="00AE7470">
        <w:rPr>
          <w:szCs w:val="22"/>
        </w:rPr>
        <w:t xml:space="preserve"> and above.</w:t>
      </w:r>
      <w:r w:rsidR="00AE7470" w:rsidRPr="00AE7470">
        <w:rPr>
          <w:i/>
          <w:szCs w:val="22"/>
        </w:rPr>
        <w:t xml:space="preserve"> </w:t>
      </w:r>
    </w:p>
    <w:p w14:paraId="227B5E6B" w14:textId="7E20B77B" w:rsidR="004A532B" w:rsidRDefault="004A532B" w:rsidP="00EC0C6F">
      <w:pPr>
        <w:pStyle w:val="ListParagraph"/>
        <w:ind w:left="0"/>
        <w:rPr>
          <w:szCs w:val="22"/>
        </w:rPr>
      </w:pPr>
    </w:p>
    <w:tbl>
      <w:tblPr>
        <w:tblW w:w="9350" w:type="dxa"/>
        <w:tblLayout w:type="fixed"/>
        <w:tblLook w:val="04A0" w:firstRow="1" w:lastRow="0" w:firstColumn="1" w:lastColumn="0" w:noHBand="0" w:noVBand="1"/>
      </w:tblPr>
      <w:tblGrid>
        <w:gridCol w:w="2160"/>
        <w:gridCol w:w="1198"/>
        <w:gridCol w:w="1198"/>
        <w:gridCol w:w="1199"/>
        <w:gridCol w:w="1198"/>
        <w:gridCol w:w="1237"/>
        <w:gridCol w:w="1160"/>
      </w:tblGrid>
      <w:tr w:rsidR="004A532B" w:rsidRPr="004A532B" w14:paraId="7A493242" w14:textId="77777777" w:rsidTr="004A532B">
        <w:trPr>
          <w:trHeight w:val="420"/>
        </w:trPr>
        <w:tc>
          <w:tcPr>
            <w:tcW w:w="2160" w:type="dxa"/>
            <w:tcBorders>
              <w:top w:val="nil"/>
              <w:left w:val="nil"/>
              <w:bottom w:val="nil"/>
              <w:right w:val="nil"/>
            </w:tcBorders>
            <w:shd w:val="clear" w:color="000000" w:fill="FFFFFF"/>
            <w:noWrap/>
            <w:vAlign w:val="bottom"/>
            <w:hideMark/>
          </w:tcPr>
          <w:p w14:paraId="71E20530" w14:textId="77777777" w:rsidR="004A532B" w:rsidRPr="004A532B" w:rsidRDefault="004A532B" w:rsidP="004A532B">
            <w:pPr>
              <w:rPr>
                <w:rFonts w:eastAsia="Times New Roman"/>
                <w:color w:val="000000"/>
                <w:sz w:val="18"/>
                <w:szCs w:val="18"/>
                <w:lang w:eastAsia="en-US"/>
              </w:rPr>
            </w:pPr>
            <w:r w:rsidRPr="004A532B">
              <w:rPr>
                <w:rFonts w:eastAsia="Times New Roman"/>
                <w:color w:val="000000"/>
                <w:sz w:val="18"/>
                <w:szCs w:val="18"/>
                <w:lang w:eastAsia="en-US"/>
              </w:rPr>
              <w:t> </w:t>
            </w:r>
          </w:p>
        </w:tc>
        <w:tc>
          <w:tcPr>
            <w:tcW w:w="1198"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06EDE5DF" w14:textId="77777777" w:rsidR="004A532B" w:rsidRPr="004A532B" w:rsidRDefault="004A532B" w:rsidP="004A532B">
            <w:pPr>
              <w:jc w:val="center"/>
              <w:rPr>
                <w:rFonts w:eastAsia="Times New Roman"/>
                <w:b/>
                <w:bCs/>
                <w:color w:val="000000"/>
                <w:sz w:val="14"/>
                <w:szCs w:val="14"/>
                <w:lang w:eastAsia="en-US"/>
              </w:rPr>
            </w:pPr>
            <w:r w:rsidRPr="004A532B">
              <w:rPr>
                <w:rFonts w:eastAsia="Times New Roman"/>
                <w:b/>
                <w:bCs/>
                <w:color w:val="000000"/>
                <w:sz w:val="14"/>
                <w:szCs w:val="14"/>
                <w:lang w:eastAsia="en-US"/>
              </w:rPr>
              <w:t>Applicants</w:t>
            </w:r>
          </w:p>
        </w:tc>
        <w:tc>
          <w:tcPr>
            <w:tcW w:w="1198" w:type="dxa"/>
            <w:tcBorders>
              <w:top w:val="single" w:sz="4" w:space="0" w:color="auto"/>
              <w:left w:val="nil"/>
              <w:bottom w:val="single" w:sz="4" w:space="0" w:color="auto"/>
              <w:right w:val="single" w:sz="4" w:space="0" w:color="auto"/>
            </w:tcBorders>
            <w:shd w:val="clear" w:color="000000" w:fill="DDEBF7"/>
            <w:noWrap/>
            <w:vAlign w:val="center"/>
            <w:hideMark/>
          </w:tcPr>
          <w:p w14:paraId="6F9850FC" w14:textId="77777777" w:rsidR="004A532B" w:rsidRPr="004A532B" w:rsidRDefault="004A532B" w:rsidP="004A532B">
            <w:pPr>
              <w:jc w:val="center"/>
              <w:rPr>
                <w:rFonts w:eastAsia="Times New Roman"/>
                <w:b/>
                <w:bCs/>
                <w:color w:val="000000"/>
                <w:sz w:val="14"/>
                <w:szCs w:val="14"/>
                <w:lang w:eastAsia="en-US"/>
              </w:rPr>
            </w:pPr>
            <w:r w:rsidRPr="004A532B">
              <w:rPr>
                <w:rFonts w:eastAsia="Times New Roman"/>
                <w:b/>
                <w:bCs/>
                <w:color w:val="000000"/>
                <w:sz w:val="14"/>
                <w:szCs w:val="14"/>
                <w:lang w:eastAsia="en-US"/>
              </w:rPr>
              <w:t>Longlisted</w:t>
            </w:r>
          </w:p>
        </w:tc>
        <w:tc>
          <w:tcPr>
            <w:tcW w:w="1199" w:type="dxa"/>
            <w:tcBorders>
              <w:top w:val="single" w:sz="4" w:space="0" w:color="auto"/>
              <w:left w:val="nil"/>
              <w:bottom w:val="single" w:sz="4" w:space="0" w:color="auto"/>
              <w:right w:val="single" w:sz="4" w:space="0" w:color="auto"/>
            </w:tcBorders>
            <w:shd w:val="clear" w:color="000000" w:fill="DDEBF7"/>
            <w:noWrap/>
            <w:vAlign w:val="center"/>
            <w:hideMark/>
          </w:tcPr>
          <w:p w14:paraId="4167BD7F" w14:textId="77777777" w:rsidR="004A532B" w:rsidRPr="004A532B" w:rsidRDefault="004A532B" w:rsidP="004A532B">
            <w:pPr>
              <w:jc w:val="center"/>
              <w:rPr>
                <w:rFonts w:eastAsia="Times New Roman"/>
                <w:b/>
                <w:bCs/>
                <w:color w:val="000000"/>
                <w:sz w:val="14"/>
                <w:szCs w:val="14"/>
                <w:lang w:eastAsia="en-US"/>
              </w:rPr>
            </w:pPr>
            <w:r w:rsidRPr="004A532B">
              <w:rPr>
                <w:rFonts w:eastAsia="Times New Roman"/>
                <w:b/>
                <w:bCs/>
                <w:color w:val="000000"/>
                <w:sz w:val="14"/>
                <w:szCs w:val="14"/>
                <w:lang w:eastAsia="en-US"/>
              </w:rPr>
              <w:t>Shortlisted</w:t>
            </w:r>
          </w:p>
        </w:tc>
        <w:tc>
          <w:tcPr>
            <w:tcW w:w="1198" w:type="dxa"/>
            <w:tcBorders>
              <w:top w:val="single" w:sz="4" w:space="0" w:color="auto"/>
              <w:left w:val="nil"/>
              <w:bottom w:val="single" w:sz="4" w:space="0" w:color="auto"/>
              <w:right w:val="single" w:sz="4" w:space="0" w:color="auto"/>
            </w:tcBorders>
            <w:shd w:val="clear" w:color="000000" w:fill="DDEBF7"/>
            <w:noWrap/>
            <w:vAlign w:val="center"/>
            <w:hideMark/>
          </w:tcPr>
          <w:p w14:paraId="43DD84FB" w14:textId="77777777" w:rsidR="004A532B" w:rsidRPr="004A532B" w:rsidRDefault="004A532B" w:rsidP="004A532B">
            <w:pPr>
              <w:jc w:val="center"/>
              <w:rPr>
                <w:rFonts w:eastAsia="Times New Roman"/>
                <w:b/>
                <w:bCs/>
                <w:color w:val="000000"/>
                <w:sz w:val="14"/>
                <w:szCs w:val="14"/>
                <w:lang w:eastAsia="en-US"/>
              </w:rPr>
            </w:pPr>
            <w:r w:rsidRPr="004A532B">
              <w:rPr>
                <w:rFonts w:eastAsia="Times New Roman"/>
                <w:b/>
                <w:bCs/>
                <w:color w:val="000000"/>
                <w:sz w:val="14"/>
                <w:szCs w:val="14"/>
                <w:lang w:eastAsia="en-US"/>
              </w:rPr>
              <w:t>Interviewed</w:t>
            </w:r>
          </w:p>
        </w:tc>
        <w:tc>
          <w:tcPr>
            <w:tcW w:w="1237" w:type="dxa"/>
            <w:tcBorders>
              <w:top w:val="single" w:sz="4" w:space="0" w:color="auto"/>
              <w:left w:val="nil"/>
              <w:bottom w:val="single" w:sz="4" w:space="0" w:color="auto"/>
              <w:right w:val="single" w:sz="4" w:space="0" w:color="auto"/>
            </w:tcBorders>
            <w:shd w:val="clear" w:color="000000" w:fill="DDEBF7"/>
            <w:noWrap/>
            <w:vAlign w:val="center"/>
            <w:hideMark/>
          </w:tcPr>
          <w:p w14:paraId="244374D7" w14:textId="77777777" w:rsidR="004A532B" w:rsidRPr="004A532B" w:rsidRDefault="004A532B" w:rsidP="004A532B">
            <w:pPr>
              <w:jc w:val="center"/>
              <w:rPr>
                <w:rFonts w:eastAsia="Times New Roman"/>
                <w:b/>
                <w:bCs/>
                <w:color w:val="000000"/>
                <w:sz w:val="14"/>
                <w:szCs w:val="14"/>
                <w:lang w:eastAsia="en-US"/>
              </w:rPr>
            </w:pPr>
            <w:r w:rsidRPr="004A532B">
              <w:rPr>
                <w:rFonts w:eastAsia="Times New Roman"/>
                <w:b/>
                <w:bCs/>
                <w:color w:val="000000"/>
                <w:sz w:val="14"/>
                <w:szCs w:val="14"/>
                <w:lang w:eastAsia="en-US"/>
              </w:rPr>
              <w:t>Recommended</w:t>
            </w:r>
          </w:p>
        </w:tc>
        <w:tc>
          <w:tcPr>
            <w:tcW w:w="1160" w:type="dxa"/>
            <w:tcBorders>
              <w:top w:val="single" w:sz="4" w:space="0" w:color="auto"/>
              <w:left w:val="nil"/>
              <w:bottom w:val="single" w:sz="4" w:space="0" w:color="auto"/>
              <w:right w:val="single" w:sz="4" w:space="0" w:color="auto"/>
            </w:tcBorders>
            <w:shd w:val="clear" w:color="000000" w:fill="DDEBF7"/>
            <w:noWrap/>
            <w:vAlign w:val="center"/>
            <w:hideMark/>
          </w:tcPr>
          <w:p w14:paraId="4AE625E9" w14:textId="77777777" w:rsidR="004A532B" w:rsidRPr="004A532B" w:rsidRDefault="004A532B" w:rsidP="004A532B">
            <w:pPr>
              <w:jc w:val="center"/>
              <w:rPr>
                <w:rFonts w:eastAsia="Times New Roman"/>
                <w:b/>
                <w:bCs/>
                <w:color w:val="000000"/>
                <w:sz w:val="14"/>
                <w:szCs w:val="14"/>
                <w:lang w:eastAsia="en-US"/>
              </w:rPr>
            </w:pPr>
            <w:r w:rsidRPr="004A532B">
              <w:rPr>
                <w:rFonts w:eastAsia="Times New Roman"/>
                <w:b/>
                <w:bCs/>
                <w:color w:val="000000"/>
                <w:sz w:val="14"/>
                <w:szCs w:val="14"/>
                <w:lang w:eastAsia="en-US"/>
              </w:rPr>
              <w:t>Selected</w:t>
            </w:r>
          </w:p>
        </w:tc>
      </w:tr>
      <w:tr w:rsidR="004A532B" w:rsidRPr="004A532B" w14:paraId="1ACC2E42" w14:textId="77777777" w:rsidTr="004A532B">
        <w:trPr>
          <w:trHeight w:val="4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A0D47" w14:textId="77777777" w:rsidR="004A532B" w:rsidRPr="004A532B" w:rsidRDefault="004A532B" w:rsidP="004A532B">
            <w:pPr>
              <w:rPr>
                <w:rFonts w:eastAsia="Times New Roman"/>
                <w:b/>
                <w:bCs/>
                <w:color w:val="000000"/>
                <w:sz w:val="16"/>
                <w:szCs w:val="16"/>
                <w:lang w:eastAsia="en-US"/>
              </w:rPr>
            </w:pPr>
            <w:r w:rsidRPr="004A532B">
              <w:rPr>
                <w:rFonts w:eastAsia="Times New Roman"/>
                <w:b/>
                <w:bCs/>
                <w:color w:val="000000"/>
                <w:sz w:val="16"/>
                <w:szCs w:val="16"/>
                <w:lang w:eastAsia="en-US"/>
              </w:rPr>
              <w:t>Africa</w:t>
            </w:r>
          </w:p>
        </w:tc>
        <w:tc>
          <w:tcPr>
            <w:tcW w:w="1198" w:type="dxa"/>
            <w:tcBorders>
              <w:top w:val="nil"/>
              <w:left w:val="nil"/>
              <w:bottom w:val="single" w:sz="4" w:space="0" w:color="auto"/>
              <w:right w:val="single" w:sz="4" w:space="0" w:color="auto"/>
            </w:tcBorders>
            <w:shd w:val="clear" w:color="auto" w:fill="auto"/>
            <w:noWrap/>
            <w:vAlign w:val="center"/>
            <w:hideMark/>
          </w:tcPr>
          <w:p w14:paraId="337C4E03"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3,299</w:t>
            </w:r>
          </w:p>
        </w:tc>
        <w:tc>
          <w:tcPr>
            <w:tcW w:w="1198" w:type="dxa"/>
            <w:tcBorders>
              <w:top w:val="nil"/>
              <w:left w:val="nil"/>
              <w:bottom w:val="single" w:sz="4" w:space="0" w:color="auto"/>
              <w:right w:val="single" w:sz="4" w:space="0" w:color="auto"/>
            </w:tcBorders>
            <w:shd w:val="clear" w:color="auto" w:fill="auto"/>
            <w:noWrap/>
            <w:vAlign w:val="center"/>
            <w:hideMark/>
          </w:tcPr>
          <w:p w14:paraId="42C98E2D"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39.04%</w:t>
            </w:r>
          </w:p>
        </w:tc>
        <w:tc>
          <w:tcPr>
            <w:tcW w:w="1199" w:type="dxa"/>
            <w:tcBorders>
              <w:top w:val="nil"/>
              <w:left w:val="nil"/>
              <w:bottom w:val="single" w:sz="4" w:space="0" w:color="auto"/>
              <w:right w:val="single" w:sz="4" w:space="0" w:color="auto"/>
            </w:tcBorders>
            <w:shd w:val="clear" w:color="auto" w:fill="auto"/>
            <w:noWrap/>
            <w:vAlign w:val="center"/>
            <w:hideMark/>
          </w:tcPr>
          <w:p w14:paraId="496019F5"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8.93%</w:t>
            </w:r>
          </w:p>
        </w:tc>
        <w:tc>
          <w:tcPr>
            <w:tcW w:w="1198" w:type="dxa"/>
            <w:tcBorders>
              <w:top w:val="nil"/>
              <w:left w:val="nil"/>
              <w:bottom w:val="single" w:sz="4" w:space="0" w:color="auto"/>
              <w:right w:val="single" w:sz="4" w:space="0" w:color="auto"/>
            </w:tcBorders>
            <w:shd w:val="clear" w:color="auto" w:fill="auto"/>
            <w:noWrap/>
            <w:vAlign w:val="center"/>
            <w:hideMark/>
          </w:tcPr>
          <w:p w14:paraId="06D09C08"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50.43%</w:t>
            </w:r>
          </w:p>
        </w:tc>
        <w:tc>
          <w:tcPr>
            <w:tcW w:w="1237" w:type="dxa"/>
            <w:tcBorders>
              <w:top w:val="nil"/>
              <w:left w:val="nil"/>
              <w:bottom w:val="single" w:sz="4" w:space="0" w:color="auto"/>
              <w:right w:val="single" w:sz="4" w:space="0" w:color="auto"/>
            </w:tcBorders>
            <w:shd w:val="clear" w:color="auto" w:fill="auto"/>
            <w:noWrap/>
            <w:vAlign w:val="center"/>
            <w:hideMark/>
          </w:tcPr>
          <w:p w14:paraId="0BFE9216"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44.83%</w:t>
            </w:r>
          </w:p>
        </w:tc>
        <w:tc>
          <w:tcPr>
            <w:tcW w:w="1160" w:type="dxa"/>
            <w:tcBorders>
              <w:top w:val="nil"/>
              <w:left w:val="nil"/>
              <w:bottom w:val="single" w:sz="4" w:space="0" w:color="auto"/>
              <w:right w:val="single" w:sz="4" w:space="0" w:color="auto"/>
            </w:tcBorders>
            <w:shd w:val="clear" w:color="auto" w:fill="auto"/>
            <w:noWrap/>
            <w:vAlign w:val="center"/>
            <w:hideMark/>
          </w:tcPr>
          <w:p w14:paraId="40370BCB"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53.85%</w:t>
            </w:r>
          </w:p>
        </w:tc>
      </w:tr>
      <w:tr w:rsidR="004A532B" w:rsidRPr="004A532B" w14:paraId="55A4A5BF" w14:textId="77777777" w:rsidTr="004A532B">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61766B4" w14:textId="77777777" w:rsidR="004A532B" w:rsidRPr="004A532B" w:rsidRDefault="004A532B" w:rsidP="004A532B">
            <w:pPr>
              <w:rPr>
                <w:rFonts w:eastAsia="Times New Roman"/>
                <w:b/>
                <w:bCs/>
                <w:color w:val="000000"/>
                <w:sz w:val="16"/>
                <w:szCs w:val="16"/>
                <w:lang w:eastAsia="en-US"/>
              </w:rPr>
            </w:pPr>
            <w:r w:rsidRPr="004A532B">
              <w:rPr>
                <w:rFonts w:eastAsia="Times New Roman"/>
                <w:b/>
                <w:bCs/>
                <w:color w:val="000000"/>
                <w:sz w:val="16"/>
                <w:szCs w:val="16"/>
                <w:lang w:eastAsia="en-US"/>
              </w:rPr>
              <w:t>Asia and the Pacific</w:t>
            </w:r>
          </w:p>
        </w:tc>
        <w:tc>
          <w:tcPr>
            <w:tcW w:w="1198" w:type="dxa"/>
            <w:tcBorders>
              <w:top w:val="nil"/>
              <w:left w:val="nil"/>
              <w:bottom w:val="single" w:sz="4" w:space="0" w:color="auto"/>
              <w:right w:val="single" w:sz="4" w:space="0" w:color="auto"/>
            </w:tcBorders>
            <w:shd w:val="clear" w:color="auto" w:fill="auto"/>
            <w:noWrap/>
            <w:vAlign w:val="center"/>
            <w:hideMark/>
          </w:tcPr>
          <w:p w14:paraId="6ACBE13A"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2,806</w:t>
            </w:r>
          </w:p>
        </w:tc>
        <w:tc>
          <w:tcPr>
            <w:tcW w:w="1198" w:type="dxa"/>
            <w:tcBorders>
              <w:top w:val="nil"/>
              <w:left w:val="nil"/>
              <w:bottom w:val="single" w:sz="4" w:space="0" w:color="auto"/>
              <w:right w:val="single" w:sz="4" w:space="0" w:color="auto"/>
            </w:tcBorders>
            <w:shd w:val="clear" w:color="auto" w:fill="auto"/>
            <w:noWrap/>
            <w:vAlign w:val="center"/>
            <w:hideMark/>
          </w:tcPr>
          <w:p w14:paraId="2A8C661B"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40.45%</w:t>
            </w:r>
          </w:p>
        </w:tc>
        <w:tc>
          <w:tcPr>
            <w:tcW w:w="1199" w:type="dxa"/>
            <w:tcBorders>
              <w:top w:val="nil"/>
              <w:left w:val="nil"/>
              <w:bottom w:val="single" w:sz="4" w:space="0" w:color="auto"/>
              <w:right w:val="single" w:sz="4" w:space="0" w:color="auto"/>
            </w:tcBorders>
            <w:shd w:val="clear" w:color="auto" w:fill="auto"/>
            <w:noWrap/>
            <w:vAlign w:val="center"/>
            <w:hideMark/>
          </w:tcPr>
          <w:p w14:paraId="6735F359"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13.83%</w:t>
            </w:r>
          </w:p>
        </w:tc>
        <w:tc>
          <w:tcPr>
            <w:tcW w:w="1198" w:type="dxa"/>
            <w:tcBorders>
              <w:top w:val="nil"/>
              <w:left w:val="nil"/>
              <w:bottom w:val="single" w:sz="4" w:space="0" w:color="auto"/>
              <w:right w:val="single" w:sz="4" w:space="0" w:color="auto"/>
            </w:tcBorders>
            <w:shd w:val="clear" w:color="auto" w:fill="auto"/>
            <w:noWrap/>
            <w:vAlign w:val="center"/>
            <w:hideMark/>
          </w:tcPr>
          <w:p w14:paraId="1BC5797F"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49.04%</w:t>
            </w:r>
          </w:p>
        </w:tc>
        <w:tc>
          <w:tcPr>
            <w:tcW w:w="1237" w:type="dxa"/>
            <w:tcBorders>
              <w:top w:val="nil"/>
              <w:left w:val="nil"/>
              <w:bottom w:val="single" w:sz="4" w:space="0" w:color="auto"/>
              <w:right w:val="single" w:sz="4" w:space="0" w:color="auto"/>
            </w:tcBorders>
            <w:shd w:val="clear" w:color="auto" w:fill="auto"/>
            <w:noWrap/>
            <w:vAlign w:val="center"/>
            <w:hideMark/>
          </w:tcPr>
          <w:p w14:paraId="01D2C0A7"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46.75%</w:t>
            </w:r>
          </w:p>
        </w:tc>
        <w:tc>
          <w:tcPr>
            <w:tcW w:w="1160" w:type="dxa"/>
            <w:tcBorders>
              <w:top w:val="nil"/>
              <w:left w:val="nil"/>
              <w:bottom w:val="single" w:sz="4" w:space="0" w:color="auto"/>
              <w:right w:val="single" w:sz="4" w:space="0" w:color="auto"/>
            </w:tcBorders>
            <w:shd w:val="clear" w:color="auto" w:fill="auto"/>
            <w:noWrap/>
            <w:vAlign w:val="center"/>
            <w:hideMark/>
          </w:tcPr>
          <w:p w14:paraId="0D356D09"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44.44%</w:t>
            </w:r>
          </w:p>
        </w:tc>
      </w:tr>
      <w:tr w:rsidR="004A532B" w:rsidRPr="004A532B" w14:paraId="1319CB45" w14:textId="77777777" w:rsidTr="004A532B">
        <w:trPr>
          <w:trHeight w:val="42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877790E" w14:textId="77777777" w:rsidR="004A532B" w:rsidRPr="004A532B" w:rsidRDefault="004A532B" w:rsidP="004A532B">
            <w:pPr>
              <w:rPr>
                <w:rFonts w:eastAsia="Times New Roman"/>
                <w:b/>
                <w:bCs/>
                <w:color w:val="000000"/>
                <w:sz w:val="16"/>
                <w:szCs w:val="16"/>
                <w:lang w:eastAsia="en-US"/>
              </w:rPr>
            </w:pPr>
            <w:r w:rsidRPr="004A532B">
              <w:rPr>
                <w:rFonts w:eastAsia="Times New Roman"/>
                <w:b/>
                <w:bCs/>
                <w:color w:val="000000"/>
                <w:sz w:val="16"/>
                <w:szCs w:val="16"/>
                <w:lang w:eastAsia="en-US"/>
              </w:rPr>
              <w:t>Eastern and Central Europe and Central Asia</w:t>
            </w:r>
          </w:p>
        </w:tc>
        <w:tc>
          <w:tcPr>
            <w:tcW w:w="1198" w:type="dxa"/>
            <w:tcBorders>
              <w:top w:val="nil"/>
              <w:left w:val="nil"/>
              <w:bottom w:val="single" w:sz="4" w:space="0" w:color="auto"/>
              <w:right w:val="single" w:sz="4" w:space="0" w:color="auto"/>
            </w:tcBorders>
            <w:shd w:val="clear" w:color="auto" w:fill="auto"/>
            <w:noWrap/>
            <w:vAlign w:val="center"/>
            <w:hideMark/>
          </w:tcPr>
          <w:p w14:paraId="0A6BCF21"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1,996</w:t>
            </w:r>
          </w:p>
        </w:tc>
        <w:tc>
          <w:tcPr>
            <w:tcW w:w="1198" w:type="dxa"/>
            <w:tcBorders>
              <w:top w:val="nil"/>
              <w:left w:val="nil"/>
              <w:bottom w:val="single" w:sz="4" w:space="0" w:color="auto"/>
              <w:right w:val="single" w:sz="4" w:space="0" w:color="auto"/>
            </w:tcBorders>
            <w:shd w:val="clear" w:color="auto" w:fill="auto"/>
            <w:noWrap/>
            <w:vAlign w:val="center"/>
            <w:hideMark/>
          </w:tcPr>
          <w:p w14:paraId="64F5CB93"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39.83%</w:t>
            </w:r>
          </w:p>
        </w:tc>
        <w:tc>
          <w:tcPr>
            <w:tcW w:w="1199" w:type="dxa"/>
            <w:tcBorders>
              <w:top w:val="nil"/>
              <w:left w:val="nil"/>
              <w:bottom w:val="single" w:sz="4" w:space="0" w:color="auto"/>
              <w:right w:val="single" w:sz="4" w:space="0" w:color="auto"/>
            </w:tcBorders>
            <w:shd w:val="clear" w:color="auto" w:fill="auto"/>
            <w:noWrap/>
            <w:vAlign w:val="center"/>
            <w:hideMark/>
          </w:tcPr>
          <w:p w14:paraId="448FB525"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13.33%</w:t>
            </w:r>
          </w:p>
        </w:tc>
        <w:tc>
          <w:tcPr>
            <w:tcW w:w="1198" w:type="dxa"/>
            <w:tcBorders>
              <w:top w:val="nil"/>
              <w:left w:val="nil"/>
              <w:bottom w:val="single" w:sz="4" w:space="0" w:color="auto"/>
              <w:right w:val="single" w:sz="4" w:space="0" w:color="auto"/>
            </w:tcBorders>
            <w:shd w:val="clear" w:color="auto" w:fill="auto"/>
            <w:noWrap/>
            <w:vAlign w:val="center"/>
            <w:hideMark/>
          </w:tcPr>
          <w:p w14:paraId="5825381D"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40.57%</w:t>
            </w:r>
          </w:p>
        </w:tc>
        <w:tc>
          <w:tcPr>
            <w:tcW w:w="1237" w:type="dxa"/>
            <w:tcBorders>
              <w:top w:val="nil"/>
              <w:left w:val="nil"/>
              <w:bottom w:val="single" w:sz="4" w:space="0" w:color="auto"/>
              <w:right w:val="single" w:sz="4" w:space="0" w:color="auto"/>
            </w:tcBorders>
            <w:shd w:val="clear" w:color="auto" w:fill="auto"/>
            <w:noWrap/>
            <w:vAlign w:val="center"/>
            <w:hideMark/>
          </w:tcPr>
          <w:p w14:paraId="26E68B0D"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48.84%</w:t>
            </w:r>
          </w:p>
        </w:tc>
        <w:tc>
          <w:tcPr>
            <w:tcW w:w="1160" w:type="dxa"/>
            <w:tcBorders>
              <w:top w:val="nil"/>
              <w:left w:val="nil"/>
              <w:bottom w:val="single" w:sz="4" w:space="0" w:color="auto"/>
              <w:right w:val="single" w:sz="4" w:space="0" w:color="auto"/>
            </w:tcBorders>
            <w:shd w:val="clear" w:color="auto" w:fill="auto"/>
            <w:noWrap/>
            <w:vAlign w:val="center"/>
            <w:hideMark/>
          </w:tcPr>
          <w:p w14:paraId="75713561"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23.81%</w:t>
            </w:r>
          </w:p>
        </w:tc>
      </w:tr>
      <w:tr w:rsidR="004A532B" w:rsidRPr="004A532B" w14:paraId="667E66DA" w14:textId="77777777" w:rsidTr="004A532B">
        <w:trPr>
          <w:trHeight w:val="420"/>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F97C173" w14:textId="3F4A583D" w:rsidR="004A532B" w:rsidRPr="004A532B" w:rsidRDefault="004A532B" w:rsidP="004A532B">
            <w:pPr>
              <w:rPr>
                <w:rFonts w:eastAsia="Times New Roman"/>
                <w:b/>
                <w:bCs/>
                <w:color w:val="000000"/>
                <w:sz w:val="16"/>
                <w:szCs w:val="16"/>
                <w:lang w:eastAsia="en-US"/>
              </w:rPr>
            </w:pPr>
            <w:r w:rsidRPr="004A532B">
              <w:rPr>
                <w:rFonts w:eastAsia="Times New Roman"/>
                <w:b/>
                <w:bCs/>
                <w:color w:val="000000"/>
                <w:sz w:val="16"/>
                <w:szCs w:val="16"/>
                <w:lang w:eastAsia="en-US"/>
              </w:rPr>
              <w:t xml:space="preserve">Latin America and </w:t>
            </w:r>
            <w:r>
              <w:rPr>
                <w:rFonts w:eastAsia="Times New Roman"/>
                <w:b/>
                <w:bCs/>
                <w:color w:val="000000"/>
                <w:sz w:val="16"/>
                <w:szCs w:val="16"/>
                <w:lang w:eastAsia="en-US"/>
              </w:rPr>
              <w:br/>
            </w:r>
            <w:r w:rsidRPr="004A532B">
              <w:rPr>
                <w:rFonts w:eastAsia="Times New Roman"/>
                <w:b/>
                <w:bCs/>
                <w:color w:val="000000"/>
                <w:sz w:val="16"/>
                <w:szCs w:val="16"/>
                <w:lang w:eastAsia="en-US"/>
              </w:rPr>
              <w:t>the Caribbean</w:t>
            </w:r>
          </w:p>
        </w:tc>
        <w:tc>
          <w:tcPr>
            <w:tcW w:w="1198" w:type="dxa"/>
            <w:tcBorders>
              <w:top w:val="nil"/>
              <w:left w:val="nil"/>
              <w:bottom w:val="single" w:sz="4" w:space="0" w:color="auto"/>
              <w:right w:val="single" w:sz="4" w:space="0" w:color="auto"/>
            </w:tcBorders>
            <w:shd w:val="clear" w:color="auto" w:fill="auto"/>
            <w:noWrap/>
            <w:vAlign w:val="center"/>
            <w:hideMark/>
          </w:tcPr>
          <w:p w14:paraId="5BE53922"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1,117</w:t>
            </w:r>
          </w:p>
        </w:tc>
        <w:tc>
          <w:tcPr>
            <w:tcW w:w="1198" w:type="dxa"/>
            <w:tcBorders>
              <w:top w:val="nil"/>
              <w:left w:val="nil"/>
              <w:bottom w:val="single" w:sz="4" w:space="0" w:color="auto"/>
              <w:right w:val="single" w:sz="4" w:space="0" w:color="auto"/>
            </w:tcBorders>
            <w:shd w:val="clear" w:color="auto" w:fill="auto"/>
            <w:noWrap/>
            <w:vAlign w:val="center"/>
            <w:hideMark/>
          </w:tcPr>
          <w:p w14:paraId="03CDBDD3"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43.60%</w:t>
            </w:r>
          </w:p>
        </w:tc>
        <w:tc>
          <w:tcPr>
            <w:tcW w:w="1199" w:type="dxa"/>
            <w:tcBorders>
              <w:top w:val="nil"/>
              <w:left w:val="nil"/>
              <w:bottom w:val="single" w:sz="4" w:space="0" w:color="auto"/>
              <w:right w:val="single" w:sz="4" w:space="0" w:color="auto"/>
            </w:tcBorders>
            <w:shd w:val="clear" w:color="auto" w:fill="auto"/>
            <w:noWrap/>
            <w:vAlign w:val="center"/>
            <w:hideMark/>
          </w:tcPr>
          <w:p w14:paraId="06F7ED6C"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14.99%</w:t>
            </w:r>
          </w:p>
        </w:tc>
        <w:tc>
          <w:tcPr>
            <w:tcW w:w="1198" w:type="dxa"/>
            <w:tcBorders>
              <w:top w:val="nil"/>
              <w:left w:val="nil"/>
              <w:bottom w:val="single" w:sz="4" w:space="0" w:color="auto"/>
              <w:right w:val="single" w:sz="4" w:space="0" w:color="auto"/>
            </w:tcBorders>
            <w:shd w:val="clear" w:color="auto" w:fill="auto"/>
            <w:noWrap/>
            <w:vAlign w:val="center"/>
            <w:hideMark/>
          </w:tcPr>
          <w:p w14:paraId="705BEA53"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45.21%</w:t>
            </w:r>
          </w:p>
        </w:tc>
        <w:tc>
          <w:tcPr>
            <w:tcW w:w="1237" w:type="dxa"/>
            <w:tcBorders>
              <w:top w:val="nil"/>
              <w:left w:val="nil"/>
              <w:bottom w:val="single" w:sz="4" w:space="0" w:color="auto"/>
              <w:right w:val="single" w:sz="4" w:space="0" w:color="auto"/>
            </w:tcBorders>
            <w:shd w:val="clear" w:color="auto" w:fill="auto"/>
            <w:noWrap/>
            <w:vAlign w:val="center"/>
            <w:hideMark/>
          </w:tcPr>
          <w:p w14:paraId="113964CC"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57.58%</w:t>
            </w:r>
          </w:p>
        </w:tc>
        <w:tc>
          <w:tcPr>
            <w:tcW w:w="1160" w:type="dxa"/>
            <w:tcBorders>
              <w:top w:val="nil"/>
              <w:left w:val="nil"/>
              <w:bottom w:val="single" w:sz="4" w:space="0" w:color="auto"/>
              <w:right w:val="single" w:sz="4" w:space="0" w:color="auto"/>
            </w:tcBorders>
            <w:shd w:val="clear" w:color="auto" w:fill="auto"/>
            <w:noWrap/>
            <w:vAlign w:val="center"/>
            <w:hideMark/>
          </w:tcPr>
          <w:p w14:paraId="61DC9649"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36.84%</w:t>
            </w:r>
          </w:p>
        </w:tc>
      </w:tr>
      <w:tr w:rsidR="004A532B" w:rsidRPr="004A532B" w14:paraId="6677A7E3" w14:textId="77777777" w:rsidTr="004A532B">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A3CAE76" w14:textId="77777777" w:rsidR="004A532B" w:rsidRPr="004A532B" w:rsidRDefault="004A532B" w:rsidP="004A532B">
            <w:pPr>
              <w:rPr>
                <w:rFonts w:eastAsia="Times New Roman"/>
                <w:b/>
                <w:bCs/>
                <w:color w:val="000000"/>
                <w:sz w:val="16"/>
                <w:szCs w:val="16"/>
                <w:lang w:eastAsia="en-US"/>
              </w:rPr>
            </w:pPr>
            <w:r w:rsidRPr="004A532B">
              <w:rPr>
                <w:rFonts w:eastAsia="Times New Roman"/>
                <w:b/>
                <w:bCs/>
                <w:color w:val="000000"/>
                <w:sz w:val="16"/>
                <w:szCs w:val="16"/>
                <w:lang w:eastAsia="en-US"/>
              </w:rPr>
              <w:t>Middle East</w:t>
            </w:r>
          </w:p>
        </w:tc>
        <w:tc>
          <w:tcPr>
            <w:tcW w:w="1198" w:type="dxa"/>
            <w:tcBorders>
              <w:top w:val="nil"/>
              <w:left w:val="nil"/>
              <w:bottom w:val="single" w:sz="4" w:space="0" w:color="auto"/>
              <w:right w:val="single" w:sz="4" w:space="0" w:color="auto"/>
            </w:tcBorders>
            <w:shd w:val="clear" w:color="auto" w:fill="auto"/>
            <w:noWrap/>
            <w:vAlign w:val="center"/>
            <w:hideMark/>
          </w:tcPr>
          <w:p w14:paraId="24FDA29C"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509</w:t>
            </w:r>
          </w:p>
        </w:tc>
        <w:tc>
          <w:tcPr>
            <w:tcW w:w="1198" w:type="dxa"/>
            <w:tcBorders>
              <w:top w:val="nil"/>
              <w:left w:val="nil"/>
              <w:bottom w:val="single" w:sz="4" w:space="0" w:color="auto"/>
              <w:right w:val="single" w:sz="4" w:space="0" w:color="auto"/>
            </w:tcBorders>
            <w:shd w:val="clear" w:color="auto" w:fill="auto"/>
            <w:noWrap/>
            <w:vAlign w:val="center"/>
            <w:hideMark/>
          </w:tcPr>
          <w:p w14:paraId="315407ED"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39.49%</w:t>
            </w:r>
          </w:p>
        </w:tc>
        <w:tc>
          <w:tcPr>
            <w:tcW w:w="1199" w:type="dxa"/>
            <w:tcBorders>
              <w:top w:val="nil"/>
              <w:left w:val="nil"/>
              <w:bottom w:val="single" w:sz="4" w:space="0" w:color="auto"/>
              <w:right w:val="single" w:sz="4" w:space="0" w:color="auto"/>
            </w:tcBorders>
            <w:shd w:val="clear" w:color="auto" w:fill="auto"/>
            <w:noWrap/>
            <w:vAlign w:val="center"/>
            <w:hideMark/>
          </w:tcPr>
          <w:p w14:paraId="7FC0CCFC"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9.95%</w:t>
            </w:r>
          </w:p>
        </w:tc>
        <w:tc>
          <w:tcPr>
            <w:tcW w:w="1198" w:type="dxa"/>
            <w:tcBorders>
              <w:top w:val="nil"/>
              <w:left w:val="nil"/>
              <w:bottom w:val="single" w:sz="4" w:space="0" w:color="auto"/>
              <w:right w:val="single" w:sz="4" w:space="0" w:color="auto"/>
            </w:tcBorders>
            <w:shd w:val="clear" w:color="auto" w:fill="auto"/>
            <w:noWrap/>
            <w:vAlign w:val="center"/>
            <w:hideMark/>
          </w:tcPr>
          <w:p w14:paraId="2284E11A"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90.00%</w:t>
            </w:r>
          </w:p>
        </w:tc>
        <w:tc>
          <w:tcPr>
            <w:tcW w:w="1237" w:type="dxa"/>
            <w:tcBorders>
              <w:top w:val="nil"/>
              <w:left w:val="nil"/>
              <w:bottom w:val="single" w:sz="4" w:space="0" w:color="auto"/>
              <w:right w:val="single" w:sz="4" w:space="0" w:color="auto"/>
            </w:tcBorders>
            <w:shd w:val="clear" w:color="auto" w:fill="auto"/>
            <w:noWrap/>
            <w:vAlign w:val="center"/>
            <w:hideMark/>
          </w:tcPr>
          <w:p w14:paraId="5EBC582B"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33.33%</w:t>
            </w:r>
          </w:p>
        </w:tc>
        <w:tc>
          <w:tcPr>
            <w:tcW w:w="1160" w:type="dxa"/>
            <w:tcBorders>
              <w:top w:val="nil"/>
              <w:left w:val="nil"/>
              <w:bottom w:val="single" w:sz="4" w:space="0" w:color="auto"/>
              <w:right w:val="single" w:sz="4" w:space="0" w:color="auto"/>
            </w:tcBorders>
            <w:shd w:val="clear" w:color="auto" w:fill="auto"/>
            <w:noWrap/>
            <w:vAlign w:val="center"/>
            <w:hideMark/>
          </w:tcPr>
          <w:p w14:paraId="7A8F4C86"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33.33%</w:t>
            </w:r>
          </w:p>
        </w:tc>
      </w:tr>
      <w:tr w:rsidR="004A532B" w:rsidRPr="004A532B" w14:paraId="18A5A7BF" w14:textId="77777777" w:rsidTr="004A532B">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770AF5F" w14:textId="77777777" w:rsidR="004A532B" w:rsidRPr="004A532B" w:rsidRDefault="004A532B" w:rsidP="004A532B">
            <w:pPr>
              <w:rPr>
                <w:rFonts w:eastAsia="Times New Roman"/>
                <w:b/>
                <w:bCs/>
                <w:color w:val="000000"/>
                <w:sz w:val="16"/>
                <w:szCs w:val="16"/>
                <w:lang w:eastAsia="en-US"/>
              </w:rPr>
            </w:pPr>
            <w:r w:rsidRPr="004A532B">
              <w:rPr>
                <w:rFonts w:eastAsia="Times New Roman"/>
                <w:b/>
                <w:bCs/>
                <w:color w:val="000000"/>
                <w:sz w:val="16"/>
                <w:szCs w:val="16"/>
                <w:lang w:eastAsia="en-US"/>
              </w:rPr>
              <w:t>North America</w:t>
            </w:r>
          </w:p>
        </w:tc>
        <w:tc>
          <w:tcPr>
            <w:tcW w:w="1198" w:type="dxa"/>
            <w:tcBorders>
              <w:top w:val="nil"/>
              <w:left w:val="nil"/>
              <w:bottom w:val="single" w:sz="4" w:space="0" w:color="auto"/>
              <w:right w:val="single" w:sz="4" w:space="0" w:color="auto"/>
            </w:tcBorders>
            <w:shd w:val="clear" w:color="auto" w:fill="auto"/>
            <w:noWrap/>
            <w:vAlign w:val="center"/>
            <w:hideMark/>
          </w:tcPr>
          <w:p w14:paraId="5904854F"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610</w:t>
            </w:r>
          </w:p>
        </w:tc>
        <w:tc>
          <w:tcPr>
            <w:tcW w:w="1198" w:type="dxa"/>
            <w:tcBorders>
              <w:top w:val="nil"/>
              <w:left w:val="nil"/>
              <w:bottom w:val="single" w:sz="4" w:space="0" w:color="auto"/>
              <w:right w:val="single" w:sz="4" w:space="0" w:color="auto"/>
            </w:tcBorders>
            <w:shd w:val="clear" w:color="auto" w:fill="auto"/>
            <w:noWrap/>
            <w:vAlign w:val="center"/>
            <w:hideMark/>
          </w:tcPr>
          <w:p w14:paraId="1D7B1193"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47.70%</w:t>
            </w:r>
          </w:p>
        </w:tc>
        <w:tc>
          <w:tcPr>
            <w:tcW w:w="1199" w:type="dxa"/>
            <w:tcBorders>
              <w:top w:val="nil"/>
              <w:left w:val="nil"/>
              <w:bottom w:val="single" w:sz="4" w:space="0" w:color="auto"/>
              <w:right w:val="single" w:sz="4" w:space="0" w:color="auto"/>
            </w:tcBorders>
            <w:shd w:val="clear" w:color="auto" w:fill="auto"/>
            <w:noWrap/>
            <w:vAlign w:val="center"/>
            <w:hideMark/>
          </w:tcPr>
          <w:p w14:paraId="155E0122"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11.68%</w:t>
            </w:r>
          </w:p>
        </w:tc>
        <w:tc>
          <w:tcPr>
            <w:tcW w:w="1198" w:type="dxa"/>
            <w:tcBorders>
              <w:top w:val="nil"/>
              <w:left w:val="nil"/>
              <w:bottom w:val="single" w:sz="4" w:space="0" w:color="auto"/>
              <w:right w:val="single" w:sz="4" w:space="0" w:color="auto"/>
            </w:tcBorders>
            <w:shd w:val="clear" w:color="auto" w:fill="auto"/>
            <w:noWrap/>
            <w:vAlign w:val="center"/>
            <w:hideMark/>
          </w:tcPr>
          <w:p w14:paraId="525E28D4"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47.06%</w:t>
            </w:r>
          </w:p>
        </w:tc>
        <w:tc>
          <w:tcPr>
            <w:tcW w:w="1237" w:type="dxa"/>
            <w:tcBorders>
              <w:top w:val="nil"/>
              <w:left w:val="nil"/>
              <w:bottom w:val="single" w:sz="4" w:space="0" w:color="auto"/>
              <w:right w:val="single" w:sz="4" w:space="0" w:color="auto"/>
            </w:tcBorders>
            <w:shd w:val="clear" w:color="auto" w:fill="auto"/>
            <w:noWrap/>
            <w:vAlign w:val="center"/>
            <w:hideMark/>
          </w:tcPr>
          <w:p w14:paraId="01511EB1"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56.25%</w:t>
            </w:r>
          </w:p>
        </w:tc>
        <w:tc>
          <w:tcPr>
            <w:tcW w:w="1160" w:type="dxa"/>
            <w:tcBorders>
              <w:top w:val="nil"/>
              <w:left w:val="nil"/>
              <w:bottom w:val="single" w:sz="4" w:space="0" w:color="auto"/>
              <w:right w:val="single" w:sz="4" w:space="0" w:color="auto"/>
            </w:tcBorders>
            <w:shd w:val="clear" w:color="auto" w:fill="auto"/>
            <w:noWrap/>
            <w:vAlign w:val="center"/>
            <w:hideMark/>
          </w:tcPr>
          <w:p w14:paraId="20131F54"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66.67%</w:t>
            </w:r>
          </w:p>
        </w:tc>
      </w:tr>
      <w:tr w:rsidR="004A532B" w:rsidRPr="004A532B" w14:paraId="222FD160" w14:textId="77777777" w:rsidTr="004A532B">
        <w:trPr>
          <w:trHeight w:val="42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620FB48" w14:textId="77777777" w:rsidR="004A532B" w:rsidRPr="004A532B" w:rsidRDefault="004A532B" w:rsidP="004A532B">
            <w:pPr>
              <w:rPr>
                <w:rFonts w:eastAsia="Times New Roman"/>
                <w:b/>
                <w:bCs/>
                <w:color w:val="000000"/>
                <w:sz w:val="16"/>
                <w:szCs w:val="16"/>
                <w:lang w:eastAsia="en-US"/>
              </w:rPr>
            </w:pPr>
            <w:r w:rsidRPr="004A532B">
              <w:rPr>
                <w:rFonts w:eastAsia="Times New Roman"/>
                <w:b/>
                <w:bCs/>
                <w:color w:val="000000"/>
                <w:sz w:val="16"/>
                <w:szCs w:val="16"/>
                <w:lang w:eastAsia="en-US"/>
              </w:rPr>
              <w:t>Western Europe</w:t>
            </w:r>
          </w:p>
        </w:tc>
        <w:tc>
          <w:tcPr>
            <w:tcW w:w="1198" w:type="dxa"/>
            <w:tcBorders>
              <w:top w:val="nil"/>
              <w:left w:val="nil"/>
              <w:bottom w:val="single" w:sz="4" w:space="0" w:color="auto"/>
              <w:right w:val="single" w:sz="4" w:space="0" w:color="auto"/>
            </w:tcBorders>
            <w:shd w:val="clear" w:color="auto" w:fill="auto"/>
            <w:noWrap/>
            <w:vAlign w:val="center"/>
            <w:hideMark/>
          </w:tcPr>
          <w:p w14:paraId="5A54AD6B"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3,187</w:t>
            </w:r>
          </w:p>
        </w:tc>
        <w:tc>
          <w:tcPr>
            <w:tcW w:w="1198" w:type="dxa"/>
            <w:tcBorders>
              <w:top w:val="nil"/>
              <w:left w:val="nil"/>
              <w:bottom w:val="single" w:sz="4" w:space="0" w:color="auto"/>
              <w:right w:val="single" w:sz="4" w:space="0" w:color="auto"/>
            </w:tcBorders>
            <w:shd w:val="clear" w:color="auto" w:fill="auto"/>
            <w:noWrap/>
            <w:vAlign w:val="center"/>
            <w:hideMark/>
          </w:tcPr>
          <w:p w14:paraId="7D8DC329"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42.99%</w:t>
            </w:r>
          </w:p>
        </w:tc>
        <w:tc>
          <w:tcPr>
            <w:tcW w:w="1199" w:type="dxa"/>
            <w:tcBorders>
              <w:top w:val="nil"/>
              <w:left w:val="nil"/>
              <w:bottom w:val="single" w:sz="4" w:space="0" w:color="auto"/>
              <w:right w:val="single" w:sz="4" w:space="0" w:color="auto"/>
            </w:tcBorders>
            <w:shd w:val="clear" w:color="auto" w:fill="auto"/>
            <w:noWrap/>
            <w:vAlign w:val="center"/>
            <w:hideMark/>
          </w:tcPr>
          <w:p w14:paraId="428509F5"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15.47%</w:t>
            </w:r>
          </w:p>
        </w:tc>
        <w:tc>
          <w:tcPr>
            <w:tcW w:w="1198" w:type="dxa"/>
            <w:tcBorders>
              <w:top w:val="nil"/>
              <w:left w:val="nil"/>
              <w:bottom w:val="single" w:sz="4" w:space="0" w:color="auto"/>
              <w:right w:val="single" w:sz="4" w:space="0" w:color="auto"/>
            </w:tcBorders>
            <w:shd w:val="clear" w:color="auto" w:fill="auto"/>
            <w:noWrap/>
            <w:vAlign w:val="center"/>
            <w:hideMark/>
          </w:tcPr>
          <w:p w14:paraId="04DBE4D5"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54.25%</w:t>
            </w:r>
          </w:p>
        </w:tc>
        <w:tc>
          <w:tcPr>
            <w:tcW w:w="1237" w:type="dxa"/>
            <w:tcBorders>
              <w:top w:val="nil"/>
              <w:left w:val="nil"/>
              <w:bottom w:val="single" w:sz="4" w:space="0" w:color="auto"/>
              <w:right w:val="single" w:sz="4" w:space="0" w:color="auto"/>
            </w:tcBorders>
            <w:shd w:val="clear" w:color="auto" w:fill="auto"/>
            <w:noWrap/>
            <w:vAlign w:val="center"/>
            <w:hideMark/>
          </w:tcPr>
          <w:p w14:paraId="02E67748"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54.78%</w:t>
            </w:r>
          </w:p>
        </w:tc>
        <w:tc>
          <w:tcPr>
            <w:tcW w:w="1160" w:type="dxa"/>
            <w:tcBorders>
              <w:top w:val="nil"/>
              <w:left w:val="nil"/>
              <w:bottom w:val="single" w:sz="4" w:space="0" w:color="auto"/>
              <w:right w:val="single" w:sz="4" w:space="0" w:color="auto"/>
            </w:tcBorders>
            <w:shd w:val="clear" w:color="auto" w:fill="auto"/>
            <w:noWrap/>
            <w:vAlign w:val="center"/>
            <w:hideMark/>
          </w:tcPr>
          <w:p w14:paraId="5E7AA599"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52.38%</w:t>
            </w:r>
          </w:p>
        </w:tc>
      </w:tr>
      <w:tr w:rsidR="004A532B" w:rsidRPr="004A532B" w14:paraId="17DB0A4A" w14:textId="77777777" w:rsidTr="004A532B">
        <w:trPr>
          <w:trHeight w:val="420"/>
        </w:trPr>
        <w:tc>
          <w:tcPr>
            <w:tcW w:w="2160" w:type="dxa"/>
            <w:tcBorders>
              <w:top w:val="nil"/>
              <w:left w:val="single" w:sz="4" w:space="0" w:color="auto"/>
              <w:bottom w:val="single" w:sz="4" w:space="0" w:color="auto"/>
              <w:right w:val="single" w:sz="4" w:space="0" w:color="auto"/>
            </w:tcBorders>
            <w:shd w:val="clear" w:color="000000" w:fill="DDEBF7"/>
            <w:noWrap/>
            <w:vAlign w:val="center"/>
            <w:hideMark/>
          </w:tcPr>
          <w:p w14:paraId="1F8024D9" w14:textId="77777777" w:rsidR="004A532B" w:rsidRPr="004A532B" w:rsidRDefault="004A532B" w:rsidP="004A532B">
            <w:pPr>
              <w:rPr>
                <w:rFonts w:eastAsia="Times New Roman"/>
                <w:b/>
                <w:bCs/>
                <w:color w:val="000000"/>
                <w:sz w:val="16"/>
                <w:szCs w:val="16"/>
                <w:lang w:eastAsia="en-US"/>
              </w:rPr>
            </w:pPr>
            <w:r w:rsidRPr="004A532B">
              <w:rPr>
                <w:rFonts w:eastAsia="Times New Roman"/>
                <w:b/>
                <w:bCs/>
                <w:color w:val="000000"/>
                <w:sz w:val="16"/>
                <w:szCs w:val="16"/>
                <w:lang w:eastAsia="en-US"/>
              </w:rPr>
              <w:t>Total</w:t>
            </w:r>
          </w:p>
        </w:tc>
        <w:tc>
          <w:tcPr>
            <w:tcW w:w="1198" w:type="dxa"/>
            <w:tcBorders>
              <w:top w:val="nil"/>
              <w:left w:val="nil"/>
              <w:bottom w:val="single" w:sz="4" w:space="0" w:color="auto"/>
              <w:right w:val="single" w:sz="4" w:space="0" w:color="auto"/>
            </w:tcBorders>
            <w:shd w:val="clear" w:color="000000" w:fill="DDEBF7"/>
            <w:noWrap/>
            <w:vAlign w:val="center"/>
            <w:hideMark/>
          </w:tcPr>
          <w:p w14:paraId="12124B90"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13,524</w:t>
            </w:r>
          </w:p>
        </w:tc>
        <w:tc>
          <w:tcPr>
            <w:tcW w:w="1198" w:type="dxa"/>
            <w:tcBorders>
              <w:top w:val="nil"/>
              <w:left w:val="nil"/>
              <w:bottom w:val="single" w:sz="4" w:space="0" w:color="auto"/>
              <w:right w:val="single" w:sz="4" w:space="0" w:color="auto"/>
            </w:tcBorders>
            <w:shd w:val="clear" w:color="000000" w:fill="DDEBF7"/>
            <w:noWrap/>
            <w:vAlign w:val="center"/>
            <w:hideMark/>
          </w:tcPr>
          <w:p w14:paraId="62E985AA"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40.96%</w:t>
            </w:r>
          </w:p>
        </w:tc>
        <w:tc>
          <w:tcPr>
            <w:tcW w:w="1199" w:type="dxa"/>
            <w:tcBorders>
              <w:top w:val="nil"/>
              <w:left w:val="nil"/>
              <w:bottom w:val="single" w:sz="4" w:space="0" w:color="auto"/>
              <w:right w:val="single" w:sz="4" w:space="0" w:color="auto"/>
            </w:tcBorders>
            <w:shd w:val="clear" w:color="000000" w:fill="DDEBF7"/>
            <w:noWrap/>
            <w:vAlign w:val="center"/>
            <w:hideMark/>
          </w:tcPr>
          <w:p w14:paraId="33B9A6FF"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12.94%</w:t>
            </w:r>
          </w:p>
        </w:tc>
        <w:tc>
          <w:tcPr>
            <w:tcW w:w="1198" w:type="dxa"/>
            <w:tcBorders>
              <w:top w:val="nil"/>
              <w:left w:val="nil"/>
              <w:bottom w:val="single" w:sz="4" w:space="0" w:color="auto"/>
              <w:right w:val="single" w:sz="4" w:space="0" w:color="auto"/>
            </w:tcBorders>
            <w:shd w:val="clear" w:color="000000" w:fill="DDEBF7"/>
            <w:noWrap/>
            <w:vAlign w:val="center"/>
            <w:hideMark/>
          </w:tcPr>
          <w:p w14:paraId="74484F1D"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50.21%</w:t>
            </w:r>
          </w:p>
        </w:tc>
        <w:tc>
          <w:tcPr>
            <w:tcW w:w="1237" w:type="dxa"/>
            <w:tcBorders>
              <w:top w:val="nil"/>
              <w:left w:val="nil"/>
              <w:bottom w:val="single" w:sz="4" w:space="0" w:color="auto"/>
              <w:right w:val="single" w:sz="4" w:space="0" w:color="auto"/>
            </w:tcBorders>
            <w:shd w:val="clear" w:color="000000" w:fill="DDEBF7"/>
            <w:noWrap/>
            <w:vAlign w:val="center"/>
            <w:hideMark/>
          </w:tcPr>
          <w:p w14:paraId="150FFA82"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50.00%</w:t>
            </w:r>
          </w:p>
        </w:tc>
        <w:tc>
          <w:tcPr>
            <w:tcW w:w="1160" w:type="dxa"/>
            <w:tcBorders>
              <w:top w:val="nil"/>
              <w:left w:val="nil"/>
              <w:bottom w:val="single" w:sz="4" w:space="0" w:color="auto"/>
              <w:right w:val="single" w:sz="4" w:space="0" w:color="auto"/>
            </w:tcBorders>
            <w:shd w:val="clear" w:color="000000" w:fill="DDEBF7"/>
            <w:noWrap/>
            <w:vAlign w:val="center"/>
            <w:hideMark/>
          </w:tcPr>
          <w:p w14:paraId="210A0127" w14:textId="77777777" w:rsidR="004A532B" w:rsidRPr="004A532B" w:rsidRDefault="004A532B" w:rsidP="004A532B">
            <w:pPr>
              <w:jc w:val="center"/>
              <w:rPr>
                <w:rFonts w:eastAsia="Times New Roman"/>
                <w:color w:val="000000"/>
                <w:sz w:val="16"/>
                <w:szCs w:val="16"/>
                <w:lang w:eastAsia="en-US"/>
              </w:rPr>
            </w:pPr>
            <w:r w:rsidRPr="004A532B">
              <w:rPr>
                <w:rFonts w:eastAsia="Times New Roman"/>
                <w:color w:val="000000"/>
                <w:sz w:val="16"/>
                <w:szCs w:val="16"/>
                <w:lang w:eastAsia="en-US"/>
              </w:rPr>
              <w:t>46.11%</w:t>
            </w:r>
          </w:p>
        </w:tc>
      </w:tr>
    </w:tbl>
    <w:p w14:paraId="6CA6D67F" w14:textId="0B74FF86" w:rsidR="00CA0A22" w:rsidRDefault="00CA0A22" w:rsidP="00EC0C6F">
      <w:pPr>
        <w:pStyle w:val="ListParagraph"/>
        <w:ind w:left="0"/>
        <w:rPr>
          <w:szCs w:val="22"/>
        </w:rPr>
      </w:pPr>
    </w:p>
    <w:p w14:paraId="47D4287F" w14:textId="77777777" w:rsidR="00BB4946" w:rsidRDefault="00BB4946">
      <w:pPr>
        <w:rPr>
          <w:rFonts w:eastAsia="Times New Roman"/>
          <w:szCs w:val="22"/>
          <w:lang w:eastAsia="en-US"/>
        </w:rPr>
      </w:pPr>
      <w:r>
        <w:rPr>
          <w:szCs w:val="22"/>
        </w:rPr>
        <w:br w:type="page"/>
      </w:r>
    </w:p>
    <w:p w14:paraId="16845DBF" w14:textId="1F241F5E" w:rsidR="00E21C40" w:rsidRDefault="00E21C40" w:rsidP="00E21C40">
      <w:pPr>
        <w:pStyle w:val="ListParagraph"/>
        <w:numPr>
          <w:ilvl w:val="0"/>
          <w:numId w:val="12"/>
        </w:numPr>
        <w:ind w:left="0" w:firstLine="0"/>
        <w:rPr>
          <w:szCs w:val="22"/>
        </w:rPr>
      </w:pPr>
      <w:r>
        <w:rPr>
          <w:szCs w:val="22"/>
        </w:rPr>
        <w:lastRenderedPageBreak/>
        <w:t>As reflected in the table above, t</w:t>
      </w:r>
      <w:r w:rsidR="00AE7470">
        <w:rPr>
          <w:szCs w:val="22"/>
        </w:rPr>
        <w:t>he recruitment process a</w:t>
      </w:r>
      <w:r w:rsidR="007D14CD">
        <w:rPr>
          <w:szCs w:val="22"/>
        </w:rPr>
        <w:t>t</w:t>
      </w:r>
      <w:r w:rsidR="00AE7470">
        <w:rPr>
          <w:szCs w:val="22"/>
        </w:rPr>
        <w:t xml:space="preserve"> WIPO h</w:t>
      </w:r>
      <w:r>
        <w:rPr>
          <w:szCs w:val="22"/>
        </w:rPr>
        <w:t>as</w:t>
      </w:r>
      <w:r w:rsidR="00AE7470">
        <w:rPr>
          <w:szCs w:val="22"/>
        </w:rPr>
        <w:t xml:space="preserve"> five main phases</w:t>
      </w:r>
      <w:r>
        <w:rPr>
          <w:szCs w:val="22"/>
        </w:rPr>
        <w:t>, namely:</w:t>
      </w:r>
      <w:r w:rsidR="00791D76" w:rsidRPr="00E21C40">
        <w:rPr>
          <w:szCs w:val="22"/>
        </w:rPr>
        <w:t xml:space="preserve"> </w:t>
      </w:r>
    </w:p>
    <w:p w14:paraId="13F39245" w14:textId="7C4049BF" w:rsidR="00E21C40" w:rsidRDefault="00E21C40" w:rsidP="001A5CA5">
      <w:pPr>
        <w:pStyle w:val="ListParagraph"/>
        <w:numPr>
          <w:ilvl w:val="0"/>
          <w:numId w:val="35"/>
        </w:numPr>
        <w:ind w:left="900"/>
        <w:rPr>
          <w:szCs w:val="22"/>
        </w:rPr>
      </w:pPr>
      <w:r>
        <w:rPr>
          <w:szCs w:val="22"/>
        </w:rPr>
        <w:t xml:space="preserve">“longlisted”, i.e. </w:t>
      </w:r>
      <w:r w:rsidR="00791D76" w:rsidRPr="00E21C40">
        <w:rPr>
          <w:szCs w:val="22"/>
        </w:rPr>
        <w:t xml:space="preserve">candidates </w:t>
      </w:r>
      <w:r w:rsidR="001A5CA5">
        <w:rPr>
          <w:szCs w:val="22"/>
        </w:rPr>
        <w:t xml:space="preserve">who are retained after having </w:t>
      </w:r>
      <w:r w:rsidR="00791D76" w:rsidRPr="00E21C40">
        <w:rPr>
          <w:szCs w:val="22"/>
        </w:rPr>
        <w:t>first undergo</w:t>
      </w:r>
      <w:r w:rsidR="001A5CA5">
        <w:rPr>
          <w:szCs w:val="22"/>
        </w:rPr>
        <w:t>ne</w:t>
      </w:r>
      <w:r w:rsidR="00791D76" w:rsidRPr="00E21C40">
        <w:rPr>
          <w:szCs w:val="22"/>
        </w:rPr>
        <w:t xml:space="preserve"> a </w:t>
      </w:r>
      <w:r w:rsidR="00A503BE">
        <w:rPr>
          <w:szCs w:val="22"/>
        </w:rPr>
        <w:t>pre</w:t>
      </w:r>
      <w:r w:rsidR="00A503BE">
        <w:rPr>
          <w:szCs w:val="22"/>
        </w:rPr>
        <w:noBreakHyphen/>
      </w:r>
      <w:r w:rsidR="00791D76" w:rsidRPr="00E21C40">
        <w:rPr>
          <w:szCs w:val="22"/>
        </w:rPr>
        <w:t xml:space="preserve">screening to ensure they meet the minimum requirements </w:t>
      </w:r>
      <w:r w:rsidR="001A5CA5">
        <w:rPr>
          <w:szCs w:val="22"/>
        </w:rPr>
        <w:t>of the post</w:t>
      </w:r>
      <w:r>
        <w:rPr>
          <w:szCs w:val="22"/>
        </w:rPr>
        <w:t>;</w:t>
      </w:r>
    </w:p>
    <w:p w14:paraId="1EE3C05E" w14:textId="7BD074CA" w:rsidR="001A5CA5" w:rsidRDefault="00E21C40" w:rsidP="001A5CA5">
      <w:pPr>
        <w:pStyle w:val="ListParagraph"/>
        <w:numPr>
          <w:ilvl w:val="0"/>
          <w:numId w:val="35"/>
        </w:numPr>
        <w:ind w:left="900"/>
        <w:rPr>
          <w:szCs w:val="22"/>
        </w:rPr>
      </w:pPr>
      <w:r>
        <w:rPr>
          <w:szCs w:val="22"/>
        </w:rPr>
        <w:t>“short</w:t>
      </w:r>
      <w:r w:rsidR="00791D76" w:rsidRPr="00E21C40">
        <w:rPr>
          <w:szCs w:val="22"/>
        </w:rPr>
        <w:t>listed”</w:t>
      </w:r>
      <w:r>
        <w:rPr>
          <w:szCs w:val="22"/>
        </w:rPr>
        <w:t xml:space="preserve">, i.e. </w:t>
      </w:r>
      <w:r w:rsidR="002D61BF">
        <w:rPr>
          <w:szCs w:val="22"/>
        </w:rPr>
        <w:t>candidates who were first</w:t>
      </w:r>
      <w:r>
        <w:rPr>
          <w:szCs w:val="22"/>
        </w:rPr>
        <w:t xml:space="preserve"> “longlisted” </w:t>
      </w:r>
      <w:r w:rsidR="002D61BF">
        <w:rPr>
          <w:szCs w:val="22"/>
        </w:rPr>
        <w:t>and who</w:t>
      </w:r>
      <w:r w:rsidR="00791D76" w:rsidRPr="00E21C40">
        <w:rPr>
          <w:szCs w:val="22"/>
        </w:rPr>
        <w:t xml:space="preserve"> under</w:t>
      </w:r>
      <w:r w:rsidR="002D61BF">
        <w:rPr>
          <w:szCs w:val="22"/>
        </w:rPr>
        <w:t>went</w:t>
      </w:r>
      <w:r w:rsidR="00791D76" w:rsidRPr="00E21C40">
        <w:rPr>
          <w:szCs w:val="22"/>
        </w:rPr>
        <w:t xml:space="preserve"> another round of screening </w:t>
      </w:r>
      <w:r w:rsidR="007F28BC">
        <w:rPr>
          <w:szCs w:val="22"/>
        </w:rPr>
        <w:t>to ensure they</w:t>
      </w:r>
      <w:r w:rsidR="001A5CA5">
        <w:rPr>
          <w:szCs w:val="22"/>
        </w:rPr>
        <w:t xml:space="preserve"> closely match the requirements</w:t>
      </w:r>
      <w:r w:rsidR="007F28BC">
        <w:rPr>
          <w:szCs w:val="22"/>
        </w:rPr>
        <w:t>, and</w:t>
      </w:r>
      <w:r w:rsidR="001A5CA5">
        <w:rPr>
          <w:szCs w:val="22"/>
        </w:rPr>
        <w:t xml:space="preserve"> then retained t</w:t>
      </w:r>
      <w:r w:rsidR="00791D76" w:rsidRPr="00E21C40">
        <w:rPr>
          <w:szCs w:val="22"/>
        </w:rPr>
        <w:t>ypically</w:t>
      </w:r>
      <w:r w:rsidR="001A5CA5">
        <w:rPr>
          <w:szCs w:val="22"/>
        </w:rPr>
        <w:t xml:space="preserve"> for </w:t>
      </w:r>
      <w:r w:rsidR="00791D76" w:rsidRPr="00E21C40">
        <w:rPr>
          <w:szCs w:val="22"/>
        </w:rPr>
        <w:t>written assessments to evaluate technical skills</w:t>
      </w:r>
      <w:r w:rsidR="001A5CA5">
        <w:rPr>
          <w:szCs w:val="22"/>
        </w:rPr>
        <w:t>;</w:t>
      </w:r>
    </w:p>
    <w:p w14:paraId="01F6079C" w14:textId="77777777" w:rsidR="001A5CA5" w:rsidRDefault="001A5CA5" w:rsidP="001A5CA5">
      <w:pPr>
        <w:pStyle w:val="ListParagraph"/>
        <w:numPr>
          <w:ilvl w:val="0"/>
          <w:numId w:val="35"/>
        </w:numPr>
        <w:ind w:left="900"/>
        <w:rPr>
          <w:szCs w:val="22"/>
        </w:rPr>
      </w:pPr>
      <w:r>
        <w:rPr>
          <w:szCs w:val="22"/>
        </w:rPr>
        <w:t xml:space="preserve">“interviewed”, i.e. candidates who were first “shortlisted” and who passed the written assessment successfully and thus retained for the interview stage; </w:t>
      </w:r>
      <w:r w:rsidR="00791D76" w:rsidRPr="00E21C40">
        <w:rPr>
          <w:szCs w:val="22"/>
        </w:rPr>
        <w:t xml:space="preserve"> </w:t>
      </w:r>
    </w:p>
    <w:p w14:paraId="367DBE2D" w14:textId="19592A31" w:rsidR="001A5CA5" w:rsidRDefault="001A5CA5" w:rsidP="001A5CA5">
      <w:pPr>
        <w:pStyle w:val="ListParagraph"/>
        <w:numPr>
          <w:ilvl w:val="0"/>
          <w:numId w:val="35"/>
        </w:numPr>
        <w:ind w:left="900"/>
        <w:rPr>
          <w:szCs w:val="22"/>
        </w:rPr>
      </w:pPr>
      <w:r>
        <w:rPr>
          <w:szCs w:val="22"/>
        </w:rPr>
        <w:t>“recommended”, i.e. candidates who were successful at the interview and previous stages and who are recommended by the Appointment Board or Selection Panel for selection;</w:t>
      </w:r>
    </w:p>
    <w:p w14:paraId="4F1EBD76" w14:textId="77777777" w:rsidR="001A5CA5" w:rsidRDefault="001A5CA5" w:rsidP="001A5CA5">
      <w:pPr>
        <w:pStyle w:val="ListParagraph"/>
        <w:numPr>
          <w:ilvl w:val="0"/>
          <w:numId w:val="35"/>
        </w:numPr>
        <w:ind w:left="900"/>
        <w:rPr>
          <w:szCs w:val="22"/>
        </w:rPr>
      </w:pPr>
      <w:r>
        <w:rPr>
          <w:szCs w:val="22"/>
        </w:rPr>
        <w:t>“selected”, i.e. the candidate selected by the competent authority based on the recommendation of the Appointment Board or Selection Panel.</w:t>
      </w:r>
    </w:p>
    <w:p w14:paraId="698D9ECC" w14:textId="77777777" w:rsidR="001A5CA5" w:rsidRDefault="001A5CA5" w:rsidP="00E21C40">
      <w:pPr>
        <w:pStyle w:val="ListParagraph"/>
        <w:ind w:left="0"/>
        <w:rPr>
          <w:szCs w:val="22"/>
        </w:rPr>
      </w:pPr>
    </w:p>
    <w:p w14:paraId="0BA64757" w14:textId="67940722" w:rsidR="00791D76" w:rsidRDefault="00791D76" w:rsidP="00791D76">
      <w:pPr>
        <w:pStyle w:val="ListParagraph"/>
        <w:numPr>
          <w:ilvl w:val="0"/>
          <w:numId w:val="12"/>
        </w:numPr>
        <w:ind w:left="0" w:firstLine="0"/>
        <w:rPr>
          <w:szCs w:val="22"/>
        </w:rPr>
      </w:pPr>
      <w:r w:rsidRPr="00843039">
        <w:rPr>
          <w:szCs w:val="22"/>
        </w:rPr>
        <w:t xml:space="preserve">WIPO received 13,524 applications </w:t>
      </w:r>
      <w:r w:rsidR="00B240AC">
        <w:rPr>
          <w:szCs w:val="22"/>
        </w:rPr>
        <w:t xml:space="preserve">for the 109 job openings published in 2022 </w:t>
      </w:r>
      <w:r w:rsidR="00B240AC" w:rsidRPr="00AE7470">
        <w:rPr>
          <w:szCs w:val="22"/>
        </w:rPr>
        <w:t xml:space="preserve">for positions at </w:t>
      </w:r>
      <w:r w:rsidR="00B240AC">
        <w:rPr>
          <w:szCs w:val="22"/>
        </w:rPr>
        <w:t>the professional grades</w:t>
      </w:r>
      <w:r w:rsidR="00B240AC" w:rsidRPr="00AE7470">
        <w:rPr>
          <w:szCs w:val="22"/>
        </w:rPr>
        <w:t xml:space="preserve"> and above</w:t>
      </w:r>
      <w:r w:rsidRPr="00843039">
        <w:rPr>
          <w:szCs w:val="22"/>
        </w:rPr>
        <w:t xml:space="preserve">. </w:t>
      </w:r>
      <w:r w:rsidR="006C771D">
        <w:rPr>
          <w:szCs w:val="22"/>
        </w:rPr>
        <w:t xml:space="preserve"> </w:t>
      </w:r>
      <w:r>
        <w:rPr>
          <w:szCs w:val="22"/>
        </w:rPr>
        <w:t xml:space="preserve">On a positive note, following increased focus on outreach </w:t>
      </w:r>
      <w:r w:rsidR="00A5025C">
        <w:rPr>
          <w:szCs w:val="22"/>
        </w:rPr>
        <w:t>in the Africa r</w:t>
      </w:r>
      <w:r>
        <w:rPr>
          <w:szCs w:val="22"/>
        </w:rPr>
        <w:t xml:space="preserve">egion, candidatures from Africa increased and are now </w:t>
      </w:r>
      <w:r w:rsidR="00692D98">
        <w:rPr>
          <w:szCs w:val="22"/>
        </w:rPr>
        <w:t>higher than</w:t>
      </w:r>
      <w:r>
        <w:rPr>
          <w:szCs w:val="22"/>
        </w:rPr>
        <w:t xml:space="preserve"> the number of applications from Western Europe, traditionally the highest group</w:t>
      </w:r>
      <w:r w:rsidRPr="00843039">
        <w:rPr>
          <w:szCs w:val="22"/>
        </w:rPr>
        <w:t>, fo</w:t>
      </w:r>
      <w:r>
        <w:rPr>
          <w:szCs w:val="22"/>
        </w:rPr>
        <w:t>llowed by Asia and the Pacific,</w:t>
      </w:r>
      <w:r w:rsidRPr="00843039">
        <w:rPr>
          <w:szCs w:val="22"/>
        </w:rPr>
        <w:t xml:space="preserve"> and Eastern and Central Europe and Centra</w:t>
      </w:r>
      <w:r>
        <w:rPr>
          <w:szCs w:val="22"/>
        </w:rPr>
        <w:t>l Asia</w:t>
      </w:r>
      <w:r w:rsidRPr="00843039">
        <w:rPr>
          <w:szCs w:val="22"/>
        </w:rPr>
        <w:t xml:space="preserve">. </w:t>
      </w:r>
      <w:r w:rsidR="006C771D">
        <w:rPr>
          <w:szCs w:val="22"/>
        </w:rPr>
        <w:t xml:space="preserve"> </w:t>
      </w:r>
      <w:r w:rsidRPr="00843039">
        <w:rPr>
          <w:szCs w:val="22"/>
        </w:rPr>
        <w:t xml:space="preserve">A smaller </w:t>
      </w:r>
      <w:r>
        <w:rPr>
          <w:szCs w:val="22"/>
        </w:rPr>
        <w:t>amount</w:t>
      </w:r>
      <w:r w:rsidRPr="00843039">
        <w:rPr>
          <w:szCs w:val="22"/>
        </w:rPr>
        <w:t xml:space="preserve"> </w:t>
      </w:r>
      <w:r>
        <w:rPr>
          <w:szCs w:val="22"/>
        </w:rPr>
        <w:t xml:space="preserve">of applications was received </w:t>
      </w:r>
      <w:r w:rsidRPr="00843039">
        <w:rPr>
          <w:szCs w:val="22"/>
        </w:rPr>
        <w:t xml:space="preserve">from </w:t>
      </w:r>
      <w:r>
        <w:rPr>
          <w:szCs w:val="22"/>
        </w:rPr>
        <w:t xml:space="preserve">candidates from </w:t>
      </w:r>
      <w:r w:rsidRPr="00843039">
        <w:rPr>
          <w:szCs w:val="22"/>
        </w:rPr>
        <w:t>L</w:t>
      </w:r>
      <w:r>
        <w:rPr>
          <w:szCs w:val="22"/>
        </w:rPr>
        <w:t>atin America and the Caribbean, North</w:t>
      </w:r>
      <w:r w:rsidR="006C771D">
        <w:rPr>
          <w:szCs w:val="22"/>
        </w:rPr>
        <w:t> </w:t>
      </w:r>
      <w:r>
        <w:rPr>
          <w:szCs w:val="22"/>
        </w:rPr>
        <w:t>America and the Middle East</w:t>
      </w:r>
      <w:r w:rsidRPr="00843039">
        <w:rPr>
          <w:szCs w:val="22"/>
        </w:rPr>
        <w:t>.</w:t>
      </w:r>
    </w:p>
    <w:p w14:paraId="26EDF921" w14:textId="77777777" w:rsidR="00791D76" w:rsidRPr="00405E07" w:rsidRDefault="00791D76" w:rsidP="00EC0C6F">
      <w:pPr>
        <w:pStyle w:val="ListParagraph"/>
        <w:ind w:left="0"/>
        <w:rPr>
          <w:szCs w:val="22"/>
        </w:rPr>
      </w:pPr>
    </w:p>
    <w:p w14:paraId="6FA476FB" w14:textId="511A2799" w:rsidR="00692D98" w:rsidRDefault="00692D98" w:rsidP="00B36D9A">
      <w:pPr>
        <w:pStyle w:val="ListParagraph"/>
        <w:numPr>
          <w:ilvl w:val="0"/>
          <w:numId w:val="12"/>
        </w:numPr>
        <w:ind w:left="0" w:firstLine="0"/>
        <w:rPr>
          <w:szCs w:val="22"/>
        </w:rPr>
      </w:pPr>
      <w:r>
        <w:rPr>
          <w:szCs w:val="22"/>
        </w:rPr>
        <w:t>The table also offer insights for HRMD to design tailored approaches per region to overcome specific challenges faced in the recruitment process.</w:t>
      </w:r>
      <w:r w:rsidR="006C771D">
        <w:rPr>
          <w:szCs w:val="22"/>
        </w:rPr>
        <w:t xml:space="preserve"> </w:t>
      </w:r>
      <w:r>
        <w:rPr>
          <w:szCs w:val="22"/>
        </w:rPr>
        <w:t xml:space="preserve"> Patterns show that candidates from some regions outperform others in different stages of the recruitment process, notably during the assessment stages. </w:t>
      </w:r>
      <w:r w:rsidR="006C771D">
        <w:rPr>
          <w:szCs w:val="22"/>
        </w:rPr>
        <w:t xml:space="preserve"> </w:t>
      </w:r>
      <w:r w:rsidRPr="002B7947">
        <w:rPr>
          <w:szCs w:val="22"/>
        </w:rPr>
        <w:t>The Annex provide</w:t>
      </w:r>
      <w:r w:rsidR="00420F4B">
        <w:rPr>
          <w:szCs w:val="22"/>
        </w:rPr>
        <w:t>s</w:t>
      </w:r>
      <w:r w:rsidRPr="002B7947">
        <w:rPr>
          <w:szCs w:val="22"/>
        </w:rPr>
        <w:t xml:space="preserve"> further insights </w:t>
      </w:r>
      <w:r w:rsidR="002B7947">
        <w:rPr>
          <w:szCs w:val="22"/>
        </w:rPr>
        <w:t xml:space="preserve">on </w:t>
      </w:r>
      <w:r w:rsidRPr="002B7947">
        <w:rPr>
          <w:szCs w:val="22"/>
        </w:rPr>
        <w:t>the data and consider</w:t>
      </w:r>
      <w:r w:rsidR="00833CBF">
        <w:rPr>
          <w:szCs w:val="22"/>
        </w:rPr>
        <w:t>s</w:t>
      </w:r>
      <w:r w:rsidRPr="002B7947">
        <w:rPr>
          <w:szCs w:val="22"/>
        </w:rPr>
        <w:t xml:space="preserve"> specific measures by region to ensure applicants from less represented regions have a higher chance of success in the competitive process.</w:t>
      </w:r>
    </w:p>
    <w:p w14:paraId="558CEA39" w14:textId="5F031955" w:rsidR="00692D98" w:rsidRDefault="00692D98">
      <w:pPr>
        <w:rPr>
          <w:rFonts w:eastAsia="Times New Roman"/>
          <w:szCs w:val="22"/>
          <w:lang w:eastAsia="en-US"/>
        </w:rPr>
      </w:pPr>
    </w:p>
    <w:p w14:paraId="733691E7" w14:textId="4B826F25" w:rsidR="001D5539" w:rsidRPr="002B7947" w:rsidRDefault="00B240AC" w:rsidP="00B36D9A">
      <w:pPr>
        <w:pStyle w:val="ListParagraph"/>
        <w:numPr>
          <w:ilvl w:val="0"/>
          <w:numId w:val="12"/>
        </w:numPr>
        <w:ind w:left="0" w:firstLine="0"/>
        <w:rPr>
          <w:szCs w:val="22"/>
        </w:rPr>
      </w:pPr>
      <w:r w:rsidRPr="002B7947">
        <w:rPr>
          <w:szCs w:val="22"/>
        </w:rPr>
        <w:t>As of mid-May 2023, candidates had been selected for 83 of these 109 job openings, out of which 14 were internal candidates – h</w:t>
      </w:r>
      <w:r w:rsidR="00B8006D" w:rsidRPr="002B7947">
        <w:rPr>
          <w:szCs w:val="22"/>
        </w:rPr>
        <w:t>olding permanent, continuing and fixed-term appointments</w:t>
      </w:r>
      <w:r w:rsidR="004A532B" w:rsidRPr="002B7947">
        <w:rPr>
          <w:szCs w:val="22"/>
        </w:rPr>
        <w:t xml:space="preserve"> (</w:t>
      </w:r>
      <w:r w:rsidRPr="002B7947">
        <w:rPr>
          <w:szCs w:val="22"/>
        </w:rPr>
        <w:t>or 44</w:t>
      </w:r>
      <w:r w:rsidR="00B8006D" w:rsidRPr="002B7947">
        <w:rPr>
          <w:szCs w:val="22"/>
        </w:rPr>
        <w:t> when also including employees working for WIPO on other contracts</w:t>
      </w:r>
      <w:r w:rsidR="004A532B" w:rsidRPr="002B7947">
        <w:rPr>
          <w:szCs w:val="22"/>
        </w:rPr>
        <w:t>)</w:t>
      </w:r>
      <w:r w:rsidR="00B8006D" w:rsidRPr="002B7947">
        <w:rPr>
          <w:szCs w:val="22"/>
        </w:rPr>
        <w:t xml:space="preserve">. </w:t>
      </w:r>
      <w:r w:rsidR="0068636F" w:rsidRPr="002B7947">
        <w:rPr>
          <w:szCs w:val="22"/>
        </w:rPr>
        <w:t xml:space="preserve"> As </w:t>
      </w:r>
      <w:r w:rsidR="004A532B" w:rsidRPr="002B7947">
        <w:rPr>
          <w:szCs w:val="22"/>
        </w:rPr>
        <w:t xml:space="preserve">regards the </w:t>
      </w:r>
      <w:r w:rsidR="0068636F" w:rsidRPr="002B7947">
        <w:rPr>
          <w:szCs w:val="22"/>
        </w:rPr>
        <w:t>14</w:t>
      </w:r>
      <w:r w:rsidR="00833CBF">
        <w:rPr>
          <w:szCs w:val="22"/>
        </w:rPr>
        <w:t xml:space="preserve"> </w:t>
      </w:r>
      <w:r w:rsidR="004A532B" w:rsidRPr="002B7947">
        <w:rPr>
          <w:szCs w:val="22"/>
        </w:rPr>
        <w:t xml:space="preserve">internal selections, </w:t>
      </w:r>
      <w:r w:rsidR="0068636F" w:rsidRPr="002B7947">
        <w:rPr>
          <w:szCs w:val="22"/>
        </w:rPr>
        <w:t xml:space="preserve">13 </w:t>
      </w:r>
      <w:r w:rsidR="004A532B" w:rsidRPr="002B7947">
        <w:rPr>
          <w:szCs w:val="22"/>
        </w:rPr>
        <w:t xml:space="preserve">resulted in promotions, out of which </w:t>
      </w:r>
      <w:r w:rsidR="0068636F" w:rsidRPr="002B7947">
        <w:rPr>
          <w:szCs w:val="22"/>
        </w:rPr>
        <w:t xml:space="preserve">10 </w:t>
      </w:r>
      <w:r w:rsidR="004A532B" w:rsidRPr="002B7947">
        <w:rPr>
          <w:szCs w:val="22"/>
        </w:rPr>
        <w:t>(or 77 per cent) were female staff members.</w:t>
      </w:r>
    </w:p>
    <w:p w14:paraId="3014970A" w14:textId="31EB747B" w:rsidR="00A219E4" w:rsidRPr="008D5F74" w:rsidRDefault="00A219E4" w:rsidP="00692D98">
      <w:pPr>
        <w:pStyle w:val="ListParagraph"/>
        <w:ind w:left="0"/>
        <w:rPr>
          <w:szCs w:val="22"/>
        </w:rPr>
      </w:pPr>
    </w:p>
    <w:p w14:paraId="5133C88D" w14:textId="5944EDCA" w:rsidR="00B35EC2" w:rsidRPr="00B35EC2" w:rsidRDefault="00B240AC" w:rsidP="00B35EC2">
      <w:pPr>
        <w:pStyle w:val="ListParagraph"/>
        <w:numPr>
          <w:ilvl w:val="0"/>
          <w:numId w:val="12"/>
        </w:numPr>
        <w:ind w:left="0" w:firstLine="0"/>
        <w:rPr>
          <w:szCs w:val="22"/>
        </w:rPr>
      </w:pPr>
      <w:r>
        <w:rPr>
          <w:szCs w:val="22"/>
        </w:rPr>
        <w:t>When looking at the share of women in applications received per region</w:t>
      </w:r>
      <w:r w:rsidRPr="005434F1">
        <w:rPr>
          <w:szCs w:val="22"/>
        </w:rPr>
        <w:t xml:space="preserve">, </w:t>
      </w:r>
      <w:r w:rsidR="00310EEA">
        <w:rPr>
          <w:szCs w:val="22"/>
        </w:rPr>
        <w:t>it surpassed 50 </w:t>
      </w:r>
      <w:r>
        <w:rPr>
          <w:szCs w:val="22"/>
        </w:rPr>
        <w:t>per cent in</w:t>
      </w:r>
      <w:r w:rsidRPr="005434F1">
        <w:rPr>
          <w:szCs w:val="22"/>
        </w:rPr>
        <w:t xml:space="preserve"> Eastern and Central Europe and Central Asia (59.</w:t>
      </w:r>
      <w:r>
        <w:rPr>
          <w:szCs w:val="22"/>
        </w:rPr>
        <w:t>5 per cent</w:t>
      </w:r>
      <w:r w:rsidRPr="005434F1">
        <w:rPr>
          <w:szCs w:val="22"/>
        </w:rPr>
        <w:t>)</w:t>
      </w:r>
      <w:r>
        <w:rPr>
          <w:szCs w:val="22"/>
        </w:rPr>
        <w:t>,</w:t>
      </w:r>
      <w:r w:rsidRPr="005434F1">
        <w:rPr>
          <w:szCs w:val="22"/>
        </w:rPr>
        <w:t xml:space="preserve"> and Latin America and the Caribbean (55</w:t>
      </w:r>
      <w:r>
        <w:rPr>
          <w:szCs w:val="22"/>
        </w:rPr>
        <w:t>.7 per cent</w:t>
      </w:r>
      <w:r w:rsidRPr="005434F1">
        <w:rPr>
          <w:szCs w:val="22"/>
        </w:rPr>
        <w:t xml:space="preserve">). </w:t>
      </w:r>
      <w:r w:rsidR="00310EEA">
        <w:rPr>
          <w:szCs w:val="22"/>
        </w:rPr>
        <w:t xml:space="preserve"> </w:t>
      </w:r>
      <w:r w:rsidRPr="005434F1">
        <w:rPr>
          <w:szCs w:val="22"/>
        </w:rPr>
        <w:t>The lowest share of applications from women were received from Africa (37.</w:t>
      </w:r>
      <w:r>
        <w:rPr>
          <w:szCs w:val="22"/>
        </w:rPr>
        <w:t>8 per cent</w:t>
      </w:r>
      <w:r w:rsidRPr="005434F1">
        <w:rPr>
          <w:szCs w:val="22"/>
        </w:rPr>
        <w:t>) and North America (40.</w:t>
      </w:r>
      <w:r>
        <w:rPr>
          <w:szCs w:val="22"/>
        </w:rPr>
        <w:t>7 per cent</w:t>
      </w:r>
      <w:r w:rsidRPr="005434F1">
        <w:rPr>
          <w:szCs w:val="22"/>
        </w:rPr>
        <w:t>).</w:t>
      </w:r>
      <w:r>
        <w:rPr>
          <w:szCs w:val="22"/>
        </w:rPr>
        <w:t xml:space="preserve"> </w:t>
      </w:r>
      <w:r w:rsidR="00310EEA">
        <w:rPr>
          <w:szCs w:val="22"/>
        </w:rPr>
        <w:t xml:space="preserve"> </w:t>
      </w:r>
      <w:r>
        <w:rPr>
          <w:szCs w:val="22"/>
        </w:rPr>
        <w:t xml:space="preserve">It is also worth noting that the share of women was </w:t>
      </w:r>
      <w:r w:rsidRPr="00896553">
        <w:rPr>
          <w:szCs w:val="22"/>
        </w:rPr>
        <w:t>largest in the short-listed phase (</w:t>
      </w:r>
      <w:r>
        <w:rPr>
          <w:szCs w:val="22"/>
        </w:rPr>
        <w:t>62.2</w:t>
      </w:r>
      <w:r w:rsidRPr="00896553">
        <w:rPr>
          <w:szCs w:val="22"/>
        </w:rPr>
        <w:t xml:space="preserve"> per cent), which implies that the female applicants to a larger extent fulfil the requirements when they apply. </w:t>
      </w:r>
      <w:r w:rsidR="00310EEA">
        <w:rPr>
          <w:szCs w:val="22"/>
        </w:rPr>
        <w:t xml:space="preserve"> </w:t>
      </w:r>
      <w:r w:rsidRPr="00896553">
        <w:rPr>
          <w:szCs w:val="22"/>
        </w:rPr>
        <w:t xml:space="preserve">Of the selected candidates </w:t>
      </w:r>
      <w:r>
        <w:rPr>
          <w:szCs w:val="22"/>
        </w:rPr>
        <w:t>51.8</w:t>
      </w:r>
      <w:r w:rsidRPr="00896553">
        <w:rPr>
          <w:szCs w:val="22"/>
        </w:rPr>
        <w:t xml:space="preserve"> per cent were women</w:t>
      </w:r>
      <w:r w:rsidR="0008507D" w:rsidRPr="00896553">
        <w:rPr>
          <w:szCs w:val="22"/>
        </w:rPr>
        <w:t>.</w:t>
      </w:r>
    </w:p>
    <w:p w14:paraId="0CDECD9F" w14:textId="793DC378" w:rsidR="00D43D76" w:rsidRDefault="00D43D76" w:rsidP="00B35EC2">
      <w:pPr>
        <w:pStyle w:val="Heading3"/>
        <w:rPr>
          <w:i/>
          <w:szCs w:val="22"/>
          <w:u w:val="none"/>
        </w:rPr>
      </w:pPr>
      <w:r>
        <w:rPr>
          <w:i/>
          <w:szCs w:val="22"/>
          <w:u w:val="none"/>
        </w:rPr>
        <w:tab/>
        <w:t>Talent Outreach</w:t>
      </w:r>
    </w:p>
    <w:p w14:paraId="1FD71517" w14:textId="77777777" w:rsidR="00D43D76" w:rsidRPr="00D43D76" w:rsidRDefault="00D43D76" w:rsidP="00D43D76"/>
    <w:p w14:paraId="7E751942" w14:textId="7256B5F1" w:rsidR="00583E64" w:rsidRDefault="00D43D76" w:rsidP="00D43D76">
      <w:pPr>
        <w:pStyle w:val="ListParagraph"/>
        <w:numPr>
          <w:ilvl w:val="0"/>
          <w:numId w:val="12"/>
        </w:numPr>
        <w:tabs>
          <w:tab w:val="left" w:pos="540"/>
        </w:tabs>
        <w:ind w:left="0" w:firstLine="0"/>
        <w:rPr>
          <w:szCs w:val="22"/>
        </w:rPr>
      </w:pPr>
      <w:r w:rsidRPr="002B07C5">
        <w:rPr>
          <w:szCs w:val="22"/>
        </w:rPr>
        <w:t xml:space="preserve">WIPO continues to work towards </w:t>
      </w:r>
      <w:r>
        <w:rPr>
          <w:szCs w:val="22"/>
        </w:rPr>
        <w:t xml:space="preserve">further promoting gender and geographical diversity </w:t>
      </w:r>
      <w:r w:rsidRPr="002B07C5">
        <w:rPr>
          <w:szCs w:val="22"/>
        </w:rPr>
        <w:t>through various initiatives, particularly at senior levels.  WIPO, either directly and/or through its partner organizations, conducts outreach campaigns through various social media channels, at times specifically tailored to female professionals</w:t>
      </w:r>
      <w:r w:rsidR="00610D4C">
        <w:rPr>
          <w:szCs w:val="22"/>
        </w:rPr>
        <w:t xml:space="preserve"> or to specific regions</w:t>
      </w:r>
      <w:r w:rsidRPr="002B07C5">
        <w:rPr>
          <w:szCs w:val="22"/>
        </w:rPr>
        <w:t>.  It also enlists the services of executive search firms</w:t>
      </w:r>
      <w:r w:rsidR="00610D4C">
        <w:rPr>
          <w:szCs w:val="22"/>
        </w:rPr>
        <w:t xml:space="preserve"> for high level positions or for roles that are difficult to </w:t>
      </w:r>
      <w:r w:rsidR="009A7D28">
        <w:rPr>
          <w:szCs w:val="22"/>
        </w:rPr>
        <w:t>fill</w:t>
      </w:r>
      <w:r w:rsidR="00610D4C">
        <w:rPr>
          <w:szCs w:val="22"/>
        </w:rPr>
        <w:t xml:space="preserve"> due to the labor market</w:t>
      </w:r>
      <w:r w:rsidRPr="002B07C5">
        <w:rPr>
          <w:szCs w:val="22"/>
        </w:rPr>
        <w:t>.</w:t>
      </w:r>
      <w:r>
        <w:rPr>
          <w:szCs w:val="22"/>
        </w:rPr>
        <w:t xml:space="preserve"> </w:t>
      </w:r>
      <w:r w:rsidR="00DA15F3">
        <w:rPr>
          <w:szCs w:val="22"/>
        </w:rPr>
        <w:t xml:space="preserve"> </w:t>
      </w:r>
      <w:r w:rsidRPr="005434F1">
        <w:rPr>
          <w:szCs w:val="22"/>
        </w:rPr>
        <w:t xml:space="preserve">In 2022, 803 female candidates submitted an expression of interest for our Senior Female Talent Pool alone, while 2,109 of the 3,649 professionals who submitted expressions of interest through all of our talent pools were women (58 </w:t>
      </w:r>
      <w:r>
        <w:rPr>
          <w:szCs w:val="22"/>
        </w:rPr>
        <w:t>per cent</w:t>
      </w:r>
      <w:r w:rsidRPr="005434F1">
        <w:rPr>
          <w:szCs w:val="22"/>
        </w:rPr>
        <w:t>).</w:t>
      </w:r>
      <w:r w:rsidR="00DA15F3">
        <w:rPr>
          <w:szCs w:val="22"/>
        </w:rPr>
        <w:t xml:space="preserve"> </w:t>
      </w:r>
      <w:r w:rsidRPr="005434F1">
        <w:rPr>
          <w:szCs w:val="22"/>
        </w:rPr>
        <w:t xml:space="preserve"> In addition, </w:t>
      </w:r>
      <w:r w:rsidRPr="005434F1">
        <w:rPr>
          <w:szCs w:val="22"/>
        </w:rPr>
        <w:lastRenderedPageBreak/>
        <w:t>WIPO’s Business Intelligence (BI) HR Dashboard has been further enhanced</w:t>
      </w:r>
      <w:r>
        <w:rPr>
          <w:szCs w:val="22"/>
        </w:rPr>
        <w:t>,</w:t>
      </w:r>
      <w:r w:rsidRPr="005434F1">
        <w:rPr>
          <w:szCs w:val="22"/>
        </w:rPr>
        <w:t xml:space="preserve"> making immediate real time gender </w:t>
      </w:r>
      <w:r w:rsidR="009C16FB">
        <w:rPr>
          <w:szCs w:val="22"/>
        </w:rPr>
        <w:t>and geographical</w:t>
      </w:r>
      <w:r w:rsidR="009C16FB" w:rsidRPr="005434F1">
        <w:rPr>
          <w:szCs w:val="22"/>
        </w:rPr>
        <w:t xml:space="preserve"> </w:t>
      </w:r>
      <w:r w:rsidRPr="005434F1">
        <w:rPr>
          <w:szCs w:val="22"/>
        </w:rPr>
        <w:t>data available at the touch of a button</w:t>
      </w:r>
      <w:r w:rsidR="002C22EA">
        <w:rPr>
          <w:szCs w:val="22"/>
        </w:rPr>
        <w:t>,</w:t>
      </w:r>
      <w:r w:rsidRPr="005434F1">
        <w:rPr>
          <w:szCs w:val="22"/>
        </w:rPr>
        <w:t xml:space="preserve"> so that staff </w:t>
      </w:r>
      <w:r w:rsidR="001E0434">
        <w:rPr>
          <w:szCs w:val="22"/>
        </w:rPr>
        <w:t xml:space="preserve">in HRMD </w:t>
      </w:r>
      <w:r w:rsidRPr="005434F1">
        <w:rPr>
          <w:szCs w:val="22"/>
        </w:rPr>
        <w:t>and managers can</w:t>
      </w:r>
      <w:r w:rsidR="002C22EA">
        <w:rPr>
          <w:szCs w:val="22"/>
        </w:rPr>
        <w:t xml:space="preserve"> access</w:t>
      </w:r>
      <w:r w:rsidRPr="005434F1">
        <w:rPr>
          <w:szCs w:val="22"/>
        </w:rPr>
        <w:t xml:space="preserve"> </w:t>
      </w:r>
      <w:r w:rsidR="00583E64">
        <w:rPr>
          <w:szCs w:val="22"/>
        </w:rPr>
        <w:t xml:space="preserve">gender </w:t>
      </w:r>
      <w:r w:rsidR="009C16FB">
        <w:rPr>
          <w:szCs w:val="22"/>
        </w:rPr>
        <w:t>and geographical</w:t>
      </w:r>
      <w:r w:rsidR="009C16FB" w:rsidRPr="005434F1">
        <w:rPr>
          <w:szCs w:val="22"/>
        </w:rPr>
        <w:t xml:space="preserve"> </w:t>
      </w:r>
      <w:r w:rsidR="00583E64">
        <w:rPr>
          <w:szCs w:val="22"/>
        </w:rPr>
        <w:t>data quickly and easily</w:t>
      </w:r>
      <w:r w:rsidR="001E0434">
        <w:rPr>
          <w:szCs w:val="22"/>
        </w:rPr>
        <w:t>, allowing them to formulate data-driven staffing strategies to address issues related to gender and geographical representation</w:t>
      </w:r>
      <w:r w:rsidR="00583E64">
        <w:rPr>
          <w:szCs w:val="22"/>
        </w:rPr>
        <w:t>.</w:t>
      </w:r>
    </w:p>
    <w:p w14:paraId="2B0616D5" w14:textId="77777777" w:rsidR="00583E64" w:rsidRDefault="00583E64" w:rsidP="00583E64">
      <w:pPr>
        <w:pStyle w:val="ListParagraph"/>
        <w:tabs>
          <w:tab w:val="left" w:pos="540"/>
        </w:tabs>
        <w:ind w:left="0"/>
        <w:rPr>
          <w:szCs w:val="22"/>
        </w:rPr>
      </w:pPr>
    </w:p>
    <w:p w14:paraId="63B97901" w14:textId="2E3E2D41" w:rsidR="00D43D76" w:rsidRDefault="009A7D28" w:rsidP="00D43D76">
      <w:pPr>
        <w:pStyle w:val="ListParagraph"/>
        <w:numPr>
          <w:ilvl w:val="0"/>
          <w:numId w:val="12"/>
        </w:numPr>
        <w:tabs>
          <w:tab w:val="left" w:pos="540"/>
        </w:tabs>
        <w:ind w:left="0" w:firstLine="0"/>
        <w:rPr>
          <w:szCs w:val="22"/>
        </w:rPr>
      </w:pPr>
      <w:r w:rsidRPr="005434F1">
        <w:rPr>
          <w:szCs w:val="22"/>
        </w:rPr>
        <w:t xml:space="preserve">WIPO also participated in </w:t>
      </w:r>
      <w:r>
        <w:rPr>
          <w:szCs w:val="22"/>
        </w:rPr>
        <w:t>five</w:t>
      </w:r>
      <w:r w:rsidRPr="005434F1">
        <w:rPr>
          <w:szCs w:val="22"/>
        </w:rPr>
        <w:t xml:space="preserve"> career fairs in 2022, including </w:t>
      </w:r>
      <w:r>
        <w:rPr>
          <w:szCs w:val="22"/>
        </w:rPr>
        <w:t>two</w:t>
      </w:r>
      <w:r w:rsidRPr="005434F1">
        <w:rPr>
          <w:szCs w:val="22"/>
        </w:rPr>
        <w:t xml:space="preserve"> that were hosted in person. </w:t>
      </w:r>
      <w:r w:rsidR="00DA15F3">
        <w:rPr>
          <w:szCs w:val="22"/>
        </w:rPr>
        <w:t xml:space="preserve"> </w:t>
      </w:r>
      <w:r w:rsidRPr="005434F1">
        <w:rPr>
          <w:szCs w:val="22"/>
        </w:rPr>
        <w:t>Two of the career fairs target</w:t>
      </w:r>
      <w:r>
        <w:rPr>
          <w:szCs w:val="22"/>
        </w:rPr>
        <w:t xml:space="preserve">ed </w:t>
      </w:r>
      <w:r w:rsidRPr="005434F1">
        <w:rPr>
          <w:szCs w:val="22"/>
        </w:rPr>
        <w:t xml:space="preserve">particular profiles (women in STEM, and young professionals), </w:t>
      </w:r>
      <w:r>
        <w:rPr>
          <w:szCs w:val="22"/>
        </w:rPr>
        <w:t xml:space="preserve">and </w:t>
      </w:r>
      <w:r w:rsidRPr="005434F1">
        <w:rPr>
          <w:szCs w:val="22"/>
        </w:rPr>
        <w:t>aim</w:t>
      </w:r>
      <w:r>
        <w:rPr>
          <w:szCs w:val="22"/>
        </w:rPr>
        <w:t>ed</w:t>
      </w:r>
      <w:r w:rsidRPr="005434F1">
        <w:rPr>
          <w:szCs w:val="22"/>
        </w:rPr>
        <w:t xml:space="preserve"> at increasing the representation of the concerned population group in the </w:t>
      </w:r>
      <w:r>
        <w:rPr>
          <w:szCs w:val="22"/>
        </w:rPr>
        <w:t>O</w:t>
      </w:r>
      <w:r w:rsidRPr="005434F1">
        <w:rPr>
          <w:szCs w:val="22"/>
        </w:rPr>
        <w:t>rganization</w:t>
      </w:r>
      <w:r w:rsidR="00D43D76">
        <w:rPr>
          <w:szCs w:val="22"/>
        </w:rPr>
        <w:t>.</w:t>
      </w:r>
    </w:p>
    <w:p w14:paraId="1097E590" w14:textId="27D13719" w:rsidR="009C16FB" w:rsidRDefault="009C16FB" w:rsidP="00D17AA7">
      <w:pPr>
        <w:pStyle w:val="ListParagraph"/>
        <w:tabs>
          <w:tab w:val="left" w:pos="540"/>
        </w:tabs>
        <w:ind w:left="0"/>
        <w:rPr>
          <w:szCs w:val="22"/>
        </w:rPr>
      </w:pPr>
    </w:p>
    <w:p w14:paraId="7ABFE4B7" w14:textId="5180CA54" w:rsidR="004B4C7C" w:rsidRDefault="004B4C7C" w:rsidP="004B4C7C">
      <w:pPr>
        <w:pStyle w:val="ListParagraph"/>
        <w:numPr>
          <w:ilvl w:val="0"/>
          <w:numId w:val="12"/>
        </w:numPr>
        <w:tabs>
          <w:tab w:val="left" w:pos="540"/>
        </w:tabs>
        <w:ind w:left="0" w:firstLine="0"/>
        <w:rPr>
          <w:szCs w:val="22"/>
        </w:rPr>
      </w:pPr>
      <w:r>
        <w:rPr>
          <w:szCs w:val="22"/>
        </w:rPr>
        <w:t>WIPO is also</w:t>
      </w:r>
      <w:r w:rsidRPr="00BA2E32">
        <w:rPr>
          <w:szCs w:val="22"/>
        </w:rPr>
        <w:t xml:space="preserve"> piloting talent outreach activities specific to a geographical region that require concerted efforts to address the question of under-representation/</w:t>
      </w:r>
      <w:r w:rsidR="009C16FB">
        <w:rPr>
          <w:szCs w:val="22"/>
        </w:rPr>
        <w:t>non</w:t>
      </w:r>
      <w:r w:rsidRPr="00BA2E32">
        <w:rPr>
          <w:szCs w:val="22"/>
        </w:rPr>
        <w:t>-representation.</w:t>
      </w:r>
      <w:r w:rsidR="00F304B1">
        <w:rPr>
          <w:szCs w:val="22"/>
        </w:rPr>
        <w:t xml:space="preserve"> </w:t>
      </w:r>
      <w:r w:rsidRPr="00BA2E32">
        <w:rPr>
          <w:szCs w:val="22"/>
        </w:rPr>
        <w:t xml:space="preserve"> In April 2023, the </w:t>
      </w:r>
      <w:r w:rsidR="00F304B1">
        <w:rPr>
          <w:szCs w:val="22"/>
        </w:rPr>
        <w:t>S</w:t>
      </w:r>
      <w:r w:rsidRPr="00BA2E32">
        <w:rPr>
          <w:szCs w:val="22"/>
        </w:rPr>
        <w:t>ecretariat participated in a virtual career fair target</w:t>
      </w:r>
      <w:r w:rsidR="00467C25">
        <w:rPr>
          <w:szCs w:val="22"/>
        </w:rPr>
        <w:t>ing</w:t>
      </w:r>
      <w:r w:rsidRPr="00BA2E32">
        <w:rPr>
          <w:szCs w:val="22"/>
        </w:rPr>
        <w:t xml:space="preserve"> African nationals for the first time</w:t>
      </w:r>
      <w:r w:rsidR="009A7D28">
        <w:rPr>
          <w:szCs w:val="22"/>
        </w:rPr>
        <w:t>, and</w:t>
      </w:r>
      <w:r w:rsidRPr="00BA2E32">
        <w:rPr>
          <w:szCs w:val="22"/>
        </w:rPr>
        <w:t xml:space="preserve"> through which it reached out to close to 200 candidates in the form of a career presentation and one-on-one career guidance.</w:t>
      </w:r>
      <w:r w:rsidR="00F304B1">
        <w:rPr>
          <w:szCs w:val="22"/>
        </w:rPr>
        <w:t xml:space="preserve"> </w:t>
      </w:r>
      <w:r w:rsidRPr="00BA2E32">
        <w:rPr>
          <w:szCs w:val="22"/>
        </w:rPr>
        <w:t xml:space="preserve"> </w:t>
      </w:r>
      <w:r>
        <w:rPr>
          <w:szCs w:val="22"/>
        </w:rPr>
        <w:t xml:space="preserve">A joint virtual career seminar with the African Regional Intellectual Property Organization (ARIPO) is also </w:t>
      </w:r>
      <w:r w:rsidR="002C22EA">
        <w:rPr>
          <w:szCs w:val="22"/>
        </w:rPr>
        <w:t xml:space="preserve">being </w:t>
      </w:r>
      <w:r w:rsidR="009A7D28">
        <w:rPr>
          <w:szCs w:val="22"/>
        </w:rPr>
        <w:t>envisaged</w:t>
      </w:r>
      <w:r w:rsidRPr="00B240AC">
        <w:rPr>
          <w:szCs w:val="22"/>
        </w:rPr>
        <w:t>,</w:t>
      </w:r>
      <w:r>
        <w:rPr>
          <w:szCs w:val="22"/>
        </w:rPr>
        <w:t xml:space="preserve"> targeting candidates from the region to provide </w:t>
      </w:r>
      <w:r w:rsidR="009C16FB">
        <w:rPr>
          <w:szCs w:val="22"/>
        </w:rPr>
        <w:t xml:space="preserve">information and support on WIPO’s </w:t>
      </w:r>
      <w:r>
        <w:rPr>
          <w:szCs w:val="22"/>
        </w:rPr>
        <w:t>selection process.</w:t>
      </w:r>
    </w:p>
    <w:p w14:paraId="6C3E0BFA" w14:textId="77777777" w:rsidR="00583E64" w:rsidRDefault="00583E64" w:rsidP="00583E64">
      <w:pPr>
        <w:pStyle w:val="ListParagraph"/>
        <w:tabs>
          <w:tab w:val="left" w:pos="540"/>
        </w:tabs>
        <w:ind w:left="0"/>
        <w:rPr>
          <w:szCs w:val="22"/>
        </w:rPr>
      </w:pPr>
    </w:p>
    <w:p w14:paraId="707D45F7" w14:textId="27002B64" w:rsidR="00692D98" w:rsidRPr="00BB4946" w:rsidRDefault="009C16FB" w:rsidP="00627082">
      <w:pPr>
        <w:pStyle w:val="ListParagraph"/>
        <w:numPr>
          <w:ilvl w:val="0"/>
          <w:numId w:val="12"/>
        </w:numPr>
        <w:tabs>
          <w:tab w:val="left" w:pos="540"/>
        </w:tabs>
        <w:ind w:left="0" w:firstLine="0"/>
        <w:rPr>
          <w:szCs w:val="22"/>
        </w:rPr>
      </w:pPr>
      <w:r w:rsidRPr="00BB4946">
        <w:rPr>
          <w:szCs w:val="22"/>
        </w:rPr>
        <w:t>S</w:t>
      </w:r>
      <w:r w:rsidR="00583E64" w:rsidRPr="00BB4946">
        <w:rPr>
          <w:szCs w:val="22"/>
        </w:rPr>
        <w:t xml:space="preserve">uch outreach activities are much more likely to </w:t>
      </w:r>
      <w:r w:rsidRPr="00BB4946">
        <w:rPr>
          <w:szCs w:val="22"/>
        </w:rPr>
        <w:t>be</w:t>
      </w:r>
      <w:r w:rsidR="00583E64" w:rsidRPr="00BB4946">
        <w:rPr>
          <w:szCs w:val="22"/>
        </w:rPr>
        <w:t xml:space="preserve"> success</w:t>
      </w:r>
      <w:r w:rsidRPr="00BB4946">
        <w:rPr>
          <w:szCs w:val="22"/>
        </w:rPr>
        <w:t>ful when combined</w:t>
      </w:r>
      <w:r w:rsidR="00583E64" w:rsidRPr="00BB4946">
        <w:rPr>
          <w:szCs w:val="22"/>
        </w:rPr>
        <w:t xml:space="preserve"> with strong support and commitment from Member States, especially on outreach activities </w:t>
      </w:r>
      <w:r w:rsidR="00B240AC" w:rsidRPr="00BB4946">
        <w:rPr>
          <w:szCs w:val="22"/>
        </w:rPr>
        <w:t>targeting</w:t>
      </w:r>
      <w:r w:rsidR="00583E64" w:rsidRPr="00BB4946">
        <w:rPr>
          <w:szCs w:val="22"/>
        </w:rPr>
        <w:t xml:space="preserve"> specific geographical regions. </w:t>
      </w:r>
      <w:r w:rsidR="00F304B1" w:rsidRPr="00BB4946">
        <w:rPr>
          <w:szCs w:val="22"/>
        </w:rPr>
        <w:t xml:space="preserve"> </w:t>
      </w:r>
      <w:r w:rsidR="00583E64" w:rsidRPr="00BB4946">
        <w:rPr>
          <w:szCs w:val="22"/>
        </w:rPr>
        <w:t xml:space="preserve">Drawing on this lesson, </w:t>
      </w:r>
      <w:r w:rsidRPr="00BB4946">
        <w:rPr>
          <w:szCs w:val="22"/>
        </w:rPr>
        <w:t xml:space="preserve">HRMD has set out a number of </w:t>
      </w:r>
      <w:r w:rsidR="00583E64" w:rsidRPr="00BB4946">
        <w:rPr>
          <w:szCs w:val="22"/>
        </w:rPr>
        <w:t xml:space="preserve">proposed actions to promote geographical diversity in </w:t>
      </w:r>
      <w:r w:rsidR="00EC0C6F" w:rsidRPr="00BB4946">
        <w:rPr>
          <w:szCs w:val="22"/>
        </w:rPr>
        <w:t xml:space="preserve">the </w:t>
      </w:r>
      <w:r w:rsidR="00583E64" w:rsidRPr="00BB4946">
        <w:rPr>
          <w:szCs w:val="22"/>
        </w:rPr>
        <w:t>Annex</w:t>
      </w:r>
      <w:r w:rsidRPr="00BB4946">
        <w:rPr>
          <w:szCs w:val="22"/>
        </w:rPr>
        <w:t xml:space="preserve"> </w:t>
      </w:r>
      <w:r w:rsidR="00583E64" w:rsidRPr="00BB4946">
        <w:rPr>
          <w:szCs w:val="22"/>
        </w:rPr>
        <w:t>of this report.</w:t>
      </w:r>
    </w:p>
    <w:p w14:paraId="2D5A3502" w14:textId="04BFAD25" w:rsidR="00D43D76" w:rsidRPr="00D43D76" w:rsidRDefault="00D43D76" w:rsidP="00D43D76">
      <w:pPr>
        <w:pStyle w:val="Heading3"/>
        <w:rPr>
          <w:i/>
          <w:szCs w:val="22"/>
          <w:u w:val="none"/>
        </w:rPr>
      </w:pPr>
      <w:r>
        <w:rPr>
          <w:i/>
          <w:szCs w:val="22"/>
          <w:u w:val="none"/>
        </w:rPr>
        <w:t xml:space="preserve">Gender </w:t>
      </w:r>
      <w:r w:rsidR="00823332">
        <w:rPr>
          <w:i/>
          <w:szCs w:val="22"/>
          <w:u w:val="none"/>
        </w:rPr>
        <w:t>E</w:t>
      </w:r>
      <w:r w:rsidR="00FB5BF6">
        <w:rPr>
          <w:i/>
          <w:szCs w:val="22"/>
          <w:u w:val="none"/>
        </w:rPr>
        <w:t xml:space="preserve">quality and </w:t>
      </w:r>
      <w:r w:rsidR="00823332">
        <w:rPr>
          <w:i/>
          <w:szCs w:val="22"/>
          <w:u w:val="none"/>
        </w:rPr>
        <w:t>I</w:t>
      </w:r>
      <w:r w:rsidR="00FB5BF6">
        <w:rPr>
          <w:i/>
          <w:szCs w:val="22"/>
          <w:u w:val="none"/>
        </w:rPr>
        <w:t>nclusion</w:t>
      </w:r>
    </w:p>
    <w:p w14:paraId="7E9F28C5" w14:textId="77777777" w:rsidR="00D43D76" w:rsidRDefault="00D43D76" w:rsidP="00966002"/>
    <w:p w14:paraId="1CAB1BAC" w14:textId="5F0BB196" w:rsidR="00966002" w:rsidRDefault="00966002" w:rsidP="00966002">
      <w:pPr>
        <w:pStyle w:val="ListParagraph"/>
        <w:numPr>
          <w:ilvl w:val="0"/>
          <w:numId w:val="12"/>
        </w:numPr>
        <w:ind w:left="0" w:firstLine="0"/>
        <w:rPr>
          <w:szCs w:val="22"/>
        </w:rPr>
      </w:pPr>
      <w:r w:rsidRPr="0081524F">
        <w:rPr>
          <w:szCs w:val="22"/>
        </w:rPr>
        <w:t>In 2022, WIPO continued to implement the UN System-wide Action Plan on Gender Equality and the Empowerment of Women (UN-SWAP)</w:t>
      </w:r>
      <w:r w:rsidRPr="005434F1">
        <w:rPr>
          <w:rStyle w:val="FootnoteReference"/>
          <w:szCs w:val="22"/>
        </w:rPr>
        <w:footnoteReference w:id="13"/>
      </w:r>
      <w:r w:rsidRPr="0081524F">
        <w:rPr>
          <w:szCs w:val="22"/>
        </w:rPr>
        <w:t xml:space="preserve"> and met or exceeded requirements for 50 </w:t>
      </w:r>
      <w:r>
        <w:rPr>
          <w:szCs w:val="22"/>
        </w:rPr>
        <w:t>per cent</w:t>
      </w:r>
      <w:r w:rsidRPr="0081524F">
        <w:rPr>
          <w:szCs w:val="22"/>
        </w:rPr>
        <w:t xml:space="preserve"> of ratings, or eight indicators out of </w:t>
      </w:r>
      <w:r w:rsidR="009A7D28">
        <w:rPr>
          <w:szCs w:val="22"/>
        </w:rPr>
        <w:t xml:space="preserve">the </w:t>
      </w:r>
      <w:r w:rsidRPr="0081524F">
        <w:rPr>
          <w:szCs w:val="22"/>
        </w:rPr>
        <w:t xml:space="preserve">16 applicable. </w:t>
      </w:r>
      <w:r w:rsidR="00B66D58">
        <w:rPr>
          <w:szCs w:val="22"/>
        </w:rPr>
        <w:t xml:space="preserve"> </w:t>
      </w:r>
      <w:r w:rsidRPr="0081524F">
        <w:rPr>
          <w:szCs w:val="22"/>
        </w:rPr>
        <w:t>WIPO assessed the UN</w:t>
      </w:r>
      <w:r w:rsidR="00B66D58">
        <w:rPr>
          <w:szCs w:val="22"/>
        </w:rPr>
        <w:noBreakHyphen/>
      </w:r>
      <w:r w:rsidRPr="0081524F">
        <w:rPr>
          <w:szCs w:val="22"/>
        </w:rPr>
        <w:t xml:space="preserve">SWAP indicators for evaluation, audit, and knowledge and communication as “exceeds requirements”, and five indicators related to leadership, gender-responsive performance management, gender architecture, organizational culture, and coherence as “meets requirements”. </w:t>
      </w:r>
    </w:p>
    <w:p w14:paraId="5EA8BD94" w14:textId="7C47961E" w:rsidR="008B1CF7" w:rsidRDefault="008B1CF7" w:rsidP="008B1CF7">
      <w:pPr>
        <w:rPr>
          <w:szCs w:val="22"/>
        </w:rPr>
      </w:pPr>
    </w:p>
    <w:p w14:paraId="6156FA2D" w14:textId="5F39C93E" w:rsidR="008B1CF7" w:rsidRPr="008B1CF7" w:rsidRDefault="008B1CF7" w:rsidP="008B1CF7">
      <w:pPr>
        <w:rPr>
          <w:szCs w:val="22"/>
        </w:rPr>
      </w:pPr>
      <w:r>
        <w:rPr>
          <w:noProof/>
          <w:lang w:eastAsia="en-US"/>
        </w:rPr>
        <w:drawing>
          <wp:inline distT="0" distB="0" distL="0" distR="0" wp14:anchorId="46EA2CCF" wp14:editId="137EBA46">
            <wp:extent cx="5940425" cy="2329815"/>
            <wp:effectExtent l="0" t="0" r="3175" b="13335"/>
            <wp:docPr id="11" name="Chart 11" title="Comparison - WIPO 2018 and 2022 performanc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836FD8" w14:textId="66C04123" w:rsidR="00966002" w:rsidRDefault="00966002" w:rsidP="00966002">
      <w:pPr>
        <w:pStyle w:val="ListParagraph"/>
        <w:ind w:left="0"/>
        <w:rPr>
          <w:szCs w:val="22"/>
        </w:rPr>
      </w:pPr>
    </w:p>
    <w:p w14:paraId="60573624" w14:textId="68DC87F5" w:rsidR="00C2077D" w:rsidRDefault="00C2077D" w:rsidP="00C2077D">
      <w:pPr>
        <w:pStyle w:val="ListParagraph"/>
        <w:numPr>
          <w:ilvl w:val="0"/>
          <w:numId w:val="12"/>
        </w:numPr>
        <w:ind w:left="0" w:firstLine="0"/>
        <w:rPr>
          <w:szCs w:val="22"/>
        </w:rPr>
      </w:pPr>
      <w:r w:rsidRPr="0082705D">
        <w:rPr>
          <w:szCs w:val="22"/>
        </w:rPr>
        <w:lastRenderedPageBreak/>
        <w:t xml:space="preserve">As at December 31, 2022, women represented 47.7 </w:t>
      </w:r>
      <w:r>
        <w:rPr>
          <w:szCs w:val="22"/>
        </w:rPr>
        <w:t>per cent</w:t>
      </w:r>
      <w:r w:rsidRPr="0082705D">
        <w:rPr>
          <w:szCs w:val="22"/>
        </w:rPr>
        <w:t xml:space="preserve"> of all staff in the Professional and higher categories holding fixed-term, continuing or permanent appointments on the regular budget, with 49.9 </w:t>
      </w:r>
      <w:r>
        <w:rPr>
          <w:szCs w:val="22"/>
        </w:rPr>
        <w:t>per cent</w:t>
      </w:r>
      <w:r w:rsidRPr="0082705D">
        <w:rPr>
          <w:szCs w:val="22"/>
        </w:rPr>
        <w:t xml:space="preserve"> of women in the Professional category and 31.9 </w:t>
      </w:r>
      <w:r>
        <w:rPr>
          <w:szCs w:val="22"/>
        </w:rPr>
        <w:t>per cent</w:t>
      </w:r>
      <w:r w:rsidRPr="0082705D">
        <w:rPr>
          <w:szCs w:val="22"/>
        </w:rPr>
        <w:t xml:space="preserve"> in the Director category. </w:t>
      </w:r>
      <w:r w:rsidR="00B56C3F">
        <w:rPr>
          <w:szCs w:val="22"/>
        </w:rPr>
        <w:t xml:space="preserve"> </w:t>
      </w:r>
      <w:r w:rsidRPr="0082705D">
        <w:rPr>
          <w:szCs w:val="22"/>
        </w:rPr>
        <w:t xml:space="preserve">Women constituted 80 </w:t>
      </w:r>
      <w:r>
        <w:rPr>
          <w:szCs w:val="22"/>
        </w:rPr>
        <w:t>per cent</w:t>
      </w:r>
      <w:r w:rsidRPr="0082705D">
        <w:rPr>
          <w:szCs w:val="22"/>
        </w:rPr>
        <w:t xml:space="preserve"> of National Professional Officer staff,</w:t>
      </w:r>
      <w:r w:rsidR="002352B6">
        <w:rPr>
          <w:szCs w:val="22"/>
        </w:rPr>
        <w:t xml:space="preserve"> </w:t>
      </w:r>
      <w:r w:rsidRPr="0082705D">
        <w:rPr>
          <w:szCs w:val="22"/>
        </w:rPr>
        <w:t xml:space="preserve">and 62.8 </w:t>
      </w:r>
      <w:r>
        <w:rPr>
          <w:szCs w:val="22"/>
        </w:rPr>
        <w:t>per cent</w:t>
      </w:r>
      <w:r w:rsidRPr="0082705D">
        <w:rPr>
          <w:szCs w:val="22"/>
        </w:rPr>
        <w:t xml:space="preserve"> of General Service staff. </w:t>
      </w:r>
    </w:p>
    <w:p w14:paraId="624BD535" w14:textId="09E51BAF" w:rsidR="00C2077D" w:rsidRDefault="00C2077D" w:rsidP="00C2077D">
      <w:pPr>
        <w:pStyle w:val="ListParagraph"/>
        <w:ind w:left="0"/>
        <w:rPr>
          <w:szCs w:val="22"/>
        </w:rPr>
      </w:pPr>
    </w:p>
    <w:p w14:paraId="22668BC2" w14:textId="69063BEA" w:rsidR="00966002" w:rsidRPr="00C80F88" w:rsidRDefault="00FB793B" w:rsidP="00966002">
      <w:pPr>
        <w:pStyle w:val="ListParagraph"/>
        <w:numPr>
          <w:ilvl w:val="0"/>
          <w:numId w:val="12"/>
        </w:numPr>
        <w:ind w:left="0" w:firstLine="0"/>
        <w:rPr>
          <w:szCs w:val="22"/>
        </w:rPr>
      </w:pPr>
      <w:r w:rsidRPr="00C80F88">
        <w:rPr>
          <w:szCs w:val="22"/>
        </w:rPr>
        <w:t>With regard to gender parity targets, the P4 target has been met</w:t>
      </w:r>
      <w:r>
        <w:rPr>
          <w:szCs w:val="22"/>
        </w:rPr>
        <w:t xml:space="preserve"> since 2020</w:t>
      </w:r>
      <w:r w:rsidRPr="00C80F88">
        <w:rPr>
          <w:szCs w:val="22"/>
        </w:rPr>
        <w:t xml:space="preserve">, making WIPO one of the first </w:t>
      </w:r>
      <w:r>
        <w:rPr>
          <w:szCs w:val="22"/>
        </w:rPr>
        <w:t>agencies</w:t>
      </w:r>
      <w:r w:rsidRPr="00C80F88">
        <w:rPr>
          <w:szCs w:val="22"/>
        </w:rPr>
        <w:t xml:space="preserve"> in the UN</w:t>
      </w:r>
      <w:r>
        <w:rPr>
          <w:szCs w:val="22"/>
        </w:rPr>
        <w:t xml:space="preserve"> </w:t>
      </w:r>
      <w:r w:rsidRPr="00C80F88">
        <w:rPr>
          <w:szCs w:val="22"/>
        </w:rPr>
        <w:t>system to do so</w:t>
      </w:r>
      <w:r>
        <w:rPr>
          <w:rStyle w:val="FootnoteReference"/>
          <w:szCs w:val="22"/>
        </w:rPr>
        <w:footnoteReference w:id="14"/>
      </w:r>
      <w:r w:rsidRPr="00C80F88">
        <w:rPr>
          <w:szCs w:val="22"/>
        </w:rPr>
        <w:t>.</w:t>
      </w:r>
      <w:r w:rsidR="00FE19FC">
        <w:rPr>
          <w:szCs w:val="22"/>
        </w:rPr>
        <w:t xml:space="preserve"> </w:t>
      </w:r>
      <w:r w:rsidRPr="00C80F88">
        <w:rPr>
          <w:szCs w:val="22"/>
        </w:rPr>
        <w:t xml:space="preserve"> Significant progress has also been registered at the D2 level</w:t>
      </w:r>
      <w:r>
        <w:rPr>
          <w:szCs w:val="22"/>
        </w:rPr>
        <w:t>,</w:t>
      </w:r>
      <w:r w:rsidRPr="00C80F88">
        <w:rPr>
          <w:szCs w:val="22"/>
        </w:rPr>
        <w:t xml:space="preserve"> and WIPO is now comparable to</w:t>
      </w:r>
      <w:r>
        <w:rPr>
          <w:szCs w:val="22"/>
        </w:rPr>
        <w:t>, if not better than</w:t>
      </w:r>
      <w:r w:rsidRPr="00C80F88">
        <w:rPr>
          <w:szCs w:val="22"/>
        </w:rPr>
        <w:t xml:space="preserve"> most</w:t>
      </w:r>
      <w:r>
        <w:rPr>
          <w:szCs w:val="22"/>
        </w:rPr>
        <w:t>,</w:t>
      </w:r>
      <w:r w:rsidRPr="00C80F88">
        <w:rPr>
          <w:szCs w:val="22"/>
        </w:rPr>
        <w:t xml:space="preserve"> other </w:t>
      </w:r>
      <w:r w:rsidR="00B56C3F">
        <w:rPr>
          <w:szCs w:val="22"/>
        </w:rPr>
        <w:t>UN </w:t>
      </w:r>
      <w:r>
        <w:rPr>
          <w:szCs w:val="22"/>
        </w:rPr>
        <w:t xml:space="preserve">system </w:t>
      </w:r>
      <w:r w:rsidRPr="00C80F88">
        <w:rPr>
          <w:szCs w:val="22"/>
        </w:rPr>
        <w:t xml:space="preserve">agencies. </w:t>
      </w:r>
      <w:r w:rsidR="00B56C3F">
        <w:rPr>
          <w:szCs w:val="22"/>
        </w:rPr>
        <w:t xml:space="preserve"> </w:t>
      </w:r>
      <w:r>
        <w:rPr>
          <w:szCs w:val="22"/>
        </w:rPr>
        <w:t>Similarly</w:t>
      </w:r>
      <w:r w:rsidRPr="00C80F88">
        <w:rPr>
          <w:szCs w:val="22"/>
        </w:rPr>
        <w:t>, although the D1 and P5 levels have registered a slight decrease, WIPO still remains above most other agencies for the</w:t>
      </w:r>
      <w:r>
        <w:rPr>
          <w:szCs w:val="22"/>
        </w:rPr>
        <w:t>se</w:t>
      </w:r>
      <w:r w:rsidRPr="00C80F88">
        <w:rPr>
          <w:szCs w:val="22"/>
        </w:rPr>
        <w:t xml:space="preserve"> </w:t>
      </w:r>
      <w:r>
        <w:rPr>
          <w:szCs w:val="22"/>
        </w:rPr>
        <w:t>levels</w:t>
      </w:r>
      <w:r w:rsidRPr="00C80F88">
        <w:rPr>
          <w:szCs w:val="22"/>
        </w:rPr>
        <w:t xml:space="preserve">. </w:t>
      </w:r>
      <w:r w:rsidR="00B56C3F">
        <w:rPr>
          <w:szCs w:val="22"/>
        </w:rPr>
        <w:t xml:space="preserve"> </w:t>
      </w:r>
      <w:r w:rsidRPr="00C80F88">
        <w:rPr>
          <w:szCs w:val="22"/>
        </w:rPr>
        <w:t xml:space="preserve">Notwithstanding the above and in light of the decision taken by Member States, renewed efforts are </w:t>
      </w:r>
      <w:r>
        <w:rPr>
          <w:szCs w:val="22"/>
        </w:rPr>
        <w:t>underway</w:t>
      </w:r>
      <w:r w:rsidRPr="00C80F88">
        <w:rPr>
          <w:szCs w:val="22"/>
        </w:rPr>
        <w:t xml:space="preserve"> to further improve these trends</w:t>
      </w:r>
      <w:r>
        <w:rPr>
          <w:szCs w:val="22"/>
        </w:rPr>
        <w:t xml:space="preserve"> within WIPO’s workforce</w:t>
      </w:r>
      <w:r w:rsidR="00966002" w:rsidRPr="00C80F88">
        <w:rPr>
          <w:szCs w:val="22"/>
        </w:rPr>
        <w:t>.</w:t>
      </w:r>
    </w:p>
    <w:p w14:paraId="530C6698" w14:textId="77777777" w:rsidR="00966002" w:rsidRPr="0025436A" w:rsidRDefault="00966002" w:rsidP="00966002">
      <w:pPr>
        <w:pStyle w:val="ListParagraph"/>
        <w:ind w:left="0"/>
        <w:rPr>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729"/>
        <w:gridCol w:w="1730"/>
        <w:gridCol w:w="1730"/>
        <w:gridCol w:w="1730"/>
        <w:gridCol w:w="1631"/>
      </w:tblGrid>
      <w:tr w:rsidR="00966002" w:rsidRPr="00724054" w14:paraId="38EA8D5C" w14:textId="77777777" w:rsidTr="00DD79D5">
        <w:trPr>
          <w:tblHeader/>
        </w:trPr>
        <w:tc>
          <w:tcPr>
            <w:tcW w:w="9445" w:type="dxa"/>
            <w:gridSpan w:val="6"/>
            <w:shd w:val="clear" w:color="auto" w:fill="auto"/>
            <w:vAlign w:val="center"/>
          </w:tcPr>
          <w:p w14:paraId="1DC8BC3F" w14:textId="649BF0C9" w:rsidR="00966002" w:rsidRPr="00DD79D5" w:rsidRDefault="00966002" w:rsidP="00DD79D5">
            <w:pPr>
              <w:widowControl w:val="0"/>
              <w:autoSpaceDE w:val="0"/>
              <w:autoSpaceDN w:val="0"/>
              <w:spacing w:before="120" w:after="120"/>
              <w:jc w:val="center"/>
              <w:rPr>
                <w:b/>
                <w:sz w:val="18"/>
                <w:szCs w:val="18"/>
              </w:rPr>
            </w:pPr>
            <w:r w:rsidRPr="00DD79D5">
              <w:rPr>
                <w:b/>
                <w:sz w:val="18"/>
                <w:szCs w:val="18"/>
              </w:rPr>
              <w:t xml:space="preserve"> </w:t>
            </w:r>
            <w:r w:rsidR="00C2077D" w:rsidRPr="00DD79D5">
              <w:rPr>
                <w:b/>
                <w:sz w:val="18"/>
                <w:szCs w:val="18"/>
              </w:rPr>
              <w:t>Share</w:t>
            </w:r>
            <w:r w:rsidRPr="00DD79D5">
              <w:rPr>
                <w:b/>
                <w:sz w:val="18"/>
                <w:szCs w:val="18"/>
              </w:rPr>
              <w:t xml:space="preserve"> of women </w:t>
            </w:r>
            <w:r w:rsidR="00C2077D" w:rsidRPr="00DD79D5">
              <w:rPr>
                <w:b/>
                <w:sz w:val="18"/>
                <w:szCs w:val="18"/>
              </w:rPr>
              <w:t xml:space="preserve">at </w:t>
            </w:r>
            <w:r w:rsidRPr="00DD79D5">
              <w:rPr>
                <w:b/>
                <w:sz w:val="18"/>
                <w:szCs w:val="18"/>
              </w:rPr>
              <w:t>grade</w:t>
            </w:r>
            <w:r w:rsidR="00C2077D" w:rsidRPr="00DD79D5">
              <w:rPr>
                <w:b/>
                <w:sz w:val="18"/>
                <w:szCs w:val="18"/>
              </w:rPr>
              <w:t>s P4 to D2</w:t>
            </w:r>
          </w:p>
        </w:tc>
      </w:tr>
      <w:tr w:rsidR="00547C39" w:rsidRPr="00724054" w14:paraId="6D56D17A" w14:textId="77777777" w:rsidTr="00DD79D5">
        <w:trPr>
          <w:tblHeader/>
        </w:trPr>
        <w:tc>
          <w:tcPr>
            <w:tcW w:w="895" w:type="dxa"/>
            <w:shd w:val="clear" w:color="auto" w:fill="auto"/>
            <w:vAlign w:val="center"/>
          </w:tcPr>
          <w:p w14:paraId="193DDF69" w14:textId="77777777" w:rsidR="00966002" w:rsidRPr="00DD79D5" w:rsidRDefault="00966002" w:rsidP="00DD79D5">
            <w:pPr>
              <w:widowControl w:val="0"/>
              <w:autoSpaceDE w:val="0"/>
              <w:autoSpaceDN w:val="0"/>
              <w:jc w:val="center"/>
              <w:rPr>
                <w:sz w:val="18"/>
                <w:szCs w:val="18"/>
              </w:rPr>
            </w:pPr>
            <w:r w:rsidRPr="00DD79D5">
              <w:rPr>
                <w:b/>
                <w:sz w:val="18"/>
                <w:szCs w:val="18"/>
              </w:rPr>
              <w:t>Grades</w:t>
            </w:r>
          </w:p>
        </w:tc>
        <w:tc>
          <w:tcPr>
            <w:tcW w:w="1729" w:type="dxa"/>
            <w:shd w:val="clear" w:color="auto" w:fill="auto"/>
            <w:vAlign w:val="center"/>
          </w:tcPr>
          <w:p w14:paraId="75B08294" w14:textId="77777777" w:rsidR="00966002" w:rsidRPr="00DD79D5" w:rsidRDefault="00966002" w:rsidP="00DD79D5">
            <w:pPr>
              <w:widowControl w:val="0"/>
              <w:autoSpaceDE w:val="0"/>
              <w:autoSpaceDN w:val="0"/>
              <w:jc w:val="center"/>
              <w:rPr>
                <w:sz w:val="18"/>
                <w:szCs w:val="18"/>
              </w:rPr>
            </w:pPr>
            <w:r w:rsidRPr="00DD79D5">
              <w:rPr>
                <w:b/>
                <w:sz w:val="18"/>
                <w:szCs w:val="18"/>
              </w:rPr>
              <w:t xml:space="preserve">As at </w:t>
            </w:r>
            <w:r w:rsidRPr="00DD79D5">
              <w:rPr>
                <w:b/>
                <w:sz w:val="18"/>
                <w:szCs w:val="18"/>
              </w:rPr>
              <w:br/>
              <w:t>June 30, 2020</w:t>
            </w:r>
          </w:p>
        </w:tc>
        <w:tc>
          <w:tcPr>
            <w:tcW w:w="1730" w:type="dxa"/>
            <w:shd w:val="clear" w:color="auto" w:fill="auto"/>
            <w:vAlign w:val="center"/>
          </w:tcPr>
          <w:p w14:paraId="0F8E53E4" w14:textId="77777777" w:rsidR="00966002" w:rsidRPr="00DD79D5" w:rsidRDefault="00966002" w:rsidP="00DD79D5">
            <w:pPr>
              <w:widowControl w:val="0"/>
              <w:autoSpaceDE w:val="0"/>
              <w:autoSpaceDN w:val="0"/>
              <w:jc w:val="center"/>
              <w:rPr>
                <w:b/>
                <w:sz w:val="18"/>
                <w:szCs w:val="18"/>
              </w:rPr>
            </w:pPr>
            <w:r w:rsidRPr="00DD79D5">
              <w:rPr>
                <w:b/>
                <w:sz w:val="18"/>
                <w:szCs w:val="18"/>
              </w:rPr>
              <w:t xml:space="preserve">As at </w:t>
            </w:r>
            <w:r w:rsidRPr="00DD79D5">
              <w:rPr>
                <w:b/>
                <w:sz w:val="18"/>
                <w:szCs w:val="18"/>
              </w:rPr>
              <w:br/>
              <w:t>June 30, 2021</w:t>
            </w:r>
          </w:p>
        </w:tc>
        <w:tc>
          <w:tcPr>
            <w:tcW w:w="1730" w:type="dxa"/>
            <w:shd w:val="clear" w:color="auto" w:fill="auto"/>
          </w:tcPr>
          <w:p w14:paraId="62350980" w14:textId="77777777" w:rsidR="00966002" w:rsidRPr="00DD79D5" w:rsidRDefault="00966002" w:rsidP="00DD79D5">
            <w:pPr>
              <w:widowControl w:val="0"/>
              <w:autoSpaceDE w:val="0"/>
              <w:autoSpaceDN w:val="0"/>
              <w:jc w:val="center"/>
              <w:rPr>
                <w:b/>
                <w:sz w:val="18"/>
                <w:szCs w:val="18"/>
              </w:rPr>
            </w:pPr>
            <w:r w:rsidRPr="00DD79D5">
              <w:rPr>
                <w:b/>
                <w:sz w:val="18"/>
                <w:szCs w:val="18"/>
              </w:rPr>
              <w:t xml:space="preserve">As at </w:t>
            </w:r>
            <w:r w:rsidRPr="00DD79D5">
              <w:rPr>
                <w:b/>
                <w:sz w:val="18"/>
                <w:szCs w:val="18"/>
              </w:rPr>
              <w:br/>
              <w:t>Dec. 31, 2021</w:t>
            </w:r>
          </w:p>
        </w:tc>
        <w:tc>
          <w:tcPr>
            <w:tcW w:w="1730" w:type="dxa"/>
            <w:shd w:val="clear" w:color="auto" w:fill="auto"/>
          </w:tcPr>
          <w:p w14:paraId="27BA4BC4" w14:textId="77777777" w:rsidR="00966002" w:rsidRPr="00DD79D5" w:rsidRDefault="00966002" w:rsidP="00DD79D5">
            <w:pPr>
              <w:widowControl w:val="0"/>
              <w:autoSpaceDE w:val="0"/>
              <w:autoSpaceDN w:val="0"/>
              <w:jc w:val="center"/>
              <w:rPr>
                <w:b/>
                <w:sz w:val="18"/>
                <w:szCs w:val="18"/>
              </w:rPr>
            </w:pPr>
            <w:r w:rsidRPr="00DD79D5">
              <w:rPr>
                <w:b/>
                <w:sz w:val="18"/>
                <w:szCs w:val="18"/>
              </w:rPr>
              <w:t xml:space="preserve">As at </w:t>
            </w:r>
            <w:r w:rsidRPr="00DD79D5">
              <w:rPr>
                <w:b/>
                <w:sz w:val="18"/>
                <w:szCs w:val="18"/>
              </w:rPr>
              <w:br/>
              <w:t>Dec. 31, 2022</w:t>
            </w:r>
          </w:p>
        </w:tc>
        <w:tc>
          <w:tcPr>
            <w:tcW w:w="1631" w:type="dxa"/>
            <w:shd w:val="clear" w:color="auto" w:fill="BFBFBF"/>
            <w:vAlign w:val="center"/>
          </w:tcPr>
          <w:p w14:paraId="30F976FF" w14:textId="77777777" w:rsidR="00966002" w:rsidRPr="00DD79D5" w:rsidRDefault="00966002" w:rsidP="00DD79D5">
            <w:pPr>
              <w:widowControl w:val="0"/>
              <w:autoSpaceDE w:val="0"/>
              <w:autoSpaceDN w:val="0"/>
              <w:jc w:val="center"/>
              <w:rPr>
                <w:sz w:val="18"/>
                <w:szCs w:val="18"/>
              </w:rPr>
            </w:pPr>
            <w:r w:rsidRPr="00DD79D5">
              <w:rPr>
                <w:b/>
                <w:sz w:val="18"/>
                <w:szCs w:val="18"/>
              </w:rPr>
              <w:t xml:space="preserve">Targets for </w:t>
            </w:r>
            <w:r w:rsidRPr="00DD79D5">
              <w:rPr>
                <w:b/>
                <w:sz w:val="18"/>
                <w:szCs w:val="18"/>
              </w:rPr>
              <w:br/>
              <w:t>2022-2023</w:t>
            </w:r>
          </w:p>
        </w:tc>
      </w:tr>
      <w:tr w:rsidR="00547C39" w:rsidRPr="00724054" w14:paraId="42F5DD7C" w14:textId="77777777" w:rsidTr="00DD79D5">
        <w:tc>
          <w:tcPr>
            <w:tcW w:w="895" w:type="dxa"/>
            <w:shd w:val="clear" w:color="auto" w:fill="auto"/>
          </w:tcPr>
          <w:p w14:paraId="36AF220B" w14:textId="77777777" w:rsidR="00966002" w:rsidRPr="00DD79D5" w:rsidRDefault="00966002" w:rsidP="00DD79D5">
            <w:pPr>
              <w:widowControl w:val="0"/>
              <w:autoSpaceDE w:val="0"/>
              <w:autoSpaceDN w:val="0"/>
              <w:jc w:val="center"/>
              <w:rPr>
                <w:sz w:val="18"/>
                <w:szCs w:val="18"/>
              </w:rPr>
            </w:pPr>
            <w:r w:rsidRPr="00DD79D5">
              <w:rPr>
                <w:sz w:val="18"/>
                <w:szCs w:val="18"/>
              </w:rPr>
              <w:t>D2</w:t>
            </w:r>
          </w:p>
        </w:tc>
        <w:tc>
          <w:tcPr>
            <w:tcW w:w="1729" w:type="dxa"/>
            <w:shd w:val="clear" w:color="auto" w:fill="auto"/>
          </w:tcPr>
          <w:p w14:paraId="77B9C90C" w14:textId="094C9CAF" w:rsidR="00966002" w:rsidRPr="00DD79D5" w:rsidRDefault="00966002" w:rsidP="00DD79D5">
            <w:pPr>
              <w:widowControl w:val="0"/>
              <w:autoSpaceDE w:val="0"/>
              <w:autoSpaceDN w:val="0"/>
              <w:jc w:val="center"/>
              <w:rPr>
                <w:sz w:val="18"/>
                <w:szCs w:val="18"/>
              </w:rPr>
            </w:pPr>
            <w:r w:rsidRPr="00DD79D5">
              <w:rPr>
                <w:sz w:val="18"/>
                <w:szCs w:val="18"/>
              </w:rPr>
              <w:t>15.4</w:t>
            </w:r>
            <w:r w:rsidR="00BB4946">
              <w:rPr>
                <w:sz w:val="18"/>
                <w:szCs w:val="18"/>
              </w:rPr>
              <w:t>%</w:t>
            </w:r>
          </w:p>
        </w:tc>
        <w:tc>
          <w:tcPr>
            <w:tcW w:w="1730" w:type="dxa"/>
            <w:shd w:val="clear" w:color="auto" w:fill="auto"/>
          </w:tcPr>
          <w:p w14:paraId="2D62D562" w14:textId="0199238B" w:rsidR="00966002" w:rsidRPr="00DD79D5" w:rsidRDefault="00966002" w:rsidP="00DD79D5">
            <w:pPr>
              <w:widowControl w:val="0"/>
              <w:autoSpaceDE w:val="0"/>
              <w:autoSpaceDN w:val="0"/>
              <w:jc w:val="center"/>
              <w:rPr>
                <w:sz w:val="18"/>
                <w:szCs w:val="18"/>
              </w:rPr>
            </w:pPr>
            <w:r w:rsidRPr="00DD79D5">
              <w:rPr>
                <w:sz w:val="18"/>
                <w:szCs w:val="18"/>
              </w:rPr>
              <w:t>10</w:t>
            </w:r>
            <w:r w:rsidR="00BB4946">
              <w:rPr>
                <w:sz w:val="18"/>
                <w:szCs w:val="18"/>
              </w:rPr>
              <w:t>%</w:t>
            </w:r>
          </w:p>
        </w:tc>
        <w:tc>
          <w:tcPr>
            <w:tcW w:w="1730" w:type="dxa"/>
            <w:shd w:val="clear" w:color="auto" w:fill="auto"/>
          </w:tcPr>
          <w:p w14:paraId="43A0EC8A" w14:textId="5C89531F" w:rsidR="00966002" w:rsidRPr="00DD79D5" w:rsidRDefault="00966002" w:rsidP="00DD79D5">
            <w:pPr>
              <w:widowControl w:val="0"/>
              <w:autoSpaceDE w:val="0"/>
              <w:autoSpaceDN w:val="0"/>
              <w:jc w:val="center"/>
              <w:rPr>
                <w:sz w:val="18"/>
                <w:szCs w:val="18"/>
              </w:rPr>
            </w:pPr>
            <w:r w:rsidRPr="00DD79D5">
              <w:rPr>
                <w:sz w:val="18"/>
                <w:szCs w:val="18"/>
              </w:rPr>
              <w:t>10</w:t>
            </w:r>
            <w:r w:rsidR="00BB4946">
              <w:rPr>
                <w:sz w:val="18"/>
                <w:szCs w:val="18"/>
              </w:rPr>
              <w:t>%</w:t>
            </w:r>
          </w:p>
        </w:tc>
        <w:tc>
          <w:tcPr>
            <w:tcW w:w="1730" w:type="dxa"/>
            <w:shd w:val="clear" w:color="auto" w:fill="auto"/>
          </w:tcPr>
          <w:p w14:paraId="0F9F3F1B" w14:textId="02CBE930" w:rsidR="00966002" w:rsidRPr="00DD79D5" w:rsidRDefault="00966002" w:rsidP="00DD79D5">
            <w:pPr>
              <w:widowControl w:val="0"/>
              <w:autoSpaceDE w:val="0"/>
              <w:autoSpaceDN w:val="0"/>
              <w:jc w:val="center"/>
              <w:rPr>
                <w:sz w:val="18"/>
                <w:szCs w:val="18"/>
              </w:rPr>
            </w:pPr>
            <w:r w:rsidRPr="00DD79D5">
              <w:rPr>
                <w:sz w:val="18"/>
                <w:szCs w:val="18"/>
              </w:rPr>
              <w:t>18.2</w:t>
            </w:r>
            <w:r w:rsidR="00BB4946">
              <w:rPr>
                <w:sz w:val="18"/>
                <w:szCs w:val="18"/>
              </w:rPr>
              <w:t>%</w:t>
            </w:r>
          </w:p>
        </w:tc>
        <w:tc>
          <w:tcPr>
            <w:tcW w:w="1631" w:type="dxa"/>
            <w:shd w:val="clear" w:color="auto" w:fill="BFBFBF"/>
          </w:tcPr>
          <w:p w14:paraId="6B44A188" w14:textId="782475E8" w:rsidR="00966002" w:rsidRPr="00DD79D5" w:rsidRDefault="00966002" w:rsidP="00DD79D5">
            <w:pPr>
              <w:widowControl w:val="0"/>
              <w:autoSpaceDE w:val="0"/>
              <w:autoSpaceDN w:val="0"/>
              <w:jc w:val="center"/>
              <w:rPr>
                <w:sz w:val="18"/>
                <w:szCs w:val="18"/>
              </w:rPr>
            </w:pPr>
            <w:r w:rsidRPr="00DD79D5">
              <w:rPr>
                <w:sz w:val="18"/>
                <w:szCs w:val="18"/>
              </w:rPr>
              <w:t>33</w:t>
            </w:r>
            <w:r w:rsidR="00BB4946">
              <w:rPr>
                <w:sz w:val="18"/>
                <w:szCs w:val="18"/>
              </w:rPr>
              <w:t>%</w:t>
            </w:r>
          </w:p>
        </w:tc>
      </w:tr>
      <w:tr w:rsidR="00547C39" w:rsidRPr="00724054" w14:paraId="29242119" w14:textId="77777777" w:rsidTr="00DD79D5">
        <w:tc>
          <w:tcPr>
            <w:tcW w:w="895" w:type="dxa"/>
            <w:shd w:val="clear" w:color="auto" w:fill="auto"/>
          </w:tcPr>
          <w:p w14:paraId="6D3EBA48" w14:textId="77777777" w:rsidR="00966002" w:rsidRPr="00DD79D5" w:rsidRDefault="00966002" w:rsidP="00DD79D5">
            <w:pPr>
              <w:widowControl w:val="0"/>
              <w:autoSpaceDE w:val="0"/>
              <w:autoSpaceDN w:val="0"/>
              <w:jc w:val="center"/>
              <w:rPr>
                <w:sz w:val="18"/>
                <w:szCs w:val="18"/>
              </w:rPr>
            </w:pPr>
            <w:r w:rsidRPr="00DD79D5">
              <w:rPr>
                <w:sz w:val="18"/>
                <w:szCs w:val="18"/>
              </w:rPr>
              <w:t>D1</w:t>
            </w:r>
          </w:p>
        </w:tc>
        <w:tc>
          <w:tcPr>
            <w:tcW w:w="1729" w:type="dxa"/>
            <w:shd w:val="clear" w:color="auto" w:fill="auto"/>
          </w:tcPr>
          <w:p w14:paraId="1A7D4D00" w14:textId="1925BF51" w:rsidR="00966002" w:rsidRPr="00DD79D5" w:rsidRDefault="00966002" w:rsidP="00DD79D5">
            <w:pPr>
              <w:widowControl w:val="0"/>
              <w:autoSpaceDE w:val="0"/>
              <w:autoSpaceDN w:val="0"/>
              <w:jc w:val="center"/>
              <w:rPr>
                <w:sz w:val="18"/>
                <w:szCs w:val="18"/>
              </w:rPr>
            </w:pPr>
            <w:r w:rsidRPr="00DD79D5">
              <w:rPr>
                <w:sz w:val="18"/>
                <w:szCs w:val="18"/>
              </w:rPr>
              <w:t>34.9</w:t>
            </w:r>
            <w:r w:rsidR="00BB4946">
              <w:rPr>
                <w:sz w:val="18"/>
                <w:szCs w:val="18"/>
              </w:rPr>
              <w:t>%</w:t>
            </w:r>
          </w:p>
        </w:tc>
        <w:tc>
          <w:tcPr>
            <w:tcW w:w="1730" w:type="dxa"/>
            <w:shd w:val="clear" w:color="auto" w:fill="auto"/>
          </w:tcPr>
          <w:p w14:paraId="53FFC1C1" w14:textId="4148BCF6" w:rsidR="00966002" w:rsidRPr="00DD79D5" w:rsidRDefault="00966002" w:rsidP="00DD79D5">
            <w:pPr>
              <w:widowControl w:val="0"/>
              <w:autoSpaceDE w:val="0"/>
              <w:autoSpaceDN w:val="0"/>
              <w:jc w:val="center"/>
              <w:rPr>
                <w:sz w:val="18"/>
                <w:szCs w:val="18"/>
              </w:rPr>
            </w:pPr>
            <w:r w:rsidRPr="00DD79D5">
              <w:rPr>
                <w:sz w:val="18"/>
                <w:szCs w:val="18"/>
              </w:rPr>
              <w:t>37.1</w:t>
            </w:r>
            <w:r w:rsidR="00BB4946">
              <w:rPr>
                <w:sz w:val="18"/>
                <w:szCs w:val="18"/>
              </w:rPr>
              <w:t>%</w:t>
            </w:r>
          </w:p>
        </w:tc>
        <w:tc>
          <w:tcPr>
            <w:tcW w:w="1730" w:type="dxa"/>
            <w:shd w:val="clear" w:color="auto" w:fill="auto"/>
          </w:tcPr>
          <w:p w14:paraId="15B8F144" w14:textId="14335114" w:rsidR="00966002" w:rsidRPr="00DD79D5" w:rsidRDefault="00966002" w:rsidP="00DD79D5">
            <w:pPr>
              <w:widowControl w:val="0"/>
              <w:autoSpaceDE w:val="0"/>
              <w:autoSpaceDN w:val="0"/>
              <w:jc w:val="center"/>
              <w:rPr>
                <w:sz w:val="18"/>
                <w:szCs w:val="18"/>
              </w:rPr>
            </w:pPr>
            <w:r w:rsidRPr="00DD79D5">
              <w:rPr>
                <w:sz w:val="18"/>
                <w:szCs w:val="18"/>
              </w:rPr>
              <w:t>37.3</w:t>
            </w:r>
            <w:r w:rsidR="00BB4946">
              <w:rPr>
                <w:sz w:val="18"/>
                <w:szCs w:val="18"/>
              </w:rPr>
              <w:t>%</w:t>
            </w:r>
          </w:p>
        </w:tc>
        <w:tc>
          <w:tcPr>
            <w:tcW w:w="1730" w:type="dxa"/>
            <w:shd w:val="clear" w:color="auto" w:fill="auto"/>
          </w:tcPr>
          <w:p w14:paraId="730C839C" w14:textId="739F9F56" w:rsidR="00966002" w:rsidRPr="00DD79D5" w:rsidRDefault="00966002" w:rsidP="00DD79D5">
            <w:pPr>
              <w:widowControl w:val="0"/>
              <w:autoSpaceDE w:val="0"/>
              <w:autoSpaceDN w:val="0"/>
              <w:jc w:val="center"/>
              <w:rPr>
                <w:sz w:val="18"/>
                <w:szCs w:val="18"/>
              </w:rPr>
            </w:pPr>
            <w:r w:rsidRPr="00DD79D5">
              <w:rPr>
                <w:sz w:val="18"/>
                <w:szCs w:val="18"/>
              </w:rPr>
              <w:t>34.4</w:t>
            </w:r>
            <w:r w:rsidR="00BB4946">
              <w:rPr>
                <w:sz w:val="18"/>
                <w:szCs w:val="18"/>
              </w:rPr>
              <w:t>%</w:t>
            </w:r>
          </w:p>
        </w:tc>
        <w:tc>
          <w:tcPr>
            <w:tcW w:w="1631" w:type="dxa"/>
            <w:shd w:val="clear" w:color="auto" w:fill="BFBFBF"/>
          </w:tcPr>
          <w:p w14:paraId="4221E392" w14:textId="0D4D10D2" w:rsidR="00966002" w:rsidRPr="00DD79D5" w:rsidRDefault="00966002" w:rsidP="00DD79D5">
            <w:pPr>
              <w:widowControl w:val="0"/>
              <w:autoSpaceDE w:val="0"/>
              <w:autoSpaceDN w:val="0"/>
              <w:jc w:val="center"/>
              <w:rPr>
                <w:sz w:val="18"/>
                <w:szCs w:val="18"/>
              </w:rPr>
            </w:pPr>
            <w:r w:rsidRPr="00DD79D5">
              <w:rPr>
                <w:sz w:val="18"/>
                <w:szCs w:val="18"/>
              </w:rPr>
              <w:t>41</w:t>
            </w:r>
            <w:r w:rsidR="00BB4946">
              <w:rPr>
                <w:sz w:val="18"/>
                <w:szCs w:val="18"/>
              </w:rPr>
              <w:t>%</w:t>
            </w:r>
          </w:p>
        </w:tc>
      </w:tr>
      <w:tr w:rsidR="00547C39" w:rsidRPr="00724054" w14:paraId="31156517" w14:textId="77777777" w:rsidTr="00DD79D5">
        <w:tc>
          <w:tcPr>
            <w:tcW w:w="895" w:type="dxa"/>
            <w:shd w:val="clear" w:color="auto" w:fill="auto"/>
          </w:tcPr>
          <w:p w14:paraId="6A167360" w14:textId="77777777" w:rsidR="00966002" w:rsidRPr="00DD79D5" w:rsidRDefault="00966002" w:rsidP="00DD79D5">
            <w:pPr>
              <w:widowControl w:val="0"/>
              <w:autoSpaceDE w:val="0"/>
              <w:autoSpaceDN w:val="0"/>
              <w:jc w:val="center"/>
              <w:rPr>
                <w:sz w:val="18"/>
                <w:szCs w:val="18"/>
              </w:rPr>
            </w:pPr>
            <w:r w:rsidRPr="00DD79D5">
              <w:rPr>
                <w:sz w:val="18"/>
                <w:szCs w:val="18"/>
              </w:rPr>
              <w:t>P5</w:t>
            </w:r>
          </w:p>
        </w:tc>
        <w:tc>
          <w:tcPr>
            <w:tcW w:w="1729" w:type="dxa"/>
            <w:shd w:val="clear" w:color="auto" w:fill="auto"/>
          </w:tcPr>
          <w:p w14:paraId="7A552C06" w14:textId="5175E284" w:rsidR="00966002" w:rsidRPr="00DD79D5" w:rsidRDefault="00966002" w:rsidP="00DD79D5">
            <w:pPr>
              <w:widowControl w:val="0"/>
              <w:autoSpaceDE w:val="0"/>
              <w:autoSpaceDN w:val="0"/>
              <w:jc w:val="center"/>
              <w:rPr>
                <w:sz w:val="18"/>
                <w:szCs w:val="18"/>
              </w:rPr>
            </w:pPr>
            <w:r w:rsidRPr="00DD79D5">
              <w:rPr>
                <w:sz w:val="18"/>
                <w:szCs w:val="18"/>
              </w:rPr>
              <w:t>32.7</w:t>
            </w:r>
            <w:r w:rsidR="00BB4946">
              <w:rPr>
                <w:sz w:val="18"/>
                <w:szCs w:val="18"/>
              </w:rPr>
              <w:t>%</w:t>
            </w:r>
          </w:p>
        </w:tc>
        <w:tc>
          <w:tcPr>
            <w:tcW w:w="1730" w:type="dxa"/>
            <w:shd w:val="clear" w:color="auto" w:fill="auto"/>
          </w:tcPr>
          <w:p w14:paraId="3086CF94" w14:textId="6CCC6474" w:rsidR="00966002" w:rsidRPr="00DD79D5" w:rsidRDefault="00966002" w:rsidP="00DD79D5">
            <w:pPr>
              <w:widowControl w:val="0"/>
              <w:autoSpaceDE w:val="0"/>
              <w:autoSpaceDN w:val="0"/>
              <w:jc w:val="center"/>
              <w:rPr>
                <w:sz w:val="18"/>
                <w:szCs w:val="18"/>
              </w:rPr>
            </w:pPr>
            <w:r w:rsidRPr="00DD79D5">
              <w:rPr>
                <w:sz w:val="18"/>
                <w:szCs w:val="18"/>
              </w:rPr>
              <w:t>29.7</w:t>
            </w:r>
            <w:r w:rsidR="00BB4946">
              <w:rPr>
                <w:sz w:val="18"/>
                <w:szCs w:val="18"/>
              </w:rPr>
              <w:t>%</w:t>
            </w:r>
          </w:p>
        </w:tc>
        <w:tc>
          <w:tcPr>
            <w:tcW w:w="1730" w:type="dxa"/>
            <w:shd w:val="clear" w:color="auto" w:fill="auto"/>
          </w:tcPr>
          <w:p w14:paraId="3ED61BBC" w14:textId="64D04D5E" w:rsidR="00966002" w:rsidRPr="00DD79D5" w:rsidRDefault="00966002" w:rsidP="00DD79D5">
            <w:pPr>
              <w:widowControl w:val="0"/>
              <w:autoSpaceDE w:val="0"/>
              <w:autoSpaceDN w:val="0"/>
              <w:jc w:val="center"/>
              <w:rPr>
                <w:sz w:val="18"/>
                <w:szCs w:val="18"/>
              </w:rPr>
            </w:pPr>
            <w:r w:rsidRPr="00DD79D5">
              <w:rPr>
                <w:sz w:val="18"/>
                <w:szCs w:val="18"/>
              </w:rPr>
              <w:t>29.1</w:t>
            </w:r>
            <w:r w:rsidR="00BB4946">
              <w:rPr>
                <w:sz w:val="18"/>
                <w:szCs w:val="18"/>
              </w:rPr>
              <w:t>%</w:t>
            </w:r>
          </w:p>
        </w:tc>
        <w:tc>
          <w:tcPr>
            <w:tcW w:w="1730" w:type="dxa"/>
            <w:shd w:val="clear" w:color="auto" w:fill="auto"/>
          </w:tcPr>
          <w:p w14:paraId="36F2D343" w14:textId="5A7E59AE" w:rsidR="00966002" w:rsidRPr="00DD79D5" w:rsidRDefault="00966002" w:rsidP="00DD79D5">
            <w:pPr>
              <w:widowControl w:val="0"/>
              <w:autoSpaceDE w:val="0"/>
              <w:autoSpaceDN w:val="0"/>
              <w:jc w:val="center"/>
              <w:rPr>
                <w:sz w:val="18"/>
                <w:szCs w:val="18"/>
              </w:rPr>
            </w:pPr>
            <w:r w:rsidRPr="00DD79D5">
              <w:rPr>
                <w:sz w:val="18"/>
                <w:szCs w:val="18"/>
              </w:rPr>
              <w:t>28.8</w:t>
            </w:r>
            <w:r w:rsidR="00BB4946">
              <w:rPr>
                <w:sz w:val="18"/>
                <w:szCs w:val="18"/>
              </w:rPr>
              <w:t>%</w:t>
            </w:r>
          </w:p>
        </w:tc>
        <w:tc>
          <w:tcPr>
            <w:tcW w:w="1631" w:type="dxa"/>
            <w:shd w:val="clear" w:color="auto" w:fill="BFBFBF"/>
          </w:tcPr>
          <w:p w14:paraId="1C9F949F" w14:textId="7C57F23C" w:rsidR="00966002" w:rsidRPr="00DD79D5" w:rsidRDefault="00EC0C6F" w:rsidP="00DD79D5">
            <w:pPr>
              <w:widowControl w:val="0"/>
              <w:autoSpaceDE w:val="0"/>
              <w:autoSpaceDN w:val="0"/>
              <w:jc w:val="center"/>
              <w:rPr>
                <w:sz w:val="18"/>
                <w:szCs w:val="18"/>
              </w:rPr>
            </w:pPr>
            <w:r w:rsidRPr="00DD79D5">
              <w:rPr>
                <w:sz w:val="18"/>
                <w:szCs w:val="18"/>
              </w:rPr>
              <w:t>35</w:t>
            </w:r>
            <w:r w:rsidR="00BB4946">
              <w:rPr>
                <w:sz w:val="18"/>
                <w:szCs w:val="18"/>
              </w:rPr>
              <w:t>%</w:t>
            </w:r>
          </w:p>
        </w:tc>
      </w:tr>
      <w:tr w:rsidR="00547C39" w14:paraId="7E8A16BF" w14:textId="77777777" w:rsidTr="00DD79D5">
        <w:tc>
          <w:tcPr>
            <w:tcW w:w="895" w:type="dxa"/>
            <w:shd w:val="clear" w:color="auto" w:fill="auto"/>
          </w:tcPr>
          <w:p w14:paraId="1CD3E838" w14:textId="77777777" w:rsidR="00966002" w:rsidRPr="00DD79D5" w:rsidRDefault="00966002" w:rsidP="00DD79D5">
            <w:pPr>
              <w:widowControl w:val="0"/>
              <w:autoSpaceDE w:val="0"/>
              <w:autoSpaceDN w:val="0"/>
              <w:jc w:val="center"/>
              <w:rPr>
                <w:sz w:val="18"/>
                <w:szCs w:val="18"/>
              </w:rPr>
            </w:pPr>
            <w:r w:rsidRPr="00DD79D5">
              <w:rPr>
                <w:sz w:val="18"/>
                <w:szCs w:val="18"/>
              </w:rPr>
              <w:t>P4</w:t>
            </w:r>
          </w:p>
        </w:tc>
        <w:tc>
          <w:tcPr>
            <w:tcW w:w="1729" w:type="dxa"/>
            <w:shd w:val="clear" w:color="auto" w:fill="auto"/>
          </w:tcPr>
          <w:p w14:paraId="08805D0D" w14:textId="51D420FD" w:rsidR="00966002" w:rsidRPr="00DD79D5" w:rsidRDefault="00966002" w:rsidP="00DD79D5">
            <w:pPr>
              <w:widowControl w:val="0"/>
              <w:autoSpaceDE w:val="0"/>
              <w:autoSpaceDN w:val="0"/>
              <w:jc w:val="center"/>
              <w:rPr>
                <w:sz w:val="18"/>
                <w:szCs w:val="18"/>
              </w:rPr>
            </w:pPr>
            <w:r w:rsidRPr="00DD79D5">
              <w:rPr>
                <w:sz w:val="18"/>
                <w:szCs w:val="18"/>
              </w:rPr>
              <w:t>50.0</w:t>
            </w:r>
            <w:r w:rsidR="00BB4946">
              <w:rPr>
                <w:sz w:val="18"/>
                <w:szCs w:val="18"/>
              </w:rPr>
              <w:t>%</w:t>
            </w:r>
          </w:p>
        </w:tc>
        <w:tc>
          <w:tcPr>
            <w:tcW w:w="1730" w:type="dxa"/>
            <w:shd w:val="clear" w:color="auto" w:fill="auto"/>
          </w:tcPr>
          <w:p w14:paraId="3F7E71BF" w14:textId="41CAA223" w:rsidR="00966002" w:rsidRPr="00DD79D5" w:rsidRDefault="00966002" w:rsidP="00DD79D5">
            <w:pPr>
              <w:widowControl w:val="0"/>
              <w:autoSpaceDE w:val="0"/>
              <w:autoSpaceDN w:val="0"/>
              <w:jc w:val="center"/>
              <w:rPr>
                <w:sz w:val="18"/>
                <w:szCs w:val="18"/>
              </w:rPr>
            </w:pPr>
            <w:r w:rsidRPr="00DD79D5">
              <w:rPr>
                <w:sz w:val="18"/>
                <w:szCs w:val="18"/>
              </w:rPr>
              <w:t>50</w:t>
            </w:r>
            <w:r w:rsidR="00BB4946">
              <w:rPr>
                <w:sz w:val="18"/>
                <w:szCs w:val="18"/>
              </w:rPr>
              <w:t>%</w:t>
            </w:r>
          </w:p>
        </w:tc>
        <w:tc>
          <w:tcPr>
            <w:tcW w:w="1730" w:type="dxa"/>
            <w:shd w:val="clear" w:color="auto" w:fill="auto"/>
          </w:tcPr>
          <w:p w14:paraId="70DE84CD" w14:textId="3EB8F19D" w:rsidR="00966002" w:rsidRPr="00DD79D5" w:rsidRDefault="00966002" w:rsidP="00DD79D5">
            <w:pPr>
              <w:widowControl w:val="0"/>
              <w:autoSpaceDE w:val="0"/>
              <w:autoSpaceDN w:val="0"/>
              <w:jc w:val="center"/>
              <w:rPr>
                <w:sz w:val="18"/>
                <w:szCs w:val="18"/>
              </w:rPr>
            </w:pPr>
            <w:r w:rsidRPr="00DD79D5">
              <w:rPr>
                <w:sz w:val="18"/>
                <w:szCs w:val="18"/>
              </w:rPr>
              <w:t>49.7</w:t>
            </w:r>
            <w:r w:rsidR="00BB4946">
              <w:rPr>
                <w:sz w:val="18"/>
                <w:szCs w:val="18"/>
              </w:rPr>
              <w:t>%</w:t>
            </w:r>
          </w:p>
        </w:tc>
        <w:tc>
          <w:tcPr>
            <w:tcW w:w="1730" w:type="dxa"/>
            <w:shd w:val="clear" w:color="auto" w:fill="auto"/>
          </w:tcPr>
          <w:p w14:paraId="23999334" w14:textId="754621DD" w:rsidR="00966002" w:rsidRPr="00DD79D5" w:rsidRDefault="00966002" w:rsidP="00DD79D5">
            <w:pPr>
              <w:widowControl w:val="0"/>
              <w:autoSpaceDE w:val="0"/>
              <w:autoSpaceDN w:val="0"/>
              <w:jc w:val="center"/>
              <w:rPr>
                <w:sz w:val="18"/>
                <w:szCs w:val="18"/>
              </w:rPr>
            </w:pPr>
            <w:r w:rsidRPr="00DD79D5">
              <w:rPr>
                <w:sz w:val="18"/>
                <w:szCs w:val="18"/>
              </w:rPr>
              <w:t>50.5</w:t>
            </w:r>
            <w:r w:rsidR="00BB4946">
              <w:rPr>
                <w:sz w:val="18"/>
                <w:szCs w:val="18"/>
              </w:rPr>
              <w:t>%</w:t>
            </w:r>
          </w:p>
        </w:tc>
        <w:tc>
          <w:tcPr>
            <w:tcW w:w="1631" w:type="dxa"/>
            <w:shd w:val="clear" w:color="auto" w:fill="BFBFBF"/>
          </w:tcPr>
          <w:p w14:paraId="55B0E690" w14:textId="4BBBC7DA" w:rsidR="00966002" w:rsidRPr="00DD79D5" w:rsidRDefault="00966002" w:rsidP="00DD79D5">
            <w:pPr>
              <w:widowControl w:val="0"/>
              <w:autoSpaceDE w:val="0"/>
              <w:autoSpaceDN w:val="0"/>
              <w:jc w:val="center"/>
              <w:rPr>
                <w:sz w:val="18"/>
                <w:szCs w:val="18"/>
              </w:rPr>
            </w:pPr>
            <w:r w:rsidRPr="00DD79D5">
              <w:rPr>
                <w:sz w:val="18"/>
                <w:szCs w:val="18"/>
              </w:rPr>
              <w:t>50</w:t>
            </w:r>
            <w:r w:rsidR="00BB4946">
              <w:rPr>
                <w:sz w:val="18"/>
                <w:szCs w:val="18"/>
              </w:rPr>
              <w:t>%</w:t>
            </w:r>
          </w:p>
        </w:tc>
      </w:tr>
    </w:tbl>
    <w:p w14:paraId="2D583A92" w14:textId="77777777" w:rsidR="00CC06F9" w:rsidRDefault="00CC06F9" w:rsidP="00CC06F9">
      <w:pPr>
        <w:contextualSpacing/>
        <w:rPr>
          <w:szCs w:val="22"/>
        </w:rPr>
      </w:pPr>
    </w:p>
    <w:p w14:paraId="0AE4211A" w14:textId="13F15BB7" w:rsidR="00966002" w:rsidRDefault="00966002" w:rsidP="00966002">
      <w:pPr>
        <w:numPr>
          <w:ilvl w:val="0"/>
          <w:numId w:val="12"/>
        </w:numPr>
        <w:ind w:left="0" w:firstLine="0"/>
        <w:contextualSpacing/>
        <w:rPr>
          <w:szCs w:val="22"/>
        </w:rPr>
      </w:pPr>
      <w:r w:rsidRPr="00F905AE">
        <w:rPr>
          <w:szCs w:val="22"/>
        </w:rPr>
        <w:t>Gender</w:t>
      </w:r>
      <w:r>
        <w:rPr>
          <w:szCs w:val="22"/>
        </w:rPr>
        <w:t xml:space="preserve"> mainstreaming</w:t>
      </w:r>
      <w:r w:rsidRPr="00F905AE">
        <w:rPr>
          <w:szCs w:val="22"/>
        </w:rPr>
        <w:t xml:space="preserve"> work</w:t>
      </w:r>
      <w:r>
        <w:rPr>
          <w:szCs w:val="22"/>
        </w:rPr>
        <w:t xml:space="preserve"> continues to strengthen across Sectors and functional areas, reflecting Member States’ interests in gender equality and in advancing women in the IP system.  In the reporting period, several initiatives took place, for example: </w:t>
      </w:r>
    </w:p>
    <w:p w14:paraId="34E6FABF" w14:textId="77777777" w:rsidR="008D35D9" w:rsidRDefault="008D35D9" w:rsidP="008D35D9">
      <w:pPr>
        <w:contextualSpacing/>
        <w:rPr>
          <w:szCs w:val="22"/>
        </w:rPr>
      </w:pPr>
    </w:p>
    <w:p w14:paraId="01B4F438" w14:textId="0ED63DEB" w:rsidR="00966002" w:rsidRPr="00206246" w:rsidRDefault="00966002" w:rsidP="00C2077D">
      <w:pPr>
        <w:pStyle w:val="ListParagraph"/>
        <w:numPr>
          <w:ilvl w:val="0"/>
          <w:numId w:val="29"/>
        </w:numPr>
        <w:ind w:left="990"/>
        <w:rPr>
          <w:szCs w:val="22"/>
        </w:rPr>
      </w:pPr>
      <w:r w:rsidRPr="00E73324">
        <w:rPr>
          <w:lang w:val="en-GB"/>
        </w:rPr>
        <w:t>In 2022, WIPO integrated gender and IP considerations and guidance into several aspects of work planning for 2023 and beyond.  During a mid-year work planning session for all WIPO management and project managers, IP and gender</w:t>
      </w:r>
      <w:r>
        <w:rPr>
          <w:lang w:val="en-GB"/>
        </w:rPr>
        <w:t>,</w:t>
      </w:r>
      <w:r w:rsidRPr="00E73324">
        <w:rPr>
          <w:lang w:val="en-GB"/>
        </w:rPr>
        <w:t xml:space="preserve"> as well as gender and diversity topics</w:t>
      </w:r>
      <w:r w:rsidR="00026035">
        <w:rPr>
          <w:lang w:val="en-GB"/>
        </w:rPr>
        <w:t>,</w:t>
      </w:r>
      <w:r w:rsidRPr="00E73324">
        <w:rPr>
          <w:lang w:val="en-GB"/>
        </w:rPr>
        <w:t xml:space="preserve"> were discussed during a dedicated session.</w:t>
      </w:r>
    </w:p>
    <w:p w14:paraId="1609AB57" w14:textId="4B5861E0" w:rsidR="00966002" w:rsidRPr="00A70216" w:rsidRDefault="00966002" w:rsidP="00C2077D">
      <w:pPr>
        <w:pStyle w:val="ListParagraph"/>
        <w:ind w:left="990" w:hanging="360"/>
        <w:rPr>
          <w:szCs w:val="22"/>
        </w:rPr>
      </w:pPr>
    </w:p>
    <w:p w14:paraId="0BFED56B" w14:textId="1733122D" w:rsidR="00966002" w:rsidRDefault="00FB793B" w:rsidP="00C2077D">
      <w:pPr>
        <w:pStyle w:val="ListParagraph"/>
        <w:numPr>
          <w:ilvl w:val="0"/>
          <w:numId w:val="29"/>
        </w:numPr>
        <w:spacing w:after="240"/>
        <w:ind w:left="990"/>
        <w:contextualSpacing w:val="0"/>
        <w:rPr>
          <w:lang w:val="en-GB"/>
        </w:rPr>
      </w:pPr>
      <w:r w:rsidRPr="00844B31">
        <w:rPr>
          <w:lang w:val="en-GB"/>
        </w:rPr>
        <w:t xml:space="preserve">The Secretariat has been collecting data regarding gender balance at the WIPO Assemblies – an important part of the IP ecosystem – for the past five years and will begin compiling data regarding gender balance at Standing Committee meetings and </w:t>
      </w:r>
      <w:r>
        <w:rPr>
          <w:lang w:val="en-GB"/>
        </w:rPr>
        <w:t>among the incumbents of</w:t>
      </w:r>
      <w:r w:rsidRPr="00844B31">
        <w:rPr>
          <w:lang w:val="en-GB"/>
        </w:rPr>
        <w:t xml:space="preserve"> Chair and Vice</w:t>
      </w:r>
      <w:r w:rsidRPr="00844B31">
        <w:rPr>
          <w:lang w:val="en-GB"/>
        </w:rPr>
        <w:noBreakHyphen/>
        <w:t xml:space="preserve">Chair </w:t>
      </w:r>
      <w:r>
        <w:rPr>
          <w:lang w:val="en-GB"/>
        </w:rPr>
        <w:t>positions</w:t>
      </w:r>
      <w:r w:rsidRPr="00844B31">
        <w:rPr>
          <w:lang w:val="en-GB"/>
        </w:rPr>
        <w:t>.  Data from the Assemblies revealed a positive trend to</w:t>
      </w:r>
      <w:r>
        <w:rPr>
          <w:lang w:val="en-GB"/>
        </w:rPr>
        <w:t>ward more gender balance among Member S</w:t>
      </w:r>
      <w:r w:rsidRPr="00844B31">
        <w:rPr>
          <w:lang w:val="en-GB"/>
        </w:rPr>
        <w:t>tate delegations</w:t>
      </w:r>
      <w:r>
        <w:rPr>
          <w:lang w:val="en-GB"/>
        </w:rPr>
        <w:t>,</w:t>
      </w:r>
      <w:r w:rsidRPr="00844B31">
        <w:rPr>
          <w:lang w:val="en-GB"/>
        </w:rPr>
        <w:t xml:space="preserve"> with female participation growing from 36.7</w:t>
      </w:r>
      <w:r>
        <w:rPr>
          <w:lang w:val="en-GB"/>
        </w:rPr>
        <w:t xml:space="preserve"> per cent</w:t>
      </w:r>
      <w:r w:rsidRPr="00844B31">
        <w:rPr>
          <w:lang w:val="en-GB"/>
        </w:rPr>
        <w:t xml:space="preserve"> in 2018 to 41.7</w:t>
      </w:r>
      <w:r w:rsidR="008F6530">
        <w:rPr>
          <w:lang w:val="en-GB"/>
        </w:rPr>
        <w:t> per </w:t>
      </w:r>
      <w:r>
        <w:rPr>
          <w:lang w:val="en-GB"/>
        </w:rPr>
        <w:t>cent</w:t>
      </w:r>
      <w:r w:rsidRPr="00844B31">
        <w:rPr>
          <w:lang w:val="en-GB"/>
        </w:rPr>
        <w:t xml:space="preserve"> in 2022.  However, </w:t>
      </w:r>
      <w:r w:rsidR="002135AF">
        <w:rPr>
          <w:lang w:val="en-GB"/>
        </w:rPr>
        <w:t xml:space="preserve">at the 2022 Assemblies, </w:t>
      </w:r>
      <w:r w:rsidRPr="00844B31">
        <w:rPr>
          <w:lang w:val="en-GB"/>
        </w:rPr>
        <w:t>a disparity at the head of delegation level still existed</w:t>
      </w:r>
      <w:r w:rsidR="002135AF">
        <w:rPr>
          <w:lang w:val="en-GB"/>
        </w:rPr>
        <w:t>,</w:t>
      </w:r>
      <w:r w:rsidRPr="00844B31">
        <w:rPr>
          <w:lang w:val="en-GB"/>
        </w:rPr>
        <w:t xml:space="preserve"> with 64.9</w:t>
      </w:r>
      <w:r>
        <w:rPr>
          <w:lang w:val="en-GB"/>
        </w:rPr>
        <w:t xml:space="preserve"> per cent</w:t>
      </w:r>
      <w:r w:rsidRPr="00844B31">
        <w:rPr>
          <w:lang w:val="en-GB"/>
        </w:rPr>
        <w:t xml:space="preserve"> of delegation</w:t>
      </w:r>
      <w:r w:rsidR="002135AF">
        <w:rPr>
          <w:lang w:val="en-GB"/>
        </w:rPr>
        <w:t>s having a male head,</w:t>
      </w:r>
      <w:r w:rsidRPr="00844B31">
        <w:rPr>
          <w:lang w:val="en-GB"/>
        </w:rPr>
        <w:t xml:space="preserve"> </w:t>
      </w:r>
      <w:r w:rsidRPr="00844B31">
        <w:rPr>
          <w:i/>
          <w:lang w:val="en-GB"/>
        </w:rPr>
        <w:t>versus</w:t>
      </w:r>
      <w:r w:rsidRPr="00844B31">
        <w:rPr>
          <w:lang w:val="en-GB"/>
        </w:rPr>
        <w:t xml:space="preserve"> 35.1</w:t>
      </w:r>
      <w:r>
        <w:rPr>
          <w:lang w:val="en-GB"/>
        </w:rPr>
        <w:t xml:space="preserve"> per cent</w:t>
      </w:r>
      <w:r w:rsidRPr="00844B31">
        <w:rPr>
          <w:lang w:val="en-GB"/>
        </w:rPr>
        <w:t xml:space="preserve"> female</w:t>
      </w:r>
      <w:r w:rsidR="008F6530">
        <w:rPr>
          <w:lang w:val="en-GB"/>
        </w:rPr>
        <w:t>.</w:t>
      </w:r>
    </w:p>
    <w:p w14:paraId="4A4E25D0" w14:textId="0CF6AA10" w:rsidR="00966002" w:rsidRPr="00CC06F9" w:rsidRDefault="00966002" w:rsidP="00C2077D">
      <w:pPr>
        <w:pStyle w:val="ListParagraph"/>
        <w:numPr>
          <w:ilvl w:val="0"/>
          <w:numId w:val="29"/>
        </w:numPr>
        <w:spacing w:after="240"/>
        <w:ind w:left="990"/>
        <w:contextualSpacing w:val="0"/>
        <w:rPr>
          <w:lang w:val="en-GB"/>
        </w:rPr>
      </w:pPr>
      <w:r w:rsidRPr="007C0E5C">
        <w:t>WIPO established its new Intellectual Property and Gender program in 2022, with the appointment of a Senior Advisor and a Fellow to join the WIPO IP and Gender Champion.</w:t>
      </w:r>
      <w:r>
        <w:t xml:space="preserve"> </w:t>
      </w:r>
      <w:r w:rsidRPr="007C0E5C">
        <w:t xml:space="preserve"> During 2022, the IP and Gender team developed the </w:t>
      </w:r>
      <w:hyperlink r:id="rId15" w:history="1">
        <w:r w:rsidRPr="00206246">
          <w:rPr>
            <w:rStyle w:val="Hyperlink"/>
          </w:rPr>
          <w:t>IP and Gender Action Plan (IPGAP)</w:t>
        </w:r>
      </w:hyperlink>
      <w:r>
        <w:t>.</w:t>
      </w:r>
    </w:p>
    <w:p w14:paraId="6F1C6D3A" w14:textId="77777777" w:rsidR="00787BC1" w:rsidRDefault="00787BC1">
      <w:pPr>
        <w:rPr>
          <w:rFonts w:eastAsia="Times New Roman"/>
          <w:szCs w:val="22"/>
          <w:lang w:eastAsia="en-US"/>
        </w:rPr>
      </w:pPr>
      <w:r>
        <w:rPr>
          <w:szCs w:val="22"/>
        </w:rPr>
        <w:br w:type="page"/>
      </w:r>
    </w:p>
    <w:p w14:paraId="4CB78D07" w14:textId="38DF71C5" w:rsidR="00966002" w:rsidRDefault="00966002" w:rsidP="00CC06F9">
      <w:pPr>
        <w:pStyle w:val="ListParagraph"/>
        <w:numPr>
          <w:ilvl w:val="0"/>
          <w:numId w:val="12"/>
        </w:numPr>
        <w:tabs>
          <w:tab w:val="left" w:pos="540"/>
        </w:tabs>
        <w:ind w:left="0" w:firstLine="0"/>
        <w:rPr>
          <w:szCs w:val="22"/>
        </w:rPr>
      </w:pPr>
      <w:r>
        <w:rPr>
          <w:szCs w:val="22"/>
        </w:rPr>
        <w:lastRenderedPageBreak/>
        <w:t>In compliance with</w:t>
      </w:r>
      <w:r w:rsidRPr="002039D2">
        <w:rPr>
          <w:szCs w:val="22"/>
        </w:rPr>
        <w:t xml:space="preserve"> UN system-wide requirements as spel</w:t>
      </w:r>
      <w:r>
        <w:rPr>
          <w:szCs w:val="22"/>
        </w:rPr>
        <w:t>led</w:t>
      </w:r>
      <w:r w:rsidRPr="002039D2">
        <w:rPr>
          <w:szCs w:val="22"/>
        </w:rPr>
        <w:t xml:space="preserve"> out in the </w:t>
      </w:r>
      <w:r>
        <w:rPr>
          <w:szCs w:val="22"/>
        </w:rPr>
        <w:t xml:space="preserve">wider </w:t>
      </w:r>
      <w:r w:rsidRPr="002039D2">
        <w:rPr>
          <w:szCs w:val="22"/>
        </w:rPr>
        <w:t>UN Disability Inclusion Strategy</w:t>
      </w:r>
      <w:r>
        <w:rPr>
          <w:szCs w:val="22"/>
        </w:rPr>
        <w:t xml:space="preserve">, </w:t>
      </w:r>
      <w:r w:rsidRPr="005434F1">
        <w:rPr>
          <w:szCs w:val="22"/>
        </w:rPr>
        <w:t>WIPO launched its first Disability Inclusion Strategy in 2022</w:t>
      </w:r>
      <w:r>
        <w:rPr>
          <w:szCs w:val="22"/>
        </w:rPr>
        <w:t xml:space="preserve">. </w:t>
      </w:r>
      <w:r w:rsidR="007E348B">
        <w:rPr>
          <w:szCs w:val="22"/>
        </w:rPr>
        <w:t xml:space="preserve"> </w:t>
      </w:r>
      <w:r>
        <w:rPr>
          <w:szCs w:val="22"/>
        </w:rPr>
        <w:t xml:space="preserve">The Strategy </w:t>
      </w:r>
      <w:r w:rsidRPr="005434F1">
        <w:rPr>
          <w:szCs w:val="22"/>
        </w:rPr>
        <w:t>aims to</w:t>
      </w:r>
      <w:r>
        <w:rPr>
          <w:szCs w:val="22"/>
        </w:rPr>
        <w:t>:</w:t>
      </w:r>
      <w:r w:rsidRPr="005434F1">
        <w:rPr>
          <w:szCs w:val="22"/>
        </w:rPr>
        <w:t xml:space="preserve"> </w:t>
      </w:r>
    </w:p>
    <w:p w14:paraId="38AA1BB6" w14:textId="77777777" w:rsidR="00966002" w:rsidRDefault="00966002" w:rsidP="00966002">
      <w:pPr>
        <w:pStyle w:val="ListParagraph"/>
        <w:numPr>
          <w:ilvl w:val="0"/>
          <w:numId w:val="25"/>
        </w:numPr>
        <w:tabs>
          <w:tab w:val="left" w:pos="540"/>
          <w:tab w:val="left" w:pos="1530"/>
        </w:tabs>
        <w:ind w:left="990"/>
        <w:rPr>
          <w:szCs w:val="22"/>
        </w:rPr>
      </w:pPr>
      <w:r w:rsidRPr="005434F1">
        <w:rPr>
          <w:szCs w:val="22"/>
        </w:rPr>
        <w:t xml:space="preserve">support greater diversity in the workforce, ensuring accessibility, reasonable accommodation and equal opportunities for all persons with disabilities; </w:t>
      </w:r>
    </w:p>
    <w:p w14:paraId="70F5EA9C" w14:textId="77777777" w:rsidR="00966002" w:rsidRDefault="00966002" w:rsidP="00966002">
      <w:pPr>
        <w:pStyle w:val="ListParagraph"/>
        <w:numPr>
          <w:ilvl w:val="0"/>
          <w:numId w:val="25"/>
        </w:numPr>
        <w:tabs>
          <w:tab w:val="left" w:pos="540"/>
          <w:tab w:val="left" w:pos="1530"/>
        </w:tabs>
        <w:ind w:left="990"/>
        <w:rPr>
          <w:szCs w:val="22"/>
        </w:rPr>
      </w:pPr>
      <w:r w:rsidRPr="005434F1">
        <w:rPr>
          <w:szCs w:val="22"/>
        </w:rPr>
        <w:t xml:space="preserve">facilitate a cultural shift toward a rights-based approach to disability; </w:t>
      </w:r>
    </w:p>
    <w:p w14:paraId="2536462E" w14:textId="77777777" w:rsidR="00966002" w:rsidRDefault="00966002" w:rsidP="00966002">
      <w:pPr>
        <w:pStyle w:val="ListParagraph"/>
        <w:numPr>
          <w:ilvl w:val="0"/>
          <w:numId w:val="25"/>
        </w:numPr>
        <w:tabs>
          <w:tab w:val="left" w:pos="540"/>
          <w:tab w:val="left" w:pos="1530"/>
        </w:tabs>
        <w:ind w:left="990"/>
        <w:rPr>
          <w:szCs w:val="22"/>
        </w:rPr>
      </w:pPr>
      <w:r w:rsidRPr="005434F1">
        <w:rPr>
          <w:szCs w:val="22"/>
        </w:rPr>
        <w:t xml:space="preserve">embed the rights of persons with disabilities into both the internal and external aspects of our work; </w:t>
      </w:r>
    </w:p>
    <w:p w14:paraId="2E2F0E94" w14:textId="13C3F296" w:rsidR="00966002" w:rsidRDefault="00966002" w:rsidP="00966002">
      <w:pPr>
        <w:pStyle w:val="ListParagraph"/>
        <w:numPr>
          <w:ilvl w:val="0"/>
          <w:numId w:val="25"/>
        </w:numPr>
        <w:tabs>
          <w:tab w:val="left" w:pos="540"/>
          <w:tab w:val="left" w:pos="1530"/>
        </w:tabs>
        <w:ind w:left="990"/>
        <w:rPr>
          <w:szCs w:val="22"/>
        </w:rPr>
      </w:pPr>
      <w:r w:rsidRPr="005434F1">
        <w:rPr>
          <w:szCs w:val="22"/>
        </w:rPr>
        <w:t>listen to, learn from and strengthen our engagement with diverse persons with disabilities and their representative organizations;</w:t>
      </w:r>
      <w:r w:rsidR="007E348B">
        <w:rPr>
          <w:szCs w:val="22"/>
        </w:rPr>
        <w:t xml:space="preserve"> </w:t>
      </w:r>
      <w:r w:rsidRPr="005434F1">
        <w:rPr>
          <w:szCs w:val="22"/>
        </w:rPr>
        <w:t xml:space="preserve"> and </w:t>
      </w:r>
    </w:p>
    <w:p w14:paraId="5E4F22A0" w14:textId="77777777" w:rsidR="00966002" w:rsidRDefault="00966002" w:rsidP="00966002">
      <w:pPr>
        <w:pStyle w:val="ListParagraph"/>
        <w:numPr>
          <w:ilvl w:val="0"/>
          <w:numId w:val="25"/>
        </w:numPr>
        <w:tabs>
          <w:tab w:val="left" w:pos="540"/>
          <w:tab w:val="left" w:pos="1530"/>
        </w:tabs>
        <w:ind w:left="990"/>
        <w:rPr>
          <w:szCs w:val="22"/>
        </w:rPr>
      </w:pPr>
      <w:r w:rsidRPr="005434F1">
        <w:rPr>
          <w:szCs w:val="22"/>
        </w:rPr>
        <w:t>mainstream disability across relevant initiatives and programs, improving access to IP services for persons with disabilities.</w:t>
      </w:r>
    </w:p>
    <w:p w14:paraId="1CF02C51" w14:textId="77777777" w:rsidR="00966002" w:rsidRDefault="00966002" w:rsidP="00966002">
      <w:pPr>
        <w:pStyle w:val="ListParagraph"/>
        <w:tabs>
          <w:tab w:val="left" w:pos="540"/>
        </w:tabs>
        <w:ind w:left="0"/>
        <w:rPr>
          <w:szCs w:val="22"/>
        </w:rPr>
      </w:pPr>
    </w:p>
    <w:p w14:paraId="241B48A1" w14:textId="636396F8" w:rsidR="00FE73B3" w:rsidRPr="00467C25" w:rsidRDefault="00FB793B" w:rsidP="00B36D9A">
      <w:pPr>
        <w:pStyle w:val="ListParagraph"/>
        <w:numPr>
          <w:ilvl w:val="0"/>
          <w:numId w:val="12"/>
        </w:numPr>
        <w:tabs>
          <w:tab w:val="left" w:pos="540"/>
        </w:tabs>
        <w:ind w:left="0" w:firstLine="0"/>
        <w:rPr>
          <w:b/>
          <w:bCs/>
          <w:caps/>
          <w:kern w:val="32"/>
          <w:szCs w:val="32"/>
        </w:rPr>
      </w:pPr>
      <w:r>
        <w:rPr>
          <w:szCs w:val="22"/>
        </w:rPr>
        <w:t>The Strategy will also</w:t>
      </w:r>
      <w:r w:rsidRPr="00B05357">
        <w:rPr>
          <w:szCs w:val="22"/>
        </w:rPr>
        <w:t xml:space="preserve"> strengthen initiatives already in place </w:t>
      </w:r>
      <w:r>
        <w:rPr>
          <w:szCs w:val="22"/>
        </w:rPr>
        <w:t>and well-established</w:t>
      </w:r>
      <w:r w:rsidRPr="00B05357">
        <w:rPr>
          <w:szCs w:val="22"/>
        </w:rPr>
        <w:t>, notably the improved physical accessibility of WIPO’s premises and the “Accessible Books Consortium” initiative (ABC)</w:t>
      </w:r>
      <w:r w:rsidR="00966002" w:rsidRPr="00467C25">
        <w:rPr>
          <w:szCs w:val="22"/>
        </w:rPr>
        <w:t xml:space="preserve">.  </w:t>
      </w:r>
    </w:p>
    <w:p w14:paraId="5D0CCE6B" w14:textId="408947EA" w:rsidR="00BB4946" w:rsidRDefault="00BB4946">
      <w:pPr>
        <w:rPr>
          <w:b/>
          <w:bCs/>
          <w:caps/>
          <w:kern w:val="32"/>
          <w:szCs w:val="32"/>
        </w:rPr>
      </w:pPr>
    </w:p>
    <w:p w14:paraId="217CF302" w14:textId="244097D0" w:rsidR="00276BEE" w:rsidRPr="0006645A" w:rsidRDefault="00276BEE" w:rsidP="00276BEE">
      <w:pPr>
        <w:pStyle w:val="Heading1"/>
        <w:numPr>
          <w:ilvl w:val="0"/>
          <w:numId w:val="11"/>
        </w:numPr>
        <w:spacing w:before="0"/>
        <w:ind w:left="567" w:hanging="567"/>
      </w:pPr>
      <w:r w:rsidRPr="0006645A">
        <w:t>MATTERS FOR OBLIGATORY REPORTING TO THE WIPO COORDINATION COMMITTEE</w:t>
      </w:r>
    </w:p>
    <w:p w14:paraId="51834A46" w14:textId="77777777" w:rsidR="00276BEE" w:rsidRPr="0006645A" w:rsidRDefault="00276BEE" w:rsidP="00276BEE">
      <w:pPr>
        <w:pStyle w:val="Heading2"/>
      </w:pPr>
      <w:r>
        <w:tab/>
      </w:r>
      <w:r w:rsidRPr="0006645A">
        <w:t>TERMINATION OF APPOINTMENTS</w:t>
      </w:r>
    </w:p>
    <w:p w14:paraId="34C54243" w14:textId="77777777" w:rsidR="00276BEE" w:rsidRPr="000A0FF3" w:rsidRDefault="00276BEE" w:rsidP="00276BEE"/>
    <w:p w14:paraId="19F1C8C9" w14:textId="4368AEE7" w:rsidR="00BF21AE" w:rsidRDefault="00BF21AE" w:rsidP="00BF21AE">
      <w:pPr>
        <w:pStyle w:val="ListParagraph"/>
        <w:numPr>
          <w:ilvl w:val="0"/>
          <w:numId w:val="12"/>
        </w:numPr>
        <w:ind w:left="0" w:firstLine="0"/>
        <w:rPr>
          <w:szCs w:val="22"/>
        </w:rPr>
      </w:pPr>
      <w:r w:rsidRPr="0006645A">
        <w:rPr>
          <w:szCs w:val="22"/>
        </w:rPr>
        <w:t>WIPO Staff Regulation 9.2(g) requires the Director General to report to the WIPO Coordination Committee all cases of termination of appointments of staff.  The following terminations took place between J</w:t>
      </w:r>
      <w:r>
        <w:rPr>
          <w:szCs w:val="22"/>
        </w:rPr>
        <w:t>anuary</w:t>
      </w:r>
      <w:r w:rsidRPr="0006645A">
        <w:rPr>
          <w:szCs w:val="22"/>
        </w:rPr>
        <w:t xml:space="preserve"> 1</w:t>
      </w:r>
      <w:r w:rsidR="004D274C">
        <w:rPr>
          <w:szCs w:val="22"/>
        </w:rPr>
        <w:t xml:space="preserve"> </w:t>
      </w:r>
      <w:r w:rsidRPr="0006645A">
        <w:rPr>
          <w:szCs w:val="22"/>
        </w:rPr>
        <w:t xml:space="preserve">and </w:t>
      </w:r>
      <w:r>
        <w:rPr>
          <w:szCs w:val="22"/>
        </w:rPr>
        <w:t xml:space="preserve">December </w:t>
      </w:r>
      <w:r w:rsidRPr="0006645A">
        <w:rPr>
          <w:szCs w:val="22"/>
        </w:rPr>
        <w:t>3</w:t>
      </w:r>
      <w:r>
        <w:rPr>
          <w:szCs w:val="22"/>
        </w:rPr>
        <w:t>1</w:t>
      </w:r>
      <w:r w:rsidRPr="0006645A">
        <w:rPr>
          <w:szCs w:val="22"/>
        </w:rPr>
        <w:t xml:space="preserve">, </w:t>
      </w:r>
      <w:r w:rsidR="00B811CD">
        <w:rPr>
          <w:szCs w:val="22"/>
        </w:rPr>
        <w:t>2022</w:t>
      </w:r>
      <w:r w:rsidRPr="0006645A">
        <w:rPr>
          <w:szCs w:val="22"/>
        </w:rPr>
        <w:t>:</w:t>
      </w:r>
    </w:p>
    <w:p w14:paraId="6BB07E9D" w14:textId="77777777" w:rsidR="00BF21AE" w:rsidRDefault="00BF21AE" w:rsidP="00BF21AE">
      <w:pPr>
        <w:pStyle w:val="ListParagraph"/>
        <w:ind w:left="0"/>
        <w:rPr>
          <w:szCs w:val="22"/>
        </w:rPr>
      </w:pPr>
    </w:p>
    <w:p w14:paraId="78ED9A89" w14:textId="77777777" w:rsidR="00206246" w:rsidRDefault="00206246" w:rsidP="00206246">
      <w:pPr>
        <w:pStyle w:val="ListParagraph"/>
        <w:numPr>
          <w:ilvl w:val="0"/>
          <w:numId w:val="14"/>
        </w:numPr>
        <w:ind w:left="990"/>
        <w:rPr>
          <w:szCs w:val="22"/>
        </w:rPr>
      </w:pPr>
      <w:r>
        <w:rPr>
          <w:szCs w:val="22"/>
        </w:rPr>
        <w:t>Four</w:t>
      </w:r>
      <w:r w:rsidRPr="0006645A">
        <w:rPr>
          <w:szCs w:val="22"/>
        </w:rPr>
        <w:t xml:space="preserve"> for health reasons in accordance with Staff Regulation 9.2(a)(2);</w:t>
      </w:r>
    </w:p>
    <w:p w14:paraId="1B1AD67C" w14:textId="4A90E1D7" w:rsidR="00692D98" w:rsidRPr="008D35D9" w:rsidRDefault="00206246" w:rsidP="00B36D9A">
      <w:pPr>
        <w:pStyle w:val="ListParagraph"/>
        <w:numPr>
          <w:ilvl w:val="0"/>
          <w:numId w:val="14"/>
        </w:numPr>
        <w:ind w:left="990"/>
        <w:rPr>
          <w:bCs/>
          <w:iCs/>
          <w:caps/>
          <w:szCs w:val="28"/>
        </w:rPr>
      </w:pPr>
      <w:r w:rsidRPr="008D35D9">
        <w:rPr>
          <w:szCs w:val="22"/>
        </w:rPr>
        <w:t>Nine in the interest of the good administration of the Organization and with the consent of the staff members concerned, in accordance with Staff Regulation 9.2(a)(5).</w:t>
      </w:r>
      <w:r w:rsidR="0018674A">
        <w:tab/>
      </w:r>
    </w:p>
    <w:p w14:paraId="0033A278" w14:textId="745FD27C" w:rsidR="00276BEE" w:rsidRPr="0006645A" w:rsidRDefault="00276BEE" w:rsidP="00276BEE">
      <w:pPr>
        <w:pStyle w:val="Heading2"/>
      </w:pPr>
      <w:r w:rsidRPr="00662F3D">
        <w:t>EXTENSIONS OF TEMPORARY APPOINTMENTS</w:t>
      </w:r>
    </w:p>
    <w:p w14:paraId="57EC83AC" w14:textId="77777777" w:rsidR="00276BEE" w:rsidRPr="0006645A" w:rsidRDefault="00276BEE" w:rsidP="00276BEE">
      <w:pPr>
        <w:pStyle w:val="ListParagraph"/>
        <w:ind w:left="567"/>
        <w:rPr>
          <w:szCs w:val="22"/>
        </w:rPr>
      </w:pPr>
    </w:p>
    <w:p w14:paraId="73459E91" w14:textId="0A11EB41" w:rsidR="00276BEE" w:rsidRDefault="00276BEE" w:rsidP="0017132B">
      <w:pPr>
        <w:pStyle w:val="ListParagraph"/>
        <w:numPr>
          <w:ilvl w:val="0"/>
          <w:numId w:val="12"/>
        </w:numPr>
        <w:ind w:left="0" w:firstLine="0"/>
        <w:rPr>
          <w:szCs w:val="22"/>
        </w:rPr>
      </w:pPr>
      <w:r w:rsidRPr="00BB4946">
        <w:rPr>
          <w:szCs w:val="22"/>
        </w:rPr>
        <w:t>At its meeting in September 2018, the WIPO Coordination Committee requested the Secretariat to include systematically in its Annual Report on Human Resources detailed information on the number of temporary appointments extended by the Director General beyond two years under Staff Regulation 4.16(a)</w:t>
      </w:r>
      <w:r w:rsidRPr="0006645A">
        <w:rPr>
          <w:rStyle w:val="FootnoteReference"/>
          <w:rFonts w:eastAsia="SimSun"/>
          <w:szCs w:val="22"/>
        </w:rPr>
        <w:footnoteReference w:id="15"/>
      </w:r>
      <w:r w:rsidRPr="00BB4946">
        <w:rPr>
          <w:szCs w:val="22"/>
        </w:rPr>
        <w:t xml:space="preserve"> and the rationale for the use of this exceptional measure. </w:t>
      </w:r>
    </w:p>
    <w:p w14:paraId="6C7ACED0" w14:textId="77777777" w:rsidR="00BB4946" w:rsidRPr="00BB4946" w:rsidRDefault="00BB4946" w:rsidP="00BB4946">
      <w:pPr>
        <w:pStyle w:val="ListParagraph"/>
        <w:ind w:left="0"/>
        <w:rPr>
          <w:szCs w:val="22"/>
        </w:rPr>
      </w:pPr>
    </w:p>
    <w:p w14:paraId="32B6F436" w14:textId="539C5FC6" w:rsidR="00BF21AE" w:rsidRPr="00206246" w:rsidRDefault="00206246" w:rsidP="0056236C">
      <w:pPr>
        <w:pStyle w:val="ListParagraph"/>
        <w:numPr>
          <w:ilvl w:val="0"/>
          <w:numId w:val="12"/>
        </w:numPr>
        <w:ind w:left="0" w:firstLine="0"/>
        <w:rPr>
          <w:szCs w:val="22"/>
        </w:rPr>
      </w:pPr>
      <w:r w:rsidRPr="00206246">
        <w:rPr>
          <w:szCs w:val="22"/>
        </w:rPr>
        <w:t xml:space="preserve">During the reporting period, from January 1 to December 31, 2022, </w:t>
      </w:r>
      <w:r>
        <w:rPr>
          <w:szCs w:val="22"/>
        </w:rPr>
        <w:t>five</w:t>
      </w:r>
      <w:r w:rsidRPr="00206246">
        <w:rPr>
          <w:szCs w:val="22"/>
        </w:rPr>
        <w:t xml:space="preserve"> staff members on temporary appointments were exceptionally extended beyond two years in order to ensure </w:t>
      </w:r>
      <w:r w:rsidR="00966002">
        <w:rPr>
          <w:szCs w:val="22"/>
        </w:rPr>
        <w:t xml:space="preserve">the competitive selection processes for fixed-term vacancies </w:t>
      </w:r>
      <w:r w:rsidR="0089478B">
        <w:rPr>
          <w:szCs w:val="22"/>
        </w:rPr>
        <w:t>were</w:t>
      </w:r>
      <w:r w:rsidR="00966002">
        <w:rPr>
          <w:szCs w:val="22"/>
        </w:rPr>
        <w:t xml:space="preserve"> duly completed and b</w:t>
      </w:r>
      <w:r w:rsidR="0089478B">
        <w:rPr>
          <w:szCs w:val="22"/>
        </w:rPr>
        <w:t>usiness continuity in the team wa</w:t>
      </w:r>
      <w:r w:rsidR="00966002">
        <w:rPr>
          <w:szCs w:val="22"/>
        </w:rPr>
        <w:t>s maintained</w:t>
      </w:r>
      <w:r w:rsidRPr="00206246">
        <w:rPr>
          <w:szCs w:val="22"/>
        </w:rPr>
        <w:t>.</w:t>
      </w:r>
      <w:r w:rsidR="00BF21AE" w:rsidRPr="00206246">
        <w:rPr>
          <w:rStyle w:val="null1"/>
          <w:szCs w:val="22"/>
        </w:rPr>
        <w:t> </w:t>
      </w:r>
    </w:p>
    <w:p w14:paraId="6EF97DD1" w14:textId="6F03BDEE" w:rsidR="00276BEE" w:rsidRDefault="00276BEE" w:rsidP="00276BEE">
      <w:pPr>
        <w:pStyle w:val="Heading2"/>
      </w:pPr>
      <w:r>
        <w:tab/>
        <w:t>REWARDS AND RECOGNITION PROGRAM</w:t>
      </w:r>
    </w:p>
    <w:p w14:paraId="745CA94B" w14:textId="77777777" w:rsidR="00276BEE" w:rsidRDefault="00276BEE" w:rsidP="00276BEE"/>
    <w:p w14:paraId="0E713CF9" w14:textId="3DDB8BD8" w:rsidR="0091035B" w:rsidRDefault="00276BEE" w:rsidP="0091035B">
      <w:pPr>
        <w:pStyle w:val="Default"/>
        <w:numPr>
          <w:ilvl w:val="0"/>
          <w:numId w:val="12"/>
        </w:numPr>
        <w:ind w:left="0" w:firstLine="0"/>
        <w:rPr>
          <w:rFonts w:ascii="Arial" w:hAnsi="Arial" w:cs="Arial"/>
          <w:sz w:val="22"/>
          <w:szCs w:val="22"/>
        </w:rPr>
      </w:pPr>
      <w:r w:rsidRPr="002D07FD">
        <w:rPr>
          <w:rFonts w:ascii="Arial" w:hAnsi="Arial" w:cs="Arial"/>
          <w:sz w:val="22"/>
          <w:szCs w:val="22"/>
        </w:rPr>
        <w:t xml:space="preserve">At its meeting in September 2018, the WIPO Coordination Committee requested the Secretariat to </w:t>
      </w:r>
      <w:r>
        <w:rPr>
          <w:rFonts w:ascii="Arial" w:hAnsi="Arial" w:cs="Arial"/>
          <w:sz w:val="22"/>
          <w:szCs w:val="22"/>
        </w:rPr>
        <w:t>report</w:t>
      </w:r>
      <w:r w:rsidRPr="002D07FD">
        <w:rPr>
          <w:rFonts w:ascii="Arial" w:hAnsi="Arial" w:cs="Arial"/>
          <w:sz w:val="22"/>
          <w:szCs w:val="22"/>
        </w:rPr>
        <w:t xml:space="preserve"> systematically </w:t>
      </w:r>
      <w:r w:rsidRPr="0006645A">
        <w:rPr>
          <w:rFonts w:ascii="Arial" w:hAnsi="Arial" w:cs="Arial"/>
          <w:sz w:val="22"/>
          <w:szCs w:val="22"/>
        </w:rPr>
        <w:t xml:space="preserve">on the implementation of its Rewards and Recognition Program (RRP) and on changes introduced since the previous Annual Report on Human Resources.  </w:t>
      </w:r>
    </w:p>
    <w:p w14:paraId="4166EC72" w14:textId="77777777" w:rsidR="0091035B" w:rsidRDefault="0091035B" w:rsidP="0091035B">
      <w:pPr>
        <w:pStyle w:val="Default"/>
        <w:rPr>
          <w:rFonts w:ascii="Arial" w:hAnsi="Arial" w:cs="Arial"/>
          <w:sz w:val="22"/>
          <w:szCs w:val="22"/>
        </w:rPr>
      </w:pPr>
    </w:p>
    <w:p w14:paraId="2770C990" w14:textId="4763ECC0" w:rsidR="00D60296" w:rsidRDefault="00FB793B" w:rsidP="00D60296">
      <w:pPr>
        <w:pStyle w:val="Default"/>
        <w:numPr>
          <w:ilvl w:val="0"/>
          <w:numId w:val="12"/>
        </w:numPr>
        <w:ind w:left="0" w:firstLine="0"/>
        <w:rPr>
          <w:rFonts w:ascii="Arial" w:hAnsi="Arial" w:cs="Arial"/>
          <w:sz w:val="22"/>
          <w:szCs w:val="22"/>
        </w:rPr>
      </w:pPr>
      <w:r w:rsidRPr="00247807">
        <w:rPr>
          <w:rFonts w:ascii="Arial" w:hAnsi="Arial" w:cs="Arial"/>
          <w:sz w:val="22"/>
          <w:szCs w:val="22"/>
        </w:rPr>
        <w:lastRenderedPageBreak/>
        <w:t>In</w:t>
      </w:r>
      <w:r w:rsidRPr="00B878D6">
        <w:rPr>
          <w:rFonts w:ascii="Arial" w:hAnsi="Arial" w:cs="Arial"/>
          <w:sz w:val="22"/>
          <w:szCs w:val="22"/>
        </w:rPr>
        <w:t xml:space="preserve"> light of the </w:t>
      </w:r>
      <w:r>
        <w:rPr>
          <w:rFonts w:ascii="Arial" w:hAnsi="Arial" w:cs="Arial"/>
          <w:sz w:val="22"/>
          <w:szCs w:val="22"/>
        </w:rPr>
        <w:t>ongoing</w:t>
      </w:r>
      <w:r w:rsidRPr="00B878D6">
        <w:rPr>
          <w:rFonts w:ascii="Arial" w:hAnsi="Arial" w:cs="Arial"/>
          <w:sz w:val="22"/>
          <w:szCs w:val="22"/>
        </w:rPr>
        <w:t xml:space="preserve"> redesign of WIPO’s performance management </w:t>
      </w:r>
      <w:r>
        <w:rPr>
          <w:rFonts w:ascii="Arial" w:hAnsi="Arial" w:cs="Arial"/>
          <w:sz w:val="22"/>
          <w:szCs w:val="22"/>
        </w:rPr>
        <w:t>system</w:t>
      </w:r>
      <w:r w:rsidRPr="00B878D6">
        <w:rPr>
          <w:rFonts w:ascii="Arial" w:hAnsi="Arial" w:cs="Arial"/>
          <w:sz w:val="22"/>
          <w:szCs w:val="22"/>
        </w:rPr>
        <w:t xml:space="preserve">, there were no monetary rewards </w:t>
      </w:r>
      <w:r>
        <w:rPr>
          <w:rFonts w:ascii="Arial" w:hAnsi="Arial" w:cs="Arial"/>
          <w:sz w:val="22"/>
          <w:szCs w:val="22"/>
        </w:rPr>
        <w:t xml:space="preserve">conferred </w:t>
      </w:r>
      <w:r w:rsidRPr="00B878D6">
        <w:rPr>
          <w:rFonts w:ascii="Arial" w:hAnsi="Arial" w:cs="Arial"/>
          <w:sz w:val="22"/>
          <w:szCs w:val="22"/>
        </w:rPr>
        <w:t>as part of t</w:t>
      </w:r>
      <w:r>
        <w:rPr>
          <w:rFonts w:ascii="Arial" w:hAnsi="Arial" w:cs="Arial"/>
          <w:sz w:val="22"/>
          <w:szCs w:val="22"/>
        </w:rPr>
        <w:t>he 2021</w:t>
      </w:r>
      <w:r w:rsidRPr="00B878D6">
        <w:rPr>
          <w:rFonts w:ascii="Arial" w:hAnsi="Arial" w:cs="Arial"/>
          <w:sz w:val="22"/>
          <w:szCs w:val="22"/>
        </w:rPr>
        <w:t xml:space="preserve"> RRP. </w:t>
      </w:r>
      <w:r w:rsidR="0037763F">
        <w:rPr>
          <w:rFonts w:ascii="Arial" w:hAnsi="Arial" w:cs="Arial"/>
          <w:sz w:val="22"/>
          <w:szCs w:val="22"/>
        </w:rPr>
        <w:t xml:space="preserve"> </w:t>
      </w:r>
      <w:r w:rsidRPr="00B878D6">
        <w:rPr>
          <w:rFonts w:ascii="Arial" w:hAnsi="Arial" w:cs="Arial"/>
          <w:sz w:val="22"/>
          <w:szCs w:val="22"/>
        </w:rPr>
        <w:t>Certificates of appreciation for outstanding performance</w:t>
      </w:r>
      <w:r>
        <w:rPr>
          <w:rFonts w:ascii="Arial" w:hAnsi="Arial" w:cs="Arial"/>
          <w:sz w:val="22"/>
          <w:szCs w:val="22"/>
        </w:rPr>
        <w:t>,</w:t>
      </w:r>
      <w:r w:rsidRPr="00B878D6">
        <w:rPr>
          <w:rFonts w:ascii="Arial" w:hAnsi="Arial" w:cs="Arial"/>
          <w:sz w:val="22"/>
          <w:szCs w:val="22"/>
        </w:rPr>
        <w:t xml:space="preserve"> as well as for voluntary service on the WIPO Appeal Board, the Joint Advisory Group or as Gender Focal Points</w:t>
      </w:r>
      <w:r>
        <w:rPr>
          <w:rFonts w:ascii="Arial" w:hAnsi="Arial" w:cs="Arial"/>
          <w:sz w:val="22"/>
          <w:szCs w:val="22"/>
        </w:rPr>
        <w:t>,</w:t>
      </w:r>
      <w:r w:rsidRPr="00B878D6">
        <w:rPr>
          <w:rFonts w:ascii="Arial" w:hAnsi="Arial" w:cs="Arial"/>
          <w:sz w:val="22"/>
          <w:szCs w:val="22"/>
        </w:rPr>
        <w:t xml:space="preserve"> were </w:t>
      </w:r>
      <w:r>
        <w:rPr>
          <w:rFonts w:ascii="Arial" w:hAnsi="Arial" w:cs="Arial"/>
          <w:sz w:val="22"/>
          <w:szCs w:val="22"/>
        </w:rPr>
        <w:t>awarded</w:t>
      </w:r>
      <w:r w:rsidRPr="00B878D6">
        <w:rPr>
          <w:rFonts w:ascii="Arial" w:hAnsi="Arial" w:cs="Arial"/>
          <w:sz w:val="22"/>
          <w:szCs w:val="22"/>
        </w:rPr>
        <w:t xml:space="preserve"> to the concerned staff members</w:t>
      </w:r>
      <w:r w:rsidR="00D60296" w:rsidRPr="00B878D6">
        <w:rPr>
          <w:rFonts w:ascii="Arial" w:hAnsi="Arial" w:cs="Arial"/>
          <w:sz w:val="22"/>
          <w:szCs w:val="22"/>
        </w:rPr>
        <w:t>.</w:t>
      </w:r>
    </w:p>
    <w:p w14:paraId="5F7E55BE" w14:textId="77777777" w:rsidR="0037763F" w:rsidRPr="00953618" w:rsidRDefault="0037763F" w:rsidP="0037763F">
      <w:pPr>
        <w:pStyle w:val="Default"/>
        <w:rPr>
          <w:rFonts w:ascii="Arial" w:hAnsi="Arial" w:cs="Arial"/>
          <w:sz w:val="22"/>
          <w:szCs w:val="22"/>
        </w:rPr>
      </w:pPr>
    </w:p>
    <w:p w14:paraId="0782F53F" w14:textId="223BCB4E" w:rsidR="00276BEE" w:rsidRPr="00307F91" w:rsidRDefault="00D60296" w:rsidP="00D60296">
      <w:pPr>
        <w:pStyle w:val="Default"/>
        <w:numPr>
          <w:ilvl w:val="0"/>
          <w:numId w:val="12"/>
        </w:numPr>
        <w:ind w:left="0" w:firstLine="0"/>
        <w:rPr>
          <w:bCs/>
          <w:iCs/>
          <w:caps/>
          <w:szCs w:val="28"/>
        </w:rPr>
      </w:pPr>
      <w:r w:rsidRPr="00B878D6">
        <w:rPr>
          <w:rFonts w:ascii="Arial" w:hAnsi="Arial" w:cs="Arial"/>
          <w:sz w:val="22"/>
          <w:szCs w:val="22"/>
        </w:rPr>
        <w:t>With the upcomin</w:t>
      </w:r>
      <w:r w:rsidR="00966002">
        <w:rPr>
          <w:rFonts w:ascii="Arial" w:hAnsi="Arial" w:cs="Arial"/>
          <w:sz w:val="22"/>
          <w:szCs w:val="22"/>
        </w:rPr>
        <w:t>g 2022</w:t>
      </w:r>
      <w:r w:rsidRPr="00B878D6">
        <w:rPr>
          <w:rFonts w:ascii="Arial" w:hAnsi="Arial" w:cs="Arial"/>
          <w:sz w:val="22"/>
          <w:szCs w:val="22"/>
        </w:rPr>
        <w:t xml:space="preserve"> RRP, monetary rewards </w:t>
      </w:r>
      <w:r w:rsidR="00467C25">
        <w:rPr>
          <w:rFonts w:ascii="Arial" w:hAnsi="Arial" w:cs="Arial"/>
          <w:sz w:val="22"/>
          <w:szCs w:val="22"/>
        </w:rPr>
        <w:t>have been</w:t>
      </w:r>
      <w:r w:rsidRPr="00B878D6">
        <w:rPr>
          <w:rFonts w:ascii="Arial" w:hAnsi="Arial" w:cs="Arial"/>
          <w:sz w:val="22"/>
          <w:szCs w:val="22"/>
        </w:rPr>
        <w:t xml:space="preserve"> </w:t>
      </w:r>
      <w:r w:rsidR="00AD3B1F">
        <w:rPr>
          <w:rFonts w:ascii="Arial" w:hAnsi="Arial" w:cs="Arial"/>
          <w:sz w:val="22"/>
          <w:szCs w:val="22"/>
        </w:rPr>
        <w:t>re</w:t>
      </w:r>
      <w:r w:rsidRPr="00B878D6">
        <w:rPr>
          <w:rFonts w:ascii="Arial" w:hAnsi="Arial" w:cs="Arial"/>
          <w:sz w:val="22"/>
          <w:szCs w:val="22"/>
        </w:rPr>
        <w:t xml:space="preserve">introduced. </w:t>
      </w:r>
      <w:r w:rsidR="0037763F">
        <w:rPr>
          <w:rFonts w:ascii="Arial" w:hAnsi="Arial" w:cs="Arial"/>
          <w:sz w:val="22"/>
          <w:szCs w:val="22"/>
        </w:rPr>
        <w:t xml:space="preserve"> </w:t>
      </w:r>
      <w:r w:rsidR="00FB793B" w:rsidRPr="00B878D6">
        <w:rPr>
          <w:rFonts w:ascii="Arial" w:hAnsi="Arial" w:cs="Arial"/>
          <w:sz w:val="22"/>
          <w:szCs w:val="22"/>
        </w:rPr>
        <w:t>For the first time, the individual reward “Delivering Excellence</w:t>
      </w:r>
      <w:r w:rsidR="00FB793B">
        <w:rPr>
          <w:rFonts w:ascii="Arial" w:hAnsi="Arial" w:cs="Arial"/>
          <w:sz w:val="22"/>
          <w:szCs w:val="22"/>
        </w:rPr>
        <w:t>,</w:t>
      </w:r>
      <w:r w:rsidR="00FB793B" w:rsidRPr="00B878D6">
        <w:rPr>
          <w:rFonts w:ascii="Arial" w:hAnsi="Arial" w:cs="Arial"/>
          <w:sz w:val="22"/>
          <w:szCs w:val="22"/>
        </w:rPr>
        <w:t xml:space="preserve">” </w:t>
      </w:r>
      <w:r w:rsidR="00FB793B">
        <w:rPr>
          <w:rFonts w:ascii="Arial" w:hAnsi="Arial" w:cs="Arial"/>
          <w:sz w:val="22"/>
          <w:szCs w:val="22"/>
        </w:rPr>
        <w:t xml:space="preserve">which also consists </w:t>
      </w:r>
      <w:r w:rsidR="00FB793B" w:rsidRPr="00B878D6">
        <w:rPr>
          <w:rFonts w:ascii="Arial" w:hAnsi="Arial" w:cs="Arial"/>
          <w:sz w:val="22"/>
          <w:szCs w:val="22"/>
        </w:rPr>
        <w:t xml:space="preserve">of </w:t>
      </w:r>
      <w:r w:rsidR="00FB793B">
        <w:rPr>
          <w:rFonts w:ascii="Arial" w:hAnsi="Arial" w:cs="Arial"/>
          <w:sz w:val="22"/>
          <w:szCs w:val="22"/>
        </w:rPr>
        <w:t xml:space="preserve">a </w:t>
      </w:r>
      <w:r w:rsidR="0037763F">
        <w:rPr>
          <w:rFonts w:ascii="Arial" w:hAnsi="Arial" w:cs="Arial"/>
          <w:sz w:val="22"/>
          <w:szCs w:val="22"/>
        </w:rPr>
        <w:t>2,000 </w:t>
      </w:r>
      <w:r w:rsidR="00FB793B" w:rsidRPr="00B878D6">
        <w:rPr>
          <w:rFonts w:ascii="Arial" w:hAnsi="Arial" w:cs="Arial"/>
          <w:sz w:val="22"/>
          <w:szCs w:val="22"/>
        </w:rPr>
        <w:t xml:space="preserve">Swiss franc </w:t>
      </w:r>
      <w:r w:rsidR="00FB793B">
        <w:rPr>
          <w:rFonts w:ascii="Arial" w:hAnsi="Arial" w:cs="Arial"/>
          <w:sz w:val="22"/>
          <w:szCs w:val="22"/>
        </w:rPr>
        <w:t xml:space="preserve">award, </w:t>
      </w:r>
      <w:r w:rsidR="00FB793B" w:rsidRPr="00B878D6">
        <w:rPr>
          <w:rFonts w:ascii="Arial" w:hAnsi="Arial" w:cs="Arial"/>
          <w:sz w:val="22"/>
          <w:szCs w:val="22"/>
        </w:rPr>
        <w:t>will be linked directly to</w:t>
      </w:r>
      <w:r w:rsidR="00FB793B">
        <w:rPr>
          <w:rFonts w:ascii="Arial" w:hAnsi="Arial" w:cs="Arial"/>
          <w:sz w:val="22"/>
          <w:szCs w:val="22"/>
        </w:rPr>
        <w:t xml:space="preserve"> a rating of</w:t>
      </w:r>
      <w:r w:rsidR="00FB793B" w:rsidRPr="00B878D6">
        <w:rPr>
          <w:rFonts w:ascii="Arial" w:hAnsi="Arial" w:cs="Arial"/>
          <w:sz w:val="22"/>
          <w:szCs w:val="22"/>
        </w:rPr>
        <w:t xml:space="preserve"> “Outstanding Performance” in the related performance cycle.  The amount of 2,000 Swiss francs has been set on the assumption that approximately 15 </w:t>
      </w:r>
      <w:r w:rsidR="00FB793B">
        <w:rPr>
          <w:rFonts w:ascii="Arial" w:hAnsi="Arial" w:cs="Arial"/>
          <w:sz w:val="22"/>
          <w:szCs w:val="22"/>
        </w:rPr>
        <w:t>per cent</w:t>
      </w:r>
      <w:r w:rsidR="00FB793B" w:rsidRPr="00B878D6">
        <w:rPr>
          <w:rFonts w:ascii="Arial" w:hAnsi="Arial" w:cs="Arial"/>
          <w:sz w:val="22"/>
          <w:szCs w:val="22"/>
        </w:rPr>
        <w:t xml:space="preserve"> of staff members will receive a rating of “Outstanding Performance</w:t>
      </w:r>
      <w:r w:rsidR="00FB793B">
        <w:rPr>
          <w:rFonts w:ascii="Arial" w:hAnsi="Arial" w:cs="Arial"/>
          <w:sz w:val="22"/>
          <w:szCs w:val="22"/>
        </w:rPr>
        <w:t>,</w:t>
      </w:r>
      <w:r w:rsidR="00FB793B" w:rsidRPr="00B878D6">
        <w:rPr>
          <w:rFonts w:ascii="Arial" w:hAnsi="Arial" w:cs="Arial"/>
          <w:sz w:val="22"/>
          <w:szCs w:val="22"/>
        </w:rPr>
        <w:t xml:space="preserve">” </w:t>
      </w:r>
      <w:r w:rsidR="00FB793B">
        <w:rPr>
          <w:rFonts w:ascii="Arial" w:hAnsi="Arial" w:cs="Arial"/>
          <w:sz w:val="22"/>
          <w:szCs w:val="22"/>
        </w:rPr>
        <w:t xml:space="preserve">but which </w:t>
      </w:r>
      <w:r w:rsidR="00FB793B" w:rsidRPr="00B878D6">
        <w:rPr>
          <w:rFonts w:ascii="Arial" w:hAnsi="Arial" w:cs="Arial"/>
          <w:sz w:val="22"/>
          <w:szCs w:val="22"/>
        </w:rPr>
        <w:t>may be lowered if more staff members receive such a rating.  In parallel to those changes, the performance calibration process was expanded from P4 employees and above</w:t>
      </w:r>
      <w:r w:rsidR="00FB793B">
        <w:rPr>
          <w:rFonts w:ascii="Arial" w:hAnsi="Arial" w:cs="Arial"/>
          <w:sz w:val="22"/>
          <w:szCs w:val="22"/>
        </w:rPr>
        <w:t>,</w:t>
      </w:r>
      <w:r w:rsidR="00FB793B" w:rsidRPr="00B878D6">
        <w:rPr>
          <w:rFonts w:ascii="Arial" w:hAnsi="Arial" w:cs="Arial"/>
          <w:sz w:val="22"/>
          <w:szCs w:val="22"/>
        </w:rPr>
        <w:t xml:space="preserve"> to all categories of staff to ensure consistency and fairness</w:t>
      </w:r>
      <w:r w:rsidR="00FB793B">
        <w:rPr>
          <w:rFonts w:ascii="Arial" w:hAnsi="Arial" w:cs="Arial"/>
          <w:sz w:val="22"/>
          <w:szCs w:val="22"/>
        </w:rPr>
        <w:t xml:space="preserve"> across grades</w:t>
      </w:r>
      <w:r w:rsidR="00FB793B" w:rsidRPr="00B878D6">
        <w:rPr>
          <w:rFonts w:ascii="Arial" w:hAnsi="Arial" w:cs="Arial"/>
          <w:sz w:val="22"/>
          <w:szCs w:val="22"/>
        </w:rPr>
        <w:t xml:space="preserve">. </w:t>
      </w:r>
      <w:r w:rsidR="007F2F02">
        <w:rPr>
          <w:rFonts w:ascii="Arial" w:hAnsi="Arial" w:cs="Arial"/>
          <w:sz w:val="22"/>
          <w:szCs w:val="22"/>
        </w:rPr>
        <w:t xml:space="preserve"> </w:t>
      </w:r>
      <w:r w:rsidR="00FB793B" w:rsidRPr="00B878D6">
        <w:rPr>
          <w:rFonts w:ascii="Arial" w:hAnsi="Arial" w:cs="Arial"/>
          <w:sz w:val="22"/>
          <w:szCs w:val="22"/>
        </w:rPr>
        <w:t xml:space="preserve">Furthermore, the team reward “Working as One” will be reintroduced for up to </w:t>
      </w:r>
      <w:r w:rsidR="007F2F02">
        <w:rPr>
          <w:rFonts w:ascii="Arial" w:hAnsi="Arial" w:cs="Arial"/>
          <w:sz w:val="22"/>
          <w:szCs w:val="22"/>
        </w:rPr>
        <w:t>10</w:t>
      </w:r>
      <w:r w:rsidR="00FB793B" w:rsidRPr="00B878D6">
        <w:rPr>
          <w:rFonts w:ascii="Arial" w:hAnsi="Arial" w:cs="Arial"/>
          <w:sz w:val="22"/>
          <w:szCs w:val="22"/>
        </w:rPr>
        <w:t xml:space="preserve"> teams. </w:t>
      </w:r>
      <w:r w:rsidR="007F2F02">
        <w:rPr>
          <w:rFonts w:ascii="Arial" w:hAnsi="Arial" w:cs="Arial"/>
          <w:sz w:val="22"/>
          <w:szCs w:val="22"/>
        </w:rPr>
        <w:t xml:space="preserve"> </w:t>
      </w:r>
      <w:r w:rsidR="00FB793B" w:rsidRPr="00B878D6">
        <w:rPr>
          <w:rFonts w:ascii="Arial" w:hAnsi="Arial" w:cs="Arial"/>
          <w:sz w:val="22"/>
          <w:szCs w:val="22"/>
        </w:rPr>
        <w:t>The amount of the reward is now aligned to the size of the team, with 5,000 Swiss francs for teams up to 10 members, 10,000 Swiss francs for teams between 11 and 20 members</w:t>
      </w:r>
      <w:r w:rsidR="00FB793B">
        <w:rPr>
          <w:rFonts w:ascii="Arial" w:hAnsi="Arial" w:cs="Arial"/>
          <w:sz w:val="22"/>
          <w:szCs w:val="22"/>
        </w:rPr>
        <w:t>,</w:t>
      </w:r>
      <w:r w:rsidR="00FB793B" w:rsidRPr="00B878D6">
        <w:rPr>
          <w:rFonts w:ascii="Arial" w:hAnsi="Arial" w:cs="Arial"/>
          <w:sz w:val="22"/>
          <w:szCs w:val="22"/>
        </w:rPr>
        <w:t xml:space="preserve"> and 15,000 Swiss francs for teams with more than 20 members</w:t>
      </w:r>
      <w:r w:rsidRPr="00B878D6">
        <w:rPr>
          <w:rFonts w:ascii="Arial" w:hAnsi="Arial" w:cs="Arial"/>
          <w:sz w:val="22"/>
          <w:szCs w:val="22"/>
        </w:rPr>
        <w:t>.</w:t>
      </w:r>
    </w:p>
    <w:p w14:paraId="46072F41" w14:textId="0BB45C05" w:rsidR="00276BEE" w:rsidRPr="0006645A" w:rsidRDefault="00276BEE" w:rsidP="0055266C">
      <w:pPr>
        <w:pStyle w:val="Heading2"/>
        <w:ind w:left="540" w:hanging="540"/>
      </w:pPr>
      <w:r>
        <w:tab/>
      </w:r>
      <w:r w:rsidRPr="0006645A">
        <w:t>REPORT</w:t>
      </w:r>
      <w:r w:rsidR="00707DB3">
        <w:t>s</w:t>
      </w:r>
      <w:r w:rsidRPr="0006645A">
        <w:t xml:space="preserve"> OF THE INTERNATIONAL CIVIL SERVICE COMMISSION (ICSC)</w:t>
      </w:r>
      <w:r w:rsidR="00707DB3">
        <w:t xml:space="preserve"> and of the </w:t>
      </w:r>
      <w:r w:rsidR="00707DB3" w:rsidRPr="0006645A">
        <w:t>UNITED NATIONS JOINT STAFF PENSION BOARD (UNJSPB)</w:t>
      </w:r>
    </w:p>
    <w:p w14:paraId="1CACA163" w14:textId="77777777" w:rsidR="00276BEE" w:rsidRPr="0006645A" w:rsidRDefault="00276BEE" w:rsidP="00276BEE">
      <w:pPr>
        <w:pStyle w:val="ListParagraph"/>
        <w:ind w:left="567"/>
        <w:rPr>
          <w:szCs w:val="22"/>
        </w:rPr>
      </w:pPr>
    </w:p>
    <w:p w14:paraId="67285C00" w14:textId="5E7F696E" w:rsidR="00BF21AE" w:rsidRDefault="00BF21AE" w:rsidP="00BF21AE">
      <w:pPr>
        <w:pStyle w:val="ListParagraph"/>
        <w:numPr>
          <w:ilvl w:val="0"/>
          <w:numId w:val="12"/>
        </w:numPr>
        <w:ind w:left="0" w:firstLine="0"/>
        <w:rPr>
          <w:szCs w:val="22"/>
        </w:rPr>
      </w:pPr>
      <w:r>
        <w:rPr>
          <w:szCs w:val="22"/>
        </w:rPr>
        <w:t>T</w:t>
      </w:r>
      <w:r w:rsidRPr="0006645A">
        <w:rPr>
          <w:szCs w:val="22"/>
        </w:rPr>
        <w:t>he attention of the WIPO Coordination Committee</w:t>
      </w:r>
      <w:r>
        <w:rPr>
          <w:szCs w:val="22"/>
        </w:rPr>
        <w:t xml:space="preserve"> is drawn </w:t>
      </w:r>
      <w:r w:rsidRPr="0006645A">
        <w:rPr>
          <w:szCs w:val="22"/>
        </w:rPr>
        <w:t xml:space="preserve">to the </w:t>
      </w:r>
      <w:r w:rsidR="00473594">
        <w:rPr>
          <w:szCs w:val="22"/>
        </w:rPr>
        <w:t xml:space="preserve">last annual </w:t>
      </w:r>
      <w:r w:rsidRPr="0006645A">
        <w:rPr>
          <w:szCs w:val="22"/>
        </w:rPr>
        <w:t>report</w:t>
      </w:r>
      <w:r>
        <w:rPr>
          <w:szCs w:val="22"/>
        </w:rPr>
        <w:t>s</w:t>
      </w:r>
      <w:r w:rsidRPr="0006645A">
        <w:rPr>
          <w:szCs w:val="22"/>
        </w:rPr>
        <w:t xml:space="preserve"> of the ICSC </w:t>
      </w:r>
      <w:r>
        <w:rPr>
          <w:szCs w:val="22"/>
        </w:rPr>
        <w:t xml:space="preserve">(UN document </w:t>
      </w:r>
      <w:hyperlink r:id="rId16" w:history="1">
        <w:r w:rsidRPr="005F7CAB">
          <w:rPr>
            <w:rStyle w:val="Hyperlink"/>
            <w:rFonts w:eastAsia="SimSun"/>
            <w:szCs w:val="22"/>
          </w:rPr>
          <w:t>A/7</w:t>
        </w:r>
        <w:r w:rsidR="005F7CAB" w:rsidRPr="005F7CAB">
          <w:rPr>
            <w:rStyle w:val="Hyperlink"/>
            <w:rFonts w:eastAsia="SimSun"/>
            <w:szCs w:val="22"/>
          </w:rPr>
          <w:t>7</w:t>
        </w:r>
        <w:r w:rsidRPr="005F7CAB">
          <w:rPr>
            <w:rStyle w:val="Hyperlink"/>
            <w:rFonts w:eastAsia="SimSun"/>
            <w:szCs w:val="22"/>
          </w:rPr>
          <w:t>/30</w:t>
        </w:r>
      </w:hyperlink>
      <w:r>
        <w:rPr>
          <w:szCs w:val="22"/>
        </w:rPr>
        <w:t>) and of the UNJSPB (</w:t>
      </w:r>
      <w:r w:rsidRPr="008625D0">
        <w:rPr>
          <w:szCs w:val="22"/>
        </w:rPr>
        <w:t xml:space="preserve">UN document </w:t>
      </w:r>
      <w:hyperlink r:id="rId17" w:history="1">
        <w:r w:rsidR="00CD4CDA" w:rsidRPr="009A57AC">
          <w:rPr>
            <w:rStyle w:val="Hyperlink"/>
            <w:szCs w:val="22"/>
          </w:rPr>
          <w:t>A/7</w:t>
        </w:r>
        <w:r w:rsidR="00A855E5" w:rsidRPr="009A57AC">
          <w:rPr>
            <w:rStyle w:val="Hyperlink"/>
            <w:szCs w:val="22"/>
          </w:rPr>
          <w:t>7/9</w:t>
        </w:r>
      </w:hyperlink>
      <w:r w:rsidR="00CD4CDA">
        <w:rPr>
          <w:szCs w:val="22"/>
        </w:rPr>
        <w:t>)</w:t>
      </w:r>
      <w:r>
        <w:rPr>
          <w:szCs w:val="22"/>
        </w:rPr>
        <w:t>.</w:t>
      </w:r>
      <w:r w:rsidRPr="008625D0">
        <w:rPr>
          <w:szCs w:val="22"/>
        </w:rPr>
        <w:t xml:space="preserve"> </w:t>
      </w:r>
    </w:p>
    <w:p w14:paraId="3B5ACD07" w14:textId="151325A1" w:rsidR="00BF54BF" w:rsidRPr="00966002" w:rsidRDefault="00BF54BF" w:rsidP="00966002">
      <w:pPr>
        <w:pStyle w:val="Heading2"/>
        <w:ind w:left="540" w:hanging="540"/>
      </w:pPr>
      <w:r>
        <w:tab/>
        <w:t>geographical balance on positions subject to geographical distribution and gender balance</w:t>
      </w:r>
    </w:p>
    <w:p w14:paraId="4A16E9A9" w14:textId="6742F08C" w:rsidR="0056236C" w:rsidRPr="005645E2" w:rsidRDefault="0056236C" w:rsidP="00966002">
      <w:pPr>
        <w:pStyle w:val="ListParagraph"/>
        <w:tabs>
          <w:tab w:val="left" w:pos="540"/>
        </w:tabs>
        <w:ind w:left="0"/>
        <w:rPr>
          <w:szCs w:val="22"/>
        </w:rPr>
      </w:pPr>
      <w:r>
        <w:rPr>
          <w:rFonts w:eastAsia="Calibri"/>
          <w:szCs w:val="22"/>
          <w:lang w:val="en-GB"/>
        </w:rPr>
        <w:t xml:space="preserve"> </w:t>
      </w:r>
    </w:p>
    <w:p w14:paraId="0FFCEC46" w14:textId="187654F6" w:rsidR="008625D0" w:rsidRPr="00966002" w:rsidRDefault="00966002" w:rsidP="00935BAC">
      <w:pPr>
        <w:pStyle w:val="ListParagraph"/>
        <w:numPr>
          <w:ilvl w:val="0"/>
          <w:numId w:val="12"/>
        </w:numPr>
        <w:tabs>
          <w:tab w:val="left" w:pos="540"/>
        </w:tabs>
        <w:ind w:left="0" w:firstLine="0"/>
        <w:rPr>
          <w:szCs w:val="22"/>
        </w:rPr>
      </w:pPr>
      <w:r w:rsidRPr="00966002">
        <w:rPr>
          <w:szCs w:val="22"/>
        </w:rPr>
        <w:t>Please refer to Section VII</w:t>
      </w:r>
      <w:r w:rsidR="00335166">
        <w:rPr>
          <w:szCs w:val="22"/>
        </w:rPr>
        <w:t>I</w:t>
      </w:r>
      <w:r w:rsidRPr="00966002">
        <w:rPr>
          <w:szCs w:val="22"/>
        </w:rPr>
        <w:t xml:space="preserve"> of the Report, as well as the Annex enclosed.</w:t>
      </w:r>
    </w:p>
    <w:p w14:paraId="3EB855AD" w14:textId="77777777" w:rsidR="0081524F" w:rsidRDefault="0081524F" w:rsidP="0006560C">
      <w:pPr>
        <w:pStyle w:val="ListParagraph"/>
        <w:ind w:left="5580"/>
      </w:pPr>
    </w:p>
    <w:p w14:paraId="7BCEB0EC" w14:textId="28F0B61B" w:rsidR="00BA1639" w:rsidRDefault="00BA1639" w:rsidP="0006560C">
      <w:pPr>
        <w:pStyle w:val="ListParagraph"/>
        <w:ind w:left="5580"/>
      </w:pPr>
    </w:p>
    <w:p w14:paraId="45BBBD6E" w14:textId="02DE1922" w:rsidR="00EA6613" w:rsidRDefault="007F2F02" w:rsidP="00FB5BF6">
      <w:pPr>
        <w:pStyle w:val="ListParagraph"/>
        <w:ind w:left="5580"/>
      </w:pPr>
      <w:r>
        <w:t>[Annex follows]</w:t>
      </w:r>
    </w:p>
    <w:p w14:paraId="4C11ED97" w14:textId="77777777" w:rsidR="003C0A60" w:rsidRDefault="003C0A60" w:rsidP="00EA6613">
      <w:pPr>
        <w:rPr>
          <w:rFonts w:eastAsia="Times New Roman"/>
          <w:lang w:eastAsia="en-US"/>
        </w:rPr>
        <w:sectPr w:rsidR="003C0A60" w:rsidSect="00276BEE">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cols w:space="720"/>
          <w:titlePg/>
          <w:docGrid w:linePitch="299"/>
        </w:sectPr>
      </w:pPr>
    </w:p>
    <w:p w14:paraId="1ED17E18" w14:textId="77777777" w:rsidR="003C0A60" w:rsidRPr="00987E41" w:rsidRDefault="003C0A60" w:rsidP="003C0A60">
      <w:pPr>
        <w:jc w:val="center"/>
        <w:rPr>
          <w:b/>
        </w:rPr>
      </w:pPr>
      <w:r w:rsidRPr="00A54F87">
        <w:rPr>
          <w:b/>
          <w:sz w:val="28"/>
          <w:szCs w:val="28"/>
        </w:rPr>
        <w:lastRenderedPageBreak/>
        <w:t>Geographical Diversity Action Plan</w:t>
      </w:r>
    </w:p>
    <w:p w14:paraId="6AC035AC" w14:textId="77777777" w:rsidR="003C0A60" w:rsidRDefault="003C0A60" w:rsidP="003C0A60">
      <w:pPr>
        <w:rPr>
          <w:b/>
        </w:rPr>
      </w:pPr>
    </w:p>
    <w:p w14:paraId="7765D3DD" w14:textId="1EF711F4" w:rsidR="003C0A60" w:rsidRDefault="003C0A60" w:rsidP="003C0A60">
      <w:pPr>
        <w:pStyle w:val="Heading2"/>
      </w:pPr>
      <w:r>
        <w:tab/>
        <w:t>introduction</w:t>
      </w:r>
    </w:p>
    <w:p w14:paraId="3B50C840" w14:textId="77777777" w:rsidR="003C0A60" w:rsidRPr="00987E41" w:rsidRDefault="003C0A60" w:rsidP="003C0A60">
      <w:pPr>
        <w:rPr>
          <w:b/>
        </w:rPr>
      </w:pPr>
    </w:p>
    <w:p w14:paraId="251F0144" w14:textId="5297BB24" w:rsidR="003C0A60" w:rsidRPr="00987E41" w:rsidRDefault="003C0A60" w:rsidP="003C0A60">
      <w:pPr>
        <w:pStyle w:val="ListParagraph"/>
        <w:numPr>
          <w:ilvl w:val="0"/>
          <w:numId w:val="41"/>
        </w:numPr>
        <w:tabs>
          <w:tab w:val="left" w:pos="540"/>
        </w:tabs>
        <w:spacing w:line="256" w:lineRule="auto"/>
        <w:ind w:left="0" w:firstLine="0"/>
      </w:pPr>
      <w:r w:rsidRPr="00987E41">
        <w:t>This Annex, prepar</w:t>
      </w:r>
      <w:r>
        <w:t xml:space="preserve">ed in response to a decision by </w:t>
      </w:r>
      <w:r w:rsidRPr="00987E41">
        <w:t xml:space="preserve">the 2022 Coordination Committee and </w:t>
      </w:r>
      <w:r>
        <w:t xml:space="preserve">in </w:t>
      </w:r>
      <w:r w:rsidRPr="00987E41">
        <w:t>recognition of the need to accelerate</w:t>
      </w:r>
      <w:r>
        <w:t xml:space="preserve"> the </w:t>
      </w:r>
      <w:r w:rsidRPr="00987E41">
        <w:t>enhancement of geographical diversity</w:t>
      </w:r>
      <w:r>
        <w:t xml:space="preserve"> at WIPO</w:t>
      </w:r>
      <w:r w:rsidRPr="00987E41">
        <w:t xml:space="preserve">, proposes a set of actions to be pursued in the short, medium and longer term. </w:t>
      </w:r>
      <w:r w:rsidR="00D5580D">
        <w:t xml:space="preserve"> </w:t>
      </w:r>
      <w:r w:rsidRPr="00987E41">
        <w:t>The proposed actions are set out in the ‘Action Plan’</w:t>
      </w:r>
      <w:r>
        <w:t xml:space="preserve"> in paragraph 5</w:t>
      </w:r>
      <w:r w:rsidRPr="00987E41">
        <w:t xml:space="preserve"> below. </w:t>
      </w:r>
      <w:r w:rsidR="00D5580D">
        <w:t xml:space="preserve"> </w:t>
      </w:r>
      <w:r>
        <w:t xml:space="preserve">The ‘Action Plan’ may be adjusted as we </w:t>
      </w:r>
      <w:r w:rsidRPr="00987E41">
        <w:t xml:space="preserve">progress and learn from the initiatives and </w:t>
      </w:r>
      <w:r>
        <w:t xml:space="preserve">observe </w:t>
      </w:r>
      <w:r w:rsidRPr="00987E41">
        <w:t xml:space="preserve">the impact on geographical representation within WIPO. </w:t>
      </w:r>
    </w:p>
    <w:p w14:paraId="31804227" w14:textId="77777777" w:rsidR="003C0A60" w:rsidRPr="00987E41" w:rsidRDefault="003C0A60" w:rsidP="003C0A60">
      <w:pPr>
        <w:tabs>
          <w:tab w:val="left" w:pos="540"/>
        </w:tabs>
      </w:pPr>
    </w:p>
    <w:p w14:paraId="2076B1B4" w14:textId="77777777" w:rsidR="003C0A60" w:rsidRDefault="003C0A60" w:rsidP="003C0A60">
      <w:pPr>
        <w:pStyle w:val="ListParagraph"/>
        <w:numPr>
          <w:ilvl w:val="0"/>
          <w:numId w:val="41"/>
        </w:numPr>
        <w:tabs>
          <w:tab w:val="left" w:pos="540"/>
        </w:tabs>
        <w:spacing w:line="256" w:lineRule="auto"/>
        <w:ind w:left="0" w:firstLine="0"/>
      </w:pPr>
      <w:r w:rsidRPr="00987E41">
        <w:t>The</w:t>
      </w:r>
      <w:r>
        <w:t xml:space="preserve"> objective of the ‘Action Plan’ is to address</w:t>
      </w:r>
      <w:r w:rsidRPr="00987E41">
        <w:t xml:space="preserve"> key issues, identified in discussion with Member State Focal Points,</w:t>
      </w:r>
      <w:r>
        <w:t xml:space="preserve"> and increase geographical diversity at WIPO. These include:</w:t>
      </w:r>
    </w:p>
    <w:p w14:paraId="048C1093" w14:textId="77777777" w:rsidR="003C0A60" w:rsidRPr="00987E41" w:rsidRDefault="003C0A60" w:rsidP="003C0A60">
      <w:pPr>
        <w:pStyle w:val="ListParagraph"/>
      </w:pPr>
    </w:p>
    <w:p w14:paraId="0C648423" w14:textId="129C5CB6" w:rsidR="003C0A60" w:rsidRDefault="003C0A60" w:rsidP="003C0A60">
      <w:pPr>
        <w:pStyle w:val="ListParagraph"/>
        <w:numPr>
          <w:ilvl w:val="0"/>
          <w:numId w:val="37"/>
        </w:numPr>
        <w:spacing w:line="256" w:lineRule="auto"/>
        <w:ind w:left="900"/>
      </w:pPr>
      <w:r>
        <w:t xml:space="preserve">The </w:t>
      </w:r>
      <w:r w:rsidRPr="00987E41">
        <w:t xml:space="preserve">Focal Point initiative, adopted in 2016 to strengthen the partnership between WIPO and Member States to address geographical distribution, has not produced the </w:t>
      </w:r>
      <w:r>
        <w:t>expected</w:t>
      </w:r>
      <w:r w:rsidRPr="00987E41">
        <w:t xml:space="preserve"> results</w:t>
      </w:r>
      <w:r w:rsidR="00D5580D">
        <w:t xml:space="preserve">, </w:t>
      </w:r>
      <w:r>
        <w:t>notably due to the lack of follow up in-country to support candidates and to the low level of engagement from participating countries</w:t>
      </w:r>
      <w:r w:rsidRPr="00987E41">
        <w:t>.</w:t>
      </w:r>
    </w:p>
    <w:p w14:paraId="072DF70E" w14:textId="77777777" w:rsidR="003C0A60" w:rsidRDefault="003C0A60" w:rsidP="003C0A60">
      <w:pPr>
        <w:pStyle w:val="ListParagraph"/>
        <w:ind w:left="900" w:hanging="360"/>
      </w:pPr>
    </w:p>
    <w:p w14:paraId="096B7A61" w14:textId="77777777" w:rsidR="003C0A60" w:rsidRPr="00987E41" w:rsidRDefault="003C0A60" w:rsidP="003C0A60">
      <w:pPr>
        <w:pStyle w:val="ListParagraph"/>
        <w:numPr>
          <w:ilvl w:val="0"/>
          <w:numId w:val="37"/>
        </w:numPr>
        <w:spacing w:line="256" w:lineRule="auto"/>
        <w:ind w:left="900"/>
      </w:pPr>
      <w:r w:rsidRPr="00987E41">
        <w:t>Mainstreaming geographical representation in WIPO requires changing the mindset of managers and employees.  Hiring Managers, members of selection boards as well as HRMD, need to be more actively involved and engaged to spearhead geographical diversity</w:t>
      </w:r>
      <w:r>
        <w:t>.</w:t>
      </w:r>
    </w:p>
    <w:p w14:paraId="7B4287BE" w14:textId="77777777" w:rsidR="003C0A60" w:rsidRPr="00987E41" w:rsidRDefault="003C0A60" w:rsidP="003C0A60">
      <w:pPr>
        <w:pStyle w:val="ListParagraph"/>
        <w:ind w:left="900" w:hanging="360"/>
      </w:pPr>
    </w:p>
    <w:p w14:paraId="425E802E" w14:textId="5B30244A" w:rsidR="003C0A60" w:rsidRPr="00987E41" w:rsidRDefault="003C0A60" w:rsidP="003C0A60">
      <w:pPr>
        <w:pStyle w:val="ListParagraph"/>
        <w:numPr>
          <w:ilvl w:val="0"/>
          <w:numId w:val="37"/>
        </w:numPr>
        <w:spacing w:line="256" w:lineRule="auto"/>
        <w:ind w:left="900"/>
      </w:pPr>
      <w:r w:rsidRPr="00987E41">
        <w:t>WIPO is a</w:t>
      </w:r>
      <w:r>
        <w:t>n</w:t>
      </w:r>
      <w:r w:rsidRPr="00987E41">
        <w:t xml:space="preserve"> agency </w:t>
      </w:r>
      <w:r>
        <w:t xml:space="preserve">that requires </w:t>
      </w:r>
      <w:r w:rsidRPr="00987E41">
        <w:t xml:space="preserve">highly specialized </w:t>
      </w:r>
      <w:r>
        <w:t xml:space="preserve">technical </w:t>
      </w:r>
      <w:r w:rsidRPr="00987E41">
        <w:t xml:space="preserve">profiles.  A significant proportion of positions subject to geographical distribution, notably in the Registry areas, require very specific skill sets that limit talent pools. </w:t>
      </w:r>
      <w:r w:rsidR="00D5580D">
        <w:t xml:space="preserve"> </w:t>
      </w:r>
      <w:r w:rsidRPr="00987E41">
        <w:t xml:space="preserve">To address this issue, WIPO needs to focus on building </w:t>
      </w:r>
      <w:r>
        <w:t>external talent pools with the required skill sets</w:t>
      </w:r>
      <w:r w:rsidRPr="00987E41">
        <w:t xml:space="preserve"> to meet the Organization’s future talent needs</w:t>
      </w:r>
      <w:r>
        <w:t>, in addition to the internal efforts to build capacity, notably through development and mobility</w:t>
      </w:r>
      <w:r w:rsidRPr="00987E41">
        <w:t>.</w:t>
      </w:r>
    </w:p>
    <w:p w14:paraId="3E683DCD" w14:textId="77777777" w:rsidR="003C0A60" w:rsidRPr="00987E41" w:rsidRDefault="003C0A60" w:rsidP="003C0A60">
      <w:pPr>
        <w:tabs>
          <w:tab w:val="left" w:pos="450"/>
        </w:tabs>
      </w:pPr>
    </w:p>
    <w:p w14:paraId="4017BA30" w14:textId="056B945E" w:rsidR="003C0A60" w:rsidRPr="0065303C" w:rsidRDefault="003C0A60" w:rsidP="003C0A60">
      <w:pPr>
        <w:pStyle w:val="ListParagraph"/>
        <w:numPr>
          <w:ilvl w:val="0"/>
          <w:numId w:val="41"/>
        </w:numPr>
        <w:tabs>
          <w:tab w:val="left" w:pos="540"/>
        </w:tabs>
        <w:spacing w:line="256" w:lineRule="auto"/>
        <w:ind w:left="0" w:firstLine="0"/>
      </w:pPr>
      <w:r w:rsidRPr="0065303C">
        <w:t xml:space="preserve">WIPO is a medium-sized technical agency with one of the lowest staff turnover rates across UN agencies. </w:t>
      </w:r>
      <w:r w:rsidR="00D5580D">
        <w:t xml:space="preserve"> </w:t>
      </w:r>
      <w:r w:rsidRPr="0065303C">
        <w:t xml:space="preserve">Turnover in WIPO is due </w:t>
      </w:r>
      <w:r>
        <w:t xml:space="preserve">primarily </w:t>
      </w:r>
      <w:r w:rsidRPr="0065303C">
        <w:t>to retirement.</w:t>
      </w:r>
      <w:r w:rsidR="00D5580D">
        <w:t xml:space="preserve"> </w:t>
      </w:r>
      <w:r w:rsidRPr="0065303C">
        <w:t xml:space="preserve"> The current average age is 51</w:t>
      </w:r>
      <w:r>
        <w:t xml:space="preserve"> years. </w:t>
      </w:r>
      <w:r w:rsidRPr="0065303C">
        <w:t xml:space="preserve"> As at end December 2022, out of 667 positions subject to geographical distribution, 28</w:t>
      </w:r>
      <w:r w:rsidR="007F1DFB">
        <w:t>5</w:t>
      </w:r>
      <w:r w:rsidRPr="0065303C">
        <w:t xml:space="preserve"> (42.</w:t>
      </w:r>
      <w:r w:rsidR="007F1DFB">
        <w:t>7</w:t>
      </w:r>
      <w:r w:rsidRPr="0065303C">
        <w:t xml:space="preserve">%) will be vacated </w:t>
      </w:r>
      <w:r>
        <w:t>through</w:t>
      </w:r>
      <w:r w:rsidRPr="0065303C">
        <w:t xml:space="preserve"> retirement by 2038. </w:t>
      </w:r>
      <w:r w:rsidR="00D5580D">
        <w:t xml:space="preserve"> </w:t>
      </w:r>
      <w:r w:rsidRPr="0065303C">
        <w:t xml:space="preserve">This offers a significant window of opportunity to reshape the </w:t>
      </w:r>
      <w:r>
        <w:t>O</w:t>
      </w:r>
      <w:r w:rsidRPr="0065303C">
        <w:t>rganization in the coming 15 years</w:t>
      </w:r>
      <w:r>
        <w:t>.</w:t>
      </w:r>
      <w:r w:rsidRPr="0065303C">
        <w:t xml:space="preserve"> </w:t>
      </w:r>
      <w:r w:rsidR="00D5580D">
        <w:t xml:space="preserve"> </w:t>
      </w:r>
      <w:r w:rsidRPr="0065303C">
        <w:t xml:space="preserve">The measures outlined in this Annex are </w:t>
      </w:r>
      <w:r>
        <w:t>presented</w:t>
      </w:r>
      <w:r w:rsidRPr="0065303C">
        <w:t xml:space="preserve"> with</w:t>
      </w:r>
      <w:r>
        <w:t>in this framework</w:t>
      </w:r>
      <w:r w:rsidRPr="0065303C">
        <w:t>.</w:t>
      </w:r>
    </w:p>
    <w:p w14:paraId="694E9FAC" w14:textId="77777777" w:rsidR="003C0A60" w:rsidRPr="00987E41" w:rsidRDefault="003C0A60" w:rsidP="003C0A60">
      <w:pPr>
        <w:rPr>
          <w:b/>
        </w:rPr>
      </w:pPr>
    </w:p>
    <w:p w14:paraId="589C62C1" w14:textId="3067C76D" w:rsidR="003C0A60" w:rsidRDefault="003C0A60" w:rsidP="003C0A60">
      <w:pPr>
        <w:pStyle w:val="Heading2"/>
        <w:ind w:left="540" w:hanging="540"/>
      </w:pPr>
      <w:r>
        <w:tab/>
        <w:t>using data to measure recruitment trends by geographical region</w:t>
      </w:r>
    </w:p>
    <w:p w14:paraId="36C5AD76" w14:textId="77777777" w:rsidR="003C0A60" w:rsidRDefault="003C0A60" w:rsidP="003C0A60">
      <w:pPr>
        <w:rPr>
          <w:b/>
        </w:rPr>
      </w:pPr>
    </w:p>
    <w:p w14:paraId="2EA4CC7A" w14:textId="2CBBCD2C" w:rsidR="003C0A60" w:rsidRDefault="003C0A60" w:rsidP="003C0A60">
      <w:pPr>
        <w:pStyle w:val="ListParagraph"/>
        <w:numPr>
          <w:ilvl w:val="0"/>
          <w:numId w:val="41"/>
        </w:numPr>
        <w:tabs>
          <w:tab w:val="left" w:pos="540"/>
        </w:tabs>
        <w:spacing w:line="256" w:lineRule="auto"/>
        <w:ind w:left="0" w:firstLine="0"/>
      </w:pPr>
      <w:r w:rsidRPr="0065303C">
        <w:t xml:space="preserve">The importance of alignment between the talent outreach measures and the recruitment trends in different regions is shown </w:t>
      </w:r>
      <w:r>
        <w:t xml:space="preserve">in </w:t>
      </w:r>
      <w:r w:rsidRPr="0065303C">
        <w:t>the table “</w:t>
      </w:r>
      <w:r w:rsidRPr="0065303C">
        <w:rPr>
          <w:i/>
        </w:rPr>
        <w:t>Progress of Candidates through Differen</w:t>
      </w:r>
      <w:r>
        <w:rPr>
          <w:i/>
        </w:rPr>
        <w:t>t</w:t>
      </w:r>
      <w:r w:rsidRPr="0065303C">
        <w:rPr>
          <w:i/>
        </w:rPr>
        <w:t xml:space="preserve"> Selection Phases per Region”, c</w:t>
      </w:r>
      <w:r w:rsidRPr="0065303C">
        <w:t>ontained in the 2023 Annual Report</w:t>
      </w:r>
      <w:r>
        <w:t xml:space="preserve"> on Human Resources</w:t>
      </w:r>
      <w:r w:rsidRPr="0065303C">
        <w:t>.</w:t>
      </w:r>
      <w:r w:rsidR="00D5580D">
        <w:t xml:space="preserve"> </w:t>
      </w:r>
      <w:r w:rsidRPr="0065303C">
        <w:t xml:space="preserve"> The table shows </w:t>
      </w:r>
      <w:r>
        <w:t xml:space="preserve">the variations in performance by candidates in the WIPO selection process </w:t>
      </w:r>
      <w:r w:rsidRPr="0065303C">
        <w:t>from different regions.  An analysis of these patterns has identified measures on how to improve</w:t>
      </w:r>
      <w:r>
        <w:t xml:space="preserve"> recruitment trends </w:t>
      </w:r>
      <w:r w:rsidRPr="0065303C">
        <w:t>at the regional/country level</w:t>
      </w:r>
      <w:r>
        <w:t>.</w:t>
      </w:r>
    </w:p>
    <w:p w14:paraId="03453279" w14:textId="77777777" w:rsidR="003C0A60" w:rsidRDefault="003C0A60" w:rsidP="003C0A60">
      <w:pPr>
        <w:pStyle w:val="ListParagraph"/>
        <w:tabs>
          <w:tab w:val="left" w:pos="540"/>
        </w:tabs>
        <w:ind w:left="0"/>
      </w:pPr>
    </w:p>
    <w:p w14:paraId="22180F0A" w14:textId="77777777" w:rsidR="0094367C" w:rsidRDefault="0094367C">
      <w:pPr>
        <w:sectPr w:rsidR="0094367C" w:rsidSect="00804DB7">
          <w:headerReference w:type="default" r:id="rId24"/>
          <w:footerReference w:type="default" r:id="rId25"/>
          <w:headerReference w:type="first" r:id="rId26"/>
          <w:footerReference w:type="first" r:id="rId27"/>
          <w:pgSz w:w="11907" w:h="16840" w:code="9"/>
          <w:pgMar w:top="1417" w:right="1417" w:bottom="1417" w:left="1417" w:header="709" w:footer="709" w:gutter="0"/>
          <w:cols w:space="720"/>
          <w:titlePg/>
          <w:docGrid w:linePitch="299"/>
        </w:sectPr>
      </w:pPr>
    </w:p>
    <w:p w14:paraId="10AE10BF" w14:textId="3686B9DD" w:rsidR="003C0A60" w:rsidRDefault="003C0A60" w:rsidP="003C0A60">
      <w:pPr>
        <w:pStyle w:val="ListParagraph"/>
        <w:numPr>
          <w:ilvl w:val="0"/>
          <w:numId w:val="41"/>
        </w:numPr>
        <w:tabs>
          <w:tab w:val="left" w:pos="540"/>
        </w:tabs>
        <w:spacing w:line="256" w:lineRule="auto"/>
        <w:ind w:left="0" w:firstLine="0"/>
      </w:pPr>
      <w:r>
        <w:lastRenderedPageBreak/>
        <w:t xml:space="preserve">To illustrate, Africa - with the highest number of applications across all regions - drops at the short-listing stage (8.9% as opposed to the world average of </w:t>
      </w:r>
      <w:r w:rsidRPr="00FC2C43">
        <w:t>12%).</w:t>
      </w:r>
      <w:r>
        <w:t xml:space="preserve">  Asia and the Pacific have a lower success rate at the interview stage (26.75% as opposed to 50%). </w:t>
      </w:r>
      <w:r w:rsidR="006E1516">
        <w:t xml:space="preserve"> </w:t>
      </w:r>
      <w:r>
        <w:t>Eastern and Central Europe and Central Asia, Latin America and the Pacific have a below-average performance at the selection stage.  Western Europe on the other hand retains a higher rate than the world average at all stages, although this advantage is lower at the initial screening phase.  Solutions such as more targeted/rigorous sourcing, workshops on interviewing techniques and/or written tests may address the challenges at the different stages of the recruitment process.</w:t>
      </w:r>
      <w:r w:rsidR="006E1516">
        <w:t xml:space="preserve"> </w:t>
      </w:r>
      <w:r>
        <w:t xml:space="preserve"> Overall there is no one-size-fits-all solution, which emphasizes the importance of integrating country specifics in the action plan.</w:t>
      </w:r>
    </w:p>
    <w:p w14:paraId="00C51921" w14:textId="77777777" w:rsidR="003C0A60" w:rsidRPr="0065303C" w:rsidRDefault="003C0A60" w:rsidP="003C0A60"/>
    <w:p w14:paraId="394DF8C2" w14:textId="6E06CC5E" w:rsidR="003C0A60" w:rsidRDefault="003C0A60" w:rsidP="003C0A60">
      <w:pPr>
        <w:pStyle w:val="Heading2"/>
      </w:pPr>
      <w:r>
        <w:tab/>
        <w:t>action plan</w:t>
      </w:r>
    </w:p>
    <w:p w14:paraId="071ADF7F" w14:textId="77777777" w:rsidR="003C0A60" w:rsidRDefault="003C0A60" w:rsidP="003C0A60"/>
    <w:p w14:paraId="2CFCBC97" w14:textId="77777777" w:rsidR="003C0A60" w:rsidRPr="0065303C" w:rsidRDefault="003C0A60" w:rsidP="003C0A60">
      <w:pPr>
        <w:pStyle w:val="ListParagraph"/>
        <w:numPr>
          <w:ilvl w:val="0"/>
          <w:numId w:val="41"/>
        </w:numPr>
        <w:spacing w:line="256" w:lineRule="auto"/>
        <w:ind w:left="0" w:firstLine="0"/>
      </w:pPr>
      <w:r w:rsidRPr="0065303C">
        <w:t xml:space="preserve">The actions proposed below correspond to the lessons learned set out in paragraph 2 above. </w:t>
      </w:r>
    </w:p>
    <w:p w14:paraId="76DBC232" w14:textId="77777777" w:rsidR="003C0A60" w:rsidRPr="00987E41" w:rsidRDefault="003C0A60" w:rsidP="003C0A60"/>
    <w:tbl>
      <w:tblPr>
        <w:tblStyle w:val="TableGrid"/>
        <w:tblW w:w="9265" w:type="dxa"/>
        <w:tblLook w:val="04A0" w:firstRow="1" w:lastRow="0" w:firstColumn="1" w:lastColumn="0" w:noHBand="0" w:noVBand="1"/>
        <w:tblCaption w:val="Lessons learned"/>
      </w:tblPr>
      <w:tblGrid>
        <w:gridCol w:w="3088"/>
        <w:gridCol w:w="3088"/>
        <w:gridCol w:w="3089"/>
      </w:tblGrid>
      <w:tr w:rsidR="003C0A60" w:rsidRPr="00987E41" w14:paraId="44CD7DA9" w14:textId="77777777" w:rsidTr="00D5580D">
        <w:trPr>
          <w:tblHeader/>
        </w:trPr>
        <w:tc>
          <w:tcPr>
            <w:tcW w:w="3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B5F418" w14:textId="77777777" w:rsidR="003C0A60" w:rsidRPr="00A54F87" w:rsidRDefault="003C0A60" w:rsidP="006E6EA3">
            <w:pPr>
              <w:jc w:val="center"/>
              <w:rPr>
                <w:b/>
                <w:i/>
                <w:sz w:val="20"/>
                <w:szCs w:val="20"/>
              </w:rPr>
            </w:pPr>
            <w:r w:rsidRPr="00A54F87">
              <w:rPr>
                <w:b/>
                <w:i/>
                <w:sz w:val="20"/>
                <w:szCs w:val="20"/>
              </w:rPr>
              <w:t>ACTION ITEM</w:t>
            </w:r>
          </w:p>
        </w:tc>
        <w:tc>
          <w:tcPr>
            <w:tcW w:w="30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622757" w14:textId="77777777" w:rsidR="003C0A60" w:rsidRPr="00A54F87" w:rsidRDefault="003C0A60" w:rsidP="006E6EA3">
            <w:pPr>
              <w:jc w:val="center"/>
              <w:rPr>
                <w:b/>
                <w:i/>
                <w:sz w:val="20"/>
                <w:szCs w:val="20"/>
              </w:rPr>
            </w:pPr>
            <w:r w:rsidRPr="00A54F87">
              <w:rPr>
                <w:b/>
                <w:i/>
                <w:sz w:val="20"/>
                <w:szCs w:val="20"/>
              </w:rPr>
              <w:t>DESCRIPTION</w:t>
            </w:r>
          </w:p>
        </w:tc>
        <w:tc>
          <w:tcPr>
            <w:tcW w:w="3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8C20A7" w14:textId="77777777" w:rsidR="003C0A60" w:rsidRPr="00A54F87" w:rsidRDefault="003C0A60" w:rsidP="006E6EA3">
            <w:pPr>
              <w:jc w:val="center"/>
              <w:rPr>
                <w:b/>
                <w:i/>
                <w:sz w:val="20"/>
                <w:szCs w:val="20"/>
              </w:rPr>
            </w:pPr>
            <w:r w:rsidRPr="00A54F87">
              <w:rPr>
                <w:b/>
                <w:i/>
                <w:sz w:val="20"/>
                <w:szCs w:val="20"/>
              </w:rPr>
              <w:t>STAKEHOLDER ROLES</w:t>
            </w:r>
          </w:p>
        </w:tc>
      </w:tr>
      <w:tr w:rsidR="003C0A60" w:rsidRPr="00987E41" w14:paraId="72C3AF12" w14:textId="77777777" w:rsidTr="006E6EA3">
        <w:tc>
          <w:tcPr>
            <w:tcW w:w="3088" w:type="dxa"/>
            <w:tcBorders>
              <w:top w:val="single" w:sz="4" w:space="0" w:color="auto"/>
              <w:left w:val="single" w:sz="4" w:space="0" w:color="auto"/>
              <w:bottom w:val="single" w:sz="4" w:space="0" w:color="auto"/>
              <w:right w:val="single" w:sz="4" w:space="0" w:color="auto"/>
            </w:tcBorders>
            <w:vAlign w:val="center"/>
            <w:hideMark/>
          </w:tcPr>
          <w:p w14:paraId="1A5A91D1" w14:textId="77777777" w:rsidR="003C0A60" w:rsidRPr="00A54F87" w:rsidRDefault="003C0A60" w:rsidP="006E6EA3">
            <w:pPr>
              <w:jc w:val="center"/>
              <w:rPr>
                <w:sz w:val="20"/>
                <w:szCs w:val="20"/>
              </w:rPr>
            </w:pPr>
            <w:r w:rsidRPr="00A54F87">
              <w:rPr>
                <w:sz w:val="20"/>
                <w:szCs w:val="20"/>
              </w:rPr>
              <w:t>Advancing Partnerships with the Member States</w:t>
            </w:r>
          </w:p>
        </w:tc>
        <w:tc>
          <w:tcPr>
            <w:tcW w:w="3088" w:type="dxa"/>
            <w:tcBorders>
              <w:top w:val="single" w:sz="4" w:space="0" w:color="auto"/>
              <w:left w:val="single" w:sz="4" w:space="0" w:color="auto"/>
              <w:bottom w:val="single" w:sz="4" w:space="0" w:color="auto"/>
              <w:right w:val="single" w:sz="4" w:space="0" w:color="auto"/>
            </w:tcBorders>
            <w:vAlign w:val="center"/>
            <w:hideMark/>
          </w:tcPr>
          <w:p w14:paraId="1F98B51A" w14:textId="77777777" w:rsidR="003C0A60" w:rsidRPr="00A54F87" w:rsidRDefault="003C0A60" w:rsidP="006E6EA3">
            <w:pPr>
              <w:rPr>
                <w:sz w:val="20"/>
                <w:szCs w:val="20"/>
              </w:rPr>
            </w:pPr>
            <w:r w:rsidRPr="00A54F87">
              <w:rPr>
                <w:sz w:val="20"/>
                <w:szCs w:val="20"/>
              </w:rPr>
              <w:t xml:space="preserve">Member States will be the primary actor in undertaking talent outreach activities in their respective region/country.  A KPI will be </w:t>
            </w:r>
          </w:p>
          <w:p w14:paraId="4068666F" w14:textId="77777777" w:rsidR="003C0A60" w:rsidRPr="00A54F87" w:rsidRDefault="003C0A60" w:rsidP="006E6EA3">
            <w:pPr>
              <w:rPr>
                <w:sz w:val="20"/>
                <w:szCs w:val="20"/>
              </w:rPr>
            </w:pPr>
            <w:r w:rsidRPr="00A54F87">
              <w:rPr>
                <w:sz w:val="20"/>
                <w:szCs w:val="20"/>
              </w:rPr>
              <w:t xml:space="preserve">drawn-up to monitor progress. </w:t>
            </w:r>
          </w:p>
          <w:p w14:paraId="002E8ED0" w14:textId="77777777" w:rsidR="003C0A60" w:rsidRPr="00A54F87" w:rsidRDefault="003C0A60" w:rsidP="006E6EA3">
            <w:pPr>
              <w:rPr>
                <w:sz w:val="20"/>
                <w:szCs w:val="20"/>
              </w:rPr>
            </w:pPr>
            <w:r w:rsidRPr="00A54F87">
              <w:rPr>
                <w:sz w:val="20"/>
                <w:szCs w:val="20"/>
              </w:rPr>
              <w:t xml:space="preserve">HRMD will support Member States and focus on capacity building.  </w:t>
            </w:r>
          </w:p>
        </w:tc>
        <w:tc>
          <w:tcPr>
            <w:tcW w:w="3089" w:type="dxa"/>
            <w:tcBorders>
              <w:top w:val="single" w:sz="4" w:space="0" w:color="auto"/>
              <w:left w:val="single" w:sz="4" w:space="0" w:color="auto"/>
              <w:bottom w:val="single" w:sz="4" w:space="0" w:color="auto"/>
              <w:right w:val="single" w:sz="4" w:space="0" w:color="auto"/>
            </w:tcBorders>
            <w:vAlign w:val="center"/>
            <w:hideMark/>
          </w:tcPr>
          <w:p w14:paraId="152976EA" w14:textId="77777777" w:rsidR="003C0A60" w:rsidRPr="00A54F87" w:rsidRDefault="003C0A60" w:rsidP="006E6EA3">
            <w:pPr>
              <w:rPr>
                <w:sz w:val="20"/>
                <w:szCs w:val="20"/>
              </w:rPr>
            </w:pPr>
            <w:r w:rsidRPr="00A54F87">
              <w:rPr>
                <w:sz w:val="20"/>
                <w:szCs w:val="20"/>
              </w:rPr>
              <w:t>Member States will work together with HRMD to design the best outreach tools for their country/region. They will take the lead in hosting outreach activities (e.g., career fairs, one-on-one guidance, workshops, capitalize on social media to attract younger candidates etc.) and report back annually to HRMD with lessons learned for the following year.</w:t>
            </w:r>
          </w:p>
        </w:tc>
      </w:tr>
      <w:tr w:rsidR="003C0A60" w:rsidRPr="00987E41" w14:paraId="71BA472A" w14:textId="77777777" w:rsidTr="006E6EA3">
        <w:tc>
          <w:tcPr>
            <w:tcW w:w="3088" w:type="dxa"/>
            <w:tcBorders>
              <w:top w:val="single" w:sz="4" w:space="0" w:color="auto"/>
              <w:left w:val="single" w:sz="4" w:space="0" w:color="auto"/>
              <w:bottom w:val="single" w:sz="4" w:space="0" w:color="auto"/>
              <w:right w:val="single" w:sz="4" w:space="0" w:color="auto"/>
            </w:tcBorders>
            <w:vAlign w:val="center"/>
            <w:hideMark/>
          </w:tcPr>
          <w:p w14:paraId="5820395C" w14:textId="77777777" w:rsidR="003C0A60" w:rsidRPr="00A54F87" w:rsidRDefault="003C0A60" w:rsidP="006E6EA3">
            <w:pPr>
              <w:jc w:val="center"/>
              <w:rPr>
                <w:sz w:val="20"/>
                <w:szCs w:val="20"/>
              </w:rPr>
            </w:pPr>
            <w:r w:rsidRPr="00A54F87">
              <w:rPr>
                <w:sz w:val="20"/>
                <w:szCs w:val="20"/>
              </w:rPr>
              <w:t xml:space="preserve">Mainstreaming of Geographical Diversity across WIPO </w:t>
            </w:r>
          </w:p>
        </w:tc>
        <w:tc>
          <w:tcPr>
            <w:tcW w:w="3088" w:type="dxa"/>
            <w:tcBorders>
              <w:top w:val="single" w:sz="4" w:space="0" w:color="auto"/>
              <w:left w:val="single" w:sz="4" w:space="0" w:color="auto"/>
              <w:bottom w:val="single" w:sz="4" w:space="0" w:color="auto"/>
              <w:right w:val="single" w:sz="4" w:space="0" w:color="auto"/>
            </w:tcBorders>
            <w:vAlign w:val="center"/>
            <w:hideMark/>
          </w:tcPr>
          <w:p w14:paraId="67455928" w14:textId="77777777" w:rsidR="003C0A60" w:rsidRPr="00A54F87" w:rsidRDefault="003C0A60" w:rsidP="006E6EA3">
            <w:pPr>
              <w:rPr>
                <w:sz w:val="20"/>
                <w:szCs w:val="20"/>
              </w:rPr>
            </w:pPr>
            <w:r w:rsidRPr="00A54F87">
              <w:rPr>
                <w:sz w:val="20"/>
                <w:szCs w:val="20"/>
              </w:rPr>
              <w:t xml:space="preserve">Raise awareness of Hiring Managers /Selection Board Members of the need to build geographical diverse talent pipelines. HRMD will provide information and data on related topics. </w:t>
            </w:r>
          </w:p>
        </w:tc>
        <w:tc>
          <w:tcPr>
            <w:tcW w:w="3089" w:type="dxa"/>
            <w:tcBorders>
              <w:top w:val="single" w:sz="4" w:space="0" w:color="auto"/>
              <w:left w:val="single" w:sz="4" w:space="0" w:color="auto"/>
              <w:bottom w:val="single" w:sz="4" w:space="0" w:color="auto"/>
              <w:right w:val="single" w:sz="4" w:space="0" w:color="auto"/>
            </w:tcBorders>
            <w:vAlign w:val="center"/>
            <w:hideMark/>
          </w:tcPr>
          <w:p w14:paraId="6A7A5275" w14:textId="77777777" w:rsidR="003C0A60" w:rsidRPr="00A54F87" w:rsidRDefault="003C0A60" w:rsidP="006E6EA3">
            <w:pPr>
              <w:rPr>
                <w:sz w:val="20"/>
                <w:szCs w:val="20"/>
              </w:rPr>
            </w:pPr>
            <w:r w:rsidRPr="00A54F87">
              <w:rPr>
                <w:sz w:val="20"/>
                <w:szCs w:val="20"/>
              </w:rPr>
              <w:t>Hiring Managers to be aware of their team members’ upcoming retirements and incorporate into their annual workforce planning exercise; while also continuously working on sourcing talent with diverse backgrounds who can be future team members.</w:t>
            </w:r>
          </w:p>
        </w:tc>
      </w:tr>
      <w:tr w:rsidR="003C0A60" w:rsidRPr="00987E41" w14:paraId="1D1718A5" w14:textId="77777777" w:rsidTr="006E6EA3">
        <w:tc>
          <w:tcPr>
            <w:tcW w:w="3088" w:type="dxa"/>
            <w:tcBorders>
              <w:top w:val="single" w:sz="4" w:space="0" w:color="auto"/>
              <w:left w:val="single" w:sz="4" w:space="0" w:color="auto"/>
              <w:bottom w:val="single" w:sz="4" w:space="0" w:color="auto"/>
              <w:right w:val="single" w:sz="4" w:space="0" w:color="auto"/>
            </w:tcBorders>
            <w:vAlign w:val="center"/>
            <w:hideMark/>
          </w:tcPr>
          <w:p w14:paraId="12490F58" w14:textId="77777777" w:rsidR="003C0A60" w:rsidRPr="00A54F87" w:rsidRDefault="003C0A60" w:rsidP="006E6EA3">
            <w:pPr>
              <w:jc w:val="center"/>
              <w:rPr>
                <w:sz w:val="20"/>
                <w:szCs w:val="20"/>
              </w:rPr>
            </w:pPr>
            <w:r w:rsidRPr="00A54F87">
              <w:rPr>
                <w:sz w:val="20"/>
                <w:szCs w:val="20"/>
              </w:rPr>
              <w:t>Accelerating Capacity Building of Stakeholders Involved</w:t>
            </w:r>
          </w:p>
        </w:tc>
        <w:tc>
          <w:tcPr>
            <w:tcW w:w="3088" w:type="dxa"/>
            <w:tcBorders>
              <w:top w:val="single" w:sz="4" w:space="0" w:color="auto"/>
              <w:left w:val="single" w:sz="4" w:space="0" w:color="auto"/>
              <w:bottom w:val="single" w:sz="4" w:space="0" w:color="auto"/>
              <w:right w:val="single" w:sz="4" w:space="0" w:color="auto"/>
            </w:tcBorders>
            <w:vAlign w:val="center"/>
            <w:hideMark/>
          </w:tcPr>
          <w:p w14:paraId="17DE6AD4" w14:textId="77777777" w:rsidR="003C0A60" w:rsidRPr="00A54F87" w:rsidRDefault="003C0A60" w:rsidP="006E6EA3">
            <w:pPr>
              <w:rPr>
                <w:sz w:val="20"/>
                <w:szCs w:val="20"/>
              </w:rPr>
            </w:pPr>
            <w:r w:rsidRPr="00A54F87">
              <w:rPr>
                <w:sz w:val="20"/>
                <w:szCs w:val="20"/>
              </w:rPr>
              <w:t>Support Member States and Hiring Managers by equipping them with talent outreach tools, and providing them with the latest headcount/recruitment data. Provide training programs on specific IP areas to future candidates.</w:t>
            </w:r>
          </w:p>
        </w:tc>
        <w:tc>
          <w:tcPr>
            <w:tcW w:w="3089" w:type="dxa"/>
            <w:tcBorders>
              <w:top w:val="single" w:sz="4" w:space="0" w:color="auto"/>
              <w:left w:val="single" w:sz="4" w:space="0" w:color="auto"/>
              <w:bottom w:val="single" w:sz="4" w:space="0" w:color="auto"/>
              <w:right w:val="single" w:sz="4" w:space="0" w:color="auto"/>
            </w:tcBorders>
            <w:vAlign w:val="center"/>
            <w:hideMark/>
          </w:tcPr>
          <w:p w14:paraId="4AB501E9" w14:textId="77777777" w:rsidR="003C0A60" w:rsidRPr="00A54F87" w:rsidRDefault="003C0A60" w:rsidP="006E6EA3">
            <w:pPr>
              <w:rPr>
                <w:sz w:val="20"/>
                <w:szCs w:val="20"/>
              </w:rPr>
            </w:pPr>
            <w:r w:rsidRPr="00A54F87">
              <w:rPr>
                <w:sz w:val="20"/>
                <w:szCs w:val="20"/>
              </w:rPr>
              <w:t xml:space="preserve">HRMD to host capacity-building workshops for Member States following feedback on their talent outreach activities, while also advising the Hiring Managers on the best succession planning. WIPO Academy to enhance their capacity to build programs. </w:t>
            </w:r>
          </w:p>
        </w:tc>
      </w:tr>
    </w:tbl>
    <w:p w14:paraId="1A1932FB" w14:textId="77777777" w:rsidR="003C0A60" w:rsidRPr="00987E41" w:rsidRDefault="003C0A60" w:rsidP="003C0A60"/>
    <w:p w14:paraId="53C59422" w14:textId="77777777" w:rsidR="003C0A60" w:rsidRPr="00987E41" w:rsidRDefault="003C0A60" w:rsidP="003C0A60">
      <w:pPr>
        <w:rPr>
          <w:b/>
        </w:rPr>
      </w:pPr>
    </w:p>
    <w:p w14:paraId="04FDB33F" w14:textId="77777777" w:rsidR="003C0A60" w:rsidRDefault="003C0A60">
      <w:pPr>
        <w:rPr>
          <w:b/>
        </w:rPr>
      </w:pPr>
      <w:r>
        <w:rPr>
          <w:b/>
        </w:rPr>
        <w:br w:type="page"/>
      </w:r>
    </w:p>
    <w:p w14:paraId="13D223B9" w14:textId="65D52416" w:rsidR="003C0A60" w:rsidRDefault="003C0A60" w:rsidP="003C0A60">
      <w:pPr>
        <w:pStyle w:val="Heading2"/>
      </w:pPr>
      <w:r>
        <w:lastRenderedPageBreak/>
        <w:tab/>
        <w:t>implementation timeline</w:t>
      </w:r>
    </w:p>
    <w:p w14:paraId="2E0C4364" w14:textId="77777777" w:rsidR="003C0A60" w:rsidRDefault="003C0A60" w:rsidP="003C0A60">
      <w:pPr>
        <w:rPr>
          <w:b/>
        </w:rPr>
      </w:pPr>
    </w:p>
    <w:p w14:paraId="27822DD8" w14:textId="7549AE1B" w:rsidR="003C0A60" w:rsidRPr="00A54F87" w:rsidRDefault="003C0A60" w:rsidP="003C0A60">
      <w:pPr>
        <w:pStyle w:val="ListParagraph"/>
        <w:numPr>
          <w:ilvl w:val="0"/>
          <w:numId w:val="41"/>
        </w:numPr>
        <w:spacing w:line="256" w:lineRule="auto"/>
        <w:ind w:left="0" w:firstLine="0"/>
      </w:pPr>
      <w:r w:rsidRPr="00A54F87">
        <w:t xml:space="preserve">Implementation of the proposed actions will take place in 3 stages, short-term (within 2 years), medium-term (3 to 7 years) and long-term (8 to 15 years). </w:t>
      </w:r>
      <w:r w:rsidR="006E1516">
        <w:t xml:space="preserve"> </w:t>
      </w:r>
      <w:r w:rsidRPr="00A54F87">
        <w:t>The table below indicates the scope of transformation WIPO is expecting to see in its workforce for each of the stages, as well as the expected impact in rolling-out the proposed actions.</w:t>
      </w:r>
      <w:r w:rsidR="006E1516">
        <w:t xml:space="preserve"> </w:t>
      </w:r>
      <w:r w:rsidRPr="00A54F87">
        <w:t xml:space="preserve"> The majority of the 28</w:t>
      </w:r>
      <w:r w:rsidR="007F1DFB">
        <w:t>5</w:t>
      </w:r>
      <w:r w:rsidRPr="00A54F87">
        <w:t xml:space="preserve"> retirements will occur in the medium to longer term, hence the real impact will show from 2026 onwards. </w:t>
      </w:r>
      <w:r w:rsidR="006E1516">
        <w:t xml:space="preserve"> </w:t>
      </w:r>
      <w:r w:rsidRPr="00A54F87">
        <w:t xml:space="preserve">It is nevertheless critical that actions begin immediately.  </w:t>
      </w:r>
    </w:p>
    <w:p w14:paraId="48257B21" w14:textId="77777777" w:rsidR="003C0A60" w:rsidRPr="00987E41" w:rsidRDefault="003C0A60" w:rsidP="003C0A60"/>
    <w:tbl>
      <w:tblPr>
        <w:tblStyle w:val="TableGrid"/>
        <w:tblW w:w="9185" w:type="dxa"/>
        <w:jc w:val="center"/>
        <w:tblLook w:val="04A0" w:firstRow="1" w:lastRow="0" w:firstColumn="1" w:lastColumn="0" w:noHBand="0" w:noVBand="1"/>
        <w:tblCaption w:val="Implementation timeline"/>
      </w:tblPr>
      <w:tblGrid>
        <w:gridCol w:w="1715"/>
        <w:gridCol w:w="3690"/>
        <w:gridCol w:w="3780"/>
      </w:tblGrid>
      <w:tr w:rsidR="003C0A60" w:rsidRPr="00987E41" w14:paraId="33DDB3F9" w14:textId="77777777" w:rsidTr="00D5580D">
        <w:trPr>
          <w:tblHeader/>
          <w:jc w:val="center"/>
        </w:trPr>
        <w:tc>
          <w:tcPr>
            <w:tcW w:w="17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F17BA6" w14:textId="77777777" w:rsidR="003C0A60" w:rsidRPr="00A54F87" w:rsidRDefault="003C0A60" w:rsidP="006E6EA3">
            <w:pPr>
              <w:jc w:val="center"/>
              <w:rPr>
                <w:b/>
                <w:i/>
                <w:sz w:val="20"/>
                <w:szCs w:val="20"/>
              </w:rPr>
            </w:pPr>
            <w:r>
              <w:br w:type="page"/>
            </w:r>
            <w:r w:rsidRPr="00A54F87">
              <w:rPr>
                <w:b/>
                <w:i/>
                <w:sz w:val="20"/>
                <w:szCs w:val="20"/>
              </w:rPr>
              <w:t>TIMELINE</w:t>
            </w:r>
          </w:p>
        </w:tc>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218744" w14:textId="77777777" w:rsidR="003C0A60" w:rsidRPr="00A54F87" w:rsidRDefault="003C0A60" w:rsidP="006E6EA3">
            <w:pPr>
              <w:jc w:val="center"/>
              <w:rPr>
                <w:b/>
                <w:i/>
                <w:sz w:val="20"/>
                <w:szCs w:val="20"/>
              </w:rPr>
            </w:pPr>
            <w:r w:rsidRPr="00A54F87">
              <w:rPr>
                <w:b/>
                <w:i/>
                <w:sz w:val="20"/>
                <w:szCs w:val="20"/>
              </w:rPr>
              <w:t xml:space="preserve">SCOPE </w:t>
            </w:r>
          </w:p>
        </w:tc>
        <w:tc>
          <w:tcPr>
            <w:tcW w:w="37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4F0E20" w14:textId="77777777" w:rsidR="003C0A60" w:rsidRPr="00A54F87" w:rsidRDefault="003C0A60" w:rsidP="006E6EA3">
            <w:pPr>
              <w:jc w:val="center"/>
              <w:rPr>
                <w:b/>
                <w:i/>
                <w:sz w:val="20"/>
                <w:szCs w:val="20"/>
              </w:rPr>
            </w:pPr>
            <w:r w:rsidRPr="00A54F87">
              <w:rPr>
                <w:b/>
                <w:i/>
                <w:sz w:val="20"/>
                <w:szCs w:val="20"/>
              </w:rPr>
              <w:t>IMPACT</w:t>
            </w:r>
          </w:p>
        </w:tc>
      </w:tr>
      <w:tr w:rsidR="003C0A60" w:rsidRPr="00987E41" w14:paraId="161273FF" w14:textId="77777777" w:rsidTr="006E6EA3">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5B4E22D5" w14:textId="77777777" w:rsidR="003C0A60" w:rsidRPr="00A54F87" w:rsidRDefault="003C0A60" w:rsidP="006E6EA3">
            <w:pPr>
              <w:jc w:val="center"/>
              <w:rPr>
                <w:sz w:val="20"/>
                <w:szCs w:val="20"/>
              </w:rPr>
            </w:pPr>
            <w:r w:rsidRPr="00A54F87">
              <w:rPr>
                <w:sz w:val="20"/>
                <w:szCs w:val="20"/>
              </w:rPr>
              <w:t>Short-term</w:t>
            </w:r>
          </w:p>
          <w:p w14:paraId="5F9B3B3D" w14:textId="77777777" w:rsidR="003C0A60" w:rsidRPr="00A54F87" w:rsidRDefault="003C0A60" w:rsidP="006E6EA3">
            <w:pPr>
              <w:jc w:val="center"/>
              <w:rPr>
                <w:sz w:val="20"/>
                <w:szCs w:val="20"/>
              </w:rPr>
            </w:pPr>
            <w:r w:rsidRPr="00A54F87">
              <w:rPr>
                <w:sz w:val="20"/>
                <w:szCs w:val="20"/>
              </w:rPr>
              <w:t>(within 2 years)</w:t>
            </w:r>
          </w:p>
        </w:tc>
        <w:tc>
          <w:tcPr>
            <w:tcW w:w="3690" w:type="dxa"/>
            <w:tcBorders>
              <w:top w:val="single" w:sz="4" w:space="0" w:color="auto"/>
              <w:left w:val="single" w:sz="4" w:space="0" w:color="auto"/>
              <w:bottom w:val="single" w:sz="4" w:space="0" w:color="auto"/>
              <w:right w:val="single" w:sz="4" w:space="0" w:color="auto"/>
            </w:tcBorders>
            <w:vAlign w:val="center"/>
          </w:tcPr>
          <w:p w14:paraId="613C88A5" w14:textId="77777777" w:rsidR="003C0A60" w:rsidRPr="00A54F87" w:rsidRDefault="003C0A60" w:rsidP="006E6EA3">
            <w:pPr>
              <w:rPr>
                <w:sz w:val="20"/>
                <w:szCs w:val="20"/>
              </w:rPr>
            </w:pPr>
            <w:r w:rsidRPr="00A54F87">
              <w:rPr>
                <w:sz w:val="20"/>
                <w:szCs w:val="20"/>
              </w:rPr>
              <w:t>Total of 28 retirements of which:</w:t>
            </w:r>
          </w:p>
          <w:p w14:paraId="6A531AF3" w14:textId="77777777" w:rsidR="003C0A60" w:rsidRPr="00A54F87" w:rsidRDefault="003C0A60" w:rsidP="006E6EA3">
            <w:pPr>
              <w:rPr>
                <w:sz w:val="20"/>
                <w:szCs w:val="20"/>
              </w:rPr>
            </w:pPr>
          </w:p>
          <w:p w14:paraId="113DC388" w14:textId="77777777" w:rsidR="003C0A60" w:rsidRPr="00A54F87" w:rsidRDefault="003C0A60" w:rsidP="003C0A60">
            <w:pPr>
              <w:pStyle w:val="ListParagraph"/>
              <w:numPr>
                <w:ilvl w:val="0"/>
                <w:numId w:val="38"/>
              </w:numPr>
              <w:rPr>
                <w:sz w:val="20"/>
                <w:szCs w:val="20"/>
              </w:rPr>
            </w:pPr>
            <w:r w:rsidRPr="00A54F87">
              <w:rPr>
                <w:sz w:val="20"/>
                <w:szCs w:val="20"/>
              </w:rPr>
              <w:t>12 positions at D level</w:t>
            </w:r>
          </w:p>
          <w:p w14:paraId="0982F76D" w14:textId="77777777" w:rsidR="003C0A60" w:rsidRPr="00A54F87" w:rsidRDefault="003C0A60" w:rsidP="003C0A60">
            <w:pPr>
              <w:pStyle w:val="ListParagraph"/>
              <w:numPr>
                <w:ilvl w:val="0"/>
                <w:numId w:val="38"/>
              </w:numPr>
              <w:rPr>
                <w:sz w:val="20"/>
                <w:szCs w:val="20"/>
              </w:rPr>
            </w:pPr>
            <w:r w:rsidRPr="00A54F87">
              <w:rPr>
                <w:sz w:val="20"/>
                <w:szCs w:val="20"/>
              </w:rPr>
              <w:t>14 positions at P4/P5 level</w:t>
            </w:r>
          </w:p>
          <w:p w14:paraId="005ABADD" w14:textId="77777777" w:rsidR="003C0A60" w:rsidRPr="00A54F87" w:rsidRDefault="003C0A60" w:rsidP="003C0A60">
            <w:pPr>
              <w:pStyle w:val="ListParagraph"/>
              <w:numPr>
                <w:ilvl w:val="0"/>
                <w:numId w:val="38"/>
              </w:numPr>
              <w:rPr>
                <w:sz w:val="20"/>
                <w:szCs w:val="20"/>
              </w:rPr>
            </w:pPr>
            <w:r w:rsidRPr="00A54F87">
              <w:rPr>
                <w:sz w:val="20"/>
                <w:szCs w:val="20"/>
              </w:rPr>
              <w:t>2 positions at P3 and below</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3BF4E7B" w14:textId="77777777" w:rsidR="003C0A60" w:rsidRPr="00A54F87" w:rsidRDefault="003C0A60" w:rsidP="006E6EA3">
            <w:pPr>
              <w:rPr>
                <w:sz w:val="20"/>
                <w:szCs w:val="20"/>
              </w:rPr>
            </w:pPr>
            <w:r w:rsidRPr="00A54F87">
              <w:rPr>
                <w:sz w:val="20"/>
                <w:szCs w:val="20"/>
              </w:rPr>
              <w:t>- Applicants from countries with active talent outreach (= active focal points) increase, and see improved performance in WIPO selection process.</w:t>
            </w:r>
          </w:p>
          <w:p w14:paraId="4D32A63E" w14:textId="77777777" w:rsidR="003C0A60" w:rsidRPr="00A54F87" w:rsidRDefault="003C0A60" w:rsidP="006E6EA3">
            <w:pPr>
              <w:rPr>
                <w:sz w:val="20"/>
                <w:szCs w:val="20"/>
              </w:rPr>
            </w:pPr>
            <w:r w:rsidRPr="00A54F87">
              <w:rPr>
                <w:sz w:val="20"/>
                <w:szCs w:val="20"/>
              </w:rPr>
              <w:t>- Member States see the benefits of taking the lead on talent outreach.</w:t>
            </w:r>
          </w:p>
          <w:p w14:paraId="2B206D6B" w14:textId="77777777" w:rsidR="003C0A60" w:rsidRPr="00A54F87" w:rsidRDefault="003C0A60" w:rsidP="006E6EA3">
            <w:pPr>
              <w:rPr>
                <w:sz w:val="20"/>
                <w:szCs w:val="20"/>
              </w:rPr>
            </w:pPr>
            <w:r w:rsidRPr="00A54F87">
              <w:rPr>
                <w:sz w:val="20"/>
                <w:szCs w:val="20"/>
              </w:rPr>
              <w:t>- Hiring Managers’ mindset towards geographical diversity begins to change, and they take a more pro-active role in sourcing potential candidates.</w:t>
            </w:r>
          </w:p>
        </w:tc>
      </w:tr>
      <w:tr w:rsidR="003C0A60" w:rsidRPr="00987E41" w14:paraId="13005EFB" w14:textId="77777777" w:rsidTr="006E6EA3">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5CF8B41C" w14:textId="77777777" w:rsidR="003C0A60" w:rsidRPr="00A54F87" w:rsidRDefault="003C0A60" w:rsidP="006E6EA3">
            <w:pPr>
              <w:jc w:val="center"/>
              <w:rPr>
                <w:sz w:val="20"/>
                <w:szCs w:val="20"/>
              </w:rPr>
            </w:pPr>
            <w:r w:rsidRPr="00A54F87">
              <w:rPr>
                <w:sz w:val="20"/>
                <w:szCs w:val="20"/>
              </w:rPr>
              <w:t>Medium-term</w:t>
            </w:r>
          </w:p>
          <w:p w14:paraId="4C227209" w14:textId="77777777" w:rsidR="003C0A60" w:rsidRPr="00A54F87" w:rsidRDefault="003C0A60" w:rsidP="006E6EA3">
            <w:pPr>
              <w:jc w:val="center"/>
              <w:rPr>
                <w:sz w:val="20"/>
                <w:szCs w:val="20"/>
              </w:rPr>
            </w:pPr>
            <w:r w:rsidRPr="00A54F87">
              <w:rPr>
                <w:sz w:val="20"/>
                <w:szCs w:val="20"/>
              </w:rPr>
              <w:t>(3 to 7 years)</w:t>
            </w:r>
          </w:p>
        </w:tc>
        <w:tc>
          <w:tcPr>
            <w:tcW w:w="3690" w:type="dxa"/>
            <w:tcBorders>
              <w:top w:val="single" w:sz="4" w:space="0" w:color="auto"/>
              <w:left w:val="single" w:sz="4" w:space="0" w:color="auto"/>
              <w:bottom w:val="single" w:sz="4" w:space="0" w:color="auto"/>
              <w:right w:val="single" w:sz="4" w:space="0" w:color="auto"/>
            </w:tcBorders>
            <w:vAlign w:val="center"/>
          </w:tcPr>
          <w:p w14:paraId="607D9145" w14:textId="77777777" w:rsidR="003C0A60" w:rsidRPr="00A54F87" w:rsidRDefault="003C0A60" w:rsidP="006E6EA3">
            <w:pPr>
              <w:rPr>
                <w:sz w:val="20"/>
                <w:szCs w:val="20"/>
              </w:rPr>
            </w:pPr>
            <w:r w:rsidRPr="00A54F87">
              <w:rPr>
                <w:sz w:val="20"/>
                <w:szCs w:val="20"/>
              </w:rPr>
              <w:t>Total of 93 retirements of which:</w:t>
            </w:r>
          </w:p>
          <w:p w14:paraId="4C3AE147" w14:textId="77777777" w:rsidR="003C0A60" w:rsidRPr="00A54F87" w:rsidRDefault="003C0A60" w:rsidP="006E6EA3">
            <w:pPr>
              <w:rPr>
                <w:sz w:val="20"/>
                <w:szCs w:val="20"/>
              </w:rPr>
            </w:pPr>
          </w:p>
          <w:p w14:paraId="09E13923" w14:textId="77777777" w:rsidR="003C0A60" w:rsidRPr="00A54F87" w:rsidRDefault="003C0A60" w:rsidP="003C0A60">
            <w:pPr>
              <w:pStyle w:val="ListParagraph"/>
              <w:numPr>
                <w:ilvl w:val="0"/>
                <w:numId w:val="39"/>
              </w:numPr>
              <w:rPr>
                <w:sz w:val="20"/>
                <w:szCs w:val="20"/>
              </w:rPr>
            </w:pPr>
            <w:r w:rsidRPr="00A54F87">
              <w:rPr>
                <w:sz w:val="20"/>
                <w:szCs w:val="20"/>
              </w:rPr>
              <w:t>25 positions at D level</w:t>
            </w:r>
          </w:p>
          <w:p w14:paraId="2059AD1D" w14:textId="1BCE17D9" w:rsidR="003C0A60" w:rsidRPr="00A54F87" w:rsidRDefault="007F1DFB" w:rsidP="003C0A60">
            <w:pPr>
              <w:pStyle w:val="ListParagraph"/>
              <w:numPr>
                <w:ilvl w:val="0"/>
                <w:numId w:val="39"/>
              </w:numPr>
              <w:rPr>
                <w:sz w:val="20"/>
                <w:szCs w:val="20"/>
              </w:rPr>
            </w:pPr>
            <w:r>
              <w:rPr>
                <w:sz w:val="20"/>
                <w:szCs w:val="20"/>
              </w:rPr>
              <w:t>43</w:t>
            </w:r>
            <w:r w:rsidR="003C0A60" w:rsidRPr="00A54F87">
              <w:rPr>
                <w:sz w:val="20"/>
                <w:szCs w:val="20"/>
              </w:rPr>
              <w:t xml:space="preserve"> positions at P4/P5 level</w:t>
            </w:r>
          </w:p>
          <w:p w14:paraId="2B52EA42" w14:textId="0EBFCCA5" w:rsidR="003C0A60" w:rsidRPr="00A54F87" w:rsidRDefault="007F1DFB" w:rsidP="003C0A60">
            <w:pPr>
              <w:pStyle w:val="ListParagraph"/>
              <w:numPr>
                <w:ilvl w:val="0"/>
                <w:numId w:val="39"/>
              </w:numPr>
              <w:rPr>
                <w:sz w:val="20"/>
                <w:szCs w:val="20"/>
              </w:rPr>
            </w:pPr>
            <w:r>
              <w:rPr>
                <w:sz w:val="20"/>
                <w:szCs w:val="20"/>
              </w:rPr>
              <w:t>25</w:t>
            </w:r>
            <w:r w:rsidR="003C0A60" w:rsidRPr="00A54F87">
              <w:rPr>
                <w:sz w:val="20"/>
                <w:szCs w:val="20"/>
              </w:rPr>
              <w:t xml:space="preserve"> positions at P3 and below</w:t>
            </w:r>
          </w:p>
        </w:tc>
        <w:tc>
          <w:tcPr>
            <w:tcW w:w="3780" w:type="dxa"/>
            <w:tcBorders>
              <w:top w:val="single" w:sz="4" w:space="0" w:color="auto"/>
              <w:left w:val="single" w:sz="4" w:space="0" w:color="auto"/>
              <w:bottom w:val="single" w:sz="4" w:space="0" w:color="auto"/>
              <w:right w:val="single" w:sz="4" w:space="0" w:color="auto"/>
            </w:tcBorders>
            <w:vAlign w:val="center"/>
            <w:hideMark/>
          </w:tcPr>
          <w:p w14:paraId="26F1ACB6" w14:textId="77777777" w:rsidR="003C0A60" w:rsidRPr="00A54F87" w:rsidRDefault="003C0A60" w:rsidP="006E6EA3">
            <w:pPr>
              <w:rPr>
                <w:sz w:val="20"/>
                <w:szCs w:val="20"/>
              </w:rPr>
            </w:pPr>
            <w:r w:rsidRPr="00A54F87">
              <w:rPr>
                <w:sz w:val="20"/>
                <w:szCs w:val="20"/>
              </w:rPr>
              <w:t>- With a more levelled playing field across regions, selected candidates for the 93 positions reflect greater diversity.</w:t>
            </w:r>
          </w:p>
          <w:p w14:paraId="207B8794" w14:textId="77777777" w:rsidR="003C0A60" w:rsidRPr="00A54F87" w:rsidRDefault="003C0A60" w:rsidP="006E6EA3">
            <w:pPr>
              <w:rPr>
                <w:sz w:val="20"/>
                <w:szCs w:val="20"/>
              </w:rPr>
            </w:pPr>
            <w:r w:rsidRPr="00A54F87">
              <w:rPr>
                <w:sz w:val="20"/>
                <w:szCs w:val="20"/>
              </w:rPr>
              <w:t>- Member States and Hiring Managers are comfortable with carrying out talent outreach/talent sourcing independently with less support and guidance from HRMD.</w:t>
            </w:r>
          </w:p>
          <w:p w14:paraId="3E0CFADA" w14:textId="77777777" w:rsidR="003C0A60" w:rsidRPr="00A54F87" w:rsidRDefault="003C0A60" w:rsidP="006E6EA3">
            <w:pPr>
              <w:rPr>
                <w:sz w:val="20"/>
                <w:szCs w:val="20"/>
              </w:rPr>
            </w:pPr>
            <w:r w:rsidRPr="00A54F87">
              <w:rPr>
                <w:sz w:val="20"/>
                <w:szCs w:val="20"/>
              </w:rPr>
              <w:t>- Systematic collaboration between HRMD and WIPO Academy on capacity building will contribute to the development of a talent pipeline.</w:t>
            </w:r>
          </w:p>
        </w:tc>
      </w:tr>
      <w:tr w:rsidR="003C0A60" w:rsidRPr="00987E41" w14:paraId="57CE6034" w14:textId="77777777" w:rsidTr="006E6EA3">
        <w:trPr>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1048783C" w14:textId="77777777" w:rsidR="003C0A60" w:rsidRPr="00A54F87" w:rsidRDefault="003C0A60" w:rsidP="006E6EA3">
            <w:pPr>
              <w:jc w:val="center"/>
              <w:rPr>
                <w:sz w:val="20"/>
                <w:szCs w:val="20"/>
              </w:rPr>
            </w:pPr>
            <w:r w:rsidRPr="00A54F87">
              <w:rPr>
                <w:sz w:val="20"/>
                <w:szCs w:val="20"/>
              </w:rPr>
              <w:t>Long-term</w:t>
            </w:r>
          </w:p>
          <w:p w14:paraId="4739605A" w14:textId="77777777" w:rsidR="003C0A60" w:rsidRPr="00A54F87" w:rsidRDefault="003C0A60" w:rsidP="006E6EA3">
            <w:pPr>
              <w:jc w:val="center"/>
              <w:rPr>
                <w:sz w:val="20"/>
                <w:szCs w:val="20"/>
              </w:rPr>
            </w:pPr>
            <w:r w:rsidRPr="00A54F87">
              <w:rPr>
                <w:sz w:val="20"/>
                <w:szCs w:val="20"/>
              </w:rPr>
              <w:t>(8 to 15 years)</w:t>
            </w:r>
          </w:p>
        </w:tc>
        <w:tc>
          <w:tcPr>
            <w:tcW w:w="3690" w:type="dxa"/>
            <w:tcBorders>
              <w:top w:val="single" w:sz="4" w:space="0" w:color="auto"/>
              <w:left w:val="single" w:sz="4" w:space="0" w:color="auto"/>
              <w:bottom w:val="single" w:sz="4" w:space="0" w:color="auto"/>
              <w:right w:val="single" w:sz="4" w:space="0" w:color="auto"/>
            </w:tcBorders>
            <w:vAlign w:val="center"/>
          </w:tcPr>
          <w:p w14:paraId="7F322C44" w14:textId="4657DF6D" w:rsidR="003C0A60" w:rsidRPr="00A54F87" w:rsidRDefault="007F1DFB" w:rsidP="006E6EA3">
            <w:pPr>
              <w:rPr>
                <w:sz w:val="20"/>
                <w:szCs w:val="20"/>
              </w:rPr>
            </w:pPr>
            <w:r>
              <w:rPr>
                <w:sz w:val="20"/>
                <w:szCs w:val="20"/>
              </w:rPr>
              <w:t>Total of 164</w:t>
            </w:r>
            <w:r w:rsidR="003C0A60" w:rsidRPr="00A54F87">
              <w:rPr>
                <w:sz w:val="20"/>
                <w:szCs w:val="20"/>
              </w:rPr>
              <w:t xml:space="preserve"> retirements of which:</w:t>
            </w:r>
          </w:p>
          <w:p w14:paraId="42D92929" w14:textId="77777777" w:rsidR="003C0A60" w:rsidRPr="00A54F87" w:rsidRDefault="003C0A60" w:rsidP="006E6EA3">
            <w:pPr>
              <w:rPr>
                <w:sz w:val="20"/>
                <w:szCs w:val="20"/>
              </w:rPr>
            </w:pPr>
          </w:p>
          <w:p w14:paraId="200CD87F" w14:textId="77777777" w:rsidR="003C0A60" w:rsidRPr="00A54F87" w:rsidRDefault="003C0A60" w:rsidP="003C0A60">
            <w:pPr>
              <w:pStyle w:val="ListParagraph"/>
              <w:numPr>
                <w:ilvl w:val="0"/>
                <w:numId w:val="40"/>
              </w:numPr>
              <w:rPr>
                <w:sz w:val="20"/>
                <w:szCs w:val="20"/>
              </w:rPr>
            </w:pPr>
            <w:r w:rsidRPr="00A54F87">
              <w:rPr>
                <w:sz w:val="20"/>
                <w:szCs w:val="20"/>
              </w:rPr>
              <w:t>23 positions at D level</w:t>
            </w:r>
          </w:p>
          <w:p w14:paraId="27DA485F" w14:textId="34CCF062" w:rsidR="003C0A60" w:rsidRPr="00A54F87" w:rsidRDefault="007F1DFB" w:rsidP="003C0A60">
            <w:pPr>
              <w:pStyle w:val="ListParagraph"/>
              <w:numPr>
                <w:ilvl w:val="0"/>
                <w:numId w:val="40"/>
              </w:numPr>
              <w:rPr>
                <w:sz w:val="20"/>
                <w:szCs w:val="20"/>
              </w:rPr>
            </w:pPr>
            <w:r>
              <w:rPr>
                <w:sz w:val="20"/>
                <w:szCs w:val="20"/>
              </w:rPr>
              <w:t>100</w:t>
            </w:r>
            <w:r w:rsidR="003C0A60" w:rsidRPr="00A54F87">
              <w:rPr>
                <w:sz w:val="20"/>
                <w:szCs w:val="20"/>
              </w:rPr>
              <w:t xml:space="preserve"> positions at P4/P5 level</w:t>
            </w:r>
          </w:p>
          <w:p w14:paraId="7C171BE1" w14:textId="77777777" w:rsidR="003C0A60" w:rsidRPr="00A54F87" w:rsidRDefault="003C0A60" w:rsidP="003C0A60">
            <w:pPr>
              <w:pStyle w:val="ListParagraph"/>
              <w:numPr>
                <w:ilvl w:val="0"/>
                <w:numId w:val="40"/>
              </w:numPr>
              <w:rPr>
                <w:sz w:val="20"/>
                <w:szCs w:val="20"/>
              </w:rPr>
            </w:pPr>
            <w:r w:rsidRPr="00A54F87">
              <w:rPr>
                <w:sz w:val="20"/>
                <w:szCs w:val="20"/>
              </w:rPr>
              <w:t>41 positions at P3 and below</w:t>
            </w:r>
          </w:p>
          <w:p w14:paraId="1D958FDC" w14:textId="77777777" w:rsidR="003C0A60" w:rsidRPr="00A54F87" w:rsidRDefault="003C0A60" w:rsidP="006E6EA3">
            <w:pPr>
              <w:rPr>
                <w:sz w:val="20"/>
                <w:szCs w:val="20"/>
              </w:rPr>
            </w:pPr>
          </w:p>
          <w:p w14:paraId="0DBCADFC" w14:textId="77777777" w:rsidR="003C0A60" w:rsidRPr="00A54F87" w:rsidRDefault="003C0A60" w:rsidP="006E6EA3">
            <w:pPr>
              <w:rPr>
                <w:sz w:val="20"/>
                <w:szCs w:val="20"/>
              </w:rPr>
            </w:pPr>
          </w:p>
          <w:p w14:paraId="1A6B65D4" w14:textId="77777777" w:rsidR="003C0A60" w:rsidRPr="00A54F87" w:rsidRDefault="003C0A60" w:rsidP="006E6EA3">
            <w:pPr>
              <w:rPr>
                <w:sz w:val="20"/>
                <w:szCs w:val="20"/>
              </w:rPr>
            </w:pPr>
          </w:p>
          <w:p w14:paraId="252E4238" w14:textId="77777777" w:rsidR="003C0A60" w:rsidRPr="00A54F87" w:rsidRDefault="003C0A60" w:rsidP="006E6EA3">
            <w:pPr>
              <w:rPr>
                <w:sz w:val="20"/>
                <w:szCs w:val="20"/>
              </w:rPr>
            </w:pPr>
            <w:r w:rsidRPr="00A54F87">
              <w:rPr>
                <w:sz w:val="20"/>
                <w:szCs w:val="20"/>
              </w:rPr>
              <w:t>NB: This data is indicative and based on current grades. Future needs may require a different allocation of posts/grades</w:t>
            </w:r>
          </w:p>
        </w:tc>
        <w:tc>
          <w:tcPr>
            <w:tcW w:w="3780" w:type="dxa"/>
            <w:tcBorders>
              <w:top w:val="single" w:sz="4" w:space="0" w:color="auto"/>
              <w:left w:val="single" w:sz="4" w:space="0" w:color="auto"/>
              <w:bottom w:val="single" w:sz="4" w:space="0" w:color="auto"/>
              <w:right w:val="single" w:sz="4" w:space="0" w:color="auto"/>
            </w:tcBorders>
            <w:vAlign w:val="center"/>
            <w:hideMark/>
          </w:tcPr>
          <w:p w14:paraId="7AAF2DC4" w14:textId="77777777" w:rsidR="003C0A60" w:rsidRPr="00A54F87" w:rsidRDefault="003C0A60" w:rsidP="006E6EA3">
            <w:pPr>
              <w:rPr>
                <w:sz w:val="20"/>
                <w:szCs w:val="20"/>
              </w:rPr>
            </w:pPr>
            <w:r w:rsidRPr="00A54F87">
              <w:rPr>
                <w:sz w:val="20"/>
                <w:szCs w:val="20"/>
              </w:rPr>
              <w:t xml:space="preserve">- Improvement of candidates’ performance from across the regions in the WIPO selection process accelerates, and regional difference diminish. </w:t>
            </w:r>
          </w:p>
          <w:p w14:paraId="2D7BA6B9" w14:textId="77777777" w:rsidR="003C0A60" w:rsidRPr="00A54F87" w:rsidRDefault="003C0A60" w:rsidP="006E6EA3">
            <w:pPr>
              <w:rPr>
                <w:sz w:val="20"/>
                <w:szCs w:val="20"/>
              </w:rPr>
            </w:pPr>
            <w:r w:rsidRPr="00A54F87">
              <w:rPr>
                <w:sz w:val="20"/>
                <w:szCs w:val="20"/>
              </w:rPr>
              <w:t>- Composition of WIPO workforce is more diverse including at senior levels.. This includes a better spread within regions.</w:t>
            </w:r>
          </w:p>
          <w:p w14:paraId="7BB7DE0C" w14:textId="77777777" w:rsidR="003C0A60" w:rsidRPr="00A54F87" w:rsidRDefault="003C0A60" w:rsidP="006E6EA3">
            <w:pPr>
              <w:rPr>
                <w:sz w:val="20"/>
                <w:szCs w:val="20"/>
              </w:rPr>
            </w:pPr>
            <w:r w:rsidRPr="00A54F87">
              <w:rPr>
                <w:sz w:val="20"/>
                <w:szCs w:val="20"/>
              </w:rPr>
              <w:t>- Member States, Hiring Managers and HRMD see each other as partners with the same goals.</w:t>
            </w:r>
          </w:p>
        </w:tc>
      </w:tr>
    </w:tbl>
    <w:p w14:paraId="234D8FD2" w14:textId="77777777" w:rsidR="003C0A60" w:rsidRPr="00987E41" w:rsidRDefault="003C0A60" w:rsidP="003C0A60"/>
    <w:p w14:paraId="71933876" w14:textId="77777777" w:rsidR="003C0A60" w:rsidRDefault="003C0A60" w:rsidP="003C0A60"/>
    <w:p w14:paraId="37EA0A84" w14:textId="77777777" w:rsidR="003C0A60" w:rsidRPr="004D200B" w:rsidRDefault="003C0A60" w:rsidP="003C0A60"/>
    <w:p w14:paraId="28A24957" w14:textId="77777777" w:rsidR="003C0A60" w:rsidRPr="004D200B" w:rsidRDefault="003C0A60" w:rsidP="003C0A60">
      <w:pPr>
        <w:pStyle w:val="ListParagraph"/>
        <w:ind w:left="5580"/>
      </w:pPr>
      <w:r w:rsidRPr="004D200B">
        <w:t>[End of Annex and of document]</w:t>
      </w:r>
    </w:p>
    <w:p w14:paraId="74E44AD8" w14:textId="77777777" w:rsidR="003C0A60" w:rsidRPr="004D200B" w:rsidRDefault="003C0A60" w:rsidP="003C0A60">
      <w:pPr>
        <w:tabs>
          <w:tab w:val="left" w:pos="2442"/>
        </w:tabs>
      </w:pPr>
    </w:p>
    <w:p w14:paraId="2F30EC18" w14:textId="19EA497D" w:rsidR="0006560C" w:rsidRPr="00EA6613" w:rsidRDefault="0006560C" w:rsidP="00EA6613">
      <w:pPr>
        <w:rPr>
          <w:rFonts w:eastAsia="Times New Roman"/>
          <w:lang w:eastAsia="en-US"/>
        </w:rPr>
      </w:pPr>
    </w:p>
    <w:sectPr w:rsidR="0006560C" w:rsidRPr="00EA6613" w:rsidSect="0094367C">
      <w:headerReference w:type="default" r:id="rId28"/>
      <w:headerReference w:type="first" r:id="rId29"/>
      <w:pgSz w:w="11907" w:h="16840" w:code="9"/>
      <w:pgMar w:top="1417" w:right="1417" w:bottom="1417" w:left="1417" w:header="709" w:footer="709"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FAEF4" w14:textId="77777777" w:rsidR="00B1505B" w:rsidRDefault="00B1505B">
      <w:r>
        <w:separator/>
      </w:r>
    </w:p>
  </w:endnote>
  <w:endnote w:type="continuationSeparator" w:id="0">
    <w:p w14:paraId="26BFDFD7" w14:textId="77777777" w:rsidR="00B1505B" w:rsidRDefault="00B1505B" w:rsidP="003B38C1">
      <w:r>
        <w:separator/>
      </w:r>
    </w:p>
    <w:p w14:paraId="29FB042A" w14:textId="77777777" w:rsidR="00B1505B" w:rsidRPr="003B38C1" w:rsidRDefault="00B1505B" w:rsidP="003B38C1">
      <w:pPr>
        <w:spacing w:after="60"/>
        <w:rPr>
          <w:sz w:val="17"/>
        </w:rPr>
      </w:pPr>
      <w:r>
        <w:rPr>
          <w:sz w:val="17"/>
        </w:rPr>
        <w:t>[Endnote continued from previous page]</w:t>
      </w:r>
    </w:p>
  </w:endnote>
  <w:endnote w:type="continuationNotice" w:id="1">
    <w:p w14:paraId="07600160" w14:textId="77777777" w:rsidR="00B1505B" w:rsidRPr="003B38C1" w:rsidRDefault="00B150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E293" w14:textId="77777777" w:rsidR="005D3387" w:rsidRDefault="005D3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A6F67" w14:textId="77777777" w:rsidR="005D3387" w:rsidRDefault="005D3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81941" w14:textId="6A859640" w:rsidR="00B1505B" w:rsidRDefault="001F22A6">
    <w:pPr>
      <w:pStyle w:val="Footer"/>
    </w:pPr>
    <w:r>
      <w:rPr>
        <w:noProof/>
        <w:lang w:eastAsia="en-US"/>
      </w:rPr>
      <mc:AlternateContent>
        <mc:Choice Requires="wps">
          <w:drawing>
            <wp:anchor distT="0" distB="0" distL="114300" distR="114300" simplePos="0" relativeHeight="251656192" behindDoc="0" locked="0" layoutInCell="0" allowOverlap="1" wp14:anchorId="72593328" wp14:editId="70BBB6B6">
              <wp:simplePos x="0" y="0"/>
              <wp:positionH relativeFrom="page">
                <wp:posOffset>0</wp:posOffset>
              </wp:positionH>
              <wp:positionV relativeFrom="page">
                <wp:posOffset>10229215</wp:posOffset>
              </wp:positionV>
              <wp:extent cx="7560945" cy="273050"/>
              <wp:effectExtent l="0" t="0" r="0" b="12700"/>
              <wp:wrapNone/>
              <wp:docPr id="1" name="Text Box 1" descr="{&quot;HashCode&quot;:2082126947,&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5B365D" w14:textId="410D90F1" w:rsidR="00B1505B" w:rsidRPr="008672F1" w:rsidRDefault="00B1505B" w:rsidP="008672F1">
                          <w:pPr>
                            <w:jc w:val="center"/>
                            <w:rPr>
                              <w:rFonts w:ascii="Calibri" w:hAnsi="Calibri" w:cs="Calibri"/>
                              <w:color w:val="000000"/>
                              <w:sz w:val="20"/>
                            </w:rPr>
                          </w:pPr>
                          <w:r w:rsidRPr="008672F1">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2593328" id="_x0000_t202" coordsize="21600,21600" o:spt="202" path="m,l,21600r21600,l21600,xe">
              <v:stroke joinstyle="miter"/>
              <v:path gradientshapeok="t" o:connecttype="rect"/>
            </v:shapetype>
            <v:shape id="Text Box 1" o:spid="_x0000_s1026" type="#_x0000_t202" alt="{&quot;HashCode&quot;:2082126947,&quot;Height&quot;:842.0,&quot;Width&quot;:595.0,&quot;Placement&quot;:&quot;Footer&quot;,&quot;Index&quot;:&quot;FirstPage&quot;,&quot;Section&quot;:1,&quot;Top&quot;:0.0,&quot;Left&quot;:0.0}" style="position:absolute;margin-left:0;margin-top:805.45pt;width:595.35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" o:allowincell="f" filled="f" stroked="f" strokeweight=".5pt">
              <v:path arrowok="t"/>
              <v:textbox inset=",0,,0">
                <w:txbxContent>
                  <w:p w14:paraId="0F5B365D" w14:textId="410D90F1" w:rsidR="00B1505B" w:rsidRPr="008672F1" w:rsidRDefault="00B1505B" w:rsidP="008672F1">
                    <w:pPr>
                      <w:jc w:val="center"/>
                      <w:rPr>
                        <w:rFonts w:ascii="Calibri" w:hAnsi="Calibri" w:cs="Calibri"/>
                        <w:color w:val="000000"/>
                        <w:sz w:val="20"/>
                      </w:rPr>
                    </w:pPr>
                    <w:r w:rsidRPr="008672F1">
                      <w:rPr>
                        <w:rFonts w:ascii="Calibri" w:hAnsi="Calibri" w:cs="Calibri"/>
                        <w:color w:val="000000"/>
                        <w:sz w:val="2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EF1A2" w14:textId="0846DAD3" w:rsidR="001F20F4" w:rsidRDefault="005D33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E7ED2" w14:textId="42CD2151" w:rsidR="001F20F4" w:rsidRDefault="005D3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28D24" w14:textId="77777777" w:rsidR="00B1505B" w:rsidRDefault="00B1505B">
      <w:r>
        <w:separator/>
      </w:r>
    </w:p>
  </w:footnote>
  <w:footnote w:type="continuationSeparator" w:id="0">
    <w:p w14:paraId="031EC06D" w14:textId="77777777" w:rsidR="00B1505B" w:rsidRDefault="00B1505B" w:rsidP="008B60B2">
      <w:r>
        <w:separator/>
      </w:r>
    </w:p>
    <w:p w14:paraId="4DC8C853" w14:textId="77777777" w:rsidR="00B1505B" w:rsidRPr="00ED77FB" w:rsidRDefault="00B1505B" w:rsidP="008B60B2">
      <w:pPr>
        <w:spacing w:after="60"/>
        <w:rPr>
          <w:sz w:val="17"/>
          <w:szCs w:val="17"/>
        </w:rPr>
      </w:pPr>
      <w:r w:rsidRPr="00ED77FB">
        <w:rPr>
          <w:sz w:val="17"/>
          <w:szCs w:val="17"/>
        </w:rPr>
        <w:t>[Footnote continued from previous page]</w:t>
      </w:r>
    </w:p>
  </w:footnote>
  <w:footnote w:type="continuationNotice" w:id="1">
    <w:p w14:paraId="3A5A67E4" w14:textId="77777777" w:rsidR="00B1505B" w:rsidRPr="00ED77FB" w:rsidRDefault="00B1505B" w:rsidP="008B60B2">
      <w:pPr>
        <w:spacing w:before="60"/>
        <w:jc w:val="right"/>
        <w:rPr>
          <w:sz w:val="17"/>
          <w:szCs w:val="17"/>
        </w:rPr>
      </w:pPr>
      <w:r w:rsidRPr="00ED77FB">
        <w:rPr>
          <w:sz w:val="17"/>
          <w:szCs w:val="17"/>
        </w:rPr>
        <w:t>[Footnote continued on next page]</w:t>
      </w:r>
    </w:p>
  </w:footnote>
  <w:footnote w:id="2">
    <w:p w14:paraId="6AD7253B" w14:textId="77777777" w:rsidR="00B1505B" w:rsidRPr="00C133FC" w:rsidRDefault="00B1505B" w:rsidP="00B240AC">
      <w:pPr>
        <w:pStyle w:val="FootnoteText"/>
        <w:rPr>
          <w:sz w:val="16"/>
          <w:szCs w:val="16"/>
        </w:rPr>
      </w:pPr>
      <w:r w:rsidRPr="00C133FC">
        <w:rPr>
          <w:rStyle w:val="FootnoteReference"/>
          <w:sz w:val="16"/>
          <w:szCs w:val="16"/>
        </w:rPr>
        <w:footnoteRef/>
      </w:r>
      <w:r w:rsidRPr="00C133FC">
        <w:rPr>
          <w:sz w:val="16"/>
          <w:szCs w:val="16"/>
        </w:rPr>
        <w:t xml:space="preserve"> </w:t>
      </w:r>
      <w:r w:rsidRPr="00C133FC">
        <w:rPr>
          <w:sz w:val="16"/>
          <w:szCs w:val="16"/>
        </w:rPr>
        <w:tab/>
        <w:t>Staff holding a fixed-term, continuing or permanent appointment on regular budget funding</w:t>
      </w:r>
      <w:r>
        <w:rPr>
          <w:sz w:val="16"/>
          <w:szCs w:val="16"/>
        </w:rPr>
        <w:t>.</w:t>
      </w:r>
    </w:p>
  </w:footnote>
  <w:footnote w:id="3">
    <w:p w14:paraId="5ABC40C4" w14:textId="3C5BBF3C" w:rsidR="00B1505B" w:rsidRPr="00C133FC" w:rsidRDefault="00B1505B" w:rsidP="00B240AC">
      <w:pPr>
        <w:pStyle w:val="FootnoteText"/>
        <w:rPr>
          <w:sz w:val="16"/>
          <w:szCs w:val="16"/>
        </w:rPr>
      </w:pPr>
      <w:r w:rsidRPr="00C133FC">
        <w:rPr>
          <w:rStyle w:val="FootnoteReference"/>
          <w:sz w:val="16"/>
          <w:szCs w:val="16"/>
        </w:rPr>
        <w:footnoteRef/>
      </w:r>
      <w:r w:rsidRPr="00C133FC">
        <w:rPr>
          <w:sz w:val="16"/>
          <w:szCs w:val="16"/>
        </w:rPr>
        <w:t xml:space="preserve"> </w:t>
      </w:r>
      <w:r w:rsidRPr="00C133FC">
        <w:rPr>
          <w:sz w:val="16"/>
          <w:szCs w:val="16"/>
        </w:rPr>
        <w:tab/>
        <w:t xml:space="preserve">Staff holding a temporary appointment on regular budget funding; </w:t>
      </w:r>
      <w:r>
        <w:rPr>
          <w:sz w:val="16"/>
          <w:szCs w:val="16"/>
        </w:rPr>
        <w:t xml:space="preserve"> </w:t>
      </w:r>
      <w:r w:rsidRPr="00C133FC">
        <w:rPr>
          <w:sz w:val="16"/>
          <w:szCs w:val="16"/>
        </w:rPr>
        <w:t xml:space="preserve">Staff on non-regular budget funding (Reserves and Funds-in-Trust); </w:t>
      </w:r>
      <w:r>
        <w:rPr>
          <w:sz w:val="16"/>
          <w:szCs w:val="16"/>
        </w:rPr>
        <w:t xml:space="preserve"> </w:t>
      </w:r>
      <w:r w:rsidRPr="00C133FC">
        <w:rPr>
          <w:sz w:val="16"/>
          <w:szCs w:val="16"/>
        </w:rPr>
        <w:t xml:space="preserve">UN </w:t>
      </w:r>
      <w:r>
        <w:rPr>
          <w:sz w:val="16"/>
          <w:szCs w:val="16"/>
        </w:rPr>
        <w:t>s</w:t>
      </w:r>
      <w:r w:rsidRPr="00C133FC">
        <w:rPr>
          <w:sz w:val="16"/>
          <w:szCs w:val="16"/>
        </w:rPr>
        <w:t xml:space="preserve">taff on </w:t>
      </w:r>
      <w:r>
        <w:rPr>
          <w:sz w:val="16"/>
          <w:szCs w:val="16"/>
        </w:rPr>
        <w:t>l</w:t>
      </w:r>
      <w:r w:rsidRPr="00C133FC">
        <w:rPr>
          <w:sz w:val="16"/>
          <w:szCs w:val="16"/>
        </w:rPr>
        <w:t xml:space="preserve">oan; </w:t>
      </w:r>
      <w:r>
        <w:rPr>
          <w:sz w:val="16"/>
          <w:szCs w:val="16"/>
        </w:rPr>
        <w:t xml:space="preserve"> </w:t>
      </w:r>
      <w:r w:rsidRPr="00C133FC">
        <w:rPr>
          <w:sz w:val="16"/>
          <w:szCs w:val="16"/>
        </w:rPr>
        <w:t xml:space="preserve">Junior Professional Officers </w:t>
      </w:r>
      <w:r>
        <w:rPr>
          <w:sz w:val="16"/>
          <w:szCs w:val="16"/>
        </w:rPr>
        <w:t xml:space="preserve">including </w:t>
      </w:r>
      <w:r w:rsidRPr="00C133FC">
        <w:rPr>
          <w:sz w:val="16"/>
          <w:szCs w:val="16"/>
        </w:rPr>
        <w:t>United Nations Development Programme (UNDP</w:t>
      </w:r>
      <w:r>
        <w:rPr>
          <w:sz w:val="16"/>
          <w:szCs w:val="16"/>
        </w:rPr>
        <w:t>)</w:t>
      </w:r>
      <w:r w:rsidRPr="00C133FC">
        <w:rPr>
          <w:sz w:val="16"/>
          <w:szCs w:val="16"/>
        </w:rPr>
        <w:t xml:space="preserve"> JPOs; </w:t>
      </w:r>
      <w:r>
        <w:rPr>
          <w:sz w:val="16"/>
          <w:szCs w:val="16"/>
        </w:rPr>
        <w:t xml:space="preserve"> </w:t>
      </w:r>
      <w:r w:rsidRPr="00C133FC">
        <w:rPr>
          <w:sz w:val="16"/>
          <w:szCs w:val="16"/>
        </w:rPr>
        <w:t>Interns; Fellows; Monthly/daily translators/revisers; Individual Contractor</w:t>
      </w:r>
      <w:r>
        <w:rPr>
          <w:sz w:val="16"/>
          <w:szCs w:val="16"/>
        </w:rPr>
        <w:t>s</w:t>
      </w:r>
      <w:r w:rsidRPr="00C133FC">
        <w:rPr>
          <w:sz w:val="16"/>
          <w:szCs w:val="16"/>
        </w:rPr>
        <w:t xml:space="preserve">; </w:t>
      </w:r>
      <w:r>
        <w:rPr>
          <w:sz w:val="16"/>
          <w:szCs w:val="16"/>
        </w:rPr>
        <w:t xml:space="preserve"> </w:t>
      </w:r>
      <w:r w:rsidRPr="00C133FC">
        <w:rPr>
          <w:sz w:val="16"/>
          <w:szCs w:val="16"/>
        </w:rPr>
        <w:t>Agency Workers; External Providers; and individuals from the SYNI program of the Swiss Bureau of Subsidized Temporary Employment.</w:t>
      </w:r>
    </w:p>
  </w:footnote>
  <w:footnote w:id="4">
    <w:p w14:paraId="030D949F" w14:textId="77777777" w:rsidR="00B1505B" w:rsidRPr="00DF773D" w:rsidRDefault="00B1505B" w:rsidP="00B240AC">
      <w:pPr>
        <w:autoSpaceDE w:val="0"/>
        <w:autoSpaceDN w:val="0"/>
        <w:adjustRightInd w:val="0"/>
        <w:rPr>
          <w:sz w:val="16"/>
          <w:szCs w:val="16"/>
        </w:rPr>
      </w:pPr>
      <w:r w:rsidRPr="00DF773D">
        <w:rPr>
          <w:rStyle w:val="FootnoteReference"/>
          <w:sz w:val="16"/>
          <w:szCs w:val="16"/>
        </w:rPr>
        <w:footnoteRef/>
      </w:r>
      <w:r w:rsidRPr="00DF773D">
        <w:rPr>
          <w:sz w:val="16"/>
          <w:szCs w:val="16"/>
        </w:rPr>
        <w:t xml:space="preserve"> </w:t>
      </w:r>
      <w:r w:rsidRPr="00DF773D">
        <w:rPr>
          <w:sz w:val="16"/>
          <w:szCs w:val="16"/>
        </w:rPr>
        <w:tab/>
      </w:r>
      <w:r w:rsidRPr="00DF773D">
        <w:rPr>
          <w:iCs/>
          <w:sz w:val="16"/>
          <w:szCs w:val="16"/>
        </w:rPr>
        <w:t>The posts subject to geographical distribution are all staff positions in the Professional and higher categories</w:t>
      </w:r>
      <w:r>
        <w:rPr>
          <w:iCs/>
          <w:sz w:val="16"/>
          <w:szCs w:val="16"/>
        </w:rPr>
        <w:t>,</w:t>
      </w:r>
      <w:r w:rsidRPr="00DF773D">
        <w:rPr>
          <w:iCs/>
          <w:sz w:val="16"/>
          <w:szCs w:val="16"/>
        </w:rPr>
        <w:t xml:space="preserve"> which are funded under the regular budget except language positions and the post of Director General.</w:t>
      </w:r>
    </w:p>
  </w:footnote>
  <w:footnote w:id="5">
    <w:p w14:paraId="4DC2E055" w14:textId="3C697EFA" w:rsidR="00B1505B" w:rsidRPr="00514382" w:rsidRDefault="00B1505B">
      <w:pPr>
        <w:pStyle w:val="FootnoteText"/>
        <w:rPr>
          <w:sz w:val="16"/>
          <w:szCs w:val="16"/>
        </w:rPr>
      </w:pPr>
      <w:r w:rsidRPr="00514382">
        <w:rPr>
          <w:rStyle w:val="FootnoteReference"/>
          <w:sz w:val="16"/>
          <w:szCs w:val="16"/>
        </w:rPr>
        <w:footnoteRef/>
      </w:r>
      <w:r w:rsidRPr="00514382">
        <w:rPr>
          <w:sz w:val="16"/>
          <w:szCs w:val="16"/>
        </w:rPr>
        <w:t xml:space="preserve"> </w:t>
      </w:r>
      <w:r w:rsidRPr="00514382">
        <w:rPr>
          <w:sz w:val="16"/>
          <w:szCs w:val="16"/>
        </w:rPr>
        <w:tab/>
        <w:t xml:space="preserve">Which reads as follows: “We </w:t>
      </w:r>
      <w:r w:rsidRPr="00514382">
        <w:rPr>
          <w:bCs/>
          <w:sz w:val="16"/>
          <w:szCs w:val="16"/>
        </w:rPr>
        <w:t xml:space="preserve">value and trust each other </w:t>
      </w:r>
      <w:r w:rsidRPr="00514382">
        <w:rPr>
          <w:sz w:val="16"/>
          <w:szCs w:val="16"/>
        </w:rPr>
        <w:t xml:space="preserve">and commit to </w:t>
      </w:r>
      <w:r w:rsidRPr="00514382">
        <w:rPr>
          <w:bCs/>
          <w:sz w:val="16"/>
          <w:szCs w:val="16"/>
        </w:rPr>
        <w:t>fostering</w:t>
      </w:r>
      <w:r w:rsidRPr="00514382">
        <w:rPr>
          <w:sz w:val="16"/>
          <w:szCs w:val="16"/>
        </w:rPr>
        <w:t xml:space="preserve"> a performance driven culture, underpinned by collaboration and open communication. </w:t>
      </w:r>
      <w:r>
        <w:rPr>
          <w:sz w:val="16"/>
          <w:szCs w:val="16"/>
        </w:rPr>
        <w:t xml:space="preserve"> </w:t>
      </w:r>
      <w:r w:rsidRPr="00514382">
        <w:rPr>
          <w:sz w:val="16"/>
          <w:szCs w:val="16"/>
        </w:rPr>
        <w:t xml:space="preserve">As individuals, we </w:t>
      </w:r>
      <w:r w:rsidRPr="00514382">
        <w:rPr>
          <w:bCs/>
          <w:sz w:val="16"/>
          <w:szCs w:val="16"/>
        </w:rPr>
        <w:t>cultivate</w:t>
      </w:r>
      <w:r w:rsidRPr="00514382">
        <w:rPr>
          <w:sz w:val="16"/>
          <w:szCs w:val="16"/>
        </w:rPr>
        <w:t xml:space="preserve"> expertise and skills that allow us to work effectively. </w:t>
      </w:r>
      <w:r>
        <w:rPr>
          <w:sz w:val="16"/>
          <w:szCs w:val="16"/>
        </w:rPr>
        <w:t xml:space="preserve"> </w:t>
      </w:r>
      <w:r w:rsidRPr="00514382">
        <w:rPr>
          <w:sz w:val="16"/>
          <w:szCs w:val="16"/>
        </w:rPr>
        <w:t xml:space="preserve">As teams, we </w:t>
      </w:r>
      <w:r w:rsidRPr="00514382">
        <w:rPr>
          <w:bCs/>
          <w:sz w:val="16"/>
          <w:szCs w:val="16"/>
        </w:rPr>
        <w:t>leverage each other’s diverse strengths in pursuit of excellence.</w:t>
      </w:r>
      <w:r w:rsidRPr="00514382">
        <w:rPr>
          <w:sz w:val="16"/>
          <w:szCs w:val="16"/>
        </w:rPr>
        <w:t xml:space="preserve"> </w:t>
      </w:r>
      <w:r>
        <w:rPr>
          <w:sz w:val="16"/>
          <w:szCs w:val="16"/>
        </w:rPr>
        <w:t xml:space="preserve"> </w:t>
      </w:r>
      <w:r w:rsidRPr="00514382">
        <w:rPr>
          <w:sz w:val="16"/>
          <w:szCs w:val="16"/>
        </w:rPr>
        <w:t xml:space="preserve">And as the UN agency that supports innovators and creators, we push boundaries and innovate our work culture, so that we become an even more </w:t>
      </w:r>
      <w:r w:rsidRPr="00514382">
        <w:rPr>
          <w:bCs/>
          <w:sz w:val="16"/>
          <w:szCs w:val="16"/>
        </w:rPr>
        <w:t xml:space="preserve">effective, dynamic and inclusive </w:t>
      </w:r>
      <w:r>
        <w:rPr>
          <w:sz w:val="16"/>
          <w:szCs w:val="16"/>
        </w:rPr>
        <w:t>O</w:t>
      </w:r>
      <w:r w:rsidRPr="00514382">
        <w:rPr>
          <w:sz w:val="16"/>
          <w:szCs w:val="16"/>
        </w:rPr>
        <w:t>rganization shaping a global IP ecosystem that benefits all.”</w:t>
      </w:r>
    </w:p>
  </w:footnote>
  <w:footnote w:id="6">
    <w:p w14:paraId="6C45E579" w14:textId="5F5458D4" w:rsidR="00B1505B" w:rsidRPr="00BD295B" w:rsidRDefault="00B1505B">
      <w:pPr>
        <w:pStyle w:val="FootnoteText"/>
        <w:rPr>
          <w:sz w:val="16"/>
          <w:szCs w:val="16"/>
        </w:rPr>
      </w:pPr>
      <w:r w:rsidRPr="00BD295B">
        <w:rPr>
          <w:rStyle w:val="FootnoteReference"/>
          <w:sz w:val="16"/>
          <w:szCs w:val="16"/>
        </w:rPr>
        <w:footnoteRef/>
      </w:r>
      <w:r w:rsidRPr="00BD295B">
        <w:rPr>
          <w:sz w:val="16"/>
          <w:szCs w:val="16"/>
        </w:rPr>
        <w:t xml:space="preserve"> </w:t>
      </w:r>
      <w:r w:rsidRPr="00BD295B">
        <w:rPr>
          <w:sz w:val="16"/>
          <w:szCs w:val="16"/>
        </w:rPr>
        <w:tab/>
        <w:t>S</w:t>
      </w:r>
      <w:r w:rsidRPr="00BD295B">
        <w:rPr>
          <w:bCs/>
          <w:sz w:val="16"/>
          <w:szCs w:val="16"/>
        </w:rPr>
        <w:t>core from employee engagement survey data for 1,000 organizations.</w:t>
      </w:r>
    </w:p>
  </w:footnote>
  <w:footnote w:id="7">
    <w:p w14:paraId="60CDB061" w14:textId="5853DE9B" w:rsidR="00B1505B" w:rsidRPr="00BD295B" w:rsidRDefault="00B1505B">
      <w:pPr>
        <w:pStyle w:val="FootnoteText"/>
        <w:rPr>
          <w:sz w:val="16"/>
          <w:szCs w:val="16"/>
        </w:rPr>
      </w:pPr>
      <w:r w:rsidRPr="00BD295B">
        <w:rPr>
          <w:rStyle w:val="FootnoteReference"/>
          <w:sz w:val="16"/>
          <w:szCs w:val="16"/>
        </w:rPr>
        <w:footnoteRef/>
      </w:r>
      <w:r w:rsidRPr="00BD295B">
        <w:rPr>
          <w:sz w:val="16"/>
          <w:szCs w:val="16"/>
        </w:rPr>
        <w:t xml:space="preserve"> </w:t>
      </w:r>
      <w:r w:rsidRPr="00BD295B">
        <w:rPr>
          <w:sz w:val="16"/>
          <w:szCs w:val="16"/>
        </w:rPr>
        <w:tab/>
        <w:t>Based on the results of the 2021 United Nations Health Intelligence (UNHI) Health and Wellbeing Survey.</w:t>
      </w:r>
    </w:p>
  </w:footnote>
  <w:footnote w:id="8">
    <w:p w14:paraId="7173C63B" w14:textId="1F41686A" w:rsidR="00B1505B" w:rsidRPr="00FB5BF6" w:rsidRDefault="00B1505B">
      <w:pPr>
        <w:pStyle w:val="FootnoteText"/>
        <w:rPr>
          <w:sz w:val="16"/>
          <w:szCs w:val="16"/>
        </w:rPr>
      </w:pPr>
      <w:r w:rsidRPr="00FB5BF6">
        <w:rPr>
          <w:rStyle w:val="FootnoteReference"/>
          <w:sz w:val="16"/>
          <w:szCs w:val="16"/>
        </w:rPr>
        <w:footnoteRef/>
      </w:r>
      <w:r w:rsidRPr="00FB5BF6">
        <w:rPr>
          <w:sz w:val="16"/>
          <w:szCs w:val="16"/>
        </w:rPr>
        <w:t xml:space="preserve"> </w:t>
      </w:r>
      <w:r w:rsidRPr="00FB5BF6">
        <w:rPr>
          <w:sz w:val="16"/>
          <w:szCs w:val="16"/>
        </w:rPr>
        <w:tab/>
        <w:t xml:space="preserve">Other flexible working arrangements available at WIPO </w:t>
      </w:r>
      <w:r>
        <w:rPr>
          <w:sz w:val="16"/>
          <w:szCs w:val="16"/>
        </w:rPr>
        <w:t>include</w:t>
      </w:r>
      <w:r w:rsidRPr="00FB5BF6">
        <w:rPr>
          <w:sz w:val="16"/>
          <w:szCs w:val="16"/>
        </w:rPr>
        <w:t xml:space="preserve"> compressed work schedule</w:t>
      </w:r>
      <w:r>
        <w:rPr>
          <w:sz w:val="16"/>
          <w:szCs w:val="16"/>
        </w:rPr>
        <w:t>s</w:t>
      </w:r>
      <w:r w:rsidRPr="00FB5BF6">
        <w:rPr>
          <w:sz w:val="16"/>
          <w:szCs w:val="16"/>
        </w:rPr>
        <w:t>, staggered working hours, and part-time employment.</w:t>
      </w:r>
    </w:p>
  </w:footnote>
  <w:footnote w:id="9">
    <w:p w14:paraId="502A46BA" w14:textId="36391EAD" w:rsidR="00B1505B" w:rsidRDefault="00B1505B" w:rsidP="00BF29C6">
      <w:pPr>
        <w:pStyle w:val="FootnoteText"/>
      </w:pPr>
      <w:r>
        <w:rPr>
          <w:rStyle w:val="FootnoteReference"/>
        </w:rPr>
        <w:footnoteRef/>
      </w:r>
      <w:r>
        <w:t xml:space="preserve">  </w:t>
      </w:r>
      <w:r>
        <w:tab/>
      </w:r>
      <w:r w:rsidRPr="0043146C">
        <w:rPr>
          <w:color w:val="000000"/>
          <w:sz w:val="16"/>
          <w:szCs w:val="16"/>
        </w:rPr>
        <w:t xml:space="preserve">The guide is aligned with the </w:t>
      </w:r>
      <w:hyperlink r:id="rId1" w:history="1">
        <w:r w:rsidRPr="00514382">
          <w:rPr>
            <w:rStyle w:val="Hyperlink"/>
            <w:sz w:val="16"/>
            <w:szCs w:val="16"/>
          </w:rPr>
          <w:t>UN System Model Policy on Sexual Harassment</w:t>
        </w:r>
      </w:hyperlink>
      <w:r w:rsidRPr="0043146C">
        <w:rPr>
          <w:color w:val="000000"/>
          <w:sz w:val="16"/>
          <w:szCs w:val="16"/>
        </w:rPr>
        <w:t xml:space="preserve"> and includes guidance on the available informal and formal processes, training opportunities, dealing with sexual harassment and where to obtain advice and assistance.</w:t>
      </w:r>
      <w:r>
        <w:rPr>
          <w:rFonts w:ascii="Century Gothic" w:hAnsi="Century Gothic"/>
          <w:color w:val="000000"/>
        </w:rPr>
        <w:t xml:space="preserve"> </w:t>
      </w:r>
    </w:p>
  </w:footnote>
  <w:footnote w:id="10">
    <w:p w14:paraId="71A40A4F" w14:textId="6C8BB503" w:rsidR="00B1505B" w:rsidRPr="00E21C40" w:rsidRDefault="00B1505B" w:rsidP="00935BAC">
      <w:pPr>
        <w:autoSpaceDE w:val="0"/>
        <w:autoSpaceDN w:val="0"/>
        <w:adjustRightInd w:val="0"/>
        <w:rPr>
          <w:sz w:val="16"/>
          <w:szCs w:val="16"/>
        </w:rPr>
      </w:pPr>
      <w:r w:rsidRPr="00E21C40">
        <w:rPr>
          <w:rStyle w:val="FootnoteReference"/>
          <w:sz w:val="16"/>
          <w:szCs w:val="16"/>
        </w:rPr>
        <w:footnoteRef/>
      </w:r>
      <w:r w:rsidRPr="00E21C40">
        <w:rPr>
          <w:sz w:val="16"/>
          <w:szCs w:val="16"/>
        </w:rPr>
        <w:t xml:space="preserve"> </w:t>
      </w:r>
      <w:r w:rsidRPr="00E21C40">
        <w:rPr>
          <w:sz w:val="16"/>
          <w:szCs w:val="16"/>
        </w:rPr>
        <w:tab/>
        <w:t>P</w:t>
      </w:r>
      <w:r w:rsidRPr="00E21C40">
        <w:rPr>
          <w:rFonts w:eastAsia="Times New Roman"/>
          <w:iCs/>
          <w:sz w:val="16"/>
          <w:szCs w:val="16"/>
          <w:lang w:eastAsia="fr-CH"/>
        </w:rPr>
        <w:t xml:space="preserve">osts subject to geographical distribution are all staff positions in the Professional and higher categories </w:t>
      </w:r>
      <w:r>
        <w:rPr>
          <w:rFonts w:eastAsia="Times New Roman"/>
          <w:iCs/>
          <w:sz w:val="16"/>
          <w:szCs w:val="16"/>
          <w:lang w:eastAsia="fr-CH"/>
        </w:rPr>
        <w:t>that</w:t>
      </w:r>
      <w:r w:rsidRPr="00E21C40">
        <w:rPr>
          <w:rFonts w:eastAsia="Times New Roman"/>
          <w:iCs/>
          <w:sz w:val="16"/>
          <w:szCs w:val="16"/>
          <w:lang w:eastAsia="fr-CH"/>
        </w:rPr>
        <w:t xml:space="preserve"> are funded under the regular budget except language positions and the post of Director General</w:t>
      </w:r>
      <w:r w:rsidRPr="00E21C40">
        <w:rPr>
          <w:rFonts w:eastAsia="Times New Roman"/>
          <w:sz w:val="16"/>
          <w:szCs w:val="16"/>
          <w:lang w:eastAsia="fr-CH"/>
        </w:rPr>
        <w:t>.</w:t>
      </w:r>
    </w:p>
  </w:footnote>
  <w:footnote w:id="11">
    <w:p w14:paraId="47A8DBE6" w14:textId="6A478D66" w:rsidR="00B1505B" w:rsidRDefault="00B1505B" w:rsidP="00966002">
      <w:pPr>
        <w:pStyle w:val="FootnoteText"/>
      </w:pPr>
      <w:r>
        <w:rPr>
          <w:rStyle w:val="FootnoteReference"/>
        </w:rPr>
        <w:footnoteRef/>
      </w:r>
      <w:r>
        <w:t xml:space="preserve"> </w:t>
      </w:r>
      <w:r>
        <w:tab/>
      </w:r>
      <w:r w:rsidRPr="003A1A1C">
        <w:rPr>
          <w:sz w:val="16"/>
          <w:szCs w:val="16"/>
        </w:rPr>
        <w:t xml:space="preserve">See document </w:t>
      </w:r>
      <w:hyperlink r:id="rId2" w:history="1">
        <w:r w:rsidRPr="004A6B2D">
          <w:rPr>
            <w:rStyle w:val="Hyperlink"/>
            <w:sz w:val="16"/>
            <w:szCs w:val="16"/>
          </w:rPr>
          <w:t>WO/CC/73/5</w:t>
        </w:r>
      </w:hyperlink>
      <w:r w:rsidRPr="00BE4E4A">
        <w:rPr>
          <w:rStyle w:val="Hyperlink"/>
          <w:sz w:val="16"/>
          <w:szCs w:val="16"/>
        </w:rPr>
        <w:t>.</w:t>
      </w:r>
    </w:p>
  </w:footnote>
  <w:footnote w:id="12">
    <w:p w14:paraId="55813B4E" w14:textId="5739F91F" w:rsidR="00B1505B" w:rsidRPr="00E91899" w:rsidRDefault="00B1505B" w:rsidP="00A219E4">
      <w:pPr>
        <w:autoSpaceDE w:val="0"/>
        <w:autoSpaceDN w:val="0"/>
        <w:adjustRightInd w:val="0"/>
        <w:rPr>
          <w:sz w:val="16"/>
          <w:szCs w:val="16"/>
        </w:rPr>
      </w:pPr>
      <w:r w:rsidRPr="00E91899">
        <w:rPr>
          <w:rStyle w:val="FootnoteReference"/>
          <w:sz w:val="16"/>
          <w:szCs w:val="16"/>
        </w:rPr>
        <w:footnoteRef/>
      </w:r>
      <w:r w:rsidRPr="00E91899">
        <w:rPr>
          <w:sz w:val="16"/>
          <w:szCs w:val="16"/>
        </w:rPr>
        <w:t xml:space="preserve"> </w:t>
      </w:r>
      <w:r w:rsidRPr="00E91899">
        <w:rPr>
          <w:sz w:val="16"/>
          <w:szCs w:val="16"/>
        </w:rPr>
        <w:tab/>
        <w:t>P</w:t>
      </w:r>
      <w:r w:rsidRPr="00E91899">
        <w:rPr>
          <w:rFonts w:eastAsia="Times New Roman"/>
          <w:iCs/>
          <w:sz w:val="16"/>
          <w:szCs w:val="16"/>
          <w:lang w:eastAsia="fr-CH"/>
        </w:rPr>
        <w:t xml:space="preserve">osts subject to geographical distribution are all staff positions in the Professional and higher categories </w:t>
      </w:r>
      <w:r>
        <w:rPr>
          <w:rFonts w:eastAsia="Times New Roman"/>
          <w:iCs/>
          <w:sz w:val="16"/>
          <w:szCs w:val="16"/>
          <w:lang w:eastAsia="fr-CH"/>
        </w:rPr>
        <w:t>that</w:t>
      </w:r>
      <w:r w:rsidRPr="00E91899">
        <w:rPr>
          <w:rFonts w:eastAsia="Times New Roman"/>
          <w:iCs/>
          <w:sz w:val="16"/>
          <w:szCs w:val="16"/>
          <w:lang w:eastAsia="fr-CH"/>
        </w:rPr>
        <w:t xml:space="preserve"> are funded under the regular budget except language positions and the post of Director General</w:t>
      </w:r>
      <w:r w:rsidRPr="00E91899">
        <w:rPr>
          <w:rFonts w:eastAsia="Times New Roman"/>
          <w:sz w:val="16"/>
          <w:szCs w:val="16"/>
          <w:lang w:eastAsia="fr-CH"/>
        </w:rPr>
        <w:t>.</w:t>
      </w:r>
    </w:p>
  </w:footnote>
  <w:footnote w:id="13">
    <w:p w14:paraId="51B549F6" w14:textId="5608785E" w:rsidR="00B1505B" w:rsidRDefault="00B1505B" w:rsidP="00966002">
      <w:pPr>
        <w:pStyle w:val="FootnoteText"/>
      </w:pPr>
      <w:r>
        <w:rPr>
          <w:rStyle w:val="FootnoteReference"/>
        </w:rPr>
        <w:footnoteRef/>
      </w:r>
      <w:r>
        <w:t xml:space="preserve"> </w:t>
      </w:r>
      <w:r>
        <w:tab/>
      </w:r>
      <w:r>
        <w:rPr>
          <w:sz w:val="16"/>
          <w:szCs w:val="16"/>
        </w:rPr>
        <w:t xml:space="preserve">The UN-SWAP is an accountability mechanism approved by the UN System Chief Executives Board for Coordination (CEB) and operationalizes the UN System-wide Policy on Gender Equality and the Empowerment of Women adopted in 2006 by the CEB. WIPO’s performance by indicator can be accessed </w:t>
      </w:r>
      <w:hyperlink r:id="rId3" w:history="1">
        <w:r w:rsidRPr="00326B98">
          <w:rPr>
            <w:rStyle w:val="Hyperlink"/>
            <w:sz w:val="16"/>
            <w:szCs w:val="16"/>
          </w:rPr>
          <w:t>here</w:t>
        </w:r>
      </w:hyperlink>
      <w:r>
        <w:rPr>
          <w:sz w:val="16"/>
          <w:szCs w:val="16"/>
        </w:rPr>
        <w:t>.</w:t>
      </w:r>
    </w:p>
  </w:footnote>
  <w:footnote w:id="14">
    <w:p w14:paraId="3A67A933" w14:textId="5AF3E9B1" w:rsidR="00B1505B" w:rsidRPr="000F7138" w:rsidRDefault="00B1505B" w:rsidP="00EA6613">
      <w:pPr>
        <w:pStyle w:val="FootnoteText"/>
        <w:rPr>
          <w:sz w:val="16"/>
          <w:szCs w:val="16"/>
        </w:rPr>
      </w:pPr>
      <w:r>
        <w:rPr>
          <w:rStyle w:val="FootnoteReference"/>
        </w:rPr>
        <w:footnoteRef/>
      </w:r>
      <w:r>
        <w:t xml:space="preserve"> </w:t>
      </w:r>
      <w:r>
        <w:tab/>
      </w:r>
      <w:r w:rsidRPr="000F7138">
        <w:rPr>
          <w:sz w:val="16"/>
          <w:szCs w:val="16"/>
        </w:rPr>
        <w:t xml:space="preserve">See </w:t>
      </w:r>
      <w:hyperlink r:id="rId4" w:history="1">
        <w:r w:rsidRPr="000F7138">
          <w:rPr>
            <w:rStyle w:val="Hyperlink"/>
            <w:sz w:val="16"/>
            <w:szCs w:val="16"/>
          </w:rPr>
          <w:t>Chief Executives Board (CEB) Personnel Statistics as of 31 December 2021</w:t>
        </w:r>
      </w:hyperlink>
      <w:r w:rsidRPr="000F7138">
        <w:rPr>
          <w:sz w:val="16"/>
          <w:szCs w:val="16"/>
        </w:rPr>
        <w:t xml:space="preserve"> including other UN technical entities such IAEA, </w:t>
      </w:r>
      <w:r>
        <w:rPr>
          <w:sz w:val="16"/>
          <w:szCs w:val="16"/>
        </w:rPr>
        <w:t>International Maritime Organization (</w:t>
      </w:r>
      <w:r w:rsidRPr="000F7138">
        <w:rPr>
          <w:sz w:val="16"/>
          <w:szCs w:val="16"/>
        </w:rPr>
        <w:t>IMO</w:t>
      </w:r>
      <w:r>
        <w:rPr>
          <w:sz w:val="16"/>
          <w:szCs w:val="16"/>
        </w:rPr>
        <w:t>)</w:t>
      </w:r>
      <w:r w:rsidRPr="000F7138">
        <w:rPr>
          <w:sz w:val="16"/>
          <w:szCs w:val="16"/>
        </w:rPr>
        <w:t xml:space="preserve">, </w:t>
      </w:r>
      <w:r>
        <w:rPr>
          <w:sz w:val="16"/>
          <w:szCs w:val="16"/>
        </w:rPr>
        <w:t>International Telecommunication Union (</w:t>
      </w:r>
      <w:r w:rsidRPr="000F7138">
        <w:rPr>
          <w:sz w:val="16"/>
          <w:szCs w:val="16"/>
        </w:rPr>
        <w:t>ITU</w:t>
      </w:r>
      <w:r>
        <w:rPr>
          <w:sz w:val="16"/>
          <w:szCs w:val="16"/>
        </w:rPr>
        <w:t>)</w:t>
      </w:r>
      <w:r w:rsidRPr="000F7138">
        <w:rPr>
          <w:sz w:val="16"/>
          <w:szCs w:val="16"/>
        </w:rPr>
        <w:t xml:space="preserve">, </w:t>
      </w:r>
      <w:r w:rsidRPr="00136FC4">
        <w:rPr>
          <w:sz w:val="16"/>
          <w:szCs w:val="16"/>
        </w:rPr>
        <w:t xml:space="preserve">United Nations Industrial Development Organization </w:t>
      </w:r>
      <w:r>
        <w:rPr>
          <w:sz w:val="16"/>
          <w:szCs w:val="16"/>
        </w:rPr>
        <w:t>(</w:t>
      </w:r>
      <w:r w:rsidRPr="000F7138">
        <w:rPr>
          <w:sz w:val="16"/>
          <w:szCs w:val="16"/>
        </w:rPr>
        <w:t>UNIDO</w:t>
      </w:r>
      <w:r>
        <w:rPr>
          <w:sz w:val="16"/>
          <w:szCs w:val="16"/>
        </w:rPr>
        <w:t>)</w:t>
      </w:r>
      <w:r w:rsidRPr="000F7138">
        <w:rPr>
          <w:sz w:val="16"/>
          <w:szCs w:val="16"/>
        </w:rPr>
        <w:t xml:space="preserve">, </w:t>
      </w:r>
      <w:r>
        <w:rPr>
          <w:sz w:val="16"/>
          <w:szCs w:val="16"/>
        </w:rPr>
        <w:t>World Tourism Organization (</w:t>
      </w:r>
      <w:r w:rsidRPr="000F7138">
        <w:rPr>
          <w:sz w:val="16"/>
          <w:szCs w:val="16"/>
        </w:rPr>
        <w:t>UNWTO</w:t>
      </w:r>
      <w:r>
        <w:rPr>
          <w:sz w:val="16"/>
          <w:szCs w:val="16"/>
        </w:rPr>
        <w:t>)</w:t>
      </w:r>
      <w:r w:rsidRPr="000F7138">
        <w:rPr>
          <w:sz w:val="16"/>
          <w:szCs w:val="16"/>
        </w:rPr>
        <w:t xml:space="preserve">, </w:t>
      </w:r>
      <w:r w:rsidRPr="00136FC4">
        <w:rPr>
          <w:sz w:val="16"/>
          <w:szCs w:val="16"/>
        </w:rPr>
        <w:t xml:space="preserve">Universal Postal Union </w:t>
      </w:r>
      <w:r>
        <w:rPr>
          <w:sz w:val="16"/>
          <w:szCs w:val="16"/>
        </w:rPr>
        <w:t>(</w:t>
      </w:r>
      <w:r w:rsidRPr="000F7138">
        <w:rPr>
          <w:sz w:val="16"/>
          <w:szCs w:val="16"/>
        </w:rPr>
        <w:t>UPU</w:t>
      </w:r>
      <w:r>
        <w:rPr>
          <w:sz w:val="16"/>
          <w:szCs w:val="16"/>
        </w:rPr>
        <w:t>)</w:t>
      </w:r>
      <w:r w:rsidRPr="000F7138">
        <w:rPr>
          <w:sz w:val="16"/>
          <w:szCs w:val="16"/>
        </w:rPr>
        <w:t xml:space="preserve"> and </w:t>
      </w:r>
      <w:r>
        <w:rPr>
          <w:sz w:val="16"/>
          <w:szCs w:val="16"/>
        </w:rPr>
        <w:t>World Meteorological Organization (</w:t>
      </w:r>
      <w:r w:rsidRPr="000F7138">
        <w:rPr>
          <w:sz w:val="16"/>
          <w:szCs w:val="16"/>
        </w:rPr>
        <w:t>WMO.</w:t>
      </w:r>
    </w:p>
  </w:footnote>
  <w:footnote w:id="15">
    <w:p w14:paraId="0ECD316B" w14:textId="479CF320" w:rsidR="00B1505B" w:rsidRPr="00BE4E4A" w:rsidRDefault="00B1505B" w:rsidP="00276BEE">
      <w:pPr>
        <w:pStyle w:val="FootnoteText"/>
        <w:rPr>
          <w:sz w:val="16"/>
          <w:szCs w:val="16"/>
        </w:rPr>
      </w:pPr>
      <w:r w:rsidRPr="003A1A1C">
        <w:rPr>
          <w:rStyle w:val="FootnoteReference"/>
          <w:sz w:val="16"/>
          <w:szCs w:val="16"/>
        </w:rPr>
        <w:footnoteRef/>
      </w:r>
      <w:r w:rsidRPr="003A1A1C">
        <w:rPr>
          <w:sz w:val="16"/>
          <w:szCs w:val="16"/>
        </w:rPr>
        <w:t xml:space="preserve"> </w:t>
      </w:r>
      <w:r w:rsidRPr="003A1A1C">
        <w:rPr>
          <w:sz w:val="16"/>
          <w:szCs w:val="16"/>
        </w:rPr>
        <w:tab/>
        <w:t xml:space="preserve">See document </w:t>
      </w:r>
      <w:hyperlink r:id="rId5" w:history="1">
        <w:r w:rsidRPr="007A0433">
          <w:rPr>
            <w:rStyle w:val="Hyperlink"/>
            <w:sz w:val="16"/>
            <w:szCs w:val="16"/>
          </w:rPr>
          <w:t>WO/CC/75/3</w:t>
        </w:r>
      </w:hyperlink>
      <w:r w:rsidRPr="00BE4E4A">
        <w:rPr>
          <w:rStyle w:val="Hyperlin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C038A" w14:textId="77777777" w:rsidR="005D3387" w:rsidRDefault="005D3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0B69" w14:textId="7C5131DE" w:rsidR="00B1505B" w:rsidRDefault="00B1505B" w:rsidP="00477D6B">
    <w:pPr>
      <w:jc w:val="right"/>
    </w:pPr>
    <w:bookmarkStart w:id="3" w:name="Code2"/>
    <w:bookmarkEnd w:id="3"/>
    <w:r>
      <w:t>WO/CC/82/INF/1</w:t>
    </w:r>
  </w:p>
  <w:p w14:paraId="39BF9403" w14:textId="1C978044" w:rsidR="00B1505B" w:rsidRDefault="00B1505B" w:rsidP="00477D6B">
    <w:pPr>
      <w:jc w:val="right"/>
    </w:pPr>
    <w:r>
      <w:t xml:space="preserve">page </w:t>
    </w:r>
    <w:r>
      <w:fldChar w:fldCharType="begin"/>
    </w:r>
    <w:r>
      <w:instrText xml:space="preserve"> PAGE  \* MERGEFORMAT </w:instrText>
    </w:r>
    <w:r>
      <w:fldChar w:fldCharType="separate"/>
    </w:r>
    <w:r w:rsidR="005D3387">
      <w:rPr>
        <w:noProof/>
      </w:rPr>
      <w:t>2</w:t>
    </w:r>
    <w:r>
      <w:fldChar w:fldCharType="end"/>
    </w:r>
  </w:p>
  <w:p w14:paraId="059DFAE7" w14:textId="77777777" w:rsidR="00B1505B" w:rsidRDefault="00B1505B" w:rsidP="00477D6B">
    <w:pPr>
      <w:jc w:val="right"/>
    </w:pPr>
  </w:p>
  <w:p w14:paraId="18AF3228" w14:textId="77777777" w:rsidR="00B1505B" w:rsidRDefault="00B1505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8DB1D" w14:textId="77777777" w:rsidR="005D3387" w:rsidRDefault="005D3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DC97" w14:textId="77777777" w:rsidR="004D200B" w:rsidRPr="004D200B" w:rsidRDefault="006B5EFA" w:rsidP="004D200B">
    <w:pPr>
      <w:jc w:val="right"/>
    </w:pPr>
    <w:r w:rsidRPr="004D200B">
      <w:t>WO/CC/82/INF/1</w:t>
    </w:r>
  </w:p>
  <w:p w14:paraId="672085F0" w14:textId="77777777" w:rsidR="004D200B" w:rsidRPr="004D200B" w:rsidRDefault="006B5EFA" w:rsidP="004D200B">
    <w:pPr>
      <w:jc w:val="right"/>
    </w:pPr>
    <w:r>
      <w:t>ANNEX</w:t>
    </w:r>
  </w:p>
  <w:p w14:paraId="65BF3668" w14:textId="77777777" w:rsidR="004D200B" w:rsidRDefault="005D3387" w:rsidP="0094367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79BA7" w14:textId="77777777" w:rsidR="004D200B" w:rsidRPr="004D200B" w:rsidRDefault="006B5EFA" w:rsidP="004D200B">
    <w:pPr>
      <w:jc w:val="right"/>
    </w:pPr>
    <w:r w:rsidRPr="004D200B">
      <w:t>WO/CC/82/INF/1</w:t>
    </w:r>
  </w:p>
  <w:p w14:paraId="2EFB19EE" w14:textId="77777777" w:rsidR="004D200B" w:rsidRPr="004D200B" w:rsidRDefault="006B5EFA" w:rsidP="004D200B">
    <w:pPr>
      <w:jc w:val="right"/>
    </w:pPr>
    <w:r>
      <w:t>ANNEX</w:t>
    </w:r>
  </w:p>
  <w:p w14:paraId="721E8524" w14:textId="77777777" w:rsidR="004D200B" w:rsidRDefault="005D33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5AE86" w14:textId="77777777" w:rsidR="0094367C" w:rsidRPr="004D200B" w:rsidRDefault="0094367C" w:rsidP="004D200B">
    <w:pPr>
      <w:jc w:val="right"/>
    </w:pPr>
    <w:r w:rsidRPr="004D200B">
      <w:t>WO/CC/82/INF/1</w:t>
    </w:r>
  </w:p>
  <w:p w14:paraId="54B506D9" w14:textId="38CC57F2" w:rsidR="0094367C" w:rsidRPr="004D200B" w:rsidRDefault="005D3387" w:rsidP="004D200B">
    <w:pPr>
      <w:jc w:val="right"/>
    </w:pPr>
    <w:r>
      <w:rPr>
        <w:lang w:val="fr-CH"/>
      </w:rPr>
      <w:t>Annex</w:t>
    </w:r>
    <w:r w:rsidR="0094367C" w:rsidRPr="0094367C">
      <w:rPr>
        <w:lang w:val="fr-CH"/>
      </w:rPr>
      <w:t>, page </w:t>
    </w:r>
    <w:sdt>
      <w:sdtPr>
        <w:rPr>
          <w:lang w:val="fr-CH"/>
        </w:rPr>
        <w:id w:val="-2144182622"/>
        <w:docPartObj>
          <w:docPartGallery w:val="Page Numbers (Top of Page)"/>
          <w:docPartUnique/>
        </w:docPartObj>
      </w:sdtPr>
      <w:sdtEndPr/>
      <w:sdtContent>
        <w:r w:rsidR="0094367C" w:rsidRPr="0094367C">
          <w:rPr>
            <w:lang w:val="fr-CH"/>
          </w:rPr>
          <w:fldChar w:fldCharType="begin"/>
        </w:r>
        <w:r w:rsidR="0094367C" w:rsidRPr="0094367C">
          <w:rPr>
            <w:lang w:val="fr-CH"/>
          </w:rPr>
          <w:instrText xml:space="preserve"> PAGE   \* MERGEFORMAT </w:instrText>
        </w:r>
        <w:r w:rsidR="0094367C" w:rsidRPr="0094367C">
          <w:rPr>
            <w:lang w:val="fr-CH"/>
          </w:rPr>
          <w:fldChar w:fldCharType="separate"/>
        </w:r>
        <w:r>
          <w:rPr>
            <w:noProof/>
            <w:lang w:val="fr-CH"/>
          </w:rPr>
          <w:t>3</w:t>
        </w:r>
        <w:r w:rsidR="0094367C" w:rsidRPr="0094367C">
          <w:fldChar w:fldCharType="end"/>
        </w:r>
      </w:sdtContent>
    </w:sdt>
  </w:p>
  <w:p w14:paraId="3FD48734" w14:textId="77777777" w:rsidR="0094367C" w:rsidRDefault="0094367C" w:rsidP="0094367C">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EA2F3" w14:textId="77777777" w:rsidR="0094367C" w:rsidRPr="004D200B" w:rsidRDefault="0094367C" w:rsidP="004D200B">
    <w:pPr>
      <w:jc w:val="right"/>
    </w:pPr>
    <w:r w:rsidRPr="004D200B">
      <w:t>WO/CC/82/INF/1</w:t>
    </w:r>
  </w:p>
  <w:p w14:paraId="315E0085" w14:textId="144CDE07" w:rsidR="0094367C" w:rsidRPr="004D200B" w:rsidRDefault="005D3387" w:rsidP="004D200B">
    <w:pPr>
      <w:jc w:val="right"/>
    </w:pPr>
    <w:r>
      <w:rPr>
        <w:lang w:val="fr-CH"/>
      </w:rPr>
      <w:t>Annex</w:t>
    </w:r>
    <w:r w:rsidR="0094367C" w:rsidRPr="0094367C">
      <w:rPr>
        <w:lang w:val="fr-CH"/>
      </w:rPr>
      <w:t>, page </w:t>
    </w:r>
    <w:sdt>
      <w:sdtPr>
        <w:rPr>
          <w:lang w:val="fr-CH"/>
        </w:rPr>
        <w:id w:val="777680776"/>
        <w:docPartObj>
          <w:docPartGallery w:val="Page Numbers (Top of Page)"/>
          <w:docPartUnique/>
        </w:docPartObj>
      </w:sdtPr>
      <w:sdtEndPr/>
      <w:sdtContent>
        <w:r w:rsidR="0094367C" w:rsidRPr="0094367C">
          <w:rPr>
            <w:lang w:val="fr-CH"/>
          </w:rPr>
          <w:fldChar w:fldCharType="begin"/>
        </w:r>
        <w:r w:rsidR="0094367C" w:rsidRPr="0094367C">
          <w:rPr>
            <w:lang w:val="fr-CH"/>
          </w:rPr>
          <w:instrText xml:space="preserve"> PAGE   \* MERGEFORMAT </w:instrText>
        </w:r>
        <w:r w:rsidR="0094367C" w:rsidRPr="0094367C">
          <w:rPr>
            <w:lang w:val="fr-CH"/>
          </w:rPr>
          <w:fldChar w:fldCharType="separate"/>
        </w:r>
        <w:r>
          <w:rPr>
            <w:noProof/>
            <w:lang w:val="fr-CH"/>
          </w:rPr>
          <w:t>2</w:t>
        </w:r>
        <w:r w:rsidR="0094367C" w:rsidRPr="0094367C">
          <w:fldChar w:fldCharType="end"/>
        </w:r>
      </w:sdtContent>
    </w:sdt>
  </w:p>
  <w:p w14:paraId="7E46C9A7" w14:textId="77777777" w:rsidR="0094367C" w:rsidRDefault="00943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3F946514"/>
    <w:lvl w:ilvl="0" w:tplc="2E76AEF8">
      <w:numFmt w:val="bullet"/>
      <w:lvlText w:val="-"/>
      <w:lvlJc w:val="left"/>
      <w:pPr>
        <w:ind w:left="900" w:hanging="360"/>
      </w:pPr>
      <w:rPr>
        <w:rFonts w:ascii="Arial" w:eastAsia="Times New Roman" w:hAnsi="Arial" w:cs="Aria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316EA2"/>
    <w:multiLevelType w:val="hybridMultilevel"/>
    <w:tmpl w:val="4B323A02"/>
    <w:lvl w:ilvl="0" w:tplc="0409000F">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6D6EDA"/>
    <w:multiLevelType w:val="hybridMultilevel"/>
    <w:tmpl w:val="0284DA9C"/>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67784"/>
    <w:multiLevelType w:val="hybridMultilevel"/>
    <w:tmpl w:val="27646BA8"/>
    <w:lvl w:ilvl="0" w:tplc="51C8BC1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6152B"/>
    <w:multiLevelType w:val="hybridMultilevel"/>
    <w:tmpl w:val="5C1ADB22"/>
    <w:lvl w:ilvl="0" w:tplc="37040FC6">
      <w:start w:val="1"/>
      <w:numFmt w:val="decimal"/>
      <w:lvlText w:val="%1."/>
      <w:lvlJc w:val="left"/>
      <w:pPr>
        <w:ind w:left="7290" w:hanging="360"/>
      </w:pPr>
      <w:rPr>
        <w:rFonts w:ascii="Arial" w:hAnsi="Arial" w:cs="Arial" w:hint="default"/>
        <w:b w:val="0"/>
        <w:i w:val="0"/>
        <w:sz w:val="22"/>
        <w:szCs w:val="22"/>
      </w:rPr>
    </w:lvl>
    <w:lvl w:ilvl="1" w:tplc="43487F66">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05A7502"/>
    <w:multiLevelType w:val="hybridMultilevel"/>
    <w:tmpl w:val="567C2F00"/>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515BD"/>
    <w:multiLevelType w:val="hybridMultilevel"/>
    <w:tmpl w:val="2BE0B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C1BEF"/>
    <w:multiLevelType w:val="hybridMultilevel"/>
    <w:tmpl w:val="C02A9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140723"/>
    <w:multiLevelType w:val="hybridMultilevel"/>
    <w:tmpl w:val="6EFE84AA"/>
    <w:lvl w:ilvl="0" w:tplc="0409000F">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37D1868"/>
    <w:multiLevelType w:val="hybridMultilevel"/>
    <w:tmpl w:val="948C2488"/>
    <w:lvl w:ilvl="0" w:tplc="EC889D7A">
      <w:start w:val="1"/>
      <w:numFmt w:val="decimal"/>
      <w:lvlText w:val="%1."/>
      <w:lvlJc w:val="left"/>
      <w:pPr>
        <w:tabs>
          <w:tab w:val="num" w:pos="720"/>
        </w:tabs>
        <w:ind w:left="720" w:hanging="360"/>
      </w:pPr>
      <w:rPr>
        <w:rFonts w:ascii="Arial" w:eastAsia="Times New Roman" w:hAnsi="Arial" w:cs="Arial"/>
      </w:rPr>
    </w:lvl>
    <w:lvl w:ilvl="1" w:tplc="36BC25B4">
      <w:start w:val="1"/>
      <w:numFmt w:val="bullet"/>
      <w:lvlText w:val="•"/>
      <w:lvlJc w:val="left"/>
      <w:pPr>
        <w:tabs>
          <w:tab w:val="num" w:pos="1440"/>
        </w:tabs>
        <w:ind w:left="1440" w:hanging="360"/>
      </w:pPr>
      <w:rPr>
        <w:rFonts w:ascii="Arial" w:hAnsi="Arial" w:hint="default"/>
      </w:rPr>
    </w:lvl>
    <w:lvl w:ilvl="2" w:tplc="9CDE840C">
      <w:start w:val="4"/>
      <w:numFmt w:val="bullet"/>
      <w:lvlText w:val="-"/>
      <w:lvlJc w:val="left"/>
      <w:pPr>
        <w:ind w:left="2160" w:hanging="360"/>
      </w:pPr>
      <w:rPr>
        <w:rFonts w:ascii="Arial" w:eastAsia="Lucida Sans" w:hAnsi="Arial" w:cs="Arial" w:hint="default"/>
        <w:color w:val="auto"/>
      </w:rPr>
    </w:lvl>
    <w:lvl w:ilvl="3" w:tplc="8688B936" w:tentative="1">
      <w:start w:val="1"/>
      <w:numFmt w:val="bullet"/>
      <w:lvlText w:val="•"/>
      <w:lvlJc w:val="left"/>
      <w:pPr>
        <w:tabs>
          <w:tab w:val="num" w:pos="2880"/>
        </w:tabs>
        <w:ind w:left="2880" w:hanging="360"/>
      </w:pPr>
      <w:rPr>
        <w:rFonts w:ascii="Arial" w:hAnsi="Arial" w:hint="default"/>
      </w:rPr>
    </w:lvl>
    <w:lvl w:ilvl="4" w:tplc="BDCE2122" w:tentative="1">
      <w:start w:val="1"/>
      <w:numFmt w:val="bullet"/>
      <w:lvlText w:val="•"/>
      <w:lvlJc w:val="left"/>
      <w:pPr>
        <w:tabs>
          <w:tab w:val="num" w:pos="3600"/>
        </w:tabs>
        <w:ind w:left="3600" w:hanging="360"/>
      </w:pPr>
      <w:rPr>
        <w:rFonts w:ascii="Arial" w:hAnsi="Arial" w:hint="default"/>
      </w:rPr>
    </w:lvl>
    <w:lvl w:ilvl="5" w:tplc="62C225C8" w:tentative="1">
      <w:start w:val="1"/>
      <w:numFmt w:val="bullet"/>
      <w:lvlText w:val="•"/>
      <w:lvlJc w:val="left"/>
      <w:pPr>
        <w:tabs>
          <w:tab w:val="num" w:pos="4320"/>
        </w:tabs>
        <w:ind w:left="4320" w:hanging="360"/>
      </w:pPr>
      <w:rPr>
        <w:rFonts w:ascii="Arial" w:hAnsi="Arial" w:hint="default"/>
      </w:rPr>
    </w:lvl>
    <w:lvl w:ilvl="6" w:tplc="DF94E6A0" w:tentative="1">
      <w:start w:val="1"/>
      <w:numFmt w:val="bullet"/>
      <w:lvlText w:val="•"/>
      <w:lvlJc w:val="left"/>
      <w:pPr>
        <w:tabs>
          <w:tab w:val="num" w:pos="5040"/>
        </w:tabs>
        <w:ind w:left="5040" w:hanging="360"/>
      </w:pPr>
      <w:rPr>
        <w:rFonts w:ascii="Arial" w:hAnsi="Arial" w:hint="default"/>
      </w:rPr>
    </w:lvl>
    <w:lvl w:ilvl="7" w:tplc="1AE898A2" w:tentative="1">
      <w:start w:val="1"/>
      <w:numFmt w:val="bullet"/>
      <w:lvlText w:val="•"/>
      <w:lvlJc w:val="left"/>
      <w:pPr>
        <w:tabs>
          <w:tab w:val="num" w:pos="5760"/>
        </w:tabs>
        <w:ind w:left="5760" w:hanging="360"/>
      </w:pPr>
      <w:rPr>
        <w:rFonts w:ascii="Arial" w:hAnsi="Arial" w:hint="default"/>
      </w:rPr>
    </w:lvl>
    <w:lvl w:ilvl="8" w:tplc="F8DCA9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4C134B"/>
    <w:multiLevelType w:val="hybridMultilevel"/>
    <w:tmpl w:val="990005F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11236CB"/>
    <w:multiLevelType w:val="hybridMultilevel"/>
    <w:tmpl w:val="FF4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85DC6"/>
    <w:multiLevelType w:val="hybridMultilevel"/>
    <w:tmpl w:val="2E56EBEA"/>
    <w:lvl w:ilvl="0" w:tplc="345AB3AA">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7B0277"/>
    <w:multiLevelType w:val="hybridMultilevel"/>
    <w:tmpl w:val="9D704014"/>
    <w:lvl w:ilvl="0" w:tplc="21B6ADFC">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82483"/>
    <w:multiLevelType w:val="hybridMultilevel"/>
    <w:tmpl w:val="F12A8076"/>
    <w:lvl w:ilvl="0" w:tplc="9FD64494">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C1360CE"/>
    <w:multiLevelType w:val="hybridMultilevel"/>
    <w:tmpl w:val="E8C6A37C"/>
    <w:lvl w:ilvl="0" w:tplc="9CDE840C">
      <w:start w:val="4"/>
      <w:numFmt w:val="bullet"/>
      <w:lvlText w:val="-"/>
      <w:lvlJc w:val="left"/>
      <w:pPr>
        <w:ind w:left="1287" w:hanging="360"/>
      </w:pPr>
      <w:rPr>
        <w:rFonts w:ascii="Arial" w:eastAsia="Lucida Sans" w:hAnsi="Arial" w:cs="Aria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714F4F"/>
    <w:multiLevelType w:val="hybridMultilevel"/>
    <w:tmpl w:val="7C1E12DA"/>
    <w:lvl w:ilvl="0" w:tplc="21B6ADFC">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435BF7"/>
    <w:multiLevelType w:val="hybridMultilevel"/>
    <w:tmpl w:val="9D8ED69C"/>
    <w:lvl w:ilvl="0" w:tplc="04090005">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8" w15:restartNumberingAfterBreak="0">
    <w:nsid w:val="5AF52738"/>
    <w:multiLevelType w:val="hybridMultilevel"/>
    <w:tmpl w:val="9F029EB0"/>
    <w:lvl w:ilvl="0" w:tplc="04090001">
      <w:start w:val="1"/>
      <w:numFmt w:val="bullet"/>
      <w:lvlText w:val=""/>
      <w:lvlJc w:val="left"/>
      <w:pPr>
        <w:ind w:left="927" w:hanging="360"/>
      </w:pPr>
      <w:rPr>
        <w:rFonts w:ascii="Symbol" w:hAnsi="Symbol" w:hint="default"/>
        <w:i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D362BD0"/>
    <w:multiLevelType w:val="hybridMultilevel"/>
    <w:tmpl w:val="2AAC742A"/>
    <w:lvl w:ilvl="0" w:tplc="51C8BC16">
      <w:numFmt w:val="bullet"/>
      <w:lvlText w:val="-"/>
      <w:lvlJc w:val="left"/>
      <w:pPr>
        <w:ind w:left="360" w:hanging="360"/>
      </w:pPr>
      <w:rPr>
        <w:rFonts w:ascii="Calibri" w:eastAsiaTheme="minorEastAsia" w:hAnsi="Calibri"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35B6F8D"/>
    <w:multiLevelType w:val="hybridMultilevel"/>
    <w:tmpl w:val="6D84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72EA8"/>
    <w:multiLevelType w:val="hybridMultilevel"/>
    <w:tmpl w:val="44749FEC"/>
    <w:lvl w:ilvl="0" w:tplc="33C09262">
      <w:start w:val="1"/>
      <w:numFmt w:val="bullet"/>
      <w:lvlText w:val="•"/>
      <w:lvlJc w:val="left"/>
      <w:pPr>
        <w:tabs>
          <w:tab w:val="num" w:pos="1293"/>
        </w:tabs>
        <w:ind w:left="1293" w:hanging="360"/>
      </w:pPr>
      <w:rPr>
        <w:rFonts w:ascii="Arial" w:hAnsi="Arial"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32" w15:restartNumberingAfterBreak="0">
    <w:nsid w:val="689276E9"/>
    <w:multiLevelType w:val="hybridMultilevel"/>
    <w:tmpl w:val="577826A8"/>
    <w:lvl w:ilvl="0" w:tplc="51C8BC16">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E0C1531"/>
    <w:multiLevelType w:val="hybridMultilevel"/>
    <w:tmpl w:val="766C99F4"/>
    <w:lvl w:ilvl="0" w:tplc="33C09262">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614AE9"/>
    <w:multiLevelType w:val="hybridMultilevel"/>
    <w:tmpl w:val="9920D08A"/>
    <w:lvl w:ilvl="0" w:tplc="13E4949C">
      <w:start w:val="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A7FC6"/>
    <w:multiLevelType w:val="hybridMultilevel"/>
    <w:tmpl w:val="0B38D372"/>
    <w:lvl w:ilvl="0" w:tplc="1F1E3E78">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D043F"/>
    <w:multiLevelType w:val="hybridMultilevel"/>
    <w:tmpl w:val="F56A9A46"/>
    <w:lvl w:ilvl="0" w:tplc="617C369A">
      <w:start w:val="1"/>
      <w:numFmt w:val="upperRoman"/>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D5006"/>
    <w:multiLevelType w:val="hybridMultilevel"/>
    <w:tmpl w:val="E544EAB8"/>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0"/>
  </w:num>
  <w:num w:numId="4">
    <w:abstractNumId w:val="25"/>
  </w:num>
  <w:num w:numId="5">
    <w:abstractNumId w:val="3"/>
  </w:num>
  <w:num w:numId="6">
    <w:abstractNumId w:val="16"/>
  </w:num>
  <w:num w:numId="7">
    <w:abstractNumId w:val="5"/>
  </w:num>
  <w:num w:numId="8">
    <w:abstractNumId w:val="10"/>
  </w:num>
  <w:num w:numId="9">
    <w:abstractNumId w:val="13"/>
  </w:num>
  <w:num w:numId="10">
    <w:abstractNumId w:val="36"/>
  </w:num>
  <w:num w:numId="11">
    <w:abstractNumId w:val="37"/>
  </w:num>
  <w:num w:numId="12">
    <w:abstractNumId w:val="8"/>
  </w:num>
  <w:num w:numId="13">
    <w:abstractNumId w:val="7"/>
  </w:num>
  <w:num w:numId="14">
    <w:abstractNumId w:val="23"/>
  </w:num>
  <w:num w:numId="15">
    <w:abstractNumId w:val="1"/>
  </w:num>
  <w:num w:numId="16">
    <w:abstractNumId w:val="17"/>
  </w:num>
  <w:num w:numId="17">
    <w:abstractNumId w:val="33"/>
  </w:num>
  <w:num w:numId="18">
    <w:abstractNumId w:val="3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14"/>
  </w:num>
  <w:num w:numId="23">
    <w:abstractNumId w:val="27"/>
  </w:num>
  <w:num w:numId="24">
    <w:abstractNumId w:val="28"/>
  </w:num>
  <w:num w:numId="25">
    <w:abstractNumId w:val="26"/>
  </w:num>
  <w:num w:numId="26">
    <w:abstractNumId w:val="21"/>
  </w:num>
  <w:num w:numId="27">
    <w:abstractNumId w:val="35"/>
  </w:num>
  <w:num w:numId="28">
    <w:abstractNumId w:val="20"/>
  </w:num>
  <w:num w:numId="29">
    <w:abstractNumId w:val="34"/>
  </w:num>
  <w:num w:numId="30">
    <w:abstractNumId w:val="2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5"/>
  </w:num>
  <w:num w:numId="34">
    <w:abstractNumId w:val="2"/>
  </w:num>
  <w:num w:numId="35">
    <w:abstractNumId w:val="4"/>
  </w:num>
  <w:num w:numId="36">
    <w:abstractNumId w:val="30"/>
  </w:num>
  <w:num w:numId="37">
    <w:abstractNumId w:val="6"/>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3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EE"/>
    <w:rsid w:val="000027AB"/>
    <w:rsid w:val="00015310"/>
    <w:rsid w:val="000154B3"/>
    <w:rsid w:val="00015EE4"/>
    <w:rsid w:val="000169BF"/>
    <w:rsid w:val="00023A7E"/>
    <w:rsid w:val="00026035"/>
    <w:rsid w:val="00032170"/>
    <w:rsid w:val="00042512"/>
    <w:rsid w:val="00043CAA"/>
    <w:rsid w:val="000515F0"/>
    <w:rsid w:val="00051A08"/>
    <w:rsid w:val="000542F5"/>
    <w:rsid w:val="000545EB"/>
    <w:rsid w:val="00056816"/>
    <w:rsid w:val="0006560C"/>
    <w:rsid w:val="00067641"/>
    <w:rsid w:val="00072A3B"/>
    <w:rsid w:val="00075432"/>
    <w:rsid w:val="00077B3B"/>
    <w:rsid w:val="00077CFB"/>
    <w:rsid w:val="000837DF"/>
    <w:rsid w:val="0008507D"/>
    <w:rsid w:val="00087A56"/>
    <w:rsid w:val="00096048"/>
    <w:rsid w:val="000962E3"/>
    <w:rsid w:val="000968ED"/>
    <w:rsid w:val="00097394"/>
    <w:rsid w:val="000A0CFB"/>
    <w:rsid w:val="000A123E"/>
    <w:rsid w:val="000A15D2"/>
    <w:rsid w:val="000A3D97"/>
    <w:rsid w:val="000A3DDA"/>
    <w:rsid w:val="000A5818"/>
    <w:rsid w:val="000B69C4"/>
    <w:rsid w:val="000C1B69"/>
    <w:rsid w:val="000C1FA6"/>
    <w:rsid w:val="000C67B1"/>
    <w:rsid w:val="000D692F"/>
    <w:rsid w:val="000E030E"/>
    <w:rsid w:val="000E17BC"/>
    <w:rsid w:val="000E1ED4"/>
    <w:rsid w:val="000E21C9"/>
    <w:rsid w:val="000E2F40"/>
    <w:rsid w:val="000F35C7"/>
    <w:rsid w:val="000F4617"/>
    <w:rsid w:val="000F5E56"/>
    <w:rsid w:val="000F7138"/>
    <w:rsid w:val="00100FFF"/>
    <w:rsid w:val="001040D3"/>
    <w:rsid w:val="00107377"/>
    <w:rsid w:val="00107852"/>
    <w:rsid w:val="001114DA"/>
    <w:rsid w:val="00111FC4"/>
    <w:rsid w:val="00117369"/>
    <w:rsid w:val="001177C2"/>
    <w:rsid w:val="00120718"/>
    <w:rsid w:val="0012456C"/>
    <w:rsid w:val="00130647"/>
    <w:rsid w:val="00132C92"/>
    <w:rsid w:val="001354E8"/>
    <w:rsid w:val="001362EE"/>
    <w:rsid w:val="00136FC4"/>
    <w:rsid w:val="00141E1E"/>
    <w:rsid w:val="00144C74"/>
    <w:rsid w:val="00146E65"/>
    <w:rsid w:val="0015681B"/>
    <w:rsid w:val="00163789"/>
    <w:rsid w:val="001647D5"/>
    <w:rsid w:val="0016572C"/>
    <w:rsid w:val="00165B58"/>
    <w:rsid w:val="001678B5"/>
    <w:rsid w:val="001820D7"/>
    <w:rsid w:val="001832A6"/>
    <w:rsid w:val="00184F54"/>
    <w:rsid w:val="0018674A"/>
    <w:rsid w:val="001868C2"/>
    <w:rsid w:val="00186BC1"/>
    <w:rsid w:val="00187688"/>
    <w:rsid w:val="001921A8"/>
    <w:rsid w:val="001A30B1"/>
    <w:rsid w:val="001A39DD"/>
    <w:rsid w:val="001A5CA5"/>
    <w:rsid w:val="001A677B"/>
    <w:rsid w:val="001A6B4A"/>
    <w:rsid w:val="001B37E6"/>
    <w:rsid w:val="001B551B"/>
    <w:rsid w:val="001C5A06"/>
    <w:rsid w:val="001D0114"/>
    <w:rsid w:val="001D0448"/>
    <w:rsid w:val="001D3E6C"/>
    <w:rsid w:val="001D4107"/>
    <w:rsid w:val="001D5539"/>
    <w:rsid w:val="001D5ED8"/>
    <w:rsid w:val="001D6042"/>
    <w:rsid w:val="001E0434"/>
    <w:rsid w:val="001E1F57"/>
    <w:rsid w:val="001E737E"/>
    <w:rsid w:val="001F22A6"/>
    <w:rsid w:val="002033FD"/>
    <w:rsid w:val="002039D2"/>
    <w:rsid w:val="00203D24"/>
    <w:rsid w:val="00204CE8"/>
    <w:rsid w:val="00206246"/>
    <w:rsid w:val="0020718C"/>
    <w:rsid w:val="00210EA0"/>
    <w:rsid w:val="00211894"/>
    <w:rsid w:val="0021217E"/>
    <w:rsid w:val="00212CCB"/>
    <w:rsid w:val="002135AF"/>
    <w:rsid w:val="00214AC6"/>
    <w:rsid w:val="00217D05"/>
    <w:rsid w:val="00223875"/>
    <w:rsid w:val="0022398C"/>
    <w:rsid w:val="00230120"/>
    <w:rsid w:val="00232979"/>
    <w:rsid w:val="002332F3"/>
    <w:rsid w:val="002352B6"/>
    <w:rsid w:val="0023535B"/>
    <w:rsid w:val="00243430"/>
    <w:rsid w:val="002440AD"/>
    <w:rsid w:val="002473F6"/>
    <w:rsid w:val="002500E0"/>
    <w:rsid w:val="0025218F"/>
    <w:rsid w:val="0025436A"/>
    <w:rsid w:val="002606DC"/>
    <w:rsid w:val="00261566"/>
    <w:rsid w:val="002634C4"/>
    <w:rsid w:val="00273D0B"/>
    <w:rsid w:val="00276BEE"/>
    <w:rsid w:val="00280F51"/>
    <w:rsid w:val="00283BB3"/>
    <w:rsid w:val="00285AE0"/>
    <w:rsid w:val="002867CB"/>
    <w:rsid w:val="0028780F"/>
    <w:rsid w:val="00290326"/>
    <w:rsid w:val="002908B4"/>
    <w:rsid w:val="00290A31"/>
    <w:rsid w:val="002928D3"/>
    <w:rsid w:val="00295456"/>
    <w:rsid w:val="002A56CC"/>
    <w:rsid w:val="002B07C5"/>
    <w:rsid w:val="002B4139"/>
    <w:rsid w:val="002B7947"/>
    <w:rsid w:val="002C22EA"/>
    <w:rsid w:val="002C6A4A"/>
    <w:rsid w:val="002C6F7E"/>
    <w:rsid w:val="002D4A34"/>
    <w:rsid w:val="002D4A7E"/>
    <w:rsid w:val="002D581B"/>
    <w:rsid w:val="002D5F75"/>
    <w:rsid w:val="002D61BF"/>
    <w:rsid w:val="002E6AE4"/>
    <w:rsid w:val="002F1D8E"/>
    <w:rsid w:val="002F1FE6"/>
    <w:rsid w:val="002F2284"/>
    <w:rsid w:val="002F3711"/>
    <w:rsid w:val="002F4E68"/>
    <w:rsid w:val="00302F4B"/>
    <w:rsid w:val="00304FA5"/>
    <w:rsid w:val="0030610A"/>
    <w:rsid w:val="003064B2"/>
    <w:rsid w:val="003064C9"/>
    <w:rsid w:val="00307F91"/>
    <w:rsid w:val="00310EEA"/>
    <w:rsid w:val="003113A6"/>
    <w:rsid w:val="00311933"/>
    <w:rsid w:val="00312F7F"/>
    <w:rsid w:val="0031425E"/>
    <w:rsid w:val="00314F4B"/>
    <w:rsid w:val="00331EED"/>
    <w:rsid w:val="0033266C"/>
    <w:rsid w:val="0033417A"/>
    <w:rsid w:val="00334A88"/>
    <w:rsid w:val="00335166"/>
    <w:rsid w:val="00340B52"/>
    <w:rsid w:val="00342BA0"/>
    <w:rsid w:val="00347563"/>
    <w:rsid w:val="00347872"/>
    <w:rsid w:val="00350919"/>
    <w:rsid w:val="00350C15"/>
    <w:rsid w:val="00352708"/>
    <w:rsid w:val="003527C3"/>
    <w:rsid w:val="00353815"/>
    <w:rsid w:val="00353E28"/>
    <w:rsid w:val="003601D7"/>
    <w:rsid w:val="00361450"/>
    <w:rsid w:val="00361543"/>
    <w:rsid w:val="00364886"/>
    <w:rsid w:val="003673CF"/>
    <w:rsid w:val="00367EF3"/>
    <w:rsid w:val="00370083"/>
    <w:rsid w:val="0037763F"/>
    <w:rsid w:val="00380994"/>
    <w:rsid w:val="00382A45"/>
    <w:rsid w:val="003845C1"/>
    <w:rsid w:val="00390FE8"/>
    <w:rsid w:val="003978A5"/>
    <w:rsid w:val="003A6F89"/>
    <w:rsid w:val="003A7F20"/>
    <w:rsid w:val="003B38C1"/>
    <w:rsid w:val="003B67D0"/>
    <w:rsid w:val="003C0A60"/>
    <w:rsid w:val="003C21A3"/>
    <w:rsid w:val="003C34E9"/>
    <w:rsid w:val="003C3AB3"/>
    <w:rsid w:val="003C4E17"/>
    <w:rsid w:val="003C6752"/>
    <w:rsid w:val="003C67AA"/>
    <w:rsid w:val="003C6D5E"/>
    <w:rsid w:val="003C7668"/>
    <w:rsid w:val="003D1DC9"/>
    <w:rsid w:val="003D3207"/>
    <w:rsid w:val="003E33E4"/>
    <w:rsid w:val="003E4FCD"/>
    <w:rsid w:val="003E6687"/>
    <w:rsid w:val="003E79C1"/>
    <w:rsid w:val="003E7B31"/>
    <w:rsid w:val="003F2128"/>
    <w:rsid w:val="003F2936"/>
    <w:rsid w:val="003F2EBF"/>
    <w:rsid w:val="003F59EE"/>
    <w:rsid w:val="00402B1D"/>
    <w:rsid w:val="004032F6"/>
    <w:rsid w:val="00404DBA"/>
    <w:rsid w:val="00405E07"/>
    <w:rsid w:val="0040707C"/>
    <w:rsid w:val="0041327A"/>
    <w:rsid w:val="00420F4B"/>
    <w:rsid w:val="0042187A"/>
    <w:rsid w:val="00423E1D"/>
    <w:rsid w:val="00423E3E"/>
    <w:rsid w:val="00427AF4"/>
    <w:rsid w:val="00434709"/>
    <w:rsid w:val="00441BB7"/>
    <w:rsid w:val="00441EF3"/>
    <w:rsid w:val="004478EB"/>
    <w:rsid w:val="004513DC"/>
    <w:rsid w:val="00461421"/>
    <w:rsid w:val="00464380"/>
    <w:rsid w:val="004645D0"/>
    <w:rsid w:val="004647DA"/>
    <w:rsid w:val="004669B6"/>
    <w:rsid w:val="00467924"/>
    <w:rsid w:val="00467C25"/>
    <w:rsid w:val="004700C0"/>
    <w:rsid w:val="00472485"/>
    <w:rsid w:val="00473594"/>
    <w:rsid w:val="00474062"/>
    <w:rsid w:val="004749EB"/>
    <w:rsid w:val="00477228"/>
    <w:rsid w:val="00477829"/>
    <w:rsid w:val="00477D6B"/>
    <w:rsid w:val="00480905"/>
    <w:rsid w:val="00481263"/>
    <w:rsid w:val="00493095"/>
    <w:rsid w:val="004945EF"/>
    <w:rsid w:val="00496A23"/>
    <w:rsid w:val="004972F3"/>
    <w:rsid w:val="004A532B"/>
    <w:rsid w:val="004A6B2D"/>
    <w:rsid w:val="004A78CD"/>
    <w:rsid w:val="004B4261"/>
    <w:rsid w:val="004B4C7C"/>
    <w:rsid w:val="004B5851"/>
    <w:rsid w:val="004B6521"/>
    <w:rsid w:val="004B7D96"/>
    <w:rsid w:val="004C065D"/>
    <w:rsid w:val="004C121E"/>
    <w:rsid w:val="004C231F"/>
    <w:rsid w:val="004C41BA"/>
    <w:rsid w:val="004C4D8A"/>
    <w:rsid w:val="004C547B"/>
    <w:rsid w:val="004D17F6"/>
    <w:rsid w:val="004D274C"/>
    <w:rsid w:val="004E01DB"/>
    <w:rsid w:val="004E53F5"/>
    <w:rsid w:val="004E596D"/>
    <w:rsid w:val="004E71CF"/>
    <w:rsid w:val="004F101E"/>
    <w:rsid w:val="004F2106"/>
    <w:rsid w:val="004F2A8C"/>
    <w:rsid w:val="004F467D"/>
    <w:rsid w:val="004F6F5A"/>
    <w:rsid w:val="005019FF"/>
    <w:rsid w:val="00502AD3"/>
    <w:rsid w:val="00502F29"/>
    <w:rsid w:val="00507450"/>
    <w:rsid w:val="005103D9"/>
    <w:rsid w:val="0051078A"/>
    <w:rsid w:val="00510978"/>
    <w:rsid w:val="005122B1"/>
    <w:rsid w:val="00512E2C"/>
    <w:rsid w:val="00514382"/>
    <w:rsid w:val="0051741E"/>
    <w:rsid w:val="005214BB"/>
    <w:rsid w:val="0052195F"/>
    <w:rsid w:val="00521AE1"/>
    <w:rsid w:val="00521CAB"/>
    <w:rsid w:val="00522272"/>
    <w:rsid w:val="00522816"/>
    <w:rsid w:val="00523904"/>
    <w:rsid w:val="0053057A"/>
    <w:rsid w:val="00537F5C"/>
    <w:rsid w:val="00541F48"/>
    <w:rsid w:val="00541FD1"/>
    <w:rsid w:val="00543125"/>
    <w:rsid w:val="005456E2"/>
    <w:rsid w:val="00546352"/>
    <w:rsid w:val="00546BC6"/>
    <w:rsid w:val="00547C39"/>
    <w:rsid w:val="0055266C"/>
    <w:rsid w:val="00556076"/>
    <w:rsid w:val="00560A29"/>
    <w:rsid w:val="0056236C"/>
    <w:rsid w:val="005645E2"/>
    <w:rsid w:val="0056540E"/>
    <w:rsid w:val="00570DC1"/>
    <w:rsid w:val="005723BE"/>
    <w:rsid w:val="00577B96"/>
    <w:rsid w:val="00581D81"/>
    <w:rsid w:val="00582C03"/>
    <w:rsid w:val="00583A62"/>
    <w:rsid w:val="00583E64"/>
    <w:rsid w:val="00584F2A"/>
    <w:rsid w:val="00593114"/>
    <w:rsid w:val="005A275D"/>
    <w:rsid w:val="005A2909"/>
    <w:rsid w:val="005A6514"/>
    <w:rsid w:val="005A7935"/>
    <w:rsid w:val="005B17FA"/>
    <w:rsid w:val="005B187A"/>
    <w:rsid w:val="005B24A1"/>
    <w:rsid w:val="005B44D8"/>
    <w:rsid w:val="005B5982"/>
    <w:rsid w:val="005B640C"/>
    <w:rsid w:val="005B7650"/>
    <w:rsid w:val="005C19FD"/>
    <w:rsid w:val="005C2B54"/>
    <w:rsid w:val="005C6649"/>
    <w:rsid w:val="005D0E2C"/>
    <w:rsid w:val="005D3387"/>
    <w:rsid w:val="005D4D49"/>
    <w:rsid w:val="005D572E"/>
    <w:rsid w:val="005D5BFE"/>
    <w:rsid w:val="005E1A56"/>
    <w:rsid w:val="005E2AB8"/>
    <w:rsid w:val="005E7253"/>
    <w:rsid w:val="005F030F"/>
    <w:rsid w:val="005F152C"/>
    <w:rsid w:val="005F1971"/>
    <w:rsid w:val="005F4179"/>
    <w:rsid w:val="005F5DDE"/>
    <w:rsid w:val="005F61E4"/>
    <w:rsid w:val="005F7CAB"/>
    <w:rsid w:val="0060009D"/>
    <w:rsid w:val="00603B76"/>
    <w:rsid w:val="00605827"/>
    <w:rsid w:val="0060728F"/>
    <w:rsid w:val="00607E7F"/>
    <w:rsid w:val="00610C7D"/>
    <w:rsid w:val="00610D4C"/>
    <w:rsid w:val="006127AB"/>
    <w:rsid w:val="00612A5C"/>
    <w:rsid w:val="006175F3"/>
    <w:rsid w:val="006221A7"/>
    <w:rsid w:val="00623B13"/>
    <w:rsid w:val="00633435"/>
    <w:rsid w:val="00633917"/>
    <w:rsid w:val="00644DB2"/>
    <w:rsid w:val="006453EE"/>
    <w:rsid w:val="00646050"/>
    <w:rsid w:val="006556ED"/>
    <w:rsid w:val="006572D4"/>
    <w:rsid w:val="00670F4F"/>
    <w:rsid w:val="00670F7B"/>
    <w:rsid w:val="00671213"/>
    <w:rsid w:val="006713CA"/>
    <w:rsid w:val="00676C5C"/>
    <w:rsid w:val="00681AC9"/>
    <w:rsid w:val="0068636F"/>
    <w:rsid w:val="006909EA"/>
    <w:rsid w:val="00692D45"/>
    <w:rsid w:val="00692D98"/>
    <w:rsid w:val="00692F15"/>
    <w:rsid w:val="00694789"/>
    <w:rsid w:val="00695A3B"/>
    <w:rsid w:val="006A3645"/>
    <w:rsid w:val="006A4D2A"/>
    <w:rsid w:val="006A66A5"/>
    <w:rsid w:val="006B02A1"/>
    <w:rsid w:val="006B2351"/>
    <w:rsid w:val="006B276A"/>
    <w:rsid w:val="006B5EFA"/>
    <w:rsid w:val="006C1C57"/>
    <w:rsid w:val="006C601A"/>
    <w:rsid w:val="006C771D"/>
    <w:rsid w:val="006D095A"/>
    <w:rsid w:val="006D3834"/>
    <w:rsid w:val="006D3E19"/>
    <w:rsid w:val="006D41E0"/>
    <w:rsid w:val="006E1516"/>
    <w:rsid w:val="006E17D4"/>
    <w:rsid w:val="006E46F9"/>
    <w:rsid w:val="006F1F12"/>
    <w:rsid w:val="006F2755"/>
    <w:rsid w:val="006F6F83"/>
    <w:rsid w:val="00702D9D"/>
    <w:rsid w:val="00705756"/>
    <w:rsid w:val="00707DB3"/>
    <w:rsid w:val="007113E6"/>
    <w:rsid w:val="0071360B"/>
    <w:rsid w:val="00716033"/>
    <w:rsid w:val="00716788"/>
    <w:rsid w:val="00720EFD"/>
    <w:rsid w:val="00725C8C"/>
    <w:rsid w:val="00726C8A"/>
    <w:rsid w:val="0072762D"/>
    <w:rsid w:val="00732839"/>
    <w:rsid w:val="007450B4"/>
    <w:rsid w:val="00750BFE"/>
    <w:rsid w:val="007626FF"/>
    <w:rsid w:val="007628F7"/>
    <w:rsid w:val="00764616"/>
    <w:rsid w:val="007717A2"/>
    <w:rsid w:val="00773265"/>
    <w:rsid w:val="007758BC"/>
    <w:rsid w:val="00780095"/>
    <w:rsid w:val="00782A54"/>
    <w:rsid w:val="00782D4E"/>
    <w:rsid w:val="007877F7"/>
    <w:rsid w:val="00787BC1"/>
    <w:rsid w:val="00791D76"/>
    <w:rsid w:val="00793A7C"/>
    <w:rsid w:val="00794F67"/>
    <w:rsid w:val="00795BAB"/>
    <w:rsid w:val="00796FE2"/>
    <w:rsid w:val="00797571"/>
    <w:rsid w:val="007A1B25"/>
    <w:rsid w:val="007A398A"/>
    <w:rsid w:val="007A5530"/>
    <w:rsid w:val="007A63D3"/>
    <w:rsid w:val="007A6E81"/>
    <w:rsid w:val="007B028B"/>
    <w:rsid w:val="007B3730"/>
    <w:rsid w:val="007B4376"/>
    <w:rsid w:val="007C0136"/>
    <w:rsid w:val="007C762A"/>
    <w:rsid w:val="007D14CD"/>
    <w:rsid w:val="007D1613"/>
    <w:rsid w:val="007D3914"/>
    <w:rsid w:val="007E1C27"/>
    <w:rsid w:val="007E20EE"/>
    <w:rsid w:val="007E348B"/>
    <w:rsid w:val="007E4C0E"/>
    <w:rsid w:val="007E7601"/>
    <w:rsid w:val="007F1DFB"/>
    <w:rsid w:val="007F28BC"/>
    <w:rsid w:val="007F2F02"/>
    <w:rsid w:val="007F6F1B"/>
    <w:rsid w:val="008045ED"/>
    <w:rsid w:val="008056A5"/>
    <w:rsid w:val="00812E41"/>
    <w:rsid w:val="008144D9"/>
    <w:rsid w:val="0081524F"/>
    <w:rsid w:val="00817DFA"/>
    <w:rsid w:val="00820042"/>
    <w:rsid w:val="00823332"/>
    <w:rsid w:val="0082705D"/>
    <w:rsid w:val="008308B9"/>
    <w:rsid w:val="00832028"/>
    <w:rsid w:val="00833CBF"/>
    <w:rsid w:val="00834B65"/>
    <w:rsid w:val="00834EC4"/>
    <w:rsid w:val="00835D5F"/>
    <w:rsid w:val="00836086"/>
    <w:rsid w:val="008372A5"/>
    <w:rsid w:val="00841455"/>
    <w:rsid w:val="00843039"/>
    <w:rsid w:val="008501CC"/>
    <w:rsid w:val="00852556"/>
    <w:rsid w:val="008526F8"/>
    <w:rsid w:val="00852706"/>
    <w:rsid w:val="00856F13"/>
    <w:rsid w:val="00861373"/>
    <w:rsid w:val="008625D0"/>
    <w:rsid w:val="00864B91"/>
    <w:rsid w:val="008672F1"/>
    <w:rsid w:val="00875B1E"/>
    <w:rsid w:val="0087681F"/>
    <w:rsid w:val="008772BF"/>
    <w:rsid w:val="00880A7C"/>
    <w:rsid w:val="00880D97"/>
    <w:rsid w:val="00881EE0"/>
    <w:rsid w:val="008854EA"/>
    <w:rsid w:val="00890069"/>
    <w:rsid w:val="00892E93"/>
    <w:rsid w:val="0089407C"/>
    <w:rsid w:val="0089478B"/>
    <w:rsid w:val="00895F39"/>
    <w:rsid w:val="00896553"/>
    <w:rsid w:val="0089705F"/>
    <w:rsid w:val="008974D8"/>
    <w:rsid w:val="008A134B"/>
    <w:rsid w:val="008A21E7"/>
    <w:rsid w:val="008A650A"/>
    <w:rsid w:val="008A70B1"/>
    <w:rsid w:val="008A77C7"/>
    <w:rsid w:val="008B1CF7"/>
    <w:rsid w:val="008B2CC1"/>
    <w:rsid w:val="008B3553"/>
    <w:rsid w:val="008B60B2"/>
    <w:rsid w:val="008C0743"/>
    <w:rsid w:val="008C07D1"/>
    <w:rsid w:val="008C7E22"/>
    <w:rsid w:val="008D32E3"/>
    <w:rsid w:val="008D35D9"/>
    <w:rsid w:val="008D4E7A"/>
    <w:rsid w:val="008D50BD"/>
    <w:rsid w:val="008D5F74"/>
    <w:rsid w:val="008D67A9"/>
    <w:rsid w:val="008E3C6F"/>
    <w:rsid w:val="008E4851"/>
    <w:rsid w:val="008E5CEC"/>
    <w:rsid w:val="008F359F"/>
    <w:rsid w:val="008F6530"/>
    <w:rsid w:val="008F79EE"/>
    <w:rsid w:val="00904EB3"/>
    <w:rsid w:val="00907270"/>
    <w:rsid w:val="0090731E"/>
    <w:rsid w:val="0091035B"/>
    <w:rsid w:val="009118DE"/>
    <w:rsid w:val="00914689"/>
    <w:rsid w:val="009146BC"/>
    <w:rsid w:val="0091585B"/>
    <w:rsid w:val="00916EE2"/>
    <w:rsid w:val="00920EFC"/>
    <w:rsid w:val="00922D22"/>
    <w:rsid w:val="00925BF5"/>
    <w:rsid w:val="0092748B"/>
    <w:rsid w:val="00927705"/>
    <w:rsid w:val="00930042"/>
    <w:rsid w:val="00930667"/>
    <w:rsid w:val="00930754"/>
    <w:rsid w:val="00930D37"/>
    <w:rsid w:val="0093274F"/>
    <w:rsid w:val="0093323B"/>
    <w:rsid w:val="00934963"/>
    <w:rsid w:val="00935BAC"/>
    <w:rsid w:val="009411B7"/>
    <w:rsid w:val="0094367C"/>
    <w:rsid w:val="009442DC"/>
    <w:rsid w:val="0095207D"/>
    <w:rsid w:val="00953218"/>
    <w:rsid w:val="00954CB8"/>
    <w:rsid w:val="00956E1C"/>
    <w:rsid w:val="00961108"/>
    <w:rsid w:val="00966002"/>
    <w:rsid w:val="00966A22"/>
    <w:rsid w:val="0096722F"/>
    <w:rsid w:val="00980843"/>
    <w:rsid w:val="00983077"/>
    <w:rsid w:val="00983145"/>
    <w:rsid w:val="00983386"/>
    <w:rsid w:val="00986003"/>
    <w:rsid w:val="00986583"/>
    <w:rsid w:val="00986A17"/>
    <w:rsid w:val="00987184"/>
    <w:rsid w:val="00987ED6"/>
    <w:rsid w:val="0099097D"/>
    <w:rsid w:val="009955FA"/>
    <w:rsid w:val="00997DE5"/>
    <w:rsid w:val="009A126E"/>
    <w:rsid w:val="009A4B04"/>
    <w:rsid w:val="009A57AC"/>
    <w:rsid w:val="009A782F"/>
    <w:rsid w:val="009A7D28"/>
    <w:rsid w:val="009B0B74"/>
    <w:rsid w:val="009B158A"/>
    <w:rsid w:val="009B19E4"/>
    <w:rsid w:val="009B1D1C"/>
    <w:rsid w:val="009B7419"/>
    <w:rsid w:val="009B78CD"/>
    <w:rsid w:val="009C16FB"/>
    <w:rsid w:val="009C4207"/>
    <w:rsid w:val="009C746B"/>
    <w:rsid w:val="009D0322"/>
    <w:rsid w:val="009D0B20"/>
    <w:rsid w:val="009E2791"/>
    <w:rsid w:val="009E3AFE"/>
    <w:rsid w:val="009E3F6F"/>
    <w:rsid w:val="009F1671"/>
    <w:rsid w:val="009F16D1"/>
    <w:rsid w:val="009F499F"/>
    <w:rsid w:val="009F6985"/>
    <w:rsid w:val="009F7AB3"/>
    <w:rsid w:val="00A01479"/>
    <w:rsid w:val="00A0230F"/>
    <w:rsid w:val="00A15838"/>
    <w:rsid w:val="00A17D90"/>
    <w:rsid w:val="00A21361"/>
    <w:rsid w:val="00A219E4"/>
    <w:rsid w:val="00A30674"/>
    <w:rsid w:val="00A3316D"/>
    <w:rsid w:val="00A35865"/>
    <w:rsid w:val="00A363F5"/>
    <w:rsid w:val="00A37342"/>
    <w:rsid w:val="00A42DAF"/>
    <w:rsid w:val="00A434B6"/>
    <w:rsid w:val="00A45BD8"/>
    <w:rsid w:val="00A5025C"/>
    <w:rsid w:val="00A503BE"/>
    <w:rsid w:val="00A60098"/>
    <w:rsid w:val="00A61B67"/>
    <w:rsid w:val="00A65C9B"/>
    <w:rsid w:val="00A6710D"/>
    <w:rsid w:val="00A677F2"/>
    <w:rsid w:val="00A67D93"/>
    <w:rsid w:val="00A71797"/>
    <w:rsid w:val="00A825F9"/>
    <w:rsid w:val="00A82B1C"/>
    <w:rsid w:val="00A834FF"/>
    <w:rsid w:val="00A83B4C"/>
    <w:rsid w:val="00A855E5"/>
    <w:rsid w:val="00A869B7"/>
    <w:rsid w:val="00A932C1"/>
    <w:rsid w:val="00A97766"/>
    <w:rsid w:val="00AA05DF"/>
    <w:rsid w:val="00AA668E"/>
    <w:rsid w:val="00AB2E8D"/>
    <w:rsid w:val="00AB6A66"/>
    <w:rsid w:val="00AC07A8"/>
    <w:rsid w:val="00AC1A26"/>
    <w:rsid w:val="00AC205C"/>
    <w:rsid w:val="00AC4C0E"/>
    <w:rsid w:val="00AC5F3D"/>
    <w:rsid w:val="00AD148F"/>
    <w:rsid w:val="00AD3B1F"/>
    <w:rsid w:val="00AE4BF4"/>
    <w:rsid w:val="00AE7470"/>
    <w:rsid w:val="00AE79A9"/>
    <w:rsid w:val="00AF0A6B"/>
    <w:rsid w:val="00AF14C1"/>
    <w:rsid w:val="00AF1AFC"/>
    <w:rsid w:val="00AF6C92"/>
    <w:rsid w:val="00B034D1"/>
    <w:rsid w:val="00B05357"/>
    <w:rsid w:val="00B05A69"/>
    <w:rsid w:val="00B05B0A"/>
    <w:rsid w:val="00B06BF9"/>
    <w:rsid w:val="00B07D1B"/>
    <w:rsid w:val="00B1060E"/>
    <w:rsid w:val="00B1061A"/>
    <w:rsid w:val="00B12514"/>
    <w:rsid w:val="00B14AA1"/>
    <w:rsid w:val="00B1505B"/>
    <w:rsid w:val="00B240AC"/>
    <w:rsid w:val="00B2584C"/>
    <w:rsid w:val="00B33AA7"/>
    <w:rsid w:val="00B35EC2"/>
    <w:rsid w:val="00B36D9A"/>
    <w:rsid w:val="00B43D29"/>
    <w:rsid w:val="00B520B0"/>
    <w:rsid w:val="00B557FE"/>
    <w:rsid w:val="00B56C3F"/>
    <w:rsid w:val="00B56EA8"/>
    <w:rsid w:val="00B60965"/>
    <w:rsid w:val="00B643E3"/>
    <w:rsid w:val="00B66D58"/>
    <w:rsid w:val="00B7196C"/>
    <w:rsid w:val="00B73502"/>
    <w:rsid w:val="00B75281"/>
    <w:rsid w:val="00B8006D"/>
    <w:rsid w:val="00B80EA8"/>
    <w:rsid w:val="00B811CD"/>
    <w:rsid w:val="00B853B4"/>
    <w:rsid w:val="00B90E72"/>
    <w:rsid w:val="00B92F1F"/>
    <w:rsid w:val="00B9734B"/>
    <w:rsid w:val="00BA0737"/>
    <w:rsid w:val="00BA1639"/>
    <w:rsid w:val="00BA2E32"/>
    <w:rsid w:val="00BA30E2"/>
    <w:rsid w:val="00BA7C6B"/>
    <w:rsid w:val="00BB4946"/>
    <w:rsid w:val="00BC0A14"/>
    <w:rsid w:val="00BC481A"/>
    <w:rsid w:val="00BC7110"/>
    <w:rsid w:val="00BD0BDB"/>
    <w:rsid w:val="00BD2169"/>
    <w:rsid w:val="00BD295B"/>
    <w:rsid w:val="00BE011E"/>
    <w:rsid w:val="00BE27FC"/>
    <w:rsid w:val="00BE5192"/>
    <w:rsid w:val="00BE59CC"/>
    <w:rsid w:val="00BE6413"/>
    <w:rsid w:val="00BE7F5D"/>
    <w:rsid w:val="00BF21AE"/>
    <w:rsid w:val="00BF29C6"/>
    <w:rsid w:val="00BF54BF"/>
    <w:rsid w:val="00C00A0C"/>
    <w:rsid w:val="00C041E5"/>
    <w:rsid w:val="00C0438D"/>
    <w:rsid w:val="00C11B8F"/>
    <w:rsid w:val="00C11BFE"/>
    <w:rsid w:val="00C124CA"/>
    <w:rsid w:val="00C161DD"/>
    <w:rsid w:val="00C2077D"/>
    <w:rsid w:val="00C2276A"/>
    <w:rsid w:val="00C231F5"/>
    <w:rsid w:val="00C2785F"/>
    <w:rsid w:val="00C3012D"/>
    <w:rsid w:val="00C31A33"/>
    <w:rsid w:val="00C323A1"/>
    <w:rsid w:val="00C3292C"/>
    <w:rsid w:val="00C329C5"/>
    <w:rsid w:val="00C35670"/>
    <w:rsid w:val="00C372E9"/>
    <w:rsid w:val="00C37F68"/>
    <w:rsid w:val="00C41220"/>
    <w:rsid w:val="00C42833"/>
    <w:rsid w:val="00C500FE"/>
    <w:rsid w:val="00C5068F"/>
    <w:rsid w:val="00C50A75"/>
    <w:rsid w:val="00C5374E"/>
    <w:rsid w:val="00C55CE1"/>
    <w:rsid w:val="00C62342"/>
    <w:rsid w:val="00C6242E"/>
    <w:rsid w:val="00C64E1A"/>
    <w:rsid w:val="00C67361"/>
    <w:rsid w:val="00C732D9"/>
    <w:rsid w:val="00C74A9B"/>
    <w:rsid w:val="00C753B9"/>
    <w:rsid w:val="00C768DA"/>
    <w:rsid w:val="00C80F88"/>
    <w:rsid w:val="00C86D74"/>
    <w:rsid w:val="00C87001"/>
    <w:rsid w:val="00C942DE"/>
    <w:rsid w:val="00CA0A22"/>
    <w:rsid w:val="00CA3D14"/>
    <w:rsid w:val="00CA5C1A"/>
    <w:rsid w:val="00CC06F9"/>
    <w:rsid w:val="00CC0C9C"/>
    <w:rsid w:val="00CC0F82"/>
    <w:rsid w:val="00CC1127"/>
    <w:rsid w:val="00CC1735"/>
    <w:rsid w:val="00CD04F1"/>
    <w:rsid w:val="00CD3C22"/>
    <w:rsid w:val="00CD4202"/>
    <w:rsid w:val="00CD4CDA"/>
    <w:rsid w:val="00CD6D10"/>
    <w:rsid w:val="00CE1BBD"/>
    <w:rsid w:val="00CE3610"/>
    <w:rsid w:val="00CE7914"/>
    <w:rsid w:val="00CF1828"/>
    <w:rsid w:val="00CF5B2F"/>
    <w:rsid w:val="00CF5F53"/>
    <w:rsid w:val="00CF681A"/>
    <w:rsid w:val="00D027BD"/>
    <w:rsid w:val="00D07C78"/>
    <w:rsid w:val="00D10292"/>
    <w:rsid w:val="00D15289"/>
    <w:rsid w:val="00D15590"/>
    <w:rsid w:val="00D17AA7"/>
    <w:rsid w:val="00D204CB"/>
    <w:rsid w:val="00D2087C"/>
    <w:rsid w:val="00D24748"/>
    <w:rsid w:val="00D34522"/>
    <w:rsid w:val="00D35730"/>
    <w:rsid w:val="00D40345"/>
    <w:rsid w:val="00D408C6"/>
    <w:rsid w:val="00D43D76"/>
    <w:rsid w:val="00D4479A"/>
    <w:rsid w:val="00D45252"/>
    <w:rsid w:val="00D472FE"/>
    <w:rsid w:val="00D51505"/>
    <w:rsid w:val="00D51DBF"/>
    <w:rsid w:val="00D557B7"/>
    <w:rsid w:val="00D5580D"/>
    <w:rsid w:val="00D60296"/>
    <w:rsid w:val="00D655B6"/>
    <w:rsid w:val="00D71B4D"/>
    <w:rsid w:val="00D74A00"/>
    <w:rsid w:val="00D74CC9"/>
    <w:rsid w:val="00D760D1"/>
    <w:rsid w:val="00D8391C"/>
    <w:rsid w:val="00D8492F"/>
    <w:rsid w:val="00D90A1A"/>
    <w:rsid w:val="00D92619"/>
    <w:rsid w:val="00D93D55"/>
    <w:rsid w:val="00D9471A"/>
    <w:rsid w:val="00D97CE4"/>
    <w:rsid w:val="00DA15F3"/>
    <w:rsid w:val="00DA25B3"/>
    <w:rsid w:val="00DA34BD"/>
    <w:rsid w:val="00DA36C5"/>
    <w:rsid w:val="00DA4A99"/>
    <w:rsid w:val="00DB6622"/>
    <w:rsid w:val="00DB69FC"/>
    <w:rsid w:val="00DC0039"/>
    <w:rsid w:val="00DD1695"/>
    <w:rsid w:val="00DD2370"/>
    <w:rsid w:val="00DD49D0"/>
    <w:rsid w:val="00DD633A"/>
    <w:rsid w:val="00DD79D5"/>
    <w:rsid w:val="00DD7B7F"/>
    <w:rsid w:val="00DE154E"/>
    <w:rsid w:val="00DE3C8A"/>
    <w:rsid w:val="00DF10E8"/>
    <w:rsid w:val="00DF1A0D"/>
    <w:rsid w:val="00DF1A68"/>
    <w:rsid w:val="00DF4904"/>
    <w:rsid w:val="00E016D1"/>
    <w:rsid w:val="00E0241F"/>
    <w:rsid w:val="00E03613"/>
    <w:rsid w:val="00E05508"/>
    <w:rsid w:val="00E110EA"/>
    <w:rsid w:val="00E15015"/>
    <w:rsid w:val="00E2136A"/>
    <w:rsid w:val="00E21C40"/>
    <w:rsid w:val="00E22D95"/>
    <w:rsid w:val="00E25DAF"/>
    <w:rsid w:val="00E335FE"/>
    <w:rsid w:val="00E3511E"/>
    <w:rsid w:val="00E36E48"/>
    <w:rsid w:val="00E4034A"/>
    <w:rsid w:val="00E47D9E"/>
    <w:rsid w:val="00E50051"/>
    <w:rsid w:val="00E501A2"/>
    <w:rsid w:val="00E560E1"/>
    <w:rsid w:val="00E57588"/>
    <w:rsid w:val="00E575E4"/>
    <w:rsid w:val="00E60918"/>
    <w:rsid w:val="00E60E1A"/>
    <w:rsid w:val="00E64950"/>
    <w:rsid w:val="00E65FBA"/>
    <w:rsid w:val="00E675D3"/>
    <w:rsid w:val="00E72D25"/>
    <w:rsid w:val="00E7591C"/>
    <w:rsid w:val="00E760D7"/>
    <w:rsid w:val="00E82CDD"/>
    <w:rsid w:val="00E91899"/>
    <w:rsid w:val="00E953CA"/>
    <w:rsid w:val="00EA6613"/>
    <w:rsid w:val="00EA7D6E"/>
    <w:rsid w:val="00EB07F2"/>
    <w:rsid w:val="00EB1C65"/>
    <w:rsid w:val="00EB2F76"/>
    <w:rsid w:val="00EB7D94"/>
    <w:rsid w:val="00EC08E5"/>
    <w:rsid w:val="00EC0C6F"/>
    <w:rsid w:val="00EC3C83"/>
    <w:rsid w:val="00EC4E49"/>
    <w:rsid w:val="00EC7962"/>
    <w:rsid w:val="00ED0603"/>
    <w:rsid w:val="00ED32B0"/>
    <w:rsid w:val="00ED3827"/>
    <w:rsid w:val="00ED5966"/>
    <w:rsid w:val="00ED77FB"/>
    <w:rsid w:val="00EE45FA"/>
    <w:rsid w:val="00EE5BFA"/>
    <w:rsid w:val="00EE5D27"/>
    <w:rsid w:val="00EF0792"/>
    <w:rsid w:val="00EF115A"/>
    <w:rsid w:val="00EF3207"/>
    <w:rsid w:val="00EF3769"/>
    <w:rsid w:val="00EF474E"/>
    <w:rsid w:val="00EF6E10"/>
    <w:rsid w:val="00F043DE"/>
    <w:rsid w:val="00F069F2"/>
    <w:rsid w:val="00F21EF3"/>
    <w:rsid w:val="00F22061"/>
    <w:rsid w:val="00F233E8"/>
    <w:rsid w:val="00F277DA"/>
    <w:rsid w:val="00F304B1"/>
    <w:rsid w:val="00F33C50"/>
    <w:rsid w:val="00F34D00"/>
    <w:rsid w:val="00F44DD7"/>
    <w:rsid w:val="00F44EB0"/>
    <w:rsid w:val="00F5074B"/>
    <w:rsid w:val="00F56819"/>
    <w:rsid w:val="00F56B9B"/>
    <w:rsid w:val="00F64D91"/>
    <w:rsid w:val="00F66152"/>
    <w:rsid w:val="00F66778"/>
    <w:rsid w:val="00F70F3B"/>
    <w:rsid w:val="00F74FB1"/>
    <w:rsid w:val="00F76E36"/>
    <w:rsid w:val="00F813FE"/>
    <w:rsid w:val="00F81535"/>
    <w:rsid w:val="00F816A7"/>
    <w:rsid w:val="00F905AE"/>
    <w:rsid w:val="00F9067D"/>
    <w:rsid w:val="00F9165B"/>
    <w:rsid w:val="00F944FE"/>
    <w:rsid w:val="00FA0927"/>
    <w:rsid w:val="00FA3669"/>
    <w:rsid w:val="00FA455E"/>
    <w:rsid w:val="00FA712B"/>
    <w:rsid w:val="00FB124F"/>
    <w:rsid w:val="00FB25F5"/>
    <w:rsid w:val="00FB5BF6"/>
    <w:rsid w:val="00FB793B"/>
    <w:rsid w:val="00FD1B40"/>
    <w:rsid w:val="00FD385B"/>
    <w:rsid w:val="00FD7AB0"/>
    <w:rsid w:val="00FE19FC"/>
    <w:rsid w:val="00FE36DB"/>
    <w:rsid w:val="00FE73B3"/>
    <w:rsid w:val="00FF09E2"/>
    <w:rsid w:val="00FF13E3"/>
    <w:rsid w:val="00FF1C26"/>
    <w:rsid w:val="00FF36B9"/>
    <w:rsid w:val="00FF4755"/>
    <w:rsid w:val="00FF5842"/>
    <w:rsid w:val="00FF6E96"/>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3E5FAC5"/>
  <w15:docId w15:val="{94FDE249-71D0-48FA-909C-111F3363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07D"/>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276BEE"/>
    <w:rPr>
      <w:rFonts w:ascii="Arial" w:eastAsia="SimSun" w:hAnsi="Arial" w:cs="Arial"/>
      <w:b/>
      <w:bCs/>
      <w:caps/>
      <w:kern w:val="32"/>
      <w:sz w:val="22"/>
      <w:szCs w:val="32"/>
      <w:lang w:val="en-US" w:eastAsia="zh-CN"/>
    </w:rPr>
  </w:style>
  <w:style w:type="character" w:customStyle="1" w:styleId="Heading2Char">
    <w:name w:val="Heading 2 Char"/>
    <w:link w:val="Heading2"/>
    <w:rsid w:val="00276BEE"/>
    <w:rPr>
      <w:rFonts w:ascii="Arial" w:eastAsia="SimSun" w:hAnsi="Arial" w:cs="Arial"/>
      <w:bCs/>
      <w:iCs/>
      <w:caps/>
      <w:sz w:val="22"/>
      <w:szCs w:val="28"/>
      <w:lang w:val="en-US" w:eastAsia="zh-CN"/>
    </w:rPr>
  </w:style>
  <w:style w:type="character" w:customStyle="1" w:styleId="Heading3Char">
    <w:name w:val="Heading 3 Char"/>
    <w:link w:val="Heading3"/>
    <w:rsid w:val="00276BEE"/>
    <w:rPr>
      <w:rFonts w:ascii="Arial" w:eastAsia="SimSun" w:hAnsi="Arial" w:cs="Arial"/>
      <w:bCs/>
      <w:sz w:val="22"/>
      <w:szCs w:val="26"/>
      <w:u w:val="single"/>
      <w:lang w:val="en-US" w:eastAsia="zh-CN"/>
    </w:rPr>
  </w:style>
  <w:style w:type="character" w:customStyle="1" w:styleId="FootnoteTextChar">
    <w:name w:val="Footnote Text Char"/>
    <w:link w:val="FootnoteText"/>
    <w:uiPriority w:val="99"/>
    <w:semiHidden/>
    <w:rsid w:val="00276BEE"/>
    <w:rPr>
      <w:rFonts w:ascii="Arial" w:eastAsia="SimSun" w:hAnsi="Arial" w:cs="Arial"/>
      <w:sz w:val="18"/>
      <w:lang w:val="en-US" w:eastAsia="zh-CN"/>
    </w:rPr>
  </w:style>
  <w:style w:type="character" w:customStyle="1" w:styleId="CommentTextChar">
    <w:name w:val="Comment Text Char"/>
    <w:link w:val="CommentText"/>
    <w:uiPriority w:val="99"/>
    <w:rsid w:val="00276BEE"/>
    <w:rPr>
      <w:rFonts w:ascii="Arial" w:eastAsia="SimSun" w:hAnsi="Arial" w:cs="Arial"/>
      <w:sz w:val="18"/>
      <w:lang w:val="en-U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6BEE"/>
    <w:pPr>
      <w:ind w:left="720"/>
      <w:contextualSpacing/>
    </w:pPr>
    <w:rPr>
      <w:rFonts w:eastAsia="Times New Roman"/>
      <w:lang w:eastAsia="en-US"/>
    </w:rPr>
  </w:style>
  <w:style w:type="character" w:styleId="Hyperlink">
    <w:name w:val="Hyperlink"/>
    <w:uiPriority w:val="99"/>
    <w:unhideWhenUsed/>
    <w:rsid w:val="00276BEE"/>
    <w:rPr>
      <w:color w:val="0000FF"/>
      <w:u w:val="single"/>
    </w:rPr>
  </w:style>
  <w:style w:type="character" w:styleId="FootnoteReference">
    <w:name w:val="footnote reference"/>
    <w:uiPriority w:val="99"/>
    <w:unhideWhenUsed/>
    <w:rsid w:val="00276BEE"/>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276BEE"/>
    <w:rPr>
      <w:rFonts w:ascii="Arial" w:hAnsi="Arial" w:cs="Arial"/>
      <w:sz w:val="22"/>
      <w:lang w:val="en-US" w:eastAsia="en-US"/>
    </w:rPr>
  </w:style>
  <w:style w:type="character" w:styleId="CommentReference">
    <w:name w:val="annotation reference"/>
    <w:uiPriority w:val="99"/>
    <w:rsid w:val="00276BEE"/>
    <w:rPr>
      <w:sz w:val="18"/>
      <w:szCs w:val="18"/>
    </w:rPr>
  </w:style>
  <w:style w:type="paragraph" w:customStyle="1" w:styleId="Default">
    <w:name w:val="Default"/>
    <w:rsid w:val="00276BEE"/>
    <w:pPr>
      <w:autoSpaceDE w:val="0"/>
      <w:autoSpaceDN w:val="0"/>
      <w:adjustRightInd w:val="0"/>
    </w:pPr>
    <w:rPr>
      <w:rFonts w:ascii="Symbol" w:hAnsi="Symbol" w:cs="Symbol"/>
      <w:color w:val="000000"/>
      <w:sz w:val="24"/>
      <w:szCs w:val="24"/>
    </w:rPr>
  </w:style>
  <w:style w:type="paragraph" w:styleId="NormalWeb">
    <w:name w:val="Normal (Web)"/>
    <w:basedOn w:val="Normal"/>
    <w:uiPriority w:val="99"/>
    <w:unhideWhenUsed/>
    <w:rsid w:val="00276BEE"/>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39"/>
    <w:rsid w:val="00276BE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276BEE"/>
    <w:pPr>
      <w:spacing w:before="100" w:beforeAutospacing="1" w:after="100" w:afterAutospacing="1"/>
    </w:pPr>
    <w:rPr>
      <w:rFonts w:ascii="Times New Roman" w:eastAsia="Calibri" w:hAnsi="Times New Roman" w:cs="Times New Roman"/>
      <w:sz w:val="24"/>
      <w:szCs w:val="24"/>
      <w:lang w:eastAsia="en-US"/>
    </w:rPr>
  </w:style>
  <w:style w:type="character" w:customStyle="1" w:styleId="null1">
    <w:name w:val="null1"/>
    <w:basedOn w:val="DefaultParagraphFont"/>
    <w:rsid w:val="00276BEE"/>
  </w:style>
  <w:style w:type="paragraph" w:styleId="BalloonText">
    <w:name w:val="Balloon Text"/>
    <w:basedOn w:val="Normal"/>
    <w:link w:val="BalloonTextChar"/>
    <w:semiHidden/>
    <w:unhideWhenUsed/>
    <w:rsid w:val="00276BEE"/>
    <w:rPr>
      <w:rFonts w:ascii="Segoe UI" w:hAnsi="Segoe UI" w:cs="Segoe UI"/>
      <w:sz w:val="18"/>
      <w:szCs w:val="18"/>
    </w:rPr>
  </w:style>
  <w:style w:type="character" w:customStyle="1" w:styleId="BalloonTextChar">
    <w:name w:val="Balloon Text Char"/>
    <w:link w:val="BalloonText"/>
    <w:semiHidden/>
    <w:rsid w:val="00276BEE"/>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F44DD7"/>
    <w:rPr>
      <w:b/>
      <w:bCs/>
      <w:sz w:val="20"/>
    </w:rPr>
  </w:style>
  <w:style w:type="character" w:customStyle="1" w:styleId="CommentSubjectChar">
    <w:name w:val="Comment Subject Char"/>
    <w:link w:val="CommentSubject"/>
    <w:semiHidden/>
    <w:rsid w:val="00F44DD7"/>
    <w:rPr>
      <w:rFonts w:ascii="Arial" w:eastAsia="SimSun" w:hAnsi="Arial" w:cs="Arial"/>
      <w:b/>
      <w:bCs/>
      <w:sz w:val="18"/>
      <w:lang w:val="en-US" w:eastAsia="zh-CN"/>
    </w:rPr>
  </w:style>
  <w:style w:type="character" w:styleId="Strong">
    <w:name w:val="Strong"/>
    <w:uiPriority w:val="22"/>
    <w:qFormat/>
    <w:rsid w:val="00C124CA"/>
    <w:rPr>
      <w:b/>
      <w:bCs/>
    </w:rPr>
  </w:style>
  <w:style w:type="character" w:styleId="FollowedHyperlink">
    <w:name w:val="FollowedHyperlink"/>
    <w:semiHidden/>
    <w:unhideWhenUsed/>
    <w:rsid w:val="0055266C"/>
    <w:rPr>
      <w:color w:val="800080"/>
      <w:u w:val="single"/>
    </w:rPr>
  </w:style>
  <w:style w:type="paragraph" w:styleId="Revision">
    <w:name w:val="Revision"/>
    <w:hidden/>
    <w:uiPriority w:val="99"/>
    <w:semiHidden/>
    <w:rsid w:val="005F61E4"/>
    <w:rPr>
      <w:rFonts w:ascii="Arial" w:eastAsia="SimSun" w:hAnsi="Arial" w:cs="Arial"/>
      <w:sz w:val="22"/>
      <w:lang w:eastAsia="zh-CN"/>
    </w:rPr>
  </w:style>
  <w:style w:type="character" w:customStyle="1" w:styleId="contentpasted0">
    <w:name w:val="contentpasted0"/>
    <w:basedOn w:val="DefaultParagraphFont"/>
    <w:rsid w:val="0028780F"/>
  </w:style>
  <w:style w:type="paragraph" w:customStyle="1" w:styleId="xdefault">
    <w:name w:val="x_default"/>
    <w:basedOn w:val="Normal"/>
    <w:uiPriority w:val="99"/>
    <w:rsid w:val="00BF29C6"/>
    <w:pPr>
      <w:autoSpaceDE w:val="0"/>
      <w:autoSpaceDN w:val="0"/>
    </w:pPr>
    <w:rPr>
      <w:rFonts w:eastAsia="Calibri"/>
      <w:color w:val="000000"/>
      <w:sz w:val="24"/>
      <w:szCs w:val="24"/>
      <w:lang w:eastAsia="en-US"/>
    </w:rPr>
  </w:style>
  <w:style w:type="character" w:customStyle="1" w:styleId="ui-provider">
    <w:name w:val="ui-provider"/>
    <w:basedOn w:val="DefaultParagraphFont"/>
    <w:rsid w:val="00FB5BF6"/>
  </w:style>
  <w:style w:type="character" w:customStyle="1" w:styleId="HeaderChar">
    <w:name w:val="Header Char"/>
    <w:basedOn w:val="DefaultParagraphFont"/>
    <w:link w:val="Header"/>
    <w:semiHidden/>
    <w:rsid w:val="003C0A60"/>
    <w:rPr>
      <w:rFonts w:ascii="Arial" w:eastAsia="SimSun" w:hAnsi="Arial" w:cs="Arial"/>
      <w:sz w:val="22"/>
      <w:lang w:eastAsia="zh-CN"/>
    </w:rPr>
  </w:style>
  <w:style w:type="character" w:customStyle="1" w:styleId="FooterChar">
    <w:name w:val="Footer Char"/>
    <w:basedOn w:val="DefaultParagraphFont"/>
    <w:link w:val="Footer"/>
    <w:semiHidden/>
    <w:rsid w:val="003C0A60"/>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8539">
      <w:bodyDiv w:val="1"/>
      <w:marLeft w:val="0"/>
      <w:marRight w:val="0"/>
      <w:marTop w:val="0"/>
      <w:marBottom w:val="0"/>
      <w:divBdr>
        <w:top w:val="none" w:sz="0" w:space="0" w:color="auto"/>
        <w:left w:val="none" w:sz="0" w:space="0" w:color="auto"/>
        <w:bottom w:val="none" w:sz="0" w:space="0" w:color="auto"/>
        <w:right w:val="none" w:sz="0" w:space="0" w:color="auto"/>
      </w:divBdr>
    </w:div>
    <w:div w:id="71662365">
      <w:bodyDiv w:val="1"/>
      <w:marLeft w:val="0"/>
      <w:marRight w:val="0"/>
      <w:marTop w:val="0"/>
      <w:marBottom w:val="0"/>
      <w:divBdr>
        <w:top w:val="none" w:sz="0" w:space="0" w:color="auto"/>
        <w:left w:val="none" w:sz="0" w:space="0" w:color="auto"/>
        <w:bottom w:val="none" w:sz="0" w:space="0" w:color="auto"/>
        <w:right w:val="none" w:sz="0" w:space="0" w:color="auto"/>
      </w:divBdr>
    </w:div>
    <w:div w:id="176624398">
      <w:bodyDiv w:val="1"/>
      <w:marLeft w:val="0"/>
      <w:marRight w:val="0"/>
      <w:marTop w:val="0"/>
      <w:marBottom w:val="0"/>
      <w:divBdr>
        <w:top w:val="none" w:sz="0" w:space="0" w:color="auto"/>
        <w:left w:val="none" w:sz="0" w:space="0" w:color="auto"/>
        <w:bottom w:val="none" w:sz="0" w:space="0" w:color="auto"/>
        <w:right w:val="none" w:sz="0" w:space="0" w:color="auto"/>
      </w:divBdr>
    </w:div>
    <w:div w:id="339964803">
      <w:bodyDiv w:val="1"/>
      <w:marLeft w:val="0"/>
      <w:marRight w:val="0"/>
      <w:marTop w:val="0"/>
      <w:marBottom w:val="0"/>
      <w:divBdr>
        <w:top w:val="none" w:sz="0" w:space="0" w:color="auto"/>
        <w:left w:val="none" w:sz="0" w:space="0" w:color="auto"/>
        <w:bottom w:val="none" w:sz="0" w:space="0" w:color="auto"/>
        <w:right w:val="none" w:sz="0" w:space="0" w:color="auto"/>
      </w:divBdr>
    </w:div>
    <w:div w:id="350375120">
      <w:bodyDiv w:val="1"/>
      <w:marLeft w:val="0"/>
      <w:marRight w:val="0"/>
      <w:marTop w:val="0"/>
      <w:marBottom w:val="0"/>
      <w:divBdr>
        <w:top w:val="none" w:sz="0" w:space="0" w:color="auto"/>
        <w:left w:val="none" w:sz="0" w:space="0" w:color="auto"/>
        <w:bottom w:val="none" w:sz="0" w:space="0" w:color="auto"/>
        <w:right w:val="none" w:sz="0" w:space="0" w:color="auto"/>
      </w:divBdr>
    </w:div>
    <w:div w:id="402021508">
      <w:bodyDiv w:val="1"/>
      <w:marLeft w:val="0"/>
      <w:marRight w:val="0"/>
      <w:marTop w:val="0"/>
      <w:marBottom w:val="0"/>
      <w:divBdr>
        <w:top w:val="none" w:sz="0" w:space="0" w:color="auto"/>
        <w:left w:val="none" w:sz="0" w:space="0" w:color="auto"/>
        <w:bottom w:val="none" w:sz="0" w:space="0" w:color="auto"/>
        <w:right w:val="none" w:sz="0" w:space="0" w:color="auto"/>
      </w:divBdr>
    </w:div>
    <w:div w:id="498274226">
      <w:bodyDiv w:val="1"/>
      <w:marLeft w:val="0"/>
      <w:marRight w:val="0"/>
      <w:marTop w:val="0"/>
      <w:marBottom w:val="0"/>
      <w:divBdr>
        <w:top w:val="none" w:sz="0" w:space="0" w:color="auto"/>
        <w:left w:val="none" w:sz="0" w:space="0" w:color="auto"/>
        <w:bottom w:val="none" w:sz="0" w:space="0" w:color="auto"/>
        <w:right w:val="none" w:sz="0" w:space="0" w:color="auto"/>
      </w:divBdr>
    </w:div>
    <w:div w:id="502667017">
      <w:bodyDiv w:val="1"/>
      <w:marLeft w:val="0"/>
      <w:marRight w:val="0"/>
      <w:marTop w:val="0"/>
      <w:marBottom w:val="0"/>
      <w:divBdr>
        <w:top w:val="none" w:sz="0" w:space="0" w:color="auto"/>
        <w:left w:val="none" w:sz="0" w:space="0" w:color="auto"/>
        <w:bottom w:val="none" w:sz="0" w:space="0" w:color="auto"/>
        <w:right w:val="none" w:sz="0" w:space="0" w:color="auto"/>
      </w:divBdr>
    </w:div>
    <w:div w:id="522137958">
      <w:bodyDiv w:val="1"/>
      <w:marLeft w:val="0"/>
      <w:marRight w:val="0"/>
      <w:marTop w:val="0"/>
      <w:marBottom w:val="0"/>
      <w:divBdr>
        <w:top w:val="none" w:sz="0" w:space="0" w:color="auto"/>
        <w:left w:val="none" w:sz="0" w:space="0" w:color="auto"/>
        <w:bottom w:val="none" w:sz="0" w:space="0" w:color="auto"/>
        <w:right w:val="none" w:sz="0" w:space="0" w:color="auto"/>
      </w:divBdr>
    </w:div>
    <w:div w:id="631248860">
      <w:bodyDiv w:val="1"/>
      <w:marLeft w:val="0"/>
      <w:marRight w:val="0"/>
      <w:marTop w:val="0"/>
      <w:marBottom w:val="0"/>
      <w:divBdr>
        <w:top w:val="none" w:sz="0" w:space="0" w:color="auto"/>
        <w:left w:val="none" w:sz="0" w:space="0" w:color="auto"/>
        <w:bottom w:val="none" w:sz="0" w:space="0" w:color="auto"/>
        <w:right w:val="none" w:sz="0" w:space="0" w:color="auto"/>
      </w:divBdr>
    </w:div>
    <w:div w:id="640892731">
      <w:bodyDiv w:val="1"/>
      <w:marLeft w:val="0"/>
      <w:marRight w:val="0"/>
      <w:marTop w:val="0"/>
      <w:marBottom w:val="0"/>
      <w:divBdr>
        <w:top w:val="none" w:sz="0" w:space="0" w:color="auto"/>
        <w:left w:val="none" w:sz="0" w:space="0" w:color="auto"/>
        <w:bottom w:val="none" w:sz="0" w:space="0" w:color="auto"/>
        <w:right w:val="none" w:sz="0" w:space="0" w:color="auto"/>
      </w:divBdr>
    </w:div>
    <w:div w:id="724840819">
      <w:bodyDiv w:val="1"/>
      <w:marLeft w:val="0"/>
      <w:marRight w:val="0"/>
      <w:marTop w:val="0"/>
      <w:marBottom w:val="0"/>
      <w:divBdr>
        <w:top w:val="none" w:sz="0" w:space="0" w:color="auto"/>
        <w:left w:val="none" w:sz="0" w:space="0" w:color="auto"/>
        <w:bottom w:val="none" w:sz="0" w:space="0" w:color="auto"/>
        <w:right w:val="none" w:sz="0" w:space="0" w:color="auto"/>
      </w:divBdr>
    </w:div>
    <w:div w:id="727994726">
      <w:bodyDiv w:val="1"/>
      <w:marLeft w:val="0"/>
      <w:marRight w:val="0"/>
      <w:marTop w:val="0"/>
      <w:marBottom w:val="0"/>
      <w:divBdr>
        <w:top w:val="none" w:sz="0" w:space="0" w:color="auto"/>
        <w:left w:val="none" w:sz="0" w:space="0" w:color="auto"/>
        <w:bottom w:val="none" w:sz="0" w:space="0" w:color="auto"/>
        <w:right w:val="none" w:sz="0" w:space="0" w:color="auto"/>
      </w:divBdr>
    </w:div>
    <w:div w:id="739407768">
      <w:bodyDiv w:val="1"/>
      <w:marLeft w:val="0"/>
      <w:marRight w:val="0"/>
      <w:marTop w:val="0"/>
      <w:marBottom w:val="0"/>
      <w:divBdr>
        <w:top w:val="none" w:sz="0" w:space="0" w:color="auto"/>
        <w:left w:val="none" w:sz="0" w:space="0" w:color="auto"/>
        <w:bottom w:val="none" w:sz="0" w:space="0" w:color="auto"/>
        <w:right w:val="none" w:sz="0" w:space="0" w:color="auto"/>
      </w:divBdr>
    </w:div>
    <w:div w:id="773789166">
      <w:bodyDiv w:val="1"/>
      <w:marLeft w:val="0"/>
      <w:marRight w:val="0"/>
      <w:marTop w:val="0"/>
      <w:marBottom w:val="0"/>
      <w:divBdr>
        <w:top w:val="none" w:sz="0" w:space="0" w:color="auto"/>
        <w:left w:val="none" w:sz="0" w:space="0" w:color="auto"/>
        <w:bottom w:val="none" w:sz="0" w:space="0" w:color="auto"/>
        <w:right w:val="none" w:sz="0" w:space="0" w:color="auto"/>
      </w:divBdr>
    </w:div>
    <w:div w:id="799033910">
      <w:bodyDiv w:val="1"/>
      <w:marLeft w:val="0"/>
      <w:marRight w:val="0"/>
      <w:marTop w:val="0"/>
      <w:marBottom w:val="0"/>
      <w:divBdr>
        <w:top w:val="none" w:sz="0" w:space="0" w:color="auto"/>
        <w:left w:val="none" w:sz="0" w:space="0" w:color="auto"/>
        <w:bottom w:val="none" w:sz="0" w:space="0" w:color="auto"/>
        <w:right w:val="none" w:sz="0" w:space="0" w:color="auto"/>
      </w:divBdr>
    </w:div>
    <w:div w:id="822892723">
      <w:bodyDiv w:val="1"/>
      <w:marLeft w:val="0"/>
      <w:marRight w:val="0"/>
      <w:marTop w:val="0"/>
      <w:marBottom w:val="0"/>
      <w:divBdr>
        <w:top w:val="none" w:sz="0" w:space="0" w:color="auto"/>
        <w:left w:val="none" w:sz="0" w:space="0" w:color="auto"/>
        <w:bottom w:val="none" w:sz="0" w:space="0" w:color="auto"/>
        <w:right w:val="none" w:sz="0" w:space="0" w:color="auto"/>
      </w:divBdr>
    </w:div>
    <w:div w:id="828330581">
      <w:bodyDiv w:val="1"/>
      <w:marLeft w:val="0"/>
      <w:marRight w:val="0"/>
      <w:marTop w:val="0"/>
      <w:marBottom w:val="0"/>
      <w:divBdr>
        <w:top w:val="none" w:sz="0" w:space="0" w:color="auto"/>
        <w:left w:val="none" w:sz="0" w:space="0" w:color="auto"/>
        <w:bottom w:val="none" w:sz="0" w:space="0" w:color="auto"/>
        <w:right w:val="none" w:sz="0" w:space="0" w:color="auto"/>
      </w:divBdr>
    </w:div>
    <w:div w:id="878054085">
      <w:bodyDiv w:val="1"/>
      <w:marLeft w:val="0"/>
      <w:marRight w:val="0"/>
      <w:marTop w:val="0"/>
      <w:marBottom w:val="0"/>
      <w:divBdr>
        <w:top w:val="none" w:sz="0" w:space="0" w:color="auto"/>
        <w:left w:val="none" w:sz="0" w:space="0" w:color="auto"/>
        <w:bottom w:val="none" w:sz="0" w:space="0" w:color="auto"/>
        <w:right w:val="none" w:sz="0" w:space="0" w:color="auto"/>
      </w:divBdr>
    </w:div>
    <w:div w:id="905802889">
      <w:bodyDiv w:val="1"/>
      <w:marLeft w:val="0"/>
      <w:marRight w:val="0"/>
      <w:marTop w:val="0"/>
      <w:marBottom w:val="0"/>
      <w:divBdr>
        <w:top w:val="none" w:sz="0" w:space="0" w:color="auto"/>
        <w:left w:val="none" w:sz="0" w:space="0" w:color="auto"/>
        <w:bottom w:val="none" w:sz="0" w:space="0" w:color="auto"/>
        <w:right w:val="none" w:sz="0" w:space="0" w:color="auto"/>
      </w:divBdr>
    </w:div>
    <w:div w:id="1034190397">
      <w:bodyDiv w:val="1"/>
      <w:marLeft w:val="0"/>
      <w:marRight w:val="0"/>
      <w:marTop w:val="0"/>
      <w:marBottom w:val="0"/>
      <w:divBdr>
        <w:top w:val="none" w:sz="0" w:space="0" w:color="auto"/>
        <w:left w:val="none" w:sz="0" w:space="0" w:color="auto"/>
        <w:bottom w:val="none" w:sz="0" w:space="0" w:color="auto"/>
        <w:right w:val="none" w:sz="0" w:space="0" w:color="auto"/>
      </w:divBdr>
    </w:div>
    <w:div w:id="1041595063">
      <w:bodyDiv w:val="1"/>
      <w:marLeft w:val="0"/>
      <w:marRight w:val="0"/>
      <w:marTop w:val="0"/>
      <w:marBottom w:val="0"/>
      <w:divBdr>
        <w:top w:val="none" w:sz="0" w:space="0" w:color="auto"/>
        <w:left w:val="none" w:sz="0" w:space="0" w:color="auto"/>
        <w:bottom w:val="none" w:sz="0" w:space="0" w:color="auto"/>
        <w:right w:val="none" w:sz="0" w:space="0" w:color="auto"/>
      </w:divBdr>
    </w:div>
    <w:div w:id="1287543867">
      <w:bodyDiv w:val="1"/>
      <w:marLeft w:val="0"/>
      <w:marRight w:val="0"/>
      <w:marTop w:val="0"/>
      <w:marBottom w:val="0"/>
      <w:divBdr>
        <w:top w:val="none" w:sz="0" w:space="0" w:color="auto"/>
        <w:left w:val="none" w:sz="0" w:space="0" w:color="auto"/>
        <w:bottom w:val="none" w:sz="0" w:space="0" w:color="auto"/>
        <w:right w:val="none" w:sz="0" w:space="0" w:color="auto"/>
      </w:divBdr>
    </w:div>
    <w:div w:id="1287589154">
      <w:bodyDiv w:val="1"/>
      <w:marLeft w:val="0"/>
      <w:marRight w:val="0"/>
      <w:marTop w:val="0"/>
      <w:marBottom w:val="0"/>
      <w:divBdr>
        <w:top w:val="none" w:sz="0" w:space="0" w:color="auto"/>
        <w:left w:val="none" w:sz="0" w:space="0" w:color="auto"/>
        <w:bottom w:val="none" w:sz="0" w:space="0" w:color="auto"/>
        <w:right w:val="none" w:sz="0" w:space="0" w:color="auto"/>
      </w:divBdr>
    </w:div>
    <w:div w:id="1482499346">
      <w:bodyDiv w:val="1"/>
      <w:marLeft w:val="0"/>
      <w:marRight w:val="0"/>
      <w:marTop w:val="0"/>
      <w:marBottom w:val="0"/>
      <w:divBdr>
        <w:top w:val="none" w:sz="0" w:space="0" w:color="auto"/>
        <w:left w:val="none" w:sz="0" w:space="0" w:color="auto"/>
        <w:bottom w:val="none" w:sz="0" w:space="0" w:color="auto"/>
        <w:right w:val="none" w:sz="0" w:space="0" w:color="auto"/>
      </w:divBdr>
    </w:div>
    <w:div w:id="1561211937">
      <w:bodyDiv w:val="1"/>
      <w:marLeft w:val="0"/>
      <w:marRight w:val="0"/>
      <w:marTop w:val="0"/>
      <w:marBottom w:val="0"/>
      <w:divBdr>
        <w:top w:val="none" w:sz="0" w:space="0" w:color="auto"/>
        <w:left w:val="none" w:sz="0" w:space="0" w:color="auto"/>
        <w:bottom w:val="none" w:sz="0" w:space="0" w:color="auto"/>
        <w:right w:val="none" w:sz="0" w:space="0" w:color="auto"/>
      </w:divBdr>
    </w:div>
    <w:div w:id="1562446978">
      <w:bodyDiv w:val="1"/>
      <w:marLeft w:val="0"/>
      <w:marRight w:val="0"/>
      <w:marTop w:val="0"/>
      <w:marBottom w:val="0"/>
      <w:divBdr>
        <w:top w:val="none" w:sz="0" w:space="0" w:color="auto"/>
        <w:left w:val="none" w:sz="0" w:space="0" w:color="auto"/>
        <w:bottom w:val="none" w:sz="0" w:space="0" w:color="auto"/>
        <w:right w:val="none" w:sz="0" w:space="0" w:color="auto"/>
      </w:divBdr>
    </w:div>
    <w:div w:id="1586301795">
      <w:bodyDiv w:val="1"/>
      <w:marLeft w:val="0"/>
      <w:marRight w:val="0"/>
      <w:marTop w:val="0"/>
      <w:marBottom w:val="0"/>
      <w:divBdr>
        <w:top w:val="none" w:sz="0" w:space="0" w:color="auto"/>
        <w:left w:val="none" w:sz="0" w:space="0" w:color="auto"/>
        <w:bottom w:val="none" w:sz="0" w:space="0" w:color="auto"/>
        <w:right w:val="none" w:sz="0" w:space="0" w:color="auto"/>
      </w:divBdr>
    </w:div>
    <w:div w:id="1620915110">
      <w:bodyDiv w:val="1"/>
      <w:marLeft w:val="0"/>
      <w:marRight w:val="0"/>
      <w:marTop w:val="0"/>
      <w:marBottom w:val="0"/>
      <w:divBdr>
        <w:top w:val="none" w:sz="0" w:space="0" w:color="auto"/>
        <w:left w:val="none" w:sz="0" w:space="0" w:color="auto"/>
        <w:bottom w:val="none" w:sz="0" w:space="0" w:color="auto"/>
        <w:right w:val="none" w:sz="0" w:space="0" w:color="auto"/>
      </w:divBdr>
    </w:div>
    <w:div w:id="1729647598">
      <w:bodyDiv w:val="1"/>
      <w:marLeft w:val="0"/>
      <w:marRight w:val="0"/>
      <w:marTop w:val="0"/>
      <w:marBottom w:val="0"/>
      <w:divBdr>
        <w:top w:val="none" w:sz="0" w:space="0" w:color="auto"/>
        <w:left w:val="none" w:sz="0" w:space="0" w:color="auto"/>
        <w:bottom w:val="none" w:sz="0" w:space="0" w:color="auto"/>
        <w:right w:val="none" w:sz="0" w:space="0" w:color="auto"/>
      </w:divBdr>
    </w:div>
    <w:div w:id="1792287548">
      <w:bodyDiv w:val="1"/>
      <w:marLeft w:val="0"/>
      <w:marRight w:val="0"/>
      <w:marTop w:val="0"/>
      <w:marBottom w:val="0"/>
      <w:divBdr>
        <w:top w:val="none" w:sz="0" w:space="0" w:color="auto"/>
        <w:left w:val="none" w:sz="0" w:space="0" w:color="auto"/>
        <w:bottom w:val="none" w:sz="0" w:space="0" w:color="auto"/>
        <w:right w:val="none" w:sz="0" w:space="0" w:color="auto"/>
      </w:divBdr>
    </w:div>
    <w:div w:id="1807621580">
      <w:bodyDiv w:val="1"/>
      <w:marLeft w:val="0"/>
      <w:marRight w:val="0"/>
      <w:marTop w:val="0"/>
      <w:marBottom w:val="0"/>
      <w:divBdr>
        <w:top w:val="none" w:sz="0" w:space="0" w:color="auto"/>
        <w:left w:val="none" w:sz="0" w:space="0" w:color="auto"/>
        <w:bottom w:val="none" w:sz="0" w:space="0" w:color="auto"/>
        <w:right w:val="none" w:sz="0" w:space="0" w:color="auto"/>
      </w:divBdr>
    </w:div>
    <w:div w:id="1876502489">
      <w:bodyDiv w:val="1"/>
      <w:marLeft w:val="0"/>
      <w:marRight w:val="0"/>
      <w:marTop w:val="0"/>
      <w:marBottom w:val="0"/>
      <w:divBdr>
        <w:top w:val="none" w:sz="0" w:space="0" w:color="auto"/>
        <w:left w:val="none" w:sz="0" w:space="0" w:color="auto"/>
        <w:bottom w:val="none" w:sz="0" w:space="0" w:color="auto"/>
        <w:right w:val="none" w:sz="0" w:space="0" w:color="auto"/>
      </w:divBdr>
    </w:div>
    <w:div w:id="1887326476">
      <w:bodyDiv w:val="1"/>
      <w:marLeft w:val="0"/>
      <w:marRight w:val="0"/>
      <w:marTop w:val="0"/>
      <w:marBottom w:val="0"/>
      <w:divBdr>
        <w:top w:val="none" w:sz="0" w:space="0" w:color="auto"/>
        <w:left w:val="none" w:sz="0" w:space="0" w:color="auto"/>
        <w:bottom w:val="none" w:sz="0" w:space="0" w:color="auto"/>
        <w:right w:val="none" w:sz="0" w:space="0" w:color="auto"/>
      </w:divBdr>
    </w:div>
    <w:div w:id="196781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wipo.int/publications/en/details.jsp?id=4661" TargetMode="External"/><Relationship Id="rId17" Type="http://schemas.openxmlformats.org/officeDocument/2006/relationships/hyperlink" Target="https://digitallibrary.un.org/record/3991519?ln=en"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icsc.un.org/Resources/General/AnnualReports/AR2022.pdf?r=005899149"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wipo.int/export/sites/www/women-and-ip/en/docs/rn2023-1_ipgap.pdf"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nwomen.org/sites/default/files/2022-09/2021-WIPO-SWAP-2-reporting-results-en.pdf" TargetMode="External"/><Relationship Id="rId2" Type="http://schemas.openxmlformats.org/officeDocument/2006/relationships/hyperlink" Target="https://www.wipo.int/meetings/en/doc_details.jsp?doc_id=350843" TargetMode="External"/><Relationship Id="rId1" Type="http://schemas.openxmlformats.org/officeDocument/2006/relationships/hyperlink" Target="https://unsceb.org/un-system-model-policy-sexual-harassment" TargetMode="External"/><Relationship Id="rId5" Type="http://schemas.openxmlformats.org/officeDocument/2006/relationships/hyperlink" Target="https://www.wipo.int/edocs/mdocs/govbody/en/wo_cc_75/wo_cc_75_3.pdf" TargetMode="External"/><Relationship Id="rId4" Type="http://schemas.openxmlformats.org/officeDocument/2006/relationships/hyperlink" Target="https://unsceb.org/human-resources-statistic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redirected$\fernands\Documents\2023%20HRAR%20_%20Ge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fernands\AppData\Local\Microsoft\Windows\INetCache\Content.Outlook\PKI59G7G\Comparative%20Analysis%20by%20Ye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r>
              <a:rPr lang="en-US" sz="1050" b="1">
                <a:effectLst/>
              </a:rPr>
              <a:t>Posts subject to geographical distribution - representation by geographical region</a:t>
            </a:r>
          </a:p>
        </c:rich>
      </c:tx>
      <c:layout>
        <c:manualLayout>
          <c:xMode val="edge"/>
          <c:yMode val="edge"/>
          <c:x val="0.13816239316239315"/>
          <c:y val="1.8818216033120061E-2"/>
        </c:manualLayout>
      </c:layout>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6121438428443867E-2"/>
          <c:y val="0.12293723243418417"/>
          <c:w val="0.58282017632411331"/>
          <c:h val="0.80576074490500504"/>
        </c:manualLayout>
      </c:layout>
      <c:barChart>
        <c:barDir val="col"/>
        <c:grouping val="percentStacked"/>
        <c:varyColors val="0"/>
        <c:ser>
          <c:idx val="0"/>
          <c:order val="0"/>
          <c:tx>
            <c:strRef>
              <c:f>Sheet1!$A$3</c:f>
              <c:strCache>
                <c:ptCount val="1"/>
                <c:pt idx="0">
                  <c:v>Western Europe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Sheet1!$B$3:$D$3</c:f>
              <c:numCache>
                <c:formatCode>0.0%</c:formatCode>
                <c:ptCount val="3"/>
                <c:pt idx="0">
                  <c:v>0.40899999999999997</c:v>
                </c:pt>
                <c:pt idx="1">
                  <c:v>0.40899999999999997</c:v>
                </c:pt>
                <c:pt idx="2">
                  <c:v>0.38900000000000001</c:v>
                </c:pt>
              </c:numCache>
            </c:numRef>
          </c:val>
          <c:extLst>
            <c:ext xmlns:c16="http://schemas.microsoft.com/office/drawing/2014/chart" uri="{C3380CC4-5D6E-409C-BE32-E72D297353CC}">
              <c16:uniqueId val="{00000000-9D88-4D5A-BB2F-0FD9072ED098}"/>
            </c:ext>
          </c:extLst>
        </c:ser>
        <c:ser>
          <c:idx val="1"/>
          <c:order val="1"/>
          <c:tx>
            <c:strRef>
              <c:f>Sheet1!$A$4</c:f>
              <c:strCache>
                <c:ptCount val="1"/>
                <c:pt idx="0">
                  <c:v>North America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Sheet1!$B$4:$D$4</c:f>
              <c:numCache>
                <c:formatCode>0.0%</c:formatCode>
                <c:ptCount val="3"/>
                <c:pt idx="0">
                  <c:v>0.108</c:v>
                </c:pt>
                <c:pt idx="1">
                  <c:v>0.104</c:v>
                </c:pt>
                <c:pt idx="2">
                  <c:v>0.105</c:v>
                </c:pt>
              </c:numCache>
            </c:numRef>
          </c:val>
          <c:extLst>
            <c:ext xmlns:c16="http://schemas.microsoft.com/office/drawing/2014/chart" uri="{C3380CC4-5D6E-409C-BE32-E72D297353CC}">
              <c16:uniqueId val="{00000001-9D88-4D5A-BB2F-0FD9072ED098}"/>
            </c:ext>
          </c:extLst>
        </c:ser>
        <c:ser>
          <c:idx val="2"/>
          <c:order val="2"/>
          <c:tx>
            <c:strRef>
              <c:f>Sheet1!$A$5</c:f>
              <c:strCache>
                <c:ptCount val="1"/>
                <c:pt idx="0">
                  <c:v>Middle East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Sheet1!$B$5:$D$5</c:f>
              <c:numCache>
                <c:formatCode>0.0%</c:formatCode>
                <c:ptCount val="3"/>
                <c:pt idx="0">
                  <c:v>0.02</c:v>
                </c:pt>
                <c:pt idx="1">
                  <c:v>0.02</c:v>
                </c:pt>
                <c:pt idx="2">
                  <c:v>2.1000000000000001E-2</c:v>
                </c:pt>
              </c:numCache>
            </c:numRef>
          </c:val>
          <c:extLst>
            <c:ext xmlns:c16="http://schemas.microsoft.com/office/drawing/2014/chart" uri="{C3380CC4-5D6E-409C-BE32-E72D297353CC}">
              <c16:uniqueId val="{00000002-9D88-4D5A-BB2F-0FD9072ED098}"/>
            </c:ext>
          </c:extLst>
        </c:ser>
        <c:ser>
          <c:idx val="3"/>
          <c:order val="3"/>
          <c:tx>
            <c:strRef>
              <c:f>Sheet1!$A$6</c:f>
              <c:strCache>
                <c:ptCount val="1"/>
                <c:pt idx="0">
                  <c:v>Latin America and the Caribbean</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Sheet1!$B$6:$D$6</c:f>
              <c:numCache>
                <c:formatCode>0.0%</c:formatCode>
                <c:ptCount val="3"/>
                <c:pt idx="0">
                  <c:v>7.2999999999999995E-2</c:v>
                </c:pt>
                <c:pt idx="1">
                  <c:v>8.2000000000000003E-2</c:v>
                </c:pt>
                <c:pt idx="2">
                  <c:v>8.4000000000000005E-2</c:v>
                </c:pt>
              </c:numCache>
            </c:numRef>
          </c:val>
          <c:extLst>
            <c:ext xmlns:c16="http://schemas.microsoft.com/office/drawing/2014/chart" uri="{C3380CC4-5D6E-409C-BE32-E72D297353CC}">
              <c16:uniqueId val="{00000003-9D88-4D5A-BB2F-0FD9072ED098}"/>
            </c:ext>
          </c:extLst>
        </c:ser>
        <c:ser>
          <c:idx val="4"/>
          <c:order val="4"/>
          <c:tx>
            <c:strRef>
              <c:f>Sheet1!$A$7</c:f>
              <c:strCache>
                <c:ptCount val="1"/>
                <c:pt idx="0">
                  <c:v>Eastern and Central Europe and 
Central Asia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Sheet1!$B$7:$D$7</c:f>
              <c:numCache>
                <c:formatCode>0.0%</c:formatCode>
                <c:ptCount val="3"/>
                <c:pt idx="0">
                  <c:v>9.0999999999999998E-2</c:v>
                </c:pt>
                <c:pt idx="1">
                  <c:v>8.5999999999999993E-2</c:v>
                </c:pt>
                <c:pt idx="2">
                  <c:v>8.8999999999999996E-2</c:v>
                </c:pt>
              </c:numCache>
            </c:numRef>
          </c:val>
          <c:extLst>
            <c:ext xmlns:c16="http://schemas.microsoft.com/office/drawing/2014/chart" uri="{C3380CC4-5D6E-409C-BE32-E72D297353CC}">
              <c16:uniqueId val="{00000004-9D88-4D5A-BB2F-0FD9072ED098}"/>
            </c:ext>
          </c:extLst>
        </c:ser>
        <c:ser>
          <c:idx val="5"/>
          <c:order val="5"/>
          <c:tx>
            <c:strRef>
              <c:f>Sheet1!$A$8</c:f>
              <c:strCache>
                <c:ptCount val="1"/>
                <c:pt idx="0">
                  <c:v>Asia and the Pacific</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Sheet1!$B$8:$D$8</c:f>
              <c:numCache>
                <c:formatCode>0.0%</c:formatCode>
                <c:ptCount val="3"/>
                <c:pt idx="0">
                  <c:v>0.19500000000000001</c:v>
                </c:pt>
                <c:pt idx="1">
                  <c:v>0.19600000000000001</c:v>
                </c:pt>
                <c:pt idx="2">
                  <c:v>0.20100000000000001</c:v>
                </c:pt>
              </c:numCache>
            </c:numRef>
          </c:val>
          <c:extLst>
            <c:ext xmlns:c16="http://schemas.microsoft.com/office/drawing/2014/chart" uri="{C3380CC4-5D6E-409C-BE32-E72D297353CC}">
              <c16:uniqueId val="{00000005-9D88-4D5A-BB2F-0FD9072ED098}"/>
            </c:ext>
          </c:extLst>
        </c:ser>
        <c:ser>
          <c:idx val="6"/>
          <c:order val="6"/>
          <c:tx>
            <c:strRef>
              <c:f>Sheet1!$A$9</c:f>
              <c:strCache>
                <c:ptCount val="1"/>
                <c:pt idx="0">
                  <c:v>Africa</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Sheet1!$B$2:$D$2</c:f>
              <c:numCache>
                <c:formatCode>General</c:formatCode>
                <c:ptCount val="3"/>
                <c:pt idx="0">
                  <c:v>2020</c:v>
                </c:pt>
                <c:pt idx="1">
                  <c:v>2021</c:v>
                </c:pt>
                <c:pt idx="2">
                  <c:v>2022</c:v>
                </c:pt>
              </c:numCache>
            </c:numRef>
          </c:cat>
          <c:val>
            <c:numRef>
              <c:f>Sheet1!$B$9:$D$9</c:f>
              <c:numCache>
                <c:formatCode>0.0%</c:formatCode>
                <c:ptCount val="3"/>
                <c:pt idx="0">
                  <c:v>0.104</c:v>
                </c:pt>
                <c:pt idx="1">
                  <c:v>0.104</c:v>
                </c:pt>
                <c:pt idx="2">
                  <c:v>0.112</c:v>
                </c:pt>
              </c:numCache>
            </c:numRef>
          </c:val>
          <c:extLst>
            <c:ext xmlns:c16="http://schemas.microsoft.com/office/drawing/2014/chart" uri="{C3380CC4-5D6E-409C-BE32-E72D297353CC}">
              <c16:uniqueId val="{00000006-9D88-4D5A-BB2F-0FD9072ED098}"/>
            </c:ext>
          </c:extLst>
        </c:ser>
        <c:dLbls>
          <c:dLblPos val="ctr"/>
          <c:showLegendKey val="0"/>
          <c:showVal val="1"/>
          <c:showCatName val="0"/>
          <c:showSerName val="0"/>
          <c:showPercent val="0"/>
          <c:showBubbleSize val="0"/>
        </c:dLbls>
        <c:gapWidth val="150"/>
        <c:overlap val="100"/>
        <c:axId val="214643935"/>
        <c:axId val="214641439"/>
      </c:barChart>
      <c:catAx>
        <c:axId val="214643935"/>
        <c:scaling>
          <c:orientation val="minMax"/>
        </c:scaling>
        <c:delete val="0"/>
        <c:axPos val="b"/>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641439"/>
        <c:crosses val="autoZero"/>
        <c:auto val="1"/>
        <c:lblAlgn val="ctr"/>
        <c:lblOffset val="100"/>
        <c:noMultiLvlLbl val="0"/>
      </c:catAx>
      <c:valAx>
        <c:axId val="2146414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643935"/>
        <c:crosses val="autoZero"/>
        <c:crossBetween val="between"/>
      </c:valAx>
      <c:spPr>
        <a:noFill/>
        <a:ln>
          <a:solidFill>
            <a:schemeClr val="accent1"/>
          </a:solidFill>
        </a:ln>
        <a:effectLst/>
      </c:spPr>
    </c:plotArea>
    <c:legend>
      <c:legendPos val="r"/>
      <c:layout>
        <c:manualLayout>
          <c:xMode val="edge"/>
          <c:yMode val="edge"/>
          <c:x val="0.68926929806851056"/>
          <c:y val="0.17961676036261368"/>
          <c:w val="0.28936318056396798"/>
          <c:h val="0.731093916233748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Arial" panose="020B0604020202020204" pitchFamily="34" charset="0"/>
                <a:cs typeface="Arial" panose="020B0604020202020204" pitchFamily="34" charset="0"/>
              </a:rPr>
              <a:t>Comparison - WIPO</a:t>
            </a:r>
            <a:r>
              <a:rPr lang="en-US" sz="1400" baseline="0">
                <a:latin typeface="Arial" panose="020B0604020202020204" pitchFamily="34" charset="0"/>
                <a:cs typeface="Arial" panose="020B0604020202020204" pitchFamily="34" charset="0"/>
              </a:rPr>
              <a:t> 2018 and 2022 performance</a:t>
            </a:r>
            <a:r>
              <a:rPr lang="en-US" sz="1400">
                <a:latin typeface="Arial" panose="020B0604020202020204" pitchFamily="34" charset="0"/>
                <a:cs typeface="Arial" panose="020B0604020202020204" pitchFamily="34" charset="0"/>
              </a:rPr>
              <a:t> </a:t>
            </a:r>
          </a:p>
        </c:rich>
      </c:tx>
      <c:layout>
        <c:manualLayout>
          <c:xMode val="edge"/>
          <c:yMode val="edge"/>
          <c:x val="0.11828429784064269"/>
          <c:y val="3.2706459525756335E-2"/>
        </c:manualLayout>
      </c:layout>
      <c:overlay val="0"/>
    </c:title>
    <c:autoTitleDeleted val="0"/>
    <c:plotArea>
      <c:layout/>
      <c:barChart>
        <c:barDir val="bar"/>
        <c:grouping val="percentStacked"/>
        <c:varyColors val="0"/>
        <c:ser>
          <c:idx val="0"/>
          <c:order val="0"/>
          <c:tx>
            <c:v>Not Applicable</c:v>
          </c:tx>
          <c:spPr>
            <a:solidFill>
              <a:srgbClr val="CBBFB6"/>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2018</c:v>
                </c:pt>
                <c:pt idx="1">
                  <c:v>2022</c:v>
                </c:pt>
              </c:numCache>
            </c:numRef>
          </c:cat>
          <c:val>
            <c:numRef>
              <c:f>'Comparative Analysis by Year'!$D$7:$E$7</c:f>
              <c:numCache>
                <c:formatCode>#,##0;;;</c:formatCode>
                <c:ptCount val="2"/>
                <c:pt idx="0">
                  <c:v>6</c:v>
                </c:pt>
                <c:pt idx="1">
                  <c:v>6</c:v>
                </c:pt>
              </c:numCache>
            </c:numRef>
          </c:val>
          <c:extLst>
            <c:ext xmlns:c16="http://schemas.microsoft.com/office/drawing/2014/chart" uri="{C3380CC4-5D6E-409C-BE32-E72D297353CC}">
              <c16:uniqueId val="{00000000-79C4-43D8-BAA6-193FB5458830}"/>
            </c:ext>
          </c:extLst>
        </c:ser>
        <c:ser>
          <c:idx val="1"/>
          <c:order val="1"/>
          <c:tx>
            <c:v>Missing</c:v>
          </c:tx>
          <c:spPr>
            <a:solidFill>
              <a:srgbClr val="D31E49"/>
            </a:solidFill>
          </c:spPr>
          <c:invertIfNegative val="0"/>
          <c:dLbls>
            <c:spPr>
              <a:noFill/>
              <a:ln>
                <a:noFill/>
              </a:ln>
              <a:effectLst/>
            </c:spPr>
            <c:txPr>
              <a:bodyPr rot="0" vert="horz"/>
              <a:lstStyle/>
              <a:p>
                <a:pPr algn="ctr">
                  <a:defRPr lang="en-US" sz="800" b="1" u="none" baseline="0">
                    <a:solidFill>
                      <a:srgbClr val="FFFFF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2018</c:v>
                </c:pt>
                <c:pt idx="1">
                  <c:v>2022</c:v>
                </c:pt>
              </c:numCache>
            </c:numRef>
          </c:cat>
          <c:val>
            <c:numRef>
              <c:f>'Comparative Analysis by Year'!$D$8:$E$8</c:f>
              <c:numCache>
                <c:formatCode>#,##0;;;</c:formatCode>
                <c:ptCount val="2"/>
                <c:pt idx="0">
                  <c:v>18</c:v>
                </c:pt>
                <c:pt idx="1">
                  <c:v>18</c:v>
                </c:pt>
              </c:numCache>
            </c:numRef>
          </c:val>
          <c:extLst>
            <c:ext xmlns:c16="http://schemas.microsoft.com/office/drawing/2014/chart" uri="{C3380CC4-5D6E-409C-BE32-E72D297353CC}">
              <c16:uniqueId val="{00000001-79C4-43D8-BAA6-193FB5458830}"/>
            </c:ext>
          </c:extLst>
        </c:ser>
        <c:ser>
          <c:idx val="2"/>
          <c:order val="2"/>
          <c:tx>
            <c:v>Approaches requirements</c:v>
          </c:tx>
          <c:spPr>
            <a:solidFill>
              <a:srgbClr val="FBC014"/>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2018</c:v>
                </c:pt>
                <c:pt idx="1">
                  <c:v>2022</c:v>
                </c:pt>
              </c:numCache>
            </c:numRef>
          </c:cat>
          <c:val>
            <c:numRef>
              <c:f>'Comparative Analysis by Year'!$D$9:$E$9</c:f>
              <c:numCache>
                <c:formatCode>#,##0;;;</c:formatCode>
                <c:ptCount val="2"/>
                <c:pt idx="0">
                  <c:v>53</c:v>
                </c:pt>
                <c:pt idx="1">
                  <c:v>29</c:v>
                </c:pt>
              </c:numCache>
            </c:numRef>
          </c:val>
          <c:extLst>
            <c:ext xmlns:c16="http://schemas.microsoft.com/office/drawing/2014/chart" uri="{C3380CC4-5D6E-409C-BE32-E72D297353CC}">
              <c16:uniqueId val="{00000002-79C4-43D8-BAA6-193FB5458830}"/>
            </c:ext>
          </c:extLst>
        </c:ser>
        <c:ser>
          <c:idx val="3"/>
          <c:order val="3"/>
          <c:tx>
            <c:v>Meets requirements</c:v>
          </c:tx>
          <c:spPr>
            <a:solidFill>
              <a:srgbClr val="94CA54"/>
            </a:solidFill>
          </c:spPr>
          <c:invertIfNegative val="0"/>
          <c:dLbls>
            <c:spPr>
              <a:noFill/>
              <a:ln>
                <a:noFill/>
              </a:ln>
              <a:effectLst/>
            </c:spPr>
            <c:txPr>
              <a:bodyPr rot="0" vert="horz"/>
              <a:lstStyle/>
              <a:p>
                <a:pPr algn="ctr">
                  <a:defRPr lang="en-US" sz="800" b="1" u="none" baseline="0">
                    <a:solidFill>
                      <a:srgbClr val="4D4D4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2018</c:v>
                </c:pt>
                <c:pt idx="1">
                  <c:v>2022</c:v>
                </c:pt>
              </c:numCache>
            </c:numRef>
          </c:cat>
          <c:val>
            <c:numRef>
              <c:f>'Comparative Analysis by Year'!$D$10:$E$10</c:f>
              <c:numCache>
                <c:formatCode>#,##0;;;</c:formatCode>
                <c:ptCount val="2"/>
                <c:pt idx="0">
                  <c:v>24</c:v>
                </c:pt>
                <c:pt idx="1">
                  <c:v>29</c:v>
                </c:pt>
              </c:numCache>
            </c:numRef>
          </c:val>
          <c:extLst>
            <c:ext xmlns:c16="http://schemas.microsoft.com/office/drawing/2014/chart" uri="{C3380CC4-5D6E-409C-BE32-E72D297353CC}">
              <c16:uniqueId val="{00000003-79C4-43D8-BAA6-193FB5458830}"/>
            </c:ext>
          </c:extLst>
        </c:ser>
        <c:ser>
          <c:idx val="4"/>
          <c:order val="4"/>
          <c:tx>
            <c:v>Exceeds requirements</c:v>
          </c:tx>
          <c:spPr>
            <a:solidFill>
              <a:srgbClr val="0894D3"/>
            </a:solidFill>
          </c:spPr>
          <c:invertIfNegative val="0"/>
          <c:dLbls>
            <c:spPr>
              <a:noFill/>
              <a:ln>
                <a:noFill/>
              </a:ln>
              <a:effectLst/>
            </c:spPr>
            <c:txPr>
              <a:bodyPr rot="0" vert="horz"/>
              <a:lstStyle/>
              <a:p>
                <a:pPr algn="ctr">
                  <a:defRPr lang="en-US" sz="800" b="1" u="none" baseline="0">
                    <a:solidFill>
                      <a:srgbClr val="FFFFFF"/>
                    </a:solidFill>
                    <a:latin typeface="The Sans Bold plain"/>
                    <a:ea typeface="The Sans Bold plain"/>
                    <a:cs typeface="The Sans Bold plai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'Comparative Analysis by Year'!$D$6:$E$6</c:f>
              <c:numCache>
                <c:formatCode>General</c:formatCode>
                <c:ptCount val="2"/>
                <c:pt idx="0">
                  <c:v>2018</c:v>
                </c:pt>
                <c:pt idx="1">
                  <c:v>2022</c:v>
                </c:pt>
              </c:numCache>
            </c:numRef>
          </c:cat>
          <c:val>
            <c:numRef>
              <c:f>'Comparative Analysis by Year'!$D$11:$E$11</c:f>
              <c:numCache>
                <c:formatCode>#,##0;;;</c:formatCode>
                <c:ptCount val="2"/>
                <c:pt idx="0">
                  <c:v>0</c:v>
                </c:pt>
                <c:pt idx="1">
                  <c:v>18</c:v>
                </c:pt>
              </c:numCache>
            </c:numRef>
          </c:val>
          <c:extLst>
            <c:ext xmlns:c16="http://schemas.microsoft.com/office/drawing/2014/chart" uri="{C3380CC4-5D6E-409C-BE32-E72D297353CC}">
              <c16:uniqueId val="{00000004-79C4-43D8-BAA6-193FB5458830}"/>
            </c:ext>
          </c:extLst>
        </c:ser>
        <c:dLbls>
          <c:showLegendKey val="0"/>
          <c:showVal val="0"/>
          <c:showCatName val="0"/>
          <c:showSerName val="0"/>
          <c:showPercent val="0"/>
          <c:showBubbleSize val="0"/>
        </c:dLbls>
        <c:gapWidth val="15"/>
        <c:overlap val="100"/>
        <c:axId val="62550391"/>
        <c:axId val="5037220"/>
      </c:barChart>
      <c:catAx>
        <c:axId val="62550391"/>
        <c:scaling>
          <c:orientation val="minMax"/>
        </c:scaling>
        <c:delete val="0"/>
        <c:axPos val="l"/>
        <c:numFmt formatCode="General" sourceLinked="1"/>
        <c:majorTickMark val="none"/>
        <c:minorTickMark val="none"/>
        <c:tickLblPos val="nextTo"/>
        <c:spPr>
          <a:ln w="6350" cap="flat" cmpd="sng">
            <a:solidFill>
              <a:srgbClr val="4D4D4F"/>
            </a:solidFill>
          </a:ln>
        </c:spPr>
        <c:txPr>
          <a:bodyPr/>
          <a:lstStyle/>
          <a:p>
            <a:pPr>
              <a:defRPr lang="en-US" sz="900" b="1" u="none" baseline="0">
                <a:solidFill>
                  <a:srgbClr val="4D4D4F"/>
                </a:solidFill>
                <a:latin typeface="The Sans Bold plain"/>
                <a:ea typeface="The Sans Bold plain"/>
                <a:cs typeface="The Sans Bold plain"/>
              </a:defRPr>
            </a:pPr>
            <a:endParaRPr lang="en-US"/>
          </a:p>
        </c:txPr>
        <c:crossAx val="5037220"/>
        <c:crosses val="autoZero"/>
        <c:auto val="1"/>
        <c:lblAlgn val="ctr"/>
        <c:lblOffset val="100"/>
        <c:noMultiLvlLbl val="0"/>
      </c:catAx>
      <c:valAx>
        <c:axId val="5037220"/>
        <c:scaling>
          <c:orientation val="minMax"/>
          <c:max val="1"/>
        </c:scaling>
        <c:delete val="0"/>
        <c:axPos val="b"/>
        <c:majorGridlines>
          <c:spPr>
            <a:ln w="6350" cap="flat" cmpd="sng"/>
          </c:spPr>
        </c:majorGridlines>
        <c:numFmt formatCode="0%" sourceLinked="1"/>
        <c:majorTickMark val="out"/>
        <c:minorTickMark val="none"/>
        <c:tickLblPos val="nextTo"/>
        <c:spPr>
          <a:ln w="6350">
            <a:noFill/>
          </a:ln>
        </c:spPr>
        <c:txPr>
          <a:bodyPr/>
          <a:lstStyle/>
          <a:p>
            <a:pPr>
              <a:defRPr lang="en-US" sz="900" u="none" baseline="0">
                <a:solidFill>
                  <a:srgbClr val="4D4D4F"/>
                </a:solidFill>
                <a:latin typeface="The Sans-"/>
                <a:ea typeface="The Sans-"/>
                <a:cs typeface="The Sans-"/>
              </a:defRPr>
            </a:pPr>
            <a:endParaRPr lang="en-US"/>
          </a:p>
        </c:txPr>
        <c:crossAx val="62550391"/>
        <c:crosses val="autoZero"/>
        <c:crossBetween val="between"/>
        <c:majorUnit val="0.2"/>
      </c:valAx>
      <c:spPr>
        <a:noFill/>
        <a:ln w="12700">
          <a:noFill/>
        </a:ln>
      </c:spPr>
    </c:plotArea>
    <c:legend>
      <c:legendPos val="b"/>
      <c:layout>
        <c:manualLayout>
          <c:xMode val="edge"/>
          <c:yMode val="edge"/>
          <c:x val="1.8978776771022273E-2"/>
          <c:y val="0.77832746376858253"/>
          <c:w val="0.95349086976100195"/>
          <c:h val="0.18896607670566118"/>
        </c:manualLayout>
      </c:layout>
      <c:overlay val="0"/>
    </c:legend>
    <c:plotVisOnly val="1"/>
    <c:dispBlanksAs val="gap"/>
    <c:showDLblsOverMax val="0"/>
  </c:chart>
  <c:spPr>
    <a:ln w="6350">
      <a:solidFill>
        <a:schemeClr val="accent1"/>
      </a:solid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22F54D194614498BA87ECD06088C3" ma:contentTypeVersion="6" ma:contentTypeDescription="Create a new document." ma:contentTypeScope="" ma:versionID="1be6023a0dc0625664a7373719b11dc0">
  <xsd:schema xmlns:xsd="http://www.w3.org/2001/XMLSchema" xmlns:xs="http://www.w3.org/2001/XMLSchema" xmlns:p="http://schemas.microsoft.com/office/2006/metadata/properties" xmlns:ns3="b8ac7bfc-b717-4771-8771-84b15aa4ec7f" xmlns:ns4="dc03b798-6b1c-4703-82fc-3ac5d079d6b4" targetNamespace="http://schemas.microsoft.com/office/2006/metadata/properties" ma:root="true" ma:fieldsID="cd66bc7c3715485d9c6ca8b7c4bc7b0e" ns3:_="" ns4:_="">
    <xsd:import namespace="b8ac7bfc-b717-4771-8771-84b15aa4ec7f"/>
    <xsd:import namespace="dc03b798-6b1c-4703-82fc-3ac5d079d6b4"/>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c7bfc-b717-4771-8771-84b15aa4e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3b798-6b1c-4703-82fc-3ac5d079d6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8ac7bfc-b717-4771-8771-84b15aa4ec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1806A-705A-4AD8-A991-8CCC1003BEAB}">
  <ds:schemaRefs>
    <ds:schemaRef ds:uri="http://schemas.microsoft.com/sharepoint/v3/contenttype/forms"/>
  </ds:schemaRefs>
</ds:datastoreItem>
</file>

<file path=customXml/itemProps2.xml><?xml version="1.0" encoding="utf-8"?>
<ds:datastoreItem xmlns:ds="http://schemas.openxmlformats.org/officeDocument/2006/customXml" ds:itemID="{7C040080-23BB-4107-B369-4AE56166B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c7bfc-b717-4771-8771-84b15aa4ec7f"/>
    <ds:schemaRef ds:uri="dc03b798-6b1c-4703-82fc-3ac5d079d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F8EF4-D405-49C8-A0DB-1640FD59CF71}">
  <ds:schemaRefs>
    <ds:schemaRef ds:uri="http://purl.org/dc/dcmitype/"/>
    <ds:schemaRef ds:uri="http://schemas.microsoft.com/office/2006/documentManagement/types"/>
    <ds:schemaRef ds:uri="http://schemas.openxmlformats.org/package/2006/metadata/core-properties"/>
    <ds:schemaRef ds:uri="http://www.w3.org/XML/1998/namespace"/>
    <ds:schemaRef ds:uri="dc03b798-6b1c-4703-82fc-3ac5d079d6b4"/>
    <ds:schemaRef ds:uri="http://purl.org/dc/terms/"/>
    <ds:schemaRef ds:uri="http://purl.org/dc/elements/1.1/"/>
    <ds:schemaRef ds:uri="http://schemas.microsoft.com/office/infopath/2007/PartnerControls"/>
    <ds:schemaRef ds:uri="b8ac7bfc-b717-4771-8771-84b15aa4ec7f"/>
    <ds:schemaRef ds:uri="http://schemas.microsoft.com/office/2006/metadata/properties"/>
  </ds:schemaRefs>
</ds:datastoreItem>
</file>

<file path=customXml/itemProps4.xml><?xml version="1.0" encoding="utf-8"?>
<ds:datastoreItem xmlns:ds="http://schemas.openxmlformats.org/officeDocument/2006/customXml" ds:itemID="{5C9FA76E-689B-4B70-B816-BEF95EEF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19</Pages>
  <Words>8028</Words>
  <Characters>44823</Characters>
  <Application>Microsoft Office Word</Application>
  <DocSecurity>0</DocSecurity>
  <Lines>996</Lines>
  <Paragraphs>336</Paragraphs>
  <ScaleCrop>false</ScaleCrop>
  <HeadingPairs>
    <vt:vector size="2" baseType="variant">
      <vt:variant>
        <vt:lpstr>Title</vt:lpstr>
      </vt:variant>
      <vt:variant>
        <vt:i4>1</vt:i4>
      </vt:variant>
    </vt:vector>
  </HeadingPairs>
  <TitlesOfParts>
    <vt:vector size="1" baseType="lpstr">
      <vt:lpstr>WO/CC/82/INF/1</vt:lpstr>
    </vt:vector>
  </TitlesOfParts>
  <Company>WIPO</Company>
  <LinksUpToDate>false</LinksUpToDate>
  <CharactersWithSpaces>52515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WO/CC/82/INF/1</dc:title>
  <dc:subject>Sixty-Fourth Series of Meetings</dc:subject>
  <dc:creator>WIPO</dc:creator>
  <cp:keywords>PUBLIC</cp:keywords>
  <dc:description/>
  <cp:lastModifiedBy>HÄFLIGER Patience</cp:lastModifiedBy>
  <cp:revision>17</cp:revision>
  <cp:lastPrinted>2023-05-25T12:01:00Z</cp:lastPrinted>
  <dcterms:created xsi:type="dcterms:W3CDTF">2023-06-12T14:57:00Z</dcterms:created>
  <dcterms:modified xsi:type="dcterms:W3CDTF">2023-06-16T15:20:00Z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78c1a453-a41d-4802-8f71-bc81e644b114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0x01010082B22F54D194614498BA87ECD06088C3</vt:lpwstr>
  </property>
  <property fmtid="{D5CDD505-2E9C-101B-9397-08002B2CF9AE}" pid="9" name="GrammarlyDocumentId">
    <vt:lpwstr>e583b3902dd2e55ee0e0999188b4a9d00efabbcb097e07f103d8438502192eec</vt:lpwstr>
  </property>
  <property fmtid="{D5CDD505-2E9C-101B-9397-08002B2CF9AE}" pid="10" name="MSIP_Label_20773ee6-353b-4fb9-a59d-0b94c8c67bea_Enabled">
    <vt:lpwstr>true</vt:lpwstr>
  </property>
  <property fmtid="{D5CDD505-2E9C-101B-9397-08002B2CF9AE}" pid="11" name="MSIP_Label_20773ee6-353b-4fb9-a59d-0b94c8c67bea_SetDate">
    <vt:lpwstr>2023-06-13T09:32:13Z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574c508e-f646-4242-824d-9128a3ef863d</vt:lpwstr>
  </property>
  <property fmtid="{D5CDD505-2E9C-101B-9397-08002B2CF9AE}" pid="16" name="MSIP_Label_20773ee6-353b-4fb9-a59d-0b94c8c67bea_ContentBits">
    <vt:lpwstr>0</vt:lpwstr>
  </property>
</Properties>
</file>