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3AF63" w14:textId="77777777" w:rsidR="008B2CC1" w:rsidRPr="00F043DE" w:rsidRDefault="00B92F1F" w:rsidP="0060728F">
      <w:pPr>
        <w:pBdr>
          <w:bottom w:val="single" w:sz="4" w:space="11" w:color="auto"/>
        </w:pBdr>
        <w:spacing w:after="120"/>
        <w:jc w:val="right"/>
        <w:rPr>
          <w:b/>
          <w:sz w:val="32"/>
          <w:szCs w:val="40"/>
        </w:rPr>
      </w:pPr>
      <w:r>
        <w:rPr>
          <w:noProof/>
          <w:sz w:val="28"/>
          <w:szCs w:val="28"/>
          <w:lang w:eastAsia="en-US"/>
        </w:rPr>
        <w:drawing>
          <wp:inline distT="0" distB="0" distL="0" distR="0" wp14:anchorId="4F23EE06" wp14:editId="306F292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DCC54C9" w14:textId="6EEF8A3D" w:rsidR="008B2CC1" w:rsidRPr="00B75281" w:rsidRDefault="0060728F" w:rsidP="00EB2F76">
      <w:pPr>
        <w:jc w:val="right"/>
        <w:rPr>
          <w:rFonts w:ascii="Arial Black" w:hAnsi="Arial Black"/>
          <w:sz w:val="15"/>
          <w:szCs w:val="15"/>
        </w:rPr>
      </w:pPr>
      <w:r>
        <w:rPr>
          <w:rFonts w:ascii="Arial Black" w:hAnsi="Arial Black"/>
          <w:sz w:val="15"/>
          <w:szCs w:val="15"/>
        </w:rPr>
        <w:t>WO/CC/8</w:t>
      </w:r>
      <w:r w:rsidR="00BF21AE">
        <w:rPr>
          <w:rFonts w:ascii="Arial Black" w:hAnsi="Arial Black"/>
          <w:sz w:val="15"/>
          <w:szCs w:val="15"/>
        </w:rPr>
        <w:t>1</w:t>
      </w:r>
      <w:r>
        <w:rPr>
          <w:rFonts w:ascii="Arial Black" w:hAnsi="Arial Black"/>
          <w:sz w:val="15"/>
          <w:szCs w:val="15"/>
        </w:rPr>
        <w:t>/</w:t>
      </w:r>
      <w:bookmarkStart w:id="0" w:name="Code"/>
      <w:bookmarkEnd w:id="0"/>
      <w:r w:rsidR="00276BEE">
        <w:rPr>
          <w:rFonts w:ascii="Arial Black" w:hAnsi="Arial Black"/>
          <w:sz w:val="15"/>
          <w:szCs w:val="15"/>
        </w:rPr>
        <w:t>INF</w:t>
      </w:r>
      <w:r w:rsidR="0006560C">
        <w:rPr>
          <w:rFonts w:ascii="Arial Black" w:hAnsi="Arial Black"/>
          <w:sz w:val="15"/>
          <w:szCs w:val="15"/>
        </w:rPr>
        <w:t>/</w:t>
      </w:r>
      <w:r w:rsidR="00276BEE">
        <w:rPr>
          <w:rFonts w:ascii="Arial Black" w:hAnsi="Arial Black"/>
          <w:sz w:val="15"/>
          <w:szCs w:val="15"/>
        </w:rPr>
        <w:t>1</w:t>
      </w:r>
    </w:p>
    <w:p w14:paraId="52DD8B78"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276BEE">
        <w:rPr>
          <w:rFonts w:ascii="Arial Black" w:hAnsi="Arial Black"/>
          <w:caps/>
          <w:sz w:val="15"/>
          <w:szCs w:val="15"/>
        </w:rPr>
        <w:t>English</w:t>
      </w:r>
    </w:p>
    <w:bookmarkEnd w:id="1"/>
    <w:p w14:paraId="183C5C87" w14:textId="1892FFAD"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163789">
        <w:rPr>
          <w:rFonts w:ascii="Arial Black" w:hAnsi="Arial Black"/>
          <w:caps/>
          <w:sz w:val="15"/>
          <w:szCs w:val="15"/>
        </w:rPr>
        <w:t xml:space="preserve">may </w:t>
      </w:r>
      <w:r w:rsidR="00725C8C">
        <w:rPr>
          <w:rFonts w:ascii="Arial Black" w:hAnsi="Arial Black"/>
          <w:caps/>
          <w:sz w:val="15"/>
          <w:szCs w:val="15"/>
        </w:rPr>
        <w:t>2</w:t>
      </w:r>
      <w:r w:rsidR="00163789">
        <w:rPr>
          <w:rFonts w:ascii="Arial Black" w:hAnsi="Arial Black"/>
          <w:caps/>
          <w:sz w:val="15"/>
          <w:szCs w:val="15"/>
        </w:rPr>
        <w:t>3</w:t>
      </w:r>
      <w:r w:rsidR="00276BEE">
        <w:rPr>
          <w:rFonts w:ascii="Arial Black" w:hAnsi="Arial Black"/>
          <w:caps/>
          <w:sz w:val="15"/>
          <w:szCs w:val="15"/>
        </w:rPr>
        <w:t>, 202</w:t>
      </w:r>
      <w:r w:rsidR="00BF21AE">
        <w:rPr>
          <w:rFonts w:ascii="Arial Black" w:hAnsi="Arial Black"/>
          <w:caps/>
          <w:sz w:val="15"/>
          <w:szCs w:val="15"/>
        </w:rPr>
        <w:t>2</w:t>
      </w:r>
    </w:p>
    <w:bookmarkEnd w:id="2"/>
    <w:p w14:paraId="5EB66A07" w14:textId="77777777" w:rsidR="008B2CC1" w:rsidRPr="00720EFD" w:rsidRDefault="0060728F" w:rsidP="00720EFD">
      <w:pPr>
        <w:pStyle w:val="Heading1"/>
        <w:spacing w:before="0" w:after="480"/>
        <w:rPr>
          <w:sz w:val="28"/>
          <w:szCs w:val="28"/>
        </w:rPr>
      </w:pPr>
      <w:r w:rsidRPr="004C7DB9">
        <w:rPr>
          <w:caps w:val="0"/>
          <w:sz w:val="28"/>
        </w:rPr>
        <w:t>WIPO Coordination Committee</w:t>
      </w:r>
    </w:p>
    <w:p w14:paraId="170E7738" w14:textId="0AE1C3B5" w:rsidR="008B2CC1" w:rsidRPr="003845C1" w:rsidRDefault="0060728F" w:rsidP="00F9165B">
      <w:pPr>
        <w:spacing w:after="720"/>
        <w:outlineLvl w:val="1"/>
        <w:rPr>
          <w:b/>
          <w:sz w:val="24"/>
          <w:szCs w:val="24"/>
        </w:rPr>
      </w:pPr>
      <w:r>
        <w:rPr>
          <w:b/>
          <w:sz w:val="24"/>
        </w:rPr>
        <w:t>Eight</w:t>
      </w:r>
      <w:r w:rsidR="000C67B1">
        <w:rPr>
          <w:b/>
          <w:sz w:val="24"/>
        </w:rPr>
        <w:t>y-First</w:t>
      </w:r>
      <w:r w:rsidRPr="00A70E06">
        <w:rPr>
          <w:b/>
          <w:sz w:val="24"/>
        </w:rPr>
        <w:t xml:space="preserve"> (</w:t>
      </w:r>
      <w:r w:rsidR="00BF21AE">
        <w:rPr>
          <w:b/>
          <w:sz w:val="24"/>
        </w:rPr>
        <w:t>53</w:t>
      </w:r>
      <w:r w:rsidR="00BF21AE" w:rsidRPr="006221A7">
        <w:rPr>
          <w:b/>
          <w:sz w:val="24"/>
          <w:vertAlign w:val="superscript"/>
        </w:rPr>
        <w:t>rd</w:t>
      </w:r>
      <w:r w:rsidR="00BF21AE">
        <w:rPr>
          <w:b/>
          <w:sz w:val="24"/>
        </w:rPr>
        <w:t xml:space="preserve"> </w:t>
      </w:r>
      <w:r w:rsidRPr="00A70E06">
        <w:rPr>
          <w:b/>
          <w:sz w:val="24"/>
        </w:rPr>
        <w:t>Ordinary) Session</w:t>
      </w:r>
      <w:r w:rsidR="001D4107">
        <w:rPr>
          <w:b/>
          <w:sz w:val="24"/>
          <w:szCs w:val="24"/>
        </w:rPr>
        <w:br/>
      </w:r>
      <w:r w:rsidRPr="009C127D">
        <w:rPr>
          <w:b/>
          <w:sz w:val="24"/>
        </w:rPr>
        <w:t xml:space="preserve">Geneva, </w:t>
      </w:r>
      <w:r w:rsidR="004F467D">
        <w:rPr>
          <w:b/>
          <w:sz w:val="24"/>
        </w:rPr>
        <w:t>July 1</w:t>
      </w:r>
      <w:r w:rsidR="00B034D1">
        <w:rPr>
          <w:b/>
          <w:sz w:val="24"/>
        </w:rPr>
        <w:t>4</w:t>
      </w:r>
      <w:r w:rsidR="004F467D">
        <w:rPr>
          <w:b/>
          <w:sz w:val="24"/>
        </w:rPr>
        <w:t xml:space="preserve"> to 22, 2022</w:t>
      </w:r>
    </w:p>
    <w:p w14:paraId="21006FAB" w14:textId="77777777" w:rsidR="008B2CC1" w:rsidRPr="003845C1" w:rsidRDefault="00276BEE" w:rsidP="00DD7B7F">
      <w:pPr>
        <w:spacing w:after="360"/>
        <w:outlineLvl w:val="0"/>
        <w:rPr>
          <w:caps/>
          <w:sz w:val="24"/>
        </w:rPr>
      </w:pPr>
      <w:bookmarkStart w:id="3" w:name="TitleOfDoc"/>
      <w:r>
        <w:rPr>
          <w:caps/>
          <w:sz w:val="24"/>
        </w:rPr>
        <w:t>Annual Report on Human Resources</w:t>
      </w:r>
    </w:p>
    <w:p w14:paraId="28C8C22C" w14:textId="77777777" w:rsidR="002928D3" w:rsidRPr="00F9165B" w:rsidRDefault="00276BEE" w:rsidP="001D4107">
      <w:pPr>
        <w:spacing w:after="1040"/>
        <w:rPr>
          <w:i/>
        </w:rPr>
      </w:pPr>
      <w:bookmarkStart w:id="4" w:name="Prepared"/>
      <w:bookmarkEnd w:id="3"/>
      <w:bookmarkEnd w:id="4"/>
      <w:proofErr w:type="gramStart"/>
      <w:r>
        <w:rPr>
          <w:i/>
        </w:rPr>
        <w:t>prepared</w:t>
      </w:r>
      <w:proofErr w:type="gramEnd"/>
      <w:r>
        <w:rPr>
          <w:i/>
        </w:rPr>
        <w:t xml:space="preserve"> by the Secretariat</w:t>
      </w:r>
    </w:p>
    <w:p w14:paraId="38CDDDAA" w14:textId="77777777" w:rsidR="00276BEE" w:rsidRDefault="00276BEE" w:rsidP="00276BEE">
      <w:pPr>
        <w:pStyle w:val="Heading1"/>
        <w:numPr>
          <w:ilvl w:val="0"/>
          <w:numId w:val="11"/>
        </w:numPr>
        <w:spacing w:before="0"/>
        <w:ind w:left="567" w:hanging="567"/>
      </w:pPr>
      <w:r w:rsidRPr="00C74477">
        <w:t>INTRODUCTION</w:t>
      </w:r>
    </w:p>
    <w:p w14:paraId="4CBD87C4" w14:textId="77777777" w:rsidR="00276BEE" w:rsidRDefault="00276BEE" w:rsidP="00276BEE">
      <w:pPr>
        <w:pStyle w:val="ListParagraph"/>
        <w:ind w:left="0"/>
        <w:rPr>
          <w:szCs w:val="22"/>
        </w:rPr>
      </w:pPr>
    </w:p>
    <w:p w14:paraId="1E0E4F35" w14:textId="164C544A" w:rsidR="00276BEE" w:rsidRDefault="004F467D" w:rsidP="00276BEE">
      <w:pPr>
        <w:pStyle w:val="ListParagraph"/>
        <w:numPr>
          <w:ilvl w:val="0"/>
          <w:numId w:val="12"/>
        </w:numPr>
        <w:ind w:left="0" w:firstLine="0"/>
        <w:rPr>
          <w:szCs w:val="22"/>
        </w:rPr>
      </w:pPr>
      <w:r>
        <w:rPr>
          <w:szCs w:val="22"/>
        </w:rPr>
        <w:t>In light of the convening of the Assemblies of the Member States of WIPO in July 2022, t</w:t>
      </w:r>
      <w:r w:rsidR="00276BEE" w:rsidRPr="009A5EF0">
        <w:rPr>
          <w:szCs w:val="22"/>
        </w:rPr>
        <w:t>his Annual Repor</w:t>
      </w:r>
      <w:r w:rsidR="004D274C">
        <w:rPr>
          <w:szCs w:val="22"/>
        </w:rPr>
        <w:t>t on Human Resources (HR) covers a calendar year</w:t>
      </w:r>
      <w:r>
        <w:rPr>
          <w:szCs w:val="22"/>
        </w:rPr>
        <w:t xml:space="preserve"> for the first time,</w:t>
      </w:r>
      <w:r w:rsidR="004D274C">
        <w:rPr>
          <w:szCs w:val="22"/>
        </w:rPr>
        <w:t xml:space="preserve"> i.e. the period from January 1 to December 31, 2021.  As such, it also </w:t>
      </w:r>
      <w:r w:rsidR="006D41E0">
        <w:rPr>
          <w:szCs w:val="22"/>
        </w:rPr>
        <w:t xml:space="preserve">includes </w:t>
      </w:r>
      <w:r w:rsidR="004D274C">
        <w:rPr>
          <w:szCs w:val="22"/>
        </w:rPr>
        <w:t xml:space="preserve">some of the topics </w:t>
      </w:r>
      <w:r w:rsidR="006D41E0">
        <w:rPr>
          <w:szCs w:val="22"/>
        </w:rPr>
        <w:t xml:space="preserve">reflected </w:t>
      </w:r>
      <w:r w:rsidR="004D274C">
        <w:rPr>
          <w:szCs w:val="22"/>
        </w:rPr>
        <w:t xml:space="preserve">in the previous </w:t>
      </w:r>
      <w:hyperlink r:id="rId9" w:history="1">
        <w:r w:rsidR="004D274C" w:rsidRPr="004D274C">
          <w:rPr>
            <w:rStyle w:val="Hyperlink"/>
            <w:szCs w:val="22"/>
          </w:rPr>
          <w:t>Annual Report</w:t>
        </w:r>
      </w:hyperlink>
      <w:r>
        <w:rPr>
          <w:szCs w:val="22"/>
        </w:rPr>
        <w:t xml:space="preserve">, which covered the period from July 1, 2020 to </w:t>
      </w:r>
      <w:r w:rsidR="00E03613">
        <w:rPr>
          <w:szCs w:val="22"/>
        </w:rPr>
        <w:t>June 30, </w:t>
      </w:r>
      <w:r>
        <w:rPr>
          <w:szCs w:val="22"/>
        </w:rPr>
        <w:t>2021.</w:t>
      </w:r>
    </w:p>
    <w:p w14:paraId="26017866" w14:textId="77777777" w:rsidR="00276BEE" w:rsidRDefault="00276BEE" w:rsidP="00276BEE">
      <w:pPr>
        <w:pStyle w:val="ListParagraph"/>
        <w:ind w:left="0"/>
        <w:rPr>
          <w:szCs w:val="22"/>
        </w:rPr>
      </w:pPr>
    </w:p>
    <w:p w14:paraId="2174BA39" w14:textId="07DB69FB" w:rsidR="00276BEE" w:rsidRDefault="00276BEE" w:rsidP="00276BEE">
      <w:pPr>
        <w:pStyle w:val="ListParagraph"/>
        <w:numPr>
          <w:ilvl w:val="0"/>
          <w:numId w:val="12"/>
        </w:numPr>
        <w:ind w:left="0" w:firstLine="0"/>
        <w:rPr>
          <w:szCs w:val="22"/>
        </w:rPr>
      </w:pPr>
      <w:r>
        <w:rPr>
          <w:szCs w:val="22"/>
        </w:rPr>
        <w:t>The Report</w:t>
      </w:r>
      <w:r w:rsidRPr="009A5EF0">
        <w:rPr>
          <w:szCs w:val="22"/>
        </w:rPr>
        <w:t xml:space="preserve"> </w:t>
      </w:r>
      <w:r w:rsidR="006D41E0">
        <w:rPr>
          <w:szCs w:val="22"/>
        </w:rPr>
        <w:t>comprises</w:t>
      </w:r>
      <w:r w:rsidR="006D41E0" w:rsidRPr="009A5EF0" w:rsidDel="006D41E0">
        <w:rPr>
          <w:szCs w:val="22"/>
        </w:rPr>
        <w:t xml:space="preserve"> </w:t>
      </w:r>
      <w:r w:rsidR="004F467D" w:rsidRPr="009A5EF0">
        <w:rPr>
          <w:szCs w:val="22"/>
        </w:rPr>
        <w:t>all HR matters for which reporting to the WIPO Coordination Committee is required and other staff matters of interest to Member States</w:t>
      </w:r>
      <w:r w:rsidR="004F467D">
        <w:rPr>
          <w:szCs w:val="22"/>
        </w:rPr>
        <w:t xml:space="preserve">. </w:t>
      </w:r>
      <w:r w:rsidR="00E03613">
        <w:rPr>
          <w:szCs w:val="22"/>
        </w:rPr>
        <w:t xml:space="preserve"> </w:t>
      </w:r>
      <w:r w:rsidR="004F467D">
        <w:rPr>
          <w:szCs w:val="22"/>
        </w:rPr>
        <w:t xml:space="preserve">It also </w:t>
      </w:r>
      <w:r w:rsidRPr="009A5EF0">
        <w:rPr>
          <w:szCs w:val="22"/>
        </w:rPr>
        <w:t>includes information on progress made towards staffing goals and an overview of HR-related policies, initiatives and activities aligned with WIPO</w:t>
      </w:r>
      <w:r w:rsidR="0006560C">
        <w:rPr>
          <w:szCs w:val="22"/>
        </w:rPr>
        <w:t>’</w:t>
      </w:r>
      <w:r w:rsidRPr="009A5EF0">
        <w:rPr>
          <w:szCs w:val="22"/>
        </w:rPr>
        <w:t xml:space="preserve">s HR Strategy 2017-2021. </w:t>
      </w:r>
    </w:p>
    <w:p w14:paraId="1618D608" w14:textId="77777777" w:rsidR="00276BEE" w:rsidRPr="009179B5" w:rsidRDefault="00276BEE" w:rsidP="00276BEE">
      <w:pPr>
        <w:pStyle w:val="ListParagraph"/>
        <w:rPr>
          <w:szCs w:val="22"/>
        </w:rPr>
      </w:pPr>
    </w:p>
    <w:p w14:paraId="51D7A2A8" w14:textId="6FF8CD13" w:rsidR="00276BEE" w:rsidRPr="009A5EF0" w:rsidRDefault="008A21E7" w:rsidP="00276BEE">
      <w:pPr>
        <w:pStyle w:val="ListParagraph"/>
        <w:numPr>
          <w:ilvl w:val="0"/>
          <w:numId w:val="12"/>
        </w:numPr>
        <w:ind w:left="0" w:firstLine="0"/>
        <w:rPr>
          <w:szCs w:val="22"/>
        </w:rPr>
      </w:pPr>
      <w:r>
        <w:rPr>
          <w:szCs w:val="22"/>
        </w:rPr>
        <w:t>Besides the introduction, t</w:t>
      </w:r>
      <w:r w:rsidR="00276BEE" w:rsidRPr="009A5EF0">
        <w:rPr>
          <w:szCs w:val="22"/>
        </w:rPr>
        <w:t>he Annual Report is</w:t>
      </w:r>
      <w:r w:rsidR="00276BEE">
        <w:rPr>
          <w:szCs w:val="22"/>
        </w:rPr>
        <w:t xml:space="preserve"> structured </w:t>
      </w:r>
      <w:r w:rsidR="00276BEE" w:rsidRPr="009A5EF0">
        <w:rPr>
          <w:szCs w:val="22"/>
        </w:rPr>
        <w:t xml:space="preserve">as follows: </w:t>
      </w:r>
    </w:p>
    <w:p w14:paraId="5887F83F" w14:textId="77777777" w:rsidR="00276BEE" w:rsidRPr="00933C4C" w:rsidRDefault="00276BEE" w:rsidP="0018674A">
      <w:pPr>
        <w:rPr>
          <w:szCs w:val="22"/>
        </w:rPr>
      </w:pPr>
    </w:p>
    <w:p w14:paraId="734B7455" w14:textId="094A65F7" w:rsidR="00276BEE" w:rsidRPr="00933C4C" w:rsidRDefault="008C0743" w:rsidP="00880D97">
      <w:pPr>
        <w:pStyle w:val="ListParagraph"/>
        <w:widowControl w:val="0"/>
        <w:numPr>
          <w:ilvl w:val="0"/>
          <w:numId w:val="7"/>
        </w:numPr>
        <w:autoSpaceDE w:val="0"/>
        <w:autoSpaceDN w:val="0"/>
        <w:ind w:left="990" w:right="29"/>
        <w:contextualSpacing w:val="0"/>
        <w:rPr>
          <w:szCs w:val="22"/>
        </w:rPr>
      </w:pPr>
      <w:r>
        <w:rPr>
          <w:szCs w:val="22"/>
        </w:rPr>
        <w:t>S</w:t>
      </w:r>
      <w:r w:rsidR="00276BEE" w:rsidRPr="00933C4C">
        <w:rPr>
          <w:szCs w:val="22"/>
        </w:rPr>
        <w:t xml:space="preserve">napshot of key workforce trends; </w:t>
      </w:r>
    </w:p>
    <w:p w14:paraId="30BACCDA" w14:textId="704E4AAA" w:rsidR="00276BEE" w:rsidRPr="00933C4C" w:rsidRDefault="008C0743" w:rsidP="001A6B4A">
      <w:pPr>
        <w:pStyle w:val="ListParagraph"/>
        <w:widowControl w:val="0"/>
        <w:numPr>
          <w:ilvl w:val="0"/>
          <w:numId w:val="7"/>
        </w:numPr>
        <w:autoSpaceDE w:val="0"/>
        <w:autoSpaceDN w:val="0"/>
        <w:spacing w:before="114"/>
        <w:ind w:left="990" w:right="30"/>
        <w:contextualSpacing w:val="0"/>
        <w:rPr>
          <w:szCs w:val="22"/>
        </w:rPr>
      </w:pPr>
      <w:r>
        <w:rPr>
          <w:szCs w:val="22"/>
        </w:rPr>
        <w:t>M</w:t>
      </w:r>
      <w:r w:rsidR="00276BEE" w:rsidRPr="00933C4C">
        <w:rPr>
          <w:szCs w:val="22"/>
        </w:rPr>
        <w:t xml:space="preserve">atters </w:t>
      </w:r>
      <w:r w:rsidR="008E3C6F">
        <w:rPr>
          <w:szCs w:val="22"/>
        </w:rPr>
        <w:t>for</w:t>
      </w:r>
      <w:r w:rsidR="008E3C6F" w:rsidRPr="00933C4C">
        <w:rPr>
          <w:szCs w:val="22"/>
        </w:rPr>
        <w:t xml:space="preserve"> </w:t>
      </w:r>
      <w:r w:rsidR="00276BEE" w:rsidRPr="00933C4C">
        <w:rPr>
          <w:szCs w:val="22"/>
        </w:rPr>
        <w:t>obligatory reporting to Member States;</w:t>
      </w:r>
    </w:p>
    <w:p w14:paraId="0951974C" w14:textId="06935346" w:rsidR="00276BEE" w:rsidRDefault="008C0743" w:rsidP="001A6B4A">
      <w:pPr>
        <w:pStyle w:val="ListParagraph"/>
        <w:widowControl w:val="0"/>
        <w:numPr>
          <w:ilvl w:val="0"/>
          <w:numId w:val="7"/>
        </w:numPr>
        <w:autoSpaceDE w:val="0"/>
        <w:autoSpaceDN w:val="0"/>
        <w:spacing w:before="114"/>
        <w:ind w:left="990" w:right="30"/>
        <w:contextualSpacing w:val="0"/>
        <w:rPr>
          <w:szCs w:val="22"/>
        </w:rPr>
      </w:pPr>
      <w:r>
        <w:rPr>
          <w:szCs w:val="22"/>
        </w:rPr>
        <w:t>C</w:t>
      </w:r>
      <w:r w:rsidR="00302F4B">
        <w:rPr>
          <w:szCs w:val="22"/>
        </w:rPr>
        <w:t xml:space="preserve">hallenges, </w:t>
      </w:r>
      <w:r w:rsidR="008974D8">
        <w:rPr>
          <w:szCs w:val="22"/>
        </w:rPr>
        <w:t>new objectives and changes at WIPO</w:t>
      </w:r>
      <w:r w:rsidR="00276BEE" w:rsidRPr="00933C4C">
        <w:rPr>
          <w:szCs w:val="22"/>
        </w:rPr>
        <w:t xml:space="preserve">; </w:t>
      </w:r>
      <w:r w:rsidR="008974D8">
        <w:rPr>
          <w:szCs w:val="22"/>
        </w:rPr>
        <w:t>and</w:t>
      </w:r>
    </w:p>
    <w:p w14:paraId="1A25F8C2" w14:textId="5CEE4D1D" w:rsidR="00276BEE" w:rsidRPr="00933C4C" w:rsidRDefault="008C0743" w:rsidP="001A6B4A">
      <w:pPr>
        <w:pStyle w:val="ListParagraph"/>
        <w:widowControl w:val="0"/>
        <w:numPr>
          <w:ilvl w:val="0"/>
          <w:numId w:val="7"/>
        </w:numPr>
        <w:autoSpaceDE w:val="0"/>
        <w:autoSpaceDN w:val="0"/>
        <w:spacing w:before="114"/>
        <w:ind w:left="990" w:right="30"/>
        <w:contextualSpacing w:val="0"/>
        <w:rPr>
          <w:szCs w:val="22"/>
        </w:rPr>
      </w:pPr>
      <w:r>
        <w:rPr>
          <w:szCs w:val="22"/>
        </w:rPr>
        <w:t>O</w:t>
      </w:r>
      <w:r w:rsidR="00276BEE" w:rsidRPr="00933C4C">
        <w:rPr>
          <w:szCs w:val="22"/>
        </w:rPr>
        <w:t>verall progress over the past year</w:t>
      </w:r>
      <w:r w:rsidR="008974D8">
        <w:rPr>
          <w:szCs w:val="22"/>
        </w:rPr>
        <w:t>.</w:t>
      </w:r>
    </w:p>
    <w:p w14:paraId="6960AC7F" w14:textId="77777777" w:rsidR="00276BEE" w:rsidRPr="0006645A" w:rsidRDefault="00276BEE" w:rsidP="00276BEE">
      <w:pPr>
        <w:pStyle w:val="Heading1"/>
        <w:numPr>
          <w:ilvl w:val="0"/>
          <w:numId w:val="11"/>
        </w:numPr>
        <w:spacing w:before="0"/>
        <w:ind w:left="567" w:hanging="567"/>
      </w:pPr>
      <w:r w:rsidRPr="0006645A">
        <w:lastRenderedPageBreak/>
        <w:t xml:space="preserve">WORKFORCE </w:t>
      </w:r>
      <w:r>
        <w:t>AT A GLANCE</w:t>
      </w:r>
    </w:p>
    <w:p w14:paraId="3CC67E0C" w14:textId="77777777" w:rsidR="00276BEE" w:rsidRDefault="00276BEE" w:rsidP="00276BEE">
      <w:pPr>
        <w:pStyle w:val="ListParagraph"/>
        <w:keepNext/>
        <w:rPr>
          <w:szCs w:val="22"/>
        </w:rPr>
      </w:pPr>
    </w:p>
    <w:p w14:paraId="6C1BD399" w14:textId="26515003" w:rsidR="006221A7" w:rsidRDefault="006221A7" w:rsidP="006221A7">
      <w:pPr>
        <w:pStyle w:val="ListParagraph"/>
        <w:keepNext/>
        <w:numPr>
          <w:ilvl w:val="0"/>
          <w:numId w:val="12"/>
        </w:numPr>
        <w:ind w:left="0" w:firstLine="0"/>
        <w:rPr>
          <w:szCs w:val="22"/>
        </w:rPr>
      </w:pPr>
      <w:r w:rsidRPr="0006645A">
        <w:rPr>
          <w:szCs w:val="22"/>
        </w:rPr>
        <w:t xml:space="preserve">As at </w:t>
      </w:r>
      <w:r>
        <w:rPr>
          <w:szCs w:val="22"/>
        </w:rPr>
        <w:t>December 31</w:t>
      </w:r>
      <w:r w:rsidRPr="0006645A">
        <w:rPr>
          <w:szCs w:val="22"/>
        </w:rPr>
        <w:t>, 202</w:t>
      </w:r>
      <w:r>
        <w:rPr>
          <w:szCs w:val="22"/>
        </w:rPr>
        <w:t>1</w:t>
      </w:r>
      <w:r w:rsidRPr="0006645A">
        <w:rPr>
          <w:szCs w:val="22"/>
        </w:rPr>
        <w:t xml:space="preserve">, </w:t>
      </w:r>
      <w:proofErr w:type="gramStart"/>
      <w:r w:rsidRPr="0006645A">
        <w:rPr>
          <w:szCs w:val="22"/>
        </w:rPr>
        <w:t>WIPO</w:t>
      </w:r>
      <w:r>
        <w:rPr>
          <w:szCs w:val="22"/>
        </w:rPr>
        <w:t>’</w:t>
      </w:r>
      <w:r w:rsidRPr="0006645A">
        <w:rPr>
          <w:szCs w:val="22"/>
        </w:rPr>
        <w:t>s</w:t>
      </w:r>
      <w:proofErr w:type="gramEnd"/>
      <w:r w:rsidRPr="0006645A">
        <w:rPr>
          <w:szCs w:val="22"/>
        </w:rPr>
        <w:t xml:space="preserve"> total workforce </w:t>
      </w:r>
      <w:r w:rsidR="004D274C">
        <w:rPr>
          <w:szCs w:val="22"/>
        </w:rPr>
        <w:t>stood</w:t>
      </w:r>
      <w:r w:rsidRPr="0006645A">
        <w:rPr>
          <w:szCs w:val="22"/>
        </w:rPr>
        <w:t xml:space="preserve"> at </w:t>
      </w:r>
      <w:r>
        <w:rPr>
          <w:szCs w:val="22"/>
        </w:rPr>
        <w:t>1,588</w:t>
      </w:r>
      <w:r w:rsidRPr="0006645A">
        <w:rPr>
          <w:szCs w:val="22"/>
        </w:rPr>
        <w:t xml:space="preserve">. </w:t>
      </w:r>
    </w:p>
    <w:p w14:paraId="0291965D" w14:textId="77777777" w:rsidR="006221A7" w:rsidRDefault="006221A7" w:rsidP="006221A7">
      <w:pPr>
        <w:pStyle w:val="ListParagraph"/>
        <w:keepNext/>
        <w:ind w:left="0"/>
        <w:rPr>
          <w:szCs w:val="22"/>
        </w:rPr>
      </w:pPr>
    </w:p>
    <w:p w14:paraId="264211FA" w14:textId="58C4A113" w:rsidR="006221A7" w:rsidRPr="00C10578" w:rsidRDefault="006221A7" w:rsidP="006221A7">
      <w:pPr>
        <w:pStyle w:val="ListParagraph"/>
        <w:keepNext/>
        <w:numPr>
          <w:ilvl w:val="0"/>
          <w:numId w:val="12"/>
        </w:numPr>
        <w:ind w:left="0" w:firstLine="0"/>
        <w:rPr>
          <w:szCs w:val="22"/>
        </w:rPr>
      </w:pPr>
      <w:r>
        <w:rPr>
          <w:szCs w:val="22"/>
        </w:rPr>
        <w:t>As compared to the last reporting period</w:t>
      </w:r>
      <w:r w:rsidRPr="0006645A">
        <w:rPr>
          <w:rStyle w:val="FootnoteReference"/>
          <w:rFonts w:eastAsia="SimSun"/>
          <w:szCs w:val="22"/>
        </w:rPr>
        <w:footnoteReference w:id="2"/>
      </w:r>
      <w:r>
        <w:rPr>
          <w:szCs w:val="22"/>
        </w:rPr>
        <w:t xml:space="preserve">, the </w:t>
      </w:r>
      <w:r w:rsidRPr="0006645A">
        <w:rPr>
          <w:szCs w:val="22"/>
        </w:rPr>
        <w:t>core</w:t>
      </w:r>
      <w:r>
        <w:rPr>
          <w:rStyle w:val="FootnoteReference"/>
          <w:rFonts w:eastAsia="SimSun"/>
          <w:szCs w:val="22"/>
        </w:rPr>
        <w:footnoteReference w:id="3"/>
      </w:r>
      <w:r w:rsidRPr="0006645A">
        <w:rPr>
          <w:szCs w:val="22"/>
        </w:rPr>
        <w:t xml:space="preserve"> </w:t>
      </w:r>
      <w:r>
        <w:rPr>
          <w:szCs w:val="22"/>
        </w:rPr>
        <w:t xml:space="preserve">workforce </w:t>
      </w:r>
      <w:r w:rsidR="004D274C">
        <w:rPr>
          <w:szCs w:val="22"/>
        </w:rPr>
        <w:t xml:space="preserve">decreased slightly </w:t>
      </w:r>
      <w:r w:rsidR="005D0E2C">
        <w:rPr>
          <w:szCs w:val="22"/>
        </w:rPr>
        <w:t>(1,074</w:t>
      </w:r>
      <w:r>
        <w:rPr>
          <w:szCs w:val="22"/>
        </w:rPr>
        <w:t> </w:t>
      </w:r>
      <w:r w:rsidR="00441BB7">
        <w:rPr>
          <w:szCs w:val="22"/>
        </w:rPr>
        <w:t>down from</w:t>
      </w:r>
      <w:r>
        <w:rPr>
          <w:szCs w:val="22"/>
        </w:rPr>
        <w:t xml:space="preserve"> 1,083), representing 67.6 per cent of the </w:t>
      </w:r>
      <w:r w:rsidR="00EC08E5">
        <w:rPr>
          <w:szCs w:val="22"/>
        </w:rPr>
        <w:t xml:space="preserve">total </w:t>
      </w:r>
      <w:r>
        <w:rPr>
          <w:szCs w:val="22"/>
        </w:rPr>
        <w:t xml:space="preserve">workforce, whereas the </w:t>
      </w:r>
      <w:r w:rsidRPr="0006645A">
        <w:rPr>
          <w:szCs w:val="22"/>
        </w:rPr>
        <w:t>flexible</w:t>
      </w:r>
      <w:r>
        <w:rPr>
          <w:rStyle w:val="FootnoteReference"/>
          <w:rFonts w:eastAsia="SimSun"/>
          <w:szCs w:val="22"/>
        </w:rPr>
        <w:footnoteReference w:id="4"/>
      </w:r>
      <w:r w:rsidRPr="0006645A">
        <w:rPr>
          <w:szCs w:val="22"/>
        </w:rPr>
        <w:t xml:space="preserve"> wo</w:t>
      </w:r>
      <w:r>
        <w:rPr>
          <w:szCs w:val="22"/>
        </w:rPr>
        <w:t>rkforce increase</w:t>
      </w:r>
      <w:r w:rsidR="004D274C">
        <w:rPr>
          <w:szCs w:val="22"/>
        </w:rPr>
        <w:t>d</w:t>
      </w:r>
      <w:r>
        <w:rPr>
          <w:szCs w:val="22"/>
        </w:rPr>
        <w:t xml:space="preserve"> (51</w:t>
      </w:r>
      <w:r w:rsidR="005D0E2C">
        <w:rPr>
          <w:szCs w:val="22"/>
        </w:rPr>
        <w:t>4</w:t>
      </w:r>
      <w:r>
        <w:rPr>
          <w:szCs w:val="22"/>
        </w:rPr>
        <w:t xml:space="preserve"> </w:t>
      </w:r>
      <w:r w:rsidR="00441BB7">
        <w:rPr>
          <w:szCs w:val="22"/>
        </w:rPr>
        <w:t xml:space="preserve">up </w:t>
      </w:r>
      <w:r>
        <w:rPr>
          <w:szCs w:val="22"/>
        </w:rPr>
        <w:t xml:space="preserve">from 489), </w:t>
      </w:r>
      <w:r w:rsidR="00441BB7">
        <w:rPr>
          <w:szCs w:val="22"/>
        </w:rPr>
        <w:t>constituting</w:t>
      </w:r>
      <w:r>
        <w:rPr>
          <w:szCs w:val="22"/>
        </w:rPr>
        <w:t xml:space="preserve"> 32.4 per cent of the </w:t>
      </w:r>
      <w:r w:rsidR="00EC08E5">
        <w:rPr>
          <w:szCs w:val="22"/>
        </w:rPr>
        <w:t xml:space="preserve">total </w:t>
      </w:r>
      <w:r>
        <w:rPr>
          <w:szCs w:val="22"/>
        </w:rPr>
        <w:t>workforce.</w:t>
      </w:r>
    </w:p>
    <w:p w14:paraId="4FB87365" w14:textId="77777777" w:rsidR="006221A7" w:rsidRDefault="006221A7" w:rsidP="006221A7">
      <w:pPr>
        <w:pStyle w:val="ListParagraph"/>
        <w:keepNext/>
        <w:ind w:left="0"/>
        <w:rPr>
          <w:szCs w:val="22"/>
        </w:rPr>
      </w:pPr>
    </w:p>
    <w:p w14:paraId="722FD6C9" w14:textId="16D3999C" w:rsidR="006221A7" w:rsidRDefault="006221A7" w:rsidP="006221A7">
      <w:pPr>
        <w:pStyle w:val="ListParagraph"/>
        <w:keepNext/>
        <w:numPr>
          <w:ilvl w:val="0"/>
          <w:numId w:val="12"/>
        </w:numPr>
        <w:ind w:left="0" w:firstLine="0"/>
        <w:rPr>
          <w:szCs w:val="22"/>
        </w:rPr>
      </w:pPr>
      <w:r>
        <w:rPr>
          <w:szCs w:val="22"/>
        </w:rPr>
        <w:t>From a gender perspective, women represent</w:t>
      </w:r>
      <w:r w:rsidR="004D274C">
        <w:rPr>
          <w:szCs w:val="22"/>
        </w:rPr>
        <w:t>ed</w:t>
      </w:r>
      <w:r>
        <w:rPr>
          <w:szCs w:val="22"/>
        </w:rPr>
        <w:t xml:space="preserve"> 53.2 per cent of the workforce (845), whilst men represent</w:t>
      </w:r>
      <w:r w:rsidR="004D274C">
        <w:rPr>
          <w:szCs w:val="22"/>
        </w:rPr>
        <w:t>ed</w:t>
      </w:r>
      <w:r w:rsidR="00A17D90">
        <w:rPr>
          <w:szCs w:val="22"/>
        </w:rPr>
        <w:t xml:space="preserve"> 46.8 per cent (743</w:t>
      </w:r>
      <w:r>
        <w:rPr>
          <w:szCs w:val="22"/>
        </w:rPr>
        <w:t xml:space="preserve">), noting that this representation varies across categories. </w:t>
      </w:r>
      <w:r w:rsidRPr="00502AD3">
        <w:rPr>
          <w:szCs w:val="22"/>
        </w:rPr>
        <w:t xml:space="preserve"> With respect to the core workforce of </w:t>
      </w:r>
      <w:r>
        <w:rPr>
          <w:szCs w:val="22"/>
        </w:rPr>
        <w:t>1,07</w:t>
      </w:r>
      <w:r w:rsidR="005D0E2C">
        <w:rPr>
          <w:szCs w:val="22"/>
        </w:rPr>
        <w:t>4</w:t>
      </w:r>
      <w:r w:rsidR="0022398C">
        <w:rPr>
          <w:szCs w:val="22"/>
        </w:rPr>
        <w:t xml:space="preserve"> staff members</w:t>
      </w:r>
      <w:r w:rsidRPr="00502AD3">
        <w:rPr>
          <w:szCs w:val="22"/>
        </w:rPr>
        <w:t>, women represent</w:t>
      </w:r>
      <w:r w:rsidR="004D274C">
        <w:rPr>
          <w:szCs w:val="22"/>
        </w:rPr>
        <w:t>ed</w:t>
      </w:r>
      <w:r w:rsidRPr="00502AD3">
        <w:rPr>
          <w:szCs w:val="22"/>
        </w:rPr>
        <w:t xml:space="preserve"> </w:t>
      </w:r>
      <w:r>
        <w:rPr>
          <w:szCs w:val="22"/>
        </w:rPr>
        <w:t>54.</w:t>
      </w:r>
      <w:r w:rsidR="00A17D90">
        <w:rPr>
          <w:szCs w:val="22"/>
        </w:rPr>
        <w:t>2</w:t>
      </w:r>
      <w:r w:rsidRPr="00502AD3">
        <w:rPr>
          <w:szCs w:val="22"/>
        </w:rPr>
        <w:t xml:space="preserve"> per cent (</w:t>
      </w:r>
      <w:r>
        <w:rPr>
          <w:szCs w:val="22"/>
        </w:rPr>
        <w:t>582</w:t>
      </w:r>
      <w:r w:rsidRPr="00502AD3">
        <w:rPr>
          <w:szCs w:val="22"/>
        </w:rPr>
        <w:t>) of this category</w:t>
      </w:r>
      <w:r>
        <w:rPr>
          <w:szCs w:val="22"/>
        </w:rPr>
        <w:t xml:space="preserve"> with men representing 45.8 per cent (49</w:t>
      </w:r>
      <w:r w:rsidR="005D0E2C">
        <w:rPr>
          <w:szCs w:val="22"/>
        </w:rPr>
        <w:t>2</w:t>
      </w:r>
      <w:r>
        <w:rPr>
          <w:szCs w:val="22"/>
        </w:rPr>
        <w:t xml:space="preserve">).  The combined average age of the </w:t>
      </w:r>
      <w:r w:rsidR="004D274C">
        <w:rPr>
          <w:szCs w:val="22"/>
        </w:rPr>
        <w:t>core workforce was</w:t>
      </w:r>
      <w:r>
        <w:rPr>
          <w:szCs w:val="22"/>
        </w:rPr>
        <w:t xml:space="preserve"> </w:t>
      </w:r>
      <w:r w:rsidR="005D0E2C" w:rsidRPr="00EC08E5">
        <w:rPr>
          <w:szCs w:val="22"/>
        </w:rPr>
        <w:t>49.6</w:t>
      </w:r>
      <w:r w:rsidRPr="00EC08E5">
        <w:rPr>
          <w:szCs w:val="22"/>
        </w:rPr>
        <w:t> years</w:t>
      </w:r>
      <w:r>
        <w:rPr>
          <w:szCs w:val="22"/>
        </w:rPr>
        <w:t xml:space="preserve">. </w:t>
      </w:r>
    </w:p>
    <w:p w14:paraId="304FC8D8" w14:textId="77777777" w:rsidR="006221A7" w:rsidRPr="00C10578" w:rsidRDefault="006221A7" w:rsidP="006221A7">
      <w:pPr>
        <w:pStyle w:val="ListParagraph"/>
        <w:rPr>
          <w:szCs w:val="22"/>
        </w:rPr>
      </w:pPr>
    </w:p>
    <w:p w14:paraId="7FD8C8A0" w14:textId="79E74AF1" w:rsidR="006221A7" w:rsidRDefault="006221A7" w:rsidP="006221A7">
      <w:pPr>
        <w:pStyle w:val="ListParagraph"/>
        <w:keepNext/>
        <w:numPr>
          <w:ilvl w:val="0"/>
          <w:numId w:val="12"/>
        </w:numPr>
        <w:ind w:left="0" w:firstLine="0"/>
        <w:rPr>
          <w:szCs w:val="22"/>
        </w:rPr>
      </w:pPr>
      <w:r w:rsidRPr="00C133FC">
        <w:rPr>
          <w:szCs w:val="22"/>
        </w:rPr>
        <w:t xml:space="preserve">From an overall </w:t>
      </w:r>
      <w:r w:rsidR="006D41E0">
        <w:rPr>
          <w:szCs w:val="22"/>
        </w:rPr>
        <w:t>geographical representation</w:t>
      </w:r>
      <w:r w:rsidR="006D41E0" w:rsidRPr="00C133FC">
        <w:rPr>
          <w:szCs w:val="22"/>
        </w:rPr>
        <w:t xml:space="preserve"> </w:t>
      </w:r>
      <w:r w:rsidRPr="00C133FC">
        <w:rPr>
          <w:szCs w:val="22"/>
        </w:rPr>
        <w:t>perspective</w:t>
      </w:r>
      <w:r>
        <w:rPr>
          <w:szCs w:val="22"/>
        </w:rPr>
        <w:t xml:space="preserve"> and </w:t>
      </w:r>
      <w:proofErr w:type="gramStart"/>
      <w:r>
        <w:rPr>
          <w:szCs w:val="22"/>
        </w:rPr>
        <w:t>as a result</w:t>
      </w:r>
      <w:proofErr w:type="gramEnd"/>
      <w:r>
        <w:rPr>
          <w:szCs w:val="22"/>
        </w:rPr>
        <w:t xml:space="preserve"> of</w:t>
      </w:r>
      <w:r w:rsidRPr="0006645A">
        <w:rPr>
          <w:szCs w:val="22"/>
        </w:rPr>
        <w:t xml:space="preserve"> a suite of outreach efforts, </w:t>
      </w:r>
      <w:r w:rsidRPr="00C133FC">
        <w:rPr>
          <w:szCs w:val="22"/>
        </w:rPr>
        <w:t>12</w:t>
      </w:r>
      <w:r>
        <w:rPr>
          <w:szCs w:val="22"/>
        </w:rPr>
        <w:t>1 </w:t>
      </w:r>
      <w:r w:rsidRPr="00C133FC">
        <w:rPr>
          <w:szCs w:val="22"/>
        </w:rPr>
        <w:t xml:space="preserve">Member States </w:t>
      </w:r>
      <w:r w:rsidR="004D274C">
        <w:rPr>
          <w:szCs w:val="22"/>
        </w:rPr>
        <w:t>were</w:t>
      </w:r>
      <w:r w:rsidRPr="00C133FC">
        <w:rPr>
          <w:szCs w:val="22"/>
        </w:rPr>
        <w:t xml:space="preserve"> represented at all levels and categories of staff</w:t>
      </w:r>
      <w:r>
        <w:rPr>
          <w:szCs w:val="22"/>
        </w:rPr>
        <w:t>, whereas 1</w:t>
      </w:r>
      <w:r w:rsidR="00A17D90">
        <w:rPr>
          <w:szCs w:val="22"/>
        </w:rPr>
        <w:t>10</w:t>
      </w:r>
      <w:r>
        <w:rPr>
          <w:szCs w:val="22"/>
        </w:rPr>
        <w:t> </w:t>
      </w:r>
      <w:r w:rsidR="004D274C">
        <w:rPr>
          <w:szCs w:val="22"/>
        </w:rPr>
        <w:t>Member States were</w:t>
      </w:r>
      <w:r w:rsidRPr="00C133FC">
        <w:rPr>
          <w:szCs w:val="22"/>
        </w:rPr>
        <w:t xml:space="preserve"> represented on posts subject to geographical distribution.</w:t>
      </w:r>
      <w:r w:rsidRPr="0006645A">
        <w:rPr>
          <w:rStyle w:val="FootnoteReference"/>
          <w:rFonts w:eastAsia="SimSun"/>
          <w:szCs w:val="22"/>
        </w:rPr>
        <w:footnoteReference w:id="5"/>
      </w:r>
      <w:r w:rsidRPr="00C133FC">
        <w:rPr>
          <w:szCs w:val="22"/>
        </w:rPr>
        <w:t xml:space="preserve"> </w:t>
      </w:r>
    </w:p>
    <w:p w14:paraId="3A95B13D" w14:textId="77777777" w:rsidR="006221A7" w:rsidRPr="00C00A0C" w:rsidRDefault="006221A7" w:rsidP="006221A7">
      <w:pPr>
        <w:pStyle w:val="ListParagraph"/>
        <w:rPr>
          <w:szCs w:val="22"/>
        </w:rPr>
      </w:pPr>
    </w:p>
    <w:p w14:paraId="43BBE496" w14:textId="7726BD2D" w:rsidR="00C00A0C" w:rsidRPr="00C133FC" w:rsidRDefault="006221A7" w:rsidP="00276BEE">
      <w:pPr>
        <w:pStyle w:val="ListParagraph"/>
        <w:keepNext/>
        <w:numPr>
          <w:ilvl w:val="0"/>
          <w:numId w:val="12"/>
        </w:numPr>
        <w:ind w:left="0" w:firstLine="0"/>
        <w:rPr>
          <w:szCs w:val="22"/>
        </w:rPr>
      </w:pPr>
      <w:r>
        <w:rPr>
          <w:szCs w:val="22"/>
        </w:rPr>
        <w:t xml:space="preserve">A separate document containing key data and </w:t>
      </w:r>
      <w:r w:rsidRPr="00EC08E5">
        <w:rPr>
          <w:szCs w:val="22"/>
        </w:rPr>
        <w:t>metrics</w:t>
      </w:r>
      <w:r>
        <w:rPr>
          <w:szCs w:val="22"/>
        </w:rPr>
        <w:t xml:space="preserve"> on WIPO’s workforce, diversity, talent sourcing, development and training </w:t>
      </w:r>
      <w:proofErr w:type="gramStart"/>
      <w:r>
        <w:rPr>
          <w:szCs w:val="22"/>
        </w:rPr>
        <w:t>as well as conflict management, either</w:t>
      </w:r>
      <w:proofErr w:type="gramEnd"/>
      <w:r>
        <w:rPr>
          <w:szCs w:val="22"/>
        </w:rPr>
        <w:t xml:space="preserve"> covering the same reporting period or by calendar year, is accessible </w:t>
      </w:r>
      <w:r w:rsidRPr="00A17D90">
        <w:rPr>
          <w:szCs w:val="22"/>
        </w:rPr>
        <w:t>online</w:t>
      </w:r>
      <w:r>
        <w:rPr>
          <w:szCs w:val="22"/>
        </w:rPr>
        <w:t xml:space="preserve">.  </w:t>
      </w:r>
    </w:p>
    <w:p w14:paraId="3351001F" w14:textId="77777777" w:rsidR="00276BEE" w:rsidRPr="00E25405" w:rsidRDefault="00276BEE" w:rsidP="00276BEE">
      <w:pPr>
        <w:rPr>
          <w:szCs w:val="22"/>
        </w:rPr>
      </w:pPr>
    </w:p>
    <w:p w14:paraId="457E8339" w14:textId="77777777" w:rsidR="00276BEE" w:rsidRPr="00933C4C" w:rsidRDefault="00276BEE" w:rsidP="00276BEE">
      <w:pPr>
        <w:ind w:left="720" w:hanging="720"/>
        <w:rPr>
          <w:szCs w:val="22"/>
        </w:rPr>
      </w:pPr>
    </w:p>
    <w:p w14:paraId="217CF302" w14:textId="77777777" w:rsidR="00276BEE" w:rsidRPr="0006645A" w:rsidRDefault="00276BEE" w:rsidP="00276BEE">
      <w:pPr>
        <w:pStyle w:val="Heading1"/>
        <w:numPr>
          <w:ilvl w:val="0"/>
          <w:numId w:val="11"/>
        </w:numPr>
        <w:spacing w:before="0"/>
        <w:ind w:left="567" w:hanging="567"/>
      </w:pPr>
      <w:r w:rsidRPr="0006645A">
        <w:t>MATTERS FOR OBLIGATORY REPORTING TO THE WIPO COORDINATION COMMITTEE</w:t>
      </w:r>
    </w:p>
    <w:p w14:paraId="51834A46" w14:textId="77777777" w:rsidR="00276BEE" w:rsidRPr="0006645A" w:rsidRDefault="00276BEE" w:rsidP="00276BEE">
      <w:pPr>
        <w:pStyle w:val="Heading2"/>
      </w:pPr>
      <w:r>
        <w:tab/>
      </w:r>
      <w:r w:rsidRPr="0006645A">
        <w:t>TERMINATION OF APPOINTMENTS</w:t>
      </w:r>
    </w:p>
    <w:p w14:paraId="34C54243" w14:textId="77777777" w:rsidR="00276BEE" w:rsidRPr="000A0FF3" w:rsidRDefault="00276BEE" w:rsidP="00276BEE"/>
    <w:p w14:paraId="19F1C8C9" w14:textId="7B48027E" w:rsidR="00BF21AE" w:rsidRDefault="00BF21AE" w:rsidP="00BF21AE">
      <w:pPr>
        <w:pStyle w:val="ListParagraph"/>
        <w:numPr>
          <w:ilvl w:val="0"/>
          <w:numId w:val="12"/>
        </w:numPr>
        <w:ind w:left="0" w:firstLine="0"/>
        <w:rPr>
          <w:szCs w:val="22"/>
        </w:rPr>
      </w:pPr>
      <w:r w:rsidRPr="0006645A">
        <w:rPr>
          <w:szCs w:val="22"/>
        </w:rPr>
        <w:t>WIPO Staff Regulation 9.2(g) requires the Director General to report to the WIPO Coordination Committee all cases of termination of appointments of staff.  The following terminations took place between J</w:t>
      </w:r>
      <w:r>
        <w:rPr>
          <w:szCs w:val="22"/>
        </w:rPr>
        <w:t>anuary</w:t>
      </w:r>
      <w:r w:rsidRPr="0006645A">
        <w:rPr>
          <w:szCs w:val="22"/>
        </w:rPr>
        <w:t xml:space="preserve"> 1</w:t>
      </w:r>
      <w:r w:rsidR="004D274C">
        <w:rPr>
          <w:szCs w:val="22"/>
        </w:rPr>
        <w:t xml:space="preserve"> </w:t>
      </w:r>
      <w:r w:rsidRPr="0006645A">
        <w:rPr>
          <w:szCs w:val="22"/>
        </w:rPr>
        <w:t xml:space="preserve">and </w:t>
      </w:r>
      <w:r>
        <w:rPr>
          <w:szCs w:val="22"/>
        </w:rPr>
        <w:t xml:space="preserve">December </w:t>
      </w:r>
      <w:r w:rsidRPr="0006645A">
        <w:rPr>
          <w:szCs w:val="22"/>
        </w:rPr>
        <w:t>3</w:t>
      </w:r>
      <w:r>
        <w:rPr>
          <w:szCs w:val="22"/>
        </w:rPr>
        <w:t>1</w:t>
      </w:r>
      <w:r w:rsidRPr="0006645A">
        <w:rPr>
          <w:szCs w:val="22"/>
        </w:rPr>
        <w:t>, 202</w:t>
      </w:r>
      <w:r>
        <w:rPr>
          <w:szCs w:val="22"/>
        </w:rPr>
        <w:t>1</w:t>
      </w:r>
      <w:r w:rsidRPr="0006645A">
        <w:rPr>
          <w:szCs w:val="22"/>
        </w:rPr>
        <w:t>:</w:t>
      </w:r>
    </w:p>
    <w:p w14:paraId="6BB07E9D" w14:textId="77777777" w:rsidR="00BF21AE" w:rsidRDefault="00BF21AE" w:rsidP="00BF21AE">
      <w:pPr>
        <w:pStyle w:val="ListParagraph"/>
        <w:ind w:left="0"/>
        <w:rPr>
          <w:szCs w:val="22"/>
        </w:rPr>
      </w:pPr>
    </w:p>
    <w:p w14:paraId="16F19D43" w14:textId="0A642ACD" w:rsidR="004D274C" w:rsidRDefault="00E03613" w:rsidP="008C0743">
      <w:pPr>
        <w:pStyle w:val="ListParagraph"/>
        <w:numPr>
          <w:ilvl w:val="0"/>
          <w:numId w:val="14"/>
        </w:numPr>
        <w:ind w:left="990"/>
        <w:rPr>
          <w:szCs w:val="22"/>
        </w:rPr>
      </w:pPr>
      <w:r>
        <w:rPr>
          <w:szCs w:val="22"/>
        </w:rPr>
        <w:t>F</w:t>
      </w:r>
      <w:r w:rsidR="00BF21AE">
        <w:rPr>
          <w:szCs w:val="22"/>
        </w:rPr>
        <w:t>our</w:t>
      </w:r>
      <w:r w:rsidR="00BF21AE" w:rsidRPr="0006645A">
        <w:rPr>
          <w:szCs w:val="22"/>
        </w:rPr>
        <w:t xml:space="preserve"> for health reasons in accordance with Staff Regulation 9.2(a)(2);</w:t>
      </w:r>
    </w:p>
    <w:p w14:paraId="52C7A7CE" w14:textId="3FCAA63B" w:rsidR="0018674A" w:rsidRPr="004D274C" w:rsidRDefault="00E03613" w:rsidP="008C0743">
      <w:pPr>
        <w:pStyle w:val="ListParagraph"/>
        <w:numPr>
          <w:ilvl w:val="0"/>
          <w:numId w:val="14"/>
        </w:numPr>
        <w:ind w:left="990"/>
        <w:rPr>
          <w:szCs w:val="22"/>
        </w:rPr>
      </w:pPr>
      <w:r>
        <w:rPr>
          <w:szCs w:val="22"/>
        </w:rPr>
        <w:t>N</w:t>
      </w:r>
      <w:r w:rsidR="00BF21AE" w:rsidRPr="004D274C">
        <w:rPr>
          <w:szCs w:val="22"/>
        </w:rPr>
        <w:t>ine in the interest of the good administration of the Organization and with the consent of the staff members concerned, in accordance with Staff Regulation 9.2(a</w:t>
      </w:r>
      <w:proofErr w:type="gramStart"/>
      <w:r w:rsidR="00BF21AE" w:rsidRPr="004D274C">
        <w:rPr>
          <w:szCs w:val="22"/>
        </w:rPr>
        <w:t>)(</w:t>
      </w:r>
      <w:proofErr w:type="gramEnd"/>
      <w:r w:rsidR="00BF21AE" w:rsidRPr="004D274C">
        <w:rPr>
          <w:szCs w:val="22"/>
        </w:rPr>
        <w:t>5).</w:t>
      </w:r>
    </w:p>
    <w:p w14:paraId="08C56973" w14:textId="5C580245" w:rsidR="0018674A" w:rsidRDefault="0018674A" w:rsidP="00276BEE">
      <w:pPr>
        <w:pStyle w:val="Heading2"/>
      </w:pPr>
    </w:p>
    <w:p w14:paraId="5E9BB74B" w14:textId="77777777" w:rsidR="0018674A" w:rsidRDefault="0018674A">
      <w:pPr>
        <w:rPr>
          <w:bCs/>
          <w:iCs/>
          <w:caps/>
          <w:szCs w:val="28"/>
        </w:rPr>
      </w:pPr>
      <w:r>
        <w:br w:type="page"/>
      </w:r>
    </w:p>
    <w:p w14:paraId="0033A278" w14:textId="23F9EBB9" w:rsidR="00276BEE" w:rsidRPr="0006645A" w:rsidRDefault="0018674A" w:rsidP="00276BEE">
      <w:pPr>
        <w:pStyle w:val="Heading2"/>
      </w:pPr>
      <w:r>
        <w:lastRenderedPageBreak/>
        <w:tab/>
      </w:r>
      <w:r w:rsidR="00276BEE" w:rsidRPr="00662F3D">
        <w:t>EXTENSIONS OF TEMPORARY APPOINTMENTS</w:t>
      </w:r>
    </w:p>
    <w:p w14:paraId="57EC83AC" w14:textId="77777777" w:rsidR="00276BEE" w:rsidRPr="0006645A" w:rsidRDefault="00276BEE" w:rsidP="00276BEE">
      <w:pPr>
        <w:pStyle w:val="ListParagraph"/>
        <w:ind w:left="567"/>
        <w:rPr>
          <w:szCs w:val="22"/>
        </w:rPr>
      </w:pPr>
    </w:p>
    <w:p w14:paraId="1A5EBC45" w14:textId="707548C2" w:rsidR="00276BEE" w:rsidRPr="0018674A" w:rsidRDefault="00276BEE" w:rsidP="00D204CB">
      <w:pPr>
        <w:pStyle w:val="ListParagraph"/>
        <w:numPr>
          <w:ilvl w:val="0"/>
          <w:numId w:val="12"/>
        </w:numPr>
        <w:ind w:left="0" w:firstLine="0"/>
        <w:rPr>
          <w:szCs w:val="22"/>
        </w:rPr>
      </w:pPr>
      <w:r w:rsidRPr="0018674A">
        <w:rPr>
          <w:szCs w:val="22"/>
        </w:rPr>
        <w:t>At its annual meeting in September 2018, the WIPO Coordination Committee requested the Secretariat to include systematically in its Annual Report on Human Resources detailed information on the number of temporary appointments extended by the Director General beyond two years under Staff Regulation 4.16(a)</w:t>
      </w:r>
      <w:r w:rsidRPr="0006645A">
        <w:rPr>
          <w:rStyle w:val="FootnoteReference"/>
          <w:rFonts w:eastAsia="SimSun"/>
          <w:szCs w:val="22"/>
        </w:rPr>
        <w:footnoteReference w:id="6"/>
      </w:r>
      <w:r w:rsidRPr="0018674A">
        <w:rPr>
          <w:szCs w:val="22"/>
        </w:rPr>
        <w:t xml:space="preserve"> and the rationale for the use of this exceptional measure. </w:t>
      </w:r>
    </w:p>
    <w:p w14:paraId="3F695186" w14:textId="77777777" w:rsidR="00276BEE" w:rsidRDefault="00276BEE" w:rsidP="00276BEE">
      <w:pPr>
        <w:pStyle w:val="ListParagraph"/>
        <w:ind w:left="0"/>
        <w:rPr>
          <w:szCs w:val="22"/>
        </w:rPr>
      </w:pPr>
    </w:p>
    <w:p w14:paraId="059EA89B" w14:textId="77777777" w:rsidR="00BF21AE" w:rsidRDefault="00BF21AE" w:rsidP="00BF21AE">
      <w:pPr>
        <w:pStyle w:val="ListParagraph"/>
        <w:numPr>
          <w:ilvl w:val="0"/>
          <w:numId w:val="12"/>
        </w:numPr>
        <w:ind w:left="0" w:firstLine="0"/>
        <w:rPr>
          <w:szCs w:val="22"/>
        </w:rPr>
      </w:pPr>
      <w:r w:rsidRPr="0006645A">
        <w:rPr>
          <w:szCs w:val="22"/>
        </w:rPr>
        <w:t>During the reporting period</w:t>
      </w:r>
      <w:r>
        <w:rPr>
          <w:szCs w:val="22"/>
        </w:rPr>
        <w:t>, from January 1 to December 31, 2021, 16 </w:t>
      </w:r>
      <w:r w:rsidRPr="0006645A">
        <w:rPr>
          <w:szCs w:val="22"/>
        </w:rPr>
        <w:t xml:space="preserve">staff members on temporary appointments </w:t>
      </w:r>
      <w:proofErr w:type="gramStart"/>
      <w:r w:rsidRPr="0006645A">
        <w:rPr>
          <w:szCs w:val="22"/>
        </w:rPr>
        <w:t>were extended</w:t>
      </w:r>
      <w:proofErr w:type="gramEnd"/>
      <w:r w:rsidRPr="0006645A">
        <w:rPr>
          <w:szCs w:val="22"/>
        </w:rPr>
        <w:t xml:space="preserve"> beyond two years.  The reasons for these exceptional extensions were as follows:</w:t>
      </w:r>
    </w:p>
    <w:p w14:paraId="32B6F436" w14:textId="77777777" w:rsidR="00BF21AE" w:rsidRDefault="00BF21AE" w:rsidP="00BF21AE">
      <w:pPr>
        <w:pStyle w:val="null"/>
        <w:spacing w:before="0" w:beforeAutospacing="0" w:after="0" w:afterAutospacing="0"/>
        <w:rPr>
          <w:rFonts w:ascii="Arial" w:hAnsi="Arial" w:cs="Arial"/>
          <w:sz w:val="22"/>
          <w:szCs w:val="22"/>
        </w:rPr>
      </w:pPr>
      <w:r>
        <w:rPr>
          <w:rStyle w:val="null1"/>
          <w:rFonts w:ascii="Arial" w:hAnsi="Arial" w:cs="Arial"/>
          <w:sz w:val="22"/>
          <w:szCs w:val="22"/>
        </w:rPr>
        <w:t> </w:t>
      </w:r>
    </w:p>
    <w:p w14:paraId="2FC39469" w14:textId="0DEBD8B1" w:rsidR="00BF21AE" w:rsidRDefault="00BF21AE" w:rsidP="008C0743">
      <w:pPr>
        <w:pStyle w:val="null"/>
        <w:numPr>
          <w:ilvl w:val="0"/>
          <w:numId w:val="15"/>
        </w:numPr>
        <w:spacing w:before="0" w:beforeAutospacing="0" w:after="0" w:afterAutospacing="0"/>
        <w:ind w:left="990" w:hanging="450"/>
        <w:rPr>
          <w:rStyle w:val="null1"/>
          <w:rFonts w:ascii="Arial" w:hAnsi="Arial" w:cs="Arial"/>
          <w:color w:val="000000"/>
          <w:sz w:val="22"/>
          <w:szCs w:val="22"/>
        </w:rPr>
      </w:pPr>
      <w:r>
        <w:rPr>
          <w:rStyle w:val="null1"/>
          <w:rFonts w:ascii="Arial" w:hAnsi="Arial" w:cs="Arial"/>
          <w:color w:val="000000"/>
          <w:sz w:val="22"/>
          <w:szCs w:val="22"/>
        </w:rPr>
        <w:t xml:space="preserve">Two temporary appointments </w:t>
      </w:r>
      <w:proofErr w:type="gramStart"/>
      <w:r>
        <w:rPr>
          <w:rStyle w:val="null1"/>
          <w:rFonts w:ascii="Arial" w:hAnsi="Arial" w:cs="Arial"/>
          <w:color w:val="000000"/>
          <w:sz w:val="22"/>
          <w:szCs w:val="22"/>
        </w:rPr>
        <w:t>were exceptionally extended</w:t>
      </w:r>
      <w:proofErr w:type="gramEnd"/>
      <w:r>
        <w:rPr>
          <w:rStyle w:val="null1"/>
          <w:rFonts w:ascii="Arial" w:hAnsi="Arial" w:cs="Arial"/>
          <w:color w:val="000000"/>
          <w:sz w:val="22"/>
          <w:szCs w:val="22"/>
        </w:rPr>
        <w:t xml:space="preserve"> (one for six months and one for 12 months) </w:t>
      </w:r>
      <w:r w:rsidR="004D274C">
        <w:rPr>
          <w:rStyle w:val="null1"/>
          <w:rFonts w:ascii="Arial" w:hAnsi="Arial" w:cs="Arial"/>
          <w:color w:val="000000"/>
          <w:sz w:val="22"/>
          <w:szCs w:val="22"/>
        </w:rPr>
        <w:t>due</w:t>
      </w:r>
      <w:r>
        <w:rPr>
          <w:rStyle w:val="null1"/>
          <w:rFonts w:ascii="Arial" w:hAnsi="Arial" w:cs="Arial"/>
          <w:color w:val="000000"/>
          <w:sz w:val="22"/>
          <w:szCs w:val="22"/>
        </w:rPr>
        <w:t xml:space="preserve"> to business needs.</w:t>
      </w:r>
    </w:p>
    <w:p w14:paraId="7D213CFC" w14:textId="293DC90F" w:rsidR="00BF21AE" w:rsidRDefault="00BF21AE" w:rsidP="008C0743">
      <w:pPr>
        <w:pStyle w:val="null"/>
        <w:numPr>
          <w:ilvl w:val="0"/>
          <w:numId w:val="15"/>
        </w:numPr>
        <w:spacing w:before="0" w:beforeAutospacing="0" w:after="0" w:afterAutospacing="0"/>
        <w:ind w:left="990" w:hanging="450"/>
      </w:pPr>
      <w:r>
        <w:rPr>
          <w:rStyle w:val="null1"/>
          <w:rFonts w:ascii="Arial" w:hAnsi="Arial" w:cs="Arial"/>
          <w:color w:val="000000"/>
          <w:sz w:val="22"/>
          <w:szCs w:val="22"/>
        </w:rPr>
        <w:t xml:space="preserve">Nine temporary appointments </w:t>
      </w:r>
      <w:proofErr w:type="gramStart"/>
      <w:r>
        <w:rPr>
          <w:rStyle w:val="null1"/>
          <w:rFonts w:ascii="Arial" w:hAnsi="Arial" w:cs="Arial"/>
          <w:color w:val="000000"/>
          <w:sz w:val="22"/>
          <w:szCs w:val="22"/>
        </w:rPr>
        <w:t>were exceptionally extended</w:t>
      </w:r>
      <w:proofErr w:type="gramEnd"/>
      <w:r>
        <w:rPr>
          <w:rStyle w:val="null1"/>
          <w:rFonts w:ascii="Arial" w:hAnsi="Arial" w:cs="Arial"/>
          <w:color w:val="000000"/>
          <w:sz w:val="22"/>
          <w:szCs w:val="22"/>
        </w:rPr>
        <w:t xml:space="preserve"> (two for six months and seven for 12 months) </w:t>
      </w:r>
      <w:r>
        <w:rPr>
          <w:rFonts w:ascii="Arial" w:hAnsi="Arial" w:cs="Arial"/>
          <w:sz w:val="22"/>
          <w:szCs w:val="22"/>
        </w:rPr>
        <w:t xml:space="preserve">to ensure business continuity, pending clarity on staffing needs. </w:t>
      </w:r>
    </w:p>
    <w:p w14:paraId="7F2D7C44" w14:textId="6D8609EE" w:rsidR="00BF21AE" w:rsidRPr="00276BEE" w:rsidRDefault="00BF21AE" w:rsidP="008C0743">
      <w:pPr>
        <w:pStyle w:val="ListParagraph"/>
        <w:numPr>
          <w:ilvl w:val="0"/>
          <w:numId w:val="15"/>
        </w:numPr>
        <w:ind w:left="990" w:hanging="450"/>
        <w:rPr>
          <w:rStyle w:val="null1"/>
          <w:szCs w:val="22"/>
        </w:rPr>
      </w:pPr>
      <w:r>
        <w:rPr>
          <w:rStyle w:val="null1"/>
          <w:color w:val="000000"/>
        </w:rPr>
        <w:t xml:space="preserve">Five temporary appointments </w:t>
      </w:r>
      <w:proofErr w:type="gramStart"/>
      <w:r>
        <w:rPr>
          <w:rStyle w:val="null1"/>
          <w:color w:val="000000"/>
        </w:rPr>
        <w:t>were exceptionally extended</w:t>
      </w:r>
      <w:proofErr w:type="gramEnd"/>
      <w:r>
        <w:rPr>
          <w:rStyle w:val="null1"/>
          <w:color w:val="000000"/>
        </w:rPr>
        <w:t xml:space="preserve"> (two for three months and three for six months) to ensure business continuity, pending recruitment. </w:t>
      </w:r>
    </w:p>
    <w:p w14:paraId="3B525577" w14:textId="77777777" w:rsidR="00276BEE" w:rsidRDefault="00276BEE" w:rsidP="008C0743">
      <w:pPr>
        <w:pStyle w:val="ListParagraph"/>
        <w:ind w:left="990" w:hanging="450"/>
        <w:rPr>
          <w:szCs w:val="22"/>
        </w:rPr>
      </w:pPr>
    </w:p>
    <w:p w14:paraId="60A57AA3" w14:textId="5C9D3476" w:rsidR="00276BEE" w:rsidRPr="0006645A" w:rsidRDefault="00276BEE" w:rsidP="00276BEE">
      <w:pPr>
        <w:pStyle w:val="Heading2"/>
        <w:rPr>
          <w:color w:val="000000"/>
          <w:szCs w:val="22"/>
        </w:rPr>
      </w:pPr>
      <w:r>
        <w:tab/>
        <w:t xml:space="preserve">IMPLEMENTATION OF WIPO POLICY ON GENDER EQUALITY </w:t>
      </w:r>
    </w:p>
    <w:p w14:paraId="475EB933" w14:textId="77777777" w:rsidR="00276BEE" w:rsidRDefault="00276BEE" w:rsidP="00276BEE">
      <w:pPr>
        <w:autoSpaceDE w:val="0"/>
        <w:autoSpaceDN w:val="0"/>
        <w:adjustRightInd w:val="0"/>
        <w:rPr>
          <w:color w:val="000000"/>
          <w:szCs w:val="22"/>
        </w:rPr>
      </w:pPr>
    </w:p>
    <w:p w14:paraId="2735FBC1" w14:textId="57A68A38" w:rsidR="00A17D90" w:rsidRPr="00797BC7" w:rsidRDefault="00A17D90" w:rsidP="00CD4CDA">
      <w:pPr>
        <w:pStyle w:val="ListParagraph"/>
        <w:numPr>
          <w:ilvl w:val="0"/>
          <w:numId w:val="12"/>
        </w:numPr>
        <w:ind w:left="0" w:firstLine="0"/>
        <w:rPr>
          <w:color w:val="000000"/>
          <w:szCs w:val="22"/>
        </w:rPr>
      </w:pPr>
      <w:r w:rsidRPr="00797BC7">
        <w:rPr>
          <w:color w:val="000000"/>
          <w:szCs w:val="22"/>
        </w:rPr>
        <w:t xml:space="preserve">WIPO has adopted a two-pronged approach in its efforts </w:t>
      </w:r>
      <w:r w:rsidRPr="000B5B2F">
        <w:rPr>
          <w:color w:val="000000"/>
          <w:szCs w:val="22"/>
        </w:rPr>
        <w:t xml:space="preserve">on gender equality and women’s empowerment: </w:t>
      </w:r>
      <w:r w:rsidR="00E03613">
        <w:rPr>
          <w:color w:val="000000"/>
          <w:szCs w:val="22"/>
        </w:rPr>
        <w:t xml:space="preserve"> </w:t>
      </w:r>
      <w:r w:rsidRPr="000B5B2F">
        <w:rPr>
          <w:color w:val="000000"/>
          <w:szCs w:val="22"/>
        </w:rPr>
        <w:t xml:space="preserve">it both implements gender-specific initiatives and mainstreams gender considerations </w:t>
      </w:r>
      <w:r>
        <w:rPr>
          <w:color w:val="000000"/>
          <w:szCs w:val="22"/>
        </w:rPr>
        <w:t>across programs and functions</w:t>
      </w:r>
      <w:r w:rsidRPr="00797BC7">
        <w:rPr>
          <w:color w:val="000000"/>
          <w:szCs w:val="22"/>
        </w:rPr>
        <w:t xml:space="preserve">. </w:t>
      </w:r>
    </w:p>
    <w:p w14:paraId="5D07E6CA" w14:textId="77777777" w:rsidR="00A17D90" w:rsidRDefault="00A17D90" w:rsidP="00A17D90">
      <w:pPr>
        <w:rPr>
          <w:i/>
        </w:rPr>
      </w:pPr>
    </w:p>
    <w:p w14:paraId="132DBEC2" w14:textId="77777777" w:rsidR="00A17D90" w:rsidRPr="000B5B2F" w:rsidRDefault="00A17D90" w:rsidP="00A17D90">
      <w:r w:rsidRPr="00797BC7">
        <w:rPr>
          <w:i/>
        </w:rPr>
        <w:t>Gender mainstreaming in organizational functions</w:t>
      </w:r>
    </w:p>
    <w:p w14:paraId="5CFBD71D" w14:textId="77777777" w:rsidR="00A17D90" w:rsidRPr="00762EBE" w:rsidRDefault="00A17D90" w:rsidP="00A17D90">
      <w:pPr>
        <w:rPr>
          <w:i/>
        </w:rPr>
      </w:pPr>
    </w:p>
    <w:p w14:paraId="44786E0B" w14:textId="7C738E8A" w:rsidR="00A17D90" w:rsidRPr="0006645A" w:rsidRDefault="00A17D90" w:rsidP="00A17D90">
      <w:pPr>
        <w:keepNext/>
        <w:keepLines/>
        <w:numPr>
          <w:ilvl w:val="0"/>
          <w:numId w:val="12"/>
        </w:numPr>
        <w:ind w:left="0" w:firstLine="0"/>
        <w:contextualSpacing/>
        <w:rPr>
          <w:szCs w:val="22"/>
        </w:rPr>
      </w:pPr>
      <w:r w:rsidRPr="0006645A">
        <w:rPr>
          <w:szCs w:val="22"/>
        </w:rPr>
        <w:t>With regard to UN system-wide work, in 20</w:t>
      </w:r>
      <w:r>
        <w:rPr>
          <w:szCs w:val="22"/>
        </w:rPr>
        <w:t>21</w:t>
      </w:r>
      <w:r w:rsidRPr="0006645A">
        <w:rPr>
          <w:szCs w:val="22"/>
        </w:rPr>
        <w:t xml:space="preserve">, WIPO continued to implement the </w:t>
      </w:r>
      <w:r>
        <w:rPr>
          <w:szCs w:val="22"/>
        </w:rPr>
        <w:t>UN </w:t>
      </w:r>
      <w:r w:rsidRPr="0006645A">
        <w:rPr>
          <w:szCs w:val="22"/>
        </w:rPr>
        <w:t xml:space="preserve">System-wide Action Plan on Gender Equality and the Empowerment of Women </w:t>
      </w:r>
      <w:r>
        <w:rPr>
          <w:szCs w:val="22"/>
        </w:rPr>
        <w:t>(UN</w:t>
      </w:r>
      <w:r>
        <w:rPr>
          <w:szCs w:val="22"/>
        </w:rPr>
        <w:noBreakHyphen/>
      </w:r>
      <w:r w:rsidRPr="0006645A">
        <w:rPr>
          <w:szCs w:val="22"/>
        </w:rPr>
        <w:t>SWAP).</w:t>
      </w:r>
      <w:r w:rsidRPr="0006645A">
        <w:rPr>
          <w:szCs w:val="22"/>
          <w:vertAlign w:val="superscript"/>
        </w:rPr>
        <w:footnoteReference w:id="7"/>
      </w:r>
      <w:r w:rsidRPr="0006645A">
        <w:rPr>
          <w:szCs w:val="22"/>
        </w:rPr>
        <w:t xml:space="preserve">  </w:t>
      </w:r>
      <w:r>
        <w:rPr>
          <w:szCs w:val="22"/>
        </w:rPr>
        <w:t>In</w:t>
      </w:r>
      <w:r w:rsidRPr="0006645A">
        <w:rPr>
          <w:szCs w:val="22"/>
        </w:rPr>
        <w:t xml:space="preserve"> 20</w:t>
      </w:r>
      <w:r>
        <w:rPr>
          <w:szCs w:val="22"/>
        </w:rPr>
        <w:t>21</w:t>
      </w:r>
      <w:r w:rsidRPr="0006645A">
        <w:rPr>
          <w:szCs w:val="22"/>
        </w:rPr>
        <w:t>, WIPO</w:t>
      </w:r>
      <w:r>
        <w:rPr>
          <w:szCs w:val="22"/>
        </w:rPr>
        <w:t xml:space="preserve"> </w:t>
      </w:r>
      <w:r w:rsidRPr="0006645A">
        <w:rPr>
          <w:szCs w:val="22"/>
        </w:rPr>
        <w:t>me</w:t>
      </w:r>
      <w:r>
        <w:rPr>
          <w:szCs w:val="22"/>
        </w:rPr>
        <w:t>t</w:t>
      </w:r>
      <w:r w:rsidRPr="0006645A">
        <w:rPr>
          <w:szCs w:val="22"/>
        </w:rPr>
        <w:t xml:space="preserve"> or exceed</w:t>
      </w:r>
      <w:r>
        <w:rPr>
          <w:szCs w:val="22"/>
        </w:rPr>
        <w:t>ed</w:t>
      </w:r>
      <w:r w:rsidRPr="0006645A">
        <w:rPr>
          <w:szCs w:val="22"/>
        </w:rPr>
        <w:t xml:space="preserve"> requirements for </w:t>
      </w:r>
      <w:r>
        <w:rPr>
          <w:szCs w:val="22"/>
        </w:rPr>
        <w:t>47</w:t>
      </w:r>
      <w:r w:rsidRPr="0006645A">
        <w:rPr>
          <w:szCs w:val="22"/>
        </w:rPr>
        <w:t xml:space="preserve"> per cent of ratings, or </w:t>
      </w:r>
      <w:r>
        <w:rPr>
          <w:szCs w:val="22"/>
        </w:rPr>
        <w:t xml:space="preserve">eight </w:t>
      </w:r>
      <w:r w:rsidRPr="0006645A">
        <w:rPr>
          <w:szCs w:val="22"/>
        </w:rPr>
        <w:t xml:space="preserve">indicators. </w:t>
      </w:r>
      <w:r w:rsidR="00E03613">
        <w:rPr>
          <w:szCs w:val="22"/>
        </w:rPr>
        <w:t xml:space="preserve"> </w:t>
      </w:r>
      <w:r>
        <w:rPr>
          <w:szCs w:val="22"/>
        </w:rPr>
        <w:t>Notably, WIPO increased the number of indicators for which it exceeds requirements, from two in 2020 to three in 2021 (Evaluation, Audit and Knowledge</w:t>
      </w:r>
      <w:r w:rsidR="005F5DDE">
        <w:rPr>
          <w:szCs w:val="22"/>
        </w:rPr>
        <w:t>,</w:t>
      </w:r>
      <w:r>
        <w:rPr>
          <w:szCs w:val="22"/>
        </w:rPr>
        <w:t xml:space="preserve"> and Communication). </w:t>
      </w:r>
    </w:p>
    <w:p w14:paraId="5B227529" w14:textId="77777777" w:rsidR="00A17D90" w:rsidRPr="0006645A" w:rsidRDefault="00A17D90" w:rsidP="00A17D90">
      <w:pPr>
        <w:contextualSpacing/>
        <w:rPr>
          <w:szCs w:val="22"/>
        </w:rPr>
      </w:pPr>
    </w:p>
    <w:p w14:paraId="53F58594" w14:textId="1B44DBC3" w:rsidR="00A17D90" w:rsidRDefault="00A17D90" w:rsidP="00A17D90">
      <w:pPr>
        <w:numPr>
          <w:ilvl w:val="0"/>
          <w:numId w:val="12"/>
        </w:numPr>
        <w:ind w:left="0" w:firstLine="0"/>
        <w:contextualSpacing/>
        <w:rPr>
          <w:szCs w:val="22"/>
        </w:rPr>
      </w:pPr>
      <w:r w:rsidRPr="0006645A">
        <w:rPr>
          <w:szCs w:val="22"/>
        </w:rPr>
        <w:t>The chart below reflects WIPO</w:t>
      </w:r>
      <w:r>
        <w:rPr>
          <w:szCs w:val="22"/>
        </w:rPr>
        <w:t>’</w:t>
      </w:r>
      <w:r w:rsidRPr="0006645A">
        <w:rPr>
          <w:szCs w:val="22"/>
        </w:rPr>
        <w:t>s UN-SWAP results for 20</w:t>
      </w:r>
      <w:r>
        <w:rPr>
          <w:szCs w:val="22"/>
        </w:rPr>
        <w:t>2</w:t>
      </w:r>
      <w:r w:rsidR="00CD4CDA">
        <w:rPr>
          <w:szCs w:val="22"/>
        </w:rPr>
        <w:t>1</w:t>
      </w:r>
      <w:r w:rsidRPr="0006645A">
        <w:rPr>
          <w:szCs w:val="22"/>
        </w:rPr>
        <w:t xml:space="preserve"> </w:t>
      </w:r>
      <w:r>
        <w:rPr>
          <w:szCs w:val="22"/>
        </w:rPr>
        <w:t>compared</w:t>
      </w:r>
      <w:r w:rsidRPr="0006645A">
        <w:rPr>
          <w:szCs w:val="22"/>
        </w:rPr>
        <w:t xml:space="preserve"> to 20</w:t>
      </w:r>
      <w:r>
        <w:rPr>
          <w:szCs w:val="22"/>
        </w:rPr>
        <w:t>2</w:t>
      </w:r>
      <w:r w:rsidR="00CD4CDA">
        <w:rPr>
          <w:szCs w:val="22"/>
        </w:rPr>
        <w:t>0</w:t>
      </w:r>
      <w:r w:rsidRPr="0006645A">
        <w:rPr>
          <w:szCs w:val="22"/>
        </w:rPr>
        <w:t>:</w:t>
      </w:r>
    </w:p>
    <w:p w14:paraId="0D1256E2" w14:textId="77777777" w:rsidR="00A17D90" w:rsidRPr="0006645A" w:rsidRDefault="00A17D90" w:rsidP="00A17D90">
      <w:pPr>
        <w:contextualSpacing/>
        <w:rPr>
          <w:szCs w:val="22"/>
        </w:rPr>
      </w:pPr>
    </w:p>
    <w:p w14:paraId="139BE6F5" w14:textId="77777777" w:rsidR="00A17D90" w:rsidRPr="0006645A" w:rsidRDefault="00A17D90" w:rsidP="00A17D90">
      <w:pPr>
        <w:contextualSpacing/>
        <w:rPr>
          <w:szCs w:val="22"/>
        </w:rPr>
      </w:pPr>
      <w:r>
        <w:rPr>
          <w:noProof/>
          <w:lang w:eastAsia="en-US"/>
        </w:rPr>
        <w:drawing>
          <wp:inline distT="0" distB="0" distL="0" distR="0" wp14:anchorId="7451C1E4" wp14:editId="7463D81F">
            <wp:extent cx="5899868" cy="1757045"/>
            <wp:effectExtent l="0" t="0" r="5715" b="14605"/>
            <wp:docPr id="3" name="Chart 3" descr="Comparison 2020-2021 Performance" title="WIPO's UN-SWAP Results for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F80A16" w14:textId="117FC051" w:rsidR="00A17D90" w:rsidRDefault="00A17D90" w:rsidP="00A17D90">
      <w:pPr>
        <w:contextualSpacing/>
        <w:rPr>
          <w:szCs w:val="22"/>
        </w:rPr>
      </w:pPr>
    </w:p>
    <w:p w14:paraId="77E39DC2" w14:textId="77777777" w:rsidR="00A17D90" w:rsidRPr="009179B5" w:rsidRDefault="00A17D90" w:rsidP="00A17D90">
      <w:pPr>
        <w:pStyle w:val="Heading3"/>
        <w:rPr>
          <w:i/>
          <w:u w:val="none"/>
        </w:rPr>
      </w:pPr>
      <w:r w:rsidRPr="009179B5">
        <w:rPr>
          <w:i/>
          <w:u w:val="none"/>
        </w:rPr>
        <w:lastRenderedPageBreak/>
        <w:t>Gender balance</w:t>
      </w:r>
    </w:p>
    <w:p w14:paraId="72280A71" w14:textId="77777777" w:rsidR="00A17D90" w:rsidRPr="00724054" w:rsidRDefault="00A17D90" w:rsidP="00A17D90">
      <w:pPr>
        <w:contextualSpacing/>
        <w:rPr>
          <w:szCs w:val="22"/>
        </w:rPr>
      </w:pPr>
    </w:p>
    <w:p w14:paraId="052591B5" w14:textId="11D92512" w:rsidR="00A17D90" w:rsidRDefault="00A17D90" w:rsidP="00A17D90">
      <w:pPr>
        <w:pStyle w:val="ListParagraph"/>
        <w:numPr>
          <w:ilvl w:val="0"/>
          <w:numId w:val="12"/>
        </w:numPr>
        <w:ind w:left="0" w:firstLine="0"/>
        <w:rPr>
          <w:szCs w:val="22"/>
        </w:rPr>
      </w:pPr>
      <w:r w:rsidRPr="00724054">
        <w:rPr>
          <w:szCs w:val="22"/>
        </w:rPr>
        <w:t xml:space="preserve">As at </w:t>
      </w:r>
      <w:r>
        <w:rPr>
          <w:szCs w:val="22"/>
        </w:rPr>
        <w:t xml:space="preserve">December </w:t>
      </w:r>
      <w:r w:rsidRPr="00724054">
        <w:rPr>
          <w:szCs w:val="22"/>
        </w:rPr>
        <w:t>3</w:t>
      </w:r>
      <w:r>
        <w:rPr>
          <w:szCs w:val="22"/>
        </w:rPr>
        <w:t>1</w:t>
      </w:r>
      <w:r w:rsidRPr="00724054">
        <w:rPr>
          <w:szCs w:val="22"/>
        </w:rPr>
        <w:t xml:space="preserve">, 2021, </w:t>
      </w:r>
      <w:r w:rsidRPr="007F0936">
        <w:rPr>
          <w:szCs w:val="22"/>
        </w:rPr>
        <w:t>women represented 47.9</w:t>
      </w:r>
      <w:r>
        <w:rPr>
          <w:szCs w:val="22"/>
        </w:rPr>
        <w:t xml:space="preserve"> per cent</w:t>
      </w:r>
      <w:r w:rsidRPr="007F0936">
        <w:rPr>
          <w:szCs w:val="22"/>
        </w:rPr>
        <w:t xml:space="preserve"> of all </w:t>
      </w:r>
      <w:r w:rsidR="008E3C6F">
        <w:rPr>
          <w:szCs w:val="22"/>
        </w:rPr>
        <w:t>staff in the P</w:t>
      </w:r>
      <w:r w:rsidRPr="007F0936">
        <w:rPr>
          <w:szCs w:val="22"/>
        </w:rPr>
        <w:t>rofessional and</w:t>
      </w:r>
      <w:r w:rsidR="00EB1C65">
        <w:rPr>
          <w:szCs w:val="22"/>
        </w:rPr>
        <w:t xml:space="preserve"> </w:t>
      </w:r>
      <w:r w:rsidR="008E3C6F">
        <w:rPr>
          <w:szCs w:val="22"/>
        </w:rPr>
        <w:t xml:space="preserve">higher </w:t>
      </w:r>
      <w:r w:rsidR="00EB1C65">
        <w:rPr>
          <w:szCs w:val="22"/>
        </w:rPr>
        <w:t>categories holding fixed-</w:t>
      </w:r>
      <w:r w:rsidRPr="007F0936">
        <w:rPr>
          <w:szCs w:val="22"/>
        </w:rPr>
        <w:t>term, continu</w:t>
      </w:r>
      <w:r w:rsidR="00EB1C65">
        <w:rPr>
          <w:szCs w:val="22"/>
        </w:rPr>
        <w:t>ing</w:t>
      </w:r>
      <w:r w:rsidRPr="007F0936">
        <w:rPr>
          <w:szCs w:val="22"/>
        </w:rPr>
        <w:t xml:space="preserve"> or permanent </w:t>
      </w:r>
      <w:r w:rsidR="008E3C6F">
        <w:rPr>
          <w:szCs w:val="22"/>
        </w:rPr>
        <w:t>appointments</w:t>
      </w:r>
      <w:r w:rsidR="008E3C6F" w:rsidRPr="007F0936">
        <w:rPr>
          <w:szCs w:val="22"/>
        </w:rPr>
        <w:t xml:space="preserve"> </w:t>
      </w:r>
      <w:r w:rsidRPr="007F0936">
        <w:rPr>
          <w:szCs w:val="22"/>
        </w:rPr>
        <w:t xml:space="preserve">on </w:t>
      </w:r>
      <w:r w:rsidR="00EB1C65">
        <w:rPr>
          <w:szCs w:val="22"/>
        </w:rPr>
        <w:t xml:space="preserve">the </w:t>
      </w:r>
      <w:r w:rsidRPr="007F0936">
        <w:rPr>
          <w:szCs w:val="22"/>
        </w:rPr>
        <w:t>regular budget</w:t>
      </w:r>
      <w:r w:rsidRPr="007F0936">
        <w:rPr>
          <w:vertAlign w:val="superscript"/>
        </w:rPr>
        <w:footnoteReference w:id="8"/>
      </w:r>
      <w:r>
        <w:rPr>
          <w:szCs w:val="22"/>
        </w:rPr>
        <w:t xml:space="preserve">, with </w:t>
      </w:r>
      <w:r w:rsidRPr="00724054">
        <w:rPr>
          <w:szCs w:val="22"/>
        </w:rPr>
        <w:t>4</w:t>
      </w:r>
      <w:r>
        <w:rPr>
          <w:szCs w:val="22"/>
        </w:rPr>
        <w:t>9</w:t>
      </w:r>
      <w:r w:rsidRPr="00724054">
        <w:rPr>
          <w:szCs w:val="22"/>
        </w:rPr>
        <w:t>.</w:t>
      </w:r>
      <w:r>
        <w:rPr>
          <w:szCs w:val="22"/>
        </w:rPr>
        <w:t>8</w:t>
      </w:r>
      <w:r w:rsidRPr="00724054">
        <w:rPr>
          <w:szCs w:val="22"/>
        </w:rPr>
        <w:t xml:space="preserve"> per cent of </w:t>
      </w:r>
      <w:r>
        <w:rPr>
          <w:szCs w:val="22"/>
        </w:rPr>
        <w:t>women in the Professional category and 33.3 per cent in the Director category</w:t>
      </w:r>
      <w:r w:rsidRPr="00724054">
        <w:rPr>
          <w:szCs w:val="22"/>
        </w:rPr>
        <w:t xml:space="preserve">.  </w:t>
      </w:r>
      <w:r>
        <w:rPr>
          <w:szCs w:val="22"/>
        </w:rPr>
        <w:t>W</w:t>
      </w:r>
      <w:r w:rsidRPr="00724054">
        <w:rPr>
          <w:szCs w:val="22"/>
        </w:rPr>
        <w:t>omen constitute</w:t>
      </w:r>
      <w:r>
        <w:rPr>
          <w:szCs w:val="22"/>
        </w:rPr>
        <w:t>d</w:t>
      </w:r>
      <w:r w:rsidRPr="00724054">
        <w:rPr>
          <w:szCs w:val="22"/>
        </w:rPr>
        <w:t xml:space="preserve"> 80 per cent of National Professional Officer </w:t>
      </w:r>
      <w:proofErr w:type="gramStart"/>
      <w:r w:rsidRPr="00724054">
        <w:rPr>
          <w:szCs w:val="22"/>
        </w:rPr>
        <w:t>staff</w:t>
      </w:r>
      <w:proofErr w:type="gramEnd"/>
      <w:r w:rsidRPr="00724054">
        <w:rPr>
          <w:szCs w:val="22"/>
        </w:rPr>
        <w:t xml:space="preserve">, </w:t>
      </w:r>
      <w:r w:rsidR="00A15838">
        <w:rPr>
          <w:szCs w:val="22"/>
        </w:rPr>
        <w:t xml:space="preserve">and </w:t>
      </w:r>
      <w:r w:rsidRPr="00724054">
        <w:rPr>
          <w:szCs w:val="22"/>
        </w:rPr>
        <w:t>62.</w:t>
      </w:r>
      <w:r>
        <w:rPr>
          <w:szCs w:val="22"/>
        </w:rPr>
        <w:t>8</w:t>
      </w:r>
      <w:r w:rsidRPr="00724054">
        <w:rPr>
          <w:szCs w:val="22"/>
        </w:rPr>
        <w:t xml:space="preserve"> per cent of General Service staff</w:t>
      </w:r>
      <w:r>
        <w:rPr>
          <w:szCs w:val="22"/>
        </w:rPr>
        <w:t xml:space="preserve">. </w:t>
      </w:r>
    </w:p>
    <w:p w14:paraId="0D537B96" w14:textId="77777777" w:rsidR="00A17D90" w:rsidRDefault="00A17D90" w:rsidP="00A17D90">
      <w:pPr>
        <w:pStyle w:val="ListParagraph"/>
        <w:ind w:left="0"/>
        <w:rPr>
          <w:szCs w:val="22"/>
        </w:rPr>
      </w:pPr>
    </w:p>
    <w:p w14:paraId="56B8F11F" w14:textId="526FDC42" w:rsidR="00A17D90" w:rsidRPr="005B55E8" w:rsidRDefault="00A17D90" w:rsidP="00A17D90">
      <w:pPr>
        <w:pStyle w:val="ListParagraph"/>
        <w:numPr>
          <w:ilvl w:val="0"/>
          <w:numId w:val="12"/>
        </w:numPr>
        <w:ind w:left="0" w:firstLine="0"/>
        <w:rPr>
          <w:szCs w:val="22"/>
        </w:rPr>
      </w:pPr>
      <w:r w:rsidRPr="00113DEE">
        <w:rPr>
          <w:szCs w:val="22"/>
        </w:rPr>
        <w:t>With regards to gender parity targets, over the past biennium, both the P4 and D1 levels have met</w:t>
      </w:r>
      <w:r w:rsidR="00F905AE">
        <w:rPr>
          <w:szCs w:val="22"/>
        </w:rPr>
        <w:t>,</w:t>
      </w:r>
      <w:r w:rsidRPr="00113DEE">
        <w:rPr>
          <w:szCs w:val="22"/>
        </w:rPr>
        <w:t xml:space="preserve"> </w:t>
      </w:r>
      <w:r w:rsidRPr="00F905AE">
        <w:rPr>
          <w:szCs w:val="22"/>
        </w:rPr>
        <w:t>and have remained on</w:t>
      </w:r>
      <w:r w:rsidR="00F905AE">
        <w:rPr>
          <w:szCs w:val="22"/>
        </w:rPr>
        <w:t>,</w:t>
      </w:r>
      <w:r w:rsidRPr="00113DEE">
        <w:rPr>
          <w:szCs w:val="22"/>
        </w:rPr>
        <w:t xml:space="preserve"> their targets.</w:t>
      </w:r>
      <w:r w:rsidR="003113A6">
        <w:rPr>
          <w:szCs w:val="22"/>
        </w:rPr>
        <w:t xml:space="preserve"> </w:t>
      </w:r>
      <w:r w:rsidRPr="00113DEE">
        <w:rPr>
          <w:szCs w:val="22"/>
        </w:rPr>
        <w:t xml:space="preserve"> Conversely, both the D2 and P5 levels have registered regressions</w:t>
      </w:r>
      <w:r>
        <w:rPr>
          <w:szCs w:val="22"/>
        </w:rPr>
        <w:t xml:space="preserve">, </w:t>
      </w:r>
      <w:r w:rsidR="00F905AE">
        <w:rPr>
          <w:szCs w:val="22"/>
        </w:rPr>
        <w:t>while remaining stable</w:t>
      </w:r>
      <w:r>
        <w:rPr>
          <w:szCs w:val="22"/>
        </w:rPr>
        <w:t xml:space="preserve"> during the last year. </w:t>
      </w:r>
    </w:p>
    <w:p w14:paraId="100724FB" w14:textId="77777777" w:rsidR="00A17D90" w:rsidRPr="00797BC7" w:rsidRDefault="00A17D90" w:rsidP="00A17D90">
      <w:pPr>
        <w:rPr>
          <w:szCs w:val="22"/>
          <w:lang w:val="en-GB"/>
        </w:rPr>
      </w:pPr>
    </w:p>
    <w:tbl>
      <w:tblPr>
        <w:tblStyle w:val="TableGrid"/>
        <w:tblW w:w="9445" w:type="dxa"/>
        <w:tblLook w:val="04A0" w:firstRow="1" w:lastRow="0" w:firstColumn="1" w:lastColumn="0" w:noHBand="0" w:noVBand="1"/>
        <w:tblDescription w:val="As compared to the targets for the D2, D1, P5 and P4 levels, this table shows that some grades have made gains over the past two biennia.   For instance, the P4 level has reached its 2021 target, more than one year in advance of the deadline.  The D1 level has also improved consistently and it is now two percentage points away from reaching its target."/>
      </w:tblPr>
      <w:tblGrid>
        <w:gridCol w:w="895"/>
        <w:gridCol w:w="1729"/>
        <w:gridCol w:w="1730"/>
        <w:gridCol w:w="1730"/>
        <w:gridCol w:w="1730"/>
        <w:gridCol w:w="1631"/>
      </w:tblGrid>
      <w:tr w:rsidR="00A17D90" w:rsidRPr="00724054" w14:paraId="6D354B60" w14:textId="77777777" w:rsidTr="00A17D90">
        <w:trPr>
          <w:tblHeader/>
        </w:trPr>
        <w:tc>
          <w:tcPr>
            <w:tcW w:w="895" w:type="dxa"/>
            <w:vAlign w:val="center"/>
          </w:tcPr>
          <w:p w14:paraId="7D22682D" w14:textId="77777777" w:rsidR="00A17D90" w:rsidRPr="00A17D90" w:rsidRDefault="00A17D90" w:rsidP="00A17D90">
            <w:pPr>
              <w:jc w:val="center"/>
              <w:rPr>
                <w:sz w:val="18"/>
                <w:szCs w:val="18"/>
              </w:rPr>
            </w:pPr>
            <w:r w:rsidRPr="00A17D90">
              <w:rPr>
                <w:b/>
                <w:sz w:val="18"/>
                <w:szCs w:val="18"/>
              </w:rPr>
              <w:t>Grades</w:t>
            </w:r>
          </w:p>
        </w:tc>
        <w:tc>
          <w:tcPr>
            <w:tcW w:w="1729" w:type="dxa"/>
            <w:vAlign w:val="center"/>
          </w:tcPr>
          <w:p w14:paraId="2C0392FD" w14:textId="253C3157" w:rsidR="00A17D90" w:rsidRPr="00A17D90" w:rsidRDefault="00A17D90" w:rsidP="00A17D90">
            <w:pPr>
              <w:jc w:val="center"/>
              <w:rPr>
                <w:sz w:val="18"/>
                <w:szCs w:val="18"/>
              </w:rPr>
            </w:pPr>
            <w:r w:rsidRPr="00A17D90">
              <w:rPr>
                <w:b/>
                <w:sz w:val="18"/>
                <w:szCs w:val="18"/>
              </w:rPr>
              <w:t xml:space="preserve">Status as at </w:t>
            </w:r>
            <w:r>
              <w:rPr>
                <w:b/>
                <w:sz w:val="18"/>
                <w:szCs w:val="18"/>
              </w:rPr>
              <w:br/>
            </w:r>
            <w:r w:rsidRPr="00A17D90">
              <w:rPr>
                <w:b/>
                <w:sz w:val="18"/>
                <w:szCs w:val="18"/>
              </w:rPr>
              <w:t>June 30, 2019</w:t>
            </w:r>
          </w:p>
        </w:tc>
        <w:tc>
          <w:tcPr>
            <w:tcW w:w="1730" w:type="dxa"/>
            <w:vAlign w:val="center"/>
          </w:tcPr>
          <w:p w14:paraId="202ACB81" w14:textId="139AF2B2" w:rsidR="00A17D90" w:rsidRPr="00A17D90" w:rsidRDefault="00A17D90" w:rsidP="00A17D90">
            <w:pPr>
              <w:jc w:val="center"/>
              <w:rPr>
                <w:sz w:val="18"/>
                <w:szCs w:val="18"/>
              </w:rPr>
            </w:pPr>
            <w:r w:rsidRPr="00A17D90">
              <w:rPr>
                <w:b/>
                <w:sz w:val="18"/>
                <w:szCs w:val="18"/>
              </w:rPr>
              <w:t xml:space="preserve">Status as at </w:t>
            </w:r>
            <w:r>
              <w:rPr>
                <w:b/>
                <w:sz w:val="18"/>
                <w:szCs w:val="18"/>
              </w:rPr>
              <w:br/>
            </w:r>
            <w:r w:rsidRPr="00A17D90">
              <w:rPr>
                <w:b/>
                <w:sz w:val="18"/>
                <w:szCs w:val="18"/>
              </w:rPr>
              <w:t>June 30, 2020</w:t>
            </w:r>
          </w:p>
        </w:tc>
        <w:tc>
          <w:tcPr>
            <w:tcW w:w="1730" w:type="dxa"/>
            <w:shd w:val="clear" w:color="auto" w:fill="auto"/>
            <w:vAlign w:val="center"/>
          </w:tcPr>
          <w:p w14:paraId="24CDD44E" w14:textId="53EC7107" w:rsidR="00A17D90" w:rsidRPr="00A17D90" w:rsidRDefault="00A17D90" w:rsidP="00A17D90">
            <w:pPr>
              <w:jc w:val="center"/>
              <w:rPr>
                <w:b/>
                <w:sz w:val="18"/>
                <w:szCs w:val="18"/>
              </w:rPr>
            </w:pPr>
            <w:r>
              <w:rPr>
                <w:b/>
                <w:sz w:val="18"/>
                <w:szCs w:val="18"/>
              </w:rPr>
              <w:t xml:space="preserve">Status as at </w:t>
            </w:r>
            <w:r>
              <w:rPr>
                <w:b/>
                <w:sz w:val="18"/>
                <w:szCs w:val="18"/>
              </w:rPr>
              <w:br/>
              <w:t>June 30, 2021</w:t>
            </w:r>
          </w:p>
        </w:tc>
        <w:tc>
          <w:tcPr>
            <w:tcW w:w="1730" w:type="dxa"/>
          </w:tcPr>
          <w:p w14:paraId="07566FE8" w14:textId="08E3AC97" w:rsidR="00A17D90" w:rsidRPr="00A17D90" w:rsidRDefault="00A17D90" w:rsidP="00A17D90">
            <w:pPr>
              <w:jc w:val="center"/>
              <w:rPr>
                <w:b/>
                <w:sz w:val="18"/>
                <w:szCs w:val="18"/>
              </w:rPr>
            </w:pPr>
            <w:r w:rsidRPr="00663DCA">
              <w:rPr>
                <w:b/>
                <w:sz w:val="18"/>
                <w:szCs w:val="18"/>
              </w:rPr>
              <w:t xml:space="preserve">Status as at </w:t>
            </w:r>
            <w:r>
              <w:rPr>
                <w:b/>
                <w:sz w:val="18"/>
                <w:szCs w:val="18"/>
              </w:rPr>
              <w:br/>
              <w:t>Dec. 31, 2021</w:t>
            </w:r>
          </w:p>
        </w:tc>
        <w:tc>
          <w:tcPr>
            <w:tcW w:w="1631" w:type="dxa"/>
            <w:shd w:val="clear" w:color="auto" w:fill="BFBFBF" w:themeFill="background1" w:themeFillShade="BF"/>
            <w:vAlign w:val="center"/>
          </w:tcPr>
          <w:p w14:paraId="1A0FDA45" w14:textId="77777777" w:rsidR="00A17D90" w:rsidRPr="00A17D90" w:rsidRDefault="00A17D90" w:rsidP="00A17D90">
            <w:pPr>
              <w:jc w:val="center"/>
              <w:rPr>
                <w:sz w:val="18"/>
                <w:szCs w:val="18"/>
              </w:rPr>
            </w:pPr>
            <w:r w:rsidRPr="00A17D90">
              <w:rPr>
                <w:b/>
                <w:sz w:val="18"/>
                <w:szCs w:val="18"/>
              </w:rPr>
              <w:t>Targets for December 2021</w:t>
            </w:r>
          </w:p>
        </w:tc>
      </w:tr>
      <w:tr w:rsidR="00A17D90" w:rsidRPr="00724054" w14:paraId="539CC895" w14:textId="77777777" w:rsidTr="00A17D90">
        <w:tc>
          <w:tcPr>
            <w:tcW w:w="895" w:type="dxa"/>
          </w:tcPr>
          <w:p w14:paraId="30999890" w14:textId="77777777" w:rsidR="00A17D90" w:rsidRPr="00A17D90" w:rsidRDefault="00A17D90" w:rsidP="00987184">
            <w:pPr>
              <w:jc w:val="center"/>
              <w:rPr>
                <w:sz w:val="18"/>
                <w:szCs w:val="18"/>
              </w:rPr>
            </w:pPr>
            <w:r w:rsidRPr="00A17D90">
              <w:rPr>
                <w:sz w:val="18"/>
                <w:szCs w:val="18"/>
              </w:rPr>
              <w:t>D2</w:t>
            </w:r>
          </w:p>
        </w:tc>
        <w:tc>
          <w:tcPr>
            <w:tcW w:w="1729" w:type="dxa"/>
          </w:tcPr>
          <w:p w14:paraId="0F7E9B5D" w14:textId="77777777" w:rsidR="00A17D90" w:rsidRPr="00A17D90" w:rsidRDefault="00A17D90" w:rsidP="00987184">
            <w:pPr>
              <w:jc w:val="center"/>
              <w:rPr>
                <w:sz w:val="18"/>
                <w:szCs w:val="18"/>
              </w:rPr>
            </w:pPr>
            <w:r w:rsidRPr="00A17D90">
              <w:rPr>
                <w:sz w:val="18"/>
                <w:szCs w:val="18"/>
              </w:rPr>
              <w:t>15.4%</w:t>
            </w:r>
          </w:p>
        </w:tc>
        <w:tc>
          <w:tcPr>
            <w:tcW w:w="1730" w:type="dxa"/>
          </w:tcPr>
          <w:p w14:paraId="071B0A77" w14:textId="77777777" w:rsidR="00A17D90" w:rsidRPr="00A17D90" w:rsidRDefault="00A17D90" w:rsidP="00987184">
            <w:pPr>
              <w:jc w:val="center"/>
              <w:rPr>
                <w:sz w:val="18"/>
                <w:szCs w:val="18"/>
              </w:rPr>
            </w:pPr>
            <w:r w:rsidRPr="00A17D90">
              <w:rPr>
                <w:sz w:val="18"/>
                <w:szCs w:val="18"/>
              </w:rPr>
              <w:t>15.4%</w:t>
            </w:r>
          </w:p>
        </w:tc>
        <w:tc>
          <w:tcPr>
            <w:tcW w:w="1730" w:type="dxa"/>
            <w:shd w:val="clear" w:color="auto" w:fill="auto"/>
          </w:tcPr>
          <w:p w14:paraId="336D3C3E" w14:textId="77777777" w:rsidR="00A17D90" w:rsidRPr="00A17D90" w:rsidRDefault="00A17D90" w:rsidP="00987184">
            <w:pPr>
              <w:jc w:val="center"/>
              <w:rPr>
                <w:sz w:val="18"/>
                <w:szCs w:val="18"/>
              </w:rPr>
            </w:pPr>
            <w:r w:rsidRPr="00A17D90">
              <w:rPr>
                <w:sz w:val="18"/>
                <w:szCs w:val="18"/>
              </w:rPr>
              <w:t>10%</w:t>
            </w:r>
          </w:p>
        </w:tc>
        <w:tc>
          <w:tcPr>
            <w:tcW w:w="1730" w:type="dxa"/>
          </w:tcPr>
          <w:p w14:paraId="00ACD52B" w14:textId="77777777" w:rsidR="00A17D90" w:rsidRPr="00A17D90" w:rsidRDefault="00A17D90" w:rsidP="00987184">
            <w:pPr>
              <w:jc w:val="center"/>
              <w:rPr>
                <w:sz w:val="18"/>
                <w:szCs w:val="18"/>
              </w:rPr>
            </w:pPr>
            <w:r w:rsidRPr="00A17D90">
              <w:rPr>
                <w:sz w:val="18"/>
                <w:szCs w:val="18"/>
              </w:rPr>
              <w:t>10%</w:t>
            </w:r>
          </w:p>
        </w:tc>
        <w:tc>
          <w:tcPr>
            <w:tcW w:w="1631" w:type="dxa"/>
            <w:shd w:val="clear" w:color="auto" w:fill="BFBFBF" w:themeFill="background1" w:themeFillShade="BF"/>
          </w:tcPr>
          <w:p w14:paraId="017A8068" w14:textId="77777777" w:rsidR="00A17D90" w:rsidRPr="00A17D90" w:rsidRDefault="00A17D90" w:rsidP="00987184">
            <w:pPr>
              <w:jc w:val="center"/>
              <w:rPr>
                <w:sz w:val="18"/>
                <w:szCs w:val="18"/>
              </w:rPr>
            </w:pPr>
            <w:r w:rsidRPr="00A17D90">
              <w:rPr>
                <w:sz w:val="18"/>
                <w:szCs w:val="18"/>
              </w:rPr>
              <w:t>24%</w:t>
            </w:r>
          </w:p>
        </w:tc>
      </w:tr>
      <w:tr w:rsidR="00A17D90" w:rsidRPr="00724054" w14:paraId="3423804A" w14:textId="77777777" w:rsidTr="00A17D90">
        <w:tc>
          <w:tcPr>
            <w:tcW w:w="895" w:type="dxa"/>
          </w:tcPr>
          <w:p w14:paraId="40C7E750" w14:textId="77777777" w:rsidR="00A17D90" w:rsidRPr="00A17D90" w:rsidRDefault="00A17D90" w:rsidP="00987184">
            <w:pPr>
              <w:jc w:val="center"/>
              <w:rPr>
                <w:sz w:val="18"/>
                <w:szCs w:val="18"/>
              </w:rPr>
            </w:pPr>
            <w:r w:rsidRPr="00A17D90">
              <w:rPr>
                <w:sz w:val="18"/>
                <w:szCs w:val="18"/>
              </w:rPr>
              <w:t>D1</w:t>
            </w:r>
          </w:p>
        </w:tc>
        <w:tc>
          <w:tcPr>
            <w:tcW w:w="1729" w:type="dxa"/>
          </w:tcPr>
          <w:p w14:paraId="5001B7DC" w14:textId="77777777" w:rsidR="00A17D90" w:rsidRPr="00A17D90" w:rsidRDefault="00A17D90" w:rsidP="00987184">
            <w:pPr>
              <w:jc w:val="center"/>
              <w:rPr>
                <w:sz w:val="18"/>
                <w:szCs w:val="18"/>
              </w:rPr>
            </w:pPr>
            <w:r w:rsidRPr="00A17D90">
              <w:rPr>
                <w:sz w:val="18"/>
                <w:szCs w:val="18"/>
              </w:rPr>
              <w:t>36.8%</w:t>
            </w:r>
          </w:p>
        </w:tc>
        <w:tc>
          <w:tcPr>
            <w:tcW w:w="1730" w:type="dxa"/>
          </w:tcPr>
          <w:p w14:paraId="6CF75DEB" w14:textId="77777777" w:rsidR="00A17D90" w:rsidRPr="00A17D90" w:rsidRDefault="00A17D90" w:rsidP="00987184">
            <w:pPr>
              <w:jc w:val="center"/>
              <w:rPr>
                <w:sz w:val="18"/>
                <w:szCs w:val="18"/>
              </w:rPr>
            </w:pPr>
            <w:r w:rsidRPr="00A17D90">
              <w:rPr>
                <w:sz w:val="18"/>
                <w:szCs w:val="18"/>
              </w:rPr>
              <w:t>34.9%</w:t>
            </w:r>
          </w:p>
        </w:tc>
        <w:tc>
          <w:tcPr>
            <w:tcW w:w="1730" w:type="dxa"/>
            <w:shd w:val="clear" w:color="auto" w:fill="auto"/>
          </w:tcPr>
          <w:p w14:paraId="68DAE8E5" w14:textId="77777777" w:rsidR="00A17D90" w:rsidRPr="00A17D90" w:rsidRDefault="00A17D90" w:rsidP="00987184">
            <w:pPr>
              <w:jc w:val="center"/>
              <w:rPr>
                <w:sz w:val="18"/>
                <w:szCs w:val="18"/>
              </w:rPr>
            </w:pPr>
            <w:r w:rsidRPr="00A17D90">
              <w:rPr>
                <w:sz w:val="18"/>
                <w:szCs w:val="18"/>
              </w:rPr>
              <w:t>37.1%</w:t>
            </w:r>
          </w:p>
        </w:tc>
        <w:tc>
          <w:tcPr>
            <w:tcW w:w="1730" w:type="dxa"/>
          </w:tcPr>
          <w:p w14:paraId="31258204" w14:textId="77777777" w:rsidR="00A17D90" w:rsidRPr="00A17D90" w:rsidRDefault="00A17D90" w:rsidP="00987184">
            <w:pPr>
              <w:jc w:val="center"/>
              <w:rPr>
                <w:sz w:val="18"/>
                <w:szCs w:val="18"/>
              </w:rPr>
            </w:pPr>
            <w:r w:rsidRPr="00A17D90">
              <w:rPr>
                <w:sz w:val="18"/>
                <w:szCs w:val="18"/>
              </w:rPr>
              <w:t>37.3%</w:t>
            </w:r>
          </w:p>
        </w:tc>
        <w:tc>
          <w:tcPr>
            <w:tcW w:w="1631" w:type="dxa"/>
            <w:shd w:val="clear" w:color="auto" w:fill="BFBFBF" w:themeFill="background1" w:themeFillShade="BF"/>
          </w:tcPr>
          <w:p w14:paraId="06F9B1B7" w14:textId="77777777" w:rsidR="00A17D90" w:rsidRPr="00A17D90" w:rsidRDefault="00A17D90" w:rsidP="00987184">
            <w:pPr>
              <w:jc w:val="center"/>
              <w:rPr>
                <w:sz w:val="18"/>
                <w:szCs w:val="18"/>
              </w:rPr>
            </w:pPr>
            <w:r w:rsidRPr="00A17D90">
              <w:rPr>
                <w:sz w:val="18"/>
                <w:szCs w:val="18"/>
              </w:rPr>
              <w:t>37%</w:t>
            </w:r>
          </w:p>
        </w:tc>
      </w:tr>
      <w:tr w:rsidR="00A17D90" w:rsidRPr="00724054" w14:paraId="6CC3FEA9" w14:textId="77777777" w:rsidTr="00A17D90">
        <w:tc>
          <w:tcPr>
            <w:tcW w:w="895" w:type="dxa"/>
          </w:tcPr>
          <w:p w14:paraId="50FD634F" w14:textId="77777777" w:rsidR="00A17D90" w:rsidRPr="00A17D90" w:rsidRDefault="00A17D90" w:rsidP="00987184">
            <w:pPr>
              <w:jc w:val="center"/>
              <w:rPr>
                <w:sz w:val="18"/>
                <w:szCs w:val="18"/>
              </w:rPr>
            </w:pPr>
            <w:r w:rsidRPr="00A17D90">
              <w:rPr>
                <w:sz w:val="18"/>
                <w:szCs w:val="18"/>
              </w:rPr>
              <w:t>P5</w:t>
            </w:r>
          </w:p>
        </w:tc>
        <w:tc>
          <w:tcPr>
            <w:tcW w:w="1729" w:type="dxa"/>
          </w:tcPr>
          <w:p w14:paraId="23D7B208" w14:textId="77777777" w:rsidR="00A17D90" w:rsidRPr="00A17D90" w:rsidRDefault="00A17D90" w:rsidP="00987184">
            <w:pPr>
              <w:jc w:val="center"/>
              <w:rPr>
                <w:sz w:val="18"/>
                <w:szCs w:val="18"/>
              </w:rPr>
            </w:pPr>
            <w:r w:rsidRPr="00A17D90">
              <w:rPr>
                <w:sz w:val="18"/>
                <w:szCs w:val="18"/>
              </w:rPr>
              <w:t>32.4%</w:t>
            </w:r>
          </w:p>
        </w:tc>
        <w:tc>
          <w:tcPr>
            <w:tcW w:w="1730" w:type="dxa"/>
          </w:tcPr>
          <w:p w14:paraId="24D598B3" w14:textId="77777777" w:rsidR="00A17D90" w:rsidRPr="00A17D90" w:rsidRDefault="00A17D90" w:rsidP="00987184">
            <w:pPr>
              <w:jc w:val="center"/>
              <w:rPr>
                <w:sz w:val="18"/>
                <w:szCs w:val="18"/>
              </w:rPr>
            </w:pPr>
            <w:r w:rsidRPr="00A17D90">
              <w:rPr>
                <w:sz w:val="18"/>
                <w:szCs w:val="18"/>
              </w:rPr>
              <w:t>32.7%</w:t>
            </w:r>
          </w:p>
        </w:tc>
        <w:tc>
          <w:tcPr>
            <w:tcW w:w="1730" w:type="dxa"/>
            <w:shd w:val="clear" w:color="auto" w:fill="auto"/>
          </w:tcPr>
          <w:p w14:paraId="314FE2EB" w14:textId="77777777" w:rsidR="00A17D90" w:rsidRPr="00A17D90" w:rsidRDefault="00A17D90" w:rsidP="00987184">
            <w:pPr>
              <w:jc w:val="center"/>
              <w:rPr>
                <w:sz w:val="18"/>
                <w:szCs w:val="18"/>
              </w:rPr>
            </w:pPr>
            <w:r w:rsidRPr="00A17D90">
              <w:rPr>
                <w:sz w:val="18"/>
                <w:szCs w:val="18"/>
              </w:rPr>
              <w:t>29.7%</w:t>
            </w:r>
          </w:p>
        </w:tc>
        <w:tc>
          <w:tcPr>
            <w:tcW w:w="1730" w:type="dxa"/>
          </w:tcPr>
          <w:p w14:paraId="60C12DAE" w14:textId="77777777" w:rsidR="00A17D90" w:rsidRPr="00A17D90" w:rsidRDefault="00A17D90" w:rsidP="00987184">
            <w:pPr>
              <w:jc w:val="center"/>
              <w:rPr>
                <w:sz w:val="18"/>
                <w:szCs w:val="18"/>
              </w:rPr>
            </w:pPr>
            <w:r w:rsidRPr="00A17D90">
              <w:rPr>
                <w:sz w:val="18"/>
                <w:szCs w:val="18"/>
              </w:rPr>
              <w:t>29.1%</w:t>
            </w:r>
          </w:p>
        </w:tc>
        <w:tc>
          <w:tcPr>
            <w:tcW w:w="1631" w:type="dxa"/>
            <w:shd w:val="clear" w:color="auto" w:fill="BFBFBF" w:themeFill="background1" w:themeFillShade="BF"/>
          </w:tcPr>
          <w:p w14:paraId="6E026405" w14:textId="77777777" w:rsidR="00A17D90" w:rsidRPr="00A17D90" w:rsidRDefault="00A17D90" w:rsidP="00987184">
            <w:pPr>
              <w:jc w:val="center"/>
              <w:rPr>
                <w:sz w:val="18"/>
                <w:szCs w:val="18"/>
              </w:rPr>
            </w:pPr>
            <w:r w:rsidRPr="00A17D90">
              <w:rPr>
                <w:sz w:val="18"/>
                <w:szCs w:val="18"/>
              </w:rPr>
              <w:t>43%</w:t>
            </w:r>
          </w:p>
        </w:tc>
      </w:tr>
      <w:tr w:rsidR="00A17D90" w14:paraId="45CF9CF2" w14:textId="77777777" w:rsidTr="00A17D90">
        <w:tc>
          <w:tcPr>
            <w:tcW w:w="895" w:type="dxa"/>
          </w:tcPr>
          <w:p w14:paraId="360D9A7F" w14:textId="77777777" w:rsidR="00A17D90" w:rsidRPr="00A17D90" w:rsidRDefault="00A17D90" w:rsidP="00987184">
            <w:pPr>
              <w:jc w:val="center"/>
              <w:rPr>
                <w:sz w:val="18"/>
                <w:szCs w:val="18"/>
              </w:rPr>
            </w:pPr>
            <w:r w:rsidRPr="00A17D90">
              <w:rPr>
                <w:sz w:val="18"/>
                <w:szCs w:val="18"/>
              </w:rPr>
              <w:t>P4</w:t>
            </w:r>
          </w:p>
        </w:tc>
        <w:tc>
          <w:tcPr>
            <w:tcW w:w="1729" w:type="dxa"/>
          </w:tcPr>
          <w:p w14:paraId="42ECD2C7" w14:textId="77777777" w:rsidR="00A17D90" w:rsidRPr="00A17D90" w:rsidRDefault="00A17D90" w:rsidP="00987184">
            <w:pPr>
              <w:jc w:val="center"/>
              <w:rPr>
                <w:sz w:val="18"/>
                <w:szCs w:val="18"/>
              </w:rPr>
            </w:pPr>
            <w:r w:rsidRPr="00A17D90">
              <w:rPr>
                <w:sz w:val="18"/>
                <w:szCs w:val="18"/>
              </w:rPr>
              <w:t>48.7%</w:t>
            </w:r>
          </w:p>
        </w:tc>
        <w:tc>
          <w:tcPr>
            <w:tcW w:w="1730" w:type="dxa"/>
          </w:tcPr>
          <w:p w14:paraId="125EF191" w14:textId="77777777" w:rsidR="00A17D90" w:rsidRPr="00A17D90" w:rsidRDefault="00A17D90" w:rsidP="00987184">
            <w:pPr>
              <w:jc w:val="center"/>
              <w:rPr>
                <w:sz w:val="18"/>
                <w:szCs w:val="18"/>
              </w:rPr>
            </w:pPr>
            <w:r w:rsidRPr="00A17D90">
              <w:rPr>
                <w:sz w:val="18"/>
                <w:szCs w:val="18"/>
              </w:rPr>
              <w:t>50.0%</w:t>
            </w:r>
          </w:p>
        </w:tc>
        <w:tc>
          <w:tcPr>
            <w:tcW w:w="1730" w:type="dxa"/>
            <w:shd w:val="clear" w:color="auto" w:fill="auto"/>
          </w:tcPr>
          <w:p w14:paraId="5F65EFE9" w14:textId="77777777" w:rsidR="00A17D90" w:rsidRPr="00A17D90" w:rsidRDefault="00A17D90" w:rsidP="00987184">
            <w:pPr>
              <w:jc w:val="center"/>
              <w:rPr>
                <w:sz w:val="18"/>
                <w:szCs w:val="18"/>
              </w:rPr>
            </w:pPr>
            <w:r w:rsidRPr="00A17D90">
              <w:rPr>
                <w:sz w:val="18"/>
                <w:szCs w:val="18"/>
              </w:rPr>
              <w:t>50%</w:t>
            </w:r>
          </w:p>
        </w:tc>
        <w:tc>
          <w:tcPr>
            <w:tcW w:w="1730" w:type="dxa"/>
          </w:tcPr>
          <w:p w14:paraId="64B1AC3D" w14:textId="15040E34" w:rsidR="00A17D90" w:rsidRPr="00A17D90" w:rsidRDefault="00C5374E" w:rsidP="00987184">
            <w:pPr>
              <w:jc w:val="center"/>
              <w:rPr>
                <w:sz w:val="18"/>
                <w:szCs w:val="18"/>
              </w:rPr>
            </w:pPr>
            <w:r>
              <w:rPr>
                <w:sz w:val="18"/>
                <w:szCs w:val="18"/>
              </w:rPr>
              <w:t>49.7</w:t>
            </w:r>
            <w:r w:rsidR="00A17D90" w:rsidRPr="00A17D90">
              <w:rPr>
                <w:sz w:val="18"/>
                <w:szCs w:val="18"/>
              </w:rPr>
              <w:t>%</w:t>
            </w:r>
          </w:p>
        </w:tc>
        <w:tc>
          <w:tcPr>
            <w:tcW w:w="1631" w:type="dxa"/>
            <w:shd w:val="clear" w:color="auto" w:fill="BFBFBF" w:themeFill="background1" w:themeFillShade="BF"/>
          </w:tcPr>
          <w:p w14:paraId="0F297DE6" w14:textId="77777777" w:rsidR="00A17D90" w:rsidRPr="00A17D90" w:rsidRDefault="00A17D90" w:rsidP="00987184">
            <w:pPr>
              <w:jc w:val="center"/>
              <w:rPr>
                <w:sz w:val="18"/>
                <w:szCs w:val="18"/>
              </w:rPr>
            </w:pPr>
            <w:r w:rsidRPr="00A17D90">
              <w:rPr>
                <w:sz w:val="18"/>
                <w:szCs w:val="18"/>
              </w:rPr>
              <w:t>50%</w:t>
            </w:r>
          </w:p>
        </w:tc>
      </w:tr>
    </w:tbl>
    <w:p w14:paraId="48C4D930" w14:textId="77777777" w:rsidR="00A17D90" w:rsidRDefault="00A17D90" w:rsidP="00A17D90">
      <w:pPr>
        <w:rPr>
          <w:szCs w:val="22"/>
        </w:rPr>
      </w:pPr>
    </w:p>
    <w:p w14:paraId="42CCE825" w14:textId="2861BD13" w:rsidR="00A17D90" w:rsidRPr="00724054" w:rsidRDefault="00A17D90" w:rsidP="00A17D90">
      <w:pPr>
        <w:numPr>
          <w:ilvl w:val="0"/>
          <w:numId w:val="12"/>
        </w:numPr>
        <w:ind w:left="0" w:firstLine="0"/>
        <w:contextualSpacing/>
        <w:rPr>
          <w:szCs w:val="22"/>
        </w:rPr>
      </w:pPr>
      <w:r w:rsidRPr="00745F14">
        <w:rPr>
          <w:szCs w:val="22"/>
        </w:rPr>
        <w:t xml:space="preserve">For the 2022/2023 biennium, WIPO has set new gender balance targets for the D2, D1, P5 and P4 levels, </w:t>
      </w:r>
      <w:r w:rsidRPr="00724054">
        <w:rPr>
          <w:szCs w:val="22"/>
        </w:rPr>
        <w:t>as follows:</w:t>
      </w:r>
    </w:p>
    <w:p w14:paraId="49F2A7E3" w14:textId="77777777" w:rsidR="00A17D90" w:rsidRPr="00745F14" w:rsidRDefault="00A17D90" w:rsidP="00A17D90">
      <w:pPr>
        <w:contextualSpacing/>
        <w:rPr>
          <w:szCs w:val="22"/>
        </w:rPr>
      </w:pPr>
    </w:p>
    <w:tbl>
      <w:tblPr>
        <w:tblStyle w:val="TableGrid"/>
        <w:tblW w:w="0" w:type="auto"/>
        <w:tblInd w:w="-5" w:type="dxa"/>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7"/>
        <w:gridCol w:w="1347"/>
      </w:tblGrid>
      <w:tr w:rsidR="00A17D90" w:rsidRPr="00724054" w14:paraId="242C4F7C" w14:textId="77777777" w:rsidTr="00A15838">
        <w:trPr>
          <w:tblHeader/>
        </w:trPr>
        <w:tc>
          <w:tcPr>
            <w:tcW w:w="1347" w:type="dxa"/>
          </w:tcPr>
          <w:p w14:paraId="7D1F7E23" w14:textId="77777777" w:rsidR="00A17D90" w:rsidRPr="00A15838" w:rsidRDefault="00A17D90" w:rsidP="00A15838">
            <w:pPr>
              <w:ind w:left="-46"/>
              <w:contextualSpacing/>
              <w:jc w:val="center"/>
              <w:rPr>
                <w:b/>
                <w:sz w:val="18"/>
                <w:szCs w:val="18"/>
              </w:rPr>
            </w:pPr>
            <w:r w:rsidRPr="00A15838">
              <w:rPr>
                <w:b/>
                <w:sz w:val="18"/>
                <w:szCs w:val="18"/>
              </w:rPr>
              <w:t>Grades</w:t>
            </w:r>
          </w:p>
        </w:tc>
        <w:tc>
          <w:tcPr>
            <w:tcW w:w="1347" w:type="dxa"/>
          </w:tcPr>
          <w:p w14:paraId="3C36FA47" w14:textId="77777777" w:rsidR="00A17D90" w:rsidRPr="00A15838" w:rsidRDefault="00A17D90" w:rsidP="00A15838">
            <w:pPr>
              <w:ind w:left="-46"/>
              <w:contextualSpacing/>
              <w:jc w:val="center"/>
              <w:rPr>
                <w:b/>
                <w:sz w:val="18"/>
                <w:szCs w:val="18"/>
              </w:rPr>
            </w:pPr>
            <w:r w:rsidRPr="00A15838">
              <w:rPr>
                <w:b/>
                <w:sz w:val="18"/>
                <w:szCs w:val="18"/>
              </w:rPr>
              <w:t>Target</w:t>
            </w:r>
          </w:p>
        </w:tc>
      </w:tr>
      <w:tr w:rsidR="00A17D90" w:rsidRPr="00724054" w14:paraId="5D2EB95B" w14:textId="77777777" w:rsidTr="00A15838">
        <w:tc>
          <w:tcPr>
            <w:tcW w:w="1347" w:type="dxa"/>
          </w:tcPr>
          <w:p w14:paraId="52F20BC8" w14:textId="77777777" w:rsidR="00A17D90" w:rsidRPr="00A15838" w:rsidRDefault="00A17D90" w:rsidP="00A15838">
            <w:pPr>
              <w:ind w:left="-46"/>
              <w:contextualSpacing/>
              <w:jc w:val="center"/>
              <w:rPr>
                <w:sz w:val="18"/>
                <w:szCs w:val="18"/>
              </w:rPr>
            </w:pPr>
            <w:r w:rsidRPr="00A15838">
              <w:rPr>
                <w:sz w:val="18"/>
                <w:szCs w:val="18"/>
              </w:rPr>
              <w:t>D2</w:t>
            </w:r>
          </w:p>
        </w:tc>
        <w:tc>
          <w:tcPr>
            <w:tcW w:w="1347" w:type="dxa"/>
          </w:tcPr>
          <w:p w14:paraId="2ABAD94A" w14:textId="77777777" w:rsidR="00A17D90" w:rsidRPr="00A15838" w:rsidRDefault="00A17D90" w:rsidP="00A15838">
            <w:pPr>
              <w:ind w:left="-46"/>
              <w:contextualSpacing/>
              <w:jc w:val="center"/>
              <w:rPr>
                <w:sz w:val="18"/>
                <w:szCs w:val="18"/>
              </w:rPr>
            </w:pPr>
            <w:r w:rsidRPr="00A15838">
              <w:rPr>
                <w:sz w:val="18"/>
                <w:szCs w:val="18"/>
              </w:rPr>
              <w:t>33%</w:t>
            </w:r>
          </w:p>
        </w:tc>
      </w:tr>
      <w:tr w:rsidR="00A17D90" w:rsidRPr="00724054" w14:paraId="35DAEEC2" w14:textId="77777777" w:rsidTr="00A15838">
        <w:tc>
          <w:tcPr>
            <w:tcW w:w="1347" w:type="dxa"/>
          </w:tcPr>
          <w:p w14:paraId="6489D137" w14:textId="77777777" w:rsidR="00A17D90" w:rsidRPr="00A15838" w:rsidRDefault="00A17D90" w:rsidP="00A15838">
            <w:pPr>
              <w:ind w:left="-46"/>
              <w:contextualSpacing/>
              <w:jc w:val="center"/>
              <w:rPr>
                <w:sz w:val="18"/>
                <w:szCs w:val="18"/>
              </w:rPr>
            </w:pPr>
            <w:r w:rsidRPr="00A15838">
              <w:rPr>
                <w:sz w:val="18"/>
                <w:szCs w:val="18"/>
              </w:rPr>
              <w:t>D1</w:t>
            </w:r>
          </w:p>
        </w:tc>
        <w:tc>
          <w:tcPr>
            <w:tcW w:w="1347" w:type="dxa"/>
          </w:tcPr>
          <w:p w14:paraId="162C202C" w14:textId="77777777" w:rsidR="00A17D90" w:rsidRPr="00A15838" w:rsidRDefault="00A17D90" w:rsidP="00A15838">
            <w:pPr>
              <w:ind w:left="-46"/>
              <w:contextualSpacing/>
              <w:jc w:val="center"/>
              <w:rPr>
                <w:sz w:val="18"/>
                <w:szCs w:val="18"/>
              </w:rPr>
            </w:pPr>
            <w:r w:rsidRPr="00A15838">
              <w:rPr>
                <w:sz w:val="18"/>
                <w:szCs w:val="18"/>
              </w:rPr>
              <w:t>41%</w:t>
            </w:r>
          </w:p>
        </w:tc>
      </w:tr>
      <w:tr w:rsidR="00A17D90" w:rsidRPr="00724054" w14:paraId="16C7CDD4" w14:textId="77777777" w:rsidTr="00A15838">
        <w:tc>
          <w:tcPr>
            <w:tcW w:w="1347" w:type="dxa"/>
          </w:tcPr>
          <w:p w14:paraId="2B0659DA" w14:textId="77777777" w:rsidR="00A17D90" w:rsidRPr="00A15838" w:rsidRDefault="00A17D90" w:rsidP="00A15838">
            <w:pPr>
              <w:ind w:left="-46"/>
              <w:contextualSpacing/>
              <w:jc w:val="center"/>
              <w:rPr>
                <w:sz w:val="18"/>
                <w:szCs w:val="18"/>
              </w:rPr>
            </w:pPr>
            <w:r w:rsidRPr="00A15838">
              <w:rPr>
                <w:sz w:val="18"/>
                <w:szCs w:val="18"/>
              </w:rPr>
              <w:t>P5</w:t>
            </w:r>
          </w:p>
        </w:tc>
        <w:tc>
          <w:tcPr>
            <w:tcW w:w="1347" w:type="dxa"/>
          </w:tcPr>
          <w:p w14:paraId="2DB1BDB6" w14:textId="77777777" w:rsidR="00A17D90" w:rsidRPr="00A15838" w:rsidRDefault="00A17D90" w:rsidP="00A15838">
            <w:pPr>
              <w:ind w:left="-46"/>
              <w:contextualSpacing/>
              <w:jc w:val="center"/>
              <w:rPr>
                <w:sz w:val="18"/>
                <w:szCs w:val="18"/>
              </w:rPr>
            </w:pPr>
            <w:r w:rsidRPr="00A15838">
              <w:rPr>
                <w:sz w:val="18"/>
                <w:szCs w:val="18"/>
              </w:rPr>
              <w:t>35%</w:t>
            </w:r>
          </w:p>
        </w:tc>
      </w:tr>
      <w:tr w:rsidR="00A17D90" w:rsidRPr="00724054" w14:paraId="5162ED90" w14:textId="77777777" w:rsidTr="00A15838">
        <w:tc>
          <w:tcPr>
            <w:tcW w:w="1347" w:type="dxa"/>
          </w:tcPr>
          <w:p w14:paraId="0A300846" w14:textId="77777777" w:rsidR="00A17D90" w:rsidRPr="00A15838" w:rsidRDefault="00A17D90" w:rsidP="00A15838">
            <w:pPr>
              <w:ind w:left="-46"/>
              <w:contextualSpacing/>
              <w:jc w:val="center"/>
              <w:rPr>
                <w:sz w:val="18"/>
                <w:szCs w:val="18"/>
              </w:rPr>
            </w:pPr>
            <w:r w:rsidRPr="00A15838">
              <w:rPr>
                <w:sz w:val="18"/>
                <w:szCs w:val="18"/>
              </w:rPr>
              <w:t>P4</w:t>
            </w:r>
          </w:p>
        </w:tc>
        <w:tc>
          <w:tcPr>
            <w:tcW w:w="1347" w:type="dxa"/>
          </w:tcPr>
          <w:p w14:paraId="6FBA1921" w14:textId="77777777" w:rsidR="00A17D90" w:rsidRPr="00A15838" w:rsidRDefault="00A17D90" w:rsidP="00A15838">
            <w:pPr>
              <w:ind w:left="-46"/>
              <w:contextualSpacing/>
              <w:jc w:val="center"/>
              <w:rPr>
                <w:sz w:val="18"/>
                <w:szCs w:val="18"/>
              </w:rPr>
            </w:pPr>
            <w:r w:rsidRPr="00A15838">
              <w:rPr>
                <w:sz w:val="18"/>
                <w:szCs w:val="18"/>
              </w:rPr>
              <w:t>50%</w:t>
            </w:r>
          </w:p>
        </w:tc>
      </w:tr>
    </w:tbl>
    <w:p w14:paraId="5B40A0C7" w14:textId="77777777" w:rsidR="00A17D90" w:rsidRDefault="00A17D90" w:rsidP="00A17D90">
      <w:pPr>
        <w:rPr>
          <w:szCs w:val="22"/>
        </w:rPr>
      </w:pPr>
    </w:p>
    <w:p w14:paraId="291E7CB6" w14:textId="77777777" w:rsidR="00A17D90" w:rsidRPr="009179B5" w:rsidRDefault="00A17D90" w:rsidP="00A17D90">
      <w:pPr>
        <w:pStyle w:val="Heading3"/>
        <w:rPr>
          <w:i/>
          <w:u w:val="none"/>
        </w:rPr>
      </w:pPr>
      <w:r w:rsidRPr="009179B5">
        <w:rPr>
          <w:i/>
          <w:u w:val="none"/>
        </w:rPr>
        <w:t xml:space="preserve">Gender mainstreaming in programming </w:t>
      </w:r>
    </w:p>
    <w:p w14:paraId="11A30EBD" w14:textId="77777777" w:rsidR="00A17D90" w:rsidRPr="0006645A" w:rsidRDefault="00A17D90" w:rsidP="00A17D90">
      <w:pPr>
        <w:contextualSpacing/>
        <w:rPr>
          <w:szCs w:val="22"/>
        </w:rPr>
      </w:pPr>
    </w:p>
    <w:p w14:paraId="37791A1D" w14:textId="489F475C" w:rsidR="00A17D90" w:rsidRPr="00797BC7" w:rsidRDefault="00A17D90" w:rsidP="00A17D90">
      <w:pPr>
        <w:numPr>
          <w:ilvl w:val="0"/>
          <w:numId w:val="12"/>
        </w:numPr>
        <w:ind w:left="0" w:firstLine="0"/>
        <w:contextualSpacing/>
        <w:rPr>
          <w:rFonts w:eastAsia="Times New Roman"/>
          <w:szCs w:val="22"/>
          <w:lang w:eastAsia="en-US"/>
        </w:rPr>
      </w:pPr>
      <w:r w:rsidRPr="00797BC7">
        <w:rPr>
          <w:rFonts w:eastAsia="Times New Roman"/>
          <w:szCs w:val="22"/>
          <w:lang w:eastAsia="en-US"/>
        </w:rPr>
        <w:t>To raise awareness on</w:t>
      </w:r>
      <w:r w:rsidR="00F905AE">
        <w:rPr>
          <w:rFonts w:eastAsia="Times New Roman"/>
          <w:szCs w:val="22"/>
          <w:lang w:eastAsia="en-US"/>
        </w:rPr>
        <w:t>,</w:t>
      </w:r>
      <w:r w:rsidRPr="00797BC7">
        <w:rPr>
          <w:rFonts w:eastAsia="Times New Roman"/>
          <w:szCs w:val="22"/>
          <w:lang w:eastAsia="en-US"/>
        </w:rPr>
        <w:t xml:space="preserve"> </w:t>
      </w:r>
      <w:r w:rsidRPr="00F905AE">
        <w:rPr>
          <w:rFonts w:eastAsia="Times New Roman"/>
          <w:szCs w:val="22"/>
          <w:lang w:eastAsia="en-US"/>
        </w:rPr>
        <w:t>and identify solutions to</w:t>
      </w:r>
      <w:r w:rsidR="00F905AE">
        <w:rPr>
          <w:rFonts w:eastAsia="Times New Roman"/>
          <w:szCs w:val="22"/>
          <w:lang w:eastAsia="en-US"/>
        </w:rPr>
        <w:t>,</w:t>
      </w:r>
      <w:r w:rsidRPr="00797BC7">
        <w:rPr>
          <w:rFonts w:eastAsia="Times New Roman"/>
          <w:szCs w:val="22"/>
          <w:lang w:eastAsia="en-US"/>
        </w:rPr>
        <w:t xml:space="preserve"> the global gender gap in IP, in 2021, HRMD and the Development Agenda team organized three global, virtual sessions on </w:t>
      </w:r>
      <w:r w:rsidR="003113A6">
        <w:rPr>
          <w:rFonts w:eastAsia="Times New Roman"/>
          <w:szCs w:val="22"/>
          <w:lang w:eastAsia="en-US"/>
        </w:rPr>
        <w:t>“Closing </w:t>
      </w:r>
      <w:r w:rsidRPr="00797BC7">
        <w:rPr>
          <w:rFonts w:eastAsia="Times New Roman"/>
          <w:szCs w:val="22"/>
          <w:lang w:eastAsia="en-US"/>
        </w:rPr>
        <w:t xml:space="preserve">the Gender Gap in IP”. </w:t>
      </w:r>
      <w:r w:rsidR="003113A6">
        <w:rPr>
          <w:rFonts w:eastAsia="Times New Roman"/>
          <w:szCs w:val="22"/>
          <w:lang w:eastAsia="en-US"/>
        </w:rPr>
        <w:t xml:space="preserve"> </w:t>
      </w:r>
      <w:r w:rsidRPr="00797BC7">
        <w:rPr>
          <w:rFonts w:eastAsia="Times New Roman"/>
          <w:szCs w:val="22"/>
          <w:lang w:eastAsia="en-US"/>
        </w:rPr>
        <w:t>The sessions brought together diverse stakeholders (IP</w:t>
      </w:r>
      <w:r w:rsidR="003113A6">
        <w:rPr>
          <w:rFonts w:eastAsia="Times New Roman"/>
          <w:szCs w:val="22"/>
          <w:lang w:eastAsia="en-US"/>
        </w:rPr>
        <w:t> </w:t>
      </w:r>
      <w:r w:rsidRPr="00797BC7">
        <w:rPr>
          <w:rFonts w:eastAsia="Times New Roman"/>
          <w:szCs w:val="22"/>
          <w:lang w:eastAsia="en-US"/>
        </w:rPr>
        <w:t>Offices, IP associations, multi</w:t>
      </w:r>
      <w:r>
        <w:rPr>
          <w:rFonts w:eastAsia="Times New Roman"/>
          <w:szCs w:val="22"/>
          <w:lang w:eastAsia="en-US"/>
        </w:rPr>
        <w:t>-</w:t>
      </w:r>
      <w:r w:rsidRPr="00797BC7">
        <w:rPr>
          <w:rFonts w:eastAsia="Times New Roman"/>
          <w:szCs w:val="22"/>
          <w:lang w:eastAsia="en-US"/>
        </w:rPr>
        <w:t>stakeholder initiatives, NGOs, academia) from the global IP community to present good practices and lessons learn</w:t>
      </w:r>
      <w:r w:rsidR="00F905AE">
        <w:rPr>
          <w:rFonts w:eastAsia="Times New Roman"/>
          <w:szCs w:val="22"/>
          <w:lang w:eastAsia="en-US"/>
        </w:rPr>
        <w:t>ed</w:t>
      </w:r>
      <w:r w:rsidRPr="00797BC7">
        <w:rPr>
          <w:rFonts w:eastAsia="Times New Roman"/>
          <w:szCs w:val="22"/>
          <w:lang w:eastAsia="en-US"/>
        </w:rPr>
        <w:t xml:space="preserve"> in IP service design, outreach and delivery, as well as in </w:t>
      </w:r>
      <w:r>
        <w:rPr>
          <w:rFonts w:eastAsia="Times New Roman"/>
          <w:szCs w:val="22"/>
          <w:lang w:eastAsia="en-US"/>
        </w:rPr>
        <w:t>policy, capacity development and organizational</w:t>
      </w:r>
      <w:r w:rsidRPr="00797BC7">
        <w:rPr>
          <w:rFonts w:eastAsia="Times New Roman"/>
          <w:szCs w:val="22"/>
          <w:lang w:eastAsia="en-US"/>
        </w:rPr>
        <w:t xml:space="preserve"> culture. </w:t>
      </w:r>
      <w:r w:rsidR="003113A6">
        <w:rPr>
          <w:rFonts w:eastAsia="Times New Roman"/>
          <w:szCs w:val="22"/>
          <w:lang w:eastAsia="en-US"/>
        </w:rPr>
        <w:t xml:space="preserve"> </w:t>
      </w:r>
      <w:r w:rsidRPr="00797BC7">
        <w:rPr>
          <w:rFonts w:eastAsia="Times New Roman"/>
          <w:szCs w:val="22"/>
          <w:lang w:eastAsia="en-US"/>
        </w:rPr>
        <w:t>The sessions also provided an opportunity to present the results of WIPO’s work in this area. Globally, more than 700 participants from over 60 countries attended the</w:t>
      </w:r>
      <w:r w:rsidR="00F905AE">
        <w:rPr>
          <w:rFonts w:eastAsia="Times New Roman"/>
          <w:szCs w:val="22"/>
          <w:lang w:eastAsia="en-US"/>
        </w:rPr>
        <w:t xml:space="preserve"> information</w:t>
      </w:r>
      <w:r w:rsidRPr="00797BC7">
        <w:rPr>
          <w:rFonts w:eastAsia="Times New Roman"/>
          <w:szCs w:val="22"/>
          <w:lang w:eastAsia="en-US"/>
        </w:rPr>
        <w:t xml:space="preserve"> </w:t>
      </w:r>
      <w:r w:rsidRPr="00F905AE">
        <w:rPr>
          <w:rFonts w:eastAsia="Times New Roman"/>
          <w:szCs w:val="22"/>
          <w:lang w:eastAsia="en-US"/>
        </w:rPr>
        <w:t>sharing sessions</w:t>
      </w:r>
      <w:r w:rsidRPr="00797BC7">
        <w:rPr>
          <w:rFonts w:eastAsia="Times New Roman"/>
          <w:szCs w:val="22"/>
          <w:lang w:eastAsia="en-US"/>
        </w:rPr>
        <w:t xml:space="preserve">. </w:t>
      </w:r>
    </w:p>
    <w:p w14:paraId="3BEB9FE1" w14:textId="77777777" w:rsidR="00A17D90" w:rsidRPr="00FF0375" w:rsidRDefault="00A17D90" w:rsidP="00A17D90">
      <w:pPr>
        <w:contextualSpacing/>
        <w:rPr>
          <w:szCs w:val="22"/>
        </w:rPr>
      </w:pPr>
    </w:p>
    <w:p w14:paraId="5961504E" w14:textId="457B3F29" w:rsidR="00A17D90" w:rsidRDefault="00A17D90" w:rsidP="00A17D90">
      <w:pPr>
        <w:numPr>
          <w:ilvl w:val="0"/>
          <w:numId w:val="12"/>
        </w:numPr>
        <w:ind w:left="0" w:firstLine="0"/>
        <w:contextualSpacing/>
        <w:rPr>
          <w:szCs w:val="22"/>
        </w:rPr>
      </w:pPr>
      <w:r w:rsidRPr="00F905AE">
        <w:rPr>
          <w:szCs w:val="22"/>
        </w:rPr>
        <w:t>Gender</w:t>
      </w:r>
      <w:r w:rsidR="00347872">
        <w:rPr>
          <w:szCs w:val="22"/>
        </w:rPr>
        <w:t xml:space="preserve"> mainstreaming</w:t>
      </w:r>
      <w:r w:rsidRPr="00F905AE">
        <w:rPr>
          <w:szCs w:val="22"/>
        </w:rPr>
        <w:t xml:space="preserve"> work</w:t>
      </w:r>
      <w:r>
        <w:rPr>
          <w:szCs w:val="22"/>
        </w:rPr>
        <w:t xml:space="preserve"> continues to strengthen across Sectors and functional areas, reflecting Member States’ interests </w:t>
      </w:r>
      <w:r w:rsidR="00273D0B">
        <w:rPr>
          <w:szCs w:val="22"/>
        </w:rPr>
        <w:t xml:space="preserve">in </w:t>
      </w:r>
      <w:r w:rsidR="00681AC9">
        <w:rPr>
          <w:szCs w:val="22"/>
        </w:rPr>
        <w:t xml:space="preserve">gender equality and in </w:t>
      </w:r>
      <w:r w:rsidR="00273D0B">
        <w:rPr>
          <w:szCs w:val="22"/>
        </w:rPr>
        <w:t>advancing women in the IP system</w:t>
      </w:r>
      <w:r>
        <w:rPr>
          <w:szCs w:val="22"/>
        </w:rPr>
        <w:t>.</w:t>
      </w:r>
      <w:r w:rsidR="003113A6">
        <w:rPr>
          <w:szCs w:val="22"/>
        </w:rPr>
        <w:t xml:space="preserve"> </w:t>
      </w:r>
      <w:r>
        <w:rPr>
          <w:szCs w:val="22"/>
        </w:rPr>
        <w:t xml:space="preserve"> In the reporting period, several initiatives took place, for example: </w:t>
      </w:r>
    </w:p>
    <w:p w14:paraId="0552AAD0" w14:textId="77777777" w:rsidR="00A17D90" w:rsidRDefault="00A17D90" w:rsidP="00A17D90">
      <w:pPr>
        <w:pStyle w:val="ListParagraph"/>
        <w:rPr>
          <w:szCs w:val="22"/>
        </w:rPr>
      </w:pPr>
    </w:p>
    <w:p w14:paraId="71B4CA75" w14:textId="24620BBE" w:rsidR="00232979" w:rsidRDefault="00A17D90" w:rsidP="004B7D96">
      <w:pPr>
        <w:pStyle w:val="ListParagraph"/>
        <w:numPr>
          <w:ilvl w:val="0"/>
          <w:numId w:val="21"/>
        </w:numPr>
        <w:ind w:left="990" w:hanging="450"/>
        <w:rPr>
          <w:szCs w:val="22"/>
        </w:rPr>
      </w:pPr>
      <w:r w:rsidRPr="00232979">
        <w:rPr>
          <w:szCs w:val="22"/>
        </w:rPr>
        <w:t>In 2021, WIPO launched two workshop series on gender mainstreaming for IP Offices in the Latin American region.</w:t>
      </w:r>
      <w:r w:rsidR="003113A6">
        <w:rPr>
          <w:szCs w:val="22"/>
        </w:rPr>
        <w:t xml:space="preserve"> </w:t>
      </w:r>
      <w:r w:rsidRPr="00232979">
        <w:rPr>
          <w:szCs w:val="22"/>
        </w:rPr>
        <w:t xml:space="preserve"> The first series, comprising four sessions, targeted copyright offices and had two objectives: </w:t>
      </w:r>
      <w:r w:rsidR="003113A6">
        <w:rPr>
          <w:szCs w:val="22"/>
        </w:rPr>
        <w:t xml:space="preserve"> </w:t>
      </w:r>
      <w:proofErr w:type="spellStart"/>
      <w:r w:rsidRPr="00232979">
        <w:rPr>
          <w:szCs w:val="22"/>
        </w:rPr>
        <w:t>i</w:t>
      </w:r>
      <w:proofErr w:type="spellEnd"/>
      <w:r w:rsidRPr="00232979">
        <w:rPr>
          <w:szCs w:val="22"/>
        </w:rPr>
        <w:t xml:space="preserve">) create a common understanding of gender </w:t>
      </w:r>
      <w:r w:rsidR="00273D0B">
        <w:rPr>
          <w:szCs w:val="22"/>
        </w:rPr>
        <w:t>equ</w:t>
      </w:r>
      <w:r w:rsidR="00681AC9">
        <w:rPr>
          <w:szCs w:val="22"/>
        </w:rPr>
        <w:t>al</w:t>
      </w:r>
      <w:r w:rsidR="00273D0B">
        <w:rPr>
          <w:szCs w:val="22"/>
        </w:rPr>
        <w:t>ity</w:t>
      </w:r>
      <w:r w:rsidR="00273D0B" w:rsidRPr="00232979">
        <w:rPr>
          <w:szCs w:val="22"/>
        </w:rPr>
        <w:t xml:space="preserve"> </w:t>
      </w:r>
      <w:r w:rsidRPr="00232979">
        <w:rPr>
          <w:szCs w:val="22"/>
        </w:rPr>
        <w:t>issues in the context of IP</w:t>
      </w:r>
      <w:r w:rsidR="0051078A">
        <w:rPr>
          <w:szCs w:val="22"/>
        </w:rPr>
        <w:t>;</w:t>
      </w:r>
      <w:r w:rsidRPr="00232979">
        <w:rPr>
          <w:szCs w:val="22"/>
        </w:rPr>
        <w:t xml:space="preserve"> and ii) raise awareness among IP practitioners about the gender gap in IP. </w:t>
      </w:r>
      <w:r w:rsidR="003113A6">
        <w:rPr>
          <w:szCs w:val="22"/>
        </w:rPr>
        <w:t xml:space="preserve"> </w:t>
      </w:r>
      <w:r w:rsidRPr="00232979">
        <w:rPr>
          <w:szCs w:val="22"/>
        </w:rPr>
        <w:t xml:space="preserve">The second pilot series targeted seven IP offices in the Latin American region, and aimed at building and sharing knowledge on gender mainstreaming and providing analytical entry points to mainstream gender </w:t>
      </w:r>
      <w:r w:rsidR="001C5A06">
        <w:rPr>
          <w:szCs w:val="22"/>
        </w:rPr>
        <w:t>equ</w:t>
      </w:r>
      <w:r w:rsidR="00681AC9">
        <w:rPr>
          <w:szCs w:val="22"/>
        </w:rPr>
        <w:t>al</w:t>
      </w:r>
      <w:r w:rsidR="001C5A06">
        <w:rPr>
          <w:szCs w:val="22"/>
        </w:rPr>
        <w:t xml:space="preserve">ity </w:t>
      </w:r>
      <w:r w:rsidR="001C5A06" w:rsidRPr="00232979">
        <w:rPr>
          <w:szCs w:val="22"/>
        </w:rPr>
        <w:t>considerations</w:t>
      </w:r>
      <w:r w:rsidRPr="00232979">
        <w:rPr>
          <w:szCs w:val="22"/>
        </w:rPr>
        <w:t xml:space="preserve"> in all the areas of work of an IP office. </w:t>
      </w:r>
      <w:r w:rsidR="003113A6">
        <w:rPr>
          <w:szCs w:val="22"/>
        </w:rPr>
        <w:t xml:space="preserve"> </w:t>
      </w:r>
      <w:r w:rsidRPr="00232979">
        <w:rPr>
          <w:szCs w:val="22"/>
        </w:rPr>
        <w:t xml:space="preserve">The series </w:t>
      </w:r>
      <w:proofErr w:type="gramStart"/>
      <w:r w:rsidRPr="00F905AE">
        <w:rPr>
          <w:szCs w:val="22"/>
        </w:rPr>
        <w:t>was</w:t>
      </w:r>
      <w:r w:rsidRPr="00232979">
        <w:rPr>
          <w:szCs w:val="22"/>
        </w:rPr>
        <w:t xml:space="preserve"> well received</w:t>
      </w:r>
      <w:proofErr w:type="gramEnd"/>
      <w:r w:rsidRPr="00232979">
        <w:rPr>
          <w:szCs w:val="22"/>
        </w:rPr>
        <w:t xml:space="preserve"> and will be replicated in 2022 to engage with additional Offices in the region. </w:t>
      </w:r>
    </w:p>
    <w:p w14:paraId="2981948A" w14:textId="77777777" w:rsidR="00232979" w:rsidRDefault="00232979" w:rsidP="00522272">
      <w:pPr>
        <w:pStyle w:val="ListParagraph"/>
        <w:tabs>
          <w:tab w:val="left" w:pos="990"/>
        </w:tabs>
        <w:ind w:left="900"/>
        <w:rPr>
          <w:szCs w:val="22"/>
        </w:rPr>
      </w:pPr>
    </w:p>
    <w:p w14:paraId="29D8D176" w14:textId="774F5135" w:rsidR="00522272" w:rsidRDefault="00A17D90" w:rsidP="004B7D96">
      <w:pPr>
        <w:pStyle w:val="ListParagraph"/>
        <w:numPr>
          <w:ilvl w:val="0"/>
          <w:numId w:val="21"/>
        </w:numPr>
        <w:ind w:left="990" w:hanging="450"/>
        <w:rPr>
          <w:szCs w:val="22"/>
        </w:rPr>
      </w:pPr>
      <w:r w:rsidRPr="00232979">
        <w:rPr>
          <w:szCs w:val="22"/>
        </w:rPr>
        <w:lastRenderedPageBreak/>
        <w:t xml:space="preserve">In 2021, WIPO prepared the Guidelines on Inclusive Language, available in WIPO’s six official languages. </w:t>
      </w:r>
      <w:r w:rsidR="00364886">
        <w:rPr>
          <w:szCs w:val="22"/>
        </w:rPr>
        <w:t xml:space="preserve"> </w:t>
      </w:r>
      <w:r w:rsidR="00F277DA">
        <w:t xml:space="preserve">They constitute a clear, concise and straightforward </w:t>
      </w:r>
      <w:proofErr w:type="gramStart"/>
      <w:r w:rsidR="00F277DA">
        <w:t>awareness raising</w:t>
      </w:r>
      <w:proofErr w:type="gramEnd"/>
      <w:r w:rsidR="00F277DA">
        <w:t xml:space="preserve"> tool on how to approach the drafting of texts in a way that is consistent with WIPO’s Medium Term Strategic Plan</w:t>
      </w:r>
      <w:r w:rsidR="00117369">
        <w:t xml:space="preserve"> (MTSP) 2022-2026</w:t>
      </w:r>
      <w:r w:rsidR="00F277DA">
        <w:t xml:space="preserve"> and which ensures that we “leave no one behind”. </w:t>
      </w:r>
      <w:r w:rsidRPr="00232979">
        <w:rPr>
          <w:szCs w:val="22"/>
        </w:rPr>
        <w:t>They include two modules (gender inclusive language and disability inclusive language)</w:t>
      </w:r>
      <w:r w:rsidR="00F277DA">
        <w:rPr>
          <w:szCs w:val="22"/>
        </w:rPr>
        <w:t xml:space="preserve">. </w:t>
      </w:r>
      <w:r w:rsidRPr="00232979">
        <w:rPr>
          <w:szCs w:val="22"/>
        </w:rPr>
        <w:t xml:space="preserve"> </w:t>
      </w:r>
      <w:r w:rsidR="00364886">
        <w:rPr>
          <w:szCs w:val="22"/>
        </w:rPr>
        <w:t xml:space="preserve"> </w:t>
      </w:r>
      <w:r w:rsidRPr="00232979">
        <w:rPr>
          <w:szCs w:val="22"/>
        </w:rPr>
        <w:t xml:space="preserve">The modular format </w:t>
      </w:r>
      <w:proofErr w:type="gramStart"/>
      <w:r w:rsidRPr="00232979">
        <w:rPr>
          <w:szCs w:val="22"/>
        </w:rPr>
        <w:t>is intended</w:t>
      </w:r>
      <w:proofErr w:type="gramEnd"/>
      <w:r w:rsidRPr="00232979">
        <w:rPr>
          <w:szCs w:val="22"/>
        </w:rPr>
        <w:t xml:space="preserve"> to provide flexibility so that additional modules can be added in the future, if needed.</w:t>
      </w:r>
    </w:p>
    <w:p w14:paraId="0925A6F0" w14:textId="08AA9AE9" w:rsidR="00A17D90" w:rsidRDefault="00A17D90" w:rsidP="00522272">
      <w:pPr>
        <w:tabs>
          <w:tab w:val="left" w:pos="990"/>
        </w:tabs>
        <w:rPr>
          <w:szCs w:val="22"/>
        </w:rPr>
      </w:pPr>
    </w:p>
    <w:p w14:paraId="65765BDC" w14:textId="2FA89A8B" w:rsidR="00210EA0" w:rsidRPr="00210EA0" w:rsidRDefault="00273D0B" w:rsidP="00364886">
      <w:pPr>
        <w:pStyle w:val="ListParagraph"/>
        <w:numPr>
          <w:ilvl w:val="0"/>
          <w:numId w:val="12"/>
        </w:numPr>
        <w:autoSpaceDE w:val="0"/>
        <w:autoSpaceDN w:val="0"/>
        <w:ind w:left="0" w:firstLine="0"/>
        <w:rPr>
          <w:szCs w:val="22"/>
        </w:rPr>
      </w:pPr>
      <w:r>
        <w:rPr>
          <w:szCs w:val="22"/>
        </w:rPr>
        <w:t>T</w:t>
      </w:r>
      <w:r w:rsidR="002C6A4A">
        <w:rPr>
          <w:szCs w:val="22"/>
        </w:rPr>
        <w:t>he Director General</w:t>
      </w:r>
      <w:r>
        <w:rPr>
          <w:szCs w:val="22"/>
        </w:rPr>
        <w:t>’s</w:t>
      </w:r>
      <w:r w:rsidR="002C6A4A">
        <w:rPr>
          <w:szCs w:val="22"/>
        </w:rPr>
        <w:t xml:space="preserve"> </w:t>
      </w:r>
      <w:r>
        <w:rPr>
          <w:szCs w:val="22"/>
        </w:rPr>
        <w:t xml:space="preserve">appointment </w:t>
      </w:r>
      <w:r w:rsidR="007A63D3">
        <w:rPr>
          <w:szCs w:val="22"/>
        </w:rPr>
        <w:t>of Deputy Director General Lisa Jorgenson as WIPO’s first IP and Gender Champion</w:t>
      </w:r>
      <w:r w:rsidR="002C6A4A">
        <w:rPr>
          <w:szCs w:val="22"/>
        </w:rPr>
        <w:t xml:space="preserve">, </w:t>
      </w:r>
      <w:r>
        <w:rPr>
          <w:szCs w:val="22"/>
        </w:rPr>
        <w:t>announced at the 2021 General Assembl</w:t>
      </w:r>
      <w:r w:rsidR="00364886">
        <w:rPr>
          <w:szCs w:val="22"/>
        </w:rPr>
        <w:t>y</w:t>
      </w:r>
      <w:r w:rsidR="00930D37">
        <w:rPr>
          <w:szCs w:val="22"/>
        </w:rPr>
        <w:t>,</w:t>
      </w:r>
      <w:r>
        <w:rPr>
          <w:szCs w:val="22"/>
        </w:rPr>
        <w:t xml:space="preserve"> and </w:t>
      </w:r>
      <w:r w:rsidR="00210EA0" w:rsidRPr="00210EA0">
        <w:rPr>
          <w:szCs w:val="22"/>
        </w:rPr>
        <w:t xml:space="preserve">the </w:t>
      </w:r>
      <w:r>
        <w:rPr>
          <w:szCs w:val="22"/>
        </w:rPr>
        <w:t xml:space="preserve">recent </w:t>
      </w:r>
      <w:r w:rsidR="00210EA0" w:rsidRPr="00210EA0">
        <w:rPr>
          <w:szCs w:val="22"/>
        </w:rPr>
        <w:t>recruitment of a Senior Advisor</w:t>
      </w:r>
      <w:r w:rsidR="00A825F9">
        <w:rPr>
          <w:szCs w:val="22"/>
        </w:rPr>
        <w:t xml:space="preserve"> </w:t>
      </w:r>
      <w:r w:rsidR="00930D37">
        <w:rPr>
          <w:szCs w:val="22"/>
        </w:rPr>
        <w:t>I</w:t>
      </w:r>
      <w:r w:rsidR="00210EA0" w:rsidRPr="00210EA0">
        <w:rPr>
          <w:szCs w:val="22"/>
        </w:rPr>
        <w:t>P and Gender</w:t>
      </w:r>
      <w:r>
        <w:rPr>
          <w:szCs w:val="22"/>
        </w:rPr>
        <w:t xml:space="preserve"> will strengthen the strategic direction of WIPO’s work to promote </w:t>
      </w:r>
      <w:r w:rsidR="0056540E">
        <w:rPr>
          <w:szCs w:val="22"/>
        </w:rPr>
        <w:t xml:space="preserve">and increase </w:t>
      </w:r>
      <w:r w:rsidR="00F277DA">
        <w:rPr>
          <w:szCs w:val="22"/>
        </w:rPr>
        <w:t>the participation of women</w:t>
      </w:r>
      <w:r w:rsidR="0056540E">
        <w:rPr>
          <w:szCs w:val="22"/>
        </w:rPr>
        <w:t xml:space="preserve"> inventors, </w:t>
      </w:r>
      <w:r w:rsidR="00930D37">
        <w:rPr>
          <w:szCs w:val="22"/>
        </w:rPr>
        <w:t xml:space="preserve">innovators, </w:t>
      </w:r>
      <w:r w:rsidR="0056540E">
        <w:rPr>
          <w:szCs w:val="22"/>
        </w:rPr>
        <w:t>creators, and entrepreneurs</w:t>
      </w:r>
      <w:r w:rsidR="00F277DA">
        <w:rPr>
          <w:szCs w:val="22"/>
        </w:rPr>
        <w:t xml:space="preserve"> </w:t>
      </w:r>
      <w:r>
        <w:rPr>
          <w:szCs w:val="22"/>
        </w:rPr>
        <w:t>in</w:t>
      </w:r>
      <w:r w:rsidR="0056540E">
        <w:rPr>
          <w:szCs w:val="22"/>
        </w:rPr>
        <w:t xml:space="preserve"> the</w:t>
      </w:r>
      <w:r>
        <w:rPr>
          <w:szCs w:val="22"/>
        </w:rPr>
        <w:t xml:space="preserve"> IP</w:t>
      </w:r>
      <w:r w:rsidR="0056540E">
        <w:rPr>
          <w:szCs w:val="22"/>
        </w:rPr>
        <w:t xml:space="preserve"> system. </w:t>
      </w:r>
      <w:r>
        <w:rPr>
          <w:szCs w:val="22"/>
        </w:rPr>
        <w:t xml:space="preserve">These roles are </w:t>
      </w:r>
      <w:r w:rsidR="00210EA0" w:rsidRPr="00210EA0">
        <w:rPr>
          <w:szCs w:val="22"/>
        </w:rPr>
        <w:t>in addition to the already existing position of Gender and Diversity Specialist in HRMD</w:t>
      </w:r>
      <w:r w:rsidR="002C6A4A">
        <w:rPr>
          <w:szCs w:val="22"/>
        </w:rPr>
        <w:t>.</w:t>
      </w:r>
      <w:r w:rsidR="00210EA0" w:rsidRPr="00210EA0">
        <w:rPr>
          <w:szCs w:val="22"/>
        </w:rPr>
        <w:t xml:space="preserve"> </w:t>
      </w:r>
    </w:p>
    <w:p w14:paraId="47DD32FC" w14:textId="77777777" w:rsidR="00210EA0" w:rsidRPr="00210EA0" w:rsidRDefault="00210EA0" w:rsidP="00210EA0">
      <w:pPr>
        <w:tabs>
          <w:tab w:val="left" w:pos="990"/>
        </w:tabs>
        <w:rPr>
          <w:szCs w:val="22"/>
        </w:rPr>
      </w:pPr>
    </w:p>
    <w:p w14:paraId="6EF97DD1" w14:textId="6FC2DBAE" w:rsidR="00276BEE" w:rsidRDefault="00DE154E" w:rsidP="00276BEE">
      <w:pPr>
        <w:pStyle w:val="Heading2"/>
      </w:pPr>
      <w:r>
        <w:tab/>
      </w:r>
      <w:r w:rsidR="00276BEE">
        <w:t>REWARDS AND RECOGNITION PROGRAM</w:t>
      </w:r>
    </w:p>
    <w:p w14:paraId="745CA94B" w14:textId="77777777" w:rsidR="00276BEE" w:rsidRDefault="00276BEE" w:rsidP="00276BEE"/>
    <w:p w14:paraId="21D79184" w14:textId="77777777" w:rsidR="00276BEE" w:rsidRDefault="00276BEE" w:rsidP="00276BEE">
      <w:pPr>
        <w:pStyle w:val="Default"/>
        <w:numPr>
          <w:ilvl w:val="0"/>
          <w:numId w:val="12"/>
        </w:numPr>
        <w:ind w:left="0" w:firstLine="0"/>
        <w:rPr>
          <w:rFonts w:ascii="Arial" w:hAnsi="Arial" w:cs="Arial"/>
          <w:sz w:val="22"/>
          <w:szCs w:val="22"/>
        </w:rPr>
      </w:pPr>
      <w:r w:rsidRPr="002D07FD">
        <w:rPr>
          <w:rFonts w:ascii="Arial" w:hAnsi="Arial" w:cs="Arial"/>
          <w:sz w:val="22"/>
          <w:szCs w:val="22"/>
        </w:rPr>
        <w:t xml:space="preserve">At its annual meeting in September 2018, the WIPO Coordination Committee requested the Secretariat to </w:t>
      </w:r>
      <w:r>
        <w:rPr>
          <w:rFonts w:ascii="Arial" w:hAnsi="Arial" w:cs="Arial"/>
          <w:sz w:val="22"/>
          <w:szCs w:val="22"/>
        </w:rPr>
        <w:t>report</w:t>
      </w:r>
      <w:r w:rsidRPr="002D07FD">
        <w:rPr>
          <w:rFonts w:ascii="Arial" w:hAnsi="Arial" w:cs="Arial"/>
          <w:sz w:val="22"/>
          <w:szCs w:val="22"/>
        </w:rPr>
        <w:t xml:space="preserve"> systematically </w:t>
      </w:r>
      <w:r w:rsidRPr="0006645A">
        <w:rPr>
          <w:rFonts w:ascii="Arial" w:hAnsi="Arial" w:cs="Arial"/>
          <w:sz w:val="22"/>
          <w:szCs w:val="22"/>
        </w:rPr>
        <w:t xml:space="preserve">on the implementation of its Rewards and Recognition Program (RRP) and on changes introduced since the previous Annual Report on Human Resources.  </w:t>
      </w:r>
    </w:p>
    <w:p w14:paraId="65F644C0" w14:textId="77777777" w:rsidR="00276BEE" w:rsidRDefault="00276BEE" w:rsidP="00276BEE">
      <w:pPr>
        <w:pStyle w:val="Default"/>
        <w:rPr>
          <w:rFonts w:ascii="Arial" w:hAnsi="Arial" w:cs="Arial"/>
          <w:sz w:val="22"/>
          <w:szCs w:val="22"/>
        </w:rPr>
      </w:pPr>
    </w:p>
    <w:p w14:paraId="7CEA6264" w14:textId="504A7C6B" w:rsidR="00276BEE" w:rsidRPr="00A17D90" w:rsidRDefault="00BF21AE" w:rsidP="00A17D90">
      <w:pPr>
        <w:pStyle w:val="Default"/>
        <w:numPr>
          <w:ilvl w:val="0"/>
          <w:numId w:val="12"/>
        </w:numPr>
        <w:ind w:left="0" w:firstLine="0"/>
        <w:rPr>
          <w:rFonts w:ascii="Arial" w:hAnsi="Arial" w:cs="Arial"/>
          <w:sz w:val="22"/>
          <w:szCs w:val="22"/>
        </w:rPr>
      </w:pPr>
      <w:r>
        <w:rPr>
          <w:rFonts w:ascii="Arial" w:hAnsi="Arial" w:cs="Arial"/>
          <w:sz w:val="22"/>
          <w:szCs w:val="22"/>
        </w:rPr>
        <w:t xml:space="preserve">In </w:t>
      </w:r>
      <w:r w:rsidR="00986A17">
        <w:rPr>
          <w:rFonts w:ascii="Arial" w:hAnsi="Arial" w:cs="Arial"/>
          <w:sz w:val="22"/>
          <w:szCs w:val="22"/>
        </w:rPr>
        <w:t>light</w:t>
      </w:r>
      <w:r>
        <w:rPr>
          <w:rFonts w:ascii="Arial" w:hAnsi="Arial" w:cs="Arial"/>
          <w:sz w:val="22"/>
          <w:szCs w:val="22"/>
        </w:rPr>
        <w:t xml:space="preserve"> of the </w:t>
      </w:r>
      <w:r w:rsidRPr="00D13C79">
        <w:rPr>
          <w:rFonts w:ascii="Arial" w:hAnsi="Arial" w:cs="Arial"/>
          <w:sz w:val="22"/>
          <w:szCs w:val="22"/>
        </w:rPr>
        <w:t xml:space="preserve">review </w:t>
      </w:r>
      <w:r>
        <w:rPr>
          <w:rFonts w:ascii="Arial" w:hAnsi="Arial" w:cs="Arial"/>
          <w:sz w:val="22"/>
          <w:szCs w:val="22"/>
        </w:rPr>
        <w:t xml:space="preserve">by </w:t>
      </w:r>
      <w:r w:rsidRPr="00D13C79">
        <w:rPr>
          <w:rFonts w:ascii="Arial" w:hAnsi="Arial" w:cs="Arial"/>
          <w:sz w:val="22"/>
          <w:szCs w:val="22"/>
        </w:rPr>
        <w:t xml:space="preserve">the Internal Oversight Division (IOD) </w:t>
      </w:r>
      <w:r>
        <w:rPr>
          <w:rFonts w:ascii="Arial" w:hAnsi="Arial" w:cs="Arial"/>
          <w:sz w:val="22"/>
          <w:szCs w:val="22"/>
        </w:rPr>
        <w:t>of</w:t>
      </w:r>
      <w:r w:rsidRPr="00D13C79">
        <w:rPr>
          <w:rFonts w:ascii="Arial" w:hAnsi="Arial" w:cs="Arial"/>
          <w:sz w:val="22"/>
          <w:szCs w:val="22"/>
        </w:rPr>
        <w:t xml:space="preserve"> </w:t>
      </w:r>
      <w:r>
        <w:rPr>
          <w:rFonts w:ascii="Arial" w:hAnsi="Arial" w:cs="Arial"/>
          <w:sz w:val="22"/>
          <w:szCs w:val="22"/>
        </w:rPr>
        <w:t>WIPO’s</w:t>
      </w:r>
      <w:r w:rsidRPr="00D13C79">
        <w:rPr>
          <w:rFonts w:ascii="Arial" w:hAnsi="Arial" w:cs="Arial"/>
          <w:sz w:val="22"/>
          <w:szCs w:val="22"/>
        </w:rPr>
        <w:t xml:space="preserve"> Performance Management and Staff Development Framework</w:t>
      </w:r>
      <w:r>
        <w:rPr>
          <w:rFonts w:ascii="Arial" w:hAnsi="Arial" w:cs="Arial"/>
          <w:sz w:val="22"/>
          <w:szCs w:val="22"/>
        </w:rPr>
        <w:t>, there were no monetary rewards as part of the 2021 RRP.</w:t>
      </w:r>
      <w:r w:rsidR="00716033">
        <w:rPr>
          <w:rFonts w:ascii="Arial" w:hAnsi="Arial" w:cs="Arial"/>
          <w:sz w:val="22"/>
          <w:szCs w:val="22"/>
        </w:rPr>
        <w:t xml:space="preserve"> </w:t>
      </w:r>
      <w:r>
        <w:rPr>
          <w:rFonts w:ascii="Arial" w:hAnsi="Arial" w:cs="Arial"/>
          <w:sz w:val="22"/>
          <w:szCs w:val="22"/>
        </w:rPr>
        <w:t xml:space="preserve"> Certificates of appreciation for outstanding performance as well as for voluntary service on the WIPO Appeal Board, the Joint Advisory Group or as Gender Focal Points </w:t>
      </w:r>
      <w:proofErr w:type="gramStart"/>
      <w:r>
        <w:rPr>
          <w:rFonts w:ascii="Arial" w:hAnsi="Arial" w:cs="Arial"/>
          <w:sz w:val="22"/>
          <w:szCs w:val="22"/>
        </w:rPr>
        <w:t>were issued and made available to the concerned staff members in WIPO’s Enterprise Content Management system</w:t>
      </w:r>
      <w:proofErr w:type="gramEnd"/>
      <w:r w:rsidR="00295456">
        <w:rPr>
          <w:rFonts w:ascii="Arial" w:hAnsi="Arial" w:cs="Arial"/>
          <w:sz w:val="22"/>
          <w:szCs w:val="22"/>
        </w:rPr>
        <w:t>.</w:t>
      </w:r>
      <w:r>
        <w:rPr>
          <w:rFonts w:ascii="Arial" w:hAnsi="Arial" w:cs="Arial"/>
          <w:sz w:val="22"/>
          <w:szCs w:val="22"/>
        </w:rPr>
        <w:t xml:space="preserve"> </w:t>
      </w:r>
    </w:p>
    <w:p w14:paraId="0782F53F" w14:textId="1EB04767" w:rsidR="00276BEE" w:rsidRDefault="00276BEE">
      <w:pPr>
        <w:rPr>
          <w:bCs/>
          <w:iCs/>
          <w:caps/>
          <w:szCs w:val="28"/>
        </w:rPr>
      </w:pPr>
    </w:p>
    <w:p w14:paraId="46072F41" w14:textId="0BB45C05" w:rsidR="00276BEE" w:rsidRPr="0006645A" w:rsidRDefault="00276BEE" w:rsidP="0055266C">
      <w:pPr>
        <w:pStyle w:val="Heading2"/>
        <w:ind w:left="540" w:hanging="540"/>
      </w:pPr>
      <w:r>
        <w:tab/>
      </w:r>
      <w:r w:rsidRPr="0006645A">
        <w:t>REPORT</w:t>
      </w:r>
      <w:r w:rsidR="00707DB3">
        <w:t>s</w:t>
      </w:r>
      <w:r w:rsidRPr="0006645A">
        <w:t xml:space="preserve"> OF THE INTERNATIONAL CIVIL SERVICE COMMISSION (ICSC)</w:t>
      </w:r>
      <w:r w:rsidR="00707DB3">
        <w:t xml:space="preserve"> and of the </w:t>
      </w:r>
      <w:r w:rsidR="00707DB3" w:rsidRPr="0006645A">
        <w:t>UNITED NATIONS JOINT STAFF PENSION BOARD (UNJSPB)</w:t>
      </w:r>
    </w:p>
    <w:p w14:paraId="1CACA163" w14:textId="77777777" w:rsidR="00276BEE" w:rsidRPr="0006645A" w:rsidRDefault="00276BEE" w:rsidP="00276BEE">
      <w:pPr>
        <w:pStyle w:val="ListParagraph"/>
        <w:ind w:left="567"/>
        <w:rPr>
          <w:szCs w:val="22"/>
        </w:rPr>
      </w:pPr>
    </w:p>
    <w:p w14:paraId="67285C00" w14:textId="4D80EBE2" w:rsidR="00BF21AE" w:rsidRDefault="00BF21AE" w:rsidP="00BF21AE">
      <w:pPr>
        <w:pStyle w:val="ListParagraph"/>
        <w:numPr>
          <w:ilvl w:val="0"/>
          <w:numId w:val="12"/>
        </w:numPr>
        <w:ind w:left="0" w:firstLine="0"/>
        <w:rPr>
          <w:szCs w:val="22"/>
        </w:rPr>
      </w:pPr>
      <w:r>
        <w:rPr>
          <w:szCs w:val="22"/>
        </w:rPr>
        <w:t>T</w:t>
      </w:r>
      <w:r w:rsidRPr="0006645A">
        <w:rPr>
          <w:szCs w:val="22"/>
        </w:rPr>
        <w:t>he attention of the WIPO Coordination Committee</w:t>
      </w:r>
      <w:r>
        <w:rPr>
          <w:szCs w:val="22"/>
        </w:rPr>
        <w:t xml:space="preserve"> </w:t>
      </w:r>
      <w:proofErr w:type="gramStart"/>
      <w:r>
        <w:rPr>
          <w:szCs w:val="22"/>
        </w:rPr>
        <w:t>is drawn</w:t>
      </w:r>
      <w:proofErr w:type="gramEnd"/>
      <w:r>
        <w:rPr>
          <w:szCs w:val="22"/>
        </w:rPr>
        <w:t xml:space="preserve"> </w:t>
      </w:r>
      <w:r w:rsidRPr="0006645A">
        <w:rPr>
          <w:szCs w:val="22"/>
        </w:rPr>
        <w:t xml:space="preserve">to the </w:t>
      </w:r>
      <w:r w:rsidR="00473594">
        <w:rPr>
          <w:szCs w:val="22"/>
        </w:rPr>
        <w:t xml:space="preserve">last annual </w:t>
      </w:r>
      <w:r w:rsidRPr="0006645A">
        <w:rPr>
          <w:szCs w:val="22"/>
        </w:rPr>
        <w:t>report</w:t>
      </w:r>
      <w:r>
        <w:rPr>
          <w:szCs w:val="22"/>
        </w:rPr>
        <w:t>s</w:t>
      </w:r>
      <w:r w:rsidRPr="0006645A">
        <w:rPr>
          <w:szCs w:val="22"/>
        </w:rPr>
        <w:t xml:space="preserve"> of the ICSC </w:t>
      </w:r>
      <w:r>
        <w:rPr>
          <w:szCs w:val="22"/>
        </w:rPr>
        <w:t xml:space="preserve">(UN document </w:t>
      </w:r>
      <w:hyperlink r:id="rId11" w:history="1">
        <w:r w:rsidRPr="00522816">
          <w:rPr>
            <w:rStyle w:val="Hyperlink"/>
            <w:rFonts w:eastAsia="SimSun"/>
            <w:szCs w:val="22"/>
          </w:rPr>
          <w:t>A/7</w:t>
        </w:r>
        <w:r w:rsidR="00522816" w:rsidRPr="00522816">
          <w:rPr>
            <w:rStyle w:val="Hyperlink"/>
            <w:rFonts w:eastAsia="SimSun"/>
            <w:szCs w:val="22"/>
          </w:rPr>
          <w:t>6</w:t>
        </w:r>
        <w:r w:rsidRPr="00522816">
          <w:rPr>
            <w:rStyle w:val="Hyperlink"/>
            <w:rFonts w:eastAsia="SimSun"/>
            <w:szCs w:val="22"/>
          </w:rPr>
          <w:t>/30</w:t>
        </w:r>
      </w:hyperlink>
      <w:r>
        <w:rPr>
          <w:szCs w:val="22"/>
        </w:rPr>
        <w:t>) and of the UNJSPB (</w:t>
      </w:r>
      <w:r w:rsidRPr="008625D0">
        <w:rPr>
          <w:szCs w:val="22"/>
        </w:rPr>
        <w:t xml:space="preserve">UN document </w:t>
      </w:r>
      <w:hyperlink r:id="rId12" w:history="1">
        <w:r w:rsidR="00CD4CDA" w:rsidRPr="00CD4CDA">
          <w:rPr>
            <w:rStyle w:val="Hyperlink"/>
            <w:szCs w:val="22"/>
          </w:rPr>
          <w:t>A/76/297</w:t>
        </w:r>
      </w:hyperlink>
      <w:r w:rsidR="00CD4CDA">
        <w:rPr>
          <w:szCs w:val="22"/>
        </w:rPr>
        <w:t>)</w:t>
      </w:r>
      <w:r>
        <w:rPr>
          <w:szCs w:val="22"/>
        </w:rPr>
        <w:t>.</w:t>
      </w:r>
      <w:r w:rsidRPr="008625D0">
        <w:rPr>
          <w:szCs w:val="22"/>
        </w:rPr>
        <w:t xml:space="preserve"> </w:t>
      </w:r>
    </w:p>
    <w:p w14:paraId="0FFCEC46" w14:textId="77777777" w:rsidR="008625D0" w:rsidRDefault="008625D0" w:rsidP="008625D0">
      <w:pPr>
        <w:pStyle w:val="ListParagraph"/>
        <w:ind w:left="0"/>
        <w:rPr>
          <w:szCs w:val="22"/>
        </w:rPr>
      </w:pPr>
    </w:p>
    <w:p w14:paraId="0260029A" w14:textId="77777777" w:rsidR="00276BEE" w:rsidRPr="00933C4C" w:rsidRDefault="00276BEE" w:rsidP="00276BEE">
      <w:pPr>
        <w:pStyle w:val="ListParagraph"/>
        <w:ind w:left="1440"/>
        <w:rPr>
          <w:szCs w:val="22"/>
        </w:rPr>
      </w:pPr>
    </w:p>
    <w:p w14:paraId="38507FEC" w14:textId="41024BCD" w:rsidR="00276BEE" w:rsidRDefault="006B02A1" w:rsidP="00276BEE">
      <w:pPr>
        <w:pStyle w:val="Heading1"/>
        <w:numPr>
          <w:ilvl w:val="0"/>
          <w:numId w:val="11"/>
        </w:numPr>
        <w:spacing w:before="0"/>
        <w:ind w:left="567" w:hanging="567"/>
      </w:pPr>
      <w:r>
        <w:t xml:space="preserve">when the world changes </w:t>
      </w:r>
    </w:p>
    <w:p w14:paraId="03486080" w14:textId="77777777" w:rsidR="00276BEE" w:rsidRPr="005E1E26" w:rsidRDefault="00276BEE" w:rsidP="00276BEE"/>
    <w:p w14:paraId="57001A1A" w14:textId="09CCEF57" w:rsidR="006B02A1" w:rsidRDefault="00510978" w:rsidP="006B02A1">
      <w:pPr>
        <w:pStyle w:val="ListParagraph"/>
        <w:numPr>
          <w:ilvl w:val="0"/>
          <w:numId w:val="12"/>
        </w:numPr>
        <w:ind w:left="0" w:firstLine="0"/>
        <w:rPr>
          <w:szCs w:val="22"/>
        </w:rPr>
      </w:pPr>
      <w:r>
        <w:rPr>
          <w:szCs w:val="22"/>
        </w:rPr>
        <w:t>F</w:t>
      </w:r>
      <w:r w:rsidRPr="00930754">
        <w:rPr>
          <w:szCs w:val="22"/>
        </w:rPr>
        <w:t xml:space="preserve">aced with the unprecedented challenge of the COVID-19 pandemic, the past </w:t>
      </w:r>
      <w:r>
        <w:rPr>
          <w:szCs w:val="22"/>
        </w:rPr>
        <w:t xml:space="preserve">couple of </w:t>
      </w:r>
      <w:r w:rsidRPr="00930754">
        <w:rPr>
          <w:szCs w:val="22"/>
        </w:rPr>
        <w:t>year</w:t>
      </w:r>
      <w:r>
        <w:rPr>
          <w:szCs w:val="22"/>
        </w:rPr>
        <w:t>s</w:t>
      </w:r>
      <w:r w:rsidRPr="00930754">
        <w:rPr>
          <w:szCs w:val="22"/>
        </w:rPr>
        <w:t xml:space="preserve"> ha</w:t>
      </w:r>
      <w:r>
        <w:rPr>
          <w:szCs w:val="22"/>
        </w:rPr>
        <w:t>ve</w:t>
      </w:r>
      <w:r w:rsidRPr="00930754">
        <w:rPr>
          <w:szCs w:val="22"/>
        </w:rPr>
        <w:t xml:space="preserve"> been a challenging period for the Organization and its staff as a whole.</w:t>
      </w:r>
      <w:r w:rsidR="00276BEE" w:rsidRPr="00930754">
        <w:rPr>
          <w:szCs w:val="22"/>
        </w:rPr>
        <w:t xml:space="preserve"> </w:t>
      </w:r>
      <w:r w:rsidR="0055266C">
        <w:rPr>
          <w:szCs w:val="22"/>
        </w:rPr>
        <w:t xml:space="preserve"> </w:t>
      </w:r>
    </w:p>
    <w:p w14:paraId="44BE9486" w14:textId="77777777" w:rsidR="006B02A1" w:rsidRDefault="006B02A1" w:rsidP="006B02A1">
      <w:pPr>
        <w:pStyle w:val="ListParagraph"/>
        <w:ind w:left="0"/>
        <w:rPr>
          <w:szCs w:val="22"/>
        </w:rPr>
      </w:pPr>
    </w:p>
    <w:p w14:paraId="5B3B9B4E" w14:textId="4A0C2953" w:rsidR="006B02A1" w:rsidRDefault="00510978" w:rsidP="00510978">
      <w:pPr>
        <w:pStyle w:val="ListParagraph"/>
        <w:numPr>
          <w:ilvl w:val="0"/>
          <w:numId w:val="12"/>
        </w:numPr>
        <w:tabs>
          <w:tab w:val="left" w:pos="540"/>
        </w:tabs>
        <w:ind w:left="0" w:firstLine="0"/>
      </w:pPr>
      <w:r>
        <w:t xml:space="preserve">With the arrival of a new Administration, HRMD </w:t>
      </w:r>
      <w:proofErr w:type="gramStart"/>
      <w:r>
        <w:t>was called upon</w:t>
      </w:r>
      <w:proofErr w:type="gramEnd"/>
      <w:r>
        <w:t xml:space="preserve"> to support a significant organizational realignment, involving the creation of a new Sector, the IP and Innovation Ecosystems Sector, and other focus areas.  The princip</w:t>
      </w:r>
      <w:r w:rsidR="0051078A">
        <w:t>al</w:t>
      </w:r>
      <w:r>
        <w:t xml:space="preserve"> objective of the realignment was to streamline and improve information flow and cross sector coordination. </w:t>
      </w:r>
      <w:r w:rsidR="00C732D9">
        <w:t xml:space="preserve"> </w:t>
      </w:r>
      <w:r>
        <w:t xml:space="preserve">This reorganization was set against the backdrop of a new MTSP. </w:t>
      </w:r>
      <w:r w:rsidR="00C732D9">
        <w:t xml:space="preserve"> </w:t>
      </w:r>
      <w:r>
        <w:t>The MTSP marks a move towards an increasingly employee-centric Organization, where a team-based culture and approach to work is encouraged</w:t>
      </w:r>
      <w:r w:rsidR="00C500FE">
        <w:t>,</w:t>
      </w:r>
      <w:r>
        <w:t xml:space="preserve"> </w:t>
      </w:r>
      <w:r w:rsidRPr="00C500FE">
        <w:t>and enhancing the employee value proposition is not just a target</w:t>
      </w:r>
      <w:r w:rsidR="00C500FE">
        <w:t>,</w:t>
      </w:r>
      <w:r w:rsidRPr="00C500FE">
        <w:t xml:space="preserve"> but becomes a reality</w:t>
      </w:r>
      <w:r>
        <w:t>.</w:t>
      </w:r>
    </w:p>
    <w:p w14:paraId="4F9A35BC" w14:textId="6F334C06" w:rsidR="00C74A9B" w:rsidRDefault="00C74A9B" w:rsidP="00C74A9B">
      <w:pPr>
        <w:tabs>
          <w:tab w:val="left" w:pos="540"/>
        </w:tabs>
      </w:pPr>
    </w:p>
    <w:p w14:paraId="1DF875B9" w14:textId="66AAAF33" w:rsidR="00C74A9B" w:rsidRDefault="00C74A9B" w:rsidP="00C74A9B">
      <w:pPr>
        <w:tabs>
          <w:tab w:val="left" w:pos="540"/>
        </w:tabs>
      </w:pPr>
    </w:p>
    <w:p w14:paraId="3D101364" w14:textId="77777777" w:rsidR="00C74A9B" w:rsidRDefault="00C74A9B" w:rsidP="00C74A9B">
      <w:pPr>
        <w:tabs>
          <w:tab w:val="left" w:pos="540"/>
        </w:tabs>
      </w:pPr>
    </w:p>
    <w:p w14:paraId="340872E5" w14:textId="5CB7D2E8" w:rsidR="006B02A1" w:rsidRPr="00930754" w:rsidRDefault="00510978" w:rsidP="006B02A1">
      <w:pPr>
        <w:pStyle w:val="ListParagraph"/>
        <w:numPr>
          <w:ilvl w:val="0"/>
          <w:numId w:val="12"/>
        </w:numPr>
        <w:ind w:left="0" w:firstLine="0"/>
        <w:rPr>
          <w:szCs w:val="22"/>
        </w:rPr>
      </w:pPr>
      <w:r>
        <w:lastRenderedPageBreak/>
        <w:t xml:space="preserve">To assist in implementing this new vision for human resources management at WIPO, an external HR Strategy Expert was engaged to conduct a comprehensive, consultative process with managers and employees </w:t>
      </w:r>
      <w:r w:rsidR="00C500FE">
        <w:t>in order</w:t>
      </w:r>
      <w:r>
        <w:t xml:space="preserve"> to identify elements of HR management </w:t>
      </w:r>
      <w:r w:rsidR="00C500FE">
        <w:t>of which</w:t>
      </w:r>
      <w:r>
        <w:t xml:space="preserve"> the Organization </w:t>
      </w:r>
      <w:r w:rsidRPr="00C500FE">
        <w:t>can be proud</w:t>
      </w:r>
      <w:r>
        <w:t xml:space="preserve"> and </w:t>
      </w:r>
      <w:r w:rsidR="00C500FE">
        <w:t>others</w:t>
      </w:r>
      <w:r>
        <w:t xml:space="preserve"> that </w:t>
      </w:r>
      <w:proofErr w:type="gramStart"/>
      <w:r>
        <w:t>can be strengthened</w:t>
      </w:r>
      <w:proofErr w:type="gramEnd"/>
      <w:r>
        <w:t xml:space="preserve">. </w:t>
      </w:r>
      <w:r w:rsidR="003E33E4">
        <w:t xml:space="preserve"> </w:t>
      </w:r>
      <w:r>
        <w:t xml:space="preserve">On this basis, a new </w:t>
      </w:r>
      <w:r w:rsidR="003E33E4">
        <w:t>HR </w:t>
      </w:r>
      <w:r>
        <w:t>Strategy was developed and submitted to the</w:t>
      </w:r>
      <w:r w:rsidR="003E33E4">
        <w:t xml:space="preserve"> WIPO</w:t>
      </w:r>
      <w:r>
        <w:t xml:space="preserve"> Coordination Committee in October</w:t>
      </w:r>
      <w:r w:rsidR="003E33E4">
        <w:t> </w:t>
      </w:r>
      <w:r>
        <w:t xml:space="preserve">2021, </w:t>
      </w:r>
      <w:r w:rsidRPr="00C500FE">
        <w:t xml:space="preserve">setting the </w:t>
      </w:r>
      <w:r w:rsidR="00F33C50">
        <w:t xml:space="preserve">direction </w:t>
      </w:r>
      <w:r>
        <w:t xml:space="preserve">for the HR strategic work for the coming five years. </w:t>
      </w:r>
      <w:r w:rsidR="003E33E4">
        <w:t xml:space="preserve"> </w:t>
      </w:r>
      <w:r>
        <w:t xml:space="preserve">The new strategy </w:t>
      </w:r>
      <w:proofErr w:type="gramStart"/>
      <w:r>
        <w:t>is centered</w:t>
      </w:r>
      <w:proofErr w:type="gramEnd"/>
      <w:r>
        <w:t xml:space="preserve"> on seven inter-related objectives – culture, organizational agility, diversity and inclusion, the management of people performance, learning and career development, leadership and management, and engagement and well-being.</w:t>
      </w:r>
    </w:p>
    <w:p w14:paraId="58646C47" w14:textId="77777777" w:rsidR="00FF6E96" w:rsidRPr="00930754" w:rsidRDefault="00FF6E96" w:rsidP="00930754">
      <w:pPr>
        <w:pStyle w:val="ListParagraph"/>
        <w:ind w:left="0"/>
        <w:rPr>
          <w:szCs w:val="22"/>
        </w:rPr>
      </w:pPr>
    </w:p>
    <w:p w14:paraId="634EE491" w14:textId="6B71D0FA" w:rsidR="008625D0" w:rsidRPr="005E1E26" w:rsidRDefault="006B02A1" w:rsidP="008625D0">
      <w:pPr>
        <w:pStyle w:val="Heading3"/>
        <w:rPr>
          <w:i/>
          <w:u w:val="none"/>
        </w:rPr>
      </w:pPr>
      <w:r w:rsidRPr="006B02A1">
        <w:rPr>
          <w:i/>
          <w:u w:val="none"/>
        </w:rPr>
        <w:t>Re-imagining How Work Gets Done</w:t>
      </w:r>
    </w:p>
    <w:p w14:paraId="64A3831D" w14:textId="77777777" w:rsidR="008625D0" w:rsidRDefault="008625D0" w:rsidP="008625D0">
      <w:pPr>
        <w:pStyle w:val="ListParagraph"/>
        <w:rPr>
          <w:szCs w:val="22"/>
        </w:rPr>
      </w:pPr>
    </w:p>
    <w:p w14:paraId="7B82FDF0" w14:textId="1322E5BA" w:rsidR="00510978" w:rsidRPr="00B05357" w:rsidRDefault="00510978" w:rsidP="00510978">
      <w:pPr>
        <w:pStyle w:val="ListParagraph"/>
        <w:numPr>
          <w:ilvl w:val="0"/>
          <w:numId w:val="12"/>
        </w:numPr>
        <w:ind w:left="0" w:firstLine="0"/>
        <w:rPr>
          <w:szCs w:val="22"/>
        </w:rPr>
      </w:pPr>
      <w:r w:rsidRPr="00B05357">
        <w:rPr>
          <w:szCs w:val="22"/>
        </w:rPr>
        <w:t xml:space="preserve">The pandemic </w:t>
      </w:r>
      <w:r>
        <w:rPr>
          <w:szCs w:val="22"/>
        </w:rPr>
        <w:t xml:space="preserve">prompted </w:t>
      </w:r>
      <w:r w:rsidRPr="00B05357">
        <w:rPr>
          <w:szCs w:val="22"/>
        </w:rPr>
        <w:t>WIPO and HRMD to recognize and embrace an agile work culture</w:t>
      </w:r>
      <w:r>
        <w:rPr>
          <w:szCs w:val="22"/>
        </w:rPr>
        <w:t xml:space="preserve">. </w:t>
      </w:r>
      <w:r w:rsidR="00B643E3">
        <w:rPr>
          <w:szCs w:val="22"/>
        </w:rPr>
        <w:t xml:space="preserve"> </w:t>
      </w:r>
      <w:r>
        <w:rPr>
          <w:szCs w:val="22"/>
        </w:rPr>
        <w:t>Since its onset, HRMD has had</w:t>
      </w:r>
      <w:r w:rsidRPr="00B05357">
        <w:rPr>
          <w:szCs w:val="22"/>
        </w:rPr>
        <w:t xml:space="preserve"> to consider how</w:t>
      </w:r>
      <w:r>
        <w:rPr>
          <w:szCs w:val="22"/>
        </w:rPr>
        <w:t xml:space="preserve"> to</w:t>
      </w:r>
      <w:r w:rsidRPr="00B05357">
        <w:rPr>
          <w:szCs w:val="22"/>
        </w:rPr>
        <w:t xml:space="preserve"> manage a remote</w:t>
      </w:r>
      <w:r>
        <w:rPr>
          <w:szCs w:val="22"/>
        </w:rPr>
        <w:t>,</w:t>
      </w:r>
      <w:r w:rsidRPr="00B05357">
        <w:rPr>
          <w:szCs w:val="22"/>
        </w:rPr>
        <w:t xml:space="preserve"> more hybrid workforce, composed of employees working</w:t>
      </w:r>
      <w:r>
        <w:rPr>
          <w:szCs w:val="22"/>
        </w:rPr>
        <w:t xml:space="preserve"> from home</w:t>
      </w:r>
      <w:r w:rsidRPr="00B05357">
        <w:rPr>
          <w:szCs w:val="22"/>
        </w:rPr>
        <w:t xml:space="preserve">, in the office, part-time and under flexible working arrangements.  </w:t>
      </w:r>
    </w:p>
    <w:p w14:paraId="6B54E748" w14:textId="77777777" w:rsidR="00510978" w:rsidRDefault="00510978" w:rsidP="00510978">
      <w:pPr>
        <w:pStyle w:val="ListParagraph"/>
        <w:ind w:left="0"/>
        <w:rPr>
          <w:szCs w:val="22"/>
        </w:rPr>
      </w:pPr>
    </w:p>
    <w:p w14:paraId="3339A22E" w14:textId="3CD3C313" w:rsidR="00510978" w:rsidRPr="009B158A" w:rsidRDefault="00510978" w:rsidP="00510978">
      <w:pPr>
        <w:pStyle w:val="ListParagraph"/>
        <w:numPr>
          <w:ilvl w:val="0"/>
          <w:numId w:val="12"/>
        </w:numPr>
        <w:ind w:left="0" w:firstLine="0"/>
        <w:rPr>
          <w:szCs w:val="22"/>
        </w:rPr>
      </w:pPr>
      <w:r>
        <w:rPr>
          <w:szCs w:val="22"/>
        </w:rPr>
        <w:t>This is a world in flux and the world of work is no different</w:t>
      </w:r>
      <w:r w:rsidRPr="00B05357">
        <w:rPr>
          <w:szCs w:val="22"/>
        </w:rPr>
        <w:t xml:space="preserve">, with technology </w:t>
      </w:r>
      <w:r w:rsidRPr="009B158A">
        <w:rPr>
          <w:szCs w:val="22"/>
        </w:rPr>
        <w:t xml:space="preserve">increasingly influencing how work </w:t>
      </w:r>
      <w:proofErr w:type="gramStart"/>
      <w:r w:rsidRPr="009B158A">
        <w:rPr>
          <w:szCs w:val="22"/>
        </w:rPr>
        <w:t>is performed</w:t>
      </w:r>
      <w:proofErr w:type="gramEnd"/>
      <w:r w:rsidRPr="009B158A">
        <w:rPr>
          <w:szCs w:val="22"/>
        </w:rPr>
        <w:t>.</w:t>
      </w:r>
      <w:r w:rsidR="00B643E3">
        <w:rPr>
          <w:szCs w:val="22"/>
        </w:rPr>
        <w:t xml:space="preserve"> </w:t>
      </w:r>
      <w:r w:rsidRPr="009B158A">
        <w:rPr>
          <w:szCs w:val="22"/>
        </w:rPr>
        <w:t xml:space="preserve"> In light of this and </w:t>
      </w:r>
      <w:proofErr w:type="gramStart"/>
      <w:r w:rsidRPr="009B158A">
        <w:rPr>
          <w:szCs w:val="22"/>
        </w:rPr>
        <w:t>on the basis of</w:t>
      </w:r>
      <w:proofErr w:type="gramEnd"/>
      <w:r w:rsidRPr="009B158A">
        <w:rPr>
          <w:szCs w:val="22"/>
        </w:rPr>
        <w:t xml:space="preserve"> the new HR Strategy, a ‘One-Stop-Shop’ service model for HRMD was announced at the end of 2021 to take effect in February 2022. </w:t>
      </w:r>
    </w:p>
    <w:p w14:paraId="450F7D47" w14:textId="77777777" w:rsidR="00510978" w:rsidRPr="009B158A" w:rsidRDefault="00510978" w:rsidP="00510978">
      <w:pPr>
        <w:pStyle w:val="ListParagraph"/>
        <w:rPr>
          <w:szCs w:val="22"/>
        </w:rPr>
      </w:pPr>
    </w:p>
    <w:p w14:paraId="7E45D9F7" w14:textId="22EF73B7" w:rsidR="00510978" w:rsidRPr="009B158A" w:rsidRDefault="00510978" w:rsidP="00510978">
      <w:pPr>
        <w:pStyle w:val="ListParagraph"/>
        <w:numPr>
          <w:ilvl w:val="0"/>
          <w:numId w:val="12"/>
        </w:numPr>
        <w:ind w:left="0" w:firstLine="0"/>
        <w:rPr>
          <w:szCs w:val="22"/>
        </w:rPr>
      </w:pPr>
      <w:r w:rsidRPr="009B158A">
        <w:rPr>
          <w:szCs w:val="22"/>
        </w:rPr>
        <w:t xml:space="preserve">The new model will allow HRMD to focus on service delivery, and integrates thematic areas, rather than functions.  The model aims at facilitating the transition of WIPO to an open, transparent and human-centered organization. </w:t>
      </w:r>
      <w:r w:rsidR="00B643E3">
        <w:rPr>
          <w:szCs w:val="22"/>
        </w:rPr>
        <w:t xml:space="preserve"> </w:t>
      </w:r>
      <w:r>
        <w:rPr>
          <w:szCs w:val="22"/>
        </w:rPr>
        <w:t xml:space="preserve">Moreover, it aims to </w:t>
      </w:r>
      <w:r w:rsidRPr="009B158A">
        <w:rPr>
          <w:szCs w:val="22"/>
        </w:rPr>
        <w:t xml:space="preserve">ensure </w:t>
      </w:r>
      <w:r w:rsidR="00B33AA7">
        <w:rPr>
          <w:szCs w:val="22"/>
        </w:rPr>
        <w:t xml:space="preserve">that </w:t>
      </w:r>
      <w:r>
        <w:rPr>
          <w:szCs w:val="22"/>
        </w:rPr>
        <w:t xml:space="preserve">people and </w:t>
      </w:r>
      <w:r w:rsidRPr="009B158A">
        <w:rPr>
          <w:szCs w:val="22"/>
        </w:rPr>
        <w:t xml:space="preserve">processes are </w:t>
      </w:r>
      <w:r>
        <w:rPr>
          <w:szCs w:val="22"/>
        </w:rPr>
        <w:t xml:space="preserve">better </w:t>
      </w:r>
      <w:r w:rsidRPr="009B158A">
        <w:rPr>
          <w:szCs w:val="22"/>
        </w:rPr>
        <w:t>integrated, thereby enabling a smoother, less disjointed experience for internal and external users of HRMD’s services.</w:t>
      </w:r>
      <w:r w:rsidR="00B643E3">
        <w:rPr>
          <w:szCs w:val="22"/>
        </w:rPr>
        <w:t xml:space="preserve"> </w:t>
      </w:r>
      <w:r w:rsidRPr="009B158A">
        <w:rPr>
          <w:szCs w:val="22"/>
        </w:rPr>
        <w:t xml:space="preserve"> Under the new model, </w:t>
      </w:r>
      <w:r>
        <w:rPr>
          <w:szCs w:val="22"/>
        </w:rPr>
        <w:t xml:space="preserve">and </w:t>
      </w:r>
      <w:r w:rsidRPr="009B158A">
        <w:rPr>
          <w:szCs w:val="22"/>
        </w:rPr>
        <w:t>with the creation of a new Talent Management Service, HRMD will aspire to work horizontally, alongside the business as a ‘partner’</w:t>
      </w:r>
      <w:r w:rsidR="005D0E2C">
        <w:rPr>
          <w:szCs w:val="22"/>
        </w:rPr>
        <w:t>,</w:t>
      </w:r>
      <w:r>
        <w:rPr>
          <w:szCs w:val="22"/>
        </w:rPr>
        <w:t xml:space="preserve"> </w:t>
      </w:r>
      <w:r w:rsidRPr="009B158A">
        <w:rPr>
          <w:szCs w:val="22"/>
        </w:rPr>
        <w:t>co-ow</w:t>
      </w:r>
      <w:r>
        <w:rPr>
          <w:szCs w:val="22"/>
        </w:rPr>
        <w:t>n</w:t>
      </w:r>
      <w:r w:rsidRPr="009B158A">
        <w:rPr>
          <w:szCs w:val="22"/>
        </w:rPr>
        <w:t>ing outcomes with other stakeholders and assist</w:t>
      </w:r>
      <w:r>
        <w:rPr>
          <w:szCs w:val="22"/>
        </w:rPr>
        <w:t>ing</w:t>
      </w:r>
      <w:r w:rsidRPr="009B158A">
        <w:rPr>
          <w:szCs w:val="22"/>
        </w:rPr>
        <w:t xml:space="preserve"> business areas to adapt and transform. </w:t>
      </w:r>
    </w:p>
    <w:p w14:paraId="58C7DC61" w14:textId="77777777" w:rsidR="00510978" w:rsidRPr="009B158A" w:rsidRDefault="00510978" w:rsidP="00510978">
      <w:pPr>
        <w:pStyle w:val="ListParagraph"/>
        <w:rPr>
          <w:szCs w:val="22"/>
        </w:rPr>
      </w:pPr>
    </w:p>
    <w:p w14:paraId="065E54A0" w14:textId="5736F5B7" w:rsidR="00510978" w:rsidRPr="009B158A" w:rsidRDefault="00510978" w:rsidP="00510978">
      <w:pPr>
        <w:pStyle w:val="ListParagraph"/>
        <w:numPr>
          <w:ilvl w:val="0"/>
          <w:numId w:val="12"/>
        </w:numPr>
        <w:ind w:left="0" w:firstLine="0"/>
        <w:rPr>
          <w:szCs w:val="22"/>
        </w:rPr>
      </w:pPr>
      <w:r w:rsidRPr="009B158A">
        <w:rPr>
          <w:szCs w:val="22"/>
        </w:rPr>
        <w:t xml:space="preserve">The </w:t>
      </w:r>
      <w:r w:rsidRPr="00953218">
        <w:rPr>
          <w:szCs w:val="22"/>
        </w:rPr>
        <w:t>‘explosion’</w:t>
      </w:r>
      <w:r w:rsidRPr="009B158A">
        <w:rPr>
          <w:szCs w:val="22"/>
        </w:rPr>
        <w:t xml:space="preserve"> in technology and its influence on the world of work requires a dedicated service to ensure that HRMD is able to reap the benefits of technology</w:t>
      </w:r>
      <w:r>
        <w:rPr>
          <w:szCs w:val="22"/>
        </w:rPr>
        <w:t>, effective data management and critical analysis, as well as</w:t>
      </w:r>
      <w:r w:rsidRPr="009B158A">
        <w:rPr>
          <w:szCs w:val="22"/>
        </w:rPr>
        <w:t xml:space="preserve"> improve customer service</w:t>
      </w:r>
      <w:r>
        <w:rPr>
          <w:szCs w:val="22"/>
        </w:rPr>
        <w:t xml:space="preserve"> and</w:t>
      </w:r>
      <w:r w:rsidRPr="009B158A">
        <w:rPr>
          <w:szCs w:val="22"/>
        </w:rPr>
        <w:t xml:space="preserve"> inform talent management</w:t>
      </w:r>
      <w:r>
        <w:rPr>
          <w:szCs w:val="22"/>
        </w:rPr>
        <w:t>.</w:t>
      </w:r>
      <w:r w:rsidRPr="009B158A">
        <w:rPr>
          <w:szCs w:val="22"/>
        </w:rPr>
        <w:t xml:space="preserve"> </w:t>
      </w:r>
      <w:r w:rsidR="00B643E3">
        <w:rPr>
          <w:szCs w:val="22"/>
        </w:rPr>
        <w:t xml:space="preserve"> </w:t>
      </w:r>
      <w:r w:rsidRPr="009B158A">
        <w:rPr>
          <w:szCs w:val="22"/>
        </w:rPr>
        <w:t xml:space="preserve">The creation of a new HR Technology and Data Unit within HRMD recognizes the </w:t>
      </w:r>
      <w:r>
        <w:rPr>
          <w:szCs w:val="22"/>
        </w:rPr>
        <w:t xml:space="preserve">importance </w:t>
      </w:r>
      <w:r w:rsidRPr="009B158A">
        <w:rPr>
          <w:szCs w:val="22"/>
        </w:rPr>
        <w:t>of integrating technology into HR.</w:t>
      </w:r>
    </w:p>
    <w:p w14:paraId="6BE13A5D" w14:textId="77777777" w:rsidR="00510978" w:rsidRPr="009B158A" w:rsidRDefault="00510978" w:rsidP="00510978">
      <w:pPr>
        <w:tabs>
          <w:tab w:val="left" w:pos="1560"/>
        </w:tabs>
        <w:rPr>
          <w:szCs w:val="22"/>
        </w:rPr>
      </w:pPr>
    </w:p>
    <w:p w14:paraId="3A89037D" w14:textId="4E6D40B2" w:rsidR="00510978" w:rsidRPr="009B158A" w:rsidRDefault="00510978" w:rsidP="00510978">
      <w:pPr>
        <w:pStyle w:val="Default"/>
        <w:numPr>
          <w:ilvl w:val="0"/>
          <w:numId w:val="12"/>
        </w:numPr>
        <w:ind w:left="0" w:firstLine="0"/>
        <w:rPr>
          <w:rFonts w:ascii="Arial" w:hAnsi="Arial" w:cs="Arial"/>
          <w:color w:val="auto"/>
          <w:sz w:val="22"/>
          <w:szCs w:val="22"/>
        </w:rPr>
      </w:pPr>
      <w:r w:rsidRPr="009B158A">
        <w:rPr>
          <w:rFonts w:ascii="Arial" w:hAnsi="Arial" w:cs="Arial"/>
          <w:iCs/>
          <w:color w:val="auto"/>
          <w:sz w:val="22"/>
          <w:szCs w:val="22"/>
        </w:rPr>
        <w:t xml:space="preserve">The year also witnessed the review and overhaul of the longer-term, strategic, workforce planning process launched in </w:t>
      </w:r>
      <w:r>
        <w:rPr>
          <w:rFonts w:ascii="Arial" w:hAnsi="Arial" w:cs="Arial"/>
          <w:iCs/>
          <w:color w:val="auto"/>
          <w:sz w:val="22"/>
          <w:szCs w:val="22"/>
        </w:rPr>
        <w:t>2014</w:t>
      </w:r>
      <w:r w:rsidRPr="009B158A">
        <w:rPr>
          <w:rFonts w:ascii="Arial" w:hAnsi="Arial" w:cs="Arial"/>
          <w:iCs/>
          <w:color w:val="auto"/>
          <w:sz w:val="22"/>
          <w:szCs w:val="22"/>
        </w:rPr>
        <w:t xml:space="preserve">.  The aim is to assess the ‘state’ of WIPO’s human resources and provide guidance on HR actions required to ensure </w:t>
      </w:r>
      <w:r w:rsidR="00B33AA7">
        <w:rPr>
          <w:rFonts w:ascii="Arial" w:hAnsi="Arial" w:cs="Arial"/>
          <w:iCs/>
          <w:color w:val="auto"/>
          <w:sz w:val="22"/>
          <w:szCs w:val="22"/>
        </w:rPr>
        <w:t xml:space="preserve">the </w:t>
      </w:r>
      <w:r w:rsidRPr="009B158A">
        <w:rPr>
          <w:rFonts w:ascii="Arial" w:hAnsi="Arial" w:cs="Arial"/>
          <w:iCs/>
          <w:color w:val="auto"/>
          <w:sz w:val="22"/>
          <w:szCs w:val="22"/>
        </w:rPr>
        <w:t xml:space="preserve">successful delivery of business results.  The process was reviewed and lessons </w:t>
      </w:r>
      <w:r w:rsidR="00F33C50">
        <w:rPr>
          <w:rFonts w:ascii="Arial" w:hAnsi="Arial" w:cs="Arial"/>
          <w:iCs/>
          <w:color w:val="auto"/>
          <w:sz w:val="22"/>
          <w:szCs w:val="22"/>
        </w:rPr>
        <w:t>learned</w:t>
      </w:r>
      <w:r w:rsidR="00F33C50" w:rsidRPr="009B158A">
        <w:rPr>
          <w:rFonts w:ascii="Arial" w:hAnsi="Arial" w:cs="Arial"/>
          <w:iCs/>
          <w:color w:val="auto"/>
          <w:sz w:val="22"/>
          <w:szCs w:val="22"/>
        </w:rPr>
        <w:t xml:space="preserve"> </w:t>
      </w:r>
      <w:r w:rsidRPr="009B158A">
        <w:rPr>
          <w:rFonts w:ascii="Arial" w:hAnsi="Arial" w:cs="Arial"/>
          <w:iCs/>
          <w:color w:val="auto"/>
          <w:sz w:val="22"/>
          <w:szCs w:val="22"/>
        </w:rPr>
        <w:t xml:space="preserve">to refine the longer-term workforce planning process and is currently being rolled out across all Sectors as ‘the WIPO Talent Review 2022/23 and Beyond’. </w:t>
      </w:r>
    </w:p>
    <w:p w14:paraId="35579612" w14:textId="77777777" w:rsidR="00510978" w:rsidRPr="009B158A" w:rsidRDefault="00510978" w:rsidP="00510978">
      <w:pPr>
        <w:pStyle w:val="ListParagraph"/>
        <w:rPr>
          <w:iCs/>
          <w:szCs w:val="22"/>
        </w:rPr>
      </w:pPr>
    </w:p>
    <w:p w14:paraId="553CBACB" w14:textId="7A887B17" w:rsidR="00CE1BBD" w:rsidRPr="002C6A4A" w:rsidRDefault="00510978" w:rsidP="00510978">
      <w:pPr>
        <w:pStyle w:val="Default"/>
        <w:numPr>
          <w:ilvl w:val="0"/>
          <w:numId w:val="12"/>
        </w:numPr>
        <w:spacing w:after="160" w:line="259" w:lineRule="auto"/>
        <w:ind w:left="0" w:firstLine="0"/>
        <w:rPr>
          <w:rFonts w:ascii="Arial" w:hAnsi="Arial" w:cs="Arial"/>
          <w:bCs/>
          <w:i/>
          <w:sz w:val="22"/>
          <w:szCs w:val="22"/>
        </w:rPr>
      </w:pPr>
      <w:r w:rsidRPr="00510978">
        <w:rPr>
          <w:rFonts w:ascii="Arial" w:hAnsi="Arial" w:cs="Arial"/>
          <w:iCs/>
          <w:color w:val="auto"/>
          <w:sz w:val="22"/>
          <w:szCs w:val="22"/>
        </w:rPr>
        <w:t>Furthermore, an HR Dashboard, providing HR analytics that will be instrumental for</w:t>
      </w:r>
      <w:r>
        <w:rPr>
          <w:rFonts w:ascii="Arial" w:hAnsi="Arial" w:cs="Arial"/>
          <w:iCs/>
          <w:color w:val="auto"/>
          <w:sz w:val="22"/>
          <w:szCs w:val="22"/>
        </w:rPr>
        <w:t xml:space="preserve"> workforce planning at all levels,</w:t>
      </w:r>
      <w:r w:rsidRPr="002C6A4A">
        <w:rPr>
          <w:rFonts w:ascii="Arial" w:hAnsi="Arial" w:cs="Arial"/>
          <w:iCs/>
          <w:color w:val="auto"/>
          <w:sz w:val="22"/>
          <w:szCs w:val="22"/>
        </w:rPr>
        <w:t xml:space="preserve"> </w:t>
      </w:r>
      <w:r>
        <w:rPr>
          <w:rFonts w:ascii="Arial" w:hAnsi="Arial" w:cs="Arial"/>
          <w:iCs/>
          <w:color w:val="auto"/>
          <w:sz w:val="22"/>
          <w:szCs w:val="22"/>
        </w:rPr>
        <w:t>will</w:t>
      </w:r>
      <w:r w:rsidRPr="002C6A4A">
        <w:rPr>
          <w:rFonts w:ascii="Arial" w:hAnsi="Arial" w:cs="Arial"/>
          <w:iCs/>
          <w:color w:val="auto"/>
          <w:sz w:val="22"/>
          <w:szCs w:val="22"/>
        </w:rPr>
        <w:t xml:space="preserve"> be available to </w:t>
      </w:r>
      <w:r w:rsidR="00467924">
        <w:rPr>
          <w:rFonts w:ascii="Arial" w:hAnsi="Arial" w:cs="Arial"/>
          <w:iCs/>
          <w:color w:val="auto"/>
          <w:sz w:val="22"/>
          <w:szCs w:val="22"/>
        </w:rPr>
        <w:t>m</w:t>
      </w:r>
      <w:r w:rsidRPr="002C6A4A">
        <w:rPr>
          <w:rFonts w:ascii="Arial" w:hAnsi="Arial" w:cs="Arial"/>
          <w:iCs/>
          <w:color w:val="auto"/>
          <w:sz w:val="22"/>
          <w:szCs w:val="22"/>
        </w:rPr>
        <w:t>anagers</w:t>
      </w:r>
      <w:r w:rsidRPr="002C6A4A">
        <w:rPr>
          <w:rFonts w:ascii="Arial" w:hAnsi="Arial" w:cs="Arial"/>
          <w:iCs/>
          <w:color w:val="4BACC6" w:themeColor="accent5"/>
          <w:sz w:val="22"/>
          <w:szCs w:val="22"/>
        </w:rPr>
        <w:t xml:space="preserve">. </w:t>
      </w:r>
      <w:r w:rsidR="00B643E3">
        <w:rPr>
          <w:rFonts w:ascii="Arial" w:hAnsi="Arial" w:cs="Arial"/>
          <w:iCs/>
          <w:color w:val="4BACC6" w:themeColor="accent5"/>
          <w:sz w:val="22"/>
          <w:szCs w:val="22"/>
        </w:rPr>
        <w:t xml:space="preserve"> </w:t>
      </w:r>
      <w:r w:rsidRPr="002C6A4A">
        <w:rPr>
          <w:rFonts w:ascii="Arial" w:hAnsi="Arial" w:cs="Arial"/>
          <w:sz w:val="22"/>
          <w:szCs w:val="22"/>
        </w:rPr>
        <w:t>The</w:t>
      </w:r>
      <w:r>
        <w:rPr>
          <w:rFonts w:ascii="Arial" w:hAnsi="Arial" w:cs="Arial"/>
          <w:sz w:val="22"/>
          <w:szCs w:val="22"/>
        </w:rPr>
        <w:t xml:space="preserve"> </w:t>
      </w:r>
      <w:r w:rsidRPr="002C6A4A">
        <w:rPr>
          <w:rFonts w:ascii="Arial" w:hAnsi="Arial" w:cs="Arial"/>
          <w:sz w:val="22"/>
          <w:szCs w:val="22"/>
        </w:rPr>
        <w:t xml:space="preserve">dashboard will provide easy access to key information, such as staffing, gender and geographical representation, retirement, </w:t>
      </w:r>
      <w:r w:rsidRPr="00467924">
        <w:rPr>
          <w:rFonts w:ascii="Arial" w:hAnsi="Arial" w:cs="Arial"/>
          <w:sz w:val="22"/>
          <w:szCs w:val="22"/>
        </w:rPr>
        <w:t xml:space="preserve">absence and </w:t>
      </w:r>
      <w:proofErr w:type="gramStart"/>
      <w:r w:rsidRPr="00467924">
        <w:rPr>
          <w:rFonts w:ascii="Arial" w:hAnsi="Arial" w:cs="Arial"/>
          <w:sz w:val="22"/>
          <w:szCs w:val="22"/>
        </w:rPr>
        <w:t xml:space="preserve">performance </w:t>
      </w:r>
      <w:r w:rsidRPr="002C6A4A">
        <w:rPr>
          <w:rFonts w:ascii="Arial" w:hAnsi="Arial" w:cs="Arial"/>
          <w:sz w:val="22"/>
          <w:szCs w:val="22"/>
        </w:rPr>
        <w:t xml:space="preserve"> amongst</w:t>
      </w:r>
      <w:proofErr w:type="gramEnd"/>
      <w:r w:rsidRPr="002C6A4A">
        <w:rPr>
          <w:rFonts w:ascii="Arial" w:hAnsi="Arial" w:cs="Arial"/>
          <w:sz w:val="22"/>
          <w:szCs w:val="22"/>
        </w:rPr>
        <w:t xml:space="preserve"> other</w:t>
      </w:r>
      <w:r>
        <w:rPr>
          <w:rFonts w:ascii="Arial" w:hAnsi="Arial" w:cs="Arial"/>
          <w:sz w:val="22"/>
          <w:szCs w:val="22"/>
        </w:rPr>
        <w:t xml:space="preserve"> data</w:t>
      </w:r>
      <w:r w:rsidRPr="002C6A4A">
        <w:rPr>
          <w:rFonts w:ascii="Arial" w:hAnsi="Arial" w:cs="Arial"/>
          <w:sz w:val="22"/>
          <w:szCs w:val="22"/>
        </w:rPr>
        <w:t xml:space="preserve">.  This tool will also strengthen the capacities of </w:t>
      </w:r>
      <w:r w:rsidR="00467924">
        <w:rPr>
          <w:rFonts w:ascii="Arial" w:hAnsi="Arial" w:cs="Arial"/>
          <w:sz w:val="22"/>
          <w:szCs w:val="22"/>
        </w:rPr>
        <w:t>supervisors</w:t>
      </w:r>
      <w:r w:rsidRPr="00467924">
        <w:rPr>
          <w:rFonts w:ascii="Arial" w:hAnsi="Arial" w:cs="Arial"/>
          <w:sz w:val="22"/>
          <w:szCs w:val="22"/>
        </w:rPr>
        <w:t xml:space="preserve"> to manage</w:t>
      </w:r>
      <w:r w:rsidRPr="002C6A4A">
        <w:rPr>
          <w:rFonts w:ascii="Arial" w:hAnsi="Arial" w:cs="Arial"/>
          <w:sz w:val="22"/>
          <w:szCs w:val="22"/>
        </w:rPr>
        <w:t xml:space="preserve"> their workforce, track and monitor their teams, as well as improve the gender and geographical representation of their workforce</w:t>
      </w:r>
      <w:r w:rsidR="00B05357" w:rsidRPr="002C6A4A">
        <w:rPr>
          <w:rFonts w:ascii="Arial" w:hAnsi="Arial" w:cs="Arial"/>
          <w:sz w:val="22"/>
          <w:szCs w:val="22"/>
        </w:rPr>
        <w:t xml:space="preserve">. </w:t>
      </w:r>
      <w:r w:rsidR="00CE1BBD" w:rsidRPr="002C6A4A">
        <w:rPr>
          <w:rFonts w:ascii="Arial" w:hAnsi="Arial" w:cs="Arial"/>
          <w:i/>
          <w:sz w:val="22"/>
          <w:szCs w:val="22"/>
        </w:rPr>
        <w:br w:type="page"/>
      </w:r>
    </w:p>
    <w:p w14:paraId="46F8C30F" w14:textId="0B5BA104" w:rsidR="006B02A1" w:rsidRPr="00B05357" w:rsidRDefault="00BA7C6B" w:rsidP="006B02A1">
      <w:pPr>
        <w:pStyle w:val="Heading3"/>
        <w:rPr>
          <w:i/>
          <w:szCs w:val="22"/>
          <w:u w:val="none"/>
        </w:rPr>
      </w:pPr>
      <w:r w:rsidRPr="00B05357">
        <w:rPr>
          <w:i/>
          <w:szCs w:val="22"/>
          <w:u w:val="none"/>
        </w:rPr>
        <w:lastRenderedPageBreak/>
        <w:t>A</w:t>
      </w:r>
      <w:r w:rsidR="006B02A1" w:rsidRPr="00B05357">
        <w:rPr>
          <w:i/>
          <w:szCs w:val="22"/>
          <w:u w:val="none"/>
        </w:rPr>
        <w:t xml:space="preserve"> Culture that Builds Skills</w:t>
      </w:r>
      <w:r w:rsidRPr="00B05357">
        <w:rPr>
          <w:i/>
          <w:szCs w:val="22"/>
          <w:u w:val="none"/>
        </w:rPr>
        <w:t xml:space="preserve"> and Embraces Adaptability</w:t>
      </w:r>
    </w:p>
    <w:p w14:paraId="2745F0B9" w14:textId="77777777" w:rsidR="006B02A1" w:rsidRPr="00B05357" w:rsidRDefault="006B02A1" w:rsidP="006B02A1">
      <w:pPr>
        <w:pStyle w:val="ListParagraph"/>
        <w:rPr>
          <w:szCs w:val="22"/>
        </w:rPr>
      </w:pPr>
    </w:p>
    <w:p w14:paraId="3937AA67" w14:textId="60E7187D" w:rsidR="006B02A1" w:rsidRDefault="00510978" w:rsidP="006B02A1">
      <w:pPr>
        <w:pStyle w:val="Default"/>
        <w:numPr>
          <w:ilvl w:val="0"/>
          <w:numId w:val="12"/>
        </w:numPr>
        <w:ind w:left="0" w:firstLine="0"/>
        <w:rPr>
          <w:rFonts w:ascii="Arial" w:hAnsi="Arial" w:cs="Arial"/>
          <w:sz w:val="22"/>
          <w:szCs w:val="22"/>
        </w:rPr>
      </w:pPr>
      <w:r w:rsidRPr="00B05357">
        <w:rPr>
          <w:rFonts w:ascii="Arial" w:hAnsi="Arial" w:cs="Arial"/>
          <w:sz w:val="22"/>
          <w:szCs w:val="22"/>
        </w:rPr>
        <w:t xml:space="preserve">In 2021, Price Waterhouse Coopers (PWC) conducted a </w:t>
      </w:r>
      <w:r w:rsidRPr="00510978">
        <w:rPr>
          <w:rFonts w:ascii="Arial" w:hAnsi="Arial" w:cs="Arial"/>
          <w:sz w:val="22"/>
          <w:szCs w:val="22"/>
        </w:rPr>
        <w:t>review</w:t>
      </w:r>
      <w:r w:rsidRPr="00B05357">
        <w:rPr>
          <w:rFonts w:ascii="Arial" w:hAnsi="Arial" w:cs="Arial"/>
          <w:sz w:val="22"/>
          <w:szCs w:val="22"/>
        </w:rPr>
        <w:t xml:space="preserve"> of WIPO’s Performance Management and Staff Development System. </w:t>
      </w:r>
      <w:r w:rsidR="00B643E3">
        <w:rPr>
          <w:rFonts w:ascii="Arial" w:hAnsi="Arial" w:cs="Arial"/>
          <w:sz w:val="22"/>
          <w:szCs w:val="22"/>
        </w:rPr>
        <w:t xml:space="preserve"> </w:t>
      </w:r>
      <w:r>
        <w:rPr>
          <w:rFonts w:ascii="Arial" w:hAnsi="Arial" w:cs="Arial"/>
          <w:sz w:val="22"/>
          <w:szCs w:val="22"/>
        </w:rPr>
        <w:t xml:space="preserve">Recognizing the importance of culture in performance management, </w:t>
      </w:r>
      <w:r w:rsidRPr="00B05357">
        <w:rPr>
          <w:rFonts w:ascii="Arial" w:hAnsi="Arial" w:cs="Arial"/>
          <w:sz w:val="22"/>
          <w:szCs w:val="22"/>
        </w:rPr>
        <w:t xml:space="preserve">a Cultural Thumbprint </w:t>
      </w:r>
      <w:proofErr w:type="gramStart"/>
      <w:r w:rsidRPr="00B05357">
        <w:rPr>
          <w:rFonts w:ascii="Arial" w:hAnsi="Arial" w:cs="Arial"/>
          <w:sz w:val="22"/>
          <w:szCs w:val="22"/>
        </w:rPr>
        <w:t>was established</w:t>
      </w:r>
      <w:proofErr w:type="gramEnd"/>
      <w:r w:rsidRPr="00B05357">
        <w:rPr>
          <w:rFonts w:ascii="Arial" w:hAnsi="Arial" w:cs="Arial"/>
          <w:sz w:val="22"/>
          <w:szCs w:val="22"/>
        </w:rPr>
        <w:t xml:space="preserve"> for WIPO</w:t>
      </w:r>
      <w:r w:rsidRPr="00E57588">
        <w:rPr>
          <w:rFonts w:ascii="Arial" w:hAnsi="Arial" w:cs="Arial"/>
          <w:sz w:val="22"/>
          <w:szCs w:val="22"/>
        </w:rPr>
        <w:t xml:space="preserve"> </w:t>
      </w:r>
      <w:r>
        <w:rPr>
          <w:rFonts w:ascii="Arial" w:hAnsi="Arial" w:cs="Arial"/>
          <w:sz w:val="22"/>
          <w:szCs w:val="22"/>
        </w:rPr>
        <w:t>as part of this review</w:t>
      </w:r>
      <w:r w:rsidRPr="00B05357">
        <w:rPr>
          <w:rFonts w:ascii="Arial" w:hAnsi="Arial" w:cs="Arial"/>
          <w:sz w:val="22"/>
          <w:szCs w:val="22"/>
        </w:rPr>
        <w:t xml:space="preserve">. </w:t>
      </w:r>
      <w:r w:rsidR="00B643E3">
        <w:rPr>
          <w:rFonts w:ascii="Arial" w:hAnsi="Arial" w:cs="Arial"/>
          <w:sz w:val="22"/>
          <w:szCs w:val="22"/>
        </w:rPr>
        <w:t xml:space="preserve"> </w:t>
      </w:r>
      <w:r w:rsidRPr="00B05357">
        <w:rPr>
          <w:rFonts w:ascii="Arial" w:hAnsi="Arial" w:cs="Arial"/>
          <w:sz w:val="22"/>
          <w:szCs w:val="22"/>
        </w:rPr>
        <w:t>This analysis summarized five significant traits that characterize the WIPO Culture</w:t>
      </w:r>
      <w:r w:rsidR="00467924">
        <w:rPr>
          <w:rFonts w:ascii="Arial" w:hAnsi="Arial" w:cs="Arial"/>
          <w:sz w:val="22"/>
          <w:szCs w:val="22"/>
        </w:rPr>
        <w:t>,</w:t>
      </w:r>
      <w:r w:rsidRPr="00B05357">
        <w:rPr>
          <w:rFonts w:ascii="Arial" w:hAnsi="Arial" w:cs="Arial"/>
          <w:sz w:val="22"/>
          <w:szCs w:val="22"/>
        </w:rPr>
        <w:t xml:space="preserve"> </w:t>
      </w:r>
      <w:r w:rsidR="00467924">
        <w:rPr>
          <w:rFonts w:ascii="Arial" w:hAnsi="Arial" w:cs="Arial"/>
          <w:sz w:val="22"/>
          <w:szCs w:val="22"/>
        </w:rPr>
        <w:t>namely,</w:t>
      </w:r>
      <w:r w:rsidRPr="00B05357">
        <w:rPr>
          <w:rFonts w:ascii="Arial" w:hAnsi="Arial" w:cs="Arial"/>
          <w:sz w:val="22"/>
          <w:szCs w:val="22"/>
        </w:rPr>
        <w:t xml:space="preserve"> </w:t>
      </w:r>
      <w:r w:rsidRPr="00B05357">
        <w:rPr>
          <w:rFonts w:ascii="Arial" w:hAnsi="Arial" w:cs="Arial"/>
          <w:i/>
          <w:sz w:val="22"/>
          <w:szCs w:val="22"/>
        </w:rPr>
        <w:t>Empires, Professional and respectful, Pillar of stability, ‘Follow the rules’ and Reputation for competence.</w:t>
      </w:r>
      <w:r w:rsidRPr="00B05357">
        <w:rPr>
          <w:rFonts w:ascii="Arial" w:hAnsi="Arial" w:cs="Arial"/>
          <w:sz w:val="22"/>
          <w:szCs w:val="22"/>
        </w:rPr>
        <w:t xml:space="preserve">  While all traits embrace certain strengths, they also come with challenges.  The </w:t>
      </w:r>
      <w:r>
        <w:rPr>
          <w:rFonts w:ascii="Arial" w:hAnsi="Arial" w:cs="Arial"/>
          <w:sz w:val="22"/>
          <w:szCs w:val="22"/>
        </w:rPr>
        <w:t>analysis of culture at WIPO</w:t>
      </w:r>
      <w:r w:rsidRPr="00B05357">
        <w:rPr>
          <w:rFonts w:ascii="Arial" w:hAnsi="Arial" w:cs="Arial"/>
          <w:sz w:val="22"/>
          <w:szCs w:val="22"/>
        </w:rPr>
        <w:t xml:space="preserve"> conclude</w:t>
      </w:r>
      <w:r>
        <w:rPr>
          <w:rFonts w:ascii="Arial" w:hAnsi="Arial" w:cs="Arial"/>
          <w:sz w:val="22"/>
          <w:szCs w:val="22"/>
        </w:rPr>
        <w:t>d</w:t>
      </w:r>
      <w:r w:rsidRPr="00B05357">
        <w:rPr>
          <w:rFonts w:ascii="Arial" w:hAnsi="Arial" w:cs="Arial"/>
          <w:sz w:val="22"/>
          <w:szCs w:val="22"/>
        </w:rPr>
        <w:t xml:space="preserve"> that there is a need for greater realignment between WIPO’s strategic aspirations and the current Organizational culture</w:t>
      </w:r>
      <w:r w:rsidR="006B02A1" w:rsidRPr="00B05357">
        <w:rPr>
          <w:rFonts w:ascii="Arial" w:hAnsi="Arial" w:cs="Arial"/>
          <w:sz w:val="22"/>
          <w:szCs w:val="22"/>
        </w:rPr>
        <w:t>.</w:t>
      </w:r>
    </w:p>
    <w:p w14:paraId="529D7D2C" w14:textId="777FB6E0" w:rsidR="00510978" w:rsidRDefault="00510978" w:rsidP="00510978">
      <w:pPr>
        <w:pStyle w:val="Default"/>
        <w:rPr>
          <w:rFonts w:ascii="Arial" w:hAnsi="Arial" w:cs="Arial"/>
          <w:sz w:val="22"/>
          <w:szCs w:val="22"/>
        </w:rPr>
      </w:pPr>
    </w:p>
    <w:p w14:paraId="7997B6EB" w14:textId="419EF6F3" w:rsidR="00510978" w:rsidRPr="00B05357" w:rsidRDefault="00510978" w:rsidP="00510978">
      <w:pPr>
        <w:pStyle w:val="Default"/>
        <w:rPr>
          <w:rFonts w:ascii="Arial" w:hAnsi="Arial" w:cs="Arial"/>
          <w:sz w:val="22"/>
          <w:szCs w:val="22"/>
        </w:rPr>
      </w:pPr>
      <w:r>
        <w:rPr>
          <w:rFonts w:ascii="Arial" w:hAnsi="Arial" w:cs="Arial"/>
          <w:noProof/>
          <w:sz w:val="22"/>
          <w:szCs w:val="22"/>
        </w:rPr>
        <w:drawing>
          <wp:inline distT="0" distB="0" distL="0" distR="0" wp14:anchorId="1ABBF1C6" wp14:editId="1DCCA9C7">
            <wp:extent cx="5926750" cy="2416810"/>
            <wp:effectExtent l="0" t="0" r="0" b="2540"/>
            <wp:docPr id="142" name="Picture 142" descr="Analysis of culture at WIPO" title="Cultural Thumb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9208" cy="2421890"/>
                    </a:xfrm>
                    <a:prstGeom prst="rect">
                      <a:avLst/>
                    </a:prstGeom>
                    <a:noFill/>
                  </pic:spPr>
                </pic:pic>
              </a:graphicData>
            </a:graphic>
          </wp:inline>
        </w:drawing>
      </w:r>
    </w:p>
    <w:p w14:paraId="686F1BAB" w14:textId="77777777" w:rsidR="000A5818" w:rsidRPr="00B05357" w:rsidRDefault="000A5818" w:rsidP="000A5818">
      <w:pPr>
        <w:pStyle w:val="Default"/>
        <w:rPr>
          <w:rFonts w:ascii="Arial" w:hAnsi="Arial" w:cs="Arial"/>
          <w:sz w:val="22"/>
          <w:szCs w:val="22"/>
        </w:rPr>
      </w:pPr>
    </w:p>
    <w:p w14:paraId="514E6A22" w14:textId="44832C1F" w:rsidR="00CD4202" w:rsidRPr="00B05357" w:rsidRDefault="00CD4202" w:rsidP="00CD4202">
      <w:pPr>
        <w:pStyle w:val="Default"/>
        <w:numPr>
          <w:ilvl w:val="0"/>
          <w:numId w:val="12"/>
        </w:numPr>
        <w:ind w:left="0" w:firstLine="0"/>
        <w:rPr>
          <w:rFonts w:ascii="Arial" w:hAnsi="Arial" w:cs="Arial"/>
          <w:sz w:val="22"/>
          <w:szCs w:val="22"/>
        </w:rPr>
      </w:pPr>
      <w:r w:rsidRPr="00B05357">
        <w:rPr>
          <w:rFonts w:ascii="Arial" w:hAnsi="Arial" w:cs="Arial"/>
          <w:sz w:val="22"/>
          <w:szCs w:val="22"/>
        </w:rPr>
        <w:t>The analysis provides a basis from which HRMD can launch the critical task of engaging in a cultural transformation program for WIPO</w:t>
      </w:r>
      <w:r>
        <w:rPr>
          <w:rFonts w:ascii="Arial" w:hAnsi="Arial" w:cs="Arial"/>
          <w:sz w:val="22"/>
          <w:szCs w:val="22"/>
        </w:rPr>
        <w:t>.</w:t>
      </w:r>
      <w:r w:rsidR="00B643E3">
        <w:rPr>
          <w:rFonts w:ascii="Arial" w:hAnsi="Arial" w:cs="Arial"/>
          <w:sz w:val="22"/>
          <w:szCs w:val="22"/>
        </w:rPr>
        <w:t xml:space="preserve"> </w:t>
      </w:r>
      <w:r>
        <w:rPr>
          <w:rFonts w:ascii="Arial" w:hAnsi="Arial" w:cs="Arial"/>
          <w:sz w:val="22"/>
          <w:szCs w:val="22"/>
        </w:rPr>
        <w:t xml:space="preserve"> This will</w:t>
      </w:r>
      <w:r w:rsidRPr="00B05357">
        <w:rPr>
          <w:rFonts w:ascii="Arial" w:hAnsi="Arial" w:cs="Arial"/>
          <w:sz w:val="22"/>
          <w:szCs w:val="22"/>
        </w:rPr>
        <w:t xml:space="preserve"> ensure that the </w:t>
      </w:r>
      <w:r>
        <w:rPr>
          <w:rFonts w:ascii="Arial" w:hAnsi="Arial" w:cs="Arial"/>
          <w:sz w:val="22"/>
          <w:szCs w:val="22"/>
        </w:rPr>
        <w:t xml:space="preserve">prevailing </w:t>
      </w:r>
      <w:r w:rsidRPr="00B05357">
        <w:rPr>
          <w:rFonts w:ascii="Arial" w:hAnsi="Arial" w:cs="Arial"/>
          <w:sz w:val="22"/>
          <w:szCs w:val="22"/>
        </w:rPr>
        <w:t xml:space="preserve">culture enhances organizational resilience, and </w:t>
      </w:r>
      <w:r>
        <w:rPr>
          <w:rFonts w:ascii="Arial" w:hAnsi="Arial" w:cs="Arial"/>
          <w:sz w:val="22"/>
          <w:szCs w:val="22"/>
        </w:rPr>
        <w:t xml:space="preserve">provides </w:t>
      </w:r>
      <w:r w:rsidRPr="00B05357">
        <w:rPr>
          <w:rFonts w:ascii="Arial" w:hAnsi="Arial" w:cs="Arial"/>
          <w:sz w:val="22"/>
          <w:szCs w:val="22"/>
        </w:rPr>
        <w:t xml:space="preserve">the entire </w:t>
      </w:r>
      <w:r>
        <w:rPr>
          <w:rFonts w:ascii="Arial" w:hAnsi="Arial" w:cs="Arial"/>
          <w:sz w:val="22"/>
          <w:szCs w:val="22"/>
        </w:rPr>
        <w:t>O</w:t>
      </w:r>
      <w:r w:rsidRPr="00B05357">
        <w:rPr>
          <w:rFonts w:ascii="Arial" w:hAnsi="Arial" w:cs="Arial"/>
          <w:sz w:val="22"/>
          <w:szCs w:val="22"/>
        </w:rPr>
        <w:t xml:space="preserve">rganization </w:t>
      </w:r>
      <w:r>
        <w:rPr>
          <w:rFonts w:ascii="Arial" w:hAnsi="Arial" w:cs="Arial"/>
          <w:sz w:val="22"/>
          <w:szCs w:val="22"/>
        </w:rPr>
        <w:t xml:space="preserve">with </w:t>
      </w:r>
      <w:r w:rsidRPr="00B05357">
        <w:rPr>
          <w:rFonts w:ascii="Arial" w:hAnsi="Arial" w:cs="Arial"/>
          <w:sz w:val="22"/>
          <w:szCs w:val="22"/>
        </w:rPr>
        <w:t xml:space="preserve">a common vision </w:t>
      </w:r>
      <w:r>
        <w:rPr>
          <w:rFonts w:ascii="Arial" w:hAnsi="Arial" w:cs="Arial"/>
          <w:sz w:val="22"/>
          <w:szCs w:val="22"/>
        </w:rPr>
        <w:t xml:space="preserve">of </w:t>
      </w:r>
      <w:r w:rsidRPr="00B05357">
        <w:rPr>
          <w:rFonts w:ascii="Arial" w:hAnsi="Arial" w:cs="Arial"/>
          <w:sz w:val="22"/>
          <w:szCs w:val="22"/>
        </w:rPr>
        <w:t>success.</w:t>
      </w:r>
    </w:p>
    <w:p w14:paraId="484A6F18" w14:textId="77777777" w:rsidR="00CD4202" w:rsidRPr="00B05357" w:rsidRDefault="00CD4202" w:rsidP="00CD4202">
      <w:pPr>
        <w:pStyle w:val="Default"/>
        <w:rPr>
          <w:rFonts w:ascii="Arial" w:hAnsi="Arial" w:cs="Arial"/>
          <w:sz w:val="22"/>
          <w:szCs w:val="22"/>
        </w:rPr>
      </w:pPr>
    </w:p>
    <w:p w14:paraId="6A94D644" w14:textId="58CBE5AF" w:rsidR="00CD4202" w:rsidRPr="00467924" w:rsidRDefault="00CD4202" w:rsidP="00F33C50">
      <w:pPr>
        <w:pStyle w:val="Default"/>
        <w:numPr>
          <w:ilvl w:val="0"/>
          <w:numId w:val="12"/>
        </w:numPr>
        <w:ind w:left="0" w:firstLine="0"/>
        <w:rPr>
          <w:rFonts w:ascii="Arial" w:hAnsi="Arial" w:cs="Arial"/>
          <w:sz w:val="22"/>
          <w:szCs w:val="22"/>
        </w:rPr>
      </w:pPr>
      <w:r w:rsidRPr="00B05357">
        <w:rPr>
          <w:rFonts w:ascii="Arial" w:hAnsi="Arial" w:cs="Arial"/>
          <w:sz w:val="22"/>
          <w:szCs w:val="22"/>
        </w:rPr>
        <w:t xml:space="preserve">The </w:t>
      </w:r>
      <w:r>
        <w:rPr>
          <w:rFonts w:ascii="Arial" w:hAnsi="Arial" w:cs="Arial"/>
          <w:sz w:val="22"/>
          <w:szCs w:val="22"/>
        </w:rPr>
        <w:t>review</w:t>
      </w:r>
      <w:r w:rsidRPr="00B05357">
        <w:rPr>
          <w:rFonts w:ascii="Arial" w:hAnsi="Arial" w:cs="Arial"/>
          <w:sz w:val="22"/>
          <w:szCs w:val="22"/>
        </w:rPr>
        <w:t xml:space="preserve"> also identified the need for a number of key changes in WIPO’s performance management, expressed by employees and managers. </w:t>
      </w:r>
      <w:r w:rsidR="00B643E3">
        <w:rPr>
          <w:rFonts w:ascii="Arial" w:hAnsi="Arial" w:cs="Arial"/>
          <w:sz w:val="22"/>
          <w:szCs w:val="22"/>
        </w:rPr>
        <w:t xml:space="preserve"> </w:t>
      </w:r>
      <w:proofErr w:type="gramStart"/>
      <w:r w:rsidRPr="00B05357">
        <w:rPr>
          <w:rFonts w:ascii="Arial" w:hAnsi="Arial" w:cs="Arial"/>
          <w:sz w:val="22"/>
          <w:szCs w:val="22"/>
        </w:rPr>
        <w:t xml:space="preserve">These included the need for more objectivity, recognition and development supported by a more user-centric process; </w:t>
      </w:r>
      <w:r w:rsidR="00B643E3">
        <w:rPr>
          <w:rFonts w:ascii="Arial" w:hAnsi="Arial" w:cs="Arial"/>
          <w:sz w:val="22"/>
          <w:szCs w:val="22"/>
        </w:rPr>
        <w:t xml:space="preserve"> </w:t>
      </w:r>
      <w:r w:rsidRPr="00B05357">
        <w:rPr>
          <w:rFonts w:ascii="Arial" w:hAnsi="Arial" w:cs="Arial"/>
          <w:sz w:val="22"/>
          <w:szCs w:val="22"/>
        </w:rPr>
        <w:t>increased support in managing under-performance and the need for a deep cultural evolution of mindsets and behaviors around performance</w:t>
      </w:r>
      <w:r w:rsidRPr="00467924">
        <w:rPr>
          <w:rFonts w:ascii="Arial" w:hAnsi="Arial" w:cs="Arial"/>
          <w:sz w:val="22"/>
          <w:szCs w:val="22"/>
        </w:rPr>
        <w:t xml:space="preserve"> It was also noted</w:t>
      </w:r>
      <w:r w:rsidR="00F33C50">
        <w:rPr>
          <w:rFonts w:ascii="Arial" w:hAnsi="Arial" w:cs="Arial"/>
          <w:sz w:val="22"/>
          <w:szCs w:val="22"/>
        </w:rPr>
        <w:t xml:space="preserve"> </w:t>
      </w:r>
      <w:r w:rsidRPr="00467924">
        <w:rPr>
          <w:rFonts w:ascii="Arial" w:hAnsi="Arial" w:cs="Arial"/>
          <w:sz w:val="22"/>
          <w:szCs w:val="22"/>
        </w:rPr>
        <w:t>that to address key performance management challenges, WIPO would need to shift to a more customer-centric approach, as well as develop a “growth mindse</w:t>
      </w:r>
      <w:r w:rsidR="00C5374E">
        <w:rPr>
          <w:rFonts w:ascii="Arial" w:hAnsi="Arial" w:cs="Arial"/>
          <w:sz w:val="22"/>
          <w:szCs w:val="22"/>
        </w:rPr>
        <w:t>t</w:t>
      </w:r>
      <w:r w:rsidR="00725C8C">
        <w:rPr>
          <w:rFonts w:ascii="Arial" w:hAnsi="Arial" w:cs="Arial"/>
          <w:sz w:val="22"/>
          <w:szCs w:val="22"/>
        </w:rPr>
        <w:t>”</w:t>
      </w:r>
      <w:r w:rsidRPr="00467924">
        <w:rPr>
          <w:rFonts w:ascii="Arial" w:hAnsi="Arial" w:cs="Arial"/>
          <w:sz w:val="22"/>
          <w:szCs w:val="22"/>
        </w:rPr>
        <w:t xml:space="preserve"> across the Organization.</w:t>
      </w:r>
      <w:proofErr w:type="gramEnd"/>
      <w:r w:rsidRPr="00467924">
        <w:rPr>
          <w:rFonts w:ascii="Arial" w:hAnsi="Arial" w:cs="Arial"/>
          <w:sz w:val="22"/>
          <w:szCs w:val="22"/>
        </w:rPr>
        <w:t xml:space="preserve"> </w:t>
      </w:r>
      <w:r w:rsidR="00B643E3" w:rsidRPr="00467924">
        <w:rPr>
          <w:rFonts w:ascii="Arial" w:hAnsi="Arial" w:cs="Arial"/>
          <w:sz w:val="22"/>
          <w:szCs w:val="22"/>
        </w:rPr>
        <w:t xml:space="preserve"> </w:t>
      </w:r>
      <w:r w:rsidR="00F33C50">
        <w:rPr>
          <w:rFonts w:ascii="Arial" w:hAnsi="Arial" w:cs="Arial"/>
          <w:sz w:val="22"/>
          <w:szCs w:val="22"/>
        </w:rPr>
        <w:t>Overall, t</w:t>
      </w:r>
      <w:r w:rsidRPr="00467924">
        <w:rPr>
          <w:rFonts w:ascii="Arial" w:hAnsi="Arial" w:cs="Arial"/>
          <w:sz w:val="22"/>
          <w:szCs w:val="22"/>
        </w:rPr>
        <w:t>he report made eight recommendations that will support the Organization towards a more fit-for-purpose performance management framework.</w:t>
      </w:r>
      <w:r w:rsidR="00F33C50">
        <w:rPr>
          <w:rFonts w:ascii="Arial" w:hAnsi="Arial" w:cs="Arial"/>
          <w:sz w:val="22"/>
          <w:szCs w:val="22"/>
        </w:rPr>
        <w:t xml:space="preserve"> One of those recommendation</w:t>
      </w:r>
      <w:r w:rsidR="00E64950">
        <w:rPr>
          <w:rFonts w:ascii="Arial" w:hAnsi="Arial" w:cs="Arial"/>
          <w:sz w:val="22"/>
          <w:szCs w:val="22"/>
        </w:rPr>
        <w:t>s</w:t>
      </w:r>
      <w:r w:rsidR="00F33C50">
        <w:rPr>
          <w:rFonts w:ascii="Arial" w:hAnsi="Arial" w:cs="Arial"/>
          <w:sz w:val="22"/>
          <w:szCs w:val="22"/>
        </w:rPr>
        <w:t xml:space="preserve"> was to introduce performance calibration for more consistency and fairness. </w:t>
      </w:r>
      <w:r w:rsidR="00F33C50" w:rsidRPr="00467924">
        <w:rPr>
          <w:rFonts w:ascii="Arial" w:hAnsi="Arial" w:cs="Arial"/>
          <w:sz w:val="22"/>
          <w:szCs w:val="22"/>
        </w:rPr>
        <w:t xml:space="preserve">To this end, a performance calibration process for P4 employees and above </w:t>
      </w:r>
      <w:proofErr w:type="gramStart"/>
      <w:r w:rsidR="00F33C50" w:rsidRPr="00467924">
        <w:rPr>
          <w:rFonts w:ascii="Arial" w:hAnsi="Arial" w:cs="Arial"/>
          <w:sz w:val="22"/>
          <w:szCs w:val="22"/>
        </w:rPr>
        <w:t>was introduced</w:t>
      </w:r>
      <w:proofErr w:type="gramEnd"/>
      <w:r w:rsidR="00F33C50" w:rsidRPr="00467924">
        <w:rPr>
          <w:rFonts w:ascii="Arial" w:hAnsi="Arial" w:cs="Arial"/>
          <w:sz w:val="22"/>
          <w:szCs w:val="22"/>
        </w:rPr>
        <w:t xml:space="preserve"> for the 2021 performance cycle.  The calibration process sought to establish a common understanding across the Organization of the two highest evaluation </w:t>
      </w:r>
      <w:r w:rsidR="00F33C50">
        <w:rPr>
          <w:rFonts w:ascii="Arial" w:hAnsi="Arial" w:cs="Arial"/>
          <w:sz w:val="22"/>
          <w:szCs w:val="22"/>
        </w:rPr>
        <w:t>ratings</w:t>
      </w:r>
      <w:r w:rsidR="00F33C50" w:rsidRPr="00467924">
        <w:rPr>
          <w:rFonts w:ascii="Arial" w:hAnsi="Arial" w:cs="Arial"/>
          <w:sz w:val="22"/>
          <w:szCs w:val="22"/>
        </w:rPr>
        <w:t xml:space="preserve">. </w:t>
      </w:r>
    </w:p>
    <w:p w14:paraId="6AECD3C7" w14:textId="77777777" w:rsidR="00CD4202" w:rsidRPr="00B05357" w:rsidRDefault="00CD4202" w:rsidP="00F33C50">
      <w:pPr>
        <w:pStyle w:val="Default"/>
        <w:rPr>
          <w:rFonts w:ascii="Arial" w:hAnsi="Arial" w:cs="Arial"/>
          <w:sz w:val="22"/>
          <w:szCs w:val="22"/>
        </w:rPr>
      </w:pPr>
      <w:r w:rsidRPr="00B05357">
        <w:rPr>
          <w:rFonts w:ascii="Arial" w:hAnsi="Arial" w:cs="Arial"/>
          <w:sz w:val="22"/>
          <w:szCs w:val="22"/>
        </w:rPr>
        <w:t xml:space="preserve"> </w:t>
      </w:r>
    </w:p>
    <w:p w14:paraId="1A857AC6" w14:textId="4BD95052" w:rsidR="00CD4202" w:rsidRDefault="00CD4202" w:rsidP="00F33C50">
      <w:pPr>
        <w:pStyle w:val="Default"/>
        <w:numPr>
          <w:ilvl w:val="0"/>
          <w:numId w:val="12"/>
        </w:numPr>
        <w:ind w:left="0" w:firstLine="0"/>
        <w:rPr>
          <w:rFonts w:ascii="Arial" w:hAnsi="Arial" w:cs="Arial"/>
          <w:sz w:val="22"/>
          <w:szCs w:val="22"/>
        </w:rPr>
      </w:pPr>
      <w:r w:rsidRPr="00B05357">
        <w:rPr>
          <w:rFonts w:ascii="Arial" w:hAnsi="Arial" w:cs="Arial"/>
          <w:sz w:val="22"/>
          <w:szCs w:val="22"/>
        </w:rPr>
        <w:t xml:space="preserve">Work on developing a new </w:t>
      </w:r>
      <w:r>
        <w:rPr>
          <w:rFonts w:ascii="Arial" w:hAnsi="Arial" w:cs="Arial"/>
          <w:sz w:val="22"/>
          <w:szCs w:val="22"/>
        </w:rPr>
        <w:t xml:space="preserve">performance </w:t>
      </w:r>
      <w:r w:rsidRPr="00B05357">
        <w:rPr>
          <w:rFonts w:ascii="Arial" w:hAnsi="Arial" w:cs="Arial"/>
          <w:sz w:val="22"/>
          <w:szCs w:val="22"/>
        </w:rPr>
        <w:t xml:space="preserve">system, and ensuring that performance management </w:t>
      </w:r>
      <w:proofErr w:type="gramStart"/>
      <w:r w:rsidRPr="00B05357">
        <w:rPr>
          <w:rFonts w:ascii="Arial" w:hAnsi="Arial" w:cs="Arial"/>
          <w:sz w:val="22"/>
          <w:szCs w:val="22"/>
        </w:rPr>
        <w:t>is more closely linked</w:t>
      </w:r>
      <w:proofErr w:type="gramEnd"/>
      <w:r w:rsidRPr="00B05357">
        <w:rPr>
          <w:rFonts w:ascii="Arial" w:hAnsi="Arial" w:cs="Arial"/>
          <w:sz w:val="22"/>
          <w:szCs w:val="22"/>
        </w:rPr>
        <w:t xml:space="preserve"> to development and other talent processes</w:t>
      </w:r>
      <w:r>
        <w:rPr>
          <w:rFonts w:ascii="Arial" w:hAnsi="Arial" w:cs="Arial"/>
          <w:sz w:val="22"/>
          <w:szCs w:val="22"/>
        </w:rPr>
        <w:t>,</w:t>
      </w:r>
      <w:r w:rsidRPr="00B05357">
        <w:rPr>
          <w:rFonts w:ascii="Arial" w:hAnsi="Arial" w:cs="Arial"/>
          <w:sz w:val="22"/>
          <w:szCs w:val="22"/>
        </w:rPr>
        <w:t xml:space="preserve"> will be an integral part of the work of the </w:t>
      </w:r>
      <w:r>
        <w:rPr>
          <w:rFonts w:ascii="Arial" w:hAnsi="Arial" w:cs="Arial"/>
          <w:sz w:val="22"/>
          <w:szCs w:val="22"/>
        </w:rPr>
        <w:t xml:space="preserve">Employee Experience Unit of the </w:t>
      </w:r>
      <w:r w:rsidRPr="00B05357">
        <w:rPr>
          <w:rFonts w:ascii="Arial" w:hAnsi="Arial" w:cs="Arial"/>
          <w:sz w:val="22"/>
          <w:szCs w:val="22"/>
        </w:rPr>
        <w:t xml:space="preserve">Talent Management </w:t>
      </w:r>
      <w:r>
        <w:rPr>
          <w:rFonts w:ascii="Arial" w:hAnsi="Arial" w:cs="Arial"/>
          <w:sz w:val="22"/>
          <w:szCs w:val="22"/>
        </w:rPr>
        <w:t>Service</w:t>
      </w:r>
      <w:r w:rsidRPr="00B05357">
        <w:rPr>
          <w:rFonts w:ascii="Arial" w:hAnsi="Arial" w:cs="Arial"/>
          <w:sz w:val="22"/>
          <w:szCs w:val="22"/>
        </w:rPr>
        <w:t xml:space="preserve"> together with managers and other stakeholders.</w:t>
      </w:r>
    </w:p>
    <w:p w14:paraId="6AEB3679" w14:textId="5A7B87B7" w:rsidR="00C74A9B" w:rsidRDefault="00C74A9B" w:rsidP="00C74A9B">
      <w:pPr>
        <w:pStyle w:val="Default"/>
        <w:rPr>
          <w:rFonts w:ascii="Arial" w:hAnsi="Arial" w:cs="Arial"/>
          <w:sz w:val="22"/>
          <w:szCs w:val="22"/>
        </w:rPr>
      </w:pPr>
    </w:p>
    <w:p w14:paraId="5012597C" w14:textId="6A3F68D2" w:rsidR="00C74A9B" w:rsidRDefault="00C74A9B" w:rsidP="00C74A9B">
      <w:pPr>
        <w:pStyle w:val="Default"/>
        <w:rPr>
          <w:rFonts w:ascii="Arial" w:hAnsi="Arial" w:cs="Arial"/>
          <w:sz w:val="22"/>
          <w:szCs w:val="22"/>
        </w:rPr>
      </w:pPr>
    </w:p>
    <w:p w14:paraId="1DA52166" w14:textId="77777777" w:rsidR="00C74A9B" w:rsidRDefault="00C74A9B" w:rsidP="00C74A9B">
      <w:pPr>
        <w:pStyle w:val="Default"/>
        <w:rPr>
          <w:rFonts w:ascii="Arial" w:hAnsi="Arial" w:cs="Arial"/>
          <w:sz w:val="22"/>
          <w:szCs w:val="22"/>
        </w:rPr>
      </w:pPr>
    </w:p>
    <w:p w14:paraId="0DC3AC9D" w14:textId="77777777" w:rsidR="00CD4202" w:rsidRPr="00B05357" w:rsidRDefault="00CD4202" w:rsidP="00CD4202">
      <w:pPr>
        <w:pStyle w:val="Default"/>
        <w:rPr>
          <w:rFonts w:ascii="Arial" w:hAnsi="Arial" w:cs="Arial"/>
          <w:sz w:val="22"/>
          <w:szCs w:val="22"/>
        </w:rPr>
      </w:pPr>
    </w:p>
    <w:p w14:paraId="23A9E0CA" w14:textId="67DBBD2B" w:rsidR="008501CC" w:rsidRDefault="008501CC" w:rsidP="00CD4202">
      <w:pPr>
        <w:pStyle w:val="Default"/>
        <w:numPr>
          <w:ilvl w:val="0"/>
          <w:numId w:val="12"/>
        </w:numPr>
        <w:ind w:left="0" w:firstLine="0"/>
        <w:rPr>
          <w:rFonts w:ascii="Arial" w:hAnsi="Arial" w:cs="Arial"/>
          <w:color w:val="auto"/>
          <w:sz w:val="22"/>
          <w:szCs w:val="22"/>
        </w:rPr>
      </w:pPr>
      <w:r w:rsidRPr="008501CC">
        <w:rPr>
          <w:rFonts w:ascii="Arial" w:hAnsi="Arial" w:cs="Arial"/>
          <w:color w:val="auto"/>
          <w:sz w:val="22"/>
          <w:szCs w:val="22"/>
        </w:rPr>
        <w:lastRenderedPageBreak/>
        <w:t xml:space="preserve">Going forward it </w:t>
      </w:r>
      <w:proofErr w:type="gramStart"/>
      <w:r w:rsidRPr="008501CC">
        <w:rPr>
          <w:rFonts w:ascii="Arial" w:hAnsi="Arial" w:cs="Arial"/>
          <w:color w:val="auto"/>
          <w:sz w:val="22"/>
          <w:szCs w:val="22"/>
        </w:rPr>
        <w:t>is recognized</w:t>
      </w:r>
      <w:proofErr w:type="gramEnd"/>
      <w:r w:rsidRPr="008501CC">
        <w:rPr>
          <w:rFonts w:ascii="Arial" w:hAnsi="Arial" w:cs="Arial"/>
          <w:color w:val="auto"/>
          <w:sz w:val="22"/>
          <w:szCs w:val="22"/>
        </w:rPr>
        <w:t xml:space="preserve"> that personal and professional development is key to managing and motivating performance.  At the same time</w:t>
      </w:r>
      <w:r w:rsidR="00D24748">
        <w:rPr>
          <w:rFonts w:ascii="Arial" w:hAnsi="Arial" w:cs="Arial"/>
          <w:color w:val="auto"/>
          <w:sz w:val="22"/>
          <w:szCs w:val="22"/>
        </w:rPr>
        <w:t>,</w:t>
      </w:r>
      <w:r w:rsidRPr="008501CC">
        <w:rPr>
          <w:rFonts w:ascii="Arial" w:hAnsi="Arial" w:cs="Arial"/>
          <w:color w:val="auto"/>
          <w:sz w:val="22"/>
          <w:szCs w:val="22"/>
        </w:rPr>
        <w:t xml:space="preserve"> it has become clear that WIPO must invest in its human capital to ensure that </w:t>
      </w:r>
      <w:r>
        <w:rPr>
          <w:rFonts w:ascii="Arial" w:hAnsi="Arial" w:cs="Arial"/>
          <w:color w:val="auto"/>
          <w:sz w:val="22"/>
          <w:szCs w:val="22"/>
        </w:rPr>
        <w:t>the Organization</w:t>
      </w:r>
      <w:r w:rsidRPr="008501CC">
        <w:rPr>
          <w:rFonts w:ascii="Arial" w:hAnsi="Arial" w:cs="Arial"/>
          <w:color w:val="auto"/>
          <w:sz w:val="22"/>
          <w:szCs w:val="22"/>
        </w:rPr>
        <w:t xml:space="preserve"> has the skills to meet </w:t>
      </w:r>
      <w:r w:rsidR="004972F3">
        <w:rPr>
          <w:rFonts w:ascii="Arial" w:hAnsi="Arial" w:cs="Arial"/>
          <w:color w:val="auto"/>
          <w:sz w:val="22"/>
          <w:szCs w:val="22"/>
        </w:rPr>
        <w:t xml:space="preserve">current </w:t>
      </w:r>
      <w:r w:rsidR="00671213">
        <w:rPr>
          <w:rFonts w:ascii="Arial" w:hAnsi="Arial" w:cs="Arial"/>
          <w:color w:val="auto"/>
          <w:sz w:val="22"/>
          <w:szCs w:val="22"/>
        </w:rPr>
        <w:t xml:space="preserve">and future </w:t>
      </w:r>
      <w:r w:rsidR="004972F3">
        <w:rPr>
          <w:rFonts w:ascii="Arial" w:hAnsi="Arial" w:cs="Arial"/>
          <w:color w:val="auto"/>
          <w:sz w:val="22"/>
          <w:szCs w:val="22"/>
        </w:rPr>
        <w:t>demands</w:t>
      </w:r>
      <w:r w:rsidRPr="008501CC">
        <w:rPr>
          <w:rFonts w:ascii="Arial" w:hAnsi="Arial" w:cs="Arial"/>
          <w:color w:val="auto"/>
          <w:sz w:val="22"/>
          <w:szCs w:val="22"/>
        </w:rPr>
        <w:t xml:space="preserve">. To this end, </w:t>
      </w:r>
      <w:r w:rsidR="004972F3">
        <w:rPr>
          <w:rFonts w:ascii="Arial" w:hAnsi="Arial" w:cs="Arial"/>
          <w:color w:val="auto"/>
          <w:sz w:val="22"/>
          <w:szCs w:val="22"/>
        </w:rPr>
        <w:t>o</w:t>
      </w:r>
      <w:r w:rsidRPr="008501CC">
        <w:rPr>
          <w:rFonts w:ascii="Arial" w:hAnsi="Arial" w:cs="Arial"/>
          <w:color w:val="auto"/>
          <w:sz w:val="22"/>
          <w:szCs w:val="22"/>
        </w:rPr>
        <w:t xml:space="preserve">pening up </w:t>
      </w:r>
      <w:r w:rsidR="004972F3">
        <w:rPr>
          <w:rFonts w:ascii="Arial" w:hAnsi="Arial" w:cs="Arial"/>
          <w:color w:val="auto"/>
          <w:sz w:val="22"/>
          <w:szCs w:val="22"/>
        </w:rPr>
        <w:t xml:space="preserve">and improving </w:t>
      </w:r>
      <w:r w:rsidRPr="008501CC">
        <w:rPr>
          <w:rFonts w:ascii="Arial" w:hAnsi="Arial" w:cs="Arial"/>
          <w:color w:val="auto"/>
          <w:sz w:val="22"/>
          <w:szCs w:val="22"/>
        </w:rPr>
        <w:t>talent mobility has shown to be a powerful management initiative to engage employees</w:t>
      </w:r>
      <w:r w:rsidR="004972F3">
        <w:rPr>
          <w:rFonts w:ascii="Arial" w:hAnsi="Arial" w:cs="Arial"/>
          <w:color w:val="auto"/>
          <w:sz w:val="22"/>
          <w:szCs w:val="22"/>
        </w:rPr>
        <w:t>,</w:t>
      </w:r>
      <w:r w:rsidRPr="008501CC">
        <w:rPr>
          <w:rFonts w:ascii="Arial" w:hAnsi="Arial" w:cs="Arial"/>
          <w:color w:val="auto"/>
          <w:sz w:val="22"/>
          <w:szCs w:val="22"/>
        </w:rPr>
        <w:t xml:space="preserve"> while also enabling management to identify internal skills that reduce the need to constantly look externally for talent – investing internally instead of solely relying on “buying in”.  Significant progress </w:t>
      </w:r>
      <w:proofErr w:type="gramStart"/>
      <w:r w:rsidRPr="008501CC">
        <w:rPr>
          <w:rFonts w:ascii="Arial" w:hAnsi="Arial" w:cs="Arial"/>
          <w:color w:val="auto"/>
          <w:sz w:val="22"/>
          <w:szCs w:val="22"/>
        </w:rPr>
        <w:t>has been made</w:t>
      </w:r>
      <w:proofErr w:type="gramEnd"/>
      <w:r w:rsidRPr="008501CC">
        <w:rPr>
          <w:rFonts w:ascii="Arial" w:hAnsi="Arial" w:cs="Arial"/>
          <w:color w:val="auto"/>
          <w:sz w:val="22"/>
          <w:szCs w:val="22"/>
        </w:rPr>
        <w:t xml:space="preserve"> across the year in identifying Talent Market Platforms and their offerings to enable WIPO to launch a formal Request for Proposal later in 2022 with a view to piloting in 2023.  Additionally, following positive feedback</w:t>
      </w:r>
      <w:r w:rsidR="004972F3">
        <w:rPr>
          <w:rFonts w:ascii="Arial" w:hAnsi="Arial" w:cs="Arial"/>
          <w:color w:val="auto"/>
          <w:sz w:val="22"/>
          <w:szCs w:val="22"/>
        </w:rPr>
        <w:t>,</w:t>
      </w:r>
      <w:r w:rsidRPr="008501CC">
        <w:rPr>
          <w:rFonts w:ascii="Arial" w:hAnsi="Arial" w:cs="Arial"/>
          <w:color w:val="auto"/>
          <w:sz w:val="22"/>
          <w:szCs w:val="22"/>
        </w:rPr>
        <w:t xml:space="preserve"> </w:t>
      </w:r>
      <w:r w:rsidR="004972F3">
        <w:rPr>
          <w:rFonts w:ascii="Arial" w:hAnsi="Arial" w:cs="Arial"/>
          <w:color w:val="auto"/>
          <w:sz w:val="22"/>
          <w:szCs w:val="22"/>
        </w:rPr>
        <w:t>HRMD</w:t>
      </w:r>
      <w:r w:rsidRPr="008501CC">
        <w:rPr>
          <w:rFonts w:ascii="Arial" w:hAnsi="Arial" w:cs="Arial"/>
          <w:color w:val="auto"/>
          <w:sz w:val="22"/>
          <w:szCs w:val="22"/>
        </w:rPr>
        <w:t xml:space="preserve"> extended its pilot project allowing staff on fixed-term, continuing and permanent appointments to </w:t>
      </w:r>
      <w:proofErr w:type="gramStart"/>
      <w:r w:rsidRPr="008501CC">
        <w:rPr>
          <w:rFonts w:ascii="Arial" w:hAnsi="Arial" w:cs="Arial"/>
          <w:color w:val="auto"/>
          <w:sz w:val="22"/>
          <w:szCs w:val="22"/>
        </w:rPr>
        <w:t>be temporarily assigned</w:t>
      </w:r>
      <w:proofErr w:type="gramEnd"/>
      <w:r w:rsidRPr="008501CC">
        <w:rPr>
          <w:rFonts w:ascii="Arial" w:hAnsi="Arial" w:cs="Arial"/>
          <w:color w:val="auto"/>
          <w:sz w:val="22"/>
          <w:szCs w:val="22"/>
        </w:rPr>
        <w:t xml:space="preserve"> to temporary positions and project posts</w:t>
      </w:r>
      <w:r w:rsidR="004972F3">
        <w:rPr>
          <w:rFonts w:ascii="Arial" w:hAnsi="Arial" w:cs="Arial"/>
          <w:color w:val="auto"/>
          <w:sz w:val="22"/>
          <w:szCs w:val="22"/>
        </w:rPr>
        <w:t>,</w:t>
      </w:r>
      <w:r w:rsidRPr="008501CC">
        <w:rPr>
          <w:rFonts w:ascii="Arial" w:hAnsi="Arial" w:cs="Arial"/>
          <w:color w:val="auto"/>
          <w:sz w:val="22"/>
          <w:szCs w:val="22"/>
        </w:rPr>
        <w:t xml:space="preserve"> whilst retaining their contractual status and related benefits and entitlements.  </w:t>
      </w:r>
    </w:p>
    <w:p w14:paraId="30933526" w14:textId="77777777" w:rsidR="008501CC" w:rsidRDefault="008501CC" w:rsidP="008501CC">
      <w:pPr>
        <w:pStyle w:val="ListParagraph"/>
        <w:rPr>
          <w:szCs w:val="22"/>
        </w:rPr>
      </w:pPr>
    </w:p>
    <w:p w14:paraId="637D7FBC" w14:textId="5D3B6BF2" w:rsidR="00276BEE" w:rsidRPr="00832028" w:rsidRDefault="00CD4202" w:rsidP="00CD4202">
      <w:pPr>
        <w:pStyle w:val="Default"/>
        <w:numPr>
          <w:ilvl w:val="0"/>
          <w:numId w:val="12"/>
        </w:numPr>
        <w:ind w:left="0" w:firstLine="0"/>
        <w:rPr>
          <w:rFonts w:ascii="Arial" w:hAnsi="Arial" w:cs="Arial"/>
          <w:color w:val="auto"/>
          <w:sz w:val="22"/>
          <w:szCs w:val="22"/>
        </w:rPr>
      </w:pPr>
      <w:r w:rsidRPr="008501CC">
        <w:rPr>
          <w:rFonts w:ascii="Arial" w:hAnsi="Arial" w:cs="Arial"/>
          <w:sz w:val="22"/>
          <w:szCs w:val="22"/>
        </w:rPr>
        <w:t xml:space="preserve">Finally, a significant change in the restructuring of HRMD concerned the transfer of responsibility for the implementation and delivery of learning programs to the WIPO Academy. The primary aim of this transfer is for the Academy to use its expertise in the building of knowledge and skills to benefit WIPO staff.  To ensure that training programs </w:t>
      </w:r>
      <w:proofErr w:type="gramStart"/>
      <w:r w:rsidRPr="008501CC">
        <w:rPr>
          <w:rFonts w:ascii="Arial" w:hAnsi="Arial" w:cs="Arial"/>
          <w:sz w:val="22"/>
          <w:szCs w:val="22"/>
        </w:rPr>
        <w:t>are strategically focused</w:t>
      </w:r>
      <w:proofErr w:type="gramEnd"/>
      <w:r w:rsidRPr="008501CC">
        <w:rPr>
          <w:rFonts w:ascii="Arial" w:hAnsi="Arial" w:cs="Arial"/>
          <w:sz w:val="22"/>
          <w:szCs w:val="22"/>
        </w:rPr>
        <w:t>, a Training and Development Task Force was set up to recommend changes needed to improve WIPO’s approach to training, with the WIPO Academy and HRMD collaborating to fashion a learning and development framework for WIPO and oversee its implementation</w:t>
      </w:r>
      <w:r w:rsidR="009B158A" w:rsidRPr="008501CC">
        <w:rPr>
          <w:rFonts w:ascii="Arial" w:hAnsi="Arial" w:cs="Arial"/>
          <w:sz w:val="22"/>
          <w:szCs w:val="22"/>
        </w:rPr>
        <w:t>.</w:t>
      </w:r>
    </w:p>
    <w:p w14:paraId="4BA8FB1B" w14:textId="6C34C999" w:rsidR="00832028" w:rsidRPr="008501CC" w:rsidRDefault="00832028" w:rsidP="00832028">
      <w:pPr>
        <w:pStyle w:val="Default"/>
        <w:rPr>
          <w:rFonts w:ascii="Arial" w:hAnsi="Arial" w:cs="Arial"/>
          <w:color w:val="auto"/>
          <w:sz w:val="22"/>
          <w:szCs w:val="22"/>
        </w:rPr>
      </w:pPr>
    </w:p>
    <w:p w14:paraId="137E7E44" w14:textId="1FB35568" w:rsidR="00CE1BBD" w:rsidRDefault="00CE1BBD">
      <w:pPr>
        <w:rPr>
          <w:b/>
          <w:bCs/>
          <w:caps/>
          <w:kern w:val="32"/>
          <w:szCs w:val="22"/>
        </w:rPr>
      </w:pPr>
    </w:p>
    <w:p w14:paraId="609A3A5E" w14:textId="62488761" w:rsidR="00276BEE" w:rsidRPr="00B05357" w:rsidRDefault="00276BEE" w:rsidP="00276BEE">
      <w:pPr>
        <w:pStyle w:val="Heading1"/>
        <w:numPr>
          <w:ilvl w:val="0"/>
          <w:numId w:val="11"/>
        </w:numPr>
        <w:spacing w:before="0"/>
        <w:ind w:left="567" w:hanging="567"/>
        <w:rPr>
          <w:szCs w:val="22"/>
        </w:rPr>
      </w:pPr>
      <w:r w:rsidRPr="00B05357">
        <w:rPr>
          <w:szCs w:val="22"/>
        </w:rPr>
        <w:t xml:space="preserve">The </w:t>
      </w:r>
      <w:r w:rsidR="0006560C" w:rsidRPr="00B05357">
        <w:rPr>
          <w:szCs w:val="22"/>
        </w:rPr>
        <w:t>“</w:t>
      </w:r>
      <w:r w:rsidRPr="00B05357">
        <w:rPr>
          <w:szCs w:val="22"/>
        </w:rPr>
        <w:t>new normal</w:t>
      </w:r>
      <w:r w:rsidR="0006560C" w:rsidRPr="00B05357">
        <w:rPr>
          <w:szCs w:val="22"/>
        </w:rPr>
        <w:t>”</w:t>
      </w:r>
      <w:r w:rsidRPr="00B05357">
        <w:rPr>
          <w:szCs w:val="22"/>
        </w:rPr>
        <w:t xml:space="preserve"> </w:t>
      </w:r>
    </w:p>
    <w:p w14:paraId="729DD334" w14:textId="77777777" w:rsidR="00276BEE" w:rsidRPr="00B05357" w:rsidRDefault="00276BEE" w:rsidP="00276BEE">
      <w:pPr>
        <w:rPr>
          <w:szCs w:val="22"/>
        </w:rPr>
      </w:pPr>
    </w:p>
    <w:p w14:paraId="507896C8" w14:textId="7B87F709" w:rsidR="00CD4202" w:rsidRPr="00B05357" w:rsidRDefault="00CD4202" w:rsidP="00CD4202">
      <w:pPr>
        <w:pStyle w:val="ListParagraph"/>
        <w:numPr>
          <w:ilvl w:val="0"/>
          <w:numId w:val="12"/>
        </w:numPr>
        <w:ind w:left="0" w:firstLine="0"/>
        <w:rPr>
          <w:szCs w:val="22"/>
        </w:rPr>
      </w:pPr>
      <w:r>
        <w:rPr>
          <w:szCs w:val="22"/>
        </w:rPr>
        <w:t>T</w:t>
      </w:r>
      <w:r w:rsidRPr="00B05357">
        <w:rPr>
          <w:szCs w:val="22"/>
        </w:rPr>
        <w:t>he onset of the pandemic in 2020</w:t>
      </w:r>
      <w:r>
        <w:rPr>
          <w:szCs w:val="22"/>
        </w:rPr>
        <w:t xml:space="preserve"> brought a new set of challenges to </w:t>
      </w:r>
      <w:r w:rsidRPr="00B05357">
        <w:rPr>
          <w:szCs w:val="22"/>
        </w:rPr>
        <w:t>HRMD</w:t>
      </w:r>
      <w:r>
        <w:rPr>
          <w:szCs w:val="22"/>
        </w:rPr>
        <w:t xml:space="preserve"> given</w:t>
      </w:r>
      <w:r w:rsidRPr="00B05357">
        <w:rPr>
          <w:szCs w:val="22"/>
        </w:rPr>
        <w:t xml:space="preserve"> </w:t>
      </w:r>
      <w:r>
        <w:rPr>
          <w:szCs w:val="22"/>
        </w:rPr>
        <w:t>the</w:t>
      </w:r>
      <w:r w:rsidRPr="00B05357">
        <w:rPr>
          <w:szCs w:val="22"/>
        </w:rPr>
        <w:t xml:space="preserve"> impact on the psychosocial aspects and mental health of employees</w:t>
      </w:r>
      <w:r>
        <w:rPr>
          <w:szCs w:val="22"/>
        </w:rPr>
        <w:t xml:space="preserve">. </w:t>
      </w:r>
      <w:r w:rsidR="007C0136">
        <w:rPr>
          <w:szCs w:val="22"/>
        </w:rPr>
        <w:t xml:space="preserve"> </w:t>
      </w:r>
      <w:r w:rsidRPr="00B05357">
        <w:rPr>
          <w:szCs w:val="22"/>
        </w:rPr>
        <w:t xml:space="preserve">Throughout this period, HRMD </w:t>
      </w:r>
      <w:r>
        <w:rPr>
          <w:szCs w:val="22"/>
        </w:rPr>
        <w:t>played a key role in</w:t>
      </w:r>
      <w:r w:rsidRPr="00B05357">
        <w:rPr>
          <w:szCs w:val="22"/>
        </w:rPr>
        <w:t xml:space="preserve"> crisis management, remote working, risk handling, redeployment of the workforce, </w:t>
      </w:r>
      <w:r w:rsidR="00EE5BFA">
        <w:rPr>
          <w:szCs w:val="22"/>
        </w:rPr>
        <w:t xml:space="preserve">as well as </w:t>
      </w:r>
      <w:r w:rsidRPr="00B05357">
        <w:rPr>
          <w:szCs w:val="22"/>
        </w:rPr>
        <w:t>safety</w:t>
      </w:r>
      <w:r>
        <w:rPr>
          <w:szCs w:val="22"/>
        </w:rPr>
        <w:t xml:space="preserve"> and</w:t>
      </w:r>
      <w:r w:rsidRPr="00B05357">
        <w:rPr>
          <w:szCs w:val="22"/>
        </w:rPr>
        <w:t xml:space="preserve"> wellbeing.</w:t>
      </w:r>
    </w:p>
    <w:p w14:paraId="3D3D4B53" w14:textId="77777777" w:rsidR="00CD4202" w:rsidRPr="00B05357" w:rsidRDefault="00CD4202" w:rsidP="00CD4202">
      <w:pPr>
        <w:pStyle w:val="Heading3"/>
        <w:rPr>
          <w:i/>
          <w:szCs w:val="22"/>
          <w:u w:val="none"/>
        </w:rPr>
      </w:pPr>
      <w:r w:rsidRPr="00B05357">
        <w:rPr>
          <w:i/>
          <w:szCs w:val="22"/>
          <w:u w:val="none"/>
        </w:rPr>
        <w:t>Health, wellbeing and work-life balance</w:t>
      </w:r>
    </w:p>
    <w:p w14:paraId="737F92BB" w14:textId="77777777" w:rsidR="00CD4202" w:rsidRPr="00B05357" w:rsidRDefault="00CD4202" w:rsidP="00CD4202">
      <w:pPr>
        <w:pStyle w:val="ListParagraph"/>
        <w:ind w:left="0"/>
        <w:rPr>
          <w:szCs w:val="22"/>
        </w:rPr>
      </w:pPr>
    </w:p>
    <w:p w14:paraId="002CF923" w14:textId="78BF9DC1" w:rsidR="00CD4202" w:rsidRPr="00B05357" w:rsidRDefault="00CD4202" w:rsidP="00CD4202">
      <w:pPr>
        <w:pStyle w:val="ListParagraph"/>
        <w:numPr>
          <w:ilvl w:val="0"/>
          <w:numId w:val="12"/>
        </w:numPr>
        <w:ind w:left="0" w:firstLine="0"/>
        <w:rPr>
          <w:szCs w:val="22"/>
        </w:rPr>
      </w:pPr>
      <w:r w:rsidRPr="00B05357">
        <w:rPr>
          <w:szCs w:val="22"/>
        </w:rPr>
        <w:t xml:space="preserve">The mental health and wellbeing of employees has always been of the utmost importance </w:t>
      </w:r>
      <w:r w:rsidR="0052195F">
        <w:rPr>
          <w:szCs w:val="22"/>
        </w:rPr>
        <w:t>for</w:t>
      </w:r>
      <w:r w:rsidRPr="00B05357">
        <w:rPr>
          <w:szCs w:val="22"/>
        </w:rPr>
        <w:t xml:space="preserve"> WIPO and the pandemic accelerated the reassessment of WIPO’s </w:t>
      </w:r>
      <w:r w:rsidRPr="0052195F">
        <w:rPr>
          <w:szCs w:val="22"/>
        </w:rPr>
        <w:t>working</w:t>
      </w:r>
      <w:r w:rsidRPr="00B05357">
        <w:rPr>
          <w:szCs w:val="22"/>
        </w:rPr>
        <w:t xml:space="preserve"> practices.  There is no doubt that the past couple of years has renewed the opportunity </w:t>
      </w:r>
      <w:r w:rsidR="0052195F">
        <w:rPr>
          <w:szCs w:val="22"/>
        </w:rPr>
        <w:t>of</w:t>
      </w:r>
      <w:r w:rsidRPr="0052195F">
        <w:rPr>
          <w:szCs w:val="22"/>
        </w:rPr>
        <w:t xml:space="preserve"> mak</w:t>
      </w:r>
      <w:r w:rsidR="0052195F">
        <w:rPr>
          <w:szCs w:val="22"/>
        </w:rPr>
        <w:t>ing</w:t>
      </w:r>
      <w:r w:rsidRPr="00B05357">
        <w:rPr>
          <w:szCs w:val="22"/>
        </w:rPr>
        <w:t xml:space="preserve"> flexible working </w:t>
      </w:r>
      <w:r w:rsidR="0052195F">
        <w:rPr>
          <w:szCs w:val="22"/>
        </w:rPr>
        <w:t xml:space="preserve">a </w:t>
      </w:r>
      <w:r w:rsidRPr="0052195F">
        <w:rPr>
          <w:szCs w:val="22"/>
        </w:rPr>
        <w:t>more standard</w:t>
      </w:r>
      <w:r w:rsidR="0052195F">
        <w:rPr>
          <w:szCs w:val="22"/>
        </w:rPr>
        <w:t>ized</w:t>
      </w:r>
      <w:r w:rsidRPr="0052195F">
        <w:rPr>
          <w:szCs w:val="22"/>
        </w:rPr>
        <w:t xml:space="preserve"> practice</w:t>
      </w:r>
      <w:r w:rsidR="0052195F">
        <w:rPr>
          <w:szCs w:val="22"/>
        </w:rPr>
        <w:t xml:space="preserve"> in order</w:t>
      </w:r>
      <w:r w:rsidRPr="0052195F">
        <w:rPr>
          <w:szCs w:val="22"/>
        </w:rPr>
        <w:t xml:space="preserve"> to improve work-life balance</w:t>
      </w:r>
      <w:r w:rsidRPr="00B05357">
        <w:rPr>
          <w:szCs w:val="22"/>
        </w:rPr>
        <w:t xml:space="preserve">.  Most notably, perhaps, flexible practices </w:t>
      </w:r>
      <w:proofErr w:type="gramStart"/>
      <w:r w:rsidRPr="00B05357">
        <w:rPr>
          <w:szCs w:val="22"/>
        </w:rPr>
        <w:t>are no longer seen</w:t>
      </w:r>
      <w:proofErr w:type="gramEnd"/>
      <w:r w:rsidRPr="00B05357">
        <w:rPr>
          <w:szCs w:val="22"/>
        </w:rPr>
        <w:t xml:space="preserve"> as</w:t>
      </w:r>
      <w:r w:rsidR="007C0136">
        <w:rPr>
          <w:szCs w:val="22"/>
        </w:rPr>
        <w:t xml:space="preserve"> </w:t>
      </w:r>
      <w:r>
        <w:rPr>
          <w:szCs w:val="22"/>
        </w:rPr>
        <w:t>an add-on</w:t>
      </w:r>
      <w:r w:rsidRPr="00B05357">
        <w:rPr>
          <w:szCs w:val="22"/>
        </w:rPr>
        <w:t xml:space="preserve">, but as an essential part of working life.  </w:t>
      </w:r>
    </w:p>
    <w:p w14:paraId="585E6817" w14:textId="77777777" w:rsidR="00CD4202" w:rsidRPr="00B05357" w:rsidRDefault="00CD4202" w:rsidP="00CD4202">
      <w:pPr>
        <w:pStyle w:val="ListParagraph"/>
        <w:ind w:left="0"/>
        <w:rPr>
          <w:szCs w:val="22"/>
        </w:rPr>
      </w:pPr>
    </w:p>
    <w:p w14:paraId="38CC12EC" w14:textId="43E7D67E" w:rsidR="00CD4202" w:rsidRPr="00B05357" w:rsidRDefault="00CD4202" w:rsidP="00CD4202">
      <w:pPr>
        <w:pStyle w:val="ListParagraph"/>
        <w:numPr>
          <w:ilvl w:val="0"/>
          <w:numId w:val="12"/>
        </w:numPr>
        <w:ind w:left="0" w:firstLine="0"/>
        <w:rPr>
          <w:szCs w:val="22"/>
        </w:rPr>
      </w:pPr>
      <w:r w:rsidRPr="00B05357">
        <w:rPr>
          <w:szCs w:val="22"/>
        </w:rPr>
        <w:t xml:space="preserve">HRMD has been instrumental in expanding this new approach to support the work-life balance of staff, particularly realizing that a flexible approach to working is </w:t>
      </w:r>
      <w:r w:rsidRPr="0052195F">
        <w:rPr>
          <w:szCs w:val="22"/>
        </w:rPr>
        <w:t>business critical</w:t>
      </w:r>
      <w:r w:rsidRPr="00B05357">
        <w:rPr>
          <w:szCs w:val="22"/>
        </w:rPr>
        <w:t xml:space="preserve">, </w:t>
      </w:r>
      <w:r>
        <w:rPr>
          <w:szCs w:val="22"/>
        </w:rPr>
        <w:t>and contributes to WIPO being an attractive employer.</w:t>
      </w:r>
      <w:r w:rsidRPr="00B05357">
        <w:rPr>
          <w:color w:val="000000"/>
          <w:szCs w:val="22"/>
        </w:rPr>
        <w:t xml:space="preserve"> </w:t>
      </w:r>
      <w:r w:rsidR="001A677B">
        <w:rPr>
          <w:color w:val="000000"/>
          <w:szCs w:val="22"/>
        </w:rPr>
        <w:t xml:space="preserve"> </w:t>
      </w:r>
      <w:r w:rsidRPr="00B05357">
        <w:rPr>
          <w:color w:val="000000"/>
          <w:szCs w:val="22"/>
        </w:rPr>
        <w:t>As such:</w:t>
      </w:r>
    </w:p>
    <w:p w14:paraId="07FEC46D" w14:textId="77777777" w:rsidR="00CD4202" w:rsidRPr="00B05357" w:rsidRDefault="00CD4202" w:rsidP="00CD4202">
      <w:pPr>
        <w:pStyle w:val="ListParagraph"/>
        <w:rPr>
          <w:color w:val="000000"/>
          <w:szCs w:val="22"/>
        </w:rPr>
      </w:pPr>
    </w:p>
    <w:p w14:paraId="53C23129" w14:textId="417A8440" w:rsidR="00CD4202" w:rsidRPr="00B05357" w:rsidRDefault="00CD4202" w:rsidP="00100FFF">
      <w:pPr>
        <w:pStyle w:val="ListParagraph"/>
        <w:numPr>
          <w:ilvl w:val="2"/>
          <w:numId w:val="16"/>
        </w:numPr>
        <w:autoSpaceDE w:val="0"/>
        <w:autoSpaceDN w:val="0"/>
        <w:adjustRightInd w:val="0"/>
        <w:ind w:left="990" w:hanging="450"/>
        <w:rPr>
          <w:color w:val="000000"/>
          <w:szCs w:val="22"/>
        </w:rPr>
      </w:pPr>
      <w:r w:rsidRPr="00B05357">
        <w:rPr>
          <w:szCs w:val="22"/>
        </w:rPr>
        <w:t xml:space="preserve">WIPO’s new policy on working hours and flexible working arrangements </w:t>
      </w:r>
      <w:proofErr w:type="gramStart"/>
      <w:r w:rsidRPr="00B05357">
        <w:rPr>
          <w:szCs w:val="22"/>
        </w:rPr>
        <w:t>was issued in October 2021 and entered into force in January 2022</w:t>
      </w:r>
      <w:proofErr w:type="gramEnd"/>
      <w:r w:rsidRPr="00B05357">
        <w:rPr>
          <w:szCs w:val="22"/>
        </w:rPr>
        <w:t>.</w:t>
      </w:r>
      <w:r w:rsidR="001A677B">
        <w:rPr>
          <w:szCs w:val="22"/>
        </w:rPr>
        <w:t xml:space="preserve"> </w:t>
      </w:r>
      <w:r w:rsidRPr="00B05357">
        <w:rPr>
          <w:szCs w:val="22"/>
        </w:rPr>
        <w:t xml:space="preserve"> It introduced teleworking as a flexible working arrangement, drawing from the lessons learned during the COVID-19 pandemic. </w:t>
      </w:r>
      <w:r w:rsidR="001A677B">
        <w:rPr>
          <w:szCs w:val="22"/>
        </w:rPr>
        <w:t xml:space="preserve"> </w:t>
      </w:r>
      <w:r>
        <w:rPr>
          <w:szCs w:val="22"/>
        </w:rPr>
        <w:t>While business needs take precedence</w:t>
      </w:r>
      <w:r w:rsidR="001A677B">
        <w:rPr>
          <w:szCs w:val="22"/>
        </w:rPr>
        <w:t>,</w:t>
      </w:r>
      <w:r w:rsidRPr="00B05357">
        <w:rPr>
          <w:szCs w:val="22"/>
        </w:rPr>
        <w:t xml:space="preserve"> the changes made will give staff more flexibility to organize their work and manage their working hours according to their personal preferences and needs, thus supporting work-life balance. These changes will also give supervisors more latitude to manage their teams’ working arrangements according to both </w:t>
      </w:r>
      <w:r w:rsidR="0052195F">
        <w:rPr>
          <w:szCs w:val="22"/>
        </w:rPr>
        <w:t xml:space="preserve">organizational and </w:t>
      </w:r>
      <w:r w:rsidRPr="0052195F">
        <w:rPr>
          <w:szCs w:val="22"/>
        </w:rPr>
        <w:t xml:space="preserve">individual </w:t>
      </w:r>
      <w:r w:rsidRPr="00B05357">
        <w:rPr>
          <w:szCs w:val="22"/>
        </w:rPr>
        <w:t>needs.</w:t>
      </w:r>
    </w:p>
    <w:p w14:paraId="5BE4C823" w14:textId="77777777" w:rsidR="00CD4202" w:rsidRPr="00B05357" w:rsidRDefault="00CD4202" w:rsidP="00CD4202">
      <w:pPr>
        <w:pStyle w:val="ListParagraph"/>
        <w:autoSpaceDE w:val="0"/>
        <w:autoSpaceDN w:val="0"/>
        <w:adjustRightInd w:val="0"/>
        <w:ind w:left="900"/>
        <w:rPr>
          <w:color w:val="000000"/>
          <w:szCs w:val="22"/>
        </w:rPr>
      </w:pPr>
    </w:p>
    <w:p w14:paraId="0796E793" w14:textId="77777777" w:rsidR="00832028" w:rsidRDefault="00832028">
      <w:pPr>
        <w:rPr>
          <w:rFonts w:eastAsia="Times New Roman"/>
          <w:szCs w:val="22"/>
          <w:lang w:eastAsia="en-US"/>
        </w:rPr>
      </w:pPr>
      <w:r>
        <w:rPr>
          <w:szCs w:val="22"/>
        </w:rPr>
        <w:br w:type="page"/>
      </w:r>
    </w:p>
    <w:p w14:paraId="72DEC32C" w14:textId="1D754E1E" w:rsidR="00CD4202" w:rsidRPr="00B05357" w:rsidRDefault="00CD4202" w:rsidP="00100FFF">
      <w:pPr>
        <w:pStyle w:val="ListParagraph"/>
        <w:numPr>
          <w:ilvl w:val="2"/>
          <w:numId w:val="16"/>
        </w:numPr>
        <w:autoSpaceDE w:val="0"/>
        <w:autoSpaceDN w:val="0"/>
        <w:adjustRightInd w:val="0"/>
        <w:ind w:left="990" w:hanging="450"/>
        <w:rPr>
          <w:color w:val="000000"/>
          <w:szCs w:val="22"/>
        </w:rPr>
      </w:pPr>
      <w:r w:rsidRPr="00B05357">
        <w:rPr>
          <w:szCs w:val="22"/>
        </w:rPr>
        <w:lastRenderedPageBreak/>
        <w:t xml:space="preserve">Significant changes </w:t>
      </w:r>
      <w:proofErr w:type="gramStart"/>
      <w:r w:rsidRPr="00B05357">
        <w:rPr>
          <w:szCs w:val="22"/>
        </w:rPr>
        <w:t>were also made</w:t>
      </w:r>
      <w:proofErr w:type="gramEnd"/>
      <w:r w:rsidRPr="00B05357">
        <w:rPr>
          <w:szCs w:val="22"/>
        </w:rPr>
        <w:t xml:space="preserve"> to the policy on parental leave, to the benefit of staff and in support of work-life balance.</w:t>
      </w:r>
      <w:r w:rsidR="00670F7B">
        <w:rPr>
          <w:szCs w:val="22"/>
        </w:rPr>
        <w:t xml:space="preserve"> </w:t>
      </w:r>
      <w:r w:rsidRPr="00B05357">
        <w:rPr>
          <w:szCs w:val="22"/>
        </w:rPr>
        <w:t xml:space="preserve"> The changes further aim to promote gender equality and inclusion, notably by recognizing that care responsibilities </w:t>
      </w:r>
      <w:proofErr w:type="gramStart"/>
      <w:r w:rsidRPr="00B05357">
        <w:rPr>
          <w:szCs w:val="22"/>
        </w:rPr>
        <w:t xml:space="preserve">should be </w:t>
      </w:r>
      <w:r w:rsidRPr="0052195F">
        <w:rPr>
          <w:szCs w:val="22"/>
        </w:rPr>
        <w:t>equally shared</w:t>
      </w:r>
      <w:proofErr w:type="gramEnd"/>
      <w:r w:rsidRPr="00B05357">
        <w:rPr>
          <w:szCs w:val="22"/>
        </w:rPr>
        <w:t xml:space="preserve"> between parents.  To this end, the leave entitlements </w:t>
      </w:r>
      <w:proofErr w:type="gramStart"/>
      <w:r w:rsidRPr="00B05357">
        <w:rPr>
          <w:szCs w:val="22"/>
        </w:rPr>
        <w:t>were increased</w:t>
      </w:r>
      <w:proofErr w:type="gramEnd"/>
      <w:r w:rsidRPr="00B05357">
        <w:rPr>
          <w:szCs w:val="22"/>
        </w:rPr>
        <w:t xml:space="preserve"> for most </w:t>
      </w:r>
      <w:r w:rsidR="00D8391C">
        <w:rPr>
          <w:szCs w:val="22"/>
        </w:rPr>
        <w:t>types of appointment and forms of parenthood</w:t>
      </w:r>
      <w:r w:rsidRPr="00B05357">
        <w:rPr>
          <w:szCs w:val="22"/>
        </w:rPr>
        <w:t>, and more flexibility was granted for the use of these entitlements.</w:t>
      </w:r>
    </w:p>
    <w:p w14:paraId="66F274BB" w14:textId="77777777" w:rsidR="00CD4202" w:rsidRPr="00B05357" w:rsidRDefault="00CD4202" w:rsidP="00CD4202">
      <w:pPr>
        <w:pStyle w:val="ListParagraph"/>
        <w:rPr>
          <w:szCs w:val="22"/>
        </w:rPr>
      </w:pPr>
    </w:p>
    <w:p w14:paraId="7E750C9C" w14:textId="57135308" w:rsidR="00CD4202" w:rsidRPr="00B05357" w:rsidRDefault="00CD4202" w:rsidP="00100FFF">
      <w:pPr>
        <w:pStyle w:val="ListParagraph"/>
        <w:numPr>
          <w:ilvl w:val="2"/>
          <w:numId w:val="16"/>
        </w:numPr>
        <w:autoSpaceDE w:val="0"/>
        <w:autoSpaceDN w:val="0"/>
        <w:adjustRightInd w:val="0"/>
        <w:ind w:left="990" w:hanging="450"/>
        <w:rPr>
          <w:color w:val="000000"/>
          <w:szCs w:val="22"/>
        </w:rPr>
      </w:pPr>
      <w:r w:rsidRPr="00B05357">
        <w:rPr>
          <w:szCs w:val="22"/>
        </w:rPr>
        <w:t xml:space="preserve">For the first time, an </w:t>
      </w:r>
      <w:r>
        <w:rPr>
          <w:szCs w:val="22"/>
        </w:rPr>
        <w:t>O</w:t>
      </w:r>
      <w:r w:rsidRPr="00B05357">
        <w:rPr>
          <w:szCs w:val="22"/>
        </w:rPr>
        <w:t xml:space="preserve">rganization-wide policy </w:t>
      </w:r>
      <w:proofErr w:type="gramStart"/>
      <w:r w:rsidRPr="00B05357">
        <w:rPr>
          <w:szCs w:val="22"/>
        </w:rPr>
        <w:t>was developed</w:t>
      </w:r>
      <w:proofErr w:type="gramEnd"/>
      <w:r w:rsidRPr="00B05357">
        <w:rPr>
          <w:szCs w:val="22"/>
        </w:rPr>
        <w:t xml:space="preserve"> on compensatory leave for staff in the Professional and related categories who have been required to work overtime for substantial or recurrent periods.</w:t>
      </w:r>
      <w:r w:rsidR="00670F7B">
        <w:rPr>
          <w:szCs w:val="22"/>
        </w:rPr>
        <w:t xml:space="preserve"> </w:t>
      </w:r>
      <w:r w:rsidRPr="00B05357">
        <w:rPr>
          <w:szCs w:val="22"/>
        </w:rPr>
        <w:t xml:space="preserve"> The new policy lays the foundation for compensatory leave to </w:t>
      </w:r>
      <w:proofErr w:type="gramStart"/>
      <w:r w:rsidRPr="00B05357">
        <w:rPr>
          <w:szCs w:val="22"/>
        </w:rPr>
        <w:t>be granted</w:t>
      </w:r>
      <w:proofErr w:type="gramEnd"/>
      <w:r w:rsidRPr="00B05357">
        <w:rPr>
          <w:szCs w:val="22"/>
        </w:rPr>
        <w:t xml:space="preserve"> to these categories of staff in a fair, transparent and consistent manner.</w:t>
      </w:r>
    </w:p>
    <w:p w14:paraId="6B71C557" w14:textId="77777777" w:rsidR="00CD4202" w:rsidRDefault="00CD4202" w:rsidP="00CD4202">
      <w:pPr>
        <w:rPr>
          <w:rFonts w:eastAsia="Times New Roman"/>
          <w:szCs w:val="22"/>
          <w:lang w:eastAsia="en-US"/>
        </w:rPr>
      </w:pPr>
    </w:p>
    <w:p w14:paraId="22C7F679" w14:textId="56C1DBA1" w:rsidR="00CD4202" w:rsidRPr="00832028" w:rsidRDefault="00CD4202" w:rsidP="00832028">
      <w:pPr>
        <w:pStyle w:val="ListParagraph"/>
        <w:numPr>
          <w:ilvl w:val="0"/>
          <w:numId w:val="12"/>
        </w:numPr>
        <w:ind w:left="0" w:firstLine="0"/>
        <w:rPr>
          <w:szCs w:val="22"/>
        </w:rPr>
      </w:pPr>
      <w:r w:rsidRPr="00B05357">
        <w:rPr>
          <w:szCs w:val="22"/>
        </w:rPr>
        <w:t xml:space="preserve">Furthermore, HRMD, in coordination with the Medical Unit </w:t>
      </w:r>
      <w:r w:rsidR="00D8391C">
        <w:rPr>
          <w:szCs w:val="22"/>
        </w:rPr>
        <w:t>and</w:t>
      </w:r>
      <w:r w:rsidRPr="00B05357">
        <w:rPr>
          <w:szCs w:val="22"/>
        </w:rPr>
        <w:t xml:space="preserve"> the Staff Counsellor, provided comprehensive advice as well as a broad range of support to staff.  Mental health recommendations and guidance for employees </w:t>
      </w:r>
      <w:proofErr w:type="gramStart"/>
      <w:r w:rsidRPr="00B05357">
        <w:rPr>
          <w:szCs w:val="22"/>
        </w:rPr>
        <w:t>were developed</w:t>
      </w:r>
      <w:proofErr w:type="gramEnd"/>
      <w:r w:rsidRPr="00B05357">
        <w:rPr>
          <w:szCs w:val="22"/>
        </w:rPr>
        <w:t xml:space="preserve"> with the aim of </w:t>
      </w:r>
      <w:r w:rsidRPr="00832028">
        <w:rPr>
          <w:szCs w:val="22"/>
        </w:rPr>
        <w:t xml:space="preserve">boosting individual and collective resilience.  </w:t>
      </w:r>
      <w:r w:rsidR="00832028" w:rsidRPr="00832028">
        <w:rPr>
          <w:szCs w:val="22"/>
        </w:rPr>
        <w:t xml:space="preserve">In 2021, WIPO participated in the </w:t>
      </w:r>
      <w:r w:rsidR="00541F48">
        <w:rPr>
          <w:szCs w:val="22"/>
        </w:rPr>
        <w:t>United Nations Health Intelligence (</w:t>
      </w:r>
      <w:r w:rsidR="00832028" w:rsidRPr="00832028">
        <w:rPr>
          <w:szCs w:val="22"/>
        </w:rPr>
        <w:t>UNHI</w:t>
      </w:r>
      <w:r w:rsidR="00541F48">
        <w:rPr>
          <w:szCs w:val="22"/>
        </w:rPr>
        <w:t>)</w:t>
      </w:r>
      <w:r w:rsidR="00832028" w:rsidRPr="00832028">
        <w:rPr>
          <w:szCs w:val="22"/>
        </w:rPr>
        <w:t xml:space="preserve"> Health and Wellbeing Survey conducted among </w:t>
      </w:r>
      <w:r w:rsidR="00832028" w:rsidRPr="002039D2">
        <w:rPr>
          <w:szCs w:val="22"/>
        </w:rPr>
        <w:t>2</w:t>
      </w:r>
      <w:r w:rsidR="002039D2">
        <w:rPr>
          <w:szCs w:val="22"/>
        </w:rPr>
        <w:t>4</w:t>
      </w:r>
      <w:r w:rsidR="00832028" w:rsidRPr="002039D2">
        <w:rPr>
          <w:szCs w:val="22"/>
        </w:rPr>
        <w:t xml:space="preserve"> UN </w:t>
      </w:r>
      <w:r w:rsidR="001114DA" w:rsidRPr="002039D2">
        <w:rPr>
          <w:szCs w:val="22"/>
        </w:rPr>
        <w:t>o</w:t>
      </w:r>
      <w:r w:rsidR="00832028" w:rsidRPr="002039D2">
        <w:rPr>
          <w:szCs w:val="22"/>
        </w:rPr>
        <w:t>rganizations</w:t>
      </w:r>
      <w:r w:rsidR="002039D2">
        <w:rPr>
          <w:szCs w:val="22"/>
        </w:rPr>
        <w:t>, including WIPO</w:t>
      </w:r>
      <w:r w:rsidR="00832028" w:rsidRPr="00832028">
        <w:rPr>
          <w:szCs w:val="22"/>
        </w:rPr>
        <w:t xml:space="preserve">. </w:t>
      </w:r>
      <w:r w:rsidR="004945EF">
        <w:rPr>
          <w:szCs w:val="22"/>
        </w:rPr>
        <w:t xml:space="preserve"> </w:t>
      </w:r>
      <w:r w:rsidR="00832028" w:rsidRPr="00832028">
        <w:rPr>
          <w:szCs w:val="22"/>
        </w:rPr>
        <w:t>The response rate was high at 37</w:t>
      </w:r>
      <w:r w:rsidR="004945EF">
        <w:rPr>
          <w:szCs w:val="22"/>
        </w:rPr>
        <w:t> per cent</w:t>
      </w:r>
      <w:r w:rsidR="001114DA">
        <w:rPr>
          <w:szCs w:val="22"/>
        </w:rPr>
        <w:t xml:space="preserve"> in the Organization. </w:t>
      </w:r>
      <w:r w:rsidR="004945EF">
        <w:rPr>
          <w:szCs w:val="22"/>
        </w:rPr>
        <w:t xml:space="preserve"> </w:t>
      </w:r>
      <w:r w:rsidR="001114DA">
        <w:rPr>
          <w:szCs w:val="22"/>
        </w:rPr>
        <w:t>The s</w:t>
      </w:r>
      <w:r w:rsidR="00832028" w:rsidRPr="00832028">
        <w:rPr>
          <w:szCs w:val="22"/>
        </w:rPr>
        <w:t xml:space="preserve">urvey assessed physical and mental health, the COVID-19 pandemic experience, working patterns and office setup, domestic abuse and several other issues. </w:t>
      </w:r>
      <w:r w:rsidR="005F61E4">
        <w:rPr>
          <w:szCs w:val="22"/>
        </w:rPr>
        <w:t xml:space="preserve"> </w:t>
      </w:r>
      <w:r w:rsidR="001114DA">
        <w:rPr>
          <w:szCs w:val="22"/>
        </w:rPr>
        <w:t>The results highlighted</w:t>
      </w:r>
      <w:r w:rsidR="00832028" w:rsidRPr="00832028">
        <w:rPr>
          <w:szCs w:val="22"/>
        </w:rPr>
        <w:t xml:space="preserve"> that 43</w:t>
      </w:r>
      <w:r w:rsidR="005F61E4">
        <w:rPr>
          <w:szCs w:val="22"/>
        </w:rPr>
        <w:t> per cent</w:t>
      </w:r>
      <w:r w:rsidR="00832028" w:rsidRPr="00832028">
        <w:rPr>
          <w:szCs w:val="22"/>
        </w:rPr>
        <w:t xml:space="preserve"> of respondents fall in the medium/high health risk categories, as evaluated through a Health Risk Stratification method; </w:t>
      </w:r>
      <w:r w:rsidR="005F61E4">
        <w:rPr>
          <w:szCs w:val="22"/>
        </w:rPr>
        <w:t xml:space="preserve"> </w:t>
      </w:r>
      <w:r w:rsidR="00832028" w:rsidRPr="00832028">
        <w:rPr>
          <w:szCs w:val="22"/>
        </w:rPr>
        <w:t>39</w:t>
      </w:r>
      <w:r w:rsidR="005F61E4">
        <w:rPr>
          <w:szCs w:val="22"/>
        </w:rPr>
        <w:t> per cent</w:t>
      </w:r>
      <w:r w:rsidR="00832028" w:rsidRPr="00832028">
        <w:rPr>
          <w:szCs w:val="22"/>
        </w:rPr>
        <w:t xml:space="preserve"> reported that their physical health deteriorated and 39</w:t>
      </w:r>
      <w:r w:rsidR="005F61E4">
        <w:rPr>
          <w:szCs w:val="22"/>
        </w:rPr>
        <w:t> per cent</w:t>
      </w:r>
      <w:r w:rsidR="00832028" w:rsidRPr="00832028">
        <w:rPr>
          <w:szCs w:val="22"/>
        </w:rPr>
        <w:t xml:space="preserve"> that their mental health and wellbeing decreased significantly during the pandemic.</w:t>
      </w:r>
      <w:r w:rsidR="005F61E4">
        <w:rPr>
          <w:szCs w:val="22"/>
        </w:rPr>
        <w:t xml:space="preserve"> </w:t>
      </w:r>
      <w:r w:rsidR="00832028" w:rsidRPr="00832028">
        <w:rPr>
          <w:szCs w:val="22"/>
        </w:rPr>
        <w:t xml:space="preserve"> Many had inadequate health care during the pandemic. </w:t>
      </w:r>
      <w:r w:rsidR="005F61E4">
        <w:rPr>
          <w:szCs w:val="22"/>
        </w:rPr>
        <w:t xml:space="preserve"> </w:t>
      </w:r>
      <w:r w:rsidR="00832028" w:rsidRPr="002039D2">
        <w:rPr>
          <w:szCs w:val="22"/>
        </w:rPr>
        <w:t>In addition</w:t>
      </w:r>
      <w:r w:rsidR="002039D2">
        <w:rPr>
          <w:szCs w:val="22"/>
        </w:rPr>
        <w:t>,</w:t>
      </w:r>
      <w:r w:rsidR="00832028" w:rsidRPr="002039D2">
        <w:rPr>
          <w:szCs w:val="22"/>
        </w:rPr>
        <w:t xml:space="preserve"> and of </w:t>
      </w:r>
      <w:r w:rsidR="002039D2">
        <w:rPr>
          <w:szCs w:val="22"/>
        </w:rPr>
        <w:t xml:space="preserve">serious </w:t>
      </w:r>
      <w:r w:rsidR="00832028" w:rsidRPr="002039D2">
        <w:rPr>
          <w:szCs w:val="22"/>
        </w:rPr>
        <w:t>concern</w:t>
      </w:r>
      <w:r w:rsidR="00832028" w:rsidRPr="00832028">
        <w:rPr>
          <w:szCs w:val="22"/>
        </w:rPr>
        <w:t xml:space="preserve">, domestic abuse - also aggravated by the pandemic - </w:t>
      </w:r>
      <w:proofErr w:type="gramStart"/>
      <w:r w:rsidR="00832028" w:rsidRPr="00832028">
        <w:rPr>
          <w:szCs w:val="22"/>
        </w:rPr>
        <w:t>was reported</w:t>
      </w:r>
      <w:proofErr w:type="gramEnd"/>
      <w:r w:rsidR="00832028" w:rsidRPr="00832028">
        <w:rPr>
          <w:szCs w:val="22"/>
        </w:rPr>
        <w:t xml:space="preserve"> at surprisingly high levels (17</w:t>
      </w:r>
      <w:r w:rsidR="005F61E4">
        <w:rPr>
          <w:szCs w:val="22"/>
        </w:rPr>
        <w:t> per cent</w:t>
      </w:r>
      <w:r w:rsidR="00832028" w:rsidRPr="00832028">
        <w:rPr>
          <w:szCs w:val="22"/>
        </w:rPr>
        <w:t xml:space="preserve">). </w:t>
      </w:r>
      <w:r w:rsidR="005F61E4">
        <w:rPr>
          <w:szCs w:val="22"/>
        </w:rPr>
        <w:t xml:space="preserve"> </w:t>
      </w:r>
      <w:r w:rsidR="00832028" w:rsidRPr="00832028">
        <w:rPr>
          <w:szCs w:val="22"/>
        </w:rPr>
        <w:t xml:space="preserve">Overall, the prevailing complaints were body pain, work related stress, and mental health symptoms. </w:t>
      </w:r>
      <w:r w:rsidR="005F61E4">
        <w:rPr>
          <w:szCs w:val="22"/>
        </w:rPr>
        <w:t xml:space="preserve"> </w:t>
      </w:r>
      <w:r w:rsidR="00832028" w:rsidRPr="00832028">
        <w:rPr>
          <w:szCs w:val="22"/>
        </w:rPr>
        <w:t xml:space="preserve">High levels of stigma </w:t>
      </w:r>
      <w:r w:rsidR="002039D2">
        <w:rPr>
          <w:szCs w:val="22"/>
        </w:rPr>
        <w:t>surrounding</w:t>
      </w:r>
      <w:r w:rsidR="00D557B7">
        <w:rPr>
          <w:szCs w:val="22"/>
        </w:rPr>
        <w:t xml:space="preserve"> </w:t>
      </w:r>
      <w:r w:rsidR="00832028" w:rsidRPr="00832028">
        <w:rPr>
          <w:szCs w:val="22"/>
        </w:rPr>
        <w:t xml:space="preserve">mental health issues </w:t>
      </w:r>
      <w:proofErr w:type="gramStart"/>
      <w:r w:rsidR="00832028" w:rsidRPr="00832028">
        <w:rPr>
          <w:szCs w:val="22"/>
        </w:rPr>
        <w:t>were recorded</w:t>
      </w:r>
      <w:proofErr w:type="gramEnd"/>
      <w:r w:rsidR="00832028" w:rsidRPr="00832028">
        <w:rPr>
          <w:szCs w:val="22"/>
        </w:rPr>
        <w:t xml:space="preserve">. </w:t>
      </w:r>
      <w:r w:rsidR="005F61E4">
        <w:rPr>
          <w:szCs w:val="22"/>
        </w:rPr>
        <w:t xml:space="preserve"> </w:t>
      </w:r>
      <w:proofErr w:type="gramStart"/>
      <w:r w:rsidR="00832028" w:rsidRPr="00832028">
        <w:rPr>
          <w:szCs w:val="22"/>
        </w:rPr>
        <w:t xml:space="preserve">WIPO is </w:t>
      </w:r>
      <w:r w:rsidR="00832028" w:rsidRPr="002039D2">
        <w:rPr>
          <w:szCs w:val="22"/>
        </w:rPr>
        <w:t xml:space="preserve">planning </w:t>
      </w:r>
      <w:r w:rsidR="002039D2">
        <w:rPr>
          <w:szCs w:val="22"/>
        </w:rPr>
        <w:t xml:space="preserve">to conduct </w:t>
      </w:r>
      <w:r w:rsidR="00832028" w:rsidRPr="002039D2">
        <w:rPr>
          <w:szCs w:val="22"/>
        </w:rPr>
        <w:t>further analysis</w:t>
      </w:r>
      <w:r w:rsidR="00832028" w:rsidRPr="00832028">
        <w:rPr>
          <w:szCs w:val="22"/>
        </w:rPr>
        <w:t xml:space="preserve"> of the survey data along with UNHI, yearly or </w:t>
      </w:r>
      <w:r w:rsidR="005F61E4">
        <w:rPr>
          <w:szCs w:val="22"/>
        </w:rPr>
        <w:t>bi</w:t>
      </w:r>
      <w:r w:rsidR="005F61E4">
        <w:rPr>
          <w:szCs w:val="22"/>
        </w:rPr>
        <w:noBreakHyphen/>
      </w:r>
      <w:r w:rsidR="00832028" w:rsidRPr="00832028">
        <w:rPr>
          <w:szCs w:val="22"/>
        </w:rPr>
        <w:t>yearly resubmission of the survey to its staff and is working on a set of measures to address the findings in coming years.</w:t>
      </w:r>
      <w:proofErr w:type="gramEnd"/>
    </w:p>
    <w:p w14:paraId="5CE524A1" w14:textId="77777777" w:rsidR="00832028" w:rsidRPr="00832028" w:rsidRDefault="00832028" w:rsidP="00832028">
      <w:pPr>
        <w:pStyle w:val="ListParagraph"/>
        <w:ind w:left="0"/>
        <w:rPr>
          <w:szCs w:val="22"/>
        </w:rPr>
      </w:pPr>
    </w:p>
    <w:p w14:paraId="2682F4B6" w14:textId="7DDF97C3" w:rsidR="006B276A" w:rsidRDefault="00CD4202" w:rsidP="00CD4202">
      <w:pPr>
        <w:pStyle w:val="ListParagraph"/>
        <w:numPr>
          <w:ilvl w:val="0"/>
          <w:numId w:val="12"/>
        </w:numPr>
        <w:ind w:left="0" w:firstLine="0"/>
        <w:rPr>
          <w:szCs w:val="22"/>
        </w:rPr>
      </w:pPr>
      <w:r w:rsidRPr="00B05357">
        <w:rPr>
          <w:szCs w:val="22"/>
        </w:rPr>
        <w:t xml:space="preserve">Similarly, efforts </w:t>
      </w:r>
      <w:proofErr w:type="gramStart"/>
      <w:r w:rsidRPr="00B05357">
        <w:rPr>
          <w:szCs w:val="22"/>
        </w:rPr>
        <w:t>were pursued</w:t>
      </w:r>
      <w:proofErr w:type="gramEnd"/>
      <w:r w:rsidRPr="00B05357">
        <w:rPr>
          <w:szCs w:val="22"/>
        </w:rPr>
        <w:t xml:space="preserve"> to promote a respectful and harmonious workplace, </w:t>
      </w:r>
      <w:r>
        <w:rPr>
          <w:szCs w:val="22"/>
        </w:rPr>
        <w:t xml:space="preserve">with zero tolerance </w:t>
      </w:r>
      <w:r w:rsidR="00E2136A">
        <w:rPr>
          <w:szCs w:val="22"/>
        </w:rPr>
        <w:t>for</w:t>
      </w:r>
      <w:r w:rsidR="00E2136A" w:rsidRPr="002039D2">
        <w:rPr>
          <w:szCs w:val="22"/>
        </w:rPr>
        <w:t xml:space="preserve"> </w:t>
      </w:r>
      <w:r w:rsidRPr="002039D2">
        <w:rPr>
          <w:szCs w:val="22"/>
        </w:rPr>
        <w:t>harassment</w:t>
      </w:r>
      <w:r w:rsidRPr="00B05357">
        <w:rPr>
          <w:szCs w:val="22"/>
        </w:rPr>
        <w:t xml:space="preserve">. </w:t>
      </w:r>
      <w:r w:rsidR="00817DFA">
        <w:rPr>
          <w:szCs w:val="22"/>
        </w:rPr>
        <w:t xml:space="preserve"> </w:t>
      </w:r>
      <w:r w:rsidR="00E2136A">
        <w:rPr>
          <w:szCs w:val="22"/>
        </w:rPr>
        <w:t>Notably, t</w:t>
      </w:r>
      <w:r w:rsidRPr="00B05357">
        <w:rPr>
          <w:szCs w:val="22"/>
        </w:rPr>
        <w:t xml:space="preserve">he policy on workplace-related conflicts and grievances </w:t>
      </w:r>
      <w:proofErr w:type="gramStart"/>
      <w:r w:rsidRPr="00B05357">
        <w:rPr>
          <w:szCs w:val="22"/>
        </w:rPr>
        <w:t>was amended</w:t>
      </w:r>
      <w:proofErr w:type="gramEnd"/>
      <w:r w:rsidR="00E2136A">
        <w:rPr>
          <w:szCs w:val="22"/>
        </w:rPr>
        <w:t xml:space="preserve"> to remove</w:t>
      </w:r>
      <w:r w:rsidRPr="00B05357">
        <w:rPr>
          <w:szCs w:val="22"/>
        </w:rPr>
        <w:t xml:space="preserve"> </w:t>
      </w:r>
      <w:r w:rsidR="00E2136A" w:rsidRPr="00B05357">
        <w:rPr>
          <w:szCs w:val="22"/>
        </w:rPr>
        <w:t xml:space="preserve">the previous time limit of 90 days to submit a complaint </w:t>
      </w:r>
      <w:r w:rsidR="00E2136A">
        <w:rPr>
          <w:szCs w:val="22"/>
        </w:rPr>
        <w:t>of harassment (including sexual harassment), discrimination and/or abuse of authority</w:t>
      </w:r>
      <w:r w:rsidR="00E2136A" w:rsidRPr="00B05357">
        <w:rPr>
          <w:szCs w:val="22"/>
        </w:rPr>
        <w:t>. This change ensures consistency with the UN System Model Policy on Sexual Harassment</w:t>
      </w:r>
      <w:r w:rsidR="00E2136A" w:rsidRPr="00B05357">
        <w:rPr>
          <w:rFonts w:eastAsia="SimSun"/>
          <w:szCs w:val="22"/>
          <w:lang w:eastAsia="zh-CN"/>
        </w:rPr>
        <w:t xml:space="preserve"> </w:t>
      </w:r>
      <w:r w:rsidR="00E2136A" w:rsidRPr="00B05357">
        <w:rPr>
          <w:szCs w:val="22"/>
        </w:rPr>
        <w:t>issued by the Chief Executives Board for Coordination (CEB), which states that formal reports of sexual harassment should not be subject to deadlines.</w:t>
      </w:r>
      <w:r w:rsidR="00E2136A" w:rsidRPr="00B05357">
        <w:rPr>
          <w:rStyle w:val="FootnoteReference"/>
          <w:rFonts w:eastAsia="SimSun"/>
          <w:szCs w:val="22"/>
        </w:rPr>
        <w:footnoteReference w:id="9"/>
      </w:r>
      <w:r w:rsidR="00E2136A">
        <w:rPr>
          <w:szCs w:val="22"/>
        </w:rPr>
        <w:t xml:space="preserve"> The policy </w:t>
      </w:r>
      <w:proofErr w:type="gramStart"/>
      <w:r w:rsidR="00E2136A">
        <w:rPr>
          <w:szCs w:val="22"/>
        </w:rPr>
        <w:t>was also amended</w:t>
      </w:r>
      <w:proofErr w:type="gramEnd"/>
      <w:r w:rsidR="00E2136A">
        <w:rPr>
          <w:szCs w:val="22"/>
        </w:rPr>
        <w:t xml:space="preserve"> </w:t>
      </w:r>
      <w:r w:rsidRPr="00B05357">
        <w:rPr>
          <w:szCs w:val="22"/>
        </w:rPr>
        <w:t xml:space="preserve">to </w:t>
      </w:r>
      <w:r w:rsidR="008372A5">
        <w:rPr>
          <w:szCs w:val="22"/>
        </w:rPr>
        <w:t xml:space="preserve">ensure that </w:t>
      </w:r>
      <w:r w:rsidR="008372A5" w:rsidRPr="00295456">
        <w:rPr>
          <w:i/>
          <w:szCs w:val="22"/>
        </w:rPr>
        <w:t>all</w:t>
      </w:r>
      <w:r w:rsidR="008372A5">
        <w:rPr>
          <w:szCs w:val="22"/>
        </w:rPr>
        <w:t xml:space="preserve"> allegations of misconduct, including allegations of</w:t>
      </w:r>
      <w:r w:rsidRPr="00B05357">
        <w:rPr>
          <w:szCs w:val="22"/>
        </w:rPr>
        <w:t xml:space="preserve"> harassment</w:t>
      </w:r>
      <w:r w:rsidR="00E2136A">
        <w:rPr>
          <w:szCs w:val="22"/>
        </w:rPr>
        <w:t>, discrimination</w:t>
      </w:r>
      <w:r w:rsidRPr="00B05357">
        <w:rPr>
          <w:szCs w:val="22"/>
        </w:rPr>
        <w:t xml:space="preserve"> and/or abuse of authority </w:t>
      </w:r>
      <w:r w:rsidR="008372A5">
        <w:rPr>
          <w:szCs w:val="22"/>
        </w:rPr>
        <w:t xml:space="preserve">are referred </w:t>
      </w:r>
      <w:r w:rsidRPr="00B05357">
        <w:rPr>
          <w:szCs w:val="22"/>
        </w:rPr>
        <w:t>to the Internal Oversight Division</w:t>
      </w:r>
      <w:r w:rsidR="003064C9">
        <w:rPr>
          <w:szCs w:val="22"/>
        </w:rPr>
        <w:t xml:space="preserve"> (with the exception of allegations of retaliation, which remain with the Ethics Office)</w:t>
      </w:r>
      <w:r w:rsidRPr="00B05357">
        <w:rPr>
          <w:szCs w:val="22"/>
        </w:rPr>
        <w:t>.</w:t>
      </w:r>
      <w:r w:rsidRPr="00B05357">
        <w:rPr>
          <w:rStyle w:val="FootnoteReference"/>
          <w:rFonts w:eastAsia="SimSun"/>
          <w:szCs w:val="22"/>
        </w:rPr>
        <w:footnoteReference w:id="10"/>
      </w:r>
      <w:r w:rsidRPr="00B05357">
        <w:rPr>
          <w:szCs w:val="22"/>
        </w:rPr>
        <w:t xml:space="preserve"> </w:t>
      </w:r>
      <w:r w:rsidR="00817DFA">
        <w:rPr>
          <w:szCs w:val="22"/>
        </w:rPr>
        <w:t xml:space="preserve"> </w:t>
      </w:r>
    </w:p>
    <w:p w14:paraId="05CDFEC4" w14:textId="23F02F08" w:rsidR="00C74A9B" w:rsidRDefault="00C74A9B" w:rsidP="00C74A9B">
      <w:pPr>
        <w:rPr>
          <w:szCs w:val="22"/>
        </w:rPr>
      </w:pPr>
    </w:p>
    <w:p w14:paraId="50490E70" w14:textId="3523E626" w:rsidR="00C74A9B" w:rsidRDefault="00C74A9B" w:rsidP="00C74A9B">
      <w:pPr>
        <w:rPr>
          <w:szCs w:val="22"/>
        </w:rPr>
      </w:pPr>
    </w:p>
    <w:p w14:paraId="3D40FF92" w14:textId="5CEE0DF2" w:rsidR="00C74A9B" w:rsidRDefault="00C74A9B" w:rsidP="00C74A9B">
      <w:pPr>
        <w:rPr>
          <w:szCs w:val="22"/>
        </w:rPr>
      </w:pPr>
    </w:p>
    <w:p w14:paraId="3399E73D" w14:textId="0CF6DC99" w:rsidR="00C74A9B" w:rsidRDefault="00C74A9B" w:rsidP="00C74A9B">
      <w:pPr>
        <w:rPr>
          <w:szCs w:val="22"/>
        </w:rPr>
      </w:pPr>
    </w:p>
    <w:p w14:paraId="757992E6" w14:textId="0151B270" w:rsidR="00C74A9B" w:rsidRDefault="00C74A9B" w:rsidP="00C74A9B">
      <w:pPr>
        <w:rPr>
          <w:szCs w:val="22"/>
        </w:rPr>
      </w:pPr>
    </w:p>
    <w:p w14:paraId="363729C3" w14:textId="77777777" w:rsidR="00C74A9B" w:rsidRPr="00C74A9B" w:rsidRDefault="00C74A9B" w:rsidP="00C74A9B">
      <w:pPr>
        <w:rPr>
          <w:szCs w:val="22"/>
        </w:rPr>
      </w:pPr>
    </w:p>
    <w:p w14:paraId="3C83E3A6" w14:textId="4F528161" w:rsidR="00232979" w:rsidRPr="00B05357" w:rsidRDefault="00232979" w:rsidP="00232979">
      <w:pPr>
        <w:pStyle w:val="Heading3"/>
        <w:rPr>
          <w:i/>
          <w:szCs w:val="22"/>
          <w:u w:val="none"/>
        </w:rPr>
      </w:pPr>
      <w:r w:rsidRPr="00B05357">
        <w:rPr>
          <w:i/>
          <w:szCs w:val="22"/>
          <w:u w:val="none"/>
        </w:rPr>
        <w:lastRenderedPageBreak/>
        <w:t xml:space="preserve">Diversity </w:t>
      </w:r>
    </w:p>
    <w:p w14:paraId="2AC135CA" w14:textId="77777777" w:rsidR="00232979" w:rsidRPr="00B05357" w:rsidRDefault="00232979" w:rsidP="00232979">
      <w:pPr>
        <w:jc w:val="both"/>
        <w:rPr>
          <w:szCs w:val="22"/>
        </w:rPr>
      </w:pPr>
    </w:p>
    <w:p w14:paraId="45474FB8" w14:textId="1FE424B9" w:rsidR="00CD4202" w:rsidRPr="00295456" w:rsidRDefault="00AC1A26" w:rsidP="00C31A33">
      <w:pPr>
        <w:pStyle w:val="ListParagraph"/>
        <w:numPr>
          <w:ilvl w:val="0"/>
          <w:numId w:val="12"/>
        </w:numPr>
        <w:ind w:left="0" w:firstLine="0"/>
        <w:rPr>
          <w:rFonts w:ascii="Calibri" w:eastAsiaTheme="minorHAnsi" w:hAnsi="Calibri" w:cs="Calibri"/>
          <w:color w:val="000000"/>
          <w:lang w:eastAsia="zh-CN"/>
        </w:rPr>
      </w:pPr>
      <w:r w:rsidRPr="00B034D1">
        <w:rPr>
          <w:color w:val="000000"/>
        </w:rPr>
        <w:t xml:space="preserve">In 2021, WIPO completed 26 recruitments for temporary vacancies and 39 recruitments for fixed-term vacancies advertised in 2020 and 2021.  </w:t>
      </w:r>
      <w:r w:rsidR="00705756" w:rsidRPr="00B034D1">
        <w:rPr>
          <w:color w:val="000000"/>
        </w:rPr>
        <w:t>Out of the 39 recruitments for fixed-term positions, s</w:t>
      </w:r>
      <w:r w:rsidRPr="00B034D1">
        <w:rPr>
          <w:color w:val="000000"/>
        </w:rPr>
        <w:t xml:space="preserve">ixteen </w:t>
      </w:r>
      <w:r w:rsidR="00B034D1" w:rsidRPr="00B034D1">
        <w:rPr>
          <w:color w:val="000000"/>
        </w:rPr>
        <w:t>were</w:t>
      </w:r>
      <w:r w:rsidR="00423E1D">
        <w:rPr>
          <w:color w:val="000000"/>
        </w:rPr>
        <w:t xml:space="preserve"> </w:t>
      </w:r>
      <w:r w:rsidRPr="00B034D1">
        <w:rPr>
          <w:color w:val="000000"/>
        </w:rPr>
        <w:t>internal candidates</w:t>
      </w:r>
      <w:r w:rsidR="00705756" w:rsidRPr="00B034D1">
        <w:rPr>
          <w:color w:val="000000"/>
        </w:rPr>
        <w:t xml:space="preserve"> </w:t>
      </w:r>
      <w:r w:rsidR="00B034D1" w:rsidRPr="00B034D1">
        <w:rPr>
          <w:color w:val="000000"/>
        </w:rPr>
        <w:t xml:space="preserve">(permanent, continuing and </w:t>
      </w:r>
      <w:r w:rsidR="00782D4E">
        <w:rPr>
          <w:color w:val="000000"/>
        </w:rPr>
        <w:t>fixed-term contracts), 26 </w:t>
      </w:r>
      <w:r w:rsidR="00B034D1" w:rsidRPr="002473F6">
        <w:rPr>
          <w:color w:val="000000"/>
        </w:rPr>
        <w:t xml:space="preserve">when also including employees working for WIPO on other contracts. As regards to the sixteen internal selections, fifteen resulted in promotions out of which </w:t>
      </w:r>
      <w:r w:rsidR="00E64950">
        <w:rPr>
          <w:color w:val="000000"/>
        </w:rPr>
        <w:t>(53 per cent</w:t>
      </w:r>
      <w:r w:rsidRPr="00295456">
        <w:rPr>
          <w:color w:val="000000"/>
        </w:rPr>
        <w:t>) were female staff members</w:t>
      </w:r>
      <w:r w:rsidR="00705756" w:rsidRPr="00295456">
        <w:rPr>
          <w:color w:val="000000"/>
        </w:rPr>
        <w:t xml:space="preserve">.  </w:t>
      </w:r>
      <w:r w:rsidR="00423E1D">
        <w:rPr>
          <w:szCs w:val="22"/>
        </w:rPr>
        <w:t>A</w:t>
      </w:r>
      <w:r w:rsidR="00CD4202" w:rsidRPr="00295456">
        <w:rPr>
          <w:szCs w:val="22"/>
        </w:rPr>
        <w:t xml:space="preserve"> project is ongoing to update and improve WIPO’s recruitment pages on the </w:t>
      </w:r>
      <w:r w:rsidR="00834EC4" w:rsidRPr="00295456">
        <w:rPr>
          <w:szCs w:val="22"/>
        </w:rPr>
        <w:t>I</w:t>
      </w:r>
      <w:r w:rsidR="00CD4202" w:rsidRPr="00295456">
        <w:rPr>
          <w:szCs w:val="22"/>
        </w:rPr>
        <w:t xml:space="preserve">nternet.  By making  information easier to understand and more engaging, as well as adhering to best practices regarding accessibility for inclusion purposes, the aim of the project is to attract an even more diverse talent pool. </w:t>
      </w:r>
    </w:p>
    <w:p w14:paraId="4062512F" w14:textId="77777777" w:rsidR="00FF5842" w:rsidRPr="00B05357" w:rsidRDefault="00FF5842" w:rsidP="00295456">
      <w:pPr>
        <w:pStyle w:val="ListParagraph"/>
        <w:tabs>
          <w:tab w:val="left" w:pos="540"/>
        </w:tabs>
        <w:ind w:left="0"/>
        <w:rPr>
          <w:szCs w:val="22"/>
        </w:rPr>
      </w:pPr>
    </w:p>
    <w:p w14:paraId="71656E51" w14:textId="2AB1C4D2" w:rsidR="00CD4202" w:rsidRPr="00B7196C" w:rsidRDefault="00CD4202" w:rsidP="00CD4202">
      <w:pPr>
        <w:pStyle w:val="ListParagraph"/>
        <w:numPr>
          <w:ilvl w:val="0"/>
          <w:numId w:val="12"/>
        </w:numPr>
        <w:tabs>
          <w:tab w:val="left" w:pos="540"/>
        </w:tabs>
        <w:ind w:left="0" w:firstLine="0"/>
        <w:rPr>
          <w:szCs w:val="22"/>
        </w:rPr>
      </w:pPr>
      <w:r w:rsidRPr="00B7196C">
        <w:rPr>
          <w:szCs w:val="22"/>
        </w:rPr>
        <w:t>WIPO continues to work towards its gender parity targets and to ensure geographical diversity among its staf</w:t>
      </w:r>
      <w:r>
        <w:rPr>
          <w:szCs w:val="22"/>
        </w:rPr>
        <w:t>f</w:t>
      </w:r>
      <w:r w:rsidRPr="00B7196C">
        <w:rPr>
          <w:szCs w:val="22"/>
        </w:rPr>
        <w:t xml:space="preserve"> through various initiatives, particularly at senior levels. </w:t>
      </w:r>
      <w:r w:rsidR="009F16D1">
        <w:rPr>
          <w:szCs w:val="22"/>
        </w:rPr>
        <w:t xml:space="preserve"> </w:t>
      </w:r>
      <w:r w:rsidRPr="00B7196C">
        <w:rPr>
          <w:szCs w:val="22"/>
        </w:rPr>
        <w:t>WIPO, either directly and/or through its partner organizations, conducts outreach campaigns through various social media</w:t>
      </w:r>
      <w:r>
        <w:rPr>
          <w:szCs w:val="22"/>
        </w:rPr>
        <w:t xml:space="preserve"> channels</w:t>
      </w:r>
      <w:r w:rsidRPr="00B7196C">
        <w:rPr>
          <w:szCs w:val="22"/>
        </w:rPr>
        <w:t xml:space="preserve">, at times specifically </w:t>
      </w:r>
      <w:r>
        <w:rPr>
          <w:szCs w:val="22"/>
        </w:rPr>
        <w:t xml:space="preserve">tailored to </w:t>
      </w:r>
      <w:r w:rsidRPr="00B7196C">
        <w:rPr>
          <w:szCs w:val="22"/>
        </w:rPr>
        <w:t xml:space="preserve">female professionals. </w:t>
      </w:r>
      <w:r w:rsidR="009F16D1">
        <w:rPr>
          <w:szCs w:val="22"/>
        </w:rPr>
        <w:t xml:space="preserve"> </w:t>
      </w:r>
      <w:r w:rsidRPr="00B7196C">
        <w:rPr>
          <w:szCs w:val="22"/>
        </w:rPr>
        <w:t>It also enlists the services of executive search firms and participates in career fairs.</w:t>
      </w:r>
      <w:r w:rsidR="009F16D1">
        <w:rPr>
          <w:szCs w:val="22"/>
        </w:rPr>
        <w:t xml:space="preserve"> </w:t>
      </w:r>
      <w:r w:rsidRPr="00B7196C">
        <w:rPr>
          <w:szCs w:val="22"/>
        </w:rPr>
        <w:t xml:space="preserve"> In 2021, 978 female candidates submitted an expression of interest </w:t>
      </w:r>
      <w:r w:rsidR="00FF5842">
        <w:rPr>
          <w:szCs w:val="22"/>
        </w:rPr>
        <w:t>for</w:t>
      </w:r>
      <w:r w:rsidR="00FF5842" w:rsidRPr="00B7196C">
        <w:rPr>
          <w:szCs w:val="22"/>
        </w:rPr>
        <w:t xml:space="preserve"> </w:t>
      </w:r>
      <w:r w:rsidRPr="00B7196C">
        <w:rPr>
          <w:szCs w:val="22"/>
        </w:rPr>
        <w:t xml:space="preserve">our Senior Female Talent Pool alone, </w:t>
      </w:r>
      <w:r w:rsidRPr="00B034D1">
        <w:rPr>
          <w:szCs w:val="22"/>
        </w:rPr>
        <w:t>while 2,534 of the 4,444 professionals who submitted expressions of interest through all of our talent pools were women (57</w:t>
      </w:r>
      <w:r w:rsidR="009F16D1" w:rsidRPr="00B034D1">
        <w:rPr>
          <w:szCs w:val="22"/>
        </w:rPr>
        <w:t> per cent</w:t>
      </w:r>
      <w:r w:rsidRPr="00B034D1">
        <w:rPr>
          <w:szCs w:val="22"/>
        </w:rPr>
        <w:t>)</w:t>
      </w:r>
      <w:r w:rsidRPr="00B7196C">
        <w:rPr>
          <w:szCs w:val="22"/>
        </w:rPr>
        <w:t xml:space="preserve">. </w:t>
      </w:r>
      <w:r w:rsidR="009F16D1">
        <w:rPr>
          <w:szCs w:val="22"/>
        </w:rPr>
        <w:t xml:space="preserve"> </w:t>
      </w:r>
      <w:r w:rsidRPr="00B7196C">
        <w:rPr>
          <w:szCs w:val="22"/>
        </w:rPr>
        <w:t xml:space="preserve">In addition, WIPO’s Business Intelligence (BI) HR Dashboard has been further enhanced making immediate real time gender data available at the touch of a button so that staff and managers can see gender data quickly and easily. </w:t>
      </w:r>
      <w:r w:rsidR="002D4A34">
        <w:rPr>
          <w:szCs w:val="22"/>
        </w:rPr>
        <w:t xml:space="preserve"> </w:t>
      </w:r>
      <w:r w:rsidRPr="00B7196C">
        <w:rPr>
          <w:szCs w:val="22"/>
        </w:rPr>
        <w:t xml:space="preserve">WIPO </w:t>
      </w:r>
      <w:r>
        <w:rPr>
          <w:szCs w:val="22"/>
        </w:rPr>
        <w:t xml:space="preserve">also </w:t>
      </w:r>
      <w:r w:rsidRPr="00B7196C">
        <w:rPr>
          <w:szCs w:val="22"/>
        </w:rPr>
        <w:t>participated in three virtual career fairs in 2021</w:t>
      </w:r>
      <w:r w:rsidR="002039D2">
        <w:rPr>
          <w:szCs w:val="22"/>
        </w:rPr>
        <w:t>,</w:t>
      </w:r>
      <w:r w:rsidRPr="00B7196C">
        <w:rPr>
          <w:szCs w:val="22"/>
        </w:rPr>
        <w:t xml:space="preserve"> </w:t>
      </w:r>
      <w:r w:rsidR="002039D2">
        <w:rPr>
          <w:szCs w:val="22"/>
        </w:rPr>
        <w:t>o</w:t>
      </w:r>
      <w:r w:rsidRPr="002039D2">
        <w:rPr>
          <w:szCs w:val="22"/>
        </w:rPr>
        <w:t xml:space="preserve">ne </w:t>
      </w:r>
      <w:r w:rsidR="002039D2">
        <w:rPr>
          <w:szCs w:val="22"/>
        </w:rPr>
        <w:t xml:space="preserve">of which </w:t>
      </w:r>
      <w:proofErr w:type="gramStart"/>
      <w:r w:rsidR="002039D2">
        <w:rPr>
          <w:szCs w:val="22"/>
        </w:rPr>
        <w:t xml:space="preserve">was </w:t>
      </w:r>
      <w:r w:rsidRPr="002039D2">
        <w:rPr>
          <w:szCs w:val="22"/>
        </w:rPr>
        <w:t>targeted</w:t>
      </w:r>
      <w:proofErr w:type="gramEnd"/>
      <w:r w:rsidRPr="002039D2">
        <w:rPr>
          <w:szCs w:val="22"/>
        </w:rPr>
        <w:t xml:space="preserve"> on the Middle East and North Africa region</w:t>
      </w:r>
      <w:r w:rsidR="002039D2">
        <w:rPr>
          <w:szCs w:val="22"/>
        </w:rPr>
        <w:t>,</w:t>
      </w:r>
      <w:r w:rsidRPr="002039D2">
        <w:rPr>
          <w:szCs w:val="22"/>
        </w:rPr>
        <w:t xml:space="preserve"> </w:t>
      </w:r>
      <w:r w:rsidR="002039D2">
        <w:rPr>
          <w:szCs w:val="22"/>
        </w:rPr>
        <w:t>with the other</w:t>
      </w:r>
      <w:r w:rsidRPr="002039D2">
        <w:rPr>
          <w:szCs w:val="22"/>
        </w:rPr>
        <w:t xml:space="preserve"> two </w:t>
      </w:r>
      <w:r w:rsidR="002039D2">
        <w:rPr>
          <w:szCs w:val="22"/>
        </w:rPr>
        <w:t>on</w:t>
      </w:r>
      <w:r w:rsidRPr="002039D2">
        <w:rPr>
          <w:szCs w:val="22"/>
        </w:rPr>
        <w:t xml:space="preserve"> global outreach</w:t>
      </w:r>
      <w:r w:rsidRPr="00B7196C">
        <w:rPr>
          <w:szCs w:val="22"/>
        </w:rPr>
        <w:t xml:space="preserve">. </w:t>
      </w:r>
      <w:r w:rsidR="002D4A34">
        <w:rPr>
          <w:szCs w:val="22"/>
        </w:rPr>
        <w:t xml:space="preserve"> </w:t>
      </w:r>
    </w:p>
    <w:p w14:paraId="5B460B64" w14:textId="77777777" w:rsidR="00CD4202" w:rsidRPr="00B05357" w:rsidRDefault="00CD4202" w:rsidP="00CD4202">
      <w:pPr>
        <w:pStyle w:val="ListParagraph"/>
        <w:tabs>
          <w:tab w:val="left" w:pos="540"/>
        </w:tabs>
        <w:ind w:left="0"/>
        <w:rPr>
          <w:szCs w:val="22"/>
        </w:rPr>
      </w:pPr>
    </w:p>
    <w:p w14:paraId="292FDFCF" w14:textId="4E657668" w:rsidR="00CD4202" w:rsidRDefault="00CD4202" w:rsidP="00CD4202">
      <w:pPr>
        <w:pStyle w:val="ListParagraph"/>
        <w:numPr>
          <w:ilvl w:val="0"/>
          <w:numId w:val="12"/>
        </w:numPr>
        <w:tabs>
          <w:tab w:val="left" w:pos="540"/>
        </w:tabs>
        <w:ind w:left="0" w:firstLine="0"/>
        <w:rPr>
          <w:szCs w:val="22"/>
        </w:rPr>
      </w:pPr>
      <w:r w:rsidRPr="00F21EF3">
        <w:rPr>
          <w:szCs w:val="22"/>
        </w:rPr>
        <w:t>WIPO further strengthened its Focal Points Initiative</w:t>
      </w:r>
      <w:r w:rsidRPr="00B05357">
        <w:rPr>
          <w:rStyle w:val="FootnoteReference"/>
          <w:szCs w:val="22"/>
        </w:rPr>
        <w:footnoteReference w:id="11"/>
      </w:r>
      <w:r w:rsidR="00997DE5">
        <w:rPr>
          <w:szCs w:val="22"/>
        </w:rPr>
        <w:t>,</w:t>
      </w:r>
      <w:r w:rsidRPr="00F21EF3">
        <w:rPr>
          <w:szCs w:val="22"/>
        </w:rPr>
        <w:t xml:space="preserve"> which aims at attracting a diverse candidate pool </w:t>
      </w:r>
      <w:r w:rsidRPr="002039D2">
        <w:rPr>
          <w:szCs w:val="22"/>
        </w:rPr>
        <w:t>to</w:t>
      </w:r>
      <w:r w:rsidRPr="00F21EF3">
        <w:rPr>
          <w:szCs w:val="22"/>
        </w:rPr>
        <w:t xml:space="preserve"> </w:t>
      </w:r>
      <w:r w:rsidR="002039D2">
        <w:rPr>
          <w:szCs w:val="22"/>
        </w:rPr>
        <w:t xml:space="preserve">apply to </w:t>
      </w:r>
      <w:r w:rsidRPr="00F21EF3">
        <w:rPr>
          <w:szCs w:val="22"/>
        </w:rPr>
        <w:t>vacancies, especially candidates from un- and underrepresented Member States.  Eight capacity</w:t>
      </w:r>
      <w:r w:rsidR="00FF5842">
        <w:rPr>
          <w:szCs w:val="22"/>
        </w:rPr>
        <w:t>-</w:t>
      </w:r>
      <w:r w:rsidRPr="00F21EF3">
        <w:rPr>
          <w:szCs w:val="22"/>
        </w:rPr>
        <w:t xml:space="preserve">building presentations </w:t>
      </w:r>
      <w:proofErr w:type="gramStart"/>
      <w:r w:rsidRPr="00F21EF3">
        <w:rPr>
          <w:szCs w:val="22"/>
        </w:rPr>
        <w:t>were made</w:t>
      </w:r>
      <w:proofErr w:type="gramEnd"/>
      <w:r w:rsidRPr="00F21EF3">
        <w:rPr>
          <w:szCs w:val="22"/>
        </w:rPr>
        <w:t xml:space="preserve"> to in-country focal points during 2021.  Several information</w:t>
      </w:r>
      <w:r w:rsidR="00FF5842">
        <w:rPr>
          <w:szCs w:val="22"/>
        </w:rPr>
        <w:t>-</w:t>
      </w:r>
      <w:r w:rsidRPr="00F21EF3">
        <w:rPr>
          <w:szCs w:val="22"/>
        </w:rPr>
        <w:t xml:space="preserve">sharing meetings </w:t>
      </w:r>
      <w:proofErr w:type="gramStart"/>
      <w:r w:rsidRPr="00F21EF3">
        <w:rPr>
          <w:szCs w:val="22"/>
        </w:rPr>
        <w:t>were held</w:t>
      </w:r>
      <w:proofErr w:type="gramEnd"/>
      <w:r w:rsidRPr="00F21EF3">
        <w:rPr>
          <w:szCs w:val="22"/>
        </w:rPr>
        <w:t xml:space="preserve"> with </w:t>
      </w:r>
      <w:r w:rsidR="004972F3">
        <w:rPr>
          <w:szCs w:val="22"/>
        </w:rPr>
        <w:t>Permanent M</w:t>
      </w:r>
      <w:r w:rsidRPr="00F21EF3">
        <w:rPr>
          <w:szCs w:val="22"/>
        </w:rPr>
        <w:t>issions who are also considering actively participating in this initiative.</w:t>
      </w:r>
      <w:r w:rsidR="004972F3">
        <w:rPr>
          <w:szCs w:val="22"/>
        </w:rPr>
        <w:t xml:space="preserve"> </w:t>
      </w:r>
      <w:r w:rsidR="002D4A34">
        <w:rPr>
          <w:szCs w:val="22"/>
        </w:rPr>
        <w:t xml:space="preserve"> </w:t>
      </w:r>
      <w:r w:rsidR="004972F3">
        <w:rPr>
          <w:szCs w:val="22"/>
        </w:rPr>
        <w:t xml:space="preserve">In 2022, HRMD intends </w:t>
      </w:r>
      <w:r w:rsidR="005F030F">
        <w:rPr>
          <w:szCs w:val="22"/>
        </w:rPr>
        <w:t xml:space="preserve">to </w:t>
      </w:r>
      <w:r w:rsidR="004972F3">
        <w:rPr>
          <w:szCs w:val="22"/>
        </w:rPr>
        <w:t>conduct a survey amongst all focal points to ascertain what is working well, shar</w:t>
      </w:r>
      <w:r w:rsidR="00FF5842">
        <w:rPr>
          <w:szCs w:val="22"/>
        </w:rPr>
        <w:t>e</w:t>
      </w:r>
      <w:r w:rsidR="004972F3">
        <w:rPr>
          <w:szCs w:val="22"/>
        </w:rPr>
        <w:t xml:space="preserve"> best practices and thereby build capacity internally amongst the focal points of the network.</w:t>
      </w:r>
    </w:p>
    <w:p w14:paraId="142EC3C9" w14:textId="148E1048" w:rsidR="004972F3" w:rsidRPr="00F21EF3" w:rsidRDefault="004972F3" w:rsidP="004972F3">
      <w:pPr>
        <w:pStyle w:val="ListParagraph"/>
        <w:tabs>
          <w:tab w:val="left" w:pos="540"/>
        </w:tabs>
        <w:ind w:left="0"/>
        <w:rPr>
          <w:szCs w:val="22"/>
        </w:rPr>
      </w:pPr>
    </w:p>
    <w:p w14:paraId="09E7671D" w14:textId="320E4826" w:rsidR="00CD4202" w:rsidRPr="004972F3" w:rsidRDefault="00CD4202" w:rsidP="00CD4202">
      <w:pPr>
        <w:pStyle w:val="ListParagraph"/>
        <w:numPr>
          <w:ilvl w:val="0"/>
          <w:numId w:val="12"/>
        </w:numPr>
        <w:tabs>
          <w:tab w:val="left" w:pos="540"/>
        </w:tabs>
        <w:ind w:left="0" w:firstLine="0"/>
        <w:rPr>
          <w:szCs w:val="22"/>
        </w:rPr>
      </w:pPr>
      <w:r w:rsidRPr="00B05357">
        <w:rPr>
          <w:szCs w:val="22"/>
        </w:rPr>
        <w:t xml:space="preserve">Furthermore, a new </w:t>
      </w:r>
      <w:hyperlink r:id="rId14" w:history="1">
        <w:r w:rsidRPr="00B05357">
          <w:rPr>
            <w:rStyle w:val="Hyperlink"/>
            <w:szCs w:val="22"/>
          </w:rPr>
          <w:t>Young Experts Program</w:t>
        </w:r>
      </w:hyperlink>
      <w:r w:rsidRPr="00B05357">
        <w:rPr>
          <w:szCs w:val="22"/>
        </w:rPr>
        <w:t xml:space="preserve"> (YEP) </w:t>
      </w:r>
      <w:proofErr w:type="gramStart"/>
      <w:r w:rsidRPr="00B05357">
        <w:rPr>
          <w:szCs w:val="22"/>
        </w:rPr>
        <w:t>was developed</w:t>
      </w:r>
      <w:proofErr w:type="gramEnd"/>
      <w:r w:rsidRPr="00B05357">
        <w:rPr>
          <w:szCs w:val="22"/>
        </w:rPr>
        <w:t xml:space="preserve"> in 2021 to train the next generation of global IP leaders </w:t>
      </w:r>
      <w:r w:rsidR="00C231F5">
        <w:rPr>
          <w:szCs w:val="22"/>
        </w:rPr>
        <w:t xml:space="preserve">under the age of 35 </w:t>
      </w:r>
      <w:r w:rsidRPr="00B05357">
        <w:rPr>
          <w:szCs w:val="22"/>
        </w:rPr>
        <w:t xml:space="preserve">to help build innovation ecosystems around the world.  </w:t>
      </w:r>
      <w:r w:rsidR="002D4A34">
        <w:rPr>
          <w:szCs w:val="22"/>
        </w:rPr>
        <w:t>YEP </w:t>
      </w:r>
      <w:r w:rsidRPr="00B05357">
        <w:rPr>
          <w:szCs w:val="22"/>
        </w:rPr>
        <w:t xml:space="preserve">is </w:t>
      </w:r>
      <w:r w:rsidR="005F030F">
        <w:rPr>
          <w:szCs w:val="22"/>
        </w:rPr>
        <w:t xml:space="preserve">a </w:t>
      </w:r>
      <w:r w:rsidR="00FF5842">
        <w:rPr>
          <w:szCs w:val="22"/>
        </w:rPr>
        <w:t>two</w:t>
      </w:r>
      <w:r w:rsidRPr="00B05357">
        <w:rPr>
          <w:szCs w:val="22"/>
        </w:rPr>
        <w:t xml:space="preserve">-year program for talented young experts </w:t>
      </w:r>
      <w:r w:rsidRPr="002039D2">
        <w:rPr>
          <w:szCs w:val="22"/>
        </w:rPr>
        <w:t xml:space="preserve">to not only understand the technical aspects of IP, but </w:t>
      </w:r>
      <w:proofErr w:type="gramStart"/>
      <w:r w:rsidR="002039D2">
        <w:rPr>
          <w:szCs w:val="22"/>
        </w:rPr>
        <w:t xml:space="preserve">to </w:t>
      </w:r>
      <w:r w:rsidRPr="002039D2">
        <w:rPr>
          <w:szCs w:val="22"/>
        </w:rPr>
        <w:t>also apply</w:t>
      </w:r>
      <w:proofErr w:type="gramEnd"/>
      <w:r w:rsidRPr="002039D2">
        <w:rPr>
          <w:szCs w:val="22"/>
        </w:rPr>
        <w:t xml:space="preserve"> them in practice</w:t>
      </w:r>
      <w:r w:rsidRPr="00B05357">
        <w:rPr>
          <w:szCs w:val="22"/>
        </w:rPr>
        <w:t xml:space="preserve">.  The Program </w:t>
      </w:r>
      <w:proofErr w:type="gramStart"/>
      <w:r w:rsidRPr="00B05357">
        <w:rPr>
          <w:szCs w:val="22"/>
        </w:rPr>
        <w:t>was launched</w:t>
      </w:r>
      <w:proofErr w:type="gramEnd"/>
      <w:r w:rsidRPr="00B05357">
        <w:rPr>
          <w:szCs w:val="22"/>
        </w:rPr>
        <w:t xml:space="preserve"> in November 2021 </w:t>
      </w:r>
      <w:r w:rsidRPr="00B05357">
        <w:rPr>
          <w:color w:val="000000"/>
          <w:szCs w:val="22"/>
        </w:rPr>
        <w:t>and attracted some 4,000 ap</w:t>
      </w:r>
      <w:bookmarkStart w:id="5" w:name="_GoBack"/>
      <w:bookmarkEnd w:id="5"/>
      <w:r w:rsidRPr="00B05357">
        <w:rPr>
          <w:color w:val="000000"/>
          <w:szCs w:val="22"/>
        </w:rPr>
        <w:t xml:space="preserve">plicants, including more than 1,500 from Africa, 400 from Latin America and the Caribbean, almost 900 from Asia and Pacific, 350 from Eastern and Central Europe and Central Asia and over 200 from the Middle East.  Eleven young and diverse professionals (six female, five male) </w:t>
      </w:r>
      <w:proofErr w:type="gramStart"/>
      <w:r w:rsidRPr="00B05357">
        <w:rPr>
          <w:color w:val="000000"/>
          <w:szCs w:val="22"/>
        </w:rPr>
        <w:t>were selected</w:t>
      </w:r>
      <w:proofErr w:type="gramEnd"/>
      <w:r w:rsidRPr="00B05357">
        <w:rPr>
          <w:color w:val="000000"/>
          <w:szCs w:val="22"/>
        </w:rPr>
        <w:t xml:space="preserve"> in December 2021 to start the pilot program in early 2022.</w:t>
      </w:r>
    </w:p>
    <w:p w14:paraId="1B50DFA2" w14:textId="77777777" w:rsidR="004972F3" w:rsidRPr="004972F3" w:rsidRDefault="004972F3" w:rsidP="004972F3">
      <w:pPr>
        <w:pStyle w:val="ListParagraph"/>
        <w:rPr>
          <w:szCs w:val="22"/>
        </w:rPr>
      </w:pPr>
    </w:p>
    <w:p w14:paraId="61275225" w14:textId="0CD27E2B" w:rsidR="004972F3" w:rsidRPr="00C74A9B" w:rsidRDefault="004972F3" w:rsidP="00CD4202">
      <w:pPr>
        <w:pStyle w:val="ListParagraph"/>
        <w:numPr>
          <w:ilvl w:val="0"/>
          <w:numId w:val="12"/>
        </w:numPr>
        <w:tabs>
          <w:tab w:val="left" w:pos="540"/>
        </w:tabs>
        <w:ind w:left="0" w:firstLine="0"/>
        <w:rPr>
          <w:szCs w:val="22"/>
        </w:rPr>
      </w:pPr>
      <w:proofErr w:type="gramStart"/>
      <w:r w:rsidRPr="00441EF3">
        <w:rPr>
          <w:color w:val="000000"/>
          <w:szCs w:val="22"/>
        </w:rPr>
        <w:t>Lessons learn</w:t>
      </w:r>
      <w:r w:rsidR="005F030F">
        <w:rPr>
          <w:color w:val="000000"/>
          <w:szCs w:val="22"/>
        </w:rPr>
        <w:t>ed</w:t>
      </w:r>
      <w:r w:rsidRPr="00441EF3">
        <w:rPr>
          <w:color w:val="000000"/>
          <w:szCs w:val="22"/>
        </w:rPr>
        <w:t xml:space="preserve"> </w:t>
      </w:r>
      <w:r>
        <w:rPr>
          <w:color w:val="000000"/>
          <w:szCs w:val="22"/>
        </w:rPr>
        <w:t>from the YEP</w:t>
      </w:r>
      <w:r w:rsidRPr="00441EF3">
        <w:rPr>
          <w:color w:val="000000"/>
          <w:szCs w:val="22"/>
        </w:rPr>
        <w:t xml:space="preserve"> include allowing more lead time for the advertisement and selection process</w:t>
      </w:r>
      <w:r>
        <w:rPr>
          <w:color w:val="000000"/>
          <w:szCs w:val="22"/>
        </w:rPr>
        <w:t>,</w:t>
      </w:r>
      <w:r w:rsidRPr="00441EF3">
        <w:rPr>
          <w:color w:val="000000"/>
          <w:szCs w:val="22"/>
        </w:rPr>
        <w:t xml:space="preserve"> i.e. advertising much earlier in the year</w:t>
      </w:r>
      <w:r>
        <w:rPr>
          <w:color w:val="000000"/>
          <w:szCs w:val="22"/>
        </w:rPr>
        <w:t>,</w:t>
      </w:r>
      <w:r w:rsidRPr="00441EF3">
        <w:rPr>
          <w:color w:val="000000"/>
          <w:szCs w:val="22"/>
        </w:rPr>
        <w:t xml:space="preserve"> providing more clarity and information regarding the program upfront for interested candidates to review</w:t>
      </w:r>
      <w:r>
        <w:rPr>
          <w:color w:val="000000"/>
          <w:szCs w:val="22"/>
        </w:rPr>
        <w:t>,</w:t>
      </w:r>
      <w:r w:rsidRPr="00441EF3">
        <w:rPr>
          <w:color w:val="000000"/>
          <w:szCs w:val="22"/>
        </w:rPr>
        <w:t xml:space="preserve"> allowing for more contact with the hiring manage</w:t>
      </w:r>
      <w:r>
        <w:rPr>
          <w:color w:val="000000"/>
          <w:szCs w:val="22"/>
        </w:rPr>
        <w:t>rs during the selection process</w:t>
      </w:r>
      <w:r w:rsidR="00FF5842">
        <w:rPr>
          <w:color w:val="000000"/>
          <w:szCs w:val="22"/>
        </w:rPr>
        <w:t>,</w:t>
      </w:r>
      <w:r>
        <w:rPr>
          <w:color w:val="000000"/>
          <w:szCs w:val="22"/>
        </w:rPr>
        <w:t xml:space="preserve"> as well as</w:t>
      </w:r>
      <w:r w:rsidRPr="00441EF3">
        <w:rPr>
          <w:color w:val="000000"/>
          <w:szCs w:val="22"/>
        </w:rPr>
        <w:t xml:space="preserve"> providing more support (and earlier) to selected Young Experts prior to their arrival in Geneva</w:t>
      </w:r>
      <w:r w:rsidR="005F030F">
        <w:rPr>
          <w:color w:val="000000"/>
          <w:szCs w:val="22"/>
        </w:rPr>
        <w:t>,</w:t>
      </w:r>
      <w:r w:rsidRPr="00441EF3">
        <w:rPr>
          <w:color w:val="000000"/>
          <w:szCs w:val="22"/>
        </w:rPr>
        <w:t xml:space="preserve"> particularly regarding accommodation and navigating the formal administrative formalities with the relevant Swiss authorities</w:t>
      </w:r>
      <w:r w:rsidR="00C231F5">
        <w:rPr>
          <w:color w:val="000000"/>
          <w:szCs w:val="22"/>
        </w:rPr>
        <w:t>.</w:t>
      </w:r>
      <w:proofErr w:type="gramEnd"/>
      <w:r w:rsidR="00C231F5">
        <w:rPr>
          <w:color w:val="000000"/>
          <w:szCs w:val="22"/>
        </w:rPr>
        <w:t xml:space="preserve"> </w:t>
      </w:r>
    </w:p>
    <w:p w14:paraId="023EDF43" w14:textId="41B916B3" w:rsidR="00C74A9B" w:rsidRDefault="00C74A9B" w:rsidP="00C74A9B">
      <w:pPr>
        <w:tabs>
          <w:tab w:val="left" w:pos="540"/>
        </w:tabs>
        <w:rPr>
          <w:szCs w:val="22"/>
        </w:rPr>
      </w:pPr>
    </w:p>
    <w:p w14:paraId="74A8AB03" w14:textId="77777777" w:rsidR="00C74A9B" w:rsidRPr="00C74A9B" w:rsidRDefault="00C74A9B" w:rsidP="00C74A9B">
      <w:pPr>
        <w:tabs>
          <w:tab w:val="left" w:pos="540"/>
        </w:tabs>
        <w:rPr>
          <w:szCs w:val="22"/>
        </w:rPr>
      </w:pPr>
    </w:p>
    <w:p w14:paraId="675C3375" w14:textId="62D846E0" w:rsidR="00C231F5" w:rsidRPr="00B05357" w:rsidRDefault="00C231F5" w:rsidP="00295456">
      <w:pPr>
        <w:pStyle w:val="ListParagraph"/>
        <w:tabs>
          <w:tab w:val="left" w:pos="540"/>
        </w:tabs>
        <w:ind w:left="0"/>
        <w:rPr>
          <w:szCs w:val="22"/>
        </w:rPr>
      </w:pPr>
      <w:r w:rsidRPr="00B05357">
        <w:rPr>
          <w:i/>
          <w:szCs w:val="22"/>
        </w:rPr>
        <w:lastRenderedPageBreak/>
        <w:t>Inclusion</w:t>
      </w:r>
    </w:p>
    <w:p w14:paraId="0D6B7A3C" w14:textId="77777777" w:rsidR="00CD4202" w:rsidRPr="00B05357" w:rsidRDefault="00CD4202" w:rsidP="00CD4202">
      <w:pPr>
        <w:pStyle w:val="ListParagraph"/>
        <w:tabs>
          <w:tab w:val="left" w:pos="540"/>
        </w:tabs>
        <w:ind w:left="0"/>
        <w:rPr>
          <w:szCs w:val="22"/>
        </w:rPr>
      </w:pPr>
    </w:p>
    <w:p w14:paraId="4A5E8C29" w14:textId="433B293E" w:rsidR="00232979" w:rsidRPr="007A5530" w:rsidRDefault="00C231F5" w:rsidP="00CD4202">
      <w:pPr>
        <w:pStyle w:val="ListParagraph"/>
        <w:numPr>
          <w:ilvl w:val="0"/>
          <w:numId w:val="12"/>
        </w:numPr>
        <w:tabs>
          <w:tab w:val="left" w:pos="540"/>
        </w:tabs>
        <w:ind w:left="0" w:firstLine="0"/>
        <w:rPr>
          <w:szCs w:val="22"/>
        </w:rPr>
      </w:pPr>
      <w:r>
        <w:rPr>
          <w:szCs w:val="22"/>
        </w:rPr>
        <w:t>I</w:t>
      </w:r>
      <w:r w:rsidR="00CD4202" w:rsidRPr="00B05357">
        <w:rPr>
          <w:szCs w:val="22"/>
        </w:rPr>
        <w:t xml:space="preserve">n 2021, WIPO </w:t>
      </w:r>
      <w:r w:rsidR="00CD4202">
        <w:rPr>
          <w:szCs w:val="22"/>
        </w:rPr>
        <w:t xml:space="preserve">began work on </w:t>
      </w:r>
      <w:r w:rsidR="00CD4202" w:rsidRPr="00B05357">
        <w:rPr>
          <w:szCs w:val="22"/>
        </w:rPr>
        <w:t xml:space="preserve">its first </w:t>
      </w:r>
      <w:r w:rsidR="00CD4202" w:rsidRPr="002039D2">
        <w:rPr>
          <w:szCs w:val="22"/>
        </w:rPr>
        <w:t>Disability Inclusion Strategy, to comply with UN system-wide requirements as spel</w:t>
      </w:r>
      <w:r w:rsidR="00725C8C">
        <w:rPr>
          <w:szCs w:val="22"/>
        </w:rPr>
        <w:t>led</w:t>
      </w:r>
      <w:r w:rsidR="00CD4202" w:rsidRPr="002039D2">
        <w:rPr>
          <w:szCs w:val="22"/>
        </w:rPr>
        <w:t xml:space="preserve"> out in the </w:t>
      </w:r>
      <w:r w:rsidR="002039D2">
        <w:rPr>
          <w:szCs w:val="22"/>
        </w:rPr>
        <w:t xml:space="preserve">wider </w:t>
      </w:r>
      <w:r w:rsidR="00CD4202" w:rsidRPr="002039D2">
        <w:rPr>
          <w:szCs w:val="22"/>
        </w:rPr>
        <w:t>UN Disability Inclusion Strategy</w:t>
      </w:r>
      <w:r w:rsidR="002D4A34" w:rsidRPr="00B05357">
        <w:rPr>
          <w:szCs w:val="22"/>
        </w:rPr>
        <w:t>.</w:t>
      </w:r>
      <w:r w:rsidR="002D4A34">
        <w:rPr>
          <w:szCs w:val="22"/>
        </w:rPr>
        <w:t xml:space="preserve"> </w:t>
      </w:r>
      <w:r w:rsidR="00CD4202" w:rsidRPr="00B05357">
        <w:rPr>
          <w:szCs w:val="22"/>
        </w:rPr>
        <w:t xml:space="preserve">WIPO’s disability inclusion work will build on and strengthen initiatives that </w:t>
      </w:r>
      <w:proofErr w:type="gramStart"/>
      <w:r w:rsidR="00CD4202" w:rsidRPr="00B05357">
        <w:rPr>
          <w:szCs w:val="22"/>
        </w:rPr>
        <w:t>have already been put</w:t>
      </w:r>
      <w:proofErr w:type="gramEnd"/>
      <w:r w:rsidR="00CD4202" w:rsidRPr="00B05357">
        <w:rPr>
          <w:szCs w:val="22"/>
        </w:rPr>
        <w:t xml:space="preserve"> in place in the past, notably the improved physical accessibility of WIPO’s premises and the “Accessible Books Consortium” initiative (ABC). </w:t>
      </w:r>
      <w:r w:rsidR="002D4A34">
        <w:rPr>
          <w:szCs w:val="22"/>
        </w:rPr>
        <w:t xml:space="preserve"> </w:t>
      </w:r>
      <w:r w:rsidR="00CD4202" w:rsidRPr="00B05357">
        <w:rPr>
          <w:szCs w:val="22"/>
        </w:rPr>
        <w:t xml:space="preserve">Through these initiatives, WIPO has developed good relationships with Organizations of People Living with Disability, in particular those representing </w:t>
      </w:r>
      <w:r w:rsidR="00CD4202" w:rsidRPr="0031425E">
        <w:rPr>
          <w:szCs w:val="22"/>
        </w:rPr>
        <w:t xml:space="preserve">blind and </w:t>
      </w:r>
      <w:r w:rsidR="0031425E">
        <w:rPr>
          <w:szCs w:val="22"/>
        </w:rPr>
        <w:t>visually impaired</w:t>
      </w:r>
      <w:r w:rsidR="00CD4202" w:rsidRPr="00B05357">
        <w:rPr>
          <w:szCs w:val="22"/>
        </w:rPr>
        <w:t xml:space="preserve"> persons</w:t>
      </w:r>
      <w:r w:rsidR="007A5530" w:rsidRPr="007A5530">
        <w:rPr>
          <w:szCs w:val="22"/>
        </w:rPr>
        <w:t>.</w:t>
      </w:r>
      <w:r w:rsidR="00581D81">
        <w:rPr>
          <w:szCs w:val="22"/>
        </w:rPr>
        <w:t xml:space="preserve"> </w:t>
      </w:r>
      <w:r w:rsidR="002D4A34">
        <w:rPr>
          <w:szCs w:val="22"/>
        </w:rPr>
        <w:t xml:space="preserve"> </w:t>
      </w:r>
      <w:proofErr w:type="gramStart"/>
      <w:r w:rsidR="00581D81">
        <w:rPr>
          <w:szCs w:val="22"/>
        </w:rPr>
        <w:t>Also</w:t>
      </w:r>
      <w:proofErr w:type="gramEnd"/>
      <w:r w:rsidR="00581D81">
        <w:rPr>
          <w:szCs w:val="22"/>
        </w:rPr>
        <w:t xml:space="preserve">, </w:t>
      </w:r>
      <w:r w:rsidR="00581D81" w:rsidRPr="00581D81">
        <w:rPr>
          <w:szCs w:val="22"/>
        </w:rPr>
        <w:t>WIPO, in partnership with</w:t>
      </w:r>
      <w:r w:rsidR="00FF5842">
        <w:rPr>
          <w:szCs w:val="22"/>
        </w:rPr>
        <w:t xml:space="preserve"> the</w:t>
      </w:r>
      <w:r w:rsidR="00581D81" w:rsidRPr="00581D81">
        <w:rPr>
          <w:szCs w:val="22"/>
        </w:rPr>
        <w:t xml:space="preserve"> </w:t>
      </w:r>
      <w:r w:rsidR="00C329C5">
        <w:rPr>
          <w:szCs w:val="22"/>
        </w:rPr>
        <w:t>International Telecommunication Union (</w:t>
      </w:r>
      <w:r w:rsidR="00581D81" w:rsidRPr="00581D81">
        <w:rPr>
          <w:szCs w:val="22"/>
        </w:rPr>
        <w:t>ITU</w:t>
      </w:r>
      <w:r w:rsidR="00C329C5">
        <w:rPr>
          <w:szCs w:val="22"/>
        </w:rPr>
        <w:t>)</w:t>
      </w:r>
      <w:r w:rsidR="00581D81" w:rsidRPr="00581D81">
        <w:rPr>
          <w:szCs w:val="22"/>
        </w:rPr>
        <w:t xml:space="preserve"> and the </w:t>
      </w:r>
      <w:r w:rsidR="00C329C5">
        <w:rPr>
          <w:szCs w:val="22"/>
        </w:rPr>
        <w:t xml:space="preserve">International </w:t>
      </w:r>
      <w:proofErr w:type="spellStart"/>
      <w:r w:rsidR="00C329C5">
        <w:rPr>
          <w:szCs w:val="22"/>
        </w:rPr>
        <w:t>Labour</w:t>
      </w:r>
      <w:proofErr w:type="spellEnd"/>
      <w:r w:rsidR="00C329C5">
        <w:rPr>
          <w:szCs w:val="22"/>
        </w:rPr>
        <w:t xml:space="preserve"> Organization (</w:t>
      </w:r>
      <w:r w:rsidR="00581D81" w:rsidRPr="00581D81">
        <w:rPr>
          <w:szCs w:val="22"/>
        </w:rPr>
        <w:t>ILO</w:t>
      </w:r>
      <w:r w:rsidR="00C329C5">
        <w:rPr>
          <w:szCs w:val="22"/>
        </w:rPr>
        <w:t>)</w:t>
      </w:r>
      <w:r w:rsidR="00581D81" w:rsidRPr="00581D81">
        <w:rPr>
          <w:szCs w:val="22"/>
        </w:rPr>
        <w:t>, carried out an assessment of its e</w:t>
      </w:r>
      <w:r w:rsidR="00C329C5">
        <w:rPr>
          <w:szCs w:val="22"/>
        </w:rPr>
        <w:noBreakHyphen/>
      </w:r>
      <w:r w:rsidR="00581D81" w:rsidRPr="00581D81">
        <w:rPr>
          <w:szCs w:val="22"/>
        </w:rPr>
        <w:t xml:space="preserve">recruitment platform to ensure accessibility by all users. </w:t>
      </w:r>
      <w:r w:rsidR="00C329C5">
        <w:rPr>
          <w:szCs w:val="22"/>
        </w:rPr>
        <w:t xml:space="preserve"> </w:t>
      </w:r>
      <w:r w:rsidR="00581D81" w:rsidRPr="00581D81">
        <w:rPr>
          <w:szCs w:val="22"/>
        </w:rPr>
        <w:t xml:space="preserve">The recommendations of the report </w:t>
      </w:r>
      <w:proofErr w:type="gramStart"/>
      <w:r w:rsidR="00581D81" w:rsidRPr="00581D81">
        <w:rPr>
          <w:szCs w:val="22"/>
        </w:rPr>
        <w:t xml:space="preserve">are </w:t>
      </w:r>
      <w:r w:rsidR="00581D81">
        <w:rPr>
          <w:szCs w:val="22"/>
        </w:rPr>
        <w:t xml:space="preserve">currently </w:t>
      </w:r>
      <w:r w:rsidR="00581D81" w:rsidRPr="00581D81">
        <w:rPr>
          <w:szCs w:val="22"/>
        </w:rPr>
        <w:t>being implemented</w:t>
      </w:r>
      <w:proofErr w:type="gramEnd"/>
      <w:r w:rsidR="00864B91">
        <w:rPr>
          <w:szCs w:val="22"/>
        </w:rPr>
        <w:t>.</w:t>
      </w:r>
    </w:p>
    <w:p w14:paraId="0643AFBF" w14:textId="77777777" w:rsidR="00C74A9B" w:rsidRDefault="00C74A9B" w:rsidP="00C74A9B">
      <w:pPr>
        <w:rPr>
          <w:i/>
          <w:szCs w:val="22"/>
        </w:rPr>
      </w:pPr>
    </w:p>
    <w:p w14:paraId="41A4BB7E" w14:textId="6D4EE212" w:rsidR="00276BEE" w:rsidRPr="00C74A9B" w:rsidRDefault="00522272" w:rsidP="00C74A9B">
      <w:pPr>
        <w:rPr>
          <w:bCs/>
          <w:i/>
          <w:szCs w:val="22"/>
        </w:rPr>
      </w:pPr>
      <w:r w:rsidRPr="00B05357">
        <w:rPr>
          <w:i/>
          <w:szCs w:val="22"/>
        </w:rPr>
        <w:t>Other developments</w:t>
      </w:r>
    </w:p>
    <w:p w14:paraId="67B9A238" w14:textId="77777777" w:rsidR="00276BEE" w:rsidRPr="00B05357" w:rsidRDefault="00276BEE" w:rsidP="00276BEE">
      <w:pPr>
        <w:rPr>
          <w:szCs w:val="22"/>
        </w:rPr>
      </w:pPr>
    </w:p>
    <w:p w14:paraId="657CED1E" w14:textId="1379C552" w:rsidR="00CD4202" w:rsidRPr="00AC4C0E" w:rsidRDefault="00CD4202" w:rsidP="00CD4202">
      <w:pPr>
        <w:pStyle w:val="ListParagraph"/>
        <w:numPr>
          <w:ilvl w:val="0"/>
          <w:numId w:val="12"/>
        </w:numPr>
        <w:tabs>
          <w:tab w:val="left" w:pos="270"/>
        </w:tabs>
        <w:ind w:left="0" w:firstLine="0"/>
        <w:rPr>
          <w:szCs w:val="22"/>
        </w:rPr>
      </w:pPr>
      <w:r w:rsidRPr="00AC4C0E">
        <w:rPr>
          <w:szCs w:val="22"/>
        </w:rPr>
        <w:t xml:space="preserve">For the past few years, HRMD has embarked on the implementation of a slate of new </w:t>
      </w:r>
      <w:r w:rsidR="007626FF">
        <w:rPr>
          <w:szCs w:val="22"/>
        </w:rPr>
        <w:t>HR </w:t>
      </w:r>
      <w:r w:rsidRPr="00AC4C0E">
        <w:rPr>
          <w:szCs w:val="22"/>
        </w:rPr>
        <w:t xml:space="preserve">tools, processes and procedures, through a digital transformation process, in order to achieve an increasingly enabling HR function.  The pandemic accelerated this transition to digital ways of working </w:t>
      </w:r>
      <w:proofErr w:type="gramStart"/>
      <w:r w:rsidRPr="00AC4C0E">
        <w:rPr>
          <w:szCs w:val="22"/>
        </w:rPr>
        <w:t xml:space="preserve">and </w:t>
      </w:r>
      <w:r>
        <w:rPr>
          <w:szCs w:val="22"/>
        </w:rPr>
        <w:t>also</w:t>
      </w:r>
      <w:proofErr w:type="gramEnd"/>
      <w:r>
        <w:rPr>
          <w:szCs w:val="22"/>
        </w:rPr>
        <w:t xml:space="preserve"> </w:t>
      </w:r>
      <w:r w:rsidRPr="00AC4C0E">
        <w:rPr>
          <w:szCs w:val="22"/>
        </w:rPr>
        <w:t>demonstrated how technology can be used to free-up time from repetitive, routine tasks.</w:t>
      </w:r>
    </w:p>
    <w:p w14:paraId="04A18573" w14:textId="77777777" w:rsidR="00CD4202" w:rsidRPr="00875B1E" w:rsidRDefault="00CD4202" w:rsidP="00CD4202">
      <w:pPr>
        <w:pStyle w:val="ListParagraph"/>
        <w:tabs>
          <w:tab w:val="left" w:pos="270"/>
        </w:tabs>
        <w:ind w:left="0"/>
        <w:rPr>
          <w:szCs w:val="22"/>
        </w:rPr>
      </w:pPr>
    </w:p>
    <w:p w14:paraId="43892F52" w14:textId="0AAB2DB1" w:rsidR="00CD4202" w:rsidRPr="001114DA" w:rsidRDefault="00CD4202" w:rsidP="00CD4202">
      <w:pPr>
        <w:pStyle w:val="ListParagraph"/>
        <w:numPr>
          <w:ilvl w:val="0"/>
          <w:numId w:val="12"/>
        </w:numPr>
        <w:tabs>
          <w:tab w:val="left" w:pos="270"/>
        </w:tabs>
        <w:ind w:left="0" w:firstLine="0"/>
        <w:rPr>
          <w:szCs w:val="22"/>
        </w:rPr>
      </w:pPr>
      <w:r w:rsidRPr="001114DA">
        <w:rPr>
          <w:szCs w:val="22"/>
        </w:rPr>
        <w:t xml:space="preserve">In 2021, </w:t>
      </w:r>
      <w:r w:rsidR="001114DA" w:rsidRPr="001114DA">
        <w:rPr>
          <w:szCs w:val="22"/>
        </w:rPr>
        <w:t>HRMD, in coordination with other internal units, introduced a new interface enhancing employees experience while connecting to the HR portal and continued the development of flexible working arrangements functionalities, including teleworking for an implementation in January 2022</w:t>
      </w:r>
      <w:r w:rsidRPr="001114DA">
        <w:rPr>
          <w:szCs w:val="22"/>
        </w:rPr>
        <w:t>.</w:t>
      </w:r>
      <w:r w:rsidR="00C2276A">
        <w:rPr>
          <w:szCs w:val="22"/>
        </w:rPr>
        <w:t xml:space="preserve"> </w:t>
      </w:r>
      <w:r w:rsidRPr="001114DA">
        <w:rPr>
          <w:szCs w:val="22"/>
        </w:rPr>
        <w:t xml:space="preserve"> It also completed the HR Digitization Project to digitize the current paper</w:t>
      </w:r>
      <w:r w:rsidRPr="001114DA">
        <w:rPr>
          <w:szCs w:val="22"/>
        </w:rPr>
        <w:noBreakHyphen/>
        <w:t xml:space="preserve">based files of active staff members in order to improve the single digital repository of employee documents and records, and consequently strengthen HRMD’s capability to consult information securely online from the office and remotely.  </w:t>
      </w:r>
      <w:r w:rsidR="001114DA" w:rsidRPr="001114DA">
        <w:rPr>
          <w:szCs w:val="22"/>
        </w:rPr>
        <w:t xml:space="preserve">Similarly, </w:t>
      </w:r>
      <w:proofErr w:type="gramStart"/>
      <w:r w:rsidR="001114DA" w:rsidRPr="001114DA">
        <w:rPr>
          <w:szCs w:val="22"/>
        </w:rPr>
        <w:t>in order to better manage</w:t>
      </w:r>
      <w:proofErr w:type="gramEnd"/>
      <w:r w:rsidR="001114DA" w:rsidRPr="001114DA">
        <w:rPr>
          <w:szCs w:val="22"/>
        </w:rPr>
        <w:t xml:space="preserve"> long-term sick leave, specific reporting was developed for use by the Medical Unit, enabling it to target cases requiring its support, to help the employee in question to resume work, and assist his/her department to adequately prepare the return to work</w:t>
      </w:r>
      <w:r w:rsidRPr="001114DA">
        <w:rPr>
          <w:szCs w:val="22"/>
        </w:rPr>
        <w:t xml:space="preserve">.  </w:t>
      </w:r>
    </w:p>
    <w:p w14:paraId="00E92C84" w14:textId="77777777" w:rsidR="00CD4202" w:rsidRPr="00AC4C0E" w:rsidRDefault="00CD4202" w:rsidP="00CD4202">
      <w:pPr>
        <w:pStyle w:val="ListParagraph"/>
        <w:rPr>
          <w:szCs w:val="22"/>
        </w:rPr>
      </w:pPr>
    </w:p>
    <w:p w14:paraId="0C5D819F" w14:textId="752928D1" w:rsidR="00CD4202" w:rsidRPr="00B05357" w:rsidRDefault="00CD4202" w:rsidP="00CD4202">
      <w:pPr>
        <w:pStyle w:val="ListParagraph"/>
        <w:numPr>
          <w:ilvl w:val="0"/>
          <w:numId w:val="12"/>
        </w:numPr>
        <w:tabs>
          <w:tab w:val="left" w:pos="270"/>
        </w:tabs>
        <w:ind w:left="0" w:firstLine="0"/>
        <w:rPr>
          <w:szCs w:val="22"/>
        </w:rPr>
      </w:pPr>
      <w:r w:rsidRPr="00B05357">
        <w:rPr>
          <w:szCs w:val="22"/>
        </w:rPr>
        <w:t xml:space="preserve">Additionally, </w:t>
      </w:r>
      <w:r>
        <w:rPr>
          <w:szCs w:val="22"/>
        </w:rPr>
        <w:t>since last year, t</w:t>
      </w:r>
      <w:r w:rsidRPr="00B05357">
        <w:rPr>
          <w:szCs w:val="22"/>
        </w:rPr>
        <w:t>he entire recruitment process</w:t>
      </w:r>
      <w:r>
        <w:rPr>
          <w:szCs w:val="22"/>
        </w:rPr>
        <w:t>,</w:t>
      </w:r>
      <w:r w:rsidRPr="00B05357">
        <w:rPr>
          <w:szCs w:val="22"/>
        </w:rPr>
        <w:t xml:space="preserve"> from planning and talent sourcing to assessing, selecting and hiring</w:t>
      </w:r>
      <w:r>
        <w:rPr>
          <w:szCs w:val="22"/>
        </w:rPr>
        <w:t>,</w:t>
      </w:r>
      <w:r w:rsidRPr="00B05357">
        <w:rPr>
          <w:szCs w:val="22"/>
        </w:rPr>
        <w:t xml:space="preserve"> </w:t>
      </w:r>
      <w:proofErr w:type="gramStart"/>
      <w:r>
        <w:rPr>
          <w:szCs w:val="22"/>
        </w:rPr>
        <w:t>is</w:t>
      </w:r>
      <w:r w:rsidRPr="00B05357">
        <w:rPr>
          <w:szCs w:val="22"/>
        </w:rPr>
        <w:t xml:space="preserve"> conducted</w:t>
      </w:r>
      <w:proofErr w:type="gramEnd"/>
      <w:r w:rsidRPr="00B05357">
        <w:rPr>
          <w:szCs w:val="22"/>
        </w:rPr>
        <w:t xml:space="preserve"> in a virtual environment.  </w:t>
      </w:r>
      <w:r w:rsidR="004972F3">
        <w:rPr>
          <w:szCs w:val="22"/>
        </w:rPr>
        <w:t>By using technology such as asynchronous video interviews and an online testing platform, this has provided a professional state of the art candidate experience</w:t>
      </w:r>
      <w:r w:rsidR="0031425E">
        <w:rPr>
          <w:szCs w:val="22"/>
        </w:rPr>
        <w:t>,</w:t>
      </w:r>
      <w:r w:rsidR="005A275D">
        <w:rPr>
          <w:szCs w:val="22"/>
        </w:rPr>
        <w:t xml:space="preserve"> </w:t>
      </w:r>
      <w:r w:rsidR="0031425E">
        <w:rPr>
          <w:szCs w:val="22"/>
        </w:rPr>
        <w:t>while</w:t>
      </w:r>
      <w:r w:rsidR="004972F3">
        <w:rPr>
          <w:szCs w:val="22"/>
        </w:rPr>
        <w:t xml:space="preserve"> enabl</w:t>
      </w:r>
      <w:r w:rsidR="0031425E">
        <w:rPr>
          <w:szCs w:val="22"/>
        </w:rPr>
        <w:t>ing</w:t>
      </w:r>
      <w:r w:rsidR="004972F3">
        <w:rPr>
          <w:szCs w:val="22"/>
        </w:rPr>
        <w:t xml:space="preserve"> HRMD </w:t>
      </w:r>
      <w:proofErr w:type="gramStart"/>
      <w:r w:rsidR="004972F3">
        <w:rPr>
          <w:szCs w:val="22"/>
        </w:rPr>
        <w:t>to more strategically use</w:t>
      </w:r>
      <w:proofErr w:type="gramEnd"/>
      <w:r w:rsidR="004972F3">
        <w:rPr>
          <w:szCs w:val="22"/>
        </w:rPr>
        <w:t xml:space="preserve"> its time on value-added responsibilities.</w:t>
      </w:r>
      <w:r w:rsidR="00C2276A">
        <w:rPr>
          <w:szCs w:val="22"/>
        </w:rPr>
        <w:t xml:space="preserve"> </w:t>
      </w:r>
      <w:r w:rsidR="004972F3">
        <w:rPr>
          <w:szCs w:val="22"/>
        </w:rPr>
        <w:t xml:space="preserve"> </w:t>
      </w:r>
      <w:r w:rsidRPr="00B05357">
        <w:rPr>
          <w:szCs w:val="22"/>
        </w:rPr>
        <w:t>Along with this, HRMD recognized that remote onboarding, along with its own challenges, ha</w:t>
      </w:r>
      <w:r>
        <w:rPr>
          <w:szCs w:val="22"/>
        </w:rPr>
        <w:t>d</w:t>
      </w:r>
      <w:r w:rsidRPr="00B05357">
        <w:rPr>
          <w:szCs w:val="22"/>
        </w:rPr>
        <w:t xml:space="preserve"> also become a key part of virtual recruiting.  A new project in this respect </w:t>
      </w:r>
      <w:r>
        <w:rPr>
          <w:szCs w:val="22"/>
        </w:rPr>
        <w:t xml:space="preserve">was launched and </w:t>
      </w:r>
      <w:proofErr w:type="gramStart"/>
      <w:r>
        <w:rPr>
          <w:szCs w:val="22"/>
        </w:rPr>
        <w:t xml:space="preserve">is </w:t>
      </w:r>
      <w:r w:rsidR="00782D4E">
        <w:rPr>
          <w:szCs w:val="22"/>
        </w:rPr>
        <w:t>expected to be completed</w:t>
      </w:r>
      <w:proofErr w:type="gramEnd"/>
      <w:r w:rsidR="00782D4E">
        <w:rPr>
          <w:szCs w:val="22"/>
        </w:rPr>
        <w:t xml:space="preserve"> by mid</w:t>
      </w:r>
      <w:r w:rsidR="00782D4E">
        <w:rPr>
          <w:szCs w:val="22"/>
        </w:rPr>
        <w:noBreakHyphen/>
      </w:r>
      <w:r>
        <w:rPr>
          <w:szCs w:val="22"/>
        </w:rPr>
        <w:t>2022</w:t>
      </w:r>
      <w:r w:rsidRPr="00B05357">
        <w:rPr>
          <w:szCs w:val="22"/>
        </w:rPr>
        <w:t>.</w:t>
      </w:r>
    </w:p>
    <w:p w14:paraId="7A42770B" w14:textId="77777777" w:rsidR="00CD4202" w:rsidRPr="00B05357" w:rsidRDefault="00CD4202" w:rsidP="00CD4202">
      <w:pPr>
        <w:pStyle w:val="ListParagraph"/>
        <w:rPr>
          <w:szCs w:val="22"/>
        </w:rPr>
      </w:pPr>
    </w:p>
    <w:p w14:paraId="62DDD4DF" w14:textId="34057878" w:rsidR="00CD4202" w:rsidRPr="00C74A9B" w:rsidRDefault="00CD4202" w:rsidP="00CD4202">
      <w:pPr>
        <w:pStyle w:val="ListParagraph"/>
        <w:numPr>
          <w:ilvl w:val="0"/>
          <w:numId w:val="12"/>
        </w:numPr>
        <w:tabs>
          <w:tab w:val="left" w:pos="270"/>
        </w:tabs>
        <w:ind w:left="0" w:firstLine="0"/>
        <w:rPr>
          <w:szCs w:val="22"/>
        </w:rPr>
      </w:pPr>
      <w:r>
        <w:rPr>
          <w:color w:val="000000"/>
          <w:szCs w:val="22"/>
        </w:rPr>
        <w:t xml:space="preserve">HRMD puts significant efforts in </w:t>
      </w:r>
      <w:r w:rsidRPr="002518F5">
        <w:rPr>
          <w:color w:val="000000"/>
          <w:szCs w:val="22"/>
        </w:rPr>
        <w:t xml:space="preserve">the </w:t>
      </w:r>
      <w:r>
        <w:rPr>
          <w:color w:val="000000"/>
          <w:szCs w:val="22"/>
        </w:rPr>
        <w:t>continuous</w:t>
      </w:r>
      <w:r w:rsidRPr="002518F5">
        <w:rPr>
          <w:color w:val="000000"/>
          <w:szCs w:val="22"/>
        </w:rPr>
        <w:t xml:space="preserve"> review </w:t>
      </w:r>
      <w:r>
        <w:rPr>
          <w:color w:val="000000"/>
          <w:szCs w:val="22"/>
        </w:rPr>
        <w:t xml:space="preserve">and updating </w:t>
      </w:r>
      <w:r w:rsidRPr="002518F5">
        <w:rPr>
          <w:color w:val="000000"/>
          <w:szCs w:val="22"/>
        </w:rPr>
        <w:t xml:space="preserve">of </w:t>
      </w:r>
      <w:r>
        <w:rPr>
          <w:color w:val="000000"/>
          <w:szCs w:val="22"/>
        </w:rPr>
        <w:t xml:space="preserve">the rules and policies governing the conditions of service of WIPO employees, allowing WIPO </w:t>
      </w:r>
      <w:r w:rsidRPr="002518F5">
        <w:rPr>
          <w:color w:val="000000"/>
          <w:szCs w:val="22"/>
        </w:rPr>
        <w:t xml:space="preserve">to maintain a sound regulatory framework that </w:t>
      </w:r>
      <w:r w:rsidR="0031425E">
        <w:rPr>
          <w:color w:val="000000"/>
          <w:szCs w:val="22"/>
        </w:rPr>
        <w:t xml:space="preserve">swiftly </w:t>
      </w:r>
      <w:r w:rsidRPr="002518F5">
        <w:rPr>
          <w:color w:val="000000"/>
          <w:szCs w:val="22"/>
        </w:rPr>
        <w:t>adapts</w:t>
      </w:r>
      <w:r w:rsidRPr="0031425E">
        <w:rPr>
          <w:color w:val="000000"/>
          <w:szCs w:val="22"/>
        </w:rPr>
        <w:t xml:space="preserve"> to</w:t>
      </w:r>
      <w:r w:rsidR="0031425E">
        <w:rPr>
          <w:color w:val="000000"/>
          <w:szCs w:val="22"/>
        </w:rPr>
        <w:t>,</w:t>
      </w:r>
      <w:r w:rsidRPr="0031425E">
        <w:rPr>
          <w:color w:val="000000"/>
          <w:szCs w:val="22"/>
        </w:rPr>
        <w:t xml:space="preserve"> and supports</w:t>
      </w:r>
      <w:r w:rsidR="0031425E">
        <w:rPr>
          <w:color w:val="000000"/>
          <w:szCs w:val="22"/>
        </w:rPr>
        <w:t>,</w:t>
      </w:r>
      <w:r w:rsidRPr="0031425E">
        <w:rPr>
          <w:color w:val="000000"/>
          <w:szCs w:val="22"/>
        </w:rPr>
        <w:t xml:space="preserve"> the changing needs and</w:t>
      </w:r>
      <w:r w:rsidRPr="002518F5">
        <w:rPr>
          <w:color w:val="000000"/>
          <w:szCs w:val="22"/>
        </w:rPr>
        <w:t xml:space="preserve"> priorities of the Organization, while ensuring alignment with best practices in the United Nations common system</w:t>
      </w:r>
      <w:r>
        <w:rPr>
          <w:color w:val="000000"/>
          <w:szCs w:val="22"/>
        </w:rPr>
        <w:t>.</w:t>
      </w:r>
      <w:r w:rsidR="00C2276A">
        <w:rPr>
          <w:color w:val="000000"/>
          <w:szCs w:val="22"/>
        </w:rPr>
        <w:t xml:space="preserve"> </w:t>
      </w:r>
      <w:r>
        <w:rPr>
          <w:color w:val="000000"/>
          <w:szCs w:val="22"/>
        </w:rPr>
        <w:t xml:space="preserve"> </w:t>
      </w:r>
      <w:r w:rsidRPr="00B05357">
        <w:rPr>
          <w:color w:val="000000"/>
          <w:szCs w:val="22"/>
        </w:rPr>
        <w:t>As part of the continued enhancement of the HR policy framework, some 20</w:t>
      </w:r>
      <w:r w:rsidR="00C2276A">
        <w:rPr>
          <w:color w:val="000000"/>
          <w:szCs w:val="22"/>
        </w:rPr>
        <w:t> </w:t>
      </w:r>
      <w:r w:rsidRPr="00B05357">
        <w:rPr>
          <w:color w:val="000000"/>
          <w:szCs w:val="22"/>
        </w:rPr>
        <w:t xml:space="preserve">new or revised Office Instructions and other administrative issuances </w:t>
      </w:r>
      <w:proofErr w:type="gramStart"/>
      <w:r w:rsidRPr="00B05357">
        <w:rPr>
          <w:color w:val="000000"/>
          <w:szCs w:val="22"/>
        </w:rPr>
        <w:t>were released</w:t>
      </w:r>
      <w:proofErr w:type="gramEnd"/>
      <w:r w:rsidRPr="00B05357">
        <w:rPr>
          <w:color w:val="000000"/>
          <w:szCs w:val="22"/>
        </w:rPr>
        <w:t xml:space="preserve"> during the reporting period, accompanied where necessary by general </w:t>
      </w:r>
      <w:r>
        <w:rPr>
          <w:color w:val="000000"/>
          <w:szCs w:val="22"/>
        </w:rPr>
        <w:t>c</w:t>
      </w:r>
      <w:r w:rsidRPr="00B05357">
        <w:rPr>
          <w:color w:val="000000"/>
          <w:szCs w:val="22"/>
        </w:rPr>
        <w:t xml:space="preserve">ommunications to ensure that personnel understood the policy developments. </w:t>
      </w:r>
    </w:p>
    <w:p w14:paraId="50EB6677" w14:textId="56A6F32D" w:rsidR="00C74A9B" w:rsidRDefault="00C74A9B" w:rsidP="00C74A9B">
      <w:pPr>
        <w:tabs>
          <w:tab w:val="left" w:pos="270"/>
        </w:tabs>
        <w:rPr>
          <w:szCs w:val="22"/>
        </w:rPr>
      </w:pPr>
    </w:p>
    <w:p w14:paraId="33C99226" w14:textId="1963898B" w:rsidR="00464380" w:rsidRPr="00880A7C" w:rsidRDefault="00CD4202" w:rsidP="00CD4202">
      <w:pPr>
        <w:pStyle w:val="ListParagraph"/>
        <w:numPr>
          <w:ilvl w:val="0"/>
          <w:numId w:val="12"/>
        </w:numPr>
        <w:tabs>
          <w:tab w:val="left" w:pos="270"/>
        </w:tabs>
        <w:ind w:left="0" w:firstLine="0"/>
        <w:rPr>
          <w:szCs w:val="22"/>
        </w:rPr>
      </w:pPr>
      <w:r w:rsidRPr="00880A7C">
        <w:rPr>
          <w:szCs w:val="22"/>
        </w:rPr>
        <w:t xml:space="preserve">Finally, as mentioned in our previous Annual Report, changing WIPO’s culture, listening to the voice of </w:t>
      </w:r>
      <w:r>
        <w:rPr>
          <w:szCs w:val="22"/>
        </w:rPr>
        <w:t>its</w:t>
      </w:r>
      <w:r w:rsidRPr="00880A7C">
        <w:rPr>
          <w:szCs w:val="22"/>
        </w:rPr>
        <w:t xml:space="preserve"> workforce in order to create a trust-based, dynamic and rewarding culture</w:t>
      </w:r>
      <w:r>
        <w:rPr>
          <w:szCs w:val="22"/>
        </w:rPr>
        <w:t>,</w:t>
      </w:r>
      <w:r w:rsidRPr="00880A7C">
        <w:rPr>
          <w:szCs w:val="22"/>
        </w:rPr>
        <w:t xml:space="preserve"> is a key priority of the </w:t>
      </w:r>
      <w:r>
        <w:rPr>
          <w:szCs w:val="22"/>
        </w:rPr>
        <w:t>A</w:t>
      </w:r>
      <w:r w:rsidRPr="00880A7C">
        <w:rPr>
          <w:szCs w:val="22"/>
        </w:rPr>
        <w:t xml:space="preserve">dministration.  </w:t>
      </w:r>
      <w:r>
        <w:rPr>
          <w:szCs w:val="22"/>
        </w:rPr>
        <w:t>T</w:t>
      </w:r>
      <w:r w:rsidRPr="00880A7C">
        <w:rPr>
          <w:szCs w:val="22"/>
        </w:rPr>
        <w:t xml:space="preserve">he intention is to put in place tools to identify what works and what does not, to better understand </w:t>
      </w:r>
      <w:r>
        <w:rPr>
          <w:szCs w:val="22"/>
        </w:rPr>
        <w:t xml:space="preserve">employee </w:t>
      </w:r>
      <w:r w:rsidRPr="00880A7C">
        <w:rPr>
          <w:szCs w:val="22"/>
        </w:rPr>
        <w:t xml:space="preserve">motivations and aspirations, how to improve </w:t>
      </w:r>
      <w:r>
        <w:rPr>
          <w:szCs w:val="22"/>
        </w:rPr>
        <w:lastRenderedPageBreak/>
        <w:t xml:space="preserve">employee </w:t>
      </w:r>
      <w:r w:rsidRPr="00880A7C">
        <w:rPr>
          <w:szCs w:val="22"/>
        </w:rPr>
        <w:t>well-being and to include the voice of employees in business decisions</w:t>
      </w:r>
      <w:r>
        <w:rPr>
          <w:szCs w:val="22"/>
        </w:rPr>
        <w:t>.</w:t>
      </w:r>
      <w:r w:rsidRPr="00880A7C">
        <w:rPr>
          <w:szCs w:val="22"/>
        </w:rPr>
        <w:t xml:space="preserve"> </w:t>
      </w:r>
      <w:r w:rsidR="00C2276A">
        <w:rPr>
          <w:szCs w:val="22"/>
        </w:rPr>
        <w:t xml:space="preserve"> </w:t>
      </w:r>
      <w:r>
        <w:rPr>
          <w:szCs w:val="22"/>
        </w:rPr>
        <w:t>To this end, t</w:t>
      </w:r>
      <w:r w:rsidRPr="005D572E">
        <w:rPr>
          <w:szCs w:val="22"/>
        </w:rPr>
        <w:t xml:space="preserve">he process </w:t>
      </w:r>
      <w:r w:rsidR="0031425E">
        <w:rPr>
          <w:szCs w:val="22"/>
        </w:rPr>
        <w:t>of</w:t>
      </w:r>
      <w:r w:rsidRPr="0031425E">
        <w:rPr>
          <w:szCs w:val="22"/>
        </w:rPr>
        <w:t xml:space="preserve"> launch</w:t>
      </w:r>
      <w:r w:rsidR="0031425E">
        <w:rPr>
          <w:szCs w:val="22"/>
        </w:rPr>
        <w:t>ing</w:t>
      </w:r>
      <w:r w:rsidRPr="005D572E">
        <w:rPr>
          <w:szCs w:val="22"/>
        </w:rPr>
        <w:t xml:space="preserve"> an employee engagement survey</w:t>
      </w:r>
      <w:r>
        <w:rPr>
          <w:szCs w:val="22"/>
        </w:rPr>
        <w:t xml:space="preserve"> </w:t>
      </w:r>
      <w:r w:rsidRPr="005D572E">
        <w:rPr>
          <w:szCs w:val="22"/>
        </w:rPr>
        <w:t xml:space="preserve">in 2022 is currently </w:t>
      </w:r>
      <w:proofErr w:type="gramStart"/>
      <w:r w:rsidRPr="005D572E">
        <w:rPr>
          <w:szCs w:val="22"/>
        </w:rPr>
        <w:t>underway</w:t>
      </w:r>
      <w:r>
        <w:rPr>
          <w:szCs w:val="22"/>
        </w:rPr>
        <w:t xml:space="preserve"> and a</w:t>
      </w:r>
      <w:r w:rsidRPr="005D572E">
        <w:rPr>
          <w:szCs w:val="22"/>
        </w:rPr>
        <w:t xml:space="preserve"> contract </w:t>
      </w:r>
      <w:r>
        <w:rPr>
          <w:szCs w:val="22"/>
        </w:rPr>
        <w:t xml:space="preserve">was signed </w:t>
      </w:r>
      <w:r w:rsidRPr="005D572E">
        <w:rPr>
          <w:szCs w:val="22"/>
        </w:rPr>
        <w:t>with LinkedIn Glint to provide a survey platform</w:t>
      </w:r>
      <w:proofErr w:type="gramEnd"/>
      <w:r w:rsidRPr="005D572E">
        <w:rPr>
          <w:szCs w:val="22"/>
        </w:rPr>
        <w:t xml:space="preserve"> and consultancy services </w:t>
      </w:r>
      <w:r>
        <w:rPr>
          <w:szCs w:val="22"/>
        </w:rPr>
        <w:t xml:space="preserve">in December </w:t>
      </w:r>
      <w:r w:rsidRPr="005D572E">
        <w:rPr>
          <w:szCs w:val="22"/>
        </w:rPr>
        <w:t>2021</w:t>
      </w:r>
      <w:r>
        <w:rPr>
          <w:szCs w:val="22"/>
        </w:rPr>
        <w:t>.</w:t>
      </w:r>
      <w:r w:rsidRPr="00880A7C">
        <w:rPr>
          <w:szCs w:val="22"/>
        </w:rPr>
        <w:t xml:space="preserve"> </w:t>
      </w:r>
      <w:r w:rsidR="00C2276A">
        <w:rPr>
          <w:szCs w:val="22"/>
        </w:rPr>
        <w:t xml:space="preserve"> </w:t>
      </w:r>
      <w:r>
        <w:rPr>
          <w:szCs w:val="22"/>
        </w:rPr>
        <w:t xml:space="preserve">This platform will provide </w:t>
      </w:r>
      <w:r>
        <w:t xml:space="preserve">real-time and on-demand access to employee feedback and an understanding of key opportunities for managers and HRMD alike. </w:t>
      </w:r>
      <w:r w:rsidR="00C2276A">
        <w:t xml:space="preserve"> </w:t>
      </w:r>
      <w:r>
        <w:t>This visibility, combined with the platform’s prescriptive recommendations, should enable managers to take the most impactful actions to increase engagement, build stronger teams and improve performance across the Organization as a whole</w:t>
      </w:r>
      <w:r w:rsidR="00F21EF3">
        <w:t>.</w:t>
      </w:r>
    </w:p>
    <w:p w14:paraId="5A2969A1" w14:textId="69C17835" w:rsidR="00302F4B" w:rsidRDefault="00302F4B" w:rsidP="009C4207">
      <w:pPr>
        <w:pStyle w:val="ListParagraph"/>
        <w:ind w:left="0"/>
        <w:rPr>
          <w:szCs w:val="22"/>
        </w:rPr>
      </w:pPr>
    </w:p>
    <w:p w14:paraId="3E2D7440" w14:textId="3DD03712" w:rsidR="00782D4E" w:rsidRDefault="00782D4E" w:rsidP="009C4207">
      <w:pPr>
        <w:pStyle w:val="ListParagraph"/>
        <w:ind w:left="0"/>
        <w:rPr>
          <w:szCs w:val="22"/>
        </w:rPr>
      </w:pPr>
    </w:p>
    <w:p w14:paraId="77DD7FCF" w14:textId="213F68B2" w:rsidR="00782D4E" w:rsidRDefault="00782D4E" w:rsidP="009C4207">
      <w:pPr>
        <w:pStyle w:val="ListParagraph"/>
        <w:ind w:left="0"/>
        <w:rPr>
          <w:szCs w:val="22"/>
        </w:rPr>
      </w:pPr>
    </w:p>
    <w:p w14:paraId="18A02FB6" w14:textId="538E4178" w:rsidR="00782D4E" w:rsidRDefault="00782D4E" w:rsidP="009C4207">
      <w:pPr>
        <w:pStyle w:val="ListParagraph"/>
        <w:ind w:left="0"/>
        <w:rPr>
          <w:szCs w:val="22"/>
        </w:rPr>
      </w:pPr>
    </w:p>
    <w:p w14:paraId="137270CA" w14:textId="77777777" w:rsidR="00782D4E" w:rsidRPr="00B05357" w:rsidRDefault="00782D4E" w:rsidP="009C4207">
      <w:pPr>
        <w:pStyle w:val="ListParagraph"/>
        <w:ind w:left="0"/>
        <w:rPr>
          <w:szCs w:val="22"/>
        </w:rPr>
      </w:pPr>
    </w:p>
    <w:p w14:paraId="404FFE02" w14:textId="4F103739" w:rsidR="0006560C" w:rsidRDefault="0006560C" w:rsidP="0006560C">
      <w:pPr>
        <w:pStyle w:val="ListParagraph"/>
        <w:ind w:left="5580"/>
      </w:pPr>
      <w:r>
        <w:t>[End of document]</w:t>
      </w:r>
    </w:p>
    <w:p w14:paraId="45BBBD6E" w14:textId="77777777" w:rsidR="0006560C" w:rsidRDefault="0006560C" w:rsidP="0006560C">
      <w:pPr>
        <w:pStyle w:val="ListParagraph"/>
        <w:autoSpaceDN w:val="0"/>
        <w:ind w:left="0"/>
      </w:pPr>
    </w:p>
    <w:sectPr w:rsidR="0006560C" w:rsidSect="00276BE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0B09A" w14:textId="77777777" w:rsidR="00FA3669" w:rsidRDefault="00FA3669">
      <w:r>
        <w:separator/>
      </w:r>
    </w:p>
  </w:endnote>
  <w:endnote w:type="continuationSeparator" w:id="0">
    <w:p w14:paraId="4DFD53BE" w14:textId="77777777" w:rsidR="00FA3669" w:rsidRDefault="00FA3669" w:rsidP="003B38C1">
      <w:r>
        <w:separator/>
      </w:r>
    </w:p>
    <w:p w14:paraId="0A82906B" w14:textId="77777777" w:rsidR="00FA3669" w:rsidRPr="003B38C1" w:rsidRDefault="00FA3669" w:rsidP="003B38C1">
      <w:pPr>
        <w:spacing w:after="60"/>
        <w:rPr>
          <w:sz w:val="17"/>
        </w:rPr>
      </w:pPr>
      <w:r>
        <w:rPr>
          <w:sz w:val="17"/>
        </w:rPr>
        <w:t>[Endnote continued from previous page]</w:t>
      </w:r>
    </w:p>
  </w:endnote>
  <w:endnote w:type="continuationNotice" w:id="1">
    <w:p w14:paraId="4FEBE57B" w14:textId="77777777" w:rsidR="00FA3669" w:rsidRPr="003B38C1" w:rsidRDefault="00FA36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3C270" w14:textId="77777777" w:rsidR="00987184" w:rsidRDefault="00987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8B509" w14:textId="77777777" w:rsidR="00987184" w:rsidRDefault="00987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81941" w14:textId="77777777" w:rsidR="00987184" w:rsidRDefault="00987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04E0C" w14:textId="77777777" w:rsidR="00FA3669" w:rsidRDefault="00FA3669">
      <w:r>
        <w:separator/>
      </w:r>
    </w:p>
  </w:footnote>
  <w:footnote w:type="continuationSeparator" w:id="0">
    <w:p w14:paraId="57AA0436" w14:textId="77777777" w:rsidR="00FA3669" w:rsidRDefault="00FA3669" w:rsidP="008B60B2">
      <w:r>
        <w:separator/>
      </w:r>
    </w:p>
    <w:p w14:paraId="30706EAC" w14:textId="77777777" w:rsidR="00FA3669" w:rsidRPr="00ED77FB" w:rsidRDefault="00FA3669" w:rsidP="008B60B2">
      <w:pPr>
        <w:spacing w:after="60"/>
        <w:rPr>
          <w:sz w:val="17"/>
          <w:szCs w:val="17"/>
        </w:rPr>
      </w:pPr>
      <w:r w:rsidRPr="00ED77FB">
        <w:rPr>
          <w:sz w:val="17"/>
          <w:szCs w:val="17"/>
        </w:rPr>
        <w:t>[Footnote continued from previous page]</w:t>
      </w:r>
    </w:p>
  </w:footnote>
  <w:footnote w:type="continuationNotice" w:id="1">
    <w:p w14:paraId="501B774A" w14:textId="77777777" w:rsidR="00FA3669" w:rsidRPr="00ED77FB" w:rsidRDefault="00FA3669" w:rsidP="008B60B2">
      <w:pPr>
        <w:spacing w:before="60"/>
        <w:jc w:val="right"/>
        <w:rPr>
          <w:sz w:val="17"/>
          <w:szCs w:val="17"/>
        </w:rPr>
      </w:pPr>
      <w:r w:rsidRPr="00ED77FB">
        <w:rPr>
          <w:sz w:val="17"/>
          <w:szCs w:val="17"/>
        </w:rPr>
        <w:t>[Footnote continued on next page]</w:t>
      </w:r>
    </w:p>
  </w:footnote>
  <w:footnote w:id="2">
    <w:p w14:paraId="479714CF" w14:textId="7A94ECAD" w:rsidR="00987184" w:rsidRPr="00C133FC" w:rsidRDefault="00987184" w:rsidP="006221A7">
      <w:pPr>
        <w:pStyle w:val="FootnoteText"/>
        <w:rPr>
          <w:sz w:val="16"/>
          <w:szCs w:val="16"/>
        </w:rPr>
      </w:pPr>
      <w:r w:rsidRPr="00C133FC">
        <w:rPr>
          <w:rStyle w:val="FootnoteReference"/>
          <w:sz w:val="16"/>
          <w:szCs w:val="16"/>
        </w:rPr>
        <w:footnoteRef/>
      </w:r>
      <w:r w:rsidRPr="00C133FC">
        <w:rPr>
          <w:sz w:val="16"/>
          <w:szCs w:val="16"/>
        </w:rPr>
        <w:t xml:space="preserve"> </w:t>
      </w:r>
      <w:r w:rsidRPr="00C133FC">
        <w:rPr>
          <w:sz w:val="16"/>
          <w:szCs w:val="16"/>
        </w:rPr>
        <w:tab/>
        <w:t>In the last reporting period</w:t>
      </w:r>
      <w:r>
        <w:rPr>
          <w:sz w:val="16"/>
          <w:szCs w:val="16"/>
        </w:rPr>
        <w:t xml:space="preserve"> (July 2020 to June 2021)</w:t>
      </w:r>
      <w:r w:rsidRPr="00C133FC">
        <w:rPr>
          <w:sz w:val="16"/>
          <w:szCs w:val="16"/>
        </w:rPr>
        <w:t xml:space="preserve">, the total workforce was </w:t>
      </w:r>
      <w:r>
        <w:rPr>
          <w:sz w:val="16"/>
          <w:szCs w:val="16"/>
        </w:rPr>
        <w:t>1,572</w:t>
      </w:r>
      <w:r w:rsidRPr="00C133FC">
        <w:rPr>
          <w:sz w:val="16"/>
          <w:szCs w:val="16"/>
        </w:rPr>
        <w:t xml:space="preserve"> with a </w:t>
      </w:r>
      <w:r>
        <w:rPr>
          <w:sz w:val="16"/>
          <w:szCs w:val="16"/>
        </w:rPr>
        <w:t>69</w:t>
      </w:r>
      <w:r w:rsidRPr="00C133FC">
        <w:rPr>
          <w:sz w:val="16"/>
          <w:szCs w:val="16"/>
        </w:rPr>
        <w:t>/</w:t>
      </w:r>
      <w:r>
        <w:rPr>
          <w:sz w:val="16"/>
          <w:szCs w:val="16"/>
        </w:rPr>
        <w:t>31</w:t>
      </w:r>
      <w:r w:rsidRPr="00C133FC">
        <w:rPr>
          <w:sz w:val="16"/>
          <w:szCs w:val="16"/>
        </w:rPr>
        <w:t xml:space="preserve"> proportion between core and flexible resources.</w:t>
      </w:r>
    </w:p>
  </w:footnote>
  <w:footnote w:id="3">
    <w:p w14:paraId="0A063360" w14:textId="77777777" w:rsidR="00987184" w:rsidRPr="00C133FC" w:rsidRDefault="00987184" w:rsidP="006221A7">
      <w:pPr>
        <w:pStyle w:val="FootnoteText"/>
        <w:rPr>
          <w:sz w:val="16"/>
          <w:szCs w:val="16"/>
        </w:rPr>
      </w:pPr>
      <w:r w:rsidRPr="00C133FC">
        <w:rPr>
          <w:rStyle w:val="FootnoteReference"/>
          <w:sz w:val="16"/>
          <w:szCs w:val="16"/>
        </w:rPr>
        <w:footnoteRef/>
      </w:r>
      <w:r w:rsidRPr="00C133FC">
        <w:rPr>
          <w:sz w:val="16"/>
          <w:szCs w:val="16"/>
        </w:rPr>
        <w:t xml:space="preserve"> </w:t>
      </w:r>
      <w:r w:rsidRPr="00C133FC">
        <w:rPr>
          <w:sz w:val="16"/>
          <w:szCs w:val="16"/>
        </w:rPr>
        <w:tab/>
        <w:t>Staff holding a fixed-term, continuing or permanent appointment on regular budget funding</w:t>
      </w:r>
      <w:r>
        <w:rPr>
          <w:sz w:val="16"/>
          <w:szCs w:val="16"/>
        </w:rPr>
        <w:t>.</w:t>
      </w:r>
    </w:p>
  </w:footnote>
  <w:footnote w:id="4">
    <w:p w14:paraId="2AEDAC1D" w14:textId="7CA6F8E9" w:rsidR="00987184" w:rsidRPr="00C133FC" w:rsidRDefault="00987184" w:rsidP="006221A7">
      <w:pPr>
        <w:pStyle w:val="FootnoteText"/>
        <w:rPr>
          <w:sz w:val="16"/>
          <w:szCs w:val="16"/>
        </w:rPr>
      </w:pPr>
      <w:r w:rsidRPr="00C133FC">
        <w:rPr>
          <w:rStyle w:val="FootnoteReference"/>
          <w:sz w:val="16"/>
          <w:szCs w:val="16"/>
        </w:rPr>
        <w:footnoteRef/>
      </w:r>
      <w:r w:rsidRPr="00C133FC">
        <w:rPr>
          <w:sz w:val="16"/>
          <w:szCs w:val="16"/>
        </w:rPr>
        <w:t xml:space="preserve"> </w:t>
      </w:r>
      <w:r w:rsidRPr="00C133FC">
        <w:rPr>
          <w:sz w:val="16"/>
          <w:szCs w:val="16"/>
        </w:rPr>
        <w:tab/>
        <w:t xml:space="preserve">Staff holding a temporary appointment on regular budget funding; Staff on non-regular budget funding (Reserves and Funds-in-Trust); UN </w:t>
      </w:r>
      <w:r>
        <w:rPr>
          <w:sz w:val="16"/>
          <w:szCs w:val="16"/>
        </w:rPr>
        <w:t>s</w:t>
      </w:r>
      <w:r w:rsidRPr="00C133FC">
        <w:rPr>
          <w:sz w:val="16"/>
          <w:szCs w:val="16"/>
        </w:rPr>
        <w:t xml:space="preserve">taff on </w:t>
      </w:r>
      <w:r>
        <w:rPr>
          <w:sz w:val="16"/>
          <w:szCs w:val="16"/>
        </w:rPr>
        <w:t>l</w:t>
      </w:r>
      <w:r w:rsidRPr="00C133FC">
        <w:rPr>
          <w:sz w:val="16"/>
          <w:szCs w:val="16"/>
        </w:rPr>
        <w:t xml:space="preserve">oan; Junior Professional Officers </w:t>
      </w:r>
      <w:r>
        <w:rPr>
          <w:sz w:val="16"/>
          <w:szCs w:val="16"/>
        </w:rPr>
        <w:t xml:space="preserve">including </w:t>
      </w:r>
      <w:r w:rsidRPr="00C133FC">
        <w:rPr>
          <w:sz w:val="16"/>
          <w:szCs w:val="16"/>
        </w:rPr>
        <w:t xml:space="preserve">United Nations Development </w:t>
      </w:r>
      <w:proofErr w:type="spellStart"/>
      <w:r w:rsidRPr="00C133FC">
        <w:rPr>
          <w:sz w:val="16"/>
          <w:szCs w:val="16"/>
        </w:rPr>
        <w:t>Programme</w:t>
      </w:r>
      <w:proofErr w:type="spellEnd"/>
      <w:r w:rsidRPr="00C133FC">
        <w:rPr>
          <w:sz w:val="16"/>
          <w:szCs w:val="16"/>
        </w:rPr>
        <w:t xml:space="preserve"> (UNDP</w:t>
      </w:r>
      <w:r>
        <w:rPr>
          <w:sz w:val="16"/>
          <w:szCs w:val="16"/>
        </w:rPr>
        <w:t>)</w:t>
      </w:r>
      <w:r w:rsidRPr="00C133FC">
        <w:rPr>
          <w:sz w:val="16"/>
          <w:szCs w:val="16"/>
        </w:rPr>
        <w:t xml:space="preserve"> JPOs; Interns; Fellows; Monthly/daily translators/revisers; Individual Contractor</w:t>
      </w:r>
      <w:r>
        <w:rPr>
          <w:sz w:val="16"/>
          <w:szCs w:val="16"/>
        </w:rPr>
        <w:t>s</w:t>
      </w:r>
      <w:r w:rsidRPr="00C133FC">
        <w:rPr>
          <w:sz w:val="16"/>
          <w:szCs w:val="16"/>
        </w:rPr>
        <w:t>; Agency Workers; External Providers; and individuals from the SYNI program of the Swiss Bureau of Subsidized Temporary Employment.</w:t>
      </w:r>
    </w:p>
  </w:footnote>
  <w:footnote w:id="5">
    <w:p w14:paraId="7AF09DE3" w14:textId="77777777" w:rsidR="00987184" w:rsidRPr="00DF773D" w:rsidRDefault="00987184" w:rsidP="006221A7">
      <w:pPr>
        <w:autoSpaceDE w:val="0"/>
        <w:autoSpaceDN w:val="0"/>
        <w:adjustRightInd w:val="0"/>
        <w:rPr>
          <w:sz w:val="16"/>
          <w:szCs w:val="16"/>
        </w:rPr>
      </w:pPr>
      <w:r w:rsidRPr="00DF773D">
        <w:rPr>
          <w:rStyle w:val="FootnoteReference"/>
          <w:sz w:val="16"/>
          <w:szCs w:val="16"/>
        </w:rPr>
        <w:footnoteRef/>
      </w:r>
      <w:r w:rsidRPr="00DF773D">
        <w:rPr>
          <w:sz w:val="16"/>
          <w:szCs w:val="16"/>
        </w:rPr>
        <w:t xml:space="preserve"> </w:t>
      </w:r>
      <w:r w:rsidRPr="00DF773D">
        <w:rPr>
          <w:sz w:val="16"/>
          <w:szCs w:val="16"/>
        </w:rPr>
        <w:tab/>
      </w:r>
      <w:r w:rsidRPr="00DF773D">
        <w:rPr>
          <w:iCs/>
          <w:sz w:val="16"/>
          <w:szCs w:val="16"/>
        </w:rPr>
        <w:t>The posts subject to geographical distribution are all staff positions in the Professional and higher categories</w:t>
      </w:r>
      <w:r>
        <w:rPr>
          <w:iCs/>
          <w:sz w:val="16"/>
          <w:szCs w:val="16"/>
        </w:rPr>
        <w:t>,</w:t>
      </w:r>
      <w:r w:rsidRPr="00DF773D">
        <w:rPr>
          <w:iCs/>
          <w:sz w:val="16"/>
          <w:szCs w:val="16"/>
        </w:rPr>
        <w:t xml:space="preserve"> which </w:t>
      </w:r>
      <w:proofErr w:type="gramStart"/>
      <w:r w:rsidRPr="00DF773D">
        <w:rPr>
          <w:iCs/>
          <w:sz w:val="16"/>
          <w:szCs w:val="16"/>
        </w:rPr>
        <w:t>are funded</w:t>
      </w:r>
      <w:proofErr w:type="gramEnd"/>
      <w:r w:rsidRPr="00DF773D">
        <w:rPr>
          <w:iCs/>
          <w:sz w:val="16"/>
          <w:szCs w:val="16"/>
        </w:rPr>
        <w:t xml:space="preserve"> under the regular budget except language positions and the post of Director General.</w:t>
      </w:r>
    </w:p>
  </w:footnote>
  <w:footnote w:id="6">
    <w:p w14:paraId="0ECD316B" w14:textId="1E1ADF48" w:rsidR="00987184" w:rsidRPr="00BE4E4A" w:rsidRDefault="00987184" w:rsidP="00276BEE">
      <w:pPr>
        <w:pStyle w:val="FootnoteText"/>
        <w:rPr>
          <w:sz w:val="16"/>
          <w:szCs w:val="16"/>
        </w:rPr>
      </w:pPr>
      <w:r w:rsidRPr="003A1A1C">
        <w:rPr>
          <w:rStyle w:val="FootnoteReference"/>
          <w:sz w:val="16"/>
          <w:szCs w:val="16"/>
        </w:rPr>
        <w:footnoteRef/>
      </w:r>
      <w:r w:rsidRPr="003A1A1C">
        <w:rPr>
          <w:sz w:val="16"/>
          <w:szCs w:val="16"/>
        </w:rPr>
        <w:t xml:space="preserve"> </w:t>
      </w:r>
      <w:r w:rsidRPr="003A1A1C">
        <w:rPr>
          <w:sz w:val="16"/>
          <w:szCs w:val="16"/>
        </w:rPr>
        <w:tab/>
        <w:t xml:space="preserve">See document </w:t>
      </w:r>
      <w:hyperlink r:id="rId1" w:history="1">
        <w:r w:rsidRPr="007A0433">
          <w:rPr>
            <w:rStyle w:val="Hyperlink"/>
            <w:sz w:val="16"/>
            <w:szCs w:val="16"/>
          </w:rPr>
          <w:t>WO/CC/75/3</w:t>
        </w:r>
      </w:hyperlink>
      <w:r w:rsidRPr="00BE4E4A">
        <w:rPr>
          <w:rStyle w:val="Hyperlink"/>
          <w:sz w:val="16"/>
          <w:szCs w:val="16"/>
        </w:rPr>
        <w:t>.</w:t>
      </w:r>
    </w:p>
  </w:footnote>
  <w:footnote w:id="7">
    <w:p w14:paraId="19AF27C1" w14:textId="436656A1" w:rsidR="00987184" w:rsidRPr="009967C8" w:rsidRDefault="00987184" w:rsidP="00A17D90">
      <w:pPr>
        <w:pStyle w:val="FootnoteText"/>
        <w:rPr>
          <w:sz w:val="16"/>
          <w:szCs w:val="16"/>
        </w:rPr>
      </w:pPr>
      <w:r>
        <w:rPr>
          <w:rStyle w:val="FootnoteReference"/>
        </w:rPr>
        <w:footnoteRef/>
      </w:r>
      <w:r>
        <w:t xml:space="preserve"> </w:t>
      </w:r>
      <w:r>
        <w:tab/>
      </w:r>
      <w:r w:rsidRPr="00CD4CDA">
        <w:rPr>
          <w:sz w:val="16"/>
          <w:szCs w:val="16"/>
        </w:rPr>
        <w:t>The UN-SWAP is an accountability mechanism approved by the UN System Chief Executives Board for Coordination (CEB). The UN-SWAP operationalizes the UN System-wide Policy on Gender Equality and the Empowerment of Women adopted in 2006 by the CEB.</w:t>
      </w:r>
      <w:r>
        <w:rPr>
          <w:sz w:val="16"/>
          <w:szCs w:val="16"/>
        </w:rPr>
        <w:t xml:space="preserve"> WIPO’s performance by indicator </w:t>
      </w:r>
      <w:proofErr w:type="gramStart"/>
      <w:r>
        <w:rPr>
          <w:sz w:val="16"/>
          <w:szCs w:val="16"/>
        </w:rPr>
        <w:t>can be accessed</w:t>
      </w:r>
      <w:proofErr w:type="gramEnd"/>
      <w:r>
        <w:rPr>
          <w:sz w:val="16"/>
          <w:szCs w:val="16"/>
        </w:rPr>
        <w:t xml:space="preserve"> </w:t>
      </w:r>
      <w:hyperlink r:id="rId2" w:history="1">
        <w:r w:rsidRPr="005F5DDE">
          <w:rPr>
            <w:rStyle w:val="Hyperlink"/>
            <w:sz w:val="16"/>
            <w:szCs w:val="16"/>
          </w:rPr>
          <w:t>here</w:t>
        </w:r>
      </w:hyperlink>
      <w:r>
        <w:rPr>
          <w:sz w:val="16"/>
          <w:szCs w:val="16"/>
        </w:rPr>
        <w:t>.</w:t>
      </w:r>
    </w:p>
  </w:footnote>
  <w:footnote w:id="8">
    <w:p w14:paraId="6F94CEDB" w14:textId="77777777" w:rsidR="00987184" w:rsidRPr="00EF4127" w:rsidRDefault="00987184" w:rsidP="00A17D90">
      <w:pPr>
        <w:pStyle w:val="FootnoteText"/>
        <w:jc w:val="both"/>
        <w:rPr>
          <w:sz w:val="16"/>
          <w:szCs w:val="16"/>
        </w:rPr>
      </w:pPr>
      <w:r w:rsidRPr="00EF4127">
        <w:rPr>
          <w:rStyle w:val="FootnoteReference"/>
          <w:sz w:val="16"/>
          <w:szCs w:val="16"/>
        </w:rPr>
        <w:footnoteRef/>
      </w:r>
      <w:r w:rsidRPr="00EF4127">
        <w:rPr>
          <w:sz w:val="16"/>
          <w:szCs w:val="16"/>
        </w:rPr>
        <w:t xml:space="preserve"> </w:t>
      </w:r>
      <w:r>
        <w:rPr>
          <w:sz w:val="16"/>
          <w:szCs w:val="16"/>
        </w:rPr>
        <w:tab/>
        <w:t>B</w:t>
      </w:r>
      <w:r w:rsidRPr="00EF4127">
        <w:rPr>
          <w:sz w:val="16"/>
          <w:szCs w:val="16"/>
        </w:rPr>
        <w:t>ased on post grade</w:t>
      </w:r>
      <w:r>
        <w:rPr>
          <w:sz w:val="16"/>
          <w:szCs w:val="16"/>
        </w:rPr>
        <w:t xml:space="preserve">. </w:t>
      </w:r>
      <w:r w:rsidRPr="00EF4127">
        <w:rPr>
          <w:sz w:val="16"/>
          <w:szCs w:val="16"/>
        </w:rPr>
        <w:t xml:space="preserve">Temporary staff and the executive category </w:t>
      </w:r>
      <w:proofErr w:type="gramStart"/>
      <w:r>
        <w:rPr>
          <w:sz w:val="16"/>
          <w:szCs w:val="16"/>
        </w:rPr>
        <w:t>are</w:t>
      </w:r>
      <w:r w:rsidRPr="00EF4127">
        <w:rPr>
          <w:sz w:val="16"/>
          <w:szCs w:val="16"/>
        </w:rPr>
        <w:t xml:space="preserve"> excluded</w:t>
      </w:r>
      <w:proofErr w:type="gramEnd"/>
      <w:r>
        <w:rPr>
          <w:sz w:val="16"/>
          <w:szCs w:val="16"/>
        </w:rPr>
        <w:t>.</w:t>
      </w:r>
    </w:p>
  </w:footnote>
  <w:footnote w:id="9">
    <w:p w14:paraId="7E46ACDF" w14:textId="77777777" w:rsidR="00987184" w:rsidRPr="00BA7C6B" w:rsidRDefault="00987184" w:rsidP="00E2136A">
      <w:pPr>
        <w:pStyle w:val="FootnoteText"/>
        <w:rPr>
          <w:sz w:val="16"/>
          <w:szCs w:val="16"/>
        </w:rPr>
      </w:pPr>
      <w:r w:rsidRPr="00BA7C6B">
        <w:rPr>
          <w:rStyle w:val="FootnoteReference"/>
          <w:sz w:val="16"/>
          <w:szCs w:val="16"/>
        </w:rPr>
        <w:footnoteRef/>
      </w:r>
      <w:r w:rsidRPr="00BA7C6B">
        <w:rPr>
          <w:sz w:val="16"/>
          <w:szCs w:val="16"/>
        </w:rPr>
        <w:t xml:space="preserve"> </w:t>
      </w:r>
      <w:r w:rsidRPr="00BA7C6B">
        <w:rPr>
          <w:sz w:val="16"/>
          <w:szCs w:val="16"/>
        </w:rPr>
        <w:tab/>
        <w:t xml:space="preserve">See the CEB’s UN System Model Policy on Sexual Harassment at: </w:t>
      </w:r>
      <w:hyperlink r:id="rId3" w:history="1">
        <w:r w:rsidRPr="00BA7C6B">
          <w:rPr>
            <w:rStyle w:val="Hyperlink"/>
            <w:sz w:val="16"/>
            <w:szCs w:val="16"/>
          </w:rPr>
          <w:t>https://unsceb.org/sites/default/files/imported_files/UN%20System%20Model%20Policy%20on%20Sexual%20Harassment_FINAL_0.pdf</w:t>
        </w:r>
      </w:hyperlink>
      <w:r w:rsidRPr="00BA7C6B">
        <w:rPr>
          <w:sz w:val="16"/>
          <w:szCs w:val="16"/>
        </w:rPr>
        <w:t xml:space="preserve"> </w:t>
      </w:r>
    </w:p>
  </w:footnote>
  <w:footnote w:id="10">
    <w:p w14:paraId="150C2917" w14:textId="77777777" w:rsidR="00987184" w:rsidRPr="00BA7C6B" w:rsidRDefault="00987184" w:rsidP="00CD4202">
      <w:pPr>
        <w:pStyle w:val="FootnoteText"/>
        <w:rPr>
          <w:sz w:val="16"/>
          <w:szCs w:val="16"/>
        </w:rPr>
      </w:pPr>
      <w:r w:rsidRPr="00BA7C6B">
        <w:rPr>
          <w:rStyle w:val="FootnoteReference"/>
          <w:sz w:val="16"/>
          <w:szCs w:val="16"/>
        </w:rPr>
        <w:footnoteRef/>
      </w:r>
      <w:r w:rsidRPr="00BA7C6B">
        <w:rPr>
          <w:sz w:val="16"/>
          <w:szCs w:val="16"/>
        </w:rPr>
        <w:t xml:space="preserve"> </w:t>
      </w:r>
      <w:r w:rsidRPr="00BA7C6B">
        <w:rPr>
          <w:sz w:val="16"/>
          <w:szCs w:val="16"/>
        </w:rPr>
        <w:tab/>
        <w:t xml:space="preserve">See </w:t>
      </w:r>
      <w:hyperlink r:id="rId4" w:history="1">
        <w:r w:rsidRPr="00BA7C6B">
          <w:rPr>
            <w:rStyle w:val="Hyperlink"/>
            <w:sz w:val="16"/>
            <w:szCs w:val="16"/>
          </w:rPr>
          <w:t>WO/CC/80/3</w:t>
        </w:r>
      </w:hyperlink>
      <w:r w:rsidRPr="00BA7C6B">
        <w:rPr>
          <w:sz w:val="16"/>
          <w:szCs w:val="16"/>
        </w:rPr>
        <w:t xml:space="preserve"> of August 3, 2021 (“Amendments to Staff Regulations and Rules”), at paragraph 17.</w:t>
      </w:r>
    </w:p>
  </w:footnote>
  <w:footnote w:id="11">
    <w:p w14:paraId="057693C3" w14:textId="04179E9B" w:rsidR="00987184" w:rsidRPr="00331895" w:rsidRDefault="00987184" w:rsidP="00CD4202">
      <w:pPr>
        <w:pStyle w:val="FootnoteText"/>
      </w:pPr>
      <w:r w:rsidRPr="007F6F1B">
        <w:rPr>
          <w:rStyle w:val="FootnoteReference"/>
          <w:sz w:val="16"/>
          <w:szCs w:val="16"/>
        </w:rPr>
        <w:footnoteRef/>
      </w:r>
      <w:r w:rsidRPr="007F6F1B">
        <w:rPr>
          <w:sz w:val="16"/>
          <w:szCs w:val="16"/>
        </w:rPr>
        <w:t xml:space="preserve"> </w:t>
      </w:r>
      <w:r>
        <w:rPr>
          <w:sz w:val="16"/>
          <w:szCs w:val="16"/>
        </w:rPr>
        <w:tab/>
      </w:r>
      <w:r w:rsidRPr="007F6F1B">
        <w:rPr>
          <w:sz w:val="16"/>
          <w:szCs w:val="16"/>
        </w:rPr>
        <w:t xml:space="preserve">Focal Points Initiative – WIPO collaborates with missions (predominantly under or unrepresented </w:t>
      </w:r>
      <w:r>
        <w:rPr>
          <w:sz w:val="16"/>
          <w:szCs w:val="16"/>
        </w:rPr>
        <w:t>M</w:t>
      </w:r>
      <w:r w:rsidRPr="007F6F1B">
        <w:rPr>
          <w:sz w:val="16"/>
          <w:szCs w:val="16"/>
        </w:rPr>
        <w:t xml:space="preserve">ember </w:t>
      </w:r>
      <w:r>
        <w:rPr>
          <w:sz w:val="16"/>
          <w:szCs w:val="16"/>
        </w:rPr>
        <w:t>S</w:t>
      </w:r>
      <w:r w:rsidRPr="007F6F1B">
        <w:rPr>
          <w:sz w:val="16"/>
          <w:szCs w:val="16"/>
        </w:rPr>
        <w:t xml:space="preserve">tates) and IP national offices to identify national focal points for further outreach of vacancy announcements </w:t>
      </w:r>
      <w:proofErr w:type="gramStart"/>
      <w:r w:rsidRPr="007F6F1B">
        <w:rPr>
          <w:sz w:val="16"/>
          <w:szCs w:val="16"/>
        </w:rPr>
        <w:t>in-country</w:t>
      </w:r>
      <w:proofErr w:type="gramEnd"/>
      <w:r w:rsidRPr="007F6F1B">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B380" w14:textId="77777777" w:rsidR="00987184" w:rsidRDefault="00987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0B69" w14:textId="73C06A04" w:rsidR="00987184" w:rsidRDefault="00987184" w:rsidP="00477D6B">
    <w:pPr>
      <w:jc w:val="right"/>
    </w:pPr>
    <w:bookmarkStart w:id="6" w:name="Code2"/>
    <w:bookmarkEnd w:id="6"/>
    <w:r>
      <w:t>WO/CC/81/INF/1</w:t>
    </w:r>
  </w:p>
  <w:p w14:paraId="39BF9403" w14:textId="3C980412" w:rsidR="00987184" w:rsidRDefault="00987184" w:rsidP="00477D6B">
    <w:pPr>
      <w:jc w:val="right"/>
    </w:pPr>
    <w:proofErr w:type="gramStart"/>
    <w:r>
      <w:t>page</w:t>
    </w:r>
    <w:proofErr w:type="gramEnd"/>
    <w:r>
      <w:t xml:space="preserve"> </w:t>
    </w:r>
    <w:r>
      <w:fldChar w:fldCharType="begin"/>
    </w:r>
    <w:r>
      <w:instrText xml:space="preserve"> PAGE  \* MERGEFORMAT </w:instrText>
    </w:r>
    <w:r>
      <w:fldChar w:fldCharType="separate"/>
    </w:r>
    <w:r w:rsidR="00782D4E">
      <w:rPr>
        <w:noProof/>
      </w:rPr>
      <w:t>12</w:t>
    </w:r>
    <w:r>
      <w:fldChar w:fldCharType="end"/>
    </w:r>
  </w:p>
  <w:p w14:paraId="059DFAE7" w14:textId="77777777" w:rsidR="00987184" w:rsidRDefault="00987184" w:rsidP="00477D6B">
    <w:pPr>
      <w:jc w:val="right"/>
    </w:pPr>
  </w:p>
  <w:p w14:paraId="18AF3228" w14:textId="77777777" w:rsidR="00987184" w:rsidRDefault="0098718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6A5FC" w14:textId="77777777" w:rsidR="00987184" w:rsidRDefault="00987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3F946514"/>
    <w:lvl w:ilvl="0" w:tplc="2E76AEF8">
      <w:numFmt w:val="bullet"/>
      <w:lvlText w:val="-"/>
      <w:lvlJc w:val="left"/>
      <w:pPr>
        <w:ind w:left="900" w:hanging="360"/>
      </w:pPr>
      <w:rPr>
        <w:rFonts w:ascii="Arial" w:eastAsia="Times New Roman" w:hAnsi="Arial" w:cs="Aria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6152B"/>
    <w:multiLevelType w:val="hybridMultilevel"/>
    <w:tmpl w:val="42D08046"/>
    <w:lvl w:ilvl="0" w:tplc="A6A0CBAE">
      <w:start w:val="1"/>
      <w:numFmt w:val="decimal"/>
      <w:lvlText w:val="%1."/>
      <w:lvlJc w:val="left"/>
      <w:pPr>
        <w:ind w:left="630" w:hanging="360"/>
      </w:pPr>
      <w:rPr>
        <w:rFonts w:ascii="Arial" w:hAnsi="Arial" w:cs="Arial" w:hint="default"/>
        <w:i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515BD"/>
    <w:multiLevelType w:val="hybridMultilevel"/>
    <w:tmpl w:val="2BE0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37D1868"/>
    <w:multiLevelType w:val="hybridMultilevel"/>
    <w:tmpl w:val="948C2488"/>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9CDE840C">
      <w:start w:val="4"/>
      <w:numFmt w:val="bullet"/>
      <w:lvlText w:val="-"/>
      <w:lvlJc w:val="left"/>
      <w:pPr>
        <w:ind w:left="2160" w:hanging="360"/>
      </w:pPr>
      <w:rPr>
        <w:rFonts w:ascii="Arial" w:eastAsia="Lucida Sans"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C1360CE"/>
    <w:multiLevelType w:val="hybridMultilevel"/>
    <w:tmpl w:val="E8C6A37C"/>
    <w:lvl w:ilvl="0" w:tplc="9CDE840C">
      <w:start w:val="4"/>
      <w:numFmt w:val="bullet"/>
      <w:lvlText w:val="-"/>
      <w:lvlJc w:val="left"/>
      <w:pPr>
        <w:ind w:left="1287" w:hanging="360"/>
      </w:pPr>
      <w:rPr>
        <w:rFonts w:ascii="Arial" w:eastAsia="Lucida Sans" w:hAnsi="Arial" w:cs="Aria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F72EA8"/>
    <w:multiLevelType w:val="hybridMultilevel"/>
    <w:tmpl w:val="44749FEC"/>
    <w:lvl w:ilvl="0" w:tplc="33C09262">
      <w:start w:val="1"/>
      <w:numFmt w:val="bullet"/>
      <w:lvlText w:val="•"/>
      <w:lvlJc w:val="left"/>
      <w:pPr>
        <w:tabs>
          <w:tab w:val="num" w:pos="1293"/>
        </w:tabs>
        <w:ind w:left="1293" w:hanging="360"/>
      </w:pPr>
      <w:rPr>
        <w:rFonts w:ascii="Arial" w:hAnsi="Aria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17" w15:restartNumberingAfterBreak="0">
    <w:nsid w:val="6E0C1531"/>
    <w:multiLevelType w:val="hybridMultilevel"/>
    <w:tmpl w:val="766C99F4"/>
    <w:lvl w:ilvl="0" w:tplc="33C092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0D043F"/>
    <w:multiLevelType w:val="hybridMultilevel"/>
    <w:tmpl w:val="F56A9A46"/>
    <w:lvl w:ilvl="0" w:tplc="617C36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D5006"/>
    <w:multiLevelType w:val="hybridMultilevel"/>
    <w:tmpl w:val="E544EAB8"/>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0"/>
  </w:num>
  <w:num w:numId="4">
    <w:abstractNumId w:val="15"/>
  </w:num>
  <w:num w:numId="5">
    <w:abstractNumId w:val="2"/>
  </w:num>
  <w:num w:numId="6">
    <w:abstractNumId w:val="10"/>
  </w:num>
  <w:num w:numId="7">
    <w:abstractNumId w:val="3"/>
  </w:num>
  <w:num w:numId="8">
    <w:abstractNumId w:val="6"/>
  </w:num>
  <w:num w:numId="9">
    <w:abstractNumId w:val="9"/>
  </w:num>
  <w:num w:numId="10">
    <w:abstractNumId w:val="18"/>
  </w:num>
  <w:num w:numId="11">
    <w:abstractNumId w:val="19"/>
  </w:num>
  <w:num w:numId="12">
    <w:abstractNumId w:val="5"/>
  </w:num>
  <w:num w:numId="13">
    <w:abstractNumId w:val="4"/>
  </w:num>
  <w:num w:numId="14">
    <w:abstractNumId w:val="13"/>
  </w:num>
  <w:num w:numId="15">
    <w:abstractNumId w:val="1"/>
  </w:num>
  <w:num w:numId="16">
    <w:abstractNumId w:val="11"/>
  </w:num>
  <w:num w:numId="17">
    <w:abstractNumId w:val="17"/>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EE"/>
    <w:rsid w:val="00015310"/>
    <w:rsid w:val="00015EE4"/>
    <w:rsid w:val="00023A7E"/>
    <w:rsid w:val="00032170"/>
    <w:rsid w:val="00043CAA"/>
    <w:rsid w:val="00051A08"/>
    <w:rsid w:val="000545EB"/>
    <w:rsid w:val="00056816"/>
    <w:rsid w:val="0006560C"/>
    <w:rsid w:val="00072A3B"/>
    <w:rsid w:val="00075432"/>
    <w:rsid w:val="00077CFB"/>
    <w:rsid w:val="000962E3"/>
    <w:rsid w:val="000968ED"/>
    <w:rsid w:val="000A0CFB"/>
    <w:rsid w:val="000A3D97"/>
    <w:rsid w:val="000A5818"/>
    <w:rsid w:val="000C67B1"/>
    <w:rsid w:val="000E030E"/>
    <w:rsid w:val="000E17BC"/>
    <w:rsid w:val="000F35C7"/>
    <w:rsid w:val="000F5E56"/>
    <w:rsid w:val="00100FFF"/>
    <w:rsid w:val="001040D3"/>
    <w:rsid w:val="001114DA"/>
    <w:rsid w:val="00111FC4"/>
    <w:rsid w:val="00117369"/>
    <w:rsid w:val="00132C92"/>
    <w:rsid w:val="001362EE"/>
    <w:rsid w:val="00141E1E"/>
    <w:rsid w:val="00144C74"/>
    <w:rsid w:val="00146E65"/>
    <w:rsid w:val="00163789"/>
    <w:rsid w:val="001647D5"/>
    <w:rsid w:val="0016572C"/>
    <w:rsid w:val="001832A6"/>
    <w:rsid w:val="00184F54"/>
    <w:rsid w:val="0018674A"/>
    <w:rsid w:val="001868C2"/>
    <w:rsid w:val="00186BC1"/>
    <w:rsid w:val="001A677B"/>
    <w:rsid w:val="001A6B4A"/>
    <w:rsid w:val="001B37E6"/>
    <w:rsid w:val="001B551B"/>
    <w:rsid w:val="001C5A06"/>
    <w:rsid w:val="001D3E6C"/>
    <w:rsid w:val="001D4107"/>
    <w:rsid w:val="001E1F57"/>
    <w:rsid w:val="002033FD"/>
    <w:rsid w:val="002039D2"/>
    <w:rsid w:val="00203D24"/>
    <w:rsid w:val="00210EA0"/>
    <w:rsid w:val="00211894"/>
    <w:rsid w:val="0021217E"/>
    <w:rsid w:val="00217D05"/>
    <w:rsid w:val="00223875"/>
    <w:rsid w:val="0022398C"/>
    <w:rsid w:val="00232979"/>
    <w:rsid w:val="002332F3"/>
    <w:rsid w:val="00243430"/>
    <w:rsid w:val="002440AD"/>
    <w:rsid w:val="002473F6"/>
    <w:rsid w:val="0025218F"/>
    <w:rsid w:val="002606DC"/>
    <w:rsid w:val="00261566"/>
    <w:rsid w:val="002634C4"/>
    <w:rsid w:val="00273D0B"/>
    <w:rsid w:val="00276BEE"/>
    <w:rsid w:val="00285AE0"/>
    <w:rsid w:val="00290326"/>
    <w:rsid w:val="002928D3"/>
    <w:rsid w:val="00295456"/>
    <w:rsid w:val="002A56CC"/>
    <w:rsid w:val="002C6A4A"/>
    <w:rsid w:val="002C6F7E"/>
    <w:rsid w:val="002D4A34"/>
    <w:rsid w:val="002D4A7E"/>
    <w:rsid w:val="002D5F75"/>
    <w:rsid w:val="002E6AE4"/>
    <w:rsid w:val="002F1FE6"/>
    <w:rsid w:val="002F3711"/>
    <w:rsid w:val="002F4E68"/>
    <w:rsid w:val="00302F4B"/>
    <w:rsid w:val="003064B2"/>
    <w:rsid w:val="003064C9"/>
    <w:rsid w:val="003113A6"/>
    <w:rsid w:val="00312F7F"/>
    <w:rsid w:val="0031425E"/>
    <w:rsid w:val="00314F4B"/>
    <w:rsid w:val="0033266C"/>
    <w:rsid w:val="00334A88"/>
    <w:rsid w:val="00342BA0"/>
    <w:rsid w:val="00347872"/>
    <w:rsid w:val="00353815"/>
    <w:rsid w:val="00353E28"/>
    <w:rsid w:val="003601D7"/>
    <w:rsid w:val="00361450"/>
    <w:rsid w:val="00364886"/>
    <w:rsid w:val="003673CF"/>
    <w:rsid w:val="00380994"/>
    <w:rsid w:val="003845C1"/>
    <w:rsid w:val="00390FE8"/>
    <w:rsid w:val="003A6F89"/>
    <w:rsid w:val="003A7F20"/>
    <w:rsid w:val="003B38C1"/>
    <w:rsid w:val="003B67D0"/>
    <w:rsid w:val="003C34E9"/>
    <w:rsid w:val="003C3AB3"/>
    <w:rsid w:val="003C7668"/>
    <w:rsid w:val="003E33E4"/>
    <w:rsid w:val="003E4FCD"/>
    <w:rsid w:val="003E79C1"/>
    <w:rsid w:val="003F2EBF"/>
    <w:rsid w:val="00404DBA"/>
    <w:rsid w:val="0042187A"/>
    <w:rsid w:val="00423E1D"/>
    <w:rsid w:val="00423E3E"/>
    <w:rsid w:val="00427AF4"/>
    <w:rsid w:val="00434709"/>
    <w:rsid w:val="00441BB7"/>
    <w:rsid w:val="00441EF3"/>
    <w:rsid w:val="00461421"/>
    <w:rsid w:val="00464380"/>
    <w:rsid w:val="004645D0"/>
    <w:rsid w:val="004647DA"/>
    <w:rsid w:val="00467924"/>
    <w:rsid w:val="00472485"/>
    <w:rsid w:val="00473594"/>
    <w:rsid w:val="00474062"/>
    <w:rsid w:val="004749EB"/>
    <w:rsid w:val="00477D6B"/>
    <w:rsid w:val="00480905"/>
    <w:rsid w:val="00481263"/>
    <w:rsid w:val="004945EF"/>
    <w:rsid w:val="00496A23"/>
    <w:rsid w:val="004972F3"/>
    <w:rsid w:val="004A78CD"/>
    <w:rsid w:val="004B7D96"/>
    <w:rsid w:val="004C231F"/>
    <w:rsid w:val="004D17F6"/>
    <w:rsid w:val="004D274C"/>
    <w:rsid w:val="004F101E"/>
    <w:rsid w:val="004F2106"/>
    <w:rsid w:val="004F467D"/>
    <w:rsid w:val="004F6F5A"/>
    <w:rsid w:val="005019FF"/>
    <w:rsid w:val="00502AD3"/>
    <w:rsid w:val="005103D9"/>
    <w:rsid w:val="0051078A"/>
    <w:rsid w:val="00510978"/>
    <w:rsid w:val="00512E2C"/>
    <w:rsid w:val="0052195F"/>
    <w:rsid w:val="00521CAB"/>
    <w:rsid w:val="00522272"/>
    <w:rsid w:val="00522816"/>
    <w:rsid w:val="0053057A"/>
    <w:rsid w:val="00541F48"/>
    <w:rsid w:val="005456E2"/>
    <w:rsid w:val="00546352"/>
    <w:rsid w:val="0055266C"/>
    <w:rsid w:val="00556076"/>
    <w:rsid w:val="00560A29"/>
    <w:rsid w:val="0056540E"/>
    <w:rsid w:val="00570DC1"/>
    <w:rsid w:val="005723BE"/>
    <w:rsid w:val="00577B96"/>
    <w:rsid w:val="00581D81"/>
    <w:rsid w:val="005A275D"/>
    <w:rsid w:val="005A6514"/>
    <w:rsid w:val="005B187A"/>
    <w:rsid w:val="005B44D8"/>
    <w:rsid w:val="005B5982"/>
    <w:rsid w:val="005B7650"/>
    <w:rsid w:val="005C19FD"/>
    <w:rsid w:val="005C6649"/>
    <w:rsid w:val="005D0E2C"/>
    <w:rsid w:val="005D4D49"/>
    <w:rsid w:val="005D572E"/>
    <w:rsid w:val="005D5BFE"/>
    <w:rsid w:val="005E2AB8"/>
    <w:rsid w:val="005E7253"/>
    <w:rsid w:val="005F030F"/>
    <w:rsid w:val="005F1971"/>
    <w:rsid w:val="005F5DDE"/>
    <w:rsid w:val="005F61E4"/>
    <w:rsid w:val="0060009D"/>
    <w:rsid w:val="00605827"/>
    <w:rsid w:val="0060728F"/>
    <w:rsid w:val="00610C7D"/>
    <w:rsid w:val="006175F3"/>
    <w:rsid w:val="006221A7"/>
    <w:rsid w:val="00623B13"/>
    <w:rsid w:val="00644DB2"/>
    <w:rsid w:val="00646050"/>
    <w:rsid w:val="00670F4F"/>
    <w:rsid w:val="00670F7B"/>
    <w:rsid w:val="00671213"/>
    <w:rsid w:val="006713CA"/>
    <w:rsid w:val="00676C5C"/>
    <w:rsid w:val="00681AC9"/>
    <w:rsid w:val="00695A3B"/>
    <w:rsid w:val="006A4D2A"/>
    <w:rsid w:val="006B02A1"/>
    <w:rsid w:val="006B276A"/>
    <w:rsid w:val="006C1C57"/>
    <w:rsid w:val="006D41E0"/>
    <w:rsid w:val="006E17D4"/>
    <w:rsid w:val="006F1F12"/>
    <w:rsid w:val="006F6F83"/>
    <w:rsid w:val="00705756"/>
    <w:rsid w:val="00707DB3"/>
    <w:rsid w:val="0071360B"/>
    <w:rsid w:val="00716033"/>
    <w:rsid w:val="00720EFD"/>
    <w:rsid w:val="00725C8C"/>
    <w:rsid w:val="0072762D"/>
    <w:rsid w:val="00732839"/>
    <w:rsid w:val="007626FF"/>
    <w:rsid w:val="007628F7"/>
    <w:rsid w:val="00764616"/>
    <w:rsid w:val="007758BC"/>
    <w:rsid w:val="00782D4E"/>
    <w:rsid w:val="00793A7C"/>
    <w:rsid w:val="00797571"/>
    <w:rsid w:val="007A398A"/>
    <w:rsid w:val="007A5530"/>
    <w:rsid w:val="007A63D3"/>
    <w:rsid w:val="007A6E81"/>
    <w:rsid w:val="007B4376"/>
    <w:rsid w:val="007C0136"/>
    <w:rsid w:val="007D1613"/>
    <w:rsid w:val="007E1C27"/>
    <w:rsid w:val="007E4C0E"/>
    <w:rsid w:val="007E7601"/>
    <w:rsid w:val="007F6F1B"/>
    <w:rsid w:val="008045ED"/>
    <w:rsid w:val="00812E41"/>
    <w:rsid w:val="00817DFA"/>
    <w:rsid w:val="00820042"/>
    <w:rsid w:val="008308B9"/>
    <w:rsid w:val="00832028"/>
    <w:rsid w:val="00834B65"/>
    <w:rsid w:val="00834EC4"/>
    <w:rsid w:val="008372A5"/>
    <w:rsid w:val="00841455"/>
    <w:rsid w:val="008501CC"/>
    <w:rsid w:val="008526F8"/>
    <w:rsid w:val="00852706"/>
    <w:rsid w:val="00856F13"/>
    <w:rsid w:val="008625D0"/>
    <w:rsid w:val="00864B91"/>
    <w:rsid w:val="00875B1E"/>
    <w:rsid w:val="0087681F"/>
    <w:rsid w:val="008772BF"/>
    <w:rsid w:val="00880A7C"/>
    <w:rsid w:val="00880D97"/>
    <w:rsid w:val="00881EE0"/>
    <w:rsid w:val="008854EA"/>
    <w:rsid w:val="00892E93"/>
    <w:rsid w:val="008974D8"/>
    <w:rsid w:val="008A134B"/>
    <w:rsid w:val="008A21E7"/>
    <w:rsid w:val="008A650A"/>
    <w:rsid w:val="008A70B1"/>
    <w:rsid w:val="008B2CC1"/>
    <w:rsid w:val="008B3553"/>
    <w:rsid w:val="008B60B2"/>
    <w:rsid w:val="008C0743"/>
    <w:rsid w:val="008C7E22"/>
    <w:rsid w:val="008D32E3"/>
    <w:rsid w:val="008D4E7A"/>
    <w:rsid w:val="008E3C6F"/>
    <w:rsid w:val="008E4851"/>
    <w:rsid w:val="008F359F"/>
    <w:rsid w:val="0090731E"/>
    <w:rsid w:val="00914689"/>
    <w:rsid w:val="009146BC"/>
    <w:rsid w:val="0091585B"/>
    <w:rsid w:val="00916EE2"/>
    <w:rsid w:val="00920EFC"/>
    <w:rsid w:val="0092748B"/>
    <w:rsid w:val="00930754"/>
    <w:rsid w:val="00930D37"/>
    <w:rsid w:val="0093323B"/>
    <w:rsid w:val="00934963"/>
    <w:rsid w:val="00953218"/>
    <w:rsid w:val="00956E1C"/>
    <w:rsid w:val="00966A22"/>
    <w:rsid w:val="0096722F"/>
    <w:rsid w:val="00980843"/>
    <w:rsid w:val="00983145"/>
    <w:rsid w:val="00986003"/>
    <w:rsid w:val="00986A17"/>
    <w:rsid w:val="00987184"/>
    <w:rsid w:val="00997DE5"/>
    <w:rsid w:val="009A126E"/>
    <w:rsid w:val="009A4B04"/>
    <w:rsid w:val="009A782F"/>
    <w:rsid w:val="009B0B74"/>
    <w:rsid w:val="009B158A"/>
    <w:rsid w:val="009B19E4"/>
    <w:rsid w:val="009C4207"/>
    <w:rsid w:val="009C746B"/>
    <w:rsid w:val="009D0B20"/>
    <w:rsid w:val="009E2791"/>
    <w:rsid w:val="009E3F6F"/>
    <w:rsid w:val="009F1671"/>
    <w:rsid w:val="009F16D1"/>
    <w:rsid w:val="009F499F"/>
    <w:rsid w:val="009F6985"/>
    <w:rsid w:val="00A01479"/>
    <w:rsid w:val="00A15838"/>
    <w:rsid w:val="00A17D90"/>
    <w:rsid w:val="00A21361"/>
    <w:rsid w:val="00A35865"/>
    <w:rsid w:val="00A363F5"/>
    <w:rsid w:val="00A37342"/>
    <w:rsid w:val="00A42DAF"/>
    <w:rsid w:val="00A434B6"/>
    <w:rsid w:val="00A45BD8"/>
    <w:rsid w:val="00A61B67"/>
    <w:rsid w:val="00A65C9B"/>
    <w:rsid w:val="00A67D93"/>
    <w:rsid w:val="00A825F9"/>
    <w:rsid w:val="00A83B4C"/>
    <w:rsid w:val="00A869B7"/>
    <w:rsid w:val="00AB2E8D"/>
    <w:rsid w:val="00AB6A66"/>
    <w:rsid w:val="00AC1A26"/>
    <w:rsid w:val="00AC205C"/>
    <w:rsid w:val="00AC4C0E"/>
    <w:rsid w:val="00AD148F"/>
    <w:rsid w:val="00AF0A6B"/>
    <w:rsid w:val="00AF1AFC"/>
    <w:rsid w:val="00B034D1"/>
    <w:rsid w:val="00B05357"/>
    <w:rsid w:val="00B05A69"/>
    <w:rsid w:val="00B07D1B"/>
    <w:rsid w:val="00B12514"/>
    <w:rsid w:val="00B2584C"/>
    <w:rsid w:val="00B33AA7"/>
    <w:rsid w:val="00B56EA8"/>
    <w:rsid w:val="00B60965"/>
    <w:rsid w:val="00B643E3"/>
    <w:rsid w:val="00B7196C"/>
    <w:rsid w:val="00B73502"/>
    <w:rsid w:val="00B75281"/>
    <w:rsid w:val="00B80EA8"/>
    <w:rsid w:val="00B92F1F"/>
    <w:rsid w:val="00B9734B"/>
    <w:rsid w:val="00BA30E2"/>
    <w:rsid w:val="00BA7C6B"/>
    <w:rsid w:val="00BC481A"/>
    <w:rsid w:val="00BC7110"/>
    <w:rsid w:val="00BD0BDB"/>
    <w:rsid w:val="00BE7F5D"/>
    <w:rsid w:val="00BF21AE"/>
    <w:rsid w:val="00C00A0C"/>
    <w:rsid w:val="00C11B8F"/>
    <w:rsid w:val="00C11BFE"/>
    <w:rsid w:val="00C124CA"/>
    <w:rsid w:val="00C2276A"/>
    <w:rsid w:val="00C231F5"/>
    <w:rsid w:val="00C2785F"/>
    <w:rsid w:val="00C3012D"/>
    <w:rsid w:val="00C31A33"/>
    <w:rsid w:val="00C329C5"/>
    <w:rsid w:val="00C35670"/>
    <w:rsid w:val="00C41220"/>
    <w:rsid w:val="00C500FE"/>
    <w:rsid w:val="00C5068F"/>
    <w:rsid w:val="00C50A75"/>
    <w:rsid w:val="00C5374E"/>
    <w:rsid w:val="00C55CE1"/>
    <w:rsid w:val="00C62342"/>
    <w:rsid w:val="00C67361"/>
    <w:rsid w:val="00C732D9"/>
    <w:rsid w:val="00C74A9B"/>
    <w:rsid w:val="00C86D74"/>
    <w:rsid w:val="00C87001"/>
    <w:rsid w:val="00CA3D14"/>
    <w:rsid w:val="00CA5C1A"/>
    <w:rsid w:val="00CC1127"/>
    <w:rsid w:val="00CD04F1"/>
    <w:rsid w:val="00CD3C22"/>
    <w:rsid w:val="00CD4202"/>
    <w:rsid w:val="00CD4CDA"/>
    <w:rsid w:val="00CE1BBD"/>
    <w:rsid w:val="00CE3610"/>
    <w:rsid w:val="00CE7914"/>
    <w:rsid w:val="00CF5B2F"/>
    <w:rsid w:val="00CF681A"/>
    <w:rsid w:val="00D07C78"/>
    <w:rsid w:val="00D15289"/>
    <w:rsid w:val="00D15590"/>
    <w:rsid w:val="00D204CB"/>
    <w:rsid w:val="00D24748"/>
    <w:rsid w:val="00D408C6"/>
    <w:rsid w:val="00D45252"/>
    <w:rsid w:val="00D472FE"/>
    <w:rsid w:val="00D51DBF"/>
    <w:rsid w:val="00D557B7"/>
    <w:rsid w:val="00D71B4D"/>
    <w:rsid w:val="00D74A00"/>
    <w:rsid w:val="00D74CC9"/>
    <w:rsid w:val="00D8391C"/>
    <w:rsid w:val="00D8492F"/>
    <w:rsid w:val="00D93D55"/>
    <w:rsid w:val="00D9471A"/>
    <w:rsid w:val="00DA36C5"/>
    <w:rsid w:val="00DB6622"/>
    <w:rsid w:val="00DD2370"/>
    <w:rsid w:val="00DD7B7F"/>
    <w:rsid w:val="00DE154E"/>
    <w:rsid w:val="00DE3C8A"/>
    <w:rsid w:val="00DF1A68"/>
    <w:rsid w:val="00E03613"/>
    <w:rsid w:val="00E110EA"/>
    <w:rsid w:val="00E15015"/>
    <w:rsid w:val="00E2136A"/>
    <w:rsid w:val="00E22D95"/>
    <w:rsid w:val="00E335FE"/>
    <w:rsid w:val="00E36E48"/>
    <w:rsid w:val="00E4034A"/>
    <w:rsid w:val="00E501A2"/>
    <w:rsid w:val="00E57588"/>
    <w:rsid w:val="00E60918"/>
    <w:rsid w:val="00E60E1A"/>
    <w:rsid w:val="00E64950"/>
    <w:rsid w:val="00E7591C"/>
    <w:rsid w:val="00EA7D6E"/>
    <w:rsid w:val="00EB07F2"/>
    <w:rsid w:val="00EB1C65"/>
    <w:rsid w:val="00EB2F76"/>
    <w:rsid w:val="00EC08E5"/>
    <w:rsid w:val="00EC4E49"/>
    <w:rsid w:val="00ED0603"/>
    <w:rsid w:val="00ED77FB"/>
    <w:rsid w:val="00EE45FA"/>
    <w:rsid w:val="00EE5BFA"/>
    <w:rsid w:val="00EE5D27"/>
    <w:rsid w:val="00EF3207"/>
    <w:rsid w:val="00EF474E"/>
    <w:rsid w:val="00F043DE"/>
    <w:rsid w:val="00F21EF3"/>
    <w:rsid w:val="00F277DA"/>
    <w:rsid w:val="00F33C50"/>
    <w:rsid w:val="00F44DD7"/>
    <w:rsid w:val="00F5074B"/>
    <w:rsid w:val="00F64D91"/>
    <w:rsid w:val="00F66152"/>
    <w:rsid w:val="00F66778"/>
    <w:rsid w:val="00F813FE"/>
    <w:rsid w:val="00F905AE"/>
    <w:rsid w:val="00F9067D"/>
    <w:rsid w:val="00F9165B"/>
    <w:rsid w:val="00F944FE"/>
    <w:rsid w:val="00FA3669"/>
    <w:rsid w:val="00FA455E"/>
    <w:rsid w:val="00FA712B"/>
    <w:rsid w:val="00FD1B40"/>
    <w:rsid w:val="00FF1C26"/>
    <w:rsid w:val="00FF36B9"/>
    <w:rsid w:val="00FF5842"/>
    <w:rsid w:val="00FF6E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3E5FAC5"/>
  <w15:docId w15:val="{2494530E-51B6-4FBF-9213-DBF3F0F4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276BEE"/>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276BEE"/>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276BEE"/>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semiHidden/>
    <w:rsid w:val="00276BEE"/>
    <w:rPr>
      <w:rFonts w:ascii="Arial" w:eastAsia="SimSun" w:hAnsi="Arial" w:cs="Arial"/>
      <w:sz w:val="18"/>
      <w:lang w:val="en-US" w:eastAsia="zh-CN"/>
    </w:rPr>
  </w:style>
  <w:style w:type="character" w:customStyle="1" w:styleId="CommentTextChar">
    <w:name w:val="Comment Text Char"/>
    <w:basedOn w:val="DefaultParagraphFont"/>
    <w:link w:val="CommentText"/>
    <w:uiPriority w:val="99"/>
    <w:rsid w:val="00276BEE"/>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basedOn w:val="DefaultParagraphFont"/>
    <w:unhideWhenUsed/>
    <w:rsid w:val="00276BEE"/>
    <w:rPr>
      <w:color w:val="0000FF" w:themeColor="hyperlink"/>
      <w:u w:val="single"/>
    </w:rPr>
  </w:style>
  <w:style w:type="character" w:styleId="FootnoteReference">
    <w:name w:val="footnote reference"/>
    <w:basedOn w:val="DefaultParagraphFont"/>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76BEE"/>
    <w:rPr>
      <w:rFonts w:ascii="Arial" w:hAnsi="Arial" w:cs="Arial"/>
      <w:sz w:val="22"/>
      <w:lang w:val="en-US" w:eastAsia="en-US"/>
    </w:rPr>
  </w:style>
  <w:style w:type="character" w:styleId="CommentReference">
    <w:name w:val="annotation reference"/>
    <w:basedOn w:val="DefaultParagraphFont"/>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lang w:val="en-US" w:eastAsia="en-US"/>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59"/>
    <w:rsid w:val="00276BE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basedOn w:val="DefaultParagraphFont"/>
    <w:link w:val="BalloonText"/>
    <w:semiHidden/>
    <w:rsid w:val="00276B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basedOn w:val="CommentTextChar"/>
    <w:link w:val="CommentSubject"/>
    <w:semiHidden/>
    <w:rsid w:val="00F44DD7"/>
    <w:rPr>
      <w:rFonts w:ascii="Arial" w:eastAsia="SimSun" w:hAnsi="Arial" w:cs="Arial"/>
      <w:b/>
      <w:bCs/>
      <w:sz w:val="18"/>
      <w:lang w:val="en-US" w:eastAsia="zh-CN"/>
    </w:rPr>
  </w:style>
  <w:style w:type="character" w:styleId="Strong">
    <w:name w:val="Strong"/>
    <w:basedOn w:val="DefaultParagraphFont"/>
    <w:uiPriority w:val="22"/>
    <w:qFormat/>
    <w:rsid w:val="00C124CA"/>
    <w:rPr>
      <w:b/>
      <w:bCs/>
    </w:rPr>
  </w:style>
  <w:style w:type="character" w:styleId="FollowedHyperlink">
    <w:name w:val="FollowedHyperlink"/>
    <w:basedOn w:val="DefaultParagraphFont"/>
    <w:semiHidden/>
    <w:unhideWhenUsed/>
    <w:rsid w:val="0055266C"/>
    <w:rPr>
      <w:color w:val="800080" w:themeColor="followedHyperlink"/>
      <w:u w:val="single"/>
    </w:rPr>
  </w:style>
  <w:style w:type="paragraph" w:styleId="Revision">
    <w:name w:val="Revision"/>
    <w:hidden/>
    <w:uiPriority w:val="99"/>
    <w:semiHidden/>
    <w:rsid w:val="005F61E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4398">
      <w:bodyDiv w:val="1"/>
      <w:marLeft w:val="0"/>
      <w:marRight w:val="0"/>
      <w:marTop w:val="0"/>
      <w:marBottom w:val="0"/>
      <w:divBdr>
        <w:top w:val="none" w:sz="0" w:space="0" w:color="auto"/>
        <w:left w:val="none" w:sz="0" w:space="0" w:color="auto"/>
        <w:bottom w:val="none" w:sz="0" w:space="0" w:color="auto"/>
        <w:right w:val="none" w:sz="0" w:space="0" w:color="auto"/>
      </w:divBdr>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502667017">
      <w:bodyDiv w:val="1"/>
      <w:marLeft w:val="0"/>
      <w:marRight w:val="0"/>
      <w:marTop w:val="0"/>
      <w:marBottom w:val="0"/>
      <w:divBdr>
        <w:top w:val="none" w:sz="0" w:space="0" w:color="auto"/>
        <w:left w:val="none" w:sz="0" w:space="0" w:color="auto"/>
        <w:bottom w:val="none" w:sz="0" w:space="0" w:color="auto"/>
        <w:right w:val="none" w:sz="0" w:space="0" w:color="auto"/>
      </w:divBdr>
    </w:div>
    <w:div w:id="727994726">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1034190397">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 w:id="1792287548">
      <w:bodyDiv w:val="1"/>
      <w:marLeft w:val="0"/>
      <w:marRight w:val="0"/>
      <w:marTop w:val="0"/>
      <w:marBottom w:val="0"/>
      <w:divBdr>
        <w:top w:val="none" w:sz="0" w:space="0" w:color="auto"/>
        <w:left w:val="none" w:sz="0" w:space="0" w:color="auto"/>
        <w:bottom w:val="none" w:sz="0" w:space="0" w:color="auto"/>
        <w:right w:val="none" w:sz="0" w:space="0" w:color="auto"/>
      </w:divBdr>
    </w:div>
    <w:div w:id="18765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jspf.org/wp-content/uploads/2021/10/A_76_297-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sc.un.org/Resources/General/AnnualReports/AR2021.pdf?r=0807689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meetings/en/doc_details.jsp?doc_id=548741" TargetMode="External"/><Relationship Id="rId14" Type="http://schemas.openxmlformats.org/officeDocument/2006/relationships/hyperlink" Target="https://www.wipo.int/ye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sceb.org/sites/default/files/imported_files/UN%20System%20Model%20Policy%20on%20Sexual%20Harassment_FINAL_0.pdf" TargetMode="External"/><Relationship Id="rId2" Type="http://schemas.openxmlformats.org/officeDocument/2006/relationships/hyperlink" Target="https://www.unwomen.org/en/how-we-work/un-system-coordination/promoting-un-accountability/un-swap-results/2020" TargetMode="External"/><Relationship Id="rId1" Type="http://schemas.openxmlformats.org/officeDocument/2006/relationships/hyperlink" Target="https://www.wipo.int/edocs/mdocs/govbody/en/wo_cc_75/wo_cc_75_3.pdf" TargetMode="External"/><Relationship Id="rId4" Type="http://schemas.openxmlformats.org/officeDocument/2006/relationships/hyperlink" Target="https://www.wipo.int/edocs/mdocs/govbody/en/wo_cc_80/wo_cc_80_3.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llegari\Downloads\Comparative%20Analysis%20by%20Year%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Comparison</a:t>
            </a:r>
            <a:r>
              <a:rPr lang="en-US" sz="1600" baseline="0"/>
              <a:t> 2020-2021 performance </a:t>
            </a:r>
          </a:p>
        </c:rich>
      </c:tx>
      <c:layout/>
      <c:overlay val="0"/>
    </c:title>
    <c:autoTitleDeleted val="0"/>
    <c:plotArea>
      <c:layout/>
      <c:barChart>
        <c:barDir val="bar"/>
        <c:grouping val="percentStacked"/>
        <c:varyColors val="0"/>
        <c:ser>
          <c:idx val="0"/>
          <c:order val="0"/>
          <c:tx>
            <c:v>Not Applicable</c:v>
          </c:tx>
          <c:spPr>
            <a:solidFill>
              <a:srgbClr val="CBBFB6"/>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 (3).xlsx]Comparative Analysis by Year'!$D$6:$E$6</c:f>
              <c:numCache>
                <c:formatCode>General</c:formatCode>
                <c:ptCount val="2"/>
                <c:pt idx="0">
                  <c:v>2020</c:v>
                </c:pt>
                <c:pt idx="1">
                  <c:v>2021</c:v>
                </c:pt>
              </c:numCache>
            </c:numRef>
          </c:cat>
          <c:val>
            <c:numRef>
              <c:f>'[Comparative Analysis by Year (3).xlsx]Comparative Analysis by Year'!$D$7:$E$7</c:f>
              <c:numCache>
                <c:formatCode>#,##0;;;</c:formatCode>
                <c:ptCount val="2"/>
                <c:pt idx="0">
                  <c:v>6</c:v>
                </c:pt>
                <c:pt idx="1">
                  <c:v>6</c:v>
                </c:pt>
              </c:numCache>
            </c:numRef>
          </c:val>
          <c:extLst>
            <c:ext xmlns:c16="http://schemas.microsoft.com/office/drawing/2014/chart" uri="{C3380CC4-5D6E-409C-BE32-E72D297353CC}">
              <c16:uniqueId val="{00000000-5693-45BD-9854-49F6E58C21BA}"/>
            </c:ext>
          </c:extLst>
        </c:ser>
        <c:ser>
          <c:idx val="1"/>
          <c:order val="1"/>
          <c:tx>
            <c:v>Missing</c:v>
          </c:tx>
          <c:spPr>
            <a:solidFill>
              <a:srgbClr val="D31E49"/>
            </a:solidFill>
          </c:spPr>
          <c:invertIfNegative val="0"/>
          <c:dLbls>
            <c:spPr>
              <a:noFill/>
              <a:ln>
                <a:noFill/>
              </a:ln>
              <a:effectLst/>
            </c:spPr>
            <c:txPr>
              <a:bodyPr rot="0" vert="horz"/>
              <a:lstStyle/>
              <a:p>
                <a:pPr algn="ctr">
                  <a:defRPr lang="en-US" sz="800" b="1" u="none" baseline="0">
                    <a:solidFill>
                      <a:srgbClr val="FFFFF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 (3).xlsx]Comparative Analysis by Year'!$D$6:$E$6</c:f>
              <c:numCache>
                <c:formatCode>General</c:formatCode>
                <c:ptCount val="2"/>
                <c:pt idx="0">
                  <c:v>2020</c:v>
                </c:pt>
                <c:pt idx="1">
                  <c:v>2021</c:v>
                </c:pt>
              </c:numCache>
            </c:numRef>
          </c:cat>
          <c:val>
            <c:numRef>
              <c:f>'[Comparative Analysis by Year (3).xlsx]Comparative Analysis by Year'!$D$8:$E$8</c:f>
              <c:numCache>
                <c:formatCode>#,##0;;;</c:formatCode>
                <c:ptCount val="2"/>
                <c:pt idx="0">
                  <c:v>18</c:v>
                </c:pt>
                <c:pt idx="1">
                  <c:v>18</c:v>
                </c:pt>
              </c:numCache>
            </c:numRef>
          </c:val>
          <c:extLst>
            <c:ext xmlns:c16="http://schemas.microsoft.com/office/drawing/2014/chart" uri="{C3380CC4-5D6E-409C-BE32-E72D297353CC}">
              <c16:uniqueId val="{00000001-5693-45BD-9854-49F6E58C21BA}"/>
            </c:ext>
          </c:extLst>
        </c:ser>
        <c:ser>
          <c:idx val="2"/>
          <c:order val="2"/>
          <c:tx>
            <c:v>Approaches requirements</c:v>
          </c:tx>
          <c:spPr>
            <a:solidFill>
              <a:srgbClr val="FBC014"/>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 (3).xlsx]Comparative Analysis by Year'!$D$6:$E$6</c:f>
              <c:numCache>
                <c:formatCode>General</c:formatCode>
                <c:ptCount val="2"/>
                <c:pt idx="0">
                  <c:v>2020</c:v>
                </c:pt>
                <c:pt idx="1">
                  <c:v>2021</c:v>
                </c:pt>
              </c:numCache>
            </c:numRef>
          </c:cat>
          <c:val>
            <c:numRef>
              <c:f>'[Comparative Analysis by Year (3).xlsx]Comparative Analysis by Year'!$D$9:$E$9</c:f>
              <c:numCache>
                <c:formatCode>#,##0;;;</c:formatCode>
                <c:ptCount val="2"/>
                <c:pt idx="0">
                  <c:v>29</c:v>
                </c:pt>
                <c:pt idx="1">
                  <c:v>29</c:v>
                </c:pt>
              </c:numCache>
            </c:numRef>
          </c:val>
          <c:extLst>
            <c:ext xmlns:c16="http://schemas.microsoft.com/office/drawing/2014/chart" uri="{C3380CC4-5D6E-409C-BE32-E72D297353CC}">
              <c16:uniqueId val="{00000002-5693-45BD-9854-49F6E58C21BA}"/>
            </c:ext>
          </c:extLst>
        </c:ser>
        <c:ser>
          <c:idx val="3"/>
          <c:order val="3"/>
          <c:tx>
            <c:v>Meets requirements</c:v>
          </c:tx>
          <c:spPr>
            <a:solidFill>
              <a:srgbClr val="94CA54"/>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 (3).xlsx]Comparative Analysis by Year'!$D$6:$E$6</c:f>
              <c:numCache>
                <c:formatCode>General</c:formatCode>
                <c:ptCount val="2"/>
                <c:pt idx="0">
                  <c:v>2020</c:v>
                </c:pt>
                <c:pt idx="1">
                  <c:v>2021</c:v>
                </c:pt>
              </c:numCache>
            </c:numRef>
          </c:cat>
          <c:val>
            <c:numRef>
              <c:f>'[Comparative Analysis by Year (3).xlsx]Comparative Analysis by Year'!$D$10:$E$10</c:f>
              <c:numCache>
                <c:formatCode>#,##0;;;</c:formatCode>
                <c:ptCount val="2"/>
                <c:pt idx="0">
                  <c:v>35</c:v>
                </c:pt>
                <c:pt idx="1">
                  <c:v>29</c:v>
                </c:pt>
              </c:numCache>
            </c:numRef>
          </c:val>
          <c:extLst>
            <c:ext xmlns:c16="http://schemas.microsoft.com/office/drawing/2014/chart" uri="{C3380CC4-5D6E-409C-BE32-E72D297353CC}">
              <c16:uniqueId val="{00000003-5693-45BD-9854-49F6E58C21BA}"/>
            </c:ext>
          </c:extLst>
        </c:ser>
        <c:ser>
          <c:idx val="4"/>
          <c:order val="4"/>
          <c:tx>
            <c:v>Exceeds requirements</c:v>
          </c:tx>
          <c:spPr>
            <a:solidFill>
              <a:srgbClr val="0894D3"/>
            </a:solidFill>
          </c:spPr>
          <c:invertIfNegative val="0"/>
          <c:dLbls>
            <c:spPr>
              <a:noFill/>
              <a:ln>
                <a:noFill/>
              </a:ln>
              <a:effectLst/>
            </c:spPr>
            <c:txPr>
              <a:bodyPr rot="0" vert="horz"/>
              <a:lstStyle/>
              <a:p>
                <a:pPr algn="ctr">
                  <a:defRPr lang="en-US" sz="800" b="1" u="none" baseline="0">
                    <a:solidFill>
                      <a:srgbClr val="FFFFF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 (3).xlsx]Comparative Analysis by Year'!$D$6:$E$6</c:f>
              <c:numCache>
                <c:formatCode>General</c:formatCode>
                <c:ptCount val="2"/>
                <c:pt idx="0">
                  <c:v>2020</c:v>
                </c:pt>
                <c:pt idx="1">
                  <c:v>2021</c:v>
                </c:pt>
              </c:numCache>
            </c:numRef>
          </c:cat>
          <c:val>
            <c:numRef>
              <c:f>'[Comparative Analysis by Year (3).xlsx]Comparative Analysis by Year'!$D$11:$E$11</c:f>
              <c:numCache>
                <c:formatCode>#,##0;;;</c:formatCode>
                <c:ptCount val="2"/>
                <c:pt idx="0">
                  <c:v>12</c:v>
                </c:pt>
                <c:pt idx="1">
                  <c:v>18</c:v>
                </c:pt>
              </c:numCache>
            </c:numRef>
          </c:val>
          <c:extLst>
            <c:ext xmlns:c16="http://schemas.microsoft.com/office/drawing/2014/chart" uri="{C3380CC4-5D6E-409C-BE32-E72D297353CC}">
              <c16:uniqueId val="{00000004-5693-45BD-9854-49F6E58C21BA}"/>
            </c:ext>
          </c:extLst>
        </c:ser>
        <c:dLbls>
          <c:showLegendKey val="0"/>
          <c:showVal val="0"/>
          <c:showCatName val="0"/>
          <c:showSerName val="0"/>
          <c:showPercent val="0"/>
          <c:showBubbleSize val="0"/>
        </c:dLbls>
        <c:gapWidth val="15"/>
        <c:overlap val="100"/>
        <c:axId val="18883984"/>
        <c:axId val="45396103"/>
      </c:barChart>
      <c:catAx>
        <c:axId val="18883984"/>
        <c:scaling>
          <c:orientation val="minMax"/>
        </c:scaling>
        <c:delete val="0"/>
        <c:axPos val="l"/>
        <c:numFmt formatCode="General" sourceLinked="1"/>
        <c:majorTickMark val="none"/>
        <c:minorTickMark val="none"/>
        <c:tickLblPos val="nextTo"/>
        <c:spPr>
          <a:ln w="6350" cap="flat" cmpd="sng">
            <a:solidFill>
              <a:srgbClr val="4D4D4F"/>
            </a:solidFill>
          </a:ln>
        </c:spPr>
        <c:txPr>
          <a:bodyPr/>
          <a:lstStyle/>
          <a:p>
            <a:pPr>
              <a:defRPr lang="en-US" sz="900" b="1" u="none" baseline="0">
                <a:solidFill>
                  <a:srgbClr val="4D4D4F"/>
                </a:solidFill>
                <a:latin typeface="The Sans Bold plain"/>
                <a:ea typeface="The Sans Bold plain"/>
                <a:cs typeface="The Sans Bold plain"/>
              </a:defRPr>
            </a:pPr>
            <a:endParaRPr lang="en-US"/>
          </a:p>
        </c:txPr>
        <c:crossAx val="45396103"/>
        <c:crosses val="autoZero"/>
        <c:auto val="1"/>
        <c:lblAlgn val="ctr"/>
        <c:lblOffset val="100"/>
        <c:noMultiLvlLbl val="0"/>
      </c:catAx>
      <c:valAx>
        <c:axId val="45396103"/>
        <c:scaling>
          <c:orientation val="minMax"/>
          <c:max val="1"/>
        </c:scaling>
        <c:delete val="0"/>
        <c:axPos val="b"/>
        <c:majorGridlines>
          <c:spPr>
            <a:ln w="6350" cap="flat" cmpd="sng"/>
          </c:spPr>
        </c:majorGridlines>
        <c:numFmt formatCode="0%" sourceLinked="1"/>
        <c:majorTickMark val="out"/>
        <c:minorTickMark val="none"/>
        <c:tickLblPos val="nextTo"/>
        <c:spPr>
          <a:ln w="6350">
            <a:noFill/>
          </a:ln>
        </c:spPr>
        <c:txPr>
          <a:bodyPr/>
          <a:lstStyle/>
          <a:p>
            <a:pPr>
              <a:defRPr lang="en-US" sz="800" u="none" baseline="0">
                <a:solidFill>
                  <a:srgbClr val="4D4D4F"/>
                </a:solidFill>
                <a:latin typeface="The Sans-"/>
                <a:ea typeface="The Sans-"/>
                <a:cs typeface="The Sans-"/>
              </a:defRPr>
            </a:pPr>
            <a:endParaRPr lang="en-US"/>
          </a:p>
        </c:txPr>
        <c:crossAx val="18883984"/>
        <c:crosses val="autoZero"/>
        <c:crossBetween val="between"/>
        <c:majorUnit val="0.2"/>
      </c:valAx>
      <c:spPr>
        <a:noFill/>
        <a:ln w="12700">
          <a:noFill/>
        </a:ln>
      </c:spPr>
    </c:plotArea>
    <c:legend>
      <c:legendPos val="b"/>
      <c:layout/>
      <c:overlay val="0"/>
    </c:legend>
    <c:plotVisOnly val="1"/>
    <c:dispBlanksAs val="gap"/>
    <c:showDLblsOverMax val="0"/>
  </c:chart>
  <c:spPr>
    <a:ln w="6350">
      <a:solidFill>
        <a:schemeClr val="accent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BCA8F-9568-4F51-988F-5F2B67A1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4894</Words>
  <Characters>27038</Characters>
  <Application>Microsoft Office Word</Application>
  <DocSecurity>0</DocSecurity>
  <Lines>550</Lines>
  <Paragraphs>135</Paragraphs>
  <ScaleCrop>false</ScaleCrop>
  <HeadingPairs>
    <vt:vector size="2" baseType="variant">
      <vt:variant>
        <vt:lpstr>Title</vt:lpstr>
      </vt:variant>
      <vt:variant>
        <vt:i4>1</vt:i4>
      </vt:variant>
    </vt:vector>
  </HeadingPairs>
  <TitlesOfParts>
    <vt:vector size="1" baseType="lpstr">
      <vt:lpstr>WO/CC/81/INF/1</vt:lpstr>
    </vt:vector>
  </TitlesOfParts>
  <Company>WIPO</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WO/CC/81/INF/1</dc:title>
  <dc:subject>Annual Report on Human Resources</dc:subject>
  <dc:creator>WIPO</dc:creator>
  <cp:keywords>PUBLIC</cp:keywords>
  <dc:description/>
  <cp:lastModifiedBy>HÄFLIGER Patience</cp:lastModifiedBy>
  <cp:revision>11</cp:revision>
  <cp:lastPrinted>2022-05-05T13:27:00Z</cp:lastPrinted>
  <dcterms:created xsi:type="dcterms:W3CDTF">2022-05-23T07:28:00Z</dcterms:created>
  <dcterms:modified xsi:type="dcterms:W3CDTF">2022-05-23T14:15:00Z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78c1a453-a41d-4802-8f71-bc81e644b114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