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3AF63" w14:textId="77777777" w:rsidR="008B2CC1" w:rsidRPr="00F043DE" w:rsidRDefault="00B92F1F" w:rsidP="0060728F">
      <w:pPr>
        <w:pBdr>
          <w:bottom w:val="single" w:sz="4" w:space="11" w:color="auto"/>
        </w:pBdr>
        <w:spacing w:after="120"/>
        <w:jc w:val="right"/>
        <w:rPr>
          <w:b/>
          <w:sz w:val="32"/>
          <w:szCs w:val="40"/>
        </w:rPr>
      </w:pPr>
      <w:bookmarkStart w:id="0" w:name="_GoBack"/>
      <w:bookmarkEnd w:id="0"/>
      <w:r>
        <w:rPr>
          <w:noProof/>
          <w:sz w:val="28"/>
          <w:szCs w:val="28"/>
          <w:lang w:eastAsia="en-US"/>
        </w:rPr>
        <w:drawing>
          <wp:inline distT="0" distB="0" distL="0" distR="0" wp14:anchorId="4F23EE06" wp14:editId="306F2922">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DCC54C9" w14:textId="07B03B65" w:rsidR="008B2CC1" w:rsidRPr="00B75281" w:rsidRDefault="0060728F" w:rsidP="00EB2F76">
      <w:pPr>
        <w:jc w:val="right"/>
        <w:rPr>
          <w:rFonts w:ascii="Arial Black" w:hAnsi="Arial Black"/>
          <w:sz w:val="15"/>
          <w:szCs w:val="15"/>
        </w:rPr>
      </w:pPr>
      <w:r>
        <w:rPr>
          <w:rFonts w:ascii="Arial Black" w:hAnsi="Arial Black"/>
          <w:sz w:val="15"/>
          <w:szCs w:val="15"/>
        </w:rPr>
        <w:t>WO/CC/80/</w:t>
      </w:r>
      <w:bookmarkStart w:id="1" w:name="Code"/>
      <w:bookmarkEnd w:id="1"/>
      <w:r w:rsidR="00276BEE">
        <w:rPr>
          <w:rFonts w:ascii="Arial Black" w:hAnsi="Arial Black"/>
          <w:sz w:val="15"/>
          <w:szCs w:val="15"/>
        </w:rPr>
        <w:t>INF</w:t>
      </w:r>
      <w:r w:rsidR="0006560C">
        <w:rPr>
          <w:rFonts w:ascii="Arial Black" w:hAnsi="Arial Black"/>
          <w:sz w:val="15"/>
          <w:szCs w:val="15"/>
        </w:rPr>
        <w:t>/</w:t>
      </w:r>
      <w:r w:rsidR="00276BEE">
        <w:rPr>
          <w:rFonts w:ascii="Arial Black" w:hAnsi="Arial Black"/>
          <w:sz w:val="15"/>
          <w:szCs w:val="15"/>
        </w:rPr>
        <w:t>1</w:t>
      </w:r>
    </w:p>
    <w:p w14:paraId="52DD8B78"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AB2E8D">
        <w:rPr>
          <w:rFonts w:ascii="Arial Black" w:hAnsi="Arial Black"/>
          <w:caps/>
          <w:sz w:val="15"/>
          <w:szCs w:val="15"/>
        </w:rPr>
        <w:t xml:space="preserve"> </w:t>
      </w:r>
      <w:r w:rsidRPr="000A3D97">
        <w:rPr>
          <w:rFonts w:ascii="Arial Black" w:hAnsi="Arial Black"/>
          <w:caps/>
          <w:sz w:val="15"/>
          <w:szCs w:val="15"/>
        </w:rPr>
        <w:t xml:space="preserve"> </w:t>
      </w:r>
      <w:bookmarkStart w:id="2" w:name="Original"/>
      <w:r w:rsidR="00276BEE">
        <w:rPr>
          <w:rFonts w:ascii="Arial Black" w:hAnsi="Arial Black"/>
          <w:caps/>
          <w:sz w:val="15"/>
          <w:szCs w:val="15"/>
        </w:rPr>
        <w:t>English</w:t>
      </w:r>
    </w:p>
    <w:bookmarkEnd w:id="2"/>
    <w:p w14:paraId="183C5C87" w14:textId="55E94C7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AB2E8D">
        <w:rPr>
          <w:rFonts w:ascii="Arial Black" w:hAnsi="Arial Black"/>
          <w:caps/>
          <w:sz w:val="15"/>
          <w:szCs w:val="15"/>
        </w:rPr>
        <w:t xml:space="preserve"> </w:t>
      </w:r>
      <w:r w:rsidRPr="000A3D97">
        <w:rPr>
          <w:rFonts w:ascii="Arial Black" w:hAnsi="Arial Black"/>
          <w:caps/>
          <w:sz w:val="15"/>
          <w:szCs w:val="15"/>
        </w:rPr>
        <w:t xml:space="preserve"> </w:t>
      </w:r>
      <w:bookmarkStart w:id="3" w:name="Date"/>
      <w:r w:rsidR="0006560C">
        <w:rPr>
          <w:rFonts w:ascii="Arial Black" w:hAnsi="Arial Black"/>
          <w:caps/>
          <w:sz w:val="15"/>
          <w:szCs w:val="15"/>
        </w:rPr>
        <w:t>august</w:t>
      </w:r>
      <w:r w:rsidR="00276BEE">
        <w:rPr>
          <w:rFonts w:ascii="Arial Black" w:hAnsi="Arial Black"/>
          <w:caps/>
          <w:sz w:val="15"/>
          <w:szCs w:val="15"/>
        </w:rPr>
        <w:t xml:space="preserve"> </w:t>
      </w:r>
      <w:r w:rsidR="00C41220">
        <w:rPr>
          <w:rFonts w:ascii="Arial Black" w:hAnsi="Arial Black"/>
          <w:caps/>
          <w:sz w:val="15"/>
          <w:szCs w:val="15"/>
        </w:rPr>
        <w:t>18</w:t>
      </w:r>
      <w:r w:rsidR="00276BEE">
        <w:rPr>
          <w:rFonts w:ascii="Arial Black" w:hAnsi="Arial Black"/>
          <w:caps/>
          <w:sz w:val="15"/>
          <w:szCs w:val="15"/>
        </w:rPr>
        <w:t>, 2021</w:t>
      </w:r>
    </w:p>
    <w:bookmarkEnd w:id="3"/>
    <w:p w14:paraId="5EB66A07" w14:textId="77777777" w:rsidR="008B2CC1" w:rsidRPr="00720EFD" w:rsidRDefault="0060728F" w:rsidP="00720EFD">
      <w:pPr>
        <w:pStyle w:val="Heading1"/>
        <w:spacing w:before="0" w:after="480"/>
        <w:rPr>
          <w:sz w:val="28"/>
          <w:szCs w:val="28"/>
        </w:rPr>
      </w:pPr>
      <w:r w:rsidRPr="004C7DB9">
        <w:rPr>
          <w:caps w:val="0"/>
          <w:sz w:val="28"/>
        </w:rPr>
        <w:t>WIPO Coordination Committee</w:t>
      </w:r>
    </w:p>
    <w:p w14:paraId="170E7738" w14:textId="77777777" w:rsidR="008B2CC1" w:rsidRPr="003845C1" w:rsidRDefault="0060728F" w:rsidP="00F9165B">
      <w:pPr>
        <w:spacing w:after="720"/>
        <w:outlineLvl w:val="1"/>
        <w:rPr>
          <w:b/>
          <w:sz w:val="24"/>
          <w:szCs w:val="24"/>
        </w:rPr>
      </w:pPr>
      <w:r>
        <w:rPr>
          <w:b/>
          <w:sz w:val="24"/>
        </w:rPr>
        <w:t>Eightieth</w:t>
      </w:r>
      <w:r w:rsidRPr="00A70E06">
        <w:rPr>
          <w:b/>
          <w:sz w:val="24"/>
        </w:rPr>
        <w:t xml:space="preserve"> (</w:t>
      </w:r>
      <w:r>
        <w:rPr>
          <w:b/>
          <w:sz w:val="24"/>
        </w:rPr>
        <w:t>52</w:t>
      </w:r>
      <w:r w:rsidRPr="004F5658">
        <w:rPr>
          <w:b/>
          <w:sz w:val="24"/>
          <w:vertAlign w:val="superscript"/>
        </w:rPr>
        <w:t>nd</w:t>
      </w:r>
      <w:r w:rsidRPr="00A70E06">
        <w:rPr>
          <w:b/>
          <w:sz w:val="24"/>
        </w:rPr>
        <w:t xml:space="preserve"> Ordinary) Session</w:t>
      </w:r>
      <w:r w:rsidR="001D4107">
        <w:rPr>
          <w:b/>
          <w:sz w:val="24"/>
          <w:szCs w:val="24"/>
        </w:rPr>
        <w:br/>
      </w:r>
      <w:r w:rsidRPr="009C127D">
        <w:rPr>
          <w:b/>
          <w:sz w:val="24"/>
        </w:rPr>
        <w:t xml:space="preserve">Geneva, </w:t>
      </w:r>
      <w:r>
        <w:rPr>
          <w:b/>
          <w:sz w:val="24"/>
        </w:rPr>
        <w:t>October 4 to 8, 2021</w:t>
      </w:r>
    </w:p>
    <w:p w14:paraId="21006FAB" w14:textId="77777777" w:rsidR="008B2CC1" w:rsidRPr="003845C1" w:rsidRDefault="00276BEE" w:rsidP="00DD7B7F">
      <w:pPr>
        <w:spacing w:after="360"/>
        <w:outlineLvl w:val="0"/>
        <w:rPr>
          <w:caps/>
          <w:sz w:val="24"/>
        </w:rPr>
      </w:pPr>
      <w:bookmarkStart w:id="4" w:name="TitleOfDoc"/>
      <w:r>
        <w:rPr>
          <w:caps/>
          <w:sz w:val="24"/>
        </w:rPr>
        <w:t>Annual Report on Human Resources</w:t>
      </w:r>
    </w:p>
    <w:p w14:paraId="28C8C22C" w14:textId="77777777" w:rsidR="002928D3" w:rsidRPr="00F9165B" w:rsidRDefault="00276BEE" w:rsidP="001D4107">
      <w:pPr>
        <w:spacing w:after="1040"/>
        <w:rPr>
          <w:i/>
        </w:rPr>
      </w:pPr>
      <w:bookmarkStart w:id="5" w:name="Prepared"/>
      <w:bookmarkEnd w:id="4"/>
      <w:bookmarkEnd w:id="5"/>
      <w:r>
        <w:rPr>
          <w:i/>
        </w:rPr>
        <w:t>prepared by the Secretariat</w:t>
      </w:r>
    </w:p>
    <w:p w14:paraId="38CDDDAA" w14:textId="77777777" w:rsidR="00276BEE" w:rsidRDefault="00276BEE" w:rsidP="00276BEE">
      <w:pPr>
        <w:pStyle w:val="Heading1"/>
        <w:numPr>
          <w:ilvl w:val="0"/>
          <w:numId w:val="11"/>
        </w:numPr>
        <w:spacing w:before="0"/>
        <w:ind w:left="567" w:hanging="567"/>
      </w:pPr>
      <w:r w:rsidRPr="00C74477">
        <w:t>INTRODUCTION</w:t>
      </w:r>
    </w:p>
    <w:p w14:paraId="4CBD87C4" w14:textId="77777777" w:rsidR="00276BEE" w:rsidRDefault="00276BEE" w:rsidP="00276BEE">
      <w:pPr>
        <w:pStyle w:val="ListParagraph"/>
        <w:ind w:left="0"/>
        <w:rPr>
          <w:szCs w:val="22"/>
        </w:rPr>
      </w:pPr>
    </w:p>
    <w:p w14:paraId="1E0E4F35" w14:textId="02D2D9DC" w:rsidR="00276BEE" w:rsidRDefault="00276BEE" w:rsidP="00276BEE">
      <w:pPr>
        <w:pStyle w:val="ListParagraph"/>
        <w:numPr>
          <w:ilvl w:val="0"/>
          <w:numId w:val="12"/>
        </w:numPr>
        <w:ind w:left="0" w:firstLine="0"/>
        <w:rPr>
          <w:szCs w:val="22"/>
        </w:rPr>
      </w:pPr>
      <w:r w:rsidRPr="009A5EF0">
        <w:rPr>
          <w:szCs w:val="22"/>
        </w:rPr>
        <w:t xml:space="preserve">This Annual Report on Human Resources (HR), covering the period July 1, 2020 to </w:t>
      </w:r>
      <w:r w:rsidR="0072762D">
        <w:rPr>
          <w:szCs w:val="22"/>
        </w:rPr>
        <w:t>June </w:t>
      </w:r>
      <w:r w:rsidRPr="009A5EF0">
        <w:rPr>
          <w:szCs w:val="22"/>
        </w:rPr>
        <w:t xml:space="preserve">30, 2021, covers all HR matters for which reporting to the WIPO Coordination Committee is required and other staff matters of interest to Member States.  </w:t>
      </w:r>
    </w:p>
    <w:p w14:paraId="26017866" w14:textId="77777777" w:rsidR="00276BEE" w:rsidRDefault="00276BEE" w:rsidP="00276BEE">
      <w:pPr>
        <w:pStyle w:val="ListParagraph"/>
        <w:ind w:left="0"/>
        <w:rPr>
          <w:szCs w:val="22"/>
        </w:rPr>
      </w:pPr>
    </w:p>
    <w:p w14:paraId="2174BA39" w14:textId="73E76296" w:rsidR="00276BEE" w:rsidRDefault="00276BEE" w:rsidP="00276BEE">
      <w:pPr>
        <w:pStyle w:val="ListParagraph"/>
        <w:numPr>
          <w:ilvl w:val="0"/>
          <w:numId w:val="12"/>
        </w:numPr>
        <w:ind w:left="0" w:firstLine="0"/>
        <w:rPr>
          <w:szCs w:val="22"/>
        </w:rPr>
      </w:pPr>
      <w:r>
        <w:rPr>
          <w:szCs w:val="22"/>
        </w:rPr>
        <w:t>The Report</w:t>
      </w:r>
      <w:r w:rsidRPr="009A5EF0">
        <w:rPr>
          <w:szCs w:val="22"/>
        </w:rPr>
        <w:t xml:space="preserve"> includes information on progress made towards staffing goals and an overview of HR-related policies, initiatives and activities that are aligned with WIPO</w:t>
      </w:r>
      <w:r w:rsidR="0006560C">
        <w:rPr>
          <w:szCs w:val="22"/>
        </w:rPr>
        <w:t>’</w:t>
      </w:r>
      <w:r w:rsidRPr="009A5EF0">
        <w:rPr>
          <w:szCs w:val="22"/>
        </w:rPr>
        <w:t xml:space="preserve">s HR Strategy 2017-2021. </w:t>
      </w:r>
    </w:p>
    <w:p w14:paraId="1618D608" w14:textId="77777777" w:rsidR="00276BEE" w:rsidRPr="009179B5" w:rsidRDefault="00276BEE" w:rsidP="00276BEE">
      <w:pPr>
        <w:pStyle w:val="ListParagraph"/>
        <w:rPr>
          <w:szCs w:val="22"/>
        </w:rPr>
      </w:pPr>
    </w:p>
    <w:p w14:paraId="51D7A2A8" w14:textId="77777777" w:rsidR="00276BEE" w:rsidRPr="009A5EF0" w:rsidRDefault="00276BEE" w:rsidP="00276BEE">
      <w:pPr>
        <w:pStyle w:val="ListParagraph"/>
        <w:numPr>
          <w:ilvl w:val="0"/>
          <w:numId w:val="12"/>
        </w:numPr>
        <w:ind w:left="0" w:firstLine="0"/>
        <w:rPr>
          <w:szCs w:val="22"/>
        </w:rPr>
      </w:pPr>
      <w:r w:rsidRPr="009A5EF0">
        <w:rPr>
          <w:szCs w:val="22"/>
        </w:rPr>
        <w:t>The Annual Report is</w:t>
      </w:r>
      <w:r>
        <w:rPr>
          <w:szCs w:val="22"/>
        </w:rPr>
        <w:t xml:space="preserve"> structured into five</w:t>
      </w:r>
      <w:r w:rsidRPr="009A5EF0">
        <w:rPr>
          <w:szCs w:val="22"/>
        </w:rPr>
        <w:t xml:space="preserve"> parts as follows: </w:t>
      </w:r>
    </w:p>
    <w:p w14:paraId="5887F83F" w14:textId="77777777" w:rsidR="00276BEE" w:rsidRPr="00933C4C" w:rsidRDefault="00276BEE" w:rsidP="0018674A">
      <w:pPr>
        <w:rPr>
          <w:szCs w:val="22"/>
        </w:rPr>
      </w:pPr>
    </w:p>
    <w:p w14:paraId="734B7455" w14:textId="77777777" w:rsidR="00276BEE" w:rsidRPr="00933C4C" w:rsidRDefault="00276BEE" w:rsidP="00880D97">
      <w:pPr>
        <w:pStyle w:val="ListParagraph"/>
        <w:widowControl w:val="0"/>
        <w:numPr>
          <w:ilvl w:val="0"/>
          <w:numId w:val="7"/>
        </w:numPr>
        <w:autoSpaceDE w:val="0"/>
        <w:autoSpaceDN w:val="0"/>
        <w:ind w:left="990" w:right="29"/>
        <w:contextualSpacing w:val="0"/>
        <w:rPr>
          <w:szCs w:val="22"/>
        </w:rPr>
      </w:pPr>
      <w:r w:rsidRPr="00933C4C">
        <w:rPr>
          <w:szCs w:val="22"/>
        </w:rPr>
        <w:t xml:space="preserve">the first section provides a snapshot of key workforce trends; </w:t>
      </w:r>
    </w:p>
    <w:p w14:paraId="30BACCDA" w14:textId="77777777" w:rsidR="00276BEE" w:rsidRPr="00933C4C" w:rsidRDefault="00276BEE" w:rsidP="001A6B4A">
      <w:pPr>
        <w:pStyle w:val="ListParagraph"/>
        <w:widowControl w:val="0"/>
        <w:numPr>
          <w:ilvl w:val="0"/>
          <w:numId w:val="7"/>
        </w:numPr>
        <w:autoSpaceDE w:val="0"/>
        <w:autoSpaceDN w:val="0"/>
        <w:spacing w:before="114"/>
        <w:ind w:left="990" w:right="30"/>
        <w:contextualSpacing w:val="0"/>
        <w:rPr>
          <w:szCs w:val="22"/>
        </w:rPr>
      </w:pPr>
      <w:r w:rsidRPr="00933C4C">
        <w:rPr>
          <w:szCs w:val="22"/>
        </w:rPr>
        <w:t>the second section covers matters of obligatory reporting to Member States;</w:t>
      </w:r>
    </w:p>
    <w:p w14:paraId="0951974C" w14:textId="77777777" w:rsidR="00276BEE" w:rsidRDefault="00276BEE" w:rsidP="001A6B4A">
      <w:pPr>
        <w:pStyle w:val="ListParagraph"/>
        <w:widowControl w:val="0"/>
        <w:numPr>
          <w:ilvl w:val="0"/>
          <w:numId w:val="7"/>
        </w:numPr>
        <w:autoSpaceDE w:val="0"/>
        <w:autoSpaceDN w:val="0"/>
        <w:spacing w:before="114"/>
        <w:ind w:left="990" w:right="30"/>
        <w:contextualSpacing w:val="0"/>
        <w:rPr>
          <w:szCs w:val="22"/>
        </w:rPr>
      </w:pPr>
      <w:r w:rsidRPr="00933C4C">
        <w:rPr>
          <w:szCs w:val="22"/>
        </w:rPr>
        <w:t xml:space="preserve">the third section </w:t>
      </w:r>
      <w:r>
        <w:rPr>
          <w:szCs w:val="22"/>
        </w:rPr>
        <w:t xml:space="preserve">features the changes at WIPO </w:t>
      </w:r>
      <w:r w:rsidRPr="00933C4C">
        <w:rPr>
          <w:szCs w:val="22"/>
        </w:rPr>
        <w:t xml:space="preserve">during the challenging period of the COVID-19 pandemic; </w:t>
      </w:r>
    </w:p>
    <w:p w14:paraId="1A25F8C2" w14:textId="01C9BBBC" w:rsidR="00276BEE" w:rsidRPr="00933C4C" w:rsidRDefault="00276BEE" w:rsidP="001A6B4A">
      <w:pPr>
        <w:pStyle w:val="ListParagraph"/>
        <w:widowControl w:val="0"/>
        <w:numPr>
          <w:ilvl w:val="0"/>
          <w:numId w:val="7"/>
        </w:numPr>
        <w:autoSpaceDE w:val="0"/>
        <w:autoSpaceDN w:val="0"/>
        <w:spacing w:before="114"/>
        <w:ind w:left="990" w:right="30"/>
        <w:contextualSpacing w:val="0"/>
        <w:rPr>
          <w:szCs w:val="22"/>
        </w:rPr>
      </w:pPr>
      <w:r w:rsidRPr="00933C4C">
        <w:rPr>
          <w:szCs w:val="22"/>
        </w:rPr>
        <w:t xml:space="preserve">the </w:t>
      </w:r>
      <w:r>
        <w:rPr>
          <w:szCs w:val="22"/>
        </w:rPr>
        <w:t>fourth</w:t>
      </w:r>
      <w:r w:rsidRPr="00933C4C">
        <w:rPr>
          <w:szCs w:val="22"/>
        </w:rPr>
        <w:t xml:space="preserve"> section highlights overall progress made </w:t>
      </w:r>
      <w:r>
        <w:rPr>
          <w:szCs w:val="22"/>
        </w:rPr>
        <w:t xml:space="preserve">and developments </w:t>
      </w:r>
      <w:r w:rsidRPr="00933C4C">
        <w:rPr>
          <w:szCs w:val="22"/>
        </w:rPr>
        <w:t>over the past year</w:t>
      </w:r>
      <w:r>
        <w:rPr>
          <w:szCs w:val="22"/>
        </w:rPr>
        <w:t>;</w:t>
      </w:r>
      <w:r w:rsidRPr="00933C4C">
        <w:rPr>
          <w:szCs w:val="22"/>
        </w:rPr>
        <w:t xml:space="preserve"> </w:t>
      </w:r>
      <w:r w:rsidR="0072762D">
        <w:rPr>
          <w:szCs w:val="22"/>
        </w:rPr>
        <w:t xml:space="preserve"> </w:t>
      </w:r>
      <w:r w:rsidRPr="00933C4C">
        <w:rPr>
          <w:szCs w:val="22"/>
        </w:rPr>
        <w:t>and</w:t>
      </w:r>
    </w:p>
    <w:p w14:paraId="3DC4DC28" w14:textId="77777777" w:rsidR="00276BEE" w:rsidRPr="00933C4C" w:rsidRDefault="00276BEE" w:rsidP="001A6B4A">
      <w:pPr>
        <w:pStyle w:val="ListParagraph"/>
        <w:widowControl w:val="0"/>
        <w:numPr>
          <w:ilvl w:val="0"/>
          <w:numId w:val="7"/>
        </w:numPr>
        <w:autoSpaceDE w:val="0"/>
        <w:autoSpaceDN w:val="0"/>
        <w:spacing w:before="114"/>
        <w:ind w:left="990" w:right="30"/>
        <w:contextualSpacing w:val="0"/>
        <w:rPr>
          <w:szCs w:val="22"/>
        </w:rPr>
      </w:pPr>
      <w:r w:rsidRPr="00933C4C">
        <w:rPr>
          <w:szCs w:val="22"/>
        </w:rPr>
        <w:t>the last section presents an outlook with respect to HR objectives for the next biennium and beyond.</w:t>
      </w:r>
    </w:p>
    <w:p w14:paraId="443EAE6B" w14:textId="77777777" w:rsidR="00276BEE" w:rsidRDefault="00276BEE" w:rsidP="0018674A">
      <w:pPr>
        <w:rPr>
          <w:szCs w:val="22"/>
        </w:rPr>
      </w:pPr>
    </w:p>
    <w:p w14:paraId="33B60814" w14:textId="77777777" w:rsidR="00276BEE" w:rsidRPr="00933C4C" w:rsidRDefault="00276BEE" w:rsidP="00276BEE">
      <w:pPr>
        <w:rPr>
          <w:szCs w:val="22"/>
        </w:rPr>
      </w:pPr>
    </w:p>
    <w:p w14:paraId="6960AC7F" w14:textId="77777777" w:rsidR="00276BEE" w:rsidRPr="0006645A" w:rsidRDefault="00276BEE" w:rsidP="00276BEE">
      <w:pPr>
        <w:pStyle w:val="Heading1"/>
        <w:numPr>
          <w:ilvl w:val="0"/>
          <w:numId w:val="11"/>
        </w:numPr>
        <w:spacing w:before="0"/>
        <w:ind w:left="567" w:hanging="567"/>
      </w:pPr>
      <w:r w:rsidRPr="0006645A">
        <w:lastRenderedPageBreak/>
        <w:t xml:space="preserve">WORKFORCE </w:t>
      </w:r>
      <w:r>
        <w:t>AT A GLANCE</w:t>
      </w:r>
    </w:p>
    <w:p w14:paraId="3CC67E0C" w14:textId="77777777" w:rsidR="00276BEE" w:rsidRDefault="00276BEE" w:rsidP="00276BEE">
      <w:pPr>
        <w:pStyle w:val="ListParagraph"/>
        <w:keepNext/>
        <w:rPr>
          <w:szCs w:val="22"/>
        </w:rPr>
      </w:pPr>
    </w:p>
    <w:p w14:paraId="25DE5A25" w14:textId="2BAE73B0" w:rsidR="00276BEE" w:rsidRDefault="00276BEE" w:rsidP="00276BEE">
      <w:pPr>
        <w:pStyle w:val="ListParagraph"/>
        <w:keepNext/>
        <w:numPr>
          <w:ilvl w:val="0"/>
          <w:numId w:val="12"/>
        </w:numPr>
        <w:ind w:left="0" w:firstLine="0"/>
        <w:rPr>
          <w:szCs w:val="22"/>
        </w:rPr>
      </w:pPr>
      <w:r w:rsidRPr="0006645A">
        <w:rPr>
          <w:szCs w:val="22"/>
        </w:rPr>
        <w:t>As at June 30, 202</w:t>
      </w:r>
      <w:r>
        <w:rPr>
          <w:szCs w:val="22"/>
        </w:rPr>
        <w:t>1</w:t>
      </w:r>
      <w:r w:rsidRPr="0006645A">
        <w:rPr>
          <w:szCs w:val="22"/>
        </w:rPr>
        <w:t>, WIPO</w:t>
      </w:r>
      <w:r w:rsidR="0006560C">
        <w:rPr>
          <w:szCs w:val="22"/>
        </w:rPr>
        <w:t>’</w:t>
      </w:r>
      <w:r w:rsidRPr="0006645A">
        <w:rPr>
          <w:szCs w:val="22"/>
        </w:rPr>
        <w:t xml:space="preserve">s total workforce </w:t>
      </w:r>
      <w:r>
        <w:rPr>
          <w:szCs w:val="22"/>
        </w:rPr>
        <w:t>stands</w:t>
      </w:r>
      <w:r w:rsidRPr="0006645A">
        <w:rPr>
          <w:szCs w:val="22"/>
        </w:rPr>
        <w:t xml:space="preserve"> at </w:t>
      </w:r>
      <w:r>
        <w:rPr>
          <w:szCs w:val="22"/>
        </w:rPr>
        <w:t>1,572</w:t>
      </w:r>
      <w:r w:rsidRPr="0006645A">
        <w:rPr>
          <w:szCs w:val="22"/>
        </w:rPr>
        <w:t xml:space="preserve">. </w:t>
      </w:r>
    </w:p>
    <w:p w14:paraId="5E34F15D" w14:textId="77777777" w:rsidR="00276BEE" w:rsidRDefault="00276BEE" w:rsidP="00276BEE">
      <w:pPr>
        <w:pStyle w:val="ListParagraph"/>
        <w:keepNext/>
        <w:ind w:left="0"/>
        <w:rPr>
          <w:szCs w:val="22"/>
        </w:rPr>
      </w:pPr>
    </w:p>
    <w:p w14:paraId="301C7845" w14:textId="6E287AAE" w:rsidR="00276BEE" w:rsidRPr="00C10578" w:rsidRDefault="00276BEE" w:rsidP="00276BEE">
      <w:pPr>
        <w:pStyle w:val="ListParagraph"/>
        <w:keepNext/>
        <w:numPr>
          <w:ilvl w:val="0"/>
          <w:numId w:val="12"/>
        </w:numPr>
        <w:ind w:left="0" w:firstLine="0"/>
        <w:rPr>
          <w:szCs w:val="22"/>
        </w:rPr>
      </w:pPr>
      <w:r>
        <w:rPr>
          <w:szCs w:val="22"/>
        </w:rPr>
        <w:t>As compared to the last reporting period</w:t>
      </w:r>
      <w:r w:rsidRPr="0006645A">
        <w:rPr>
          <w:rStyle w:val="FootnoteReference"/>
          <w:rFonts w:eastAsia="SimSun"/>
          <w:szCs w:val="22"/>
        </w:rPr>
        <w:footnoteReference w:id="2"/>
      </w:r>
      <w:r>
        <w:rPr>
          <w:szCs w:val="22"/>
        </w:rPr>
        <w:t xml:space="preserve">, the </w:t>
      </w:r>
      <w:r w:rsidRPr="0006645A">
        <w:rPr>
          <w:szCs w:val="22"/>
        </w:rPr>
        <w:t>core</w:t>
      </w:r>
      <w:r>
        <w:rPr>
          <w:rStyle w:val="FootnoteReference"/>
          <w:rFonts w:eastAsia="SimSun"/>
          <w:szCs w:val="22"/>
        </w:rPr>
        <w:footnoteReference w:id="3"/>
      </w:r>
      <w:r w:rsidRPr="0006645A">
        <w:rPr>
          <w:szCs w:val="22"/>
        </w:rPr>
        <w:t xml:space="preserve"> </w:t>
      </w:r>
      <w:r>
        <w:rPr>
          <w:szCs w:val="22"/>
        </w:rPr>
        <w:t>workforce has remained stable (1,083</w:t>
      </w:r>
      <w:r w:rsidR="0072762D">
        <w:rPr>
          <w:szCs w:val="22"/>
        </w:rPr>
        <w:t> </w:t>
      </w:r>
      <w:r>
        <w:rPr>
          <w:szCs w:val="22"/>
        </w:rPr>
        <w:t xml:space="preserve">instead of 1,090), representing 68.9 per cent of the workforce, whereas the </w:t>
      </w:r>
      <w:r w:rsidRPr="0006645A">
        <w:rPr>
          <w:szCs w:val="22"/>
        </w:rPr>
        <w:t>flexible</w:t>
      </w:r>
      <w:r>
        <w:rPr>
          <w:rStyle w:val="FootnoteReference"/>
          <w:rFonts w:eastAsia="SimSun"/>
          <w:szCs w:val="22"/>
        </w:rPr>
        <w:footnoteReference w:id="4"/>
      </w:r>
      <w:r w:rsidRPr="0006645A">
        <w:rPr>
          <w:szCs w:val="22"/>
        </w:rPr>
        <w:t xml:space="preserve"> wo</w:t>
      </w:r>
      <w:r>
        <w:rPr>
          <w:szCs w:val="22"/>
        </w:rPr>
        <w:t>rkforce elements have increased slightly (to 489 from 418), or 31.1 per cent of the workforce.</w:t>
      </w:r>
    </w:p>
    <w:p w14:paraId="4F3EAFBB" w14:textId="77777777" w:rsidR="00276BEE" w:rsidRDefault="00276BEE" w:rsidP="00276BEE">
      <w:pPr>
        <w:pStyle w:val="ListParagraph"/>
        <w:keepNext/>
        <w:ind w:left="0"/>
        <w:rPr>
          <w:szCs w:val="22"/>
        </w:rPr>
      </w:pPr>
    </w:p>
    <w:p w14:paraId="32E86968" w14:textId="1874060D" w:rsidR="00276BEE" w:rsidRDefault="00276BEE" w:rsidP="00276BEE">
      <w:pPr>
        <w:pStyle w:val="ListParagraph"/>
        <w:keepNext/>
        <w:numPr>
          <w:ilvl w:val="0"/>
          <w:numId w:val="12"/>
        </w:numPr>
        <w:ind w:left="0" w:firstLine="0"/>
        <w:rPr>
          <w:szCs w:val="22"/>
        </w:rPr>
      </w:pPr>
      <w:r>
        <w:rPr>
          <w:szCs w:val="22"/>
        </w:rPr>
        <w:t xml:space="preserve">From a gender perspective, women represent 52.7 per cent of the workforce (828), whilst men </w:t>
      </w:r>
      <w:r w:rsidR="00C00A0C">
        <w:rPr>
          <w:szCs w:val="22"/>
        </w:rPr>
        <w:t>represent 47.3 per cent (744), noting that this representation varies across categories.</w:t>
      </w:r>
      <w:r w:rsidR="0072762D">
        <w:rPr>
          <w:szCs w:val="22"/>
        </w:rPr>
        <w:t xml:space="preserve"> </w:t>
      </w:r>
      <w:r w:rsidRPr="00502AD3">
        <w:rPr>
          <w:szCs w:val="22"/>
        </w:rPr>
        <w:t xml:space="preserve"> With respect to the core workforce of 1,083, women represent 54 per cent (585) of this category</w:t>
      </w:r>
      <w:r>
        <w:rPr>
          <w:szCs w:val="22"/>
        </w:rPr>
        <w:t xml:space="preserve"> with men representing 46 per cent (498). </w:t>
      </w:r>
      <w:r w:rsidR="0072762D">
        <w:rPr>
          <w:szCs w:val="22"/>
        </w:rPr>
        <w:t xml:space="preserve"> </w:t>
      </w:r>
      <w:r>
        <w:rPr>
          <w:szCs w:val="22"/>
        </w:rPr>
        <w:t xml:space="preserve">The combined average age of </w:t>
      </w:r>
      <w:r w:rsidR="00F9067D">
        <w:rPr>
          <w:szCs w:val="22"/>
        </w:rPr>
        <w:t xml:space="preserve">the </w:t>
      </w:r>
      <w:r>
        <w:rPr>
          <w:szCs w:val="22"/>
        </w:rPr>
        <w:t>core workforce is 49.2</w:t>
      </w:r>
      <w:r w:rsidR="0072762D">
        <w:rPr>
          <w:szCs w:val="22"/>
        </w:rPr>
        <w:t> </w:t>
      </w:r>
      <w:r>
        <w:rPr>
          <w:szCs w:val="22"/>
        </w:rPr>
        <w:t xml:space="preserve">years. </w:t>
      </w:r>
    </w:p>
    <w:p w14:paraId="192097C5" w14:textId="77777777" w:rsidR="00276BEE" w:rsidRPr="00C10578" w:rsidRDefault="00276BEE" w:rsidP="00276BEE">
      <w:pPr>
        <w:pStyle w:val="ListParagraph"/>
        <w:rPr>
          <w:szCs w:val="22"/>
        </w:rPr>
      </w:pPr>
    </w:p>
    <w:p w14:paraId="126B2401" w14:textId="31BE9CCA" w:rsidR="00276BEE" w:rsidRDefault="00276BEE" w:rsidP="00276BEE">
      <w:pPr>
        <w:pStyle w:val="ListParagraph"/>
        <w:keepNext/>
        <w:numPr>
          <w:ilvl w:val="0"/>
          <w:numId w:val="12"/>
        </w:numPr>
        <w:ind w:left="0" w:firstLine="0"/>
        <w:rPr>
          <w:szCs w:val="22"/>
        </w:rPr>
      </w:pPr>
      <w:r w:rsidRPr="00C133FC">
        <w:rPr>
          <w:szCs w:val="22"/>
        </w:rPr>
        <w:t>From an overall diversity perspective</w:t>
      </w:r>
      <w:r>
        <w:rPr>
          <w:szCs w:val="22"/>
        </w:rPr>
        <w:t xml:space="preserve"> and </w:t>
      </w:r>
      <w:r w:rsidR="0033266C">
        <w:rPr>
          <w:szCs w:val="22"/>
        </w:rPr>
        <w:t>as a result of</w:t>
      </w:r>
      <w:r w:rsidRPr="0006645A">
        <w:rPr>
          <w:szCs w:val="22"/>
        </w:rPr>
        <w:t xml:space="preserve"> a suite of outreach efforts, </w:t>
      </w:r>
      <w:r w:rsidRPr="00C133FC">
        <w:rPr>
          <w:szCs w:val="22"/>
        </w:rPr>
        <w:t>12</w:t>
      </w:r>
      <w:r>
        <w:rPr>
          <w:szCs w:val="22"/>
        </w:rPr>
        <w:t>1</w:t>
      </w:r>
      <w:r w:rsidR="0072762D">
        <w:rPr>
          <w:szCs w:val="22"/>
        </w:rPr>
        <w:t> </w:t>
      </w:r>
      <w:r w:rsidRPr="00C133FC">
        <w:rPr>
          <w:szCs w:val="22"/>
        </w:rPr>
        <w:t>Member States are now represented at all levels and categories of staff</w:t>
      </w:r>
      <w:r>
        <w:rPr>
          <w:szCs w:val="22"/>
        </w:rPr>
        <w:t>, whereas 109</w:t>
      </w:r>
      <w:r w:rsidR="0072762D">
        <w:rPr>
          <w:szCs w:val="22"/>
        </w:rPr>
        <w:t> </w:t>
      </w:r>
      <w:r>
        <w:rPr>
          <w:szCs w:val="22"/>
        </w:rPr>
        <w:t>Member States are</w:t>
      </w:r>
      <w:r w:rsidRPr="00C133FC">
        <w:rPr>
          <w:szCs w:val="22"/>
        </w:rPr>
        <w:t xml:space="preserve"> represented on posts subject to geographical distribution.</w:t>
      </w:r>
      <w:r w:rsidR="0060009D" w:rsidRPr="0006645A">
        <w:rPr>
          <w:rStyle w:val="FootnoteReference"/>
          <w:rFonts w:eastAsia="SimSun"/>
          <w:szCs w:val="22"/>
        </w:rPr>
        <w:footnoteReference w:id="5"/>
      </w:r>
      <w:r w:rsidRPr="00C133FC">
        <w:rPr>
          <w:szCs w:val="22"/>
        </w:rPr>
        <w:t xml:space="preserve"> </w:t>
      </w:r>
    </w:p>
    <w:p w14:paraId="3CC5CC5E" w14:textId="77777777" w:rsidR="00C00A0C" w:rsidRPr="00C00A0C" w:rsidRDefault="00C00A0C" w:rsidP="00C00A0C">
      <w:pPr>
        <w:pStyle w:val="ListParagraph"/>
        <w:rPr>
          <w:szCs w:val="22"/>
        </w:rPr>
      </w:pPr>
    </w:p>
    <w:p w14:paraId="43BBE496" w14:textId="7EEAB5F7" w:rsidR="00C00A0C" w:rsidRPr="00C133FC" w:rsidRDefault="00C00A0C" w:rsidP="00276BEE">
      <w:pPr>
        <w:pStyle w:val="ListParagraph"/>
        <w:keepNext/>
        <w:numPr>
          <w:ilvl w:val="0"/>
          <w:numId w:val="12"/>
        </w:numPr>
        <w:ind w:left="0" w:firstLine="0"/>
        <w:rPr>
          <w:szCs w:val="22"/>
        </w:rPr>
      </w:pPr>
      <w:r>
        <w:rPr>
          <w:szCs w:val="22"/>
        </w:rPr>
        <w:t xml:space="preserve">A separate document containing key data and </w:t>
      </w:r>
      <w:r w:rsidR="00644DB2">
        <w:rPr>
          <w:szCs w:val="22"/>
        </w:rPr>
        <w:t xml:space="preserve">metrics </w:t>
      </w:r>
      <w:r>
        <w:rPr>
          <w:szCs w:val="22"/>
        </w:rPr>
        <w:t>on WIPO</w:t>
      </w:r>
      <w:r w:rsidR="0006560C">
        <w:rPr>
          <w:szCs w:val="22"/>
        </w:rPr>
        <w:t>’</w:t>
      </w:r>
      <w:r>
        <w:rPr>
          <w:szCs w:val="22"/>
        </w:rPr>
        <w:t xml:space="preserve">s workforce, diversity, talent sourcing, development and training as well as conflict management, either covering the same reporting period or by calendar year, is accessible </w:t>
      </w:r>
      <w:hyperlink r:id="rId9" w:history="1">
        <w:r w:rsidRPr="00D74A00">
          <w:rPr>
            <w:rStyle w:val="Hyperlink"/>
            <w:szCs w:val="22"/>
          </w:rPr>
          <w:t>online</w:t>
        </w:r>
      </w:hyperlink>
      <w:r>
        <w:rPr>
          <w:szCs w:val="22"/>
        </w:rPr>
        <w:t xml:space="preserve">. </w:t>
      </w:r>
      <w:r w:rsidR="0092748B">
        <w:rPr>
          <w:szCs w:val="22"/>
        </w:rPr>
        <w:t xml:space="preserve"> </w:t>
      </w:r>
      <w:r w:rsidR="00644DB2">
        <w:rPr>
          <w:szCs w:val="22"/>
        </w:rPr>
        <w:t>Updates, where applicable, will be provided to Member States every semester, as of June 30 and December 31 of a given year.</w:t>
      </w:r>
    </w:p>
    <w:p w14:paraId="3351001F" w14:textId="77777777" w:rsidR="00276BEE" w:rsidRPr="00E25405" w:rsidRDefault="00276BEE" w:rsidP="00276BEE">
      <w:pPr>
        <w:rPr>
          <w:szCs w:val="22"/>
        </w:rPr>
      </w:pPr>
    </w:p>
    <w:p w14:paraId="457E8339" w14:textId="77777777" w:rsidR="00276BEE" w:rsidRPr="00933C4C" w:rsidRDefault="00276BEE" w:rsidP="00276BEE">
      <w:pPr>
        <w:ind w:left="720" w:hanging="720"/>
        <w:rPr>
          <w:szCs w:val="22"/>
        </w:rPr>
      </w:pPr>
    </w:p>
    <w:p w14:paraId="217CF302" w14:textId="77777777" w:rsidR="00276BEE" w:rsidRPr="0006645A" w:rsidRDefault="00276BEE" w:rsidP="00276BEE">
      <w:pPr>
        <w:pStyle w:val="Heading1"/>
        <w:numPr>
          <w:ilvl w:val="0"/>
          <w:numId w:val="11"/>
        </w:numPr>
        <w:spacing w:before="0"/>
        <w:ind w:left="567" w:hanging="567"/>
      </w:pPr>
      <w:r w:rsidRPr="0006645A">
        <w:t>MATTERS FOR OBLIGATORY REPORTING TO THE WIPO COORDINATION COMMITTEE</w:t>
      </w:r>
    </w:p>
    <w:p w14:paraId="51834A46" w14:textId="77777777" w:rsidR="00276BEE" w:rsidRPr="0006645A" w:rsidRDefault="00276BEE" w:rsidP="00276BEE">
      <w:pPr>
        <w:pStyle w:val="Heading2"/>
      </w:pPr>
      <w:r>
        <w:tab/>
      </w:r>
      <w:r w:rsidRPr="0006645A">
        <w:t>TERMINATION OF APPOINTMENTS</w:t>
      </w:r>
    </w:p>
    <w:p w14:paraId="34C54243" w14:textId="77777777" w:rsidR="00276BEE" w:rsidRPr="000A0FF3" w:rsidRDefault="00276BEE" w:rsidP="00276BEE"/>
    <w:p w14:paraId="0E8BCE39" w14:textId="77777777" w:rsidR="00276BEE" w:rsidRDefault="00276BEE" w:rsidP="00276BEE">
      <w:pPr>
        <w:pStyle w:val="ListParagraph"/>
        <w:numPr>
          <w:ilvl w:val="0"/>
          <w:numId w:val="12"/>
        </w:numPr>
        <w:ind w:left="0" w:firstLine="0"/>
        <w:rPr>
          <w:szCs w:val="22"/>
        </w:rPr>
      </w:pPr>
      <w:r w:rsidRPr="0006645A">
        <w:rPr>
          <w:szCs w:val="22"/>
        </w:rPr>
        <w:t>WIPO Staff Regulation 9.2(g) requires the Director General to report to the WIPO Coordination Committee all cases of termination of appointments of staff.  The following terminations took place between July 1, 20</w:t>
      </w:r>
      <w:r>
        <w:rPr>
          <w:szCs w:val="22"/>
        </w:rPr>
        <w:t>20</w:t>
      </w:r>
      <w:r w:rsidRPr="0006645A">
        <w:rPr>
          <w:szCs w:val="22"/>
        </w:rPr>
        <w:t xml:space="preserve"> and June 30, 202</w:t>
      </w:r>
      <w:r>
        <w:rPr>
          <w:szCs w:val="22"/>
        </w:rPr>
        <w:t>1</w:t>
      </w:r>
      <w:r w:rsidRPr="0006645A">
        <w:rPr>
          <w:szCs w:val="22"/>
        </w:rPr>
        <w:t>:</w:t>
      </w:r>
    </w:p>
    <w:p w14:paraId="247317EE" w14:textId="77777777" w:rsidR="00276BEE" w:rsidRDefault="00276BEE" w:rsidP="00276BEE">
      <w:pPr>
        <w:pStyle w:val="ListParagraph"/>
        <w:ind w:left="0"/>
        <w:rPr>
          <w:szCs w:val="22"/>
        </w:rPr>
      </w:pPr>
    </w:p>
    <w:p w14:paraId="6E69DA47" w14:textId="77777777" w:rsidR="00276BEE" w:rsidRPr="0006645A" w:rsidRDefault="00276BEE" w:rsidP="0072762D">
      <w:pPr>
        <w:pStyle w:val="ListParagraph"/>
        <w:numPr>
          <w:ilvl w:val="0"/>
          <w:numId w:val="14"/>
        </w:numPr>
        <w:ind w:hanging="657"/>
        <w:rPr>
          <w:szCs w:val="22"/>
        </w:rPr>
      </w:pPr>
      <w:r w:rsidRPr="0006645A">
        <w:rPr>
          <w:szCs w:val="22"/>
        </w:rPr>
        <w:t>f</w:t>
      </w:r>
      <w:r>
        <w:rPr>
          <w:szCs w:val="22"/>
        </w:rPr>
        <w:t>ive</w:t>
      </w:r>
      <w:r w:rsidRPr="0006645A">
        <w:rPr>
          <w:szCs w:val="22"/>
        </w:rPr>
        <w:t xml:space="preserve"> for health reasons in accordance with Staff Regulation 9.2(a)(2);</w:t>
      </w:r>
    </w:p>
    <w:p w14:paraId="6DE7C74F" w14:textId="77777777" w:rsidR="00276BEE" w:rsidRDefault="00276BEE" w:rsidP="0072762D">
      <w:pPr>
        <w:pStyle w:val="ListParagraph"/>
        <w:numPr>
          <w:ilvl w:val="0"/>
          <w:numId w:val="14"/>
        </w:numPr>
        <w:ind w:hanging="657"/>
        <w:rPr>
          <w:szCs w:val="22"/>
        </w:rPr>
      </w:pPr>
      <w:r w:rsidRPr="0006645A">
        <w:rPr>
          <w:szCs w:val="22"/>
        </w:rPr>
        <w:t>1</w:t>
      </w:r>
      <w:r>
        <w:rPr>
          <w:szCs w:val="22"/>
        </w:rPr>
        <w:t>0</w:t>
      </w:r>
      <w:r w:rsidRPr="0006645A">
        <w:rPr>
          <w:szCs w:val="22"/>
        </w:rPr>
        <w:t xml:space="preserve"> in the interest of the good administration of the Organization and with the consent of the staff members concerned, in a</w:t>
      </w:r>
      <w:r>
        <w:rPr>
          <w:szCs w:val="22"/>
        </w:rPr>
        <w:t>ccordance with Staff Regulation </w:t>
      </w:r>
      <w:r w:rsidRPr="0006645A">
        <w:rPr>
          <w:szCs w:val="22"/>
        </w:rPr>
        <w:t>9.2(a)(5).</w:t>
      </w:r>
    </w:p>
    <w:p w14:paraId="52C7A7CE" w14:textId="09D1A14C" w:rsidR="0018674A" w:rsidRDefault="0018674A">
      <w:pPr>
        <w:rPr>
          <w:bCs/>
          <w:iCs/>
          <w:caps/>
          <w:szCs w:val="28"/>
        </w:rPr>
      </w:pPr>
    </w:p>
    <w:p w14:paraId="08C56973" w14:textId="77777777" w:rsidR="0018674A" w:rsidRDefault="0018674A" w:rsidP="00276BEE">
      <w:pPr>
        <w:pStyle w:val="Heading2"/>
      </w:pPr>
      <w:r>
        <w:tab/>
      </w:r>
    </w:p>
    <w:p w14:paraId="5E9BB74B" w14:textId="77777777" w:rsidR="0018674A" w:rsidRDefault="0018674A">
      <w:pPr>
        <w:rPr>
          <w:bCs/>
          <w:iCs/>
          <w:caps/>
          <w:szCs w:val="28"/>
        </w:rPr>
      </w:pPr>
      <w:r>
        <w:br w:type="page"/>
      </w:r>
    </w:p>
    <w:p w14:paraId="0033A278" w14:textId="23F9EBB9" w:rsidR="00276BEE" w:rsidRPr="0006645A" w:rsidRDefault="0018674A" w:rsidP="00276BEE">
      <w:pPr>
        <w:pStyle w:val="Heading2"/>
      </w:pPr>
      <w:r>
        <w:lastRenderedPageBreak/>
        <w:tab/>
      </w:r>
      <w:r w:rsidR="00276BEE" w:rsidRPr="00662F3D">
        <w:t>EXTENSIONS OF TEMPORARY APPOINTMENTS</w:t>
      </w:r>
    </w:p>
    <w:p w14:paraId="57EC83AC" w14:textId="77777777" w:rsidR="00276BEE" w:rsidRPr="0006645A" w:rsidRDefault="00276BEE" w:rsidP="00276BEE">
      <w:pPr>
        <w:pStyle w:val="ListParagraph"/>
        <w:ind w:left="567"/>
        <w:rPr>
          <w:szCs w:val="22"/>
        </w:rPr>
      </w:pPr>
    </w:p>
    <w:p w14:paraId="1A5EBC45" w14:textId="707548C2" w:rsidR="00276BEE" w:rsidRPr="0018674A" w:rsidRDefault="00276BEE" w:rsidP="00D204CB">
      <w:pPr>
        <w:pStyle w:val="ListParagraph"/>
        <w:numPr>
          <w:ilvl w:val="0"/>
          <w:numId w:val="12"/>
        </w:numPr>
        <w:ind w:left="0" w:firstLine="0"/>
        <w:rPr>
          <w:szCs w:val="22"/>
        </w:rPr>
      </w:pPr>
      <w:r w:rsidRPr="0018674A">
        <w:rPr>
          <w:szCs w:val="22"/>
        </w:rPr>
        <w:t>At its annual meeting in September 2018, the WIPO Coordination Committee requested the Secretariat to include systematically in its Annual Report on Human Resources detailed information on the number of temporary appointments extended by the Director General beyond two years under Staff Regulation 4.16(a)</w:t>
      </w:r>
      <w:r w:rsidRPr="0006645A">
        <w:rPr>
          <w:rStyle w:val="FootnoteReference"/>
          <w:rFonts w:eastAsia="SimSun"/>
          <w:szCs w:val="22"/>
        </w:rPr>
        <w:footnoteReference w:id="6"/>
      </w:r>
      <w:r w:rsidRPr="0018674A">
        <w:rPr>
          <w:szCs w:val="22"/>
        </w:rPr>
        <w:t xml:space="preserve"> and the rationale for the use of this exceptional measure. </w:t>
      </w:r>
    </w:p>
    <w:p w14:paraId="3F695186" w14:textId="77777777" w:rsidR="00276BEE" w:rsidRDefault="00276BEE" w:rsidP="00276BEE">
      <w:pPr>
        <w:pStyle w:val="ListParagraph"/>
        <w:ind w:left="0"/>
        <w:rPr>
          <w:szCs w:val="22"/>
        </w:rPr>
      </w:pPr>
    </w:p>
    <w:p w14:paraId="46694CD5" w14:textId="77777777" w:rsidR="00276BEE" w:rsidRDefault="00276BEE" w:rsidP="00276BEE">
      <w:pPr>
        <w:pStyle w:val="ListParagraph"/>
        <w:numPr>
          <w:ilvl w:val="0"/>
          <w:numId w:val="12"/>
        </w:numPr>
        <w:ind w:left="0" w:firstLine="0"/>
        <w:rPr>
          <w:szCs w:val="22"/>
        </w:rPr>
      </w:pPr>
      <w:r w:rsidRPr="0006645A">
        <w:rPr>
          <w:szCs w:val="22"/>
        </w:rPr>
        <w:t xml:space="preserve">During the reporting period ending on June </w:t>
      </w:r>
      <w:r>
        <w:rPr>
          <w:szCs w:val="22"/>
        </w:rPr>
        <w:t>30, 2021, 8 </w:t>
      </w:r>
      <w:r w:rsidRPr="0006645A">
        <w:rPr>
          <w:szCs w:val="22"/>
        </w:rPr>
        <w:t>staff members on temporary appointments were extended beyond two years.  The reasons for these exceptional extensions were as follows:</w:t>
      </w:r>
    </w:p>
    <w:p w14:paraId="5A7086BA" w14:textId="77777777" w:rsidR="00276BEE" w:rsidRDefault="00276BEE" w:rsidP="00276BEE">
      <w:pPr>
        <w:pStyle w:val="null"/>
        <w:spacing w:before="0" w:beforeAutospacing="0" w:after="0" w:afterAutospacing="0"/>
        <w:rPr>
          <w:rFonts w:ascii="Arial" w:hAnsi="Arial" w:cs="Arial"/>
          <w:sz w:val="22"/>
          <w:szCs w:val="22"/>
        </w:rPr>
      </w:pPr>
      <w:r>
        <w:rPr>
          <w:rStyle w:val="null1"/>
          <w:rFonts w:ascii="Arial" w:hAnsi="Arial" w:cs="Arial"/>
          <w:sz w:val="22"/>
          <w:szCs w:val="22"/>
        </w:rPr>
        <w:t> </w:t>
      </w:r>
    </w:p>
    <w:p w14:paraId="29ED8575" w14:textId="77777777" w:rsidR="00276BEE" w:rsidRDefault="00276BEE" w:rsidP="00276BEE">
      <w:pPr>
        <w:pStyle w:val="null"/>
        <w:numPr>
          <w:ilvl w:val="0"/>
          <w:numId w:val="15"/>
        </w:numPr>
        <w:spacing w:before="0" w:beforeAutospacing="0" w:after="0" w:afterAutospacing="0"/>
        <w:ind w:left="1260" w:hanging="720"/>
        <w:rPr>
          <w:rStyle w:val="null1"/>
          <w:color w:val="000000"/>
        </w:rPr>
      </w:pPr>
      <w:r>
        <w:rPr>
          <w:rStyle w:val="null1"/>
          <w:rFonts w:ascii="Arial" w:hAnsi="Arial" w:cs="Arial"/>
          <w:color w:val="000000"/>
          <w:sz w:val="22"/>
          <w:szCs w:val="22"/>
        </w:rPr>
        <w:t>One</w:t>
      </w:r>
      <w:r>
        <w:rPr>
          <w:rStyle w:val="null1"/>
          <w:rFonts w:ascii="Arial" w:hAnsi="Arial" w:cs="Arial"/>
          <w:color w:val="000000"/>
          <w:sz w:val="20"/>
          <w:szCs w:val="20"/>
        </w:rPr>
        <w:t xml:space="preserve"> </w:t>
      </w:r>
      <w:r>
        <w:rPr>
          <w:rStyle w:val="null1"/>
          <w:rFonts w:ascii="Arial" w:hAnsi="Arial" w:cs="Arial"/>
          <w:color w:val="000000"/>
          <w:sz w:val="22"/>
          <w:szCs w:val="22"/>
        </w:rPr>
        <w:t xml:space="preserve">temporary appointment was exceptionally extended (by one month) owing to the COVID-19 situation and the fact that the staff member could not return home due to the unavailability of flights. </w:t>
      </w:r>
    </w:p>
    <w:p w14:paraId="1825A4F6" w14:textId="77777777" w:rsidR="00276BEE" w:rsidRDefault="00276BEE" w:rsidP="00276BEE">
      <w:pPr>
        <w:pStyle w:val="null"/>
        <w:numPr>
          <w:ilvl w:val="0"/>
          <w:numId w:val="15"/>
        </w:numPr>
        <w:spacing w:before="0" w:beforeAutospacing="0" w:after="0" w:afterAutospacing="0"/>
        <w:ind w:left="1260" w:hanging="720"/>
        <w:rPr>
          <w:rStyle w:val="null1"/>
          <w:rFonts w:ascii="Arial" w:hAnsi="Arial" w:cs="Arial"/>
          <w:color w:val="000000"/>
          <w:sz w:val="22"/>
          <w:szCs w:val="22"/>
        </w:rPr>
      </w:pPr>
      <w:r>
        <w:rPr>
          <w:rStyle w:val="null1"/>
          <w:rFonts w:ascii="Arial" w:hAnsi="Arial" w:cs="Arial"/>
          <w:color w:val="000000"/>
          <w:sz w:val="22"/>
          <w:szCs w:val="22"/>
        </w:rPr>
        <w:t>Three temporary appointments were exceptionally extended (one for six months and two for 12 months) owing to business needs, ensuring continuity of functions.</w:t>
      </w:r>
    </w:p>
    <w:p w14:paraId="77362178" w14:textId="77777777" w:rsidR="00276BEE" w:rsidRDefault="00276BEE" w:rsidP="00276BEE">
      <w:pPr>
        <w:pStyle w:val="null"/>
        <w:numPr>
          <w:ilvl w:val="0"/>
          <w:numId w:val="15"/>
        </w:numPr>
        <w:spacing w:before="0" w:beforeAutospacing="0" w:after="0" w:afterAutospacing="0"/>
        <w:ind w:left="1260" w:hanging="720"/>
      </w:pPr>
      <w:r>
        <w:rPr>
          <w:rStyle w:val="null1"/>
          <w:rFonts w:ascii="Arial" w:hAnsi="Arial" w:cs="Arial"/>
          <w:color w:val="000000"/>
          <w:sz w:val="22"/>
          <w:szCs w:val="22"/>
        </w:rPr>
        <w:t xml:space="preserve">Two temporary appointments were exceptionally extended (one for six months and one for 12 months) </w:t>
      </w:r>
      <w:r>
        <w:rPr>
          <w:rFonts w:ascii="Arial" w:hAnsi="Arial" w:cs="Arial"/>
          <w:sz w:val="22"/>
          <w:szCs w:val="22"/>
        </w:rPr>
        <w:t>to ensure business continuity while the Program and Budget for the biennium 2022/23 was being prepared.</w:t>
      </w:r>
    </w:p>
    <w:p w14:paraId="72AEE9F5" w14:textId="7527F935" w:rsidR="00276BEE" w:rsidRPr="00276BEE" w:rsidRDefault="00276BEE" w:rsidP="00276BEE">
      <w:pPr>
        <w:pStyle w:val="ListParagraph"/>
        <w:numPr>
          <w:ilvl w:val="0"/>
          <w:numId w:val="15"/>
        </w:numPr>
        <w:ind w:left="1260" w:hanging="720"/>
        <w:rPr>
          <w:rStyle w:val="null1"/>
          <w:szCs w:val="22"/>
        </w:rPr>
      </w:pPr>
      <w:r>
        <w:rPr>
          <w:rStyle w:val="null1"/>
          <w:color w:val="000000"/>
        </w:rPr>
        <w:t>Two temporary appointments were exceptionally extended (</w:t>
      </w:r>
      <w:r w:rsidR="00F9067D">
        <w:rPr>
          <w:rStyle w:val="null1"/>
          <w:color w:val="000000"/>
        </w:rPr>
        <w:t>both</w:t>
      </w:r>
      <w:r>
        <w:rPr>
          <w:rStyle w:val="null1"/>
          <w:color w:val="000000"/>
        </w:rPr>
        <w:t xml:space="preserve"> for six months) in t</w:t>
      </w:r>
      <w:r w:rsidR="0060009D">
        <w:rPr>
          <w:rStyle w:val="null1"/>
          <w:color w:val="000000"/>
        </w:rPr>
        <w:t>he interest of the O</w:t>
      </w:r>
      <w:r>
        <w:rPr>
          <w:rStyle w:val="null1"/>
          <w:color w:val="000000"/>
        </w:rPr>
        <w:t>rganization given the transition of the new Senior Management Team (SMT).</w:t>
      </w:r>
    </w:p>
    <w:p w14:paraId="3B525577" w14:textId="77777777" w:rsidR="00276BEE" w:rsidRDefault="00276BEE" w:rsidP="00276BEE">
      <w:pPr>
        <w:pStyle w:val="ListParagraph"/>
        <w:ind w:left="1260"/>
        <w:rPr>
          <w:szCs w:val="22"/>
        </w:rPr>
      </w:pPr>
    </w:p>
    <w:p w14:paraId="60A57AA3" w14:textId="503DD453" w:rsidR="00276BEE" w:rsidRPr="0006645A" w:rsidRDefault="00276BEE" w:rsidP="00276BEE">
      <w:pPr>
        <w:pStyle w:val="Heading2"/>
        <w:rPr>
          <w:color w:val="000000"/>
          <w:szCs w:val="22"/>
        </w:rPr>
      </w:pPr>
      <w:r>
        <w:tab/>
        <w:t>IMPLEMENTATION OF WIPO</w:t>
      </w:r>
      <w:r w:rsidR="0006560C">
        <w:t>’</w:t>
      </w:r>
      <w:r>
        <w:t xml:space="preserve">S POLICY ON GENDER EQUALITY </w:t>
      </w:r>
    </w:p>
    <w:p w14:paraId="475EB933" w14:textId="77777777" w:rsidR="00276BEE" w:rsidRDefault="00276BEE" w:rsidP="00276BEE">
      <w:pPr>
        <w:autoSpaceDE w:val="0"/>
        <w:autoSpaceDN w:val="0"/>
        <w:adjustRightInd w:val="0"/>
        <w:rPr>
          <w:color w:val="000000"/>
          <w:szCs w:val="22"/>
        </w:rPr>
      </w:pPr>
    </w:p>
    <w:p w14:paraId="17F3A848" w14:textId="33989103" w:rsidR="00276BEE" w:rsidRPr="0006645A" w:rsidRDefault="00276BEE" w:rsidP="00276BEE">
      <w:pPr>
        <w:numPr>
          <w:ilvl w:val="0"/>
          <w:numId w:val="12"/>
        </w:numPr>
        <w:autoSpaceDE w:val="0"/>
        <w:autoSpaceDN w:val="0"/>
        <w:adjustRightInd w:val="0"/>
        <w:ind w:left="0" w:firstLine="0"/>
        <w:rPr>
          <w:color w:val="000000"/>
          <w:szCs w:val="22"/>
        </w:rPr>
      </w:pPr>
      <w:r>
        <w:rPr>
          <w:color w:val="000000"/>
          <w:szCs w:val="22"/>
        </w:rPr>
        <w:t xml:space="preserve">As per its Policy on Gender Equality, </w:t>
      </w:r>
      <w:r w:rsidRPr="0006645A">
        <w:rPr>
          <w:color w:val="000000"/>
          <w:szCs w:val="22"/>
        </w:rPr>
        <w:t>WIP</w:t>
      </w:r>
      <w:r>
        <w:rPr>
          <w:color w:val="000000"/>
          <w:szCs w:val="22"/>
        </w:rPr>
        <w:t>O</w:t>
      </w:r>
      <w:r w:rsidRPr="0006645A">
        <w:rPr>
          <w:color w:val="000000"/>
          <w:szCs w:val="22"/>
        </w:rPr>
        <w:t xml:space="preserve"> has adopted a two-pronged approach in its efforts </w:t>
      </w:r>
      <w:r>
        <w:rPr>
          <w:color w:val="000000"/>
          <w:szCs w:val="22"/>
        </w:rPr>
        <w:t>on</w:t>
      </w:r>
      <w:r w:rsidRPr="0006645A">
        <w:rPr>
          <w:color w:val="000000"/>
          <w:szCs w:val="22"/>
        </w:rPr>
        <w:t xml:space="preserve"> gender equality and women</w:t>
      </w:r>
      <w:r w:rsidR="0006560C">
        <w:rPr>
          <w:color w:val="000000"/>
          <w:szCs w:val="22"/>
        </w:rPr>
        <w:t>’</w:t>
      </w:r>
      <w:r w:rsidRPr="0006645A">
        <w:rPr>
          <w:color w:val="000000"/>
          <w:szCs w:val="22"/>
        </w:rPr>
        <w:t>s empowerment</w:t>
      </w:r>
      <w:r>
        <w:rPr>
          <w:color w:val="000000"/>
          <w:szCs w:val="22"/>
        </w:rPr>
        <w:t xml:space="preserve">: it both </w:t>
      </w:r>
      <w:r w:rsidRPr="0006645A">
        <w:rPr>
          <w:color w:val="000000"/>
          <w:szCs w:val="22"/>
        </w:rPr>
        <w:t>implements gender-specific initiatives</w:t>
      </w:r>
      <w:r>
        <w:rPr>
          <w:color w:val="000000"/>
          <w:szCs w:val="22"/>
        </w:rPr>
        <w:t xml:space="preserve"> </w:t>
      </w:r>
      <w:r w:rsidRPr="0006645A">
        <w:rPr>
          <w:color w:val="000000"/>
          <w:szCs w:val="22"/>
        </w:rPr>
        <w:t xml:space="preserve">and mainstreams gender considerations in </w:t>
      </w:r>
      <w:r w:rsidR="002033FD">
        <w:rPr>
          <w:color w:val="000000"/>
          <w:szCs w:val="22"/>
        </w:rPr>
        <w:t>others</w:t>
      </w:r>
      <w:r>
        <w:rPr>
          <w:color w:val="000000"/>
          <w:szCs w:val="22"/>
        </w:rPr>
        <w:t>, in alignment with UN system-wide gender equality related priorities and the Sustainable Development Goals</w:t>
      </w:r>
      <w:r w:rsidR="00797571">
        <w:rPr>
          <w:color w:val="000000"/>
          <w:szCs w:val="22"/>
        </w:rPr>
        <w:t xml:space="preserve"> (SDGs)</w:t>
      </w:r>
      <w:r>
        <w:rPr>
          <w:color w:val="000000"/>
          <w:szCs w:val="22"/>
        </w:rPr>
        <w:t>.</w:t>
      </w:r>
      <w:r w:rsidRPr="0006645A">
        <w:rPr>
          <w:color w:val="000000"/>
          <w:szCs w:val="22"/>
        </w:rPr>
        <w:t xml:space="preserve"> </w:t>
      </w:r>
      <w:r w:rsidR="00797571">
        <w:rPr>
          <w:color w:val="000000"/>
          <w:szCs w:val="22"/>
        </w:rPr>
        <w:t xml:space="preserve"> </w:t>
      </w:r>
      <w:r>
        <w:rPr>
          <w:color w:val="000000"/>
          <w:szCs w:val="22"/>
        </w:rPr>
        <w:t>These initiatives are both inward-facing (for example, the equal representation of men and women in the workforce) and outward looking (for example, programmatic work in support of Member States)</w:t>
      </w:r>
      <w:r w:rsidR="008B3553">
        <w:rPr>
          <w:color w:val="000000"/>
          <w:szCs w:val="22"/>
        </w:rPr>
        <w:t xml:space="preserve">, and are highlighted in the next paragraphs. </w:t>
      </w:r>
    </w:p>
    <w:p w14:paraId="798B81F5" w14:textId="77777777" w:rsidR="00276BEE" w:rsidRPr="009179B5" w:rsidRDefault="00276BEE" w:rsidP="00276BEE">
      <w:pPr>
        <w:pStyle w:val="Heading3"/>
        <w:rPr>
          <w:i/>
          <w:u w:val="none"/>
        </w:rPr>
      </w:pPr>
      <w:r w:rsidRPr="009179B5">
        <w:rPr>
          <w:i/>
          <w:u w:val="none"/>
        </w:rPr>
        <w:t>Gender mainstreaming in organizational functions</w:t>
      </w:r>
    </w:p>
    <w:p w14:paraId="78058FDB" w14:textId="77777777" w:rsidR="00276BEE" w:rsidRPr="00762EBE" w:rsidRDefault="00276BEE" w:rsidP="00276BEE">
      <w:pPr>
        <w:rPr>
          <w:i/>
        </w:rPr>
      </w:pPr>
    </w:p>
    <w:p w14:paraId="086CCE81" w14:textId="04345C84" w:rsidR="00276BEE" w:rsidRPr="0006645A" w:rsidRDefault="00276BEE" w:rsidP="00276BEE">
      <w:pPr>
        <w:keepNext/>
        <w:keepLines/>
        <w:numPr>
          <w:ilvl w:val="0"/>
          <w:numId w:val="12"/>
        </w:numPr>
        <w:ind w:left="0" w:firstLine="0"/>
        <w:contextualSpacing/>
        <w:rPr>
          <w:szCs w:val="22"/>
        </w:rPr>
      </w:pPr>
      <w:r w:rsidRPr="0006645A">
        <w:rPr>
          <w:szCs w:val="22"/>
        </w:rPr>
        <w:t>With regard to UN system-wide work, in 20</w:t>
      </w:r>
      <w:r>
        <w:rPr>
          <w:szCs w:val="22"/>
        </w:rPr>
        <w:t>20</w:t>
      </w:r>
      <w:r w:rsidRPr="0006645A">
        <w:rPr>
          <w:szCs w:val="22"/>
        </w:rPr>
        <w:t xml:space="preserve">, WIPO continued to implement the </w:t>
      </w:r>
      <w:r w:rsidR="00797571">
        <w:rPr>
          <w:szCs w:val="22"/>
        </w:rPr>
        <w:t>UN </w:t>
      </w:r>
      <w:r w:rsidRPr="0006645A">
        <w:rPr>
          <w:szCs w:val="22"/>
        </w:rPr>
        <w:t xml:space="preserve">System-wide Action Plan on Gender Equality and the Empowerment of Women </w:t>
      </w:r>
      <w:r w:rsidR="00797571">
        <w:rPr>
          <w:szCs w:val="22"/>
        </w:rPr>
        <w:t>(UN</w:t>
      </w:r>
      <w:r w:rsidR="00797571">
        <w:rPr>
          <w:szCs w:val="22"/>
        </w:rPr>
        <w:noBreakHyphen/>
      </w:r>
      <w:r w:rsidRPr="0006645A">
        <w:rPr>
          <w:szCs w:val="22"/>
        </w:rPr>
        <w:t xml:space="preserve">SWAP).  </w:t>
      </w:r>
      <w:r>
        <w:rPr>
          <w:szCs w:val="22"/>
        </w:rPr>
        <w:t xml:space="preserve">The </w:t>
      </w:r>
      <w:r w:rsidRPr="0006645A">
        <w:rPr>
          <w:szCs w:val="22"/>
        </w:rPr>
        <w:t>UN-SWAP is an accountability mechanism approved by the UN System Chief Executives Board for Coordination (CEB).</w:t>
      </w:r>
      <w:r w:rsidRPr="0006645A">
        <w:rPr>
          <w:szCs w:val="22"/>
          <w:vertAlign w:val="superscript"/>
        </w:rPr>
        <w:footnoteReference w:id="7"/>
      </w:r>
      <w:r w:rsidRPr="0006645A">
        <w:rPr>
          <w:szCs w:val="22"/>
        </w:rPr>
        <w:t xml:space="preserve">  Between 201</w:t>
      </w:r>
      <w:r>
        <w:rPr>
          <w:szCs w:val="22"/>
        </w:rPr>
        <w:t>9</w:t>
      </w:r>
      <w:r w:rsidRPr="0006645A">
        <w:rPr>
          <w:szCs w:val="22"/>
        </w:rPr>
        <w:t xml:space="preserve"> and 20</w:t>
      </w:r>
      <w:r>
        <w:rPr>
          <w:szCs w:val="22"/>
        </w:rPr>
        <w:t>20</w:t>
      </w:r>
      <w:r w:rsidRPr="0006645A">
        <w:rPr>
          <w:szCs w:val="22"/>
        </w:rPr>
        <w:t>, WIPO</w:t>
      </w:r>
      <w:r w:rsidR="0006560C">
        <w:rPr>
          <w:szCs w:val="22"/>
        </w:rPr>
        <w:t>’</w:t>
      </w:r>
      <w:r w:rsidRPr="0006645A">
        <w:rPr>
          <w:szCs w:val="22"/>
        </w:rPr>
        <w:t xml:space="preserve">s compliance rate improved by </w:t>
      </w:r>
      <w:r>
        <w:rPr>
          <w:szCs w:val="22"/>
        </w:rPr>
        <w:t>6</w:t>
      </w:r>
      <w:r w:rsidRPr="0006645A">
        <w:rPr>
          <w:szCs w:val="22"/>
        </w:rPr>
        <w:t xml:space="preserve"> percentage points.  As a result, in 20</w:t>
      </w:r>
      <w:r>
        <w:rPr>
          <w:szCs w:val="22"/>
        </w:rPr>
        <w:t>20</w:t>
      </w:r>
      <w:r w:rsidRPr="0006645A">
        <w:rPr>
          <w:szCs w:val="22"/>
        </w:rPr>
        <w:t xml:space="preserve">, WIPO is meeting or exceeding requirements for </w:t>
      </w:r>
      <w:r>
        <w:rPr>
          <w:szCs w:val="22"/>
        </w:rPr>
        <w:t>47</w:t>
      </w:r>
      <w:r w:rsidRPr="0006645A">
        <w:rPr>
          <w:szCs w:val="22"/>
        </w:rPr>
        <w:t xml:space="preserve"> per cent of ratings, or </w:t>
      </w:r>
      <w:r>
        <w:rPr>
          <w:szCs w:val="22"/>
        </w:rPr>
        <w:t xml:space="preserve">eight </w:t>
      </w:r>
      <w:r w:rsidRPr="0006645A">
        <w:rPr>
          <w:szCs w:val="22"/>
        </w:rPr>
        <w:t>indicators.</w:t>
      </w:r>
      <w:r w:rsidRPr="0006645A">
        <w:rPr>
          <w:szCs w:val="22"/>
          <w:vertAlign w:val="superscript"/>
        </w:rPr>
        <w:footnoteReference w:id="8"/>
      </w:r>
      <w:r w:rsidRPr="0006645A">
        <w:rPr>
          <w:szCs w:val="22"/>
        </w:rPr>
        <w:t xml:space="preserve">  </w:t>
      </w:r>
    </w:p>
    <w:p w14:paraId="513AEDC6" w14:textId="77777777" w:rsidR="00276BEE" w:rsidRPr="0006645A" w:rsidRDefault="00276BEE" w:rsidP="00276BEE">
      <w:pPr>
        <w:contextualSpacing/>
        <w:rPr>
          <w:szCs w:val="22"/>
        </w:rPr>
      </w:pPr>
    </w:p>
    <w:p w14:paraId="5CC0A6A2" w14:textId="01F5DCD7" w:rsidR="00276BEE" w:rsidRDefault="00276BEE" w:rsidP="00276BEE">
      <w:pPr>
        <w:numPr>
          <w:ilvl w:val="0"/>
          <w:numId w:val="12"/>
        </w:numPr>
        <w:ind w:left="0" w:firstLine="0"/>
        <w:contextualSpacing/>
        <w:rPr>
          <w:szCs w:val="22"/>
        </w:rPr>
      </w:pPr>
      <w:r w:rsidRPr="0006645A">
        <w:rPr>
          <w:szCs w:val="22"/>
        </w:rPr>
        <w:lastRenderedPageBreak/>
        <w:t>The chart below reflects WIPO</w:t>
      </w:r>
      <w:r w:rsidR="0006560C">
        <w:rPr>
          <w:szCs w:val="22"/>
        </w:rPr>
        <w:t>’</w:t>
      </w:r>
      <w:r w:rsidRPr="0006645A">
        <w:rPr>
          <w:szCs w:val="22"/>
        </w:rPr>
        <w:t>s UN-SWAP results for 20</w:t>
      </w:r>
      <w:r>
        <w:rPr>
          <w:szCs w:val="22"/>
        </w:rPr>
        <w:t>20</w:t>
      </w:r>
      <w:r w:rsidRPr="0006645A">
        <w:rPr>
          <w:szCs w:val="22"/>
        </w:rPr>
        <w:t xml:space="preserve"> </w:t>
      </w:r>
      <w:r>
        <w:rPr>
          <w:szCs w:val="22"/>
        </w:rPr>
        <w:t>compared</w:t>
      </w:r>
      <w:r w:rsidRPr="0006645A">
        <w:rPr>
          <w:szCs w:val="22"/>
        </w:rPr>
        <w:t xml:space="preserve"> to 201</w:t>
      </w:r>
      <w:r>
        <w:rPr>
          <w:szCs w:val="22"/>
        </w:rPr>
        <w:t>9</w:t>
      </w:r>
      <w:r w:rsidRPr="0006645A">
        <w:rPr>
          <w:szCs w:val="22"/>
        </w:rPr>
        <w:t>:</w:t>
      </w:r>
    </w:p>
    <w:p w14:paraId="65C58FA8" w14:textId="77777777" w:rsidR="00276BEE" w:rsidRPr="0006645A" w:rsidRDefault="00276BEE" w:rsidP="00276BEE">
      <w:pPr>
        <w:contextualSpacing/>
        <w:rPr>
          <w:szCs w:val="22"/>
        </w:rPr>
      </w:pPr>
    </w:p>
    <w:p w14:paraId="67251511" w14:textId="65D80BF7" w:rsidR="00276BEE" w:rsidRPr="0006645A" w:rsidRDefault="00577B96" w:rsidP="00276BEE">
      <w:pPr>
        <w:contextualSpacing/>
        <w:rPr>
          <w:szCs w:val="22"/>
        </w:rPr>
      </w:pPr>
      <w:r>
        <w:rPr>
          <w:noProof/>
          <w:szCs w:val="22"/>
          <w:lang w:eastAsia="en-US"/>
        </w:rPr>
        <w:drawing>
          <wp:inline distT="0" distB="0" distL="0" distR="0" wp14:anchorId="452C4D4B" wp14:editId="773F3F4B">
            <wp:extent cx="5768340" cy="1729740"/>
            <wp:effectExtent l="0" t="0" r="3810" b="3810"/>
            <wp:docPr id="2" name="Picture 2" title="Comparison 2019-2020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8340" cy="1729740"/>
                    </a:xfrm>
                    <a:prstGeom prst="rect">
                      <a:avLst/>
                    </a:prstGeom>
                    <a:noFill/>
                  </pic:spPr>
                </pic:pic>
              </a:graphicData>
            </a:graphic>
          </wp:inline>
        </w:drawing>
      </w:r>
    </w:p>
    <w:p w14:paraId="14A622BE" w14:textId="77777777" w:rsidR="00276BEE" w:rsidRDefault="00276BEE" w:rsidP="00276BEE">
      <w:pPr>
        <w:contextualSpacing/>
        <w:rPr>
          <w:szCs w:val="22"/>
        </w:rPr>
      </w:pPr>
    </w:p>
    <w:p w14:paraId="448F8646" w14:textId="446C7266" w:rsidR="00276BEE" w:rsidRPr="00EE33B4" w:rsidRDefault="00276BEE" w:rsidP="00276BEE">
      <w:pPr>
        <w:pStyle w:val="ListParagraph"/>
        <w:numPr>
          <w:ilvl w:val="0"/>
          <w:numId w:val="12"/>
        </w:numPr>
        <w:ind w:left="0" w:firstLine="0"/>
        <w:rPr>
          <w:szCs w:val="22"/>
        </w:rPr>
      </w:pPr>
      <w:r w:rsidRPr="00EE33B4">
        <w:rPr>
          <w:szCs w:val="22"/>
        </w:rPr>
        <w:t xml:space="preserve">Since the beginning of the current UN-SWAP cycle in 2018, WIPO has improved compliance to requirements by </w:t>
      </w:r>
      <w:r>
        <w:rPr>
          <w:szCs w:val="22"/>
        </w:rPr>
        <w:t xml:space="preserve">23 percentage points, from 24 percent </w:t>
      </w:r>
      <w:r w:rsidRPr="00EE33B4">
        <w:rPr>
          <w:szCs w:val="22"/>
        </w:rPr>
        <w:t>in 2018 to 47</w:t>
      </w:r>
      <w:r>
        <w:rPr>
          <w:szCs w:val="22"/>
        </w:rPr>
        <w:t xml:space="preserve"> percent</w:t>
      </w:r>
      <w:r w:rsidR="00797571">
        <w:rPr>
          <w:szCs w:val="22"/>
        </w:rPr>
        <w:t xml:space="preserve"> in </w:t>
      </w:r>
      <w:r w:rsidRPr="00EE33B4">
        <w:rPr>
          <w:szCs w:val="22"/>
        </w:rPr>
        <w:t xml:space="preserve">2020. </w:t>
      </w:r>
    </w:p>
    <w:p w14:paraId="511F0E8F" w14:textId="77777777" w:rsidR="00276BEE" w:rsidRDefault="00276BEE" w:rsidP="00276BEE">
      <w:pPr>
        <w:contextualSpacing/>
        <w:rPr>
          <w:szCs w:val="22"/>
        </w:rPr>
      </w:pPr>
    </w:p>
    <w:p w14:paraId="2F7E69B4" w14:textId="4B22DD9F" w:rsidR="00276BEE" w:rsidRPr="00762EBE" w:rsidRDefault="00276BEE" w:rsidP="00276BEE">
      <w:pPr>
        <w:pStyle w:val="ListParagraph"/>
        <w:numPr>
          <w:ilvl w:val="0"/>
          <w:numId w:val="12"/>
        </w:numPr>
        <w:ind w:left="0" w:firstLine="0"/>
        <w:rPr>
          <w:sz w:val="24"/>
          <w:szCs w:val="22"/>
        </w:rPr>
      </w:pPr>
      <w:r w:rsidRPr="00E211B0">
        <w:rPr>
          <w:szCs w:val="22"/>
        </w:rPr>
        <w:t xml:space="preserve">In the reporting period, WIPO continued to strengthen the capacities of Gender Focal Points </w:t>
      </w:r>
      <w:r>
        <w:rPr>
          <w:szCs w:val="22"/>
        </w:rPr>
        <w:t>to support</w:t>
      </w:r>
      <w:r w:rsidRPr="00E211B0">
        <w:rPr>
          <w:szCs w:val="22"/>
        </w:rPr>
        <w:t xml:space="preserve"> </w:t>
      </w:r>
      <w:r w:rsidRPr="008B5681">
        <w:rPr>
          <w:szCs w:val="22"/>
        </w:rPr>
        <w:t xml:space="preserve">gender </w:t>
      </w:r>
      <w:r w:rsidRPr="00E211B0">
        <w:rPr>
          <w:szCs w:val="22"/>
        </w:rPr>
        <w:t xml:space="preserve">mainstreaming in </w:t>
      </w:r>
      <w:r>
        <w:rPr>
          <w:szCs w:val="22"/>
        </w:rPr>
        <w:t xml:space="preserve">both </w:t>
      </w:r>
      <w:r w:rsidRPr="00E211B0">
        <w:rPr>
          <w:szCs w:val="22"/>
        </w:rPr>
        <w:t xml:space="preserve">programming </w:t>
      </w:r>
      <w:r>
        <w:rPr>
          <w:szCs w:val="22"/>
        </w:rPr>
        <w:t>as well as</w:t>
      </w:r>
      <w:r w:rsidRPr="00E211B0">
        <w:rPr>
          <w:szCs w:val="22"/>
        </w:rPr>
        <w:t xml:space="preserve"> </w:t>
      </w:r>
      <w:r>
        <w:rPr>
          <w:szCs w:val="22"/>
        </w:rPr>
        <w:t xml:space="preserve">organizational </w:t>
      </w:r>
      <w:r w:rsidRPr="00E211B0">
        <w:rPr>
          <w:szCs w:val="22"/>
        </w:rPr>
        <w:t>functions.</w:t>
      </w:r>
      <w:r w:rsidR="00797571">
        <w:rPr>
          <w:szCs w:val="22"/>
        </w:rPr>
        <w:t xml:space="preserve"> </w:t>
      </w:r>
      <w:r w:rsidRPr="00056FB2">
        <w:rPr>
          <w:szCs w:val="22"/>
        </w:rPr>
        <w:t xml:space="preserve"> </w:t>
      </w:r>
      <w:r w:rsidRPr="00762EBE">
        <w:rPr>
          <w:szCs w:val="22"/>
        </w:rPr>
        <w:t xml:space="preserve">In 2020, capacity building sessions on </w:t>
      </w:r>
      <w:r w:rsidR="0006560C">
        <w:rPr>
          <w:szCs w:val="22"/>
        </w:rPr>
        <w:t>“</w:t>
      </w:r>
      <w:r w:rsidRPr="00762EBE">
        <w:rPr>
          <w:szCs w:val="22"/>
        </w:rPr>
        <w:t>Diversity, inclusion and belonging</w:t>
      </w:r>
      <w:r w:rsidR="0006560C">
        <w:rPr>
          <w:szCs w:val="22"/>
        </w:rPr>
        <w:t>”</w:t>
      </w:r>
      <w:r w:rsidRPr="00762EBE">
        <w:rPr>
          <w:szCs w:val="22"/>
        </w:rPr>
        <w:t xml:space="preserve">, </w:t>
      </w:r>
      <w:r w:rsidR="0006560C">
        <w:rPr>
          <w:szCs w:val="22"/>
        </w:rPr>
        <w:t>“</w:t>
      </w:r>
      <w:r w:rsidRPr="00762EBE">
        <w:rPr>
          <w:szCs w:val="22"/>
        </w:rPr>
        <w:t>Influencing others</w:t>
      </w:r>
      <w:r w:rsidR="0006560C">
        <w:rPr>
          <w:szCs w:val="22"/>
        </w:rPr>
        <w:t>”</w:t>
      </w:r>
      <w:r w:rsidRPr="00762EBE">
        <w:rPr>
          <w:szCs w:val="22"/>
        </w:rPr>
        <w:t xml:space="preserve"> and </w:t>
      </w:r>
      <w:r w:rsidR="0006560C">
        <w:rPr>
          <w:szCs w:val="22"/>
        </w:rPr>
        <w:t>“</w:t>
      </w:r>
      <w:r w:rsidRPr="00762EBE">
        <w:rPr>
          <w:szCs w:val="22"/>
        </w:rPr>
        <w:t>The UN-SWAP</w:t>
      </w:r>
      <w:r w:rsidR="0006560C">
        <w:rPr>
          <w:szCs w:val="22"/>
        </w:rPr>
        <w:t>”</w:t>
      </w:r>
      <w:r w:rsidRPr="00762EBE">
        <w:rPr>
          <w:szCs w:val="22"/>
        </w:rPr>
        <w:t xml:space="preserve"> were </w:t>
      </w:r>
      <w:r>
        <w:rPr>
          <w:szCs w:val="22"/>
        </w:rPr>
        <w:t>delivered</w:t>
      </w:r>
      <w:r w:rsidRPr="00762EBE">
        <w:rPr>
          <w:szCs w:val="22"/>
        </w:rPr>
        <w:t xml:space="preserve">. </w:t>
      </w:r>
      <w:r w:rsidR="00797571">
        <w:rPr>
          <w:szCs w:val="22"/>
        </w:rPr>
        <w:t xml:space="preserve"> </w:t>
      </w:r>
      <w:r w:rsidRPr="00056FB2">
        <w:rPr>
          <w:szCs w:val="22"/>
        </w:rPr>
        <w:t xml:space="preserve">In addition, </w:t>
      </w:r>
      <w:r>
        <w:rPr>
          <w:szCs w:val="22"/>
        </w:rPr>
        <w:t>r</w:t>
      </w:r>
      <w:r w:rsidRPr="002C4D6F">
        <w:rPr>
          <w:szCs w:val="22"/>
        </w:rPr>
        <w:t>egular check-in sessions are scheduled at least monthly</w:t>
      </w:r>
      <w:r>
        <w:rPr>
          <w:szCs w:val="22"/>
        </w:rPr>
        <w:t xml:space="preserve"> and Gender Focal Points</w:t>
      </w:r>
      <w:r w:rsidRPr="002C4D6F">
        <w:rPr>
          <w:szCs w:val="22"/>
        </w:rPr>
        <w:t xml:space="preserve"> </w:t>
      </w:r>
      <w:r>
        <w:rPr>
          <w:szCs w:val="22"/>
        </w:rPr>
        <w:t xml:space="preserve">receive individualized support when needed. </w:t>
      </w:r>
      <w:r w:rsidR="00797571">
        <w:rPr>
          <w:szCs w:val="22"/>
        </w:rPr>
        <w:t xml:space="preserve"> </w:t>
      </w:r>
      <w:r>
        <w:rPr>
          <w:szCs w:val="22"/>
        </w:rPr>
        <w:t>Moreover,</w:t>
      </w:r>
      <w:r w:rsidRPr="00056FB2">
        <w:rPr>
          <w:szCs w:val="22"/>
        </w:rPr>
        <w:t xml:space="preserve"> </w:t>
      </w:r>
      <w:r w:rsidRPr="00762EBE">
        <w:rPr>
          <w:szCs w:val="22"/>
        </w:rPr>
        <w:t>a dedicated Learning Path</w:t>
      </w:r>
      <w:r>
        <w:rPr>
          <w:szCs w:val="22"/>
        </w:rPr>
        <w:t xml:space="preserve"> and </w:t>
      </w:r>
      <w:r w:rsidRPr="00762EBE">
        <w:rPr>
          <w:szCs w:val="22"/>
        </w:rPr>
        <w:t xml:space="preserve">a collaborative site for the exchange of learning resources </w:t>
      </w:r>
      <w:r>
        <w:rPr>
          <w:szCs w:val="22"/>
        </w:rPr>
        <w:t>have</w:t>
      </w:r>
      <w:r w:rsidRPr="00694DBE">
        <w:rPr>
          <w:szCs w:val="22"/>
        </w:rPr>
        <w:t xml:space="preserve"> been created</w:t>
      </w:r>
      <w:r>
        <w:rPr>
          <w:szCs w:val="22"/>
        </w:rPr>
        <w:t>.</w:t>
      </w:r>
      <w:r w:rsidRPr="00E211B0">
        <w:rPr>
          <w:szCs w:val="22"/>
        </w:rPr>
        <w:t xml:space="preserve"> </w:t>
      </w:r>
    </w:p>
    <w:p w14:paraId="1FA9EB7E" w14:textId="77777777" w:rsidR="00276BEE" w:rsidRPr="0006645A" w:rsidRDefault="00276BEE" w:rsidP="00276BEE">
      <w:pPr>
        <w:rPr>
          <w:i/>
          <w:szCs w:val="22"/>
        </w:rPr>
      </w:pPr>
    </w:p>
    <w:p w14:paraId="54BC1717" w14:textId="77777777" w:rsidR="00276BEE" w:rsidRPr="009179B5" w:rsidRDefault="00276BEE" w:rsidP="00276BEE">
      <w:pPr>
        <w:pStyle w:val="Heading3"/>
        <w:rPr>
          <w:i/>
          <w:u w:val="none"/>
        </w:rPr>
      </w:pPr>
      <w:r w:rsidRPr="009179B5">
        <w:rPr>
          <w:i/>
          <w:u w:val="none"/>
        </w:rPr>
        <w:t>Gender balance</w:t>
      </w:r>
    </w:p>
    <w:p w14:paraId="4ECEB0C9" w14:textId="77777777" w:rsidR="00276BEE" w:rsidRPr="00724054" w:rsidRDefault="00276BEE" w:rsidP="00276BEE">
      <w:pPr>
        <w:contextualSpacing/>
        <w:rPr>
          <w:szCs w:val="22"/>
        </w:rPr>
      </w:pPr>
    </w:p>
    <w:p w14:paraId="6A60EA48" w14:textId="5B98C9B9" w:rsidR="00276BEE" w:rsidRPr="00724054" w:rsidRDefault="004645D0" w:rsidP="00276BEE">
      <w:pPr>
        <w:numPr>
          <w:ilvl w:val="0"/>
          <w:numId w:val="12"/>
        </w:numPr>
        <w:ind w:left="0" w:firstLine="0"/>
        <w:contextualSpacing/>
        <w:rPr>
          <w:szCs w:val="22"/>
        </w:rPr>
      </w:pPr>
      <w:r>
        <w:rPr>
          <w:szCs w:val="22"/>
        </w:rPr>
        <w:t>For the 2022</w:t>
      </w:r>
      <w:r w:rsidR="00276BEE" w:rsidRPr="00724054">
        <w:rPr>
          <w:szCs w:val="22"/>
        </w:rPr>
        <w:t xml:space="preserve">/2023 biennium, </w:t>
      </w:r>
      <w:r w:rsidR="00276BEE">
        <w:rPr>
          <w:szCs w:val="22"/>
        </w:rPr>
        <w:t xml:space="preserve">it is proposed to </w:t>
      </w:r>
      <w:r w:rsidR="00276BEE" w:rsidRPr="00724054">
        <w:rPr>
          <w:szCs w:val="22"/>
        </w:rPr>
        <w:t xml:space="preserve">WIPO Member States </w:t>
      </w:r>
      <w:r w:rsidR="00276BEE">
        <w:rPr>
          <w:szCs w:val="22"/>
        </w:rPr>
        <w:t xml:space="preserve">to </w:t>
      </w:r>
      <w:r w:rsidR="00276BEE" w:rsidRPr="00724054">
        <w:rPr>
          <w:szCs w:val="22"/>
        </w:rPr>
        <w:t>approve gender balance targets for the D2, D1, P5 and P4 , levels, as follows:</w:t>
      </w:r>
    </w:p>
    <w:p w14:paraId="2308AF23" w14:textId="77777777" w:rsidR="00276BEE" w:rsidRPr="00724054" w:rsidRDefault="00276BEE" w:rsidP="00276BEE">
      <w:pPr>
        <w:contextualSpacing/>
        <w:rPr>
          <w:szCs w:val="22"/>
        </w:rPr>
      </w:pPr>
    </w:p>
    <w:tbl>
      <w:tblPr>
        <w:tblStyle w:val="TableGrid"/>
        <w:tblW w:w="0" w:type="auto"/>
        <w:tblInd w:w="562" w:type="dxa"/>
        <w:tblLook w:val="04A0" w:firstRow="1" w:lastRow="0" w:firstColumn="1" w:lastColumn="0" w:noHBand="0" w:noVBand="1"/>
        <w:tblDescription w:val="For the 2020/2021 biennium, WIPO Member States approved gender balance targets for the D2, D1, P5 and P4 levels, respectively at 24%, 37%, 43% and 50%.&#10;&#10;"/>
      </w:tblPr>
      <w:tblGrid>
        <w:gridCol w:w="1347"/>
        <w:gridCol w:w="1347"/>
      </w:tblGrid>
      <w:tr w:rsidR="00276BEE" w:rsidRPr="00724054" w14:paraId="1E92EA52" w14:textId="77777777" w:rsidTr="00D204CB">
        <w:trPr>
          <w:tblHeader/>
        </w:trPr>
        <w:tc>
          <w:tcPr>
            <w:tcW w:w="1347" w:type="dxa"/>
          </w:tcPr>
          <w:p w14:paraId="1F33A988" w14:textId="77777777" w:rsidR="00276BEE" w:rsidRPr="00724054" w:rsidRDefault="00276BEE" w:rsidP="00D204CB">
            <w:pPr>
              <w:contextualSpacing/>
              <w:jc w:val="center"/>
              <w:rPr>
                <w:b/>
              </w:rPr>
            </w:pPr>
            <w:r w:rsidRPr="00724054">
              <w:rPr>
                <w:b/>
              </w:rPr>
              <w:t>Grades</w:t>
            </w:r>
          </w:p>
        </w:tc>
        <w:tc>
          <w:tcPr>
            <w:tcW w:w="1347" w:type="dxa"/>
          </w:tcPr>
          <w:p w14:paraId="1BFB9BC1" w14:textId="77777777" w:rsidR="00276BEE" w:rsidRPr="00724054" w:rsidRDefault="00276BEE" w:rsidP="00D204CB">
            <w:pPr>
              <w:contextualSpacing/>
              <w:jc w:val="center"/>
              <w:rPr>
                <w:b/>
              </w:rPr>
            </w:pPr>
            <w:r w:rsidRPr="00724054">
              <w:rPr>
                <w:b/>
              </w:rPr>
              <w:t>Target</w:t>
            </w:r>
          </w:p>
        </w:tc>
      </w:tr>
      <w:tr w:rsidR="00276BEE" w:rsidRPr="00724054" w14:paraId="37E900FE" w14:textId="77777777" w:rsidTr="00D204CB">
        <w:tc>
          <w:tcPr>
            <w:tcW w:w="1347" w:type="dxa"/>
          </w:tcPr>
          <w:p w14:paraId="05340FE7" w14:textId="77777777" w:rsidR="00276BEE" w:rsidRPr="00724054" w:rsidRDefault="00276BEE" w:rsidP="00D204CB">
            <w:pPr>
              <w:contextualSpacing/>
              <w:jc w:val="center"/>
            </w:pPr>
            <w:r w:rsidRPr="00724054">
              <w:t>D2</w:t>
            </w:r>
          </w:p>
        </w:tc>
        <w:tc>
          <w:tcPr>
            <w:tcW w:w="1347" w:type="dxa"/>
          </w:tcPr>
          <w:p w14:paraId="3952C8AA" w14:textId="60FF34C7" w:rsidR="00276BEE" w:rsidRPr="00724054" w:rsidRDefault="00A83B4C" w:rsidP="00D204CB">
            <w:pPr>
              <w:contextualSpacing/>
              <w:jc w:val="center"/>
            </w:pPr>
            <w:r>
              <w:t>33</w:t>
            </w:r>
            <w:r w:rsidR="00276BEE" w:rsidRPr="00724054">
              <w:t>%</w:t>
            </w:r>
          </w:p>
        </w:tc>
      </w:tr>
      <w:tr w:rsidR="00276BEE" w:rsidRPr="00724054" w14:paraId="6ADB3C30" w14:textId="77777777" w:rsidTr="00D204CB">
        <w:tc>
          <w:tcPr>
            <w:tcW w:w="1347" w:type="dxa"/>
          </w:tcPr>
          <w:p w14:paraId="00D7E4F2" w14:textId="77777777" w:rsidR="00276BEE" w:rsidRPr="00724054" w:rsidRDefault="00276BEE" w:rsidP="00D204CB">
            <w:pPr>
              <w:contextualSpacing/>
              <w:jc w:val="center"/>
            </w:pPr>
            <w:r w:rsidRPr="00724054">
              <w:t>D1</w:t>
            </w:r>
          </w:p>
        </w:tc>
        <w:tc>
          <w:tcPr>
            <w:tcW w:w="1347" w:type="dxa"/>
          </w:tcPr>
          <w:p w14:paraId="7576D521" w14:textId="77777777" w:rsidR="00276BEE" w:rsidRPr="00724054" w:rsidRDefault="00276BEE" w:rsidP="00D204CB">
            <w:pPr>
              <w:contextualSpacing/>
              <w:jc w:val="center"/>
            </w:pPr>
            <w:r w:rsidRPr="00724054">
              <w:t>41%</w:t>
            </w:r>
          </w:p>
        </w:tc>
      </w:tr>
      <w:tr w:rsidR="00276BEE" w:rsidRPr="00724054" w14:paraId="04B1886B" w14:textId="77777777" w:rsidTr="00D204CB">
        <w:tc>
          <w:tcPr>
            <w:tcW w:w="1347" w:type="dxa"/>
          </w:tcPr>
          <w:p w14:paraId="77A0E3B6" w14:textId="77777777" w:rsidR="00276BEE" w:rsidRPr="00724054" w:rsidRDefault="00276BEE" w:rsidP="00D204CB">
            <w:pPr>
              <w:contextualSpacing/>
              <w:jc w:val="center"/>
            </w:pPr>
            <w:r w:rsidRPr="00724054">
              <w:t>P5</w:t>
            </w:r>
          </w:p>
        </w:tc>
        <w:tc>
          <w:tcPr>
            <w:tcW w:w="1347" w:type="dxa"/>
          </w:tcPr>
          <w:p w14:paraId="724CBB12" w14:textId="77777777" w:rsidR="00276BEE" w:rsidRPr="00724054" w:rsidRDefault="00276BEE" w:rsidP="00D204CB">
            <w:pPr>
              <w:contextualSpacing/>
              <w:jc w:val="center"/>
            </w:pPr>
            <w:r w:rsidRPr="00724054">
              <w:t>35%</w:t>
            </w:r>
          </w:p>
        </w:tc>
      </w:tr>
      <w:tr w:rsidR="00276BEE" w:rsidRPr="00724054" w14:paraId="7F2059AA" w14:textId="77777777" w:rsidTr="00D204CB">
        <w:tc>
          <w:tcPr>
            <w:tcW w:w="1347" w:type="dxa"/>
          </w:tcPr>
          <w:p w14:paraId="29CB337C" w14:textId="77777777" w:rsidR="00276BEE" w:rsidRPr="00724054" w:rsidRDefault="00276BEE" w:rsidP="00D204CB">
            <w:pPr>
              <w:contextualSpacing/>
              <w:jc w:val="center"/>
            </w:pPr>
            <w:r w:rsidRPr="00724054">
              <w:t>P4</w:t>
            </w:r>
          </w:p>
        </w:tc>
        <w:tc>
          <w:tcPr>
            <w:tcW w:w="1347" w:type="dxa"/>
          </w:tcPr>
          <w:p w14:paraId="7382E1E1" w14:textId="77777777" w:rsidR="00276BEE" w:rsidRPr="00724054" w:rsidRDefault="00276BEE" w:rsidP="00D204CB">
            <w:pPr>
              <w:contextualSpacing/>
              <w:jc w:val="center"/>
            </w:pPr>
            <w:r w:rsidRPr="00724054">
              <w:t>50%</w:t>
            </w:r>
          </w:p>
        </w:tc>
      </w:tr>
    </w:tbl>
    <w:p w14:paraId="171CC260" w14:textId="77777777" w:rsidR="00276BEE" w:rsidRPr="00724054" w:rsidRDefault="00276BEE" w:rsidP="00276BEE">
      <w:pPr>
        <w:contextualSpacing/>
        <w:rPr>
          <w:szCs w:val="22"/>
        </w:rPr>
      </w:pPr>
    </w:p>
    <w:p w14:paraId="45599AD7" w14:textId="6F859765" w:rsidR="00276BEE" w:rsidRPr="00724054" w:rsidRDefault="005B5982" w:rsidP="00276BEE">
      <w:pPr>
        <w:pStyle w:val="ListParagraph"/>
        <w:numPr>
          <w:ilvl w:val="0"/>
          <w:numId w:val="12"/>
        </w:numPr>
        <w:ind w:left="0" w:firstLine="0"/>
        <w:rPr>
          <w:szCs w:val="22"/>
        </w:rPr>
      </w:pPr>
      <w:r w:rsidRPr="00724054">
        <w:rPr>
          <w:szCs w:val="22"/>
        </w:rPr>
        <w:t>As at June 30, 2021, women represented 54.</w:t>
      </w:r>
      <w:r>
        <w:rPr>
          <w:szCs w:val="22"/>
        </w:rPr>
        <w:t>2</w:t>
      </w:r>
      <w:r w:rsidRPr="00724054">
        <w:rPr>
          <w:szCs w:val="22"/>
        </w:rPr>
        <w:t xml:space="preserve"> per cent of WIPO staff.</w:t>
      </w:r>
      <w:r w:rsidRPr="00724054">
        <w:rPr>
          <w:rStyle w:val="FootnoteReference"/>
          <w:rFonts w:eastAsia="SimSun"/>
          <w:szCs w:val="22"/>
        </w:rPr>
        <w:footnoteReference w:id="9"/>
      </w:r>
      <w:r w:rsidRPr="00724054">
        <w:rPr>
          <w:szCs w:val="22"/>
        </w:rPr>
        <w:t xml:space="preserve">  However, their representation varies significantly across categories, with women being least represented in managerial positions:  women constitute 80 per cent of National Professional Officer staff, </w:t>
      </w:r>
      <w:r w:rsidRPr="00724054">
        <w:rPr>
          <w:szCs w:val="22"/>
        </w:rPr>
        <w:br/>
        <w:t>62.7 per cent of General Service staff, 47.</w:t>
      </w:r>
      <w:r>
        <w:rPr>
          <w:szCs w:val="22"/>
        </w:rPr>
        <w:t>3</w:t>
      </w:r>
      <w:r w:rsidRPr="00724054">
        <w:rPr>
          <w:szCs w:val="22"/>
        </w:rPr>
        <w:t xml:space="preserve"> per cent of Professional staff and 33.3 per cent of Director-level staff.  Positively, over the last year, the P4 level has remained on target, </w:t>
      </w:r>
      <w:r>
        <w:rPr>
          <w:szCs w:val="22"/>
        </w:rPr>
        <w:t>having already</w:t>
      </w:r>
      <w:r w:rsidRPr="00724054">
        <w:rPr>
          <w:szCs w:val="22"/>
        </w:rPr>
        <w:t xml:space="preserve"> been achieved in 2020. In addition, as the table below shows, the D1 level has also met its target, six months ahead of the deadline. Conversely, both the D2 and P5 levels have registered regressions, which have required a recalibration of gender parity targets for the next biennium</w:t>
      </w:r>
      <w:r w:rsidR="00276BEE" w:rsidRPr="00724054">
        <w:rPr>
          <w:szCs w:val="22"/>
        </w:rPr>
        <w:t xml:space="preserve">.   </w:t>
      </w:r>
    </w:p>
    <w:p w14:paraId="19960C44" w14:textId="482704CF" w:rsidR="0018674A" w:rsidRDefault="0018674A">
      <w:pPr>
        <w:rPr>
          <w:szCs w:val="22"/>
        </w:rPr>
      </w:pPr>
      <w:r>
        <w:rPr>
          <w:szCs w:val="22"/>
        </w:rPr>
        <w:br w:type="page"/>
      </w:r>
    </w:p>
    <w:tbl>
      <w:tblPr>
        <w:tblStyle w:val="TableGrid"/>
        <w:tblW w:w="0" w:type="auto"/>
        <w:tblLook w:val="04A0" w:firstRow="1" w:lastRow="0" w:firstColumn="1" w:lastColumn="0" w:noHBand="0" w:noVBand="1"/>
        <w:tblDescription w:val="As compared to the targets for the D2, D1, P5 and P4 levels, this table shows that some grades have made gains over the past two biennia.   For instance, the P4 level has reached its 2021 target, more than one year in advance of the deadline.  The D1 level has also improved consistently and it is now two percentage points away from reaching its target."/>
      </w:tblPr>
      <w:tblGrid>
        <w:gridCol w:w="1294"/>
        <w:gridCol w:w="1295"/>
        <w:gridCol w:w="1295"/>
        <w:gridCol w:w="1294"/>
        <w:gridCol w:w="1295"/>
        <w:gridCol w:w="1295"/>
        <w:gridCol w:w="1295"/>
      </w:tblGrid>
      <w:tr w:rsidR="00276BEE" w:rsidRPr="00724054" w14:paraId="5621132D" w14:textId="77777777" w:rsidTr="00D204CB">
        <w:trPr>
          <w:tblHeader/>
        </w:trPr>
        <w:tc>
          <w:tcPr>
            <w:tcW w:w="1294" w:type="dxa"/>
            <w:vAlign w:val="center"/>
          </w:tcPr>
          <w:p w14:paraId="2C613E3B" w14:textId="77777777" w:rsidR="00276BEE" w:rsidRPr="00291117" w:rsidRDefault="00276BEE" w:rsidP="00D204CB">
            <w:pPr>
              <w:jc w:val="center"/>
              <w:rPr>
                <w:sz w:val="19"/>
                <w:szCs w:val="19"/>
              </w:rPr>
            </w:pPr>
            <w:r w:rsidRPr="00291117">
              <w:rPr>
                <w:b/>
                <w:sz w:val="19"/>
                <w:szCs w:val="19"/>
              </w:rPr>
              <w:lastRenderedPageBreak/>
              <w:t>Grades</w:t>
            </w:r>
          </w:p>
        </w:tc>
        <w:tc>
          <w:tcPr>
            <w:tcW w:w="1295" w:type="dxa"/>
            <w:vAlign w:val="center"/>
          </w:tcPr>
          <w:p w14:paraId="299D39BF" w14:textId="77777777" w:rsidR="00276BEE" w:rsidRPr="00291117" w:rsidRDefault="00276BEE" w:rsidP="00D204CB">
            <w:pPr>
              <w:jc w:val="center"/>
              <w:rPr>
                <w:sz w:val="19"/>
                <w:szCs w:val="19"/>
              </w:rPr>
            </w:pPr>
            <w:r w:rsidRPr="00291117">
              <w:rPr>
                <w:b/>
                <w:sz w:val="19"/>
                <w:szCs w:val="19"/>
              </w:rPr>
              <w:t>Status as at June 30, 2017</w:t>
            </w:r>
          </w:p>
        </w:tc>
        <w:tc>
          <w:tcPr>
            <w:tcW w:w="1295" w:type="dxa"/>
            <w:vAlign w:val="center"/>
          </w:tcPr>
          <w:p w14:paraId="0FBD25D6" w14:textId="77777777" w:rsidR="00276BEE" w:rsidRPr="00291117" w:rsidRDefault="00276BEE" w:rsidP="00D204CB">
            <w:pPr>
              <w:jc w:val="center"/>
              <w:rPr>
                <w:sz w:val="19"/>
                <w:szCs w:val="19"/>
              </w:rPr>
            </w:pPr>
            <w:r w:rsidRPr="00291117">
              <w:rPr>
                <w:b/>
                <w:sz w:val="19"/>
                <w:szCs w:val="19"/>
              </w:rPr>
              <w:t>Status as at June 30, 2018</w:t>
            </w:r>
          </w:p>
        </w:tc>
        <w:tc>
          <w:tcPr>
            <w:tcW w:w="1294" w:type="dxa"/>
            <w:vAlign w:val="center"/>
          </w:tcPr>
          <w:p w14:paraId="6661473A" w14:textId="77777777" w:rsidR="00276BEE" w:rsidRPr="00291117" w:rsidRDefault="00276BEE" w:rsidP="00D204CB">
            <w:pPr>
              <w:jc w:val="center"/>
              <w:rPr>
                <w:sz w:val="19"/>
                <w:szCs w:val="19"/>
              </w:rPr>
            </w:pPr>
            <w:r w:rsidRPr="00291117">
              <w:rPr>
                <w:b/>
                <w:sz w:val="19"/>
                <w:szCs w:val="19"/>
              </w:rPr>
              <w:t>Status as at June 30, 2019</w:t>
            </w:r>
          </w:p>
        </w:tc>
        <w:tc>
          <w:tcPr>
            <w:tcW w:w="1295" w:type="dxa"/>
            <w:vAlign w:val="center"/>
          </w:tcPr>
          <w:p w14:paraId="3CF656A9" w14:textId="77777777" w:rsidR="00276BEE" w:rsidRPr="00291117" w:rsidRDefault="00276BEE" w:rsidP="00D204CB">
            <w:pPr>
              <w:jc w:val="center"/>
              <w:rPr>
                <w:sz w:val="19"/>
                <w:szCs w:val="19"/>
              </w:rPr>
            </w:pPr>
            <w:r w:rsidRPr="00291117">
              <w:rPr>
                <w:b/>
                <w:sz w:val="19"/>
                <w:szCs w:val="19"/>
              </w:rPr>
              <w:t>Status as at June 30, 2020</w:t>
            </w:r>
          </w:p>
        </w:tc>
        <w:tc>
          <w:tcPr>
            <w:tcW w:w="1295" w:type="dxa"/>
            <w:shd w:val="clear" w:color="auto" w:fill="auto"/>
          </w:tcPr>
          <w:p w14:paraId="51675C06" w14:textId="77777777" w:rsidR="00276BEE" w:rsidRPr="00291117" w:rsidRDefault="00276BEE" w:rsidP="00D204CB">
            <w:pPr>
              <w:jc w:val="center"/>
              <w:rPr>
                <w:b/>
                <w:sz w:val="19"/>
                <w:szCs w:val="19"/>
              </w:rPr>
            </w:pPr>
            <w:r w:rsidRPr="00291117">
              <w:rPr>
                <w:b/>
                <w:sz w:val="19"/>
                <w:szCs w:val="19"/>
              </w:rPr>
              <w:t>Status as at June 30, 2021</w:t>
            </w:r>
          </w:p>
        </w:tc>
        <w:tc>
          <w:tcPr>
            <w:tcW w:w="1295" w:type="dxa"/>
            <w:shd w:val="clear" w:color="auto" w:fill="BFBFBF" w:themeFill="background1" w:themeFillShade="BF"/>
            <w:vAlign w:val="center"/>
          </w:tcPr>
          <w:p w14:paraId="054228BA" w14:textId="77777777" w:rsidR="00276BEE" w:rsidRPr="00291117" w:rsidRDefault="00276BEE" w:rsidP="00D204CB">
            <w:pPr>
              <w:jc w:val="center"/>
              <w:rPr>
                <w:sz w:val="19"/>
                <w:szCs w:val="19"/>
              </w:rPr>
            </w:pPr>
            <w:r w:rsidRPr="00291117">
              <w:rPr>
                <w:b/>
                <w:sz w:val="19"/>
                <w:szCs w:val="19"/>
              </w:rPr>
              <w:t>Targets for December 2021</w:t>
            </w:r>
          </w:p>
        </w:tc>
      </w:tr>
      <w:tr w:rsidR="00276BEE" w:rsidRPr="00724054" w14:paraId="64C0A632" w14:textId="77777777" w:rsidTr="00D204CB">
        <w:tc>
          <w:tcPr>
            <w:tcW w:w="1294" w:type="dxa"/>
          </w:tcPr>
          <w:p w14:paraId="4DE99A9C" w14:textId="77777777" w:rsidR="00276BEE" w:rsidRPr="00291117" w:rsidRDefault="00276BEE" w:rsidP="00D204CB">
            <w:pPr>
              <w:jc w:val="center"/>
              <w:rPr>
                <w:sz w:val="20"/>
              </w:rPr>
            </w:pPr>
            <w:r w:rsidRPr="00291117">
              <w:rPr>
                <w:sz w:val="20"/>
              </w:rPr>
              <w:t>D2</w:t>
            </w:r>
          </w:p>
        </w:tc>
        <w:tc>
          <w:tcPr>
            <w:tcW w:w="1295" w:type="dxa"/>
          </w:tcPr>
          <w:p w14:paraId="15DD36C7" w14:textId="77777777" w:rsidR="00276BEE" w:rsidRPr="00291117" w:rsidRDefault="00276BEE" w:rsidP="00D204CB">
            <w:pPr>
              <w:jc w:val="center"/>
              <w:rPr>
                <w:sz w:val="20"/>
              </w:rPr>
            </w:pPr>
            <w:r w:rsidRPr="00291117">
              <w:rPr>
                <w:sz w:val="20"/>
              </w:rPr>
              <w:t>18%</w:t>
            </w:r>
          </w:p>
        </w:tc>
        <w:tc>
          <w:tcPr>
            <w:tcW w:w="1295" w:type="dxa"/>
          </w:tcPr>
          <w:p w14:paraId="628B3D8B" w14:textId="77777777" w:rsidR="00276BEE" w:rsidRPr="00291117" w:rsidRDefault="00276BEE" w:rsidP="00D204CB">
            <w:pPr>
              <w:jc w:val="center"/>
              <w:rPr>
                <w:sz w:val="20"/>
              </w:rPr>
            </w:pPr>
            <w:r w:rsidRPr="00291117">
              <w:rPr>
                <w:sz w:val="20"/>
              </w:rPr>
              <w:t>16.7%</w:t>
            </w:r>
          </w:p>
        </w:tc>
        <w:tc>
          <w:tcPr>
            <w:tcW w:w="1294" w:type="dxa"/>
          </w:tcPr>
          <w:p w14:paraId="12C4E1C1" w14:textId="77777777" w:rsidR="00276BEE" w:rsidRPr="00291117" w:rsidRDefault="00276BEE" w:rsidP="00D204CB">
            <w:pPr>
              <w:jc w:val="center"/>
              <w:rPr>
                <w:sz w:val="20"/>
              </w:rPr>
            </w:pPr>
            <w:r w:rsidRPr="00291117">
              <w:rPr>
                <w:sz w:val="20"/>
              </w:rPr>
              <w:t>15.4%</w:t>
            </w:r>
          </w:p>
        </w:tc>
        <w:tc>
          <w:tcPr>
            <w:tcW w:w="1295" w:type="dxa"/>
          </w:tcPr>
          <w:p w14:paraId="26155DF1" w14:textId="77777777" w:rsidR="00276BEE" w:rsidRPr="00291117" w:rsidRDefault="00276BEE" w:rsidP="00D204CB">
            <w:pPr>
              <w:jc w:val="center"/>
              <w:rPr>
                <w:sz w:val="20"/>
              </w:rPr>
            </w:pPr>
            <w:r w:rsidRPr="00291117">
              <w:rPr>
                <w:sz w:val="20"/>
              </w:rPr>
              <w:t>15.4%</w:t>
            </w:r>
          </w:p>
        </w:tc>
        <w:tc>
          <w:tcPr>
            <w:tcW w:w="1295" w:type="dxa"/>
            <w:shd w:val="clear" w:color="auto" w:fill="auto"/>
          </w:tcPr>
          <w:p w14:paraId="1CC19C34" w14:textId="77777777" w:rsidR="00276BEE" w:rsidRPr="00291117" w:rsidRDefault="00276BEE" w:rsidP="00D204CB">
            <w:pPr>
              <w:jc w:val="center"/>
              <w:rPr>
                <w:sz w:val="20"/>
              </w:rPr>
            </w:pPr>
            <w:r w:rsidRPr="00291117">
              <w:rPr>
                <w:sz w:val="20"/>
              </w:rPr>
              <w:t>10%</w:t>
            </w:r>
          </w:p>
        </w:tc>
        <w:tc>
          <w:tcPr>
            <w:tcW w:w="1295" w:type="dxa"/>
            <w:shd w:val="clear" w:color="auto" w:fill="BFBFBF" w:themeFill="background1" w:themeFillShade="BF"/>
          </w:tcPr>
          <w:p w14:paraId="4A922C77" w14:textId="77777777" w:rsidR="00276BEE" w:rsidRPr="00291117" w:rsidRDefault="00276BEE" w:rsidP="00D204CB">
            <w:pPr>
              <w:jc w:val="center"/>
              <w:rPr>
                <w:sz w:val="20"/>
              </w:rPr>
            </w:pPr>
            <w:r w:rsidRPr="00291117">
              <w:rPr>
                <w:sz w:val="20"/>
              </w:rPr>
              <w:t>24%</w:t>
            </w:r>
          </w:p>
        </w:tc>
      </w:tr>
      <w:tr w:rsidR="00276BEE" w:rsidRPr="00724054" w14:paraId="533931E3" w14:textId="77777777" w:rsidTr="00D204CB">
        <w:tc>
          <w:tcPr>
            <w:tcW w:w="1294" w:type="dxa"/>
          </w:tcPr>
          <w:p w14:paraId="4DB4CB9E" w14:textId="77777777" w:rsidR="00276BEE" w:rsidRPr="00291117" w:rsidRDefault="00276BEE" w:rsidP="00D204CB">
            <w:pPr>
              <w:jc w:val="center"/>
              <w:rPr>
                <w:sz w:val="20"/>
              </w:rPr>
            </w:pPr>
            <w:r w:rsidRPr="00291117">
              <w:rPr>
                <w:sz w:val="20"/>
              </w:rPr>
              <w:t>D1</w:t>
            </w:r>
          </w:p>
        </w:tc>
        <w:tc>
          <w:tcPr>
            <w:tcW w:w="1295" w:type="dxa"/>
          </w:tcPr>
          <w:p w14:paraId="2BF4451D" w14:textId="77777777" w:rsidR="00276BEE" w:rsidRPr="00291117" w:rsidRDefault="00276BEE" w:rsidP="00D204CB">
            <w:pPr>
              <w:jc w:val="center"/>
              <w:rPr>
                <w:sz w:val="20"/>
              </w:rPr>
            </w:pPr>
            <w:r w:rsidRPr="00291117">
              <w:rPr>
                <w:sz w:val="20"/>
              </w:rPr>
              <w:t>31%</w:t>
            </w:r>
          </w:p>
        </w:tc>
        <w:tc>
          <w:tcPr>
            <w:tcW w:w="1295" w:type="dxa"/>
          </w:tcPr>
          <w:p w14:paraId="550C45C5" w14:textId="77777777" w:rsidR="00276BEE" w:rsidRPr="00291117" w:rsidRDefault="00276BEE" w:rsidP="00D204CB">
            <w:pPr>
              <w:jc w:val="center"/>
              <w:rPr>
                <w:sz w:val="20"/>
              </w:rPr>
            </w:pPr>
            <w:r w:rsidRPr="00291117">
              <w:rPr>
                <w:sz w:val="20"/>
              </w:rPr>
              <w:t>34.6%</w:t>
            </w:r>
          </w:p>
        </w:tc>
        <w:tc>
          <w:tcPr>
            <w:tcW w:w="1294" w:type="dxa"/>
          </w:tcPr>
          <w:p w14:paraId="52DD8768" w14:textId="77777777" w:rsidR="00276BEE" w:rsidRPr="00291117" w:rsidRDefault="00276BEE" w:rsidP="00D204CB">
            <w:pPr>
              <w:jc w:val="center"/>
              <w:rPr>
                <w:sz w:val="20"/>
              </w:rPr>
            </w:pPr>
            <w:r w:rsidRPr="00291117">
              <w:rPr>
                <w:sz w:val="20"/>
              </w:rPr>
              <w:t>36.8%</w:t>
            </w:r>
          </w:p>
        </w:tc>
        <w:tc>
          <w:tcPr>
            <w:tcW w:w="1295" w:type="dxa"/>
          </w:tcPr>
          <w:p w14:paraId="17A08FC1" w14:textId="77777777" w:rsidR="00276BEE" w:rsidRPr="00291117" w:rsidRDefault="00276BEE" w:rsidP="00D204CB">
            <w:pPr>
              <w:jc w:val="center"/>
              <w:rPr>
                <w:sz w:val="20"/>
              </w:rPr>
            </w:pPr>
            <w:r w:rsidRPr="00291117">
              <w:rPr>
                <w:sz w:val="20"/>
              </w:rPr>
              <w:t>34.9%</w:t>
            </w:r>
          </w:p>
        </w:tc>
        <w:tc>
          <w:tcPr>
            <w:tcW w:w="1295" w:type="dxa"/>
            <w:shd w:val="clear" w:color="auto" w:fill="auto"/>
          </w:tcPr>
          <w:p w14:paraId="05B792F8" w14:textId="77777777" w:rsidR="00276BEE" w:rsidRPr="00291117" w:rsidRDefault="00276BEE" w:rsidP="00D204CB">
            <w:pPr>
              <w:jc w:val="center"/>
              <w:rPr>
                <w:sz w:val="20"/>
              </w:rPr>
            </w:pPr>
            <w:r w:rsidRPr="00291117">
              <w:rPr>
                <w:sz w:val="20"/>
              </w:rPr>
              <w:t>37.1%</w:t>
            </w:r>
          </w:p>
        </w:tc>
        <w:tc>
          <w:tcPr>
            <w:tcW w:w="1295" w:type="dxa"/>
            <w:shd w:val="clear" w:color="auto" w:fill="BFBFBF" w:themeFill="background1" w:themeFillShade="BF"/>
          </w:tcPr>
          <w:p w14:paraId="6E8DDBE1" w14:textId="77777777" w:rsidR="00276BEE" w:rsidRPr="00291117" w:rsidRDefault="00276BEE" w:rsidP="00D204CB">
            <w:pPr>
              <w:jc w:val="center"/>
              <w:rPr>
                <w:sz w:val="20"/>
              </w:rPr>
            </w:pPr>
            <w:r w:rsidRPr="00291117">
              <w:rPr>
                <w:sz w:val="20"/>
              </w:rPr>
              <w:t>37%</w:t>
            </w:r>
          </w:p>
        </w:tc>
      </w:tr>
      <w:tr w:rsidR="00276BEE" w:rsidRPr="00724054" w14:paraId="49E19663" w14:textId="77777777" w:rsidTr="00D204CB">
        <w:tc>
          <w:tcPr>
            <w:tcW w:w="1294" w:type="dxa"/>
          </w:tcPr>
          <w:p w14:paraId="543BA1B6" w14:textId="77777777" w:rsidR="00276BEE" w:rsidRPr="00291117" w:rsidRDefault="00276BEE" w:rsidP="00D204CB">
            <w:pPr>
              <w:jc w:val="center"/>
              <w:rPr>
                <w:sz w:val="20"/>
              </w:rPr>
            </w:pPr>
            <w:r w:rsidRPr="00291117">
              <w:rPr>
                <w:sz w:val="20"/>
              </w:rPr>
              <w:t>P5</w:t>
            </w:r>
          </w:p>
        </w:tc>
        <w:tc>
          <w:tcPr>
            <w:tcW w:w="1295" w:type="dxa"/>
          </w:tcPr>
          <w:p w14:paraId="0EB7B191" w14:textId="77777777" w:rsidR="00276BEE" w:rsidRPr="00291117" w:rsidRDefault="00276BEE" w:rsidP="00D204CB">
            <w:pPr>
              <w:jc w:val="center"/>
              <w:rPr>
                <w:sz w:val="20"/>
              </w:rPr>
            </w:pPr>
            <w:r w:rsidRPr="00291117">
              <w:rPr>
                <w:sz w:val="20"/>
              </w:rPr>
              <w:t>35%</w:t>
            </w:r>
          </w:p>
        </w:tc>
        <w:tc>
          <w:tcPr>
            <w:tcW w:w="1295" w:type="dxa"/>
          </w:tcPr>
          <w:p w14:paraId="3823B11D" w14:textId="77777777" w:rsidR="00276BEE" w:rsidRPr="00291117" w:rsidRDefault="00276BEE" w:rsidP="00D204CB">
            <w:pPr>
              <w:jc w:val="center"/>
              <w:rPr>
                <w:sz w:val="20"/>
              </w:rPr>
            </w:pPr>
            <w:r w:rsidRPr="00291117">
              <w:rPr>
                <w:sz w:val="20"/>
              </w:rPr>
              <w:t>33.3%</w:t>
            </w:r>
          </w:p>
        </w:tc>
        <w:tc>
          <w:tcPr>
            <w:tcW w:w="1294" w:type="dxa"/>
          </w:tcPr>
          <w:p w14:paraId="4C4E6A2B" w14:textId="77777777" w:rsidR="00276BEE" w:rsidRPr="00291117" w:rsidRDefault="00276BEE" w:rsidP="00D204CB">
            <w:pPr>
              <w:jc w:val="center"/>
              <w:rPr>
                <w:sz w:val="20"/>
              </w:rPr>
            </w:pPr>
            <w:r w:rsidRPr="00291117">
              <w:rPr>
                <w:sz w:val="20"/>
              </w:rPr>
              <w:t>32.4%</w:t>
            </w:r>
          </w:p>
        </w:tc>
        <w:tc>
          <w:tcPr>
            <w:tcW w:w="1295" w:type="dxa"/>
          </w:tcPr>
          <w:p w14:paraId="774BDC25" w14:textId="77777777" w:rsidR="00276BEE" w:rsidRPr="00291117" w:rsidRDefault="00276BEE" w:rsidP="00D204CB">
            <w:pPr>
              <w:jc w:val="center"/>
              <w:rPr>
                <w:sz w:val="20"/>
              </w:rPr>
            </w:pPr>
            <w:r w:rsidRPr="00291117">
              <w:rPr>
                <w:sz w:val="20"/>
              </w:rPr>
              <w:t>32.7%</w:t>
            </w:r>
          </w:p>
        </w:tc>
        <w:tc>
          <w:tcPr>
            <w:tcW w:w="1295" w:type="dxa"/>
            <w:shd w:val="clear" w:color="auto" w:fill="auto"/>
          </w:tcPr>
          <w:p w14:paraId="34496031" w14:textId="77777777" w:rsidR="00276BEE" w:rsidRPr="00291117" w:rsidRDefault="00276BEE" w:rsidP="00D204CB">
            <w:pPr>
              <w:jc w:val="center"/>
              <w:rPr>
                <w:sz w:val="20"/>
              </w:rPr>
            </w:pPr>
            <w:r w:rsidRPr="00291117">
              <w:rPr>
                <w:sz w:val="20"/>
              </w:rPr>
              <w:t>29.7%</w:t>
            </w:r>
          </w:p>
        </w:tc>
        <w:tc>
          <w:tcPr>
            <w:tcW w:w="1295" w:type="dxa"/>
            <w:shd w:val="clear" w:color="auto" w:fill="BFBFBF" w:themeFill="background1" w:themeFillShade="BF"/>
          </w:tcPr>
          <w:p w14:paraId="7DFC0F3D" w14:textId="77777777" w:rsidR="00276BEE" w:rsidRPr="00291117" w:rsidRDefault="00276BEE" w:rsidP="00D204CB">
            <w:pPr>
              <w:jc w:val="center"/>
              <w:rPr>
                <w:sz w:val="20"/>
              </w:rPr>
            </w:pPr>
            <w:r w:rsidRPr="00291117">
              <w:rPr>
                <w:sz w:val="20"/>
              </w:rPr>
              <w:t>43%</w:t>
            </w:r>
          </w:p>
        </w:tc>
      </w:tr>
      <w:tr w:rsidR="00276BEE" w14:paraId="092AA234" w14:textId="77777777" w:rsidTr="00D204CB">
        <w:tc>
          <w:tcPr>
            <w:tcW w:w="1294" w:type="dxa"/>
          </w:tcPr>
          <w:p w14:paraId="6E533E49" w14:textId="77777777" w:rsidR="00276BEE" w:rsidRPr="00291117" w:rsidRDefault="00276BEE" w:rsidP="00D204CB">
            <w:pPr>
              <w:jc w:val="center"/>
              <w:rPr>
                <w:sz w:val="20"/>
              </w:rPr>
            </w:pPr>
            <w:r w:rsidRPr="00291117">
              <w:rPr>
                <w:sz w:val="20"/>
              </w:rPr>
              <w:t>P4</w:t>
            </w:r>
          </w:p>
        </w:tc>
        <w:tc>
          <w:tcPr>
            <w:tcW w:w="1295" w:type="dxa"/>
          </w:tcPr>
          <w:p w14:paraId="0A896D0F" w14:textId="77777777" w:rsidR="00276BEE" w:rsidRPr="00291117" w:rsidRDefault="00276BEE" w:rsidP="00D204CB">
            <w:pPr>
              <w:jc w:val="center"/>
              <w:rPr>
                <w:sz w:val="20"/>
              </w:rPr>
            </w:pPr>
            <w:r w:rsidRPr="00291117">
              <w:rPr>
                <w:sz w:val="20"/>
              </w:rPr>
              <w:t>45%</w:t>
            </w:r>
          </w:p>
        </w:tc>
        <w:tc>
          <w:tcPr>
            <w:tcW w:w="1295" w:type="dxa"/>
          </w:tcPr>
          <w:p w14:paraId="552999B6" w14:textId="77777777" w:rsidR="00276BEE" w:rsidRPr="00291117" w:rsidRDefault="00276BEE" w:rsidP="00D204CB">
            <w:pPr>
              <w:jc w:val="center"/>
              <w:rPr>
                <w:sz w:val="20"/>
              </w:rPr>
            </w:pPr>
            <w:r w:rsidRPr="00291117">
              <w:rPr>
                <w:sz w:val="20"/>
              </w:rPr>
              <w:t>47.2%</w:t>
            </w:r>
          </w:p>
        </w:tc>
        <w:tc>
          <w:tcPr>
            <w:tcW w:w="1294" w:type="dxa"/>
          </w:tcPr>
          <w:p w14:paraId="37FABCF9" w14:textId="77777777" w:rsidR="00276BEE" w:rsidRPr="00291117" w:rsidRDefault="00276BEE" w:rsidP="00D204CB">
            <w:pPr>
              <w:jc w:val="center"/>
              <w:rPr>
                <w:sz w:val="20"/>
              </w:rPr>
            </w:pPr>
            <w:r w:rsidRPr="00291117">
              <w:rPr>
                <w:sz w:val="20"/>
              </w:rPr>
              <w:t>48.7%</w:t>
            </w:r>
          </w:p>
        </w:tc>
        <w:tc>
          <w:tcPr>
            <w:tcW w:w="1295" w:type="dxa"/>
          </w:tcPr>
          <w:p w14:paraId="29307ED7" w14:textId="77777777" w:rsidR="00276BEE" w:rsidRPr="00291117" w:rsidRDefault="00276BEE" w:rsidP="00D204CB">
            <w:pPr>
              <w:jc w:val="center"/>
              <w:rPr>
                <w:sz w:val="20"/>
              </w:rPr>
            </w:pPr>
            <w:r w:rsidRPr="00291117">
              <w:rPr>
                <w:sz w:val="20"/>
              </w:rPr>
              <w:t>50.0%</w:t>
            </w:r>
          </w:p>
        </w:tc>
        <w:tc>
          <w:tcPr>
            <w:tcW w:w="1295" w:type="dxa"/>
            <w:shd w:val="clear" w:color="auto" w:fill="auto"/>
          </w:tcPr>
          <w:p w14:paraId="447EC48A" w14:textId="66B0F2A8" w:rsidR="00276BEE" w:rsidRPr="00291117" w:rsidRDefault="00276BEE" w:rsidP="005B44D8">
            <w:pPr>
              <w:jc w:val="center"/>
              <w:rPr>
                <w:sz w:val="20"/>
              </w:rPr>
            </w:pPr>
            <w:r w:rsidRPr="005B44D8">
              <w:rPr>
                <w:sz w:val="20"/>
              </w:rPr>
              <w:t>50%</w:t>
            </w:r>
          </w:p>
        </w:tc>
        <w:tc>
          <w:tcPr>
            <w:tcW w:w="1295" w:type="dxa"/>
            <w:shd w:val="clear" w:color="auto" w:fill="BFBFBF" w:themeFill="background1" w:themeFillShade="BF"/>
          </w:tcPr>
          <w:p w14:paraId="4E46B215" w14:textId="77777777" w:rsidR="00276BEE" w:rsidRPr="00291117" w:rsidRDefault="00276BEE" w:rsidP="00D204CB">
            <w:pPr>
              <w:jc w:val="center"/>
              <w:rPr>
                <w:sz w:val="20"/>
              </w:rPr>
            </w:pPr>
            <w:r w:rsidRPr="00291117">
              <w:rPr>
                <w:sz w:val="20"/>
              </w:rPr>
              <w:t>50%</w:t>
            </w:r>
          </w:p>
        </w:tc>
      </w:tr>
    </w:tbl>
    <w:p w14:paraId="439D5ECF" w14:textId="77777777" w:rsidR="00276BEE" w:rsidRDefault="00276BEE" w:rsidP="00276BEE">
      <w:pPr>
        <w:rPr>
          <w:szCs w:val="22"/>
        </w:rPr>
      </w:pPr>
    </w:p>
    <w:p w14:paraId="074B14B4" w14:textId="6E6F9045" w:rsidR="00276BEE" w:rsidRPr="00762EBE" w:rsidRDefault="00276BEE" w:rsidP="00276BEE">
      <w:pPr>
        <w:pStyle w:val="ListParagraph"/>
        <w:numPr>
          <w:ilvl w:val="0"/>
          <w:numId w:val="12"/>
        </w:numPr>
        <w:tabs>
          <w:tab w:val="left" w:pos="540"/>
        </w:tabs>
        <w:ind w:left="0" w:firstLine="0"/>
        <w:rPr>
          <w:sz w:val="24"/>
          <w:szCs w:val="22"/>
        </w:rPr>
      </w:pPr>
      <w:r w:rsidRPr="000F2F8B">
        <w:rPr>
          <w:szCs w:val="22"/>
        </w:rPr>
        <w:t>WIPO</w:t>
      </w:r>
      <w:r w:rsidR="0006560C">
        <w:rPr>
          <w:szCs w:val="22"/>
        </w:rPr>
        <w:t>’</w:t>
      </w:r>
      <w:r w:rsidRPr="000F2F8B">
        <w:rPr>
          <w:szCs w:val="22"/>
        </w:rPr>
        <w:t>s efforts to improve gender balance among its staff are supported by targeted outreach.</w:t>
      </w:r>
      <w:r w:rsidR="00797571">
        <w:rPr>
          <w:szCs w:val="22"/>
        </w:rPr>
        <w:t xml:space="preserve"> </w:t>
      </w:r>
      <w:r w:rsidRPr="000F2F8B">
        <w:rPr>
          <w:szCs w:val="22"/>
        </w:rPr>
        <w:t xml:space="preserve"> </w:t>
      </w:r>
      <w:r w:rsidRPr="00762EBE">
        <w:rPr>
          <w:szCs w:val="22"/>
        </w:rPr>
        <w:t xml:space="preserve">WIPO participated in two virtual career fairs specifically </w:t>
      </w:r>
      <w:r w:rsidR="00881EE0">
        <w:rPr>
          <w:szCs w:val="22"/>
        </w:rPr>
        <w:t>aimed at attracting</w:t>
      </w:r>
      <w:r>
        <w:rPr>
          <w:szCs w:val="22"/>
        </w:rPr>
        <w:t xml:space="preserve"> senior female professionals: </w:t>
      </w:r>
      <w:r w:rsidR="00797571">
        <w:rPr>
          <w:szCs w:val="22"/>
        </w:rPr>
        <w:t xml:space="preserve"> </w:t>
      </w:r>
      <w:r>
        <w:rPr>
          <w:szCs w:val="22"/>
        </w:rPr>
        <w:t>o</w:t>
      </w:r>
      <w:r w:rsidRPr="00762EBE">
        <w:rPr>
          <w:szCs w:val="22"/>
        </w:rPr>
        <w:t>ver 300 women representing approximately 80 nationalities visited WIPO</w:t>
      </w:r>
      <w:r w:rsidR="0006560C">
        <w:rPr>
          <w:szCs w:val="22"/>
        </w:rPr>
        <w:t>’</w:t>
      </w:r>
      <w:r w:rsidRPr="00762EBE">
        <w:rPr>
          <w:szCs w:val="22"/>
        </w:rPr>
        <w:t>s booths</w:t>
      </w:r>
      <w:r>
        <w:rPr>
          <w:szCs w:val="22"/>
        </w:rPr>
        <w:t>.</w:t>
      </w:r>
      <w:r w:rsidR="00797571">
        <w:rPr>
          <w:szCs w:val="22"/>
        </w:rPr>
        <w:t xml:space="preserve"> </w:t>
      </w:r>
      <w:r>
        <w:rPr>
          <w:szCs w:val="22"/>
        </w:rPr>
        <w:t xml:space="preserve"> Furthermore, d</w:t>
      </w:r>
      <w:r w:rsidRPr="00700087">
        <w:rPr>
          <w:szCs w:val="22"/>
        </w:rPr>
        <w:t>uring the reporting period, through its talent pools</w:t>
      </w:r>
      <w:r>
        <w:rPr>
          <w:szCs w:val="22"/>
        </w:rPr>
        <w:t>,</w:t>
      </w:r>
      <w:r w:rsidRPr="00700087">
        <w:rPr>
          <w:szCs w:val="22"/>
        </w:rPr>
        <w:t xml:space="preserve"> WIPO received expressions of interest from 5,515 professionals, including 3,676 women (67</w:t>
      </w:r>
      <w:r w:rsidR="00797571">
        <w:rPr>
          <w:szCs w:val="22"/>
        </w:rPr>
        <w:t> per cent</w:t>
      </w:r>
      <w:r w:rsidRPr="00700087">
        <w:rPr>
          <w:szCs w:val="22"/>
        </w:rPr>
        <w:t xml:space="preserve">). </w:t>
      </w:r>
      <w:r w:rsidRPr="00762EBE">
        <w:rPr>
          <w:szCs w:val="22"/>
        </w:rPr>
        <w:t xml:space="preserve">For select senior positions, which are either hard to fill or in fields of work where women are still under-represented, WIPO enlists the services of executive search firms to ensure a solid pool of qualified female candidates. </w:t>
      </w:r>
      <w:r w:rsidR="00797571">
        <w:rPr>
          <w:szCs w:val="22"/>
        </w:rPr>
        <w:t xml:space="preserve"> </w:t>
      </w:r>
      <w:r w:rsidRPr="00762EBE">
        <w:rPr>
          <w:szCs w:val="22"/>
        </w:rPr>
        <w:t xml:space="preserve">WIPO </w:t>
      </w:r>
      <w:r>
        <w:rPr>
          <w:szCs w:val="22"/>
        </w:rPr>
        <w:t xml:space="preserve">also </w:t>
      </w:r>
      <w:r w:rsidR="00E60E1A">
        <w:rPr>
          <w:szCs w:val="22"/>
        </w:rPr>
        <w:t>carried out</w:t>
      </w:r>
      <w:r w:rsidRPr="00762EBE">
        <w:rPr>
          <w:szCs w:val="22"/>
        </w:rPr>
        <w:t xml:space="preserve"> a campaign targeting female professionals, whereby three senior </w:t>
      </w:r>
      <w:r w:rsidR="00E60918">
        <w:rPr>
          <w:szCs w:val="22"/>
        </w:rPr>
        <w:t>female staff members</w:t>
      </w:r>
      <w:r w:rsidR="00E60918" w:rsidRPr="00762EBE">
        <w:rPr>
          <w:szCs w:val="22"/>
        </w:rPr>
        <w:t xml:space="preserve"> </w:t>
      </w:r>
      <w:r w:rsidRPr="00762EBE">
        <w:rPr>
          <w:szCs w:val="22"/>
        </w:rPr>
        <w:t>were interviewed</w:t>
      </w:r>
      <w:r w:rsidR="00E60E1A">
        <w:rPr>
          <w:szCs w:val="22"/>
        </w:rPr>
        <w:t xml:space="preserve"> on their experience at </w:t>
      </w:r>
      <w:r w:rsidR="00E60918">
        <w:rPr>
          <w:szCs w:val="22"/>
        </w:rPr>
        <w:t>the Organization</w:t>
      </w:r>
      <w:r w:rsidR="00E60E1A">
        <w:rPr>
          <w:szCs w:val="22"/>
        </w:rPr>
        <w:t xml:space="preserve">. </w:t>
      </w:r>
      <w:r w:rsidR="0092748B">
        <w:rPr>
          <w:szCs w:val="22"/>
        </w:rPr>
        <w:t xml:space="preserve"> </w:t>
      </w:r>
      <w:r w:rsidR="00E60E1A">
        <w:rPr>
          <w:szCs w:val="22"/>
        </w:rPr>
        <w:t>These interviews were then posted</w:t>
      </w:r>
      <w:r w:rsidRPr="00D472FE">
        <w:rPr>
          <w:szCs w:val="22"/>
        </w:rPr>
        <w:t xml:space="preserve"> on career websites</w:t>
      </w:r>
      <w:r>
        <w:rPr>
          <w:szCs w:val="22"/>
        </w:rPr>
        <w:t xml:space="preserve">. </w:t>
      </w:r>
    </w:p>
    <w:p w14:paraId="6665E746" w14:textId="77777777" w:rsidR="00276BEE" w:rsidRPr="0006645A" w:rsidRDefault="00276BEE" w:rsidP="00276BEE">
      <w:pPr>
        <w:contextualSpacing/>
        <w:rPr>
          <w:szCs w:val="22"/>
        </w:rPr>
      </w:pPr>
    </w:p>
    <w:p w14:paraId="6E6656DF" w14:textId="77777777" w:rsidR="00276BEE" w:rsidRPr="009179B5" w:rsidRDefault="00276BEE" w:rsidP="00276BEE">
      <w:pPr>
        <w:pStyle w:val="Heading3"/>
        <w:rPr>
          <w:i/>
          <w:u w:val="none"/>
        </w:rPr>
      </w:pPr>
      <w:r w:rsidRPr="009179B5">
        <w:rPr>
          <w:i/>
          <w:u w:val="none"/>
        </w:rPr>
        <w:t xml:space="preserve">Gender mainstreaming in programming </w:t>
      </w:r>
    </w:p>
    <w:p w14:paraId="671F9F2C" w14:textId="77777777" w:rsidR="00276BEE" w:rsidRPr="0006645A" w:rsidRDefault="00276BEE" w:rsidP="00276BEE">
      <w:pPr>
        <w:contextualSpacing/>
        <w:rPr>
          <w:szCs w:val="22"/>
        </w:rPr>
      </w:pPr>
    </w:p>
    <w:p w14:paraId="432A460F" w14:textId="786A79CD" w:rsidR="00276BEE" w:rsidRPr="00C21ED7" w:rsidRDefault="00276BEE" w:rsidP="00276BEE">
      <w:pPr>
        <w:numPr>
          <w:ilvl w:val="0"/>
          <w:numId w:val="12"/>
        </w:numPr>
        <w:ind w:left="0" w:firstLine="0"/>
        <w:contextualSpacing/>
        <w:rPr>
          <w:szCs w:val="22"/>
        </w:rPr>
      </w:pPr>
      <w:r>
        <w:rPr>
          <w:szCs w:val="22"/>
        </w:rPr>
        <w:t>The coordination and support of gender equality programmatic activities is carried out through the work of WIPO</w:t>
      </w:r>
      <w:r w:rsidR="0006560C">
        <w:rPr>
          <w:szCs w:val="22"/>
        </w:rPr>
        <w:t>’</w:t>
      </w:r>
      <w:r>
        <w:rPr>
          <w:szCs w:val="22"/>
        </w:rPr>
        <w:t>s Gender and Diversity Specialist within the Human Resources Management Department</w:t>
      </w:r>
      <w:r w:rsidR="000E030E">
        <w:rPr>
          <w:szCs w:val="22"/>
        </w:rPr>
        <w:t xml:space="preserve"> (HRMD)</w:t>
      </w:r>
      <w:r>
        <w:rPr>
          <w:szCs w:val="22"/>
        </w:rPr>
        <w:t>, who works across WIPO</w:t>
      </w:r>
      <w:r w:rsidR="0006560C">
        <w:rPr>
          <w:szCs w:val="22"/>
        </w:rPr>
        <w:t>’</w:t>
      </w:r>
      <w:r>
        <w:rPr>
          <w:szCs w:val="22"/>
        </w:rPr>
        <w:t xml:space="preserve">s different sectors. </w:t>
      </w:r>
      <w:r w:rsidR="000E030E">
        <w:rPr>
          <w:szCs w:val="22"/>
        </w:rPr>
        <w:t xml:space="preserve"> </w:t>
      </w:r>
      <w:r w:rsidRPr="00C21ED7">
        <w:rPr>
          <w:szCs w:val="22"/>
        </w:rPr>
        <w:t>During the reporting period, several activities were implemented</w:t>
      </w:r>
      <w:r>
        <w:rPr>
          <w:szCs w:val="22"/>
        </w:rPr>
        <w:t xml:space="preserve"> in collaboration with various Sectors</w:t>
      </w:r>
      <w:r w:rsidR="00F44DD7">
        <w:rPr>
          <w:szCs w:val="22"/>
        </w:rPr>
        <w:t>, for example</w:t>
      </w:r>
      <w:r>
        <w:rPr>
          <w:szCs w:val="22"/>
        </w:rPr>
        <w:t>:</w:t>
      </w:r>
      <w:r w:rsidRPr="00C21ED7">
        <w:rPr>
          <w:szCs w:val="22"/>
        </w:rPr>
        <w:t xml:space="preserve"> </w:t>
      </w:r>
    </w:p>
    <w:p w14:paraId="47CE7694" w14:textId="77777777" w:rsidR="00276BEE" w:rsidRDefault="00276BEE" w:rsidP="00276BEE">
      <w:pPr>
        <w:pStyle w:val="ListParagraph"/>
        <w:rPr>
          <w:szCs w:val="22"/>
        </w:rPr>
      </w:pPr>
    </w:p>
    <w:p w14:paraId="56A7F065" w14:textId="182D3607" w:rsidR="00276BEE" w:rsidRPr="00642CAE" w:rsidRDefault="00276BEE" w:rsidP="000E030E">
      <w:pPr>
        <w:pStyle w:val="ListParagraph"/>
        <w:numPr>
          <w:ilvl w:val="0"/>
          <w:numId w:val="10"/>
        </w:numPr>
        <w:ind w:left="1080"/>
        <w:rPr>
          <w:rFonts w:ascii="Times New Roman" w:hAnsi="Times New Roman" w:cs="Times New Roman"/>
          <w:sz w:val="24"/>
          <w:szCs w:val="22"/>
        </w:rPr>
      </w:pPr>
      <w:r w:rsidRPr="00762EBE">
        <w:rPr>
          <w:szCs w:val="22"/>
        </w:rPr>
        <w:t>Cop</w:t>
      </w:r>
      <w:r>
        <w:rPr>
          <w:szCs w:val="22"/>
        </w:rPr>
        <w:t>yright and Creative Industries S</w:t>
      </w:r>
      <w:r w:rsidRPr="00762EBE">
        <w:rPr>
          <w:szCs w:val="22"/>
        </w:rPr>
        <w:t>ector</w:t>
      </w:r>
      <w:r w:rsidR="00881EE0">
        <w:rPr>
          <w:szCs w:val="22"/>
        </w:rPr>
        <w:t>:</w:t>
      </w:r>
      <w:r w:rsidRPr="00762EBE">
        <w:rPr>
          <w:szCs w:val="22"/>
        </w:rPr>
        <w:t xml:space="preserve"> a capacity building workshop series was delivered to IP Offices in the Latin American and Caribbean region focusing on how to design and use gender e</w:t>
      </w:r>
      <w:r>
        <w:rPr>
          <w:szCs w:val="22"/>
        </w:rPr>
        <w:t>quality plans and related tools;</w:t>
      </w:r>
      <w:r w:rsidRPr="00762EBE">
        <w:rPr>
          <w:szCs w:val="22"/>
        </w:rPr>
        <w:t xml:space="preserve"> </w:t>
      </w:r>
    </w:p>
    <w:p w14:paraId="316BD2D4" w14:textId="07EE9819" w:rsidR="00276BEE" w:rsidRPr="00880D97" w:rsidRDefault="00276BEE" w:rsidP="000E030E">
      <w:pPr>
        <w:pStyle w:val="ListParagraph"/>
        <w:numPr>
          <w:ilvl w:val="0"/>
          <w:numId w:val="10"/>
        </w:numPr>
        <w:ind w:left="1080"/>
        <w:rPr>
          <w:szCs w:val="22"/>
        </w:rPr>
      </w:pPr>
      <w:r w:rsidRPr="004879DE">
        <w:rPr>
          <w:szCs w:val="22"/>
        </w:rPr>
        <w:t xml:space="preserve">IP </w:t>
      </w:r>
      <w:r>
        <w:rPr>
          <w:szCs w:val="22"/>
        </w:rPr>
        <w:t xml:space="preserve">Innovation and </w:t>
      </w:r>
      <w:r w:rsidRPr="004879DE">
        <w:rPr>
          <w:szCs w:val="22"/>
        </w:rPr>
        <w:t>Ecosystems Sector</w:t>
      </w:r>
      <w:r w:rsidR="00F44DD7">
        <w:rPr>
          <w:szCs w:val="22"/>
        </w:rPr>
        <w:t>,</w:t>
      </w:r>
      <w:r w:rsidR="00F44DD7" w:rsidRPr="004879DE">
        <w:rPr>
          <w:szCs w:val="22"/>
        </w:rPr>
        <w:t xml:space="preserve"> </w:t>
      </w:r>
      <w:r w:rsidRPr="004879DE">
        <w:rPr>
          <w:szCs w:val="22"/>
        </w:rPr>
        <w:t>and within the framework of the Committee on Development and Intellectual Property</w:t>
      </w:r>
      <w:r w:rsidR="0006560C">
        <w:rPr>
          <w:szCs w:val="22"/>
        </w:rPr>
        <w:t>’</w:t>
      </w:r>
      <w:r w:rsidRPr="004879DE">
        <w:rPr>
          <w:szCs w:val="22"/>
        </w:rPr>
        <w:t xml:space="preserve">s </w:t>
      </w:r>
      <w:r>
        <w:rPr>
          <w:szCs w:val="22"/>
        </w:rPr>
        <w:t xml:space="preserve">(CDIP) </w:t>
      </w:r>
      <w:r w:rsidRPr="004879DE">
        <w:rPr>
          <w:szCs w:val="22"/>
        </w:rPr>
        <w:t>four-year project on Women and IP</w:t>
      </w:r>
      <w:r w:rsidR="00F44DD7">
        <w:rPr>
          <w:szCs w:val="22"/>
        </w:rPr>
        <w:t>:</w:t>
      </w:r>
      <w:r w:rsidR="00F44DD7" w:rsidRPr="004879DE">
        <w:rPr>
          <w:szCs w:val="22"/>
        </w:rPr>
        <w:t xml:space="preserve"> </w:t>
      </w:r>
      <w:r w:rsidR="000E030E">
        <w:rPr>
          <w:szCs w:val="22"/>
        </w:rPr>
        <w:t xml:space="preserve"> </w:t>
      </w:r>
      <w:r w:rsidRPr="004879DE">
        <w:rPr>
          <w:szCs w:val="22"/>
        </w:rPr>
        <w:t xml:space="preserve">research dissemination events and capacity building activities for participating </w:t>
      </w:r>
      <w:r w:rsidRPr="003F2EBF">
        <w:rPr>
          <w:szCs w:val="22"/>
        </w:rPr>
        <w:t xml:space="preserve">IP Offices and prospective women IP users have taken place, both at the national and inter-regional levels;  </w:t>
      </w:r>
    </w:p>
    <w:p w14:paraId="1083ECD4" w14:textId="14F06C2F" w:rsidR="00276BEE" w:rsidRPr="00642CAE" w:rsidRDefault="00276BEE" w:rsidP="000E030E">
      <w:pPr>
        <w:pStyle w:val="ListParagraph"/>
        <w:numPr>
          <w:ilvl w:val="0"/>
          <w:numId w:val="10"/>
        </w:numPr>
        <w:ind w:left="1080"/>
        <w:rPr>
          <w:rFonts w:ascii="Times New Roman" w:hAnsi="Times New Roman" w:cs="Times New Roman"/>
          <w:sz w:val="24"/>
          <w:szCs w:val="22"/>
        </w:rPr>
      </w:pPr>
      <w:r w:rsidRPr="00762EBE">
        <w:rPr>
          <w:szCs w:val="22"/>
        </w:rPr>
        <w:t>Regional and National Development Sector</w:t>
      </w:r>
      <w:r w:rsidR="00F44DD7">
        <w:rPr>
          <w:szCs w:val="22"/>
        </w:rPr>
        <w:t>:</w:t>
      </w:r>
      <w:r w:rsidR="00F44DD7" w:rsidRPr="00762EBE">
        <w:rPr>
          <w:szCs w:val="22"/>
        </w:rPr>
        <w:t xml:space="preserve"> </w:t>
      </w:r>
      <w:r w:rsidR="000E030E">
        <w:rPr>
          <w:szCs w:val="22"/>
        </w:rPr>
        <w:t xml:space="preserve"> </w:t>
      </w:r>
      <w:r w:rsidRPr="00762EBE">
        <w:rPr>
          <w:szCs w:val="22"/>
        </w:rPr>
        <w:t xml:space="preserve">a series of sharing sessions on the gender gap in IP have been organized, in response to a request by Member States. </w:t>
      </w:r>
      <w:r w:rsidR="000E030E">
        <w:rPr>
          <w:szCs w:val="22"/>
        </w:rPr>
        <w:t xml:space="preserve"> </w:t>
      </w:r>
      <w:r w:rsidRPr="00762EBE">
        <w:rPr>
          <w:szCs w:val="22"/>
        </w:rPr>
        <w:t>To date, the events discussed the gender-related barriers to the use of the IP system, good practices and multi-stakeholders initiatives to bridge the gap</w:t>
      </w:r>
      <w:r>
        <w:rPr>
          <w:szCs w:val="22"/>
        </w:rPr>
        <w:t>;</w:t>
      </w:r>
      <w:r w:rsidRPr="00762EBE">
        <w:rPr>
          <w:szCs w:val="22"/>
        </w:rPr>
        <w:t xml:space="preserve"> </w:t>
      </w:r>
    </w:p>
    <w:p w14:paraId="30214461" w14:textId="651D0AE8" w:rsidR="00276BEE" w:rsidRPr="00880D97" w:rsidRDefault="00276BEE" w:rsidP="000E030E">
      <w:pPr>
        <w:pStyle w:val="ListParagraph"/>
        <w:numPr>
          <w:ilvl w:val="0"/>
          <w:numId w:val="10"/>
        </w:numPr>
        <w:ind w:left="1080"/>
        <w:rPr>
          <w:szCs w:val="22"/>
        </w:rPr>
      </w:pPr>
      <w:r w:rsidRPr="00762EBE">
        <w:rPr>
          <w:szCs w:val="22"/>
        </w:rPr>
        <w:t>Administration</w:t>
      </w:r>
      <w:r>
        <w:rPr>
          <w:szCs w:val="22"/>
        </w:rPr>
        <w:t>, Management and Finance S</w:t>
      </w:r>
      <w:r w:rsidRPr="00762EBE">
        <w:rPr>
          <w:szCs w:val="22"/>
        </w:rPr>
        <w:t>ector</w:t>
      </w:r>
      <w:r w:rsidR="00F44DD7">
        <w:rPr>
          <w:szCs w:val="22"/>
        </w:rPr>
        <w:t>:</w:t>
      </w:r>
      <w:r w:rsidR="000E030E">
        <w:rPr>
          <w:szCs w:val="22"/>
        </w:rPr>
        <w:t xml:space="preserve"> </w:t>
      </w:r>
      <w:r w:rsidR="00F44DD7" w:rsidRPr="00762EBE">
        <w:rPr>
          <w:szCs w:val="22"/>
        </w:rPr>
        <w:t xml:space="preserve"> </w:t>
      </w:r>
      <w:r w:rsidRPr="00762EBE">
        <w:rPr>
          <w:szCs w:val="22"/>
        </w:rPr>
        <w:t>work has been carried out to support t</w:t>
      </w:r>
      <w:r w:rsidR="00930754">
        <w:rPr>
          <w:szCs w:val="22"/>
        </w:rPr>
        <w:t>he</w:t>
      </w:r>
      <w:r w:rsidRPr="00762EBE">
        <w:rPr>
          <w:szCs w:val="22"/>
        </w:rPr>
        <w:t xml:space="preserve"> use of inclusive language at WIPO, in the</w:t>
      </w:r>
      <w:r w:rsidR="00930754">
        <w:rPr>
          <w:szCs w:val="22"/>
        </w:rPr>
        <w:t xml:space="preserve"> six official languages of the O</w:t>
      </w:r>
      <w:r w:rsidRPr="00762EBE">
        <w:rPr>
          <w:szCs w:val="22"/>
        </w:rPr>
        <w:t>rganization</w:t>
      </w:r>
      <w:r>
        <w:rPr>
          <w:szCs w:val="22"/>
        </w:rPr>
        <w:t xml:space="preserve">; </w:t>
      </w:r>
      <w:r w:rsidR="000E030E">
        <w:rPr>
          <w:szCs w:val="22"/>
        </w:rPr>
        <w:t xml:space="preserve"> </w:t>
      </w:r>
      <w:r>
        <w:rPr>
          <w:szCs w:val="22"/>
        </w:rPr>
        <w:t>and</w:t>
      </w:r>
      <w:r w:rsidRPr="00762EBE">
        <w:rPr>
          <w:szCs w:val="22"/>
        </w:rPr>
        <w:t xml:space="preserve"> </w:t>
      </w:r>
    </w:p>
    <w:p w14:paraId="0748FC08" w14:textId="44CD8451" w:rsidR="00276BEE" w:rsidRPr="00880D97" w:rsidRDefault="00276BEE" w:rsidP="000E030E">
      <w:pPr>
        <w:pStyle w:val="ListParagraph"/>
        <w:numPr>
          <w:ilvl w:val="0"/>
          <w:numId w:val="10"/>
        </w:numPr>
        <w:ind w:left="1080"/>
        <w:rPr>
          <w:szCs w:val="22"/>
        </w:rPr>
      </w:pPr>
      <w:r w:rsidRPr="000E030E">
        <w:rPr>
          <w:szCs w:val="22"/>
        </w:rPr>
        <w:t>Global Challenge</w:t>
      </w:r>
      <w:r w:rsidRPr="00762EBE">
        <w:rPr>
          <w:szCs w:val="22"/>
        </w:rPr>
        <w:t xml:space="preserve">s </w:t>
      </w:r>
      <w:r>
        <w:rPr>
          <w:szCs w:val="22"/>
        </w:rPr>
        <w:t>and Partnerships S</w:t>
      </w:r>
      <w:r w:rsidRPr="00762EBE">
        <w:rPr>
          <w:szCs w:val="22"/>
        </w:rPr>
        <w:t>ector</w:t>
      </w:r>
      <w:r w:rsidR="00F44DD7">
        <w:rPr>
          <w:szCs w:val="22"/>
        </w:rPr>
        <w:t>:</w:t>
      </w:r>
      <w:r w:rsidR="00F44DD7" w:rsidRPr="00762EBE">
        <w:rPr>
          <w:szCs w:val="22"/>
        </w:rPr>
        <w:t xml:space="preserve"> </w:t>
      </w:r>
      <w:r w:rsidR="000E030E">
        <w:rPr>
          <w:szCs w:val="22"/>
        </w:rPr>
        <w:t xml:space="preserve"> </w:t>
      </w:r>
      <w:r w:rsidRPr="00762EBE">
        <w:rPr>
          <w:szCs w:val="22"/>
        </w:rPr>
        <w:t xml:space="preserve">training on gender equality and inclusion has been provided to the participants of the training on Genetic </w:t>
      </w:r>
      <w:r>
        <w:rPr>
          <w:szCs w:val="22"/>
        </w:rPr>
        <w:t>R</w:t>
      </w:r>
      <w:r w:rsidRPr="004879DE">
        <w:rPr>
          <w:szCs w:val="22"/>
        </w:rPr>
        <w:t>esources</w:t>
      </w:r>
      <w:r w:rsidRPr="00762EBE">
        <w:rPr>
          <w:szCs w:val="22"/>
        </w:rPr>
        <w:t xml:space="preserve"> and IP.</w:t>
      </w:r>
    </w:p>
    <w:p w14:paraId="15F97AA1" w14:textId="77777777" w:rsidR="00276BEE" w:rsidRDefault="00276BEE" w:rsidP="00276BEE">
      <w:pPr>
        <w:contextualSpacing/>
        <w:rPr>
          <w:szCs w:val="22"/>
        </w:rPr>
      </w:pPr>
    </w:p>
    <w:p w14:paraId="1EE21D0D" w14:textId="1DF5E717" w:rsidR="00276BEE" w:rsidRPr="00933C4C" w:rsidRDefault="00276BEE" w:rsidP="00276BEE">
      <w:pPr>
        <w:pStyle w:val="ListParagraph"/>
        <w:numPr>
          <w:ilvl w:val="0"/>
          <w:numId w:val="12"/>
        </w:numPr>
        <w:ind w:left="0" w:firstLine="0"/>
        <w:rPr>
          <w:szCs w:val="22"/>
        </w:rPr>
      </w:pPr>
      <w:r w:rsidRPr="00762EBE">
        <w:rPr>
          <w:szCs w:val="22"/>
        </w:rPr>
        <w:t xml:space="preserve">A more detailed description of gender-related programmatic activities and their objectives is included in </w:t>
      </w:r>
      <w:r w:rsidR="00732839">
        <w:rPr>
          <w:szCs w:val="22"/>
        </w:rPr>
        <w:t xml:space="preserve">the document entitled </w:t>
      </w:r>
      <w:r w:rsidR="0006560C">
        <w:rPr>
          <w:szCs w:val="22"/>
        </w:rPr>
        <w:t>“</w:t>
      </w:r>
      <w:r w:rsidR="00732839">
        <w:rPr>
          <w:szCs w:val="22"/>
        </w:rPr>
        <w:t xml:space="preserve">Report on Women and IP: </w:t>
      </w:r>
      <w:r w:rsidR="000E030E">
        <w:rPr>
          <w:szCs w:val="22"/>
        </w:rPr>
        <w:t xml:space="preserve"> </w:t>
      </w:r>
      <w:r w:rsidR="00732839">
        <w:rPr>
          <w:szCs w:val="22"/>
        </w:rPr>
        <w:t>Gender mainstreaming, capacity building and assistance to Member States</w:t>
      </w:r>
      <w:r w:rsidR="0006560C">
        <w:rPr>
          <w:szCs w:val="22"/>
        </w:rPr>
        <w:t>”</w:t>
      </w:r>
      <w:r w:rsidR="00732839">
        <w:rPr>
          <w:szCs w:val="22"/>
        </w:rPr>
        <w:t xml:space="preserve">, prepared for the CCDIP at its </w:t>
      </w:r>
      <w:r w:rsidR="000E030E">
        <w:rPr>
          <w:szCs w:val="22"/>
        </w:rPr>
        <w:t>t</w:t>
      </w:r>
      <w:r w:rsidR="00732839">
        <w:rPr>
          <w:szCs w:val="22"/>
        </w:rPr>
        <w:t>wenty-sixth session in July 2021 (</w:t>
      </w:r>
      <w:r w:rsidRPr="00762EBE">
        <w:rPr>
          <w:szCs w:val="22"/>
        </w:rPr>
        <w:t xml:space="preserve">document </w:t>
      </w:r>
      <w:hyperlink r:id="rId11" w:history="1">
        <w:r w:rsidRPr="00732839">
          <w:rPr>
            <w:rStyle w:val="Hyperlink"/>
            <w:szCs w:val="22"/>
          </w:rPr>
          <w:t>CDIP/26/8</w:t>
        </w:r>
      </w:hyperlink>
      <w:r w:rsidR="00732839">
        <w:rPr>
          <w:szCs w:val="22"/>
        </w:rPr>
        <w:t>)</w:t>
      </w:r>
      <w:r w:rsidRPr="00762EBE">
        <w:rPr>
          <w:szCs w:val="22"/>
        </w:rPr>
        <w:t>.</w:t>
      </w:r>
      <w:r w:rsidRPr="00933C4C">
        <w:rPr>
          <w:szCs w:val="22"/>
        </w:rPr>
        <w:t xml:space="preserve"> </w:t>
      </w:r>
    </w:p>
    <w:p w14:paraId="03E1292C" w14:textId="77777777" w:rsidR="00DE154E" w:rsidRDefault="00DE154E" w:rsidP="00880D97">
      <w:pPr>
        <w:pStyle w:val="Heading2"/>
      </w:pPr>
      <w:r>
        <w:br w:type="page"/>
      </w:r>
    </w:p>
    <w:p w14:paraId="6EF97DD1" w14:textId="6FC2DBAE" w:rsidR="00276BEE" w:rsidRDefault="00DE154E" w:rsidP="00276BEE">
      <w:pPr>
        <w:pStyle w:val="Heading2"/>
      </w:pPr>
      <w:r>
        <w:lastRenderedPageBreak/>
        <w:tab/>
      </w:r>
      <w:r w:rsidR="00276BEE">
        <w:t>REWARDS AND RECOGNITION PROGRAM</w:t>
      </w:r>
    </w:p>
    <w:p w14:paraId="745CA94B" w14:textId="77777777" w:rsidR="00276BEE" w:rsidRDefault="00276BEE" w:rsidP="00276BEE"/>
    <w:p w14:paraId="21D79184" w14:textId="77777777" w:rsidR="00276BEE" w:rsidRDefault="00276BEE" w:rsidP="00276BEE">
      <w:pPr>
        <w:pStyle w:val="Default"/>
        <w:numPr>
          <w:ilvl w:val="0"/>
          <w:numId w:val="12"/>
        </w:numPr>
        <w:ind w:left="0" w:firstLine="0"/>
        <w:rPr>
          <w:rFonts w:ascii="Arial" w:hAnsi="Arial" w:cs="Arial"/>
          <w:sz w:val="22"/>
          <w:szCs w:val="22"/>
        </w:rPr>
      </w:pPr>
      <w:r w:rsidRPr="002D07FD">
        <w:rPr>
          <w:rFonts w:ascii="Arial" w:hAnsi="Arial" w:cs="Arial"/>
          <w:sz w:val="22"/>
          <w:szCs w:val="22"/>
        </w:rPr>
        <w:t xml:space="preserve">At its annual meeting in September 2018, the WIPO Coordination Committee requested the Secretariat to </w:t>
      </w:r>
      <w:r>
        <w:rPr>
          <w:rFonts w:ascii="Arial" w:hAnsi="Arial" w:cs="Arial"/>
          <w:sz w:val="22"/>
          <w:szCs w:val="22"/>
        </w:rPr>
        <w:t>report</w:t>
      </w:r>
      <w:r w:rsidRPr="002D07FD">
        <w:rPr>
          <w:rFonts w:ascii="Arial" w:hAnsi="Arial" w:cs="Arial"/>
          <w:sz w:val="22"/>
          <w:szCs w:val="22"/>
        </w:rPr>
        <w:t xml:space="preserve"> systematically </w:t>
      </w:r>
      <w:r w:rsidRPr="0006645A">
        <w:rPr>
          <w:rFonts w:ascii="Arial" w:hAnsi="Arial" w:cs="Arial"/>
          <w:sz w:val="22"/>
          <w:szCs w:val="22"/>
        </w:rPr>
        <w:t xml:space="preserve">on the implementation of its Rewards and Recognition Program (RRP) and on changes introduced since the previous Annual Report on Human Resources.  </w:t>
      </w:r>
    </w:p>
    <w:p w14:paraId="65F644C0" w14:textId="77777777" w:rsidR="00276BEE" w:rsidRDefault="00276BEE" w:rsidP="00276BEE">
      <w:pPr>
        <w:pStyle w:val="Default"/>
        <w:rPr>
          <w:rFonts w:ascii="Arial" w:hAnsi="Arial" w:cs="Arial"/>
          <w:sz w:val="22"/>
          <w:szCs w:val="22"/>
        </w:rPr>
      </w:pPr>
    </w:p>
    <w:p w14:paraId="33B864C0" w14:textId="1B08AA4F" w:rsidR="00276BEE" w:rsidRDefault="00276BEE" w:rsidP="00276BEE">
      <w:pPr>
        <w:pStyle w:val="Default"/>
        <w:numPr>
          <w:ilvl w:val="0"/>
          <w:numId w:val="12"/>
        </w:numPr>
        <w:ind w:left="0" w:firstLine="0"/>
        <w:rPr>
          <w:rFonts w:ascii="Arial" w:hAnsi="Arial" w:cs="Arial"/>
          <w:sz w:val="22"/>
          <w:szCs w:val="22"/>
        </w:rPr>
      </w:pPr>
      <w:r>
        <w:rPr>
          <w:rFonts w:ascii="Arial" w:hAnsi="Arial" w:cs="Arial"/>
          <w:sz w:val="22"/>
          <w:szCs w:val="22"/>
        </w:rPr>
        <w:t xml:space="preserve">The 2020 RRP </w:t>
      </w:r>
      <w:r w:rsidRPr="00C862A7">
        <w:rPr>
          <w:rFonts w:ascii="Arial" w:hAnsi="Arial" w:cs="Arial"/>
          <w:sz w:val="22"/>
          <w:szCs w:val="22"/>
        </w:rPr>
        <w:t xml:space="preserve">Ceremony was held virtually for the first time </w:t>
      </w:r>
      <w:r>
        <w:rPr>
          <w:rFonts w:ascii="Arial" w:hAnsi="Arial" w:cs="Arial"/>
          <w:sz w:val="22"/>
          <w:szCs w:val="22"/>
        </w:rPr>
        <w:t xml:space="preserve">due to the pandemic. </w:t>
      </w:r>
      <w:r w:rsidR="0055266C">
        <w:rPr>
          <w:rFonts w:ascii="Arial" w:hAnsi="Arial" w:cs="Arial"/>
          <w:sz w:val="22"/>
          <w:szCs w:val="22"/>
        </w:rPr>
        <w:t xml:space="preserve"> </w:t>
      </w:r>
      <w:r>
        <w:rPr>
          <w:rFonts w:ascii="Arial" w:hAnsi="Arial" w:cs="Arial"/>
          <w:sz w:val="22"/>
          <w:szCs w:val="22"/>
        </w:rPr>
        <w:t xml:space="preserve">As requested by Member States, the </w:t>
      </w:r>
      <w:r w:rsidR="0006560C">
        <w:rPr>
          <w:rFonts w:ascii="Arial" w:hAnsi="Arial" w:cs="Arial"/>
          <w:sz w:val="22"/>
          <w:szCs w:val="22"/>
        </w:rPr>
        <w:t>“</w:t>
      </w:r>
      <w:r w:rsidRPr="0006645A">
        <w:rPr>
          <w:rFonts w:ascii="Arial" w:hAnsi="Arial" w:cs="Arial"/>
          <w:sz w:val="22"/>
          <w:szCs w:val="22"/>
        </w:rPr>
        <w:t>Organizational Performance</w:t>
      </w:r>
      <w:r w:rsidR="0006560C">
        <w:rPr>
          <w:rFonts w:ascii="Arial" w:hAnsi="Arial" w:cs="Arial"/>
          <w:sz w:val="22"/>
          <w:szCs w:val="22"/>
        </w:rPr>
        <w:t>”</w:t>
      </w:r>
      <w:r w:rsidRPr="0006645A">
        <w:rPr>
          <w:rFonts w:ascii="Arial" w:hAnsi="Arial" w:cs="Arial"/>
          <w:sz w:val="22"/>
          <w:szCs w:val="22"/>
        </w:rPr>
        <w:t xml:space="preserve"> reward</w:t>
      </w:r>
      <w:r w:rsidR="00930754">
        <w:rPr>
          <w:rFonts w:ascii="Arial" w:hAnsi="Arial" w:cs="Arial"/>
          <w:sz w:val="22"/>
          <w:szCs w:val="22"/>
        </w:rPr>
        <w:t xml:space="preserve"> was removed from the </w:t>
      </w:r>
      <w:r>
        <w:rPr>
          <w:rFonts w:ascii="Arial" w:hAnsi="Arial" w:cs="Arial"/>
          <w:sz w:val="22"/>
          <w:szCs w:val="22"/>
        </w:rPr>
        <w:t xml:space="preserve">RRP. </w:t>
      </w:r>
    </w:p>
    <w:p w14:paraId="43FDDBE9" w14:textId="77777777" w:rsidR="00276BEE" w:rsidRDefault="00276BEE" w:rsidP="00276BEE">
      <w:pPr>
        <w:pStyle w:val="ListParagraph"/>
        <w:rPr>
          <w:szCs w:val="22"/>
        </w:rPr>
      </w:pPr>
    </w:p>
    <w:p w14:paraId="7CEA6264" w14:textId="7D210884" w:rsidR="00276BEE" w:rsidRPr="0006645A" w:rsidRDefault="00276BEE" w:rsidP="00276BEE">
      <w:pPr>
        <w:pStyle w:val="Default"/>
        <w:numPr>
          <w:ilvl w:val="0"/>
          <w:numId w:val="12"/>
        </w:numPr>
        <w:ind w:left="0" w:firstLine="0"/>
        <w:rPr>
          <w:rFonts w:ascii="Arial" w:hAnsi="Arial" w:cs="Arial"/>
          <w:sz w:val="22"/>
          <w:szCs w:val="22"/>
        </w:rPr>
      </w:pPr>
      <w:r>
        <w:rPr>
          <w:rFonts w:ascii="Arial" w:hAnsi="Arial" w:cs="Arial"/>
          <w:sz w:val="22"/>
          <w:szCs w:val="22"/>
        </w:rPr>
        <w:t>T</w:t>
      </w:r>
      <w:r w:rsidRPr="00C862A7">
        <w:rPr>
          <w:rFonts w:ascii="Arial" w:hAnsi="Arial" w:cs="Arial"/>
          <w:sz w:val="22"/>
          <w:szCs w:val="22"/>
        </w:rPr>
        <w:t xml:space="preserve">he 2021 RRP </w:t>
      </w:r>
      <w:r>
        <w:rPr>
          <w:rFonts w:ascii="Arial" w:hAnsi="Arial" w:cs="Arial"/>
          <w:sz w:val="22"/>
          <w:szCs w:val="22"/>
        </w:rPr>
        <w:t>has been put</w:t>
      </w:r>
      <w:r w:rsidRPr="00C862A7">
        <w:rPr>
          <w:rFonts w:ascii="Arial" w:hAnsi="Arial" w:cs="Arial"/>
          <w:sz w:val="22"/>
          <w:szCs w:val="22"/>
        </w:rPr>
        <w:t xml:space="preserve"> on hold </w:t>
      </w:r>
      <w:r>
        <w:rPr>
          <w:rFonts w:ascii="Arial" w:hAnsi="Arial" w:cs="Arial"/>
          <w:sz w:val="22"/>
          <w:szCs w:val="22"/>
        </w:rPr>
        <w:t xml:space="preserve">pending the results of the recently commenced </w:t>
      </w:r>
      <w:r w:rsidRPr="00D13C79">
        <w:rPr>
          <w:rFonts w:ascii="Arial" w:hAnsi="Arial" w:cs="Arial"/>
          <w:sz w:val="22"/>
          <w:szCs w:val="22"/>
        </w:rPr>
        <w:t xml:space="preserve">review </w:t>
      </w:r>
      <w:r>
        <w:rPr>
          <w:rFonts w:ascii="Arial" w:hAnsi="Arial" w:cs="Arial"/>
          <w:sz w:val="22"/>
          <w:szCs w:val="22"/>
        </w:rPr>
        <w:t xml:space="preserve">by </w:t>
      </w:r>
      <w:r w:rsidRPr="00D13C79">
        <w:rPr>
          <w:rFonts w:ascii="Arial" w:hAnsi="Arial" w:cs="Arial"/>
          <w:sz w:val="22"/>
          <w:szCs w:val="22"/>
        </w:rPr>
        <w:t xml:space="preserve">the Internal Oversight Division (IOD) </w:t>
      </w:r>
      <w:r>
        <w:rPr>
          <w:rFonts w:ascii="Arial" w:hAnsi="Arial" w:cs="Arial"/>
          <w:sz w:val="22"/>
          <w:szCs w:val="22"/>
        </w:rPr>
        <w:t>of</w:t>
      </w:r>
      <w:r w:rsidRPr="00D13C79">
        <w:rPr>
          <w:rFonts w:ascii="Arial" w:hAnsi="Arial" w:cs="Arial"/>
          <w:sz w:val="22"/>
          <w:szCs w:val="22"/>
        </w:rPr>
        <w:t xml:space="preserve"> </w:t>
      </w:r>
      <w:r>
        <w:rPr>
          <w:rFonts w:ascii="Arial" w:hAnsi="Arial" w:cs="Arial"/>
          <w:sz w:val="22"/>
          <w:szCs w:val="22"/>
        </w:rPr>
        <w:t>WIPO</w:t>
      </w:r>
      <w:r w:rsidR="0006560C">
        <w:rPr>
          <w:rFonts w:ascii="Arial" w:hAnsi="Arial" w:cs="Arial"/>
          <w:sz w:val="22"/>
          <w:szCs w:val="22"/>
        </w:rPr>
        <w:t>’</w:t>
      </w:r>
      <w:r>
        <w:rPr>
          <w:rFonts w:ascii="Arial" w:hAnsi="Arial" w:cs="Arial"/>
          <w:sz w:val="22"/>
          <w:szCs w:val="22"/>
        </w:rPr>
        <w:t>s</w:t>
      </w:r>
      <w:r w:rsidRPr="00D13C79">
        <w:rPr>
          <w:rFonts w:ascii="Arial" w:hAnsi="Arial" w:cs="Arial"/>
          <w:sz w:val="22"/>
          <w:szCs w:val="22"/>
        </w:rPr>
        <w:t xml:space="preserve"> Performance Management and Staff Development Framework</w:t>
      </w:r>
      <w:r w:rsidR="00390FE8">
        <w:rPr>
          <w:rFonts w:ascii="Arial" w:hAnsi="Arial" w:cs="Arial"/>
          <w:sz w:val="22"/>
          <w:szCs w:val="22"/>
        </w:rPr>
        <w:t xml:space="preserve"> (cf. Chapter VI </w:t>
      </w:r>
      <w:r w:rsidR="00390FE8" w:rsidRPr="00D472FE">
        <w:rPr>
          <w:rFonts w:ascii="Arial" w:hAnsi="Arial" w:cs="Arial"/>
          <w:sz w:val="22"/>
          <w:szCs w:val="22"/>
        </w:rPr>
        <w:t>for more</w:t>
      </w:r>
      <w:r w:rsidR="00390FE8">
        <w:rPr>
          <w:rFonts w:ascii="Arial" w:hAnsi="Arial" w:cs="Arial"/>
          <w:sz w:val="22"/>
          <w:szCs w:val="22"/>
        </w:rPr>
        <w:t xml:space="preserve"> </w:t>
      </w:r>
      <w:r w:rsidR="00D472FE">
        <w:rPr>
          <w:rFonts w:ascii="Arial" w:hAnsi="Arial" w:cs="Arial"/>
          <w:sz w:val="22"/>
          <w:szCs w:val="22"/>
        </w:rPr>
        <w:t xml:space="preserve">details </w:t>
      </w:r>
      <w:r w:rsidR="00390FE8">
        <w:rPr>
          <w:rFonts w:ascii="Arial" w:hAnsi="Arial" w:cs="Arial"/>
          <w:sz w:val="22"/>
          <w:szCs w:val="22"/>
        </w:rPr>
        <w:t>on this review)</w:t>
      </w:r>
      <w:r w:rsidRPr="0006645A">
        <w:rPr>
          <w:rFonts w:ascii="Arial" w:hAnsi="Arial" w:cs="Arial"/>
          <w:sz w:val="22"/>
          <w:szCs w:val="22"/>
        </w:rPr>
        <w:t>.</w:t>
      </w:r>
    </w:p>
    <w:p w14:paraId="0782F53F" w14:textId="1EB04767" w:rsidR="00276BEE" w:rsidRDefault="00276BEE">
      <w:pPr>
        <w:rPr>
          <w:bCs/>
          <w:iCs/>
          <w:caps/>
          <w:szCs w:val="28"/>
        </w:rPr>
      </w:pPr>
    </w:p>
    <w:p w14:paraId="46072F41" w14:textId="0BB45C05" w:rsidR="00276BEE" w:rsidRPr="0006645A" w:rsidRDefault="00276BEE" w:rsidP="0055266C">
      <w:pPr>
        <w:pStyle w:val="Heading2"/>
        <w:ind w:left="540" w:hanging="540"/>
      </w:pPr>
      <w:r>
        <w:tab/>
      </w:r>
      <w:r w:rsidRPr="0006645A">
        <w:t>REPORT</w:t>
      </w:r>
      <w:r w:rsidR="00707DB3">
        <w:t>s</w:t>
      </w:r>
      <w:r w:rsidRPr="0006645A">
        <w:t xml:space="preserve"> OF THE INTERNATIONAL CIVIL SERVICE COMMISSION (ICSC)</w:t>
      </w:r>
      <w:r w:rsidR="00707DB3">
        <w:t xml:space="preserve"> and of the </w:t>
      </w:r>
      <w:r w:rsidR="00707DB3" w:rsidRPr="0006645A">
        <w:t>UNITED NATIONS JOINT STAFF PENSION BOARD (UNJSPB)</w:t>
      </w:r>
    </w:p>
    <w:p w14:paraId="1CACA163" w14:textId="77777777" w:rsidR="00276BEE" w:rsidRPr="0006645A" w:rsidRDefault="00276BEE" w:rsidP="00276BEE">
      <w:pPr>
        <w:pStyle w:val="ListParagraph"/>
        <w:ind w:left="567"/>
        <w:rPr>
          <w:szCs w:val="22"/>
        </w:rPr>
      </w:pPr>
    </w:p>
    <w:p w14:paraId="1EDC3EC0" w14:textId="580EBBDC" w:rsidR="00276BEE" w:rsidRDefault="008625D0" w:rsidP="008625D0">
      <w:pPr>
        <w:pStyle w:val="ListParagraph"/>
        <w:numPr>
          <w:ilvl w:val="0"/>
          <w:numId w:val="12"/>
        </w:numPr>
        <w:ind w:left="0" w:firstLine="0"/>
        <w:rPr>
          <w:szCs w:val="22"/>
        </w:rPr>
      </w:pPr>
      <w:r>
        <w:rPr>
          <w:szCs w:val="22"/>
        </w:rPr>
        <w:t>T</w:t>
      </w:r>
      <w:r w:rsidR="00276BEE" w:rsidRPr="0006645A">
        <w:rPr>
          <w:szCs w:val="22"/>
        </w:rPr>
        <w:t>he attention of the WIPO Coordination Committee</w:t>
      </w:r>
      <w:r>
        <w:rPr>
          <w:szCs w:val="22"/>
        </w:rPr>
        <w:t xml:space="preserve"> is drawn respectively</w:t>
      </w:r>
      <w:r w:rsidR="00276BEE" w:rsidRPr="0006645A">
        <w:rPr>
          <w:szCs w:val="22"/>
        </w:rPr>
        <w:t xml:space="preserve"> to the </w:t>
      </w:r>
      <w:r>
        <w:rPr>
          <w:szCs w:val="22"/>
        </w:rPr>
        <w:t xml:space="preserve">2020 </w:t>
      </w:r>
      <w:r w:rsidR="00276BEE" w:rsidRPr="0006645A">
        <w:rPr>
          <w:szCs w:val="22"/>
        </w:rPr>
        <w:t>report</w:t>
      </w:r>
      <w:r>
        <w:rPr>
          <w:szCs w:val="22"/>
        </w:rPr>
        <w:t>s</w:t>
      </w:r>
      <w:r w:rsidR="00276BEE" w:rsidRPr="0006645A">
        <w:rPr>
          <w:szCs w:val="22"/>
        </w:rPr>
        <w:t xml:space="preserve"> of the ICSC </w:t>
      </w:r>
      <w:r w:rsidR="00276BEE">
        <w:rPr>
          <w:szCs w:val="22"/>
        </w:rPr>
        <w:t xml:space="preserve">(UN document </w:t>
      </w:r>
      <w:hyperlink r:id="rId12" w:history="1">
        <w:r w:rsidR="00276BEE" w:rsidRPr="00D16D28">
          <w:rPr>
            <w:rStyle w:val="Hyperlink"/>
            <w:rFonts w:eastAsia="SimSun"/>
            <w:szCs w:val="22"/>
          </w:rPr>
          <w:t>A/75/30</w:t>
        </w:r>
      </w:hyperlink>
      <w:r>
        <w:rPr>
          <w:szCs w:val="22"/>
        </w:rPr>
        <w:t>) and of the UNJSPB (</w:t>
      </w:r>
      <w:r w:rsidR="00276BEE" w:rsidRPr="008625D0">
        <w:rPr>
          <w:szCs w:val="22"/>
        </w:rPr>
        <w:t>UN document</w:t>
      </w:r>
      <w:r>
        <w:rPr>
          <w:szCs w:val="22"/>
        </w:rPr>
        <w:t>s</w:t>
      </w:r>
      <w:r w:rsidR="00276BEE" w:rsidRPr="008625D0">
        <w:rPr>
          <w:szCs w:val="22"/>
        </w:rPr>
        <w:t xml:space="preserve"> </w:t>
      </w:r>
      <w:hyperlink r:id="rId13" w:history="1">
        <w:r w:rsidR="00276BEE" w:rsidRPr="008625D0">
          <w:rPr>
            <w:rStyle w:val="Hyperlink"/>
            <w:rFonts w:eastAsia="SimSun"/>
            <w:szCs w:val="22"/>
          </w:rPr>
          <w:t>A/75/9</w:t>
        </w:r>
      </w:hyperlink>
      <w:r>
        <w:rPr>
          <w:szCs w:val="22"/>
        </w:rPr>
        <w:t xml:space="preserve"> and </w:t>
      </w:r>
      <w:hyperlink r:id="rId14" w:history="1">
        <w:r w:rsidR="00276BEE" w:rsidRPr="008625D0">
          <w:rPr>
            <w:rStyle w:val="Hyperlink"/>
            <w:rFonts w:eastAsia="SimSun"/>
            <w:szCs w:val="22"/>
          </w:rPr>
          <w:t>A/75/9/Add.1</w:t>
        </w:r>
      </w:hyperlink>
      <w:r w:rsidR="00276BEE" w:rsidRPr="008625D0">
        <w:rPr>
          <w:szCs w:val="22"/>
        </w:rPr>
        <w:t>)</w:t>
      </w:r>
      <w:r>
        <w:rPr>
          <w:szCs w:val="22"/>
        </w:rPr>
        <w:t>.</w:t>
      </w:r>
      <w:r w:rsidR="00276BEE" w:rsidRPr="008625D0">
        <w:rPr>
          <w:szCs w:val="22"/>
        </w:rPr>
        <w:t xml:space="preserve"> </w:t>
      </w:r>
    </w:p>
    <w:p w14:paraId="0FFCEC46" w14:textId="77777777" w:rsidR="008625D0" w:rsidRDefault="008625D0" w:rsidP="008625D0">
      <w:pPr>
        <w:pStyle w:val="ListParagraph"/>
        <w:ind w:left="0"/>
        <w:rPr>
          <w:szCs w:val="22"/>
        </w:rPr>
      </w:pPr>
    </w:p>
    <w:p w14:paraId="0260029A" w14:textId="77777777" w:rsidR="00276BEE" w:rsidRPr="00933C4C" w:rsidRDefault="00276BEE" w:rsidP="00276BEE">
      <w:pPr>
        <w:pStyle w:val="ListParagraph"/>
        <w:ind w:left="1440"/>
        <w:rPr>
          <w:szCs w:val="22"/>
        </w:rPr>
      </w:pPr>
    </w:p>
    <w:p w14:paraId="38507FEC" w14:textId="77777777" w:rsidR="00276BEE" w:rsidRDefault="00276BEE" w:rsidP="00276BEE">
      <w:pPr>
        <w:pStyle w:val="Heading1"/>
        <w:numPr>
          <w:ilvl w:val="0"/>
          <w:numId w:val="11"/>
        </w:numPr>
        <w:spacing w:before="0"/>
        <w:ind w:left="567" w:hanging="567"/>
      </w:pPr>
      <w:r>
        <w:t>a year of change in the midst of a global pandemic</w:t>
      </w:r>
    </w:p>
    <w:p w14:paraId="03486080" w14:textId="77777777" w:rsidR="00276BEE" w:rsidRPr="005E1E26" w:rsidRDefault="00276BEE" w:rsidP="00276BEE"/>
    <w:p w14:paraId="0870B439" w14:textId="521758E0" w:rsidR="008625D0" w:rsidRPr="00930754" w:rsidRDefault="008625D0" w:rsidP="00930754">
      <w:pPr>
        <w:pStyle w:val="ListParagraph"/>
        <w:numPr>
          <w:ilvl w:val="0"/>
          <w:numId w:val="12"/>
        </w:numPr>
        <w:ind w:left="0" w:firstLine="0"/>
        <w:rPr>
          <w:szCs w:val="22"/>
        </w:rPr>
      </w:pPr>
      <w:r w:rsidRPr="00930754">
        <w:rPr>
          <w:szCs w:val="22"/>
        </w:rPr>
        <w:t>Faced with the unanticipated and unprecedented challenge of the COVID-19 pandemic, t</w:t>
      </w:r>
      <w:r w:rsidR="00276BEE" w:rsidRPr="00930754">
        <w:rPr>
          <w:szCs w:val="22"/>
        </w:rPr>
        <w:t xml:space="preserve">he past year has been a challenging period for the Organization and its staff as a whole. </w:t>
      </w:r>
      <w:r w:rsidR="0055266C">
        <w:rPr>
          <w:szCs w:val="22"/>
        </w:rPr>
        <w:t xml:space="preserve"> </w:t>
      </w:r>
      <w:r w:rsidR="00F66778" w:rsidRPr="00930754">
        <w:rPr>
          <w:szCs w:val="22"/>
        </w:rPr>
        <w:t xml:space="preserve">Throughout this period, </w:t>
      </w:r>
      <w:r w:rsidR="00A363F5" w:rsidRPr="00930754">
        <w:rPr>
          <w:szCs w:val="22"/>
        </w:rPr>
        <w:t xml:space="preserve">HRMD found itself </w:t>
      </w:r>
      <w:r w:rsidR="00F66778" w:rsidRPr="00930754">
        <w:rPr>
          <w:szCs w:val="22"/>
        </w:rPr>
        <w:t>at the forefront of</w:t>
      </w:r>
      <w:r w:rsidR="00A363F5" w:rsidRPr="00930754">
        <w:rPr>
          <w:szCs w:val="22"/>
        </w:rPr>
        <w:t xml:space="preserve"> crisis management, remote working, risk handling, redeployment of the workforce, safety, wellbeing, i.e. </w:t>
      </w:r>
      <w:r w:rsidR="00D472FE">
        <w:rPr>
          <w:szCs w:val="22"/>
        </w:rPr>
        <w:t>retaining</w:t>
      </w:r>
      <w:r w:rsidR="00A363F5" w:rsidRPr="00D472FE">
        <w:rPr>
          <w:szCs w:val="22"/>
        </w:rPr>
        <w:t xml:space="preserve"> the human </w:t>
      </w:r>
      <w:r w:rsidR="00D472FE">
        <w:rPr>
          <w:szCs w:val="22"/>
        </w:rPr>
        <w:t>element</w:t>
      </w:r>
      <w:r w:rsidR="00A363F5" w:rsidRPr="00930754">
        <w:rPr>
          <w:szCs w:val="22"/>
        </w:rPr>
        <w:t xml:space="preserve"> in human resources. </w:t>
      </w:r>
    </w:p>
    <w:p w14:paraId="58646C47" w14:textId="77777777" w:rsidR="00FF6E96" w:rsidRPr="00930754" w:rsidRDefault="00FF6E96" w:rsidP="00930754">
      <w:pPr>
        <w:pStyle w:val="ListParagraph"/>
        <w:ind w:left="0"/>
        <w:rPr>
          <w:szCs w:val="22"/>
        </w:rPr>
      </w:pPr>
    </w:p>
    <w:p w14:paraId="3F950EE4" w14:textId="20771D09" w:rsidR="00FF6E96" w:rsidRPr="00930754" w:rsidRDefault="00FF6E96" w:rsidP="00930754">
      <w:pPr>
        <w:pStyle w:val="Default"/>
        <w:numPr>
          <w:ilvl w:val="0"/>
          <w:numId w:val="12"/>
        </w:numPr>
        <w:ind w:left="0" w:firstLine="0"/>
        <w:rPr>
          <w:rFonts w:ascii="Arial" w:hAnsi="Arial" w:cs="Arial"/>
          <w:sz w:val="22"/>
          <w:szCs w:val="22"/>
        </w:rPr>
      </w:pPr>
      <w:r w:rsidRPr="00930754">
        <w:rPr>
          <w:rFonts w:ascii="Arial" w:hAnsi="Arial" w:cs="Arial"/>
          <w:sz w:val="22"/>
          <w:szCs w:val="22"/>
        </w:rPr>
        <w:t>From the outset of the crisis, HRMD adapted and streamlined many of its work processes to ensure continued delivery of services to employees and Member States.</w:t>
      </w:r>
      <w:r w:rsidR="0055266C">
        <w:rPr>
          <w:rFonts w:ascii="Arial" w:hAnsi="Arial" w:cs="Arial"/>
          <w:sz w:val="22"/>
          <w:szCs w:val="22"/>
        </w:rPr>
        <w:t xml:space="preserve"> </w:t>
      </w:r>
      <w:r w:rsidRPr="00930754">
        <w:rPr>
          <w:rFonts w:ascii="Arial" w:hAnsi="Arial" w:cs="Arial"/>
          <w:sz w:val="22"/>
          <w:szCs w:val="22"/>
        </w:rPr>
        <w:t xml:space="preserve"> With respect to its workforce, HRMD temporarily implemented </w:t>
      </w:r>
      <w:r w:rsidRPr="00930754">
        <w:rPr>
          <w:rFonts w:ascii="Arial" w:hAnsi="Arial" w:cs="Arial"/>
          <w:i/>
          <w:sz w:val="22"/>
          <w:szCs w:val="22"/>
        </w:rPr>
        <w:t>ad hoc</w:t>
      </w:r>
      <w:r w:rsidRPr="00930754">
        <w:rPr>
          <w:rFonts w:ascii="Arial" w:hAnsi="Arial" w:cs="Arial"/>
          <w:sz w:val="22"/>
          <w:szCs w:val="22"/>
        </w:rPr>
        <w:t xml:space="preserve"> measures and derogations to a number of policies and procedures in order to facilitate management in crisis mode. </w:t>
      </w:r>
    </w:p>
    <w:p w14:paraId="2454CE71" w14:textId="77777777" w:rsidR="00F66778" w:rsidRPr="00930754" w:rsidRDefault="00F66778" w:rsidP="00F66778">
      <w:pPr>
        <w:pStyle w:val="ListParagraph"/>
        <w:rPr>
          <w:szCs w:val="22"/>
        </w:rPr>
      </w:pPr>
    </w:p>
    <w:p w14:paraId="3CF32411" w14:textId="1968F96F" w:rsidR="00F66778" w:rsidRPr="00CE3610" w:rsidRDefault="00C2785F" w:rsidP="00930754">
      <w:pPr>
        <w:pStyle w:val="ListParagraph"/>
        <w:numPr>
          <w:ilvl w:val="0"/>
          <w:numId w:val="12"/>
        </w:numPr>
        <w:ind w:left="0" w:firstLine="0"/>
        <w:rPr>
          <w:szCs w:val="22"/>
        </w:rPr>
      </w:pPr>
      <w:r>
        <w:rPr>
          <w:szCs w:val="22"/>
        </w:rPr>
        <w:t>The pandemic</w:t>
      </w:r>
      <w:r w:rsidRPr="00CC2CF1">
        <w:rPr>
          <w:szCs w:val="22"/>
        </w:rPr>
        <w:t xml:space="preserve"> also coincided with an Organization in transition due to the appointment of a new Director General and that of a new Senior Leadership Team (SLT) as well as a major restructuring of the Organization.</w:t>
      </w:r>
      <w:r w:rsidR="0055266C">
        <w:rPr>
          <w:szCs w:val="22"/>
        </w:rPr>
        <w:t xml:space="preserve"> </w:t>
      </w:r>
      <w:r>
        <w:rPr>
          <w:szCs w:val="22"/>
        </w:rPr>
        <w:t xml:space="preserve"> </w:t>
      </w:r>
      <w:r w:rsidRPr="00C2785F">
        <w:rPr>
          <w:szCs w:val="22"/>
        </w:rPr>
        <w:t>Furthermore</w:t>
      </w:r>
      <w:r>
        <w:rPr>
          <w:szCs w:val="22"/>
        </w:rPr>
        <w:t>,</w:t>
      </w:r>
      <w:r w:rsidRPr="00C2785F">
        <w:rPr>
          <w:szCs w:val="22"/>
        </w:rPr>
        <w:t xml:space="preserve"> </w:t>
      </w:r>
      <w:r>
        <w:rPr>
          <w:szCs w:val="22"/>
        </w:rPr>
        <w:t xml:space="preserve">the </w:t>
      </w:r>
      <w:r w:rsidRPr="00C2785F">
        <w:rPr>
          <w:szCs w:val="22"/>
        </w:rPr>
        <w:t xml:space="preserve">Director General designated the former Deputy Director of </w:t>
      </w:r>
      <w:r w:rsidR="0055266C">
        <w:rPr>
          <w:szCs w:val="22"/>
        </w:rPr>
        <w:t>HRMD</w:t>
      </w:r>
      <w:r w:rsidRPr="00C2785F">
        <w:rPr>
          <w:szCs w:val="22"/>
        </w:rPr>
        <w:t xml:space="preserve"> to assume the role of Acting Director as from October 1, 2020</w:t>
      </w:r>
      <w:r>
        <w:rPr>
          <w:szCs w:val="22"/>
        </w:rPr>
        <w:t xml:space="preserve">, as </w:t>
      </w:r>
      <w:r w:rsidRPr="00C2785F">
        <w:rPr>
          <w:szCs w:val="22"/>
        </w:rPr>
        <w:t xml:space="preserve">the </w:t>
      </w:r>
      <w:r w:rsidR="00D472FE">
        <w:rPr>
          <w:szCs w:val="22"/>
        </w:rPr>
        <w:t xml:space="preserve">mandate of the </w:t>
      </w:r>
      <w:r w:rsidRPr="00C2785F">
        <w:rPr>
          <w:szCs w:val="22"/>
        </w:rPr>
        <w:t xml:space="preserve">former Director of HRMD </w:t>
      </w:r>
      <w:r w:rsidR="00D472FE">
        <w:rPr>
          <w:szCs w:val="22"/>
        </w:rPr>
        <w:t>had come to an end</w:t>
      </w:r>
      <w:r w:rsidRPr="00C2785F">
        <w:rPr>
          <w:szCs w:val="22"/>
        </w:rPr>
        <w:t xml:space="preserve"> on September 30, 2020.</w:t>
      </w:r>
    </w:p>
    <w:p w14:paraId="74BCADD0" w14:textId="7114EFA8" w:rsidR="00FF6E96" w:rsidRPr="00FF6E96" w:rsidRDefault="00FF6E96" w:rsidP="00FF6E96">
      <w:pPr>
        <w:pStyle w:val="Default"/>
        <w:rPr>
          <w:szCs w:val="22"/>
        </w:rPr>
      </w:pPr>
    </w:p>
    <w:p w14:paraId="634EE491" w14:textId="77777777" w:rsidR="008625D0" w:rsidRPr="005E1E26" w:rsidRDefault="008625D0" w:rsidP="008625D0">
      <w:pPr>
        <w:pStyle w:val="Heading3"/>
        <w:rPr>
          <w:i/>
          <w:u w:val="none"/>
        </w:rPr>
      </w:pPr>
      <w:r w:rsidRPr="005E1E26">
        <w:rPr>
          <w:i/>
          <w:szCs w:val="22"/>
          <w:u w:val="none"/>
        </w:rPr>
        <w:t xml:space="preserve">COVID-19 – </w:t>
      </w:r>
      <w:r>
        <w:rPr>
          <w:i/>
          <w:szCs w:val="22"/>
          <w:u w:val="none"/>
        </w:rPr>
        <w:t xml:space="preserve">challenge, </w:t>
      </w:r>
      <w:r w:rsidRPr="005E1E26">
        <w:rPr>
          <w:i/>
          <w:szCs w:val="22"/>
          <w:u w:val="none"/>
        </w:rPr>
        <w:t>impact and management</w:t>
      </w:r>
    </w:p>
    <w:p w14:paraId="64A3831D" w14:textId="77777777" w:rsidR="008625D0" w:rsidRDefault="008625D0" w:rsidP="008625D0">
      <w:pPr>
        <w:pStyle w:val="ListParagraph"/>
        <w:rPr>
          <w:szCs w:val="22"/>
        </w:rPr>
      </w:pPr>
    </w:p>
    <w:p w14:paraId="6FE9D3B6" w14:textId="553F87B4" w:rsidR="008625D0" w:rsidRDefault="008625D0" w:rsidP="00930754">
      <w:pPr>
        <w:pStyle w:val="ListParagraph"/>
        <w:numPr>
          <w:ilvl w:val="0"/>
          <w:numId w:val="12"/>
        </w:numPr>
        <w:ind w:left="0" w:firstLine="0"/>
        <w:rPr>
          <w:szCs w:val="22"/>
        </w:rPr>
      </w:pPr>
      <w:r w:rsidRPr="00CC2CF1">
        <w:rPr>
          <w:szCs w:val="22"/>
        </w:rPr>
        <w:t xml:space="preserve">It is recalled that WIPO initially closed </w:t>
      </w:r>
      <w:r w:rsidR="00881EE0">
        <w:rPr>
          <w:szCs w:val="22"/>
        </w:rPr>
        <w:t>the</w:t>
      </w:r>
      <w:r w:rsidRPr="00CC2CF1">
        <w:rPr>
          <w:szCs w:val="22"/>
        </w:rPr>
        <w:t xml:space="preserve"> </w:t>
      </w:r>
      <w:r w:rsidR="00881EE0">
        <w:rPr>
          <w:szCs w:val="22"/>
        </w:rPr>
        <w:t xml:space="preserve">office at its </w:t>
      </w:r>
      <w:r w:rsidRPr="00CC2CF1">
        <w:rPr>
          <w:szCs w:val="22"/>
        </w:rPr>
        <w:t xml:space="preserve">headquarters in Geneva on </w:t>
      </w:r>
      <w:r w:rsidR="0055266C">
        <w:rPr>
          <w:szCs w:val="22"/>
        </w:rPr>
        <w:t>March </w:t>
      </w:r>
      <w:r w:rsidRPr="00CC2CF1">
        <w:rPr>
          <w:szCs w:val="22"/>
        </w:rPr>
        <w:t xml:space="preserve">16, 2020, in the face of the evolving COVID-19 health crisis and lockdown decisions </w:t>
      </w:r>
      <w:r w:rsidR="00FF6E96">
        <w:rPr>
          <w:szCs w:val="22"/>
        </w:rPr>
        <w:t>taken</w:t>
      </w:r>
      <w:r w:rsidRPr="00CC2CF1">
        <w:rPr>
          <w:szCs w:val="22"/>
        </w:rPr>
        <w:t xml:space="preserve"> by the Host Government. </w:t>
      </w:r>
      <w:r w:rsidR="00FF6E96">
        <w:rPr>
          <w:szCs w:val="22"/>
        </w:rPr>
        <w:t xml:space="preserve"> For the first time,</w:t>
      </w:r>
      <w:r w:rsidRPr="00CC2CF1">
        <w:rPr>
          <w:szCs w:val="22"/>
        </w:rPr>
        <w:t xml:space="preserve"> WIPO personnel were required to work from home, with the exception of a small critical presence on premises consisting of Medical, Buildings, IT, Security, Office of the Director General, Communications and HR staff needed to perform essential services that could not be provided remotely.</w:t>
      </w:r>
    </w:p>
    <w:p w14:paraId="05C7D14E" w14:textId="77777777" w:rsidR="00FF6E96" w:rsidRPr="00CC2CF1" w:rsidRDefault="00FF6E96" w:rsidP="00FF6E96">
      <w:pPr>
        <w:pStyle w:val="ListParagraph"/>
        <w:ind w:left="0"/>
        <w:rPr>
          <w:szCs w:val="22"/>
        </w:rPr>
      </w:pPr>
    </w:p>
    <w:p w14:paraId="786BE7B2" w14:textId="4B7BABEC" w:rsidR="008625D0" w:rsidRDefault="008625D0" w:rsidP="00930754">
      <w:pPr>
        <w:pStyle w:val="Default"/>
        <w:numPr>
          <w:ilvl w:val="0"/>
          <w:numId w:val="12"/>
        </w:numPr>
        <w:ind w:left="0" w:firstLine="0"/>
        <w:rPr>
          <w:rFonts w:ascii="Arial" w:hAnsi="Arial" w:cs="Arial"/>
          <w:sz w:val="22"/>
          <w:szCs w:val="22"/>
        </w:rPr>
      </w:pPr>
      <w:r w:rsidRPr="003C667D">
        <w:rPr>
          <w:rFonts w:ascii="Arial" w:hAnsi="Arial" w:cs="Arial"/>
          <w:sz w:val="22"/>
          <w:szCs w:val="22"/>
        </w:rPr>
        <w:lastRenderedPageBreak/>
        <w:t xml:space="preserve">WIPO initiated a carefully planned and phased return-to-premises program in </w:t>
      </w:r>
      <w:r w:rsidR="0055266C">
        <w:rPr>
          <w:rFonts w:ascii="Arial" w:hAnsi="Arial" w:cs="Arial"/>
          <w:sz w:val="22"/>
          <w:szCs w:val="22"/>
        </w:rPr>
        <w:t>June </w:t>
      </w:r>
      <w:r w:rsidRPr="003C667D">
        <w:rPr>
          <w:rFonts w:ascii="Arial" w:hAnsi="Arial" w:cs="Arial"/>
          <w:sz w:val="22"/>
          <w:szCs w:val="22"/>
        </w:rPr>
        <w:t>2020</w:t>
      </w:r>
      <w:r>
        <w:rPr>
          <w:rFonts w:ascii="Arial" w:hAnsi="Arial" w:cs="Arial"/>
          <w:sz w:val="22"/>
          <w:szCs w:val="22"/>
        </w:rPr>
        <w:t>,</w:t>
      </w:r>
      <w:r w:rsidRPr="003C667D">
        <w:rPr>
          <w:rFonts w:ascii="Arial" w:hAnsi="Arial" w:cs="Arial"/>
          <w:sz w:val="22"/>
          <w:szCs w:val="22"/>
        </w:rPr>
        <w:t xml:space="preserve"> in light of the gradual decline of infection rates in the Geneva region and the scaling back of lockdown measures by the Host </w:t>
      </w:r>
      <w:r>
        <w:rPr>
          <w:rFonts w:ascii="Arial" w:hAnsi="Arial" w:cs="Arial"/>
          <w:sz w:val="22"/>
          <w:szCs w:val="22"/>
        </w:rPr>
        <w:t xml:space="preserve">Government. </w:t>
      </w:r>
      <w:r w:rsidR="0055266C">
        <w:rPr>
          <w:rFonts w:ascii="Arial" w:hAnsi="Arial" w:cs="Arial"/>
          <w:sz w:val="22"/>
          <w:szCs w:val="22"/>
        </w:rPr>
        <w:t xml:space="preserve"> </w:t>
      </w:r>
      <w:r>
        <w:rPr>
          <w:rFonts w:ascii="Arial" w:hAnsi="Arial" w:cs="Arial"/>
          <w:sz w:val="22"/>
          <w:szCs w:val="22"/>
        </w:rPr>
        <w:t>However,</w:t>
      </w:r>
      <w:r w:rsidRPr="003C667D">
        <w:rPr>
          <w:rFonts w:ascii="Arial" w:hAnsi="Arial" w:cs="Arial"/>
          <w:sz w:val="22"/>
          <w:szCs w:val="22"/>
        </w:rPr>
        <w:t xml:space="preserve"> due to the evolving epidemiological situation and the increasingly rapid spread of the virus in October 2020, the Organization decided</w:t>
      </w:r>
      <w:r w:rsidR="00BC481A">
        <w:rPr>
          <w:rFonts w:ascii="Arial" w:hAnsi="Arial" w:cs="Arial"/>
          <w:sz w:val="22"/>
          <w:szCs w:val="22"/>
        </w:rPr>
        <w:t>,</w:t>
      </w:r>
      <w:r w:rsidRPr="003C667D">
        <w:rPr>
          <w:rFonts w:ascii="Arial" w:hAnsi="Arial" w:cs="Arial"/>
          <w:sz w:val="22"/>
          <w:szCs w:val="22"/>
        </w:rPr>
        <w:t xml:space="preserve"> </w:t>
      </w:r>
      <w:r>
        <w:rPr>
          <w:rFonts w:ascii="Arial" w:hAnsi="Arial" w:cs="Arial"/>
          <w:sz w:val="22"/>
          <w:szCs w:val="22"/>
        </w:rPr>
        <w:t>once again</w:t>
      </w:r>
      <w:r w:rsidR="00BC481A">
        <w:rPr>
          <w:rFonts w:ascii="Arial" w:hAnsi="Arial" w:cs="Arial"/>
          <w:sz w:val="22"/>
          <w:szCs w:val="22"/>
        </w:rPr>
        <w:t>,</w:t>
      </w:r>
      <w:r>
        <w:rPr>
          <w:rFonts w:ascii="Arial" w:hAnsi="Arial" w:cs="Arial"/>
          <w:sz w:val="22"/>
          <w:szCs w:val="22"/>
        </w:rPr>
        <w:t xml:space="preserve"> </w:t>
      </w:r>
      <w:r w:rsidRPr="003C667D">
        <w:rPr>
          <w:rFonts w:ascii="Arial" w:hAnsi="Arial" w:cs="Arial"/>
          <w:sz w:val="22"/>
          <w:szCs w:val="22"/>
        </w:rPr>
        <w:t xml:space="preserve">that all staff would </w:t>
      </w:r>
      <w:r>
        <w:rPr>
          <w:rFonts w:ascii="Arial" w:hAnsi="Arial" w:cs="Arial"/>
          <w:sz w:val="22"/>
          <w:szCs w:val="22"/>
        </w:rPr>
        <w:t xml:space="preserve">need to </w:t>
      </w:r>
      <w:r w:rsidRPr="003C667D">
        <w:rPr>
          <w:rFonts w:ascii="Arial" w:hAnsi="Arial" w:cs="Arial"/>
          <w:sz w:val="22"/>
          <w:szCs w:val="22"/>
        </w:rPr>
        <w:t xml:space="preserve">resume remote work as of </w:t>
      </w:r>
      <w:r w:rsidR="0055266C">
        <w:rPr>
          <w:rFonts w:ascii="Arial" w:hAnsi="Arial" w:cs="Arial"/>
          <w:sz w:val="22"/>
          <w:szCs w:val="22"/>
        </w:rPr>
        <w:t>Monday, November </w:t>
      </w:r>
      <w:r w:rsidRPr="003C667D">
        <w:rPr>
          <w:rFonts w:ascii="Arial" w:hAnsi="Arial" w:cs="Arial"/>
          <w:sz w:val="22"/>
          <w:szCs w:val="22"/>
        </w:rPr>
        <w:t>2, 2020.</w:t>
      </w:r>
      <w:r>
        <w:rPr>
          <w:rFonts w:ascii="Arial" w:hAnsi="Arial" w:cs="Arial"/>
          <w:sz w:val="22"/>
          <w:szCs w:val="22"/>
        </w:rPr>
        <w:t xml:space="preserve"> </w:t>
      </w:r>
      <w:r w:rsidR="0055266C">
        <w:rPr>
          <w:rFonts w:ascii="Arial" w:hAnsi="Arial" w:cs="Arial"/>
          <w:sz w:val="22"/>
          <w:szCs w:val="22"/>
        </w:rPr>
        <w:t xml:space="preserve"> </w:t>
      </w:r>
      <w:r>
        <w:rPr>
          <w:rFonts w:ascii="Arial" w:hAnsi="Arial" w:cs="Arial"/>
          <w:sz w:val="22"/>
          <w:szCs w:val="22"/>
        </w:rPr>
        <w:t xml:space="preserve">This second phase of remote working was facilitated by the lessons learnt during the initial lockdown of March 2020. </w:t>
      </w:r>
      <w:r w:rsidRPr="003C667D">
        <w:rPr>
          <w:rFonts w:ascii="Arial" w:hAnsi="Arial" w:cs="Arial"/>
          <w:sz w:val="22"/>
          <w:szCs w:val="22"/>
        </w:rPr>
        <w:t xml:space="preserve">  </w:t>
      </w:r>
    </w:p>
    <w:p w14:paraId="5EA49E29" w14:textId="77777777" w:rsidR="008625D0" w:rsidRDefault="008625D0" w:rsidP="008625D0">
      <w:pPr>
        <w:pStyle w:val="ListParagraph"/>
        <w:rPr>
          <w:szCs w:val="22"/>
        </w:rPr>
      </w:pPr>
    </w:p>
    <w:p w14:paraId="6C546688" w14:textId="1AB19F01" w:rsidR="008625D0" w:rsidRDefault="008625D0" w:rsidP="00930754">
      <w:pPr>
        <w:pStyle w:val="ListParagraph"/>
        <w:numPr>
          <w:ilvl w:val="0"/>
          <w:numId w:val="12"/>
        </w:numPr>
        <w:ind w:left="0" w:firstLine="0"/>
        <w:rPr>
          <w:szCs w:val="22"/>
        </w:rPr>
      </w:pPr>
      <w:r w:rsidRPr="00E51BE9">
        <w:rPr>
          <w:szCs w:val="22"/>
        </w:rPr>
        <w:t xml:space="preserve">Since the onset of the pandemic, WIPO and HRMD </w:t>
      </w:r>
      <w:r w:rsidR="00BC481A">
        <w:rPr>
          <w:szCs w:val="22"/>
        </w:rPr>
        <w:t xml:space="preserve">have become increasingly aware of </w:t>
      </w:r>
      <w:r w:rsidRPr="00E51BE9">
        <w:rPr>
          <w:szCs w:val="22"/>
        </w:rPr>
        <w:t xml:space="preserve">the impact of the pandemic on the psychosocial aspects and mental health of employees. </w:t>
      </w:r>
      <w:r w:rsidR="0055266C">
        <w:rPr>
          <w:szCs w:val="22"/>
        </w:rPr>
        <w:t xml:space="preserve"> </w:t>
      </w:r>
      <w:r w:rsidRPr="00E51BE9">
        <w:rPr>
          <w:szCs w:val="22"/>
        </w:rPr>
        <w:t xml:space="preserve">In response and especially during the times of mandatory teleworking and social isolation, </w:t>
      </w:r>
      <w:r w:rsidR="00FF6E96">
        <w:rPr>
          <w:szCs w:val="22"/>
        </w:rPr>
        <w:t>HRMD, in coordination with</w:t>
      </w:r>
      <w:r w:rsidRPr="00E51BE9">
        <w:rPr>
          <w:szCs w:val="22"/>
        </w:rPr>
        <w:t xml:space="preserve"> the Medical Unit as well as the Staff Counsellor</w:t>
      </w:r>
      <w:r w:rsidR="00FF6E96">
        <w:rPr>
          <w:szCs w:val="22"/>
        </w:rPr>
        <w:t>,</w:t>
      </w:r>
      <w:r w:rsidRPr="00E51BE9">
        <w:rPr>
          <w:szCs w:val="22"/>
        </w:rPr>
        <w:t xml:space="preserve"> </w:t>
      </w:r>
      <w:r w:rsidR="00FF6E96">
        <w:rPr>
          <w:szCs w:val="22"/>
        </w:rPr>
        <w:t xml:space="preserve">provided </w:t>
      </w:r>
      <w:r w:rsidRPr="00E51BE9">
        <w:rPr>
          <w:szCs w:val="22"/>
        </w:rPr>
        <w:t xml:space="preserve">comprehensive advice as well as a broad range of support to staff </w:t>
      </w:r>
      <w:r w:rsidR="00DE154E">
        <w:rPr>
          <w:szCs w:val="22"/>
        </w:rPr>
        <w:t xml:space="preserve">working </w:t>
      </w:r>
      <w:r w:rsidRPr="00E51BE9">
        <w:rPr>
          <w:szCs w:val="22"/>
        </w:rPr>
        <w:t xml:space="preserve">remotely. </w:t>
      </w:r>
      <w:r w:rsidR="0055266C">
        <w:rPr>
          <w:szCs w:val="22"/>
        </w:rPr>
        <w:t xml:space="preserve"> </w:t>
      </w:r>
      <w:r w:rsidRPr="00E51BE9">
        <w:rPr>
          <w:szCs w:val="22"/>
        </w:rPr>
        <w:t>The Medical Unit followed up on health matters and the Staff Counsellor provided psychosocial support services to individuals and training to staff at large, dissemin</w:t>
      </w:r>
      <w:r w:rsidR="00930754">
        <w:rPr>
          <w:szCs w:val="22"/>
        </w:rPr>
        <w:t>ating mainly through dedicated I</w:t>
      </w:r>
      <w:r w:rsidRPr="00E51BE9">
        <w:rPr>
          <w:szCs w:val="22"/>
        </w:rPr>
        <w:t xml:space="preserve">ntranet pages and thematic materials on psychosocial wellbeing. </w:t>
      </w:r>
    </w:p>
    <w:p w14:paraId="7CEE4EDD" w14:textId="77777777" w:rsidR="008625D0" w:rsidRPr="0015092B" w:rsidRDefault="008625D0" w:rsidP="008625D0">
      <w:pPr>
        <w:pStyle w:val="ListParagraph"/>
        <w:rPr>
          <w:szCs w:val="22"/>
        </w:rPr>
      </w:pPr>
    </w:p>
    <w:p w14:paraId="5D545E02" w14:textId="7461DCD5" w:rsidR="008625D0" w:rsidRPr="00E974EE" w:rsidRDefault="00FF6E96" w:rsidP="00930754">
      <w:pPr>
        <w:pStyle w:val="ListParagraph"/>
        <w:numPr>
          <w:ilvl w:val="0"/>
          <w:numId w:val="12"/>
        </w:numPr>
        <w:ind w:left="0" w:firstLine="0"/>
        <w:rPr>
          <w:szCs w:val="22"/>
        </w:rPr>
      </w:pPr>
      <w:r>
        <w:rPr>
          <w:szCs w:val="22"/>
        </w:rPr>
        <w:t>M</w:t>
      </w:r>
      <w:r w:rsidR="008625D0" w:rsidRPr="0015092B">
        <w:rPr>
          <w:szCs w:val="22"/>
        </w:rPr>
        <w:t>ental health recommendations and guidance for employees were developed and continuously fine-tuned with the primary aim of boosting individual and collective resilience</w:t>
      </w:r>
      <w:r w:rsidR="00BC481A">
        <w:rPr>
          <w:szCs w:val="22"/>
        </w:rPr>
        <w:t>;</w:t>
      </w:r>
      <w:r w:rsidR="008625D0" w:rsidRPr="0015092B">
        <w:rPr>
          <w:szCs w:val="22"/>
        </w:rPr>
        <w:t xml:space="preserve"> </w:t>
      </w:r>
      <w:r w:rsidR="0055266C">
        <w:rPr>
          <w:szCs w:val="22"/>
        </w:rPr>
        <w:t xml:space="preserve"> </w:t>
      </w:r>
      <w:r w:rsidR="008625D0" w:rsidRPr="0015092B">
        <w:rPr>
          <w:szCs w:val="22"/>
        </w:rPr>
        <w:t xml:space="preserve">and a number of other initiatives were taken to address staff concerns during the pandemic. </w:t>
      </w:r>
      <w:r w:rsidR="0055266C">
        <w:rPr>
          <w:szCs w:val="22"/>
        </w:rPr>
        <w:t xml:space="preserve"> </w:t>
      </w:r>
      <w:r w:rsidR="008625D0" w:rsidRPr="00B95230">
        <w:t xml:space="preserve">HRMD focused on the wellbeing of colleagues by offering sessions on wellbeing, mindfulness and burnout prevention.  In addition to individual coaching sessions, the internal coaching team offered monthly lunchtime sessions </w:t>
      </w:r>
      <w:r w:rsidR="00DE154E">
        <w:t>on</w:t>
      </w:r>
      <w:r w:rsidR="008625D0" w:rsidRPr="00B95230">
        <w:t xml:space="preserve"> self-management and coping tools.</w:t>
      </w:r>
    </w:p>
    <w:p w14:paraId="08A757F5" w14:textId="77777777" w:rsidR="008625D0" w:rsidRPr="00E974EE" w:rsidRDefault="008625D0" w:rsidP="008625D0">
      <w:pPr>
        <w:pStyle w:val="ListParagraph"/>
        <w:rPr>
          <w:szCs w:val="22"/>
        </w:rPr>
      </w:pPr>
    </w:p>
    <w:p w14:paraId="16E614B1" w14:textId="4196D479" w:rsidR="008625D0" w:rsidRPr="00163383" w:rsidRDefault="00DE154E" w:rsidP="00930754">
      <w:pPr>
        <w:pStyle w:val="ListParagraph"/>
        <w:numPr>
          <w:ilvl w:val="0"/>
          <w:numId w:val="12"/>
        </w:numPr>
        <w:ind w:left="0" w:firstLine="0"/>
        <w:rPr>
          <w:szCs w:val="22"/>
        </w:rPr>
      </w:pPr>
      <w:r>
        <w:rPr>
          <w:szCs w:val="22"/>
        </w:rPr>
        <w:t>Additionally, i</w:t>
      </w:r>
      <w:r w:rsidR="008625D0" w:rsidRPr="00E974EE">
        <w:rPr>
          <w:szCs w:val="22"/>
        </w:rPr>
        <w:t xml:space="preserve">nfection prevention controls and workplace assessments </w:t>
      </w:r>
      <w:r w:rsidR="00FF6E96">
        <w:rPr>
          <w:szCs w:val="22"/>
        </w:rPr>
        <w:t>were</w:t>
      </w:r>
      <w:r w:rsidR="008625D0" w:rsidRPr="00E974EE">
        <w:rPr>
          <w:szCs w:val="22"/>
        </w:rPr>
        <w:t xml:space="preserve"> put in place </w:t>
      </w:r>
      <w:r w:rsidR="008625D0">
        <w:rPr>
          <w:szCs w:val="22"/>
        </w:rPr>
        <w:t xml:space="preserve">by the Medical Unit </w:t>
      </w:r>
      <w:r w:rsidR="008625D0" w:rsidRPr="00E974EE">
        <w:rPr>
          <w:szCs w:val="22"/>
        </w:rPr>
        <w:t xml:space="preserve">according to </w:t>
      </w:r>
      <w:r w:rsidR="00930754">
        <w:rPr>
          <w:szCs w:val="22"/>
        </w:rPr>
        <w:t>guidelines issued by the World Health Organization (</w:t>
      </w:r>
      <w:r w:rsidR="008625D0" w:rsidRPr="00E974EE">
        <w:rPr>
          <w:szCs w:val="22"/>
        </w:rPr>
        <w:t>WHO</w:t>
      </w:r>
      <w:r w:rsidR="00930754">
        <w:rPr>
          <w:szCs w:val="22"/>
        </w:rPr>
        <w:t>)</w:t>
      </w:r>
      <w:r w:rsidR="008625D0" w:rsidRPr="00E974EE">
        <w:rPr>
          <w:szCs w:val="22"/>
        </w:rPr>
        <w:t xml:space="preserve"> and </w:t>
      </w:r>
      <w:r w:rsidR="00930754">
        <w:rPr>
          <w:szCs w:val="22"/>
        </w:rPr>
        <w:t>the UN Medical Directors</w:t>
      </w:r>
      <w:r w:rsidR="008625D0" w:rsidRPr="00E974EE">
        <w:rPr>
          <w:szCs w:val="22"/>
        </w:rPr>
        <w:t xml:space="preserve">, in order to create a safe working environment for all </w:t>
      </w:r>
      <w:r w:rsidR="008625D0">
        <w:rPr>
          <w:szCs w:val="22"/>
        </w:rPr>
        <w:t>employees</w:t>
      </w:r>
      <w:r w:rsidR="008625D0" w:rsidRPr="00E974EE">
        <w:rPr>
          <w:szCs w:val="22"/>
        </w:rPr>
        <w:t xml:space="preserve"> and visitors. </w:t>
      </w:r>
      <w:r w:rsidR="0055266C">
        <w:rPr>
          <w:szCs w:val="22"/>
        </w:rPr>
        <w:t xml:space="preserve"> </w:t>
      </w:r>
      <w:r>
        <w:rPr>
          <w:szCs w:val="22"/>
        </w:rPr>
        <w:t>I</w:t>
      </w:r>
      <w:r w:rsidR="008625D0" w:rsidRPr="00E974EE">
        <w:rPr>
          <w:szCs w:val="22"/>
        </w:rPr>
        <w:t xml:space="preserve">nformative sessions were organized to discuss preventatives measures, correct use of </w:t>
      </w:r>
      <w:r w:rsidR="00930754">
        <w:rPr>
          <w:szCs w:val="22"/>
        </w:rPr>
        <w:t>Personal Protective Equipment (</w:t>
      </w:r>
      <w:r w:rsidR="008625D0" w:rsidRPr="00E974EE">
        <w:rPr>
          <w:szCs w:val="22"/>
        </w:rPr>
        <w:t>PPE</w:t>
      </w:r>
      <w:r w:rsidR="00930754">
        <w:rPr>
          <w:szCs w:val="22"/>
        </w:rPr>
        <w:t>)</w:t>
      </w:r>
      <w:r w:rsidR="008625D0" w:rsidRPr="00E974EE">
        <w:rPr>
          <w:szCs w:val="22"/>
        </w:rPr>
        <w:t>, and to enhance the protection of incoming staff.</w:t>
      </w:r>
      <w:r w:rsidR="008625D0">
        <w:rPr>
          <w:szCs w:val="22"/>
        </w:rPr>
        <w:t xml:space="preserve"> </w:t>
      </w:r>
      <w:r w:rsidR="0055266C">
        <w:rPr>
          <w:szCs w:val="22"/>
        </w:rPr>
        <w:t xml:space="preserve"> </w:t>
      </w:r>
      <w:r>
        <w:rPr>
          <w:szCs w:val="22"/>
        </w:rPr>
        <w:t>T</w:t>
      </w:r>
      <w:r w:rsidR="008625D0">
        <w:rPr>
          <w:szCs w:val="22"/>
        </w:rPr>
        <w:t xml:space="preserve">he Medical Unit also </w:t>
      </w:r>
      <w:r w:rsidR="008625D0" w:rsidRPr="00163383">
        <w:rPr>
          <w:szCs w:val="22"/>
        </w:rPr>
        <w:t xml:space="preserve">coordinated </w:t>
      </w:r>
      <w:r w:rsidR="008625D0">
        <w:rPr>
          <w:szCs w:val="22"/>
        </w:rPr>
        <w:t xml:space="preserve">with </w:t>
      </w:r>
      <w:r w:rsidR="008625D0" w:rsidRPr="00163383">
        <w:rPr>
          <w:szCs w:val="22"/>
        </w:rPr>
        <w:t xml:space="preserve">and participated </w:t>
      </w:r>
      <w:r w:rsidR="008625D0">
        <w:rPr>
          <w:szCs w:val="22"/>
        </w:rPr>
        <w:t xml:space="preserve">in the </w:t>
      </w:r>
      <w:r w:rsidR="008625D0" w:rsidRPr="00163383">
        <w:rPr>
          <w:szCs w:val="22"/>
        </w:rPr>
        <w:t>UN System-wide Covid-19 vaccination Program</w:t>
      </w:r>
      <w:r w:rsidR="008625D0">
        <w:rPr>
          <w:szCs w:val="22"/>
        </w:rPr>
        <w:t xml:space="preserve">, </w:t>
      </w:r>
      <w:r w:rsidR="008625D0" w:rsidRPr="00163383">
        <w:rPr>
          <w:szCs w:val="22"/>
        </w:rPr>
        <w:t xml:space="preserve">in order to support </w:t>
      </w:r>
      <w:r>
        <w:rPr>
          <w:szCs w:val="22"/>
        </w:rPr>
        <w:t xml:space="preserve">staff in </w:t>
      </w:r>
      <w:r w:rsidR="008625D0" w:rsidRPr="00163383">
        <w:rPr>
          <w:szCs w:val="22"/>
        </w:rPr>
        <w:t>WIPO</w:t>
      </w:r>
      <w:r w:rsidR="0006560C">
        <w:rPr>
          <w:szCs w:val="22"/>
        </w:rPr>
        <w:t>’</w:t>
      </w:r>
      <w:r>
        <w:rPr>
          <w:szCs w:val="22"/>
        </w:rPr>
        <w:t>s</w:t>
      </w:r>
      <w:r w:rsidR="008625D0" w:rsidRPr="00163383">
        <w:rPr>
          <w:szCs w:val="22"/>
        </w:rPr>
        <w:t xml:space="preserve"> </w:t>
      </w:r>
      <w:r w:rsidR="008625D0">
        <w:rPr>
          <w:szCs w:val="22"/>
        </w:rPr>
        <w:t xml:space="preserve">External Offices </w:t>
      </w:r>
      <w:r w:rsidR="008625D0" w:rsidRPr="00163383">
        <w:rPr>
          <w:szCs w:val="22"/>
        </w:rPr>
        <w:t>to get their vaccination</w:t>
      </w:r>
      <w:r w:rsidR="008625D0">
        <w:rPr>
          <w:szCs w:val="22"/>
        </w:rPr>
        <w:t>s.</w:t>
      </w:r>
    </w:p>
    <w:p w14:paraId="13B4971B" w14:textId="77777777" w:rsidR="008625D0" w:rsidRPr="00E51BE9" w:rsidRDefault="008625D0" w:rsidP="008625D0">
      <w:pPr>
        <w:pStyle w:val="ListParagraph"/>
        <w:ind w:left="360"/>
        <w:rPr>
          <w:szCs w:val="22"/>
        </w:rPr>
      </w:pPr>
    </w:p>
    <w:p w14:paraId="2C6DB4E3" w14:textId="422AC7DC" w:rsidR="008625D0" w:rsidRPr="002033FD" w:rsidRDefault="008625D0" w:rsidP="00930754">
      <w:pPr>
        <w:pStyle w:val="ListParagraph"/>
        <w:numPr>
          <w:ilvl w:val="0"/>
          <w:numId w:val="12"/>
        </w:numPr>
        <w:ind w:left="0" w:firstLine="0"/>
      </w:pPr>
      <w:r>
        <w:t>The delivery of training was heavily af</w:t>
      </w:r>
      <w:r w:rsidR="006A4D2A">
        <w:t>fected by the pandemic. </w:t>
      </w:r>
      <w:r w:rsidR="0055266C">
        <w:t xml:space="preserve"> </w:t>
      </w:r>
      <w:r w:rsidR="006A4D2A">
        <w:t>T</w:t>
      </w:r>
      <w:r>
        <w:t>raining offer</w:t>
      </w:r>
      <w:r w:rsidR="006A4D2A">
        <w:t>s</w:t>
      </w:r>
      <w:r>
        <w:t xml:space="preserve"> </w:t>
      </w:r>
      <w:r w:rsidR="006A4D2A">
        <w:t xml:space="preserve">had to be progressively adapted </w:t>
      </w:r>
      <w:r>
        <w:t>to the exclusively virtual environment</w:t>
      </w:r>
      <w:r w:rsidR="00F66778">
        <w:t xml:space="preserve">, </w:t>
      </w:r>
      <w:r>
        <w:t>taking into account shorter attention spans through focused content and shorter sessions.</w:t>
      </w:r>
      <w:r w:rsidR="0055266C">
        <w:t xml:space="preserve"> </w:t>
      </w:r>
      <w:r>
        <w:t> </w:t>
      </w:r>
      <w:r w:rsidR="006A4D2A">
        <w:t xml:space="preserve">Consequently and </w:t>
      </w:r>
      <w:r w:rsidR="006A4D2A" w:rsidRPr="0048243C">
        <w:t xml:space="preserve">due to the </w:t>
      </w:r>
      <w:r w:rsidR="006A4D2A">
        <w:t xml:space="preserve">challenging </w:t>
      </w:r>
      <w:r w:rsidR="006A4D2A" w:rsidRPr="002033FD">
        <w:t>circumstances, th</w:t>
      </w:r>
      <w:r w:rsidRPr="002033FD">
        <w:t>e number of training days per staff member decreased from 4.8 in 2019 to 2.7</w:t>
      </w:r>
      <w:r w:rsidR="00390FE8" w:rsidRPr="002033FD">
        <w:t xml:space="preserve"> in 2020</w:t>
      </w:r>
      <w:r w:rsidRPr="002033FD">
        <w:t xml:space="preserve">. </w:t>
      </w:r>
      <w:r w:rsidR="0055266C">
        <w:t xml:space="preserve"> </w:t>
      </w:r>
      <w:r w:rsidRPr="002033FD">
        <w:t>However, eLearning solutions delivered in bite-size formats</w:t>
      </w:r>
      <w:r w:rsidR="002033FD">
        <w:t xml:space="preserve"> replaced </w:t>
      </w:r>
      <w:r w:rsidR="002033FD" w:rsidRPr="002033FD">
        <w:t>traditional classroom training</w:t>
      </w:r>
      <w:r w:rsidRPr="002033FD">
        <w:t xml:space="preserve"> </w:t>
      </w:r>
      <w:r w:rsidR="00DE3C8A">
        <w:t xml:space="preserve">and </w:t>
      </w:r>
      <w:r w:rsidRPr="002033FD">
        <w:t xml:space="preserve">staff </w:t>
      </w:r>
      <w:r w:rsidR="00CE3610" w:rsidRPr="002033FD">
        <w:t>were</w:t>
      </w:r>
      <w:r w:rsidRPr="002033FD">
        <w:t xml:space="preserve"> able to select courses from a much wider range of options. </w:t>
      </w:r>
      <w:r w:rsidR="0055266C">
        <w:t xml:space="preserve"> </w:t>
      </w:r>
      <w:r w:rsidRPr="002033FD">
        <w:t>Through this evolution, WIPO colleagues</w:t>
      </w:r>
      <w:r w:rsidRPr="002033FD" w:rsidDel="00C27DBF">
        <w:t xml:space="preserve"> </w:t>
      </w:r>
      <w:r w:rsidRPr="002033FD">
        <w:t>were empowered to take ownership and responsibility for their own learning and development.</w:t>
      </w:r>
      <w:r w:rsidR="0055266C">
        <w:t xml:space="preserve"> </w:t>
      </w:r>
      <w:r w:rsidRPr="002033FD">
        <w:t xml:space="preserve"> </w:t>
      </w:r>
      <w:r w:rsidR="006A4D2A" w:rsidRPr="002033FD">
        <w:t>For instance</w:t>
      </w:r>
      <w:r w:rsidRPr="002033FD">
        <w:t xml:space="preserve">, </w:t>
      </w:r>
      <w:r w:rsidR="00DE154E" w:rsidRPr="002033FD">
        <w:t>over 600 active users now access more than 5</w:t>
      </w:r>
      <w:r w:rsidR="00DE3C8A">
        <w:t>,</w:t>
      </w:r>
      <w:r w:rsidR="00DE154E" w:rsidRPr="002033FD">
        <w:t xml:space="preserve">000 self-paced courses </w:t>
      </w:r>
      <w:r w:rsidRPr="002033FD">
        <w:t>on LinkedIn Learning. </w:t>
      </w:r>
    </w:p>
    <w:p w14:paraId="4A2F5855" w14:textId="77777777" w:rsidR="00DE154E" w:rsidRPr="002033FD" w:rsidRDefault="00DE154E" w:rsidP="00DE154E">
      <w:pPr>
        <w:pStyle w:val="ListParagraph"/>
      </w:pPr>
    </w:p>
    <w:p w14:paraId="4A7B9E59" w14:textId="5F60F448" w:rsidR="00DE154E" w:rsidRPr="002033FD" w:rsidRDefault="00DE154E" w:rsidP="00930754">
      <w:pPr>
        <w:pStyle w:val="ListParagraph"/>
        <w:numPr>
          <w:ilvl w:val="0"/>
          <w:numId w:val="12"/>
        </w:numPr>
        <w:ind w:left="0" w:firstLine="0"/>
      </w:pPr>
      <w:r w:rsidRPr="002033FD">
        <w:rPr>
          <w:szCs w:val="22"/>
        </w:rPr>
        <w:t xml:space="preserve">Moreover, most Programs had to adjust their objectives and work plans for this biennium. The possibility to record and update progress throughout the year, </w:t>
      </w:r>
      <w:r w:rsidRPr="00880D97">
        <w:rPr>
          <w:i/>
          <w:szCs w:val="22"/>
        </w:rPr>
        <w:t>via</w:t>
      </w:r>
      <w:r w:rsidRPr="002033FD">
        <w:rPr>
          <w:szCs w:val="22"/>
        </w:rPr>
        <w:t xml:space="preserve"> WIPO</w:t>
      </w:r>
      <w:r w:rsidR="0006560C">
        <w:rPr>
          <w:szCs w:val="22"/>
        </w:rPr>
        <w:t>’</w:t>
      </w:r>
      <w:r w:rsidRPr="002033FD">
        <w:rPr>
          <w:szCs w:val="22"/>
        </w:rPr>
        <w:t xml:space="preserve">s Performance Management and Staff Development system (PMSDS), has enabled both the Organization and its staff to be more agile in the face of change. </w:t>
      </w:r>
    </w:p>
    <w:p w14:paraId="07C137BE" w14:textId="77777777" w:rsidR="008625D0" w:rsidRDefault="008625D0" w:rsidP="008625D0">
      <w:pPr>
        <w:pStyle w:val="ListParagraph"/>
      </w:pPr>
    </w:p>
    <w:p w14:paraId="5BEEDF88" w14:textId="77777777" w:rsidR="008625D0" w:rsidRDefault="008625D0" w:rsidP="008625D0">
      <w:pPr>
        <w:pStyle w:val="ListParagraph"/>
      </w:pPr>
    </w:p>
    <w:p w14:paraId="5ACC4BF8" w14:textId="77777777" w:rsidR="008625D0" w:rsidRDefault="008625D0" w:rsidP="008625D0">
      <w:pPr>
        <w:pStyle w:val="ListParagraph"/>
        <w:ind w:left="0"/>
        <w:rPr>
          <w:szCs w:val="22"/>
        </w:rPr>
      </w:pPr>
    </w:p>
    <w:p w14:paraId="52502665" w14:textId="141B22A1" w:rsidR="00276BEE" w:rsidRPr="005E1E26" w:rsidRDefault="006F1F12" w:rsidP="00276BEE">
      <w:pPr>
        <w:pStyle w:val="Heading3"/>
        <w:rPr>
          <w:i/>
          <w:u w:val="none"/>
        </w:rPr>
      </w:pPr>
      <w:r>
        <w:rPr>
          <w:i/>
          <w:szCs w:val="22"/>
          <w:u w:val="none"/>
        </w:rPr>
        <w:lastRenderedPageBreak/>
        <w:t>Welcoming a new administration</w:t>
      </w:r>
    </w:p>
    <w:p w14:paraId="67DDCA3B" w14:textId="44593A76" w:rsidR="00276BEE" w:rsidRPr="00DE3C8A" w:rsidRDefault="00276BEE" w:rsidP="00930754">
      <w:pPr>
        <w:pStyle w:val="NormalWeb"/>
        <w:numPr>
          <w:ilvl w:val="0"/>
          <w:numId w:val="12"/>
        </w:numPr>
        <w:spacing w:after="0" w:afterAutospacing="0"/>
        <w:ind w:left="0" w:firstLine="0"/>
        <w:rPr>
          <w:rFonts w:ascii="Arial" w:hAnsi="Arial" w:cs="Arial"/>
          <w:sz w:val="22"/>
          <w:szCs w:val="22"/>
        </w:rPr>
      </w:pPr>
      <w:r w:rsidRPr="00DE3C8A">
        <w:rPr>
          <w:rFonts w:ascii="Arial" w:hAnsi="Arial" w:cs="Arial"/>
          <w:sz w:val="22"/>
          <w:szCs w:val="22"/>
        </w:rPr>
        <w:t>Mr. Daren Tang was appointed as WIPO</w:t>
      </w:r>
      <w:r w:rsidR="0006560C">
        <w:rPr>
          <w:rFonts w:ascii="Arial" w:hAnsi="Arial" w:cs="Arial"/>
          <w:sz w:val="22"/>
          <w:szCs w:val="22"/>
        </w:rPr>
        <w:t>’</w:t>
      </w:r>
      <w:r w:rsidRPr="00DE3C8A">
        <w:rPr>
          <w:rFonts w:ascii="Arial" w:hAnsi="Arial" w:cs="Arial"/>
          <w:sz w:val="22"/>
          <w:szCs w:val="22"/>
        </w:rPr>
        <w:t xml:space="preserve">s new Director General on May 8, 2020, and assumed his functions on October 1, 2020. </w:t>
      </w:r>
      <w:r w:rsidR="00F64D91">
        <w:rPr>
          <w:rFonts w:ascii="Arial" w:hAnsi="Arial" w:cs="Arial"/>
          <w:sz w:val="22"/>
          <w:szCs w:val="22"/>
        </w:rPr>
        <w:t xml:space="preserve"> </w:t>
      </w:r>
      <w:r w:rsidRPr="00DE3C8A">
        <w:rPr>
          <w:rFonts w:ascii="Arial" w:hAnsi="Arial" w:cs="Arial"/>
          <w:sz w:val="22"/>
          <w:szCs w:val="22"/>
        </w:rPr>
        <w:t>He pledged that the work of the Organization would be guided by the interests and needs of all Member States and would be conducted on the principles of integrity, transparency and accountability toward the construction of an inclusive, balanced, vibrant and forward-looking global IP ecosystem.</w:t>
      </w:r>
    </w:p>
    <w:p w14:paraId="42A41598" w14:textId="77777777" w:rsidR="00276BEE" w:rsidRPr="00DE3C8A" w:rsidRDefault="00276BEE" w:rsidP="00276BEE">
      <w:pPr>
        <w:pStyle w:val="NormalWeb"/>
        <w:spacing w:before="0" w:beforeAutospacing="0" w:after="0" w:afterAutospacing="0"/>
        <w:rPr>
          <w:rFonts w:ascii="Arial" w:hAnsi="Arial" w:cs="Arial"/>
          <w:sz w:val="22"/>
          <w:szCs w:val="22"/>
        </w:rPr>
      </w:pPr>
    </w:p>
    <w:p w14:paraId="64A32F72" w14:textId="0BE09B41" w:rsidR="00276BEE" w:rsidRPr="00DE3C8A" w:rsidRDefault="00276BEE" w:rsidP="00930754">
      <w:pPr>
        <w:pStyle w:val="NormalWeb"/>
        <w:numPr>
          <w:ilvl w:val="0"/>
          <w:numId w:val="12"/>
        </w:numPr>
        <w:spacing w:before="0" w:beforeAutospacing="0" w:after="0" w:afterAutospacing="0"/>
        <w:ind w:left="0" w:firstLine="0"/>
        <w:rPr>
          <w:rFonts w:ascii="Arial" w:hAnsi="Arial" w:cs="Arial"/>
        </w:rPr>
      </w:pPr>
      <w:r w:rsidRPr="00DE3C8A">
        <w:rPr>
          <w:rFonts w:ascii="Arial" w:hAnsi="Arial" w:cs="Arial"/>
          <w:sz w:val="22"/>
          <w:szCs w:val="22"/>
        </w:rPr>
        <w:t xml:space="preserve">The public health situation due to the COVID-19 pandemic provided many challenges and obstacles to the Director General when he was first appointed and when he subsequently assumed his duties. </w:t>
      </w:r>
      <w:r w:rsidR="002E6AE4">
        <w:rPr>
          <w:rFonts w:ascii="Arial" w:hAnsi="Arial" w:cs="Arial"/>
          <w:sz w:val="22"/>
          <w:szCs w:val="22"/>
        </w:rPr>
        <w:t xml:space="preserve"> </w:t>
      </w:r>
      <w:r w:rsidRPr="00DE3C8A">
        <w:rPr>
          <w:rFonts w:ascii="Arial" w:hAnsi="Arial" w:cs="Arial"/>
          <w:sz w:val="22"/>
          <w:szCs w:val="22"/>
        </w:rPr>
        <w:t>In light of this exceptional situation, the Director General</w:t>
      </w:r>
      <w:r w:rsidR="00DE3C8A" w:rsidRPr="00DE3C8A">
        <w:rPr>
          <w:rFonts w:ascii="Arial" w:hAnsi="Arial" w:cs="Arial"/>
          <w:sz w:val="22"/>
          <w:szCs w:val="22"/>
        </w:rPr>
        <w:t>-Elect</w:t>
      </w:r>
      <w:r w:rsidRPr="00DE3C8A">
        <w:rPr>
          <w:rFonts w:ascii="Arial" w:hAnsi="Arial" w:cs="Arial"/>
          <w:sz w:val="22"/>
          <w:szCs w:val="22"/>
        </w:rPr>
        <w:t xml:space="preserve"> was unable to undertake the process of consultation and nomination of a Senior Leadership Team (SLT) so that it would be in place for the commencement of his mandate. </w:t>
      </w:r>
      <w:r w:rsidR="002E6AE4">
        <w:rPr>
          <w:rFonts w:ascii="Arial" w:hAnsi="Arial" w:cs="Arial"/>
          <w:sz w:val="22"/>
          <w:szCs w:val="22"/>
        </w:rPr>
        <w:t xml:space="preserve"> </w:t>
      </w:r>
      <w:r w:rsidRPr="00DE3C8A">
        <w:rPr>
          <w:rFonts w:ascii="Arial" w:hAnsi="Arial" w:cs="Arial"/>
          <w:sz w:val="22"/>
          <w:szCs w:val="22"/>
        </w:rPr>
        <w:t xml:space="preserve">Accordingly and as proposed by the Director General-Elect at that point, the </w:t>
      </w:r>
      <w:r w:rsidR="002E6AE4">
        <w:rPr>
          <w:rFonts w:ascii="Arial" w:hAnsi="Arial" w:cs="Arial"/>
          <w:sz w:val="22"/>
          <w:szCs w:val="22"/>
        </w:rPr>
        <w:t xml:space="preserve">WIPO </w:t>
      </w:r>
      <w:r w:rsidRPr="00DE3C8A">
        <w:rPr>
          <w:rFonts w:ascii="Arial" w:hAnsi="Arial" w:cs="Arial"/>
          <w:sz w:val="22"/>
          <w:szCs w:val="22"/>
        </w:rPr>
        <w:t>Coordination Committee approved the exceptional re-appointment for three months (until December 31, 2020) of seven of the former Deputy Directors General (DDGs) and Assistant Directors General (ADGs) to assist the Director General in managing the transition until the new DDGs and ADGs were to be appointed as from January 1, 2021.</w:t>
      </w:r>
    </w:p>
    <w:p w14:paraId="63600240" w14:textId="77777777" w:rsidR="00276BEE" w:rsidRPr="00DE3C8A" w:rsidRDefault="00276BEE" w:rsidP="00276BEE">
      <w:pPr>
        <w:pStyle w:val="ListParagraph"/>
      </w:pPr>
    </w:p>
    <w:p w14:paraId="75434948" w14:textId="608EC651" w:rsidR="00276BEE" w:rsidRPr="00DE3C8A" w:rsidRDefault="00276BEE" w:rsidP="00930754">
      <w:pPr>
        <w:pStyle w:val="ListParagraph"/>
        <w:numPr>
          <w:ilvl w:val="0"/>
          <w:numId w:val="12"/>
        </w:numPr>
        <w:ind w:left="0" w:firstLine="0"/>
        <w:rPr>
          <w:szCs w:val="22"/>
        </w:rPr>
      </w:pPr>
      <w:r w:rsidRPr="00DE3C8A">
        <w:t>On August 3, 2020, Member States of WIPO were notified by the then Director General</w:t>
      </w:r>
      <w:r w:rsidR="002E6AE4">
        <w:noBreakHyphen/>
      </w:r>
      <w:r w:rsidRPr="00DE3C8A">
        <w:t>Elect that he intended to seek the approval and advice of the WIPO Coordination Committee for the new appointments of four DDG</w:t>
      </w:r>
      <w:r w:rsidR="0006560C">
        <w:t>’</w:t>
      </w:r>
      <w:r w:rsidR="00DE3C8A" w:rsidRPr="00DE3C8A">
        <w:t>s</w:t>
      </w:r>
      <w:r w:rsidRPr="00DE3C8A">
        <w:t xml:space="preserve"> and four ADG</w:t>
      </w:r>
      <w:r w:rsidR="0006560C">
        <w:t>’</w:t>
      </w:r>
      <w:r w:rsidRPr="00DE3C8A">
        <w:t>s to take effect on January</w:t>
      </w:r>
      <w:r w:rsidR="002E6AE4">
        <w:t> </w:t>
      </w:r>
      <w:r w:rsidRPr="00DE3C8A">
        <w:t>1,</w:t>
      </w:r>
      <w:r w:rsidR="002E6AE4">
        <w:t> </w:t>
      </w:r>
      <w:r w:rsidRPr="00DE3C8A">
        <w:t>2021.  In addition, the Director General</w:t>
      </w:r>
      <w:r w:rsidRPr="00DE3C8A">
        <w:noBreakHyphen/>
        <w:t>Elect invited governments</w:t>
      </w:r>
      <w:r w:rsidR="00E110EA" w:rsidRPr="00DE3C8A">
        <w:t xml:space="preserve"> to nominate candidates.</w:t>
      </w:r>
      <w:r w:rsidR="002E6AE4">
        <w:t xml:space="preserve"> </w:t>
      </w:r>
      <w:r w:rsidR="00E110EA" w:rsidRPr="00DE3C8A">
        <w:t xml:space="preserve"> The nominated candidates</w:t>
      </w:r>
      <w:r w:rsidRPr="00DE3C8A">
        <w:t xml:space="preserve"> were also requested to submit application materials through a dedicated WIPO recruitment platform, including their personal history, a motivation letter stating their requisite experience and how they intended to contribute to WIPO</w:t>
      </w:r>
      <w:r w:rsidRPr="00DE3C8A">
        <w:rPr>
          <w:szCs w:val="22"/>
        </w:rPr>
        <w:t>.</w:t>
      </w:r>
    </w:p>
    <w:p w14:paraId="315F4EE9" w14:textId="77777777" w:rsidR="00276BEE" w:rsidRPr="00DE3C8A" w:rsidRDefault="00276BEE" w:rsidP="00276BEE">
      <w:pPr>
        <w:rPr>
          <w:color w:val="000000" w:themeColor="text1"/>
          <w:szCs w:val="22"/>
        </w:rPr>
      </w:pPr>
    </w:p>
    <w:p w14:paraId="30630EF2" w14:textId="32B8F4DB" w:rsidR="00276BEE" w:rsidRPr="00DE3C8A" w:rsidRDefault="00276BEE" w:rsidP="00930754">
      <w:pPr>
        <w:pStyle w:val="ListParagraph"/>
        <w:numPr>
          <w:ilvl w:val="0"/>
          <w:numId w:val="12"/>
        </w:numPr>
        <w:ind w:left="0" w:firstLine="0"/>
        <w:rPr>
          <w:color w:val="000000" w:themeColor="text1"/>
          <w:szCs w:val="22"/>
        </w:rPr>
      </w:pPr>
      <w:r w:rsidRPr="00DE3C8A">
        <w:rPr>
          <w:color w:val="000000" w:themeColor="text1"/>
          <w:szCs w:val="22"/>
        </w:rPr>
        <w:t xml:space="preserve">In his submission to the </w:t>
      </w:r>
      <w:r w:rsidR="002E6AE4">
        <w:rPr>
          <w:color w:val="000000" w:themeColor="text1"/>
          <w:szCs w:val="22"/>
        </w:rPr>
        <w:t xml:space="preserve">WIPO </w:t>
      </w:r>
      <w:r w:rsidRPr="00DE3C8A">
        <w:rPr>
          <w:color w:val="000000" w:themeColor="text1"/>
          <w:szCs w:val="22"/>
        </w:rPr>
        <w:t xml:space="preserve">Coordination Committee, the Director General also proposed the creation of a new Sector, </w:t>
      </w:r>
      <w:r w:rsidRPr="00DE3C8A">
        <w:rPr>
          <w:szCs w:val="22"/>
        </w:rPr>
        <w:t>the IP and Innovation Ecosystems Sector,</w:t>
      </w:r>
      <w:r w:rsidRPr="00DE3C8A">
        <w:rPr>
          <w:color w:val="000000" w:themeColor="text1"/>
          <w:szCs w:val="22"/>
        </w:rPr>
        <w:t xml:space="preserve"> under the supervision of an ADG. </w:t>
      </w:r>
      <w:r w:rsidR="002E6AE4">
        <w:rPr>
          <w:color w:val="000000" w:themeColor="text1"/>
          <w:szCs w:val="22"/>
        </w:rPr>
        <w:t xml:space="preserve"> </w:t>
      </w:r>
      <w:r w:rsidRPr="00DE3C8A">
        <w:rPr>
          <w:color w:val="000000" w:themeColor="text1"/>
          <w:szCs w:val="22"/>
        </w:rPr>
        <w:t xml:space="preserve">This new </w:t>
      </w:r>
      <w:r w:rsidR="002E6AE4">
        <w:rPr>
          <w:color w:val="000000" w:themeColor="text1"/>
          <w:szCs w:val="22"/>
        </w:rPr>
        <w:t>S</w:t>
      </w:r>
      <w:r w:rsidRPr="00DE3C8A">
        <w:rPr>
          <w:color w:val="000000" w:themeColor="text1"/>
          <w:szCs w:val="22"/>
        </w:rPr>
        <w:t xml:space="preserve">ector would </w:t>
      </w:r>
      <w:r w:rsidRPr="00DE3C8A">
        <w:rPr>
          <w:szCs w:val="22"/>
        </w:rPr>
        <w:t xml:space="preserve">focus on programs that look at IP not just from a legal perspective, but also from the enterprise and economic perspectives, supporting the movement of ideas to the market.  </w:t>
      </w:r>
    </w:p>
    <w:p w14:paraId="63412CA2" w14:textId="77777777" w:rsidR="00276BEE" w:rsidRDefault="00276BEE" w:rsidP="00276BEE">
      <w:pPr>
        <w:rPr>
          <w:szCs w:val="22"/>
        </w:rPr>
      </w:pPr>
    </w:p>
    <w:p w14:paraId="565A3112" w14:textId="2FBB7D6C" w:rsidR="00276BEE" w:rsidRPr="00E110EA" w:rsidRDefault="00E110EA" w:rsidP="00930754">
      <w:pPr>
        <w:pStyle w:val="ListParagraph"/>
        <w:numPr>
          <w:ilvl w:val="0"/>
          <w:numId w:val="12"/>
        </w:numPr>
        <w:ind w:left="0" w:firstLine="0"/>
        <w:rPr>
          <w:color w:val="000000" w:themeColor="text1"/>
          <w:szCs w:val="22"/>
        </w:rPr>
      </w:pPr>
      <w:r>
        <w:rPr>
          <w:szCs w:val="22"/>
        </w:rPr>
        <w:t>A</w:t>
      </w:r>
      <w:r w:rsidR="00276BEE" w:rsidRPr="002A5D17">
        <w:rPr>
          <w:szCs w:val="22"/>
        </w:rPr>
        <w:t xml:space="preserve"> total of 49 applications were received, of which 26 per cent were </w:t>
      </w:r>
      <w:r w:rsidR="00BC481A">
        <w:rPr>
          <w:szCs w:val="22"/>
        </w:rPr>
        <w:t xml:space="preserve">from </w:t>
      </w:r>
      <w:r w:rsidR="00276BEE" w:rsidRPr="002A5D17">
        <w:rPr>
          <w:szCs w:val="22"/>
        </w:rPr>
        <w:t>female</w:t>
      </w:r>
      <w:r w:rsidR="00BC481A">
        <w:rPr>
          <w:szCs w:val="22"/>
        </w:rPr>
        <w:t xml:space="preserve"> candidates</w:t>
      </w:r>
      <w:r w:rsidR="00276BEE" w:rsidRPr="002A5D17">
        <w:rPr>
          <w:szCs w:val="22"/>
        </w:rPr>
        <w:t xml:space="preserve"> and 74 per cent</w:t>
      </w:r>
      <w:r w:rsidR="00BC481A">
        <w:rPr>
          <w:szCs w:val="22"/>
        </w:rPr>
        <w:t xml:space="preserve"> from</w:t>
      </w:r>
      <w:r w:rsidR="00276BEE" w:rsidRPr="002A5D17">
        <w:rPr>
          <w:szCs w:val="22"/>
        </w:rPr>
        <w:t xml:space="preserve"> male</w:t>
      </w:r>
      <w:r w:rsidR="00BC481A">
        <w:rPr>
          <w:szCs w:val="22"/>
        </w:rPr>
        <w:t xml:space="preserve"> candidates.  All candidates were</w:t>
      </w:r>
      <w:r w:rsidR="00276BEE" w:rsidRPr="002A5D17">
        <w:rPr>
          <w:szCs w:val="22"/>
        </w:rPr>
        <w:t xml:space="preserve"> invited to</w:t>
      </w:r>
      <w:r w:rsidR="00BC481A">
        <w:rPr>
          <w:szCs w:val="22"/>
        </w:rPr>
        <w:t xml:space="preserve"> an</w:t>
      </w:r>
      <w:r w:rsidR="00276BEE" w:rsidRPr="002A5D17">
        <w:rPr>
          <w:szCs w:val="22"/>
        </w:rPr>
        <w:t xml:space="preserve"> individual meeting with the Director General</w:t>
      </w:r>
      <w:r>
        <w:rPr>
          <w:szCs w:val="22"/>
        </w:rPr>
        <w:t>.</w:t>
      </w:r>
      <w:r w:rsidR="00276BEE" w:rsidRPr="002A5D17">
        <w:rPr>
          <w:szCs w:val="22"/>
        </w:rPr>
        <w:t xml:space="preserve">  </w:t>
      </w:r>
      <w:r w:rsidR="00BC481A">
        <w:rPr>
          <w:szCs w:val="22"/>
        </w:rPr>
        <w:t>Each candidate was</w:t>
      </w:r>
      <w:r w:rsidR="00276BEE" w:rsidRPr="002A5D17">
        <w:rPr>
          <w:szCs w:val="22"/>
        </w:rPr>
        <w:t xml:space="preserve"> carefully considered in order to evaluate their</w:t>
      </w:r>
      <w:r w:rsidR="00BC481A">
        <w:rPr>
          <w:szCs w:val="22"/>
        </w:rPr>
        <w:t xml:space="preserve"> </w:t>
      </w:r>
      <w:r w:rsidR="00276BEE" w:rsidRPr="002A5D17">
        <w:rPr>
          <w:szCs w:val="22"/>
        </w:rPr>
        <w:t>experience, intended contribution to the Organization, technical and managerial competence, leadership qualities and ability to work as a team</w:t>
      </w:r>
      <w:r w:rsidR="00BC481A">
        <w:rPr>
          <w:szCs w:val="22"/>
        </w:rPr>
        <w:t xml:space="preserve">. </w:t>
      </w:r>
      <w:r w:rsidR="002E6AE4">
        <w:rPr>
          <w:szCs w:val="22"/>
        </w:rPr>
        <w:t xml:space="preserve"> </w:t>
      </w:r>
      <w:r w:rsidR="00BC481A">
        <w:rPr>
          <w:szCs w:val="22"/>
        </w:rPr>
        <w:t>Due regard</w:t>
      </w:r>
      <w:r w:rsidR="00BC481A">
        <w:rPr>
          <w:color w:val="000000" w:themeColor="text1"/>
          <w:szCs w:val="22"/>
        </w:rPr>
        <w:t xml:space="preserve"> was also given</w:t>
      </w:r>
      <w:r w:rsidR="00276BEE" w:rsidRPr="002A5D17">
        <w:rPr>
          <w:color w:val="000000" w:themeColor="text1"/>
          <w:szCs w:val="22"/>
        </w:rPr>
        <w:t xml:space="preserve"> to geographic and gender balance. </w:t>
      </w:r>
      <w:r w:rsidR="002E6AE4">
        <w:rPr>
          <w:color w:val="000000" w:themeColor="text1"/>
          <w:szCs w:val="22"/>
        </w:rPr>
        <w:t xml:space="preserve"> </w:t>
      </w:r>
      <w:r w:rsidR="00276BEE" w:rsidRPr="002A5D17">
        <w:rPr>
          <w:color w:val="000000" w:themeColor="text1"/>
          <w:szCs w:val="22"/>
        </w:rPr>
        <w:t xml:space="preserve">This recruitment process, which stretched over several months, </w:t>
      </w:r>
      <w:r w:rsidR="00276BEE" w:rsidRPr="00D56FC0">
        <w:t>culminated in the appointment of three women out of the four DDG</w:t>
      </w:r>
      <w:r w:rsidR="0006560C">
        <w:t>’</w:t>
      </w:r>
      <w:r w:rsidR="00276BEE" w:rsidRPr="00D56FC0">
        <w:t>s</w:t>
      </w:r>
      <w:r w:rsidR="00276BEE">
        <w:t>.</w:t>
      </w:r>
    </w:p>
    <w:p w14:paraId="4C1CD651" w14:textId="0AD6DAA8" w:rsidR="00E110EA" w:rsidRPr="002A5D17" w:rsidRDefault="00E110EA" w:rsidP="00E110EA">
      <w:pPr>
        <w:pStyle w:val="ListParagraph"/>
        <w:ind w:left="0"/>
        <w:rPr>
          <w:color w:val="000000" w:themeColor="text1"/>
          <w:szCs w:val="22"/>
        </w:rPr>
      </w:pPr>
    </w:p>
    <w:p w14:paraId="5D1960CB" w14:textId="2850B2A1" w:rsidR="00276BEE" w:rsidRPr="005E1E26" w:rsidRDefault="006F1F12" w:rsidP="00276BEE">
      <w:pPr>
        <w:pStyle w:val="Heading3"/>
        <w:rPr>
          <w:i/>
          <w:u w:val="none"/>
        </w:rPr>
      </w:pPr>
      <w:r>
        <w:rPr>
          <w:i/>
          <w:szCs w:val="22"/>
          <w:u w:val="none"/>
        </w:rPr>
        <w:t xml:space="preserve">Realigning </w:t>
      </w:r>
      <w:r w:rsidR="00276BEE" w:rsidRPr="005E1E26">
        <w:rPr>
          <w:i/>
          <w:szCs w:val="22"/>
          <w:u w:val="none"/>
        </w:rPr>
        <w:t>WIPO</w:t>
      </w:r>
      <w:r>
        <w:rPr>
          <w:i/>
          <w:szCs w:val="22"/>
          <w:u w:val="none"/>
        </w:rPr>
        <w:t xml:space="preserve"> with the new priorities</w:t>
      </w:r>
    </w:p>
    <w:p w14:paraId="31A3431C" w14:textId="77777777" w:rsidR="00276BEE" w:rsidRDefault="00276BEE" w:rsidP="00276BEE">
      <w:pPr>
        <w:rPr>
          <w:szCs w:val="22"/>
        </w:rPr>
      </w:pPr>
    </w:p>
    <w:p w14:paraId="5F524A35" w14:textId="40C0647D" w:rsidR="00276BEE" w:rsidRPr="002A5D17" w:rsidRDefault="00276BEE" w:rsidP="00930754">
      <w:pPr>
        <w:pStyle w:val="ListParagraph"/>
        <w:numPr>
          <w:ilvl w:val="0"/>
          <w:numId w:val="12"/>
        </w:numPr>
        <w:ind w:left="0" w:firstLine="0"/>
        <w:rPr>
          <w:szCs w:val="22"/>
        </w:rPr>
      </w:pPr>
      <w:r w:rsidRPr="002A5D17">
        <w:rPr>
          <w:szCs w:val="22"/>
        </w:rPr>
        <w:t>Following the onboarding of the new DDG</w:t>
      </w:r>
      <w:r w:rsidR="0006560C">
        <w:rPr>
          <w:szCs w:val="22"/>
        </w:rPr>
        <w:t>’</w:t>
      </w:r>
      <w:r w:rsidRPr="002A5D17">
        <w:rPr>
          <w:szCs w:val="22"/>
        </w:rPr>
        <w:t>s and ADG</w:t>
      </w:r>
      <w:r w:rsidR="0006560C">
        <w:rPr>
          <w:szCs w:val="22"/>
        </w:rPr>
        <w:t>’</w:t>
      </w:r>
      <w:r w:rsidRPr="002A5D17">
        <w:rPr>
          <w:szCs w:val="22"/>
        </w:rPr>
        <w:t>s on January 1, 2021, and further to extensive consultations between the Director General, the Sector Leads</w:t>
      </w:r>
      <w:r w:rsidR="00DE3C8A">
        <w:rPr>
          <w:szCs w:val="22"/>
        </w:rPr>
        <w:t xml:space="preserve"> (i.e. the DDG</w:t>
      </w:r>
      <w:r w:rsidR="0006560C">
        <w:rPr>
          <w:szCs w:val="22"/>
        </w:rPr>
        <w:t>’</w:t>
      </w:r>
      <w:r w:rsidR="00DE3C8A">
        <w:rPr>
          <w:szCs w:val="22"/>
        </w:rPr>
        <w:t>s and ADG</w:t>
      </w:r>
      <w:r w:rsidR="0006560C">
        <w:rPr>
          <w:szCs w:val="22"/>
        </w:rPr>
        <w:t>’</w:t>
      </w:r>
      <w:r w:rsidR="00DE3C8A">
        <w:rPr>
          <w:szCs w:val="22"/>
        </w:rPr>
        <w:t>s)</w:t>
      </w:r>
      <w:r w:rsidRPr="002A5D17">
        <w:rPr>
          <w:szCs w:val="22"/>
        </w:rPr>
        <w:t xml:space="preserve"> and relevant internal stakeholders across the Organization, </w:t>
      </w:r>
      <w:r w:rsidR="00914689">
        <w:rPr>
          <w:szCs w:val="22"/>
        </w:rPr>
        <w:t xml:space="preserve">requisite </w:t>
      </w:r>
      <w:r w:rsidRPr="002A5D17">
        <w:rPr>
          <w:szCs w:val="22"/>
        </w:rPr>
        <w:t xml:space="preserve">structural changes </w:t>
      </w:r>
      <w:r w:rsidR="00BC481A">
        <w:rPr>
          <w:szCs w:val="22"/>
        </w:rPr>
        <w:t xml:space="preserve"> </w:t>
      </w:r>
      <w:r w:rsidRPr="002A5D17">
        <w:rPr>
          <w:szCs w:val="22"/>
        </w:rPr>
        <w:t xml:space="preserve">to make the Organization </w:t>
      </w:r>
      <w:r w:rsidR="00BC481A">
        <w:rPr>
          <w:szCs w:val="22"/>
        </w:rPr>
        <w:t>function</w:t>
      </w:r>
      <w:r w:rsidRPr="002A5D17">
        <w:rPr>
          <w:szCs w:val="22"/>
        </w:rPr>
        <w:t xml:space="preserve"> more effectively were implemented on March 1, 2021.</w:t>
      </w:r>
      <w:r w:rsidR="002E6AE4">
        <w:rPr>
          <w:szCs w:val="22"/>
        </w:rPr>
        <w:t xml:space="preserve"> </w:t>
      </w:r>
      <w:r w:rsidRPr="002A5D17">
        <w:rPr>
          <w:szCs w:val="22"/>
        </w:rPr>
        <w:t xml:space="preserve"> Some of the key elements of the restructuring were as follows: </w:t>
      </w:r>
    </w:p>
    <w:p w14:paraId="72F5C691" w14:textId="77777777" w:rsidR="00276BEE" w:rsidRPr="00951F33" w:rsidRDefault="00276BEE" w:rsidP="00276BEE">
      <w:pPr>
        <w:rPr>
          <w:szCs w:val="22"/>
        </w:rPr>
      </w:pPr>
    </w:p>
    <w:p w14:paraId="59CF976B" w14:textId="1176787C" w:rsidR="00276BEE" w:rsidRPr="00951F33" w:rsidRDefault="00276BEE" w:rsidP="00276BEE">
      <w:pPr>
        <w:pStyle w:val="ListParagraph"/>
        <w:numPr>
          <w:ilvl w:val="0"/>
          <w:numId w:val="8"/>
        </w:numPr>
        <w:ind w:left="900"/>
        <w:rPr>
          <w:szCs w:val="22"/>
        </w:rPr>
      </w:pPr>
      <w:r w:rsidRPr="00951F33">
        <w:rPr>
          <w:szCs w:val="22"/>
        </w:rPr>
        <w:t xml:space="preserve">the </w:t>
      </w:r>
      <w:r w:rsidR="00DE3C8A">
        <w:rPr>
          <w:szCs w:val="22"/>
        </w:rPr>
        <w:t>Office of the Director General (</w:t>
      </w:r>
      <w:r w:rsidRPr="00951F33">
        <w:rPr>
          <w:szCs w:val="22"/>
        </w:rPr>
        <w:t>ODG</w:t>
      </w:r>
      <w:r w:rsidR="00DE3C8A">
        <w:rPr>
          <w:szCs w:val="22"/>
        </w:rPr>
        <w:t>)</w:t>
      </w:r>
      <w:r w:rsidRPr="00951F33">
        <w:rPr>
          <w:szCs w:val="22"/>
        </w:rPr>
        <w:t xml:space="preserve"> was reduced in size and streamlined to improve information flow and speed of coordination between the ODG and other parts of the Organization; </w:t>
      </w:r>
    </w:p>
    <w:p w14:paraId="0BF0CFB2" w14:textId="21A2BDDA" w:rsidR="00276BEE" w:rsidRPr="00951F33" w:rsidRDefault="00276BEE" w:rsidP="00276BEE">
      <w:pPr>
        <w:pStyle w:val="ListParagraph"/>
        <w:numPr>
          <w:ilvl w:val="0"/>
          <w:numId w:val="8"/>
        </w:numPr>
        <w:ind w:left="900"/>
        <w:rPr>
          <w:szCs w:val="22"/>
        </w:rPr>
      </w:pPr>
      <w:r w:rsidRPr="00951F33">
        <w:rPr>
          <w:szCs w:val="22"/>
        </w:rPr>
        <w:lastRenderedPageBreak/>
        <w:t xml:space="preserve">work units </w:t>
      </w:r>
      <w:r>
        <w:rPr>
          <w:szCs w:val="22"/>
        </w:rPr>
        <w:t xml:space="preserve">were </w:t>
      </w:r>
      <w:r w:rsidRPr="00951F33">
        <w:rPr>
          <w:szCs w:val="22"/>
        </w:rPr>
        <w:t xml:space="preserve">consolidated to set up the new IP and Innovation Ecosystems Sector, focusing on the enterprise and economic aspects of IP, IP commercialization and IP dispute resolution; </w:t>
      </w:r>
    </w:p>
    <w:p w14:paraId="305CA1C1" w14:textId="43305022" w:rsidR="00276BEE" w:rsidRPr="00951F33" w:rsidRDefault="00276BEE" w:rsidP="00276BEE">
      <w:pPr>
        <w:pStyle w:val="ListParagraph"/>
        <w:numPr>
          <w:ilvl w:val="0"/>
          <w:numId w:val="8"/>
        </w:numPr>
        <w:ind w:left="900"/>
        <w:rPr>
          <w:szCs w:val="22"/>
        </w:rPr>
      </w:pPr>
      <w:r w:rsidRPr="00951F33">
        <w:rPr>
          <w:szCs w:val="22"/>
        </w:rPr>
        <w:t xml:space="preserve">other Sectors also saw movements of work units, especially those whose work </w:t>
      </w:r>
      <w:r w:rsidR="00DE3C8A">
        <w:rPr>
          <w:szCs w:val="22"/>
        </w:rPr>
        <w:t>was</w:t>
      </w:r>
      <w:r w:rsidRPr="00951F33">
        <w:rPr>
          <w:szCs w:val="22"/>
        </w:rPr>
        <w:t xml:space="preserve"> connected and where the changes would allow them to work better together;</w:t>
      </w:r>
      <w:r w:rsidR="002E6AE4">
        <w:rPr>
          <w:szCs w:val="22"/>
        </w:rPr>
        <w:t xml:space="preserve"> </w:t>
      </w:r>
      <w:r w:rsidRPr="00951F33">
        <w:rPr>
          <w:szCs w:val="22"/>
        </w:rPr>
        <w:t xml:space="preserve"> and </w:t>
      </w:r>
    </w:p>
    <w:p w14:paraId="6CB62487" w14:textId="4D4A6BF7" w:rsidR="00276BEE" w:rsidRDefault="00276BEE" w:rsidP="00276BEE">
      <w:pPr>
        <w:pStyle w:val="ListParagraph"/>
        <w:numPr>
          <w:ilvl w:val="0"/>
          <w:numId w:val="8"/>
        </w:numPr>
        <w:ind w:left="900"/>
        <w:rPr>
          <w:szCs w:val="22"/>
        </w:rPr>
      </w:pPr>
      <w:r w:rsidRPr="00951F33">
        <w:rPr>
          <w:szCs w:val="22"/>
        </w:rPr>
        <w:t>new areas of focus were created, such as the Future of IP, IP and Frontier Technologies, Youth, etc. in order to address issues of emerging importance to the Organization and its stakeholders.</w:t>
      </w:r>
    </w:p>
    <w:p w14:paraId="3B1CB1EF" w14:textId="77777777" w:rsidR="00390FE8" w:rsidRDefault="00390FE8" w:rsidP="00390FE8">
      <w:pPr>
        <w:pStyle w:val="ListParagraph"/>
        <w:ind w:left="900"/>
        <w:rPr>
          <w:szCs w:val="22"/>
        </w:rPr>
      </w:pPr>
    </w:p>
    <w:p w14:paraId="637D7FBC" w14:textId="77777777" w:rsidR="00276BEE" w:rsidRPr="008404B3" w:rsidRDefault="00276BEE" w:rsidP="00276BEE">
      <w:pPr>
        <w:rPr>
          <w:szCs w:val="22"/>
        </w:rPr>
      </w:pPr>
    </w:p>
    <w:p w14:paraId="609A3A5E" w14:textId="75D99787" w:rsidR="00276BEE" w:rsidRPr="005E1E26" w:rsidRDefault="00276BEE" w:rsidP="00276BEE">
      <w:pPr>
        <w:pStyle w:val="Heading1"/>
        <w:numPr>
          <w:ilvl w:val="0"/>
          <w:numId w:val="11"/>
        </w:numPr>
        <w:spacing w:before="0"/>
        <w:ind w:left="567" w:hanging="567"/>
      </w:pPr>
      <w:r w:rsidRPr="005E1E26">
        <w:rPr>
          <w:szCs w:val="22"/>
        </w:rPr>
        <w:t xml:space="preserve">The </w:t>
      </w:r>
      <w:r w:rsidR="0006560C">
        <w:rPr>
          <w:szCs w:val="22"/>
        </w:rPr>
        <w:t>“</w:t>
      </w:r>
      <w:r w:rsidRPr="005E1E26">
        <w:rPr>
          <w:szCs w:val="22"/>
        </w:rPr>
        <w:t>new normal</w:t>
      </w:r>
      <w:r w:rsidR="0006560C">
        <w:rPr>
          <w:szCs w:val="22"/>
        </w:rPr>
        <w:t>”</w:t>
      </w:r>
      <w:r w:rsidRPr="005E1E26">
        <w:rPr>
          <w:szCs w:val="22"/>
        </w:rPr>
        <w:t xml:space="preserve"> </w:t>
      </w:r>
    </w:p>
    <w:p w14:paraId="729DD334" w14:textId="77777777" w:rsidR="00276BEE" w:rsidRPr="00933C4C" w:rsidRDefault="00276BEE" w:rsidP="00276BEE">
      <w:pPr>
        <w:rPr>
          <w:szCs w:val="22"/>
        </w:rPr>
      </w:pPr>
    </w:p>
    <w:p w14:paraId="0D3201CB" w14:textId="634B7965" w:rsidR="00390FE8" w:rsidRPr="00DE3C8A" w:rsidRDefault="006F1F12" w:rsidP="00DE3C8A">
      <w:pPr>
        <w:pStyle w:val="ListParagraph"/>
        <w:numPr>
          <w:ilvl w:val="0"/>
          <w:numId w:val="12"/>
        </w:numPr>
        <w:ind w:left="0" w:firstLine="0"/>
        <w:rPr>
          <w:szCs w:val="22"/>
        </w:rPr>
      </w:pPr>
      <w:r w:rsidRPr="00DE3C8A">
        <w:rPr>
          <w:szCs w:val="22"/>
        </w:rPr>
        <w:t>The pandemic has highlighted the need for adaptability and resilience in WIPO</w:t>
      </w:r>
      <w:r w:rsidR="0006560C">
        <w:rPr>
          <w:szCs w:val="22"/>
        </w:rPr>
        <w:t>’</w:t>
      </w:r>
      <w:r w:rsidRPr="00DE3C8A">
        <w:rPr>
          <w:szCs w:val="22"/>
        </w:rPr>
        <w:t xml:space="preserve">s workforce, accelerating the shift towards a more digital organization and the importance of people in the new normal. </w:t>
      </w:r>
      <w:r w:rsidR="002E6AE4">
        <w:rPr>
          <w:szCs w:val="22"/>
        </w:rPr>
        <w:t xml:space="preserve"> HR</w:t>
      </w:r>
      <w:r w:rsidR="00390FE8" w:rsidRPr="00DE3C8A">
        <w:rPr>
          <w:szCs w:val="22"/>
        </w:rPr>
        <w:t xml:space="preserve"> is one function that saw an especially dramatic shift in purpose and processes</w:t>
      </w:r>
      <w:r w:rsidR="005103D9" w:rsidRPr="00DE3C8A">
        <w:rPr>
          <w:szCs w:val="22"/>
        </w:rPr>
        <w:t xml:space="preserve">. </w:t>
      </w:r>
    </w:p>
    <w:p w14:paraId="6CEC8822" w14:textId="77777777" w:rsidR="002033FD" w:rsidRPr="00DE3C8A" w:rsidRDefault="002033FD" w:rsidP="006F1F12">
      <w:pPr>
        <w:pStyle w:val="ListParagraph"/>
        <w:ind w:left="0"/>
        <w:rPr>
          <w:szCs w:val="22"/>
        </w:rPr>
      </w:pPr>
    </w:p>
    <w:p w14:paraId="7F177BB8" w14:textId="2EE2E45E" w:rsidR="002C6F7E" w:rsidRPr="00DE3C8A" w:rsidRDefault="006F1F12" w:rsidP="00930754">
      <w:pPr>
        <w:pStyle w:val="ListParagraph"/>
        <w:numPr>
          <w:ilvl w:val="0"/>
          <w:numId w:val="12"/>
        </w:numPr>
        <w:ind w:left="0" w:firstLine="0"/>
        <w:rPr>
          <w:szCs w:val="22"/>
        </w:rPr>
      </w:pPr>
      <w:r w:rsidRPr="00DE3C8A">
        <w:rPr>
          <w:iCs/>
          <w:szCs w:val="22"/>
        </w:rPr>
        <w:t>I</w:t>
      </w:r>
      <w:r w:rsidR="002C6F7E" w:rsidRPr="00DE3C8A">
        <w:rPr>
          <w:szCs w:val="22"/>
        </w:rPr>
        <w:t>n line with the Organization</w:t>
      </w:r>
      <w:r w:rsidR="0006560C">
        <w:rPr>
          <w:szCs w:val="22"/>
        </w:rPr>
        <w:t>’</w:t>
      </w:r>
      <w:r w:rsidR="002C6F7E" w:rsidRPr="00DE3C8A">
        <w:rPr>
          <w:szCs w:val="22"/>
        </w:rPr>
        <w:t xml:space="preserve">s new Medium-Term Strategic Plan (MTSP) 2022-2026, HRMD aims to move towards a more employee-centric </w:t>
      </w:r>
      <w:r w:rsidR="002E6AE4">
        <w:rPr>
          <w:szCs w:val="22"/>
        </w:rPr>
        <w:t>O</w:t>
      </w:r>
      <w:r w:rsidR="002C6F7E" w:rsidRPr="00DE3C8A">
        <w:rPr>
          <w:szCs w:val="22"/>
        </w:rPr>
        <w:t>rganization and to foster a team</w:t>
      </w:r>
      <w:r w:rsidR="002E6AE4">
        <w:rPr>
          <w:szCs w:val="22"/>
        </w:rPr>
        <w:noBreakHyphen/>
      </w:r>
      <w:r w:rsidR="002C6F7E" w:rsidRPr="00DE3C8A">
        <w:rPr>
          <w:szCs w:val="22"/>
        </w:rPr>
        <w:t>based culture, where cross-sectoral collaboration becomes the norm and in which all employees feel valued.</w:t>
      </w:r>
    </w:p>
    <w:p w14:paraId="204EDAC0" w14:textId="6571E13E" w:rsidR="00390FE8" w:rsidRPr="00DE3C8A" w:rsidRDefault="00390FE8" w:rsidP="00390FE8">
      <w:pPr>
        <w:pStyle w:val="ListParagraph"/>
        <w:ind w:left="0"/>
        <w:rPr>
          <w:szCs w:val="22"/>
        </w:rPr>
      </w:pPr>
    </w:p>
    <w:p w14:paraId="230F6AD4" w14:textId="45FC69A5" w:rsidR="00390FE8" w:rsidRPr="00F504CA" w:rsidRDefault="008D32E3" w:rsidP="00390FE8">
      <w:pPr>
        <w:pStyle w:val="Heading3"/>
        <w:rPr>
          <w:i/>
          <w:u w:val="none"/>
        </w:rPr>
      </w:pPr>
      <w:r>
        <w:rPr>
          <w:i/>
          <w:szCs w:val="22"/>
          <w:u w:val="none"/>
        </w:rPr>
        <w:t>H</w:t>
      </w:r>
      <w:r w:rsidR="00461421">
        <w:rPr>
          <w:i/>
          <w:szCs w:val="22"/>
          <w:u w:val="none"/>
        </w:rPr>
        <w:t xml:space="preserve">ealth, </w:t>
      </w:r>
      <w:r w:rsidR="00834B65">
        <w:rPr>
          <w:i/>
          <w:szCs w:val="22"/>
          <w:u w:val="none"/>
        </w:rPr>
        <w:t>wellbeing</w:t>
      </w:r>
      <w:r w:rsidR="00461421">
        <w:rPr>
          <w:i/>
          <w:szCs w:val="22"/>
          <w:u w:val="none"/>
        </w:rPr>
        <w:t xml:space="preserve"> and work-life balance</w:t>
      </w:r>
    </w:p>
    <w:p w14:paraId="5CDAE675" w14:textId="77777777" w:rsidR="00390FE8" w:rsidRDefault="00390FE8" w:rsidP="00390FE8">
      <w:pPr>
        <w:pStyle w:val="ListParagraph"/>
        <w:ind w:left="0"/>
      </w:pPr>
    </w:p>
    <w:p w14:paraId="28BD3618" w14:textId="5F49469D" w:rsidR="004645D0" w:rsidRPr="004645D0" w:rsidRDefault="00B60965" w:rsidP="00930754">
      <w:pPr>
        <w:pStyle w:val="ListParagraph"/>
        <w:numPr>
          <w:ilvl w:val="0"/>
          <w:numId w:val="12"/>
        </w:numPr>
        <w:autoSpaceDN w:val="0"/>
        <w:ind w:left="0" w:firstLine="0"/>
      </w:pPr>
      <w:r>
        <w:t xml:space="preserve">Perhaps one of the most unexpected and challenging new tasks HRMD has had to address </w:t>
      </w:r>
      <w:r w:rsidR="008045ED">
        <w:t xml:space="preserve">during this pandemic was to </w:t>
      </w:r>
      <w:r>
        <w:t>fill</w:t>
      </w:r>
      <w:r w:rsidR="008045ED">
        <w:t xml:space="preserve"> the role of </w:t>
      </w:r>
      <w:r>
        <w:t xml:space="preserve">health administrator. </w:t>
      </w:r>
      <w:r w:rsidR="0087681F">
        <w:t xml:space="preserve"> </w:t>
      </w:r>
      <w:r w:rsidR="00CA5C1A" w:rsidRPr="008404B3">
        <w:t>During the past 15</w:t>
      </w:r>
      <w:r w:rsidR="0087681F">
        <w:t> </w:t>
      </w:r>
      <w:r w:rsidR="00CA5C1A" w:rsidRPr="008404B3">
        <w:t xml:space="preserve">months, even though </w:t>
      </w:r>
      <w:r w:rsidR="00CA5C1A">
        <w:t xml:space="preserve">the pandemic relentlessly affected </w:t>
      </w:r>
      <w:r w:rsidR="00CA5C1A" w:rsidRPr="008404B3">
        <w:t xml:space="preserve">many areas of work </w:t>
      </w:r>
      <w:r w:rsidR="00CA5C1A">
        <w:t>and</w:t>
      </w:r>
      <w:r w:rsidR="00CA5C1A" w:rsidRPr="008404B3">
        <w:t xml:space="preserve"> daily lives were severely disrupted, </w:t>
      </w:r>
      <w:r w:rsidR="00CA5C1A">
        <w:t>WIPO</w:t>
      </w:r>
      <w:r w:rsidR="0006560C">
        <w:t>’</w:t>
      </w:r>
      <w:r w:rsidR="00CA5C1A">
        <w:t>s employees</w:t>
      </w:r>
      <w:r w:rsidR="00CA5C1A" w:rsidRPr="008404B3">
        <w:t xml:space="preserve"> adapted quickly </w:t>
      </w:r>
      <w:r w:rsidR="00CA5C1A">
        <w:t xml:space="preserve">and exceedingly well </w:t>
      </w:r>
      <w:r w:rsidR="00CA5C1A" w:rsidRPr="008404B3">
        <w:t xml:space="preserve">to this new reality. </w:t>
      </w:r>
      <w:r w:rsidR="0087681F">
        <w:t xml:space="preserve"> </w:t>
      </w:r>
      <w:r w:rsidR="00CA5C1A" w:rsidRPr="004645D0">
        <w:rPr>
          <w:rFonts w:eastAsia="Calibri"/>
          <w:szCs w:val="22"/>
        </w:rPr>
        <w:t xml:space="preserve">WIPO needs to continue to be </w:t>
      </w:r>
      <w:r w:rsidR="00CA5C1A" w:rsidRPr="004645D0">
        <w:rPr>
          <w:rFonts w:eastAsia="Calibri"/>
          <w:iCs/>
          <w:szCs w:val="22"/>
        </w:rPr>
        <w:t>dynamic</w:t>
      </w:r>
      <w:r w:rsidR="00CA5C1A" w:rsidRPr="004645D0">
        <w:rPr>
          <w:rFonts w:eastAsia="Calibri"/>
          <w:szCs w:val="22"/>
        </w:rPr>
        <w:t xml:space="preserve"> and </w:t>
      </w:r>
      <w:r w:rsidR="00CA5C1A" w:rsidRPr="004645D0">
        <w:rPr>
          <w:rFonts w:eastAsia="Calibri"/>
          <w:iCs/>
          <w:szCs w:val="22"/>
        </w:rPr>
        <w:t>adaptable when confronted with such challenging and ever-changing</w:t>
      </w:r>
      <w:r w:rsidR="00CA5C1A" w:rsidRPr="004645D0">
        <w:rPr>
          <w:rFonts w:eastAsia="Calibri"/>
          <w:szCs w:val="22"/>
        </w:rPr>
        <w:t xml:space="preserve"> circumstances</w:t>
      </w:r>
      <w:r w:rsidR="004645D0">
        <w:rPr>
          <w:rFonts w:eastAsia="Calibri"/>
          <w:szCs w:val="22"/>
        </w:rPr>
        <w:t>.</w:t>
      </w:r>
    </w:p>
    <w:p w14:paraId="7CCE500B" w14:textId="77777777" w:rsidR="004645D0" w:rsidRDefault="004645D0" w:rsidP="004645D0">
      <w:pPr>
        <w:pStyle w:val="ListParagraph"/>
        <w:autoSpaceDN w:val="0"/>
        <w:ind w:left="0"/>
      </w:pPr>
    </w:p>
    <w:p w14:paraId="52AE5ABF" w14:textId="1C059401" w:rsidR="00CA5C1A" w:rsidRPr="00D204CB" w:rsidRDefault="00C124CA" w:rsidP="00930754">
      <w:pPr>
        <w:pStyle w:val="ListParagraph"/>
        <w:numPr>
          <w:ilvl w:val="0"/>
          <w:numId w:val="12"/>
        </w:numPr>
        <w:ind w:left="0" w:firstLine="0"/>
      </w:pPr>
      <w:r>
        <w:t>The mental health and wellbeing of employees has always been of the u</w:t>
      </w:r>
      <w:r w:rsidR="00856F13">
        <w:t>t</w:t>
      </w:r>
      <w:r>
        <w:t xml:space="preserve">most importance </w:t>
      </w:r>
      <w:r w:rsidRPr="00914689">
        <w:t>at</w:t>
      </w:r>
      <w:r>
        <w:t xml:space="preserve"> WIPO. </w:t>
      </w:r>
      <w:r w:rsidR="00342BA0">
        <w:t xml:space="preserve"> </w:t>
      </w:r>
      <w:r w:rsidR="000A0CFB">
        <w:t>Whilst</w:t>
      </w:r>
      <w:r w:rsidR="008045ED">
        <w:t xml:space="preserve"> </w:t>
      </w:r>
      <w:r w:rsidR="000A0CFB">
        <w:t>it</w:t>
      </w:r>
      <w:r w:rsidR="008045ED">
        <w:t xml:space="preserve"> has had to recognize that </w:t>
      </w:r>
      <w:r>
        <w:t xml:space="preserve">these are extraordinary times, </w:t>
      </w:r>
      <w:r w:rsidR="008045ED">
        <w:t>WIPO</w:t>
      </w:r>
      <w:r>
        <w:t xml:space="preserve"> remain</w:t>
      </w:r>
      <w:r w:rsidR="008045ED">
        <w:t>s</w:t>
      </w:r>
      <w:r>
        <w:t xml:space="preserve"> conscious of the challenges that continued remote working puts on </w:t>
      </w:r>
      <w:r w:rsidR="008045ED">
        <w:t xml:space="preserve">the </w:t>
      </w:r>
      <w:r>
        <w:t>mental health</w:t>
      </w:r>
      <w:r w:rsidR="008045ED">
        <w:t xml:space="preserve"> of its employees</w:t>
      </w:r>
      <w:r>
        <w:t xml:space="preserve">. </w:t>
      </w:r>
      <w:r w:rsidR="00342BA0">
        <w:t xml:space="preserve"> </w:t>
      </w:r>
      <w:r w:rsidR="000A0CFB">
        <w:t xml:space="preserve">Therefore, </w:t>
      </w:r>
      <w:r w:rsidR="008045ED">
        <w:t xml:space="preserve">WIPO </w:t>
      </w:r>
      <w:r w:rsidR="000A0CFB">
        <w:t>has turned its focus</w:t>
      </w:r>
      <w:r>
        <w:t xml:space="preserve"> on embedding employee welfare strategies into the core of business, </w:t>
      </w:r>
      <w:r w:rsidR="008045ED">
        <w:t>recognizing</w:t>
      </w:r>
      <w:r>
        <w:t xml:space="preserve"> the rewards that can be reaped from </w:t>
      </w:r>
      <w:r w:rsidR="008045ED">
        <w:t>prioritizing</w:t>
      </w:r>
      <w:r>
        <w:t xml:space="preserve"> and protecting the health of employees and, in turn, the business.</w:t>
      </w:r>
      <w:r w:rsidR="00342BA0">
        <w:t xml:space="preserve"> </w:t>
      </w:r>
      <w:r w:rsidR="000A0CFB" w:rsidRPr="00D204CB">
        <w:rPr>
          <w:szCs w:val="22"/>
        </w:rPr>
        <w:t xml:space="preserve"> Hence, implementation efforts of the WIPO Mental Health and Wellbeing strategy continued with the integration of wellness considerations and mainstreaming of wellbeing and mental health aspects in the Organization. </w:t>
      </w:r>
    </w:p>
    <w:p w14:paraId="51F70571" w14:textId="77777777" w:rsidR="00CA5C1A" w:rsidRDefault="00CA5C1A" w:rsidP="00CA5C1A">
      <w:pPr>
        <w:pStyle w:val="ListParagraph"/>
        <w:autoSpaceDN w:val="0"/>
        <w:ind w:left="0"/>
      </w:pPr>
    </w:p>
    <w:p w14:paraId="6E677CCF" w14:textId="04D76BB1" w:rsidR="00A434B6" w:rsidRDefault="00C124CA" w:rsidP="00930754">
      <w:pPr>
        <w:pStyle w:val="ListParagraph"/>
        <w:numPr>
          <w:ilvl w:val="0"/>
          <w:numId w:val="12"/>
        </w:numPr>
        <w:ind w:left="0" w:firstLine="0"/>
      </w:pPr>
      <w:r>
        <w:t xml:space="preserve">The pandemic </w:t>
      </w:r>
      <w:r w:rsidR="00BE7F5D">
        <w:t>compelled</w:t>
      </w:r>
      <w:r>
        <w:t xml:space="preserve"> a reassessment of </w:t>
      </w:r>
      <w:r w:rsidR="002C6F7E">
        <w:t>WIPO</w:t>
      </w:r>
      <w:r w:rsidR="0006560C">
        <w:t>’</w:t>
      </w:r>
      <w:r w:rsidR="002C6F7E">
        <w:t xml:space="preserve">s </w:t>
      </w:r>
      <w:r>
        <w:t xml:space="preserve">working practices. </w:t>
      </w:r>
      <w:r w:rsidR="00342BA0">
        <w:t xml:space="preserve"> </w:t>
      </w:r>
      <w:r>
        <w:t xml:space="preserve">There is no doubt that the </w:t>
      </w:r>
      <w:r w:rsidR="00A434B6">
        <w:t>past year and a half</w:t>
      </w:r>
      <w:r>
        <w:t xml:space="preserve"> has expanded empathy for work-life </w:t>
      </w:r>
      <w:r w:rsidR="00DE3C8A">
        <w:t xml:space="preserve">balance </w:t>
      </w:r>
      <w:r>
        <w:t xml:space="preserve">and renewed the opportunity to make flexible working more standard practice. </w:t>
      </w:r>
      <w:r w:rsidR="00342BA0">
        <w:t xml:space="preserve"> </w:t>
      </w:r>
      <w:r w:rsidR="000A0CFB">
        <w:t xml:space="preserve">This </w:t>
      </w:r>
      <w:r>
        <w:t xml:space="preserve">is suddenly seen as normal, albeit a new </w:t>
      </w:r>
      <w:r w:rsidR="00BE7F5D">
        <w:t>form</w:t>
      </w:r>
      <w:r>
        <w:t xml:space="preserve"> of normal.</w:t>
      </w:r>
      <w:r w:rsidR="00342BA0">
        <w:t xml:space="preserve"> </w:t>
      </w:r>
      <w:r>
        <w:t xml:space="preserve"> Most notably, perhaps, flexible practices are no longer </w:t>
      </w:r>
      <w:r w:rsidR="000A0CFB">
        <w:t>seen</w:t>
      </w:r>
      <w:r>
        <w:t xml:space="preserve"> as a benefit, but as an essential part of working life.</w:t>
      </w:r>
      <w:r w:rsidR="002C6F7E" w:rsidRPr="002C6F7E">
        <w:t xml:space="preserve"> </w:t>
      </w:r>
      <w:r w:rsidR="00342BA0">
        <w:t xml:space="preserve"> </w:t>
      </w:r>
      <w:r w:rsidR="002C6F7E">
        <w:t xml:space="preserve">HRMD has been instrumental in expanding this new approach to support </w:t>
      </w:r>
      <w:r w:rsidR="00BC481A">
        <w:t>the</w:t>
      </w:r>
      <w:r w:rsidR="002C6F7E">
        <w:t xml:space="preserve"> work-life</w:t>
      </w:r>
      <w:r w:rsidR="00BC481A">
        <w:t xml:space="preserve"> balance of staff</w:t>
      </w:r>
      <w:r w:rsidR="002C6F7E">
        <w:t>, particularly realizing that a flexible approach to working is business critical</w:t>
      </w:r>
      <w:r w:rsidR="000A0CFB">
        <w:t xml:space="preserve">. </w:t>
      </w:r>
      <w:r w:rsidR="00342BA0">
        <w:t xml:space="preserve"> </w:t>
      </w:r>
      <w:r w:rsidR="000A0CFB">
        <w:t>This</w:t>
      </w:r>
      <w:r w:rsidR="002C6F7E">
        <w:t xml:space="preserve"> will be embedded in the long-term</w:t>
      </w:r>
      <w:r w:rsidR="00CA5C1A">
        <w:t xml:space="preserve"> through a policy on a hybrid work model that supports both office and remote working</w:t>
      </w:r>
      <w:r w:rsidR="002C6F7E">
        <w:t>.</w:t>
      </w:r>
    </w:p>
    <w:p w14:paraId="2C2C81CB" w14:textId="77777777" w:rsidR="00D204CB" w:rsidRDefault="00D204CB" w:rsidP="00D204CB">
      <w:pPr>
        <w:pStyle w:val="ListParagraph"/>
      </w:pPr>
    </w:p>
    <w:p w14:paraId="34726323" w14:textId="68BD1776" w:rsidR="00D204CB" w:rsidRPr="00D204CB" w:rsidRDefault="00D204CB" w:rsidP="00930754">
      <w:pPr>
        <w:pStyle w:val="ListParagraph"/>
        <w:numPr>
          <w:ilvl w:val="0"/>
          <w:numId w:val="12"/>
        </w:numPr>
        <w:autoSpaceDE w:val="0"/>
        <w:autoSpaceDN w:val="0"/>
        <w:adjustRightInd w:val="0"/>
        <w:ind w:left="0" w:firstLine="0"/>
      </w:pPr>
      <w:r>
        <w:rPr>
          <w:szCs w:val="22"/>
        </w:rPr>
        <w:t>Furthermore, s</w:t>
      </w:r>
      <w:r w:rsidRPr="004A7A9D">
        <w:rPr>
          <w:szCs w:val="22"/>
        </w:rPr>
        <w:t xml:space="preserve">ignificant changes were made to the policy on parental leave, to the benefit of staff and in support of work-life balance. </w:t>
      </w:r>
      <w:r w:rsidR="00342BA0">
        <w:rPr>
          <w:szCs w:val="22"/>
        </w:rPr>
        <w:t xml:space="preserve"> </w:t>
      </w:r>
      <w:r w:rsidRPr="004A7A9D">
        <w:rPr>
          <w:szCs w:val="22"/>
        </w:rPr>
        <w:t xml:space="preserve">The changes further aim to promote gender equality and inclusion, notably by recognizing that all parents have equal care responsibilities and that care responsibilities should be equally shared between parents.  To this end, the leave </w:t>
      </w:r>
      <w:r w:rsidRPr="004A7A9D">
        <w:rPr>
          <w:szCs w:val="22"/>
        </w:rPr>
        <w:lastRenderedPageBreak/>
        <w:t>entitlements were increased for most categories of staff and parents, and more flexibility was granted for the use of these entitlements.</w:t>
      </w:r>
    </w:p>
    <w:p w14:paraId="62F49DE9" w14:textId="77777777" w:rsidR="00D204CB" w:rsidRDefault="00D204CB" w:rsidP="00D204CB">
      <w:pPr>
        <w:pStyle w:val="ListParagraph"/>
      </w:pPr>
    </w:p>
    <w:p w14:paraId="7B1BA976" w14:textId="48FBEEAE" w:rsidR="00834B65" w:rsidRDefault="00D204CB" w:rsidP="00930754">
      <w:pPr>
        <w:pStyle w:val="ListParagraph"/>
        <w:numPr>
          <w:ilvl w:val="0"/>
          <w:numId w:val="12"/>
        </w:numPr>
        <w:ind w:left="0" w:firstLine="0"/>
      </w:pPr>
      <w:r>
        <w:t xml:space="preserve">As WIPO starts planning a return to the workplace, HRMD will focus on introducing the necessary measures to ensure the safety and well-being of our people and improve work-life balance. </w:t>
      </w:r>
      <w:r w:rsidR="00353815">
        <w:t xml:space="preserve"> </w:t>
      </w:r>
      <w:r>
        <w:t>WIPO</w:t>
      </w:r>
      <w:r w:rsidRPr="00324932">
        <w:t xml:space="preserve"> launch</w:t>
      </w:r>
      <w:r>
        <w:t>ed</w:t>
      </w:r>
      <w:r w:rsidRPr="00324932">
        <w:t xml:space="preserve"> a Health and Wellbeing survey</w:t>
      </w:r>
      <w:r>
        <w:t xml:space="preserve"> in June 2021 </w:t>
      </w:r>
      <w:r w:rsidRPr="00324932">
        <w:t>in order to</w:t>
      </w:r>
      <w:r>
        <w:t xml:space="preserve"> assess the </w:t>
      </w:r>
      <w:r w:rsidRPr="00914689">
        <w:t>impact</w:t>
      </w:r>
      <w:r>
        <w:t xml:space="preserve"> of the pandemic and home-based work as well as </w:t>
      </w:r>
      <w:r w:rsidRPr="00324932">
        <w:t>the impact of the activities and policies currently in place</w:t>
      </w:r>
      <w:r w:rsidR="00E60E1A">
        <w:t xml:space="preserve"> on staff wellbeing and productivity</w:t>
      </w:r>
      <w:r>
        <w:t xml:space="preserve">. </w:t>
      </w:r>
      <w:r w:rsidR="00353815">
        <w:t xml:space="preserve"> </w:t>
      </w:r>
      <w:r>
        <w:t xml:space="preserve">This will give the Organization a basis </w:t>
      </w:r>
      <w:r w:rsidRPr="00324932">
        <w:t xml:space="preserve">for the development of future preventive programs and measures to </w:t>
      </w:r>
      <w:r>
        <w:t>enhance</w:t>
      </w:r>
      <w:r w:rsidRPr="00324932">
        <w:t xml:space="preserve"> health and wellbeing</w:t>
      </w:r>
      <w:r w:rsidR="004645D0">
        <w:t xml:space="preserve"> at work</w:t>
      </w:r>
      <w:r>
        <w:t>.</w:t>
      </w:r>
    </w:p>
    <w:p w14:paraId="19018C51" w14:textId="6CC11679" w:rsidR="00D204CB" w:rsidRDefault="00D204CB" w:rsidP="00D204CB">
      <w:pPr>
        <w:pStyle w:val="ListParagraph"/>
        <w:ind w:left="0"/>
      </w:pPr>
    </w:p>
    <w:p w14:paraId="08559E16" w14:textId="455B6176" w:rsidR="005103D9" w:rsidRDefault="005103D9" w:rsidP="005103D9">
      <w:pPr>
        <w:pStyle w:val="Heading3"/>
        <w:rPr>
          <w:i/>
          <w:szCs w:val="22"/>
          <w:u w:val="none"/>
        </w:rPr>
      </w:pPr>
      <w:r>
        <w:rPr>
          <w:i/>
          <w:szCs w:val="22"/>
          <w:u w:val="none"/>
        </w:rPr>
        <w:t>Agility and diversity</w:t>
      </w:r>
    </w:p>
    <w:p w14:paraId="5DB6D810" w14:textId="77777777" w:rsidR="002F3711" w:rsidRPr="002F3711" w:rsidRDefault="002F3711" w:rsidP="002F3711"/>
    <w:p w14:paraId="5CE86BBD" w14:textId="473E0E8C" w:rsidR="00A434B6" w:rsidRDefault="00F5074B" w:rsidP="00930754">
      <w:pPr>
        <w:pStyle w:val="ListParagraph"/>
        <w:numPr>
          <w:ilvl w:val="0"/>
          <w:numId w:val="12"/>
        </w:numPr>
        <w:ind w:left="0" w:firstLine="0"/>
      </w:pPr>
      <w:r>
        <w:rPr>
          <w:szCs w:val="22"/>
        </w:rPr>
        <w:t xml:space="preserve">The pandemic basically </w:t>
      </w:r>
      <w:r w:rsidR="00BE7F5D">
        <w:rPr>
          <w:szCs w:val="22"/>
        </w:rPr>
        <w:t>drove</w:t>
      </w:r>
      <w:r>
        <w:rPr>
          <w:szCs w:val="22"/>
        </w:rPr>
        <w:t xml:space="preserve"> WIPO </w:t>
      </w:r>
      <w:r w:rsidR="00CD3C22">
        <w:rPr>
          <w:szCs w:val="22"/>
        </w:rPr>
        <w:t xml:space="preserve">and HRMD </w:t>
      </w:r>
      <w:r w:rsidR="00A67D93">
        <w:rPr>
          <w:szCs w:val="22"/>
        </w:rPr>
        <w:t xml:space="preserve">to </w:t>
      </w:r>
      <w:r>
        <w:t>consider not only how it will continue to manage a remote workforce, but also how it intends managing a more hybrid workforce, composed of employees working remotely,</w:t>
      </w:r>
      <w:r w:rsidR="00DE3C8A">
        <w:t xml:space="preserve"> in </w:t>
      </w:r>
      <w:r w:rsidR="00914689">
        <w:t xml:space="preserve">the </w:t>
      </w:r>
      <w:r w:rsidR="00DE3C8A">
        <w:t>office, part-</w:t>
      </w:r>
      <w:r w:rsidR="00CD3C22">
        <w:t xml:space="preserve">time </w:t>
      </w:r>
      <w:r w:rsidR="00CD3C22" w:rsidRPr="00914689">
        <w:t xml:space="preserve">and </w:t>
      </w:r>
      <w:r w:rsidR="00914689">
        <w:t xml:space="preserve">under </w:t>
      </w:r>
      <w:r w:rsidR="00DE3C8A" w:rsidRPr="00914689">
        <w:t>flexible</w:t>
      </w:r>
      <w:r w:rsidR="00DE3C8A">
        <w:t xml:space="preserve"> </w:t>
      </w:r>
      <w:r w:rsidR="00914689">
        <w:t>working arrangements</w:t>
      </w:r>
      <w:r w:rsidR="00CD3C22">
        <w:t>.</w:t>
      </w:r>
      <w:r>
        <w:t xml:space="preserve"> </w:t>
      </w:r>
      <w:r w:rsidR="000E17BC">
        <w:t xml:space="preserve"> </w:t>
      </w:r>
      <w:r w:rsidR="00CD3C22">
        <w:t>HRMD has had to r</w:t>
      </w:r>
      <w:r>
        <w:t>ecogniz</w:t>
      </w:r>
      <w:r w:rsidR="00CD3C22">
        <w:t>e</w:t>
      </w:r>
      <w:r>
        <w:t xml:space="preserve"> and e</w:t>
      </w:r>
      <w:r w:rsidR="00A434B6">
        <w:t>mbrac</w:t>
      </w:r>
      <w:r w:rsidR="00CD3C22">
        <w:t>e</w:t>
      </w:r>
      <w:r w:rsidR="00A434B6">
        <w:t xml:space="preserve"> an agile work </w:t>
      </w:r>
      <w:r w:rsidR="00834B65">
        <w:t>culture</w:t>
      </w:r>
      <w:r>
        <w:t xml:space="preserve">.  </w:t>
      </w:r>
      <w:r w:rsidR="00BE7F5D">
        <w:t>This</w:t>
      </w:r>
      <w:r>
        <w:t xml:space="preserve"> great</w:t>
      </w:r>
      <w:r w:rsidR="00A434B6">
        <w:t xml:space="preserve">er agility </w:t>
      </w:r>
      <w:r w:rsidR="00BE7F5D">
        <w:t xml:space="preserve">has </w:t>
      </w:r>
      <w:r w:rsidR="00A434B6">
        <w:t>also enable</w:t>
      </w:r>
      <w:r w:rsidR="00BE7F5D">
        <w:t>d</w:t>
      </w:r>
      <w:r w:rsidR="00A434B6">
        <w:t xml:space="preserve"> </w:t>
      </w:r>
      <w:r>
        <w:t>employees</w:t>
      </w:r>
      <w:r w:rsidR="00A434B6">
        <w:t xml:space="preserve"> to adapt and resp</w:t>
      </w:r>
      <w:r w:rsidR="00BE7F5D">
        <w:t>ond to challenges as they aro</w:t>
      </w:r>
      <w:r w:rsidR="002F3711">
        <w:t>se</w:t>
      </w:r>
      <w:r w:rsidR="00A67D93">
        <w:t>,</w:t>
      </w:r>
      <w:r>
        <w:t xml:space="preserve"> </w:t>
      </w:r>
      <w:r w:rsidRPr="00914689">
        <w:t>as well as keep</w:t>
      </w:r>
      <w:r w:rsidR="00914689">
        <w:t>ing</w:t>
      </w:r>
      <w:r w:rsidRPr="00914689">
        <w:t xml:space="preserve"> them</w:t>
      </w:r>
      <w:r w:rsidR="00A434B6" w:rsidRPr="00914689">
        <w:t xml:space="preserve"> engaged</w:t>
      </w:r>
      <w:r w:rsidR="00A434B6">
        <w:t xml:space="preserve"> in their work irrespective of their physical location. </w:t>
      </w:r>
    </w:p>
    <w:p w14:paraId="47F9EB10" w14:textId="77777777" w:rsidR="002F3711" w:rsidRDefault="002F3711" w:rsidP="002F3711">
      <w:pPr>
        <w:pStyle w:val="ListParagraph"/>
      </w:pPr>
    </w:p>
    <w:p w14:paraId="10ADF420" w14:textId="24C2F215" w:rsidR="00276BEE" w:rsidRPr="00834B65" w:rsidRDefault="00834B65" w:rsidP="00930754">
      <w:pPr>
        <w:pStyle w:val="ListParagraph"/>
        <w:numPr>
          <w:ilvl w:val="0"/>
          <w:numId w:val="12"/>
        </w:numPr>
        <w:ind w:left="0" w:firstLine="0"/>
        <w:rPr>
          <w:szCs w:val="22"/>
        </w:rPr>
      </w:pPr>
      <w:r w:rsidRPr="00834B65">
        <w:rPr>
          <w:szCs w:val="22"/>
        </w:rPr>
        <w:t xml:space="preserve">At the same time, </w:t>
      </w:r>
      <w:r w:rsidR="00276BEE" w:rsidRPr="00834B65">
        <w:rPr>
          <w:szCs w:val="22"/>
        </w:rPr>
        <w:t xml:space="preserve">WIPO </w:t>
      </w:r>
      <w:r w:rsidR="00A67D93">
        <w:rPr>
          <w:szCs w:val="22"/>
        </w:rPr>
        <w:t xml:space="preserve">has </w:t>
      </w:r>
      <w:r w:rsidRPr="00834B65">
        <w:rPr>
          <w:szCs w:val="22"/>
        </w:rPr>
        <w:t>continue</w:t>
      </w:r>
      <w:r>
        <w:rPr>
          <w:szCs w:val="22"/>
        </w:rPr>
        <w:t>d to focus on</w:t>
      </w:r>
      <w:r w:rsidRPr="00834B65">
        <w:rPr>
          <w:szCs w:val="22"/>
        </w:rPr>
        <w:t xml:space="preserve"> its aim</w:t>
      </w:r>
      <w:r w:rsidR="00276BEE" w:rsidRPr="00834B65">
        <w:rPr>
          <w:szCs w:val="22"/>
        </w:rPr>
        <w:t xml:space="preserve"> to attract and recruit diverse and qualified staff and remain</w:t>
      </w:r>
      <w:r>
        <w:rPr>
          <w:szCs w:val="22"/>
        </w:rPr>
        <w:t>ed</w:t>
      </w:r>
      <w:r w:rsidR="00276BEE" w:rsidRPr="00834B65">
        <w:rPr>
          <w:szCs w:val="22"/>
        </w:rPr>
        <w:t xml:space="preserve"> committed to respecting the principle of recruiting staff of the highest standards of competence, efficiency and integrity.</w:t>
      </w:r>
      <w:r w:rsidR="000E17BC">
        <w:rPr>
          <w:szCs w:val="22"/>
        </w:rPr>
        <w:t xml:space="preserve"> </w:t>
      </w:r>
      <w:r w:rsidR="00276BEE" w:rsidRPr="00834B65">
        <w:rPr>
          <w:szCs w:val="22"/>
        </w:rPr>
        <w:t xml:space="preserve"> </w:t>
      </w:r>
      <w:r>
        <w:rPr>
          <w:szCs w:val="22"/>
        </w:rPr>
        <w:t>It also recognize</w:t>
      </w:r>
      <w:r w:rsidR="00546352">
        <w:rPr>
          <w:szCs w:val="22"/>
        </w:rPr>
        <w:t>d</w:t>
      </w:r>
      <w:r>
        <w:rPr>
          <w:szCs w:val="22"/>
        </w:rPr>
        <w:t xml:space="preserve"> that t</w:t>
      </w:r>
      <w:r w:rsidR="00276BEE">
        <w:t xml:space="preserve">his systematic drive </w:t>
      </w:r>
      <w:r>
        <w:t>needs to be carried out in tandem with the</w:t>
      </w:r>
      <w:r w:rsidR="00276BEE">
        <w:t xml:space="preserve"> aim to achieve equitable geographical representation and gender balance through enhanced recruitment outreach programs and initiatives in partnership with Member States.</w:t>
      </w:r>
    </w:p>
    <w:p w14:paraId="19242375" w14:textId="77777777" w:rsidR="00276BEE" w:rsidRPr="00F504CA" w:rsidRDefault="00276BEE" w:rsidP="00276BEE">
      <w:pPr>
        <w:pStyle w:val="ListParagraph"/>
        <w:rPr>
          <w:szCs w:val="22"/>
        </w:rPr>
      </w:pPr>
    </w:p>
    <w:p w14:paraId="1A710E68" w14:textId="521E070A" w:rsidR="00276BEE" w:rsidRPr="00577351" w:rsidRDefault="00834B65" w:rsidP="00930754">
      <w:pPr>
        <w:pStyle w:val="ListParagraph"/>
        <w:numPr>
          <w:ilvl w:val="0"/>
          <w:numId w:val="12"/>
        </w:numPr>
        <w:ind w:left="0" w:firstLine="0"/>
        <w:rPr>
          <w:szCs w:val="22"/>
        </w:rPr>
      </w:pPr>
      <w:r>
        <w:rPr>
          <w:szCs w:val="22"/>
        </w:rPr>
        <w:t>Accordingly</w:t>
      </w:r>
      <w:r w:rsidR="00276BEE" w:rsidRPr="00F504CA">
        <w:rPr>
          <w:szCs w:val="22"/>
        </w:rPr>
        <w:t>, HRMD continued to strengthen</w:t>
      </w:r>
      <w:r w:rsidR="00546352">
        <w:rPr>
          <w:szCs w:val="22"/>
        </w:rPr>
        <w:t>, as much as the circumstances permitted,</w:t>
      </w:r>
      <w:r w:rsidR="00276BEE" w:rsidRPr="00F504CA">
        <w:rPr>
          <w:szCs w:val="22"/>
        </w:rPr>
        <w:t xml:space="preserve"> its outreach efforts to attract qualified candidates. </w:t>
      </w:r>
      <w:r w:rsidR="000E17BC">
        <w:rPr>
          <w:szCs w:val="22"/>
        </w:rPr>
        <w:t xml:space="preserve"> </w:t>
      </w:r>
      <w:r w:rsidR="00276BEE" w:rsidRPr="00F504CA">
        <w:rPr>
          <w:szCs w:val="22"/>
          <w:bdr w:val="none" w:sz="0" w:space="0" w:color="auto" w:frame="1"/>
        </w:rPr>
        <w:t xml:space="preserve">In the context of the Focal Point Initiative for unrepresented Member States, </w:t>
      </w:r>
      <w:r>
        <w:rPr>
          <w:szCs w:val="22"/>
          <w:bdr w:val="none" w:sz="0" w:space="0" w:color="auto" w:frame="1"/>
        </w:rPr>
        <w:t>HRMD</w:t>
      </w:r>
      <w:r w:rsidR="00276BEE" w:rsidRPr="00F504CA">
        <w:rPr>
          <w:szCs w:val="22"/>
          <w:bdr w:val="none" w:sz="0" w:space="0" w:color="auto" w:frame="1"/>
        </w:rPr>
        <w:t xml:space="preserve"> </w:t>
      </w:r>
      <w:r w:rsidR="00276BEE">
        <w:rPr>
          <w:szCs w:val="22"/>
          <w:bdr w:val="none" w:sz="0" w:space="0" w:color="auto" w:frame="1"/>
        </w:rPr>
        <w:t>held</w:t>
      </w:r>
      <w:r w:rsidR="00276BEE" w:rsidRPr="00F504CA">
        <w:rPr>
          <w:szCs w:val="22"/>
          <w:bdr w:val="none" w:sz="0" w:space="0" w:color="auto" w:frame="1"/>
        </w:rPr>
        <w:t xml:space="preserve"> a series of webinars with key officials and potential applicants and</w:t>
      </w:r>
      <w:r w:rsidR="00276BEE" w:rsidRPr="00F504CA">
        <w:rPr>
          <w:szCs w:val="22"/>
        </w:rPr>
        <w:t xml:space="preserve"> interacted closely with Focal Points. </w:t>
      </w:r>
      <w:r w:rsidR="000E17BC">
        <w:rPr>
          <w:szCs w:val="22"/>
        </w:rPr>
        <w:t xml:space="preserve"> </w:t>
      </w:r>
      <w:r w:rsidR="00276BEE" w:rsidRPr="00F504CA">
        <w:rPr>
          <w:szCs w:val="22"/>
        </w:rPr>
        <w:t xml:space="preserve">It held targeted webinars for focal points in </w:t>
      </w:r>
      <w:r w:rsidR="000E17BC" w:rsidRPr="00F504CA">
        <w:rPr>
          <w:color w:val="000000"/>
          <w:szCs w:val="22"/>
        </w:rPr>
        <w:t xml:space="preserve">Albania, </w:t>
      </w:r>
      <w:r w:rsidR="00276BEE" w:rsidRPr="00F504CA">
        <w:rPr>
          <w:color w:val="000000"/>
          <w:szCs w:val="22"/>
        </w:rPr>
        <w:t xml:space="preserve">Estonia, </w:t>
      </w:r>
      <w:r w:rsidR="000E17BC" w:rsidRPr="00F504CA">
        <w:rPr>
          <w:color w:val="000000"/>
          <w:szCs w:val="22"/>
        </w:rPr>
        <w:t>Saudi Arabia</w:t>
      </w:r>
      <w:r w:rsidR="000E17BC">
        <w:rPr>
          <w:color w:val="000000"/>
          <w:szCs w:val="22"/>
        </w:rPr>
        <w:t>,</w:t>
      </w:r>
      <w:r w:rsidR="000E17BC" w:rsidRPr="00F504CA" w:rsidDel="000E17BC">
        <w:rPr>
          <w:color w:val="000000"/>
          <w:szCs w:val="22"/>
        </w:rPr>
        <w:t xml:space="preserve"> </w:t>
      </w:r>
      <w:r w:rsidR="000E17BC" w:rsidRPr="00F504CA">
        <w:rPr>
          <w:color w:val="000000"/>
          <w:szCs w:val="22"/>
        </w:rPr>
        <w:t>Slovenia</w:t>
      </w:r>
      <w:r w:rsidR="000E17BC">
        <w:rPr>
          <w:color w:val="000000"/>
          <w:szCs w:val="22"/>
        </w:rPr>
        <w:t xml:space="preserve"> and </w:t>
      </w:r>
      <w:r w:rsidR="00276BEE" w:rsidRPr="00F504CA">
        <w:rPr>
          <w:color w:val="000000"/>
          <w:szCs w:val="22"/>
        </w:rPr>
        <w:t xml:space="preserve">Sudan </w:t>
      </w:r>
      <w:r w:rsidR="00276BEE">
        <w:rPr>
          <w:color w:val="000000"/>
          <w:szCs w:val="22"/>
        </w:rPr>
        <w:t xml:space="preserve">leading to </w:t>
      </w:r>
      <w:r w:rsidR="00276BEE" w:rsidRPr="00F504CA">
        <w:rPr>
          <w:color w:val="000000"/>
          <w:szCs w:val="22"/>
        </w:rPr>
        <w:t>24</w:t>
      </w:r>
      <w:r w:rsidR="000E17BC">
        <w:rPr>
          <w:color w:val="000000"/>
          <w:szCs w:val="22"/>
        </w:rPr>
        <w:t xml:space="preserve"> per cent</w:t>
      </w:r>
      <w:r w:rsidR="00276BEE" w:rsidRPr="00F504CA">
        <w:rPr>
          <w:color w:val="000000"/>
          <w:szCs w:val="22"/>
        </w:rPr>
        <w:t xml:space="preserve"> more applications from Slovenia and 28</w:t>
      </w:r>
      <w:r w:rsidR="000E17BC">
        <w:rPr>
          <w:color w:val="000000"/>
          <w:szCs w:val="22"/>
        </w:rPr>
        <w:t> per cent</w:t>
      </w:r>
      <w:r w:rsidR="00276BEE" w:rsidRPr="00F504CA">
        <w:rPr>
          <w:color w:val="000000"/>
          <w:szCs w:val="22"/>
        </w:rPr>
        <w:t xml:space="preserve"> from Sudan</w:t>
      </w:r>
      <w:r w:rsidR="00276BEE">
        <w:rPr>
          <w:color w:val="000000"/>
          <w:szCs w:val="22"/>
        </w:rPr>
        <w:t xml:space="preserve"> </w:t>
      </w:r>
      <w:r w:rsidR="00276BEE" w:rsidRPr="00F504CA">
        <w:rPr>
          <w:color w:val="000000"/>
          <w:szCs w:val="22"/>
        </w:rPr>
        <w:t>to fixed</w:t>
      </w:r>
      <w:r w:rsidR="000E17BC">
        <w:rPr>
          <w:color w:val="000000"/>
          <w:szCs w:val="22"/>
        </w:rPr>
        <w:noBreakHyphen/>
      </w:r>
      <w:r w:rsidR="00276BEE" w:rsidRPr="00F504CA">
        <w:rPr>
          <w:color w:val="000000"/>
          <w:szCs w:val="22"/>
        </w:rPr>
        <w:t xml:space="preserve">term vacancies.  Applications to Talent Pools </w:t>
      </w:r>
      <w:r w:rsidR="00276BEE">
        <w:rPr>
          <w:color w:val="000000"/>
          <w:szCs w:val="22"/>
        </w:rPr>
        <w:t>also</w:t>
      </w:r>
      <w:r w:rsidR="00276BEE" w:rsidRPr="00F504CA">
        <w:rPr>
          <w:color w:val="000000"/>
          <w:szCs w:val="22"/>
        </w:rPr>
        <w:t xml:space="preserve"> increase</w:t>
      </w:r>
      <w:r w:rsidR="00276BEE">
        <w:rPr>
          <w:color w:val="000000"/>
          <w:szCs w:val="22"/>
        </w:rPr>
        <w:t>d from unrepresented M</w:t>
      </w:r>
      <w:r w:rsidR="00276BEE" w:rsidRPr="00F504CA">
        <w:rPr>
          <w:color w:val="000000"/>
          <w:szCs w:val="22"/>
        </w:rPr>
        <w:t xml:space="preserve">ember </w:t>
      </w:r>
      <w:r w:rsidR="00276BEE">
        <w:rPr>
          <w:color w:val="000000"/>
          <w:szCs w:val="22"/>
        </w:rPr>
        <w:t>S</w:t>
      </w:r>
      <w:r w:rsidR="00276BEE" w:rsidRPr="00F504CA">
        <w:rPr>
          <w:color w:val="000000"/>
          <w:szCs w:val="22"/>
        </w:rPr>
        <w:t>tates</w:t>
      </w:r>
      <w:r w:rsidR="00276BEE">
        <w:rPr>
          <w:color w:val="000000"/>
          <w:szCs w:val="22"/>
        </w:rPr>
        <w:t>,</w:t>
      </w:r>
      <w:r w:rsidR="00276BEE" w:rsidRPr="00F504CA">
        <w:rPr>
          <w:color w:val="000000"/>
          <w:szCs w:val="22"/>
        </w:rPr>
        <w:t xml:space="preserve"> particularly </w:t>
      </w:r>
      <w:r>
        <w:rPr>
          <w:color w:val="000000"/>
          <w:szCs w:val="22"/>
        </w:rPr>
        <w:t>from those where</w:t>
      </w:r>
      <w:r w:rsidR="00276BEE">
        <w:rPr>
          <w:color w:val="000000"/>
          <w:szCs w:val="22"/>
        </w:rPr>
        <w:t xml:space="preserve"> webinars were held.  Furthermore, t</w:t>
      </w:r>
      <w:r w:rsidR="00276BEE" w:rsidRPr="00F504CA">
        <w:rPr>
          <w:color w:val="000000"/>
          <w:szCs w:val="22"/>
        </w:rPr>
        <w:t>he quality of a</w:t>
      </w:r>
      <w:r w:rsidR="00276BEE">
        <w:rPr>
          <w:color w:val="000000"/>
          <w:szCs w:val="22"/>
        </w:rPr>
        <w:t>pplications from unrepresented M</w:t>
      </w:r>
      <w:r w:rsidR="00276BEE" w:rsidRPr="00F504CA">
        <w:rPr>
          <w:color w:val="000000"/>
          <w:szCs w:val="22"/>
        </w:rPr>
        <w:t xml:space="preserve">ember </w:t>
      </w:r>
      <w:r w:rsidR="00276BEE">
        <w:rPr>
          <w:color w:val="000000"/>
          <w:szCs w:val="22"/>
        </w:rPr>
        <w:t>S</w:t>
      </w:r>
      <w:r w:rsidR="00276BEE" w:rsidRPr="00F504CA">
        <w:rPr>
          <w:color w:val="000000"/>
          <w:szCs w:val="22"/>
        </w:rPr>
        <w:t xml:space="preserve">tates </w:t>
      </w:r>
      <w:r w:rsidR="00276BEE">
        <w:rPr>
          <w:color w:val="000000"/>
          <w:szCs w:val="22"/>
        </w:rPr>
        <w:t xml:space="preserve">improved, </w:t>
      </w:r>
      <w:r w:rsidR="00276BEE" w:rsidRPr="00F504CA">
        <w:rPr>
          <w:color w:val="000000"/>
          <w:szCs w:val="22"/>
        </w:rPr>
        <w:t xml:space="preserve">demonstrating that </w:t>
      </w:r>
      <w:r>
        <w:rPr>
          <w:color w:val="000000"/>
          <w:szCs w:val="22"/>
        </w:rPr>
        <w:t xml:space="preserve">the </w:t>
      </w:r>
      <w:r w:rsidR="00276BEE" w:rsidRPr="00F504CA">
        <w:rPr>
          <w:color w:val="000000"/>
          <w:szCs w:val="22"/>
        </w:rPr>
        <w:t>initiative is provid</w:t>
      </w:r>
      <w:r>
        <w:rPr>
          <w:color w:val="000000"/>
          <w:szCs w:val="22"/>
        </w:rPr>
        <w:t>ing a</w:t>
      </w:r>
      <w:r w:rsidR="00276BEE" w:rsidRPr="00F504CA">
        <w:rPr>
          <w:color w:val="000000"/>
          <w:szCs w:val="22"/>
        </w:rPr>
        <w:t xml:space="preserve"> return on investment </w:t>
      </w:r>
      <w:r w:rsidR="00276BEE">
        <w:rPr>
          <w:color w:val="000000"/>
          <w:szCs w:val="22"/>
        </w:rPr>
        <w:t>with</w:t>
      </w:r>
      <w:r w:rsidR="00276BEE" w:rsidRPr="00F504CA">
        <w:rPr>
          <w:color w:val="000000"/>
          <w:szCs w:val="22"/>
        </w:rPr>
        <w:t xml:space="preserve"> the collaboration and support of </w:t>
      </w:r>
      <w:r w:rsidR="00276BEE">
        <w:rPr>
          <w:color w:val="000000"/>
          <w:szCs w:val="22"/>
        </w:rPr>
        <w:t>the</w:t>
      </w:r>
      <w:r w:rsidR="00276BEE" w:rsidRPr="00F504CA">
        <w:rPr>
          <w:color w:val="000000"/>
          <w:szCs w:val="22"/>
        </w:rPr>
        <w:t xml:space="preserve"> Focal Points.</w:t>
      </w:r>
    </w:p>
    <w:p w14:paraId="7E426985" w14:textId="77777777" w:rsidR="00276BEE" w:rsidRPr="00577351" w:rsidRDefault="00276BEE" w:rsidP="00276BEE">
      <w:pPr>
        <w:pStyle w:val="ListParagraph"/>
        <w:rPr>
          <w:szCs w:val="22"/>
        </w:rPr>
      </w:pPr>
    </w:p>
    <w:p w14:paraId="54D706EE" w14:textId="69158A0C" w:rsidR="00276BEE" w:rsidRPr="00577351" w:rsidRDefault="00276BEE" w:rsidP="00930754">
      <w:pPr>
        <w:pStyle w:val="ListParagraph"/>
        <w:numPr>
          <w:ilvl w:val="0"/>
          <w:numId w:val="12"/>
        </w:numPr>
        <w:ind w:left="0" w:firstLine="0"/>
        <w:rPr>
          <w:szCs w:val="22"/>
        </w:rPr>
      </w:pPr>
      <w:r w:rsidRPr="00577351">
        <w:rPr>
          <w:szCs w:val="22"/>
        </w:rPr>
        <w:t>HRMD also increasingly us</w:t>
      </w:r>
      <w:r w:rsidR="00546352">
        <w:rPr>
          <w:szCs w:val="22"/>
        </w:rPr>
        <w:t>ed</w:t>
      </w:r>
      <w:r w:rsidRPr="00577351">
        <w:rPr>
          <w:szCs w:val="22"/>
        </w:rPr>
        <w:t xml:space="preserve"> relevant online job boards such as Impact</w:t>
      </w:r>
      <w:r w:rsidR="00A67D93">
        <w:rPr>
          <w:szCs w:val="22"/>
        </w:rPr>
        <w:t xml:space="preserve"> </w:t>
      </w:r>
      <w:r w:rsidRPr="00577351">
        <w:rPr>
          <w:szCs w:val="22"/>
        </w:rPr>
        <w:t>Pool and social media platforms such as LinkedIn and Twitter, as well as targeted advertising f</w:t>
      </w:r>
      <w:r w:rsidRPr="00577351">
        <w:rPr>
          <w:bdr w:val="none" w:sz="0" w:space="0" w:color="auto" w:frame="1"/>
        </w:rPr>
        <w:t>or select senior or hard-to-fill vacancies</w:t>
      </w:r>
      <w:r w:rsidRPr="00577351">
        <w:rPr>
          <w:szCs w:val="22"/>
        </w:rPr>
        <w:t xml:space="preserve">. </w:t>
      </w:r>
      <w:r w:rsidR="00CE7914">
        <w:rPr>
          <w:szCs w:val="22"/>
        </w:rPr>
        <w:t xml:space="preserve"> </w:t>
      </w:r>
      <w:r w:rsidRPr="00577351">
        <w:rPr>
          <w:bdr w:val="none" w:sz="0" w:space="0" w:color="auto" w:frame="1"/>
        </w:rPr>
        <w:t>In 2020, WIPO undertook a talent mapping exercise through LinkedIn to establish the talent available in unrepresented Member States, as well as scarce talent acros</w:t>
      </w:r>
      <w:r w:rsidR="00546352">
        <w:rPr>
          <w:bdr w:val="none" w:sz="0" w:space="0" w:color="auto" w:frame="1"/>
        </w:rPr>
        <w:t xml:space="preserve">s the globe. </w:t>
      </w:r>
      <w:r w:rsidR="00CE7914">
        <w:rPr>
          <w:bdr w:val="none" w:sz="0" w:space="0" w:color="auto" w:frame="1"/>
        </w:rPr>
        <w:t xml:space="preserve"> </w:t>
      </w:r>
      <w:r w:rsidR="00546352">
        <w:rPr>
          <w:bdr w:val="none" w:sz="0" w:space="0" w:color="auto" w:frame="1"/>
        </w:rPr>
        <w:t>This information was</w:t>
      </w:r>
      <w:r w:rsidRPr="00577351">
        <w:rPr>
          <w:bdr w:val="none" w:sz="0" w:space="0" w:color="auto" w:frame="1"/>
        </w:rPr>
        <w:t xml:space="preserve"> used to better inform and direct targeted outreach efforts. </w:t>
      </w:r>
      <w:r w:rsidR="00CE7914">
        <w:rPr>
          <w:bdr w:val="none" w:sz="0" w:space="0" w:color="auto" w:frame="1"/>
        </w:rPr>
        <w:t xml:space="preserve"> </w:t>
      </w:r>
      <w:r w:rsidRPr="00577351">
        <w:rPr>
          <w:bdr w:val="none" w:sz="0" w:space="0" w:color="auto" w:frame="1"/>
        </w:rPr>
        <w:t xml:space="preserve">Following the creation of talent pools in 2019, WIPO </w:t>
      </w:r>
      <w:r w:rsidR="00546352">
        <w:rPr>
          <w:bdr w:val="none" w:sz="0" w:space="0" w:color="auto" w:frame="1"/>
        </w:rPr>
        <w:t xml:space="preserve">continued to </w:t>
      </w:r>
      <w:r w:rsidRPr="00577351">
        <w:rPr>
          <w:bdr w:val="none" w:sz="0" w:space="0" w:color="auto" w:frame="1"/>
        </w:rPr>
        <w:t>review the profiles of candidates in those pools for select specialized and/or senior vacancies</w:t>
      </w:r>
      <w:r>
        <w:rPr>
          <w:bdr w:val="none" w:sz="0" w:space="0" w:color="auto" w:frame="1"/>
        </w:rPr>
        <w:t xml:space="preserve"> and those </w:t>
      </w:r>
      <w:r w:rsidRPr="00577351">
        <w:rPr>
          <w:bdr w:val="none" w:sz="0" w:space="0" w:color="auto" w:frame="1"/>
        </w:rPr>
        <w:t>id</w:t>
      </w:r>
      <w:r w:rsidR="00546352">
        <w:rPr>
          <w:bdr w:val="none" w:sz="0" w:space="0" w:color="auto" w:frame="1"/>
        </w:rPr>
        <w:t>entified as possible matches were</w:t>
      </w:r>
      <w:r w:rsidRPr="00577351">
        <w:rPr>
          <w:bdr w:val="none" w:sz="0" w:space="0" w:color="auto" w:frame="1"/>
        </w:rPr>
        <w:t xml:space="preserve"> contacted and encouraged to apply. </w:t>
      </w:r>
    </w:p>
    <w:p w14:paraId="055FD26F" w14:textId="01DB85D7" w:rsidR="002C6F7E" w:rsidRDefault="002C6F7E" w:rsidP="00CD3C22">
      <w:pPr>
        <w:pStyle w:val="ListParagraph"/>
        <w:tabs>
          <w:tab w:val="left" w:pos="270"/>
        </w:tabs>
        <w:ind w:left="0"/>
        <w:rPr>
          <w:szCs w:val="22"/>
        </w:rPr>
      </w:pPr>
    </w:p>
    <w:p w14:paraId="4B0E5183" w14:textId="00133BA5" w:rsidR="00D204CB" w:rsidRPr="00D204CB" w:rsidRDefault="00276BEE" w:rsidP="00930754">
      <w:pPr>
        <w:pStyle w:val="ListParagraph"/>
        <w:numPr>
          <w:ilvl w:val="0"/>
          <w:numId w:val="12"/>
        </w:numPr>
        <w:autoSpaceDE w:val="0"/>
        <w:autoSpaceDN w:val="0"/>
        <w:adjustRightInd w:val="0"/>
        <w:ind w:left="0" w:firstLine="0"/>
      </w:pPr>
      <w:r>
        <w:t xml:space="preserve"> </w:t>
      </w:r>
      <w:r w:rsidR="00D204CB">
        <w:t>Moreover, t</w:t>
      </w:r>
      <w:r w:rsidR="00D204CB" w:rsidRPr="004A7A9D">
        <w:rPr>
          <w:szCs w:val="22"/>
        </w:rPr>
        <w:t>he WIPO Fellowship Policy was revised in order to consolidate the various fellowship programs and individual fellowships into five broad categories, based on the type of functions performed, in line with WIPO</w:t>
      </w:r>
      <w:r w:rsidR="0006560C">
        <w:rPr>
          <w:szCs w:val="22"/>
        </w:rPr>
        <w:t>’</w:t>
      </w:r>
      <w:r w:rsidR="00D204CB" w:rsidRPr="004A7A9D">
        <w:rPr>
          <w:szCs w:val="22"/>
        </w:rPr>
        <w:t xml:space="preserve">s organizational needs. </w:t>
      </w:r>
      <w:r w:rsidR="00CE7914">
        <w:rPr>
          <w:szCs w:val="22"/>
        </w:rPr>
        <w:t xml:space="preserve"> </w:t>
      </w:r>
      <w:r w:rsidR="00D204CB" w:rsidRPr="004A7A9D">
        <w:rPr>
          <w:szCs w:val="22"/>
        </w:rPr>
        <w:t xml:space="preserve">The new categories facilitate the administration of fellowships and provide greater consistency in employment conditions between fellows across WIPO. </w:t>
      </w:r>
      <w:r w:rsidR="00CE7914">
        <w:rPr>
          <w:szCs w:val="22"/>
        </w:rPr>
        <w:t xml:space="preserve"> </w:t>
      </w:r>
      <w:r w:rsidR="00D204CB" w:rsidRPr="004A7A9D">
        <w:rPr>
          <w:szCs w:val="22"/>
        </w:rPr>
        <w:t xml:space="preserve">In particular, the stipends were harmonized, leading to increases for some fellows, and WIPO now provides a contribution towards travel expenses for </w:t>
      </w:r>
      <w:r w:rsidR="00D204CB" w:rsidRPr="004A7A9D">
        <w:rPr>
          <w:szCs w:val="22"/>
        </w:rPr>
        <w:lastRenderedPageBreak/>
        <w:t>all categories of fellows, which was not the case previously.</w:t>
      </w:r>
      <w:r w:rsidR="00A67D93">
        <w:rPr>
          <w:szCs w:val="22"/>
        </w:rPr>
        <w:t xml:space="preserve"> </w:t>
      </w:r>
      <w:r w:rsidR="00CE7914">
        <w:rPr>
          <w:szCs w:val="22"/>
        </w:rPr>
        <w:t xml:space="preserve"> </w:t>
      </w:r>
      <w:r w:rsidR="00A67D93">
        <w:rPr>
          <w:szCs w:val="22"/>
        </w:rPr>
        <w:t>We hope that by continuing to offer a meaningful experience to young professionals we will boost WIPO</w:t>
      </w:r>
      <w:r w:rsidR="0006560C">
        <w:rPr>
          <w:szCs w:val="22"/>
        </w:rPr>
        <w:t>’</w:t>
      </w:r>
      <w:r w:rsidR="00A67D93">
        <w:rPr>
          <w:szCs w:val="22"/>
        </w:rPr>
        <w:t>s branding as an employer.</w:t>
      </w:r>
    </w:p>
    <w:p w14:paraId="4AA4A481" w14:textId="760D148D" w:rsidR="00D204CB" w:rsidRPr="004A7A9D" w:rsidRDefault="00D204CB" w:rsidP="00D204CB">
      <w:pPr>
        <w:pStyle w:val="ListParagraph"/>
        <w:autoSpaceDE w:val="0"/>
        <w:autoSpaceDN w:val="0"/>
        <w:adjustRightInd w:val="0"/>
        <w:ind w:left="0"/>
      </w:pPr>
    </w:p>
    <w:p w14:paraId="5101DD6C" w14:textId="4853F342" w:rsidR="00D204CB" w:rsidRDefault="00276BEE" w:rsidP="00930754">
      <w:pPr>
        <w:pStyle w:val="ListParagraph"/>
        <w:numPr>
          <w:ilvl w:val="0"/>
          <w:numId w:val="12"/>
        </w:numPr>
        <w:ind w:left="0" w:firstLine="0"/>
        <w:rPr>
          <w:szCs w:val="22"/>
        </w:rPr>
      </w:pPr>
      <w:r w:rsidRPr="008D32E3">
        <w:rPr>
          <w:szCs w:val="22"/>
        </w:rPr>
        <w:t>In terms of career support, career-related courses were delivered virtually, and the external studies program was maintained.</w:t>
      </w:r>
      <w:r w:rsidR="00CE7914">
        <w:rPr>
          <w:szCs w:val="22"/>
        </w:rPr>
        <w:t xml:space="preserve"> </w:t>
      </w:r>
      <w:r w:rsidRPr="008D32E3">
        <w:rPr>
          <w:szCs w:val="22"/>
        </w:rPr>
        <w:t xml:space="preserve"> Building on the mentoring pilots conducted in 2018 and 2019, the WIPO Mentoring Program was launched in 2020 as a cost-effective addition to the existing career support offering. </w:t>
      </w:r>
    </w:p>
    <w:p w14:paraId="3F31525C" w14:textId="1E9D8E6F" w:rsidR="008D32E3" w:rsidRPr="008D32E3" w:rsidRDefault="008D32E3" w:rsidP="008D32E3">
      <w:pPr>
        <w:pStyle w:val="ListParagraph"/>
        <w:ind w:left="0"/>
        <w:rPr>
          <w:szCs w:val="22"/>
        </w:rPr>
      </w:pPr>
    </w:p>
    <w:p w14:paraId="73659567" w14:textId="3C62E0AD" w:rsidR="002C6F7E" w:rsidRDefault="00461421" w:rsidP="00930754">
      <w:pPr>
        <w:pStyle w:val="ListParagraph"/>
        <w:numPr>
          <w:ilvl w:val="0"/>
          <w:numId w:val="12"/>
        </w:numPr>
        <w:tabs>
          <w:tab w:val="left" w:pos="270"/>
        </w:tabs>
        <w:ind w:left="0" w:firstLine="0"/>
        <w:rPr>
          <w:szCs w:val="22"/>
        </w:rPr>
      </w:pPr>
      <w:r>
        <w:rPr>
          <w:szCs w:val="22"/>
        </w:rPr>
        <w:t>Finally, w</w:t>
      </w:r>
      <w:r w:rsidR="002C6F7E" w:rsidRPr="004A7A9D">
        <w:rPr>
          <w:szCs w:val="22"/>
        </w:rPr>
        <w:t xml:space="preserve">ith respect to strategic workforce planning and in order to better advise the Sector Leads and managers, a comprehensive dashboard for managers, integrating HR data and analytics, has been </w:t>
      </w:r>
      <w:r w:rsidR="00A67D93">
        <w:rPr>
          <w:szCs w:val="22"/>
        </w:rPr>
        <w:t xml:space="preserve">developed for release in </w:t>
      </w:r>
      <w:r w:rsidR="00DE3C8A">
        <w:rPr>
          <w:szCs w:val="22"/>
        </w:rPr>
        <w:t>the third quarter of</w:t>
      </w:r>
      <w:r w:rsidR="00A67D93">
        <w:rPr>
          <w:szCs w:val="22"/>
        </w:rPr>
        <w:t xml:space="preserve"> 2021</w:t>
      </w:r>
      <w:r w:rsidR="002C6F7E" w:rsidRPr="004A7A9D">
        <w:rPr>
          <w:szCs w:val="22"/>
        </w:rPr>
        <w:t>. These dashboards will provide easy access to key information, such as staffing, gender and geographical representation, retirement, absence, performance appraisals, amongst others.</w:t>
      </w:r>
      <w:r w:rsidR="00CE7914">
        <w:rPr>
          <w:szCs w:val="22"/>
        </w:rPr>
        <w:t xml:space="preserve"> </w:t>
      </w:r>
      <w:r w:rsidR="002C6F7E" w:rsidRPr="004A7A9D">
        <w:rPr>
          <w:szCs w:val="22"/>
        </w:rPr>
        <w:t xml:space="preserve"> This tool will also strengthen the capacities of managers to manage their workforce, track and monitor their teams</w:t>
      </w:r>
      <w:r w:rsidR="00FD1B40">
        <w:rPr>
          <w:szCs w:val="22"/>
        </w:rPr>
        <w:t>,</w:t>
      </w:r>
      <w:r w:rsidR="002C6F7E" w:rsidRPr="004A7A9D">
        <w:rPr>
          <w:szCs w:val="22"/>
        </w:rPr>
        <w:t xml:space="preserve"> as well as hopefully improve the gender and geographical representation of their workforce.</w:t>
      </w:r>
    </w:p>
    <w:p w14:paraId="1C714D07" w14:textId="77777777" w:rsidR="00276BEE" w:rsidRPr="00933C4C" w:rsidRDefault="00276BEE" w:rsidP="00276BEE">
      <w:pPr>
        <w:rPr>
          <w:szCs w:val="22"/>
        </w:rPr>
      </w:pPr>
    </w:p>
    <w:p w14:paraId="41A4BB7E" w14:textId="54AEFEA5" w:rsidR="00276BEE" w:rsidRPr="000E3E85" w:rsidRDefault="00390FE8" w:rsidP="00276BEE">
      <w:pPr>
        <w:pStyle w:val="Heading3"/>
        <w:rPr>
          <w:i/>
          <w:u w:val="none"/>
        </w:rPr>
      </w:pPr>
      <w:r>
        <w:rPr>
          <w:i/>
          <w:szCs w:val="22"/>
          <w:u w:val="none"/>
        </w:rPr>
        <w:t xml:space="preserve">Accelerated </w:t>
      </w:r>
      <w:r w:rsidR="00A67D93">
        <w:rPr>
          <w:i/>
          <w:szCs w:val="22"/>
          <w:u w:val="none"/>
        </w:rPr>
        <w:t xml:space="preserve">digitalization </w:t>
      </w:r>
      <w:r w:rsidR="00AD148F">
        <w:rPr>
          <w:i/>
          <w:szCs w:val="22"/>
          <w:u w:val="none"/>
        </w:rPr>
        <w:t>and streamlining</w:t>
      </w:r>
    </w:p>
    <w:p w14:paraId="67B9A238" w14:textId="77777777" w:rsidR="00276BEE" w:rsidRPr="00933C4C" w:rsidRDefault="00276BEE" w:rsidP="00276BEE">
      <w:pPr>
        <w:rPr>
          <w:szCs w:val="22"/>
        </w:rPr>
      </w:pPr>
    </w:p>
    <w:p w14:paraId="67986A23" w14:textId="65B0C593" w:rsidR="00CD3C22" w:rsidRDefault="00276BEE" w:rsidP="00930754">
      <w:pPr>
        <w:pStyle w:val="ListParagraph"/>
        <w:numPr>
          <w:ilvl w:val="0"/>
          <w:numId w:val="12"/>
        </w:numPr>
        <w:tabs>
          <w:tab w:val="left" w:pos="270"/>
        </w:tabs>
        <w:ind w:left="0" w:firstLine="0"/>
        <w:rPr>
          <w:szCs w:val="22"/>
        </w:rPr>
      </w:pPr>
      <w:r w:rsidRPr="00055069">
        <w:rPr>
          <w:szCs w:val="22"/>
        </w:rPr>
        <w:t xml:space="preserve">For the past few years, HRMD has embarked </w:t>
      </w:r>
      <w:r w:rsidR="00A67D93">
        <w:rPr>
          <w:szCs w:val="22"/>
        </w:rPr>
        <w:t>o</w:t>
      </w:r>
      <w:r w:rsidRPr="00055069">
        <w:rPr>
          <w:szCs w:val="22"/>
        </w:rPr>
        <w:t xml:space="preserve">n the implementation of a slate of new HR tools, processes and procedures, through a digital transformation process, in order to achieve an increasingly enabling HR function. </w:t>
      </w:r>
      <w:r w:rsidR="00B2584C">
        <w:rPr>
          <w:szCs w:val="22"/>
        </w:rPr>
        <w:t xml:space="preserve"> </w:t>
      </w:r>
      <w:r w:rsidRPr="00055069">
        <w:rPr>
          <w:szCs w:val="22"/>
        </w:rPr>
        <w:t xml:space="preserve">In the past year alone, HRMD, in coordination with other internal units, has led the development and implementation of the leave and flexible working arrangements dashboards and ensured a variety </w:t>
      </w:r>
      <w:r w:rsidRPr="00914689">
        <w:rPr>
          <w:szCs w:val="22"/>
        </w:rPr>
        <w:t>of remote learning options being made available to staff</w:t>
      </w:r>
      <w:r w:rsidRPr="00055069">
        <w:rPr>
          <w:szCs w:val="22"/>
        </w:rPr>
        <w:t>.</w:t>
      </w:r>
      <w:r w:rsidR="005103D9">
        <w:rPr>
          <w:szCs w:val="22"/>
        </w:rPr>
        <w:t xml:space="preserve"> </w:t>
      </w:r>
    </w:p>
    <w:p w14:paraId="2954E910" w14:textId="77777777" w:rsidR="00CD3C22" w:rsidRDefault="00CD3C22" w:rsidP="00CD3C22">
      <w:pPr>
        <w:pStyle w:val="ListParagraph"/>
        <w:tabs>
          <w:tab w:val="left" w:pos="270"/>
        </w:tabs>
        <w:ind w:left="0"/>
        <w:rPr>
          <w:szCs w:val="22"/>
        </w:rPr>
      </w:pPr>
    </w:p>
    <w:p w14:paraId="65DF9B16" w14:textId="7B2EB566" w:rsidR="009D0B20" w:rsidRPr="00CD3C22" w:rsidRDefault="005103D9" w:rsidP="00930754">
      <w:pPr>
        <w:pStyle w:val="ListParagraph"/>
        <w:numPr>
          <w:ilvl w:val="0"/>
          <w:numId w:val="12"/>
        </w:numPr>
        <w:tabs>
          <w:tab w:val="left" w:pos="270"/>
        </w:tabs>
        <w:ind w:left="0" w:firstLine="0"/>
        <w:rPr>
          <w:szCs w:val="22"/>
        </w:rPr>
      </w:pPr>
      <w:r w:rsidRPr="00CD3C22">
        <w:rPr>
          <w:szCs w:val="22"/>
        </w:rPr>
        <w:t xml:space="preserve">In mid-2021, </w:t>
      </w:r>
      <w:r w:rsidR="00276BEE" w:rsidRPr="00CD3C22">
        <w:rPr>
          <w:szCs w:val="22"/>
        </w:rPr>
        <w:t>HRMD launched the HR Digit</w:t>
      </w:r>
      <w:r w:rsidRPr="00CD3C22">
        <w:rPr>
          <w:szCs w:val="22"/>
        </w:rPr>
        <w:t>ization P</w:t>
      </w:r>
      <w:r w:rsidR="00276BEE" w:rsidRPr="00CD3C22">
        <w:rPr>
          <w:szCs w:val="22"/>
        </w:rPr>
        <w:t xml:space="preserve">roject to digitize the current </w:t>
      </w:r>
      <w:r w:rsidR="00B2584C">
        <w:rPr>
          <w:szCs w:val="22"/>
        </w:rPr>
        <w:t>paper</w:t>
      </w:r>
      <w:r w:rsidR="00B2584C">
        <w:rPr>
          <w:szCs w:val="22"/>
        </w:rPr>
        <w:noBreakHyphen/>
      </w:r>
      <w:r w:rsidR="00276BEE" w:rsidRPr="00CD3C22">
        <w:rPr>
          <w:szCs w:val="22"/>
        </w:rPr>
        <w:t>base</w:t>
      </w:r>
      <w:r w:rsidRPr="00CD3C22">
        <w:rPr>
          <w:szCs w:val="22"/>
        </w:rPr>
        <w:t>d files of active staff members in order</w:t>
      </w:r>
      <w:r w:rsidR="00276BEE" w:rsidRPr="00CD3C22">
        <w:rPr>
          <w:szCs w:val="22"/>
        </w:rPr>
        <w:t xml:space="preserve"> to improve the single digital repository of employee documents and records</w:t>
      </w:r>
      <w:r w:rsidRPr="00CD3C22">
        <w:rPr>
          <w:szCs w:val="22"/>
        </w:rPr>
        <w:t>,</w:t>
      </w:r>
      <w:r w:rsidR="00276BEE" w:rsidRPr="00CD3C22">
        <w:rPr>
          <w:szCs w:val="22"/>
        </w:rPr>
        <w:t xml:space="preserve"> and consequently strengthen HRMD</w:t>
      </w:r>
      <w:r w:rsidR="0006560C">
        <w:rPr>
          <w:szCs w:val="22"/>
        </w:rPr>
        <w:t>’</w:t>
      </w:r>
      <w:r w:rsidR="00276BEE" w:rsidRPr="00CD3C22">
        <w:rPr>
          <w:szCs w:val="22"/>
        </w:rPr>
        <w:t xml:space="preserve">s capability to consult </w:t>
      </w:r>
      <w:r w:rsidR="00FD1B40" w:rsidRPr="00CD3C22">
        <w:rPr>
          <w:szCs w:val="22"/>
        </w:rPr>
        <w:t xml:space="preserve">securely </w:t>
      </w:r>
      <w:r w:rsidR="00276BEE" w:rsidRPr="00CD3C22">
        <w:rPr>
          <w:szCs w:val="22"/>
        </w:rPr>
        <w:t>information online from the office and remotely.</w:t>
      </w:r>
      <w:r w:rsidR="00CD3C22" w:rsidRPr="00CD3C22">
        <w:rPr>
          <w:szCs w:val="22"/>
        </w:rPr>
        <w:t xml:space="preserve"> </w:t>
      </w:r>
      <w:r w:rsidR="00B2584C">
        <w:rPr>
          <w:szCs w:val="22"/>
        </w:rPr>
        <w:t xml:space="preserve"> </w:t>
      </w:r>
      <w:r w:rsidR="00CD3C22">
        <w:rPr>
          <w:szCs w:val="22"/>
        </w:rPr>
        <w:t>Similarly</w:t>
      </w:r>
      <w:r w:rsidR="009D0B20" w:rsidRPr="00CD3C22">
        <w:rPr>
          <w:szCs w:val="22"/>
        </w:rPr>
        <w:t xml:space="preserve">, in order to improve sick leave management and for a better information flow between employees and the relevant units, the Medical Unit has been putting in place an interface between the AIMS HR database and the medical database, EarthMed. </w:t>
      </w:r>
      <w:r w:rsidR="00B2584C">
        <w:rPr>
          <w:szCs w:val="22"/>
        </w:rPr>
        <w:t xml:space="preserve"> </w:t>
      </w:r>
      <w:r w:rsidR="009D0B20" w:rsidRPr="00CD3C22">
        <w:rPr>
          <w:szCs w:val="22"/>
        </w:rPr>
        <w:t>The Medical Unit has also resumed the digitization project of medical paper files with the aim to have a single digital repository of employee medical records.</w:t>
      </w:r>
    </w:p>
    <w:p w14:paraId="0074C22C" w14:textId="77777777" w:rsidR="00390FE8" w:rsidRPr="00390FE8" w:rsidRDefault="00390FE8" w:rsidP="00390FE8">
      <w:pPr>
        <w:pStyle w:val="ListParagraph"/>
        <w:rPr>
          <w:szCs w:val="22"/>
        </w:rPr>
      </w:pPr>
    </w:p>
    <w:p w14:paraId="619E67F0" w14:textId="3F6756BE" w:rsidR="00390FE8" w:rsidRPr="002C6F7E" w:rsidRDefault="009D0B20" w:rsidP="00930754">
      <w:pPr>
        <w:pStyle w:val="ListParagraph"/>
        <w:numPr>
          <w:ilvl w:val="0"/>
          <w:numId w:val="12"/>
        </w:numPr>
        <w:tabs>
          <w:tab w:val="left" w:pos="270"/>
        </w:tabs>
        <w:ind w:left="0" w:firstLine="0"/>
        <w:rPr>
          <w:szCs w:val="22"/>
        </w:rPr>
      </w:pPr>
      <w:r>
        <w:t>Additionally</w:t>
      </w:r>
      <w:r w:rsidR="005103D9">
        <w:t>, w</w:t>
      </w:r>
      <w:r w:rsidR="00390FE8">
        <w:t xml:space="preserve">hile WIPO had already been moving slowly to virtual recruiting, the pandemic </w:t>
      </w:r>
      <w:r w:rsidR="002C6F7E">
        <w:t>compelled</w:t>
      </w:r>
      <w:r w:rsidR="00390FE8">
        <w:t xml:space="preserve"> HRMD to make the transition </w:t>
      </w:r>
      <w:r w:rsidR="002C6F7E">
        <w:t xml:space="preserve">more </w:t>
      </w:r>
      <w:r w:rsidR="00390FE8">
        <w:t xml:space="preserve">quickly. </w:t>
      </w:r>
      <w:r w:rsidR="00B2584C">
        <w:t xml:space="preserve"> </w:t>
      </w:r>
      <w:r w:rsidR="00390FE8">
        <w:t>The entire recruitment process from planning and talent sourcing to assessing, selecti</w:t>
      </w:r>
      <w:r w:rsidR="00AD148F">
        <w:t xml:space="preserve">ng and </w:t>
      </w:r>
      <w:r w:rsidR="00390FE8">
        <w:t>hiring are now conducted in a virtual environment.</w:t>
      </w:r>
      <w:r w:rsidR="005103D9">
        <w:t xml:space="preserve"> </w:t>
      </w:r>
      <w:r w:rsidR="00B2584C">
        <w:t xml:space="preserve"> </w:t>
      </w:r>
      <w:r w:rsidR="005103D9">
        <w:t xml:space="preserve">Along with this, </w:t>
      </w:r>
      <w:r w:rsidR="00AD148F">
        <w:t xml:space="preserve">HRMD has recognized that </w:t>
      </w:r>
      <w:r w:rsidR="005103D9">
        <w:t>remote onboarding</w:t>
      </w:r>
      <w:r w:rsidR="00AD148F">
        <w:t>, along with its own challenges,</w:t>
      </w:r>
      <w:r w:rsidR="005103D9">
        <w:t xml:space="preserve"> has also become a key part of virtual recruiting</w:t>
      </w:r>
      <w:r w:rsidR="00AD148F">
        <w:t xml:space="preserve">. </w:t>
      </w:r>
      <w:r w:rsidR="00B2584C">
        <w:t xml:space="preserve"> </w:t>
      </w:r>
      <w:r w:rsidR="00AD148F">
        <w:t>A new project in this respect is now underway.</w:t>
      </w:r>
    </w:p>
    <w:p w14:paraId="54305C41" w14:textId="77777777" w:rsidR="002C6F7E" w:rsidRPr="002C6F7E" w:rsidRDefault="002C6F7E" w:rsidP="002C6F7E">
      <w:pPr>
        <w:pStyle w:val="ListParagraph"/>
        <w:rPr>
          <w:szCs w:val="22"/>
        </w:rPr>
      </w:pPr>
    </w:p>
    <w:p w14:paraId="6E46B9E6" w14:textId="33F33F16" w:rsidR="00276BEE" w:rsidRDefault="002C6F7E" w:rsidP="00930754">
      <w:pPr>
        <w:pStyle w:val="ListParagraph"/>
        <w:numPr>
          <w:ilvl w:val="0"/>
          <w:numId w:val="12"/>
        </w:numPr>
        <w:tabs>
          <w:tab w:val="left" w:pos="270"/>
        </w:tabs>
        <w:ind w:left="0" w:firstLine="0"/>
      </w:pPr>
      <w:r w:rsidRPr="008045ED">
        <w:rPr>
          <w:color w:val="000000"/>
          <w:szCs w:val="22"/>
        </w:rPr>
        <w:t>As part of the continued enhancement of the HR policy framework, some 20 new or revised Office Instructions and other administrative issuances were released during the reporting period, accompanied where necessary by general communications to ensure that personnel understood the policy developments.</w:t>
      </w:r>
      <w:r>
        <w:rPr>
          <w:rStyle w:val="FootnoteReference"/>
          <w:color w:val="000000"/>
          <w:szCs w:val="22"/>
        </w:rPr>
        <w:footnoteReference w:id="10"/>
      </w:r>
      <w:r w:rsidRPr="008045ED">
        <w:rPr>
          <w:color w:val="000000"/>
          <w:szCs w:val="22"/>
        </w:rPr>
        <w:t xml:space="preserve"> For example, f</w:t>
      </w:r>
      <w:r w:rsidRPr="008045ED">
        <w:rPr>
          <w:szCs w:val="22"/>
        </w:rPr>
        <w:t xml:space="preserve">or the first time, </w:t>
      </w:r>
      <w:r w:rsidR="00CD3C22" w:rsidRPr="008045ED">
        <w:rPr>
          <w:szCs w:val="22"/>
        </w:rPr>
        <w:t>a</w:t>
      </w:r>
      <w:r w:rsidRPr="008045ED">
        <w:rPr>
          <w:szCs w:val="22"/>
        </w:rPr>
        <w:t xml:space="preserve"> policy was developed on compensatory leave for staff in the National Professional Officer, Professional and higher categories who have been required to work overtime for substantial or recurrent periods. </w:t>
      </w:r>
      <w:r w:rsidR="00B2584C">
        <w:rPr>
          <w:szCs w:val="22"/>
        </w:rPr>
        <w:t xml:space="preserve"> </w:t>
      </w:r>
      <w:r w:rsidRPr="008045ED">
        <w:rPr>
          <w:szCs w:val="22"/>
        </w:rPr>
        <w:t xml:space="preserve">The new policy lays the foundation for compensatory leave to be granted to these categories of staff in a fair, transparent and consistent manner. </w:t>
      </w:r>
    </w:p>
    <w:p w14:paraId="2C1FAEE8" w14:textId="66578406" w:rsidR="00276BEE" w:rsidRPr="00461421" w:rsidRDefault="00D204CB" w:rsidP="00930754">
      <w:pPr>
        <w:pStyle w:val="ListParagraph"/>
        <w:numPr>
          <w:ilvl w:val="0"/>
          <w:numId w:val="12"/>
        </w:numPr>
        <w:autoSpaceDE w:val="0"/>
        <w:autoSpaceDN w:val="0"/>
        <w:adjustRightInd w:val="0"/>
        <w:ind w:left="0" w:firstLine="0"/>
        <w:rPr>
          <w:szCs w:val="22"/>
        </w:rPr>
      </w:pPr>
      <w:r>
        <w:lastRenderedPageBreak/>
        <w:t>Finally, facilitating the integration of newcomers while working remotely represented a challenge that was addressed through a combination of supportive measures:</w:t>
      </w:r>
      <w:r w:rsidR="00B2584C">
        <w:t xml:space="preserve"> </w:t>
      </w:r>
      <w:r>
        <w:t xml:space="preserve"> a new Intranet page for newcomers was launched and a </w:t>
      </w:r>
      <w:r w:rsidR="00A67D93">
        <w:t>b</w:t>
      </w:r>
      <w:r>
        <w:t xml:space="preserve">uddy System was put in place. </w:t>
      </w:r>
      <w:r w:rsidR="00B2584C">
        <w:t xml:space="preserve"> </w:t>
      </w:r>
      <w:r w:rsidRPr="00461421">
        <w:rPr>
          <w:rFonts w:cstheme="minorHAnsi"/>
          <w:iCs/>
          <w:color w:val="000000" w:themeColor="text1"/>
          <w:spacing w:val="-1"/>
        </w:rPr>
        <w:t xml:space="preserve">Through the buddy system, newcomers were connected with a dedicated colleague for informal and friendly support, </w:t>
      </w:r>
      <w:r>
        <w:t xml:space="preserve">introducing </w:t>
      </w:r>
      <w:r w:rsidRPr="00461421">
        <w:rPr>
          <w:rFonts w:cstheme="minorHAnsi"/>
          <w:iCs/>
          <w:color w:val="000000" w:themeColor="text1"/>
          <w:spacing w:val="-1"/>
        </w:rPr>
        <w:t xml:space="preserve">them </w:t>
      </w:r>
      <w:r w:rsidRPr="00852706">
        <w:rPr>
          <w:rFonts w:cstheme="minorHAnsi"/>
          <w:iCs/>
          <w:color w:val="000000" w:themeColor="text1"/>
          <w:spacing w:val="-1"/>
        </w:rPr>
        <w:t>to WIPO</w:t>
      </w:r>
      <w:r w:rsidR="00852706">
        <w:rPr>
          <w:rFonts w:cstheme="minorHAnsi"/>
          <w:iCs/>
          <w:color w:val="000000" w:themeColor="text1"/>
          <w:spacing w:val="-1"/>
        </w:rPr>
        <w:t>’s</w:t>
      </w:r>
      <w:r w:rsidRPr="00852706">
        <w:rPr>
          <w:rFonts w:cstheme="minorHAnsi"/>
          <w:iCs/>
          <w:color w:val="000000" w:themeColor="text1"/>
          <w:spacing w:val="-1"/>
        </w:rPr>
        <w:t xml:space="preserve"> culture</w:t>
      </w:r>
      <w:r w:rsidRPr="00461421">
        <w:rPr>
          <w:rFonts w:cstheme="minorHAnsi"/>
          <w:iCs/>
          <w:color w:val="000000" w:themeColor="text1"/>
          <w:spacing w:val="-1"/>
        </w:rPr>
        <w:t xml:space="preserve"> and helping them navigate through WIPO</w:t>
      </w:r>
      <w:r w:rsidR="0006560C">
        <w:rPr>
          <w:rFonts w:cstheme="minorHAnsi"/>
          <w:iCs/>
          <w:color w:val="000000" w:themeColor="text1"/>
          <w:spacing w:val="-1"/>
        </w:rPr>
        <w:t>’</w:t>
      </w:r>
      <w:r w:rsidRPr="00461421">
        <w:rPr>
          <w:rFonts w:cstheme="minorHAnsi"/>
          <w:iCs/>
          <w:color w:val="000000" w:themeColor="text1"/>
          <w:spacing w:val="-1"/>
        </w:rPr>
        <w:t>s administrative systems and procedures</w:t>
      </w:r>
      <w:r>
        <w:t xml:space="preserve">. </w:t>
      </w:r>
      <w:r w:rsidR="00B2584C">
        <w:t xml:space="preserve"> </w:t>
      </w:r>
      <w:r>
        <w:t>The first virtual Induction Program took place in November 202</w:t>
      </w:r>
      <w:r w:rsidR="002606DC">
        <w:t>0</w:t>
      </w:r>
      <w:r>
        <w:t>. </w:t>
      </w:r>
      <w:r w:rsidR="00B2584C">
        <w:t xml:space="preserve"> </w:t>
      </w:r>
      <w:r>
        <w:t>The overall quality of the Induction Program was improved through shorter presentations</w:t>
      </w:r>
      <w:r w:rsidR="00461421">
        <w:t>, whilst</w:t>
      </w:r>
      <w:r>
        <w:t xml:space="preserve"> a welcome chat with the Director General was included in the opening session of the program. </w:t>
      </w:r>
    </w:p>
    <w:p w14:paraId="231AC0EA" w14:textId="77777777" w:rsidR="00461421" w:rsidRPr="00461421" w:rsidRDefault="00461421" w:rsidP="00461421">
      <w:pPr>
        <w:pStyle w:val="ListParagraph"/>
        <w:rPr>
          <w:szCs w:val="22"/>
        </w:rPr>
      </w:pPr>
    </w:p>
    <w:p w14:paraId="26BA72B0" w14:textId="77777777" w:rsidR="00461421" w:rsidRPr="00461421" w:rsidRDefault="00461421" w:rsidP="00461421">
      <w:pPr>
        <w:pStyle w:val="ListParagraph"/>
        <w:autoSpaceDE w:val="0"/>
        <w:autoSpaceDN w:val="0"/>
        <w:adjustRightInd w:val="0"/>
        <w:ind w:left="0"/>
        <w:rPr>
          <w:szCs w:val="22"/>
        </w:rPr>
      </w:pPr>
    </w:p>
    <w:p w14:paraId="5685CFD9" w14:textId="77777777" w:rsidR="00276BEE" w:rsidRPr="00E51BE9" w:rsidRDefault="00276BEE" w:rsidP="00276BEE">
      <w:pPr>
        <w:pStyle w:val="Heading1"/>
        <w:numPr>
          <w:ilvl w:val="0"/>
          <w:numId w:val="11"/>
        </w:numPr>
        <w:spacing w:before="0"/>
        <w:ind w:left="567" w:hanging="567"/>
      </w:pPr>
      <w:r w:rsidRPr="00E51BE9">
        <w:rPr>
          <w:szCs w:val="22"/>
        </w:rPr>
        <w:t>Outlook for the next biennium</w:t>
      </w:r>
      <w:r>
        <w:rPr>
          <w:szCs w:val="22"/>
        </w:rPr>
        <w:t xml:space="preserve"> and beyond</w:t>
      </w:r>
    </w:p>
    <w:p w14:paraId="6683A24E" w14:textId="77777777" w:rsidR="00276BEE" w:rsidRPr="00933C4C" w:rsidRDefault="00276BEE" w:rsidP="00276BEE">
      <w:pPr>
        <w:rPr>
          <w:szCs w:val="22"/>
        </w:rPr>
      </w:pPr>
    </w:p>
    <w:p w14:paraId="7AF1DEEE" w14:textId="4849D537" w:rsidR="00546352" w:rsidRDefault="00546352" w:rsidP="00930754">
      <w:pPr>
        <w:pStyle w:val="ListParagraph"/>
        <w:numPr>
          <w:ilvl w:val="0"/>
          <w:numId w:val="12"/>
        </w:numPr>
        <w:autoSpaceDN w:val="0"/>
        <w:ind w:left="0" w:firstLine="0"/>
      </w:pPr>
      <w:r>
        <w:t xml:space="preserve">A new </w:t>
      </w:r>
      <w:hyperlink r:id="rId15" w:history="1">
        <w:r w:rsidRPr="00D74A00">
          <w:rPr>
            <w:rStyle w:val="Hyperlink"/>
          </w:rPr>
          <w:t>HR Strategy</w:t>
        </w:r>
      </w:hyperlink>
      <w:r>
        <w:t xml:space="preserve"> covering the period 2022 to 2026 is being drafted for consideration by Member States at the forthcoming Assemblies.</w:t>
      </w:r>
      <w:r w:rsidR="00B2584C">
        <w:t xml:space="preserve"> </w:t>
      </w:r>
      <w:r>
        <w:t xml:space="preserve"> The Strategy, guided by the new MTSP, will focus on ensuring a more agile and fit-for-purpose workforce through effective talent sourcing, skills realignment, mobility, training and career support, all of which will be tailored to meet the evolving needs of the Organization as well as of its staff.</w:t>
      </w:r>
      <w:r w:rsidR="00B2584C">
        <w:t xml:space="preserve"> </w:t>
      </w:r>
      <w:r>
        <w:t xml:space="preserve"> It will also include the commitment and accountability towards effective people management by building a human-centered culture based on trust, inclusiveness and by promoting enhanced cross-sectoral horizontal cooperation through news ways of working. </w:t>
      </w:r>
    </w:p>
    <w:p w14:paraId="483EA26E" w14:textId="77777777" w:rsidR="009A782F" w:rsidRDefault="009A782F" w:rsidP="009A782F">
      <w:pPr>
        <w:pStyle w:val="ListParagraph"/>
        <w:autoSpaceDN w:val="0"/>
        <w:ind w:left="0"/>
      </w:pPr>
    </w:p>
    <w:p w14:paraId="5B9713F8" w14:textId="3BC18CE0" w:rsidR="009A782F" w:rsidRDefault="009A782F" w:rsidP="00930754">
      <w:pPr>
        <w:pStyle w:val="ListParagraph"/>
        <w:numPr>
          <w:ilvl w:val="0"/>
          <w:numId w:val="12"/>
        </w:numPr>
        <w:autoSpaceDN w:val="0"/>
        <w:ind w:left="0" w:firstLine="0"/>
      </w:pPr>
      <w:r>
        <w:t>Changing WIPO</w:t>
      </w:r>
      <w:r w:rsidR="0006560C">
        <w:t>’</w:t>
      </w:r>
      <w:r>
        <w:t xml:space="preserve">s culture is a key priority of the new administration and this will have a significant impact on </w:t>
      </w:r>
      <w:r w:rsidR="008A70B1">
        <w:t>HR</w:t>
      </w:r>
      <w:r>
        <w:t xml:space="preserve"> management.</w:t>
      </w:r>
      <w:r w:rsidR="008A70B1">
        <w:t xml:space="preserve"> </w:t>
      </w:r>
      <w:r>
        <w:t xml:space="preserve"> With hybrid working becoming the standard, it is essential that WIPO establishes new communication channels to hear the voice of its employees.</w:t>
      </w:r>
      <w:r w:rsidRPr="006A0786">
        <w:t xml:space="preserve"> </w:t>
      </w:r>
      <w:r w:rsidR="008A70B1">
        <w:t xml:space="preserve"> </w:t>
      </w:r>
      <w:r>
        <w:t>A</w:t>
      </w:r>
      <w:r w:rsidR="00FD1B40">
        <w:t xml:space="preserve">n engagement survey </w:t>
      </w:r>
      <w:r>
        <w:t>will be conducted</w:t>
      </w:r>
      <w:r w:rsidRPr="00A477A8">
        <w:t xml:space="preserve"> during the last quarter of 2021</w:t>
      </w:r>
      <w:r>
        <w:t xml:space="preserve"> and every two years</w:t>
      </w:r>
      <w:r w:rsidR="00FD1B40">
        <w:t xml:space="preserve"> thereafter</w:t>
      </w:r>
      <w:r w:rsidRPr="00A477A8">
        <w:t xml:space="preserve">. </w:t>
      </w:r>
      <w:r w:rsidR="008A70B1">
        <w:t xml:space="preserve"> </w:t>
      </w:r>
      <w:r w:rsidRPr="00A477A8">
        <w:t xml:space="preserve">The survey </w:t>
      </w:r>
      <w:r>
        <w:t>will aim</w:t>
      </w:r>
      <w:r w:rsidRPr="00A477A8">
        <w:t xml:space="preserve"> to be both a high level and in-depth climate survey, one that is focused on the pulse</w:t>
      </w:r>
      <w:r>
        <w:t>, culture and values of the O</w:t>
      </w:r>
      <w:r w:rsidRPr="00A477A8">
        <w:t>rganization</w:t>
      </w:r>
      <w:r>
        <w:t xml:space="preserve"> and also include </w:t>
      </w:r>
      <w:r w:rsidRPr="00852706">
        <w:t xml:space="preserve">some detailed </w:t>
      </w:r>
      <w:r w:rsidR="00852706">
        <w:t xml:space="preserve">focus at a </w:t>
      </w:r>
      <w:r w:rsidRPr="00852706">
        <w:t>sectoral</w:t>
      </w:r>
      <w:r w:rsidR="00852706">
        <w:t xml:space="preserve"> </w:t>
      </w:r>
      <w:r w:rsidRPr="00852706">
        <w:t>level</w:t>
      </w:r>
      <w:r w:rsidRPr="00A477A8">
        <w:t>.</w:t>
      </w:r>
      <w:r w:rsidR="00353E28">
        <w:t xml:space="preserve"> </w:t>
      </w:r>
      <w:r w:rsidRPr="00A477A8">
        <w:t xml:space="preserve"> Following this </w:t>
      </w:r>
      <w:r w:rsidR="0006560C">
        <w:t>‘</w:t>
      </w:r>
      <w:r w:rsidRPr="00A477A8">
        <w:t>baseline</w:t>
      </w:r>
      <w:r w:rsidR="0006560C">
        <w:t>’</w:t>
      </w:r>
      <w:r w:rsidRPr="00A477A8">
        <w:t xml:space="preserve"> survey, </w:t>
      </w:r>
      <w:r>
        <w:t>the intention is</w:t>
      </w:r>
      <w:r w:rsidRPr="00A477A8">
        <w:t xml:space="preserve"> to put in place tools to listen </w:t>
      </w:r>
      <w:r w:rsidR="00FD1B40" w:rsidRPr="00A477A8">
        <w:t xml:space="preserve">regularly </w:t>
      </w:r>
      <w:r w:rsidRPr="00A477A8">
        <w:t xml:space="preserve">to </w:t>
      </w:r>
      <w:r>
        <w:t>employees through pulse surveys</w:t>
      </w:r>
      <w:r w:rsidRPr="00A477A8">
        <w:t xml:space="preserve"> in order to identify what works and what </w:t>
      </w:r>
      <w:r>
        <w:t>does not</w:t>
      </w:r>
      <w:r w:rsidR="00DF1A68">
        <w:t>,</w:t>
      </w:r>
      <w:r w:rsidRPr="00A477A8">
        <w:t xml:space="preserve"> and to include the voice of employees in business decisions</w:t>
      </w:r>
      <w:r>
        <w:t>.</w:t>
      </w:r>
      <w:r w:rsidR="00353E28">
        <w:t xml:space="preserve"> </w:t>
      </w:r>
      <w:r>
        <w:t xml:space="preserve"> </w:t>
      </w:r>
      <w:r w:rsidRPr="005D50E3">
        <w:rPr>
          <w:szCs w:val="22"/>
        </w:rPr>
        <w:t xml:space="preserve">Efforts will continue </w:t>
      </w:r>
      <w:r>
        <w:rPr>
          <w:szCs w:val="22"/>
        </w:rPr>
        <w:t xml:space="preserve">in order </w:t>
      </w:r>
      <w:r w:rsidRPr="005D50E3">
        <w:rPr>
          <w:szCs w:val="22"/>
        </w:rPr>
        <w:t xml:space="preserve">to maintain a </w:t>
      </w:r>
      <w:r w:rsidRPr="00852706">
        <w:rPr>
          <w:szCs w:val="22"/>
        </w:rPr>
        <w:t>conducive</w:t>
      </w:r>
      <w:r w:rsidRPr="005D50E3">
        <w:rPr>
          <w:szCs w:val="22"/>
        </w:rPr>
        <w:t xml:space="preserve"> and productive work environment and to ensure that all major staff concerns are duly taken into account, especially relating to the safe return to premises as well as other, health and wellbeing aspects.</w:t>
      </w:r>
      <w:r>
        <w:rPr>
          <w:szCs w:val="22"/>
        </w:rPr>
        <w:t xml:space="preserve"> </w:t>
      </w:r>
      <w:r w:rsidR="00353E28">
        <w:rPr>
          <w:szCs w:val="22"/>
        </w:rPr>
        <w:t xml:space="preserve"> </w:t>
      </w:r>
      <w:r>
        <w:rPr>
          <w:rFonts w:eastAsia="Calibri"/>
          <w:szCs w:val="22"/>
        </w:rPr>
        <w:t>I</w:t>
      </w:r>
      <w:r w:rsidRPr="005D50E3">
        <w:rPr>
          <w:szCs w:val="22"/>
        </w:rPr>
        <w:t xml:space="preserve">nternal consultations between </w:t>
      </w:r>
      <w:r>
        <w:rPr>
          <w:szCs w:val="22"/>
        </w:rPr>
        <w:t>the administration</w:t>
      </w:r>
      <w:r w:rsidRPr="005D50E3">
        <w:rPr>
          <w:szCs w:val="22"/>
        </w:rPr>
        <w:t>, staff and staff representatives will also be critical</w:t>
      </w:r>
      <w:r>
        <w:rPr>
          <w:szCs w:val="22"/>
        </w:rPr>
        <w:t>.</w:t>
      </w:r>
      <w:r w:rsidRPr="005D50E3">
        <w:rPr>
          <w:szCs w:val="22"/>
        </w:rPr>
        <w:t xml:space="preserve"> </w:t>
      </w:r>
    </w:p>
    <w:p w14:paraId="4C836566" w14:textId="77777777" w:rsidR="008A650A" w:rsidRDefault="008A650A" w:rsidP="008A650A">
      <w:pPr>
        <w:pStyle w:val="ListParagraph"/>
        <w:autoSpaceDN w:val="0"/>
        <w:ind w:left="0"/>
      </w:pPr>
    </w:p>
    <w:p w14:paraId="67D5E0EE" w14:textId="2427C3FB" w:rsidR="008A650A" w:rsidRDefault="008A650A" w:rsidP="00930754">
      <w:pPr>
        <w:pStyle w:val="ListParagraph"/>
        <w:numPr>
          <w:ilvl w:val="0"/>
          <w:numId w:val="12"/>
        </w:numPr>
        <w:autoSpaceDN w:val="0"/>
        <w:ind w:left="0" w:firstLine="0"/>
      </w:pPr>
      <w:r>
        <w:t xml:space="preserve">Increased workforce planning </w:t>
      </w:r>
      <w:r w:rsidR="002033FD">
        <w:t xml:space="preserve">can help to </w:t>
      </w:r>
      <w:r>
        <w:t>support WIPO to redesign organizational structures and roles in order to accommodate the new ways of working post-pandemic.</w:t>
      </w:r>
      <w:r w:rsidR="00353E28">
        <w:t xml:space="preserve"> </w:t>
      </w:r>
      <w:r>
        <w:t xml:space="preserve"> WIPO will become more agile and look at flexible structures to facilitate the effective redeployment of employees and a more horizontal distribution of work.</w:t>
      </w:r>
      <w:r w:rsidR="00353E28">
        <w:t xml:space="preserve"> </w:t>
      </w:r>
      <w:r>
        <w:t xml:space="preserve"> In the context of the mobility initiatives, HRMD will focus on tools to support this new distribution of work and empower employees to </w:t>
      </w:r>
      <w:r w:rsidR="00FD1B40">
        <w:t>adapt,</w:t>
      </w:r>
      <w:r>
        <w:t xml:space="preserve"> re-skill and assume new roles. </w:t>
      </w:r>
      <w:r w:rsidR="00353E28">
        <w:t xml:space="preserve"> </w:t>
      </w:r>
      <w:r>
        <w:t>This workforce development should build the resilience that WIPO will require in order to navigate constant change.</w:t>
      </w:r>
    </w:p>
    <w:p w14:paraId="024704EA" w14:textId="77777777" w:rsidR="008308B9" w:rsidRDefault="008308B9" w:rsidP="008308B9">
      <w:pPr>
        <w:pStyle w:val="ListParagraph"/>
      </w:pPr>
    </w:p>
    <w:p w14:paraId="0F28EF52" w14:textId="1CFBAE1F" w:rsidR="008308B9" w:rsidRDefault="008308B9" w:rsidP="00930754">
      <w:pPr>
        <w:pStyle w:val="ListParagraph"/>
        <w:numPr>
          <w:ilvl w:val="0"/>
          <w:numId w:val="12"/>
        </w:numPr>
        <w:autoSpaceDN w:val="0"/>
        <w:ind w:left="0" w:firstLine="0"/>
      </w:pPr>
      <w:r>
        <w:t>Additionally, in line with the trends on the broader labor market, WIPO will need to rethink its sourcing model with an increased reliability on contingent workers and the externalization of services</w:t>
      </w:r>
      <w:r w:rsidR="00FD1B40">
        <w:t xml:space="preserve">. </w:t>
      </w:r>
      <w:r w:rsidR="00353E28">
        <w:t xml:space="preserve"> </w:t>
      </w:r>
      <w:r w:rsidR="00FD1B40">
        <w:t>Consideration</w:t>
      </w:r>
      <w:r w:rsidR="002033FD">
        <w:t xml:space="preserve"> should be given to the nature of the work</w:t>
      </w:r>
      <w:r>
        <w:t xml:space="preserve">, and </w:t>
      </w:r>
      <w:r w:rsidR="002033FD">
        <w:t>whether</w:t>
      </w:r>
      <w:r>
        <w:t xml:space="preserve"> skills</w:t>
      </w:r>
      <w:r w:rsidR="002033FD">
        <w:t xml:space="preserve"> required</w:t>
      </w:r>
      <w:r>
        <w:t xml:space="preserve"> are </w:t>
      </w:r>
      <w:r w:rsidR="002033FD">
        <w:t>aligned with</w:t>
      </w:r>
      <w:r>
        <w:t xml:space="preserve"> WIPO</w:t>
      </w:r>
      <w:r w:rsidR="0006560C">
        <w:t>’</w:t>
      </w:r>
      <w:r>
        <w:t xml:space="preserve">s core expertise or </w:t>
      </w:r>
      <w:r w:rsidR="002033FD">
        <w:t>can allow</w:t>
      </w:r>
      <w:r>
        <w:t xml:space="preserve"> </w:t>
      </w:r>
      <w:r w:rsidR="002033FD">
        <w:t xml:space="preserve">reasonable </w:t>
      </w:r>
      <w:r>
        <w:t>career progression wit</w:t>
      </w:r>
      <w:r w:rsidR="00FD1B40">
        <w:t>hin the O</w:t>
      </w:r>
      <w:r>
        <w:t xml:space="preserve">rganization on a </w:t>
      </w:r>
      <w:r w:rsidR="008D4E7A">
        <w:t>long-term</w:t>
      </w:r>
      <w:r>
        <w:t xml:space="preserve"> basis.</w:t>
      </w:r>
    </w:p>
    <w:p w14:paraId="73BB0B49" w14:textId="77777777" w:rsidR="00546352" w:rsidRDefault="00546352" w:rsidP="00546352">
      <w:pPr>
        <w:pStyle w:val="ListParagraph"/>
        <w:autoSpaceDN w:val="0"/>
        <w:ind w:left="0"/>
      </w:pPr>
    </w:p>
    <w:p w14:paraId="6952260D" w14:textId="77777777" w:rsidR="00FD1B40" w:rsidRDefault="00FD1B40">
      <w:pPr>
        <w:rPr>
          <w:rFonts w:eastAsia="Times New Roman"/>
          <w:lang w:eastAsia="en-US"/>
        </w:rPr>
      </w:pPr>
      <w:r>
        <w:br w:type="page"/>
      </w:r>
    </w:p>
    <w:p w14:paraId="008668EF" w14:textId="47F2C62B" w:rsidR="005D4D49" w:rsidRPr="000033CF" w:rsidRDefault="008308B9" w:rsidP="00930754">
      <w:pPr>
        <w:pStyle w:val="ListParagraph"/>
        <w:numPr>
          <w:ilvl w:val="0"/>
          <w:numId w:val="12"/>
        </w:numPr>
        <w:autoSpaceDN w:val="0"/>
        <w:ind w:left="0" w:firstLine="0"/>
      </w:pPr>
      <w:r>
        <w:lastRenderedPageBreak/>
        <w:t>Furthermore, r</w:t>
      </w:r>
      <w:r w:rsidR="005D4D49">
        <w:t xml:space="preserve">emote working has changed </w:t>
      </w:r>
      <w:r w:rsidR="008A650A">
        <w:t>the way WIPO works, which</w:t>
      </w:r>
      <w:r w:rsidR="005D4D49">
        <w:t xml:space="preserve"> will need to be taken into account in designing a new </w:t>
      </w:r>
      <w:r w:rsidR="005D4D49" w:rsidRPr="004A7A9D">
        <w:rPr>
          <w:szCs w:val="22"/>
        </w:rPr>
        <w:t>Performance Ma</w:t>
      </w:r>
      <w:r w:rsidR="005D4D49">
        <w:rPr>
          <w:szCs w:val="22"/>
        </w:rPr>
        <w:t>nagement and Staff Development f</w:t>
      </w:r>
      <w:r w:rsidR="005D4D49" w:rsidRPr="004A7A9D">
        <w:rPr>
          <w:szCs w:val="22"/>
        </w:rPr>
        <w:t>ramework</w:t>
      </w:r>
      <w:r w:rsidR="005D4D49">
        <w:t xml:space="preserve">, notably to increase focus on outcomes. </w:t>
      </w:r>
      <w:r w:rsidR="00353E28">
        <w:t xml:space="preserve"> </w:t>
      </w:r>
      <w:r w:rsidR="005D4D49" w:rsidRPr="004A7A9D">
        <w:rPr>
          <w:szCs w:val="22"/>
        </w:rPr>
        <w:t xml:space="preserve">IOD has </w:t>
      </w:r>
      <w:r w:rsidR="005D4D49">
        <w:rPr>
          <w:szCs w:val="22"/>
        </w:rPr>
        <w:t>initiated</w:t>
      </w:r>
      <w:r w:rsidR="005D4D49" w:rsidRPr="004A7A9D">
        <w:rPr>
          <w:szCs w:val="22"/>
        </w:rPr>
        <w:t xml:space="preserve"> a review to assess whether the existing framework is fit-for-purpose and empowers WIPO</w:t>
      </w:r>
      <w:r w:rsidR="0006560C">
        <w:rPr>
          <w:szCs w:val="22"/>
        </w:rPr>
        <w:t>’</w:t>
      </w:r>
      <w:r w:rsidR="005D4D49" w:rsidRPr="004A7A9D">
        <w:rPr>
          <w:szCs w:val="22"/>
        </w:rPr>
        <w:t xml:space="preserve">s staff to perform at the highest level. </w:t>
      </w:r>
      <w:r w:rsidR="00353E28">
        <w:rPr>
          <w:szCs w:val="22"/>
        </w:rPr>
        <w:t xml:space="preserve"> </w:t>
      </w:r>
      <w:r w:rsidR="005D4D49" w:rsidRPr="004A7A9D">
        <w:rPr>
          <w:szCs w:val="22"/>
        </w:rPr>
        <w:t>HRMD hopes that this review will enable it to better understand to what extent the resources, systems and tools in place support this framework (and what changes, if any, are required) and are fit-for-purpose for effective delivery, as well as whether WIPO</w:t>
      </w:r>
      <w:r w:rsidR="0006560C">
        <w:rPr>
          <w:szCs w:val="22"/>
        </w:rPr>
        <w:t>’</w:t>
      </w:r>
      <w:r w:rsidR="005D4D49" w:rsidRPr="004A7A9D">
        <w:rPr>
          <w:szCs w:val="22"/>
        </w:rPr>
        <w:t xml:space="preserve">s organizational culture promotes and rewards performance. </w:t>
      </w:r>
    </w:p>
    <w:p w14:paraId="3F743F1D" w14:textId="77777777" w:rsidR="005D4D49" w:rsidRPr="004A7A9D" w:rsidRDefault="005D4D49" w:rsidP="005D4D49">
      <w:pPr>
        <w:pStyle w:val="ListParagraph"/>
        <w:autoSpaceDN w:val="0"/>
        <w:ind w:left="0"/>
      </w:pPr>
    </w:p>
    <w:p w14:paraId="69A60E68" w14:textId="438D3E17" w:rsidR="005D4D49" w:rsidRDefault="00546352" w:rsidP="00930754">
      <w:pPr>
        <w:pStyle w:val="ListParagraph"/>
        <w:numPr>
          <w:ilvl w:val="0"/>
          <w:numId w:val="12"/>
        </w:numPr>
        <w:autoSpaceDN w:val="0"/>
        <w:ind w:left="0" w:firstLine="0"/>
      </w:pPr>
      <w:r>
        <w:t>Therefore, learning and d</w:t>
      </w:r>
      <w:r w:rsidR="005D4D49">
        <w:t xml:space="preserve">evelopment will </w:t>
      </w:r>
      <w:r w:rsidR="008A650A">
        <w:t xml:space="preserve">also be </w:t>
      </w:r>
      <w:r w:rsidR="005D4D49">
        <w:t>a key focus to ensure WIPO is re</w:t>
      </w:r>
      <w:r>
        <w:t xml:space="preserve">ady for the new </w:t>
      </w:r>
      <w:r w:rsidR="005D4D49">
        <w:t xml:space="preserve">post-pandemic work model. </w:t>
      </w:r>
      <w:r w:rsidR="00DA36C5">
        <w:t xml:space="preserve"> </w:t>
      </w:r>
      <w:r w:rsidR="005D4D49">
        <w:t xml:space="preserve">For example, COVID-19 has accelerated the dependency on technologies to deliver </w:t>
      </w:r>
      <w:r>
        <w:t>WIPO</w:t>
      </w:r>
      <w:r w:rsidR="0006560C">
        <w:t>’</w:t>
      </w:r>
      <w:r>
        <w:t>s</w:t>
      </w:r>
      <w:r w:rsidR="005D4D49">
        <w:t xml:space="preserve"> work</w:t>
      </w:r>
      <w:r>
        <w:t>, hence the</w:t>
      </w:r>
      <w:r w:rsidR="005D4D49">
        <w:t xml:space="preserve"> need to ensure </w:t>
      </w:r>
      <w:r>
        <w:t>that</w:t>
      </w:r>
      <w:r w:rsidR="005D4D49">
        <w:t xml:space="preserve"> employees are well equipped to understand and use technologies. Fostering learning agility and strengthening the innovation capacity of WIPO</w:t>
      </w:r>
      <w:r w:rsidR="0006560C">
        <w:t>’</w:t>
      </w:r>
      <w:r w:rsidR="005D4D49">
        <w:t xml:space="preserve">s workforce will be an important enabler for the successful implementation of the new MTSP and the </w:t>
      </w:r>
      <w:r w:rsidR="008A650A">
        <w:t>Program and Budget</w:t>
      </w:r>
      <w:r w:rsidR="00DA36C5">
        <w:t xml:space="preserve"> for 2022/23</w:t>
      </w:r>
      <w:r w:rsidR="005D4D49">
        <w:t>.</w:t>
      </w:r>
      <w:r w:rsidR="00DA36C5">
        <w:t xml:space="preserve"> </w:t>
      </w:r>
      <w:r w:rsidR="005D4D49">
        <w:t xml:space="preserve"> This will be an integral part of </w:t>
      </w:r>
      <w:r>
        <w:t xml:space="preserve">a </w:t>
      </w:r>
      <w:r w:rsidR="005D4D49">
        <w:t xml:space="preserve">new training framework, which will include links to </w:t>
      </w:r>
      <w:r w:rsidR="005D4D49" w:rsidRPr="009037F1">
        <w:t xml:space="preserve">career development and </w:t>
      </w:r>
      <w:r w:rsidR="005D4D49">
        <w:t xml:space="preserve">internal </w:t>
      </w:r>
      <w:r w:rsidR="005D4D49" w:rsidRPr="009037F1">
        <w:t>mobility</w:t>
      </w:r>
      <w:r w:rsidR="005D4D49">
        <w:t xml:space="preserve">. </w:t>
      </w:r>
      <w:r w:rsidR="00DA36C5">
        <w:t xml:space="preserve"> </w:t>
      </w:r>
      <w:r w:rsidR="005D4D49">
        <w:t xml:space="preserve">Additional focus will be given to transferrable skills that can support more flexibility in the redeployment of the workforce to priority areas as needed, both in training and in hiring new people. </w:t>
      </w:r>
      <w:r>
        <w:t>There is a need for</w:t>
      </w:r>
      <w:r w:rsidR="005D4D49">
        <w:t xml:space="preserve"> employees who can provide a more </w:t>
      </w:r>
      <w:r w:rsidR="002033FD">
        <w:t>forward-looking</w:t>
      </w:r>
      <w:r w:rsidR="005D4D49">
        <w:t xml:space="preserve"> outlook and </w:t>
      </w:r>
      <w:r w:rsidR="008A650A">
        <w:t xml:space="preserve">who </w:t>
      </w:r>
      <w:r w:rsidR="005D4D49">
        <w:t xml:space="preserve">are able to adjust to change on a continuous basis.  </w:t>
      </w:r>
    </w:p>
    <w:p w14:paraId="390E1E2E" w14:textId="77777777" w:rsidR="008308B9" w:rsidRDefault="008308B9" w:rsidP="008308B9">
      <w:pPr>
        <w:pStyle w:val="ListParagraph"/>
      </w:pPr>
    </w:p>
    <w:p w14:paraId="46119888" w14:textId="26DA3FFE" w:rsidR="0006560C" w:rsidRDefault="008308B9" w:rsidP="005D4D49">
      <w:pPr>
        <w:pStyle w:val="ListParagraph"/>
        <w:numPr>
          <w:ilvl w:val="0"/>
          <w:numId w:val="12"/>
        </w:numPr>
        <w:autoSpaceDN w:val="0"/>
        <w:ind w:left="0" w:firstLine="0"/>
      </w:pPr>
      <w:r>
        <w:t xml:space="preserve">Additionally, HRMD will introduce diversity and inclusion initiatives to create an environment that promotes trust and engagement. </w:t>
      </w:r>
      <w:r w:rsidR="00DA36C5">
        <w:t xml:space="preserve"> </w:t>
      </w:r>
      <w:r w:rsidRPr="005D31FF">
        <w:t xml:space="preserve">A Young Expert Program (YEP) targeted at global, diverse, young and talented individuals </w:t>
      </w:r>
      <w:r w:rsidR="002033FD">
        <w:t>will be established</w:t>
      </w:r>
      <w:r w:rsidRPr="005D31FF">
        <w:t xml:space="preserve"> with an aim to welcome </w:t>
      </w:r>
      <w:r>
        <w:t>WIPO</w:t>
      </w:r>
      <w:r w:rsidR="0006560C">
        <w:t>’</w:t>
      </w:r>
      <w:r>
        <w:t xml:space="preserve">s first YEP cohort </w:t>
      </w:r>
      <w:r w:rsidR="00FD1B40">
        <w:t xml:space="preserve">in </w:t>
      </w:r>
      <w:r w:rsidR="002033FD">
        <w:t>early 2022</w:t>
      </w:r>
      <w:r w:rsidRPr="005D31FF">
        <w:t>.  This program will contribute to attain at least three</w:t>
      </w:r>
      <w:r w:rsidRPr="005D31FF">
        <w:rPr>
          <w:rStyle w:val="FootnoteReference"/>
          <w:rFonts w:eastAsia="SimSun"/>
        </w:rPr>
        <w:footnoteReference w:id="11"/>
      </w:r>
      <w:r w:rsidRPr="005D31FF">
        <w:t xml:space="preserve"> of the Strategic Pillars of </w:t>
      </w:r>
      <w:r>
        <w:t>the MTSP</w:t>
      </w:r>
      <w:r w:rsidRPr="005D31FF">
        <w:t xml:space="preserve"> as well as its Foundation.</w:t>
      </w:r>
      <w:r w:rsidR="00FD1B40" w:rsidRPr="005D31FF">
        <w:rPr>
          <w:rStyle w:val="FootnoteReference"/>
          <w:rFonts w:eastAsia="SimSun"/>
        </w:rPr>
        <w:footnoteReference w:id="12"/>
      </w:r>
      <w:r w:rsidRPr="005D31FF">
        <w:t xml:space="preserve">  The program will </w:t>
      </w:r>
      <w:r w:rsidR="00FD1B40">
        <w:t xml:space="preserve">also </w:t>
      </w:r>
      <w:r w:rsidRPr="005D31FF">
        <w:t>contribute to WIPO</w:t>
      </w:r>
      <w:r w:rsidR="0006560C">
        <w:t>’</w:t>
      </w:r>
      <w:r w:rsidRPr="005D31FF">
        <w:t xml:space="preserve">s diversity and inclusion strategies from at least gender, geographical, age and social economic perspectives.  </w:t>
      </w:r>
      <w:r>
        <w:t>It</w:t>
      </w:r>
      <w:r w:rsidRPr="005D31FF">
        <w:t xml:space="preserve"> will </w:t>
      </w:r>
      <w:r>
        <w:t xml:space="preserve">also </w:t>
      </w:r>
      <w:r w:rsidRPr="005D31FF">
        <w:t xml:space="preserve">facilitate the development and recognition of actual and potential talent with a key objective </w:t>
      </w:r>
      <w:r w:rsidRPr="004A7A9D">
        <w:rPr>
          <w:rFonts w:cstheme="minorHAnsi"/>
        </w:rPr>
        <w:t xml:space="preserve">to build capacity and democratize </w:t>
      </w:r>
      <w:r w:rsidR="00DA36C5">
        <w:rPr>
          <w:rFonts w:cstheme="minorHAnsi"/>
        </w:rPr>
        <w:t>i</w:t>
      </w:r>
      <w:r w:rsidRPr="004A7A9D">
        <w:rPr>
          <w:rFonts w:cstheme="minorHAnsi"/>
        </w:rPr>
        <w:t xml:space="preserve">ntellectual </w:t>
      </w:r>
      <w:r w:rsidR="00DA36C5">
        <w:rPr>
          <w:rFonts w:cstheme="minorHAnsi"/>
        </w:rPr>
        <w:t>p</w:t>
      </w:r>
      <w:r w:rsidRPr="004A7A9D">
        <w:rPr>
          <w:rFonts w:cstheme="minorHAnsi"/>
        </w:rPr>
        <w:t xml:space="preserve">roperty (IP) so that YEP alumni can further their career inside or outside of WIPO whether in </w:t>
      </w:r>
      <w:r w:rsidRPr="00852706">
        <w:rPr>
          <w:rFonts w:cstheme="minorHAnsi"/>
        </w:rPr>
        <w:t>the</w:t>
      </w:r>
      <w:r w:rsidRPr="004A7A9D">
        <w:rPr>
          <w:rFonts w:cstheme="minorHAnsi"/>
        </w:rPr>
        <w:t xml:space="preserve"> international or national</w:t>
      </w:r>
      <w:r w:rsidR="002A56CC">
        <w:rPr>
          <w:rFonts w:cstheme="minorHAnsi"/>
        </w:rPr>
        <w:t xml:space="preserve"> contexts.</w:t>
      </w:r>
    </w:p>
    <w:p w14:paraId="76205C55" w14:textId="77777777" w:rsidR="0006560C" w:rsidRDefault="0006560C" w:rsidP="0006560C">
      <w:pPr>
        <w:pStyle w:val="ListParagraph"/>
      </w:pPr>
    </w:p>
    <w:p w14:paraId="0FBFDCAB" w14:textId="77777777" w:rsidR="0006560C" w:rsidRDefault="0006560C" w:rsidP="0006560C">
      <w:pPr>
        <w:pStyle w:val="ListParagraph"/>
        <w:ind w:left="5580"/>
      </w:pPr>
    </w:p>
    <w:p w14:paraId="3C236158" w14:textId="77777777" w:rsidR="0006560C" w:rsidRDefault="0006560C" w:rsidP="0006560C">
      <w:pPr>
        <w:pStyle w:val="ListParagraph"/>
        <w:ind w:left="5580"/>
      </w:pPr>
    </w:p>
    <w:p w14:paraId="404FFE02" w14:textId="4F103739" w:rsidR="0006560C" w:rsidRDefault="0006560C" w:rsidP="0006560C">
      <w:pPr>
        <w:pStyle w:val="ListParagraph"/>
        <w:ind w:left="5580"/>
      </w:pPr>
      <w:r>
        <w:t>[End of document]</w:t>
      </w:r>
    </w:p>
    <w:p w14:paraId="45BBBD6E" w14:textId="77777777" w:rsidR="0006560C" w:rsidRDefault="0006560C" w:rsidP="0006560C">
      <w:pPr>
        <w:pStyle w:val="ListParagraph"/>
        <w:autoSpaceDN w:val="0"/>
        <w:ind w:left="0"/>
      </w:pPr>
    </w:p>
    <w:sectPr w:rsidR="0006560C" w:rsidSect="00276BEE">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9AF6" w14:textId="77777777" w:rsidR="008C7E22" w:rsidRDefault="008C7E22">
      <w:r>
        <w:separator/>
      </w:r>
    </w:p>
  </w:endnote>
  <w:endnote w:type="continuationSeparator" w:id="0">
    <w:p w14:paraId="237A8418" w14:textId="77777777" w:rsidR="008C7E22" w:rsidRDefault="008C7E22" w:rsidP="003B38C1">
      <w:r>
        <w:separator/>
      </w:r>
    </w:p>
    <w:p w14:paraId="2E2A5DCB" w14:textId="77777777" w:rsidR="008C7E22" w:rsidRPr="003B38C1" w:rsidRDefault="008C7E22" w:rsidP="003B38C1">
      <w:pPr>
        <w:spacing w:after="60"/>
        <w:rPr>
          <w:sz w:val="17"/>
        </w:rPr>
      </w:pPr>
      <w:r>
        <w:rPr>
          <w:sz w:val="17"/>
        </w:rPr>
        <w:t>[Endnote continued from previous page]</w:t>
      </w:r>
    </w:p>
  </w:endnote>
  <w:endnote w:type="continuationNotice" w:id="1">
    <w:p w14:paraId="4C5940F1" w14:textId="77777777" w:rsidR="008C7E22" w:rsidRPr="003B38C1" w:rsidRDefault="008C7E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8FF06" w14:textId="77777777" w:rsidR="008C7E22" w:rsidRDefault="008C7E22">
      <w:r>
        <w:separator/>
      </w:r>
    </w:p>
  </w:footnote>
  <w:footnote w:type="continuationSeparator" w:id="0">
    <w:p w14:paraId="1DF8AAA2" w14:textId="77777777" w:rsidR="008C7E22" w:rsidRDefault="008C7E22" w:rsidP="008B60B2">
      <w:r>
        <w:separator/>
      </w:r>
    </w:p>
    <w:p w14:paraId="67B6C9AA" w14:textId="77777777" w:rsidR="008C7E22" w:rsidRPr="00ED77FB" w:rsidRDefault="008C7E22" w:rsidP="008B60B2">
      <w:pPr>
        <w:spacing w:after="60"/>
        <w:rPr>
          <w:sz w:val="17"/>
          <w:szCs w:val="17"/>
        </w:rPr>
      </w:pPr>
      <w:r w:rsidRPr="00ED77FB">
        <w:rPr>
          <w:sz w:val="17"/>
          <w:szCs w:val="17"/>
        </w:rPr>
        <w:t>[Footnote continued from previous page]</w:t>
      </w:r>
    </w:p>
  </w:footnote>
  <w:footnote w:type="continuationNotice" w:id="1">
    <w:p w14:paraId="00FA0F5F" w14:textId="77777777" w:rsidR="008C7E22" w:rsidRPr="00ED77FB" w:rsidRDefault="008C7E22" w:rsidP="008B60B2">
      <w:pPr>
        <w:spacing w:before="60"/>
        <w:jc w:val="right"/>
        <w:rPr>
          <w:sz w:val="17"/>
          <w:szCs w:val="17"/>
        </w:rPr>
      </w:pPr>
      <w:r w:rsidRPr="00ED77FB">
        <w:rPr>
          <w:sz w:val="17"/>
          <w:szCs w:val="17"/>
        </w:rPr>
        <w:t>[Footnote continued on next page]</w:t>
      </w:r>
    </w:p>
  </w:footnote>
  <w:footnote w:id="2">
    <w:p w14:paraId="17388C85" w14:textId="77777777" w:rsidR="00D204CB" w:rsidRPr="00C133FC" w:rsidRDefault="00D204CB" w:rsidP="00276BEE">
      <w:pPr>
        <w:pStyle w:val="FootnoteText"/>
        <w:rPr>
          <w:sz w:val="16"/>
          <w:szCs w:val="16"/>
        </w:rPr>
      </w:pPr>
      <w:r w:rsidRPr="00C133FC">
        <w:rPr>
          <w:rStyle w:val="FootnoteReference"/>
          <w:sz w:val="16"/>
          <w:szCs w:val="16"/>
        </w:rPr>
        <w:footnoteRef/>
      </w:r>
      <w:r w:rsidRPr="00C133FC">
        <w:rPr>
          <w:sz w:val="16"/>
          <w:szCs w:val="16"/>
        </w:rPr>
        <w:t xml:space="preserve"> </w:t>
      </w:r>
      <w:r w:rsidRPr="00C133FC">
        <w:rPr>
          <w:sz w:val="16"/>
          <w:szCs w:val="16"/>
        </w:rPr>
        <w:tab/>
        <w:t>In the last reporting period, the total workforce was 1,508 with a 72/28 proportion between core and flexible resources.</w:t>
      </w:r>
    </w:p>
  </w:footnote>
  <w:footnote w:id="3">
    <w:p w14:paraId="6F7392D8" w14:textId="4552D0C6" w:rsidR="00D204CB" w:rsidRPr="00C133FC" w:rsidRDefault="00D204CB" w:rsidP="00276BEE">
      <w:pPr>
        <w:pStyle w:val="FootnoteText"/>
        <w:rPr>
          <w:sz w:val="16"/>
          <w:szCs w:val="16"/>
        </w:rPr>
      </w:pPr>
      <w:r w:rsidRPr="00C133FC">
        <w:rPr>
          <w:rStyle w:val="FootnoteReference"/>
          <w:sz w:val="16"/>
          <w:szCs w:val="16"/>
        </w:rPr>
        <w:footnoteRef/>
      </w:r>
      <w:r w:rsidRPr="00C133FC">
        <w:rPr>
          <w:sz w:val="16"/>
          <w:szCs w:val="16"/>
        </w:rPr>
        <w:t xml:space="preserve"> </w:t>
      </w:r>
      <w:r w:rsidRPr="00C133FC">
        <w:rPr>
          <w:sz w:val="16"/>
          <w:szCs w:val="16"/>
        </w:rPr>
        <w:tab/>
        <w:t>Staff holding a fixed-term, continuing or permanent appointment on regular budget funding</w:t>
      </w:r>
      <w:r w:rsidR="0060009D">
        <w:rPr>
          <w:sz w:val="16"/>
          <w:szCs w:val="16"/>
        </w:rPr>
        <w:t>.</w:t>
      </w:r>
    </w:p>
  </w:footnote>
  <w:footnote w:id="4">
    <w:p w14:paraId="3FD56214" w14:textId="1BF08F23" w:rsidR="00D204CB" w:rsidRPr="00C133FC" w:rsidRDefault="00D204CB" w:rsidP="00276BEE">
      <w:pPr>
        <w:pStyle w:val="FootnoteText"/>
        <w:rPr>
          <w:sz w:val="16"/>
          <w:szCs w:val="16"/>
        </w:rPr>
      </w:pPr>
      <w:r w:rsidRPr="00C133FC">
        <w:rPr>
          <w:rStyle w:val="FootnoteReference"/>
          <w:sz w:val="16"/>
          <w:szCs w:val="16"/>
        </w:rPr>
        <w:footnoteRef/>
      </w:r>
      <w:r w:rsidRPr="00C133FC">
        <w:rPr>
          <w:sz w:val="16"/>
          <w:szCs w:val="16"/>
        </w:rPr>
        <w:t xml:space="preserve"> </w:t>
      </w:r>
      <w:r w:rsidRPr="00C133FC">
        <w:rPr>
          <w:sz w:val="16"/>
          <w:szCs w:val="16"/>
        </w:rPr>
        <w:tab/>
        <w:t xml:space="preserve">Staff holding a temporary appointment on regular budget funding; Staff on non-regular budget funding (Reserves and Funds-in-Trust); UN Staff on Loan; Junior Professional Officers </w:t>
      </w:r>
      <w:r w:rsidR="00A83B4C">
        <w:rPr>
          <w:sz w:val="16"/>
          <w:szCs w:val="16"/>
        </w:rPr>
        <w:t xml:space="preserve">including </w:t>
      </w:r>
      <w:r w:rsidR="00A83B4C" w:rsidRPr="00C133FC">
        <w:rPr>
          <w:sz w:val="16"/>
          <w:szCs w:val="16"/>
        </w:rPr>
        <w:t xml:space="preserve">United Nations Development Programme </w:t>
      </w:r>
      <w:r w:rsidRPr="00C133FC">
        <w:rPr>
          <w:sz w:val="16"/>
          <w:szCs w:val="16"/>
        </w:rPr>
        <w:t>(UNDP</w:t>
      </w:r>
      <w:r w:rsidR="00A83B4C">
        <w:rPr>
          <w:sz w:val="16"/>
          <w:szCs w:val="16"/>
        </w:rPr>
        <w:t>)</w:t>
      </w:r>
      <w:r w:rsidRPr="00C133FC">
        <w:rPr>
          <w:sz w:val="16"/>
          <w:szCs w:val="16"/>
        </w:rPr>
        <w:t xml:space="preserve"> JPOs; Interns; Fellows; Monthly/daily translators/revisers; Individual Contractor Services (ICS); Agency Workers; External Providers; and individuals from the SYNI program of the Swiss Bureau of Subsidized Temporary Employment.</w:t>
      </w:r>
    </w:p>
  </w:footnote>
  <w:footnote w:id="5">
    <w:p w14:paraId="42B55A7E" w14:textId="77777777" w:rsidR="0060009D" w:rsidRPr="00DF773D" w:rsidRDefault="0060009D" w:rsidP="0060009D">
      <w:pPr>
        <w:autoSpaceDE w:val="0"/>
        <w:autoSpaceDN w:val="0"/>
        <w:adjustRightInd w:val="0"/>
        <w:rPr>
          <w:sz w:val="16"/>
          <w:szCs w:val="16"/>
        </w:rPr>
      </w:pPr>
      <w:r w:rsidRPr="00DF773D">
        <w:rPr>
          <w:rStyle w:val="FootnoteReference"/>
          <w:sz w:val="16"/>
          <w:szCs w:val="16"/>
        </w:rPr>
        <w:footnoteRef/>
      </w:r>
      <w:r w:rsidRPr="00DF773D">
        <w:rPr>
          <w:sz w:val="16"/>
          <w:szCs w:val="16"/>
        </w:rPr>
        <w:t xml:space="preserve"> </w:t>
      </w:r>
      <w:r w:rsidRPr="00DF773D">
        <w:rPr>
          <w:sz w:val="16"/>
          <w:szCs w:val="16"/>
        </w:rPr>
        <w:tab/>
      </w:r>
      <w:r w:rsidRPr="00DF773D">
        <w:rPr>
          <w:iCs/>
          <w:sz w:val="16"/>
          <w:szCs w:val="16"/>
        </w:rPr>
        <w:t>The posts subject to geographical distribution are all staff positions in the Professional and higher categories</w:t>
      </w:r>
      <w:r>
        <w:rPr>
          <w:iCs/>
          <w:sz w:val="16"/>
          <w:szCs w:val="16"/>
        </w:rPr>
        <w:t>,</w:t>
      </w:r>
      <w:r w:rsidRPr="00DF773D">
        <w:rPr>
          <w:iCs/>
          <w:sz w:val="16"/>
          <w:szCs w:val="16"/>
        </w:rPr>
        <w:t xml:space="preserve"> which are funded under the regular budget except language positions and the post of Director General.</w:t>
      </w:r>
    </w:p>
  </w:footnote>
  <w:footnote w:id="6">
    <w:p w14:paraId="0ECD316B" w14:textId="2626932F" w:rsidR="00D204CB" w:rsidRPr="00BE4E4A" w:rsidRDefault="00D204CB" w:rsidP="00276BEE">
      <w:pPr>
        <w:pStyle w:val="FootnoteText"/>
        <w:rPr>
          <w:sz w:val="16"/>
          <w:szCs w:val="16"/>
        </w:rPr>
      </w:pPr>
      <w:r w:rsidRPr="003A1A1C">
        <w:rPr>
          <w:rStyle w:val="FootnoteReference"/>
          <w:sz w:val="16"/>
          <w:szCs w:val="16"/>
        </w:rPr>
        <w:footnoteRef/>
      </w:r>
      <w:r w:rsidRPr="003A1A1C">
        <w:rPr>
          <w:sz w:val="16"/>
          <w:szCs w:val="16"/>
        </w:rPr>
        <w:t xml:space="preserve"> </w:t>
      </w:r>
      <w:r w:rsidRPr="003A1A1C">
        <w:rPr>
          <w:sz w:val="16"/>
          <w:szCs w:val="16"/>
        </w:rPr>
        <w:tab/>
        <w:t xml:space="preserve">See document </w:t>
      </w:r>
      <w:hyperlink r:id="rId1" w:history="1">
        <w:r w:rsidRPr="007A0433">
          <w:rPr>
            <w:rStyle w:val="Hyperlink"/>
            <w:sz w:val="16"/>
            <w:szCs w:val="16"/>
          </w:rPr>
          <w:t>WO/CC/75/3</w:t>
        </w:r>
      </w:hyperlink>
      <w:r w:rsidRPr="00BE4E4A">
        <w:rPr>
          <w:rStyle w:val="Hyperlink"/>
          <w:sz w:val="16"/>
          <w:szCs w:val="16"/>
        </w:rPr>
        <w:t>.</w:t>
      </w:r>
    </w:p>
  </w:footnote>
  <w:footnote w:id="7">
    <w:p w14:paraId="70ED7F27" w14:textId="77777777" w:rsidR="00D204CB" w:rsidRPr="009967C8" w:rsidRDefault="00D204CB" w:rsidP="00276BEE">
      <w:pPr>
        <w:pStyle w:val="FootnoteText"/>
        <w:rPr>
          <w:sz w:val="16"/>
          <w:szCs w:val="16"/>
        </w:rPr>
      </w:pPr>
      <w:r>
        <w:rPr>
          <w:rStyle w:val="FootnoteReference"/>
        </w:rPr>
        <w:footnoteRef/>
      </w:r>
      <w:r>
        <w:t xml:space="preserve"> </w:t>
      </w:r>
      <w:r>
        <w:tab/>
      </w:r>
      <w:r w:rsidRPr="009967C8">
        <w:rPr>
          <w:sz w:val="16"/>
          <w:szCs w:val="16"/>
        </w:rPr>
        <w:t>The UN-SWAP operationalizes the UN System-wide Policy on Gender Equality and the Empowerment of Women adopted in 2006 by the CEB.</w:t>
      </w:r>
    </w:p>
  </w:footnote>
  <w:footnote w:id="8">
    <w:p w14:paraId="6233FE97" w14:textId="77777777" w:rsidR="00D204CB" w:rsidRPr="009967C8" w:rsidRDefault="00D204CB" w:rsidP="00276BEE">
      <w:pPr>
        <w:pStyle w:val="FootnoteText"/>
        <w:rPr>
          <w:sz w:val="16"/>
          <w:szCs w:val="16"/>
        </w:rPr>
      </w:pPr>
      <w:r w:rsidRPr="009967C8">
        <w:rPr>
          <w:rStyle w:val="FootnoteReference"/>
          <w:sz w:val="16"/>
          <w:szCs w:val="16"/>
        </w:rPr>
        <w:footnoteRef/>
      </w:r>
      <w:r w:rsidRPr="009967C8">
        <w:rPr>
          <w:sz w:val="16"/>
          <w:szCs w:val="16"/>
        </w:rPr>
        <w:t xml:space="preserve"> </w:t>
      </w:r>
      <w:r w:rsidRPr="009967C8">
        <w:rPr>
          <w:sz w:val="16"/>
          <w:szCs w:val="16"/>
        </w:rPr>
        <w:tab/>
        <w:t>In 20</w:t>
      </w:r>
      <w:r>
        <w:rPr>
          <w:sz w:val="16"/>
          <w:szCs w:val="16"/>
        </w:rPr>
        <w:t>20</w:t>
      </w:r>
      <w:r w:rsidRPr="009967C8">
        <w:rPr>
          <w:sz w:val="16"/>
          <w:szCs w:val="16"/>
        </w:rPr>
        <w:t>, WIPO:</w:t>
      </w:r>
    </w:p>
    <w:p w14:paraId="7FBAD7C5" w14:textId="77777777" w:rsidR="00D204CB" w:rsidRPr="009967C8" w:rsidRDefault="00D204CB" w:rsidP="00276BEE">
      <w:pPr>
        <w:pStyle w:val="FootnoteText"/>
        <w:numPr>
          <w:ilvl w:val="0"/>
          <w:numId w:val="9"/>
        </w:numPr>
        <w:ind w:left="900"/>
        <w:rPr>
          <w:sz w:val="16"/>
          <w:szCs w:val="16"/>
        </w:rPr>
      </w:pPr>
      <w:r w:rsidRPr="009967C8">
        <w:rPr>
          <w:sz w:val="16"/>
          <w:szCs w:val="16"/>
        </w:rPr>
        <w:t xml:space="preserve">exceeds requirements for (PI4) Evaluation and (PI5) Audit; </w:t>
      </w:r>
    </w:p>
    <w:p w14:paraId="3DF49681" w14:textId="77777777" w:rsidR="00D204CB" w:rsidRPr="009967C8" w:rsidRDefault="00D204CB" w:rsidP="00276BEE">
      <w:pPr>
        <w:pStyle w:val="FootnoteText"/>
        <w:numPr>
          <w:ilvl w:val="0"/>
          <w:numId w:val="9"/>
        </w:numPr>
        <w:ind w:left="900"/>
        <w:rPr>
          <w:sz w:val="16"/>
          <w:szCs w:val="16"/>
        </w:rPr>
      </w:pPr>
      <w:r w:rsidRPr="009967C8">
        <w:rPr>
          <w:sz w:val="16"/>
          <w:szCs w:val="16"/>
        </w:rPr>
        <w:t>meets requirements for (PI6) Policy, (PI7) Leadership, (PI8) Gender-Responsive Performance Management, (PI11) Gender Architecture, (PI13) Organizational Culture</w:t>
      </w:r>
      <w:r>
        <w:rPr>
          <w:sz w:val="16"/>
          <w:szCs w:val="16"/>
        </w:rPr>
        <w:t>, and (PI17) Coherence;</w:t>
      </w:r>
    </w:p>
    <w:p w14:paraId="6B3EA91A" w14:textId="58CF8970" w:rsidR="00D204CB" w:rsidRPr="009967C8" w:rsidRDefault="00D204CB" w:rsidP="00276BEE">
      <w:pPr>
        <w:pStyle w:val="FootnoteText"/>
        <w:numPr>
          <w:ilvl w:val="0"/>
          <w:numId w:val="9"/>
        </w:numPr>
        <w:ind w:left="900"/>
        <w:rPr>
          <w:sz w:val="16"/>
          <w:szCs w:val="16"/>
        </w:rPr>
      </w:pPr>
      <w:r w:rsidRPr="009967C8">
        <w:rPr>
          <w:sz w:val="16"/>
          <w:szCs w:val="16"/>
        </w:rPr>
        <w:t>approaches requirements for (PI9) Financial Resource Tracking, (PI12) Equal Representation of Women, (PI14) Capacity Assessment, (PI15) Capacity Development</w:t>
      </w:r>
      <w:r>
        <w:rPr>
          <w:sz w:val="16"/>
          <w:szCs w:val="16"/>
        </w:rPr>
        <w:t>, and</w:t>
      </w:r>
      <w:r w:rsidR="0060009D">
        <w:rPr>
          <w:sz w:val="16"/>
          <w:szCs w:val="16"/>
        </w:rPr>
        <w:t xml:space="preserve"> </w:t>
      </w:r>
      <w:r w:rsidRPr="009967C8">
        <w:rPr>
          <w:sz w:val="16"/>
          <w:szCs w:val="16"/>
        </w:rPr>
        <w:t>(PI16) Knowledge and Communi</w:t>
      </w:r>
      <w:r>
        <w:rPr>
          <w:sz w:val="16"/>
          <w:szCs w:val="16"/>
        </w:rPr>
        <w:t xml:space="preserve">cation; </w:t>
      </w:r>
    </w:p>
    <w:p w14:paraId="43BF527A" w14:textId="77777777" w:rsidR="0060009D" w:rsidRDefault="00D204CB" w:rsidP="00276BEE">
      <w:pPr>
        <w:pStyle w:val="FootnoteText"/>
        <w:numPr>
          <w:ilvl w:val="0"/>
          <w:numId w:val="9"/>
        </w:numPr>
        <w:ind w:left="900"/>
        <w:rPr>
          <w:sz w:val="16"/>
          <w:szCs w:val="16"/>
        </w:rPr>
      </w:pPr>
      <w:r w:rsidRPr="0033266C">
        <w:rPr>
          <w:sz w:val="16"/>
          <w:szCs w:val="16"/>
        </w:rPr>
        <w:t>misses</w:t>
      </w:r>
      <w:r w:rsidRPr="009967C8">
        <w:rPr>
          <w:sz w:val="16"/>
          <w:szCs w:val="16"/>
        </w:rPr>
        <w:t xml:space="preserve"> requirements for (PI1) Strategic Planning Gender-related SDG Results, (PI2) Reporting on Gender-related SDG Results and (PI10) Financial Resource Allocation</w:t>
      </w:r>
      <w:r>
        <w:rPr>
          <w:sz w:val="16"/>
          <w:szCs w:val="16"/>
        </w:rPr>
        <w:t>.</w:t>
      </w:r>
    </w:p>
    <w:p w14:paraId="00A32F9B" w14:textId="310C665A" w:rsidR="00D204CB" w:rsidRPr="0060009D" w:rsidRDefault="00D204CB" w:rsidP="0060009D">
      <w:pPr>
        <w:pStyle w:val="FootnoteText"/>
        <w:ind w:left="540"/>
        <w:rPr>
          <w:sz w:val="16"/>
          <w:szCs w:val="16"/>
        </w:rPr>
      </w:pPr>
      <w:r w:rsidRPr="0060009D">
        <w:rPr>
          <w:sz w:val="16"/>
          <w:szCs w:val="16"/>
        </w:rPr>
        <w:t>(PI 3) Programmatic Gender-related SDG Results is not applicable.</w:t>
      </w:r>
    </w:p>
  </w:footnote>
  <w:footnote w:id="9">
    <w:p w14:paraId="730DFCEB" w14:textId="77777777" w:rsidR="005B5982" w:rsidRPr="00EF4127" w:rsidRDefault="005B5982" w:rsidP="005B5982">
      <w:pPr>
        <w:pStyle w:val="FootnoteText"/>
        <w:jc w:val="both"/>
        <w:rPr>
          <w:sz w:val="16"/>
          <w:szCs w:val="16"/>
        </w:rPr>
      </w:pPr>
      <w:r w:rsidRPr="00EF4127">
        <w:rPr>
          <w:rStyle w:val="FootnoteReference"/>
          <w:sz w:val="16"/>
          <w:szCs w:val="16"/>
        </w:rPr>
        <w:footnoteRef/>
      </w:r>
      <w:r w:rsidRPr="00EF4127">
        <w:rPr>
          <w:sz w:val="16"/>
          <w:szCs w:val="16"/>
        </w:rPr>
        <w:t xml:space="preserve"> </w:t>
      </w:r>
      <w:r>
        <w:rPr>
          <w:sz w:val="16"/>
          <w:szCs w:val="16"/>
        </w:rPr>
        <w:tab/>
      </w:r>
      <w:r w:rsidRPr="00EF4127">
        <w:rPr>
          <w:sz w:val="16"/>
          <w:szCs w:val="16"/>
        </w:rPr>
        <w:t>Staff on fixed-term, permanent and continuing appointments, based on post grade, regular budget</w:t>
      </w:r>
      <w:r>
        <w:rPr>
          <w:sz w:val="16"/>
          <w:szCs w:val="16"/>
        </w:rPr>
        <w:t xml:space="preserve">.  </w:t>
      </w:r>
      <w:r w:rsidRPr="00EF4127">
        <w:rPr>
          <w:sz w:val="16"/>
          <w:szCs w:val="16"/>
        </w:rPr>
        <w:t xml:space="preserve">Temporary staff and the executive category </w:t>
      </w:r>
      <w:r>
        <w:rPr>
          <w:sz w:val="16"/>
          <w:szCs w:val="16"/>
        </w:rPr>
        <w:t>are</w:t>
      </w:r>
      <w:r w:rsidRPr="00EF4127">
        <w:rPr>
          <w:sz w:val="16"/>
          <w:szCs w:val="16"/>
        </w:rPr>
        <w:t xml:space="preserve"> excluded</w:t>
      </w:r>
      <w:r>
        <w:rPr>
          <w:sz w:val="16"/>
          <w:szCs w:val="16"/>
        </w:rPr>
        <w:t>.</w:t>
      </w:r>
    </w:p>
  </w:footnote>
  <w:footnote w:id="10">
    <w:p w14:paraId="4750EA5D" w14:textId="77777777" w:rsidR="00D204CB" w:rsidRPr="007B03BD" w:rsidRDefault="00D204CB" w:rsidP="002C6F7E">
      <w:pPr>
        <w:pStyle w:val="FootnoteText"/>
      </w:pPr>
      <w:r>
        <w:rPr>
          <w:rStyle w:val="FootnoteReference"/>
        </w:rPr>
        <w:footnoteRef/>
      </w:r>
      <w:r>
        <w:t xml:space="preserve"> </w:t>
      </w:r>
      <w:r>
        <w:tab/>
      </w:r>
      <w:r w:rsidRPr="003D622A">
        <w:rPr>
          <w:szCs w:val="18"/>
        </w:rPr>
        <w:t>The online HR Handbook also continued to be updated regularly to provide members of personnel with a comprehensive and clear overview of all HR policies at WIPO, as well as links to the relevant administrative issuances.</w:t>
      </w:r>
    </w:p>
  </w:footnote>
  <w:footnote w:id="11">
    <w:p w14:paraId="1C1DD71F" w14:textId="365B6B13" w:rsidR="008308B9" w:rsidRDefault="008308B9" w:rsidP="008308B9">
      <w:pPr>
        <w:pStyle w:val="FootnoteText"/>
      </w:pPr>
      <w:r>
        <w:rPr>
          <w:rStyle w:val="FootnoteReference"/>
        </w:rPr>
        <w:footnoteRef/>
      </w:r>
      <w:r w:rsidR="00FD1B40">
        <w:t xml:space="preserve"> </w:t>
      </w:r>
      <w:r w:rsidR="00FD1B40">
        <w:tab/>
        <w:t>Three Pillars – “</w:t>
      </w:r>
      <w:r>
        <w:t xml:space="preserve">Reach out worldwide to explain the potential for Intellectual Property to improve the lives of everyone, everywhere; </w:t>
      </w:r>
      <w:r w:rsidR="00DA36C5">
        <w:t xml:space="preserve"> </w:t>
      </w:r>
      <w:r>
        <w:t>Bring people together and partner with stakeholders to shape the future of the global Intellectual Property ecosystem; Support governments, enterprises, communities and individuals to use Intellectual Property as a tool for growth and sustainable development.”</w:t>
      </w:r>
    </w:p>
  </w:footnote>
  <w:footnote w:id="12">
    <w:p w14:paraId="7FBAF9ED" w14:textId="565955E7" w:rsidR="00FD1B40" w:rsidRDefault="00FD1B40" w:rsidP="00FD1B40">
      <w:pPr>
        <w:pStyle w:val="FootnoteText"/>
      </w:pPr>
      <w:r>
        <w:rPr>
          <w:rStyle w:val="FootnoteReference"/>
        </w:rPr>
        <w:footnoteRef/>
      </w:r>
      <w:r>
        <w:t xml:space="preserve"> </w:t>
      </w:r>
      <w:r>
        <w:tab/>
        <w:t>Foundation – “Empower our people to work effectively, collaboratively and innovatively by providing them with the right resources, training and environment.”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0B69" w14:textId="58800E50" w:rsidR="00D204CB" w:rsidRDefault="00D204CB" w:rsidP="00477D6B">
    <w:pPr>
      <w:jc w:val="right"/>
    </w:pPr>
    <w:bookmarkStart w:id="6" w:name="Code2"/>
    <w:bookmarkEnd w:id="6"/>
    <w:r>
      <w:t>WO/CC/80/INF</w:t>
    </w:r>
    <w:r w:rsidR="0072762D">
      <w:t>/</w:t>
    </w:r>
    <w:r>
      <w:t>1</w:t>
    </w:r>
  </w:p>
  <w:p w14:paraId="39BF9403" w14:textId="07810634" w:rsidR="00D204CB" w:rsidRDefault="00D204CB" w:rsidP="00477D6B">
    <w:pPr>
      <w:jc w:val="right"/>
    </w:pPr>
    <w:r>
      <w:t xml:space="preserve">page </w:t>
    </w:r>
    <w:r>
      <w:fldChar w:fldCharType="begin"/>
    </w:r>
    <w:r>
      <w:instrText xml:space="preserve"> PAGE  \* MERGEFORMAT </w:instrText>
    </w:r>
    <w:r>
      <w:fldChar w:fldCharType="separate"/>
    </w:r>
    <w:r w:rsidR="005F1971">
      <w:rPr>
        <w:noProof/>
      </w:rPr>
      <w:t>13</w:t>
    </w:r>
    <w:r>
      <w:fldChar w:fldCharType="end"/>
    </w:r>
  </w:p>
  <w:p w14:paraId="059DFAE7" w14:textId="77777777" w:rsidR="00D204CB" w:rsidRDefault="00D204CB" w:rsidP="00477D6B">
    <w:pPr>
      <w:jc w:val="right"/>
    </w:pPr>
  </w:p>
  <w:p w14:paraId="18AF3228" w14:textId="77777777" w:rsidR="00D204CB" w:rsidRDefault="00D204C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7C02F2CE"/>
    <w:lvl w:ilvl="0" w:tplc="2E76AE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748F9"/>
    <w:multiLevelType w:val="hybridMultilevel"/>
    <w:tmpl w:val="1E08896E"/>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6152B"/>
    <w:multiLevelType w:val="hybridMultilevel"/>
    <w:tmpl w:val="61DC9B1E"/>
    <w:lvl w:ilvl="0" w:tplc="4F62BA72">
      <w:start w:val="1"/>
      <w:numFmt w:val="decimal"/>
      <w:lvlText w:val="%1."/>
      <w:lvlJc w:val="left"/>
      <w:pPr>
        <w:ind w:left="630" w:hanging="360"/>
      </w:pPr>
      <w:rPr>
        <w:rFonts w:ascii="Arial" w:hAnsi="Arial" w:cs="Arial" w:hint="default"/>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C1360CE"/>
    <w:multiLevelType w:val="hybridMultilevel"/>
    <w:tmpl w:val="37006DB8"/>
    <w:lvl w:ilvl="0" w:tplc="B6DA4AF8">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0D043F"/>
    <w:multiLevelType w:val="hybridMultilevel"/>
    <w:tmpl w:val="F56A9A46"/>
    <w:lvl w:ilvl="0" w:tplc="617C369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12"/>
  </w:num>
  <w:num w:numId="5">
    <w:abstractNumId w:val="2"/>
  </w:num>
  <w:num w:numId="6">
    <w:abstractNumId w:val="9"/>
  </w:num>
  <w:num w:numId="7">
    <w:abstractNumId w:val="3"/>
  </w:num>
  <w:num w:numId="8">
    <w:abstractNumId w:val="6"/>
  </w:num>
  <w:num w:numId="9">
    <w:abstractNumId w:val="8"/>
  </w:num>
  <w:num w:numId="10">
    <w:abstractNumId w:val="13"/>
  </w:num>
  <w:num w:numId="11">
    <w:abstractNumId w:val="14"/>
  </w:num>
  <w:num w:numId="12">
    <w:abstractNumId w:val="5"/>
  </w:num>
  <w:num w:numId="13">
    <w:abstractNumId w:val="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EE"/>
    <w:rsid w:val="00043CAA"/>
    <w:rsid w:val="00051A08"/>
    <w:rsid w:val="00056816"/>
    <w:rsid w:val="0006560C"/>
    <w:rsid w:val="00075432"/>
    <w:rsid w:val="000968ED"/>
    <w:rsid w:val="000A0CFB"/>
    <w:rsid w:val="000A3D97"/>
    <w:rsid w:val="000E030E"/>
    <w:rsid w:val="000E17BC"/>
    <w:rsid w:val="000F5E56"/>
    <w:rsid w:val="001040D3"/>
    <w:rsid w:val="001362EE"/>
    <w:rsid w:val="001647D5"/>
    <w:rsid w:val="001832A6"/>
    <w:rsid w:val="00184F54"/>
    <w:rsid w:val="0018674A"/>
    <w:rsid w:val="00186BC1"/>
    <w:rsid w:val="001A6B4A"/>
    <w:rsid w:val="001B551B"/>
    <w:rsid w:val="001D4107"/>
    <w:rsid w:val="002033FD"/>
    <w:rsid w:val="00203D24"/>
    <w:rsid w:val="00211894"/>
    <w:rsid w:val="0021217E"/>
    <w:rsid w:val="00223875"/>
    <w:rsid w:val="00243430"/>
    <w:rsid w:val="0025218F"/>
    <w:rsid w:val="002606DC"/>
    <w:rsid w:val="00261566"/>
    <w:rsid w:val="002634C4"/>
    <w:rsid w:val="00276BEE"/>
    <w:rsid w:val="002928D3"/>
    <w:rsid w:val="002A56CC"/>
    <w:rsid w:val="002C6F7E"/>
    <w:rsid w:val="002D4A7E"/>
    <w:rsid w:val="002E6AE4"/>
    <w:rsid w:val="002F1FE6"/>
    <w:rsid w:val="002F3711"/>
    <w:rsid w:val="002F4E68"/>
    <w:rsid w:val="003064B2"/>
    <w:rsid w:val="00312F7F"/>
    <w:rsid w:val="0033266C"/>
    <w:rsid w:val="00342BA0"/>
    <w:rsid w:val="00353815"/>
    <w:rsid w:val="00353E28"/>
    <w:rsid w:val="003601D7"/>
    <w:rsid w:val="00361450"/>
    <w:rsid w:val="003673CF"/>
    <w:rsid w:val="003845C1"/>
    <w:rsid w:val="00390FE8"/>
    <w:rsid w:val="003A6F89"/>
    <w:rsid w:val="003B38C1"/>
    <w:rsid w:val="003C34E9"/>
    <w:rsid w:val="003C7668"/>
    <w:rsid w:val="003E79C1"/>
    <w:rsid w:val="003F2EBF"/>
    <w:rsid w:val="00404DBA"/>
    <w:rsid w:val="00423E3E"/>
    <w:rsid w:val="00427AF4"/>
    <w:rsid w:val="00461421"/>
    <w:rsid w:val="004645D0"/>
    <w:rsid w:val="004647DA"/>
    <w:rsid w:val="00472485"/>
    <w:rsid w:val="00474062"/>
    <w:rsid w:val="004749EB"/>
    <w:rsid w:val="00477D6B"/>
    <w:rsid w:val="00481263"/>
    <w:rsid w:val="00496A23"/>
    <w:rsid w:val="004F2106"/>
    <w:rsid w:val="005019FF"/>
    <w:rsid w:val="00502AD3"/>
    <w:rsid w:val="005103D9"/>
    <w:rsid w:val="00512E2C"/>
    <w:rsid w:val="0053057A"/>
    <w:rsid w:val="00546352"/>
    <w:rsid w:val="0055266C"/>
    <w:rsid w:val="00556076"/>
    <w:rsid w:val="00560A29"/>
    <w:rsid w:val="005723BE"/>
    <w:rsid w:val="00577B96"/>
    <w:rsid w:val="005A6514"/>
    <w:rsid w:val="005B44D8"/>
    <w:rsid w:val="005B5982"/>
    <w:rsid w:val="005C19FD"/>
    <w:rsid w:val="005C6649"/>
    <w:rsid w:val="005D4D49"/>
    <w:rsid w:val="005F1971"/>
    <w:rsid w:val="0060009D"/>
    <w:rsid w:val="00605827"/>
    <w:rsid w:val="0060728F"/>
    <w:rsid w:val="00644DB2"/>
    <w:rsid w:val="00646050"/>
    <w:rsid w:val="00670F4F"/>
    <w:rsid w:val="006713CA"/>
    <w:rsid w:val="00676C5C"/>
    <w:rsid w:val="006A4D2A"/>
    <w:rsid w:val="006F1F12"/>
    <w:rsid w:val="00707DB3"/>
    <w:rsid w:val="00720EFD"/>
    <w:rsid w:val="0072762D"/>
    <w:rsid w:val="00732839"/>
    <w:rsid w:val="007758BC"/>
    <w:rsid w:val="00793A7C"/>
    <w:rsid w:val="00797571"/>
    <w:rsid w:val="007A398A"/>
    <w:rsid w:val="007D1613"/>
    <w:rsid w:val="007E1C27"/>
    <w:rsid w:val="007E4C0E"/>
    <w:rsid w:val="008045ED"/>
    <w:rsid w:val="00812E41"/>
    <w:rsid w:val="00820042"/>
    <w:rsid w:val="008308B9"/>
    <w:rsid w:val="00834B65"/>
    <w:rsid w:val="008526F8"/>
    <w:rsid w:val="00852706"/>
    <w:rsid w:val="00856F13"/>
    <w:rsid w:val="008625D0"/>
    <w:rsid w:val="0087681F"/>
    <w:rsid w:val="00880D97"/>
    <w:rsid w:val="00881EE0"/>
    <w:rsid w:val="008854EA"/>
    <w:rsid w:val="008A134B"/>
    <w:rsid w:val="008A650A"/>
    <w:rsid w:val="008A70B1"/>
    <w:rsid w:val="008B2CC1"/>
    <w:rsid w:val="008B3553"/>
    <w:rsid w:val="008B60B2"/>
    <w:rsid w:val="008C7E22"/>
    <w:rsid w:val="008D32E3"/>
    <w:rsid w:val="008D4E7A"/>
    <w:rsid w:val="008F359F"/>
    <w:rsid w:val="0090731E"/>
    <w:rsid w:val="00914689"/>
    <w:rsid w:val="0091585B"/>
    <w:rsid w:val="00916EE2"/>
    <w:rsid w:val="0092748B"/>
    <w:rsid w:val="00930754"/>
    <w:rsid w:val="00934963"/>
    <w:rsid w:val="00966A22"/>
    <w:rsid w:val="0096722F"/>
    <w:rsid w:val="00980843"/>
    <w:rsid w:val="00983145"/>
    <w:rsid w:val="009A4B04"/>
    <w:rsid w:val="009A782F"/>
    <w:rsid w:val="009B0B74"/>
    <w:rsid w:val="009D0B20"/>
    <w:rsid w:val="009E2791"/>
    <w:rsid w:val="009E3F6F"/>
    <w:rsid w:val="009F499F"/>
    <w:rsid w:val="00A01479"/>
    <w:rsid w:val="00A21361"/>
    <w:rsid w:val="00A35865"/>
    <w:rsid w:val="00A363F5"/>
    <w:rsid w:val="00A37342"/>
    <w:rsid w:val="00A42DAF"/>
    <w:rsid w:val="00A434B6"/>
    <w:rsid w:val="00A45BD8"/>
    <w:rsid w:val="00A61B67"/>
    <w:rsid w:val="00A67D93"/>
    <w:rsid w:val="00A83B4C"/>
    <w:rsid w:val="00A869B7"/>
    <w:rsid w:val="00AB2E8D"/>
    <w:rsid w:val="00AB6A66"/>
    <w:rsid w:val="00AC205C"/>
    <w:rsid w:val="00AD148F"/>
    <w:rsid w:val="00AF0A6B"/>
    <w:rsid w:val="00AF1AFC"/>
    <w:rsid w:val="00B05A69"/>
    <w:rsid w:val="00B07D1B"/>
    <w:rsid w:val="00B2584C"/>
    <w:rsid w:val="00B56EA8"/>
    <w:rsid w:val="00B60965"/>
    <w:rsid w:val="00B73502"/>
    <w:rsid w:val="00B75281"/>
    <w:rsid w:val="00B92F1F"/>
    <w:rsid w:val="00B9734B"/>
    <w:rsid w:val="00BA30E2"/>
    <w:rsid w:val="00BC481A"/>
    <w:rsid w:val="00BE7F5D"/>
    <w:rsid w:val="00C00A0C"/>
    <w:rsid w:val="00C11B8F"/>
    <w:rsid w:val="00C11BFE"/>
    <w:rsid w:val="00C124CA"/>
    <w:rsid w:val="00C2785F"/>
    <w:rsid w:val="00C41220"/>
    <w:rsid w:val="00C5068F"/>
    <w:rsid w:val="00C50A75"/>
    <w:rsid w:val="00C86D74"/>
    <w:rsid w:val="00CA5C1A"/>
    <w:rsid w:val="00CD04F1"/>
    <w:rsid w:val="00CD3C22"/>
    <w:rsid w:val="00CE3610"/>
    <w:rsid w:val="00CE7914"/>
    <w:rsid w:val="00CF681A"/>
    <w:rsid w:val="00D07C78"/>
    <w:rsid w:val="00D15590"/>
    <w:rsid w:val="00D204CB"/>
    <w:rsid w:val="00D45252"/>
    <w:rsid w:val="00D472FE"/>
    <w:rsid w:val="00D51DBF"/>
    <w:rsid w:val="00D71B4D"/>
    <w:rsid w:val="00D74A00"/>
    <w:rsid w:val="00D74CC9"/>
    <w:rsid w:val="00D8492F"/>
    <w:rsid w:val="00D93D55"/>
    <w:rsid w:val="00D9471A"/>
    <w:rsid w:val="00DA36C5"/>
    <w:rsid w:val="00DD2370"/>
    <w:rsid w:val="00DD7B7F"/>
    <w:rsid w:val="00DE154E"/>
    <w:rsid w:val="00DE3C8A"/>
    <w:rsid w:val="00DF1A68"/>
    <w:rsid w:val="00E110EA"/>
    <w:rsid w:val="00E15015"/>
    <w:rsid w:val="00E335FE"/>
    <w:rsid w:val="00E4034A"/>
    <w:rsid w:val="00E60918"/>
    <w:rsid w:val="00E60E1A"/>
    <w:rsid w:val="00EA7D6E"/>
    <w:rsid w:val="00EB2F76"/>
    <w:rsid w:val="00EC4E49"/>
    <w:rsid w:val="00ED77FB"/>
    <w:rsid w:val="00EE45FA"/>
    <w:rsid w:val="00F043DE"/>
    <w:rsid w:val="00F44DD7"/>
    <w:rsid w:val="00F5074B"/>
    <w:rsid w:val="00F64D91"/>
    <w:rsid w:val="00F66152"/>
    <w:rsid w:val="00F66778"/>
    <w:rsid w:val="00F9067D"/>
    <w:rsid w:val="00F9165B"/>
    <w:rsid w:val="00F944FE"/>
    <w:rsid w:val="00FD1B40"/>
    <w:rsid w:val="00FF1C26"/>
    <w:rsid w:val="00FF36B9"/>
    <w:rsid w:val="00FF6E9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3E5FAC5"/>
  <w15:docId w15:val="{D3D96181-A5FA-48CE-93F0-5FEA916C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276BEE"/>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276BEE"/>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276BEE"/>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uiPriority w:val="99"/>
    <w:semiHidden/>
    <w:rsid w:val="00276BEE"/>
    <w:rPr>
      <w:rFonts w:ascii="Arial" w:eastAsia="SimSun" w:hAnsi="Arial" w:cs="Arial"/>
      <w:sz w:val="18"/>
      <w:lang w:val="en-US" w:eastAsia="zh-CN"/>
    </w:rPr>
  </w:style>
  <w:style w:type="character" w:customStyle="1" w:styleId="CommentTextChar">
    <w:name w:val="Comment Text Char"/>
    <w:basedOn w:val="DefaultParagraphFont"/>
    <w:link w:val="CommentText"/>
    <w:uiPriority w:val="99"/>
    <w:semiHidden/>
    <w:rsid w:val="00276BEE"/>
    <w:rPr>
      <w:rFonts w:ascii="Arial" w:eastAsia="SimSun" w:hAnsi="Arial" w:cs="Arial"/>
      <w:sz w:val="18"/>
      <w:lang w:val="en-U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76BEE"/>
    <w:pPr>
      <w:ind w:left="720"/>
      <w:contextualSpacing/>
    </w:pPr>
    <w:rPr>
      <w:rFonts w:eastAsia="Times New Roman"/>
      <w:lang w:eastAsia="en-US"/>
    </w:rPr>
  </w:style>
  <w:style w:type="character" w:styleId="Hyperlink">
    <w:name w:val="Hyperlink"/>
    <w:basedOn w:val="DefaultParagraphFont"/>
    <w:unhideWhenUsed/>
    <w:rsid w:val="00276BEE"/>
    <w:rPr>
      <w:color w:val="0000FF" w:themeColor="hyperlink"/>
      <w:u w:val="single"/>
    </w:rPr>
  </w:style>
  <w:style w:type="character" w:styleId="FootnoteReference">
    <w:name w:val="footnote reference"/>
    <w:basedOn w:val="DefaultParagraphFont"/>
    <w:uiPriority w:val="99"/>
    <w:unhideWhenUsed/>
    <w:rsid w:val="00276BEE"/>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276BEE"/>
    <w:rPr>
      <w:rFonts w:ascii="Arial" w:hAnsi="Arial" w:cs="Arial"/>
      <w:sz w:val="22"/>
      <w:lang w:val="en-US" w:eastAsia="en-US"/>
    </w:rPr>
  </w:style>
  <w:style w:type="character" w:styleId="CommentReference">
    <w:name w:val="annotation reference"/>
    <w:basedOn w:val="DefaultParagraphFont"/>
    <w:rsid w:val="00276BEE"/>
    <w:rPr>
      <w:sz w:val="18"/>
      <w:szCs w:val="18"/>
    </w:rPr>
  </w:style>
  <w:style w:type="paragraph" w:customStyle="1" w:styleId="Default">
    <w:name w:val="Default"/>
    <w:rsid w:val="00276BEE"/>
    <w:pPr>
      <w:autoSpaceDE w:val="0"/>
      <w:autoSpaceDN w:val="0"/>
      <w:adjustRightInd w:val="0"/>
    </w:pPr>
    <w:rPr>
      <w:rFonts w:ascii="Symbol" w:hAnsi="Symbol" w:cs="Symbol"/>
      <w:color w:val="000000"/>
      <w:sz w:val="24"/>
      <w:szCs w:val="24"/>
      <w:lang w:val="en-US" w:eastAsia="en-US"/>
    </w:rPr>
  </w:style>
  <w:style w:type="paragraph" w:styleId="NormalWeb">
    <w:name w:val="Normal (Web)"/>
    <w:basedOn w:val="Normal"/>
    <w:uiPriority w:val="99"/>
    <w:unhideWhenUsed/>
    <w:rsid w:val="00276BEE"/>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59"/>
    <w:rsid w:val="00276BE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276BEE"/>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1">
    <w:name w:val="null1"/>
    <w:basedOn w:val="DefaultParagraphFont"/>
    <w:rsid w:val="00276BEE"/>
  </w:style>
  <w:style w:type="paragraph" w:styleId="BalloonText">
    <w:name w:val="Balloon Text"/>
    <w:basedOn w:val="Normal"/>
    <w:link w:val="BalloonTextChar"/>
    <w:semiHidden/>
    <w:unhideWhenUsed/>
    <w:rsid w:val="00276BEE"/>
    <w:rPr>
      <w:rFonts w:ascii="Segoe UI" w:hAnsi="Segoe UI" w:cs="Segoe UI"/>
      <w:sz w:val="18"/>
      <w:szCs w:val="18"/>
    </w:rPr>
  </w:style>
  <w:style w:type="character" w:customStyle="1" w:styleId="BalloonTextChar">
    <w:name w:val="Balloon Text Char"/>
    <w:basedOn w:val="DefaultParagraphFont"/>
    <w:link w:val="BalloonText"/>
    <w:semiHidden/>
    <w:rsid w:val="00276BEE"/>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44DD7"/>
    <w:rPr>
      <w:b/>
      <w:bCs/>
      <w:sz w:val="20"/>
    </w:rPr>
  </w:style>
  <w:style w:type="character" w:customStyle="1" w:styleId="CommentSubjectChar">
    <w:name w:val="Comment Subject Char"/>
    <w:basedOn w:val="CommentTextChar"/>
    <w:link w:val="CommentSubject"/>
    <w:semiHidden/>
    <w:rsid w:val="00F44DD7"/>
    <w:rPr>
      <w:rFonts w:ascii="Arial" w:eastAsia="SimSun" w:hAnsi="Arial" w:cs="Arial"/>
      <w:b/>
      <w:bCs/>
      <w:sz w:val="18"/>
      <w:lang w:val="en-US" w:eastAsia="zh-CN"/>
    </w:rPr>
  </w:style>
  <w:style w:type="character" w:styleId="Strong">
    <w:name w:val="Strong"/>
    <w:basedOn w:val="DefaultParagraphFont"/>
    <w:uiPriority w:val="22"/>
    <w:qFormat/>
    <w:rsid w:val="00C124CA"/>
    <w:rPr>
      <w:b/>
      <w:bCs/>
    </w:rPr>
  </w:style>
  <w:style w:type="character" w:styleId="FollowedHyperlink">
    <w:name w:val="FollowedHyperlink"/>
    <w:basedOn w:val="DefaultParagraphFont"/>
    <w:semiHidden/>
    <w:unhideWhenUsed/>
    <w:rsid w:val="005526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375120">
      <w:bodyDiv w:val="1"/>
      <w:marLeft w:val="0"/>
      <w:marRight w:val="0"/>
      <w:marTop w:val="0"/>
      <w:marBottom w:val="0"/>
      <w:divBdr>
        <w:top w:val="none" w:sz="0" w:space="0" w:color="auto"/>
        <w:left w:val="none" w:sz="0" w:space="0" w:color="auto"/>
        <w:bottom w:val="none" w:sz="0" w:space="0" w:color="auto"/>
        <w:right w:val="none" w:sz="0" w:space="0" w:color="auto"/>
      </w:divBdr>
    </w:div>
    <w:div w:id="739407768">
      <w:bodyDiv w:val="1"/>
      <w:marLeft w:val="0"/>
      <w:marRight w:val="0"/>
      <w:marTop w:val="0"/>
      <w:marBottom w:val="0"/>
      <w:divBdr>
        <w:top w:val="none" w:sz="0" w:space="0" w:color="auto"/>
        <w:left w:val="none" w:sz="0" w:space="0" w:color="auto"/>
        <w:bottom w:val="none" w:sz="0" w:space="0" w:color="auto"/>
        <w:right w:val="none" w:sz="0" w:space="0" w:color="auto"/>
      </w:divBdr>
    </w:div>
    <w:div w:id="15863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docs.org/A/75/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sc.un.org/Resources/General/AnnualReports/AR2020.pdf?r=0597795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mdocs/en/cdip_26/cdip_26_8.pdf" TargetMode="External"/><Relationship Id="rId5" Type="http://schemas.openxmlformats.org/officeDocument/2006/relationships/webSettings" Target="webSettings.xml"/><Relationship Id="rId15" Type="http://schemas.openxmlformats.org/officeDocument/2006/relationships/hyperlink" Target="https://www.wipo.int/edocs/mdocs/govbody/en/wo_cc_80/wo_cc_80_2.pdf"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wipo.int/publications/en/details.jsp?id=4557" TargetMode="External"/><Relationship Id="rId14" Type="http://schemas.openxmlformats.org/officeDocument/2006/relationships/hyperlink" Target="https://www.unjspf.org/wp-content/uploads/2021/06/A_75_9_Add.1-2101934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en/wo_cc_75/wo_cc_75_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615D6-46B3-4A37-BCBD-6BF16854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WO_CC_80 (E)</Template>
  <TotalTime>7</TotalTime>
  <Pages>13</Pages>
  <Words>5852</Words>
  <Characters>31936</Characters>
  <Application>Microsoft Office Word</Application>
  <DocSecurity>0</DocSecurity>
  <Lines>638</Lines>
  <Paragraphs>160</Paragraphs>
  <ScaleCrop>false</ScaleCrop>
  <HeadingPairs>
    <vt:vector size="2" baseType="variant">
      <vt:variant>
        <vt:lpstr>Title</vt:lpstr>
      </vt:variant>
      <vt:variant>
        <vt:i4>1</vt:i4>
      </vt:variant>
    </vt:vector>
  </HeadingPairs>
  <TitlesOfParts>
    <vt:vector size="1" baseType="lpstr">
      <vt:lpstr>WO/CC/80/INF/1</vt:lpstr>
    </vt:vector>
  </TitlesOfParts>
  <Company>WIPO</Company>
  <LinksUpToDate>false</LinksUpToDate>
  <CharactersWithSpaces>37823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WO/CC/80/INF/1</dc:title>
  <dc:subject>Annual Report on Human Resources</dc:subject>
  <dc:creator>WIPO</dc:creator>
  <cp:keywords>PUBLIC</cp:keywords>
  <dc:description/>
  <cp:lastModifiedBy>HÄFLIGER Patience</cp:lastModifiedBy>
  <cp:revision>5</cp:revision>
  <cp:lastPrinted>2021-07-19T07:25:00Z</cp:lastPrinted>
  <dcterms:created xsi:type="dcterms:W3CDTF">2021-08-18T14:49:00Z</dcterms:created>
  <dcterms:modified xsi:type="dcterms:W3CDTF">2021-08-18T14:58:00Z</dcterms:modified>
  <cp:category>WIPO Coordination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a8024c57-583f-453a-9e2e-dca55debf53b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