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F87A2"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986F490" wp14:editId="4961246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EBF945C" wp14:editId="06AB65B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E4D18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F032CF8" w14:textId="0E431EFF" w:rsidR="008B2CC1" w:rsidRPr="001024FE" w:rsidRDefault="005D2762" w:rsidP="001024FE">
      <w:pPr>
        <w:jc w:val="right"/>
        <w:rPr>
          <w:rFonts w:ascii="Arial Black" w:hAnsi="Arial Black"/>
          <w:caps/>
          <w:sz w:val="15"/>
          <w:szCs w:val="15"/>
        </w:rPr>
      </w:pPr>
      <w:r>
        <w:rPr>
          <w:rFonts w:ascii="Arial Black" w:hAnsi="Arial Black"/>
          <w:caps/>
          <w:sz w:val="15"/>
          <w:szCs w:val="15"/>
        </w:rPr>
        <w:t>PCT/A/53/</w:t>
      </w:r>
      <w:bookmarkStart w:id="1" w:name="Code"/>
      <w:bookmarkEnd w:id="1"/>
      <w:r w:rsidR="00E416E0">
        <w:rPr>
          <w:rFonts w:ascii="Arial Black" w:hAnsi="Arial Black"/>
          <w:caps/>
          <w:sz w:val="15"/>
          <w:szCs w:val="15"/>
        </w:rPr>
        <w:t>4</w:t>
      </w:r>
    </w:p>
    <w:p w14:paraId="07E0D4C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5D68DA">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E416E0">
        <w:rPr>
          <w:rFonts w:ascii="Arial Black" w:hAnsi="Arial Black"/>
          <w:caps/>
          <w:sz w:val="15"/>
          <w:szCs w:val="15"/>
        </w:rPr>
        <w:t>English</w:t>
      </w:r>
    </w:p>
    <w:bookmarkEnd w:id="2"/>
    <w:p w14:paraId="574F8FFD" w14:textId="2FCDFB8F"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5D68DA">
        <w:rPr>
          <w:rFonts w:ascii="Arial Black" w:hAnsi="Arial Black"/>
          <w:caps/>
          <w:sz w:val="15"/>
          <w:szCs w:val="15"/>
        </w:rPr>
        <w:t xml:space="preserve"> </w:t>
      </w:r>
      <w:r w:rsidRPr="00CE65D4">
        <w:rPr>
          <w:rFonts w:ascii="Arial Black" w:hAnsi="Arial Black"/>
          <w:caps/>
          <w:sz w:val="15"/>
          <w:szCs w:val="15"/>
        </w:rPr>
        <w:t xml:space="preserve"> </w:t>
      </w:r>
      <w:bookmarkStart w:id="3" w:name="Date"/>
      <w:r w:rsidR="008320DD">
        <w:rPr>
          <w:rFonts w:ascii="Arial Black" w:hAnsi="Arial Black"/>
          <w:caps/>
          <w:sz w:val="15"/>
          <w:szCs w:val="15"/>
        </w:rPr>
        <w:t>DECEMBER 17,</w:t>
      </w:r>
      <w:r w:rsidR="00E416E0">
        <w:rPr>
          <w:rFonts w:ascii="Arial Black" w:hAnsi="Arial Black"/>
          <w:caps/>
          <w:sz w:val="15"/>
          <w:szCs w:val="15"/>
        </w:rPr>
        <w:t xml:space="preserve"> 2021</w:t>
      </w:r>
    </w:p>
    <w:bookmarkEnd w:id="3"/>
    <w:p w14:paraId="2253B182" w14:textId="77777777" w:rsidR="008B2CC1" w:rsidRPr="005D2762" w:rsidRDefault="005D2762" w:rsidP="00CE65D4">
      <w:pPr>
        <w:spacing w:after="600"/>
        <w:rPr>
          <w:b/>
          <w:sz w:val="28"/>
          <w:szCs w:val="28"/>
        </w:rPr>
      </w:pPr>
      <w:r w:rsidRPr="005D2762">
        <w:rPr>
          <w:b/>
          <w:sz w:val="28"/>
        </w:rPr>
        <w:t>International Patent Cooperation Union (PCT Union)</w:t>
      </w:r>
    </w:p>
    <w:p w14:paraId="7FCD7E79" w14:textId="77777777" w:rsidR="00A85B8E" w:rsidRPr="00A85B8E" w:rsidRDefault="00A85B8E" w:rsidP="00AF5C73">
      <w:pPr>
        <w:spacing w:after="720"/>
        <w:rPr>
          <w:b/>
          <w:sz w:val="28"/>
          <w:szCs w:val="28"/>
        </w:rPr>
      </w:pPr>
      <w:r w:rsidRPr="00A85B8E">
        <w:rPr>
          <w:b/>
          <w:sz w:val="28"/>
          <w:szCs w:val="28"/>
        </w:rPr>
        <w:t>Assembly</w:t>
      </w:r>
    </w:p>
    <w:p w14:paraId="0979D548" w14:textId="77777777" w:rsidR="008B2CC1" w:rsidRPr="003845C1" w:rsidRDefault="005D2762" w:rsidP="008B2CC1">
      <w:pPr>
        <w:rPr>
          <w:b/>
          <w:sz w:val="24"/>
          <w:szCs w:val="24"/>
        </w:rPr>
      </w:pPr>
      <w:r w:rsidRPr="009E6CC0">
        <w:rPr>
          <w:b/>
          <w:sz w:val="24"/>
        </w:rPr>
        <w:t>Fift</w:t>
      </w:r>
      <w:r>
        <w:rPr>
          <w:b/>
          <w:sz w:val="24"/>
        </w:rPr>
        <w:t>y-Third</w:t>
      </w:r>
      <w:r w:rsidRPr="009E6CC0">
        <w:rPr>
          <w:b/>
          <w:sz w:val="24"/>
        </w:rPr>
        <w:t xml:space="preserve"> (</w:t>
      </w:r>
      <w:r>
        <w:rPr>
          <w:b/>
          <w:sz w:val="24"/>
        </w:rPr>
        <w:t>23</w:t>
      </w:r>
      <w:r w:rsidRPr="002A34A6">
        <w:rPr>
          <w:b/>
          <w:sz w:val="24"/>
          <w:vertAlign w:val="superscript"/>
        </w:rPr>
        <w:t>rd</w:t>
      </w:r>
      <w:r>
        <w:rPr>
          <w:b/>
          <w:sz w:val="24"/>
        </w:rPr>
        <w:t xml:space="preserve"> O</w:t>
      </w:r>
      <w:r w:rsidRPr="009E6CC0">
        <w:rPr>
          <w:b/>
          <w:sz w:val="24"/>
        </w:rPr>
        <w:t>rdinary) Session</w:t>
      </w:r>
    </w:p>
    <w:p w14:paraId="21F7DF3C" w14:textId="77777777" w:rsidR="008B2CC1" w:rsidRPr="009F3BF9" w:rsidRDefault="005D2762" w:rsidP="00CE65D4">
      <w:pPr>
        <w:spacing w:after="720"/>
      </w:pPr>
      <w:r w:rsidRPr="009C127D">
        <w:rPr>
          <w:b/>
          <w:sz w:val="24"/>
        </w:rPr>
        <w:t xml:space="preserve">Geneva, </w:t>
      </w:r>
      <w:r>
        <w:rPr>
          <w:b/>
          <w:sz w:val="24"/>
        </w:rPr>
        <w:t>October 4 to 8, 2021</w:t>
      </w:r>
    </w:p>
    <w:p w14:paraId="3D3BBD7D" w14:textId="604943D3" w:rsidR="008B2CC1" w:rsidRPr="009F3BF9" w:rsidRDefault="00E416E0" w:rsidP="00CE65D4">
      <w:pPr>
        <w:spacing w:after="360"/>
        <w:rPr>
          <w:caps/>
          <w:sz w:val="24"/>
        </w:rPr>
      </w:pPr>
      <w:bookmarkStart w:id="4" w:name="TitleOfDoc"/>
      <w:r>
        <w:rPr>
          <w:caps/>
          <w:sz w:val="24"/>
        </w:rPr>
        <w:t>Report</w:t>
      </w:r>
    </w:p>
    <w:p w14:paraId="37E14332" w14:textId="75BBDCAD" w:rsidR="008B2CC1" w:rsidRPr="004D39C4" w:rsidRDefault="008320DD" w:rsidP="00CE65D4">
      <w:pPr>
        <w:spacing w:after="960"/>
        <w:rPr>
          <w:i/>
        </w:rPr>
      </w:pPr>
      <w:bookmarkStart w:id="5" w:name="Prepared"/>
      <w:bookmarkEnd w:id="4"/>
      <w:r w:rsidRPr="008320DD">
        <w:rPr>
          <w:i/>
          <w:iCs/>
        </w:rPr>
        <w:t>adopted by the Assembly</w:t>
      </w:r>
    </w:p>
    <w:bookmarkEnd w:id="5"/>
    <w:p w14:paraId="57DBA663" w14:textId="0A34B1E5" w:rsidR="00E416E0" w:rsidRDefault="00E416E0" w:rsidP="006B16CF">
      <w:pPr>
        <w:pStyle w:val="ONUME"/>
      </w:pPr>
      <w:r>
        <w:t xml:space="preserve">The Assembly was concerned with the following items </w:t>
      </w:r>
      <w:r w:rsidR="007E0CFC">
        <w:t xml:space="preserve">of </w:t>
      </w:r>
      <w:r>
        <w:t>the Co</w:t>
      </w:r>
      <w:r w:rsidR="006B16CF">
        <w:t>nsolidated Agenda (document A/62</w:t>
      </w:r>
      <w:r>
        <w:t xml:space="preserve">/1):  </w:t>
      </w:r>
      <w:r w:rsidR="006B16CF" w:rsidRPr="006B16CF">
        <w:t xml:space="preserve">1 to 6, 10(ii), 11, 12, </w:t>
      </w:r>
      <w:r w:rsidR="00F10523">
        <w:t xml:space="preserve">21, </w:t>
      </w:r>
      <w:r w:rsidR="00975AD8">
        <w:t xml:space="preserve">32 and </w:t>
      </w:r>
      <w:r w:rsidR="006B16CF" w:rsidRPr="006B16CF">
        <w:t>33</w:t>
      </w:r>
      <w:r>
        <w:t>.</w:t>
      </w:r>
    </w:p>
    <w:p w14:paraId="208AF9E9" w14:textId="1B263498" w:rsidR="00E416E0" w:rsidRDefault="00E416E0" w:rsidP="00E416E0">
      <w:pPr>
        <w:pStyle w:val="ONUME"/>
      </w:pPr>
      <w:r>
        <w:t>The reports on the said item</w:t>
      </w:r>
      <w:r w:rsidR="006B16CF">
        <w:t>s, with the exception of item 21</w:t>
      </w:r>
      <w:r>
        <w:t xml:space="preserve">, are contained in the </w:t>
      </w:r>
      <w:r w:rsidR="006B16CF">
        <w:t>General Report (document A/62</w:t>
      </w:r>
      <w:r>
        <w:t>/</w:t>
      </w:r>
      <w:r w:rsidR="00763702" w:rsidRPr="007E0CFC">
        <w:t>13</w:t>
      </w:r>
      <w:r>
        <w:t>).</w:t>
      </w:r>
    </w:p>
    <w:p w14:paraId="0EA2203C" w14:textId="77777777" w:rsidR="00E416E0" w:rsidRDefault="00E416E0" w:rsidP="00E416E0">
      <w:pPr>
        <w:pStyle w:val="ONUME"/>
      </w:pPr>
      <w:r>
        <w:t>The report on item 21 is contained in the present document.</w:t>
      </w:r>
    </w:p>
    <w:p w14:paraId="7CBB674C" w14:textId="23D84DF1" w:rsidR="002928D3" w:rsidRDefault="006B16CF" w:rsidP="00975AD8">
      <w:pPr>
        <w:pStyle w:val="ONUME"/>
      </w:pPr>
      <w:r>
        <w:t>Ms</w:t>
      </w:r>
      <w:r w:rsidR="00975AD8">
        <w:t>.</w:t>
      </w:r>
      <w:r w:rsidR="007E0CFC" w:rsidRPr="007E0CFC">
        <w:t xml:space="preserve"> María</w:t>
      </w:r>
      <w:r w:rsidR="00975AD8">
        <w:t xml:space="preserve"> </w:t>
      </w:r>
      <w:r w:rsidR="00975AD8" w:rsidRPr="00975AD8">
        <w:t>Loreto B</w:t>
      </w:r>
      <w:r w:rsidR="00975AD8">
        <w:t>resky</w:t>
      </w:r>
      <w:r w:rsidR="00975AD8" w:rsidRPr="00975AD8">
        <w:t xml:space="preserve"> </w:t>
      </w:r>
      <w:r w:rsidR="00975AD8">
        <w:t>(Chile</w:t>
      </w:r>
      <w:r w:rsidR="00E416E0">
        <w:t xml:space="preserve">) was elected Chair of the Assembly;  </w:t>
      </w:r>
      <w:r w:rsidR="00975AD8">
        <w:t>Ms.</w:t>
      </w:r>
      <w:r w:rsidR="007E0CFC">
        <w:t> </w:t>
      </w:r>
      <w:r w:rsidR="00975AD8">
        <w:t>Florence</w:t>
      </w:r>
      <w:r w:rsidR="007E0CFC">
        <w:t> </w:t>
      </w:r>
      <w:r w:rsidR="00975AD8">
        <w:t>Galtier</w:t>
      </w:r>
      <w:r w:rsidR="007E0CFC">
        <w:t> </w:t>
      </w:r>
      <w:r w:rsidR="00975AD8">
        <w:t xml:space="preserve">(France) and </w:t>
      </w:r>
      <w:r w:rsidR="00FD4754">
        <w:t xml:space="preserve">Mr. </w:t>
      </w:r>
      <w:r w:rsidR="00763702" w:rsidRPr="00763702">
        <w:t xml:space="preserve">GAN Shaoning </w:t>
      </w:r>
      <w:r w:rsidR="00975AD8">
        <w:t>(China</w:t>
      </w:r>
      <w:r w:rsidR="00E416E0">
        <w:t>) were elected Vice</w:t>
      </w:r>
      <w:r w:rsidR="00FD4754">
        <w:t>-</w:t>
      </w:r>
      <w:r w:rsidR="00E416E0">
        <w:t>Chairs.</w:t>
      </w:r>
    </w:p>
    <w:p w14:paraId="372652F1" w14:textId="77777777" w:rsidR="007E0CFC" w:rsidRDefault="007E0CFC">
      <w:pPr>
        <w:rPr>
          <w:bCs/>
          <w:iCs/>
          <w:caps/>
          <w:szCs w:val="28"/>
        </w:rPr>
      </w:pPr>
      <w:r>
        <w:br w:type="page"/>
      </w:r>
    </w:p>
    <w:p w14:paraId="3C76D615" w14:textId="49CF7773" w:rsidR="00975AD8" w:rsidRDefault="00975AD8" w:rsidP="00C66A47">
      <w:pPr>
        <w:pStyle w:val="Heading2"/>
      </w:pPr>
      <w:r>
        <w:lastRenderedPageBreak/>
        <w:t xml:space="preserve">Item 21 of the Consolidated Agenda </w:t>
      </w:r>
    </w:p>
    <w:p w14:paraId="35FFA6B1" w14:textId="77777777" w:rsidR="00975AD8" w:rsidRDefault="00975AD8" w:rsidP="00C66A47">
      <w:pPr>
        <w:pStyle w:val="Heading2"/>
      </w:pPr>
      <w:r>
        <w:t>PCT System</w:t>
      </w:r>
    </w:p>
    <w:p w14:paraId="2BAA9D95" w14:textId="07158A9D" w:rsidR="00975AD8" w:rsidRDefault="00975AD8" w:rsidP="00E5088D">
      <w:pPr>
        <w:pStyle w:val="Heading3"/>
        <w:spacing w:after="220"/>
      </w:pPr>
      <w:r w:rsidRPr="00975AD8">
        <w:t>Appointment of the Eurasian Patent Office</w:t>
      </w:r>
      <w:r w:rsidR="00883DCD">
        <w:t xml:space="preserve"> (EAPO)</w:t>
      </w:r>
      <w:r w:rsidRPr="00975AD8">
        <w:t xml:space="preserve"> as an International Searching and Preliminary Examining Authority under the PCT</w:t>
      </w:r>
    </w:p>
    <w:p w14:paraId="4B6C2955" w14:textId="3C3E93E6" w:rsidR="00975AD8" w:rsidRDefault="00975AD8" w:rsidP="00975AD8">
      <w:pPr>
        <w:pStyle w:val="ONUME"/>
      </w:pPr>
      <w:r>
        <w:t xml:space="preserve">Discussions were based on document </w:t>
      </w:r>
      <w:hyperlink r:id="rId9" w:history="1">
        <w:r w:rsidRPr="00F24562">
          <w:rPr>
            <w:rStyle w:val="Hyperlink"/>
            <w:color w:val="auto"/>
            <w:u w:val="none"/>
          </w:rPr>
          <w:t>PCT/A/53/1</w:t>
        </w:r>
      </w:hyperlink>
      <w:r>
        <w:t>.</w:t>
      </w:r>
    </w:p>
    <w:p w14:paraId="0F7A714E" w14:textId="6A3AD456" w:rsidR="008779EA" w:rsidRDefault="008779EA" w:rsidP="008779EA">
      <w:pPr>
        <w:pStyle w:val="ONUME"/>
      </w:pPr>
      <w:r>
        <w:t xml:space="preserve">The Secretariat introduced the document by explaining that the Committee for Technical Cooperation had met in October 2020 to consider an application for appointment of the </w:t>
      </w:r>
      <w:r w:rsidR="00F57F58" w:rsidRPr="00F57F58">
        <w:t>Eurasian Patent Office (</w:t>
      </w:r>
      <w:r w:rsidR="00883DCD">
        <w:t>EAPO</w:t>
      </w:r>
      <w:r w:rsidR="00F57F58">
        <w:t>)</w:t>
      </w:r>
      <w:r>
        <w:t xml:space="preserve"> as an International Searching and Preliminary Examining Authority under the PCT.  The Committee had reviewed the application and unanimously agreed to recommend the appointment to the Assembly.  Following the advice of the Committee, Article 16(3)(b) and Article 32(3) required the Assembly to hear the </w:t>
      </w:r>
      <w:r w:rsidR="004419C1">
        <w:t>R</w:t>
      </w:r>
      <w:r>
        <w:t xml:space="preserve">epresentative of the </w:t>
      </w:r>
      <w:r w:rsidR="00883DCD">
        <w:t>EAPO</w:t>
      </w:r>
      <w:r>
        <w:t>, and then to decide on the appointment and approve the text of a draft agreement between the Eurasian Patent Organization and the International Bureau, as set out in the Annex to the document.  With regard to the agreement, the proposed draft followed the same form as the agreements in place with the existing International Authorities.  The agreement would</w:t>
      </w:r>
      <w:r w:rsidR="005B1969">
        <w:t xml:space="preserve"> remain in force until December </w:t>
      </w:r>
      <w:r>
        <w:t>31, 2027, in line with the review and renewal of the other existing agreements.</w:t>
      </w:r>
    </w:p>
    <w:p w14:paraId="6759857D" w14:textId="2A2A4CA4" w:rsidR="00975AD8" w:rsidRDefault="00975AD8" w:rsidP="008426C1">
      <w:pPr>
        <w:pStyle w:val="ONUME"/>
      </w:pPr>
      <w:r>
        <w:t xml:space="preserve">The Representative of the </w:t>
      </w:r>
      <w:r w:rsidR="008243ED">
        <w:t xml:space="preserve">EAPO </w:t>
      </w:r>
      <w:r w:rsidR="004737A7">
        <w:t xml:space="preserve">explained that the application for appointment of the </w:t>
      </w:r>
      <w:r w:rsidR="008243ED">
        <w:t>EAPO</w:t>
      </w:r>
      <w:r w:rsidR="004737A7">
        <w:t xml:space="preserve"> as an International Searching and Preliminary Examination Authority under the PCT was </w:t>
      </w:r>
      <w:r w:rsidR="004737A7" w:rsidRPr="004737A7">
        <w:t xml:space="preserve">the result of </w:t>
      </w:r>
      <w:r w:rsidR="006D487D">
        <w:t xml:space="preserve">more than 26 years </w:t>
      </w:r>
      <w:r w:rsidR="003A14A9">
        <w:t xml:space="preserve">of </w:t>
      </w:r>
      <w:r w:rsidR="004737A7" w:rsidRPr="004737A7">
        <w:t xml:space="preserve">work. </w:t>
      </w:r>
      <w:r w:rsidR="004737A7">
        <w:t xml:space="preserve"> </w:t>
      </w:r>
      <w:r w:rsidR="000F594A">
        <w:t xml:space="preserve">The possibility of EAPO to apply for the status as an International Searching and Preliminary Examining Authority was stipulated in </w:t>
      </w:r>
      <w:r w:rsidR="00826C17">
        <w:t>Article 20 of t</w:t>
      </w:r>
      <w:r w:rsidR="004737A7">
        <w:t xml:space="preserve">he Eurasian Patent Convention </w:t>
      </w:r>
      <w:r w:rsidR="008243ED">
        <w:t xml:space="preserve">(EAPC) </w:t>
      </w:r>
      <w:r w:rsidR="00131275">
        <w:t>of September 9, 1994,</w:t>
      </w:r>
      <w:r w:rsidR="000F594A">
        <w:t xml:space="preserve"> which was drafted together with WIPO, including the personal involvement of the then Director General,</w:t>
      </w:r>
      <w:r w:rsidR="00826C17">
        <w:t xml:space="preserve"> Dr. Arpad Bogsch</w:t>
      </w:r>
      <w:r w:rsidR="00F77E49">
        <w:t xml:space="preserve">.  </w:t>
      </w:r>
      <w:r w:rsidR="000F594A">
        <w:t xml:space="preserve">The States party to the </w:t>
      </w:r>
      <w:r w:rsidR="00C76C62">
        <w:t>EAPC</w:t>
      </w:r>
      <w:r w:rsidR="000F594A">
        <w:t xml:space="preserve">, at the creation of the EAPO, had set the objective of such participation in the PCT System. </w:t>
      </w:r>
      <w:r w:rsidR="00C76C62">
        <w:t xml:space="preserve"> At the thirty-fifth meeting of the Eurasian Patent Organization</w:t>
      </w:r>
      <w:r w:rsidR="00C76C62" w:rsidRPr="00C76C62">
        <w:t xml:space="preserve"> Administrative </w:t>
      </w:r>
      <w:r w:rsidR="00C76C62">
        <w:t>Council, held on September 10 and 11</w:t>
      </w:r>
      <w:r w:rsidR="00C76C62" w:rsidRPr="00C76C62">
        <w:t xml:space="preserve">, 2019, </w:t>
      </w:r>
      <w:r w:rsidR="00C76C62">
        <w:t xml:space="preserve">these States </w:t>
      </w:r>
      <w:r w:rsidR="00C76C62" w:rsidRPr="00C76C62">
        <w:t xml:space="preserve">unanimously voted to </w:t>
      </w:r>
      <w:r w:rsidR="00830FD1">
        <w:t>allow</w:t>
      </w:r>
      <w:r w:rsidR="00C76C62" w:rsidRPr="00C76C62">
        <w:t xml:space="preserve"> the EAPO to apply for the status of an International </w:t>
      </w:r>
      <w:r w:rsidR="00830FD1">
        <w:t xml:space="preserve">Searching and Preliminary Examining </w:t>
      </w:r>
      <w:r w:rsidR="00C76C62" w:rsidRPr="00C76C62">
        <w:t>Authority.</w:t>
      </w:r>
      <w:r w:rsidR="00C76C62">
        <w:t xml:space="preserve">  </w:t>
      </w:r>
      <w:r w:rsidR="00830FD1">
        <w:t>The Eurasian Patent Organization represented an economically</w:t>
      </w:r>
      <w:r w:rsidR="00E37F24">
        <w:noBreakHyphen/>
      </w:r>
      <w:r w:rsidR="00830FD1">
        <w:t>developing regi</w:t>
      </w:r>
      <w:r w:rsidR="00E37F24">
        <w:t>on with over</w:t>
      </w:r>
      <w:r w:rsidR="00830FD1">
        <w:t xml:space="preserve"> 200 million people and an </w:t>
      </w:r>
      <w:r w:rsidR="00131275">
        <w:t>economically</w:t>
      </w:r>
      <w:r w:rsidR="00131275">
        <w:noBreakHyphen/>
        <w:t xml:space="preserve">active population </w:t>
      </w:r>
      <w:r w:rsidR="008243ED">
        <w:t xml:space="preserve">of more than 100 million </w:t>
      </w:r>
      <w:r w:rsidR="00830FD1">
        <w:t>people</w:t>
      </w:r>
      <w:r w:rsidR="00B00E3C">
        <w:t xml:space="preserve">.  </w:t>
      </w:r>
      <w:r w:rsidR="00E37F24">
        <w:t>The Global Innovation Index consistently noted t</w:t>
      </w:r>
      <w:r w:rsidR="00830FD1">
        <w:t xml:space="preserve">he advantages of the countries of the Eurasian region in the field of human capital.  The Eurasian region had scientific schools with a rich history and traditionally strong positions in education.  In general, there </w:t>
      </w:r>
      <w:r w:rsidR="00E04DA2">
        <w:t xml:space="preserve">were </w:t>
      </w:r>
      <w:r w:rsidR="00830FD1">
        <w:t>about 2,500 organizations in the region engaged in scientific research, half of which were higher educational institutions (with about 2,000 universities in the region), bringing together a faculty of more than 350,000 people.</w:t>
      </w:r>
      <w:r w:rsidR="00E37F24">
        <w:t xml:space="preserve"> </w:t>
      </w:r>
      <w:r w:rsidR="00830FD1">
        <w:t xml:space="preserve"> Given that the EAPC Member States had more than 62 million people under the age of 25, the region had strong potential in the development of human resources that was far from fully realized.  </w:t>
      </w:r>
      <w:r w:rsidR="00290BEA">
        <w:t xml:space="preserve">All the </w:t>
      </w:r>
      <w:r w:rsidR="008426C1">
        <w:t xml:space="preserve">EAPC </w:t>
      </w:r>
      <w:r w:rsidR="00290BEA">
        <w:t>Member States were com</w:t>
      </w:r>
      <w:r w:rsidR="008426C1">
        <w:t xml:space="preserve">mitted to development as </w:t>
      </w:r>
      <w:r w:rsidR="00830FD1" w:rsidRPr="00830FD1">
        <w:t>reflected in the state programs and plans for the development of national economies adopted</w:t>
      </w:r>
      <w:r w:rsidR="00830FD1">
        <w:t xml:space="preserve"> in the countries of the region.  This approach was</w:t>
      </w:r>
      <w:r w:rsidR="00830FD1" w:rsidRPr="00830FD1">
        <w:t xml:space="preserve"> alre</w:t>
      </w:r>
      <w:r w:rsidR="00830FD1">
        <w:t>ady yielding practical results</w:t>
      </w:r>
      <w:r w:rsidR="00E37F24">
        <w:t>.  F</w:t>
      </w:r>
      <w:r w:rsidR="008426C1">
        <w:t>or example, in most EAPC Member States</w:t>
      </w:r>
      <w:r w:rsidR="00830FD1" w:rsidRPr="00830FD1">
        <w:t>,</w:t>
      </w:r>
      <w:r w:rsidR="00E37F24">
        <w:t xml:space="preserve"> there was </w:t>
      </w:r>
      <w:r w:rsidR="00830FD1" w:rsidRPr="00830FD1">
        <w:t>a high level of development and use of information and telecom</w:t>
      </w:r>
      <w:r w:rsidR="00830FD1">
        <w:t>munication technologies</w:t>
      </w:r>
      <w:r w:rsidR="00830FD1" w:rsidRPr="00830FD1">
        <w:t>.</w:t>
      </w:r>
      <w:r w:rsidR="00830FD1">
        <w:t xml:space="preserve">  </w:t>
      </w:r>
      <w:r w:rsidR="00290BEA">
        <w:t xml:space="preserve">If appointed as an International Searching and Preliminary Examining Authority, innovators </w:t>
      </w:r>
      <w:r w:rsidR="00455F82">
        <w:t xml:space="preserve">in the Eurasian region would be able to use the </w:t>
      </w:r>
      <w:r w:rsidR="008243ED">
        <w:t>EAPO</w:t>
      </w:r>
      <w:r w:rsidR="00455F82">
        <w:t xml:space="preserve"> at all stages of the PCT</w:t>
      </w:r>
      <w:r w:rsidR="00830FD1">
        <w:t xml:space="preserve"> from filing the international application, international search and preliminary examination, </w:t>
      </w:r>
      <w:r w:rsidR="00E37F24">
        <w:t>and</w:t>
      </w:r>
      <w:r w:rsidR="00830FD1">
        <w:t xml:space="preserve"> </w:t>
      </w:r>
      <w:r w:rsidR="008426C1">
        <w:t>in the regional phase.  As a designated Office, a</w:t>
      </w:r>
      <w:r w:rsidR="00E37F24">
        <w:t>n applicant would be able to re</w:t>
      </w:r>
      <w:r w:rsidR="008426C1">
        <w:t>ly on previous interaction with the EAPO using the same communication channels and information resources, and be ab</w:t>
      </w:r>
      <w:r w:rsidR="00E37F24">
        <w:t>le to communicate with expert</w:t>
      </w:r>
      <w:r w:rsidR="00E04DA2">
        <w:t>s</w:t>
      </w:r>
      <w:r w:rsidR="00E37F24">
        <w:t xml:space="preserve"> using</w:t>
      </w:r>
      <w:r w:rsidR="008426C1">
        <w:t xml:space="preserve"> their national language.  </w:t>
      </w:r>
      <w:r w:rsidR="008426C1" w:rsidRPr="008426C1">
        <w:t>The appointment of the EAPO as an International Searching Authority and an International Prelim</w:t>
      </w:r>
      <w:r w:rsidR="008426C1">
        <w:t>inary Examination Authority would</w:t>
      </w:r>
      <w:r w:rsidR="008426C1" w:rsidRPr="008426C1">
        <w:t xml:space="preserve"> expand and improve the efficiency o</w:t>
      </w:r>
      <w:r w:rsidR="008426C1">
        <w:t>f the use of the PCT S</w:t>
      </w:r>
      <w:r w:rsidR="008426C1" w:rsidRPr="008426C1">
        <w:t>ystem by inventors and companies from the countries o</w:t>
      </w:r>
      <w:r w:rsidR="008426C1">
        <w:t>f the region.  This, in turn, was</w:t>
      </w:r>
      <w:r w:rsidR="008426C1" w:rsidRPr="008426C1">
        <w:t xml:space="preserve"> one of the important prerequisites for the development of science</w:t>
      </w:r>
      <w:r w:rsidR="004419C1">
        <w:noBreakHyphen/>
      </w:r>
      <w:r w:rsidR="008426C1" w:rsidRPr="008426C1">
        <w:t>in</w:t>
      </w:r>
      <w:r w:rsidR="008426C1">
        <w:t xml:space="preserve">tensive </w:t>
      </w:r>
      <w:r w:rsidR="008426C1">
        <w:lastRenderedPageBreak/>
        <w:t>technologies and high</w:t>
      </w:r>
      <w:r w:rsidR="008426C1">
        <w:noBreakHyphen/>
        <w:t>tech and</w:t>
      </w:r>
      <w:r w:rsidR="008426C1" w:rsidRPr="008426C1">
        <w:t xml:space="preserve"> innovative sect</w:t>
      </w:r>
      <w:r w:rsidR="008426C1">
        <w:t xml:space="preserve">ors of the economies of </w:t>
      </w:r>
      <w:r w:rsidR="00782BF3">
        <w:t xml:space="preserve">the </w:t>
      </w:r>
      <w:r w:rsidR="008426C1">
        <w:t>Eurasian region</w:t>
      </w:r>
      <w:r w:rsidR="008426C1" w:rsidRPr="008426C1">
        <w:t>.</w:t>
      </w:r>
      <w:r w:rsidR="00A86C45">
        <w:t xml:space="preserve">  In terms of the technical aspects of the appointment</w:t>
      </w:r>
      <w:r w:rsidR="005A392C">
        <w:t>, t</w:t>
      </w:r>
      <w:r w:rsidR="00D16D5D">
        <w:t>he</w:t>
      </w:r>
      <w:r w:rsidR="00E37F24">
        <w:t xml:space="preserve"> Representative noted that the</w:t>
      </w:r>
      <w:r w:rsidR="00D16D5D">
        <w:t xml:space="preserve"> Committee for Technical Cooperation, at its thirty</w:t>
      </w:r>
      <w:r w:rsidR="00D16D5D">
        <w:noBreakHyphen/>
        <w:t xml:space="preserve">first </w:t>
      </w:r>
      <w:r w:rsidR="00A86C45">
        <w:t>session from</w:t>
      </w:r>
      <w:r w:rsidR="00D16D5D">
        <w:t xml:space="preserve"> October</w:t>
      </w:r>
      <w:r w:rsidR="00A86C45">
        <w:t> 5 to 8,</w:t>
      </w:r>
      <w:r w:rsidR="00D16D5D">
        <w:t> </w:t>
      </w:r>
      <w:r w:rsidR="00E33C21">
        <w:t>2020</w:t>
      </w:r>
      <w:r w:rsidR="005A392C">
        <w:t>,</w:t>
      </w:r>
      <w:r w:rsidR="00E33C21">
        <w:t xml:space="preserve"> </w:t>
      </w:r>
      <w:r w:rsidR="00E37F24">
        <w:t>had</w:t>
      </w:r>
      <w:r w:rsidR="00A86C45">
        <w:t xml:space="preserve"> made a positive recommendation to the Assembly</w:t>
      </w:r>
      <w:r w:rsidR="00D16D5D">
        <w:t xml:space="preserve">.  </w:t>
      </w:r>
      <w:r w:rsidR="00E37F24">
        <w:t>Moreover, t</w:t>
      </w:r>
      <w:r w:rsidR="00D16D5D">
        <w:t>he COVID-19 pandemic had</w:t>
      </w:r>
      <w:r w:rsidR="004737A7" w:rsidRPr="004737A7">
        <w:t xml:space="preserve"> </w:t>
      </w:r>
      <w:r w:rsidR="00E37F24">
        <w:t>not resulted in</w:t>
      </w:r>
      <w:r w:rsidR="00A86C45">
        <w:t xml:space="preserve"> a negative impact on the activities of EAPO and its readiness to perform the functions of an International Authority.  EAPO had well</w:t>
      </w:r>
      <w:r w:rsidR="00A86C45">
        <w:noBreakHyphen/>
        <w:t>developed electronic systems that ensured full electronic interaction with applicants, the possibility of remote working for any employee and a paperless patent procedure.  EAPO received m</w:t>
      </w:r>
      <w:r w:rsidR="00D30093">
        <w:t>o</w:t>
      </w:r>
      <w:r w:rsidR="00A86C45">
        <w:t xml:space="preserve">re than 90 per cent of its applications </w:t>
      </w:r>
      <w:r w:rsidR="00D30093">
        <w:t xml:space="preserve">electronically, and this </w:t>
      </w:r>
      <w:r w:rsidR="00A86C45">
        <w:t>figure continued to grow.  In addition, EAPO ha</w:t>
      </w:r>
      <w:r w:rsidR="00E37F24">
        <w:t>d extensive experience in using</w:t>
      </w:r>
      <w:r w:rsidR="00A86C45">
        <w:t xml:space="preserve"> the electronic services provided by the International Bureau</w:t>
      </w:r>
      <w:r w:rsidR="00E04DA2">
        <w:t>,</w:t>
      </w:r>
      <w:r w:rsidR="00E37F24">
        <w:t xml:space="preserve"> being </w:t>
      </w:r>
      <w:r w:rsidR="00A86C45">
        <w:t xml:space="preserve">the first Office in the region to use the ePCT system </w:t>
      </w:r>
      <w:r w:rsidR="004F08E1">
        <w:t>and the WIPO Digital Access Service</w:t>
      </w:r>
      <w:r w:rsidR="002E6988">
        <w:t> </w:t>
      </w:r>
      <w:r w:rsidR="004F08E1">
        <w:t>(DAS) for the ret</w:t>
      </w:r>
      <w:r w:rsidR="006E53F2">
        <w:t xml:space="preserve">rieval of priority documents.  </w:t>
      </w:r>
      <w:r w:rsidR="00E37F24">
        <w:t xml:space="preserve">The EAPO </w:t>
      </w:r>
      <w:r w:rsidR="004F08E1">
        <w:t xml:space="preserve">was now ready to </w:t>
      </w:r>
      <w:r w:rsidR="005A392C">
        <w:t>be</w:t>
      </w:r>
      <w:r w:rsidR="00E37F24">
        <w:t>gin work as</w:t>
      </w:r>
      <w:r w:rsidR="004F08E1">
        <w:t xml:space="preserve"> an International Searching Authority and International Preliminary Examining Authority</w:t>
      </w:r>
      <w:r w:rsidR="00E37F24">
        <w:t xml:space="preserve"> as soon as possible at the beginning of 2022</w:t>
      </w:r>
      <w:r w:rsidR="004F08E1">
        <w:t xml:space="preserve">.  </w:t>
      </w:r>
      <w:r w:rsidR="005A392C">
        <w:t>T</w:t>
      </w:r>
      <w:r w:rsidR="004F08E1">
        <w:t xml:space="preserve">he Representative </w:t>
      </w:r>
      <w:r w:rsidR="005A392C">
        <w:t>concluded by thanking</w:t>
      </w:r>
      <w:r w:rsidR="004F08E1">
        <w:t xml:space="preserve"> the China National Intellectual Property Administration </w:t>
      </w:r>
      <w:r w:rsidR="00F57F58">
        <w:t xml:space="preserve">(CNIPA) </w:t>
      </w:r>
      <w:r w:rsidR="004F08E1">
        <w:t xml:space="preserve">and the Federal Service </w:t>
      </w:r>
      <w:r w:rsidR="00F57F58">
        <w:t>for</w:t>
      </w:r>
      <w:r w:rsidR="004F08E1">
        <w:t xml:space="preserve"> </w:t>
      </w:r>
      <w:r w:rsidR="00E37F24">
        <w:t>Intellectual Property (ROSPATENT</w:t>
      </w:r>
      <w:r w:rsidR="004F08E1">
        <w:t xml:space="preserve">) for their advice and assistance with the application to ensure that the </w:t>
      </w:r>
      <w:r w:rsidR="00E33C21">
        <w:t>EAPO</w:t>
      </w:r>
      <w:r w:rsidR="004F08E1">
        <w:t xml:space="preserve"> was compli</w:t>
      </w:r>
      <w:r w:rsidR="005A392C">
        <w:t>ant with all the requirements to become</w:t>
      </w:r>
      <w:r w:rsidR="004F08E1">
        <w:t xml:space="preserve"> an International Searching and Preliminary Examining Authority.  The Representative also thanked the 14 States whose national IP Offices </w:t>
      </w:r>
      <w:r w:rsidR="00E04DA2">
        <w:t xml:space="preserve">had given </w:t>
      </w:r>
      <w:r w:rsidR="004F08E1">
        <w:t xml:space="preserve">written support for the application, namely, Kazakhstan, Colombia, </w:t>
      </w:r>
      <w:r w:rsidR="00E33C21">
        <w:t xml:space="preserve">the </w:t>
      </w:r>
      <w:r w:rsidR="004737A7" w:rsidRPr="004737A7">
        <w:t xml:space="preserve">Russian Federation, </w:t>
      </w:r>
      <w:r w:rsidR="004F08E1">
        <w:t>Azerbaijan</w:t>
      </w:r>
      <w:r w:rsidR="004737A7" w:rsidRPr="004737A7">
        <w:t xml:space="preserve">, China, </w:t>
      </w:r>
      <w:r w:rsidR="00E33C21">
        <w:t xml:space="preserve">the </w:t>
      </w:r>
      <w:r w:rsidR="004737A7" w:rsidRPr="004737A7">
        <w:t xml:space="preserve">Czech Republic, Armenia, </w:t>
      </w:r>
      <w:r w:rsidR="00F0518B">
        <w:t xml:space="preserve">Chile, </w:t>
      </w:r>
      <w:r w:rsidR="00E33C21">
        <w:t xml:space="preserve">the </w:t>
      </w:r>
      <w:r w:rsidR="004F08E1">
        <w:t xml:space="preserve">Republic of </w:t>
      </w:r>
      <w:r w:rsidR="008243ED">
        <w:t xml:space="preserve">Moldova, Belarus, Canada, Brazil, Egypt and </w:t>
      </w:r>
      <w:r w:rsidR="004737A7" w:rsidRPr="004737A7">
        <w:t>Mexico</w:t>
      </w:r>
      <w:r w:rsidR="008243ED">
        <w:t xml:space="preserve">.  </w:t>
      </w:r>
      <w:r w:rsidR="00E33C21">
        <w:t>Finally</w:t>
      </w:r>
      <w:r w:rsidR="008243ED">
        <w:t xml:space="preserve">, the Representative </w:t>
      </w:r>
      <w:r w:rsidR="00E33C21">
        <w:t xml:space="preserve">acknowledged the assistance and advice from </w:t>
      </w:r>
      <w:r w:rsidR="008243ED">
        <w:t>the Secretariat</w:t>
      </w:r>
      <w:r w:rsidR="00E33C21">
        <w:t xml:space="preserve"> and the trust and confidence that the PCT membership would place in the EAPO </w:t>
      </w:r>
      <w:r w:rsidR="008243ED">
        <w:t>performing the duties of an International Searching and Preliminary Examining Authority.</w:t>
      </w:r>
    </w:p>
    <w:p w14:paraId="7063098A" w14:textId="23BC757A" w:rsidR="005D3CEE" w:rsidRDefault="00540C13" w:rsidP="00540C13">
      <w:pPr>
        <w:pStyle w:val="ONUME"/>
      </w:pPr>
      <w:r w:rsidRPr="00540C13">
        <w:t xml:space="preserve">The Delegation of the Russian Federation aligned itself with the statement made by the Delegation of Belarus on behalf of the Group of Central Asian, Caucasus and Eastern European Countries (CACEEC) under item 5 of the Consolidated Agenda (document A/62/1) expressing support for the appointment of the EAPO as an International Searching and Preliminary Examining Authority under the PCT (see paragraph </w:t>
      </w:r>
      <w:r w:rsidR="00B079A1">
        <w:t>5</w:t>
      </w:r>
      <w:r w:rsidR="00B079A1" w:rsidRPr="00540C13">
        <w:t xml:space="preserve"> </w:t>
      </w:r>
      <w:r w:rsidRPr="00540C13">
        <w:t>of document A/62/</w:t>
      </w:r>
      <w:r w:rsidR="007E0CFC" w:rsidRPr="00996D4B">
        <w:t>13</w:t>
      </w:r>
      <w:r w:rsidRPr="00540C13">
        <w:t>).</w:t>
      </w:r>
      <w:r w:rsidR="007E0CFC">
        <w:t xml:space="preserve"> </w:t>
      </w:r>
      <w:r w:rsidRPr="00540C13">
        <w:t xml:space="preserve"> The appointment would serve the interests of applicants and the countries in the Eurasian region and promote greater use of the PCT System.  The Delegation stated that expanding the functions of the EAPO within the PCT System would create additional advantages for applicants because EAPO would be able to carry out all the stages in examination of an international application.  The EAPO met all the requirements for appointment set out in the PCT Regulations, having a sufficient number of highly qualified patent examiners, the required technical and information infrastructure and an effective quality management system.</w:t>
      </w:r>
    </w:p>
    <w:p w14:paraId="2271DA03" w14:textId="0A302F68" w:rsidR="00753786" w:rsidRPr="00753786" w:rsidRDefault="00753786" w:rsidP="00753786">
      <w:pPr>
        <w:pStyle w:val="ONUME"/>
      </w:pPr>
      <w:r w:rsidRPr="00753786">
        <w:t>The Delegation of Spain underlined the important and valuable contribution of all Member States in developing the international intellectual property registration systems.  In line with this, the Spanish Patent and Trademark Office (OEPM) had been working collaboratively over many years to develop and improve the patent system in general with its representatives taking an a</w:t>
      </w:r>
      <w:r>
        <w:t>ctive role in the WIPO decision</w:t>
      </w:r>
      <w:r>
        <w:noBreakHyphen/>
      </w:r>
      <w:r w:rsidRPr="00753786">
        <w:t>making bodies within the PCT System.  The OEPM participated in the WIPO Fee Transfer Service as both a receiving Office and as an International Searching Authority to reduce the risks related to foreign currency exchange rates.  Furthermore, the Office had actively participated as part of the Delegation of Spain at the PCT Working Group, notably working closely with the European Patent Office, and the Delegations of France, Switzerland and the United Kingdom towards the amendment of Rule</w:t>
      </w:r>
      <w:r>
        <w:t> </w:t>
      </w:r>
      <w:r w:rsidRPr="00753786">
        <w:t>82</w:t>
      </w:r>
      <w:r w:rsidRPr="00753786">
        <w:rPr>
          <w:i/>
        </w:rPr>
        <w:t>quater</w:t>
      </w:r>
      <w:r w:rsidRPr="00753786">
        <w:t>.  This was important as it helped to strengthen the safeguards for applicants and third parties when there were general disruptions</w:t>
      </w:r>
      <w:r>
        <w:t>, as had been the case of COVID</w:t>
      </w:r>
      <w:r>
        <w:noBreakHyphen/>
      </w:r>
      <w:r w:rsidRPr="00753786">
        <w:t>19, which stood in the way of meeting time limits set out in the PCT Regulations. The Delegation also supported the amendments to Rules</w:t>
      </w:r>
      <w:r>
        <w:t> </w:t>
      </w:r>
      <w:r w:rsidRPr="00753786">
        <w:t>12, 13</w:t>
      </w:r>
      <w:r w:rsidRPr="00753786">
        <w:rPr>
          <w:i/>
        </w:rPr>
        <w:t>ter</w:t>
      </w:r>
      <w:r w:rsidRPr="00753786">
        <w:t>, 19, and 49 required for the implementation in the PCT of WIPO Standard ST.26 for the presentation of nucleotide and amino acid sequence listings using XML.  The Delegation supported the appointment of the EAPO as an International Searching and Preliminary Examining Authority in accordance with the unanimo</w:t>
      </w:r>
      <w:r>
        <w:t xml:space="preserve">us recommendation of the </w:t>
      </w:r>
      <w:r>
        <w:lastRenderedPageBreak/>
        <w:t>thirty</w:t>
      </w:r>
      <w:r>
        <w:noBreakHyphen/>
      </w:r>
      <w:r w:rsidRPr="00753786">
        <w:t>first session of the Committee for Technical Cooperation, since the Office met the technical requirements set out in Rule</w:t>
      </w:r>
      <w:r>
        <w:t> </w:t>
      </w:r>
      <w:r w:rsidRPr="00753786">
        <w:t xml:space="preserve">36.  The Federal Service for Intellectual Property of the Russian Federation as well as the China National International Property Administration had reported on this matter favorably.  The appointment would benefit the PCT System in the Eurasian region </w:t>
      </w:r>
      <w:r w:rsidR="002C10F7">
        <w:t>making it eas</w:t>
      </w:r>
      <w:r w:rsidR="00FA053C">
        <w:t>i</w:t>
      </w:r>
      <w:r w:rsidR="002C10F7">
        <w:t>er for</w:t>
      </w:r>
      <w:r w:rsidRPr="00753786">
        <w:t xml:space="preserve"> applicants from the region to </w:t>
      </w:r>
      <w:r w:rsidR="002C10F7">
        <w:t>file</w:t>
      </w:r>
      <w:r w:rsidRPr="00753786">
        <w:t xml:space="preserve"> international applications and give them further incentive to use the PCT System.  The Delegation indicated that it opposed the continuation of the supplementary international search system because the costs were not justified and the OEPM did not have the information it needed to provide to its users.  Use of the service had been low and the Delegation therefore supported the decision of the Worki</w:t>
      </w:r>
      <w:r>
        <w:t>ng Group to review the system no later than</w:t>
      </w:r>
      <w:r w:rsidRPr="00753786">
        <w:t xml:space="preserve"> 2027. </w:t>
      </w:r>
    </w:p>
    <w:p w14:paraId="04C567B4" w14:textId="77777777" w:rsidR="00753786" w:rsidRDefault="00540C13" w:rsidP="00753786">
      <w:pPr>
        <w:pStyle w:val="ONUME"/>
      </w:pPr>
      <w:r w:rsidRPr="00540C13">
        <w:t xml:space="preserve"> </w:t>
      </w:r>
      <w:r w:rsidR="00753786">
        <w:t xml:space="preserve">The Delegation of Japan supported the appointment of the EAPO as an International Searching and Preliminary Examining Authority under the PCT.  The Delegation welcomed the EAPO's contribution to enhancing the PCT System, which was an important instrument for all innovators seeking patent protection internationally.  The appointment of the EAPO would bring benefits to the large number of applicants from the region by increasing their options of International Searching and Preliminary Examining Authorities.  The Delegation hoped that the EAPO would play an important role in the future development of the PCT System. </w:t>
      </w:r>
    </w:p>
    <w:p w14:paraId="24282A3A" w14:textId="77777777" w:rsidR="00753786" w:rsidRDefault="00753786" w:rsidP="00753786">
      <w:pPr>
        <w:pStyle w:val="ONUME"/>
      </w:pPr>
      <w:r>
        <w:t xml:space="preserve">The Delegation of China supported the appointment of the EAPO as an International Searching and Preliminary Examining Authority under the PCT.  This would further promote the development and use of the PCT System. </w:t>
      </w:r>
    </w:p>
    <w:p w14:paraId="33E8B1A3" w14:textId="77777777" w:rsidR="00540C13" w:rsidRPr="00540C13" w:rsidRDefault="00753786" w:rsidP="00753786">
      <w:pPr>
        <w:pStyle w:val="ONUME"/>
      </w:pPr>
      <w:r>
        <w:t>The Delegation of the United States of America supported the appointment of the EAPO as an International Searching and Preliminary Examining Authority under the PCT and approval of the agreement between the EAPO and the International Bureau contained in the Annex to document PCT/A/53/1.  The Delegation also supported the adoption of the proposed decision set forth in paragraph 7 of document PCT/A/53/2, whereby the International Bureau would continue to monitor and report to the Meeting of International Authorities and the PCT Working Group on significant developments relating to the supplementary international search system, and would review the system again as recommended by the International Bureau or by a Contracting State, no later than 2027.  Finally, the Delegation supported the adoption of the proposed amendments to the PCT Regulations set out in Annexes I to III of document PCT/A/53/3 and the entry into force and transitional arrangements set forth in that document.</w:t>
      </w:r>
    </w:p>
    <w:p w14:paraId="00F38765" w14:textId="610C369C" w:rsidR="00975AD8" w:rsidRDefault="00AE1543" w:rsidP="00AE1543">
      <w:pPr>
        <w:pStyle w:val="ONUME"/>
      </w:pPr>
      <w:r>
        <w:t xml:space="preserve">The Delegation of </w:t>
      </w:r>
      <w:r w:rsidRPr="00AE1543">
        <w:t>the Republic of Korea support</w:t>
      </w:r>
      <w:r>
        <w:t>ed</w:t>
      </w:r>
      <w:r w:rsidRPr="00AE1543">
        <w:t xml:space="preserve"> the appointment of the </w:t>
      </w:r>
      <w:r>
        <w:t xml:space="preserve">EAPO </w:t>
      </w:r>
      <w:r w:rsidRPr="00AE1543">
        <w:t xml:space="preserve">as </w:t>
      </w:r>
      <w:r>
        <w:t xml:space="preserve">an </w:t>
      </w:r>
      <w:r w:rsidRPr="00AE1543">
        <w:t xml:space="preserve">International </w:t>
      </w:r>
      <w:r>
        <w:t xml:space="preserve">Searching </w:t>
      </w:r>
      <w:r w:rsidR="00C3321F">
        <w:t xml:space="preserve">Authority </w:t>
      </w:r>
      <w:r>
        <w:t xml:space="preserve">and </w:t>
      </w:r>
      <w:r w:rsidR="00C3321F">
        <w:t xml:space="preserve">an International </w:t>
      </w:r>
      <w:r>
        <w:t>Preliminary Examining Authority.  The Korean Intellectual Property Office</w:t>
      </w:r>
      <w:r w:rsidR="00C3321F">
        <w:t xml:space="preserve"> </w:t>
      </w:r>
      <w:r>
        <w:t>and the EAPO had been closely cooperating</w:t>
      </w:r>
      <w:r w:rsidRPr="00AE1543">
        <w:t xml:space="preserve"> in the fi</w:t>
      </w:r>
      <w:r w:rsidR="00C3321F">
        <w:t>eld of PCT, in particular</w:t>
      </w:r>
      <w:r w:rsidR="00C212DB">
        <w:t>,</w:t>
      </w:r>
      <w:r w:rsidR="00C3321F">
        <w:t xml:space="preserve"> through a Memorandum of Understanding on bilateral cooperation and a Memorandum of Understanding on the Patent Prosecution Highway signed on </w:t>
      </w:r>
      <w:r w:rsidRPr="00AE1543">
        <w:t>September</w:t>
      </w:r>
      <w:r w:rsidR="00EE76BA">
        <w:t> </w:t>
      </w:r>
      <w:r w:rsidRPr="00AE1543">
        <w:t>25,</w:t>
      </w:r>
      <w:r w:rsidR="00EE76BA">
        <w:t> </w:t>
      </w:r>
      <w:r w:rsidRPr="00AE1543">
        <w:t xml:space="preserve">2018. </w:t>
      </w:r>
      <w:r w:rsidR="00C3321F">
        <w:t xml:space="preserve"> </w:t>
      </w:r>
      <w:r w:rsidRPr="00AE1543">
        <w:t xml:space="preserve">The </w:t>
      </w:r>
      <w:r w:rsidR="00C3321F">
        <w:t>Delegation believed</w:t>
      </w:r>
      <w:r w:rsidRPr="00AE1543">
        <w:t xml:space="preserve"> that the appointment of the </w:t>
      </w:r>
      <w:r w:rsidR="00C3321F">
        <w:t>EAPO</w:t>
      </w:r>
      <w:r w:rsidRPr="00AE1543">
        <w:t xml:space="preserve"> </w:t>
      </w:r>
      <w:r w:rsidR="00C3321F">
        <w:t>as an International Searching and Preliminary Examining Authority would</w:t>
      </w:r>
      <w:r w:rsidRPr="00AE1543">
        <w:t xml:space="preserve"> </w:t>
      </w:r>
      <w:r w:rsidR="00C3321F">
        <w:t xml:space="preserve">make the PCT System more convenient for users, and the Republic of Korea </w:t>
      </w:r>
      <w:r w:rsidR="00C212DB">
        <w:t>wished</w:t>
      </w:r>
      <w:r w:rsidR="00C3321F">
        <w:t xml:space="preserve"> to take the opportunity </w:t>
      </w:r>
      <w:r w:rsidR="00C212DB">
        <w:t xml:space="preserve">of the appointment </w:t>
      </w:r>
      <w:r w:rsidR="00C3321F">
        <w:t xml:space="preserve">to strengthen </w:t>
      </w:r>
      <w:r w:rsidR="00C212DB">
        <w:t>its</w:t>
      </w:r>
      <w:r w:rsidR="00C3321F">
        <w:t xml:space="preserve"> cooperation with the EAPO in the area of the PCT.</w:t>
      </w:r>
    </w:p>
    <w:p w14:paraId="199DE49E" w14:textId="2BE32497" w:rsidR="00AE1543" w:rsidRDefault="00C212DB" w:rsidP="00753786">
      <w:pPr>
        <w:pStyle w:val="ONUME"/>
      </w:pPr>
      <w:r>
        <w:t xml:space="preserve">The Representative of the Intellectual Property Latin American School (ELAPI) stated that ELAPI </w:t>
      </w:r>
      <w:r w:rsidR="00D16922">
        <w:t>intended to collaborate</w:t>
      </w:r>
      <w:r>
        <w:t xml:space="preserve"> </w:t>
      </w:r>
      <w:r w:rsidR="00557F3B">
        <w:t>in</w:t>
      </w:r>
      <w:r w:rsidR="00D16922">
        <w:t xml:space="preserve"> the development of new strategies</w:t>
      </w:r>
      <w:r>
        <w:t xml:space="preserve"> to </w:t>
      </w:r>
      <w:r w:rsidR="00D16922">
        <w:t>accelerate discussions on “Patents and H</w:t>
      </w:r>
      <w:r>
        <w:t>ealth</w:t>
      </w:r>
      <w:r w:rsidR="00D16922">
        <w:t>”.  In this work, there was a need to consider both the perspective of the protection and the diffusion of new relevant technologies, and the urgent need to be able to face global emergencies like the COVID</w:t>
      </w:r>
      <w:r w:rsidR="00D16922">
        <w:noBreakHyphen/>
        <w:t xml:space="preserve">19 pandemic </w:t>
      </w:r>
      <w:r w:rsidR="009F1ABF">
        <w:t xml:space="preserve">and probably others </w:t>
      </w:r>
      <w:r w:rsidR="00D16922">
        <w:t>in the future</w:t>
      </w:r>
      <w:r w:rsidR="000544A8">
        <w:t>,</w:t>
      </w:r>
      <w:r w:rsidR="00D16922">
        <w:t xml:space="preserve"> with the sole objective o</w:t>
      </w:r>
      <w:r w:rsidR="009F1ABF">
        <w:t>f</w:t>
      </w:r>
      <w:r w:rsidR="00D16922">
        <w:t xml:space="preserve"> recognizing the importance of condensing many months or years of research into a single document.  T</w:t>
      </w:r>
      <w:r w:rsidR="0090634A">
        <w:t xml:space="preserve">his would allow the patent applicant </w:t>
      </w:r>
      <w:r w:rsidR="000544A8">
        <w:t xml:space="preserve">who </w:t>
      </w:r>
      <w:r w:rsidR="0090634A">
        <w:t>has developed the technology to benefit from their efforts, and</w:t>
      </w:r>
      <w:r w:rsidR="009F1ABF">
        <w:t xml:space="preserve"> likewise </w:t>
      </w:r>
      <w:r w:rsidR="0090634A">
        <w:t xml:space="preserve">enable other researchers and developers where the patent was not protected to use the knowledge in the patent to develop technology around the invention or even disruptive technologies based on the advances to date in the specific field of </w:t>
      </w:r>
      <w:r w:rsidR="0090634A">
        <w:lastRenderedPageBreak/>
        <w:t xml:space="preserve">the invention.  </w:t>
      </w:r>
      <w:r w:rsidR="00557F3B">
        <w:t xml:space="preserve">ELAPI believed that regulation would </w:t>
      </w:r>
      <w:r w:rsidR="0090634A">
        <w:t>always be better than any</w:t>
      </w:r>
      <w:r w:rsidR="008B03FD">
        <w:t xml:space="preserve"> prohibition.  ELAPI</w:t>
      </w:r>
      <w:r w:rsidR="00557F3B">
        <w:t xml:space="preserve"> </w:t>
      </w:r>
      <w:r w:rsidR="004A08A5">
        <w:t xml:space="preserve">hoped to use </w:t>
      </w:r>
      <w:r w:rsidR="00F2359F">
        <w:t xml:space="preserve">its </w:t>
      </w:r>
      <w:r w:rsidR="004A08A5">
        <w:t xml:space="preserve">experience in Latin America, particularly </w:t>
      </w:r>
      <w:r w:rsidR="00002DF7">
        <w:t xml:space="preserve">as it relates to </w:t>
      </w:r>
      <w:r w:rsidR="004A08A5">
        <w:t>PCT applications</w:t>
      </w:r>
      <w:r w:rsidR="0090634A">
        <w:t xml:space="preserve"> at the National Institute of Industrial Property of Chile</w:t>
      </w:r>
      <w:r w:rsidR="00F2359F">
        <w:t>,</w:t>
      </w:r>
      <w:r w:rsidR="004A08A5">
        <w:t xml:space="preserve"> </w:t>
      </w:r>
      <w:r w:rsidR="0090634A">
        <w:t xml:space="preserve">as well as global experience </w:t>
      </w:r>
      <w:r w:rsidR="00002DF7">
        <w:t xml:space="preserve">during </w:t>
      </w:r>
      <w:r w:rsidR="0090634A">
        <w:t>the COVID</w:t>
      </w:r>
      <w:r w:rsidR="0090634A">
        <w:noBreakHyphen/>
        <w:t>19 pandemic</w:t>
      </w:r>
      <w:r w:rsidR="000544A8">
        <w:t>,</w:t>
      </w:r>
      <w:r w:rsidR="0090634A">
        <w:t xml:space="preserve"> </w:t>
      </w:r>
      <w:r w:rsidR="004A08A5">
        <w:t>to contribute to improving the system</w:t>
      </w:r>
      <w:r w:rsidR="008B03FD">
        <w:t xml:space="preserve"> </w:t>
      </w:r>
      <w:r w:rsidR="00002DF7">
        <w:t xml:space="preserve">of protecting technology through patents </w:t>
      </w:r>
      <w:r w:rsidR="008B03FD">
        <w:t>by incorporating too</w:t>
      </w:r>
      <w:r w:rsidR="0090634A">
        <w:t>ls that connect</w:t>
      </w:r>
      <w:r w:rsidR="00002DF7">
        <w:t>, enable</w:t>
      </w:r>
      <w:r w:rsidR="0090634A">
        <w:t xml:space="preserve"> and facilitate the transfer of technology in a cross</w:t>
      </w:r>
      <w:r w:rsidR="008B03FD">
        <w:noBreakHyphen/>
        <w:t>cutting way.  This started from the early diffus</w:t>
      </w:r>
      <w:r w:rsidR="000544A8">
        <w:t xml:space="preserve">ion of new </w:t>
      </w:r>
      <w:r w:rsidR="000F594A">
        <w:t>technologies</w:t>
      </w:r>
      <w:r w:rsidR="000544A8">
        <w:t xml:space="preserve"> towards allowing licenses to ensure that technologies developed for human health could finally fulfil their intended objectives, both for those developing the technology and those benefiting from it internationally. </w:t>
      </w:r>
      <w:r w:rsidR="00AA2FE1">
        <w:t xml:space="preserve"> Incentivizing</w:t>
      </w:r>
      <w:r w:rsidR="000544A8">
        <w:t xml:space="preserve"> the incorporation of IP protection mechanisms in scientific research such as patents for inventions was key to the agile development of new technologies which otherwise could remain secret for more than 10 years, as could have been the case with vaccine technologies based on viral mRNA.</w:t>
      </w:r>
      <w:r w:rsidR="00F2359F">
        <w:t xml:space="preserve"> </w:t>
      </w:r>
      <w:r w:rsidR="000544A8">
        <w:t xml:space="preserve"> </w:t>
      </w:r>
      <w:r w:rsidR="00F2359F">
        <w:t xml:space="preserve">ELAPI offered its academic support to </w:t>
      </w:r>
      <w:r w:rsidR="00522F8D">
        <w:t xml:space="preserve">the </w:t>
      </w:r>
      <w:r w:rsidR="000544A8">
        <w:t>Assembly</w:t>
      </w:r>
      <w:r w:rsidR="00AA2FE1">
        <w:t>, Committees and Member States</w:t>
      </w:r>
      <w:r w:rsidR="00FA053C">
        <w:t xml:space="preserve">, </w:t>
      </w:r>
      <w:r w:rsidR="000544A8">
        <w:t>especially</w:t>
      </w:r>
      <w:r w:rsidR="00F2359F">
        <w:t xml:space="preserve"> the Group of Latin American and Caribbean Countries (GRULAC)</w:t>
      </w:r>
      <w:r w:rsidR="00630174">
        <w:t>,</w:t>
      </w:r>
      <w:r w:rsidR="00AA2FE1">
        <w:t xml:space="preserve"> in order</w:t>
      </w:r>
      <w:r w:rsidR="00522F8D">
        <w:t xml:space="preserve"> to</w:t>
      </w:r>
      <w:r w:rsidR="00944801">
        <w:t xml:space="preserve"> help</w:t>
      </w:r>
      <w:r w:rsidR="00522F8D">
        <w:t xml:space="preserve"> strengthen the patent system</w:t>
      </w:r>
      <w:r w:rsidR="00944801">
        <w:t xml:space="preserve">, as </w:t>
      </w:r>
      <w:r w:rsidR="005B1969">
        <w:t xml:space="preserve">an </w:t>
      </w:r>
      <w:r w:rsidR="00944801">
        <w:t>axis and vehicle for global technological development.</w:t>
      </w:r>
    </w:p>
    <w:p w14:paraId="59583A58" w14:textId="77777777" w:rsidR="00975AD8" w:rsidRDefault="00975AD8" w:rsidP="00975AD8">
      <w:pPr>
        <w:pStyle w:val="ONUME"/>
        <w:ind w:left="567"/>
      </w:pPr>
      <w:r>
        <w:t>The Assembly of the PCT Union, in accordance with Articles 16(3) and 32(3) of the PCT:</w:t>
      </w:r>
    </w:p>
    <w:p w14:paraId="28C3291C" w14:textId="77777777" w:rsidR="00975AD8" w:rsidRDefault="00975AD8" w:rsidP="00975AD8">
      <w:pPr>
        <w:pStyle w:val="ONUME"/>
        <w:numPr>
          <w:ilvl w:val="2"/>
          <w:numId w:val="5"/>
        </w:numPr>
      </w:pPr>
      <w:r>
        <w:t xml:space="preserve">approved the text of the draft Agreement between the Eurasian Patent Organization and the International Bureau set out in the Annex to document PCT/A/53/1;  and </w:t>
      </w:r>
    </w:p>
    <w:p w14:paraId="620CDEF4" w14:textId="77777777" w:rsidR="00522F8D" w:rsidRDefault="00975AD8" w:rsidP="00522F8D">
      <w:pPr>
        <w:pStyle w:val="ONUME"/>
        <w:numPr>
          <w:ilvl w:val="2"/>
          <w:numId w:val="5"/>
        </w:numPr>
      </w:pPr>
      <w:r>
        <w:t>appointed the Eurasian Patent Office as an International Searching Authority and International Preliminary Examining Authority with effect from the entry into force of the Agreement until December 31, 2027.</w:t>
      </w:r>
    </w:p>
    <w:p w14:paraId="22D210EE" w14:textId="77777777" w:rsidR="00522F8D" w:rsidRDefault="00522F8D" w:rsidP="00522F8D">
      <w:pPr>
        <w:pStyle w:val="ONUME"/>
      </w:pPr>
      <w:r>
        <w:t>The Director General of WIPO, Mr. Daren Tang, congratulated the EAPO on its appointment as an International Searching Authority and International Preliminary Examining Authority under the PCT on behalf of the International Bureau.  The EAPO and the International Bureau had a long history of fruitful cooperation</w:t>
      </w:r>
      <w:r w:rsidR="00844094">
        <w:t xml:space="preserve">, with the EAPO operating as a receiving Office and </w:t>
      </w:r>
      <w:r w:rsidR="00C02A19">
        <w:t xml:space="preserve">as a </w:t>
      </w:r>
      <w:r w:rsidR="00844094">
        <w:t xml:space="preserve">designated </w:t>
      </w:r>
      <w:r w:rsidR="00C02A19">
        <w:t>and elected Office since its establishment more than 25 years ago.  The International Bureau looked forward to strengthening cooperation with the EAPO in its new role as an International Searching and Preliminary Examining Authority.</w:t>
      </w:r>
    </w:p>
    <w:p w14:paraId="6FE04F94" w14:textId="77777777" w:rsidR="00C02A19" w:rsidRDefault="00C02A19" w:rsidP="00522F8D">
      <w:pPr>
        <w:pStyle w:val="ONUME"/>
      </w:pPr>
      <w:r>
        <w:t>The Delegation of Saudi Arabia congratulated the EAPO on its appointment as an International Searching and Preliminary Examining Authority.</w:t>
      </w:r>
    </w:p>
    <w:p w14:paraId="0B59C7CC" w14:textId="694FCAB2" w:rsidR="00C02A19" w:rsidRDefault="00C02A19" w:rsidP="00C02A19">
      <w:pPr>
        <w:pStyle w:val="ONUME"/>
      </w:pPr>
      <w:r>
        <w:t xml:space="preserve">The Representative of the </w:t>
      </w:r>
      <w:r w:rsidR="006902EB">
        <w:t>EAPO thanked the delegations for their trust and confidence in approving the appointment of EAPO as an International Searching and Preliminary Examining Authority.  The Representative stated that the EAPO would endeavor to justify this new responsibility</w:t>
      </w:r>
      <w:r w:rsidR="00101287">
        <w:t xml:space="preserve">.  EAPO would </w:t>
      </w:r>
      <w:r w:rsidR="006902EB">
        <w:t xml:space="preserve">work with the International Bureau and other Offices and organizations as an International Authority, with the aim of strengthening intellectual property and the way it </w:t>
      </w:r>
      <w:r w:rsidR="00C13B0A">
        <w:t>supported innovation in the Eurasian region and worldwide.</w:t>
      </w:r>
    </w:p>
    <w:p w14:paraId="0E52874C" w14:textId="77777777" w:rsidR="00975AD8" w:rsidRDefault="00A57C14" w:rsidP="00996D4B">
      <w:pPr>
        <w:pStyle w:val="Heading3"/>
        <w:spacing w:after="220"/>
      </w:pPr>
      <w:r w:rsidRPr="00A57C14">
        <w:t>Review of the Supplementary International Search System</w:t>
      </w:r>
    </w:p>
    <w:p w14:paraId="0F1D2C34" w14:textId="4E0D164B" w:rsidR="00975AD8" w:rsidRDefault="00A57C14" w:rsidP="00975AD8">
      <w:pPr>
        <w:pStyle w:val="ONUME"/>
      </w:pPr>
      <w:r>
        <w:t>Discussions were based on document</w:t>
      </w:r>
      <w:r w:rsidRPr="00F24562">
        <w:t xml:space="preserve"> </w:t>
      </w:r>
      <w:hyperlink r:id="rId10" w:history="1">
        <w:r w:rsidRPr="00F24562">
          <w:rPr>
            <w:rStyle w:val="Hyperlink"/>
            <w:color w:val="auto"/>
            <w:u w:val="none"/>
          </w:rPr>
          <w:t>PCT/A/53/2</w:t>
        </w:r>
      </w:hyperlink>
      <w:r>
        <w:t>.</w:t>
      </w:r>
    </w:p>
    <w:p w14:paraId="6D358634" w14:textId="77777777" w:rsidR="00975AD8" w:rsidRDefault="0092448B" w:rsidP="001E55C1">
      <w:pPr>
        <w:pStyle w:val="ONUME"/>
      </w:pPr>
      <w:r>
        <w:t xml:space="preserve">The Secretariat explained that the </w:t>
      </w:r>
      <w:r w:rsidR="00101287">
        <w:t xml:space="preserve">document represented a </w:t>
      </w:r>
      <w:r>
        <w:t xml:space="preserve">third review by the Assembly of the supplementary international search system, which began operation in 2009.  The thirteenth session of the PCT Working Group had considered this matter and details of these considerations were in documents PCT/WG/13/4 Rev. and PCT/WG/13/14.  The system had never been widely used and had certain costs to maintain.  Some delegations had wished to end supplementary international search.  Other delegations had considered that it remained beneficial to some applicants and should be maintained pending further developments, such as </w:t>
      </w:r>
      <w:r>
        <w:lastRenderedPageBreak/>
        <w:t>the outcome of the collaborative search and examination pilot or the making available of further options within the supplementa</w:t>
      </w:r>
      <w:r w:rsidR="001E55C1">
        <w:t xml:space="preserve">ry international search system.  </w:t>
      </w:r>
      <w:r>
        <w:t xml:space="preserve">In the absence of consensus on the substance of a way forward, the Working Group </w:t>
      </w:r>
      <w:r w:rsidR="001E55C1">
        <w:t xml:space="preserve">had </w:t>
      </w:r>
      <w:r>
        <w:t>agreed wit</w:t>
      </w:r>
      <w:r w:rsidR="001E55C1">
        <w:t>h the</w:t>
      </w:r>
      <w:r>
        <w:t xml:space="preserve"> proposal</w:t>
      </w:r>
      <w:r w:rsidR="001E55C1">
        <w:t xml:space="preserve"> of the Chair of the Working Group</w:t>
      </w:r>
      <w:r>
        <w:t xml:space="preserve"> to recommend that the International Bureau should continue to monitor the system and report on significant developments.  Furthermore, the Working Group</w:t>
      </w:r>
      <w:r w:rsidR="001E55C1">
        <w:t xml:space="preserve"> had</w:t>
      </w:r>
      <w:r>
        <w:t xml:space="preserve"> recommended that the Assembly should review the system again at a time to be recommended by the International Bureau, or on request by a PCT Contracting</w:t>
      </w:r>
      <w:r w:rsidR="001E55C1">
        <w:t xml:space="preserve"> State, but no later than 2027.  The Secretariat observed</w:t>
      </w:r>
      <w:r w:rsidR="00282FCE">
        <w:t xml:space="preserve"> that </w:t>
      </w:r>
      <w:r w:rsidR="001E55C1">
        <w:t xml:space="preserve">2027 had been </w:t>
      </w:r>
      <w:r>
        <w:t>chosen to allow time for the PCT Working Group to receive a final report from the collaborative search and examination pilot</w:t>
      </w:r>
      <w:r w:rsidR="001E55C1">
        <w:t xml:space="preserve">.  The Working Group could then </w:t>
      </w:r>
      <w:r>
        <w:t>consider whether an arrangement based on that experience might form a useful part of the PCT System, addressing aspects of the issues that the supplementary internati</w:t>
      </w:r>
      <w:r w:rsidR="001E55C1">
        <w:t>onal search had aimed to cover.</w:t>
      </w:r>
    </w:p>
    <w:p w14:paraId="396A6563" w14:textId="77777777" w:rsidR="00A57C14" w:rsidRDefault="00A57C14" w:rsidP="00475837">
      <w:pPr>
        <w:pStyle w:val="ONUME"/>
      </w:pPr>
      <w:r>
        <w:t xml:space="preserve">The </w:t>
      </w:r>
      <w:r w:rsidR="00C13B0A">
        <w:t xml:space="preserve">Representative of the Health and Environment Program (HEP) </w:t>
      </w:r>
      <w:r w:rsidR="00475837">
        <w:t xml:space="preserve">supported the proposal and </w:t>
      </w:r>
      <w:r w:rsidR="00C13B0A">
        <w:t xml:space="preserve">commended the progress </w:t>
      </w:r>
      <w:r w:rsidR="00475837">
        <w:t xml:space="preserve">of WIPO towards achieving gender parity, </w:t>
      </w:r>
      <w:r w:rsidR="00A73E1C">
        <w:t xml:space="preserve">as seen by both Ms. Bresky as Chair and </w:t>
      </w:r>
      <w:r w:rsidR="00475837">
        <w:t>Ms. Jorgenson as Deputy Director General</w:t>
      </w:r>
      <w:r w:rsidR="00A73E1C">
        <w:t xml:space="preserve"> on the podium, which set a good example to other organizations, showing that women in high places could do an excellent job</w:t>
      </w:r>
      <w:r w:rsidR="00475837">
        <w:t xml:space="preserve">.  </w:t>
      </w:r>
    </w:p>
    <w:p w14:paraId="41C06167" w14:textId="77777777" w:rsidR="00C66A47" w:rsidRDefault="00C66A47" w:rsidP="00C66A47">
      <w:pPr>
        <w:pStyle w:val="ONUME"/>
        <w:ind w:left="567"/>
      </w:pPr>
      <w:r>
        <w:t>The Assembly of the PCT Union:</w:t>
      </w:r>
    </w:p>
    <w:p w14:paraId="0C658F7A" w14:textId="0809F47C" w:rsidR="00C66A47" w:rsidRDefault="00C66A47" w:rsidP="00C66A47">
      <w:pPr>
        <w:pStyle w:val="ONUME"/>
        <w:numPr>
          <w:ilvl w:val="2"/>
          <w:numId w:val="5"/>
        </w:numPr>
      </w:pPr>
      <w:r>
        <w:t>noted the review of the supplementary intern</w:t>
      </w:r>
      <w:r w:rsidR="00F24562">
        <w:t>ational search system (document </w:t>
      </w:r>
      <w:r>
        <w:t>PCT/A/53/2);  and</w:t>
      </w:r>
    </w:p>
    <w:p w14:paraId="2F3DF3BE" w14:textId="77777777" w:rsidR="00C66A47" w:rsidRDefault="00C66A47" w:rsidP="00C66A47">
      <w:pPr>
        <w:pStyle w:val="ONUME"/>
        <w:numPr>
          <w:ilvl w:val="2"/>
          <w:numId w:val="5"/>
        </w:numPr>
      </w:pPr>
      <w:r>
        <w:t>adopted the proposed decision set out in paragraph 7 of that document.</w:t>
      </w:r>
    </w:p>
    <w:p w14:paraId="76BC913E" w14:textId="77777777" w:rsidR="00C66A47" w:rsidRDefault="00C66A47" w:rsidP="00996D4B">
      <w:pPr>
        <w:pStyle w:val="Heading3"/>
        <w:spacing w:after="220"/>
      </w:pPr>
      <w:r w:rsidRPr="00C66A47">
        <w:t>Proposed Amendments to the PCT Regulations</w:t>
      </w:r>
    </w:p>
    <w:p w14:paraId="3B1CF3D5" w14:textId="2E7CE7BE" w:rsidR="00C66A47" w:rsidRDefault="00C66A47" w:rsidP="00975AD8">
      <w:pPr>
        <w:pStyle w:val="ONUME"/>
      </w:pPr>
      <w:r>
        <w:t xml:space="preserve">Discussions were based on document </w:t>
      </w:r>
      <w:hyperlink r:id="rId11" w:history="1">
        <w:r w:rsidRPr="00F24562">
          <w:rPr>
            <w:rStyle w:val="Hyperlink"/>
            <w:color w:val="auto"/>
            <w:u w:val="none"/>
          </w:rPr>
          <w:t>PCT/A/53/3</w:t>
        </w:r>
      </w:hyperlink>
      <w:r>
        <w:t>.</w:t>
      </w:r>
    </w:p>
    <w:p w14:paraId="60C2F30A" w14:textId="77777777" w:rsidR="00C66A47" w:rsidRDefault="00C66A47" w:rsidP="00753786">
      <w:pPr>
        <w:pStyle w:val="ONUME"/>
      </w:pPr>
      <w:r>
        <w:t>The Secretariat</w:t>
      </w:r>
      <w:r w:rsidR="008D1193">
        <w:t xml:space="preserve"> introduced the document, which presented two sets of proposed amendments to the PCT Regulations.  The amendments proposed in Annex I related to the move from WIPO Standard ST.25 to WIPO Standard ST.26 for the presentation of sequence listings in applications containing disclosure of nucleotides and amino acids.  The amendments proposed in Annex II provided for strengthening safeguards for applicants and third parties in the case of general disruption that affected their ability to meet time limits in the international phase of PCT processing.  The PCT Working Group had reviewed and approved both sets of proposals.  The proposed entry into force of the amendments was set out in paragraph 5 of the document.  Since the General Assembly had</w:t>
      </w:r>
      <w:r w:rsidR="008D1193" w:rsidRPr="008D1193">
        <w:t xml:space="preserve"> approved the proposal in document WO/GA/54/14 to set the implementation date for WIPO Standard ST.26 as July 1, 20</w:t>
      </w:r>
      <w:r w:rsidR="008D1193">
        <w:t>22, both sets of amendments would</w:t>
      </w:r>
      <w:r w:rsidR="008D1193" w:rsidRPr="008D1193">
        <w:t xml:space="preserve"> come into force on that date.  The amendments relating to WIPO Standard ST.26 </w:t>
      </w:r>
      <w:r w:rsidR="008D1193">
        <w:t>would</w:t>
      </w:r>
      <w:r w:rsidR="008D1193" w:rsidRPr="008D1193">
        <w:t xml:space="preserve"> apply to international applications filed on or after that date.  The amend</w:t>
      </w:r>
      <w:r w:rsidR="008D1193">
        <w:t>ments relating to safeguards wou</w:t>
      </w:r>
      <w:r w:rsidR="008D1193" w:rsidRPr="008D1193">
        <w:t>l</w:t>
      </w:r>
      <w:r w:rsidR="008D1193">
        <w:t>d</w:t>
      </w:r>
      <w:r w:rsidR="008D1193" w:rsidRPr="008D1193">
        <w:t xml:space="preserve"> apply to time limits that expire</w:t>
      </w:r>
      <w:r w:rsidR="008D1193">
        <w:t>d</w:t>
      </w:r>
      <w:r w:rsidR="008D1193" w:rsidRPr="008D1193">
        <w:t xml:space="preserve"> on or after that date.</w:t>
      </w:r>
    </w:p>
    <w:p w14:paraId="31F2BD78" w14:textId="77777777" w:rsidR="00C66A47" w:rsidRDefault="00C66A47" w:rsidP="00C66A47">
      <w:pPr>
        <w:pStyle w:val="ONUME"/>
        <w:ind w:left="567"/>
      </w:pPr>
      <w:r w:rsidRPr="00C66A47">
        <w:t>The Assembly of the PCT Union adopted the proposed amendments to the Regulations under the</w:t>
      </w:r>
      <w:r>
        <w:t xml:space="preserve"> </w:t>
      </w:r>
      <w:r w:rsidRPr="00C66A47">
        <w:t>PCT set out in Annexes</w:t>
      </w:r>
      <w:r>
        <w:t> </w:t>
      </w:r>
      <w:r w:rsidRPr="00C66A47">
        <w:t>I and</w:t>
      </w:r>
      <w:r>
        <w:t> </w:t>
      </w:r>
      <w:r w:rsidRPr="00C66A47">
        <w:t>II of document</w:t>
      </w:r>
      <w:r>
        <w:t xml:space="preserve"> </w:t>
      </w:r>
      <w:r w:rsidRPr="00C66A47">
        <w:t>PCT/A/53/3, and the entry into force and transitional arrangements set out in paragraph</w:t>
      </w:r>
      <w:r>
        <w:t> </w:t>
      </w:r>
      <w:r w:rsidRPr="00C66A47">
        <w:t xml:space="preserve">5 of the same document, noting that the date decided by the WIPO General Assembly relating to the entry into force of the amendments in Annex I of the document was July 1, 2022. </w:t>
      </w:r>
    </w:p>
    <w:p w14:paraId="485B8194" w14:textId="77777777" w:rsidR="00C66A47" w:rsidRDefault="00C66A47" w:rsidP="00C66A47">
      <w:pPr>
        <w:pStyle w:val="ONUME"/>
        <w:numPr>
          <w:ilvl w:val="0"/>
          <w:numId w:val="0"/>
        </w:numPr>
        <w:spacing w:before="720" w:after="0"/>
        <w:ind w:left="5528"/>
      </w:pPr>
      <w:r>
        <w:t>[End of document]</w:t>
      </w:r>
    </w:p>
    <w:sectPr w:rsidR="00C66A47" w:rsidSect="00E416E0">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3B2D" w14:textId="77777777" w:rsidR="00C02A19" w:rsidRDefault="00C02A19">
      <w:r>
        <w:separator/>
      </w:r>
    </w:p>
  </w:endnote>
  <w:endnote w:type="continuationSeparator" w:id="0">
    <w:p w14:paraId="449BC858" w14:textId="77777777" w:rsidR="00C02A19" w:rsidRDefault="00C02A19" w:rsidP="003B38C1">
      <w:r>
        <w:separator/>
      </w:r>
    </w:p>
    <w:p w14:paraId="2761C298" w14:textId="77777777" w:rsidR="00C02A19" w:rsidRPr="003B38C1" w:rsidRDefault="00C02A19" w:rsidP="003B38C1">
      <w:pPr>
        <w:spacing w:after="60"/>
        <w:rPr>
          <w:sz w:val="17"/>
        </w:rPr>
      </w:pPr>
      <w:r>
        <w:rPr>
          <w:sz w:val="17"/>
        </w:rPr>
        <w:t>[Endnote continued from previous page]</w:t>
      </w:r>
    </w:p>
  </w:endnote>
  <w:endnote w:type="continuationNotice" w:id="1">
    <w:p w14:paraId="13DCA2EA" w14:textId="77777777" w:rsidR="00C02A19" w:rsidRPr="003B38C1" w:rsidRDefault="00C02A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E9B9" w14:textId="77777777" w:rsidR="00C02A19" w:rsidRDefault="00C02A19">
      <w:r>
        <w:separator/>
      </w:r>
    </w:p>
  </w:footnote>
  <w:footnote w:type="continuationSeparator" w:id="0">
    <w:p w14:paraId="5B2903A6" w14:textId="77777777" w:rsidR="00C02A19" w:rsidRDefault="00C02A19" w:rsidP="008B60B2">
      <w:r>
        <w:separator/>
      </w:r>
    </w:p>
    <w:p w14:paraId="4F7DE6B9" w14:textId="77777777" w:rsidR="00C02A19" w:rsidRPr="00ED77FB" w:rsidRDefault="00C02A19" w:rsidP="008B60B2">
      <w:pPr>
        <w:spacing w:after="60"/>
        <w:rPr>
          <w:sz w:val="17"/>
          <w:szCs w:val="17"/>
        </w:rPr>
      </w:pPr>
      <w:r w:rsidRPr="00ED77FB">
        <w:rPr>
          <w:sz w:val="17"/>
          <w:szCs w:val="17"/>
        </w:rPr>
        <w:t>[Footnote continued from previous page]</w:t>
      </w:r>
    </w:p>
  </w:footnote>
  <w:footnote w:type="continuationNotice" w:id="1">
    <w:p w14:paraId="75D8346F" w14:textId="77777777" w:rsidR="00C02A19" w:rsidRPr="00ED77FB" w:rsidRDefault="00C02A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1438" w14:textId="0FF37D06" w:rsidR="00C02A19" w:rsidRDefault="00C02A19" w:rsidP="00477D6B">
    <w:pPr>
      <w:jc w:val="right"/>
    </w:pPr>
    <w:bookmarkStart w:id="6" w:name="Code2"/>
    <w:bookmarkEnd w:id="6"/>
    <w:r>
      <w:t>PCT/A/53/4</w:t>
    </w:r>
  </w:p>
  <w:p w14:paraId="42D48A93" w14:textId="0CF4E7F8" w:rsidR="00C02A19" w:rsidRDefault="00C02A19" w:rsidP="00477D6B">
    <w:pPr>
      <w:jc w:val="right"/>
    </w:pPr>
    <w:r>
      <w:t xml:space="preserve">page </w:t>
    </w:r>
    <w:r>
      <w:fldChar w:fldCharType="begin"/>
    </w:r>
    <w:r>
      <w:instrText xml:space="preserve"> PAGE  \* MERGEFORMAT </w:instrText>
    </w:r>
    <w:r>
      <w:fldChar w:fldCharType="separate"/>
    </w:r>
    <w:r w:rsidR="004B7923">
      <w:rPr>
        <w:noProof/>
      </w:rPr>
      <w:t>6</w:t>
    </w:r>
    <w:r>
      <w:fldChar w:fldCharType="end"/>
    </w:r>
  </w:p>
  <w:p w14:paraId="6ED50855" w14:textId="77777777" w:rsidR="00C02A19" w:rsidRDefault="00C02A19" w:rsidP="00477D6B">
    <w:pPr>
      <w:jc w:val="right"/>
    </w:pPr>
  </w:p>
  <w:p w14:paraId="7DADAA66" w14:textId="77777777" w:rsidR="00C02A19" w:rsidRDefault="00C02A1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E0"/>
    <w:rsid w:val="00002DF7"/>
    <w:rsid w:val="0001647B"/>
    <w:rsid w:val="00043CAA"/>
    <w:rsid w:val="000544A8"/>
    <w:rsid w:val="00075432"/>
    <w:rsid w:val="000968ED"/>
    <w:rsid w:val="000F340C"/>
    <w:rsid w:val="000F594A"/>
    <w:rsid w:val="000F5E56"/>
    <w:rsid w:val="00101287"/>
    <w:rsid w:val="001024FE"/>
    <w:rsid w:val="00131275"/>
    <w:rsid w:val="001362EE"/>
    <w:rsid w:val="00142868"/>
    <w:rsid w:val="001832A6"/>
    <w:rsid w:val="001C6808"/>
    <w:rsid w:val="001E55C1"/>
    <w:rsid w:val="002121FA"/>
    <w:rsid w:val="0025181C"/>
    <w:rsid w:val="002627E9"/>
    <w:rsid w:val="002634C4"/>
    <w:rsid w:val="00282FCE"/>
    <w:rsid w:val="00290BEA"/>
    <w:rsid w:val="002928D3"/>
    <w:rsid w:val="002A13C1"/>
    <w:rsid w:val="002C10F7"/>
    <w:rsid w:val="002E4E9A"/>
    <w:rsid w:val="002E6988"/>
    <w:rsid w:val="002F1FE6"/>
    <w:rsid w:val="002F4E68"/>
    <w:rsid w:val="00312F7F"/>
    <w:rsid w:val="003228B7"/>
    <w:rsid w:val="003508A3"/>
    <w:rsid w:val="003574FD"/>
    <w:rsid w:val="003673CF"/>
    <w:rsid w:val="003845C1"/>
    <w:rsid w:val="003A14A9"/>
    <w:rsid w:val="003A6F89"/>
    <w:rsid w:val="003B38C1"/>
    <w:rsid w:val="003D070D"/>
    <w:rsid w:val="00415DC6"/>
    <w:rsid w:val="00423E3E"/>
    <w:rsid w:val="00427AF4"/>
    <w:rsid w:val="004400E2"/>
    <w:rsid w:val="004419C1"/>
    <w:rsid w:val="00455F82"/>
    <w:rsid w:val="00461632"/>
    <w:rsid w:val="004647DA"/>
    <w:rsid w:val="004737A7"/>
    <w:rsid w:val="00474062"/>
    <w:rsid w:val="00475837"/>
    <w:rsid w:val="00477D6B"/>
    <w:rsid w:val="004A08A5"/>
    <w:rsid w:val="004B7923"/>
    <w:rsid w:val="004D39C4"/>
    <w:rsid w:val="004F08E1"/>
    <w:rsid w:val="00522F8D"/>
    <w:rsid w:val="0053057A"/>
    <w:rsid w:val="00540C13"/>
    <w:rsid w:val="00557F3B"/>
    <w:rsid w:val="00560A29"/>
    <w:rsid w:val="005921F6"/>
    <w:rsid w:val="00594D27"/>
    <w:rsid w:val="005A392C"/>
    <w:rsid w:val="005B1969"/>
    <w:rsid w:val="005D2762"/>
    <w:rsid w:val="005D3CEE"/>
    <w:rsid w:val="005D68DA"/>
    <w:rsid w:val="005E2996"/>
    <w:rsid w:val="00601760"/>
    <w:rsid w:val="00605827"/>
    <w:rsid w:val="00616B55"/>
    <w:rsid w:val="006242F2"/>
    <w:rsid w:val="00630174"/>
    <w:rsid w:val="00646050"/>
    <w:rsid w:val="006713CA"/>
    <w:rsid w:val="00676C5C"/>
    <w:rsid w:val="006902EB"/>
    <w:rsid w:val="00695558"/>
    <w:rsid w:val="006B16CF"/>
    <w:rsid w:val="006D487D"/>
    <w:rsid w:val="006D5E0F"/>
    <w:rsid w:val="006E53F2"/>
    <w:rsid w:val="006F10C2"/>
    <w:rsid w:val="007058FB"/>
    <w:rsid w:val="0070783E"/>
    <w:rsid w:val="00715F0B"/>
    <w:rsid w:val="007435F8"/>
    <w:rsid w:val="00753786"/>
    <w:rsid w:val="00756287"/>
    <w:rsid w:val="00763702"/>
    <w:rsid w:val="00782BF3"/>
    <w:rsid w:val="007B6A58"/>
    <w:rsid w:val="007D1613"/>
    <w:rsid w:val="007E0CFC"/>
    <w:rsid w:val="00813BCD"/>
    <w:rsid w:val="008243ED"/>
    <w:rsid w:val="00826C17"/>
    <w:rsid w:val="00830FD1"/>
    <w:rsid w:val="008320DD"/>
    <w:rsid w:val="008426C1"/>
    <w:rsid w:val="00844094"/>
    <w:rsid w:val="0085759E"/>
    <w:rsid w:val="00873EE5"/>
    <w:rsid w:val="008779EA"/>
    <w:rsid w:val="00883DCD"/>
    <w:rsid w:val="008B03FD"/>
    <w:rsid w:val="008B2CC1"/>
    <w:rsid w:val="008B4B5E"/>
    <w:rsid w:val="008B60B2"/>
    <w:rsid w:val="008D1193"/>
    <w:rsid w:val="0090634A"/>
    <w:rsid w:val="0090731E"/>
    <w:rsid w:val="00916EE2"/>
    <w:rsid w:val="0092448B"/>
    <w:rsid w:val="00944801"/>
    <w:rsid w:val="00966A22"/>
    <w:rsid w:val="0096722F"/>
    <w:rsid w:val="00973ADB"/>
    <w:rsid w:val="00975AD8"/>
    <w:rsid w:val="00980843"/>
    <w:rsid w:val="009810B2"/>
    <w:rsid w:val="009866C6"/>
    <w:rsid w:val="0099688D"/>
    <w:rsid w:val="00996D4B"/>
    <w:rsid w:val="009B6240"/>
    <w:rsid w:val="009E2791"/>
    <w:rsid w:val="009E3F6F"/>
    <w:rsid w:val="009E4BC4"/>
    <w:rsid w:val="009F1ABF"/>
    <w:rsid w:val="009F3BF9"/>
    <w:rsid w:val="009F499F"/>
    <w:rsid w:val="009F4E40"/>
    <w:rsid w:val="00A42DAF"/>
    <w:rsid w:val="00A45BD8"/>
    <w:rsid w:val="00A57C14"/>
    <w:rsid w:val="00A73E1C"/>
    <w:rsid w:val="00A778BF"/>
    <w:rsid w:val="00A85B8E"/>
    <w:rsid w:val="00A86C45"/>
    <w:rsid w:val="00AA2FE1"/>
    <w:rsid w:val="00AA631C"/>
    <w:rsid w:val="00AC205C"/>
    <w:rsid w:val="00AE1543"/>
    <w:rsid w:val="00AF5C73"/>
    <w:rsid w:val="00B00E3C"/>
    <w:rsid w:val="00B05A69"/>
    <w:rsid w:val="00B06D07"/>
    <w:rsid w:val="00B079A1"/>
    <w:rsid w:val="00B40598"/>
    <w:rsid w:val="00B50B99"/>
    <w:rsid w:val="00B62CD9"/>
    <w:rsid w:val="00B9734B"/>
    <w:rsid w:val="00BE547E"/>
    <w:rsid w:val="00C02A19"/>
    <w:rsid w:val="00C11BFE"/>
    <w:rsid w:val="00C13B0A"/>
    <w:rsid w:val="00C212DB"/>
    <w:rsid w:val="00C3321F"/>
    <w:rsid w:val="00C535DF"/>
    <w:rsid w:val="00C66A47"/>
    <w:rsid w:val="00C76C62"/>
    <w:rsid w:val="00C94629"/>
    <w:rsid w:val="00CE65D4"/>
    <w:rsid w:val="00CF7D08"/>
    <w:rsid w:val="00D13190"/>
    <w:rsid w:val="00D16922"/>
    <w:rsid w:val="00D16D5D"/>
    <w:rsid w:val="00D30093"/>
    <w:rsid w:val="00D327B3"/>
    <w:rsid w:val="00D45252"/>
    <w:rsid w:val="00D566D2"/>
    <w:rsid w:val="00D71B4D"/>
    <w:rsid w:val="00D762D3"/>
    <w:rsid w:val="00D93D55"/>
    <w:rsid w:val="00E04DA2"/>
    <w:rsid w:val="00E161A2"/>
    <w:rsid w:val="00E335FE"/>
    <w:rsid w:val="00E33C21"/>
    <w:rsid w:val="00E37F24"/>
    <w:rsid w:val="00E416E0"/>
    <w:rsid w:val="00E41B62"/>
    <w:rsid w:val="00E5021F"/>
    <w:rsid w:val="00E5088D"/>
    <w:rsid w:val="00E671A6"/>
    <w:rsid w:val="00EC4E49"/>
    <w:rsid w:val="00ED77FB"/>
    <w:rsid w:val="00EE76BA"/>
    <w:rsid w:val="00F021A6"/>
    <w:rsid w:val="00F0518B"/>
    <w:rsid w:val="00F10523"/>
    <w:rsid w:val="00F11D94"/>
    <w:rsid w:val="00F2359F"/>
    <w:rsid w:val="00F24562"/>
    <w:rsid w:val="00F3290C"/>
    <w:rsid w:val="00F57F58"/>
    <w:rsid w:val="00F66152"/>
    <w:rsid w:val="00F77E49"/>
    <w:rsid w:val="00FA053C"/>
    <w:rsid w:val="00FA66BF"/>
    <w:rsid w:val="00FD47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91E4D57"/>
  <w15:docId w15:val="{34A5E9C5-4DA7-4CA0-B855-5D094A7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04DA2"/>
    <w:rPr>
      <w:rFonts w:ascii="Segoe UI" w:hAnsi="Segoe UI" w:cs="Segoe UI"/>
      <w:sz w:val="18"/>
      <w:szCs w:val="18"/>
    </w:rPr>
  </w:style>
  <w:style w:type="character" w:customStyle="1" w:styleId="BalloonTextChar">
    <w:name w:val="Balloon Text Char"/>
    <w:basedOn w:val="DefaultParagraphFont"/>
    <w:link w:val="BalloonText"/>
    <w:semiHidden/>
    <w:rsid w:val="00E04DA2"/>
    <w:rPr>
      <w:rFonts w:ascii="Segoe UI" w:eastAsia="SimSun" w:hAnsi="Segoe UI" w:cs="Segoe UI"/>
      <w:sz w:val="18"/>
      <w:szCs w:val="18"/>
      <w:lang w:val="en-US" w:eastAsia="zh-CN"/>
    </w:rPr>
  </w:style>
  <w:style w:type="character" w:styleId="Hyperlink">
    <w:name w:val="Hyperlink"/>
    <w:basedOn w:val="DefaultParagraphFont"/>
    <w:unhideWhenUsed/>
    <w:rsid w:val="00B06D07"/>
    <w:rPr>
      <w:color w:val="0000FF" w:themeColor="hyperlink"/>
      <w:u w:val="single"/>
    </w:rPr>
  </w:style>
  <w:style w:type="character" w:styleId="FollowedHyperlink">
    <w:name w:val="FollowedHyperlink"/>
    <w:basedOn w:val="DefaultParagraphFont"/>
    <w:semiHidden/>
    <w:unhideWhenUsed/>
    <w:rsid w:val="00B06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1/a_62/doc_details.jsp?doc_id=547740" TargetMode="External"/><Relationship Id="rId5" Type="http://schemas.openxmlformats.org/officeDocument/2006/relationships/webSettings" Target="webSettings.xml"/><Relationship Id="rId10" Type="http://schemas.openxmlformats.org/officeDocument/2006/relationships/hyperlink" Target="https://www.wipo.int/about-wipo/en/assemblies/2021/a_62/doc_details.jsp?doc_id=544572" TargetMode="External"/><Relationship Id="rId4" Type="http://schemas.openxmlformats.org/officeDocument/2006/relationships/settings" Target="settings.xml"/><Relationship Id="rId9" Type="http://schemas.openxmlformats.org/officeDocument/2006/relationships/hyperlink" Target="https://www.wipo.int/about-wipo/en/assemblies/2021/a_62/doc_details.jsp?doc_id=5445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C87C-00E8-4B8D-910C-97E4C2F7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3266</Words>
  <Characters>17956</Characters>
  <Application>Microsoft Office Word</Application>
  <DocSecurity>0</DocSecurity>
  <Lines>261</Lines>
  <Paragraphs>44</Paragraphs>
  <ScaleCrop>false</ScaleCrop>
  <HeadingPairs>
    <vt:vector size="2" baseType="variant">
      <vt:variant>
        <vt:lpstr>Title</vt:lpstr>
      </vt:variant>
      <vt:variant>
        <vt:i4>1</vt:i4>
      </vt:variant>
    </vt:vector>
  </HeadingPairs>
  <TitlesOfParts>
    <vt:vector size="1" baseType="lpstr">
      <vt:lpstr>PCT/A/53/4</vt:lpstr>
    </vt:vector>
  </TitlesOfParts>
  <Company>WIPO</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dc:title>
  <dc:subject>Report</dc:subject>
  <dc:creator>WIPO</dc:creator>
  <cp:keywords>PUBLIC</cp:keywords>
  <cp:lastModifiedBy>HÄFLIGER Patience</cp:lastModifiedBy>
  <cp:revision>5</cp:revision>
  <cp:lastPrinted>2021-10-08T13:18:00Z</cp:lastPrinted>
  <dcterms:created xsi:type="dcterms:W3CDTF">2021-12-07T08:25:00Z</dcterms:created>
  <dcterms:modified xsi:type="dcterms:W3CDTF">2021-12-13T16:40:00Z</dcterms:modified>
  <cp:category>PCT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5e3c93e3-b79a-4b85-a631-fca9567b56f7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