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9E6CC0" w:rsidP="00AA2DD4">
      <w:pPr>
        <w:pBdr>
          <w:top w:val="single" w:sz="4" w:space="10" w:color="auto"/>
        </w:pBdr>
        <w:spacing w:before="120"/>
        <w:jc w:val="right"/>
        <w:rPr>
          <w:rFonts w:ascii="Arial Black" w:hAnsi="Arial Black"/>
          <w:b/>
          <w:caps/>
          <w:sz w:val="15"/>
        </w:rPr>
      </w:pPr>
      <w:r>
        <w:rPr>
          <w:rFonts w:ascii="Arial Black" w:hAnsi="Arial Black"/>
          <w:b/>
          <w:caps/>
          <w:sz w:val="15"/>
        </w:rPr>
        <w:t>PCT/A/50</w:t>
      </w:r>
      <w:r w:rsidR="006E4F5F" w:rsidRPr="006E4F5F">
        <w:rPr>
          <w:rFonts w:ascii="Arial Black" w:hAnsi="Arial Black"/>
          <w:b/>
          <w:caps/>
          <w:sz w:val="15"/>
        </w:rPr>
        <w:t>/</w:t>
      </w:r>
      <w:bookmarkStart w:id="1" w:name="Code"/>
      <w:bookmarkEnd w:id="1"/>
      <w:r w:rsidR="00555D15">
        <w:rPr>
          <w:rFonts w:ascii="Arial Black" w:hAnsi="Arial Black"/>
          <w:b/>
          <w:caps/>
          <w:sz w:val="15"/>
        </w:rPr>
        <w:t>1</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555D15">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555D15">
        <w:rPr>
          <w:rFonts w:ascii="Arial Black" w:hAnsi="Arial Black"/>
          <w:b/>
          <w:caps/>
          <w:sz w:val="15"/>
        </w:rPr>
        <w:t>July 23, 2018</w:t>
      </w:r>
    </w:p>
    <w:p w:rsidR="009E6CC0" w:rsidRDefault="009E6CC0" w:rsidP="009E6CC0">
      <w:pPr>
        <w:pStyle w:val="Heading1"/>
      </w:pPr>
      <w:r w:rsidRPr="009E6CC0">
        <w:t>International Patent Cooperation Union (PCT Union)</w:t>
      </w:r>
    </w:p>
    <w:p w:rsidR="009E6CC0" w:rsidRPr="009E6CC0" w:rsidRDefault="009E6CC0" w:rsidP="009E6CC0">
      <w:pPr>
        <w:pStyle w:val="Heading1"/>
      </w:pPr>
      <w:r>
        <w:t>Assembly</w:t>
      </w:r>
    </w:p>
    <w:p w:rsidR="008B2CC1" w:rsidRPr="009C127D" w:rsidRDefault="009E6CC0" w:rsidP="00F63082">
      <w:pPr>
        <w:spacing w:after="720"/>
        <w:rPr>
          <w:b/>
          <w:sz w:val="24"/>
        </w:rPr>
      </w:pPr>
      <w:r w:rsidRPr="009E6CC0">
        <w:rPr>
          <w:b/>
          <w:sz w:val="24"/>
        </w:rPr>
        <w:t>Fiftieth (29</w:t>
      </w:r>
      <w:r w:rsidRPr="009E6CC0">
        <w:rPr>
          <w:b/>
          <w:sz w:val="24"/>
          <w:vertAlign w:val="superscript"/>
        </w:rPr>
        <w:t>th</w:t>
      </w:r>
      <w:r w:rsidRPr="009E6CC0">
        <w:rPr>
          <w:b/>
          <w:sz w:val="24"/>
        </w:rPr>
        <w:t xml:space="preserve"> Extraordinary) Session</w:t>
      </w:r>
      <w:r w:rsidR="003D57B0" w:rsidRPr="009C127D">
        <w:rPr>
          <w:b/>
          <w:sz w:val="24"/>
        </w:rPr>
        <w:br/>
      </w:r>
      <w:r w:rsidR="00DF023A" w:rsidRPr="009C127D">
        <w:rPr>
          <w:b/>
          <w:sz w:val="24"/>
        </w:rPr>
        <w:t>Geneva, September 24 to October 2, 2018</w:t>
      </w:r>
    </w:p>
    <w:p w:rsidR="008B2CC1" w:rsidRPr="009C127D" w:rsidRDefault="00555D15" w:rsidP="00F63082">
      <w:pPr>
        <w:spacing w:after="360"/>
        <w:rPr>
          <w:caps/>
          <w:sz w:val="24"/>
        </w:rPr>
      </w:pPr>
      <w:bookmarkStart w:id="4" w:name="TitleOfDoc"/>
      <w:bookmarkEnd w:id="4"/>
      <w:r>
        <w:rPr>
          <w:caps/>
          <w:sz w:val="24"/>
        </w:rPr>
        <w:t>Report on the PCT Working Group</w:t>
      </w:r>
    </w:p>
    <w:p w:rsidR="008B2CC1" w:rsidRPr="009C127D" w:rsidRDefault="00555D15" w:rsidP="002D18A2">
      <w:pPr>
        <w:spacing w:after="1280"/>
        <w:rPr>
          <w:i/>
        </w:rPr>
      </w:pPr>
      <w:bookmarkStart w:id="5" w:name="Prepared"/>
      <w:bookmarkEnd w:id="5"/>
      <w:proofErr w:type="gramStart"/>
      <w:r>
        <w:rPr>
          <w:i/>
        </w:rPr>
        <w:t>prepared</w:t>
      </w:r>
      <w:proofErr w:type="gramEnd"/>
      <w:r>
        <w:rPr>
          <w:i/>
        </w:rPr>
        <w:t xml:space="preserve"> by the International Bureau</w:t>
      </w:r>
    </w:p>
    <w:p w:rsidR="00160D7B" w:rsidRDefault="00160D7B" w:rsidP="00160D7B">
      <w:pPr>
        <w:pStyle w:val="ONUME"/>
      </w:pPr>
      <w:r w:rsidRPr="00167425">
        <w:t>Since the previous session of the Assembly, the Patent Cooperation Treaty (PCT) Working Group (“th</w:t>
      </w:r>
      <w:r>
        <w:t>e Working Group”) held its eleventh session from June 18 to 22, 2018</w:t>
      </w:r>
      <w:r w:rsidRPr="00167425">
        <w:t>.  Delegations exchanged views on issues related to the functioning of the PCT, as described in the Summary</w:t>
      </w:r>
      <w:r>
        <w:t xml:space="preserve"> by the Chair (document PCT/WG/11/26</w:t>
      </w:r>
      <w:r w:rsidRPr="00167425">
        <w:t>, annexed), which was noted by the Working Group</w:t>
      </w:r>
      <w:r>
        <w:t>.</w:t>
      </w:r>
    </w:p>
    <w:p w:rsidR="003A19C3" w:rsidRDefault="00160D7B" w:rsidP="000C5EAC">
      <w:pPr>
        <w:pStyle w:val="ONUME"/>
      </w:pPr>
      <w:r>
        <w:t xml:space="preserve">Among the </w:t>
      </w:r>
      <w:r w:rsidR="00AD0F73">
        <w:t xml:space="preserve">subjects discussed </w:t>
      </w:r>
      <w:r w:rsidR="0036566E">
        <w:t>at the session, the Working Group provided comments</w:t>
      </w:r>
      <w:r w:rsidR="006832E8">
        <w:t xml:space="preserve"> in support of</w:t>
      </w:r>
      <w:r w:rsidR="0036566E">
        <w:t xml:space="preserve"> the four main areas of work proposed in a Memorandum by the Director General </w:t>
      </w:r>
      <w:r w:rsidR="006832E8">
        <w:t>published on February 2, 2017</w:t>
      </w:r>
      <w:r w:rsidR="001C5C4B">
        <w:t>,</w:t>
      </w:r>
      <w:r w:rsidR="006832E8">
        <w:t xml:space="preserve"> at the time of publication of the 3 millionth international patent application under the PCT</w:t>
      </w:r>
      <w:r w:rsidR="001C5C4B">
        <w:t>,</w:t>
      </w:r>
      <w:r w:rsidR="006832E8">
        <w:t xml:space="preserve"> </w:t>
      </w:r>
      <w:r w:rsidR="0036566E">
        <w:t xml:space="preserve">titled “The PCT System – Overview and Possible Future Directions and Priorities”, namely:  legal and institution issues, technical (IT) environment, financial issues and quality.  </w:t>
      </w:r>
    </w:p>
    <w:p w:rsidR="00C00A6E" w:rsidRDefault="002D18A2" w:rsidP="002D18A2">
      <w:pPr>
        <w:pStyle w:val="ONUME"/>
      </w:pPr>
      <w:r w:rsidRPr="002D18A2">
        <w:t>The Work</w:t>
      </w:r>
      <w:r w:rsidR="008D32EF">
        <w:t xml:space="preserve">ing Group further discussed </w:t>
      </w:r>
      <w:r w:rsidRPr="002D18A2">
        <w:t xml:space="preserve">recommendations to WIPO and to Member States with respect to certain actions that should be taken regarding patent applications related to persons or technologies that are the subject of United Nations Security Council sanctions on the Democratic People’s Republic of Korea.  Those recommendations </w:t>
      </w:r>
      <w:r w:rsidR="008D32EF">
        <w:t>were</w:t>
      </w:r>
      <w:r w:rsidRPr="002D18A2">
        <w:t xml:space="preserve"> contained in a report by </w:t>
      </w:r>
    </w:p>
    <w:p w:rsidR="000765C4" w:rsidRPr="002D18A2" w:rsidRDefault="002D18A2" w:rsidP="00C00A6E">
      <w:pPr>
        <w:pStyle w:val="ONUME"/>
        <w:numPr>
          <w:ilvl w:val="0"/>
          <w:numId w:val="0"/>
        </w:numPr>
      </w:pPr>
      <w:r w:rsidRPr="002D18A2">
        <w:lastRenderedPageBreak/>
        <w:t xml:space="preserve">the Panel of Experts established pursuant to </w:t>
      </w:r>
      <w:r w:rsidR="008D32EF" w:rsidRPr="002D18A2">
        <w:t xml:space="preserve">United Nations Security Council </w:t>
      </w:r>
      <w:r w:rsidR="008D32EF">
        <w:t>r</w:t>
      </w:r>
      <w:r w:rsidRPr="002D18A2">
        <w:t xml:space="preserve">esolution 1874 </w:t>
      </w:r>
      <w:r w:rsidR="008D32EF">
        <w:t>(2009)</w:t>
      </w:r>
      <w:r w:rsidRPr="002D18A2">
        <w:t xml:space="preserve"> on its </w:t>
      </w:r>
      <w:r w:rsidR="008D32EF">
        <w:t>work</w:t>
      </w:r>
      <w:r w:rsidRPr="002D18A2">
        <w:t xml:space="preserve"> pursuant to resolution 2345 (2017), which the Panel had submitted to the United Nations Security Council Committee established pursuant to resolution 17</w:t>
      </w:r>
      <w:r w:rsidR="008D32EF">
        <w:t>18 (2006)</w:t>
      </w:r>
      <w:r w:rsidRPr="002D18A2">
        <w:t>.</w:t>
      </w:r>
    </w:p>
    <w:p w:rsidR="003A19C3" w:rsidRDefault="003A19C3" w:rsidP="000C5EAC">
      <w:pPr>
        <w:pStyle w:val="ONUME"/>
      </w:pPr>
      <w:r>
        <w:t>Two workshops took place during the session, one on the subject of PCT fee reductions for universities, and the other on erroneously</w:t>
      </w:r>
      <w:r>
        <w:noBreakHyphen/>
        <w:t xml:space="preserve">filed elements and parts of international applications.  With regard to </w:t>
      </w:r>
      <w:r w:rsidR="001C5A1B">
        <w:t xml:space="preserve">fee reductions for universities, the Working Group invited the Secretariat to begin a consultation to identify issues and solutions, risks and mitigations which might be relevant to the discussions on possible fee reductions for universities, which would </w:t>
      </w:r>
      <w:r w:rsidR="00C205DB">
        <w:t>serv</w:t>
      </w:r>
      <w:r w:rsidR="001C5A1B">
        <w:t xml:space="preserve">e as a basis for a document </w:t>
      </w:r>
      <w:r w:rsidR="001C5C4B">
        <w:t xml:space="preserve">to be </w:t>
      </w:r>
      <w:r w:rsidR="001C5A1B">
        <w:t>prepared by the International Bureau for consideration by the Working Group at its next session.  With regard to erroneously</w:t>
      </w:r>
      <w:r w:rsidR="001C5A1B">
        <w:noBreakHyphen/>
        <w:t>filed elements or parts, the Working Group invited the International Bureau to prepare draft amendments to the Regulations relating to incorporation by reference of missing elements and parts of an international application</w:t>
      </w:r>
      <w:r w:rsidR="001C5C4B">
        <w:t>, also for consideration by the Working Group at its next session</w:t>
      </w:r>
      <w:r w:rsidR="001C5A1B">
        <w:t>.</w:t>
      </w:r>
    </w:p>
    <w:p w:rsidR="001C5A1B" w:rsidRDefault="001C5A1B" w:rsidP="000C5EAC">
      <w:pPr>
        <w:pStyle w:val="ONUME"/>
      </w:pPr>
      <w:r>
        <w:t>The Working Group noted various reports, including the Summary by the Chair of the twenty</w:t>
      </w:r>
      <w:r>
        <w:noBreakHyphen/>
        <w:t>fifth session of the Meeting of International Authorities under the PCT and the eighth informal meeting of its Quality Subgroup that took place in February 2018, documents related to the dev</w:t>
      </w:r>
      <w:r w:rsidR="005367D0">
        <w:t>elopment of PCT online services, and a progress report relating to possible measures to reduce exposure of PCT fee income to movements in currency exchange rates through netting.</w:t>
      </w:r>
    </w:p>
    <w:p w:rsidR="00160D7B" w:rsidRDefault="00BD1B9C" w:rsidP="00160D7B">
      <w:pPr>
        <w:pStyle w:val="ONUME"/>
      </w:pPr>
      <w:r>
        <w:t xml:space="preserve">The Working Group </w:t>
      </w:r>
      <w:r w:rsidR="00124116">
        <w:t>also</w:t>
      </w:r>
      <w:r>
        <w:t xml:space="preserve"> agreed to recommend to the Assembly the adoption of amendments to the PCT Regulations, as set out in the propos</w:t>
      </w:r>
      <w:r w:rsidR="00260B2D">
        <w:t>als contained in document</w:t>
      </w:r>
      <w:r w:rsidR="008D32EF">
        <w:t> </w:t>
      </w:r>
      <w:r w:rsidR="00260B2D">
        <w:t>PCT/A</w:t>
      </w:r>
      <w:r>
        <w:t>/50/2.</w:t>
      </w:r>
    </w:p>
    <w:p w:rsidR="00BD1B9C" w:rsidRDefault="00BD1B9C" w:rsidP="00160D7B">
      <w:pPr>
        <w:pStyle w:val="ONUME"/>
      </w:pPr>
      <w:r>
        <w:t>The Working Group</w:t>
      </w:r>
      <w:r w:rsidR="00124116">
        <w:t xml:space="preserve"> further agreed that the International Bureau prepare a proposal for consideration by the Assembly in relation to introducing an application form for appointment as an International Searching and Preliminary Examining Authority</w:t>
      </w:r>
      <w:r w:rsidR="00260B2D">
        <w:t>, as contained in document</w:t>
      </w:r>
      <w:r w:rsidR="008D32EF">
        <w:t> </w:t>
      </w:r>
      <w:r w:rsidR="00260B2D">
        <w:t>PCT/A</w:t>
      </w:r>
      <w:r w:rsidR="00124116">
        <w:t>/50/3.</w:t>
      </w:r>
    </w:p>
    <w:p w:rsidR="00160D7B" w:rsidRPr="00160D7B" w:rsidRDefault="00160D7B" w:rsidP="00160D7B">
      <w:pPr>
        <w:pStyle w:val="ONUME"/>
      </w:pPr>
      <w:bookmarkStart w:id="6" w:name="_Ref517701010"/>
      <w:r w:rsidRPr="00160D7B">
        <w:t>Finally, the Working Group agreed to recommend to the Assembly that, subject to the availability of sufficient funds, one session of the Working Group should be convened between</w:t>
      </w:r>
      <w:r w:rsidR="00C205DB">
        <w:t xml:space="preserve"> the current and the a</w:t>
      </w:r>
      <w:r>
        <w:t>utumn 2019</w:t>
      </w:r>
      <w:r w:rsidRPr="00160D7B">
        <w:t xml:space="preserve"> sessions of the Assembly, and that the same financial assistance that had been made available to enable attendance of </w:t>
      </w:r>
      <w:r>
        <w:t>certain delegations at the eleventh</w:t>
      </w:r>
      <w:r w:rsidRPr="00160D7B">
        <w:t xml:space="preserve"> session of the Working Group should be made available at the next session.</w:t>
      </w:r>
      <w:bookmarkEnd w:id="6"/>
    </w:p>
    <w:p w:rsidR="00160D7B" w:rsidRPr="00160D7B" w:rsidRDefault="00160D7B" w:rsidP="00AD1883">
      <w:pPr>
        <w:pStyle w:val="ONUME"/>
        <w:keepNext/>
        <w:keepLines/>
        <w:tabs>
          <w:tab w:val="left" w:pos="6096"/>
        </w:tabs>
        <w:ind w:left="5533"/>
        <w:rPr>
          <w:i/>
        </w:rPr>
      </w:pPr>
      <w:r w:rsidRPr="00160D7B">
        <w:rPr>
          <w:i/>
        </w:rPr>
        <w:t>The Assembly of</w:t>
      </w:r>
      <w:r>
        <w:t xml:space="preserve"> </w:t>
      </w:r>
      <w:r w:rsidRPr="00160D7B">
        <w:rPr>
          <w:i/>
        </w:rPr>
        <w:t>the PCT Union is invited:</w:t>
      </w:r>
    </w:p>
    <w:p w:rsidR="00160D7B" w:rsidRPr="00160D7B" w:rsidRDefault="00160D7B" w:rsidP="00ED736A">
      <w:pPr>
        <w:pStyle w:val="ONUME"/>
        <w:keepNext/>
        <w:keepLines/>
        <w:numPr>
          <w:ilvl w:val="1"/>
          <w:numId w:val="5"/>
        </w:numPr>
        <w:tabs>
          <w:tab w:val="left" w:pos="6096"/>
          <w:tab w:val="left" w:pos="6804"/>
        </w:tabs>
        <w:ind w:left="6101"/>
        <w:rPr>
          <w:i/>
        </w:rPr>
      </w:pPr>
      <w:r w:rsidRPr="00160D7B">
        <w:rPr>
          <w:i/>
        </w:rPr>
        <w:t xml:space="preserve">to take note of the “Report </w:t>
      </w:r>
      <w:r w:rsidR="000B45CA">
        <w:rPr>
          <w:i/>
        </w:rPr>
        <w:t>on</w:t>
      </w:r>
      <w:r w:rsidRPr="00160D7B">
        <w:rPr>
          <w:i/>
        </w:rPr>
        <w:t xml:space="preserve"> the PCT Working Group” (document</w:t>
      </w:r>
      <w:r w:rsidR="00ED736A">
        <w:rPr>
          <w:i/>
        </w:rPr>
        <w:t xml:space="preserve"> </w:t>
      </w:r>
      <w:r w:rsidRPr="00160D7B">
        <w:rPr>
          <w:i/>
        </w:rPr>
        <w:t>PCT/</w:t>
      </w:r>
      <w:r w:rsidR="000B45CA">
        <w:rPr>
          <w:i/>
        </w:rPr>
        <w:t>A</w:t>
      </w:r>
      <w:r w:rsidRPr="00160D7B">
        <w:rPr>
          <w:i/>
        </w:rPr>
        <w:t xml:space="preserve">/50/1);  and </w:t>
      </w:r>
    </w:p>
    <w:p w:rsidR="00160D7B" w:rsidRPr="00160D7B" w:rsidRDefault="00160D7B" w:rsidP="00AD1883">
      <w:pPr>
        <w:pStyle w:val="ONUME"/>
        <w:keepNext/>
        <w:keepLines/>
        <w:numPr>
          <w:ilvl w:val="1"/>
          <w:numId w:val="5"/>
        </w:numPr>
        <w:tabs>
          <w:tab w:val="left" w:pos="6096"/>
        </w:tabs>
        <w:ind w:left="6101"/>
        <w:rPr>
          <w:i/>
        </w:rPr>
      </w:pPr>
      <w:proofErr w:type="gramStart"/>
      <w:r w:rsidRPr="00160D7B">
        <w:rPr>
          <w:i/>
        </w:rPr>
        <w:t>to</w:t>
      </w:r>
      <w:proofErr w:type="gramEnd"/>
      <w:r w:rsidRPr="00160D7B">
        <w:rPr>
          <w:i/>
        </w:rPr>
        <w:t xml:space="preserve"> approve the convening of a session of the PCT Working Group, as set out in paragraph </w:t>
      </w:r>
      <w:r w:rsidRPr="00160D7B">
        <w:rPr>
          <w:i/>
        </w:rPr>
        <w:fldChar w:fldCharType="begin"/>
      </w:r>
      <w:r w:rsidRPr="00160D7B">
        <w:rPr>
          <w:i/>
        </w:rPr>
        <w:instrText xml:space="preserve"> REF _Ref517701010 \r \h </w:instrText>
      </w:r>
      <w:r>
        <w:rPr>
          <w:i/>
        </w:rPr>
        <w:instrText xml:space="preserve"> \* MERGEFORMAT </w:instrText>
      </w:r>
      <w:r w:rsidRPr="00160D7B">
        <w:rPr>
          <w:i/>
        </w:rPr>
      </w:r>
      <w:r w:rsidRPr="00160D7B">
        <w:rPr>
          <w:i/>
        </w:rPr>
        <w:fldChar w:fldCharType="separate"/>
      </w:r>
      <w:r w:rsidR="00097D06">
        <w:rPr>
          <w:i/>
        </w:rPr>
        <w:t>8</w:t>
      </w:r>
      <w:r w:rsidRPr="00160D7B">
        <w:rPr>
          <w:i/>
        </w:rPr>
        <w:fldChar w:fldCharType="end"/>
      </w:r>
      <w:r w:rsidRPr="00160D7B">
        <w:rPr>
          <w:i/>
        </w:rPr>
        <w:t xml:space="preserve"> of that document.</w:t>
      </w:r>
    </w:p>
    <w:p w:rsidR="00160D7B" w:rsidRDefault="00160D7B" w:rsidP="00160D7B">
      <w:pPr>
        <w:pStyle w:val="ONUME"/>
        <w:numPr>
          <w:ilvl w:val="0"/>
          <w:numId w:val="0"/>
        </w:numPr>
        <w:ind w:left="567"/>
      </w:pPr>
    </w:p>
    <w:p w:rsidR="00160D7B" w:rsidRDefault="00160D7B" w:rsidP="00160D7B">
      <w:pPr>
        <w:pStyle w:val="Endofdocument-Annex"/>
      </w:pPr>
      <w:r>
        <w:t>[Document PCT/WG/11/26 follows]</w:t>
      </w:r>
    </w:p>
    <w:sectPr w:rsidR="00160D7B" w:rsidSect="00555D1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D15" w:rsidRDefault="00555D15">
      <w:r>
        <w:separator/>
      </w:r>
    </w:p>
  </w:endnote>
  <w:endnote w:type="continuationSeparator" w:id="0">
    <w:p w:rsidR="00555D15" w:rsidRDefault="00555D15" w:rsidP="003B38C1">
      <w:r>
        <w:separator/>
      </w:r>
    </w:p>
    <w:p w:rsidR="00555D15" w:rsidRPr="003B38C1" w:rsidRDefault="00555D15" w:rsidP="003B38C1">
      <w:pPr>
        <w:spacing w:after="60"/>
        <w:rPr>
          <w:sz w:val="17"/>
        </w:rPr>
      </w:pPr>
      <w:r>
        <w:rPr>
          <w:sz w:val="17"/>
        </w:rPr>
        <w:t>[Endnote continued from previous page]</w:t>
      </w:r>
    </w:p>
  </w:endnote>
  <w:endnote w:type="continuationNotice" w:id="1">
    <w:p w:rsidR="00555D15" w:rsidRPr="003B38C1" w:rsidRDefault="00555D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D15" w:rsidRDefault="00555D15">
      <w:r>
        <w:separator/>
      </w:r>
    </w:p>
  </w:footnote>
  <w:footnote w:type="continuationSeparator" w:id="0">
    <w:p w:rsidR="00555D15" w:rsidRDefault="00555D15" w:rsidP="008B60B2">
      <w:r>
        <w:separator/>
      </w:r>
    </w:p>
    <w:p w:rsidR="00555D15" w:rsidRPr="00ED77FB" w:rsidRDefault="00555D15" w:rsidP="008B60B2">
      <w:pPr>
        <w:spacing w:after="60"/>
        <w:rPr>
          <w:sz w:val="17"/>
          <w:szCs w:val="17"/>
        </w:rPr>
      </w:pPr>
      <w:r w:rsidRPr="00ED77FB">
        <w:rPr>
          <w:sz w:val="17"/>
          <w:szCs w:val="17"/>
        </w:rPr>
        <w:t>[Footnote continued from previous page]</w:t>
      </w:r>
    </w:p>
  </w:footnote>
  <w:footnote w:type="continuationNotice" w:id="1">
    <w:p w:rsidR="00555D15" w:rsidRPr="00ED77FB" w:rsidRDefault="00555D1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082" w:rsidRDefault="00555D15" w:rsidP="00477D6B">
    <w:pPr>
      <w:jc w:val="right"/>
    </w:pPr>
    <w:bookmarkStart w:id="7" w:name="Code2"/>
    <w:bookmarkEnd w:id="7"/>
    <w:r>
      <w:t>PCT/A/50/1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97D06">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D15"/>
    <w:rsid w:val="00043CAA"/>
    <w:rsid w:val="00075432"/>
    <w:rsid w:val="000765C4"/>
    <w:rsid w:val="000968ED"/>
    <w:rsid w:val="00097D06"/>
    <w:rsid w:val="000B45CA"/>
    <w:rsid w:val="000C117A"/>
    <w:rsid w:val="000C5EAC"/>
    <w:rsid w:val="000F5E56"/>
    <w:rsid w:val="00124116"/>
    <w:rsid w:val="001362EE"/>
    <w:rsid w:val="00156693"/>
    <w:rsid w:val="00160D7B"/>
    <w:rsid w:val="001647D5"/>
    <w:rsid w:val="001832A6"/>
    <w:rsid w:val="001C5A1B"/>
    <w:rsid w:val="001C5C4B"/>
    <w:rsid w:val="0021217E"/>
    <w:rsid w:val="00260B2D"/>
    <w:rsid w:val="002634C4"/>
    <w:rsid w:val="002928D3"/>
    <w:rsid w:val="002D18A2"/>
    <w:rsid w:val="002F1FE6"/>
    <w:rsid w:val="002F4E68"/>
    <w:rsid w:val="00312F7F"/>
    <w:rsid w:val="00350AE2"/>
    <w:rsid w:val="00361450"/>
    <w:rsid w:val="0036566E"/>
    <w:rsid w:val="003673CF"/>
    <w:rsid w:val="003845C1"/>
    <w:rsid w:val="003A19C3"/>
    <w:rsid w:val="003A6F89"/>
    <w:rsid w:val="003B38C1"/>
    <w:rsid w:val="003D57B0"/>
    <w:rsid w:val="00423E3E"/>
    <w:rsid w:val="00427AF4"/>
    <w:rsid w:val="004647DA"/>
    <w:rsid w:val="00474062"/>
    <w:rsid w:val="00477D6B"/>
    <w:rsid w:val="005019FF"/>
    <w:rsid w:val="0053057A"/>
    <w:rsid w:val="005367D0"/>
    <w:rsid w:val="005478CA"/>
    <w:rsid w:val="00555D15"/>
    <w:rsid w:val="00560A29"/>
    <w:rsid w:val="005B45E0"/>
    <w:rsid w:val="005C6649"/>
    <w:rsid w:val="00605827"/>
    <w:rsid w:val="00646050"/>
    <w:rsid w:val="006713CA"/>
    <w:rsid w:val="00676C5C"/>
    <w:rsid w:val="006832E8"/>
    <w:rsid w:val="006E4F5F"/>
    <w:rsid w:val="007D1613"/>
    <w:rsid w:val="007E4C0E"/>
    <w:rsid w:val="00860537"/>
    <w:rsid w:val="0086425D"/>
    <w:rsid w:val="00877718"/>
    <w:rsid w:val="008A134B"/>
    <w:rsid w:val="008B2CC1"/>
    <w:rsid w:val="008B60B2"/>
    <w:rsid w:val="008D32EF"/>
    <w:rsid w:val="0090731E"/>
    <w:rsid w:val="00916EE2"/>
    <w:rsid w:val="00966A22"/>
    <w:rsid w:val="0096722F"/>
    <w:rsid w:val="00980843"/>
    <w:rsid w:val="009C127D"/>
    <w:rsid w:val="009E2791"/>
    <w:rsid w:val="009E3F6F"/>
    <w:rsid w:val="009E6CC0"/>
    <w:rsid w:val="009F499F"/>
    <w:rsid w:val="00A37342"/>
    <w:rsid w:val="00A42DAF"/>
    <w:rsid w:val="00A45BD8"/>
    <w:rsid w:val="00A607F7"/>
    <w:rsid w:val="00A869B7"/>
    <w:rsid w:val="00AA2DD4"/>
    <w:rsid w:val="00AC205C"/>
    <w:rsid w:val="00AD0F73"/>
    <w:rsid w:val="00AD1883"/>
    <w:rsid w:val="00AF0A6B"/>
    <w:rsid w:val="00B05A69"/>
    <w:rsid w:val="00B9734B"/>
    <w:rsid w:val="00BA30E2"/>
    <w:rsid w:val="00BD1B9C"/>
    <w:rsid w:val="00C00A6E"/>
    <w:rsid w:val="00C11BFE"/>
    <w:rsid w:val="00C205DB"/>
    <w:rsid w:val="00C5068F"/>
    <w:rsid w:val="00C86D74"/>
    <w:rsid w:val="00CD04F1"/>
    <w:rsid w:val="00CD7F59"/>
    <w:rsid w:val="00D106D6"/>
    <w:rsid w:val="00D44A0B"/>
    <w:rsid w:val="00D45252"/>
    <w:rsid w:val="00D66E37"/>
    <w:rsid w:val="00D71B4D"/>
    <w:rsid w:val="00D93D55"/>
    <w:rsid w:val="00DF023A"/>
    <w:rsid w:val="00DF383E"/>
    <w:rsid w:val="00E15015"/>
    <w:rsid w:val="00E335FE"/>
    <w:rsid w:val="00E85557"/>
    <w:rsid w:val="00EA7D6E"/>
    <w:rsid w:val="00EC4E49"/>
    <w:rsid w:val="00ED736A"/>
    <w:rsid w:val="00ED77FB"/>
    <w:rsid w:val="00EE45FA"/>
    <w:rsid w:val="00F63082"/>
    <w:rsid w:val="00F66152"/>
    <w:rsid w:val="00FA163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basedOn w:val="DefaultParagraphFont"/>
    <w:link w:val="ONUME"/>
    <w:rsid w:val="00160D7B"/>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basedOn w:val="DefaultParagraphFont"/>
    <w:link w:val="ONUME"/>
    <w:rsid w:val="00160D7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D03B5-987B-404D-91B2-797FD557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50 (E)</Template>
  <TotalTime>16</TotalTime>
  <Pages>2</Pages>
  <Words>665</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PCT/A/50/1</vt:lpstr>
    </vt:vector>
  </TitlesOfParts>
  <Company>WIPO</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PCT/A/50/1</dc:title>
  <dc:subject>Fiftieth (29th Extraordinary) Session</dc:subject>
  <dc:creator>Marlow</dc:creator>
  <cp:lastModifiedBy>HÄFLIGER Patience</cp:lastModifiedBy>
  <cp:revision>9</cp:revision>
  <cp:lastPrinted>2018-07-20T10:16:00Z</cp:lastPrinted>
  <dcterms:created xsi:type="dcterms:W3CDTF">2018-06-28T14:17:00Z</dcterms:created>
  <dcterms:modified xsi:type="dcterms:W3CDTF">2018-07-20T10:16:00Z</dcterms:modified>
  <cp:category>International Patent Cooperation Union (PCT Union)</cp:category>
</cp:coreProperties>
</file>