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5462CE" w:rsidP="00916EE2">
            <w:r>
              <w:rPr>
                <w:noProof/>
                <w:lang w:eastAsia="en-US"/>
              </w:rPr>
              <w:drawing>
                <wp:inline distT="0" distB="0" distL="0" distR="0">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7306B1"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7306B1" w:rsidRDefault="00523F0A" w:rsidP="00523F0A">
            <w:pPr>
              <w:jc w:val="right"/>
              <w:rPr>
                <w:rFonts w:ascii="Arial Black" w:hAnsi="Arial Black"/>
                <w:caps/>
                <w:sz w:val="15"/>
              </w:rPr>
            </w:pPr>
            <w:r w:rsidRPr="007306B1">
              <w:rPr>
                <w:rFonts w:ascii="Arial Black" w:hAnsi="Arial Black"/>
                <w:caps/>
                <w:sz w:val="15"/>
              </w:rPr>
              <w:t>MVT/</w:t>
            </w:r>
            <w:r w:rsidR="008866A0" w:rsidRPr="007306B1">
              <w:rPr>
                <w:rFonts w:ascii="Arial Black" w:hAnsi="Arial Black"/>
                <w:caps/>
                <w:sz w:val="15"/>
              </w:rPr>
              <w:t>A/</w:t>
            </w:r>
            <w:bookmarkStart w:id="1" w:name="Code"/>
            <w:bookmarkEnd w:id="1"/>
            <w:r w:rsidRPr="007306B1">
              <w:rPr>
                <w:rFonts w:ascii="Arial Black" w:hAnsi="Arial Black"/>
                <w:caps/>
                <w:sz w:val="15"/>
              </w:rPr>
              <w:t>1/1</w:t>
            </w:r>
            <w:r w:rsidR="00A42DAF" w:rsidRPr="007306B1">
              <w:rPr>
                <w:rFonts w:ascii="Arial Black" w:hAnsi="Arial Black"/>
                <w:caps/>
                <w:sz w:val="15"/>
              </w:rPr>
              <w:t xml:space="preserve"> </w:t>
            </w:r>
            <w:r w:rsidR="008B2CC1" w:rsidRPr="007306B1">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523F0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C360E">
            <w:pPr>
              <w:jc w:val="right"/>
              <w:rPr>
                <w:rFonts w:ascii="Arial Black" w:hAnsi="Arial Black"/>
                <w:caps/>
                <w:sz w:val="15"/>
              </w:rPr>
            </w:pPr>
            <w:r w:rsidRPr="0090731E">
              <w:rPr>
                <w:rFonts w:ascii="Arial Black" w:hAnsi="Arial Black"/>
                <w:caps/>
                <w:sz w:val="15"/>
              </w:rPr>
              <w:t xml:space="preserve">DATE: </w:t>
            </w:r>
            <w:bookmarkStart w:id="3" w:name="Date"/>
            <w:bookmarkEnd w:id="3"/>
            <w:r w:rsidR="009C360E">
              <w:rPr>
                <w:rFonts w:ascii="Arial Black" w:hAnsi="Arial Black"/>
                <w:caps/>
                <w:sz w:val="15"/>
              </w:rPr>
              <w:t>AUGUST 12</w:t>
            </w:r>
            <w:r w:rsidR="00523F0A">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2E5A22" w:rsidRDefault="00C329F5" w:rsidP="008B2CC1">
      <w:pPr>
        <w:rPr>
          <w:b/>
          <w:sz w:val="28"/>
          <w:szCs w:val="28"/>
        </w:rPr>
      </w:pPr>
      <w:r w:rsidRPr="00F136F9">
        <w:rPr>
          <w:b/>
          <w:sz w:val="28"/>
          <w:szCs w:val="28"/>
        </w:rPr>
        <w:t>Marrakesh Treaty to Facilitate Access to P</w:t>
      </w:r>
      <w:r>
        <w:rPr>
          <w:b/>
          <w:sz w:val="28"/>
          <w:szCs w:val="28"/>
        </w:rPr>
        <w:t xml:space="preserve">ublished Works for </w:t>
      </w:r>
      <w:proofErr w:type="gramStart"/>
      <w:r>
        <w:rPr>
          <w:b/>
          <w:sz w:val="28"/>
          <w:szCs w:val="28"/>
        </w:rPr>
        <w:t>Persons</w:t>
      </w:r>
      <w:proofErr w:type="gramEnd"/>
      <w:r>
        <w:rPr>
          <w:b/>
          <w:sz w:val="28"/>
          <w:szCs w:val="28"/>
        </w:rPr>
        <w:t xml:space="preserve"> Who A</w:t>
      </w:r>
      <w:r w:rsidRPr="00F136F9">
        <w:rPr>
          <w:b/>
          <w:sz w:val="28"/>
          <w:szCs w:val="28"/>
        </w:rPr>
        <w:t>re Blind, Visually Impaired o</w:t>
      </w:r>
      <w:r>
        <w:rPr>
          <w:b/>
          <w:sz w:val="28"/>
          <w:szCs w:val="28"/>
        </w:rPr>
        <w:t>r Otherwise Print Disabled (MVT</w:t>
      </w:r>
      <w:r w:rsidR="009C360E">
        <w:rPr>
          <w:rFonts w:eastAsia="Arial"/>
          <w:b/>
          <w:bCs/>
          <w:color w:val="111111"/>
          <w:w w:val="106"/>
          <w:sz w:val="28"/>
          <w:szCs w:val="28"/>
        </w:rPr>
        <w:t>)</w:t>
      </w:r>
    </w:p>
    <w:p w:rsidR="003845C1" w:rsidRDefault="003845C1" w:rsidP="003845C1"/>
    <w:p w:rsidR="00523F0A" w:rsidRDefault="00523F0A" w:rsidP="00523F0A"/>
    <w:p w:rsidR="00523F0A" w:rsidRPr="005D1F56" w:rsidRDefault="00523F0A" w:rsidP="00523F0A">
      <w:pPr>
        <w:rPr>
          <w:b/>
          <w:sz w:val="28"/>
          <w:szCs w:val="28"/>
        </w:rPr>
      </w:pPr>
      <w:r w:rsidRPr="005D1F56">
        <w:rPr>
          <w:b/>
          <w:sz w:val="28"/>
          <w:szCs w:val="28"/>
        </w:rPr>
        <w:t>Assembly</w:t>
      </w:r>
    </w:p>
    <w:p w:rsidR="003845C1" w:rsidRDefault="003845C1" w:rsidP="003845C1"/>
    <w:p w:rsidR="00523F0A" w:rsidRDefault="00523F0A" w:rsidP="003845C1"/>
    <w:p w:rsidR="008B2CC1" w:rsidRPr="002E5A22" w:rsidRDefault="00523F0A" w:rsidP="008B2CC1">
      <w:pPr>
        <w:rPr>
          <w:b/>
          <w:sz w:val="24"/>
          <w:szCs w:val="24"/>
        </w:rPr>
      </w:pPr>
      <w:r>
        <w:rPr>
          <w:rFonts w:eastAsia="Arial"/>
          <w:b/>
          <w:bCs/>
          <w:color w:val="111111"/>
          <w:sz w:val="24"/>
          <w:szCs w:val="24"/>
        </w:rPr>
        <w:t xml:space="preserve">First </w:t>
      </w:r>
      <w:r w:rsidR="00E26D39">
        <w:rPr>
          <w:rFonts w:eastAsia="Arial"/>
          <w:b/>
          <w:bCs/>
          <w:color w:val="111111"/>
          <w:sz w:val="24"/>
          <w:szCs w:val="24"/>
        </w:rPr>
        <w:t>(1</w:t>
      </w:r>
      <w:r w:rsidR="00E26D39" w:rsidRPr="00E26D39">
        <w:rPr>
          <w:rFonts w:eastAsia="Arial"/>
          <w:b/>
          <w:bCs/>
          <w:color w:val="111111"/>
          <w:sz w:val="24"/>
          <w:szCs w:val="24"/>
          <w:vertAlign w:val="superscript"/>
        </w:rPr>
        <w:t>st</w:t>
      </w:r>
      <w:r w:rsidR="00E26D39">
        <w:rPr>
          <w:rFonts w:eastAsia="Arial"/>
          <w:b/>
          <w:bCs/>
          <w:color w:val="111111"/>
          <w:sz w:val="24"/>
          <w:szCs w:val="24"/>
        </w:rPr>
        <w:t xml:space="preserve"> </w:t>
      </w:r>
      <w:r w:rsidR="007306B1" w:rsidRPr="007306B1">
        <w:rPr>
          <w:rFonts w:eastAsia="Arial"/>
          <w:b/>
          <w:bCs/>
          <w:color w:val="111111"/>
          <w:sz w:val="24"/>
          <w:szCs w:val="24"/>
        </w:rPr>
        <w:t>Ordinary</w:t>
      </w:r>
      <w:r w:rsidR="00265488">
        <w:rPr>
          <w:rFonts w:eastAsia="Arial"/>
          <w:b/>
          <w:bCs/>
          <w:color w:val="111111"/>
          <w:sz w:val="24"/>
          <w:szCs w:val="24"/>
        </w:rPr>
        <w:t>)</w:t>
      </w:r>
      <w:r w:rsidR="00E26D39" w:rsidRPr="007306B1">
        <w:rPr>
          <w:rFonts w:eastAsia="Arial"/>
          <w:b/>
          <w:bCs/>
          <w:color w:val="111111"/>
          <w:sz w:val="24"/>
          <w:szCs w:val="24"/>
        </w:rPr>
        <w:t xml:space="preserve"> </w:t>
      </w:r>
      <w:r>
        <w:rPr>
          <w:rFonts w:eastAsia="Arial"/>
          <w:b/>
          <w:bCs/>
          <w:color w:val="111111"/>
          <w:sz w:val="24"/>
          <w:szCs w:val="24"/>
        </w:rPr>
        <w:t>Session</w:t>
      </w:r>
    </w:p>
    <w:p w:rsidR="008B2CC1" w:rsidRPr="002E5A22" w:rsidRDefault="008866A0" w:rsidP="008B2CC1">
      <w:pPr>
        <w:rPr>
          <w:b/>
          <w:sz w:val="24"/>
          <w:szCs w:val="24"/>
        </w:rPr>
      </w:pPr>
      <w:r w:rsidRPr="002E5A22">
        <w:rPr>
          <w:rFonts w:eastAsia="Arial"/>
          <w:b/>
          <w:bCs/>
          <w:color w:val="111111"/>
          <w:sz w:val="24"/>
          <w:szCs w:val="24"/>
        </w:rPr>
        <w:t>Genev</w:t>
      </w:r>
      <w:r w:rsidRPr="002E5A22">
        <w:rPr>
          <w:rFonts w:eastAsia="Arial"/>
          <w:b/>
          <w:bCs/>
          <w:color w:val="111111"/>
          <w:spacing w:val="7"/>
          <w:sz w:val="24"/>
          <w:szCs w:val="24"/>
        </w:rPr>
        <w:t>a</w:t>
      </w:r>
      <w:r w:rsidRPr="002E5A22">
        <w:rPr>
          <w:rFonts w:eastAsia="Arial"/>
          <w:b/>
          <w:bCs/>
          <w:color w:val="383838"/>
          <w:sz w:val="24"/>
          <w:szCs w:val="24"/>
        </w:rPr>
        <w:t>,</w:t>
      </w:r>
      <w:r w:rsidRPr="002E5A22">
        <w:rPr>
          <w:rFonts w:eastAsia="Arial"/>
          <w:b/>
          <w:bCs/>
          <w:color w:val="383838"/>
          <w:spacing w:val="6"/>
          <w:sz w:val="24"/>
          <w:szCs w:val="24"/>
        </w:rPr>
        <w:t xml:space="preserve"> </w:t>
      </w:r>
      <w:r w:rsidRPr="002E5A22">
        <w:rPr>
          <w:rFonts w:eastAsia="Arial"/>
          <w:b/>
          <w:bCs/>
          <w:color w:val="111111"/>
          <w:sz w:val="24"/>
          <w:szCs w:val="24"/>
        </w:rPr>
        <w:t>October</w:t>
      </w:r>
      <w:r w:rsidRPr="002E5A22">
        <w:rPr>
          <w:rFonts w:eastAsia="Arial"/>
          <w:b/>
          <w:bCs/>
          <w:color w:val="111111"/>
          <w:spacing w:val="37"/>
          <w:sz w:val="24"/>
          <w:szCs w:val="24"/>
        </w:rPr>
        <w:t xml:space="preserve"> </w:t>
      </w:r>
      <w:r w:rsidRPr="002E5A22">
        <w:rPr>
          <w:rFonts w:eastAsia="Arial"/>
          <w:b/>
          <w:bCs/>
          <w:color w:val="111111"/>
          <w:sz w:val="24"/>
          <w:szCs w:val="24"/>
        </w:rPr>
        <w:t>3</w:t>
      </w:r>
      <w:r w:rsidRPr="002E5A22">
        <w:rPr>
          <w:rFonts w:eastAsia="Arial"/>
          <w:b/>
          <w:bCs/>
          <w:color w:val="111111"/>
          <w:spacing w:val="14"/>
          <w:sz w:val="24"/>
          <w:szCs w:val="24"/>
        </w:rPr>
        <w:t xml:space="preserve"> </w:t>
      </w:r>
      <w:r w:rsidRPr="002E5A22">
        <w:rPr>
          <w:rFonts w:eastAsia="Arial"/>
          <w:b/>
          <w:bCs/>
          <w:color w:val="111111"/>
          <w:sz w:val="24"/>
          <w:szCs w:val="24"/>
        </w:rPr>
        <w:t>to</w:t>
      </w:r>
      <w:r w:rsidRPr="002E5A22">
        <w:rPr>
          <w:rFonts w:eastAsia="Arial"/>
          <w:b/>
          <w:bCs/>
          <w:color w:val="111111"/>
          <w:spacing w:val="4"/>
          <w:sz w:val="24"/>
          <w:szCs w:val="24"/>
        </w:rPr>
        <w:t xml:space="preserve"> </w:t>
      </w:r>
      <w:r w:rsidRPr="002E5A22">
        <w:rPr>
          <w:rFonts w:eastAsia="Arial"/>
          <w:b/>
          <w:bCs/>
          <w:color w:val="111111"/>
          <w:sz w:val="24"/>
          <w:szCs w:val="24"/>
        </w:rPr>
        <w:t>11,</w:t>
      </w:r>
      <w:r w:rsidRPr="002E5A22">
        <w:rPr>
          <w:rFonts w:eastAsia="Arial"/>
          <w:b/>
          <w:bCs/>
          <w:color w:val="111111"/>
          <w:spacing w:val="31"/>
          <w:sz w:val="24"/>
          <w:szCs w:val="24"/>
        </w:rPr>
        <w:t xml:space="preserve"> </w:t>
      </w:r>
      <w:r w:rsidRPr="002E5A22">
        <w:rPr>
          <w:rFonts w:eastAsia="Arial"/>
          <w:b/>
          <w:bCs/>
          <w:color w:val="111111"/>
          <w:w w:val="102"/>
          <w:sz w:val="24"/>
          <w:szCs w:val="24"/>
        </w:rPr>
        <w:t>2016</w:t>
      </w:r>
    </w:p>
    <w:p w:rsidR="008B2CC1" w:rsidRPr="008B2CC1" w:rsidRDefault="008B2CC1" w:rsidP="008B2CC1"/>
    <w:p w:rsidR="008B2CC1" w:rsidRPr="008B2CC1" w:rsidRDefault="008B2CC1" w:rsidP="008B2CC1"/>
    <w:p w:rsidR="008B2CC1" w:rsidRPr="008B2CC1" w:rsidRDefault="008B2CC1" w:rsidP="008B2CC1"/>
    <w:p w:rsidR="008B2CC1" w:rsidRPr="003845C1" w:rsidRDefault="00523F0A" w:rsidP="008B2CC1">
      <w:pPr>
        <w:rPr>
          <w:caps/>
          <w:sz w:val="24"/>
        </w:rPr>
      </w:pPr>
      <w:bookmarkStart w:id="4" w:name="TitleOfDoc"/>
      <w:bookmarkEnd w:id="4"/>
      <w:r>
        <w:rPr>
          <w:caps/>
          <w:sz w:val="24"/>
        </w:rPr>
        <w:t>Rules of Procedure</w:t>
      </w:r>
    </w:p>
    <w:p w:rsidR="008B2CC1" w:rsidRPr="008B2CC1" w:rsidRDefault="008B2CC1" w:rsidP="008B2CC1"/>
    <w:p w:rsidR="008B2CC1" w:rsidRPr="008B2CC1" w:rsidRDefault="00523F0A"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523F0A" w:rsidRDefault="00523F0A" w:rsidP="00523F0A"/>
    <w:p w:rsidR="00523F0A" w:rsidRDefault="00F92B5C" w:rsidP="00523F0A">
      <w:r>
        <w:fldChar w:fldCharType="begin"/>
      </w:r>
      <w:r>
        <w:instrText xml:space="preserve"> AUTONUM  </w:instrText>
      </w:r>
      <w:r>
        <w:fldChar w:fldCharType="end"/>
      </w:r>
      <w:r>
        <w:tab/>
        <w:t xml:space="preserve">The </w:t>
      </w:r>
      <w:r w:rsidR="00523F0A" w:rsidRPr="00523F0A">
        <w:t>Marrakesh Treaty to Facilitate Access to Published Works for Persons Who Are Blind, Visually Impaired or Otherwise Print Disabled</w:t>
      </w:r>
      <w:r w:rsidR="00523F0A">
        <w:t xml:space="preserve"> (hereinafter referred to as “the Marrakesh Treaty”) </w:t>
      </w:r>
      <w:r>
        <w:t xml:space="preserve">will come </w:t>
      </w:r>
      <w:r w:rsidR="00523F0A">
        <w:t xml:space="preserve">into force on September </w:t>
      </w:r>
      <w:r>
        <w:t>30</w:t>
      </w:r>
      <w:r w:rsidR="00523F0A">
        <w:t>, 20</w:t>
      </w:r>
      <w:r>
        <w:t>16</w:t>
      </w:r>
      <w:r w:rsidR="00523F0A">
        <w:t xml:space="preserve">, having received the required number of </w:t>
      </w:r>
      <w:r>
        <w:t>20</w:t>
      </w:r>
      <w:r w:rsidR="007306B1">
        <w:t> </w:t>
      </w:r>
      <w:r w:rsidR="00523F0A">
        <w:t xml:space="preserve">ratifications or accessions.  The present document contains information and proposals on procedural questions relative to the inaugural session of the </w:t>
      </w:r>
      <w:r>
        <w:t xml:space="preserve">Marrakesh Treaty </w:t>
      </w:r>
      <w:r w:rsidR="00523F0A">
        <w:t>Assembly (hereinafter referred to as “the Assembly”).  It is proposed that the As</w:t>
      </w:r>
      <w:r w:rsidR="00372D5B">
        <w:t xml:space="preserve">sembly adopt rules of procedure, </w:t>
      </w:r>
      <w:r w:rsidR="00523F0A">
        <w:t>elect officer</w:t>
      </w:r>
      <w:r w:rsidR="00372D5B">
        <w:t xml:space="preserve">s and </w:t>
      </w:r>
      <w:r w:rsidR="008E4BE0">
        <w:t>consider</w:t>
      </w:r>
      <w:r w:rsidR="00372D5B">
        <w:t xml:space="preserve"> information on the membership and implementation of the Treaty </w:t>
      </w:r>
      <w:r w:rsidR="00523F0A">
        <w:t>d</w:t>
      </w:r>
      <w:r w:rsidR="00372D5B">
        <w:t xml:space="preserve">uring this session </w:t>
      </w:r>
      <w:r w:rsidR="00523F0A" w:rsidRPr="007306B1">
        <w:t>(document</w:t>
      </w:r>
      <w:r w:rsidR="007306B1">
        <w:t> </w:t>
      </w:r>
      <w:r w:rsidRPr="007306B1">
        <w:t>MVT</w:t>
      </w:r>
      <w:r w:rsidR="00523F0A" w:rsidRPr="007306B1">
        <w:t>/A/1/</w:t>
      </w:r>
      <w:r w:rsidR="00E26D39" w:rsidRPr="007306B1">
        <w:t>2</w:t>
      </w:r>
      <w:r w:rsidR="00523F0A" w:rsidRPr="007306B1">
        <w:t>).</w:t>
      </w:r>
    </w:p>
    <w:p w:rsidR="00523F0A" w:rsidRDefault="00523F0A" w:rsidP="00523F0A"/>
    <w:p w:rsidR="007306B1" w:rsidRDefault="007306B1">
      <w:r>
        <w:br w:type="page"/>
      </w:r>
    </w:p>
    <w:p w:rsidR="00523F0A" w:rsidRPr="00F92B5C" w:rsidRDefault="00523F0A" w:rsidP="00523F0A">
      <w:pPr>
        <w:rPr>
          <w:u w:val="single"/>
        </w:rPr>
      </w:pPr>
      <w:r w:rsidRPr="00F92B5C">
        <w:rPr>
          <w:u w:val="single"/>
        </w:rPr>
        <w:lastRenderedPageBreak/>
        <w:t>General Rules of Procedure</w:t>
      </w:r>
    </w:p>
    <w:p w:rsidR="00523F0A" w:rsidRDefault="00523F0A" w:rsidP="00523F0A"/>
    <w:p w:rsidR="00523F0A" w:rsidRDefault="00F92B5C" w:rsidP="00523F0A">
      <w:r>
        <w:fldChar w:fldCharType="begin"/>
      </w:r>
      <w:r>
        <w:instrText xml:space="preserve"> AUTONUM  </w:instrText>
      </w:r>
      <w:r>
        <w:fldChar w:fldCharType="end"/>
      </w:r>
      <w:r>
        <w:tab/>
      </w:r>
      <w:r w:rsidR="00523F0A">
        <w:t xml:space="preserve">Article </w:t>
      </w:r>
      <w:r>
        <w:t>13</w:t>
      </w:r>
      <w:r w:rsidR="002C11AF">
        <w:t>(5)</w:t>
      </w:r>
      <w:r w:rsidR="00523F0A">
        <w:t xml:space="preserve"> of the </w:t>
      </w:r>
      <w:r>
        <w:t xml:space="preserve">Marrakesh </w:t>
      </w:r>
      <w:r w:rsidR="00523F0A">
        <w:t>Treaty states:</w:t>
      </w:r>
    </w:p>
    <w:p w:rsidR="00523F0A" w:rsidRDefault="00523F0A" w:rsidP="00523F0A"/>
    <w:p w:rsidR="00523F0A" w:rsidRPr="008311D8" w:rsidRDefault="00523F0A" w:rsidP="00F92B5C">
      <w:pPr>
        <w:jc w:val="center"/>
        <w:rPr>
          <w:i/>
        </w:rPr>
      </w:pPr>
      <w:r w:rsidRPr="008311D8">
        <w:rPr>
          <w:i/>
        </w:rPr>
        <w:t xml:space="preserve">“Article </w:t>
      </w:r>
      <w:r w:rsidR="00F92B5C" w:rsidRPr="008311D8">
        <w:rPr>
          <w:i/>
        </w:rPr>
        <w:t>1</w:t>
      </w:r>
      <w:r w:rsidRPr="008311D8">
        <w:rPr>
          <w:i/>
        </w:rPr>
        <w:t>3</w:t>
      </w:r>
    </w:p>
    <w:p w:rsidR="00523F0A" w:rsidRPr="008311D8" w:rsidRDefault="00523F0A" w:rsidP="00F92B5C">
      <w:pPr>
        <w:jc w:val="center"/>
        <w:rPr>
          <w:i/>
        </w:rPr>
      </w:pPr>
      <w:r w:rsidRPr="008311D8">
        <w:rPr>
          <w:i/>
        </w:rPr>
        <w:t>“Assembly</w:t>
      </w:r>
    </w:p>
    <w:p w:rsidR="00523F0A" w:rsidRPr="008311D8" w:rsidRDefault="00523F0A" w:rsidP="00523F0A">
      <w:pPr>
        <w:rPr>
          <w:i/>
        </w:rPr>
      </w:pPr>
    </w:p>
    <w:p w:rsidR="00523F0A" w:rsidRPr="008311D8" w:rsidRDefault="00523F0A" w:rsidP="00FE0CC9">
      <w:pPr>
        <w:ind w:left="720"/>
        <w:rPr>
          <w:i/>
        </w:rPr>
      </w:pPr>
      <w:r w:rsidRPr="008311D8">
        <w:rPr>
          <w:i/>
        </w:rPr>
        <w:t>[…]</w:t>
      </w:r>
    </w:p>
    <w:p w:rsidR="00523F0A" w:rsidRPr="008311D8" w:rsidRDefault="00523F0A" w:rsidP="00FE0CC9">
      <w:pPr>
        <w:ind w:left="720"/>
        <w:rPr>
          <w:i/>
        </w:rPr>
      </w:pPr>
    </w:p>
    <w:p w:rsidR="00F92B5C" w:rsidRPr="008311D8" w:rsidRDefault="00063544" w:rsidP="00FE0CC9">
      <w:pPr>
        <w:ind w:left="720"/>
        <w:rPr>
          <w:i/>
        </w:rPr>
      </w:pPr>
      <w:r w:rsidRPr="008311D8">
        <w:rPr>
          <w:i/>
        </w:rPr>
        <w:t xml:space="preserve">“(5) </w:t>
      </w:r>
      <w:r w:rsidR="00F92B5C" w:rsidRPr="008311D8">
        <w:rPr>
          <w:i/>
        </w:rPr>
        <w:t>The Assembly shall endeavor to take its decisions by consensus and shall establish its own rules of procedure, including the convocation of extraordinary sessions, the requirements of a quorum and, subject to the provisions of this Treaty, the required majority for various kinds of decisions.”</w:t>
      </w:r>
    </w:p>
    <w:p w:rsidR="00523F0A" w:rsidRDefault="00523F0A" w:rsidP="00523F0A"/>
    <w:p w:rsidR="00523F0A" w:rsidRDefault="00F92B5C" w:rsidP="00523F0A">
      <w:r>
        <w:fldChar w:fldCharType="begin"/>
      </w:r>
      <w:r>
        <w:instrText xml:space="preserve"> AUTONUM  </w:instrText>
      </w:r>
      <w:r>
        <w:fldChar w:fldCharType="end"/>
      </w:r>
      <w:r>
        <w:tab/>
      </w:r>
      <w:r w:rsidR="00523F0A">
        <w:t xml:space="preserve">It is proposed that, in order to implement this provision, the Assembly adopt as its own Rules of Procedure the </w:t>
      </w:r>
      <w:r w:rsidR="00523F0A" w:rsidRPr="00265488">
        <w:rPr>
          <w:i/>
        </w:rPr>
        <w:t>WIPO General Rules of Procedure</w:t>
      </w:r>
      <w:r w:rsidR="00523F0A">
        <w:t xml:space="preserve"> (WIPO publication number 399 (FE) Rev.</w:t>
      </w:r>
      <w:r w:rsidR="00265488">
        <w:t> </w:t>
      </w:r>
      <w:r w:rsidR="00523F0A">
        <w:t xml:space="preserve">3), as has every other body within WIPO, </w:t>
      </w:r>
      <w:r w:rsidR="00B43E99">
        <w:t xml:space="preserve">as </w:t>
      </w:r>
      <w:r w:rsidR="00523F0A">
        <w:t>amended by the introduction of the Special Rules detailed below.</w:t>
      </w:r>
    </w:p>
    <w:p w:rsidR="00523F0A" w:rsidRDefault="00523F0A" w:rsidP="00523F0A"/>
    <w:p w:rsidR="00523F0A" w:rsidRDefault="00523F0A" w:rsidP="00523F0A"/>
    <w:p w:rsidR="00523F0A" w:rsidRPr="00FE0CC9" w:rsidRDefault="00523F0A" w:rsidP="00523F0A">
      <w:pPr>
        <w:rPr>
          <w:u w:val="single"/>
        </w:rPr>
      </w:pPr>
      <w:r w:rsidRPr="00FE0CC9">
        <w:rPr>
          <w:u w:val="single"/>
        </w:rPr>
        <w:t>Special Rules</w:t>
      </w:r>
    </w:p>
    <w:p w:rsidR="00523F0A" w:rsidRDefault="00523F0A" w:rsidP="00523F0A"/>
    <w:p w:rsidR="00523F0A" w:rsidRDefault="00FE0CC9" w:rsidP="00A828E9">
      <w:r>
        <w:fldChar w:fldCharType="begin"/>
      </w:r>
      <w:r>
        <w:instrText xml:space="preserve"> AUTONUM  </w:instrText>
      </w:r>
      <w:r>
        <w:fldChar w:fldCharType="end"/>
      </w:r>
      <w:r>
        <w:tab/>
      </w:r>
      <w:r w:rsidR="005D289C">
        <w:t>T</w:t>
      </w:r>
      <w:r w:rsidR="00523F0A">
        <w:t xml:space="preserve">he </w:t>
      </w:r>
      <w:r>
        <w:t xml:space="preserve">Marrakesh </w:t>
      </w:r>
      <w:r w:rsidR="00523F0A">
        <w:t>Treaty contains certain provisions which depart from practices in prior WIPO treaties and conventions.  As a consequence</w:t>
      </w:r>
      <w:r w:rsidR="005D289C" w:rsidRPr="005D289C">
        <w:t xml:space="preserve">, </w:t>
      </w:r>
      <w:r w:rsidR="00523F0A">
        <w:t xml:space="preserve">it is necessary to consider certain Special Rules to </w:t>
      </w:r>
      <w:r w:rsidR="00B43E99">
        <w:t xml:space="preserve">amend </w:t>
      </w:r>
      <w:r w:rsidR="00523F0A">
        <w:t xml:space="preserve">the </w:t>
      </w:r>
      <w:r w:rsidR="00523F0A" w:rsidRPr="00265488">
        <w:rPr>
          <w:i/>
        </w:rPr>
        <w:t>WIPO General Rules of Procedure</w:t>
      </w:r>
      <w:r w:rsidR="00523F0A">
        <w:t>.</w:t>
      </w:r>
    </w:p>
    <w:p w:rsidR="00523F0A" w:rsidRDefault="00523F0A" w:rsidP="00523F0A"/>
    <w:p w:rsidR="00523F0A" w:rsidRDefault="00FE0CC9" w:rsidP="00A828E9">
      <w:r>
        <w:fldChar w:fldCharType="begin"/>
      </w:r>
      <w:r>
        <w:instrText xml:space="preserve"> AUTONUM  </w:instrText>
      </w:r>
      <w:r>
        <w:fldChar w:fldCharType="end"/>
      </w:r>
      <w:r>
        <w:tab/>
      </w:r>
      <w:r w:rsidR="00523F0A">
        <w:t xml:space="preserve">Amendment of the </w:t>
      </w:r>
      <w:r w:rsidR="00523F0A" w:rsidRPr="00265488">
        <w:rPr>
          <w:i/>
        </w:rPr>
        <w:t>WIPO General Rules of Procedure</w:t>
      </w:r>
      <w:r w:rsidR="00523F0A">
        <w:t xml:space="preserve"> is expressly envisaged by those Rules themselves</w:t>
      </w:r>
      <w:r w:rsidR="00A828E9">
        <w:rPr>
          <w:rStyle w:val="FootnoteReference"/>
        </w:rPr>
        <w:footnoteReference w:id="2"/>
      </w:r>
      <w:r w:rsidR="00523F0A">
        <w:t>.</w:t>
      </w:r>
    </w:p>
    <w:p w:rsidR="00ED3F98" w:rsidRDefault="00ED3F98" w:rsidP="00523F0A"/>
    <w:p w:rsidR="00B9795B" w:rsidRDefault="00B9795B" w:rsidP="00523F0A"/>
    <w:p w:rsidR="00ED3F98" w:rsidRPr="00265488" w:rsidRDefault="00ED3F98" w:rsidP="00265488">
      <w:pPr>
        <w:rPr>
          <w:u w:val="single"/>
        </w:rPr>
      </w:pPr>
      <w:r w:rsidRPr="00265488">
        <w:rPr>
          <w:u w:val="single"/>
        </w:rPr>
        <w:t>Officers</w:t>
      </w:r>
    </w:p>
    <w:p w:rsidR="008D65A2" w:rsidRDefault="008D65A2" w:rsidP="007306B1">
      <w:pPr>
        <w:pStyle w:val="ListParagraph"/>
        <w:ind w:left="0"/>
      </w:pPr>
    </w:p>
    <w:p w:rsidR="00B02742" w:rsidRDefault="00265488" w:rsidP="00265488">
      <w:pPr>
        <w:pStyle w:val="ListParagraph"/>
        <w:ind w:left="0"/>
      </w:pPr>
      <w:r>
        <w:fldChar w:fldCharType="begin"/>
      </w:r>
      <w:r>
        <w:instrText xml:space="preserve"> AUTONUM  </w:instrText>
      </w:r>
      <w:r>
        <w:fldChar w:fldCharType="end"/>
      </w:r>
      <w:r>
        <w:tab/>
      </w:r>
      <w:r w:rsidR="00905E7A" w:rsidRPr="00905E7A">
        <w:t xml:space="preserve">Rule 9 of the </w:t>
      </w:r>
      <w:r w:rsidR="00905E7A" w:rsidRPr="00265488">
        <w:rPr>
          <w:i/>
          <w:iCs/>
        </w:rPr>
        <w:t>WIPO General Rules of Procedure</w:t>
      </w:r>
      <w:r w:rsidR="00905E7A" w:rsidRPr="00B02742">
        <w:t xml:space="preserve"> </w:t>
      </w:r>
      <w:r w:rsidR="00905E7A" w:rsidRPr="00905E7A">
        <w:t>states that officers shall be elected in the first me</w:t>
      </w:r>
      <w:r w:rsidR="008D65A2">
        <w:t>eting of each ordinary session.</w:t>
      </w:r>
      <w:r w:rsidR="00B02742">
        <w:t xml:space="preserve">  </w:t>
      </w:r>
      <w:r w:rsidR="00037ADB">
        <w:t>Consequently,</w:t>
      </w:r>
      <w:r w:rsidR="00905E7A" w:rsidRPr="00905E7A">
        <w:t xml:space="preserve"> officers of WIPO bodies serve from their election at </w:t>
      </w:r>
      <w:r w:rsidR="00905E7A" w:rsidRPr="005B6DE9">
        <w:t xml:space="preserve">an </w:t>
      </w:r>
      <w:r w:rsidR="00905E7A" w:rsidRPr="007C1738">
        <w:t xml:space="preserve">ordinary session, up to but not including the next ordinary session, generally a period </w:t>
      </w:r>
      <w:r w:rsidR="00905E7A" w:rsidRPr="00905E7A">
        <w:t>of two</w:t>
      </w:r>
      <w:r w:rsidR="00E935AA">
        <w:t xml:space="preserve"> </w:t>
      </w:r>
      <w:r w:rsidR="00E935AA" w:rsidRPr="00E935AA">
        <w:t>years.</w:t>
      </w:r>
      <w:r w:rsidR="00B60167">
        <w:t xml:space="preserve">  </w:t>
      </w:r>
    </w:p>
    <w:p w:rsidR="00B02742" w:rsidRDefault="00B02742" w:rsidP="00E935AA"/>
    <w:p w:rsidR="007306B1" w:rsidRDefault="00265488" w:rsidP="00E935AA">
      <w:r>
        <w:fldChar w:fldCharType="begin"/>
      </w:r>
      <w:r>
        <w:instrText xml:space="preserve"> AUTONUM  </w:instrText>
      </w:r>
      <w:r>
        <w:fldChar w:fldCharType="end"/>
      </w:r>
      <w:r>
        <w:tab/>
      </w:r>
      <w:r w:rsidR="006270AE">
        <w:t xml:space="preserve">Consistent with the </w:t>
      </w:r>
      <w:r w:rsidR="00F914FC">
        <w:t>Marrakesh Treaty</w:t>
      </w:r>
      <w:r w:rsidR="006270AE">
        <w:t xml:space="preserve">, </w:t>
      </w:r>
      <w:r w:rsidR="00F914FC">
        <w:t xml:space="preserve">which </w:t>
      </w:r>
      <w:r w:rsidR="006778AB">
        <w:t>provides,</w:t>
      </w:r>
      <w:r w:rsidR="00F914FC">
        <w:t xml:space="preserve"> in Article 13</w:t>
      </w:r>
      <w:r w:rsidR="00F469C4">
        <w:t>(4),</w:t>
      </w:r>
      <w:r w:rsidR="00F914FC">
        <w:t xml:space="preserve"> that the Assembly </w:t>
      </w:r>
      <w:r w:rsidR="00A97FD8">
        <w:t xml:space="preserve">“shall </w:t>
      </w:r>
      <w:r w:rsidR="00F914FC">
        <w:t xml:space="preserve">meet upon convocation by the Director General, and, in the absence of exceptional circumstances, during the same period and at the same place as the General Assembly of WIPO,” it is proposed that the Marrakesh </w:t>
      </w:r>
      <w:r w:rsidR="006778AB">
        <w:t xml:space="preserve">Treaty </w:t>
      </w:r>
      <w:r w:rsidR="00F914FC">
        <w:t>Assembly meet each year in ordinary session.</w:t>
      </w:r>
      <w:r>
        <w:t xml:space="preserve">  </w:t>
      </w:r>
      <w:r w:rsidR="00B60167">
        <w:t xml:space="preserve">This would </w:t>
      </w:r>
      <w:r w:rsidR="00733AE9">
        <w:t xml:space="preserve">also </w:t>
      </w:r>
      <w:r w:rsidR="00B60167">
        <w:t>be compliant with the constitutional reform</w:t>
      </w:r>
      <w:r w:rsidR="00733AE9">
        <w:t xml:space="preserve"> amendments adopted by the General Assembly in 2003</w:t>
      </w:r>
      <w:r w:rsidR="00037ADB">
        <w:t xml:space="preserve"> concerning, specifically, the periodicity of the </w:t>
      </w:r>
      <w:r w:rsidR="005076AF">
        <w:t>General A</w:t>
      </w:r>
      <w:r w:rsidR="00DD6CF2">
        <w:t>ssembly</w:t>
      </w:r>
    </w:p>
    <w:p w:rsidR="007306B1" w:rsidRDefault="007306B1">
      <w:r>
        <w:br w:type="page"/>
      </w:r>
    </w:p>
    <w:p w:rsidR="00E935AA" w:rsidRPr="00E935AA" w:rsidRDefault="00DD6CF2" w:rsidP="00E935AA">
      <w:proofErr w:type="gramStart"/>
      <w:r>
        <w:lastRenderedPageBreak/>
        <w:t>sessions</w:t>
      </w:r>
      <w:proofErr w:type="gramEnd"/>
      <w:r w:rsidR="00B60167">
        <w:t>.</w:t>
      </w:r>
      <w:r w:rsidR="00037ADB">
        <w:rPr>
          <w:rStyle w:val="FootnoteReference"/>
        </w:rPr>
        <w:footnoteReference w:id="3"/>
      </w:r>
      <w:r w:rsidR="007C1738">
        <w:t xml:space="preserve">  </w:t>
      </w:r>
      <w:r w:rsidR="00A97FD8">
        <w:t xml:space="preserve">As </w:t>
      </w:r>
      <w:r w:rsidR="002A4F89">
        <w:t xml:space="preserve">the WIPO General Assembly, as well as </w:t>
      </w:r>
      <w:r w:rsidR="006778AB">
        <w:t xml:space="preserve">the </w:t>
      </w:r>
      <w:r w:rsidR="00A97FD8">
        <w:t>other Assemblies of the Member</w:t>
      </w:r>
      <w:r w:rsidR="00265488">
        <w:t> </w:t>
      </w:r>
      <w:r w:rsidR="00A97FD8">
        <w:t>States of WIPO</w:t>
      </w:r>
      <w:r w:rsidR="002A4F89">
        <w:t>,</w:t>
      </w:r>
      <w:r w:rsidR="00A97FD8">
        <w:t xml:space="preserve"> </w:t>
      </w:r>
      <w:proofErr w:type="gramStart"/>
      <w:r w:rsidR="00A97FD8">
        <w:t>are</w:t>
      </w:r>
      <w:proofErr w:type="gramEnd"/>
      <w:r w:rsidR="00A97FD8">
        <w:t xml:space="preserve"> meeting in extraordinary sessions in 2016, the officers presiding over them are serving the </w:t>
      </w:r>
      <w:r w:rsidR="003819D8">
        <w:t>second</w:t>
      </w:r>
      <w:r w:rsidR="00A97FD8">
        <w:t xml:space="preserve"> year of their respective terms of office.  </w:t>
      </w:r>
      <w:r w:rsidR="003819D8">
        <w:t>In order to allow the election of the</w:t>
      </w:r>
      <w:r w:rsidR="006778AB">
        <w:t xml:space="preserve"> officers of the Marrakesh Treaty Assembly to follow the same cycle as that of the other Assemblies, it</w:t>
      </w:r>
      <w:r w:rsidR="00E935AA" w:rsidRPr="00E935AA">
        <w:t xml:space="preserve"> is </w:t>
      </w:r>
      <w:r w:rsidR="00A97FD8">
        <w:t>therefore</w:t>
      </w:r>
      <w:r w:rsidR="00E935AA" w:rsidRPr="00E935AA">
        <w:t xml:space="preserve"> proposed that</w:t>
      </w:r>
      <w:r w:rsidR="00A97FD8">
        <w:t>, for this inaugural session,</w:t>
      </w:r>
      <w:r w:rsidR="00E935AA" w:rsidRPr="00E935AA">
        <w:t xml:space="preserve"> the Chair</w:t>
      </w:r>
      <w:r w:rsidR="00B60167">
        <w:t xml:space="preserve"> and Vice</w:t>
      </w:r>
      <w:r w:rsidR="00265488">
        <w:noBreakHyphen/>
      </w:r>
      <w:r w:rsidR="00B60167">
        <w:t>Chair</w:t>
      </w:r>
      <w:r w:rsidR="00A97FD8">
        <w:t>s</w:t>
      </w:r>
      <w:r w:rsidR="00B60167">
        <w:t xml:space="preserve"> of the Marrakesh</w:t>
      </w:r>
      <w:r w:rsidR="00E935AA" w:rsidRPr="00E935AA">
        <w:t xml:space="preserve"> </w:t>
      </w:r>
      <w:r w:rsidR="006778AB">
        <w:t xml:space="preserve">Treaty </w:t>
      </w:r>
      <w:r w:rsidR="00E935AA" w:rsidRPr="00E935AA">
        <w:t>Assembl</w:t>
      </w:r>
      <w:r w:rsidR="00B60167">
        <w:t>y be elected</w:t>
      </w:r>
      <w:r w:rsidR="002D77CD">
        <w:t>, exceptionally,</w:t>
      </w:r>
      <w:r w:rsidR="00B60167">
        <w:t xml:space="preserve"> for a period of </w:t>
      </w:r>
      <w:r w:rsidR="00A97FD8">
        <w:t>one</w:t>
      </w:r>
      <w:r w:rsidR="00E935AA" w:rsidRPr="00E935AA">
        <w:t xml:space="preserve"> year</w:t>
      </w:r>
      <w:r w:rsidR="00A97FD8">
        <w:t xml:space="preserve">, </w:t>
      </w:r>
      <w:r w:rsidR="00B60167">
        <w:t xml:space="preserve">up </w:t>
      </w:r>
      <w:r w:rsidR="00A97FD8">
        <w:t xml:space="preserve">to </w:t>
      </w:r>
      <w:r w:rsidR="00B60167">
        <w:t xml:space="preserve">but not including the </w:t>
      </w:r>
      <w:r w:rsidR="00A97FD8">
        <w:t xml:space="preserve">next ordinary </w:t>
      </w:r>
      <w:r w:rsidR="00B60167">
        <w:t xml:space="preserve">session </w:t>
      </w:r>
      <w:r w:rsidR="00A97FD8">
        <w:t>in 2017</w:t>
      </w:r>
      <w:r w:rsidR="007C1738">
        <w:t xml:space="preserve">.  </w:t>
      </w:r>
      <w:r w:rsidR="00A97FD8">
        <w:t xml:space="preserve">As of 2017, and </w:t>
      </w:r>
      <w:r w:rsidR="002D77CD">
        <w:t xml:space="preserve">consistently </w:t>
      </w:r>
      <w:r w:rsidR="00A97FD8">
        <w:t xml:space="preserve">thereafter, it is proposed that the terms of office for the Chair and Vice-Chairs of the Marrakesh </w:t>
      </w:r>
      <w:r w:rsidR="006778AB">
        <w:t xml:space="preserve">Treaty </w:t>
      </w:r>
      <w:r w:rsidR="00A97FD8">
        <w:t>Assembly be two years</w:t>
      </w:r>
      <w:r w:rsidR="006778AB">
        <w:t xml:space="preserve">; </w:t>
      </w:r>
      <w:r w:rsidR="00265488">
        <w:t xml:space="preserve"> </w:t>
      </w:r>
      <w:r w:rsidR="006778AB">
        <w:t>thus</w:t>
      </w:r>
      <w:r w:rsidR="00C26685">
        <w:t>,</w:t>
      </w:r>
      <w:r w:rsidR="00265488">
        <w:t xml:space="preserve"> </w:t>
      </w:r>
      <w:r w:rsidR="006778AB">
        <w:t>the election of officers for the</w:t>
      </w:r>
      <w:r w:rsidR="0066037E">
        <w:t xml:space="preserve"> Marrakesh</w:t>
      </w:r>
      <w:r w:rsidR="00E935AA" w:rsidRPr="00E935AA">
        <w:t xml:space="preserve"> </w:t>
      </w:r>
      <w:r w:rsidR="006778AB">
        <w:t xml:space="preserve">Treaty </w:t>
      </w:r>
      <w:r w:rsidR="00E935AA" w:rsidRPr="00E935AA">
        <w:t>Assembly will be in alignment with the other bodies within WIPO.</w:t>
      </w:r>
    </w:p>
    <w:p w:rsidR="00523F0A" w:rsidRDefault="00523F0A" w:rsidP="00E935AA"/>
    <w:p w:rsidR="00D97537" w:rsidRDefault="00265488" w:rsidP="00523F0A">
      <w:r>
        <w:fldChar w:fldCharType="begin"/>
      </w:r>
      <w:r>
        <w:instrText xml:space="preserve"> AUTONUM  </w:instrText>
      </w:r>
      <w:r>
        <w:fldChar w:fldCharType="end"/>
      </w:r>
      <w:r>
        <w:tab/>
      </w:r>
      <w:r w:rsidR="00D97537">
        <w:t xml:space="preserve">It is therefore proposed to replace Rule 9 of the </w:t>
      </w:r>
      <w:r w:rsidR="00D97537" w:rsidRPr="00265488">
        <w:rPr>
          <w:i/>
        </w:rPr>
        <w:t>WIPO General Rules of Procedure</w:t>
      </w:r>
      <w:r w:rsidR="00D97537">
        <w:t xml:space="preserve"> with the following Special Rule</w:t>
      </w:r>
      <w:r w:rsidR="00B43E99">
        <w:t xml:space="preserve"> to account for the Marrakesh Treaty Assembly meeting in ordinary session each year (rather than every two years)</w:t>
      </w:r>
      <w:r w:rsidR="00D97537">
        <w:t xml:space="preserve">, </w:t>
      </w:r>
      <w:r w:rsidR="006778AB">
        <w:t>subject to</w:t>
      </w:r>
      <w:r w:rsidR="00D97537">
        <w:t xml:space="preserve"> the understanding that the </w:t>
      </w:r>
      <w:r w:rsidR="003A1792">
        <w:t xml:space="preserve">application of the Special Rule, and therefore the </w:t>
      </w:r>
      <w:r w:rsidR="00D97537">
        <w:t>two-year term of office</w:t>
      </w:r>
      <w:r w:rsidR="003A1792">
        <w:t>,</w:t>
      </w:r>
      <w:r w:rsidR="00D97537">
        <w:t xml:space="preserve"> shall begin with the officers elected at the second (i.e.,</w:t>
      </w:r>
      <w:r w:rsidR="007306B1">
        <w:t> </w:t>
      </w:r>
      <w:r w:rsidR="00D97537">
        <w:t xml:space="preserve">2017) ordinary session of the Marrakesh </w:t>
      </w:r>
      <w:r w:rsidR="00AB657B">
        <w:t xml:space="preserve">Treaty </w:t>
      </w:r>
      <w:r w:rsidR="00D97537">
        <w:t>Assembly</w:t>
      </w:r>
      <w:r w:rsidR="0051185F">
        <w:t xml:space="preserve">.  As noted in paragraph 7 above, </w:t>
      </w:r>
      <w:r w:rsidR="002A4F89">
        <w:t xml:space="preserve">and without prejudice to the proposed special Rule 9, </w:t>
      </w:r>
      <w:r w:rsidR="0051185F">
        <w:t xml:space="preserve">the Chair and Vice-Chairs of the Marrakesh Treaty Assembly elected at this inaugural session of the Assembly shall </w:t>
      </w:r>
      <w:r w:rsidR="002A4F89">
        <w:t>consequently</w:t>
      </w:r>
      <w:r w:rsidR="00C26685">
        <w:t xml:space="preserve"> </w:t>
      </w:r>
      <w:r w:rsidR="0051185F">
        <w:t>only serve for one year, up to but not including the second ordinary session of the Assembly.</w:t>
      </w:r>
    </w:p>
    <w:p w:rsidR="00D97537" w:rsidRDefault="00D97537" w:rsidP="00523F0A"/>
    <w:p w:rsidR="0051185F" w:rsidRPr="00D97537" w:rsidRDefault="00D97537" w:rsidP="0051185F">
      <w:pPr>
        <w:rPr>
          <w:i/>
        </w:rPr>
      </w:pPr>
      <w:r>
        <w:tab/>
      </w:r>
      <w:r w:rsidR="0051185F" w:rsidRPr="00D97537">
        <w:rPr>
          <w:i/>
        </w:rPr>
        <w:t>Rule 9: Officers</w:t>
      </w:r>
    </w:p>
    <w:p w:rsidR="0051185F" w:rsidRPr="00D97537" w:rsidRDefault="0051185F" w:rsidP="0051185F">
      <w:pPr>
        <w:rPr>
          <w:i/>
        </w:rPr>
      </w:pPr>
    </w:p>
    <w:p w:rsidR="0051185F" w:rsidRPr="00D97537" w:rsidRDefault="0051185F" w:rsidP="0051185F">
      <w:pPr>
        <w:pStyle w:val="ListParagraph"/>
        <w:numPr>
          <w:ilvl w:val="0"/>
          <w:numId w:val="9"/>
        </w:numPr>
        <w:rPr>
          <w:i/>
        </w:rPr>
      </w:pPr>
      <w:r w:rsidRPr="0051185F">
        <w:rPr>
          <w:i/>
        </w:rPr>
        <w:t xml:space="preserve">The Assembly shall elect a Chair and two Vice-Chairs, who </w:t>
      </w:r>
      <w:r w:rsidRPr="00D97537">
        <w:rPr>
          <w:i/>
        </w:rPr>
        <w:t xml:space="preserve">shall remain in office </w:t>
      </w:r>
      <w:r>
        <w:rPr>
          <w:i/>
        </w:rPr>
        <w:t xml:space="preserve">for two ordinary sessions, </w:t>
      </w:r>
      <w:r w:rsidRPr="00D97537">
        <w:rPr>
          <w:i/>
        </w:rPr>
        <w:t>until the election of new officers.</w:t>
      </w:r>
    </w:p>
    <w:p w:rsidR="0051185F" w:rsidRPr="00D97537" w:rsidRDefault="0051185F" w:rsidP="0051185F">
      <w:pPr>
        <w:rPr>
          <w:i/>
        </w:rPr>
      </w:pPr>
    </w:p>
    <w:p w:rsidR="0051185F" w:rsidRPr="00D97537" w:rsidRDefault="0051185F" w:rsidP="0051185F">
      <w:pPr>
        <w:pStyle w:val="ListParagraph"/>
        <w:numPr>
          <w:ilvl w:val="0"/>
          <w:numId w:val="9"/>
        </w:numPr>
        <w:rPr>
          <w:i/>
        </w:rPr>
      </w:pPr>
      <w:r w:rsidRPr="00D97537">
        <w:rPr>
          <w:i/>
        </w:rPr>
        <w:t xml:space="preserve">The outgoing Chair and Vice-Chair shall not be immediately eligible for reelection to the office which they have held. </w:t>
      </w:r>
    </w:p>
    <w:p w:rsidR="00D97537" w:rsidRDefault="00D97537" w:rsidP="00523F0A"/>
    <w:p w:rsidR="00265488" w:rsidRDefault="00265488" w:rsidP="00523F0A"/>
    <w:p w:rsidR="00523F0A" w:rsidRPr="00265488" w:rsidRDefault="00523F0A" w:rsidP="00265488">
      <w:pPr>
        <w:rPr>
          <w:u w:val="single"/>
        </w:rPr>
      </w:pPr>
      <w:r w:rsidRPr="00265488">
        <w:rPr>
          <w:u w:val="single"/>
        </w:rPr>
        <w:t xml:space="preserve">Delegations </w:t>
      </w:r>
    </w:p>
    <w:p w:rsidR="00523F0A" w:rsidRDefault="00523F0A" w:rsidP="00523F0A"/>
    <w:p w:rsidR="00523F0A" w:rsidRDefault="00265488" w:rsidP="00523F0A">
      <w:r>
        <w:fldChar w:fldCharType="begin"/>
      </w:r>
      <w:r>
        <w:instrText xml:space="preserve"> AUTONUM  </w:instrText>
      </w:r>
      <w:r>
        <w:fldChar w:fldCharType="end"/>
      </w:r>
      <w:r>
        <w:tab/>
      </w:r>
      <w:r w:rsidR="00523F0A">
        <w:t xml:space="preserve">The </w:t>
      </w:r>
      <w:r w:rsidR="00523F0A" w:rsidRPr="00FE0CC9">
        <w:rPr>
          <w:i/>
        </w:rPr>
        <w:t>WIPO General Rules of Procedure</w:t>
      </w:r>
      <w:r w:rsidR="00523F0A">
        <w:t xml:space="preserve"> specify that delegations are comprised of Member</w:t>
      </w:r>
      <w:r>
        <w:t> </w:t>
      </w:r>
      <w:r w:rsidR="00523F0A">
        <w:t>States</w:t>
      </w:r>
      <w:r w:rsidR="00B77DD8">
        <w:t xml:space="preserve"> exclusively</w:t>
      </w:r>
      <w:r w:rsidR="00FE0CC9">
        <w:rPr>
          <w:rStyle w:val="FootnoteReference"/>
        </w:rPr>
        <w:footnoteReference w:id="4"/>
      </w:r>
      <w:r w:rsidR="00523F0A">
        <w:t xml:space="preserve">.  The </w:t>
      </w:r>
      <w:r w:rsidR="00523F0A" w:rsidRPr="00265488">
        <w:rPr>
          <w:i/>
        </w:rPr>
        <w:t>WIPO General Rules of Procedure</w:t>
      </w:r>
      <w:r w:rsidR="00523F0A">
        <w:t xml:space="preserve"> also specify that intergovernmental organizations shall be observers</w:t>
      </w:r>
      <w:r w:rsidR="00FE0CC9">
        <w:rPr>
          <w:rStyle w:val="FootnoteReference"/>
        </w:rPr>
        <w:footnoteReference w:id="5"/>
      </w:r>
      <w:r w:rsidR="00523F0A">
        <w:t>.</w:t>
      </w:r>
    </w:p>
    <w:p w:rsidR="00A0504C" w:rsidRDefault="00A0504C" w:rsidP="00523F0A"/>
    <w:p w:rsidR="00265488" w:rsidRDefault="00265488">
      <w:r>
        <w:fldChar w:fldCharType="begin"/>
      </w:r>
      <w:r>
        <w:instrText xml:space="preserve"> AUTONUM  </w:instrText>
      </w:r>
      <w:r>
        <w:fldChar w:fldCharType="end"/>
      </w:r>
      <w:r>
        <w:tab/>
      </w:r>
      <w:r w:rsidR="00523F0A">
        <w:t xml:space="preserve">Notwithstanding the foregoing, the </w:t>
      </w:r>
      <w:r w:rsidR="00FE0CC9">
        <w:t>Marrakesh</w:t>
      </w:r>
      <w:r w:rsidR="00523F0A">
        <w:t xml:space="preserve"> Treaty defines the status of certain intergovernmental organizations within the context of the Assembly.  That status differs from the observer status which the </w:t>
      </w:r>
      <w:r w:rsidR="00523F0A" w:rsidRPr="002C56B4">
        <w:rPr>
          <w:i/>
        </w:rPr>
        <w:t>WIPO General Rules of Procedure</w:t>
      </w:r>
      <w:r w:rsidR="00523F0A">
        <w:t xml:space="preserve"> give to intergovernmental</w:t>
      </w:r>
    </w:p>
    <w:p w:rsidR="00265488" w:rsidRDefault="00265488"/>
    <w:p w:rsidR="007306B1" w:rsidRDefault="007306B1">
      <w:r>
        <w:br w:type="page"/>
      </w:r>
    </w:p>
    <w:p w:rsidR="00265488" w:rsidRDefault="00265488" w:rsidP="00265488"/>
    <w:p w:rsidR="00265488" w:rsidRDefault="00265488" w:rsidP="00265488">
      <w:proofErr w:type="gramStart"/>
      <w:r>
        <w:t>organizations</w:t>
      </w:r>
      <w:proofErr w:type="gramEnd"/>
      <w:r>
        <w:t>.  In that regard, Article 15 of the Marrakesh Treaty states that:</w:t>
      </w:r>
    </w:p>
    <w:p w:rsidR="00523F0A" w:rsidRDefault="00523F0A" w:rsidP="00523F0A"/>
    <w:p w:rsidR="00265488" w:rsidRDefault="00265488" w:rsidP="00523F0A"/>
    <w:p w:rsidR="00523F0A" w:rsidRPr="008311D8" w:rsidRDefault="00523F0A" w:rsidP="00FE0CC9">
      <w:pPr>
        <w:ind w:left="720"/>
        <w:jc w:val="center"/>
        <w:rPr>
          <w:i/>
        </w:rPr>
      </w:pPr>
      <w:r w:rsidRPr="008311D8">
        <w:rPr>
          <w:i/>
        </w:rPr>
        <w:t xml:space="preserve">“Article </w:t>
      </w:r>
      <w:r w:rsidR="00FE0CC9" w:rsidRPr="008311D8">
        <w:rPr>
          <w:i/>
        </w:rPr>
        <w:t>15</w:t>
      </w:r>
    </w:p>
    <w:p w:rsidR="00523F0A" w:rsidRPr="008311D8" w:rsidRDefault="00523F0A" w:rsidP="00FE0CC9">
      <w:pPr>
        <w:ind w:left="720"/>
        <w:jc w:val="center"/>
        <w:rPr>
          <w:i/>
        </w:rPr>
      </w:pPr>
      <w:r w:rsidRPr="008311D8">
        <w:rPr>
          <w:i/>
        </w:rPr>
        <w:t>“</w:t>
      </w:r>
      <w:r w:rsidR="00FE0CC9" w:rsidRPr="008311D8">
        <w:rPr>
          <w:i/>
        </w:rPr>
        <w:t xml:space="preserve">Eligibility for </w:t>
      </w:r>
      <w:r w:rsidRPr="008311D8">
        <w:rPr>
          <w:i/>
        </w:rPr>
        <w:t>Becoming Party to the Treaty</w:t>
      </w:r>
    </w:p>
    <w:p w:rsidR="00523F0A" w:rsidRPr="008311D8" w:rsidRDefault="00523F0A" w:rsidP="00FE0CC9">
      <w:pPr>
        <w:ind w:left="720"/>
        <w:rPr>
          <w:i/>
        </w:rPr>
      </w:pPr>
    </w:p>
    <w:p w:rsidR="00FE0CC9" w:rsidRPr="008311D8" w:rsidRDefault="002C11AF" w:rsidP="00FE0CC9">
      <w:pPr>
        <w:ind w:left="720"/>
        <w:rPr>
          <w:i/>
        </w:rPr>
      </w:pPr>
      <w:r w:rsidRPr="008311D8">
        <w:rPr>
          <w:i/>
        </w:rPr>
        <w:t>“</w:t>
      </w:r>
      <w:r w:rsidR="00FE0CC9" w:rsidRPr="008311D8">
        <w:rPr>
          <w:i/>
        </w:rPr>
        <w:t>1. Any Member State of WIPO may become party to this Treaty.</w:t>
      </w:r>
    </w:p>
    <w:p w:rsidR="00FE0CC9" w:rsidRPr="008311D8" w:rsidRDefault="00FE0CC9" w:rsidP="00FE0CC9">
      <w:pPr>
        <w:ind w:left="720"/>
        <w:rPr>
          <w:i/>
        </w:rPr>
      </w:pPr>
    </w:p>
    <w:p w:rsidR="00FE0CC9" w:rsidRPr="008311D8" w:rsidRDefault="002C11AF" w:rsidP="00FE0CC9">
      <w:pPr>
        <w:ind w:left="720"/>
        <w:rPr>
          <w:i/>
        </w:rPr>
      </w:pPr>
      <w:r w:rsidRPr="008311D8">
        <w:rPr>
          <w:i/>
        </w:rPr>
        <w:t>“</w:t>
      </w:r>
      <w:r w:rsidR="00FE0CC9" w:rsidRPr="008311D8">
        <w:rPr>
          <w:i/>
        </w:rPr>
        <w:t>2. The Assembly may decide to admit any intergovernmental organization to become party to this Treaty which declares that it is competent in respect of, and has its own legislation binding on all its Member States on, matters covered by this Treaty and that it has been duly authorized, in accordance with its internal procedures, to become party to this Treaty.</w:t>
      </w:r>
    </w:p>
    <w:p w:rsidR="00FE0CC9" w:rsidRPr="008311D8" w:rsidRDefault="00FE0CC9" w:rsidP="00FE0CC9">
      <w:pPr>
        <w:ind w:left="720"/>
        <w:rPr>
          <w:i/>
        </w:rPr>
      </w:pPr>
    </w:p>
    <w:p w:rsidR="00523F0A" w:rsidRPr="008311D8" w:rsidRDefault="002C11AF" w:rsidP="00FE0CC9">
      <w:pPr>
        <w:ind w:left="720"/>
        <w:rPr>
          <w:i/>
        </w:rPr>
      </w:pPr>
      <w:r w:rsidRPr="008311D8">
        <w:rPr>
          <w:i/>
        </w:rPr>
        <w:t>“</w:t>
      </w:r>
      <w:r w:rsidR="00FE0CC9" w:rsidRPr="008311D8">
        <w:rPr>
          <w:i/>
        </w:rPr>
        <w:t>3. The European Union, having made the declaration referred to in the preceding paragraph at the Diplomatic Conference that has adopted this Treaty, may become party to this Treaty.</w:t>
      </w:r>
      <w:r w:rsidRPr="008311D8">
        <w:rPr>
          <w:i/>
        </w:rPr>
        <w:t>”</w:t>
      </w:r>
    </w:p>
    <w:p w:rsidR="00523F0A" w:rsidRDefault="00523F0A" w:rsidP="00FE0CC9">
      <w:pPr>
        <w:ind w:left="720"/>
        <w:rPr>
          <w:b/>
        </w:rPr>
      </w:pPr>
    </w:p>
    <w:p w:rsidR="00265488" w:rsidRPr="00FE0CC9" w:rsidRDefault="00265488" w:rsidP="00FE0CC9">
      <w:pPr>
        <w:ind w:left="720"/>
        <w:rPr>
          <w:b/>
        </w:rPr>
      </w:pPr>
    </w:p>
    <w:p w:rsidR="00523F0A" w:rsidRDefault="00265488" w:rsidP="00523F0A">
      <w:r>
        <w:fldChar w:fldCharType="begin"/>
      </w:r>
      <w:r>
        <w:instrText xml:space="preserve"> AUTONUM  </w:instrText>
      </w:r>
      <w:r>
        <w:fldChar w:fldCharType="end"/>
      </w:r>
      <w:r>
        <w:tab/>
      </w:r>
      <w:r w:rsidR="00343CB5">
        <w:t xml:space="preserve">It is therefore proposed that </w:t>
      </w:r>
      <w:r w:rsidR="00523F0A">
        <w:t xml:space="preserve">Rule 7 of the </w:t>
      </w:r>
      <w:r w:rsidR="00523F0A" w:rsidRPr="002C11AF">
        <w:rPr>
          <w:i/>
        </w:rPr>
        <w:t>WIPO General Rules of Procedure</w:t>
      </w:r>
      <w:r w:rsidR="00343CB5">
        <w:t xml:space="preserve"> </w:t>
      </w:r>
      <w:r w:rsidR="00523F0A">
        <w:t>be replaced by a Special Rule ensuring that the definition of “Delegations” is expanded to include those intergovernmental organiza</w:t>
      </w:r>
      <w:r w:rsidR="00343CB5">
        <w:t>tions that</w:t>
      </w:r>
      <w:r w:rsidR="00523F0A">
        <w:t xml:space="preserve"> will become Contracting Parties in accordance with Article</w:t>
      </w:r>
      <w:r w:rsidR="0012245A">
        <w:t> </w:t>
      </w:r>
      <w:r w:rsidR="002C11AF">
        <w:t>15(2)</w:t>
      </w:r>
      <w:r w:rsidR="00523F0A">
        <w:t xml:space="preserve"> of the </w:t>
      </w:r>
      <w:r w:rsidR="002C11AF">
        <w:t>Marrakesh</w:t>
      </w:r>
      <w:r w:rsidR="00523F0A">
        <w:t xml:space="preserve"> Treaty:</w:t>
      </w:r>
    </w:p>
    <w:p w:rsidR="00523F0A" w:rsidRDefault="00523F0A" w:rsidP="00523F0A"/>
    <w:p w:rsidR="00523F0A" w:rsidRPr="008311D8" w:rsidRDefault="00523F0A" w:rsidP="002C11AF">
      <w:pPr>
        <w:ind w:left="720"/>
        <w:rPr>
          <w:i/>
        </w:rPr>
      </w:pPr>
      <w:r w:rsidRPr="008311D8">
        <w:rPr>
          <w:i/>
        </w:rPr>
        <w:t>Rule 7:  Delegations</w:t>
      </w:r>
    </w:p>
    <w:p w:rsidR="00523F0A" w:rsidRPr="008311D8" w:rsidRDefault="00523F0A" w:rsidP="002C11AF">
      <w:pPr>
        <w:ind w:left="720"/>
        <w:rPr>
          <w:i/>
        </w:rPr>
      </w:pPr>
    </w:p>
    <w:p w:rsidR="00523F0A" w:rsidRPr="008311D8" w:rsidRDefault="00063544" w:rsidP="002C11AF">
      <w:pPr>
        <w:ind w:left="720"/>
        <w:rPr>
          <w:i/>
        </w:rPr>
      </w:pPr>
      <w:r w:rsidRPr="008311D8">
        <w:rPr>
          <w:i/>
        </w:rPr>
        <w:t xml:space="preserve">(1) </w:t>
      </w:r>
      <w:r w:rsidR="00523F0A" w:rsidRPr="008311D8">
        <w:rPr>
          <w:i/>
        </w:rPr>
        <w:t>Each State member of a body shall be represented by one or more delegates, who may be assisted by alternates, advisors, and experts.</w:t>
      </w:r>
    </w:p>
    <w:p w:rsidR="002C11AF" w:rsidRPr="008311D8" w:rsidRDefault="002C11AF" w:rsidP="002C11AF">
      <w:pPr>
        <w:ind w:left="720"/>
        <w:rPr>
          <w:i/>
        </w:rPr>
      </w:pPr>
    </w:p>
    <w:p w:rsidR="00523F0A" w:rsidRPr="008311D8" w:rsidRDefault="00063544" w:rsidP="002C11AF">
      <w:pPr>
        <w:ind w:left="720"/>
        <w:rPr>
          <w:i/>
        </w:rPr>
      </w:pPr>
      <w:r w:rsidRPr="008311D8">
        <w:rPr>
          <w:i/>
        </w:rPr>
        <w:t xml:space="preserve">(2) </w:t>
      </w:r>
      <w:r w:rsidR="00523F0A" w:rsidRPr="008311D8">
        <w:rPr>
          <w:i/>
        </w:rPr>
        <w:t>Any intergovernmental organizatio</w:t>
      </w:r>
      <w:r w:rsidR="00343CB5">
        <w:rPr>
          <w:i/>
        </w:rPr>
        <w:t>n that</w:t>
      </w:r>
      <w:r w:rsidR="002C11AF" w:rsidRPr="008311D8">
        <w:rPr>
          <w:i/>
        </w:rPr>
        <w:t xml:space="preserve"> becomes a party to the Marrakesh</w:t>
      </w:r>
      <w:r w:rsidR="0012245A">
        <w:rPr>
          <w:i/>
        </w:rPr>
        <w:t xml:space="preserve"> </w:t>
      </w:r>
      <w:r w:rsidR="00523F0A" w:rsidRPr="008311D8">
        <w:rPr>
          <w:i/>
        </w:rPr>
        <w:t xml:space="preserve">Treaty in accordance with Article </w:t>
      </w:r>
      <w:r w:rsidR="002C11AF" w:rsidRPr="008311D8">
        <w:rPr>
          <w:i/>
        </w:rPr>
        <w:t>15</w:t>
      </w:r>
      <w:r w:rsidR="00523F0A" w:rsidRPr="008311D8">
        <w:rPr>
          <w:i/>
        </w:rPr>
        <w:t>(</w:t>
      </w:r>
      <w:r w:rsidR="002C11AF" w:rsidRPr="008311D8">
        <w:rPr>
          <w:i/>
        </w:rPr>
        <w:t>2</w:t>
      </w:r>
      <w:r w:rsidR="00523F0A" w:rsidRPr="008311D8">
        <w:rPr>
          <w:i/>
        </w:rPr>
        <w:t xml:space="preserve">) of that Treaty shall be deemed a delegation, and shall enjoy, in the Assembly, the same rights as a State delegation, </w:t>
      </w:r>
      <w:r w:rsidR="00E530DE">
        <w:rPr>
          <w:i/>
        </w:rPr>
        <w:t>except as otherwise provided in these rules.</w:t>
      </w:r>
    </w:p>
    <w:p w:rsidR="002C11AF" w:rsidRPr="008311D8" w:rsidRDefault="002C11AF" w:rsidP="002C11AF">
      <w:pPr>
        <w:ind w:left="720"/>
        <w:rPr>
          <w:i/>
        </w:rPr>
      </w:pPr>
    </w:p>
    <w:p w:rsidR="00523F0A" w:rsidRPr="008311D8" w:rsidRDefault="00063544" w:rsidP="002C11AF">
      <w:pPr>
        <w:ind w:left="720"/>
        <w:rPr>
          <w:i/>
        </w:rPr>
      </w:pPr>
      <w:r w:rsidRPr="008311D8">
        <w:rPr>
          <w:i/>
        </w:rPr>
        <w:t xml:space="preserve">(3) </w:t>
      </w:r>
      <w:r w:rsidR="00523F0A" w:rsidRPr="008311D8">
        <w:rPr>
          <w:i/>
        </w:rPr>
        <w:t>Each delegation shall have a head of delegation.</w:t>
      </w:r>
    </w:p>
    <w:p w:rsidR="002C11AF" w:rsidRPr="008311D8" w:rsidRDefault="002C11AF" w:rsidP="002C11AF">
      <w:pPr>
        <w:ind w:left="720"/>
        <w:rPr>
          <w:i/>
        </w:rPr>
      </w:pPr>
    </w:p>
    <w:p w:rsidR="00523F0A" w:rsidRPr="008311D8" w:rsidRDefault="00063544" w:rsidP="002C11AF">
      <w:pPr>
        <w:ind w:left="720"/>
        <w:rPr>
          <w:i/>
        </w:rPr>
      </w:pPr>
      <w:r w:rsidRPr="008311D8">
        <w:rPr>
          <w:i/>
        </w:rPr>
        <w:t xml:space="preserve">(4) </w:t>
      </w:r>
      <w:r w:rsidR="00523F0A" w:rsidRPr="008311D8">
        <w:rPr>
          <w:i/>
        </w:rPr>
        <w:t>Any alternate, advisor or expert may act as deleg</w:t>
      </w:r>
      <w:r w:rsidR="00343CB5">
        <w:rPr>
          <w:i/>
        </w:rPr>
        <w:t>ate by orders of the head of his or her</w:t>
      </w:r>
      <w:r w:rsidR="00523F0A" w:rsidRPr="008311D8">
        <w:rPr>
          <w:i/>
        </w:rPr>
        <w:t xml:space="preserve"> delegation.</w:t>
      </w:r>
    </w:p>
    <w:p w:rsidR="002C11AF" w:rsidRPr="008311D8" w:rsidRDefault="002C11AF" w:rsidP="002C11AF">
      <w:pPr>
        <w:ind w:left="720"/>
        <w:rPr>
          <w:i/>
        </w:rPr>
      </w:pPr>
    </w:p>
    <w:p w:rsidR="00523F0A" w:rsidRPr="008311D8" w:rsidRDefault="00523F0A" w:rsidP="002C11AF">
      <w:pPr>
        <w:ind w:left="720"/>
        <w:rPr>
          <w:i/>
        </w:rPr>
      </w:pPr>
      <w:r w:rsidRPr="008311D8">
        <w:rPr>
          <w:i/>
        </w:rPr>
        <w:t>(5</w:t>
      </w:r>
      <w:r w:rsidR="00063544" w:rsidRPr="008311D8">
        <w:rPr>
          <w:i/>
        </w:rPr>
        <w:t xml:space="preserve">) </w:t>
      </w:r>
      <w:r w:rsidRPr="008311D8">
        <w:rPr>
          <w:i/>
        </w:rPr>
        <w:t>Each delegate or alternate shall be accredited by the competent authority of the State or intergovernmental organization which he or she represents.  The Director</w:t>
      </w:r>
      <w:r w:rsidR="002C56B4">
        <w:rPr>
          <w:i/>
        </w:rPr>
        <w:t> </w:t>
      </w:r>
      <w:r w:rsidRPr="008311D8">
        <w:rPr>
          <w:i/>
        </w:rPr>
        <w:t>General shall be notified of the appointment of delegates and alternates in writing, issuing preferably from the Ministry of Foreign Affairs, or the competent authority of the intergovernmental organization.</w:t>
      </w:r>
    </w:p>
    <w:p w:rsidR="00523F0A" w:rsidRDefault="00523F0A" w:rsidP="002C11AF">
      <w:pPr>
        <w:ind w:left="720"/>
      </w:pPr>
    </w:p>
    <w:p w:rsidR="008311D8" w:rsidRDefault="008311D8" w:rsidP="002C11AF">
      <w:pPr>
        <w:ind w:left="720"/>
      </w:pPr>
    </w:p>
    <w:p w:rsidR="00265488" w:rsidRDefault="00265488">
      <w:pPr>
        <w:rPr>
          <w:i/>
        </w:rPr>
      </w:pPr>
      <w:r>
        <w:rPr>
          <w:i/>
        </w:rPr>
        <w:br w:type="page"/>
      </w:r>
    </w:p>
    <w:p w:rsidR="00523F0A" w:rsidRPr="00265488" w:rsidRDefault="00523F0A" w:rsidP="007306B1">
      <w:pPr>
        <w:rPr>
          <w:u w:val="single"/>
        </w:rPr>
      </w:pPr>
      <w:r w:rsidRPr="00265488">
        <w:rPr>
          <w:u w:val="single"/>
        </w:rPr>
        <w:lastRenderedPageBreak/>
        <w:t>Voting</w:t>
      </w:r>
    </w:p>
    <w:p w:rsidR="00523F0A" w:rsidRDefault="00523F0A" w:rsidP="00523F0A"/>
    <w:p w:rsidR="00523F0A" w:rsidRDefault="00265488" w:rsidP="00523F0A">
      <w:r>
        <w:fldChar w:fldCharType="begin"/>
      </w:r>
      <w:r>
        <w:instrText xml:space="preserve"> AUTONUM  </w:instrText>
      </w:r>
      <w:r>
        <w:fldChar w:fldCharType="end"/>
      </w:r>
      <w:r>
        <w:tab/>
      </w:r>
      <w:r w:rsidR="00523F0A">
        <w:t xml:space="preserve">Article </w:t>
      </w:r>
      <w:r w:rsidR="002C11AF">
        <w:t>13(3</w:t>
      </w:r>
      <w:proofErr w:type="gramStart"/>
      <w:r w:rsidR="00523F0A">
        <w:t>)(</w:t>
      </w:r>
      <w:proofErr w:type="gramEnd"/>
      <w:r w:rsidR="00523F0A">
        <w:t xml:space="preserve">b) of the </w:t>
      </w:r>
      <w:r w:rsidR="002C11AF">
        <w:t>Marrakesh</w:t>
      </w:r>
      <w:r w:rsidR="00523F0A">
        <w:t xml:space="preserve"> Treaty states:</w:t>
      </w:r>
    </w:p>
    <w:p w:rsidR="00523F0A" w:rsidRDefault="00523F0A" w:rsidP="00523F0A"/>
    <w:p w:rsidR="00523F0A" w:rsidRPr="008311D8" w:rsidRDefault="00523F0A" w:rsidP="002C11AF">
      <w:pPr>
        <w:ind w:left="720"/>
        <w:jc w:val="center"/>
        <w:rPr>
          <w:i/>
        </w:rPr>
      </w:pPr>
      <w:r w:rsidRPr="008311D8">
        <w:rPr>
          <w:i/>
        </w:rPr>
        <w:t xml:space="preserve">“Article </w:t>
      </w:r>
      <w:r w:rsidR="002C11AF" w:rsidRPr="008311D8">
        <w:rPr>
          <w:i/>
        </w:rPr>
        <w:t>1</w:t>
      </w:r>
      <w:r w:rsidRPr="008311D8">
        <w:rPr>
          <w:i/>
        </w:rPr>
        <w:t>3</w:t>
      </w:r>
    </w:p>
    <w:p w:rsidR="00523F0A" w:rsidRPr="008311D8" w:rsidRDefault="00523F0A" w:rsidP="002C11AF">
      <w:pPr>
        <w:ind w:left="720"/>
        <w:jc w:val="center"/>
        <w:rPr>
          <w:i/>
        </w:rPr>
      </w:pPr>
      <w:r w:rsidRPr="008311D8">
        <w:rPr>
          <w:i/>
        </w:rPr>
        <w:t>“Assembly</w:t>
      </w:r>
    </w:p>
    <w:p w:rsidR="00523F0A" w:rsidRPr="008311D8" w:rsidRDefault="00523F0A" w:rsidP="002C11AF">
      <w:pPr>
        <w:ind w:left="720"/>
        <w:rPr>
          <w:i/>
        </w:rPr>
      </w:pPr>
      <w:r w:rsidRPr="008311D8">
        <w:rPr>
          <w:i/>
        </w:rPr>
        <w:t>[…]</w:t>
      </w:r>
    </w:p>
    <w:p w:rsidR="00523F0A" w:rsidRPr="008311D8" w:rsidRDefault="00523F0A" w:rsidP="002C11AF">
      <w:pPr>
        <w:ind w:left="720"/>
        <w:rPr>
          <w:i/>
        </w:rPr>
      </w:pPr>
    </w:p>
    <w:p w:rsidR="00523F0A" w:rsidRPr="008311D8" w:rsidRDefault="00523F0A" w:rsidP="002C11AF">
      <w:pPr>
        <w:ind w:left="720"/>
        <w:rPr>
          <w:i/>
        </w:rPr>
      </w:pPr>
      <w:r w:rsidRPr="008311D8">
        <w:rPr>
          <w:i/>
        </w:rPr>
        <w:t>“(</w:t>
      </w:r>
      <w:r w:rsidR="002C11AF" w:rsidRPr="008311D8">
        <w:rPr>
          <w:i/>
        </w:rPr>
        <w:t>b</w:t>
      </w:r>
      <w:r w:rsidR="005D289C" w:rsidRPr="008311D8">
        <w:rPr>
          <w:i/>
        </w:rPr>
        <w:t>)</w:t>
      </w:r>
      <w:r w:rsidR="00063544" w:rsidRPr="008311D8">
        <w:rPr>
          <w:i/>
        </w:rPr>
        <w:t xml:space="preserve"> </w:t>
      </w:r>
      <w:r w:rsidR="002C11AF" w:rsidRPr="008311D8">
        <w:rPr>
          <w:i/>
        </w:rPr>
        <w:t>Any Contracting Party that is an intergovernmental organization may participate in the vote, in place of its Member States, with a number of votes equal to the number of its Member States which are party to this Treaty.  No such intergovernmental organization shall participate in the vote if any one of its Member States exercises its right to vote and vice versa.”</w:t>
      </w:r>
    </w:p>
    <w:p w:rsidR="00523F0A" w:rsidRPr="008311D8" w:rsidRDefault="00523F0A" w:rsidP="002C11AF">
      <w:pPr>
        <w:ind w:left="720"/>
        <w:rPr>
          <w:i/>
        </w:rPr>
      </w:pPr>
      <w:r w:rsidRPr="008311D8">
        <w:rPr>
          <w:i/>
        </w:rPr>
        <w:t>[…]</w:t>
      </w:r>
    </w:p>
    <w:p w:rsidR="00523F0A" w:rsidRDefault="00523F0A" w:rsidP="00523F0A"/>
    <w:p w:rsidR="00523F0A" w:rsidRDefault="00265488" w:rsidP="00523F0A">
      <w:r>
        <w:fldChar w:fldCharType="begin"/>
      </w:r>
      <w:r>
        <w:instrText xml:space="preserve"> AUTONUM  </w:instrText>
      </w:r>
      <w:r>
        <w:fldChar w:fldCharType="end"/>
      </w:r>
      <w:r>
        <w:tab/>
      </w:r>
      <w:r w:rsidR="00523F0A">
        <w:t xml:space="preserve">In view of the provisions of the </w:t>
      </w:r>
      <w:r w:rsidR="002C11AF">
        <w:t>Marrakesh</w:t>
      </w:r>
      <w:r w:rsidR="00523F0A">
        <w:t xml:space="preserve"> Treaty allowing certain intergovernmental organizations to become parties, to be delegations, and to </w:t>
      </w:r>
      <w:r w:rsidR="00343CB5">
        <w:t>exercise the right to vote</w:t>
      </w:r>
      <w:r w:rsidR="00A14485">
        <w:t xml:space="preserve"> in the Ass</w:t>
      </w:r>
      <w:r>
        <w:t>embly, under certain conditions</w:t>
      </w:r>
      <w:r w:rsidR="00523F0A">
        <w:t xml:space="preserve">, it is proposed to replace Rule 25 of the </w:t>
      </w:r>
      <w:r w:rsidR="00523F0A" w:rsidRPr="00265488">
        <w:rPr>
          <w:i/>
        </w:rPr>
        <w:t>WIPO General Rules of Procedure</w:t>
      </w:r>
      <w:r w:rsidR="00523F0A">
        <w:t>, with the following Special Rule:</w:t>
      </w:r>
    </w:p>
    <w:p w:rsidR="00523F0A" w:rsidRDefault="00523F0A" w:rsidP="00523F0A"/>
    <w:p w:rsidR="00523F0A" w:rsidRPr="008311D8" w:rsidRDefault="00523F0A" w:rsidP="002C11AF">
      <w:pPr>
        <w:ind w:left="720"/>
        <w:rPr>
          <w:i/>
        </w:rPr>
      </w:pPr>
      <w:r w:rsidRPr="008311D8">
        <w:rPr>
          <w:i/>
        </w:rPr>
        <w:t>Rule 25:  Voting</w:t>
      </w:r>
    </w:p>
    <w:p w:rsidR="00523F0A" w:rsidRPr="008311D8" w:rsidRDefault="00523F0A" w:rsidP="002C11AF">
      <w:pPr>
        <w:ind w:left="720"/>
        <w:rPr>
          <w:i/>
        </w:rPr>
      </w:pPr>
    </w:p>
    <w:p w:rsidR="00523F0A" w:rsidRDefault="00523F0A" w:rsidP="00C26685">
      <w:pPr>
        <w:pStyle w:val="ListParagraph"/>
        <w:numPr>
          <w:ilvl w:val="0"/>
          <w:numId w:val="8"/>
        </w:numPr>
        <w:rPr>
          <w:i/>
        </w:rPr>
      </w:pPr>
      <w:r w:rsidRPr="00C26685">
        <w:rPr>
          <w:i/>
        </w:rPr>
        <w:t>Proposals and amendments submitted by a delegation shall be put to the vote only if they are supported by at least one other delegation.</w:t>
      </w:r>
    </w:p>
    <w:p w:rsidR="00A0504C" w:rsidRPr="00C26685" w:rsidRDefault="00A0504C" w:rsidP="00C26685">
      <w:pPr>
        <w:pStyle w:val="ListParagraph"/>
        <w:ind w:left="1080"/>
        <w:rPr>
          <w:i/>
        </w:rPr>
      </w:pPr>
    </w:p>
    <w:p w:rsidR="00A14485" w:rsidRPr="00C26685" w:rsidRDefault="00A14485" w:rsidP="00C26685">
      <w:pPr>
        <w:pStyle w:val="ListParagraph"/>
        <w:numPr>
          <w:ilvl w:val="0"/>
          <w:numId w:val="8"/>
        </w:numPr>
        <w:rPr>
          <w:i/>
        </w:rPr>
      </w:pPr>
      <w:r>
        <w:rPr>
          <w:i/>
        </w:rPr>
        <w:t xml:space="preserve">Each Contracting Party that is a State shall have one vote and shall vote in its own name. </w:t>
      </w:r>
    </w:p>
    <w:p w:rsidR="00523F0A" w:rsidRPr="008311D8" w:rsidRDefault="00523F0A" w:rsidP="002C11AF">
      <w:pPr>
        <w:ind w:left="720"/>
        <w:rPr>
          <w:i/>
        </w:rPr>
      </w:pPr>
    </w:p>
    <w:p w:rsidR="00523F0A" w:rsidRDefault="00063544" w:rsidP="002C56B4">
      <w:pPr>
        <w:ind w:left="993" w:hanging="284"/>
        <w:rPr>
          <w:i/>
        </w:rPr>
      </w:pPr>
      <w:r w:rsidRPr="008311D8">
        <w:rPr>
          <w:i/>
        </w:rPr>
        <w:t>(</w:t>
      </w:r>
      <w:r w:rsidR="00A14485">
        <w:rPr>
          <w:i/>
        </w:rPr>
        <w:t>3</w:t>
      </w:r>
      <w:r w:rsidRPr="008311D8">
        <w:rPr>
          <w:i/>
        </w:rPr>
        <w:t xml:space="preserve">) </w:t>
      </w:r>
      <w:r w:rsidR="00523F0A" w:rsidRPr="008311D8">
        <w:rPr>
          <w:i/>
        </w:rPr>
        <w:t>Any Contracting Party that is an intergovernmental organization may participate in the vote, in place of its Member States, with a number of votes equal to the n</w:t>
      </w:r>
      <w:r w:rsidR="00343CB5">
        <w:rPr>
          <w:i/>
        </w:rPr>
        <w:t>umber of its Member States that</w:t>
      </w:r>
      <w:r w:rsidR="00523F0A" w:rsidRPr="008311D8">
        <w:rPr>
          <w:i/>
        </w:rPr>
        <w:t xml:space="preserve"> are party to this Treaty.  No such intergovernmental organization shall participate in the vote if any one of its Member States exercises its right to vote and vice versa.  In addition, no such intergovernmental organization shall participate in the vote if any one of its Member States party to this Treaty is a Member State of another such intergovernmental organization and that other intergovernmental organization participates in that vote.</w:t>
      </w:r>
    </w:p>
    <w:p w:rsidR="00C26685" w:rsidRDefault="00C26685" w:rsidP="007306B1"/>
    <w:p w:rsidR="00265488" w:rsidRDefault="00265488" w:rsidP="007306B1"/>
    <w:p w:rsidR="00C26685" w:rsidRPr="007306B1" w:rsidRDefault="00C26685" w:rsidP="007306B1">
      <w:pPr>
        <w:rPr>
          <w:u w:val="single"/>
        </w:rPr>
      </w:pPr>
      <w:r w:rsidRPr="007306B1">
        <w:rPr>
          <w:u w:val="single"/>
        </w:rPr>
        <w:t>Additional Special Rules</w:t>
      </w:r>
    </w:p>
    <w:p w:rsidR="00527D06" w:rsidRDefault="00527D06" w:rsidP="00527D06">
      <w:pPr>
        <w:rPr>
          <w:i/>
        </w:rPr>
      </w:pPr>
    </w:p>
    <w:p w:rsidR="00527D06" w:rsidRDefault="00265488" w:rsidP="00527D06">
      <w:r>
        <w:fldChar w:fldCharType="begin"/>
      </w:r>
      <w:r>
        <w:instrText xml:space="preserve"> AUTONUM  </w:instrText>
      </w:r>
      <w:r>
        <w:fldChar w:fldCharType="end"/>
      </w:r>
      <w:r>
        <w:tab/>
      </w:r>
      <w:proofErr w:type="gramStart"/>
      <w:r w:rsidR="00475351">
        <w:t xml:space="preserve">Article 13(5) of the Marrakesh Treaty states, in relevant part, that the Assembly shall establish its own rules of procedure “including </w:t>
      </w:r>
      <w:r w:rsidR="00343CB5">
        <w:t xml:space="preserve">[for] </w:t>
      </w:r>
      <w:r w:rsidR="00475351">
        <w:t>the convocation of extraordinary sessions [and] the requirements of a quorum.”</w:t>
      </w:r>
      <w:proofErr w:type="gramEnd"/>
      <w:r w:rsidR="00475351">
        <w:t xml:space="preserve">  As the </w:t>
      </w:r>
      <w:r w:rsidR="00475351" w:rsidRPr="002C56B4">
        <w:rPr>
          <w:i/>
        </w:rPr>
        <w:t>WIPO General Rules of Procedure</w:t>
      </w:r>
      <w:r w:rsidR="00475351">
        <w:t xml:space="preserve"> do not contain </w:t>
      </w:r>
      <w:r w:rsidR="002A4F89">
        <w:t xml:space="preserve">specific </w:t>
      </w:r>
      <w:r w:rsidR="00475351">
        <w:t>provisions on these two matters (rather, they are governed by the text of the WIPO Convention and certain other treaties), the following Additional Special Rules of Procedure for the Marrakesh Treaty Assembly are therefore proposed</w:t>
      </w:r>
      <w:r w:rsidR="00B02742">
        <w:t>:</w:t>
      </w:r>
    </w:p>
    <w:p w:rsidR="00B02742" w:rsidRDefault="00B02742" w:rsidP="00527D06"/>
    <w:p w:rsidR="00B02742" w:rsidRPr="006B5F59" w:rsidRDefault="00B02742" w:rsidP="006B5F59">
      <w:pPr>
        <w:pStyle w:val="ListParagraph"/>
        <w:numPr>
          <w:ilvl w:val="0"/>
          <w:numId w:val="13"/>
        </w:numPr>
        <w:rPr>
          <w:i/>
        </w:rPr>
      </w:pPr>
      <w:r w:rsidRPr="006B5F59">
        <w:rPr>
          <w:i/>
        </w:rPr>
        <w:t>Quorum</w:t>
      </w:r>
    </w:p>
    <w:p w:rsidR="00B02742" w:rsidRPr="00343CB5" w:rsidRDefault="00B02742" w:rsidP="007306B1">
      <w:pPr>
        <w:ind w:firstLine="567"/>
        <w:rPr>
          <w:i/>
        </w:rPr>
      </w:pPr>
    </w:p>
    <w:p w:rsidR="00B02742" w:rsidRPr="00343CB5" w:rsidRDefault="00B02742" w:rsidP="00343CB5">
      <w:pPr>
        <w:ind w:left="567"/>
        <w:rPr>
          <w:i/>
        </w:rPr>
      </w:pPr>
      <w:r w:rsidRPr="00343CB5">
        <w:rPr>
          <w:i/>
        </w:rPr>
        <w:t>One-half of the States members of the Marrakesh Treaty Assembly shall constitute a quorum.</w:t>
      </w:r>
    </w:p>
    <w:p w:rsidR="00265488" w:rsidRPr="00343CB5" w:rsidRDefault="00265488">
      <w:pPr>
        <w:rPr>
          <w:i/>
        </w:rPr>
      </w:pPr>
      <w:r w:rsidRPr="00343CB5">
        <w:rPr>
          <w:i/>
        </w:rPr>
        <w:br w:type="page"/>
      </w:r>
    </w:p>
    <w:p w:rsidR="00B02742" w:rsidRPr="00343CB5" w:rsidRDefault="00B02742" w:rsidP="00B02742">
      <w:pPr>
        <w:rPr>
          <w:i/>
        </w:rPr>
      </w:pPr>
    </w:p>
    <w:p w:rsidR="00B02742" w:rsidRPr="006B5F59" w:rsidRDefault="00B02742" w:rsidP="006B5F59">
      <w:pPr>
        <w:pStyle w:val="ListParagraph"/>
        <w:numPr>
          <w:ilvl w:val="0"/>
          <w:numId w:val="13"/>
        </w:numPr>
        <w:rPr>
          <w:i/>
        </w:rPr>
      </w:pPr>
      <w:r w:rsidRPr="006B5F59">
        <w:rPr>
          <w:i/>
        </w:rPr>
        <w:t>Convocation of Extraordinary Sessions</w:t>
      </w:r>
    </w:p>
    <w:p w:rsidR="00B02742" w:rsidRPr="00343CB5" w:rsidRDefault="00B02742" w:rsidP="007306B1">
      <w:pPr>
        <w:ind w:left="567"/>
        <w:rPr>
          <w:i/>
        </w:rPr>
      </w:pPr>
    </w:p>
    <w:p w:rsidR="00B02742" w:rsidRPr="00343CB5" w:rsidRDefault="00B02742" w:rsidP="00343CB5">
      <w:pPr>
        <w:ind w:left="567"/>
        <w:rPr>
          <w:i/>
        </w:rPr>
      </w:pPr>
      <w:r w:rsidRPr="00343CB5">
        <w:rPr>
          <w:i/>
        </w:rPr>
        <w:t>The Assembly shall meet in extraordinary session upon convocation by the Director General at the request of one-fourth of the States members of the Assembly.</w:t>
      </w:r>
    </w:p>
    <w:p w:rsidR="00523F0A" w:rsidRPr="002C11AF" w:rsidRDefault="00523F0A" w:rsidP="002C11AF">
      <w:pPr>
        <w:ind w:left="720"/>
        <w:rPr>
          <w:b/>
        </w:rPr>
      </w:pPr>
    </w:p>
    <w:p w:rsidR="00523F0A" w:rsidRPr="00E26D39" w:rsidRDefault="004E6077" w:rsidP="009F0BEF">
      <w:pPr>
        <w:ind w:left="5533"/>
        <w:rPr>
          <w:i/>
        </w:rPr>
      </w:pPr>
      <w:r>
        <w:rPr>
          <w:i/>
        </w:rPr>
        <w:t>15</w:t>
      </w:r>
      <w:r w:rsidR="00523F0A" w:rsidRPr="00E26D39">
        <w:rPr>
          <w:i/>
        </w:rPr>
        <w:t>.</w:t>
      </w:r>
      <w:r w:rsidR="00523F0A" w:rsidRPr="00E26D39">
        <w:rPr>
          <w:i/>
        </w:rPr>
        <w:tab/>
        <w:t xml:space="preserve">The Assembly is invited to consider and adopt, as its own Rules of Procedure, the WIPO General Rules of Procedure </w:t>
      </w:r>
      <w:r w:rsidR="0012245A">
        <w:rPr>
          <w:i/>
        </w:rPr>
        <w:t xml:space="preserve">with Rules 7, 9 and 25 </w:t>
      </w:r>
      <w:r w:rsidR="00265488">
        <w:rPr>
          <w:i/>
        </w:rPr>
        <w:t xml:space="preserve">amended </w:t>
      </w:r>
      <w:r w:rsidR="0012245A">
        <w:rPr>
          <w:i/>
        </w:rPr>
        <w:t>as provided in document MVT/A/1/1 (</w:t>
      </w:r>
      <w:r w:rsidR="00265488">
        <w:rPr>
          <w:i/>
        </w:rPr>
        <w:t xml:space="preserve">paragraphs </w:t>
      </w:r>
      <w:r w:rsidR="00B02742">
        <w:rPr>
          <w:i/>
        </w:rPr>
        <w:t xml:space="preserve">8, </w:t>
      </w:r>
      <w:r w:rsidR="00523F0A" w:rsidRPr="00E26D39">
        <w:rPr>
          <w:i/>
        </w:rPr>
        <w:t>11</w:t>
      </w:r>
      <w:r w:rsidR="002A4F89">
        <w:rPr>
          <w:i/>
        </w:rPr>
        <w:t xml:space="preserve"> and</w:t>
      </w:r>
      <w:r w:rsidR="0012245A">
        <w:rPr>
          <w:i/>
        </w:rPr>
        <w:t> </w:t>
      </w:r>
      <w:r w:rsidR="00A0504C">
        <w:rPr>
          <w:i/>
        </w:rPr>
        <w:t>13</w:t>
      </w:r>
      <w:r w:rsidR="0012245A">
        <w:rPr>
          <w:i/>
        </w:rPr>
        <w:t>)</w:t>
      </w:r>
      <w:r w:rsidR="00523F0A" w:rsidRPr="00E26D39">
        <w:rPr>
          <w:i/>
        </w:rPr>
        <w:t xml:space="preserve">, </w:t>
      </w:r>
      <w:r w:rsidR="002A4F89">
        <w:rPr>
          <w:i/>
        </w:rPr>
        <w:t xml:space="preserve">as well as </w:t>
      </w:r>
      <w:r w:rsidR="0012245A">
        <w:rPr>
          <w:i/>
        </w:rPr>
        <w:t xml:space="preserve">with </w:t>
      </w:r>
      <w:r w:rsidR="002A4F89">
        <w:rPr>
          <w:i/>
        </w:rPr>
        <w:t>the two additional special Rules of Procedure as provided in paragraph</w:t>
      </w:r>
      <w:r w:rsidR="00B02742">
        <w:rPr>
          <w:i/>
        </w:rPr>
        <w:t xml:space="preserve"> 14 </w:t>
      </w:r>
      <w:r w:rsidR="0012245A">
        <w:rPr>
          <w:i/>
        </w:rPr>
        <w:t>of the same document</w:t>
      </w:r>
      <w:r w:rsidR="00523F0A" w:rsidRPr="00E26D39">
        <w:rPr>
          <w:i/>
        </w:rPr>
        <w:t>.</w:t>
      </w:r>
    </w:p>
    <w:p w:rsidR="00523F0A" w:rsidRDefault="00523F0A" w:rsidP="00523F0A"/>
    <w:p w:rsidR="00523F0A" w:rsidRDefault="00523F0A" w:rsidP="00523F0A"/>
    <w:p w:rsidR="00523F0A" w:rsidRDefault="00523F0A" w:rsidP="009F0BEF">
      <w:pPr>
        <w:ind w:left="5533"/>
      </w:pPr>
      <w:r>
        <w:t>[End of document]</w:t>
      </w:r>
    </w:p>
    <w:p w:rsidR="002928D3" w:rsidRDefault="002928D3"/>
    <w:sectPr w:rsidR="002928D3" w:rsidSect="00523F0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2AD" w:rsidRDefault="00CD42AD">
      <w:r>
        <w:separator/>
      </w:r>
    </w:p>
  </w:endnote>
  <w:endnote w:type="continuationSeparator" w:id="0">
    <w:p w:rsidR="00CD42AD" w:rsidRDefault="00CD42AD" w:rsidP="003B38C1">
      <w:r>
        <w:separator/>
      </w:r>
    </w:p>
    <w:p w:rsidR="00CD42AD" w:rsidRPr="003B38C1" w:rsidRDefault="00CD42AD" w:rsidP="003B38C1">
      <w:pPr>
        <w:spacing w:after="60"/>
        <w:rPr>
          <w:sz w:val="17"/>
        </w:rPr>
      </w:pPr>
      <w:r>
        <w:rPr>
          <w:sz w:val="17"/>
        </w:rPr>
        <w:t>[Endnote continued from previous page]</w:t>
      </w:r>
    </w:p>
  </w:endnote>
  <w:endnote w:type="continuationNotice" w:id="1">
    <w:p w:rsidR="00CD42AD" w:rsidRPr="003B38C1" w:rsidRDefault="00CD42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2AD" w:rsidRDefault="00CD42AD">
      <w:r>
        <w:separator/>
      </w:r>
    </w:p>
  </w:footnote>
  <w:footnote w:type="continuationSeparator" w:id="0">
    <w:p w:rsidR="00CD42AD" w:rsidRDefault="00CD42AD" w:rsidP="008B60B2">
      <w:r>
        <w:separator/>
      </w:r>
    </w:p>
    <w:p w:rsidR="00CD42AD" w:rsidRPr="00ED77FB" w:rsidRDefault="00CD42AD" w:rsidP="008B60B2">
      <w:pPr>
        <w:spacing w:after="60"/>
        <w:rPr>
          <w:sz w:val="17"/>
          <w:szCs w:val="17"/>
        </w:rPr>
      </w:pPr>
      <w:r w:rsidRPr="00ED77FB">
        <w:rPr>
          <w:sz w:val="17"/>
          <w:szCs w:val="17"/>
        </w:rPr>
        <w:t>[Footnote continued from previous page]</w:t>
      </w:r>
    </w:p>
  </w:footnote>
  <w:footnote w:type="continuationNotice" w:id="1">
    <w:p w:rsidR="00CD42AD" w:rsidRPr="00ED77FB" w:rsidRDefault="00CD42AD" w:rsidP="008B60B2">
      <w:pPr>
        <w:spacing w:before="60"/>
        <w:jc w:val="right"/>
        <w:rPr>
          <w:sz w:val="17"/>
          <w:szCs w:val="17"/>
        </w:rPr>
      </w:pPr>
      <w:r w:rsidRPr="00ED77FB">
        <w:rPr>
          <w:sz w:val="17"/>
          <w:szCs w:val="17"/>
        </w:rPr>
        <w:t>[Footnote continued on next page]</w:t>
      </w:r>
    </w:p>
  </w:footnote>
  <w:footnote w:id="2">
    <w:p w:rsidR="00A828E9" w:rsidRDefault="00A828E9" w:rsidP="007306B1">
      <w:pPr>
        <w:pStyle w:val="FootnoteText"/>
        <w:spacing w:before="120"/>
      </w:pPr>
      <w:r>
        <w:rPr>
          <w:rStyle w:val="FootnoteReference"/>
        </w:rPr>
        <w:footnoteRef/>
      </w:r>
      <w:r>
        <w:t xml:space="preserve"> “Rule 56: </w:t>
      </w:r>
      <w:r w:rsidR="00265488">
        <w:t xml:space="preserve"> </w:t>
      </w:r>
      <w:r>
        <w:t>Amendment of General Rules of Procedure</w:t>
      </w:r>
    </w:p>
    <w:p w:rsidR="00A828E9" w:rsidRDefault="00A828E9" w:rsidP="00A828E9">
      <w:pPr>
        <w:pStyle w:val="FootnoteText"/>
      </w:pPr>
      <w:r>
        <w:t>“(1) These General Rules of Procedure may be amended, as far as each body which has adopted them is concerned, by a decision of that body, provided that the said decision is taken as far as possible in joint meeting and that the said body accepts the amendment according to the procedure laid down for amendment of its own rules of procedure.</w:t>
      </w:r>
    </w:p>
    <w:p w:rsidR="00A828E9" w:rsidRDefault="00A828E9" w:rsidP="00A828E9">
      <w:pPr>
        <w:pStyle w:val="FootnoteText"/>
      </w:pPr>
      <w:r>
        <w:t>“(2) Any amendment to these General Rules of Procedure shall enter into force for each body which has adopted these General Rules of Procedure when that body has accepted the amendment.”</w:t>
      </w:r>
    </w:p>
    <w:p w:rsidR="00A828E9" w:rsidRDefault="00A828E9">
      <w:pPr>
        <w:pStyle w:val="FootnoteText"/>
      </w:pPr>
    </w:p>
  </w:footnote>
  <w:footnote w:id="3">
    <w:p w:rsidR="007306B1" w:rsidRDefault="00037ADB" w:rsidP="007306B1">
      <w:pPr>
        <w:pStyle w:val="FootnoteText"/>
        <w:spacing w:before="120"/>
      </w:pPr>
      <w:r>
        <w:rPr>
          <w:rStyle w:val="FootnoteReference"/>
        </w:rPr>
        <w:footnoteRef/>
      </w:r>
      <w:r>
        <w:t xml:space="preserve"> See document A/39/15.  </w:t>
      </w:r>
      <w:r w:rsidR="00DD6CF2">
        <w:t xml:space="preserve">With respect to the General Assembly, Member States adopted an amendment </w:t>
      </w:r>
      <w:r w:rsidR="003819D8">
        <w:t>to Article</w:t>
      </w:r>
      <w:r w:rsidR="002C56B4">
        <w:t> </w:t>
      </w:r>
      <w:r w:rsidR="003819D8">
        <w:t>6(4</w:t>
      </w:r>
      <w:proofErr w:type="gramStart"/>
      <w:r w:rsidR="003819D8">
        <w:t>)(</w:t>
      </w:r>
      <w:proofErr w:type="gramEnd"/>
      <w:r w:rsidR="003819D8">
        <w:t>a) of the WIPO Co</w:t>
      </w:r>
      <w:r w:rsidR="00DD6CF2">
        <w:t>n</w:t>
      </w:r>
      <w:r w:rsidR="003819D8">
        <w:t>v</w:t>
      </w:r>
      <w:r w:rsidR="00DD6CF2">
        <w:t xml:space="preserve">ention </w:t>
      </w:r>
      <w:r w:rsidR="003819D8">
        <w:t xml:space="preserve">to provide that “The General Assembly shall meet once in every calendar year in ordinary session, upon convocation by the Director General.”  It should be noted that while </w:t>
      </w:r>
      <w:r w:rsidR="005076AF">
        <w:t xml:space="preserve">the constitutional reform amendments were </w:t>
      </w:r>
      <w:r w:rsidR="003819D8">
        <w:t>adopted by the relevant Assemblies</w:t>
      </w:r>
      <w:r w:rsidR="005076AF">
        <w:t xml:space="preserve"> of the Member States of WIPO</w:t>
      </w:r>
      <w:r w:rsidR="003819D8">
        <w:t xml:space="preserve">, </w:t>
      </w:r>
      <w:r w:rsidR="005076AF">
        <w:t xml:space="preserve">they </w:t>
      </w:r>
      <w:r w:rsidR="003819D8">
        <w:t>have not yet entered into force.</w:t>
      </w:r>
    </w:p>
  </w:footnote>
  <w:footnote w:id="4">
    <w:p w:rsidR="00FE0CC9" w:rsidRDefault="00FE0CC9" w:rsidP="00FE0CC9">
      <w:pPr>
        <w:pStyle w:val="FootnoteText"/>
      </w:pPr>
      <w:r>
        <w:rPr>
          <w:rStyle w:val="FootnoteReference"/>
        </w:rPr>
        <w:footnoteRef/>
      </w:r>
      <w:r>
        <w:t xml:space="preserve"> “Rule 7: Delegations</w:t>
      </w:r>
    </w:p>
    <w:p w:rsidR="00FE0CC9" w:rsidRPr="00FE0CC9" w:rsidRDefault="00FE0CC9" w:rsidP="00FE0CC9">
      <w:pPr>
        <w:pStyle w:val="FootnoteText"/>
      </w:pPr>
      <w:r>
        <w:t>“(1) Each State member of a body shall be represented by one or more delegates, who may be assisted by alternates, advisors, and experts [...].”</w:t>
      </w:r>
    </w:p>
  </w:footnote>
  <w:footnote w:id="5">
    <w:p w:rsidR="00FE0CC9" w:rsidRDefault="00FE0CC9" w:rsidP="00FE0CC9">
      <w:pPr>
        <w:pStyle w:val="FootnoteText"/>
      </w:pPr>
      <w:r>
        <w:rPr>
          <w:rStyle w:val="FootnoteReference"/>
        </w:rPr>
        <w:footnoteRef/>
      </w:r>
      <w:r>
        <w:t xml:space="preserve"> “Rule 8: Observers</w:t>
      </w:r>
    </w:p>
    <w:p w:rsidR="00FE0CC9" w:rsidRPr="00FE0CC9" w:rsidRDefault="00FE0CC9" w:rsidP="00FE0CC9">
      <w:pPr>
        <w:pStyle w:val="FootnoteText"/>
      </w:pPr>
      <w:r>
        <w:t>“(1) The Director General shall invite such States and intergovernmental organizations to be represented by observers as are entitled to observer status under a treaty or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311D8" w:rsidP="00477D6B">
    <w:pPr>
      <w:jc w:val="right"/>
    </w:pPr>
    <w:bookmarkStart w:id="6" w:name="Code2"/>
    <w:bookmarkEnd w:id="6"/>
    <w:r>
      <w:t>MVT</w:t>
    </w:r>
    <w:r w:rsidR="00523F0A">
      <w:t>/</w:t>
    </w:r>
    <w:r>
      <w:t>A</w:t>
    </w:r>
    <w:r w:rsidR="00523F0A">
      <w:t>/1/1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F3ACB">
      <w:rPr>
        <w:noProof/>
      </w:rPr>
      <w:t>6</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A6272D"/>
    <w:multiLevelType w:val="hybridMultilevel"/>
    <w:tmpl w:val="F9B64020"/>
    <w:lvl w:ilvl="0" w:tplc="C38098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5AC10CD"/>
    <w:multiLevelType w:val="hybridMultilevel"/>
    <w:tmpl w:val="D652BC32"/>
    <w:lvl w:ilvl="0" w:tplc="7548DF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4043D03"/>
    <w:multiLevelType w:val="hybridMultilevel"/>
    <w:tmpl w:val="CF92B660"/>
    <w:lvl w:ilvl="0" w:tplc="B83C6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641888"/>
    <w:multiLevelType w:val="hybridMultilevel"/>
    <w:tmpl w:val="F06AB20A"/>
    <w:lvl w:ilvl="0" w:tplc="AFACE6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3B1AD6"/>
    <w:multiLevelType w:val="hybridMultilevel"/>
    <w:tmpl w:val="916EA506"/>
    <w:lvl w:ilvl="0" w:tplc="499E9AE4">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67E64164"/>
    <w:multiLevelType w:val="hybridMultilevel"/>
    <w:tmpl w:val="36B65A0E"/>
    <w:lvl w:ilvl="0" w:tplc="766A2B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1076C28"/>
    <w:multiLevelType w:val="hybridMultilevel"/>
    <w:tmpl w:val="0150B2C6"/>
    <w:lvl w:ilvl="0" w:tplc="DD664A6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4"/>
  </w:num>
  <w:num w:numId="2">
    <w:abstractNumId w:val="8"/>
  </w:num>
  <w:num w:numId="3">
    <w:abstractNumId w:val="0"/>
  </w:num>
  <w:num w:numId="4">
    <w:abstractNumId w:val="9"/>
  </w:num>
  <w:num w:numId="5">
    <w:abstractNumId w:val="1"/>
  </w:num>
  <w:num w:numId="6">
    <w:abstractNumId w:val="5"/>
  </w:num>
  <w:num w:numId="7">
    <w:abstractNumId w:val="10"/>
  </w:num>
  <w:num w:numId="8">
    <w:abstractNumId w:val="6"/>
  </w:num>
  <w:num w:numId="9">
    <w:abstractNumId w:val="12"/>
  </w:num>
  <w:num w:numId="10">
    <w:abstractNumId w:val="7"/>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0A"/>
    <w:rsid w:val="000072BA"/>
    <w:rsid w:val="00037ADB"/>
    <w:rsid w:val="00043CAA"/>
    <w:rsid w:val="00063544"/>
    <w:rsid w:val="00075432"/>
    <w:rsid w:val="0008369F"/>
    <w:rsid w:val="000968ED"/>
    <w:rsid w:val="000D3050"/>
    <w:rsid w:val="000F5E56"/>
    <w:rsid w:val="00105FE0"/>
    <w:rsid w:val="0012245A"/>
    <w:rsid w:val="001362EE"/>
    <w:rsid w:val="00136467"/>
    <w:rsid w:val="001446E1"/>
    <w:rsid w:val="001832A6"/>
    <w:rsid w:val="001A0E86"/>
    <w:rsid w:val="00234F41"/>
    <w:rsid w:val="002634C4"/>
    <w:rsid w:val="00265488"/>
    <w:rsid w:val="002928D3"/>
    <w:rsid w:val="002A4F89"/>
    <w:rsid w:val="002C11AF"/>
    <w:rsid w:val="002C56B4"/>
    <w:rsid w:val="002D77CD"/>
    <w:rsid w:val="002E5A22"/>
    <w:rsid w:val="002F1FE6"/>
    <w:rsid w:val="002F4E68"/>
    <w:rsid w:val="00312F7F"/>
    <w:rsid w:val="00343CB5"/>
    <w:rsid w:val="00353569"/>
    <w:rsid w:val="00361450"/>
    <w:rsid w:val="003673CF"/>
    <w:rsid w:val="00372D5B"/>
    <w:rsid w:val="003819D8"/>
    <w:rsid w:val="003845C1"/>
    <w:rsid w:val="003A1792"/>
    <w:rsid w:val="003A6F89"/>
    <w:rsid w:val="003B38C1"/>
    <w:rsid w:val="00423E3E"/>
    <w:rsid w:val="00427AF4"/>
    <w:rsid w:val="00457AEC"/>
    <w:rsid w:val="004647DA"/>
    <w:rsid w:val="00474062"/>
    <w:rsid w:val="00475351"/>
    <w:rsid w:val="00477D6B"/>
    <w:rsid w:val="004E6077"/>
    <w:rsid w:val="005019FF"/>
    <w:rsid w:val="005076AF"/>
    <w:rsid w:val="0051185F"/>
    <w:rsid w:val="00523F0A"/>
    <w:rsid w:val="00526E3D"/>
    <w:rsid w:val="00527D06"/>
    <w:rsid w:val="0053057A"/>
    <w:rsid w:val="005462CE"/>
    <w:rsid w:val="00560A29"/>
    <w:rsid w:val="005B6DE9"/>
    <w:rsid w:val="005B7153"/>
    <w:rsid w:val="005C6649"/>
    <w:rsid w:val="005D289C"/>
    <w:rsid w:val="005E111C"/>
    <w:rsid w:val="00605827"/>
    <w:rsid w:val="006270AE"/>
    <w:rsid w:val="00646050"/>
    <w:rsid w:val="0066037E"/>
    <w:rsid w:val="006713CA"/>
    <w:rsid w:val="00676C5C"/>
    <w:rsid w:val="006775D6"/>
    <w:rsid w:val="006778AB"/>
    <w:rsid w:val="006B5F59"/>
    <w:rsid w:val="006D572B"/>
    <w:rsid w:val="007306B1"/>
    <w:rsid w:val="00733AE9"/>
    <w:rsid w:val="007C1738"/>
    <w:rsid w:val="007D1613"/>
    <w:rsid w:val="008311D8"/>
    <w:rsid w:val="00845143"/>
    <w:rsid w:val="008841FE"/>
    <w:rsid w:val="008866A0"/>
    <w:rsid w:val="0089076F"/>
    <w:rsid w:val="00892104"/>
    <w:rsid w:val="008B2CC1"/>
    <w:rsid w:val="008B554C"/>
    <w:rsid w:val="008B60B2"/>
    <w:rsid w:val="008D65A2"/>
    <w:rsid w:val="008E4BE0"/>
    <w:rsid w:val="008E5A38"/>
    <w:rsid w:val="00905E7A"/>
    <w:rsid w:val="0090731E"/>
    <w:rsid w:val="00916EE2"/>
    <w:rsid w:val="00933AF6"/>
    <w:rsid w:val="00955D4D"/>
    <w:rsid w:val="00966A22"/>
    <w:rsid w:val="0096722F"/>
    <w:rsid w:val="00980843"/>
    <w:rsid w:val="00985F60"/>
    <w:rsid w:val="009C360E"/>
    <w:rsid w:val="009D09F9"/>
    <w:rsid w:val="009E2791"/>
    <w:rsid w:val="009E3F6F"/>
    <w:rsid w:val="009F0BEF"/>
    <w:rsid w:val="009F499F"/>
    <w:rsid w:val="00A0504C"/>
    <w:rsid w:val="00A14485"/>
    <w:rsid w:val="00A42DAF"/>
    <w:rsid w:val="00A45BD8"/>
    <w:rsid w:val="00A828E9"/>
    <w:rsid w:val="00A869B7"/>
    <w:rsid w:val="00A97FD8"/>
    <w:rsid w:val="00AB657B"/>
    <w:rsid w:val="00AC205C"/>
    <w:rsid w:val="00AF0A6B"/>
    <w:rsid w:val="00AF2C03"/>
    <w:rsid w:val="00AF3ACB"/>
    <w:rsid w:val="00B02742"/>
    <w:rsid w:val="00B05A69"/>
    <w:rsid w:val="00B25A57"/>
    <w:rsid w:val="00B43E99"/>
    <w:rsid w:val="00B60167"/>
    <w:rsid w:val="00B77DD8"/>
    <w:rsid w:val="00B9734B"/>
    <w:rsid w:val="00B9795B"/>
    <w:rsid w:val="00BA30E2"/>
    <w:rsid w:val="00C11BFE"/>
    <w:rsid w:val="00C20303"/>
    <w:rsid w:val="00C26685"/>
    <w:rsid w:val="00C329F5"/>
    <w:rsid w:val="00C92D8D"/>
    <w:rsid w:val="00CB7F71"/>
    <w:rsid w:val="00CD04F1"/>
    <w:rsid w:val="00CD42AD"/>
    <w:rsid w:val="00D34D4D"/>
    <w:rsid w:val="00D45252"/>
    <w:rsid w:val="00D63775"/>
    <w:rsid w:val="00D71B4D"/>
    <w:rsid w:val="00D93D55"/>
    <w:rsid w:val="00D97537"/>
    <w:rsid w:val="00DA7A3D"/>
    <w:rsid w:val="00DB4E34"/>
    <w:rsid w:val="00DD6CF2"/>
    <w:rsid w:val="00E26D39"/>
    <w:rsid w:val="00E335FE"/>
    <w:rsid w:val="00E530DE"/>
    <w:rsid w:val="00E935AA"/>
    <w:rsid w:val="00EC2E15"/>
    <w:rsid w:val="00EC4E49"/>
    <w:rsid w:val="00ED3F98"/>
    <w:rsid w:val="00ED77FB"/>
    <w:rsid w:val="00EE45FA"/>
    <w:rsid w:val="00F469C4"/>
    <w:rsid w:val="00F66152"/>
    <w:rsid w:val="00F914FC"/>
    <w:rsid w:val="00F92B5C"/>
    <w:rsid w:val="00FC2977"/>
    <w:rsid w:val="00FE0C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D0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character" w:styleId="FootnoteReference">
    <w:name w:val="footnote reference"/>
    <w:basedOn w:val="DefaultParagraphFont"/>
    <w:rsid w:val="00FE0CC9"/>
    <w:rPr>
      <w:vertAlign w:val="superscript"/>
    </w:rPr>
  </w:style>
  <w:style w:type="character" w:styleId="CommentReference">
    <w:name w:val="annotation reference"/>
    <w:basedOn w:val="DefaultParagraphFont"/>
    <w:rsid w:val="00ED3F98"/>
    <w:rPr>
      <w:sz w:val="16"/>
      <w:szCs w:val="16"/>
    </w:rPr>
  </w:style>
  <w:style w:type="paragraph" w:styleId="CommentSubject">
    <w:name w:val="annotation subject"/>
    <w:basedOn w:val="CommentText"/>
    <w:next w:val="CommentText"/>
    <w:link w:val="CommentSubjectChar"/>
    <w:rsid w:val="00ED3F98"/>
    <w:rPr>
      <w:b/>
      <w:bCs/>
      <w:sz w:val="20"/>
    </w:rPr>
  </w:style>
  <w:style w:type="character" w:customStyle="1" w:styleId="CommentTextChar">
    <w:name w:val="Comment Text Char"/>
    <w:basedOn w:val="DefaultParagraphFont"/>
    <w:link w:val="CommentText"/>
    <w:semiHidden/>
    <w:rsid w:val="00ED3F98"/>
    <w:rPr>
      <w:rFonts w:ascii="Arial" w:eastAsia="SimSun" w:hAnsi="Arial" w:cs="Arial"/>
      <w:sz w:val="18"/>
      <w:lang w:eastAsia="zh-CN"/>
    </w:rPr>
  </w:style>
  <w:style w:type="character" w:customStyle="1" w:styleId="CommentSubjectChar">
    <w:name w:val="Comment Subject Char"/>
    <w:basedOn w:val="CommentTextChar"/>
    <w:link w:val="CommentSubject"/>
    <w:rsid w:val="00ED3F98"/>
    <w:rPr>
      <w:rFonts w:ascii="Arial" w:eastAsia="SimSun" w:hAnsi="Arial" w:cs="Arial"/>
      <w:b/>
      <w:bCs/>
      <w:sz w:val="18"/>
      <w:lang w:eastAsia="zh-CN"/>
    </w:rPr>
  </w:style>
  <w:style w:type="paragraph" w:styleId="ListParagraph">
    <w:name w:val="List Paragraph"/>
    <w:basedOn w:val="Normal"/>
    <w:uiPriority w:val="34"/>
    <w:qFormat/>
    <w:rsid w:val="00ED3F98"/>
    <w:pPr>
      <w:ind w:left="720"/>
      <w:contextualSpacing/>
    </w:pPr>
  </w:style>
  <w:style w:type="character" w:customStyle="1" w:styleId="FootnoteTextChar">
    <w:name w:val="Footnote Text Char"/>
    <w:basedOn w:val="DefaultParagraphFont"/>
    <w:link w:val="FootnoteText"/>
    <w:semiHidden/>
    <w:rsid w:val="00A828E9"/>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D0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character" w:styleId="FootnoteReference">
    <w:name w:val="footnote reference"/>
    <w:basedOn w:val="DefaultParagraphFont"/>
    <w:rsid w:val="00FE0CC9"/>
    <w:rPr>
      <w:vertAlign w:val="superscript"/>
    </w:rPr>
  </w:style>
  <w:style w:type="character" w:styleId="CommentReference">
    <w:name w:val="annotation reference"/>
    <w:basedOn w:val="DefaultParagraphFont"/>
    <w:rsid w:val="00ED3F98"/>
    <w:rPr>
      <w:sz w:val="16"/>
      <w:szCs w:val="16"/>
    </w:rPr>
  </w:style>
  <w:style w:type="paragraph" w:styleId="CommentSubject">
    <w:name w:val="annotation subject"/>
    <w:basedOn w:val="CommentText"/>
    <w:next w:val="CommentText"/>
    <w:link w:val="CommentSubjectChar"/>
    <w:rsid w:val="00ED3F98"/>
    <w:rPr>
      <w:b/>
      <w:bCs/>
      <w:sz w:val="20"/>
    </w:rPr>
  </w:style>
  <w:style w:type="character" w:customStyle="1" w:styleId="CommentTextChar">
    <w:name w:val="Comment Text Char"/>
    <w:basedOn w:val="DefaultParagraphFont"/>
    <w:link w:val="CommentText"/>
    <w:semiHidden/>
    <w:rsid w:val="00ED3F98"/>
    <w:rPr>
      <w:rFonts w:ascii="Arial" w:eastAsia="SimSun" w:hAnsi="Arial" w:cs="Arial"/>
      <w:sz w:val="18"/>
      <w:lang w:eastAsia="zh-CN"/>
    </w:rPr>
  </w:style>
  <w:style w:type="character" w:customStyle="1" w:styleId="CommentSubjectChar">
    <w:name w:val="Comment Subject Char"/>
    <w:basedOn w:val="CommentTextChar"/>
    <w:link w:val="CommentSubject"/>
    <w:rsid w:val="00ED3F98"/>
    <w:rPr>
      <w:rFonts w:ascii="Arial" w:eastAsia="SimSun" w:hAnsi="Arial" w:cs="Arial"/>
      <w:b/>
      <w:bCs/>
      <w:sz w:val="18"/>
      <w:lang w:eastAsia="zh-CN"/>
    </w:rPr>
  </w:style>
  <w:style w:type="paragraph" w:styleId="ListParagraph">
    <w:name w:val="List Paragraph"/>
    <w:basedOn w:val="Normal"/>
    <w:uiPriority w:val="34"/>
    <w:qFormat/>
    <w:rsid w:val="00ED3F98"/>
    <w:pPr>
      <w:ind w:left="720"/>
      <w:contextualSpacing/>
    </w:pPr>
  </w:style>
  <w:style w:type="character" w:customStyle="1" w:styleId="FootnoteTextChar">
    <w:name w:val="Footnote Text Char"/>
    <w:basedOn w:val="DefaultParagraphFont"/>
    <w:link w:val="FootnoteText"/>
    <w:semiHidden/>
    <w:rsid w:val="00A828E9"/>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0041">
      <w:bodyDiv w:val="1"/>
      <w:marLeft w:val="0"/>
      <w:marRight w:val="0"/>
      <w:marTop w:val="0"/>
      <w:marBottom w:val="0"/>
      <w:divBdr>
        <w:top w:val="none" w:sz="0" w:space="0" w:color="auto"/>
        <w:left w:val="none" w:sz="0" w:space="0" w:color="auto"/>
        <w:bottom w:val="none" w:sz="0" w:space="0" w:color="auto"/>
        <w:right w:val="none" w:sz="0" w:space="0" w:color="auto"/>
      </w:divBdr>
    </w:div>
    <w:div w:id="176406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9E74D-3F91-4322-AED8-441AE16A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5F8BF5AD</Template>
  <TotalTime>18</TotalTime>
  <Pages>6</Pages>
  <Words>1642</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dc:title>
  <dc:creator>Woods, Michele;Lander, Nicola</dc:creator>
  <cp:lastModifiedBy>HÄFLIGER Patience</cp:lastModifiedBy>
  <cp:revision>8</cp:revision>
  <cp:lastPrinted>2016-08-23T14:01:00Z</cp:lastPrinted>
  <dcterms:created xsi:type="dcterms:W3CDTF">2016-08-15T09:22:00Z</dcterms:created>
  <dcterms:modified xsi:type="dcterms:W3CDTF">2016-08-23T14:07:00Z</dcterms:modified>
</cp:coreProperties>
</file>