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0" w:type="dxa"/>
        <w:tblInd w:w="108" w:type="dxa"/>
        <w:tblLayout w:type="fixed"/>
        <w:tblLook w:val="01E0" w:firstRow="1" w:lastRow="1" w:firstColumn="1" w:lastColumn="1" w:noHBand="0" w:noVBand="0"/>
      </w:tblPr>
      <w:tblGrid>
        <w:gridCol w:w="4594"/>
        <w:gridCol w:w="4337"/>
        <w:gridCol w:w="749"/>
      </w:tblGrid>
      <w:tr w:rsidR="00F66F07" w:rsidRPr="00716BE0">
        <w:tc>
          <w:tcPr>
            <w:tcW w:w="4594" w:type="dxa"/>
            <w:tcBorders>
              <w:bottom w:val="single" w:sz="4" w:space="0" w:color="auto"/>
            </w:tcBorders>
            <w:tcMar>
              <w:bottom w:w="170" w:type="dxa"/>
            </w:tcMar>
          </w:tcPr>
          <w:p w:rsidR="00F66F07" w:rsidRPr="001469D1" w:rsidRDefault="00F66F07" w:rsidP="00F66F07">
            <w:pPr>
              <w:rPr>
                <w:lang w:val="fr-CH"/>
              </w:rPr>
            </w:pPr>
            <w:bookmarkStart w:id="0" w:name="_GoBack"/>
            <w:bookmarkEnd w:id="0"/>
          </w:p>
        </w:tc>
        <w:tc>
          <w:tcPr>
            <w:tcW w:w="4337" w:type="dxa"/>
            <w:tcBorders>
              <w:bottom w:val="single" w:sz="4" w:space="0" w:color="auto"/>
            </w:tcBorders>
            <w:tcMar>
              <w:left w:w="0" w:type="dxa"/>
              <w:bottom w:w="170" w:type="dxa"/>
              <w:right w:w="0" w:type="dxa"/>
            </w:tcMar>
          </w:tcPr>
          <w:p w:rsidR="00F66F07" w:rsidRPr="00716BE0" w:rsidRDefault="000742D8" w:rsidP="00F66F07">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749" w:type="dxa"/>
            <w:tcBorders>
              <w:bottom w:val="single" w:sz="4" w:space="0" w:color="auto"/>
            </w:tcBorders>
            <w:tcMar>
              <w:bottom w:w="170" w:type="dxa"/>
            </w:tcMar>
          </w:tcPr>
          <w:p w:rsidR="00F66F07" w:rsidRPr="00716BE0" w:rsidRDefault="00F66F07" w:rsidP="00F66F07">
            <w:pPr>
              <w:jc w:val="right"/>
            </w:pPr>
            <w:r w:rsidRPr="00716BE0">
              <w:rPr>
                <w:b/>
                <w:sz w:val="40"/>
                <w:szCs w:val="40"/>
              </w:rPr>
              <w:t>E</w:t>
            </w:r>
          </w:p>
        </w:tc>
      </w:tr>
      <w:tr w:rsidR="00F66F07" w:rsidRPr="00716BE0">
        <w:trPr>
          <w:trHeight w:hRule="exact" w:val="340"/>
        </w:trPr>
        <w:tc>
          <w:tcPr>
            <w:tcW w:w="9680" w:type="dxa"/>
            <w:gridSpan w:val="3"/>
            <w:tcBorders>
              <w:top w:val="single" w:sz="4" w:space="0" w:color="auto"/>
            </w:tcBorders>
            <w:tcMar>
              <w:top w:w="170" w:type="dxa"/>
              <w:left w:w="0" w:type="dxa"/>
              <w:right w:w="0" w:type="dxa"/>
            </w:tcMar>
            <w:vAlign w:val="bottom"/>
          </w:tcPr>
          <w:p w:rsidR="00F66F07" w:rsidRPr="00716BE0" w:rsidRDefault="00F66F07" w:rsidP="00CD5DF6">
            <w:pPr>
              <w:jc w:val="right"/>
              <w:rPr>
                <w:rFonts w:ascii="Arial Black" w:hAnsi="Arial Black"/>
                <w:caps/>
                <w:sz w:val="15"/>
              </w:rPr>
            </w:pPr>
            <w:r>
              <w:rPr>
                <w:rFonts w:ascii="Arial Black" w:hAnsi="Arial Black"/>
                <w:caps/>
                <w:sz w:val="15"/>
              </w:rPr>
              <w:t>mm/</w:t>
            </w:r>
            <w:r w:rsidR="001E7FD7">
              <w:rPr>
                <w:rFonts w:ascii="Arial Black" w:hAnsi="Arial Black"/>
                <w:caps/>
                <w:sz w:val="15"/>
              </w:rPr>
              <w:t>A</w:t>
            </w:r>
            <w:r>
              <w:rPr>
                <w:rFonts w:ascii="Arial Black" w:hAnsi="Arial Black"/>
                <w:caps/>
                <w:sz w:val="15"/>
              </w:rPr>
              <w:t>/</w:t>
            </w:r>
            <w:bookmarkStart w:id="1" w:name="Code"/>
            <w:bookmarkEnd w:id="1"/>
            <w:r w:rsidR="00CD5DF6">
              <w:rPr>
                <w:rFonts w:ascii="Arial Black" w:hAnsi="Arial Black"/>
                <w:caps/>
                <w:sz w:val="15"/>
              </w:rPr>
              <w:t>50</w:t>
            </w:r>
            <w:r w:rsidR="006B431A">
              <w:rPr>
                <w:rFonts w:ascii="Arial Black" w:hAnsi="Arial Black"/>
                <w:caps/>
                <w:sz w:val="15"/>
              </w:rPr>
              <w:t>/</w:t>
            </w:r>
            <w:r w:rsidR="00721A1F">
              <w:rPr>
                <w:rFonts w:ascii="Arial Black" w:hAnsi="Arial Black"/>
                <w:caps/>
                <w:sz w:val="15"/>
              </w:rPr>
              <w:t>1</w:t>
            </w:r>
            <w:r w:rsidRPr="00716BE0">
              <w:rPr>
                <w:rFonts w:ascii="Arial Black" w:hAnsi="Arial Black"/>
                <w:caps/>
                <w:sz w:val="15"/>
              </w:rPr>
              <w:t xml:space="preserve">  </w:t>
            </w:r>
          </w:p>
        </w:tc>
      </w:tr>
      <w:tr w:rsidR="00F66F07" w:rsidRPr="00716BE0">
        <w:trPr>
          <w:trHeight w:hRule="exact" w:val="170"/>
        </w:trPr>
        <w:tc>
          <w:tcPr>
            <w:tcW w:w="9680" w:type="dxa"/>
            <w:gridSpan w:val="3"/>
            <w:noWrap/>
            <w:tcMar>
              <w:left w:w="0" w:type="dxa"/>
              <w:right w:w="0" w:type="dxa"/>
            </w:tcMar>
            <w:vAlign w:val="bottom"/>
          </w:tcPr>
          <w:p w:rsidR="00F66F07" w:rsidRPr="00716BE0" w:rsidRDefault="00F66F07" w:rsidP="00F66F07">
            <w:pPr>
              <w:jc w:val="right"/>
              <w:rPr>
                <w:rFonts w:ascii="Arial Black" w:hAnsi="Arial Black"/>
                <w:caps/>
                <w:sz w:val="15"/>
              </w:rPr>
            </w:pPr>
            <w:r w:rsidRPr="00716BE0">
              <w:rPr>
                <w:rFonts w:ascii="Arial Black" w:hAnsi="Arial Black"/>
                <w:caps/>
                <w:sz w:val="15"/>
              </w:rPr>
              <w:t xml:space="preserve">ORIGINAL:  </w:t>
            </w:r>
            <w:bookmarkStart w:id="2" w:name="Original"/>
            <w:bookmarkEnd w:id="2"/>
            <w:r w:rsidRPr="00716BE0">
              <w:rPr>
                <w:rFonts w:ascii="Arial Black" w:hAnsi="Arial Black"/>
                <w:caps/>
                <w:sz w:val="15"/>
              </w:rPr>
              <w:t>English</w:t>
            </w:r>
          </w:p>
        </w:tc>
      </w:tr>
      <w:tr w:rsidR="00F66F07" w:rsidRPr="00716BE0">
        <w:trPr>
          <w:trHeight w:hRule="exact" w:val="198"/>
        </w:trPr>
        <w:tc>
          <w:tcPr>
            <w:tcW w:w="9680" w:type="dxa"/>
            <w:gridSpan w:val="3"/>
            <w:tcMar>
              <w:left w:w="0" w:type="dxa"/>
              <w:right w:w="0" w:type="dxa"/>
            </w:tcMar>
            <w:vAlign w:val="bottom"/>
          </w:tcPr>
          <w:p w:rsidR="00F66F07" w:rsidRPr="00716BE0" w:rsidRDefault="00F66F07" w:rsidP="00E63A30">
            <w:pPr>
              <w:jc w:val="right"/>
              <w:rPr>
                <w:rFonts w:ascii="Arial Black" w:hAnsi="Arial Black"/>
                <w:caps/>
                <w:sz w:val="15"/>
              </w:rPr>
            </w:pPr>
            <w:r w:rsidRPr="00716BE0">
              <w:rPr>
                <w:rFonts w:ascii="Arial Black" w:hAnsi="Arial Black"/>
                <w:caps/>
                <w:sz w:val="15"/>
              </w:rPr>
              <w:t>DATE</w:t>
            </w:r>
            <w:r w:rsidR="00F174CB">
              <w:rPr>
                <w:rFonts w:ascii="Arial Black" w:hAnsi="Arial Black"/>
                <w:caps/>
                <w:sz w:val="15"/>
              </w:rPr>
              <w:t xml:space="preserve">: </w:t>
            </w:r>
            <w:r w:rsidR="00721A1F">
              <w:rPr>
                <w:rFonts w:ascii="Arial Black" w:hAnsi="Arial Black"/>
                <w:caps/>
                <w:sz w:val="15"/>
              </w:rPr>
              <w:t xml:space="preserve"> </w:t>
            </w:r>
            <w:bookmarkStart w:id="3" w:name="Date"/>
            <w:bookmarkEnd w:id="3"/>
            <w:r w:rsidR="000519E7">
              <w:rPr>
                <w:rFonts w:ascii="Arial Black" w:hAnsi="Arial Black"/>
                <w:caps/>
                <w:sz w:val="15"/>
              </w:rPr>
              <w:t xml:space="preserve">July 4, 2016      </w:t>
            </w:r>
            <w:r w:rsidR="000519E7" w:rsidRPr="00716BE0">
              <w:rPr>
                <w:rFonts w:ascii="Arial Black" w:hAnsi="Arial Black"/>
                <w:caps/>
                <w:sz w:val="15"/>
              </w:rPr>
              <w:t xml:space="preserve"> </w:t>
            </w:r>
          </w:p>
        </w:tc>
      </w:tr>
    </w:tbl>
    <w:p w:rsidR="00F66F07" w:rsidRPr="00716BE0" w:rsidRDefault="00F66F07" w:rsidP="00F66F07"/>
    <w:p w:rsidR="00F66F07" w:rsidRPr="00716BE0" w:rsidRDefault="00F66F07" w:rsidP="00F66F07"/>
    <w:p w:rsidR="00F66F07" w:rsidRPr="00716BE0" w:rsidRDefault="00F66F07" w:rsidP="00F66F07"/>
    <w:p w:rsidR="00F66F07" w:rsidRPr="00716BE0" w:rsidRDefault="00F66F07" w:rsidP="00F66F07"/>
    <w:p w:rsidR="00F66F07" w:rsidRPr="00716BE0" w:rsidRDefault="00F66F07" w:rsidP="00F66F07"/>
    <w:p w:rsidR="00F66F07" w:rsidRPr="00716BE0" w:rsidRDefault="00F66F07" w:rsidP="00F66F07">
      <w:pPr>
        <w:rPr>
          <w:b/>
          <w:sz w:val="28"/>
          <w:szCs w:val="28"/>
        </w:rPr>
      </w:pPr>
      <w:r w:rsidRPr="00716BE0">
        <w:rPr>
          <w:b/>
          <w:sz w:val="28"/>
          <w:szCs w:val="28"/>
        </w:rPr>
        <w:t xml:space="preserve">Special Union for the International Registration of Marks </w:t>
      </w:r>
      <w:r w:rsidRPr="00716BE0">
        <w:rPr>
          <w:b/>
          <w:sz w:val="28"/>
          <w:szCs w:val="28"/>
        </w:rPr>
        <w:br/>
        <w:t>(Madrid Union)</w:t>
      </w:r>
    </w:p>
    <w:p w:rsidR="00F66F07" w:rsidRPr="00716BE0" w:rsidRDefault="00F66F07" w:rsidP="00F66F07"/>
    <w:p w:rsidR="00F66F07" w:rsidRPr="00716BE0" w:rsidRDefault="00F66F07" w:rsidP="00F66F07"/>
    <w:p w:rsidR="00F66F07" w:rsidRPr="00716BE0" w:rsidRDefault="00F66F07" w:rsidP="00F66F07">
      <w:pPr>
        <w:rPr>
          <w:b/>
          <w:sz w:val="28"/>
          <w:szCs w:val="28"/>
        </w:rPr>
      </w:pPr>
      <w:r w:rsidRPr="00716BE0">
        <w:rPr>
          <w:b/>
          <w:sz w:val="28"/>
          <w:szCs w:val="28"/>
        </w:rPr>
        <w:t>Assembly</w:t>
      </w:r>
    </w:p>
    <w:p w:rsidR="00F66F07" w:rsidRPr="00716BE0" w:rsidRDefault="00F66F07" w:rsidP="00F66F07"/>
    <w:p w:rsidR="00F66F07" w:rsidRPr="00716BE0" w:rsidRDefault="00F66F07" w:rsidP="00F66F07"/>
    <w:p w:rsidR="00F66F07" w:rsidRPr="00716BE0" w:rsidRDefault="000519E7" w:rsidP="00F66F07">
      <w:pPr>
        <w:rPr>
          <w:b/>
          <w:sz w:val="24"/>
          <w:szCs w:val="24"/>
        </w:rPr>
      </w:pPr>
      <w:r>
        <w:rPr>
          <w:b/>
          <w:sz w:val="24"/>
          <w:szCs w:val="24"/>
        </w:rPr>
        <w:t>Fiftieth (29</w:t>
      </w:r>
      <w:r w:rsidRPr="00AA3030">
        <w:rPr>
          <w:b/>
          <w:sz w:val="24"/>
          <w:szCs w:val="24"/>
          <w:vertAlign w:val="superscript"/>
        </w:rPr>
        <w:t>th</w:t>
      </w:r>
      <w:r>
        <w:rPr>
          <w:b/>
          <w:sz w:val="24"/>
          <w:szCs w:val="24"/>
        </w:rPr>
        <w:t xml:space="preserve"> Extraordinary) </w:t>
      </w:r>
      <w:r w:rsidR="008E370C">
        <w:rPr>
          <w:b/>
          <w:sz w:val="24"/>
          <w:szCs w:val="24"/>
        </w:rPr>
        <w:t>Session</w:t>
      </w:r>
    </w:p>
    <w:p w:rsidR="00F66F07" w:rsidRPr="00716BE0" w:rsidRDefault="00F66F07" w:rsidP="00F66F07">
      <w:pPr>
        <w:rPr>
          <w:b/>
          <w:sz w:val="24"/>
          <w:szCs w:val="24"/>
        </w:rPr>
      </w:pPr>
      <w:r w:rsidRPr="00716BE0">
        <w:rPr>
          <w:b/>
          <w:sz w:val="24"/>
          <w:szCs w:val="24"/>
        </w:rPr>
        <w:t>Geneva,</w:t>
      </w:r>
      <w:r>
        <w:rPr>
          <w:b/>
          <w:sz w:val="24"/>
          <w:szCs w:val="24"/>
        </w:rPr>
        <w:t xml:space="preserve"> </w:t>
      </w:r>
      <w:r w:rsidR="00655D94">
        <w:rPr>
          <w:b/>
          <w:sz w:val="24"/>
          <w:szCs w:val="24"/>
        </w:rPr>
        <w:t>October 3 to</w:t>
      </w:r>
      <w:r w:rsidR="000519E7">
        <w:rPr>
          <w:b/>
          <w:sz w:val="24"/>
          <w:szCs w:val="24"/>
        </w:rPr>
        <w:t xml:space="preserve"> 11, </w:t>
      </w:r>
      <w:r w:rsidR="00721A1F">
        <w:rPr>
          <w:b/>
          <w:sz w:val="24"/>
          <w:szCs w:val="24"/>
        </w:rPr>
        <w:t>2016</w:t>
      </w:r>
    </w:p>
    <w:p w:rsidR="00F66F07" w:rsidRPr="00716BE0" w:rsidRDefault="00F66F07" w:rsidP="00F66F07"/>
    <w:p w:rsidR="00F66F07" w:rsidRPr="00716BE0" w:rsidRDefault="00F66F07" w:rsidP="00F66F07"/>
    <w:p w:rsidR="00F66F07" w:rsidRPr="00716BE0" w:rsidRDefault="00F66F07" w:rsidP="00F66F07"/>
    <w:p w:rsidR="00F66F07" w:rsidRPr="00716BE0" w:rsidRDefault="00597452" w:rsidP="00F66F07">
      <w:pPr>
        <w:rPr>
          <w:caps/>
          <w:sz w:val="24"/>
        </w:rPr>
      </w:pPr>
      <w:bookmarkStart w:id="4" w:name="TitleOfDoc"/>
      <w:bookmarkEnd w:id="4"/>
      <w:r>
        <w:rPr>
          <w:caps/>
          <w:sz w:val="24"/>
        </w:rPr>
        <w:t xml:space="preserve">progress report on the </w:t>
      </w:r>
      <w:r w:rsidR="00F66F07" w:rsidRPr="00716BE0">
        <w:rPr>
          <w:caps/>
          <w:sz w:val="24"/>
        </w:rPr>
        <w:t>MADRID SYSTEM GOODS AND SERVICES DATABASE</w:t>
      </w:r>
    </w:p>
    <w:p w:rsidR="00F66F07" w:rsidRPr="00716BE0" w:rsidRDefault="00F66F07" w:rsidP="00F66F07"/>
    <w:p w:rsidR="00F66F07" w:rsidRPr="00716BE0" w:rsidRDefault="00F66F07" w:rsidP="00F66F07">
      <w:pPr>
        <w:rPr>
          <w:i/>
        </w:rPr>
      </w:pPr>
      <w:bookmarkStart w:id="5" w:name="Prepared"/>
      <w:bookmarkEnd w:id="5"/>
      <w:proofErr w:type="gramStart"/>
      <w:r w:rsidRPr="00716BE0">
        <w:rPr>
          <w:i/>
        </w:rPr>
        <w:t>prepared</w:t>
      </w:r>
      <w:proofErr w:type="gramEnd"/>
      <w:r w:rsidRPr="00716BE0">
        <w:rPr>
          <w:i/>
        </w:rPr>
        <w:t xml:space="preserve"> by the International Bureau</w:t>
      </w:r>
    </w:p>
    <w:p w:rsidR="00F66F07" w:rsidRPr="00716BE0" w:rsidRDefault="00F66F07"/>
    <w:p w:rsidR="00F66F07" w:rsidRDefault="00F66F07"/>
    <w:p w:rsidR="008E370C" w:rsidRPr="00716BE0" w:rsidRDefault="008E370C"/>
    <w:p w:rsidR="00F66F07" w:rsidRPr="00716BE0" w:rsidRDefault="00F66F07" w:rsidP="00F66F07">
      <w:pPr>
        <w:pStyle w:val="Heading1"/>
      </w:pPr>
      <w:r w:rsidRPr="00716BE0">
        <w:t>INTRODUCTION</w:t>
      </w:r>
    </w:p>
    <w:p w:rsidR="00F66F07" w:rsidRPr="00716BE0" w:rsidRDefault="00F66F07" w:rsidP="00F66F07"/>
    <w:p w:rsidR="00F66F07" w:rsidRPr="00716BE0" w:rsidRDefault="00A86F2C" w:rsidP="00C34503">
      <w:r>
        <w:fldChar w:fldCharType="begin"/>
      </w:r>
      <w:r>
        <w:instrText xml:space="preserve"> AUTONUM  </w:instrText>
      </w:r>
      <w:r>
        <w:fldChar w:fldCharType="end"/>
      </w:r>
      <w:r>
        <w:tab/>
      </w:r>
      <w:r w:rsidR="00F66F07" w:rsidRPr="00716BE0">
        <w:t>This document present</w:t>
      </w:r>
      <w:r w:rsidR="005D679B">
        <w:t>s</w:t>
      </w:r>
      <w:r w:rsidR="00F66F07" w:rsidRPr="00716BE0">
        <w:t xml:space="preserve"> progress </w:t>
      </w:r>
      <w:r w:rsidR="005D679B">
        <w:t>in</w:t>
      </w:r>
      <w:r w:rsidR="00F66F07" w:rsidRPr="00716BE0">
        <w:t xml:space="preserve"> the </w:t>
      </w:r>
      <w:r w:rsidR="00F66F07">
        <w:t xml:space="preserve">development of the </w:t>
      </w:r>
      <w:r w:rsidR="00F66F07" w:rsidRPr="00716BE0">
        <w:t xml:space="preserve">database of acceptable indications of goods and services for the purposes of </w:t>
      </w:r>
      <w:r w:rsidR="000C2ED1">
        <w:t xml:space="preserve">the </w:t>
      </w:r>
      <w:r w:rsidR="00F66F07" w:rsidRPr="00716BE0">
        <w:t xml:space="preserve">Madrid </w:t>
      </w:r>
      <w:r w:rsidR="00C116D2">
        <w:t>S</w:t>
      </w:r>
      <w:r w:rsidR="00F66F07" w:rsidRPr="00716BE0">
        <w:t>ystem procedures (hereinafter referred to as the “Madrid System Goods and Services Database” or “</w:t>
      </w:r>
      <w:r w:rsidR="00F66F07">
        <w:t>MGS</w:t>
      </w:r>
      <w:r w:rsidR="00F66F07" w:rsidRPr="00716BE0">
        <w:t xml:space="preserve"> Database”).  </w:t>
      </w:r>
    </w:p>
    <w:p w:rsidR="00F66F07" w:rsidRPr="00716BE0" w:rsidRDefault="00F66F07" w:rsidP="00F66F07">
      <w:pPr>
        <w:tabs>
          <w:tab w:val="num" w:pos="440"/>
        </w:tabs>
      </w:pPr>
    </w:p>
    <w:p w:rsidR="00F66F07" w:rsidRDefault="00A86F2C" w:rsidP="00C34503">
      <w:r>
        <w:fldChar w:fldCharType="begin"/>
      </w:r>
      <w:r>
        <w:instrText xml:space="preserve"> AUTONUM  </w:instrText>
      </w:r>
      <w:r>
        <w:fldChar w:fldCharType="end"/>
      </w:r>
      <w:r>
        <w:tab/>
      </w:r>
      <w:r w:rsidR="00F66F07">
        <w:t>In September 2009,</w:t>
      </w:r>
      <w:r w:rsidR="00F66F07" w:rsidRPr="00716BE0">
        <w:t xml:space="preserve"> t</w:t>
      </w:r>
      <w:r w:rsidR="00F66F07">
        <w:t xml:space="preserve">he Assembly of the Madrid Union approved a two-year project </w:t>
      </w:r>
      <w:r w:rsidR="005D679B">
        <w:t>to develop</w:t>
      </w:r>
      <w:r w:rsidR="00F66F07">
        <w:t xml:space="preserve"> the MGS Database</w:t>
      </w:r>
      <w:r w:rsidR="00F66F07" w:rsidRPr="00716BE0">
        <w:t>, as described in document</w:t>
      </w:r>
      <w:r w:rsidR="00F66F07">
        <w:t> </w:t>
      </w:r>
      <w:r w:rsidR="00F66F07" w:rsidRPr="00716BE0">
        <w:t xml:space="preserve">MM/A/42/3, </w:t>
      </w:r>
      <w:r w:rsidR="00F66F07">
        <w:t xml:space="preserve">and </w:t>
      </w:r>
      <w:r w:rsidR="005D679B">
        <w:t>funding in the</w:t>
      </w:r>
      <w:r w:rsidR="00F66F07" w:rsidRPr="00716BE0">
        <w:t xml:space="preserve"> amount of 1.2 million Swiss francs from </w:t>
      </w:r>
      <w:r w:rsidR="00BB02A2">
        <w:t xml:space="preserve">the Madrid Union </w:t>
      </w:r>
      <w:r w:rsidR="00F66F07" w:rsidRPr="00716BE0">
        <w:t>Reserve Fund</w:t>
      </w:r>
      <w:r w:rsidR="00F66F07">
        <w:t>s</w:t>
      </w:r>
      <w:r w:rsidR="00F66F07" w:rsidRPr="00716BE0">
        <w:t xml:space="preserve"> for</w:t>
      </w:r>
      <w:r w:rsidR="000C2ED1">
        <w:t xml:space="preserve"> its</w:t>
      </w:r>
      <w:r w:rsidR="00F66F07" w:rsidRPr="00716BE0">
        <w:t xml:space="preserve"> implementation </w:t>
      </w:r>
      <w:r w:rsidR="00F66F07">
        <w:t>during</w:t>
      </w:r>
      <w:r w:rsidR="001E7FD7">
        <w:t xml:space="preserve"> </w:t>
      </w:r>
      <w:r w:rsidR="00F66F07" w:rsidRPr="00716BE0">
        <w:t>the 2010</w:t>
      </w:r>
      <w:r w:rsidR="001E7FD7">
        <w:noBreakHyphen/>
      </w:r>
      <w:r w:rsidR="00F66F07" w:rsidRPr="00716BE0">
        <w:t>11</w:t>
      </w:r>
      <w:r w:rsidR="00F66F07" w:rsidRPr="00A93240">
        <w:t xml:space="preserve"> </w:t>
      </w:r>
      <w:r w:rsidR="00F66F07" w:rsidRPr="00716BE0">
        <w:t>biennium</w:t>
      </w:r>
      <w:r w:rsidR="00F66F07">
        <w:t xml:space="preserve"> </w:t>
      </w:r>
      <w:r w:rsidR="00F66F07" w:rsidRPr="00716BE0">
        <w:t>(</w:t>
      </w:r>
      <w:r w:rsidR="00F66F07">
        <w:t xml:space="preserve">see </w:t>
      </w:r>
      <w:r w:rsidR="00F66F07" w:rsidRPr="00716BE0">
        <w:t xml:space="preserve">document MM/A/42/4, paragraph 28).  </w:t>
      </w:r>
      <w:r w:rsidR="00721A1F">
        <w:t>Seven</w:t>
      </w:r>
      <w:r w:rsidR="00F66F07">
        <w:t xml:space="preserve"> previous </w:t>
      </w:r>
      <w:r w:rsidR="00C116D2">
        <w:t>P</w:t>
      </w:r>
      <w:r w:rsidR="00F66F07" w:rsidRPr="00716BE0">
        <w:t>rogress</w:t>
      </w:r>
      <w:r w:rsidR="00630618">
        <w:t> </w:t>
      </w:r>
      <w:r w:rsidR="00C116D2">
        <w:t>R</w:t>
      </w:r>
      <w:r w:rsidR="00F66F07" w:rsidRPr="00716BE0">
        <w:t>eport</w:t>
      </w:r>
      <w:r w:rsidR="00F66F07">
        <w:t>s</w:t>
      </w:r>
      <w:r w:rsidR="001E7FD7">
        <w:t xml:space="preserve"> </w:t>
      </w:r>
      <w:r w:rsidR="00F66F07">
        <w:t>have been</w:t>
      </w:r>
      <w:r w:rsidR="00F66F07" w:rsidRPr="00716BE0">
        <w:t xml:space="preserve"> presented to the</w:t>
      </w:r>
      <w:r w:rsidR="00F66F07">
        <w:t xml:space="preserve"> Assembly of the</w:t>
      </w:r>
      <w:r w:rsidR="00F66F07" w:rsidRPr="00716BE0">
        <w:t xml:space="preserve"> Madrid Union</w:t>
      </w:r>
      <w:r w:rsidR="0031127B">
        <w:t xml:space="preserve"> </w:t>
      </w:r>
      <w:r w:rsidR="00F66F07" w:rsidRPr="00716BE0">
        <w:t>(</w:t>
      </w:r>
      <w:r w:rsidR="00F66F07">
        <w:t>see</w:t>
      </w:r>
      <w:r w:rsidR="00307FD1">
        <w:t> </w:t>
      </w:r>
      <w:r w:rsidR="00F66F07" w:rsidRPr="00716BE0">
        <w:t>document</w:t>
      </w:r>
      <w:r w:rsidR="00F66F07">
        <w:t>s</w:t>
      </w:r>
      <w:r w:rsidR="00307FD1">
        <w:t> </w:t>
      </w:r>
      <w:r w:rsidR="00AF270E">
        <w:t xml:space="preserve">MM/A/42/3, </w:t>
      </w:r>
      <w:r w:rsidR="00F66F07" w:rsidRPr="00716BE0">
        <w:t>MM/A/43/2</w:t>
      </w:r>
      <w:r w:rsidR="00F66F07">
        <w:t>, MM/A/44</w:t>
      </w:r>
      <w:r w:rsidR="00F66F07" w:rsidRPr="00716BE0">
        <w:t>/</w:t>
      </w:r>
      <w:r w:rsidR="00077648">
        <w:t xml:space="preserve">3, </w:t>
      </w:r>
      <w:r w:rsidR="00F66F07">
        <w:t>MM/A/45</w:t>
      </w:r>
      <w:r w:rsidR="00F66F07" w:rsidRPr="00716BE0">
        <w:t>/</w:t>
      </w:r>
      <w:r w:rsidR="00CF3F74" w:rsidRPr="00716BE0">
        <w:t>2</w:t>
      </w:r>
      <w:r w:rsidR="00CF3F74">
        <w:t xml:space="preserve">, </w:t>
      </w:r>
      <w:r w:rsidR="00077648">
        <w:t>MM/A/46/2</w:t>
      </w:r>
      <w:r w:rsidR="00721A1F">
        <w:t>, MM</w:t>
      </w:r>
      <w:r w:rsidR="00CF3F74">
        <w:t>/A/48/2</w:t>
      </w:r>
      <w:r w:rsidR="00721A1F">
        <w:t xml:space="preserve"> and MM/A/49/2</w:t>
      </w:r>
      <w:r w:rsidR="00F66F07">
        <w:t>).</w:t>
      </w:r>
    </w:p>
    <w:p w:rsidR="00F66F07" w:rsidRDefault="00F66F07" w:rsidP="00F66F07"/>
    <w:p w:rsidR="00F66F07" w:rsidRPr="00716BE0" w:rsidRDefault="00A86F2C" w:rsidP="00C34503">
      <w:r>
        <w:fldChar w:fldCharType="begin"/>
      </w:r>
      <w:r>
        <w:instrText xml:space="preserve"> AUTONUM  </w:instrText>
      </w:r>
      <w:r>
        <w:fldChar w:fldCharType="end"/>
      </w:r>
      <w:r>
        <w:tab/>
      </w:r>
      <w:r w:rsidR="00F66F07">
        <w:t xml:space="preserve">On January 1, 2012, the MGS </w:t>
      </w:r>
      <w:r w:rsidR="00895552">
        <w:t>D</w:t>
      </w:r>
      <w:r w:rsidR="00F66F07">
        <w:t>atabase project transitioned into operational mode</w:t>
      </w:r>
      <w:r w:rsidR="00330006">
        <w:t>,</w:t>
      </w:r>
      <w:r w:rsidR="00F66F07">
        <w:t xml:space="preserve"> which meant that ongoing operational support was </w:t>
      </w:r>
      <w:r w:rsidR="000C2ED1">
        <w:t xml:space="preserve">thereafter </w:t>
      </w:r>
      <w:r w:rsidR="00F66F07">
        <w:t>funded from the regular budget.</w:t>
      </w:r>
    </w:p>
    <w:p w:rsidR="00F66F07" w:rsidRDefault="00F66F07" w:rsidP="00F66F07">
      <w:pPr>
        <w:tabs>
          <w:tab w:val="num" w:pos="440"/>
        </w:tabs>
      </w:pPr>
    </w:p>
    <w:p w:rsidR="00633DBE" w:rsidRDefault="00633DBE" w:rsidP="00F66F07">
      <w:pPr>
        <w:tabs>
          <w:tab w:val="num" w:pos="440"/>
        </w:tabs>
      </w:pPr>
    </w:p>
    <w:p w:rsidR="00633DBE" w:rsidRDefault="00633DBE" w:rsidP="00F66F07">
      <w:pPr>
        <w:tabs>
          <w:tab w:val="num" w:pos="440"/>
        </w:tabs>
      </w:pPr>
    </w:p>
    <w:p w:rsidR="00633DBE" w:rsidRPr="00716BE0" w:rsidRDefault="00633DBE" w:rsidP="00F66F07">
      <w:pPr>
        <w:tabs>
          <w:tab w:val="num" w:pos="440"/>
        </w:tabs>
      </w:pPr>
    </w:p>
    <w:p w:rsidR="00F66F07" w:rsidRDefault="00A86F2C" w:rsidP="00C34503">
      <w:r>
        <w:fldChar w:fldCharType="begin"/>
      </w:r>
      <w:r>
        <w:instrText xml:space="preserve"> AUTONUM  </w:instrText>
      </w:r>
      <w:r>
        <w:fldChar w:fldCharType="end"/>
      </w:r>
      <w:r>
        <w:tab/>
      </w:r>
      <w:r w:rsidR="00F66F07" w:rsidRPr="00716BE0">
        <w:t xml:space="preserve">The present document </w:t>
      </w:r>
      <w:r w:rsidR="00F66F07">
        <w:t xml:space="preserve">is a </w:t>
      </w:r>
      <w:r w:rsidR="00F66F07" w:rsidRPr="00716BE0">
        <w:t xml:space="preserve">report on </w:t>
      </w:r>
      <w:r w:rsidR="00F66F07">
        <w:t xml:space="preserve">the progress of the MGS Database since the previous </w:t>
      </w:r>
      <w:r w:rsidR="00895DDA">
        <w:t>P</w:t>
      </w:r>
      <w:r w:rsidR="00F66F07">
        <w:t xml:space="preserve">rogress </w:t>
      </w:r>
      <w:r w:rsidR="00895DDA">
        <w:t>R</w:t>
      </w:r>
      <w:r w:rsidR="00F66F07">
        <w:t>eport (</w:t>
      </w:r>
      <w:r w:rsidR="001E7FD7">
        <w:t xml:space="preserve">see document </w:t>
      </w:r>
      <w:r w:rsidR="00CF3F74">
        <w:t>MM/</w:t>
      </w:r>
      <w:r w:rsidR="00721A1F">
        <w:t>A/49</w:t>
      </w:r>
      <w:r w:rsidR="00CF3F74">
        <w:t>/2</w:t>
      </w:r>
      <w:r w:rsidR="00F66F07">
        <w:t>)</w:t>
      </w:r>
      <w:r w:rsidR="00530FEF">
        <w:t xml:space="preserve">, that is, between June 1, </w:t>
      </w:r>
      <w:r w:rsidR="00721A1F">
        <w:t>2015</w:t>
      </w:r>
      <w:r w:rsidR="00530FEF">
        <w:t>, and</w:t>
      </w:r>
      <w:r w:rsidR="00F66F07">
        <w:t xml:space="preserve"> May</w:t>
      </w:r>
      <w:r w:rsidR="001E7FD7">
        <w:t> </w:t>
      </w:r>
      <w:r w:rsidR="00721A1F">
        <w:t>30, 2016</w:t>
      </w:r>
      <w:r w:rsidR="00F66F07">
        <w:t xml:space="preserve">. </w:t>
      </w:r>
    </w:p>
    <w:p w:rsidR="00F66F07" w:rsidRDefault="00F66F07" w:rsidP="00735AFF">
      <w:pPr>
        <w:tabs>
          <w:tab w:val="num" w:pos="440"/>
        </w:tabs>
      </w:pPr>
    </w:p>
    <w:p w:rsidR="00E63A30" w:rsidRDefault="00E63A30" w:rsidP="00735AFF">
      <w:pPr>
        <w:tabs>
          <w:tab w:val="num" w:pos="440"/>
        </w:tabs>
      </w:pPr>
    </w:p>
    <w:p w:rsidR="00F66F07" w:rsidRPr="00E74C5B" w:rsidRDefault="00F66F07" w:rsidP="00735AFF">
      <w:pPr>
        <w:pStyle w:val="Heading2"/>
        <w:spacing w:before="0" w:after="0"/>
        <w:rPr>
          <w:b/>
        </w:rPr>
      </w:pPr>
      <w:r>
        <w:rPr>
          <w:b/>
        </w:rPr>
        <w:t>RESULTS</w:t>
      </w:r>
      <w:r w:rsidRPr="00E74C5B">
        <w:rPr>
          <w:b/>
        </w:rPr>
        <w:t xml:space="preserve"> </w:t>
      </w:r>
      <w:r>
        <w:rPr>
          <w:b/>
        </w:rPr>
        <w:t>ACHIEVED</w:t>
      </w:r>
    </w:p>
    <w:p w:rsidR="00F66F07" w:rsidRPr="0068673B" w:rsidRDefault="00F66F07" w:rsidP="00F66F07"/>
    <w:p w:rsidR="0009416D" w:rsidRDefault="00A86F2C" w:rsidP="00C34503">
      <w:r>
        <w:fldChar w:fldCharType="begin"/>
      </w:r>
      <w:r>
        <w:instrText xml:space="preserve"> AUTONUM  </w:instrText>
      </w:r>
      <w:r>
        <w:fldChar w:fldCharType="end"/>
      </w:r>
      <w:r>
        <w:tab/>
      </w:r>
      <w:r w:rsidR="005D679B">
        <w:t>O</w:t>
      </w:r>
      <w:r w:rsidR="006721F1">
        <w:t xml:space="preserve">n </w:t>
      </w:r>
      <w:r w:rsidR="00721A1F">
        <w:t>June 1, 2015</w:t>
      </w:r>
      <w:r w:rsidR="00597452">
        <w:t>,</w:t>
      </w:r>
      <w:r w:rsidR="00B13D30">
        <w:t xml:space="preserve"> the </w:t>
      </w:r>
      <w:r w:rsidR="001A7B69">
        <w:t>Madrid Goods and Services Manager (</w:t>
      </w:r>
      <w:r w:rsidR="006721F1">
        <w:t>MGS</w:t>
      </w:r>
      <w:r w:rsidR="001A7B69">
        <w:t>)</w:t>
      </w:r>
      <w:r w:rsidR="00B13D30">
        <w:t xml:space="preserve"> </w:t>
      </w:r>
      <w:proofErr w:type="gramStart"/>
      <w:r w:rsidR="00B13D30">
        <w:t>was</w:t>
      </w:r>
      <w:proofErr w:type="gramEnd"/>
      <w:r w:rsidR="00B13D30">
        <w:t xml:space="preserve"> available </w:t>
      </w:r>
      <w:r w:rsidR="006721F1">
        <w:t>on the public website</w:t>
      </w:r>
      <w:r w:rsidR="00F11AE1">
        <w:t xml:space="preserve"> of the World Intellectual Property Organization (WIPO)</w:t>
      </w:r>
      <w:r w:rsidR="006721F1">
        <w:t xml:space="preserve"> with</w:t>
      </w:r>
      <w:r w:rsidR="003C0A81">
        <w:t xml:space="preserve"> the following features</w:t>
      </w:r>
      <w:r w:rsidR="0009416D">
        <w:t>:</w:t>
      </w:r>
    </w:p>
    <w:p w:rsidR="003C0A81" w:rsidRDefault="003C0A81" w:rsidP="003C0A81"/>
    <w:p w:rsidR="0069264D" w:rsidRDefault="004230A0" w:rsidP="00323FE6">
      <w:pPr>
        <w:numPr>
          <w:ilvl w:val="0"/>
          <w:numId w:val="11"/>
        </w:numPr>
        <w:tabs>
          <w:tab w:val="left" w:pos="284"/>
        </w:tabs>
      </w:pPr>
      <w:r>
        <w:t>17</w:t>
      </w:r>
      <w:r w:rsidR="006721F1">
        <w:t xml:space="preserve"> language interfaces, namely </w:t>
      </w:r>
      <w:r w:rsidR="00B13D30">
        <w:t>Arabic,</w:t>
      </w:r>
      <w:r w:rsidR="001B25C9">
        <w:t xml:space="preserve"> </w:t>
      </w:r>
      <w:r w:rsidR="006721F1">
        <w:t>Chinese</w:t>
      </w:r>
      <w:r w:rsidR="001B25C9">
        <w:t xml:space="preserve">, </w:t>
      </w:r>
      <w:r w:rsidR="00B13D30">
        <w:t>Dutch</w:t>
      </w:r>
      <w:r w:rsidR="006721F1">
        <w:t xml:space="preserve">, </w:t>
      </w:r>
      <w:r w:rsidR="00DD2B8C">
        <w:t xml:space="preserve">English, </w:t>
      </w:r>
      <w:r w:rsidR="00B13D30">
        <w:t xml:space="preserve">French, German, Hebrew, Italian, </w:t>
      </w:r>
      <w:r w:rsidR="006721F1">
        <w:t xml:space="preserve">Japanese, </w:t>
      </w:r>
      <w:r w:rsidR="00B13D30">
        <w:t xml:space="preserve">Korean, </w:t>
      </w:r>
      <w:r w:rsidR="006721F1">
        <w:t>Norwegian</w:t>
      </w:r>
      <w:r w:rsidR="00B13D30">
        <w:t>, Portuguese, Russian, Serbian, Spanish</w:t>
      </w:r>
      <w:r>
        <w:t xml:space="preserve">, </w:t>
      </w:r>
      <w:r w:rsidR="00142DF5">
        <w:t xml:space="preserve">Turkish, </w:t>
      </w:r>
      <w:r>
        <w:t>Ukrainian</w:t>
      </w:r>
      <w:r w:rsidR="006721F1">
        <w:t>;</w:t>
      </w:r>
      <w:r w:rsidR="00EF478A">
        <w:t xml:space="preserve">  and</w:t>
      </w:r>
    </w:p>
    <w:p w:rsidR="00895DDA" w:rsidRDefault="00895DDA" w:rsidP="00C34503">
      <w:pPr>
        <w:tabs>
          <w:tab w:val="left" w:pos="550"/>
        </w:tabs>
        <w:ind w:left="915"/>
      </w:pPr>
    </w:p>
    <w:p w:rsidR="003232E4" w:rsidRPr="003232E4" w:rsidRDefault="004230A0" w:rsidP="00323FE6">
      <w:pPr>
        <w:numPr>
          <w:ilvl w:val="0"/>
          <w:numId w:val="11"/>
        </w:numPr>
        <w:tabs>
          <w:tab w:val="left" w:pos="284"/>
        </w:tabs>
      </w:pPr>
      <w:r>
        <w:t>20</w:t>
      </w:r>
      <w:r w:rsidR="009B31CB">
        <w:t xml:space="preserve"> </w:t>
      </w:r>
      <w:r w:rsidR="003232E4">
        <w:t xml:space="preserve">participating IP </w:t>
      </w:r>
      <w:r w:rsidR="0009416D">
        <w:t>n</w:t>
      </w:r>
      <w:r w:rsidR="003232E4">
        <w:t xml:space="preserve">ational </w:t>
      </w:r>
      <w:r w:rsidR="0009416D">
        <w:t>or r</w:t>
      </w:r>
      <w:r w:rsidR="003232E4">
        <w:t>egional Offices</w:t>
      </w:r>
      <w:r w:rsidR="00B33C9E">
        <w:t xml:space="preserve"> </w:t>
      </w:r>
      <w:r w:rsidR="000D2E8B">
        <w:t xml:space="preserve">providing acceptance information for display in </w:t>
      </w:r>
      <w:r w:rsidR="009B31CB">
        <w:t>MGS</w:t>
      </w:r>
      <w:r w:rsidR="000D2E8B">
        <w:t>.</w:t>
      </w:r>
      <w:r w:rsidR="003C16DA">
        <w:t xml:space="preserve"> </w:t>
      </w:r>
      <w:r w:rsidR="000D2E8B">
        <w:rPr>
          <w:szCs w:val="22"/>
        </w:rPr>
        <w:t xml:space="preserve"> At</w:t>
      </w:r>
      <w:r w:rsidR="003232E4">
        <w:rPr>
          <w:szCs w:val="22"/>
        </w:rPr>
        <w:t xml:space="preserve"> least partial acceptance</w:t>
      </w:r>
      <w:r w:rsidR="00B33C9E">
        <w:rPr>
          <w:szCs w:val="22"/>
        </w:rPr>
        <w:t xml:space="preserve"> information</w:t>
      </w:r>
      <w:r w:rsidR="003232E4">
        <w:rPr>
          <w:szCs w:val="22"/>
        </w:rPr>
        <w:t xml:space="preserve"> </w:t>
      </w:r>
      <w:r w:rsidR="003052FC">
        <w:rPr>
          <w:szCs w:val="22"/>
        </w:rPr>
        <w:t xml:space="preserve">was </w:t>
      </w:r>
      <w:r w:rsidR="003232E4">
        <w:rPr>
          <w:szCs w:val="22"/>
        </w:rPr>
        <w:t>made available to WIPO by the Offices of, namely</w:t>
      </w:r>
      <w:r w:rsidR="008D4280">
        <w:rPr>
          <w:szCs w:val="22"/>
        </w:rPr>
        <w:t>,</w:t>
      </w:r>
      <w:r w:rsidR="003232E4">
        <w:rPr>
          <w:szCs w:val="22"/>
        </w:rPr>
        <w:t xml:space="preserve"> Austria, </w:t>
      </w:r>
      <w:r w:rsidR="00597452">
        <w:rPr>
          <w:szCs w:val="22"/>
        </w:rPr>
        <w:t xml:space="preserve">Belarus, </w:t>
      </w:r>
      <w:r w:rsidR="003232E4">
        <w:rPr>
          <w:szCs w:val="22"/>
        </w:rPr>
        <w:t xml:space="preserve">Benelux, China, </w:t>
      </w:r>
      <w:r w:rsidR="00597452">
        <w:rPr>
          <w:szCs w:val="22"/>
        </w:rPr>
        <w:t xml:space="preserve">the European Union, </w:t>
      </w:r>
      <w:r w:rsidR="003232E4">
        <w:rPr>
          <w:szCs w:val="22"/>
        </w:rPr>
        <w:t>Germany,</w:t>
      </w:r>
      <w:r w:rsidR="00C2124A">
        <w:rPr>
          <w:szCs w:val="22"/>
        </w:rPr>
        <w:t xml:space="preserve"> Israel, Italy, J</w:t>
      </w:r>
      <w:r w:rsidR="003232E4">
        <w:rPr>
          <w:szCs w:val="22"/>
        </w:rPr>
        <w:t xml:space="preserve">apan, </w:t>
      </w:r>
      <w:r>
        <w:rPr>
          <w:szCs w:val="22"/>
        </w:rPr>
        <w:t xml:space="preserve">Mexico, </w:t>
      </w:r>
      <w:r w:rsidR="00597452">
        <w:rPr>
          <w:szCs w:val="22"/>
        </w:rPr>
        <w:t xml:space="preserve">Norway, Portugal, </w:t>
      </w:r>
      <w:r w:rsidR="00721A1F">
        <w:rPr>
          <w:szCs w:val="22"/>
        </w:rPr>
        <w:t>the Republic of Korea</w:t>
      </w:r>
      <w:r w:rsidR="003232E4">
        <w:rPr>
          <w:szCs w:val="22"/>
        </w:rPr>
        <w:t xml:space="preserve">, Serbia, the Russian Federation, Singapore, </w:t>
      </w:r>
      <w:r w:rsidR="00597452">
        <w:rPr>
          <w:szCs w:val="22"/>
        </w:rPr>
        <w:t xml:space="preserve">Switzerland, </w:t>
      </w:r>
      <w:r w:rsidR="003232E4">
        <w:rPr>
          <w:szCs w:val="22"/>
        </w:rPr>
        <w:t>Turkey, Ukraine and the United States of America.</w:t>
      </w:r>
    </w:p>
    <w:p w:rsidR="00730B07" w:rsidRDefault="00730B07" w:rsidP="0009416D">
      <w:pPr>
        <w:tabs>
          <w:tab w:val="left" w:pos="550"/>
        </w:tabs>
        <w:ind w:left="915"/>
      </w:pPr>
    </w:p>
    <w:p w:rsidR="00073835" w:rsidRDefault="00073835" w:rsidP="00073835">
      <w:r>
        <w:fldChar w:fldCharType="begin"/>
      </w:r>
      <w:r>
        <w:instrText xml:space="preserve"> AUTONUM  </w:instrText>
      </w:r>
      <w:r>
        <w:fldChar w:fldCharType="end"/>
      </w:r>
      <w:r w:rsidR="00721A1F">
        <w:tab/>
        <w:t>On January 1, 2016</w:t>
      </w:r>
      <w:r>
        <w:t>, the MGS Database was</w:t>
      </w:r>
      <w:r w:rsidR="00721A1F">
        <w:t xml:space="preserve"> brought into line with the 2016</w:t>
      </w:r>
      <w:r>
        <w:t xml:space="preserve"> version of the tenth edition of the Nice Classification.  Updates were integrated in the 1</w:t>
      </w:r>
      <w:r w:rsidR="004230A0">
        <w:t>7</w:t>
      </w:r>
      <w:r>
        <w:t xml:space="preserve"> languages then </w:t>
      </w:r>
      <w:r w:rsidR="00721A1F">
        <w:t>available online</w:t>
      </w:r>
      <w:r>
        <w:t>.</w:t>
      </w:r>
    </w:p>
    <w:p w:rsidR="00073835" w:rsidRDefault="00073835" w:rsidP="00073835"/>
    <w:p w:rsidR="00607C24" w:rsidRDefault="00607C24" w:rsidP="00073835"/>
    <w:p w:rsidR="00607C24" w:rsidRDefault="00607C24" w:rsidP="00607C24">
      <w:r>
        <w:t>COOPERATION</w:t>
      </w:r>
    </w:p>
    <w:p w:rsidR="00985BDC" w:rsidRDefault="00985BDC" w:rsidP="00607C24"/>
    <w:p w:rsidR="009B0995" w:rsidRDefault="007740BA" w:rsidP="00675ED0">
      <w:pPr>
        <w:numPr>
          <w:ilvl w:val="0"/>
          <w:numId w:val="14"/>
        </w:numPr>
        <w:ind w:left="0" w:firstLine="0"/>
      </w:pPr>
      <w:r>
        <w:t>Between June</w:t>
      </w:r>
      <w:r w:rsidR="00607C24">
        <w:t xml:space="preserve"> 2015</w:t>
      </w:r>
      <w:r>
        <w:t xml:space="preserve"> and May 2016</w:t>
      </w:r>
      <w:r w:rsidR="00607C24">
        <w:t xml:space="preserve">, </w:t>
      </w:r>
      <w:r>
        <w:t>s</w:t>
      </w:r>
      <w:r w:rsidR="00A205D5">
        <w:t>even new countries joined</w:t>
      </w:r>
      <w:r>
        <w:t xml:space="preserve"> the list of MGS</w:t>
      </w:r>
      <w:r w:rsidR="00F51AC6">
        <w:noBreakHyphen/>
      </w:r>
      <w:r>
        <w:t>participating countries, thus bringing the number of Contracting Parties of the Madrid System displaying acceptance information in MGS to a total of twenty-seven.</w:t>
      </w:r>
    </w:p>
    <w:p w:rsidR="009B0995" w:rsidRDefault="009B0995" w:rsidP="00675ED0"/>
    <w:p w:rsidR="00EA3FAA" w:rsidRDefault="005D679B" w:rsidP="00EA3FAA">
      <w:pPr>
        <w:numPr>
          <w:ilvl w:val="0"/>
          <w:numId w:val="14"/>
        </w:numPr>
        <w:tabs>
          <w:tab w:val="left" w:pos="540"/>
        </w:tabs>
        <w:ind w:left="0" w:firstLine="0"/>
        <w:rPr>
          <w:szCs w:val="22"/>
        </w:rPr>
      </w:pPr>
      <w:r>
        <w:t>A</w:t>
      </w:r>
      <w:r w:rsidR="00EA3FAA">
        <w:t xml:space="preserve">cceptance information provided by MGS-participating countries is used </w:t>
      </w:r>
      <w:r w:rsidR="00EA3FAA">
        <w:rPr>
          <w:szCs w:val="22"/>
        </w:rPr>
        <w:t>in the WIPO</w:t>
      </w:r>
      <w:r w:rsidR="00F51AC6">
        <w:rPr>
          <w:szCs w:val="22"/>
        </w:rPr>
        <w:noBreakHyphen/>
      </w:r>
      <w:r w:rsidR="00EA3FAA">
        <w:rPr>
          <w:szCs w:val="22"/>
        </w:rPr>
        <w:t xml:space="preserve">exclusive function </w:t>
      </w:r>
      <w:r w:rsidR="00EA3FAA" w:rsidRPr="009B31CB">
        <w:rPr>
          <w:szCs w:val="22"/>
        </w:rPr>
        <w:t>“</w:t>
      </w:r>
      <w:r w:rsidR="00EA3FAA" w:rsidRPr="009B31CB">
        <w:rPr>
          <w:bCs/>
          <w:szCs w:val="22"/>
        </w:rPr>
        <w:t>Check acceptance by designated Contracting Party (</w:t>
      </w:r>
      <w:proofErr w:type="spellStart"/>
      <w:r w:rsidR="00EA3FAA" w:rsidRPr="009B31CB">
        <w:rPr>
          <w:bCs/>
          <w:szCs w:val="22"/>
        </w:rPr>
        <w:t>dCP</w:t>
      </w:r>
      <w:proofErr w:type="spellEnd"/>
      <w:r w:rsidR="00EA3FAA" w:rsidRPr="009B31CB">
        <w:rPr>
          <w:szCs w:val="22"/>
        </w:rPr>
        <w:t>)”</w:t>
      </w:r>
      <w:r>
        <w:rPr>
          <w:szCs w:val="22"/>
        </w:rPr>
        <w:t>.</w:t>
      </w:r>
      <w:r w:rsidR="00707889">
        <w:rPr>
          <w:szCs w:val="22"/>
        </w:rPr>
        <w:t xml:space="preserve"> </w:t>
      </w:r>
      <w:r>
        <w:rPr>
          <w:szCs w:val="22"/>
        </w:rPr>
        <w:t xml:space="preserve"> This function </w:t>
      </w:r>
      <w:r w:rsidR="00EA3FAA" w:rsidRPr="009B31CB">
        <w:rPr>
          <w:szCs w:val="22"/>
        </w:rPr>
        <w:t>enables a trademark applicant to know</w:t>
      </w:r>
      <w:r w:rsidR="00EA3FAA">
        <w:rPr>
          <w:szCs w:val="22"/>
        </w:rPr>
        <w:t>,</w:t>
      </w:r>
      <w:r w:rsidR="00EA3FAA" w:rsidRPr="009B31CB">
        <w:rPr>
          <w:szCs w:val="22"/>
        </w:rPr>
        <w:t xml:space="preserve"> </w:t>
      </w:r>
      <w:r w:rsidR="00EA3FAA">
        <w:rPr>
          <w:szCs w:val="22"/>
        </w:rPr>
        <w:t>not only that a term accepted by the International Bureau will be accepted in a designated Contracting Party (</w:t>
      </w:r>
      <w:proofErr w:type="spellStart"/>
      <w:r w:rsidR="00EA3FAA">
        <w:rPr>
          <w:szCs w:val="22"/>
        </w:rPr>
        <w:t>dCP</w:t>
      </w:r>
      <w:proofErr w:type="spellEnd"/>
      <w:r w:rsidR="00EA3FAA">
        <w:rPr>
          <w:szCs w:val="22"/>
        </w:rPr>
        <w:t>) but, most importantly, that terms can be</w:t>
      </w:r>
      <w:r w:rsidR="00EA3FAA" w:rsidRPr="009B31CB">
        <w:rPr>
          <w:szCs w:val="22"/>
        </w:rPr>
        <w:t xml:space="preserve"> </w:t>
      </w:r>
      <w:r w:rsidR="00EA3FAA">
        <w:rPr>
          <w:szCs w:val="22"/>
        </w:rPr>
        <w:t>rejected by certain</w:t>
      </w:r>
      <w:r w:rsidR="00EA3FAA" w:rsidRPr="009B31CB">
        <w:rPr>
          <w:szCs w:val="22"/>
        </w:rPr>
        <w:t xml:space="preserve"> Contracting Part</w:t>
      </w:r>
      <w:r w:rsidR="00EA3FAA">
        <w:rPr>
          <w:szCs w:val="22"/>
        </w:rPr>
        <w:t>ies and thus</w:t>
      </w:r>
      <w:r w:rsidR="00EA3FAA" w:rsidRPr="009B31CB">
        <w:rPr>
          <w:szCs w:val="22"/>
        </w:rPr>
        <w:t xml:space="preserve"> provoke the communication of a provisional refusal from that Contracting Party</w:t>
      </w:r>
      <w:r w:rsidR="00EA3FAA">
        <w:rPr>
          <w:szCs w:val="22"/>
        </w:rPr>
        <w:t>.</w:t>
      </w:r>
    </w:p>
    <w:p w:rsidR="009B0995" w:rsidRDefault="009B0995" w:rsidP="00EA3FAA"/>
    <w:p w:rsidR="00A639B7" w:rsidRDefault="005D679B" w:rsidP="00AA3030">
      <w:pPr>
        <w:numPr>
          <w:ilvl w:val="0"/>
          <w:numId w:val="14"/>
        </w:numPr>
        <w:tabs>
          <w:tab w:val="left" w:pos="540"/>
        </w:tabs>
        <w:ind w:left="0" w:firstLine="0"/>
      </w:pPr>
      <w:r w:rsidRPr="005D679B">
        <w:rPr>
          <w:szCs w:val="22"/>
        </w:rPr>
        <w:t>D</w:t>
      </w:r>
      <w:r w:rsidR="00A639B7" w:rsidRPr="005D679B">
        <w:rPr>
          <w:szCs w:val="22"/>
        </w:rPr>
        <w:t>ue to the global coverage of the Madrid System, and although the increased use of MGS should facilitate, in time, the harmonization of trademark classification practices among Member States, reasons exist for terms not to be accepted in all possible designated Contracting Parties (</w:t>
      </w:r>
      <w:proofErr w:type="spellStart"/>
      <w:r w:rsidR="00A639B7" w:rsidRPr="005D679B">
        <w:rPr>
          <w:szCs w:val="22"/>
        </w:rPr>
        <w:t>dCP</w:t>
      </w:r>
      <w:proofErr w:type="spellEnd"/>
      <w:r w:rsidR="00A639B7" w:rsidRPr="005D679B">
        <w:rPr>
          <w:szCs w:val="22"/>
        </w:rPr>
        <w:t xml:space="preserve">) of the Madrid System, such as requirements in terms of specificity for describing goods and services in some jurisdictions, or the existence of specific national laws </w:t>
      </w:r>
      <w:r>
        <w:t>prohibiting the use of certain terms.</w:t>
      </w:r>
    </w:p>
    <w:p w:rsidR="003E45E5" w:rsidRDefault="003E45E5" w:rsidP="003E45E5"/>
    <w:p w:rsidR="00CA3CCE" w:rsidRDefault="00607C24" w:rsidP="00A205D5">
      <w:pPr>
        <w:numPr>
          <w:ilvl w:val="0"/>
          <w:numId w:val="14"/>
        </w:numPr>
        <w:ind w:left="0" w:firstLine="0"/>
      </w:pPr>
      <w:r>
        <w:t xml:space="preserve"> </w:t>
      </w:r>
      <w:r w:rsidR="00A205D5">
        <w:t>The seven new participating countries</w:t>
      </w:r>
      <w:r w:rsidR="009B0995">
        <w:t>, for which acceptance information was made available in the MGS</w:t>
      </w:r>
      <w:r w:rsidR="008F43A8">
        <w:t xml:space="preserve"> </w:t>
      </w:r>
      <w:r w:rsidR="009B0995">
        <w:t xml:space="preserve">function </w:t>
      </w:r>
      <w:r w:rsidR="009B0995" w:rsidRPr="009B31CB">
        <w:rPr>
          <w:szCs w:val="22"/>
        </w:rPr>
        <w:t>“</w:t>
      </w:r>
      <w:r w:rsidR="009B0995" w:rsidRPr="009B31CB">
        <w:rPr>
          <w:bCs/>
          <w:szCs w:val="22"/>
        </w:rPr>
        <w:t>Check acceptance by designated Contracting Party (</w:t>
      </w:r>
      <w:proofErr w:type="spellStart"/>
      <w:r w:rsidR="009B0995" w:rsidRPr="009B31CB">
        <w:rPr>
          <w:bCs/>
          <w:szCs w:val="22"/>
        </w:rPr>
        <w:t>dCP</w:t>
      </w:r>
      <w:proofErr w:type="spellEnd"/>
      <w:r w:rsidR="009B0995" w:rsidRPr="009B31CB">
        <w:rPr>
          <w:szCs w:val="22"/>
        </w:rPr>
        <w:t>)”</w:t>
      </w:r>
      <w:r w:rsidR="00382146">
        <w:t xml:space="preserve"> a</w:t>
      </w:r>
      <w:r w:rsidR="00A205D5">
        <w:t>re:</w:t>
      </w:r>
    </w:p>
    <w:p w:rsidR="00CA3CCE" w:rsidRDefault="00CA3CCE" w:rsidP="00CA3CCE">
      <w:pPr>
        <w:pStyle w:val="ListParagraph"/>
      </w:pPr>
    </w:p>
    <w:p w:rsidR="00CA3CCE" w:rsidRDefault="00CA3CCE" w:rsidP="00CA3CCE">
      <w:pPr>
        <w:pStyle w:val="ListParagraph"/>
        <w:numPr>
          <w:ilvl w:val="0"/>
          <w:numId w:val="19"/>
        </w:numPr>
      </w:pPr>
      <w:r>
        <w:t>Estonia (EE) -</w:t>
      </w:r>
      <w:r w:rsidR="00A758F5">
        <w:t xml:space="preserve"> </w:t>
      </w:r>
      <w:r>
        <w:t>June 2015</w:t>
      </w:r>
    </w:p>
    <w:p w:rsidR="00CA3CCE" w:rsidRDefault="00CA3CCE" w:rsidP="00CA3CCE">
      <w:pPr>
        <w:pStyle w:val="ListParagraph"/>
        <w:numPr>
          <w:ilvl w:val="0"/>
          <w:numId w:val="19"/>
        </w:numPr>
      </w:pPr>
      <w:r>
        <w:t>Finland (FI) - September 2015</w:t>
      </w:r>
    </w:p>
    <w:p w:rsidR="00CA3CCE" w:rsidRDefault="00CA3CCE" w:rsidP="00CA3CCE">
      <w:pPr>
        <w:pStyle w:val="ListParagraph"/>
        <w:numPr>
          <w:ilvl w:val="0"/>
          <w:numId w:val="19"/>
        </w:numPr>
      </w:pPr>
      <w:r>
        <w:t>Col</w:t>
      </w:r>
      <w:r w:rsidR="00330006">
        <w:t>o</w:t>
      </w:r>
      <w:r>
        <w:t>mbia  (CO) - October 2015</w:t>
      </w:r>
    </w:p>
    <w:p w:rsidR="00CA3CCE" w:rsidRDefault="00CA3CCE" w:rsidP="00CA3CCE">
      <w:pPr>
        <w:pStyle w:val="ListParagraph"/>
        <w:numPr>
          <w:ilvl w:val="0"/>
          <w:numId w:val="19"/>
        </w:numPr>
      </w:pPr>
      <w:r>
        <w:t>Denmark  (DK) - November 2015</w:t>
      </w:r>
    </w:p>
    <w:p w:rsidR="00142DF5" w:rsidRDefault="00142DF5" w:rsidP="00142DF5"/>
    <w:p w:rsidR="00142DF5" w:rsidRDefault="00142DF5" w:rsidP="00142DF5"/>
    <w:p w:rsidR="00C75C92" w:rsidRDefault="00C75C92" w:rsidP="00142DF5"/>
    <w:p w:rsidR="00CA3CCE" w:rsidRDefault="00CA3CCE" w:rsidP="00CA3CCE">
      <w:pPr>
        <w:pStyle w:val="ListParagraph"/>
        <w:numPr>
          <w:ilvl w:val="0"/>
          <w:numId w:val="19"/>
        </w:numPr>
      </w:pPr>
      <w:r>
        <w:t>Sweden (SE) – December 2015</w:t>
      </w:r>
    </w:p>
    <w:p w:rsidR="00CA3CCE" w:rsidRDefault="00CA3CCE" w:rsidP="00CA3CCE">
      <w:pPr>
        <w:pStyle w:val="ListParagraph"/>
        <w:numPr>
          <w:ilvl w:val="0"/>
          <w:numId w:val="19"/>
        </w:numPr>
      </w:pPr>
      <w:r>
        <w:t>United Kingdom (GB) – December 2015</w:t>
      </w:r>
    </w:p>
    <w:p w:rsidR="00DB2634" w:rsidRDefault="00CA3CCE" w:rsidP="00CA3CCE">
      <w:pPr>
        <w:pStyle w:val="ListParagraph"/>
        <w:numPr>
          <w:ilvl w:val="0"/>
          <w:numId w:val="19"/>
        </w:numPr>
      </w:pPr>
      <w:r>
        <w:t>Mongolia (MN) – April 2016</w:t>
      </w:r>
    </w:p>
    <w:p w:rsidR="00655D94" w:rsidRDefault="00655D94" w:rsidP="00CA3CCE"/>
    <w:p w:rsidR="00BD2665" w:rsidRDefault="00BD2665" w:rsidP="00CA3CCE"/>
    <w:p w:rsidR="008F43A8" w:rsidRDefault="008F43A8" w:rsidP="00CA3CCE">
      <w:r>
        <w:t>LINGUISTIC DIVERSITY</w:t>
      </w:r>
    </w:p>
    <w:p w:rsidR="00675ED0" w:rsidRDefault="00675ED0" w:rsidP="00CA3CCE"/>
    <w:p w:rsidR="008F43A8" w:rsidRDefault="0029064B" w:rsidP="0029064B">
      <w:pPr>
        <w:numPr>
          <w:ilvl w:val="0"/>
          <w:numId w:val="14"/>
        </w:numPr>
        <w:ind w:left="0" w:firstLine="0"/>
      </w:pPr>
      <w:r>
        <w:t xml:space="preserve">In </w:t>
      </w:r>
      <w:r w:rsidR="007A1DF5">
        <w:t>April 2016</w:t>
      </w:r>
      <w:r>
        <w:t xml:space="preserve">, thanks to the cooperation established with </w:t>
      </w:r>
      <w:r>
        <w:rPr>
          <w:szCs w:val="22"/>
        </w:rPr>
        <w:t xml:space="preserve">the Intellectual Property </w:t>
      </w:r>
      <w:r w:rsidR="007A1DF5">
        <w:rPr>
          <w:szCs w:val="22"/>
        </w:rPr>
        <w:t>Off</w:t>
      </w:r>
      <w:r>
        <w:rPr>
          <w:szCs w:val="22"/>
        </w:rPr>
        <w:t xml:space="preserve">ice of </w:t>
      </w:r>
      <w:r w:rsidR="007A1DF5">
        <w:rPr>
          <w:szCs w:val="22"/>
        </w:rPr>
        <w:t>Mongolia (IPOM)</w:t>
      </w:r>
      <w:r>
        <w:rPr>
          <w:szCs w:val="22"/>
        </w:rPr>
        <w:t xml:space="preserve">, </w:t>
      </w:r>
      <w:r>
        <w:t xml:space="preserve">the </w:t>
      </w:r>
      <w:r w:rsidR="007A1DF5">
        <w:t>Mongol</w:t>
      </w:r>
      <w:r>
        <w:t xml:space="preserve">ian language interface was implemented in MGS as the </w:t>
      </w:r>
      <w:r w:rsidR="007A1DF5">
        <w:t>eighteenth</w:t>
      </w:r>
      <w:r w:rsidR="00597452">
        <w:t xml:space="preserve"> </w:t>
      </w:r>
      <w:r>
        <w:t>language</w:t>
      </w:r>
      <w:r w:rsidR="00BA6026">
        <w:t>.</w:t>
      </w:r>
      <w:r w:rsidR="003A3606">
        <w:t xml:space="preserve"> </w:t>
      </w:r>
      <w:r w:rsidR="00BA6026">
        <w:t xml:space="preserve"> </w:t>
      </w:r>
    </w:p>
    <w:p w:rsidR="00932B9E" w:rsidRDefault="00932B9E" w:rsidP="00675ED0"/>
    <w:p w:rsidR="008F43A8" w:rsidRDefault="00932B9E" w:rsidP="00F93611">
      <w:pPr>
        <w:numPr>
          <w:ilvl w:val="0"/>
          <w:numId w:val="14"/>
        </w:numPr>
        <w:ind w:left="0" w:firstLine="0"/>
      </w:pPr>
      <w:r>
        <w:t>T</w:t>
      </w:r>
      <w:r w:rsidR="008F43A8">
        <w:t>he 18 language interfaces available in MGS as of April 2016 are:</w:t>
      </w:r>
      <w:r w:rsidR="0068778E">
        <w:t xml:space="preserve">  Arabic, Chinese, Dutch, English, French, German, Hebrew, Italian, Japanese, Korean, Mongolian, Norwegian, Portuguese, Russian, Serbian, Spanish, Turkish, Ukrainian.</w:t>
      </w:r>
    </w:p>
    <w:p w:rsidR="008F43A8" w:rsidRDefault="008F43A8" w:rsidP="00AA3030"/>
    <w:p w:rsidR="0029064B" w:rsidRDefault="00BA6026" w:rsidP="0029064B">
      <w:pPr>
        <w:numPr>
          <w:ilvl w:val="0"/>
          <w:numId w:val="14"/>
        </w:numPr>
        <w:ind w:left="0" w:firstLine="0"/>
      </w:pPr>
      <w:r>
        <w:t>For the time being</w:t>
      </w:r>
      <w:r w:rsidR="0029064B">
        <w:t xml:space="preserve">, the </w:t>
      </w:r>
      <w:r w:rsidR="007A1DF5">
        <w:t>Mongol</w:t>
      </w:r>
      <w:r w:rsidR="0029064B">
        <w:t xml:space="preserve">ian interface only gives access to </w:t>
      </w:r>
      <w:r w:rsidR="00CA3CCE">
        <w:t>a</w:t>
      </w:r>
      <w:r w:rsidR="0029064B">
        <w:t xml:space="preserve"> </w:t>
      </w:r>
      <w:r w:rsidR="007A1DF5">
        <w:t>Mongol</w:t>
      </w:r>
      <w:r w:rsidR="0029064B">
        <w:t xml:space="preserve">ian </w:t>
      </w:r>
      <w:r w:rsidR="00CA3CCE">
        <w:t>database limited to</w:t>
      </w:r>
      <w:r w:rsidR="0029064B">
        <w:t xml:space="preserve"> the </w:t>
      </w:r>
      <w:r w:rsidR="00597452">
        <w:t xml:space="preserve">Nice </w:t>
      </w:r>
      <w:r w:rsidR="0029064B">
        <w:t xml:space="preserve">Classification alphabetical list, but </w:t>
      </w:r>
      <w:r w:rsidR="007A1DF5">
        <w:t>IPOM</w:t>
      </w:r>
      <w:r w:rsidR="0029064B">
        <w:t xml:space="preserve"> indicated its willingness to continue translating the rest of the MGS Database in order to increase its usefulness for </w:t>
      </w:r>
      <w:r w:rsidR="007740BA">
        <w:t>Mongol</w:t>
      </w:r>
      <w:r w:rsidR="0029064B">
        <w:t>ian applicants.</w:t>
      </w:r>
    </w:p>
    <w:p w:rsidR="00675ED0" w:rsidRDefault="00675ED0" w:rsidP="00675ED0"/>
    <w:p w:rsidR="00675ED0" w:rsidRDefault="00675ED0" w:rsidP="0029064B">
      <w:pPr>
        <w:numPr>
          <w:ilvl w:val="0"/>
          <w:numId w:val="14"/>
        </w:numPr>
        <w:ind w:left="0" w:firstLine="0"/>
      </w:pPr>
      <w:r>
        <w:t xml:space="preserve">It is worth noting that most of the languages available in MGS to help national users both for national and international trademark filing are non-European </w:t>
      </w:r>
      <w:r w:rsidR="001E1E48">
        <w:t>languages</w:t>
      </w:r>
      <w:r>
        <w:t xml:space="preserve"> and that cooperation is under way to add further non-European languages, reflecting the global reach of WIPO services.</w:t>
      </w:r>
    </w:p>
    <w:p w:rsidR="00286A91" w:rsidRDefault="00286A91" w:rsidP="00286A91">
      <w:pPr>
        <w:pStyle w:val="ListParagraph"/>
      </w:pPr>
    </w:p>
    <w:p w:rsidR="00286A91" w:rsidRDefault="00286A91" w:rsidP="00286A91">
      <w:pPr>
        <w:pStyle w:val="ListParagraph"/>
      </w:pPr>
    </w:p>
    <w:p w:rsidR="00286A91" w:rsidRDefault="00286A91" w:rsidP="00286A91">
      <w:pPr>
        <w:rPr>
          <w:szCs w:val="22"/>
        </w:rPr>
      </w:pPr>
      <w:r>
        <w:rPr>
          <w:szCs w:val="22"/>
        </w:rPr>
        <w:t>RELEASE OF NEW FUNCTIONALITIES</w:t>
      </w:r>
    </w:p>
    <w:p w:rsidR="00286A91" w:rsidRDefault="00286A91" w:rsidP="00286A91">
      <w:pPr>
        <w:pStyle w:val="ListParagraph"/>
      </w:pPr>
    </w:p>
    <w:p w:rsidR="00286A91" w:rsidRDefault="00286A91" w:rsidP="0029064B">
      <w:pPr>
        <w:numPr>
          <w:ilvl w:val="0"/>
          <w:numId w:val="14"/>
        </w:numPr>
        <w:ind w:left="0" w:firstLine="0"/>
      </w:pPr>
      <w:r>
        <w:t>In March 2016, a new version of MGS was made available on the WIPO website.</w:t>
      </w:r>
      <w:r w:rsidR="00CD5DF6">
        <w:t xml:space="preserve"> </w:t>
      </w:r>
      <w:r>
        <w:t xml:space="preserve"> This version brought about improvements and new functionalities meant to enhance </w:t>
      </w:r>
      <w:r w:rsidR="00195679">
        <w:t xml:space="preserve">the </w:t>
      </w:r>
      <w:r>
        <w:t>usefulness of MGS and access to classification related information.</w:t>
      </w:r>
    </w:p>
    <w:p w:rsidR="00286A91" w:rsidRDefault="00286A91" w:rsidP="00286A91"/>
    <w:p w:rsidR="00286A91" w:rsidRPr="00EB1B1E" w:rsidRDefault="00286A91" w:rsidP="0029064B">
      <w:pPr>
        <w:numPr>
          <w:ilvl w:val="0"/>
          <w:numId w:val="14"/>
        </w:numPr>
        <w:ind w:left="0" w:firstLine="0"/>
      </w:pPr>
      <w:r>
        <w:t xml:space="preserve">The </w:t>
      </w:r>
      <w:r w:rsidRPr="00757D28">
        <w:t xml:space="preserve">Explanatory Notes </w:t>
      </w:r>
      <w:r>
        <w:t>of the Nice Classification were made accessible for the first time in all language interfaces of MGS</w:t>
      </w:r>
      <w:r w:rsidR="009D461D">
        <w:t>,</w:t>
      </w:r>
      <w:r w:rsidR="005E1249">
        <w:t xml:space="preserve"> thus giving access to important trademark classification guidance to applicants </w:t>
      </w:r>
      <w:r w:rsidR="009D461D">
        <w:t>in their national language</w:t>
      </w:r>
      <w:r>
        <w:t>.</w:t>
      </w:r>
      <w:r w:rsidR="00655D94">
        <w:t xml:space="preserve"> </w:t>
      </w:r>
      <w:r>
        <w:t xml:space="preserve"> </w:t>
      </w:r>
      <w:proofErr w:type="spellStart"/>
      <w:r w:rsidR="00195679" w:rsidRPr="00AA3030">
        <w:rPr>
          <w:szCs w:val="22"/>
        </w:rPr>
        <w:t>T</w:t>
      </w:r>
      <w:r w:rsidRPr="00AA3030">
        <w:rPr>
          <w:szCs w:val="22"/>
          <w:lang w:val="en"/>
        </w:rPr>
        <w:t>he</w:t>
      </w:r>
      <w:proofErr w:type="spellEnd"/>
      <w:r w:rsidRPr="00AA3030">
        <w:rPr>
          <w:szCs w:val="22"/>
          <w:lang w:val="en"/>
        </w:rPr>
        <w:t xml:space="preserve"> Explanatory Notes relating to the various classes provide useful information to ascertain the correct classification of a good or a service</w:t>
      </w:r>
      <w:r w:rsidR="00734DDC" w:rsidRPr="00AA3030">
        <w:rPr>
          <w:szCs w:val="22"/>
          <w:lang w:val="en"/>
        </w:rPr>
        <w:t xml:space="preserve"> and </w:t>
      </w:r>
      <w:r w:rsidRPr="00AA3030">
        <w:rPr>
          <w:szCs w:val="22"/>
          <w:lang w:val="en"/>
        </w:rPr>
        <w:t>complement the information provided by the general indications of the class headings associated with the various classes of the Nice Classification.</w:t>
      </w:r>
    </w:p>
    <w:p w:rsidR="00286A91" w:rsidRPr="00EB1B1E" w:rsidRDefault="00286A91" w:rsidP="00286A91">
      <w:pPr>
        <w:pStyle w:val="ListParagraph"/>
      </w:pPr>
    </w:p>
    <w:p w:rsidR="00607C24" w:rsidRDefault="0022014C" w:rsidP="00607C24">
      <w:pPr>
        <w:numPr>
          <w:ilvl w:val="0"/>
          <w:numId w:val="14"/>
        </w:numPr>
        <w:ind w:left="0" w:firstLine="0"/>
      </w:pPr>
      <w:r>
        <w:t>The Similar Group Codes used by the Japan Patent Office (JPO) and the Korean Intellectual Property Office (KIPO) were made accessible for the first time in MGS.</w:t>
      </w:r>
      <w:r w:rsidR="00EB1B1E">
        <w:t xml:space="preserve"> </w:t>
      </w:r>
      <w:r>
        <w:t xml:space="preserve"> These Japanese and Korean codes define two different granular taxonomies associated with groups of goods or services that are deemed to be similar to each other in trademark </w:t>
      </w:r>
      <w:r w:rsidR="00A920DC" w:rsidRPr="00794B65">
        <w:t xml:space="preserve">relative grounds </w:t>
      </w:r>
      <w:r>
        <w:t xml:space="preserve">examination.  Trademark applicants in Japan and the Republic of Korea are encouraged to refer to these codes before filing a trademark application in order to identify the existence of similar registered trademarks.  </w:t>
      </w:r>
    </w:p>
    <w:p w:rsidR="00BD2665" w:rsidRDefault="00BD2665" w:rsidP="00A920DC">
      <w:pPr>
        <w:pStyle w:val="ListParagraph"/>
      </w:pPr>
    </w:p>
    <w:p w:rsidR="00607C24" w:rsidRDefault="00A920DC" w:rsidP="00607C24">
      <w:pPr>
        <w:numPr>
          <w:ilvl w:val="0"/>
          <w:numId w:val="14"/>
        </w:numPr>
        <w:ind w:left="0" w:firstLine="0"/>
      </w:pPr>
      <w:r>
        <w:t xml:space="preserve">It is worth noting that non-Asian users also </w:t>
      </w:r>
      <w:r w:rsidRPr="00794B65">
        <w:t>ben</w:t>
      </w:r>
      <w:r>
        <w:t>efit from access to the Asian</w:t>
      </w:r>
      <w:r w:rsidRPr="00794B65">
        <w:t xml:space="preserve"> similar group codes</w:t>
      </w:r>
      <w:r>
        <w:t xml:space="preserve"> </w:t>
      </w:r>
      <w:r w:rsidR="00195679">
        <w:t>because</w:t>
      </w:r>
      <w:r>
        <w:t xml:space="preserve"> these codes can </w:t>
      </w:r>
      <w:r w:rsidRPr="00794B65">
        <w:t>faci</w:t>
      </w:r>
      <w:r>
        <w:t>litate</w:t>
      </w:r>
      <w:r w:rsidRPr="00794B65">
        <w:t xml:space="preserve"> prior mark similarity searches before </w:t>
      </w:r>
      <w:r>
        <w:t>filing</w:t>
      </w:r>
      <w:r w:rsidRPr="00794B65">
        <w:t xml:space="preserve"> an </w:t>
      </w:r>
      <w:r>
        <w:t xml:space="preserve">international </w:t>
      </w:r>
      <w:r w:rsidRPr="00794B65">
        <w:t>application</w:t>
      </w:r>
      <w:r>
        <w:t xml:space="preserve"> in which Japan or the Republic of Korea is designated.</w:t>
      </w:r>
    </w:p>
    <w:p w:rsidR="00DB2634" w:rsidRDefault="00DB2634" w:rsidP="00607C24">
      <w:pPr>
        <w:pStyle w:val="ListParagraph"/>
        <w:ind w:hanging="720"/>
      </w:pPr>
    </w:p>
    <w:p w:rsidR="00142DF5" w:rsidRDefault="00142DF5" w:rsidP="00607C24">
      <w:pPr>
        <w:pStyle w:val="ListParagraph"/>
        <w:ind w:hanging="720"/>
      </w:pPr>
    </w:p>
    <w:p w:rsidR="00142DF5" w:rsidRDefault="00142DF5" w:rsidP="00607C24">
      <w:pPr>
        <w:pStyle w:val="ListParagraph"/>
        <w:ind w:hanging="720"/>
      </w:pPr>
    </w:p>
    <w:p w:rsidR="00142DF5" w:rsidRDefault="00142DF5" w:rsidP="00607C24">
      <w:pPr>
        <w:pStyle w:val="ListParagraph"/>
        <w:ind w:hanging="720"/>
      </w:pPr>
    </w:p>
    <w:p w:rsidR="00142DF5" w:rsidRDefault="00142DF5" w:rsidP="00607C24">
      <w:pPr>
        <w:pStyle w:val="ListParagraph"/>
        <w:ind w:hanging="720"/>
      </w:pPr>
    </w:p>
    <w:p w:rsidR="00142DF5" w:rsidRDefault="00142DF5" w:rsidP="00607C24">
      <w:pPr>
        <w:pStyle w:val="ListParagraph"/>
        <w:ind w:hanging="720"/>
      </w:pPr>
    </w:p>
    <w:p w:rsidR="00142DF5" w:rsidRDefault="00142DF5" w:rsidP="00607C24">
      <w:pPr>
        <w:pStyle w:val="ListParagraph"/>
        <w:ind w:hanging="720"/>
      </w:pPr>
    </w:p>
    <w:p w:rsidR="00607C24" w:rsidRDefault="00607C24" w:rsidP="00607C24">
      <w:pPr>
        <w:pStyle w:val="ListParagraph"/>
        <w:ind w:hanging="720"/>
      </w:pPr>
      <w:r>
        <w:t>CONTENT OF THE MGS DATABASE</w:t>
      </w:r>
    </w:p>
    <w:p w:rsidR="00607C24" w:rsidRDefault="00607C24" w:rsidP="00607C24">
      <w:pPr>
        <w:pStyle w:val="ListParagraph"/>
      </w:pPr>
    </w:p>
    <w:p w:rsidR="003B3765" w:rsidRDefault="00195679" w:rsidP="00382146">
      <w:pPr>
        <w:numPr>
          <w:ilvl w:val="0"/>
          <w:numId w:val="14"/>
        </w:numPr>
        <w:ind w:left="0" w:firstLine="0"/>
      </w:pPr>
      <w:r>
        <w:t>T</w:t>
      </w:r>
      <w:r w:rsidR="00607C24">
        <w:t xml:space="preserve">he </w:t>
      </w:r>
      <w:r w:rsidR="000D3C95">
        <w:t xml:space="preserve">core language of the MGS </w:t>
      </w:r>
      <w:r w:rsidR="00896D88">
        <w:t>D</w:t>
      </w:r>
      <w:r w:rsidR="000D3C95">
        <w:t>atabase is English</w:t>
      </w:r>
      <w:r>
        <w:t xml:space="preserve"> </w:t>
      </w:r>
      <w:r w:rsidR="000D3C95">
        <w:t>and new goods or services are integrated on the basis of their English descriptions</w:t>
      </w:r>
      <w:r w:rsidR="00966474">
        <w:t>.</w:t>
      </w:r>
      <w:r w:rsidR="00382146">
        <w:t xml:space="preserve"> </w:t>
      </w:r>
      <w:r w:rsidR="00CD5DF6">
        <w:t xml:space="preserve"> </w:t>
      </w:r>
      <w:r w:rsidR="00966474">
        <w:t xml:space="preserve">Over the years, English descriptions of goods and services from various sources have been examined and integrated into the MGS </w:t>
      </w:r>
      <w:r w:rsidR="00330006">
        <w:t>D</w:t>
      </w:r>
      <w:r w:rsidR="00966474" w:rsidRPr="0075180C">
        <w:t xml:space="preserve">atabase. </w:t>
      </w:r>
    </w:p>
    <w:p w:rsidR="003B3765" w:rsidRDefault="003B3765" w:rsidP="003B3765">
      <w:pPr>
        <w:pStyle w:val="ListParagraph"/>
      </w:pPr>
    </w:p>
    <w:p w:rsidR="00AE1888" w:rsidRDefault="00966474" w:rsidP="00AE1888">
      <w:pPr>
        <w:numPr>
          <w:ilvl w:val="0"/>
          <w:numId w:val="14"/>
        </w:numPr>
        <w:ind w:left="0" w:firstLine="0"/>
      </w:pPr>
      <w:r w:rsidRPr="0075180C">
        <w:t>Annex I</w:t>
      </w:r>
      <w:r>
        <w:t xml:space="preserve"> presents the content</w:t>
      </w:r>
      <w:r w:rsidR="00BB75B9">
        <w:t>, as of April 2016,</w:t>
      </w:r>
      <w:r>
        <w:t xml:space="preserve"> of the MGS Database in terms of origin of integrated data</w:t>
      </w:r>
      <w:r w:rsidR="002D5505">
        <w:t>.</w:t>
      </w:r>
      <w:r w:rsidR="001A4843">
        <w:t xml:space="preserve"> </w:t>
      </w:r>
      <w:r w:rsidR="002D5505">
        <w:t xml:space="preserve"> The different sources are</w:t>
      </w:r>
      <w:r w:rsidR="00AE1888">
        <w:t>:</w:t>
      </w:r>
    </w:p>
    <w:p w:rsidR="00AE1888" w:rsidRDefault="00AE1888" w:rsidP="00AE1888">
      <w:pPr>
        <w:pStyle w:val="ListParagraph"/>
      </w:pPr>
    </w:p>
    <w:p w:rsidR="00AE1888" w:rsidRDefault="00AE1888" w:rsidP="00AE1888">
      <w:pPr>
        <w:pStyle w:val="ListParagraph"/>
        <w:numPr>
          <w:ilvl w:val="0"/>
          <w:numId w:val="19"/>
        </w:numPr>
      </w:pPr>
      <w:r>
        <w:t>the Nice Classification</w:t>
      </w:r>
      <w:r w:rsidR="002D5505">
        <w:t xml:space="preserve">, i.e. </w:t>
      </w:r>
      <w:r>
        <w:t>descriptions from the Alphabetical List and from class headings;</w:t>
      </w:r>
    </w:p>
    <w:p w:rsidR="00DB2634" w:rsidRDefault="00DB2634" w:rsidP="00DB2634">
      <w:pPr>
        <w:pStyle w:val="ListParagraph"/>
      </w:pPr>
    </w:p>
    <w:p w:rsidR="00AE1888" w:rsidRDefault="00AE1888" w:rsidP="00AE1888">
      <w:pPr>
        <w:pStyle w:val="ListParagraph"/>
        <w:numPr>
          <w:ilvl w:val="0"/>
          <w:numId w:val="19"/>
        </w:numPr>
      </w:pPr>
      <w:r>
        <w:t>the TM5-ID list</w:t>
      </w:r>
      <w:r w:rsidR="002D5505">
        <w:t>, i.e.</w:t>
      </w:r>
      <w:r>
        <w:t xml:space="preserve"> descriptions from the harmonized list elaborated jointly by the European Union Intellectual Property Office (EUIPO), JPO, KIPO, the State Administration for Industry and Commerce of the People's Republic of China (SAIC) and the United States Patent and Trademark Office (USPTO);</w:t>
      </w:r>
    </w:p>
    <w:p w:rsidR="00DB2634" w:rsidRDefault="00DB2634" w:rsidP="00DB2634">
      <w:pPr>
        <w:pStyle w:val="ListParagraph"/>
      </w:pPr>
    </w:p>
    <w:p w:rsidR="00D954F1" w:rsidRDefault="00D954F1" w:rsidP="00AE1888">
      <w:pPr>
        <w:pStyle w:val="ListParagraph"/>
        <w:numPr>
          <w:ilvl w:val="0"/>
          <w:numId w:val="19"/>
        </w:numPr>
      </w:pPr>
      <w:r>
        <w:t>the USPTO</w:t>
      </w:r>
      <w:r w:rsidR="002D5505">
        <w:t xml:space="preserve"> Manual</w:t>
      </w:r>
      <w:r>
        <w:t>;</w:t>
      </w:r>
    </w:p>
    <w:p w:rsidR="00DB2634" w:rsidRDefault="00DB2634" w:rsidP="00DB2634">
      <w:pPr>
        <w:pStyle w:val="ListParagraph"/>
      </w:pPr>
    </w:p>
    <w:p w:rsidR="00D954F1" w:rsidRDefault="00382146" w:rsidP="00AE1888">
      <w:pPr>
        <w:pStyle w:val="ListParagraph"/>
        <w:numPr>
          <w:ilvl w:val="0"/>
          <w:numId w:val="19"/>
        </w:numPr>
      </w:pPr>
      <w:r>
        <w:t>the European Harmonized D</w:t>
      </w:r>
      <w:r w:rsidR="00D954F1">
        <w:t>atabase</w:t>
      </w:r>
      <w:r w:rsidR="00B63E31">
        <w:t xml:space="preserve"> published in </w:t>
      </w:r>
      <w:proofErr w:type="spellStart"/>
      <w:r w:rsidR="00B63E31">
        <w:t>TMclass</w:t>
      </w:r>
      <w:proofErr w:type="spellEnd"/>
      <w:r w:rsidR="00B63E31">
        <w:t xml:space="preserve"> (EUIPO's classification tool)</w:t>
      </w:r>
      <w:r w:rsidR="00D954F1">
        <w:t>;</w:t>
      </w:r>
      <w:r w:rsidR="00CD5DF6">
        <w:t xml:space="preserve">  and</w:t>
      </w:r>
    </w:p>
    <w:p w:rsidR="00DB2634" w:rsidRDefault="00DB2634" w:rsidP="00DB2634">
      <w:pPr>
        <w:pStyle w:val="ListParagraph"/>
      </w:pPr>
    </w:p>
    <w:p w:rsidR="00D954F1" w:rsidRDefault="00D954F1" w:rsidP="00AE1888">
      <w:pPr>
        <w:pStyle w:val="ListParagraph"/>
        <w:numPr>
          <w:ilvl w:val="0"/>
          <w:numId w:val="19"/>
        </w:numPr>
      </w:pPr>
      <w:r>
        <w:t>"Others"</w:t>
      </w:r>
      <w:r w:rsidR="00382146">
        <w:t xml:space="preserve"> including</w:t>
      </w:r>
      <w:r>
        <w:t xml:space="preserve"> data extracted from other sources</w:t>
      </w:r>
      <w:r w:rsidR="00293BBD">
        <w:t>, mainly on</w:t>
      </w:r>
      <w:r>
        <w:t xml:space="preserve"> the basis of frequency of occurrence in</w:t>
      </w:r>
      <w:r w:rsidR="00293BBD">
        <w:t>,</w:t>
      </w:r>
      <w:r>
        <w:t xml:space="preserve"> e.g.</w:t>
      </w:r>
      <w:r w:rsidR="00293BBD">
        <w:t>,</w:t>
      </w:r>
      <w:r>
        <w:t xml:space="preserve"> the Madrid International Register or international applications received by the International Bureau.</w:t>
      </w:r>
    </w:p>
    <w:p w:rsidR="00966474" w:rsidRDefault="00966474" w:rsidP="00966474">
      <w:pPr>
        <w:pStyle w:val="ListParagraph"/>
      </w:pPr>
    </w:p>
    <w:p w:rsidR="00D954F1" w:rsidRPr="00877BBC" w:rsidRDefault="00D954F1" w:rsidP="00607C24">
      <w:pPr>
        <w:numPr>
          <w:ilvl w:val="0"/>
          <w:numId w:val="14"/>
        </w:numPr>
        <w:ind w:left="0" w:firstLine="0"/>
      </w:pPr>
      <w:r>
        <w:t xml:space="preserve">It is worth noting that </w:t>
      </w:r>
      <w:r w:rsidR="001D3817">
        <w:t xml:space="preserve">some </w:t>
      </w:r>
      <w:r w:rsidR="003D613F">
        <w:t>descriptions of</w:t>
      </w:r>
      <w:r w:rsidR="001D3817">
        <w:t xml:space="preserve"> goods or services originating from external sources are integrated into the MGS database </w:t>
      </w:r>
      <w:r w:rsidR="00DB4C39">
        <w:t xml:space="preserve">but are not proposed in the MGS pick-list of descriptions </w:t>
      </w:r>
      <w:r w:rsidR="004342D8">
        <w:t xml:space="preserve">proposed </w:t>
      </w:r>
      <w:r w:rsidR="00DB4C39">
        <w:t xml:space="preserve">for compiling lists of goods and services. </w:t>
      </w:r>
      <w:r w:rsidR="001A4843">
        <w:t xml:space="preserve"> </w:t>
      </w:r>
      <w:r w:rsidR="00DB4C39">
        <w:t xml:space="preserve">This means that they are not displayed in </w:t>
      </w:r>
      <w:r w:rsidR="00293BBD">
        <w:t xml:space="preserve">the </w:t>
      </w:r>
      <w:r w:rsidR="00DB4C39">
        <w:t xml:space="preserve">results of the Browse and Search functions of </w:t>
      </w:r>
      <w:r w:rsidR="00A639B7">
        <w:t>MGS. They</w:t>
      </w:r>
      <w:r w:rsidR="00DB4C39">
        <w:t xml:space="preserve"> are integrated </w:t>
      </w:r>
      <w:r w:rsidR="001D3817">
        <w:t xml:space="preserve">only for the purpose of indicating that these </w:t>
      </w:r>
      <w:r w:rsidR="003D613F">
        <w:t>descriptions</w:t>
      </w:r>
      <w:r w:rsidR="001D3817">
        <w:t xml:space="preserve"> will be accepted by the I</w:t>
      </w:r>
      <w:r w:rsidR="00142DF5">
        <w:t xml:space="preserve">nternational </w:t>
      </w:r>
      <w:r w:rsidR="001D3817">
        <w:t>B</w:t>
      </w:r>
      <w:r w:rsidR="00142DF5">
        <w:t>ureau</w:t>
      </w:r>
      <w:r w:rsidR="001D3817">
        <w:t xml:space="preserve"> if included in an international application</w:t>
      </w:r>
      <w:r w:rsidR="00DB4C39">
        <w:t xml:space="preserve"> and are displayed as such in the function "Check acceptance by WIPO</w:t>
      </w:r>
      <w:r w:rsidR="006A5A43">
        <w:t>”</w:t>
      </w:r>
      <w:r w:rsidR="00C324E5">
        <w:rPr>
          <w:rStyle w:val="FootnoteReference"/>
        </w:rPr>
        <w:footnoteReference w:id="2"/>
      </w:r>
      <w:r w:rsidR="00142DF5">
        <w:t>.</w:t>
      </w:r>
      <w:r w:rsidR="001D3817">
        <w:t xml:space="preserve"> </w:t>
      </w:r>
      <w:r w:rsidR="00DB4C39">
        <w:t xml:space="preserve"> </w:t>
      </w:r>
      <w:r w:rsidR="00DB4C39" w:rsidRPr="00877BBC">
        <w:t>Most of the time, these</w:t>
      </w:r>
      <w:r w:rsidR="001D3817" w:rsidRPr="00877BBC">
        <w:t xml:space="preserve"> </w:t>
      </w:r>
      <w:r w:rsidR="003D613F" w:rsidRPr="00877BBC">
        <w:t>description</w:t>
      </w:r>
      <w:r w:rsidR="001D3817" w:rsidRPr="00877BBC">
        <w:t>s</w:t>
      </w:r>
      <w:r w:rsidR="00DB4C39" w:rsidRPr="00877BBC">
        <w:t xml:space="preserve"> </w:t>
      </w:r>
      <w:r w:rsidR="001D3817" w:rsidRPr="00877BBC">
        <w:t>are already represented in the database by synonym</w:t>
      </w:r>
      <w:r w:rsidR="00537CF8" w:rsidRPr="00AA3030">
        <w:t>ou</w:t>
      </w:r>
      <w:r w:rsidR="001D3817" w:rsidRPr="00877BBC">
        <w:t>s</w:t>
      </w:r>
      <w:r w:rsidR="003D613F" w:rsidRPr="00877BBC">
        <w:t xml:space="preserve"> descriptions.</w:t>
      </w:r>
    </w:p>
    <w:p w:rsidR="00DB4C39" w:rsidRDefault="00DB4C39" w:rsidP="00DB4C39"/>
    <w:p w:rsidR="003D613F" w:rsidRDefault="00DB4C39" w:rsidP="003D613F">
      <w:pPr>
        <w:numPr>
          <w:ilvl w:val="0"/>
          <w:numId w:val="14"/>
        </w:numPr>
        <w:ind w:left="0" w:firstLine="0"/>
      </w:pPr>
      <w:r>
        <w:t>As of April 2016, 78,197 English descriptions had been reviewed and integrated into the MGS Database, 78</w:t>
      </w:r>
      <w:r w:rsidR="00330006">
        <w:t xml:space="preserve"> per cent </w:t>
      </w:r>
      <w:r>
        <w:t xml:space="preserve">of which being proposed for selection in the MGS pick-list </w:t>
      </w:r>
      <w:r w:rsidR="00BD562F">
        <w:t>and 2</w:t>
      </w:r>
      <w:r w:rsidR="00B358F4">
        <w:t xml:space="preserve">2 per cent </w:t>
      </w:r>
      <w:r w:rsidR="00BD562F">
        <w:t xml:space="preserve">of which being </w:t>
      </w:r>
      <w:r w:rsidR="00195679">
        <w:t>additional</w:t>
      </w:r>
      <w:r w:rsidR="00BD562F">
        <w:t xml:space="preserve"> descriptions used for the validation in "Check acceptance by WIPO".</w:t>
      </w:r>
    </w:p>
    <w:p w:rsidR="00BD562F" w:rsidRDefault="00BD562F" w:rsidP="00BD562F"/>
    <w:p w:rsidR="00BD562F" w:rsidRDefault="003D613F" w:rsidP="00BD562F">
      <w:pPr>
        <w:numPr>
          <w:ilvl w:val="0"/>
          <w:numId w:val="14"/>
        </w:numPr>
        <w:ind w:left="0" w:firstLine="0"/>
      </w:pPr>
      <w:r w:rsidRPr="0075180C">
        <w:t>Annex II presents</w:t>
      </w:r>
      <w:r>
        <w:t xml:space="preserve"> the content of the MGS English Database in terms of distribution between </w:t>
      </w:r>
      <w:r w:rsidR="004342D8">
        <w:t>the MGS pick-list (</w:t>
      </w:r>
      <w:r>
        <w:t>descriptions proposed for selection by applicants</w:t>
      </w:r>
      <w:r w:rsidR="004342D8">
        <w:t>)</w:t>
      </w:r>
      <w:r>
        <w:t xml:space="preserve"> and </w:t>
      </w:r>
      <w:r w:rsidR="004342D8">
        <w:t xml:space="preserve">the </w:t>
      </w:r>
      <w:r w:rsidR="00195679">
        <w:t>additional</w:t>
      </w:r>
      <w:r w:rsidR="004342D8">
        <w:t xml:space="preserve"> set of operationally accepted data (descriptions </w:t>
      </w:r>
      <w:r>
        <w:t>reflect</w:t>
      </w:r>
      <w:r w:rsidR="004342D8">
        <w:t>ing</w:t>
      </w:r>
      <w:r>
        <w:t xml:space="preserve"> the operational </w:t>
      </w:r>
      <w:r w:rsidR="004342D8">
        <w:t>examination flexibility of</w:t>
      </w:r>
      <w:r>
        <w:t xml:space="preserve"> the I</w:t>
      </w:r>
      <w:r w:rsidR="00142DF5">
        <w:t xml:space="preserve">nternational </w:t>
      </w:r>
      <w:r>
        <w:t>B</w:t>
      </w:r>
      <w:r w:rsidR="00142DF5">
        <w:t>ureau</w:t>
      </w:r>
      <w:r w:rsidR="004342D8">
        <w:t>)</w:t>
      </w:r>
      <w:r>
        <w:t>.</w:t>
      </w:r>
    </w:p>
    <w:p w:rsidR="00607C24" w:rsidRDefault="00607C24" w:rsidP="00607C24">
      <w:pPr>
        <w:pStyle w:val="ListParagraph"/>
      </w:pPr>
    </w:p>
    <w:p w:rsidR="00D954F1" w:rsidRDefault="00454D49" w:rsidP="00454D49">
      <w:pPr>
        <w:numPr>
          <w:ilvl w:val="0"/>
          <w:numId w:val="14"/>
        </w:numPr>
        <w:ind w:left="0" w:firstLine="0"/>
      </w:pPr>
      <w:r>
        <w:t xml:space="preserve">It should be noted that in order to limit the translation and validation work by cooperating national Offices to </w:t>
      </w:r>
      <w:r w:rsidR="002E3991">
        <w:t xml:space="preserve">the </w:t>
      </w:r>
      <w:r w:rsidR="00195679">
        <w:t>highest quality</w:t>
      </w:r>
      <w:r>
        <w:t xml:space="preserve"> data, only the descriptions proposed in the MGS pick-list are sent</w:t>
      </w:r>
      <w:r w:rsidR="004342D8">
        <w:t xml:space="preserve"> to Offices</w:t>
      </w:r>
      <w:r>
        <w:t xml:space="preserve"> for translation and/or acceptance checking. </w:t>
      </w:r>
    </w:p>
    <w:p w:rsidR="00142DF5" w:rsidRDefault="00142DF5" w:rsidP="00142DF5">
      <w:pPr>
        <w:pStyle w:val="ListParagraph"/>
      </w:pPr>
    </w:p>
    <w:p w:rsidR="00142DF5" w:rsidRDefault="00142DF5" w:rsidP="00142DF5"/>
    <w:p w:rsidR="00454D49" w:rsidRDefault="00454D49" w:rsidP="00454D49">
      <w:pPr>
        <w:pStyle w:val="ListParagraph"/>
      </w:pPr>
    </w:p>
    <w:p w:rsidR="00607C24" w:rsidRDefault="00607C24" w:rsidP="00607C24">
      <w:pPr>
        <w:numPr>
          <w:ilvl w:val="0"/>
          <w:numId w:val="14"/>
        </w:numPr>
        <w:ind w:left="0" w:firstLine="0"/>
      </w:pPr>
      <w:r w:rsidRPr="0075180C">
        <w:t>Annex II</w:t>
      </w:r>
      <w:r w:rsidR="00A623F6" w:rsidRPr="0075180C">
        <w:t>I</w:t>
      </w:r>
      <w:r w:rsidRPr="0075180C">
        <w:t xml:space="preserve"> gives</w:t>
      </w:r>
      <w:r>
        <w:t xml:space="preserve"> an overview of t</w:t>
      </w:r>
      <w:r w:rsidR="00B63E31">
        <w:t>he relative</w:t>
      </w:r>
      <w:r w:rsidR="00146096">
        <w:t xml:space="preserve"> representation</w:t>
      </w:r>
      <w:r w:rsidR="00D3619E">
        <w:t xml:space="preserve"> in the various MGS languages</w:t>
      </w:r>
      <w:r>
        <w:t>.</w:t>
      </w:r>
    </w:p>
    <w:p w:rsidR="00BD2665" w:rsidRDefault="00BD2665" w:rsidP="00607C24">
      <w:pPr>
        <w:pStyle w:val="ListParagraph"/>
        <w:ind w:hanging="720"/>
      </w:pPr>
    </w:p>
    <w:p w:rsidR="00F07ED8" w:rsidRDefault="00A623F6" w:rsidP="00F07ED8">
      <w:pPr>
        <w:numPr>
          <w:ilvl w:val="0"/>
          <w:numId w:val="14"/>
        </w:numPr>
        <w:ind w:left="0" w:firstLine="0"/>
      </w:pPr>
      <w:r w:rsidRPr="0075180C">
        <w:t>Annex IV</w:t>
      </w:r>
      <w:r w:rsidR="00F07ED8" w:rsidRPr="0075180C">
        <w:t xml:space="preserve"> gives</w:t>
      </w:r>
      <w:r w:rsidR="00F07ED8">
        <w:t xml:space="preserve"> an ov</w:t>
      </w:r>
      <w:r w:rsidR="00146096">
        <w:t>erview of the relative content</w:t>
      </w:r>
      <w:r w:rsidR="00F07ED8">
        <w:t xml:space="preserve"> of the MGS Database in terms of acceptance status by Contracting Parties as displayed in the function “Check acceptance by designated Contracting Party (</w:t>
      </w:r>
      <w:proofErr w:type="spellStart"/>
      <w:r w:rsidR="00F07ED8">
        <w:t>dCP</w:t>
      </w:r>
      <w:proofErr w:type="spellEnd"/>
      <w:r w:rsidR="00F07ED8">
        <w:t>)”.</w:t>
      </w:r>
    </w:p>
    <w:p w:rsidR="00EB1B1E" w:rsidRDefault="00EB1B1E" w:rsidP="00607C24">
      <w:pPr>
        <w:pStyle w:val="ListParagraph"/>
        <w:ind w:hanging="720"/>
      </w:pPr>
    </w:p>
    <w:p w:rsidR="00E63A30" w:rsidRDefault="00E63A30" w:rsidP="00A639B7">
      <w:pPr>
        <w:pStyle w:val="ListParagraph"/>
        <w:ind w:hanging="720"/>
      </w:pPr>
    </w:p>
    <w:p w:rsidR="00A639B7" w:rsidRDefault="00A639B7" w:rsidP="00A639B7">
      <w:pPr>
        <w:pStyle w:val="ListParagraph"/>
        <w:ind w:hanging="720"/>
      </w:pPr>
      <w:r>
        <w:t>UPDATES OF THE MGS DATABASE</w:t>
      </w:r>
    </w:p>
    <w:p w:rsidR="00A639B7" w:rsidRDefault="00A639B7" w:rsidP="00A639B7">
      <w:pPr>
        <w:pStyle w:val="ListParagraph"/>
      </w:pPr>
    </w:p>
    <w:p w:rsidR="00A639B7" w:rsidRPr="00794039" w:rsidRDefault="00195679" w:rsidP="00A639B7">
      <w:pPr>
        <w:numPr>
          <w:ilvl w:val="0"/>
          <w:numId w:val="14"/>
        </w:numPr>
        <w:ind w:left="0" w:firstLine="0"/>
      </w:pPr>
      <w:r>
        <w:rPr>
          <w:szCs w:val="22"/>
        </w:rPr>
        <w:t>T</w:t>
      </w:r>
      <w:r w:rsidR="00A639B7" w:rsidRPr="00EF1047">
        <w:rPr>
          <w:szCs w:val="22"/>
        </w:rPr>
        <w:t>he acceptance sta</w:t>
      </w:r>
      <w:r w:rsidR="00A639B7">
        <w:rPr>
          <w:szCs w:val="22"/>
        </w:rPr>
        <w:t>tus available for each of the MGS-</w:t>
      </w:r>
      <w:r w:rsidR="00A639B7" w:rsidRPr="00EF1047">
        <w:rPr>
          <w:szCs w:val="22"/>
        </w:rPr>
        <w:t>part</w:t>
      </w:r>
      <w:r w:rsidR="00A639B7">
        <w:rPr>
          <w:szCs w:val="22"/>
        </w:rPr>
        <w:t>icipating Contracting Parties i</w:t>
      </w:r>
      <w:r w:rsidR="00A639B7" w:rsidRPr="00EF1047">
        <w:rPr>
          <w:szCs w:val="22"/>
        </w:rPr>
        <w:t>s gathered from a variety of sources:</w:t>
      </w:r>
    </w:p>
    <w:p w:rsidR="00A639B7" w:rsidRDefault="00A639B7" w:rsidP="00A639B7"/>
    <w:p w:rsidR="00A639B7" w:rsidRDefault="00A639B7" w:rsidP="00F6010E">
      <w:pPr>
        <w:pStyle w:val="ListParagraph"/>
        <w:numPr>
          <w:ilvl w:val="0"/>
          <w:numId w:val="20"/>
        </w:numPr>
        <w:ind w:left="709" w:hanging="425"/>
      </w:pPr>
      <w:r>
        <w:t>acceptance information provided directly by national Offices that translate the</w:t>
      </w:r>
      <w:r w:rsidR="00594144">
        <w:t xml:space="preserve"> </w:t>
      </w:r>
      <w:r>
        <w:t>Database and/or check acceptance or rejection of its English content;</w:t>
      </w:r>
    </w:p>
    <w:p w:rsidR="00A639B7" w:rsidRDefault="00A639B7" w:rsidP="00594144">
      <w:pPr>
        <w:ind w:left="709"/>
      </w:pPr>
    </w:p>
    <w:p w:rsidR="00A639B7" w:rsidRDefault="00A639B7" w:rsidP="00F6010E">
      <w:pPr>
        <w:pStyle w:val="ListParagraph"/>
        <w:numPr>
          <w:ilvl w:val="0"/>
          <w:numId w:val="20"/>
        </w:numPr>
        <w:ind w:left="709" w:hanging="425"/>
      </w:pPr>
      <w:r>
        <w:t>the harmonized TM5 - ID list of goods and services</w:t>
      </w:r>
      <w:r w:rsidR="00B63E31">
        <w:t>;</w:t>
      </w:r>
    </w:p>
    <w:p w:rsidR="00B63E31" w:rsidRDefault="00B63E31" w:rsidP="00594144">
      <w:pPr>
        <w:ind w:left="709" w:hanging="620"/>
      </w:pPr>
    </w:p>
    <w:p w:rsidR="00A639B7" w:rsidRDefault="00A639B7" w:rsidP="00F6010E">
      <w:pPr>
        <w:pStyle w:val="ListParagraph"/>
        <w:numPr>
          <w:ilvl w:val="0"/>
          <w:numId w:val="20"/>
        </w:numPr>
        <w:ind w:left="709" w:hanging="425"/>
      </w:pPr>
      <w:r>
        <w:t xml:space="preserve">the </w:t>
      </w:r>
      <w:r w:rsidRPr="00A81B16">
        <w:t>USPTO Manual of Acceptable Identifications of Goods and</w:t>
      </w:r>
      <w:r>
        <w:t xml:space="preserve"> Services;</w:t>
      </w:r>
    </w:p>
    <w:p w:rsidR="00A639B7" w:rsidRDefault="00A639B7" w:rsidP="00594144">
      <w:pPr>
        <w:ind w:left="709"/>
      </w:pPr>
    </w:p>
    <w:p w:rsidR="00A639B7" w:rsidRDefault="00A639B7" w:rsidP="00F6010E">
      <w:pPr>
        <w:pStyle w:val="ListParagraph"/>
        <w:numPr>
          <w:ilvl w:val="0"/>
          <w:numId w:val="20"/>
        </w:numPr>
        <w:ind w:left="709" w:hanging="425"/>
      </w:pPr>
      <w:r>
        <w:t>t</w:t>
      </w:r>
      <w:r w:rsidR="00652687">
        <w:t>he European Harmonized Database</w:t>
      </w:r>
      <w:r>
        <w:t>;  and</w:t>
      </w:r>
    </w:p>
    <w:p w:rsidR="00A639B7" w:rsidRDefault="00A639B7" w:rsidP="00594144">
      <w:pPr>
        <w:ind w:left="709" w:hanging="630"/>
      </w:pPr>
    </w:p>
    <w:p w:rsidR="00A639B7" w:rsidRDefault="00A639B7" w:rsidP="00F6010E">
      <w:pPr>
        <w:pStyle w:val="ListParagraph"/>
        <w:numPr>
          <w:ilvl w:val="0"/>
          <w:numId w:val="20"/>
        </w:numPr>
        <w:ind w:left="709" w:hanging="425"/>
      </w:pPr>
      <w:proofErr w:type="gramStart"/>
      <w:r w:rsidRPr="00611865">
        <w:t>the</w:t>
      </w:r>
      <w:proofErr w:type="gramEnd"/>
      <w:r>
        <w:t xml:space="preserve"> KIPO’s list of Acceptable Identifications of Goods and Services.</w:t>
      </w:r>
    </w:p>
    <w:p w:rsidR="00A639B7" w:rsidRDefault="00A639B7" w:rsidP="00A639B7">
      <w:pPr>
        <w:ind w:firstLine="550"/>
      </w:pPr>
    </w:p>
    <w:p w:rsidR="00A9190F" w:rsidRDefault="007E4BAF" w:rsidP="00A639B7">
      <w:pPr>
        <w:numPr>
          <w:ilvl w:val="0"/>
          <w:numId w:val="14"/>
        </w:numPr>
        <w:ind w:left="0" w:firstLine="0"/>
      </w:pPr>
      <w:r>
        <w:t xml:space="preserve">In 2015, further cooperation was established with the EUIPO </w:t>
      </w:r>
      <w:r w:rsidR="00652687">
        <w:t>so that access to the European Harmonized D</w:t>
      </w:r>
      <w:r>
        <w:t xml:space="preserve">atabase could enable regular updates of MGS acceptance status for the European Union (EM) as well as for all European countries </w:t>
      </w:r>
      <w:r w:rsidR="00A9190F">
        <w:t>participating in the MGS function "Check acceptance by designated Contracting party".</w:t>
      </w:r>
    </w:p>
    <w:p w:rsidR="00A9190F" w:rsidRDefault="00A9190F" w:rsidP="00A9190F"/>
    <w:p w:rsidR="00A639B7" w:rsidRDefault="00A639B7" w:rsidP="00607C24">
      <w:pPr>
        <w:pStyle w:val="ListParagraph"/>
        <w:ind w:hanging="720"/>
      </w:pPr>
    </w:p>
    <w:p w:rsidR="00CE02D8" w:rsidRDefault="00CE02D8" w:rsidP="00CE02D8">
      <w:pPr>
        <w:rPr>
          <w:b/>
        </w:rPr>
      </w:pPr>
      <w:r w:rsidRPr="00CE02D8">
        <w:rPr>
          <w:b/>
        </w:rPr>
        <w:t>FURTHER ENRICHMENT OF THE MGS DATABASE</w:t>
      </w:r>
    </w:p>
    <w:p w:rsidR="007C573F" w:rsidRDefault="007C573F" w:rsidP="00CE02D8">
      <w:pPr>
        <w:rPr>
          <w:b/>
        </w:rPr>
      </w:pPr>
    </w:p>
    <w:p w:rsidR="001C676A" w:rsidRDefault="001C676A" w:rsidP="00CE02D8">
      <w:pPr>
        <w:rPr>
          <w:b/>
        </w:rPr>
      </w:pPr>
    </w:p>
    <w:p w:rsidR="00590940" w:rsidRPr="00C34503" w:rsidRDefault="00590940" w:rsidP="00590940">
      <w:pPr>
        <w:tabs>
          <w:tab w:val="num" w:pos="0"/>
        </w:tabs>
      </w:pPr>
      <w:r w:rsidRPr="00F67530">
        <w:t>ACCEPTANCE CHECKING BY</w:t>
      </w:r>
      <w:r w:rsidRPr="00C34503">
        <w:t xml:space="preserve"> NATIONAL OFFICES</w:t>
      </w:r>
    </w:p>
    <w:p w:rsidR="00590940" w:rsidRDefault="00590940" w:rsidP="00590940">
      <w:pPr>
        <w:tabs>
          <w:tab w:val="num" w:pos="0"/>
        </w:tabs>
      </w:pPr>
      <w:r>
        <w:t xml:space="preserve"> </w:t>
      </w:r>
    </w:p>
    <w:p w:rsidR="00590940" w:rsidRDefault="00590940" w:rsidP="00590940">
      <w:pPr>
        <w:numPr>
          <w:ilvl w:val="0"/>
          <w:numId w:val="14"/>
        </w:numPr>
        <w:ind w:left="0" w:firstLine="0"/>
      </w:pPr>
      <w:r>
        <w:t xml:space="preserve">Cooperation between the International Bureau and </w:t>
      </w:r>
      <w:r w:rsidR="00B918FC">
        <w:t>Contracting Parties</w:t>
      </w:r>
      <w:r w:rsidR="009A4068">
        <w:t xml:space="preserve"> in the Madrid System</w:t>
      </w:r>
      <w:r w:rsidR="00B918FC">
        <w:t xml:space="preserve">, or countries preparing their accession to the Madrid System, </w:t>
      </w:r>
      <w:r w:rsidR="009A4068">
        <w:t>continue</w:t>
      </w:r>
      <w:r w:rsidR="00B918FC">
        <w:t>s</w:t>
      </w:r>
      <w:r w:rsidR="009A4068">
        <w:t xml:space="preserve"> </w:t>
      </w:r>
      <w:r>
        <w:t xml:space="preserve">with a view to increasing the amount of acceptance </w:t>
      </w:r>
      <w:r w:rsidR="007C573F">
        <w:t xml:space="preserve">information available in MGS to </w:t>
      </w:r>
      <w:r>
        <w:t xml:space="preserve">provide trademark applicants </w:t>
      </w:r>
      <w:r w:rsidR="007C573F">
        <w:t xml:space="preserve">with </w:t>
      </w:r>
      <w:r>
        <w:t>useful information for the purpose of international filing</w:t>
      </w:r>
      <w:r w:rsidR="008E46B0">
        <w:t>, i.e.</w:t>
      </w:r>
      <w:r w:rsidR="003A3606">
        <w:t>,</w:t>
      </w:r>
      <w:r w:rsidR="008E46B0">
        <w:t xml:space="preserve"> information that enables them to</w:t>
      </w:r>
      <w:r>
        <w:t xml:space="preserve"> know in ad</w:t>
      </w:r>
      <w:r w:rsidR="007C573F">
        <w:t>vance whether certain term</w:t>
      </w:r>
      <w:r>
        <w:t xml:space="preserve">s </w:t>
      </w:r>
      <w:r w:rsidR="007C573F">
        <w:t xml:space="preserve">in their lists </w:t>
      </w:r>
      <w:r>
        <w:t>would provoke</w:t>
      </w:r>
      <w:r w:rsidR="008F265E">
        <w:t>, or not,</w:t>
      </w:r>
      <w:r>
        <w:t xml:space="preserve"> a provisional refusal from countries they designate.</w:t>
      </w:r>
    </w:p>
    <w:p w:rsidR="00590940" w:rsidRDefault="00590940" w:rsidP="004A053E"/>
    <w:p w:rsidR="00742868" w:rsidRDefault="00742868" w:rsidP="00590940"/>
    <w:p w:rsidR="00590940" w:rsidRPr="00F67530" w:rsidRDefault="00590940" w:rsidP="00590940">
      <w:pPr>
        <w:tabs>
          <w:tab w:val="num" w:pos="0"/>
        </w:tabs>
        <w:rPr>
          <w:bCs/>
        </w:rPr>
      </w:pPr>
      <w:r w:rsidRPr="00F67530">
        <w:rPr>
          <w:bCs/>
        </w:rPr>
        <w:t>INTEGRATION OF NEW INDICATIONS OF GOODS AND SERVICES</w:t>
      </w:r>
    </w:p>
    <w:p w:rsidR="00590940" w:rsidRDefault="00590940" w:rsidP="00590940">
      <w:pPr>
        <w:tabs>
          <w:tab w:val="num" w:pos="0"/>
        </w:tabs>
      </w:pPr>
    </w:p>
    <w:p w:rsidR="00590940" w:rsidRDefault="00590940" w:rsidP="00590940">
      <w:pPr>
        <w:numPr>
          <w:ilvl w:val="0"/>
          <w:numId w:val="14"/>
        </w:numPr>
        <w:ind w:left="0" w:firstLine="0"/>
      </w:pPr>
      <w:r>
        <w:t>In order to make MGS as relevant as possible to trademark applicants for international as well as national filing</w:t>
      </w:r>
      <w:r w:rsidR="0030061C">
        <w:t>s</w:t>
      </w:r>
      <w:r>
        <w:t>, the MGS Database will continue to be enriched with indications of goods and services extracted from various sources</w:t>
      </w:r>
      <w:r w:rsidR="0013624A">
        <w:t>, such as</w:t>
      </w:r>
      <w:r>
        <w:t>:</w:t>
      </w:r>
    </w:p>
    <w:p w:rsidR="00590940" w:rsidRDefault="00590940" w:rsidP="00590940"/>
    <w:p w:rsidR="00590940" w:rsidRDefault="003D6517" w:rsidP="00590940">
      <w:pPr>
        <w:numPr>
          <w:ilvl w:val="0"/>
          <w:numId w:val="11"/>
        </w:numPr>
      </w:pPr>
      <w:r>
        <w:t>frequently used terms extracted on a regular basis from international applications received in the International Bureau as well as from the International Trademark Register</w:t>
      </w:r>
      <w:r w:rsidR="00590940">
        <w:t>;</w:t>
      </w:r>
    </w:p>
    <w:p w:rsidR="00590940" w:rsidRDefault="00590940" w:rsidP="00590940">
      <w:pPr>
        <w:ind w:left="915"/>
      </w:pPr>
    </w:p>
    <w:p w:rsidR="00323CE7" w:rsidRDefault="00590940" w:rsidP="00590940">
      <w:pPr>
        <w:numPr>
          <w:ilvl w:val="0"/>
          <w:numId w:val="11"/>
        </w:numPr>
      </w:pPr>
      <w:r>
        <w:t>the harmonized TM5 ID-list</w:t>
      </w:r>
      <w:r w:rsidR="00323CE7">
        <w:t>;</w:t>
      </w:r>
    </w:p>
    <w:p w:rsidR="00323CE7" w:rsidRDefault="00323CE7" w:rsidP="00323CE7">
      <w:pPr>
        <w:pStyle w:val="ListParagraph"/>
      </w:pPr>
    </w:p>
    <w:p w:rsidR="00590940" w:rsidRDefault="00323CE7" w:rsidP="00590940">
      <w:pPr>
        <w:numPr>
          <w:ilvl w:val="0"/>
          <w:numId w:val="11"/>
        </w:numPr>
      </w:pPr>
      <w:r>
        <w:t>th</w:t>
      </w:r>
      <w:r w:rsidR="008F265E">
        <w:t>e European Harmonized D</w:t>
      </w:r>
      <w:r>
        <w:t>atabase;</w:t>
      </w:r>
    </w:p>
    <w:p w:rsidR="00BD2665" w:rsidRDefault="00BD2665" w:rsidP="00590940">
      <w:pPr>
        <w:ind w:left="915"/>
      </w:pPr>
    </w:p>
    <w:p w:rsidR="00C75C92" w:rsidRDefault="00C75C92" w:rsidP="00590940">
      <w:pPr>
        <w:ind w:left="915"/>
      </w:pPr>
    </w:p>
    <w:p w:rsidR="00590940" w:rsidRDefault="00590940" w:rsidP="00590940">
      <w:pPr>
        <w:numPr>
          <w:ilvl w:val="0"/>
          <w:numId w:val="11"/>
        </w:numPr>
      </w:pPr>
      <w:r>
        <w:t>national lists of goods</w:t>
      </w:r>
      <w:r w:rsidR="003D6517">
        <w:t xml:space="preserve"> and services received from </w:t>
      </w:r>
      <w:r>
        <w:t xml:space="preserve">national </w:t>
      </w:r>
      <w:r w:rsidR="003D6517">
        <w:t xml:space="preserve">IP </w:t>
      </w:r>
      <w:r>
        <w:t>Offices</w:t>
      </w:r>
      <w:r w:rsidR="003D6517">
        <w:t xml:space="preserve">, such as those already made available by </w:t>
      </w:r>
      <w:r w:rsidR="0030061C">
        <w:t xml:space="preserve">the </w:t>
      </w:r>
      <w:r>
        <w:t xml:space="preserve">following countries:  </w:t>
      </w:r>
      <w:r w:rsidR="00323CE7">
        <w:t xml:space="preserve">Australia, </w:t>
      </w:r>
      <w:r>
        <w:t>China, Germany, Japan,</w:t>
      </w:r>
      <w:r w:rsidR="00C75C92">
        <w:t xml:space="preserve"> </w:t>
      </w:r>
      <w:r w:rsidR="00330006">
        <w:t xml:space="preserve">the </w:t>
      </w:r>
      <w:r w:rsidR="00C75C92">
        <w:t xml:space="preserve">Republic of Korea, </w:t>
      </w:r>
      <w:r w:rsidR="003D6517">
        <w:t>Switzerland</w:t>
      </w:r>
      <w:r>
        <w:t>;</w:t>
      </w:r>
      <w:r w:rsidR="00EF478A">
        <w:t xml:space="preserve">  and</w:t>
      </w:r>
    </w:p>
    <w:p w:rsidR="00590940" w:rsidRDefault="00590940" w:rsidP="00590940">
      <w:pPr>
        <w:ind w:left="915"/>
      </w:pPr>
    </w:p>
    <w:p w:rsidR="00590940" w:rsidRDefault="00590940" w:rsidP="00DC55B1">
      <w:pPr>
        <w:numPr>
          <w:ilvl w:val="0"/>
          <w:numId w:val="11"/>
        </w:numPr>
      </w:pPr>
      <w:proofErr w:type="gramStart"/>
      <w:r>
        <w:t>national</w:t>
      </w:r>
      <w:proofErr w:type="gramEnd"/>
      <w:r>
        <w:t xml:space="preserve"> trademark registers from countries cooperating with WIPO in the Global Brand Database project, and from </w:t>
      </w:r>
      <w:r w:rsidR="003D6517">
        <w:t>which frequently used term</w:t>
      </w:r>
      <w:r>
        <w:t>s not already present in MG</w:t>
      </w:r>
      <w:r w:rsidR="00462B29">
        <w:t>S will be examined for</w:t>
      </w:r>
      <w:r>
        <w:t xml:space="preserve"> i</w:t>
      </w:r>
      <w:r w:rsidR="003D6517">
        <w:t>ntegration.  Frequently used term</w:t>
      </w:r>
      <w:r>
        <w:t xml:space="preserve">s have so far been extracted from the national registers of Australia, </w:t>
      </w:r>
      <w:r w:rsidR="004641EA">
        <w:t xml:space="preserve">Canada, </w:t>
      </w:r>
      <w:r>
        <w:t>Israel,</w:t>
      </w:r>
      <w:r w:rsidR="00323CE7">
        <w:t xml:space="preserve"> Japan, Mexico, New Zealand,</w:t>
      </w:r>
      <w:r>
        <w:t xml:space="preserve"> the Russian Federation, Singapore, Switzerland and the United States of America.</w:t>
      </w:r>
    </w:p>
    <w:p w:rsidR="00590940" w:rsidRDefault="00590940" w:rsidP="00590940">
      <w:pPr>
        <w:pStyle w:val="ListParagraph"/>
      </w:pPr>
    </w:p>
    <w:p w:rsidR="00DC55B1" w:rsidRDefault="00DC55B1" w:rsidP="004B6B21">
      <w:pPr>
        <w:rPr>
          <w:b/>
        </w:rPr>
      </w:pPr>
    </w:p>
    <w:p w:rsidR="004B6B21" w:rsidRDefault="004B6B21" w:rsidP="004B6B21">
      <w:pPr>
        <w:rPr>
          <w:b/>
        </w:rPr>
      </w:pPr>
      <w:r w:rsidRPr="008D3BCD">
        <w:rPr>
          <w:b/>
        </w:rPr>
        <w:t>BUDGET</w:t>
      </w:r>
    </w:p>
    <w:p w:rsidR="001C676A" w:rsidRDefault="001C676A" w:rsidP="004B6B21">
      <w:pPr>
        <w:rPr>
          <w:b/>
        </w:rPr>
      </w:pPr>
    </w:p>
    <w:p w:rsidR="004B6B21" w:rsidRDefault="00327FCD" w:rsidP="00C048AA">
      <w:pPr>
        <w:numPr>
          <w:ilvl w:val="0"/>
          <w:numId w:val="14"/>
        </w:numPr>
        <w:ind w:left="0" w:firstLine="0"/>
      </w:pPr>
      <w:r>
        <w:t>In 2015</w:t>
      </w:r>
      <w:r w:rsidR="004B6B21">
        <w:t>, the Assembly of the Madrid Union approved the use of project fu</w:t>
      </w:r>
      <w:r>
        <w:t>nds remaining at the end of 2015</w:t>
      </w:r>
      <w:r w:rsidR="004B6B21">
        <w:t xml:space="preserve"> to assist some national Offices in the translation of the MGS Database into their national</w:t>
      </w:r>
      <w:r w:rsidR="00F1441F">
        <w:t xml:space="preserve"> languages (see document MM/A/49/2, paragraph 28</w:t>
      </w:r>
      <w:r w:rsidR="004B6B21">
        <w:t>).</w:t>
      </w:r>
    </w:p>
    <w:p w:rsidR="004B6B21" w:rsidRDefault="004B6B21" w:rsidP="00C048AA">
      <w:r>
        <w:t xml:space="preserve"> </w:t>
      </w:r>
    </w:p>
    <w:p w:rsidR="004B6B21" w:rsidRDefault="004B6B21" w:rsidP="00C048AA">
      <w:pPr>
        <w:numPr>
          <w:ilvl w:val="0"/>
          <w:numId w:val="14"/>
        </w:numPr>
        <w:ind w:left="0" w:firstLine="0"/>
      </w:pPr>
      <w:r>
        <w:t>Annex V presents a table indicating the breakdown of the initial allocation</w:t>
      </w:r>
    </w:p>
    <w:p w:rsidR="004B6B21" w:rsidRDefault="004B6B21" w:rsidP="00C048AA">
      <w:r>
        <w:t xml:space="preserve">(232,000 Swiss francs) made available by WIPO for the translation of the MGS Database and the actual </w:t>
      </w:r>
      <w:r w:rsidR="00F1441F">
        <w:t>payments made up to May 30, 2016</w:t>
      </w:r>
      <w:r>
        <w:t>, for the translation work carried out by national Offices originally selected or having requested to receive financial support.  In particular, the table shows, under “Roll-over to 2015”, the funds still available for each participating Office to continue with the translation of the MGS Database.</w:t>
      </w:r>
    </w:p>
    <w:p w:rsidR="004B6B21" w:rsidRDefault="004B6B21" w:rsidP="00C048AA"/>
    <w:p w:rsidR="004B6B21" w:rsidRDefault="00F1441F" w:rsidP="00C048AA">
      <w:pPr>
        <w:numPr>
          <w:ilvl w:val="0"/>
          <w:numId w:val="14"/>
        </w:numPr>
        <w:ind w:left="0" w:firstLine="0"/>
      </w:pPr>
      <w:r>
        <w:t>As of May 2016, a total amount of 105,</w:t>
      </w:r>
      <w:r w:rsidR="00330006">
        <w:t xml:space="preserve">987 </w:t>
      </w:r>
      <w:r w:rsidR="004B6B21">
        <w:t xml:space="preserve">Swiss francs remained available for financing the translation of </w:t>
      </w:r>
      <w:r w:rsidR="00050E02">
        <w:t>the MG</w:t>
      </w:r>
      <w:r w:rsidR="00652687">
        <w:t>S Database into</w:t>
      </w:r>
      <w:r w:rsidR="00050E02">
        <w:t xml:space="preserve"> </w:t>
      </w:r>
      <w:r w:rsidR="004B6B21">
        <w:t>languages for which a Memorandum of Understanding</w:t>
      </w:r>
      <w:r w:rsidR="00BB7045">
        <w:t> </w:t>
      </w:r>
      <w:r w:rsidR="00C75C92">
        <w:t xml:space="preserve">(MoU) </w:t>
      </w:r>
      <w:r w:rsidR="004B6B21">
        <w:t>has been signed between WIPO and the corresponding national Office.</w:t>
      </w:r>
    </w:p>
    <w:p w:rsidR="00716C9F" w:rsidRDefault="00716C9F" w:rsidP="00F66F07"/>
    <w:p w:rsidR="00F66F07" w:rsidRDefault="00DA7B00" w:rsidP="00EF2AD2">
      <w:pPr>
        <w:ind w:left="5500"/>
        <w:rPr>
          <w:i/>
        </w:rPr>
      </w:pPr>
      <w:r>
        <w:rPr>
          <w:i/>
        </w:rPr>
        <w:t>3</w:t>
      </w:r>
      <w:r w:rsidR="00382146">
        <w:rPr>
          <w:i/>
        </w:rPr>
        <w:t>4</w:t>
      </w:r>
      <w:r w:rsidR="00F12C30">
        <w:rPr>
          <w:i/>
        </w:rPr>
        <w:t>.</w:t>
      </w:r>
      <w:r w:rsidR="006A2A3B">
        <w:rPr>
          <w:i/>
        </w:rPr>
        <w:tab/>
      </w:r>
      <w:r w:rsidR="00F66F07" w:rsidRPr="009534EE">
        <w:rPr>
          <w:i/>
        </w:rPr>
        <w:t>The Assembly is invited to:</w:t>
      </w:r>
    </w:p>
    <w:p w:rsidR="001332D6" w:rsidRPr="009534EE" w:rsidRDefault="001332D6" w:rsidP="00C34503">
      <w:pPr>
        <w:ind w:left="5500"/>
        <w:rPr>
          <w:i/>
        </w:rPr>
      </w:pPr>
    </w:p>
    <w:p w:rsidR="00F66F07" w:rsidRPr="00567FA4" w:rsidRDefault="00F66F07" w:rsidP="00EF2AD2">
      <w:pPr>
        <w:numPr>
          <w:ilvl w:val="0"/>
          <w:numId w:val="6"/>
        </w:numPr>
        <w:ind w:left="6237" w:firstLine="0"/>
        <w:rPr>
          <w:i/>
        </w:rPr>
      </w:pPr>
      <w:r w:rsidRPr="00F61521">
        <w:rPr>
          <w:i/>
        </w:rPr>
        <w:t xml:space="preserve">take note of </w:t>
      </w:r>
      <w:r w:rsidRPr="00567FA4">
        <w:rPr>
          <w:i/>
        </w:rPr>
        <w:t xml:space="preserve">the </w:t>
      </w:r>
      <w:r w:rsidR="00330006">
        <w:rPr>
          <w:i/>
        </w:rPr>
        <w:t>“</w:t>
      </w:r>
      <w:r w:rsidR="003A3606">
        <w:rPr>
          <w:i/>
        </w:rPr>
        <w:t xml:space="preserve">Progress Report on the </w:t>
      </w:r>
      <w:r w:rsidRPr="00567FA4">
        <w:rPr>
          <w:i/>
        </w:rPr>
        <w:t>M</w:t>
      </w:r>
      <w:r w:rsidR="0053117E">
        <w:rPr>
          <w:i/>
        </w:rPr>
        <w:t xml:space="preserve">adrid System </w:t>
      </w:r>
      <w:r w:rsidRPr="00567FA4">
        <w:rPr>
          <w:i/>
        </w:rPr>
        <w:t>G</w:t>
      </w:r>
      <w:r w:rsidR="0053117E">
        <w:rPr>
          <w:i/>
        </w:rPr>
        <w:t xml:space="preserve">oods and </w:t>
      </w:r>
      <w:r w:rsidRPr="00567FA4">
        <w:rPr>
          <w:i/>
        </w:rPr>
        <w:t>S</w:t>
      </w:r>
      <w:r w:rsidR="0053117E">
        <w:rPr>
          <w:i/>
        </w:rPr>
        <w:t>ervices</w:t>
      </w:r>
      <w:r w:rsidR="0053485D" w:rsidRPr="00567FA4">
        <w:rPr>
          <w:i/>
        </w:rPr>
        <w:t xml:space="preserve"> D</w:t>
      </w:r>
      <w:r w:rsidRPr="00567FA4">
        <w:rPr>
          <w:i/>
        </w:rPr>
        <w:t>atabase</w:t>
      </w:r>
      <w:r w:rsidR="00330006">
        <w:rPr>
          <w:i/>
        </w:rPr>
        <w:t>”</w:t>
      </w:r>
      <w:r w:rsidR="001332D6">
        <w:rPr>
          <w:i/>
        </w:rPr>
        <w:t xml:space="preserve"> (</w:t>
      </w:r>
      <w:r w:rsidR="00C048AA">
        <w:rPr>
          <w:i/>
        </w:rPr>
        <w:t>document MM/A/</w:t>
      </w:r>
      <w:r w:rsidR="009603B4">
        <w:rPr>
          <w:i/>
        </w:rPr>
        <w:t>50</w:t>
      </w:r>
      <w:r w:rsidR="00C048AA">
        <w:rPr>
          <w:i/>
        </w:rPr>
        <w:t>/</w:t>
      </w:r>
      <w:r w:rsidR="009603B4">
        <w:rPr>
          <w:i/>
        </w:rPr>
        <w:t>1</w:t>
      </w:r>
      <w:r w:rsidR="00567FA4">
        <w:rPr>
          <w:i/>
        </w:rPr>
        <w:t>), i</w:t>
      </w:r>
      <w:r w:rsidR="003B3765">
        <w:rPr>
          <w:i/>
        </w:rPr>
        <w:t xml:space="preserve">ncluding its paragraph </w:t>
      </w:r>
      <w:r w:rsidR="00DA7B00">
        <w:rPr>
          <w:i/>
        </w:rPr>
        <w:t>3</w:t>
      </w:r>
      <w:r w:rsidR="00382146">
        <w:rPr>
          <w:i/>
        </w:rPr>
        <w:t>3</w:t>
      </w:r>
      <w:r w:rsidR="00567FA4">
        <w:rPr>
          <w:i/>
        </w:rPr>
        <w:t xml:space="preserve"> related to the remaining project funds</w:t>
      </w:r>
      <w:r w:rsidR="001332D6">
        <w:rPr>
          <w:i/>
        </w:rPr>
        <w:t>;</w:t>
      </w:r>
      <w:r w:rsidR="00567FA4">
        <w:rPr>
          <w:i/>
        </w:rPr>
        <w:t xml:space="preserve"> </w:t>
      </w:r>
      <w:r w:rsidR="005049DA">
        <w:rPr>
          <w:i/>
        </w:rPr>
        <w:t xml:space="preserve"> </w:t>
      </w:r>
      <w:r w:rsidR="00567FA4">
        <w:rPr>
          <w:i/>
        </w:rPr>
        <w:t>and</w:t>
      </w:r>
    </w:p>
    <w:p w:rsidR="00F66F07" w:rsidRPr="00F61521" w:rsidRDefault="00F66F07" w:rsidP="00DA3ED8">
      <w:pPr>
        <w:rPr>
          <w:i/>
        </w:rPr>
      </w:pPr>
    </w:p>
    <w:p w:rsidR="00DA3ED8" w:rsidRPr="001332D6" w:rsidRDefault="00DA3ED8" w:rsidP="00EF2AD2">
      <w:pPr>
        <w:numPr>
          <w:ilvl w:val="0"/>
          <w:numId w:val="6"/>
        </w:numPr>
        <w:ind w:left="5060" w:firstLine="1177"/>
        <w:rPr>
          <w:i/>
        </w:rPr>
      </w:pPr>
      <w:r w:rsidRPr="001332D6">
        <w:rPr>
          <w:i/>
        </w:rPr>
        <w:t>request the International</w:t>
      </w:r>
    </w:p>
    <w:p w:rsidR="00F66F07" w:rsidRPr="00F61521" w:rsidRDefault="00DA3ED8" w:rsidP="00DA3ED8">
      <w:pPr>
        <w:tabs>
          <w:tab w:val="left" w:pos="6270"/>
        </w:tabs>
        <w:ind w:left="6237"/>
        <w:rPr>
          <w:i/>
        </w:rPr>
      </w:pPr>
      <w:proofErr w:type="gramStart"/>
      <w:r>
        <w:rPr>
          <w:i/>
        </w:rPr>
        <w:t>Bureau t</w:t>
      </w:r>
      <w:r w:rsidR="00297922">
        <w:rPr>
          <w:i/>
        </w:rPr>
        <w:t xml:space="preserve">o </w:t>
      </w:r>
      <w:r w:rsidR="00567FA4">
        <w:rPr>
          <w:i/>
        </w:rPr>
        <w:t xml:space="preserve">submit </w:t>
      </w:r>
      <w:r w:rsidR="00050E02">
        <w:rPr>
          <w:i/>
        </w:rPr>
        <w:t>to the Assembly in 2017</w:t>
      </w:r>
      <w:r>
        <w:rPr>
          <w:i/>
        </w:rPr>
        <w:t xml:space="preserve"> </w:t>
      </w:r>
      <w:r w:rsidR="00567FA4">
        <w:rPr>
          <w:i/>
        </w:rPr>
        <w:t xml:space="preserve">a new Progress Report </w:t>
      </w:r>
      <w:r w:rsidR="00C048AA">
        <w:rPr>
          <w:i/>
        </w:rPr>
        <w:t>on</w:t>
      </w:r>
      <w:r>
        <w:rPr>
          <w:i/>
        </w:rPr>
        <w:t xml:space="preserve"> the M</w:t>
      </w:r>
      <w:r w:rsidR="0053117E">
        <w:rPr>
          <w:i/>
        </w:rPr>
        <w:t xml:space="preserve">adrid System </w:t>
      </w:r>
      <w:r>
        <w:rPr>
          <w:i/>
        </w:rPr>
        <w:t>G</w:t>
      </w:r>
      <w:r w:rsidR="0053117E">
        <w:rPr>
          <w:i/>
        </w:rPr>
        <w:t xml:space="preserve">oods and </w:t>
      </w:r>
      <w:r>
        <w:rPr>
          <w:i/>
        </w:rPr>
        <w:t>S</w:t>
      </w:r>
      <w:r w:rsidR="0053117E">
        <w:rPr>
          <w:i/>
        </w:rPr>
        <w:t xml:space="preserve">ervices </w:t>
      </w:r>
      <w:r>
        <w:rPr>
          <w:i/>
        </w:rPr>
        <w:t>Database</w:t>
      </w:r>
      <w:r w:rsidR="00567FA4">
        <w:rPr>
          <w:i/>
        </w:rPr>
        <w:t>, including the use of remaining project funds</w:t>
      </w:r>
      <w:r w:rsidR="00F66F07" w:rsidRPr="00F61521">
        <w:rPr>
          <w:i/>
        </w:rPr>
        <w:t>.</w:t>
      </w:r>
      <w:proofErr w:type="gramEnd"/>
    </w:p>
    <w:p w:rsidR="00F66F07" w:rsidRDefault="00F66F07" w:rsidP="00F66F07">
      <w:pPr>
        <w:tabs>
          <w:tab w:val="num" w:pos="5060"/>
        </w:tabs>
        <w:ind w:firstLine="3720"/>
      </w:pPr>
    </w:p>
    <w:p w:rsidR="00716C9F" w:rsidRDefault="00716C9F" w:rsidP="004633FE">
      <w:pPr>
        <w:ind w:left="5533"/>
      </w:pPr>
    </w:p>
    <w:p w:rsidR="00716C9F" w:rsidRDefault="00716C9F" w:rsidP="004633FE">
      <w:pPr>
        <w:ind w:left="5533"/>
      </w:pPr>
    </w:p>
    <w:p w:rsidR="00D348B1" w:rsidRDefault="00364000" w:rsidP="004633FE">
      <w:pPr>
        <w:ind w:left="5533"/>
        <w:sectPr w:rsidR="00D348B1" w:rsidSect="00A0685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077" w:left="1418" w:header="510" w:footer="1021" w:gutter="0"/>
          <w:pgNumType w:start="1"/>
          <w:cols w:space="720"/>
          <w:titlePg/>
          <w:docGrid w:linePitch="299"/>
        </w:sectPr>
      </w:pPr>
      <w:r w:rsidRPr="00716BE0">
        <w:t>[Annex</w:t>
      </w:r>
      <w:r>
        <w:t>es</w:t>
      </w:r>
      <w:r w:rsidR="00D11240">
        <w:t xml:space="preserve"> follow</w:t>
      </w:r>
      <w:r w:rsidR="003A3606">
        <w:t>]</w:t>
      </w:r>
    </w:p>
    <w:p w:rsidR="0016230F" w:rsidRDefault="0016230F" w:rsidP="0016230F"/>
    <w:p w:rsidR="00E57CD0" w:rsidRDefault="00E57CD0" w:rsidP="00F66F07">
      <w:pPr>
        <w:rPr>
          <w:b/>
        </w:rPr>
      </w:pPr>
    </w:p>
    <w:p w:rsidR="00E021A1" w:rsidRDefault="00E021A1" w:rsidP="00AA3030">
      <w:pPr>
        <w:rPr>
          <w:b/>
        </w:rPr>
      </w:pPr>
    </w:p>
    <w:p w:rsidR="00E021A1" w:rsidRDefault="00C81D3E" w:rsidP="00E021A1">
      <w:pPr>
        <w:jc w:val="center"/>
        <w:rPr>
          <w:b/>
        </w:rPr>
      </w:pPr>
      <w:r>
        <w:rPr>
          <w:b/>
          <w:noProof/>
          <w:lang w:eastAsia="en-US"/>
        </w:rPr>
        <w:drawing>
          <wp:inline distT="0" distB="0" distL="0" distR="0" wp14:anchorId="67E98B4D" wp14:editId="0591F180">
            <wp:extent cx="7371102" cy="4534524"/>
            <wp:effectExtent l="889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7395947" cy="4549808"/>
                    </a:xfrm>
                    <a:prstGeom prst="rect">
                      <a:avLst/>
                    </a:prstGeom>
                    <a:noFill/>
                    <a:ln>
                      <a:noFill/>
                    </a:ln>
                  </pic:spPr>
                </pic:pic>
              </a:graphicData>
            </a:graphic>
          </wp:inline>
        </w:drawing>
      </w:r>
    </w:p>
    <w:p w:rsidR="00E021A1" w:rsidRDefault="00E021A1" w:rsidP="000649A0">
      <w:pPr>
        <w:rPr>
          <w:b/>
        </w:rPr>
      </w:pPr>
    </w:p>
    <w:p w:rsidR="00E021A1" w:rsidRDefault="00E021A1" w:rsidP="00AA3030">
      <w:pPr>
        <w:rPr>
          <w:b/>
        </w:rPr>
      </w:pPr>
    </w:p>
    <w:p w:rsidR="000649A0" w:rsidRDefault="000649A0" w:rsidP="00F66F07"/>
    <w:p w:rsidR="004633FE" w:rsidRPr="004633FE" w:rsidRDefault="004633FE" w:rsidP="004633FE">
      <w:pPr>
        <w:ind w:left="5533"/>
        <w:rPr>
          <w:i/>
        </w:rPr>
      </w:pPr>
      <w:r w:rsidRPr="00716BE0">
        <w:t>[</w:t>
      </w:r>
      <w:r>
        <w:t>Annex II follows</w:t>
      </w:r>
      <w:r w:rsidRPr="00716BE0">
        <w:t>]</w:t>
      </w:r>
    </w:p>
    <w:p w:rsidR="004633FE" w:rsidRDefault="004633FE" w:rsidP="00F66F07">
      <w:pPr>
        <w:sectPr w:rsidR="004633FE" w:rsidSect="00F66F07">
          <w:headerReference w:type="even" r:id="rId17"/>
          <w:headerReference w:type="default" r:id="rId18"/>
          <w:footerReference w:type="even" r:id="rId19"/>
          <w:footerReference w:type="default" r:id="rId20"/>
          <w:headerReference w:type="first" r:id="rId21"/>
          <w:endnotePr>
            <w:numFmt w:val="decimal"/>
          </w:endnotePr>
          <w:pgSz w:w="11907" w:h="16840" w:code="9"/>
          <w:pgMar w:top="567" w:right="1134" w:bottom="1078" w:left="1418" w:header="510" w:footer="1021" w:gutter="0"/>
          <w:cols w:space="720"/>
          <w:titlePg/>
          <w:docGrid w:linePitch="299"/>
        </w:sectPr>
      </w:pPr>
    </w:p>
    <w:p w:rsidR="00F66F07" w:rsidRDefault="00F66F07" w:rsidP="00F66F07"/>
    <w:p w:rsidR="003B3765" w:rsidRPr="0049716C" w:rsidRDefault="003B3765" w:rsidP="00F66F07">
      <w:pPr>
        <w:sectPr w:rsidR="003B3765" w:rsidRPr="0049716C" w:rsidSect="00F66F07">
          <w:headerReference w:type="first" r:id="rId22"/>
          <w:endnotePr>
            <w:numFmt w:val="decimal"/>
          </w:endnotePr>
          <w:pgSz w:w="11907" w:h="16840" w:code="9"/>
          <w:pgMar w:top="567" w:right="1134" w:bottom="1078" w:left="1418" w:header="510" w:footer="1021" w:gutter="0"/>
          <w:cols w:space="720"/>
          <w:titlePg/>
          <w:docGrid w:linePitch="299"/>
        </w:sectPr>
      </w:pPr>
    </w:p>
    <w:p w:rsidR="008D1C2E" w:rsidRDefault="008D1C2E" w:rsidP="003608E0">
      <w:pPr>
        <w:ind w:left="5533"/>
      </w:pPr>
    </w:p>
    <w:p w:rsidR="00EB1B1E" w:rsidRDefault="00EB1B1E" w:rsidP="003608E0">
      <w:pPr>
        <w:ind w:left="5533"/>
      </w:pPr>
    </w:p>
    <w:p w:rsidR="00EB1B1E" w:rsidRDefault="00EB1B1E" w:rsidP="003608E0">
      <w:pPr>
        <w:ind w:left="5533"/>
      </w:pPr>
    </w:p>
    <w:p w:rsidR="000A43A2" w:rsidRDefault="000A43A2" w:rsidP="000A43A2">
      <w:pPr>
        <w:ind w:left="5533"/>
        <w:jc w:val="both"/>
      </w:pPr>
    </w:p>
    <w:p w:rsidR="0016230F" w:rsidRDefault="0016230F" w:rsidP="003608E0">
      <w:pPr>
        <w:ind w:left="5533"/>
      </w:pPr>
    </w:p>
    <w:p w:rsidR="0016230F" w:rsidRDefault="0016230F" w:rsidP="0016230F"/>
    <w:p w:rsidR="008D1C2E" w:rsidRDefault="008D1C2E" w:rsidP="003608E0">
      <w:pPr>
        <w:ind w:left="5533"/>
      </w:pPr>
    </w:p>
    <w:p w:rsidR="0016230F" w:rsidRDefault="0016230F" w:rsidP="003608E0">
      <w:pPr>
        <w:ind w:left="5533"/>
      </w:pPr>
    </w:p>
    <w:p w:rsidR="003B3765" w:rsidRDefault="003B3765" w:rsidP="003608E0">
      <w:pPr>
        <w:ind w:left="5533"/>
        <w:rPr>
          <w:noProof/>
          <w:lang w:bidi="mn-Mong-CN"/>
        </w:rPr>
      </w:pPr>
      <w:r>
        <w:rPr>
          <w:noProof/>
          <w:lang w:eastAsia="en-US"/>
        </w:rPr>
        <w:drawing>
          <wp:anchor distT="0" distB="0" distL="114300" distR="114300" simplePos="0" relativeHeight="251658240" behindDoc="0" locked="0" layoutInCell="1" allowOverlap="1" wp14:anchorId="6926A800" wp14:editId="0B080715">
            <wp:simplePos x="0" y="0"/>
            <wp:positionH relativeFrom="margin">
              <wp:posOffset>-1028065</wp:posOffset>
            </wp:positionH>
            <wp:positionV relativeFrom="margin">
              <wp:posOffset>1564640</wp:posOffset>
            </wp:positionV>
            <wp:extent cx="7649210" cy="5589270"/>
            <wp:effectExtent l="127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7649210" cy="55892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3765" w:rsidRDefault="003B3765" w:rsidP="003608E0">
      <w:pPr>
        <w:ind w:left="5533"/>
        <w:rPr>
          <w:noProof/>
          <w:lang w:bidi="mn-Mong-CN"/>
        </w:rPr>
      </w:pPr>
    </w:p>
    <w:p w:rsidR="0016230F" w:rsidRDefault="0016230F"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0A43A2" w:rsidRDefault="000A43A2" w:rsidP="003608E0">
      <w:pPr>
        <w:ind w:left="5533"/>
      </w:pPr>
    </w:p>
    <w:p w:rsidR="003B3765" w:rsidRDefault="003B3765" w:rsidP="003608E0">
      <w:pPr>
        <w:ind w:left="5533"/>
      </w:pPr>
    </w:p>
    <w:p w:rsidR="003608E0" w:rsidRPr="004633FE" w:rsidRDefault="003608E0" w:rsidP="003608E0">
      <w:pPr>
        <w:ind w:left="5533"/>
        <w:rPr>
          <w:i/>
        </w:rPr>
      </w:pPr>
      <w:r w:rsidRPr="00716BE0">
        <w:t>[</w:t>
      </w:r>
      <w:r>
        <w:t>Annex III follows</w:t>
      </w:r>
      <w:r w:rsidRPr="00716BE0">
        <w:t>]</w:t>
      </w:r>
    </w:p>
    <w:p w:rsidR="003608E0" w:rsidRDefault="003608E0" w:rsidP="003608E0">
      <w:pPr>
        <w:sectPr w:rsidR="003608E0" w:rsidSect="00F66F07">
          <w:headerReference w:type="default" r:id="rId24"/>
          <w:endnotePr>
            <w:numFmt w:val="decimal"/>
          </w:endnotePr>
          <w:type w:val="continuous"/>
          <w:pgSz w:w="11907" w:h="16840" w:code="9"/>
          <w:pgMar w:top="567" w:right="1134" w:bottom="1077" w:left="1418" w:header="510" w:footer="1021" w:gutter="0"/>
          <w:cols w:space="720"/>
          <w:titlePg/>
          <w:docGrid w:linePitch="299"/>
        </w:sectPr>
      </w:pPr>
    </w:p>
    <w:p w:rsidR="008D1C2E" w:rsidRDefault="008D1C2E" w:rsidP="003608E0"/>
    <w:p w:rsidR="006E706A" w:rsidRDefault="006E706A" w:rsidP="003608E0"/>
    <w:p w:rsidR="00EF5FCF" w:rsidRDefault="00EF5FCF" w:rsidP="00B12C99">
      <w:pPr>
        <w:ind w:left="567" w:hanging="567"/>
      </w:pPr>
    </w:p>
    <w:p w:rsidR="00C16C09" w:rsidRDefault="003951EA" w:rsidP="006E706A">
      <w:r>
        <w:rPr>
          <w:noProof/>
          <w:lang w:eastAsia="en-US"/>
        </w:rPr>
        <w:drawing>
          <wp:inline distT="0" distB="0" distL="0" distR="0" wp14:anchorId="15070EEE" wp14:editId="4AD48518">
            <wp:extent cx="8031704" cy="5813948"/>
            <wp:effectExtent l="4127"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a:off x="0" y="0"/>
                      <a:ext cx="8031704" cy="5813948"/>
                    </a:xfrm>
                    <a:prstGeom prst="rect">
                      <a:avLst/>
                    </a:prstGeom>
                    <a:noFill/>
                    <a:ln>
                      <a:noFill/>
                    </a:ln>
                  </pic:spPr>
                </pic:pic>
              </a:graphicData>
            </a:graphic>
          </wp:inline>
        </w:drawing>
      </w:r>
    </w:p>
    <w:p w:rsidR="008D1C2E" w:rsidRDefault="008D1C2E" w:rsidP="00A03506">
      <w:pPr>
        <w:ind w:left="5533"/>
      </w:pPr>
    </w:p>
    <w:p w:rsidR="00EB1B1E" w:rsidRDefault="00EB1B1E" w:rsidP="00A03506">
      <w:pPr>
        <w:ind w:left="5533"/>
      </w:pPr>
    </w:p>
    <w:p w:rsidR="00EB1B1E" w:rsidRDefault="00EB1B1E" w:rsidP="00A03506">
      <w:pPr>
        <w:ind w:left="5533"/>
      </w:pPr>
    </w:p>
    <w:p w:rsidR="00F66F07" w:rsidRPr="00A03506" w:rsidRDefault="003608E0" w:rsidP="009D0B43">
      <w:pPr>
        <w:ind w:left="5533"/>
        <w:sectPr w:rsidR="00F66F07" w:rsidRPr="00A03506" w:rsidSect="003608E0">
          <w:headerReference w:type="first" r:id="rId26"/>
          <w:endnotePr>
            <w:numFmt w:val="decimal"/>
          </w:endnotePr>
          <w:pgSz w:w="11907" w:h="16840" w:code="9"/>
          <w:pgMar w:top="567" w:right="1134" w:bottom="1077" w:left="1418" w:header="510" w:footer="1021" w:gutter="0"/>
          <w:cols w:space="720"/>
          <w:titlePg/>
          <w:docGrid w:linePitch="299"/>
        </w:sectPr>
      </w:pPr>
      <w:r w:rsidRPr="00716BE0">
        <w:t>[</w:t>
      </w:r>
      <w:r>
        <w:t>Annex I</w:t>
      </w:r>
      <w:r w:rsidR="00A03506">
        <w:t>V</w:t>
      </w:r>
      <w:r>
        <w:t xml:space="preserve"> follows</w:t>
      </w:r>
      <w:r w:rsidR="00A03506" w:rsidRPr="00716BE0">
        <w:t>]</w:t>
      </w:r>
    </w:p>
    <w:p w:rsidR="00F66F07" w:rsidRDefault="00F66F07" w:rsidP="0016230F"/>
    <w:p w:rsidR="00A17AA3" w:rsidRDefault="00A17AA3" w:rsidP="00AA3030"/>
    <w:p w:rsidR="009D0B43" w:rsidRDefault="009D0B43" w:rsidP="00AA3030"/>
    <w:p w:rsidR="009D0B43" w:rsidRDefault="00F319FA" w:rsidP="003D4E23">
      <w:pPr>
        <w:ind w:left="5533" w:hanging="5533"/>
      </w:pPr>
      <w:r>
        <w:rPr>
          <w:noProof/>
          <w:lang w:eastAsia="en-US"/>
        </w:rPr>
        <w:drawing>
          <wp:inline distT="0" distB="0" distL="0" distR="0" wp14:anchorId="5B263F26" wp14:editId="655186FE">
            <wp:extent cx="8076086" cy="5766113"/>
            <wp:effectExtent l="0" t="6985"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8071350" cy="5762732"/>
                    </a:xfrm>
                    <a:prstGeom prst="rect">
                      <a:avLst/>
                    </a:prstGeom>
                    <a:noFill/>
                    <a:ln>
                      <a:noFill/>
                    </a:ln>
                  </pic:spPr>
                </pic:pic>
              </a:graphicData>
            </a:graphic>
          </wp:inline>
        </w:drawing>
      </w:r>
    </w:p>
    <w:p w:rsidR="009D0B43" w:rsidRDefault="009D0B43" w:rsidP="005F545E">
      <w:pPr>
        <w:ind w:left="5533"/>
      </w:pPr>
    </w:p>
    <w:p w:rsidR="00D604D7" w:rsidRDefault="00D604D7" w:rsidP="005F545E">
      <w:pPr>
        <w:ind w:left="5533"/>
      </w:pPr>
    </w:p>
    <w:p w:rsidR="00633DBE" w:rsidRDefault="00633DBE" w:rsidP="005F545E">
      <w:pPr>
        <w:ind w:left="5533"/>
      </w:pPr>
    </w:p>
    <w:p w:rsidR="005F545E" w:rsidRPr="00A03506" w:rsidRDefault="00075BD3" w:rsidP="005F545E">
      <w:pPr>
        <w:ind w:left="5533"/>
      </w:pPr>
      <w:r>
        <w:t>[</w:t>
      </w:r>
      <w:r w:rsidR="005F545E">
        <w:t>Annex V follows</w:t>
      </w:r>
      <w:r w:rsidR="005F545E" w:rsidRPr="00716BE0">
        <w:t>]</w:t>
      </w:r>
    </w:p>
    <w:p w:rsidR="00565E0A" w:rsidRDefault="00565E0A" w:rsidP="00F66F07"/>
    <w:p w:rsidR="00CD745C" w:rsidRDefault="00CD745C" w:rsidP="00F66F07"/>
    <w:p w:rsidR="00E42018" w:rsidRDefault="00E42018" w:rsidP="00F66F07"/>
    <w:p w:rsidR="009F0E40" w:rsidRDefault="00E42018" w:rsidP="00CD24E3">
      <w:r w:rsidRPr="00E42018">
        <w:rPr>
          <w:noProof/>
          <w:lang w:eastAsia="en-US"/>
        </w:rPr>
        <w:drawing>
          <wp:inline distT="0" distB="0" distL="0" distR="0" wp14:anchorId="028DFD8F" wp14:editId="1C4510A6">
            <wp:extent cx="8057534" cy="6115050"/>
            <wp:effectExtent l="0" t="317"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6200000">
                      <a:off x="0" y="0"/>
                      <a:ext cx="8064056" cy="6120000"/>
                    </a:xfrm>
                    <a:prstGeom prst="rect">
                      <a:avLst/>
                    </a:prstGeom>
                    <a:noFill/>
                    <a:ln>
                      <a:noFill/>
                    </a:ln>
                  </pic:spPr>
                </pic:pic>
              </a:graphicData>
            </a:graphic>
          </wp:inline>
        </w:drawing>
      </w:r>
    </w:p>
    <w:p w:rsidR="00AC3E08" w:rsidRDefault="00AC3E08" w:rsidP="00E42018"/>
    <w:p w:rsidR="009D0B43" w:rsidRDefault="009D0B43" w:rsidP="0016230F">
      <w:pPr>
        <w:ind w:left="5533"/>
      </w:pPr>
    </w:p>
    <w:p w:rsidR="0016230F" w:rsidRDefault="009749AB" w:rsidP="0016230F">
      <w:pPr>
        <w:ind w:left="5533"/>
      </w:pPr>
      <w:r w:rsidRPr="00716BE0">
        <w:t>[</w:t>
      </w:r>
      <w:r w:rsidR="00914B9C">
        <w:t xml:space="preserve">End of </w:t>
      </w:r>
      <w:r>
        <w:t xml:space="preserve">Annex V </w:t>
      </w:r>
      <w:r w:rsidR="00914B9C">
        <w:t>and of document</w:t>
      </w:r>
      <w:r w:rsidRPr="00716BE0">
        <w:t>]</w:t>
      </w:r>
      <w:r w:rsidR="0016230F">
        <w:tab/>
      </w:r>
      <w:r w:rsidR="0016230F">
        <w:tab/>
      </w:r>
      <w:r w:rsidR="0016230F">
        <w:tab/>
      </w:r>
      <w:r w:rsidR="0016230F">
        <w:tab/>
      </w:r>
    </w:p>
    <w:sectPr w:rsidR="0016230F" w:rsidSect="00F66F07">
      <w:headerReference w:type="first" r:id="rId29"/>
      <w:endnotePr>
        <w:numFmt w:val="decimal"/>
      </w:endnotePr>
      <w:pgSz w:w="11907" w:h="16840" w:code="9"/>
      <w:pgMar w:top="567" w:right="1134" w:bottom="107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D49" w:rsidRDefault="00454D49">
      <w:r>
        <w:separator/>
      </w:r>
    </w:p>
  </w:endnote>
  <w:endnote w:type="continuationSeparator" w:id="0">
    <w:p w:rsidR="00454D49" w:rsidRDefault="00454D49" w:rsidP="00F66F07">
      <w:r>
        <w:separator/>
      </w:r>
    </w:p>
    <w:p w:rsidR="00454D49" w:rsidRPr="003B38C1" w:rsidRDefault="00454D49" w:rsidP="00F66F07">
      <w:pPr>
        <w:spacing w:after="60"/>
        <w:rPr>
          <w:sz w:val="17"/>
        </w:rPr>
      </w:pPr>
      <w:r>
        <w:rPr>
          <w:sz w:val="17"/>
        </w:rPr>
        <w:t>[Endnote continued from previous page]</w:t>
      </w:r>
    </w:p>
  </w:endnote>
  <w:endnote w:type="continuationNotice" w:id="1">
    <w:p w:rsidR="00454D49" w:rsidRPr="003B38C1" w:rsidRDefault="00454D49" w:rsidP="00F66F07">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F6" w:rsidRDefault="00CD5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F6" w:rsidRDefault="00CD5D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F6" w:rsidRDefault="00CD5D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49" w:rsidRDefault="00454D49" w:rsidP="00400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58F4">
      <w:rPr>
        <w:rStyle w:val="PageNumber"/>
        <w:noProof/>
      </w:rPr>
      <w:t>6</w:t>
    </w:r>
    <w:r>
      <w:rPr>
        <w:rStyle w:val="PageNumber"/>
      </w:rPr>
      <w:fldChar w:fldCharType="end"/>
    </w:r>
  </w:p>
  <w:p w:rsidR="00454D49" w:rsidRDefault="00454D49" w:rsidP="001E7FD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49" w:rsidRDefault="00454D49" w:rsidP="001E7F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D49" w:rsidRDefault="00454D49">
      <w:r>
        <w:separator/>
      </w:r>
    </w:p>
  </w:footnote>
  <w:footnote w:type="continuationSeparator" w:id="0">
    <w:p w:rsidR="00454D49" w:rsidRDefault="00454D49" w:rsidP="00F66F07">
      <w:r>
        <w:separator/>
      </w:r>
    </w:p>
    <w:p w:rsidR="00454D49" w:rsidRPr="00ED77FB" w:rsidRDefault="00454D49" w:rsidP="00F66F07">
      <w:pPr>
        <w:spacing w:after="60"/>
        <w:rPr>
          <w:sz w:val="17"/>
          <w:szCs w:val="17"/>
        </w:rPr>
      </w:pPr>
      <w:r w:rsidRPr="00ED77FB">
        <w:rPr>
          <w:sz w:val="17"/>
          <w:szCs w:val="17"/>
        </w:rPr>
        <w:t>[Footnote continued from previous page]</w:t>
      </w:r>
    </w:p>
  </w:footnote>
  <w:footnote w:type="continuationNotice" w:id="1">
    <w:p w:rsidR="00454D49" w:rsidRPr="00ED77FB" w:rsidRDefault="00454D49" w:rsidP="00F66F07">
      <w:pPr>
        <w:spacing w:before="60"/>
        <w:jc w:val="right"/>
        <w:rPr>
          <w:sz w:val="17"/>
          <w:szCs w:val="17"/>
        </w:rPr>
      </w:pPr>
      <w:r w:rsidRPr="00ED77FB">
        <w:rPr>
          <w:sz w:val="17"/>
          <w:szCs w:val="17"/>
        </w:rPr>
        <w:t>[Footnote continued on next page]</w:t>
      </w:r>
    </w:p>
  </w:footnote>
  <w:footnote w:id="2">
    <w:p w:rsidR="00C324E5" w:rsidRPr="00C324E5" w:rsidRDefault="00C324E5">
      <w:pPr>
        <w:pStyle w:val="FootnoteText"/>
      </w:pPr>
      <w:r>
        <w:rPr>
          <w:rStyle w:val="FootnoteReference"/>
        </w:rPr>
        <w:footnoteRef/>
      </w:r>
      <w:r>
        <w:t xml:space="preserve"> </w:t>
      </w:r>
      <w:r w:rsidRPr="00C324E5">
        <w:tab/>
        <w:t xml:space="preserve">Due to certain technical issues regarding the relationship between the MGS </w:t>
      </w:r>
      <w:r w:rsidR="00330006">
        <w:t>D</w:t>
      </w:r>
      <w:r w:rsidRPr="00C324E5">
        <w:t>atabase and the operational examination environment, some discrepancies may appea</w:t>
      </w:r>
      <w:r>
        <w:t xml:space="preserve">r in exceptional circumstances.  The </w:t>
      </w:r>
      <w:r w:rsidR="00142DF5">
        <w:t>International Bureau</w:t>
      </w:r>
      <w:r>
        <w:t xml:space="preserve"> is currently taking measures to resolve these issues.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F6" w:rsidRDefault="00CD5DF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49" w:rsidRDefault="00454D49" w:rsidP="00F66F07">
    <w:pPr>
      <w:pStyle w:val="Header"/>
      <w:jc w:val="right"/>
    </w:pPr>
    <w:r>
      <w:t>MM/A/</w:t>
    </w:r>
    <w:r w:rsidR="00CD5DF6">
      <w:t>50</w:t>
    </w:r>
    <w:r>
      <w:t>/</w:t>
    </w:r>
    <w:r w:rsidR="00707889">
      <w:t>1</w:t>
    </w:r>
  </w:p>
  <w:p w:rsidR="00454D49" w:rsidRDefault="00454D49" w:rsidP="00F66F07">
    <w:pPr>
      <w:pStyle w:val="Header"/>
      <w:jc w:val="right"/>
    </w:pPr>
    <w:r>
      <w:t>ANNEX IV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49" w:rsidRDefault="00454D49" w:rsidP="0040097B">
    <w:pPr>
      <w:pStyle w:val="Header"/>
      <w:jc w:val="right"/>
      <w:rPr>
        <w:lang w:val="fr-FR"/>
      </w:rPr>
    </w:pPr>
    <w:r>
      <w:rPr>
        <w:lang w:val="fr-FR"/>
      </w:rPr>
      <w:t>MM/A/</w:t>
    </w:r>
    <w:r w:rsidR="00CD5DF6">
      <w:rPr>
        <w:lang w:val="fr-FR"/>
      </w:rPr>
      <w:t>50</w:t>
    </w:r>
    <w:r>
      <w:rPr>
        <w:lang w:val="fr-FR"/>
      </w:rPr>
      <w:t>/</w:t>
    </w:r>
    <w:r w:rsidR="00655D94">
      <w:rPr>
        <w:lang w:val="fr-FR"/>
      </w:rPr>
      <w:t>1</w:t>
    </w:r>
  </w:p>
  <w:p w:rsidR="00454D49" w:rsidRDefault="00454D49" w:rsidP="00A06853">
    <w:pPr>
      <w:pStyle w:val="Header"/>
      <w:jc w:val="right"/>
      <w:rPr>
        <w:lang w:val="fr-FR"/>
      </w:rPr>
    </w:pPr>
    <w:proofErr w:type="gramStart"/>
    <w:r>
      <w:rPr>
        <w:lang w:val="fr-FR"/>
      </w:rPr>
      <w:t>page</w:t>
    </w:r>
    <w:proofErr w:type="gramEnd"/>
    <w:r>
      <w:rPr>
        <w:lang w:val="fr-FR"/>
      </w:rPr>
      <w:t xml:space="preserve"> </w:t>
    </w:r>
    <w:r>
      <w:rPr>
        <w:rStyle w:val="PageNumber"/>
      </w:rPr>
      <w:fldChar w:fldCharType="begin"/>
    </w:r>
    <w:r>
      <w:rPr>
        <w:rStyle w:val="PageNumber"/>
      </w:rPr>
      <w:instrText xml:space="preserve"> PAGE </w:instrText>
    </w:r>
    <w:r>
      <w:rPr>
        <w:rStyle w:val="PageNumber"/>
      </w:rPr>
      <w:fldChar w:fldCharType="separate"/>
    </w:r>
    <w:r w:rsidR="00EF2AD2">
      <w:rPr>
        <w:rStyle w:val="PageNumber"/>
        <w:noProof/>
      </w:rPr>
      <w:t>6</w:t>
    </w:r>
    <w:r>
      <w:rPr>
        <w:rStyle w:val="PageNumber"/>
      </w:rPr>
      <w:fldChar w:fldCharType="end"/>
    </w:r>
    <w:r>
      <w:rPr>
        <w:lang w:val="fr-F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F6" w:rsidRDefault="00CD5D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49" w:rsidRDefault="00454D49" w:rsidP="004009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58F4">
      <w:rPr>
        <w:rStyle w:val="PageNumber"/>
        <w:noProof/>
      </w:rPr>
      <w:t>6</w:t>
    </w:r>
    <w:r>
      <w:rPr>
        <w:rStyle w:val="PageNumber"/>
      </w:rPr>
      <w:fldChar w:fldCharType="end"/>
    </w:r>
  </w:p>
  <w:p w:rsidR="00454D49" w:rsidRDefault="00454D49" w:rsidP="001E7FD7">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49" w:rsidRDefault="00454D49" w:rsidP="001E7FD7">
    <w:pPr>
      <w:pStyle w:val="Header"/>
      <w:framePr w:wrap="around" w:vAnchor="text" w:hAnchor="margin" w:xAlign="right" w:y="1"/>
      <w:jc w:val="right"/>
      <w:rPr>
        <w:rStyle w:val="PageNumber"/>
      </w:rPr>
    </w:pPr>
    <w:r>
      <w:rPr>
        <w:rStyle w:val="PageNumber"/>
      </w:rPr>
      <w:t>MM/A/46/2</w:t>
    </w:r>
  </w:p>
  <w:p w:rsidR="00454D49" w:rsidRDefault="00454D49" w:rsidP="001E7FD7">
    <w:pPr>
      <w:pStyle w:val="Header"/>
      <w:framePr w:wrap="around" w:vAnchor="text" w:hAnchor="margin" w:xAlign="right" w:y="1"/>
      <w:jc w:val="right"/>
      <w:rPr>
        <w:rStyle w:val="PageNumber"/>
      </w:rPr>
    </w:pPr>
    <w:proofErr w:type="gramStart"/>
    <w:r>
      <w:rPr>
        <w:rStyle w:val="PageNumber"/>
      </w:rPr>
      <w:t>page</w:t>
    </w:r>
    <w:proofErr w:type="gramEnd"/>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B358F4">
      <w:rPr>
        <w:rStyle w:val="PageNumber"/>
        <w:noProof/>
      </w:rPr>
      <w:t>6</w:t>
    </w:r>
    <w:r>
      <w:rPr>
        <w:rStyle w:val="PageNumber"/>
      </w:rPr>
      <w:fldChar w:fldCharType="end"/>
    </w:r>
  </w:p>
  <w:p w:rsidR="00454D49" w:rsidRDefault="00454D49" w:rsidP="001E7FD7">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49" w:rsidRDefault="00454D49" w:rsidP="00F66F07">
    <w:pPr>
      <w:pStyle w:val="Header"/>
      <w:jc w:val="right"/>
    </w:pPr>
    <w:r>
      <w:t>MM/A/</w:t>
    </w:r>
    <w:r w:rsidR="00CD5DF6">
      <w:t>50</w:t>
    </w:r>
    <w:r>
      <w:t>/</w:t>
    </w:r>
    <w:r w:rsidR="00EB1B1E">
      <w:t>1</w:t>
    </w:r>
  </w:p>
  <w:p w:rsidR="00454D49" w:rsidRDefault="00454D49" w:rsidP="00F66F07">
    <w:pPr>
      <w:pStyle w:val="Header"/>
      <w:jc w:val="right"/>
    </w:pPr>
    <w:r>
      <w:t>ANNEX 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49" w:rsidRDefault="00454D49" w:rsidP="00F66F07">
    <w:pPr>
      <w:pStyle w:val="Header"/>
      <w:jc w:val="right"/>
    </w:pPr>
    <w:r>
      <w:t>MM/A/</w:t>
    </w:r>
    <w:r w:rsidR="00CD5DF6">
      <w:t>50</w:t>
    </w:r>
    <w:r>
      <w:t>/</w:t>
    </w:r>
    <w:r w:rsidR="00707889">
      <w:t>1</w:t>
    </w:r>
  </w:p>
  <w:p w:rsidR="00454D49" w:rsidRDefault="00454D49" w:rsidP="00F66F07">
    <w:pPr>
      <w:pStyle w:val="Header"/>
      <w:jc w:val="right"/>
    </w:pPr>
    <w:r>
      <w:t>ANNEX II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49" w:rsidRDefault="00454D49" w:rsidP="00017AA1">
    <w:pPr>
      <w:pStyle w:val="Header"/>
      <w:jc w:val="right"/>
    </w:pPr>
    <w:r>
      <w:t>MM/A/</w:t>
    </w:r>
    <w:r w:rsidR="00CD5DF6">
      <w:t>50</w:t>
    </w:r>
    <w:r>
      <w:t>/</w:t>
    </w:r>
    <w:r w:rsidR="00EB1B1E">
      <w:t>1</w:t>
    </w:r>
  </w:p>
  <w:p w:rsidR="00454D49" w:rsidRPr="00E557F4" w:rsidRDefault="00454D49" w:rsidP="00017AA1">
    <w:pPr>
      <w:pStyle w:val="Header"/>
      <w:jc w:val="right"/>
    </w:pPr>
    <w:r>
      <w:t>ANNEX V</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49" w:rsidRDefault="00454D49" w:rsidP="00F66F07">
    <w:pPr>
      <w:pStyle w:val="Header"/>
      <w:jc w:val="right"/>
    </w:pPr>
    <w:r>
      <w:t>MM/A/</w:t>
    </w:r>
    <w:r w:rsidR="00CD5DF6">
      <w:t>50</w:t>
    </w:r>
    <w:r>
      <w:t>/</w:t>
    </w:r>
    <w:r w:rsidR="00707889">
      <w:t>1</w:t>
    </w:r>
  </w:p>
  <w:p w:rsidR="00454D49" w:rsidRDefault="00454D49" w:rsidP="00F66F07">
    <w:pPr>
      <w:pStyle w:val="Header"/>
      <w:jc w:val="right"/>
    </w:pPr>
    <w:r>
      <w:t>ANNEX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F39"/>
    <w:multiLevelType w:val="hybridMultilevel"/>
    <w:tmpl w:val="357C3D90"/>
    <w:lvl w:ilvl="0" w:tplc="F80EFA20">
      <w:start w:val="1"/>
      <w:numFmt w:val="lowerRoman"/>
      <w:lvlText w:val="(%1)"/>
      <w:lvlJc w:val="left"/>
      <w:pPr>
        <w:tabs>
          <w:tab w:val="num" w:pos="3969"/>
        </w:tabs>
        <w:ind w:left="3969" w:hanging="720"/>
      </w:pPr>
      <w:rPr>
        <w:rFonts w:hint="default"/>
      </w:rPr>
    </w:lvl>
    <w:lvl w:ilvl="1" w:tplc="04090019">
      <w:start w:val="1"/>
      <w:numFmt w:val="lowerLetter"/>
      <w:lvlText w:val="%2."/>
      <w:lvlJc w:val="left"/>
      <w:pPr>
        <w:tabs>
          <w:tab w:val="num" w:pos="4329"/>
        </w:tabs>
        <w:ind w:left="4329" w:hanging="360"/>
      </w:pPr>
    </w:lvl>
    <w:lvl w:ilvl="2" w:tplc="0409001B">
      <w:start w:val="1"/>
      <w:numFmt w:val="lowerRoman"/>
      <w:lvlText w:val="%3."/>
      <w:lvlJc w:val="right"/>
      <w:pPr>
        <w:tabs>
          <w:tab w:val="num" w:pos="5049"/>
        </w:tabs>
        <w:ind w:left="5049" w:hanging="180"/>
      </w:pPr>
    </w:lvl>
    <w:lvl w:ilvl="3" w:tplc="0409000F">
      <w:start w:val="1"/>
      <w:numFmt w:val="decimal"/>
      <w:lvlText w:val="%4."/>
      <w:lvlJc w:val="left"/>
      <w:pPr>
        <w:tabs>
          <w:tab w:val="num" w:pos="5769"/>
        </w:tabs>
        <w:ind w:left="5769" w:hanging="360"/>
      </w:pPr>
    </w:lvl>
    <w:lvl w:ilvl="4" w:tplc="04090019">
      <w:start w:val="1"/>
      <w:numFmt w:val="lowerLetter"/>
      <w:lvlText w:val="%5."/>
      <w:lvlJc w:val="left"/>
      <w:pPr>
        <w:tabs>
          <w:tab w:val="num" w:pos="6489"/>
        </w:tabs>
        <w:ind w:left="6489" w:hanging="360"/>
      </w:pPr>
    </w:lvl>
    <w:lvl w:ilvl="5" w:tplc="0409001B">
      <w:start w:val="1"/>
      <w:numFmt w:val="lowerRoman"/>
      <w:lvlText w:val="%6."/>
      <w:lvlJc w:val="right"/>
      <w:pPr>
        <w:tabs>
          <w:tab w:val="num" w:pos="7209"/>
        </w:tabs>
        <w:ind w:left="7209" w:hanging="180"/>
      </w:pPr>
    </w:lvl>
    <w:lvl w:ilvl="6" w:tplc="0409000F">
      <w:start w:val="1"/>
      <w:numFmt w:val="decimal"/>
      <w:lvlText w:val="%7."/>
      <w:lvlJc w:val="left"/>
      <w:pPr>
        <w:tabs>
          <w:tab w:val="num" w:pos="7929"/>
        </w:tabs>
        <w:ind w:left="7929" w:hanging="360"/>
      </w:pPr>
    </w:lvl>
    <w:lvl w:ilvl="7" w:tplc="04090019">
      <w:start w:val="1"/>
      <w:numFmt w:val="lowerLetter"/>
      <w:lvlText w:val="%8."/>
      <w:lvlJc w:val="left"/>
      <w:pPr>
        <w:tabs>
          <w:tab w:val="num" w:pos="8649"/>
        </w:tabs>
        <w:ind w:left="8649" w:hanging="360"/>
      </w:pPr>
    </w:lvl>
    <w:lvl w:ilvl="8" w:tplc="0409001B">
      <w:start w:val="1"/>
      <w:numFmt w:val="lowerRoman"/>
      <w:lvlText w:val="%9."/>
      <w:lvlJc w:val="right"/>
      <w:pPr>
        <w:tabs>
          <w:tab w:val="num" w:pos="9369"/>
        </w:tabs>
        <w:ind w:left="9369" w:hanging="180"/>
      </w:pPr>
    </w:lvl>
  </w:abstractNum>
  <w:abstractNum w:abstractNumId="1">
    <w:nsid w:val="06691E65"/>
    <w:multiLevelType w:val="hybridMultilevel"/>
    <w:tmpl w:val="3D5C7624"/>
    <w:lvl w:ilvl="0" w:tplc="84A8C6DE">
      <w:start w:val="7"/>
      <w:numFmt w:val="decimal"/>
      <w:lvlText w:val="%1."/>
      <w:lvlJc w:val="left"/>
      <w:pPr>
        <w:ind w:left="360" w:hanging="360"/>
      </w:pPr>
      <w:rPr>
        <w:rFonts w:hint="default"/>
      </w:rPr>
    </w:lvl>
    <w:lvl w:ilvl="1" w:tplc="DB7EFE26">
      <w:numFmt w:val="bullet"/>
      <w:lvlText w:val="–"/>
      <w:lvlJc w:val="left"/>
      <w:pPr>
        <w:ind w:left="2220" w:hanging="780"/>
      </w:pPr>
      <w:rPr>
        <w:rFonts w:ascii="Arial" w:eastAsia="SimSu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C154AD"/>
    <w:multiLevelType w:val="hybridMultilevel"/>
    <w:tmpl w:val="5A3E7080"/>
    <w:lvl w:ilvl="0" w:tplc="93802C4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40D7B"/>
    <w:multiLevelType w:val="hybridMultilevel"/>
    <w:tmpl w:val="23061C92"/>
    <w:lvl w:ilvl="0" w:tplc="280C9832">
      <w:start w:val="1"/>
      <w:numFmt w:val="bullet"/>
      <w:lvlText w:val=""/>
      <w:lvlJc w:val="left"/>
      <w:pPr>
        <w:ind w:left="2931" w:hanging="360"/>
      </w:pPr>
      <w:rPr>
        <w:rFonts w:ascii="Symbol" w:hAnsi="Symbol" w:hint="default"/>
      </w:rPr>
    </w:lvl>
    <w:lvl w:ilvl="1" w:tplc="A68835CA">
      <w:start w:val="1"/>
      <w:numFmt w:val="bullet"/>
      <w:lvlText w:val=""/>
      <w:lvlJc w:val="left"/>
      <w:pPr>
        <w:ind w:left="3651" w:hanging="360"/>
      </w:pPr>
      <w:rPr>
        <w:rFonts w:ascii="Symbol" w:hAnsi="Symbol" w:hint="default"/>
      </w:rPr>
    </w:lvl>
    <w:lvl w:ilvl="2" w:tplc="04090005" w:tentative="1">
      <w:start w:val="1"/>
      <w:numFmt w:val="bullet"/>
      <w:lvlText w:val=""/>
      <w:lvlJc w:val="left"/>
      <w:pPr>
        <w:ind w:left="4371" w:hanging="360"/>
      </w:pPr>
      <w:rPr>
        <w:rFonts w:ascii="Wingdings" w:hAnsi="Wingdings" w:hint="default"/>
      </w:rPr>
    </w:lvl>
    <w:lvl w:ilvl="3" w:tplc="04090001" w:tentative="1">
      <w:start w:val="1"/>
      <w:numFmt w:val="bullet"/>
      <w:lvlText w:val=""/>
      <w:lvlJc w:val="left"/>
      <w:pPr>
        <w:ind w:left="5091" w:hanging="360"/>
      </w:pPr>
      <w:rPr>
        <w:rFonts w:ascii="Symbol" w:hAnsi="Symbol" w:hint="default"/>
      </w:rPr>
    </w:lvl>
    <w:lvl w:ilvl="4" w:tplc="04090003" w:tentative="1">
      <w:start w:val="1"/>
      <w:numFmt w:val="bullet"/>
      <w:lvlText w:val="o"/>
      <w:lvlJc w:val="left"/>
      <w:pPr>
        <w:ind w:left="5811" w:hanging="360"/>
      </w:pPr>
      <w:rPr>
        <w:rFonts w:ascii="Courier New" w:hAnsi="Courier New" w:cs="Courier New" w:hint="default"/>
      </w:rPr>
    </w:lvl>
    <w:lvl w:ilvl="5" w:tplc="04090005" w:tentative="1">
      <w:start w:val="1"/>
      <w:numFmt w:val="bullet"/>
      <w:lvlText w:val=""/>
      <w:lvlJc w:val="left"/>
      <w:pPr>
        <w:ind w:left="6531" w:hanging="360"/>
      </w:pPr>
      <w:rPr>
        <w:rFonts w:ascii="Wingdings" w:hAnsi="Wingdings" w:hint="default"/>
      </w:rPr>
    </w:lvl>
    <w:lvl w:ilvl="6" w:tplc="04090001" w:tentative="1">
      <w:start w:val="1"/>
      <w:numFmt w:val="bullet"/>
      <w:lvlText w:val=""/>
      <w:lvlJc w:val="left"/>
      <w:pPr>
        <w:ind w:left="7251" w:hanging="360"/>
      </w:pPr>
      <w:rPr>
        <w:rFonts w:ascii="Symbol" w:hAnsi="Symbol" w:hint="default"/>
      </w:rPr>
    </w:lvl>
    <w:lvl w:ilvl="7" w:tplc="04090003" w:tentative="1">
      <w:start w:val="1"/>
      <w:numFmt w:val="bullet"/>
      <w:lvlText w:val="o"/>
      <w:lvlJc w:val="left"/>
      <w:pPr>
        <w:ind w:left="7971" w:hanging="360"/>
      </w:pPr>
      <w:rPr>
        <w:rFonts w:ascii="Courier New" w:hAnsi="Courier New" w:cs="Courier New" w:hint="default"/>
      </w:rPr>
    </w:lvl>
    <w:lvl w:ilvl="8" w:tplc="04090005" w:tentative="1">
      <w:start w:val="1"/>
      <w:numFmt w:val="bullet"/>
      <w:lvlText w:val=""/>
      <w:lvlJc w:val="left"/>
      <w:pPr>
        <w:ind w:left="8691"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3114870"/>
    <w:multiLevelType w:val="hybridMultilevel"/>
    <w:tmpl w:val="12F0C8E2"/>
    <w:lvl w:ilvl="0" w:tplc="A68835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8F7D1C"/>
    <w:multiLevelType w:val="hybridMultilevel"/>
    <w:tmpl w:val="D638E3DE"/>
    <w:lvl w:ilvl="0" w:tplc="A68835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C73CEF"/>
    <w:multiLevelType w:val="hybridMultilevel"/>
    <w:tmpl w:val="C62C2A40"/>
    <w:lvl w:ilvl="0" w:tplc="DB8035AE">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DB20AF"/>
    <w:multiLevelType w:val="hybridMultilevel"/>
    <w:tmpl w:val="C98215E0"/>
    <w:lvl w:ilvl="0" w:tplc="B6BCEA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B669D8"/>
    <w:multiLevelType w:val="hybridMultilevel"/>
    <w:tmpl w:val="4EA473BE"/>
    <w:lvl w:ilvl="0" w:tplc="72BE553C">
      <w:start w:val="3"/>
      <w:numFmt w:val="bullet"/>
      <w:lvlText w:val="–"/>
      <w:lvlJc w:val="left"/>
      <w:pPr>
        <w:tabs>
          <w:tab w:val="num" w:pos="1095"/>
        </w:tabs>
        <w:ind w:left="1095" w:hanging="435"/>
      </w:pPr>
      <w:rPr>
        <w:rFonts w:ascii="Arial" w:eastAsia="SimSun" w:hAnsi="Arial" w:cs="Aria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1">
    <w:nsid w:val="49231224"/>
    <w:multiLevelType w:val="hybridMultilevel"/>
    <w:tmpl w:val="37C04CA8"/>
    <w:lvl w:ilvl="0" w:tplc="26CA9CF6">
      <w:start w:val="1"/>
      <w:numFmt w:val="decimal"/>
      <w:lvlText w:val="%1."/>
      <w:lvlJc w:val="left"/>
      <w:pPr>
        <w:tabs>
          <w:tab w:val="num" w:pos="570"/>
        </w:tabs>
        <w:ind w:left="570" w:hanging="57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4E2BA8"/>
    <w:multiLevelType w:val="hybridMultilevel"/>
    <w:tmpl w:val="AD2AAAEA"/>
    <w:lvl w:ilvl="0" w:tplc="0B202A40">
      <w:start w:val="3"/>
      <w:numFmt w:val="bullet"/>
      <w:lvlText w:val="-"/>
      <w:lvlJc w:val="left"/>
      <w:pPr>
        <w:tabs>
          <w:tab w:val="num" w:pos="720"/>
        </w:tabs>
        <w:ind w:left="720" w:hanging="360"/>
      </w:pPr>
      <w:rPr>
        <w:rFonts w:ascii="Arial" w:eastAsia="SimSun"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453D40"/>
    <w:multiLevelType w:val="hybridMultilevel"/>
    <w:tmpl w:val="E848D6F6"/>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8B3C46"/>
    <w:multiLevelType w:val="hybridMultilevel"/>
    <w:tmpl w:val="799E19C6"/>
    <w:lvl w:ilvl="0" w:tplc="7B9C88C2">
      <w:start w:val="1"/>
      <w:numFmt w:val="decimal"/>
      <w:lvlRestart w:val="0"/>
      <w:pStyle w:val="ListNumber"/>
      <w:lvlText w:val="03.%1."/>
      <w:lvlJc w:val="left"/>
      <w:pPr>
        <w:tabs>
          <w:tab w:val="num" w:pos="567"/>
        </w:tabs>
        <w:ind w:left="0" w:firstLine="0"/>
      </w:pPr>
      <w:rPr>
        <w:rFonts w:hint="default"/>
      </w:rPr>
    </w:lvl>
    <w:lvl w:ilvl="1" w:tplc="07FC9E8E" w:tentative="1">
      <w:start w:val="1"/>
      <w:numFmt w:val="lowerLetter"/>
      <w:lvlText w:val="%2."/>
      <w:lvlJc w:val="left"/>
      <w:pPr>
        <w:tabs>
          <w:tab w:val="num" w:pos="1440"/>
        </w:tabs>
        <w:ind w:left="1440" w:hanging="360"/>
      </w:pPr>
    </w:lvl>
    <w:lvl w:ilvl="2" w:tplc="37A633D2" w:tentative="1">
      <w:start w:val="1"/>
      <w:numFmt w:val="lowerRoman"/>
      <w:lvlText w:val="%3."/>
      <w:lvlJc w:val="right"/>
      <w:pPr>
        <w:tabs>
          <w:tab w:val="num" w:pos="2160"/>
        </w:tabs>
        <w:ind w:left="2160" w:hanging="180"/>
      </w:pPr>
    </w:lvl>
    <w:lvl w:ilvl="3" w:tplc="741011E4" w:tentative="1">
      <w:start w:val="1"/>
      <w:numFmt w:val="decimal"/>
      <w:lvlText w:val="%4."/>
      <w:lvlJc w:val="left"/>
      <w:pPr>
        <w:tabs>
          <w:tab w:val="num" w:pos="2880"/>
        </w:tabs>
        <w:ind w:left="2880" w:hanging="360"/>
      </w:pPr>
    </w:lvl>
    <w:lvl w:ilvl="4" w:tplc="CDEEA0D8" w:tentative="1">
      <w:start w:val="1"/>
      <w:numFmt w:val="lowerLetter"/>
      <w:lvlText w:val="%5."/>
      <w:lvlJc w:val="left"/>
      <w:pPr>
        <w:tabs>
          <w:tab w:val="num" w:pos="3600"/>
        </w:tabs>
        <w:ind w:left="3600" w:hanging="360"/>
      </w:pPr>
    </w:lvl>
    <w:lvl w:ilvl="5" w:tplc="2068986E" w:tentative="1">
      <w:start w:val="1"/>
      <w:numFmt w:val="lowerRoman"/>
      <w:lvlText w:val="%6."/>
      <w:lvlJc w:val="right"/>
      <w:pPr>
        <w:tabs>
          <w:tab w:val="num" w:pos="4320"/>
        </w:tabs>
        <w:ind w:left="4320" w:hanging="180"/>
      </w:pPr>
    </w:lvl>
    <w:lvl w:ilvl="6" w:tplc="45EAA85E" w:tentative="1">
      <w:start w:val="1"/>
      <w:numFmt w:val="decimal"/>
      <w:lvlText w:val="%7."/>
      <w:lvlJc w:val="left"/>
      <w:pPr>
        <w:tabs>
          <w:tab w:val="num" w:pos="5040"/>
        </w:tabs>
        <w:ind w:left="5040" w:hanging="360"/>
      </w:pPr>
    </w:lvl>
    <w:lvl w:ilvl="7" w:tplc="C9A69D96" w:tentative="1">
      <w:start w:val="1"/>
      <w:numFmt w:val="lowerLetter"/>
      <w:lvlText w:val="%8."/>
      <w:lvlJc w:val="left"/>
      <w:pPr>
        <w:tabs>
          <w:tab w:val="num" w:pos="5760"/>
        </w:tabs>
        <w:ind w:left="5760" w:hanging="360"/>
      </w:pPr>
    </w:lvl>
    <w:lvl w:ilvl="8" w:tplc="1206F21E" w:tentative="1">
      <w:start w:val="1"/>
      <w:numFmt w:val="lowerRoman"/>
      <w:lvlText w:val="%9."/>
      <w:lvlJc w:val="right"/>
      <w:pPr>
        <w:tabs>
          <w:tab w:val="num" w:pos="6480"/>
        </w:tabs>
        <w:ind w:left="6480" w:hanging="180"/>
      </w:pPr>
    </w:lvl>
  </w:abstractNum>
  <w:abstractNum w:abstractNumId="15">
    <w:nsid w:val="4D3F30B1"/>
    <w:multiLevelType w:val="hybridMultilevel"/>
    <w:tmpl w:val="477029E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50C672B7"/>
    <w:multiLevelType w:val="hybridMultilevel"/>
    <w:tmpl w:val="6B7AB866"/>
    <w:lvl w:ilvl="0" w:tplc="4B7C550E">
      <w:start w:val="14"/>
      <w:numFmt w:val="bullet"/>
      <w:lvlText w:val="-"/>
      <w:lvlJc w:val="left"/>
      <w:pPr>
        <w:ind w:left="910" w:hanging="360"/>
      </w:pPr>
      <w:rPr>
        <w:rFonts w:ascii="Arial" w:eastAsia="SimSun" w:hAnsi="Arial" w:cs="Aria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7">
    <w:nsid w:val="56041CCE"/>
    <w:multiLevelType w:val="hybridMultilevel"/>
    <w:tmpl w:val="79B46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2C724C"/>
    <w:multiLevelType w:val="hybridMultilevel"/>
    <w:tmpl w:val="36002EE4"/>
    <w:lvl w:ilvl="0" w:tplc="0F50B8AC">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066C03"/>
    <w:multiLevelType w:val="hybridMultilevel"/>
    <w:tmpl w:val="AFCA8564"/>
    <w:lvl w:ilvl="0" w:tplc="72BE553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1"/>
  </w:num>
  <w:num w:numId="5">
    <w:abstractNumId w:val="12"/>
  </w:num>
  <w:num w:numId="6">
    <w:abstractNumId w:val="0"/>
  </w:num>
  <w:num w:numId="7">
    <w:abstractNumId w:val="10"/>
  </w:num>
  <w:num w:numId="8">
    <w:abstractNumId w:val="3"/>
  </w:num>
  <w:num w:numId="9">
    <w:abstractNumId w:val="15"/>
  </w:num>
  <w:num w:numId="10">
    <w:abstractNumId w:val="17"/>
  </w:num>
  <w:num w:numId="11">
    <w:abstractNumId w:val="7"/>
  </w:num>
  <w:num w:numId="12">
    <w:abstractNumId w:val="13"/>
  </w:num>
  <w:num w:numId="13">
    <w:abstractNumId w:val="9"/>
  </w:num>
  <w:num w:numId="14">
    <w:abstractNumId w:val="1"/>
  </w:num>
  <w:num w:numId="15">
    <w:abstractNumId w:val="16"/>
  </w:num>
  <w:num w:numId="16">
    <w:abstractNumId w:val="19"/>
  </w:num>
  <w:num w:numId="17">
    <w:abstractNumId w:val="18"/>
  </w:num>
  <w:num w:numId="18">
    <w:abstractNumId w:val="8"/>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86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1CF"/>
    <w:rsid w:val="00000FC1"/>
    <w:rsid w:val="0000244E"/>
    <w:rsid w:val="000026C4"/>
    <w:rsid w:val="00004ECD"/>
    <w:rsid w:val="00013D92"/>
    <w:rsid w:val="0001487E"/>
    <w:rsid w:val="00017AA1"/>
    <w:rsid w:val="0003060B"/>
    <w:rsid w:val="0003061A"/>
    <w:rsid w:val="00031B07"/>
    <w:rsid w:val="000320F0"/>
    <w:rsid w:val="00036B28"/>
    <w:rsid w:val="0003737B"/>
    <w:rsid w:val="00041E3D"/>
    <w:rsid w:val="000452A4"/>
    <w:rsid w:val="00050E02"/>
    <w:rsid w:val="000519E7"/>
    <w:rsid w:val="00052CD2"/>
    <w:rsid w:val="000649A0"/>
    <w:rsid w:val="00073835"/>
    <w:rsid w:val="000742D8"/>
    <w:rsid w:val="00075BD3"/>
    <w:rsid w:val="00077648"/>
    <w:rsid w:val="00077C0A"/>
    <w:rsid w:val="000830E0"/>
    <w:rsid w:val="0009416D"/>
    <w:rsid w:val="000966F7"/>
    <w:rsid w:val="000A43A2"/>
    <w:rsid w:val="000A529D"/>
    <w:rsid w:val="000A6563"/>
    <w:rsid w:val="000B73B9"/>
    <w:rsid w:val="000C2ED1"/>
    <w:rsid w:val="000C33EC"/>
    <w:rsid w:val="000C5102"/>
    <w:rsid w:val="000C7B31"/>
    <w:rsid w:val="000D2E3C"/>
    <w:rsid w:val="000D2E8B"/>
    <w:rsid w:val="000D34CA"/>
    <w:rsid w:val="000D3C95"/>
    <w:rsid w:val="000E53BA"/>
    <w:rsid w:val="000E7D9A"/>
    <w:rsid w:val="000F10C9"/>
    <w:rsid w:val="000F3657"/>
    <w:rsid w:val="000F478E"/>
    <w:rsid w:val="000F5F40"/>
    <w:rsid w:val="001037BB"/>
    <w:rsid w:val="00107ACD"/>
    <w:rsid w:val="001149CC"/>
    <w:rsid w:val="00116211"/>
    <w:rsid w:val="00126727"/>
    <w:rsid w:val="001332D6"/>
    <w:rsid w:val="0013624A"/>
    <w:rsid w:val="00136BCA"/>
    <w:rsid w:val="0014169A"/>
    <w:rsid w:val="00142DF5"/>
    <w:rsid w:val="00143D16"/>
    <w:rsid w:val="00144601"/>
    <w:rsid w:val="00146096"/>
    <w:rsid w:val="001559C2"/>
    <w:rsid w:val="00161B4C"/>
    <w:rsid w:val="0016230F"/>
    <w:rsid w:val="00165FFC"/>
    <w:rsid w:val="00166FF5"/>
    <w:rsid w:val="001752CC"/>
    <w:rsid w:val="00192279"/>
    <w:rsid w:val="00194E39"/>
    <w:rsid w:val="00195679"/>
    <w:rsid w:val="001A4843"/>
    <w:rsid w:val="001A56B6"/>
    <w:rsid w:val="001A7B69"/>
    <w:rsid w:val="001B0225"/>
    <w:rsid w:val="001B25C9"/>
    <w:rsid w:val="001B353A"/>
    <w:rsid w:val="001C676A"/>
    <w:rsid w:val="001D2FA6"/>
    <w:rsid w:val="001D3817"/>
    <w:rsid w:val="001D5B08"/>
    <w:rsid w:val="001E1E48"/>
    <w:rsid w:val="001E7FD7"/>
    <w:rsid w:val="0020077D"/>
    <w:rsid w:val="00213A5B"/>
    <w:rsid w:val="00216A13"/>
    <w:rsid w:val="0022014C"/>
    <w:rsid w:val="00224C0E"/>
    <w:rsid w:val="002256F4"/>
    <w:rsid w:val="00231529"/>
    <w:rsid w:val="002361C0"/>
    <w:rsid w:val="00242D6D"/>
    <w:rsid w:val="00244C69"/>
    <w:rsid w:val="00250C78"/>
    <w:rsid w:val="00253FB6"/>
    <w:rsid w:val="0026573A"/>
    <w:rsid w:val="002722D4"/>
    <w:rsid w:val="00272821"/>
    <w:rsid w:val="00273FF9"/>
    <w:rsid w:val="00275E8B"/>
    <w:rsid w:val="00277BB3"/>
    <w:rsid w:val="002832CB"/>
    <w:rsid w:val="00286A91"/>
    <w:rsid w:val="0029064B"/>
    <w:rsid w:val="00293BBD"/>
    <w:rsid w:val="002953D9"/>
    <w:rsid w:val="00297922"/>
    <w:rsid w:val="002A1119"/>
    <w:rsid w:val="002A2D62"/>
    <w:rsid w:val="002A43E3"/>
    <w:rsid w:val="002A4C3A"/>
    <w:rsid w:val="002A5100"/>
    <w:rsid w:val="002A68A0"/>
    <w:rsid w:val="002A6F88"/>
    <w:rsid w:val="002B6177"/>
    <w:rsid w:val="002C327F"/>
    <w:rsid w:val="002C627F"/>
    <w:rsid w:val="002D3141"/>
    <w:rsid w:val="002D5505"/>
    <w:rsid w:val="002D6614"/>
    <w:rsid w:val="002D668A"/>
    <w:rsid w:val="002D6932"/>
    <w:rsid w:val="002D7125"/>
    <w:rsid w:val="002E3991"/>
    <w:rsid w:val="002E7CDE"/>
    <w:rsid w:val="002F3D1F"/>
    <w:rsid w:val="002F491C"/>
    <w:rsid w:val="0030061C"/>
    <w:rsid w:val="003052FC"/>
    <w:rsid w:val="00307631"/>
    <w:rsid w:val="00307FD1"/>
    <w:rsid w:val="0031127B"/>
    <w:rsid w:val="003120D3"/>
    <w:rsid w:val="0031395D"/>
    <w:rsid w:val="003171F0"/>
    <w:rsid w:val="003226F7"/>
    <w:rsid w:val="003232E4"/>
    <w:rsid w:val="00323CE7"/>
    <w:rsid w:val="00323FE6"/>
    <w:rsid w:val="00327404"/>
    <w:rsid w:val="00327FCD"/>
    <w:rsid w:val="00330006"/>
    <w:rsid w:val="003331CF"/>
    <w:rsid w:val="0033523A"/>
    <w:rsid w:val="00340642"/>
    <w:rsid w:val="00342AFE"/>
    <w:rsid w:val="003431BB"/>
    <w:rsid w:val="00343737"/>
    <w:rsid w:val="00355304"/>
    <w:rsid w:val="003608E0"/>
    <w:rsid w:val="00364000"/>
    <w:rsid w:val="003669E7"/>
    <w:rsid w:val="00370B91"/>
    <w:rsid w:val="00372C3F"/>
    <w:rsid w:val="00373A85"/>
    <w:rsid w:val="00382146"/>
    <w:rsid w:val="00390E3D"/>
    <w:rsid w:val="00393FF4"/>
    <w:rsid w:val="003951EA"/>
    <w:rsid w:val="00395C45"/>
    <w:rsid w:val="00395C86"/>
    <w:rsid w:val="003A1379"/>
    <w:rsid w:val="003A1FDB"/>
    <w:rsid w:val="003A3606"/>
    <w:rsid w:val="003A7F94"/>
    <w:rsid w:val="003B2105"/>
    <w:rsid w:val="003B3765"/>
    <w:rsid w:val="003B59FD"/>
    <w:rsid w:val="003C0A81"/>
    <w:rsid w:val="003C16DA"/>
    <w:rsid w:val="003C1A13"/>
    <w:rsid w:val="003C1CB7"/>
    <w:rsid w:val="003C3FF7"/>
    <w:rsid w:val="003D013E"/>
    <w:rsid w:val="003D3105"/>
    <w:rsid w:val="003D3777"/>
    <w:rsid w:val="003D4E23"/>
    <w:rsid w:val="003D613F"/>
    <w:rsid w:val="003D6517"/>
    <w:rsid w:val="003E1FA5"/>
    <w:rsid w:val="003E3F73"/>
    <w:rsid w:val="003E45E5"/>
    <w:rsid w:val="003E492B"/>
    <w:rsid w:val="003F34D9"/>
    <w:rsid w:val="003F71AA"/>
    <w:rsid w:val="003F7D15"/>
    <w:rsid w:val="0040097B"/>
    <w:rsid w:val="00401CFE"/>
    <w:rsid w:val="00402574"/>
    <w:rsid w:val="004061E9"/>
    <w:rsid w:val="00406A9C"/>
    <w:rsid w:val="00416FDC"/>
    <w:rsid w:val="00417156"/>
    <w:rsid w:val="004230A0"/>
    <w:rsid w:val="00424213"/>
    <w:rsid w:val="004342D8"/>
    <w:rsid w:val="00435C06"/>
    <w:rsid w:val="00453341"/>
    <w:rsid w:val="00454D49"/>
    <w:rsid w:val="00462B29"/>
    <w:rsid w:val="004633FE"/>
    <w:rsid w:val="004641EA"/>
    <w:rsid w:val="00465909"/>
    <w:rsid w:val="00467ADF"/>
    <w:rsid w:val="00470CEB"/>
    <w:rsid w:val="004754F6"/>
    <w:rsid w:val="00475AEB"/>
    <w:rsid w:val="00477CCF"/>
    <w:rsid w:val="00483433"/>
    <w:rsid w:val="004851E2"/>
    <w:rsid w:val="00485DF9"/>
    <w:rsid w:val="00491D8F"/>
    <w:rsid w:val="0049716C"/>
    <w:rsid w:val="004A053E"/>
    <w:rsid w:val="004A1A3B"/>
    <w:rsid w:val="004A5A5C"/>
    <w:rsid w:val="004B6B21"/>
    <w:rsid w:val="004C392D"/>
    <w:rsid w:val="004C4D8B"/>
    <w:rsid w:val="004C6DDE"/>
    <w:rsid w:val="004D1350"/>
    <w:rsid w:val="004D1692"/>
    <w:rsid w:val="004D20A2"/>
    <w:rsid w:val="004D7550"/>
    <w:rsid w:val="004E2E5A"/>
    <w:rsid w:val="004E6BD5"/>
    <w:rsid w:val="004E7F5C"/>
    <w:rsid w:val="004F1413"/>
    <w:rsid w:val="004F62CB"/>
    <w:rsid w:val="004F7726"/>
    <w:rsid w:val="004F78CE"/>
    <w:rsid w:val="0050383F"/>
    <w:rsid w:val="005039DD"/>
    <w:rsid w:val="005049DA"/>
    <w:rsid w:val="00506562"/>
    <w:rsid w:val="00521627"/>
    <w:rsid w:val="005243B8"/>
    <w:rsid w:val="00524AFB"/>
    <w:rsid w:val="00530FEF"/>
    <w:rsid w:val="0053117E"/>
    <w:rsid w:val="0053485D"/>
    <w:rsid w:val="00536A71"/>
    <w:rsid w:val="00537CF8"/>
    <w:rsid w:val="0054031B"/>
    <w:rsid w:val="0054551D"/>
    <w:rsid w:val="0054627C"/>
    <w:rsid w:val="00564A2E"/>
    <w:rsid w:val="00565E0A"/>
    <w:rsid w:val="00567FA4"/>
    <w:rsid w:val="0057467A"/>
    <w:rsid w:val="00580A1A"/>
    <w:rsid w:val="00585093"/>
    <w:rsid w:val="00590940"/>
    <w:rsid w:val="005912E8"/>
    <w:rsid w:val="00594144"/>
    <w:rsid w:val="00597452"/>
    <w:rsid w:val="00597873"/>
    <w:rsid w:val="005A1713"/>
    <w:rsid w:val="005A4BEE"/>
    <w:rsid w:val="005A5A65"/>
    <w:rsid w:val="005A5D3C"/>
    <w:rsid w:val="005B1065"/>
    <w:rsid w:val="005B42D0"/>
    <w:rsid w:val="005C2297"/>
    <w:rsid w:val="005C500B"/>
    <w:rsid w:val="005C64A1"/>
    <w:rsid w:val="005D3782"/>
    <w:rsid w:val="005D64DF"/>
    <w:rsid w:val="005D679B"/>
    <w:rsid w:val="005E05C8"/>
    <w:rsid w:val="005E0A61"/>
    <w:rsid w:val="005E1249"/>
    <w:rsid w:val="005E1A87"/>
    <w:rsid w:val="005F3248"/>
    <w:rsid w:val="005F545E"/>
    <w:rsid w:val="005F7CBD"/>
    <w:rsid w:val="00604046"/>
    <w:rsid w:val="00607C24"/>
    <w:rsid w:val="00611865"/>
    <w:rsid w:val="00614A7F"/>
    <w:rsid w:val="006246F9"/>
    <w:rsid w:val="00625045"/>
    <w:rsid w:val="00630119"/>
    <w:rsid w:val="00630618"/>
    <w:rsid w:val="006332F7"/>
    <w:rsid w:val="00633DBE"/>
    <w:rsid w:val="00636C82"/>
    <w:rsid w:val="00652687"/>
    <w:rsid w:val="00655D94"/>
    <w:rsid w:val="00662EC5"/>
    <w:rsid w:val="00662F38"/>
    <w:rsid w:val="00663FAA"/>
    <w:rsid w:val="00664C99"/>
    <w:rsid w:val="00664DF5"/>
    <w:rsid w:val="00667B8B"/>
    <w:rsid w:val="006721F1"/>
    <w:rsid w:val="00672ECB"/>
    <w:rsid w:val="00675ED0"/>
    <w:rsid w:val="006774CF"/>
    <w:rsid w:val="006871BC"/>
    <w:rsid w:val="0068778E"/>
    <w:rsid w:val="0069264D"/>
    <w:rsid w:val="00692FBE"/>
    <w:rsid w:val="006951EA"/>
    <w:rsid w:val="00695A11"/>
    <w:rsid w:val="006967F0"/>
    <w:rsid w:val="00696988"/>
    <w:rsid w:val="006A2A3B"/>
    <w:rsid w:val="006A4402"/>
    <w:rsid w:val="006A5A43"/>
    <w:rsid w:val="006A60BC"/>
    <w:rsid w:val="006A7585"/>
    <w:rsid w:val="006A7AC5"/>
    <w:rsid w:val="006B431A"/>
    <w:rsid w:val="006C36F6"/>
    <w:rsid w:val="006D29DD"/>
    <w:rsid w:val="006D7232"/>
    <w:rsid w:val="006E3150"/>
    <w:rsid w:val="006E6274"/>
    <w:rsid w:val="006E706A"/>
    <w:rsid w:val="007047A7"/>
    <w:rsid w:val="007059B4"/>
    <w:rsid w:val="00707720"/>
    <w:rsid w:val="00707889"/>
    <w:rsid w:val="00710EBB"/>
    <w:rsid w:val="00711F3F"/>
    <w:rsid w:val="00716C9F"/>
    <w:rsid w:val="00717E96"/>
    <w:rsid w:val="00721A1F"/>
    <w:rsid w:val="00730B07"/>
    <w:rsid w:val="00730C22"/>
    <w:rsid w:val="00734DDC"/>
    <w:rsid w:val="0073558F"/>
    <w:rsid w:val="00735AFF"/>
    <w:rsid w:val="007416B5"/>
    <w:rsid w:val="007425E9"/>
    <w:rsid w:val="00742868"/>
    <w:rsid w:val="00744CB5"/>
    <w:rsid w:val="00745F3F"/>
    <w:rsid w:val="0075180C"/>
    <w:rsid w:val="00752446"/>
    <w:rsid w:val="007545C9"/>
    <w:rsid w:val="00760F38"/>
    <w:rsid w:val="00773A8F"/>
    <w:rsid w:val="007740BA"/>
    <w:rsid w:val="00775D14"/>
    <w:rsid w:val="00784C84"/>
    <w:rsid w:val="00786DB3"/>
    <w:rsid w:val="00790515"/>
    <w:rsid w:val="007A1117"/>
    <w:rsid w:val="007A1DF5"/>
    <w:rsid w:val="007A3720"/>
    <w:rsid w:val="007A49B0"/>
    <w:rsid w:val="007B3908"/>
    <w:rsid w:val="007B7595"/>
    <w:rsid w:val="007C0C23"/>
    <w:rsid w:val="007C4A04"/>
    <w:rsid w:val="007C573F"/>
    <w:rsid w:val="007C6541"/>
    <w:rsid w:val="007D176B"/>
    <w:rsid w:val="007D7F35"/>
    <w:rsid w:val="007E17B2"/>
    <w:rsid w:val="007E4BAF"/>
    <w:rsid w:val="007F67B2"/>
    <w:rsid w:val="0082378E"/>
    <w:rsid w:val="00833692"/>
    <w:rsid w:val="00837A0A"/>
    <w:rsid w:val="00841FBA"/>
    <w:rsid w:val="00844D73"/>
    <w:rsid w:val="00846EF5"/>
    <w:rsid w:val="008615F8"/>
    <w:rsid w:val="00864BE4"/>
    <w:rsid w:val="008651EC"/>
    <w:rsid w:val="00867AC4"/>
    <w:rsid w:val="00870020"/>
    <w:rsid w:val="00870490"/>
    <w:rsid w:val="00876949"/>
    <w:rsid w:val="00877BBC"/>
    <w:rsid w:val="00883731"/>
    <w:rsid w:val="00890D07"/>
    <w:rsid w:val="00895552"/>
    <w:rsid w:val="00895DDA"/>
    <w:rsid w:val="008965AC"/>
    <w:rsid w:val="00896D88"/>
    <w:rsid w:val="00896E3D"/>
    <w:rsid w:val="008974A3"/>
    <w:rsid w:val="008A38CC"/>
    <w:rsid w:val="008A46A0"/>
    <w:rsid w:val="008A6CC4"/>
    <w:rsid w:val="008B0213"/>
    <w:rsid w:val="008B0947"/>
    <w:rsid w:val="008B77C8"/>
    <w:rsid w:val="008C382F"/>
    <w:rsid w:val="008C7675"/>
    <w:rsid w:val="008D1C2E"/>
    <w:rsid w:val="008D3851"/>
    <w:rsid w:val="008D4280"/>
    <w:rsid w:val="008E3075"/>
    <w:rsid w:val="008E370C"/>
    <w:rsid w:val="008E46B0"/>
    <w:rsid w:val="008F212F"/>
    <w:rsid w:val="008F2475"/>
    <w:rsid w:val="008F265E"/>
    <w:rsid w:val="008F43A8"/>
    <w:rsid w:val="009065F0"/>
    <w:rsid w:val="00914B9C"/>
    <w:rsid w:val="009202EC"/>
    <w:rsid w:val="00921E6F"/>
    <w:rsid w:val="00925590"/>
    <w:rsid w:val="009273D6"/>
    <w:rsid w:val="00932B9E"/>
    <w:rsid w:val="00933982"/>
    <w:rsid w:val="00934A1A"/>
    <w:rsid w:val="00940974"/>
    <w:rsid w:val="0095346C"/>
    <w:rsid w:val="009534EE"/>
    <w:rsid w:val="009603B4"/>
    <w:rsid w:val="0096302D"/>
    <w:rsid w:val="00963250"/>
    <w:rsid w:val="00964435"/>
    <w:rsid w:val="009645EC"/>
    <w:rsid w:val="00966474"/>
    <w:rsid w:val="009720BE"/>
    <w:rsid w:val="009749AB"/>
    <w:rsid w:val="0098059D"/>
    <w:rsid w:val="00981A2D"/>
    <w:rsid w:val="00982D37"/>
    <w:rsid w:val="00985BDC"/>
    <w:rsid w:val="009908A2"/>
    <w:rsid w:val="00993BE1"/>
    <w:rsid w:val="00995203"/>
    <w:rsid w:val="00995DC8"/>
    <w:rsid w:val="009A13F9"/>
    <w:rsid w:val="009A1C6A"/>
    <w:rsid w:val="009A4068"/>
    <w:rsid w:val="009B0995"/>
    <w:rsid w:val="009B2E10"/>
    <w:rsid w:val="009B31CB"/>
    <w:rsid w:val="009B3213"/>
    <w:rsid w:val="009B43FC"/>
    <w:rsid w:val="009B75BC"/>
    <w:rsid w:val="009C0FC8"/>
    <w:rsid w:val="009C15DA"/>
    <w:rsid w:val="009C18E7"/>
    <w:rsid w:val="009C1D68"/>
    <w:rsid w:val="009C2908"/>
    <w:rsid w:val="009C56FD"/>
    <w:rsid w:val="009D07D8"/>
    <w:rsid w:val="009D0B43"/>
    <w:rsid w:val="009D461D"/>
    <w:rsid w:val="009D4BDD"/>
    <w:rsid w:val="009D5137"/>
    <w:rsid w:val="009E571B"/>
    <w:rsid w:val="009E66D6"/>
    <w:rsid w:val="009F0618"/>
    <w:rsid w:val="009F0E40"/>
    <w:rsid w:val="009F2079"/>
    <w:rsid w:val="009F33FF"/>
    <w:rsid w:val="009F3956"/>
    <w:rsid w:val="009F52AC"/>
    <w:rsid w:val="00A03506"/>
    <w:rsid w:val="00A06853"/>
    <w:rsid w:val="00A103E8"/>
    <w:rsid w:val="00A17AA3"/>
    <w:rsid w:val="00A17BE4"/>
    <w:rsid w:val="00A205D5"/>
    <w:rsid w:val="00A20625"/>
    <w:rsid w:val="00A31BF6"/>
    <w:rsid w:val="00A37C32"/>
    <w:rsid w:val="00A40979"/>
    <w:rsid w:val="00A533E0"/>
    <w:rsid w:val="00A60B0B"/>
    <w:rsid w:val="00A60B22"/>
    <w:rsid w:val="00A623F6"/>
    <w:rsid w:val="00A639B7"/>
    <w:rsid w:val="00A6552C"/>
    <w:rsid w:val="00A67BFE"/>
    <w:rsid w:val="00A72627"/>
    <w:rsid w:val="00A7555C"/>
    <w:rsid w:val="00A758F5"/>
    <w:rsid w:val="00A77848"/>
    <w:rsid w:val="00A81B16"/>
    <w:rsid w:val="00A8492E"/>
    <w:rsid w:val="00A860C1"/>
    <w:rsid w:val="00A86F2C"/>
    <w:rsid w:val="00A9190F"/>
    <w:rsid w:val="00A91F61"/>
    <w:rsid w:val="00A920DC"/>
    <w:rsid w:val="00A948B2"/>
    <w:rsid w:val="00A94A80"/>
    <w:rsid w:val="00A9671D"/>
    <w:rsid w:val="00A97753"/>
    <w:rsid w:val="00AA229C"/>
    <w:rsid w:val="00AA3030"/>
    <w:rsid w:val="00AA553D"/>
    <w:rsid w:val="00AB1782"/>
    <w:rsid w:val="00AC3480"/>
    <w:rsid w:val="00AC3E08"/>
    <w:rsid w:val="00AC3F49"/>
    <w:rsid w:val="00AC6547"/>
    <w:rsid w:val="00AD6186"/>
    <w:rsid w:val="00AD755A"/>
    <w:rsid w:val="00AE1888"/>
    <w:rsid w:val="00AE2066"/>
    <w:rsid w:val="00AF270E"/>
    <w:rsid w:val="00AF6909"/>
    <w:rsid w:val="00B027CB"/>
    <w:rsid w:val="00B03743"/>
    <w:rsid w:val="00B03B9B"/>
    <w:rsid w:val="00B055F9"/>
    <w:rsid w:val="00B05A3C"/>
    <w:rsid w:val="00B06B62"/>
    <w:rsid w:val="00B12C99"/>
    <w:rsid w:val="00B13D30"/>
    <w:rsid w:val="00B16B36"/>
    <w:rsid w:val="00B176A3"/>
    <w:rsid w:val="00B24FDE"/>
    <w:rsid w:val="00B33C9E"/>
    <w:rsid w:val="00B340FA"/>
    <w:rsid w:val="00B358F4"/>
    <w:rsid w:val="00B455A0"/>
    <w:rsid w:val="00B46AC8"/>
    <w:rsid w:val="00B501E8"/>
    <w:rsid w:val="00B535DB"/>
    <w:rsid w:val="00B5498F"/>
    <w:rsid w:val="00B55391"/>
    <w:rsid w:val="00B55408"/>
    <w:rsid w:val="00B56ADE"/>
    <w:rsid w:val="00B63E31"/>
    <w:rsid w:val="00B65212"/>
    <w:rsid w:val="00B6551E"/>
    <w:rsid w:val="00B80B23"/>
    <w:rsid w:val="00B854D2"/>
    <w:rsid w:val="00B918FC"/>
    <w:rsid w:val="00B93284"/>
    <w:rsid w:val="00B946D4"/>
    <w:rsid w:val="00BA5853"/>
    <w:rsid w:val="00BA6026"/>
    <w:rsid w:val="00BB01FB"/>
    <w:rsid w:val="00BB02A2"/>
    <w:rsid w:val="00BB0C85"/>
    <w:rsid w:val="00BB5929"/>
    <w:rsid w:val="00BB6DD9"/>
    <w:rsid w:val="00BB7045"/>
    <w:rsid w:val="00BB75B9"/>
    <w:rsid w:val="00BC10AC"/>
    <w:rsid w:val="00BC30F0"/>
    <w:rsid w:val="00BC7E9D"/>
    <w:rsid w:val="00BD2665"/>
    <w:rsid w:val="00BD4E98"/>
    <w:rsid w:val="00BD562F"/>
    <w:rsid w:val="00BE0CA6"/>
    <w:rsid w:val="00BE1E46"/>
    <w:rsid w:val="00C048AA"/>
    <w:rsid w:val="00C04BD2"/>
    <w:rsid w:val="00C05659"/>
    <w:rsid w:val="00C06FAC"/>
    <w:rsid w:val="00C1043F"/>
    <w:rsid w:val="00C116D2"/>
    <w:rsid w:val="00C132F4"/>
    <w:rsid w:val="00C16C09"/>
    <w:rsid w:val="00C17230"/>
    <w:rsid w:val="00C2124A"/>
    <w:rsid w:val="00C2171C"/>
    <w:rsid w:val="00C258EA"/>
    <w:rsid w:val="00C30E0F"/>
    <w:rsid w:val="00C31F1E"/>
    <w:rsid w:val="00C324E5"/>
    <w:rsid w:val="00C34503"/>
    <w:rsid w:val="00C40712"/>
    <w:rsid w:val="00C430CF"/>
    <w:rsid w:val="00C46A7D"/>
    <w:rsid w:val="00C641A2"/>
    <w:rsid w:val="00C75C92"/>
    <w:rsid w:val="00C769B2"/>
    <w:rsid w:val="00C810E8"/>
    <w:rsid w:val="00C81D3E"/>
    <w:rsid w:val="00C85E84"/>
    <w:rsid w:val="00C954BC"/>
    <w:rsid w:val="00C9710D"/>
    <w:rsid w:val="00CA3CCE"/>
    <w:rsid w:val="00CA4DB3"/>
    <w:rsid w:val="00CA7EEE"/>
    <w:rsid w:val="00CB0F0A"/>
    <w:rsid w:val="00CB38BB"/>
    <w:rsid w:val="00CC042D"/>
    <w:rsid w:val="00CC0D18"/>
    <w:rsid w:val="00CC35A0"/>
    <w:rsid w:val="00CC5146"/>
    <w:rsid w:val="00CC611E"/>
    <w:rsid w:val="00CD1D99"/>
    <w:rsid w:val="00CD24E3"/>
    <w:rsid w:val="00CD5DF6"/>
    <w:rsid w:val="00CD745C"/>
    <w:rsid w:val="00CE02D8"/>
    <w:rsid w:val="00CE387B"/>
    <w:rsid w:val="00CF3F74"/>
    <w:rsid w:val="00D025F7"/>
    <w:rsid w:val="00D04D8B"/>
    <w:rsid w:val="00D11240"/>
    <w:rsid w:val="00D118F6"/>
    <w:rsid w:val="00D12EAF"/>
    <w:rsid w:val="00D21FC2"/>
    <w:rsid w:val="00D348B1"/>
    <w:rsid w:val="00D3619E"/>
    <w:rsid w:val="00D415F4"/>
    <w:rsid w:val="00D45F5F"/>
    <w:rsid w:val="00D57E04"/>
    <w:rsid w:val="00D604D7"/>
    <w:rsid w:val="00D61DB4"/>
    <w:rsid w:val="00D65AF2"/>
    <w:rsid w:val="00D6723F"/>
    <w:rsid w:val="00D70F86"/>
    <w:rsid w:val="00D763AE"/>
    <w:rsid w:val="00D77C13"/>
    <w:rsid w:val="00D834C1"/>
    <w:rsid w:val="00D942E3"/>
    <w:rsid w:val="00D954F1"/>
    <w:rsid w:val="00DA379A"/>
    <w:rsid w:val="00DA3ED8"/>
    <w:rsid w:val="00DA4235"/>
    <w:rsid w:val="00DA7B00"/>
    <w:rsid w:val="00DB2634"/>
    <w:rsid w:val="00DB4C39"/>
    <w:rsid w:val="00DC3B44"/>
    <w:rsid w:val="00DC55B1"/>
    <w:rsid w:val="00DC5C79"/>
    <w:rsid w:val="00DD2B8C"/>
    <w:rsid w:val="00DD2FB5"/>
    <w:rsid w:val="00DD44D7"/>
    <w:rsid w:val="00DD6C1A"/>
    <w:rsid w:val="00DE58AB"/>
    <w:rsid w:val="00DF0EB9"/>
    <w:rsid w:val="00E0108D"/>
    <w:rsid w:val="00E021A1"/>
    <w:rsid w:val="00E16F40"/>
    <w:rsid w:val="00E20588"/>
    <w:rsid w:val="00E207E0"/>
    <w:rsid w:val="00E2273C"/>
    <w:rsid w:val="00E35646"/>
    <w:rsid w:val="00E35997"/>
    <w:rsid w:val="00E42018"/>
    <w:rsid w:val="00E4236A"/>
    <w:rsid w:val="00E42D3F"/>
    <w:rsid w:val="00E44670"/>
    <w:rsid w:val="00E45861"/>
    <w:rsid w:val="00E47040"/>
    <w:rsid w:val="00E5022A"/>
    <w:rsid w:val="00E50421"/>
    <w:rsid w:val="00E51307"/>
    <w:rsid w:val="00E53C7E"/>
    <w:rsid w:val="00E54B94"/>
    <w:rsid w:val="00E57338"/>
    <w:rsid w:val="00E57CD0"/>
    <w:rsid w:val="00E61315"/>
    <w:rsid w:val="00E63A30"/>
    <w:rsid w:val="00E70663"/>
    <w:rsid w:val="00E721F3"/>
    <w:rsid w:val="00E73124"/>
    <w:rsid w:val="00E8032F"/>
    <w:rsid w:val="00E81EAF"/>
    <w:rsid w:val="00E82B12"/>
    <w:rsid w:val="00E85452"/>
    <w:rsid w:val="00E93311"/>
    <w:rsid w:val="00E93EA9"/>
    <w:rsid w:val="00E97D79"/>
    <w:rsid w:val="00EA0E3A"/>
    <w:rsid w:val="00EA3FAA"/>
    <w:rsid w:val="00EA78E6"/>
    <w:rsid w:val="00EB18A9"/>
    <w:rsid w:val="00EB1B1E"/>
    <w:rsid w:val="00EB21B0"/>
    <w:rsid w:val="00EB314A"/>
    <w:rsid w:val="00EC094E"/>
    <w:rsid w:val="00EC1FDD"/>
    <w:rsid w:val="00EC2E7C"/>
    <w:rsid w:val="00EC5D7D"/>
    <w:rsid w:val="00EC5DE1"/>
    <w:rsid w:val="00EE175E"/>
    <w:rsid w:val="00EE5DA4"/>
    <w:rsid w:val="00EE7EEF"/>
    <w:rsid w:val="00EF0E65"/>
    <w:rsid w:val="00EF1047"/>
    <w:rsid w:val="00EF236B"/>
    <w:rsid w:val="00EF2AD2"/>
    <w:rsid w:val="00EF478A"/>
    <w:rsid w:val="00EF5BDF"/>
    <w:rsid w:val="00EF5FCF"/>
    <w:rsid w:val="00F01343"/>
    <w:rsid w:val="00F0173A"/>
    <w:rsid w:val="00F01F91"/>
    <w:rsid w:val="00F05F89"/>
    <w:rsid w:val="00F07ED8"/>
    <w:rsid w:val="00F1028F"/>
    <w:rsid w:val="00F11AE1"/>
    <w:rsid w:val="00F12C30"/>
    <w:rsid w:val="00F1441F"/>
    <w:rsid w:val="00F16AB0"/>
    <w:rsid w:val="00F174CB"/>
    <w:rsid w:val="00F20353"/>
    <w:rsid w:val="00F22B99"/>
    <w:rsid w:val="00F27018"/>
    <w:rsid w:val="00F319FA"/>
    <w:rsid w:val="00F32F80"/>
    <w:rsid w:val="00F35C86"/>
    <w:rsid w:val="00F36719"/>
    <w:rsid w:val="00F468CB"/>
    <w:rsid w:val="00F51AC6"/>
    <w:rsid w:val="00F60003"/>
    <w:rsid w:val="00F6010E"/>
    <w:rsid w:val="00F631A9"/>
    <w:rsid w:val="00F66F07"/>
    <w:rsid w:val="00F67530"/>
    <w:rsid w:val="00F70F47"/>
    <w:rsid w:val="00F730DB"/>
    <w:rsid w:val="00F830A2"/>
    <w:rsid w:val="00F927F7"/>
    <w:rsid w:val="00F93611"/>
    <w:rsid w:val="00F96774"/>
    <w:rsid w:val="00F968B4"/>
    <w:rsid w:val="00FA0969"/>
    <w:rsid w:val="00FA1A69"/>
    <w:rsid w:val="00FA2FD5"/>
    <w:rsid w:val="00FA4770"/>
    <w:rsid w:val="00FB122B"/>
    <w:rsid w:val="00FB2D85"/>
    <w:rsid w:val="00FB4881"/>
    <w:rsid w:val="00FB5872"/>
    <w:rsid w:val="00FC2832"/>
    <w:rsid w:val="00FD1FC4"/>
    <w:rsid w:val="00FD2D49"/>
    <w:rsid w:val="00FE60DE"/>
    <w:rsid w:val="00FF207C"/>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bidi="ar-SA"/>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437327"/>
    <w:rPr>
      <w:vertAlign w:val="superscript"/>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PageNumber">
    <w:name w:val="page number"/>
    <w:basedOn w:val="DefaultParagraphFont"/>
    <w:rsid w:val="00975678"/>
  </w:style>
  <w:style w:type="character" w:customStyle="1" w:styleId="Heading3Char">
    <w:name w:val="Heading 3 Char"/>
    <w:link w:val="Heading3"/>
    <w:rsid w:val="007E32C5"/>
    <w:rPr>
      <w:rFonts w:ascii="Arial" w:eastAsia="SimSun" w:hAnsi="Arial" w:cs="Arial"/>
      <w:bCs/>
      <w:sz w:val="22"/>
      <w:szCs w:val="26"/>
      <w:u w:val="single"/>
      <w:lang w:val="en-US" w:eastAsia="zh-CN" w:bidi="ar-SA"/>
    </w:rPr>
  </w:style>
  <w:style w:type="paragraph" w:styleId="BalloonText">
    <w:name w:val="Balloon Text"/>
    <w:basedOn w:val="Normal"/>
    <w:semiHidden/>
    <w:rsid w:val="00194118"/>
    <w:rPr>
      <w:rFonts w:ascii="Tahoma" w:hAnsi="Tahoma" w:cs="Tahoma"/>
      <w:sz w:val="16"/>
      <w:szCs w:val="16"/>
    </w:rPr>
  </w:style>
  <w:style w:type="character" w:styleId="FollowedHyperlink">
    <w:name w:val="FollowedHyperlink"/>
    <w:rsid w:val="00BA28D1"/>
    <w:rPr>
      <w:color w:val="606420"/>
      <w:u w:val="single"/>
    </w:rPr>
  </w:style>
  <w:style w:type="character" w:styleId="CommentReference">
    <w:name w:val="annotation reference"/>
    <w:semiHidden/>
    <w:rsid w:val="00A93240"/>
    <w:rPr>
      <w:sz w:val="16"/>
      <w:szCs w:val="16"/>
    </w:rPr>
  </w:style>
  <w:style w:type="paragraph" w:styleId="CommentSubject">
    <w:name w:val="annotation subject"/>
    <w:basedOn w:val="CommentText"/>
    <w:next w:val="CommentText"/>
    <w:semiHidden/>
    <w:rsid w:val="00A93240"/>
    <w:rPr>
      <w:b/>
      <w:bCs/>
      <w:sz w:val="20"/>
    </w:rPr>
  </w:style>
  <w:style w:type="paragraph" w:styleId="DocumentMap">
    <w:name w:val="Document Map"/>
    <w:basedOn w:val="Normal"/>
    <w:semiHidden/>
    <w:rsid w:val="008974A3"/>
    <w:pPr>
      <w:shd w:val="clear" w:color="auto" w:fill="000080"/>
    </w:pPr>
    <w:rPr>
      <w:rFonts w:ascii="Tahoma" w:hAnsi="Tahoma" w:cs="Tahoma"/>
      <w:sz w:val="20"/>
    </w:rPr>
  </w:style>
  <w:style w:type="table" w:styleId="TableGrid">
    <w:name w:val="Table Grid"/>
    <w:basedOn w:val="TableNormal"/>
    <w:rsid w:val="00BA5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A81"/>
    <w:pPr>
      <w:ind w:left="720"/>
    </w:pPr>
  </w:style>
  <w:style w:type="paragraph" w:styleId="Revision">
    <w:name w:val="Revision"/>
    <w:hidden/>
    <w:uiPriority w:val="99"/>
    <w:semiHidden/>
    <w:rsid w:val="007A49B0"/>
    <w:rPr>
      <w:rFonts w:ascii="Arial" w:eastAsia="SimSun" w:hAnsi="Arial" w:cs="Arial"/>
      <w:sz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bidi="ar-SA"/>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437327"/>
    <w:rPr>
      <w:vertAlign w:val="superscript"/>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PageNumber">
    <w:name w:val="page number"/>
    <w:basedOn w:val="DefaultParagraphFont"/>
    <w:rsid w:val="00975678"/>
  </w:style>
  <w:style w:type="character" w:customStyle="1" w:styleId="Heading3Char">
    <w:name w:val="Heading 3 Char"/>
    <w:link w:val="Heading3"/>
    <w:rsid w:val="007E32C5"/>
    <w:rPr>
      <w:rFonts w:ascii="Arial" w:eastAsia="SimSun" w:hAnsi="Arial" w:cs="Arial"/>
      <w:bCs/>
      <w:sz w:val="22"/>
      <w:szCs w:val="26"/>
      <w:u w:val="single"/>
      <w:lang w:val="en-US" w:eastAsia="zh-CN" w:bidi="ar-SA"/>
    </w:rPr>
  </w:style>
  <w:style w:type="paragraph" w:styleId="BalloonText">
    <w:name w:val="Balloon Text"/>
    <w:basedOn w:val="Normal"/>
    <w:semiHidden/>
    <w:rsid w:val="00194118"/>
    <w:rPr>
      <w:rFonts w:ascii="Tahoma" w:hAnsi="Tahoma" w:cs="Tahoma"/>
      <w:sz w:val="16"/>
      <w:szCs w:val="16"/>
    </w:rPr>
  </w:style>
  <w:style w:type="character" w:styleId="FollowedHyperlink">
    <w:name w:val="FollowedHyperlink"/>
    <w:rsid w:val="00BA28D1"/>
    <w:rPr>
      <w:color w:val="606420"/>
      <w:u w:val="single"/>
    </w:rPr>
  </w:style>
  <w:style w:type="character" w:styleId="CommentReference">
    <w:name w:val="annotation reference"/>
    <w:semiHidden/>
    <w:rsid w:val="00A93240"/>
    <w:rPr>
      <w:sz w:val="16"/>
      <w:szCs w:val="16"/>
    </w:rPr>
  </w:style>
  <w:style w:type="paragraph" w:styleId="CommentSubject">
    <w:name w:val="annotation subject"/>
    <w:basedOn w:val="CommentText"/>
    <w:next w:val="CommentText"/>
    <w:semiHidden/>
    <w:rsid w:val="00A93240"/>
    <w:rPr>
      <w:b/>
      <w:bCs/>
      <w:sz w:val="20"/>
    </w:rPr>
  </w:style>
  <w:style w:type="paragraph" w:styleId="DocumentMap">
    <w:name w:val="Document Map"/>
    <w:basedOn w:val="Normal"/>
    <w:semiHidden/>
    <w:rsid w:val="008974A3"/>
    <w:pPr>
      <w:shd w:val="clear" w:color="auto" w:fill="000080"/>
    </w:pPr>
    <w:rPr>
      <w:rFonts w:ascii="Tahoma" w:hAnsi="Tahoma" w:cs="Tahoma"/>
      <w:sz w:val="20"/>
    </w:rPr>
  </w:style>
  <w:style w:type="table" w:styleId="TableGrid">
    <w:name w:val="Table Grid"/>
    <w:basedOn w:val="TableNormal"/>
    <w:rsid w:val="00BA5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A81"/>
    <w:pPr>
      <w:ind w:left="720"/>
    </w:pPr>
  </w:style>
  <w:style w:type="paragraph" w:styleId="Revision">
    <w:name w:val="Revision"/>
    <w:hidden/>
    <w:uiPriority w:val="99"/>
    <w:semiHidden/>
    <w:rsid w:val="007A49B0"/>
    <w:rPr>
      <w:rFonts w:ascii="Arial" w:eastAsia="SimSun" w:hAnsi="Arial" w:cs="Arial"/>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2199">
      <w:bodyDiv w:val="1"/>
      <w:marLeft w:val="0"/>
      <w:marRight w:val="0"/>
      <w:marTop w:val="0"/>
      <w:marBottom w:val="0"/>
      <w:divBdr>
        <w:top w:val="none" w:sz="0" w:space="0" w:color="auto"/>
        <w:left w:val="none" w:sz="0" w:space="0" w:color="auto"/>
        <w:bottom w:val="none" w:sz="0" w:space="0" w:color="auto"/>
        <w:right w:val="none" w:sz="0" w:space="0" w:color="auto"/>
      </w:divBdr>
    </w:div>
    <w:div w:id="88700450">
      <w:bodyDiv w:val="1"/>
      <w:marLeft w:val="0"/>
      <w:marRight w:val="0"/>
      <w:marTop w:val="0"/>
      <w:marBottom w:val="0"/>
      <w:divBdr>
        <w:top w:val="none" w:sz="0" w:space="0" w:color="auto"/>
        <w:left w:val="none" w:sz="0" w:space="0" w:color="auto"/>
        <w:bottom w:val="none" w:sz="0" w:space="0" w:color="auto"/>
        <w:right w:val="none" w:sz="0" w:space="0" w:color="auto"/>
      </w:divBdr>
    </w:div>
    <w:div w:id="245263887">
      <w:bodyDiv w:val="1"/>
      <w:marLeft w:val="0"/>
      <w:marRight w:val="0"/>
      <w:marTop w:val="0"/>
      <w:marBottom w:val="0"/>
      <w:divBdr>
        <w:top w:val="none" w:sz="0" w:space="0" w:color="auto"/>
        <w:left w:val="none" w:sz="0" w:space="0" w:color="auto"/>
        <w:bottom w:val="none" w:sz="0" w:space="0" w:color="auto"/>
        <w:right w:val="none" w:sz="0" w:space="0" w:color="auto"/>
      </w:divBdr>
    </w:div>
    <w:div w:id="255525332">
      <w:bodyDiv w:val="1"/>
      <w:marLeft w:val="0"/>
      <w:marRight w:val="0"/>
      <w:marTop w:val="0"/>
      <w:marBottom w:val="0"/>
      <w:divBdr>
        <w:top w:val="none" w:sz="0" w:space="0" w:color="auto"/>
        <w:left w:val="none" w:sz="0" w:space="0" w:color="auto"/>
        <w:bottom w:val="none" w:sz="0" w:space="0" w:color="auto"/>
        <w:right w:val="none" w:sz="0" w:space="0" w:color="auto"/>
      </w:divBdr>
    </w:div>
    <w:div w:id="387801261">
      <w:bodyDiv w:val="1"/>
      <w:marLeft w:val="0"/>
      <w:marRight w:val="0"/>
      <w:marTop w:val="0"/>
      <w:marBottom w:val="0"/>
      <w:divBdr>
        <w:top w:val="none" w:sz="0" w:space="0" w:color="auto"/>
        <w:left w:val="none" w:sz="0" w:space="0" w:color="auto"/>
        <w:bottom w:val="none" w:sz="0" w:space="0" w:color="auto"/>
        <w:right w:val="none" w:sz="0" w:space="0" w:color="auto"/>
      </w:divBdr>
    </w:div>
    <w:div w:id="427892864">
      <w:bodyDiv w:val="1"/>
      <w:marLeft w:val="0"/>
      <w:marRight w:val="0"/>
      <w:marTop w:val="0"/>
      <w:marBottom w:val="0"/>
      <w:divBdr>
        <w:top w:val="none" w:sz="0" w:space="0" w:color="auto"/>
        <w:left w:val="none" w:sz="0" w:space="0" w:color="auto"/>
        <w:bottom w:val="none" w:sz="0" w:space="0" w:color="auto"/>
        <w:right w:val="none" w:sz="0" w:space="0" w:color="auto"/>
      </w:divBdr>
    </w:div>
    <w:div w:id="501701746">
      <w:bodyDiv w:val="1"/>
      <w:marLeft w:val="0"/>
      <w:marRight w:val="0"/>
      <w:marTop w:val="0"/>
      <w:marBottom w:val="0"/>
      <w:divBdr>
        <w:top w:val="none" w:sz="0" w:space="0" w:color="auto"/>
        <w:left w:val="none" w:sz="0" w:space="0" w:color="auto"/>
        <w:bottom w:val="none" w:sz="0" w:space="0" w:color="auto"/>
        <w:right w:val="none" w:sz="0" w:space="0" w:color="auto"/>
      </w:divBdr>
    </w:div>
    <w:div w:id="664744515">
      <w:bodyDiv w:val="1"/>
      <w:marLeft w:val="0"/>
      <w:marRight w:val="0"/>
      <w:marTop w:val="0"/>
      <w:marBottom w:val="0"/>
      <w:divBdr>
        <w:top w:val="none" w:sz="0" w:space="0" w:color="auto"/>
        <w:left w:val="none" w:sz="0" w:space="0" w:color="auto"/>
        <w:bottom w:val="none" w:sz="0" w:space="0" w:color="auto"/>
        <w:right w:val="none" w:sz="0" w:space="0" w:color="auto"/>
      </w:divBdr>
    </w:div>
    <w:div w:id="668794922">
      <w:bodyDiv w:val="1"/>
      <w:marLeft w:val="0"/>
      <w:marRight w:val="0"/>
      <w:marTop w:val="0"/>
      <w:marBottom w:val="0"/>
      <w:divBdr>
        <w:top w:val="none" w:sz="0" w:space="0" w:color="auto"/>
        <w:left w:val="none" w:sz="0" w:space="0" w:color="auto"/>
        <w:bottom w:val="none" w:sz="0" w:space="0" w:color="auto"/>
        <w:right w:val="none" w:sz="0" w:space="0" w:color="auto"/>
      </w:divBdr>
    </w:div>
    <w:div w:id="698359353">
      <w:bodyDiv w:val="1"/>
      <w:marLeft w:val="0"/>
      <w:marRight w:val="0"/>
      <w:marTop w:val="0"/>
      <w:marBottom w:val="0"/>
      <w:divBdr>
        <w:top w:val="none" w:sz="0" w:space="0" w:color="auto"/>
        <w:left w:val="none" w:sz="0" w:space="0" w:color="auto"/>
        <w:bottom w:val="none" w:sz="0" w:space="0" w:color="auto"/>
        <w:right w:val="none" w:sz="0" w:space="0" w:color="auto"/>
      </w:divBdr>
    </w:div>
    <w:div w:id="725497506">
      <w:bodyDiv w:val="1"/>
      <w:marLeft w:val="0"/>
      <w:marRight w:val="0"/>
      <w:marTop w:val="0"/>
      <w:marBottom w:val="0"/>
      <w:divBdr>
        <w:top w:val="none" w:sz="0" w:space="0" w:color="auto"/>
        <w:left w:val="none" w:sz="0" w:space="0" w:color="auto"/>
        <w:bottom w:val="none" w:sz="0" w:space="0" w:color="auto"/>
        <w:right w:val="none" w:sz="0" w:space="0" w:color="auto"/>
      </w:divBdr>
    </w:div>
    <w:div w:id="746612682">
      <w:bodyDiv w:val="1"/>
      <w:marLeft w:val="0"/>
      <w:marRight w:val="0"/>
      <w:marTop w:val="0"/>
      <w:marBottom w:val="0"/>
      <w:divBdr>
        <w:top w:val="none" w:sz="0" w:space="0" w:color="auto"/>
        <w:left w:val="none" w:sz="0" w:space="0" w:color="auto"/>
        <w:bottom w:val="none" w:sz="0" w:space="0" w:color="auto"/>
        <w:right w:val="none" w:sz="0" w:space="0" w:color="auto"/>
      </w:divBdr>
    </w:div>
    <w:div w:id="765617449">
      <w:bodyDiv w:val="1"/>
      <w:marLeft w:val="0"/>
      <w:marRight w:val="0"/>
      <w:marTop w:val="0"/>
      <w:marBottom w:val="0"/>
      <w:divBdr>
        <w:top w:val="none" w:sz="0" w:space="0" w:color="auto"/>
        <w:left w:val="none" w:sz="0" w:space="0" w:color="auto"/>
        <w:bottom w:val="none" w:sz="0" w:space="0" w:color="auto"/>
        <w:right w:val="none" w:sz="0" w:space="0" w:color="auto"/>
      </w:divBdr>
    </w:div>
    <w:div w:id="797991088">
      <w:bodyDiv w:val="1"/>
      <w:marLeft w:val="0"/>
      <w:marRight w:val="0"/>
      <w:marTop w:val="0"/>
      <w:marBottom w:val="0"/>
      <w:divBdr>
        <w:top w:val="none" w:sz="0" w:space="0" w:color="auto"/>
        <w:left w:val="none" w:sz="0" w:space="0" w:color="auto"/>
        <w:bottom w:val="none" w:sz="0" w:space="0" w:color="auto"/>
        <w:right w:val="none" w:sz="0" w:space="0" w:color="auto"/>
      </w:divBdr>
    </w:div>
    <w:div w:id="874662265">
      <w:bodyDiv w:val="1"/>
      <w:marLeft w:val="0"/>
      <w:marRight w:val="0"/>
      <w:marTop w:val="0"/>
      <w:marBottom w:val="0"/>
      <w:divBdr>
        <w:top w:val="none" w:sz="0" w:space="0" w:color="auto"/>
        <w:left w:val="none" w:sz="0" w:space="0" w:color="auto"/>
        <w:bottom w:val="none" w:sz="0" w:space="0" w:color="auto"/>
        <w:right w:val="none" w:sz="0" w:space="0" w:color="auto"/>
      </w:divBdr>
    </w:div>
    <w:div w:id="1045645585">
      <w:bodyDiv w:val="1"/>
      <w:marLeft w:val="0"/>
      <w:marRight w:val="0"/>
      <w:marTop w:val="0"/>
      <w:marBottom w:val="0"/>
      <w:divBdr>
        <w:top w:val="none" w:sz="0" w:space="0" w:color="auto"/>
        <w:left w:val="none" w:sz="0" w:space="0" w:color="auto"/>
        <w:bottom w:val="none" w:sz="0" w:space="0" w:color="auto"/>
        <w:right w:val="none" w:sz="0" w:space="0" w:color="auto"/>
      </w:divBdr>
    </w:div>
    <w:div w:id="1095707747">
      <w:bodyDiv w:val="1"/>
      <w:marLeft w:val="0"/>
      <w:marRight w:val="0"/>
      <w:marTop w:val="0"/>
      <w:marBottom w:val="0"/>
      <w:divBdr>
        <w:top w:val="none" w:sz="0" w:space="0" w:color="auto"/>
        <w:left w:val="none" w:sz="0" w:space="0" w:color="auto"/>
        <w:bottom w:val="none" w:sz="0" w:space="0" w:color="auto"/>
        <w:right w:val="none" w:sz="0" w:space="0" w:color="auto"/>
      </w:divBdr>
    </w:div>
    <w:div w:id="1168519355">
      <w:bodyDiv w:val="1"/>
      <w:marLeft w:val="0"/>
      <w:marRight w:val="0"/>
      <w:marTop w:val="0"/>
      <w:marBottom w:val="0"/>
      <w:divBdr>
        <w:top w:val="none" w:sz="0" w:space="0" w:color="auto"/>
        <w:left w:val="none" w:sz="0" w:space="0" w:color="auto"/>
        <w:bottom w:val="none" w:sz="0" w:space="0" w:color="auto"/>
        <w:right w:val="none" w:sz="0" w:space="0" w:color="auto"/>
      </w:divBdr>
    </w:div>
    <w:div w:id="1452550779">
      <w:bodyDiv w:val="1"/>
      <w:marLeft w:val="0"/>
      <w:marRight w:val="0"/>
      <w:marTop w:val="0"/>
      <w:marBottom w:val="0"/>
      <w:divBdr>
        <w:top w:val="none" w:sz="0" w:space="0" w:color="auto"/>
        <w:left w:val="none" w:sz="0" w:space="0" w:color="auto"/>
        <w:bottom w:val="none" w:sz="0" w:space="0" w:color="auto"/>
        <w:right w:val="none" w:sz="0" w:space="0" w:color="auto"/>
      </w:divBdr>
    </w:div>
    <w:div w:id="1458177445">
      <w:bodyDiv w:val="1"/>
      <w:marLeft w:val="0"/>
      <w:marRight w:val="0"/>
      <w:marTop w:val="0"/>
      <w:marBottom w:val="0"/>
      <w:divBdr>
        <w:top w:val="none" w:sz="0" w:space="0" w:color="auto"/>
        <w:left w:val="none" w:sz="0" w:space="0" w:color="auto"/>
        <w:bottom w:val="none" w:sz="0" w:space="0" w:color="auto"/>
        <w:right w:val="none" w:sz="0" w:space="0" w:color="auto"/>
      </w:divBdr>
    </w:div>
    <w:div w:id="1473058756">
      <w:bodyDiv w:val="1"/>
      <w:marLeft w:val="0"/>
      <w:marRight w:val="0"/>
      <w:marTop w:val="0"/>
      <w:marBottom w:val="0"/>
      <w:divBdr>
        <w:top w:val="none" w:sz="0" w:space="0" w:color="auto"/>
        <w:left w:val="none" w:sz="0" w:space="0" w:color="auto"/>
        <w:bottom w:val="none" w:sz="0" w:space="0" w:color="auto"/>
        <w:right w:val="none" w:sz="0" w:space="0" w:color="auto"/>
      </w:divBdr>
    </w:div>
    <w:div w:id="1630238796">
      <w:bodyDiv w:val="1"/>
      <w:marLeft w:val="0"/>
      <w:marRight w:val="0"/>
      <w:marTop w:val="0"/>
      <w:marBottom w:val="0"/>
      <w:divBdr>
        <w:top w:val="none" w:sz="0" w:space="0" w:color="auto"/>
        <w:left w:val="none" w:sz="0" w:space="0" w:color="auto"/>
        <w:bottom w:val="none" w:sz="0" w:space="0" w:color="auto"/>
        <w:right w:val="none" w:sz="0" w:space="0" w:color="auto"/>
      </w:divBdr>
    </w:div>
    <w:div w:id="1641108317">
      <w:bodyDiv w:val="1"/>
      <w:marLeft w:val="0"/>
      <w:marRight w:val="0"/>
      <w:marTop w:val="0"/>
      <w:marBottom w:val="0"/>
      <w:divBdr>
        <w:top w:val="none" w:sz="0" w:space="0" w:color="auto"/>
        <w:left w:val="none" w:sz="0" w:space="0" w:color="auto"/>
        <w:bottom w:val="none" w:sz="0" w:space="0" w:color="auto"/>
        <w:right w:val="none" w:sz="0" w:space="0" w:color="auto"/>
      </w:divBdr>
    </w:div>
    <w:div w:id="1642728035">
      <w:bodyDiv w:val="1"/>
      <w:marLeft w:val="0"/>
      <w:marRight w:val="0"/>
      <w:marTop w:val="0"/>
      <w:marBottom w:val="0"/>
      <w:divBdr>
        <w:top w:val="none" w:sz="0" w:space="0" w:color="auto"/>
        <w:left w:val="none" w:sz="0" w:space="0" w:color="auto"/>
        <w:bottom w:val="none" w:sz="0" w:space="0" w:color="auto"/>
        <w:right w:val="none" w:sz="0" w:space="0" w:color="auto"/>
      </w:divBdr>
    </w:div>
    <w:div w:id="1743597333">
      <w:bodyDiv w:val="1"/>
      <w:marLeft w:val="0"/>
      <w:marRight w:val="0"/>
      <w:marTop w:val="0"/>
      <w:marBottom w:val="0"/>
      <w:divBdr>
        <w:top w:val="none" w:sz="0" w:space="0" w:color="auto"/>
        <w:left w:val="none" w:sz="0" w:space="0" w:color="auto"/>
        <w:bottom w:val="none" w:sz="0" w:space="0" w:color="auto"/>
        <w:right w:val="none" w:sz="0" w:space="0" w:color="auto"/>
      </w:divBdr>
    </w:div>
    <w:div w:id="1815023853">
      <w:bodyDiv w:val="1"/>
      <w:marLeft w:val="0"/>
      <w:marRight w:val="0"/>
      <w:marTop w:val="0"/>
      <w:marBottom w:val="0"/>
      <w:divBdr>
        <w:top w:val="none" w:sz="0" w:space="0" w:color="auto"/>
        <w:left w:val="none" w:sz="0" w:space="0" w:color="auto"/>
        <w:bottom w:val="none" w:sz="0" w:space="0" w:color="auto"/>
        <w:right w:val="none" w:sz="0" w:space="0" w:color="auto"/>
      </w:divBdr>
    </w:div>
    <w:div w:id="1826781293">
      <w:bodyDiv w:val="1"/>
      <w:marLeft w:val="0"/>
      <w:marRight w:val="0"/>
      <w:marTop w:val="0"/>
      <w:marBottom w:val="0"/>
      <w:divBdr>
        <w:top w:val="none" w:sz="0" w:space="0" w:color="auto"/>
        <w:left w:val="none" w:sz="0" w:space="0" w:color="auto"/>
        <w:bottom w:val="none" w:sz="0" w:space="0" w:color="auto"/>
        <w:right w:val="none" w:sz="0" w:space="0" w:color="auto"/>
      </w:divBdr>
    </w:div>
    <w:div w:id="1903130767">
      <w:bodyDiv w:val="1"/>
      <w:marLeft w:val="0"/>
      <w:marRight w:val="0"/>
      <w:marTop w:val="0"/>
      <w:marBottom w:val="0"/>
      <w:divBdr>
        <w:top w:val="none" w:sz="0" w:space="0" w:color="auto"/>
        <w:left w:val="none" w:sz="0" w:space="0" w:color="auto"/>
        <w:bottom w:val="none" w:sz="0" w:space="0" w:color="auto"/>
        <w:right w:val="none" w:sz="0" w:space="0" w:color="auto"/>
      </w:divBdr>
    </w:div>
    <w:div w:id="2002653720">
      <w:bodyDiv w:val="1"/>
      <w:marLeft w:val="0"/>
      <w:marRight w:val="0"/>
      <w:marTop w:val="0"/>
      <w:marBottom w:val="0"/>
      <w:divBdr>
        <w:top w:val="none" w:sz="0" w:space="0" w:color="auto"/>
        <w:left w:val="none" w:sz="0" w:space="0" w:color="auto"/>
        <w:bottom w:val="none" w:sz="0" w:space="0" w:color="auto"/>
        <w:right w:val="none" w:sz="0" w:space="0" w:color="auto"/>
      </w:divBdr>
    </w:div>
    <w:div w:id="2147162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image" Target="media/image6.emf"/><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3619-61F9-4450-8EA8-A936C2F1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32ECBABC</Template>
  <TotalTime>95</TotalTime>
  <Pages>11</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MM/A/44/3</vt:lpstr>
    </vt:vector>
  </TitlesOfParts>
  <Company>WIPO</Company>
  <LinksUpToDate>false</LinksUpToDate>
  <CharactersWithSpaces>14128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MM/A/44/3</dc:title>
  <dc:creator>Coutantic</dc:creator>
  <cp:lastModifiedBy>HÄFLIGER Patience</cp:lastModifiedBy>
  <cp:revision>26</cp:revision>
  <cp:lastPrinted>2016-07-04T11:59:00Z</cp:lastPrinted>
  <dcterms:created xsi:type="dcterms:W3CDTF">2016-06-21T08:02:00Z</dcterms:created>
  <dcterms:modified xsi:type="dcterms:W3CDTF">2016-07-04T12:11:00Z</dcterms:modified>
</cp:coreProperties>
</file>