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17C5A" w14:textId="77777777" w:rsidR="008B2CC1" w:rsidRPr="008B2CC1" w:rsidRDefault="00873EE5" w:rsidP="00F11D94">
      <w:pPr>
        <w:spacing w:after="120"/>
        <w:jc w:val="right"/>
      </w:pPr>
      <w:r>
        <w:rPr>
          <w:noProof/>
          <w:sz w:val="28"/>
          <w:szCs w:val="28"/>
          <w:lang w:eastAsia="en-US"/>
        </w:rPr>
        <w:drawing>
          <wp:inline distT="0" distB="0" distL="0" distR="0" wp14:anchorId="53A43B66" wp14:editId="5E879AF5">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1350A038" wp14:editId="171F3773">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206ABD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066C3F8C" w14:textId="7B1F4095" w:rsidR="008B2CC1" w:rsidRPr="001024FE" w:rsidRDefault="003A695F" w:rsidP="001024FE">
      <w:pPr>
        <w:jc w:val="right"/>
        <w:rPr>
          <w:rFonts w:ascii="Arial Black" w:hAnsi="Arial Black"/>
          <w:caps/>
          <w:sz w:val="15"/>
          <w:szCs w:val="15"/>
        </w:rPr>
      </w:pPr>
      <w:r>
        <w:rPr>
          <w:rFonts w:ascii="Arial Black" w:hAnsi="Arial Black"/>
          <w:caps/>
          <w:sz w:val="15"/>
          <w:szCs w:val="15"/>
        </w:rPr>
        <w:t>LI/A/</w:t>
      </w:r>
      <w:r w:rsidR="000250FE">
        <w:rPr>
          <w:rFonts w:ascii="Arial Black" w:hAnsi="Arial Black"/>
          <w:caps/>
          <w:sz w:val="15"/>
          <w:szCs w:val="15"/>
        </w:rPr>
        <w:t>40</w:t>
      </w:r>
      <w:r w:rsidR="00CB25AB" w:rsidRPr="00CB25AB">
        <w:rPr>
          <w:rFonts w:ascii="Arial Black" w:hAnsi="Arial Black"/>
          <w:b/>
          <w:caps/>
          <w:sz w:val="15"/>
          <w:szCs w:val="15"/>
        </w:rPr>
        <w:t>/</w:t>
      </w:r>
      <w:bookmarkStart w:id="0" w:name="Code"/>
      <w:bookmarkEnd w:id="0"/>
      <w:r w:rsidR="008C3478">
        <w:rPr>
          <w:rFonts w:ascii="Arial Black" w:hAnsi="Arial Black"/>
          <w:b/>
          <w:caps/>
          <w:sz w:val="15"/>
          <w:szCs w:val="15"/>
        </w:rPr>
        <w:t>2</w:t>
      </w:r>
    </w:p>
    <w:p w14:paraId="01CE8FD7"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364AAB">
        <w:rPr>
          <w:rFonts w:ascii="Arial Black" w:hAnsi="Arial Black"/>
          <w:caps/>
          <w:sz w:val="15"/>
          <w:szCs w:val="15"/>
        </w:rPr>
        <w:t xml:space="preserve"> </w:t>
      </w:r>
      <w:r w:rsidRPr="00CE65D4">
        <w:rPr>
          <w:rFonts w:ascii="Arial Black" w:hAnsi="Arial Black"/>
          <w:caps/>
          <w:sz w:val="15"/>
          <w:szCs w:val="15"/>
        </w:rPr>
        <w:t xml:space="preserve"> </w:t>
      </w:r>
      <w:bookmarkStart w:id="1" w:name="Original"/>
      <w:r w:rsidR="00CB25AB">
        <w:rPr>
          <w:rFonts w:ascii="Arial Black" w:hAnsi="Arial Black"/>
          <w:caps/>
          <w:sz w:val="15"/>
          <w:szCs w:val="15"/>
        </w:rPr>
        <w:t>English</w:t>
      </w:r>
    </w:p>
    <w:bookmarkEnd w:id="1"/>
    <w:p w14:paraId="6C70E480" w14:textId="78FD8FD5"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364AAB">
        <w:rPr>
          <w:rFonts w:ascii="Arial Black" w:hAnsi="Arial Black"/>
          <w:caps/>
          <w:sz w:val="15"/>
          <w:szCs w:val="15"/>
        </w:rPr>
        <w:t xml:space="preserve"> </w:t>
      </w:r>
      <w:r w:rsidR="00CB25AB">
        <w:rPr>
          <w:rFonts w:ascii="Arial Black" w:hAnsi="Arial Black"/>
          <w:caps/>
          <w:sz w:val="15"/>
          <w:szCs w:val="15"/>
        </w:rPr>
        <w:t xml:space="preserve"> </w:t>
      </w:r>
      <w:r w:rsidR="00902822">
        <w:rPr>
          <w:rFonts w:ascii="Arial Black" w:hAnsi="Arial Black"/>
          <w:caps/>
          <w:sz w:val="15"/>
          <w:szCs w:val="15"/>
        </w:rPr>
        <w:t>SEPTEMBER</w:t>
      </w:r>
      <w:r w:rsidR="00AC7475">
        <w:rPr>
          <w:rFonts w:ascii="Arial Black" w:hAnsi="Arial Black"/>
          <w:caps/>
          <w:sz w:val="15"/>
          <w:szCs w:val="15"/>
        </w:rPr>
        <w:t xml:space="preserve"> </w:t>
      </w:r>
      <w:r w:rsidR="00902822">
        <w:rPr>
          <w:rFonts w:ascii="Arial Black" w:hAnsi="Arial Black"/>
          <w:caps/>
          <w:sz w:val="15"/>
          <w:szCs w:val="15"/>
        </w:rPr>
        <w:t>22</w:t>
      </w:r>
      <w:r w:rsidR="00CB25AB">
        <w:rPr>
          <w:rFonts w:ascii="Arial Black" w:hAnsi="Arial Black"/>
          <w:caps/>
          <w:sz w:val="15"/>
          <w:szCs w:val="15"/>
        </w:rPr>
        <w:t>, 202</w:t>
      </w:r>
      <w:bookmarkStart w:id="2" w:name="Date"/>
      <w:r w:rsidR="00367043">
        <w:rPr>
          <w:rFonts w:ascii="Arial Black" w:hAnsi="Arial Black"/>
          <w:caps/>
          <w:sz w:val="15"/>
          <w:szCs w:val="15"/>
        </w:rPr>
        <w:t>3</w:t>
      </w:r>
    </w:p>
    <w:bookmarkEnd w:id="2"/>
    <w:p w14:paraId="41FAE196" w14:textId="77777777" w:rsidR="008B2CC1" w:rsidRPr="003A695F" w:rsidRDefault="003A695F" w:rsidP="00CE65D4">
      <w:pPr>
        <w:spacing w:after="600"/>
        <w:rPr>
          <w:b/>
          <w:sz w:val="28"/>
          <w:szCs w:val="28"/>
        </w:rPr>
      </w:pPr>
      <w:r w:rsidRPr="003A695F">
        <w:rPr>
          <w:b/>
          <w:sz w:val="28"/>
          <w:szCs w:val="28"/>
        </w:rPr>
        <w:t>Special Union for the Protection of Appellations of Origin and their International Registration (Lisbon Union)</w:t>
      </w:r>
    </w:p>
    <w:p w14:paraId="50AD153A" w14:textId="77777777" w:rsidR="00A85B8E" w:rsidRPr="00A85B8E" w:rsidRDefault="00A85B8E" w:rsidP="00AF5C73">
      <w:pPr>
        <w:spacing w:after="720"/>
        <w:rPr>
          <w:b/>
          <w:sz w:val="28"/>
          <w:szCs w:val="28"/>
        </w:rPr>
      </w:pPr>
      <w:r w:rsidRPr="00A85B8E">
        <w:rPr>
          <w:b/>
          <w:sz w:val="28"/>
          <w:szCs w:val="28"/>
        </w:rPr>
        <w:t>Assembly</w:t>
      </w:r>
    </w:p>
    <w:p w14:paraId="1B1434D4" w14:textId="3FDB2A8B" w:rsidR="008B2CC1" w:rsidRPr="00FF07A4" w:rsidRDefault="000250FE" w:rsidP="008B2CC1">
      <w:pPr>
        <w:rPr>
          <w:b/>
          <w:sz w:val="24"/>
          <w:szCs w:val="24"/>
        </w:rPr>
      </w:pPr>
      <w:r w:rsidRPr="00FF07A4">
        <w:rPr>
          <w:b/>
          <w:sz w:val="24"/>
          <w:szCs w:val="24"/>
        </w:rPr>
        <w:t>Fortieth</w:t>
      </w:r>
      <w:r w:rsidR="00CB25AB" w:rsidRPr="00FF07A4" w:rsidDel="00CB25AB">
        <w:rPr>
          <w:b/>
          <w:sz w:val="24"/>
          <w:szCs w:val="24"/>
        </w:rPr>
        <w:t xml:space="preserve"> </w:t>
      </w:r>
      <w:r w:rsidR="00CB25AB" w:rsidRPr="00FF07A4">
        <w:rPr>
          <w:b/>
          <w:sz w:val="24"/>
          <w:szCs w:val="24"/>
        </w:rPr>
        <w:t>(2</w:t>
      </w:r>
      <w:r w:rsidRPr="00FF07A4">
        <w:rPr>
          <w:b/>
          <w:sz w:val="24"/>
          <w:szCs w:val="24"/>
        </w:rPr>
        <w:t>5</w:t>
      </w:r>
      <w:r w:rsidR="00CB25AB" w:rsidRPr="00FF07A4">
        <w:rPr>
          <w:b/>
          <w:sz w:val="24"/>
          <w:szCs w:val="24"/>
          <w:vertAlign w:val="superscript"/>
        </w:rPr>
        <w:t>th</w:t>
      </w:r>
      <w:r w:rsidR="00CB25AB" w:rsidRPr="00FF07A4" w:rsidDel="00CB25AB">
        <w:rPr>
          <w:b/>
          <w:sz w:val="24"/>
          <w:szCs w:val="24"/>
        </w:rPr>
        <w:t xml:space="preserve"> </w:t>
      </w:r>
      <w:r w:rsidR="003A695F" w:rsidRPr="00FF07A4">
        <w:rPr>
          <w:b/>
          <w:sz w:val="24"/>
          <w:szCs w:val="24"/>
        </w:rPr>
        <w:t>Ordinary) Session</w:t>
      </w:r>
    </w:p>
    <w:p w14:paraId="713B6BED" w14:textId="3D6C5A04" w:rsidR="008B2CC1" w:rsidRPr="00FF07A4" w:rsidRDefault="003A695F" w:rsidP="00CE65D4">
      <w:pPr>
        <w:spacing w:after="720"/>
        <w:rPr>
          <w:sz w:val="24"/>
          <w:szCs w:val="24"/>
        </w:rPr>
      </w:pPr>
      <w:r w:rsidRPr="00FF07A4">
        <w:rPr>
          <w:b/>
          <w:sz w:val="24"/>
          <w:szCs w:val="24"/>
        </w:rPr>
        <w:t xml:space="preserve">Geneva, </w:t>
      </w:r>
      <w:r w:rsidR="000250FE" w:rsidRPr="00FF07A4">
        <w:rPr>
          <w:b/>
          <w:sz w:val="24"/>
          <w:szCs w:val="24"/>
        </w:rPr>
        <w:t>July 6</w:t>
      </w:r>
      <w:r w:rsidR="00CB25AB" w:rsidRPr="00FF07A4">
        <w:rPr>
          <w:b/>
          <w:sz w:val="24"/>
          <w:szCs w:val="24"/>
        </w:rPr>
        <w:t xml:space="preserve"> to </w:t>
      </w:r>
      <w:r w:rsidR="000250FE" w:rsidRPr="00FF07A4">
        <w:rPr>
          <w:b/>
          <w:sz w:val="24"/>
          <w:szCs w:val="24"/>
        </w:rPr>
        <w:t>14</w:t>
      </w:r>
      <w:r w:rsidR="00CB25AB" w:rsidRPr="00FF07A4">
        <w:rPr>
          <w:b/>
          <w:sz w:val="24"/>
          <w:szCs w:val="24"/>
        </w:rPr>
        <w:t>, 202</w:t>
      </w:r>
      <w:r w:rsidR="000250FE" w:rsidRPr="00FF07A4">
        <w:rPr>
          <w:b/>
          <w:sz w:val="24"/>
          <w:szCs w:val="24"/>
        </w:rPr>
        <w:t>3</w:t>
      </w:r>
    </w:p>
    <w:p w14:paraId="0FA844CF" w14:textId="3283DA63" w:rsidR="008B2CC1" w:rsidRPr="009F3BF9" w:rsidRDefault="00CB25AB" w:rsidP="00CE65D4">
      <w:pPr>
        <w:spacing w:after="360"/>
        <w:rPr>
          <w:caps/>
          <w:sz w:val="24"/>
        </w:rPr>
      </w:pPr>
      <w:bookmarkStart w:id="3" w:name="TitleOfDoc"/>
      <w:r>
        <w:rPr>
          <w:caps/>
          <w:sz w:val="24"/>
        </w:rPr>
        <w:t>report</w:t>
      </w:r>
    </w:p>
    <w:p w14:paraId="45646748" w14:textId="075DD31F" w:rsidR="008B2CC1" w:rsidRPr="004D39C4" w:rsidRDefault="00902822" w:rsidP="00CE65D4">
      <w:pPr>
        <w:spacing w:after="960"/>
        <w:rPr>
          <w:i/>
        </w:rPr>
      </w:pPr>
      <w:bookmarkStart w:id="4" w:name="Prepared"/>
      <w:bookmarkEnd w:id="3"/>
      <w:r>
        <w:rPr>
          <w:i/>
        </w:rPr>
        <w:t xml:space="preserve">adopted by the </w:t>
      </w:r>
      <w:proofErr w:type="gramStart"/>
      <w:r>
        <w:rPr>
          <w:i/>
        </w:rPr>
        <w:t>Assembly</w:t>
      </w:r>
      <w:proofErr w:type="gramEnd"/>
    </w:p>
    <w:bookmarkEnd w:id="4"/>
    <w:p w14:paraId="37DB03D5" w14:textId="17A39B1D" w:rsidR="008E3D65" w:rsidRDefault="008E3D65" w:rsidP="008E3D65">
      <w:pPr>
        <w:pStyle w:val="ONUME"/>
      </w:pPr>
      <w:r w:rsidRPr="00FC1D2E">
        <w:t>The Assembly was concerned with the following items of the Consolidated Agenda (document A/</w:t>
      </w:r>
      <w:r>
        <w:t>6</w:t>
      </w:r>
      <w:r w:rsidR="00B91421">
        <w:t>4</w:t>
      </w:r>
      <w:r w:rsidRPr="00FC1D2E">
        <w:t xml:space="preserve">/1):  1 </w:t>
      </w:r>
      <w:r w:rsidR="00C606B8">
        <w:t>to</w:t>
      </w:r>
      <w:r w:rsidRPr="00FC1D2E">
        <w:t xml:space="preserve"> 6,</w:t>
      </w:r>
      <w:r>
        <w:t xml:space="preserve"> </w:t>
      </w:r>
      <w:r w:rsidR="000250FE">
        <w:t xml:space="preserve">9, </w:t>
      </w:r>
      <w:r>
        <w:t>10(ii)</w:t>
      </w:r>
      <w:r w:rsidRPr="00FC1D2E">
        <w:t>,</w:t>
      </w:r>
      <w:r>
        <w:t xml:space="preserve"> 12, </w:t>
      </w:r>
      <w:r w:rsidR="00B23BF7">
        <w:t xml:space="preserve">17, </w:t>
      </w:r>
      <w:r w:rsidRPr="00FC1D2E">
        <w:t>2</w:t>
      </w:r>
      <w:r w:rsidR="000250FE">
        <w:t>1</w:t>
      </w:r>
      <w:r w:rsidRPr="00FC1D2E">
        <w:t xml:space="preserve">, </w:t>
      </w:r>
      <w:r w:rsidR="000250FE">
        <w:t>26</w:t>
      </w:r>
      <w:r w:rsidRPr="00FC1D2E">
        <w:t xml:space="preserve"> and </w:t>
      </w:r>
      <w:r w:rsidR="000250FE">
        <w:t>27</w:t>
      </w:r>
      <w:r w:rsidRPr="00FC1D2E">
        <w:t>.</w:t>
      </w:r>
    </w:p>
    <w:p w14:paraId="682ED193" w14:textId="67985716" w:rsidR="008E3D65" w:rsidRDefault="008E3D65" w:rsidP="008E3D65">
      <w:pPr>
        <w:pStyle w:val="ONUME"/>
      </w:pPr>
      <w:r w:rsidRPr="00FC1D2E">
        <w:t xml:space="preserve">The reports on the said items, </w:t>
      </w:r>
      <w:proofErr w:type="gramStart"/>
      <w:r w:rsidRPr="00FC1D2E">
        <w:t>with the exception of</w:t>
      </w:r>
      <w:proofErr w:type="gramEnd"/>
      <w:r w:rsidRPr="00FC1D2E">
        <w:t xml:space="preserve"> item </w:t>
      </w:r>
      <w:r w:rsidR="000250FE">
        <w:t>17</w:t>
      </w:r>
      <w:r w:rsidRPr="00FC1D2E">
        <w:t>, are contained in the General Report (document A/</w:t>
      </w:r>
      <w:r>
        <w:t>6</w:t>
      </w:r>
      <w:r w:rsidR="000250FE">
        <w:t>4</w:t>
      </w:r>
      <w:r w:rsidRPr="00FC1D2E">
        <w:t>/</w:t>
      </w:r>
      <w:r w:rsidR="00F53AF4">
        <w:t>14</w:t>
      </w:r>
      <w:r w:rsidRPr="00FC1D2E">
        <w:t>).</w:t>
      </w:r>
    </w:p>
    <w:p w14:paraId="672AF461" w14:textId="6001EA6A" w:rsidR="008E3D65" w:rsidRDefault="008E3D65" w:rsidP="008E3D65">
      <w:pPr>
        <w:pStyle w:val="ONUME"/>
      </w:pPr>
      <w:r w:rsidRPr="00FC1D2E">
        <w:t xml:space="preserve">The report on item </w:t>
      </w:r>
      <w:r w:rsidR="000250FE">
        <w:t>17</w:t>
      </w:r>
      <w:r w:rsidRPr="00FC1D2E">
        <w:t xml:space="preserve"> is contained in the present document.</w:t>
      </w:r>
    </w:p>
    <w:p w14:paraId="75EE105E" w14:textId="4F741718" w:rsidR="008E3D65" w:rsidRDefault="00F44579" w:rsidP="00F83975">
      <w:pPr>
        <w:pStyle w:val="ONUME"/>
      </w:pPr>
      <w:r>
        <w:t>Mr.</w:t>
      </w:r>
      <w:r w:rsidRPr="00F44579">
        <w:t xml:space="preserve"> Pascal Faure</w:t>
      </w:r>
      <w:r>
        <w:t xml:space="preserve"> </w:t>
      </w:r>
      <w:r w:rsidR="008E3D65" w:rsidRPr="00FC1D2E">
        <w:t>(</w:t>
      </w:r>
      <w:r w:rsidRPr="00F44579">
        <w:t>France</w:t>
      </w:r>
      <w:r w:rsidR="008E3D65" w:rsidRPr="00FC1D2E">
        <w:t xml:space="preserve">) </w:t>
      </w:r>
      <w:r w:rsidR="00424AC3" w:rsidRPr="003F316A">
        <w:t>presided over the meeting</w:t>
      </w:r>
      <w:r w:rsidR="00424AC3">
        <w:t>.</w:t>
      </w:r>
      <w:r w:rsidR="00F43A27">
        <w:t xml:space="preserve">  </w:t>
      </w:r>
      <w:r w:rsidR="00B85494">
        <w:t xml:space="preserve">Mr. </w:t>
      </w:r>
      <w:proofErr w:type="spellStart"/>
      <w:r w:rsidR="00F83975" w:rsidRPr="002F53E9">
        <w:rPr>
          <w:szCs w:val="22"/>
        </w:rPr>
        <w:t>Matúš</w:t>
      </w:r>
      <w:proofErr w:type="spellEnd"/>
      <w:r w:rsidR="00F83975" w:rsidRPr="002F53E9">
        <w:rPr>
          <w:szCs w:val="22"/>
        </w:rPr>
        <w:t xml:space="preserve"> </w:t>
      </w:r>
      <w:proofErr w:type="spellStart"/>
      <w:r w:rsidR="00F83975" w:rsidRPr="002F53E9">
        <w:rPr>
          <w:szCs w:val="22"/>
        </w:rPr>
        <w:t>M</w:t>
      </w:r>
      <w:r w:rsidR="00F83975">
        <w:rPr>
          <w:szCs w:val="22"/>
        </w:rPr>
        <w:t>edvec</w:t>
      </w:r>
      <w:proofErr w:type="spellEnd"/>
      <w:r w:rsidR="00F43A27">
        <w:t xml:space="preserve"> (</w:t>
      </w:r>
      <w:r w:rsidR="00F83975">
        <w:t>Slovakia</w:t>
      </w:r>
      <w:r w:rsidR="00F43A27">
        <w:t xml:space="preserve">) </w:t>
      </w:r>
      <w:r w:rsidR="00F43A27" w:rsidRPr="00F43A27">
        <w:t xml:space="preserve">was </w:t>
      </w:r>
      <w:r w:rsidR="00C606B8">
        <w:t xml:space="preserve">elected Chair of the </w:t>
      </w:r>
      <w:proofErr w:type="gramStart"/>
      <w:r w:rsidR="00C606B8">
        <w:t xml:space="preserve">Assembly; </w:t>
      </w:r>
      <w:r w:rsidR="00335710">
        <w:t xml:space="preserve"> </w:t>
      </w:r>
      <w:r w:rsidR="00B85494">
        <w:t>Ms.</w:t>
      </w:r>
      <w:proofErr w:type="gramEnd"/>
      <w:r w:rsidR="00B85494">
        <w:t xml:space="preserve"> </w:t>
      </w:r>
      <w:r w:rsidR="00F83975">
        <w:t xml:space="preserve">Grace </w:t>
      </w:r>
      <w:proofErr w:type="spellStart"/>
      <w:r w:rsidR="00F83975">
        <w:t>Issahaque</w:t>
      </w:r>
      <w:proofErr w:type="spellEnd"/>
      <w:r w:rsidR="00F83975">
        <w:t xml:space="preserve"> </w:t>
      </w:r>
      <w:r w:rsidR="00F43A27" w:rsidRPr="00F43A27">
        <w:t>(</w:t>
      </w:r>
      <w:r w:rsidR="00F83975">
        <w:t>Ghana</w:t>
      </w:r>
      <w:r w:rsidR="00F43A27" w:rsidRPr="00F43A27">
        <w:t>) and</w:t>
      </w:r>
      <w:r w:rsidR="00C606B8">
        <w:t xml:space="preserve"> </w:t>
      </w:r>
      <w:r w:rsidR="00335710">
        <w:t xml:space="preserve">Mr. </w:t>
      </w:r>
      <w:r w:rsidR="00F83975">
        <w:t xml:space="preserve">Tiago </w:t>
      </w:r>
      <w:proofErr w:type="spellStart"/>
      <w:r w:rsidR="00F83975">
        <w:t>Serras</w:t>
      </w:r>
      <w:proofErr w:type="spellEnd"/>
      <w:r w:rsidR="00F83975">
        <w:t xml:space="preserve"> Rodrigues </w:t>
      </w:r>
      <w:r w:rsidR="00F43A27" w:rsidRPr="00F43A27">
        <w:t>(</w:t>
      </w:r>
      <w:r w:rsidR="00F83975">
        <w:t>Portugal</w:t>
      </w:r>
      <w:r w:rsidR="00F43A27" w:rsidRPr="00F43A27">
        <w:t>) were elected Vice</w:t>
      </w:r>
      <w:r w:rsidR="00F43A27" w:rsidRPr="00F43A27">
        <w:noBreakHyphen/>
        <w:t>Chairs.</w:t>
      </w:r>
    </w:p>
    <w:p w14:paraId="7DBE36F0" w14:textId="77777777" w:rsidR="00367043" w:rsidRDefault="00367043" w:rsidP="00367043">
      <w:pPr>
        <w:pStyle w:val="ONUME"/>
        <w:numPr>
          <w:ilvl w:val="0"/>
          <w:numId w:val="0"/>
        </w:numPr>
        <w:sectPr w:rsidR="00367043" w:rsidSect="00CB25A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3EF92A2B" w14:textId="5D11BEF9" w:rsidR="008E3D65" w:rsidRDefault="008E3D65" w:rsidP="008E3D65">
      <w:pPr>
        <w:keepNext/>
        <w:spacing w:before="240" w:line="480" w:lineRule="auto"/>
        <w:outlineLvl w:val="1"/>
        <w:rPr>
          <w:bCs/>
          <w:iCs/>
          <w:szCs w:val="28"/>
        </w:rPr>
      </w:pPr>
      <w:r w:rsidRPr="008E3D65">
        <w:rPr>
          <w:bCs/>
          <w:iCs/>
          <w:szCs w:val="28"/>
        </w:rPr>
        <w:lastRenderedPageBreak/>
        <w:t xml:space="preserve">ITEM </w:t>
      </w:r>
      <w:r w:rsidR="000250FE">
        <w:rPr>
          <w:bCs/>
          <w:iCs/>
          <w:szCs w:val="28"/>
        </w:rPr>
        <w:t>17</w:t>
      </w:r>
      <w:r w:rsidRPr="008E3D65">
        <w:rPr>
          <w:bCs/>
          <w:iCs/>
          <w:szCs w:val="28"/>
        </w:rPr>
        <w:t xml:space="preserve"> OF THE CONSOLIDATED AGENDA</w:t>
      </w:r>
      <w:r w:rsidRPr="008E3D65">
        <w:rPr>
          <w:bCs/>
          <w:iCs/>
          <w:szCs w:val="28"/>
        </w:rPr>
        <w:br/>
        <w:t>LISBON SYSTEM</w:t>
      </w:r>
    </w:p>
    <w:p w14:paraId="77D397DF" w14:textId="6B9D382E" w:rsidR="000250FE" w:rsidRDefault="000250FE" w:rsidP="000250FE">
      <w:pPr>
        <w:pStyle w:val="ONUME"/>
        <w:rPr>
          <w:lang w:eastAsia="en-US"/>
        </w:rPr>
      </w:pPr>
      <w:r>
        <w:rPr>
          <w:lang w:eastAsia="en-US"/>
        </w:rPr>
        <w:t xml:space="preserve">Discussions were based on document </w:t>
      </w:r>
      <w:hyperlink r:id="rId15" w:history="1">
        <w:r w:rsidR="00A770E4" w:rsidRPr="00A770E4">
          <w:rPr>
            <w:rStyle w:val="Hyperlink"/>
            <w:lang w:val="fr-FR" w:eastAsia="en-US"/>
          </w:rPr>
          <w:t>LI/A/40/1</w:t>
        </w:r>
      </w:hyperlink>
      <w:r>
        <w:rPr>
          <w:lang w:eastAsia="en-US"/>
        </w:rPr>
        <w:t>.</w:t>
      </w:r>
    </w:p>
    <w:p w14:paraId="2ABF2026" w14:textId="4781D2BC" w:rsidR="0042100A" w:rsidRDefault="0042100A" w:rsidP="0042100A">
      <w:pPr>
        <w:pStyle w:val="ONUME"/>
      </w:pPr>
      <w:r w:rsidRPr="005A64DE">
        <w:t xml:space="preserve">Introducing the </w:t>
      </w:r>
      <w:r>
        <w:t>document under consideration</w:t>
      </w:r>
      <w:r w:rsidRPr="005A64DE">
        <w:t xml:space="preserve">, the </w:t>
      </w:r>
      <w:r>
        <w:t>Secretariat recalled that at its fifth</w:t>
      </w:r>
      <w:r w:rsidRPr="00D07FE7">
        <w:t xml:space="preserve"> ses</w:t>
      </w:r>
      <w:r>
        <w:t>sion, which took place from January 24 to 26, 2023</w:t>
      </w:r>
      <w:r w:rsidRPr="00D07FE7">
        <w:t>, the Working Group on the Development of the Lisbon System (</w:t>
      </w:r>
      <w:r>
        <w:t>hereinafter referred to as “</w:t>
      </w:r>
      <w:r w:rsidRPr="00D07FE7">
        <w:t xml:space="preserve">the Working Group”) recommended </w:t>
      </w:r>
      <w:r>
        <w:t>the adoption of the proposed amendments to Rule 5</w:t>
      </w:r>
      <w:r w:rsidRPr="00D07FE7">
        <w:t xml:space="preserve"> of the Common Regula</w:t>
      </w:r>
      <w:r>
        <w:t xml:space="preserve">tions under the </w:t>
      </w:r>
      <w:r w:rsidRPr="004D10DA">
        <w:t xml:space="preserve">Lisbon Agreement for the Protection of Appellations of Origin and their International Registration and the Geneva Act of the Lisbon Agreement on Appellations of Origin and Geographical Indications </w:t>
      </w:r>
      <w:r>
        <w:t>(hereinafter referred to as “the Common Regulations”), as well as the adoption of the proposed corrections to the Spanish version of the Common Regulations.  The Secretariat indicated</w:t>
      </w:r>
      <w:r w:rsidRPr="00D07FE7">
        <w:t xml:space="preserve"> that the proposed amendments contained </w:t>
      </w:r>
      <w:r>
        <w:t>in the Annex to document LI/A/40</w:t>
      </w:r>
      <w:r w:rsidRPr="00D07FE7">
        <w:t>/1</w:t>
      </w:r>
      <w:r>
        <w:t>, and in Annex II of the Spanish version of document LI/A/40/1,</w:t>
      </w:r>
      <w:r w:rsidRPr="00D07FE7">
        <w:t xml:space="preserve"> w</w:t>
      </w:r>
      <w:r>
        <w:t>ould enter into force</w:t>
      </w:r>
      <w:r w:rsidR="00CD106E">
        <w:t>,</w:t>
      </w:r>
      <w:r>
        <w:t xml:space="preserve"> on July</w:t>
      </w:r>
      <w:r w:rsidRPr="00D07FE7">
        <w:t xml:space="preserve"> 1</w:t>
      </w:r>
      <w:r>
        <w:t>4</w:t>
      </w:r>
      <w:r w:rsidRPr="00D07FE7">
        <w:t>, 2023.</w:t>
      </w:r>
    </w:p>
    <w:p w14:paraId="01412A86" w14:textId="4905623A" w:rsidR="00673C68" w:rsidRDefault="0042100A" w:rsidP="0042100A">
      <w:pPr>
        <w:pStyle w:val="ONUME"/>
      </w:pPr>
      <w:r>
        <w:t xml:space="preserve">The Delegation of the Russian Federation supported the proposed amendments to </w:t>
      </w:r>
      <w:r w:rsidR="003117FA">
        <w:t>Rules </w:t>
      </w:r>
      <w:r>
        <w:t>5, 6 and 7 of the Common R</w:t>
      </w:r>
      <w:r w:rsidRPr="004D38D7">
        <w:t>egulations</w:t>
      </w:r>
      <w:r w:rsidR="006D2271">
        <w:t>.</w:t>
      </w:r>
      <w:r>
        <w:t xml:space="preserve"> </w:t>
      </w:r>
      <w:r w:rsidR="00934C7D">
        <w:t xml:space="preserve"> </w:t>
      </w:r>
      <w:r w:rsidR="006D2271">
        <w:t>It</w:t>
      </w:r>
      <w:r w:rsidR="00CD106E">
        <w:t xml:space="preserve"> </w:t>
      </w:r>
      <w:r>
        <w:t>recall</w:t>
      </w:r>
      <w:r w:rsidR="00CD106E">
        <w:t>ed</w:t>
      </w:r>
      <w:r>
        <w:t xml:space="preserve"> that </w:t>
      </w:r>
      <w:r w:rsidRPr="004D38D7">
        <w:t>t</w:t>
      </w:r>
      <w:r>
        <w:t>he Russian</w:t>
      </w:r>
      <w:r w:rsidR="00CD106E">
        <w:t> </w:t>
      </w:r>
      <w:r>
        <w:t xml:space="preserve">Federation had recently acceded to </w:t>
      </w:r>
      <w:r w:rsidRPr="004D38D7">
        <w:t>the Lisbon System</w:t>
      </w:r>
      <w:r>
        <w:t xml:space="preserve"> in May 2023</w:t>
      </w:r>
      <w:r w:rsidRPr="004D38D7">
        <w:t xml:space="preserve"> and</w:t>
      </w:r>
      <w:r>
        <w:t xml:space="preserve"> that,</w:t>
      </w:r>
      <w:r w:rsidRPr="004D38D7">
        <w:t xml:space="preserve"> </w:t>
      </w:r>
      <w:r>
        <w:t xml:space="preserve">in doing so, had </w:t>
      </w:r>
      <w:r w:rsidRPr="004D38D7">
        <w:t xml:space="preserve">become a </w:t>
      </w:r>
      <w:r>
        <w:t xml:space="preserve">party to all </w:t>
      </w:r>
      <w:r w:rsidR="00B85494">
        <w:t>g</w:t>
      </w:r>
      <w:r>
        <w:t xml:space="preserve">lobal </w:t>
      </w:r>
      <w:r w:rsidR="00B85494">
        <w:t>i</w:t>
      </w:r>
      <w:r>
        <w:t xml:space="preserve">ntellectual </w:t>
      </w:r>
      <w:r w:rsidR="00B85494">
        <w:t>p</w:t>
      </w:r>
      <w:r>
        <w:t>roperty (IP) S</w:t>
      </w:r>
      <w:r w:rsidRPr="004D38D7">
        <w:t xml:space="preserve">ystems administered by </w:t>
      </w:r>
      <w:r>
        <w:t>the World Intellectual Property Organization (</w:t>
      </w:r>
      <w:r w:rsidRPr="004D38D7">
        <w:t>WIPO</w:t>
      </w:r>
      <w:r>
        <w:t>)</w:t>
      </w:r>
      <w:r w:rsidRPr="004D38D7">
        <w:t>.</w:t>
      </w:r>
      <w:r>
        <w:t xml:space="preserve"> </w:t>
      </w:r>
      <w:r w:rsidRPr="004D38D7">
        <w:t xml:space="preserve"> The </w:t>
      </w:r>
      <w:r>
        <w:t xml:space="preserve">Delegation </w:t>
      </w:r>
      <w:r w:rsidR="006D2271">
        <w:t>pointed out</w:t>
      </w:r>
      <w:r>
        <w:t xml:space="preserve"> that, as a result, the </w:t>
      </w:r>
      <w:r w:rsidRPr="004D38D7">
        <w:t>Russian</w:t>
      </w:r>
      <w:r w:rsidR="006D2271">
        <w:t> </w:t>
      </w:r>
      <w:r>
        <w:t>Competent A</w:t>
      </w:r>
      <w:r w:rsidRPr="004D38D7">
        <w:t xml:space="preserve">uthority </w:t>
      </w:r>
      <w:r>
        <w:t xml:space="preserve">for purposes of the procedures under the Lisbon System would </w:t>
      </w:r>
      <w:r w:rsidRPr="004D38D7">
        <w:t>start receiving</w:t>
      </w:r>
      <w:r>
        <w:t xml:space="preserve"> applications for</w:t>
      </w:r>
      <w:r w:rsidRPr="004D38D7">
        <w:t xml:space="preserve"> </w:t>
      </w:r>
      <w:r>
        <w:t xml:space="preserve">the international registration of geographical indications and appellations of origin under the Lisbon System as of August 2023.  The Delegation was of the view that accession of the </w:t>
      </w:r>
      <w:r w:rsidRPr="004D38D7">
        <w:t>Russia</w:t>
      </w:r>
      <w:r>
        <w:t>n Federation</w:t>
      </w:r>
      <w:r w:rsidRPr="004D38D7">
        <w:t xml:space="preserve"> to the Lisbon System </w:t>
      </w:r>
      <w:proofErr w:type="gramStart"/>
      <w:r>
        <w:t>open</w:t>
      </w:r>
      <w:r w:rsidR="00B85494">
        <w:t>s</w:t>
      </w:r>
      <w:r>
        <w:t xml:space="preserve"> up</w:t>
      </w:r>
      <w:proofErr w:type="gramEnd"/>
      <w:r>
        <w:t xml:space="preserve"> a new</w:t>
      </w:r>
      <w:r w:rsidRPr="004D38D7">
        <w:t xml:space="preserve"> potential for </w:t>
      </w:r>
      <w:r>
        <w:t>the economic development of regions</w:t>
      </w:r>
      <w:r w:rsidRPr="004D38D7">
        <w:t xml:space="preserve"> and </w:t>
      </w:r>
      <w:r>
        <w:t xml:space="preserve">support of local producers, since the Lisbon System enhanced the level of protection and the defense </w:t>
      </w:r>
      <w:r w:rsidRPr="004D38D7">
        <w:t xml:space="preserve">of regional brands. </w:t>
      </w:r>
      <w:r>
        <w:t xml:space="preserve"> </w:t>
      </w:r>
      <w:r w:rsidRPr="004D38D7">
        <w:t xml:space="preserve">The </w:t>
      </w:r>
      <w:r>
        <w:t xml:space="preserve">Delegation </w:t>
      </w:r>
      <w:r w:rsidR="00F9526B">
        <w:t>added</w:t>
      </w:r>
      <w:r>
        <w:t xml:space="preserve"> that the Lisbon S</w:t>
      </w:r>
      <w:r w:rsidRPr="004D38D7">
        <w:t xml:space="preserve">ystem </w:t>
      </w:r>
      <w:r>
        <w:t>ensured</w:t>
      </w:r>
      <w:r w:rsidRPr="004D38D7">
        <w:t xml:space="preserve"> reliable pro</w:t>
      </w:r>
      <w:r>
        <w:t>tection of appellations of origin and geographical indications</w:t>
      </w:r>
      <w:r w:rsidRPr="004D38D7">
        <w:t xml:space="preserve"> in the</w:t>
      </w:r>
      <w:r>
        <w:t xml:space="preserve"> territories of the other Contracting Parties, </w:t>
      </w:r>
      <w:r w:rsidR="00F9526B">
        <w:t>which was</w:t>
      </w:r>
      <w:r w:rsidR="00F9526B" w:rsidRPr="004D38D7">
        <w:t xml:space="preserve"> </w:t>
      </w:r>
      <w:r w:rsidRPr="004D38D7">
        <w:t xml:space="preserve">one of the </w:t>
      </w:r>
      <w:r>
        <w:t xml:space="preserve">main reasons that had motivated the accession </w:t>
      </w:r>
      <w:r w:rsidRPr="004D38D7">
        <w:t>of the Russian</w:t>
      </w:r>
      <w:r w:rsidR="00F9526B">
        <w:t> </w:t>
      </w:r>
      <w:r>
        <w:t>Federation</w:t>
      </w:r>
      <w:r w:rsidRPr="004D38D7">
        <w:t xml:space="preserve"> to the </w:t>
      </w:r>
      <w:r>
        <w:t xml:space="preserve">Geneva Act of the Lisbon Agreement.  In that </w:t>
      </w:r>
      <w:r w:rsidR="007A0FDB">
        <w:t>respect</w:t>
      </w:r>
      <w:r>
        <w:t>, the Delegation</w:t>
      </w:r>
      <w:r w:rsidRPr="004D38D7">
        <w:t xml:space="preserve"> express</w:t>
      </w:r>
      <w:r>
        <w:t>ed its gratitude to the</w:t>
      </w:r>
      <w:r w:rsidRPr="004D38D7">
        <w:t xml:space="preserve"> WIPO</w:t>
      </w:r>
      <w:r>
        <w:t> </w:t>
      </w:r>
      <w:r w:rsidRPr="004D38D7">
        <w:t>Secretariat for its comprehensive support in th</w:t>
      </w:r>
      <w:r>
        <w:t xml:space="preserve">e process of </w:t>
      </w:r>
      <w:r w:rsidR="00AC0E6C">
        <w:t xml:space="preserve">the </w:t>
      </w:r>
      <w:r>
        <w:t>Russia</w:t>
      </w:r>
      <w:r w:rsidR="00AC0E6C">
        <w:t>n Federation</w:t>
      </w:r>
      <w:r>
        <w:t xml:space="preserve">'s accession to the Lisbon System.  </w:t>
      </w:r>
      <w:r w:rsidR="00AC0E6C">
        <w:t>I</w:t>
      </w:r>
      <w:r>
        <w:t xml:space="preserve">ndicating that the Russian Federation stood </w:t>
      </w:r>
      <w:r w:rsidRPr="004D38D7">
        <w:t>ready</w:t>
      </w:r>
      <w:r>
        <w:t xml:space="preserve"> </w:t>
      </w:r>
      <w:r w:rsidRPr="008A3FBF">
        <w:t xml:space="preserve">to </w:t>
      </w:r>
      <w:r>
        <w:t>contribute</w:t>
      </w:r>
      <w:r w:rsidRPr="008A3FBF">
        <w:t xml:space="preserve"> </w:t>
      </w:r>
      <w:r w:rsidR="00B85494" w:rsidRPr="008A3FBF">
        <w:t>significant</w:t>
      </w:r>
      <w:r w:rsidR="00B85494">
        <w:t xml:space="preserve">ly </w:t>
      </w:r>
      <w:r w:rsidRPr="008A3FBF">
        <w:t xml:space="preserve">to </w:t>
      </w:r>
      <w:r>
        <w:t>the promotion</w:t>
      </w:r>
      <w:r w:rsidRPr="008A3FBF">
        <w:t xml:space="preserve"> and further improve</w:t>
      </w:r>
      <w:r>
        <w:t>ment of the System, the Delegation</w:t>
      </w:r>
      <w:r w:rsidRPr="008A3FBF">
        <w:t xml:space="preserve"> emphasize</w:t>
      </w:r>
      <w:r>
        <w:t xml:space="preserve">d that the Federal Service for Intellectual Property (ROSPATENT) attached </w:t>
      </w:r>
      <w:r w:rsidRPr="008A3FBF">
        <w:t>particul</w:t>
      </w:r>
      <w:r>
        <w:t>ar importance to the promotion and use of geographical indications</w:t>
      </w:r>
      <w:r w:rsidRPr="008A3FBF">
        <w:t xml:space="preserve"> and </w:t>
      </w:r>
      <w:r>
        <w:t>appellations of origin</w:t>
      </w:r>
      <w:r w:rsidR="00B85494">
        <w:t>,</w:t>
      </w:r>
      <w:r>
        <w:t xml:space="preserve"> and that </w:t>
      </w:r>
      <w:r w:rsidRPr="008A3FBF">
        <w:t xml:space="preserve">specialized seminars for the </w:t>
      </w:r>
      <w:r>
        <w:t>producers</w:t>
      </w:r>
      <w:r w:rsidRPr="008A3FBF">
        <w:t xml:space="preserve"> of traditional goo</w:t>
      </w:r>
      <w:r>
        <w:t xml:space="preserve">ds in all regions of the Russian Federation were held </w:t>
      </w:r>
      <w:r w:rsidR="00B85494">
        <w:t xml:space="preserve">regularly </w:t>
      </w:r>
      <w:r>
        <w:t>throughout the year</w:t>
      </w:r>
      <w:r w:rsidRPr="008A3FBF">
        <w:t>.</w:t>
      </w:r>
      <w:r>
        <w:t xml:space="preserve">  The Delegation added that ROSPATENT also extended consultative and </w:t>
      </w:r>
      <w:r w:rsidRPr="008A3FBF">
        <w:t xml:space="preserve">advisory support for the registration of </w:t>
      </w:r>
      <w:r>
        <w:t xml:space="preserve">geographical indications </w:t>
      </w:r>
      <w:r w:rsidRPr="008A3FBF">
        <w:t xml:space="preserve">and </w:t>
      </w:r>
      <w:r>
        <w:t xml:space="preserve">appellations of origin.  The Delegation </w:t>
      </w:r>
      <w:r w:rsidRPr="008A3FBF">
        <w:t>commend</w:t>
      </w:r>
      <w:r>
        <w:t>ed the efforts of</w:t>
      </w:r>
      <w:r w:rsidRPr="008A3FBF">
        <w:t xml:space="preserve"> the International Bureau and the WIPO </w:t>
      </w:r>
      <w:r>
        <w:t xml:space="preserve">Office in the Russian Federation for the various events held by WIPO </w:t>
      </w:r>
      <w:proofErr w:type="gramStart"/>
      <w:r>
        <w:t>in the</w:t>
      </w:r>
      <w:r w:rsidRPr="008A3FBF">
        <w:t xml:space="preserve"> area</w:t>
      </w:r>
      <w:r>
        <w:t xml:space="preserve"> of</w:t>
      </w:r>
      <w:proofErr w:type="gramEnd"/>
      <w:r>
        <w:t xml:space="preserve"> geographical indications</w:t>
      </w:r>
      <w:r w:rsidRPr="008A3FBF">
        <w:t>, including the holding of thematic workshops and information sessions</w:t>
      </w:r>
      <w:r>
        <w:t xml:space="preserve"> on geographical indications i</w:t>
      </w:r>
      <w:r w:rsidRPr="008A3FBF">
        <w:t>n th</w:t>
      </w:r>
      <w:r>
        <w:t>e margins of the Working G</w:t>
      </w:r>
      <w:r w:rsidRPr="008A3FBF">
        <w:t>roup session</w:t>
      </w:r>
      <w:r>
        <w:t>s of the Lisbon System</w:t>
      </w:r>
      <w:r w:rsidRPr="008A3FBF">
        <w:t xml:space="preserve">. </w:t>
      </w:r>
      <w:r>
        <w:t xml:space="preserve"> The Delegation offered to share </w:t>
      </w:r>
      <w:r w:rsidR="00B85494">
        <w:t>its</w:t>
      </w:r>
      <w:r>
        <w:t xml:space="preserve"> experience in acceding </w:t>
      </w:r>
      <w:r w:rsidR="00AC0E6C">
        <w:t xml:space="preserve">to </w:t>
      </w:r>
      <w:r>
        <w:t>the Lisbon System at the next session of the Working Group</w:t>
      </w:r>
      <w:r w:rsidRPr="008A3FBF">
        <w:t xml:space="preserve">. </w:t>
      </w:r>
      <w:r>
        <w:t xml:space="preserve"> The Delegation also </w:t>
      </w:r>
      <w:r w:rsidRPr="008A3FBF">
        <w:t>thank</w:t>
      </w:r>
      <w:r>
        <w:t>ed</w:t>
      </w:r>
      <w:r w:rsidRPr="008A3FBF">
        <w:t xml:space="preserve"> WIPO</w:t>
      </w:r>
      <w:r>
        <w:t xml:space="preserve"> for</w:t>
      </w:r>
      <w:r w:rsidRPr="008A3FBF">
        <w:t xml:space="preserve"> the organization</w:t>
      </w:r>
      <w:r>
        <w:t xml:space="preserve"> of the Worldwide Symposium on Geographical Indications </w:t>
      </w:r>
      <w:r w:rsidRPr="008A3FBF">
        <w:t>in Georgia</w:t>
      </w:r>
      <w:r>
        <w:t>,</w:t>
      </w:r>
      <w:r w:rsidRPr="008A3FBF">
        <w:t xml:space="preserve"> </w:t>
      </w:r>
      <w:r>
        <w:t xml:space="preserve">in </w:t>
      </w:r>
      <w:r w:rsidRPr="008A3FBF">
        <w:t xml:space="preserve">the framework of which </w:t>
      </w:r>
      <w:r>
        <w:t>various topics such as management strategies, branding of geographical indications, as well as international protection under</w:t>
      </w:r>
      <w:r w:rsidRPr="008A3FBF">
        <w:t xml:space="preserve"> the Lisbon System </w:t>
      </w:r>
      <w:r>
        <w:t>were addressed</w:t>
      </w:r>
      <w:r w:rsidRPr="008A3FBF">
        <w:t>.</w:t>
      </w:r>
      <w:r>
        <w:t xml:space="preserve">  Lastly, the Delegation also </w:t>
      </w:r>
      <w:r w:rsidRPr="008A3FBF">
        <w:t>support</w:t>
      </w:r>
      <w:r>
        <w:t>ed</w:t>
      </w:r>
      <w:r w:rsidRPr="008A3FBF">
        <w:t xml:space="preserve"> the initiative to increase the budget</w:t>
      </w:r>
      <w:r>
        <w:t xml:space="preserve"> of the Lisbon System for the </w:t>
      </w:r>
      <w:r w:rsidRPr="008A3FBF">
        <w:t xml:space="preserve">2024/25 </w:t>
      </w:r>
      <w:r w:rsidR="00B85494">
        <w:t xml:space="preserve">biennium </w:t>
      </w:r>
      <w:r>
        <w:t>as</w:t>
      </w:r>
      <w:r w:rsidR="00AC0E6C">
        <w:t>,</w:t>
      </w:r>
      <w:r>
        <w:t xml:space="preserve"> it was of the view that financial resources would be necessary to ensure</w:t>
      </w:r>
      <w:r w:rsidRPr="008A3FBF">
        <w:t xml:space="preserve"> </w:t>
      </w:r>
      <w:r>
        <w:t xml:space="preserve">the </w:t>
      </w:r>
      <w:r w:rsidRPr="008A3FBF">
        <w:t xml:space="preserve">further development of the </w:t>
      </w:r>
      <w:r>
        <w:t>S</w:t>
      </w:r>
      <w:r w:rsidRPr="008A3FBF">
        <w:t>ystem with a view to attrac</w:t>
      </w:r>
      <w:r>
        <w:t>ting new users and expanding its</w:t>
      </w:r>
      <w:r w:rsidRPr="008A3FBF">
        <w:t xml:space="preserve"> membership.</w:t>
      </w:r>
    </w:p>
    <w:p w14:paraId="764FF5C6" w14:textId="098135A6" w:rsidR="00673C68" w:rsidRDefault="0042100A" w:rsidP="00673C68">
      <w:pPr>
        <w:pStyle w:val="ONUME"/>
      </w:pPr>
      <w:r w:rsidRPr="00A9636F">
        <w:t xml:space="preserve">The </w:t>
      </w:r>
      <w:r>
        <w:t>Delegation</w:t>
      </w:r>
      <w:r w:rsidRPr="00A9636F">
        <w:t xml:space="preserve"> of the European Union</w:t>
      </w:r>
      <w:r>
        <w:t xml:space="preserve">, speaking on behalf of the European Union </w:t>
      </w:r>
      <w:r w:rsidRPr="00A9636F">
        <w:t>and its member states</w:t>
      </w:r>
      <w:r>
        <w:t xml:space="preserve">, </w:t>
      </w:r>
      <w:r w:rsidRPr="008A3FBF">
        <w:t>welcome</w:t>
      </w:r>
      <w:r>
        <w:t>d the entry into force of the amendments to the Common R</w:t>
      </w:r>
      <w:r w:rsidRPr="008A3FBF">
        <w:t xml:space="preserve">egulations </w:t>
      </w:r>
      <w:r>
        <w:lastRenderedPageBreak/>
        <w:t xml:space="preserve">on January 1, 2023.  In that regard, the Delegation </w:t>
      </w:r>
      <w:r w:rsidRPr="001A407A">
        <w:t xml:space="preserve">proposed continuing </w:t>
      </w:r>
      <w:r w:rsidR="001A407A">
        <w:t xml:space="preserve">in </w:t>
      </w:r>
      <w:r w:rsidRPr="001A407A">
        <w:t>the</w:t>
      </w:r>
      <w:r>
        <w:t xml:space="preserve"> path of improving the Common Regulations </w:t>
      </w:r>
      <w:proofErr w:type="gramStart"/>
      <w:r>
        <w:t>in order</w:t>
      </w:r>
      <w:r w:rsidRPr="008A3FBF">
        <w:t xml:space="preserve"> to</w:t>
      </w:r>
      <w:proofErr w:type="gramEnd"/>
      <w:r w:rsidRPr="008A3FBF">
        <w:t xml:space="preserve"> simplify and streamline the proc</w:t>
      </w:r>
      <w:r>
        <w:t>edures under the Lisbon</w:t>
      </w:r>
      <w:r w:rsidR="001A407A">
        <w:t> </w:t>
      </w:r>
      <w:r>
        <w:t xml:space="preserve">System with </w:t>
      </w:r>
      <w:r w:rsidRPr="008A3FBF">
        <w:t>the aim of providin</w:t>
      </w:r>
      <w:r>
        <w:t xml:space="preserve">g </w:t>
      </w:r>
      <w:r w:rsidR="00583A63">
        <w:t xml:space="preserve">more </w:t>
      </w:r>
      <w:r>
        <w:t xml:space="preserve">clarity to its users.  The Delegation therefore </w:t>
      </w:r>
      <w:r w:rsidRPr="008A3FBF">
        <w:t>support</w:t>
      </w:r>
      <w:r>
        <w:t>ed</w:t>
      </w:r>
      <w:r w:rsidRPr="008A3FBF">
        <w:t xml:space="preserve"> the ado</w:t>
      </w:r>
      <w:r>
        <w:t>ption of the proposed amendments to the Common R</w:t>
      </w:r>
      <w:r w:rsidRPr="008A3FBF">
        <w:t>egulations</w:t>
      </w:r>
      <w:r>
        <w:t>,</w:t>
      </w:r>
      <w:r w:rsidRPr="008A3FBF">
        <w:t xml:space="preserve"> as set </w:t>
      </w:r>
      <w:r>
        <w:t xml:space="preserve">out in the </w:t>
      </w:r>
      <w:r w:rsidRPr="00D111D1">
        <w:t>Annex to document LI/A/40</w:t>
      </w:r>
      <w:r>
        <w:t>/1 prepared</w:t>
      </w:r>
      <w:r w:rsidRPr="008A3FBF">
        <w:t xml:space="preserve"> by the Secretariat.</w:t>
      </w:r>
      <w:r>
        <w:t xml:space="preserve">  </w:t>
      </w:r>
      <w:r w:rsidR="00583A63">
        <w:t>It</w:t>
      </w:r>
      <w:r>
        <w:t xml:space="preserve"> pointed out that </w:t>
      </w:r>
      <w:r w:rsidRPr="008A3FBF">
        <w:t>the E</w:t>
      </w:r>
      <w:r>
        <w:t xml:space="preserve">uropean </w:t>
      </w:r>
      <w:r w:rsidRPr="008A3FBF">
        <w:t>U</w:t>
      </w:r>
      <w:r>
        <w:t>nion had</w:t>
      </w:r>
      <w:r w:rsidRPr="008A3FBF">
        <w:t xml:space="preserve"> ma</w:t>
      </w:r>
      <w:r>
        <w:t>de further progress in the impleme</w:t>
      </w:r>
      <w:r w:rsidRPr="008A3FBF">
        <w:t xml:space="preserve">ntation of its membership in the Lisbon System and the </w:t>
      </w:r>
      <w:r>
        <w:t xml:space="preserve">Geneva Act of the Lisbon Agreement and </w:t>
      </w:r>
      <w:r w:rsidR="00C07B47">
        <w:t xml:space="preserve">that the European Union </w:t>
      </w:r>
      <w:r w:rsidR="001A407A">
        <w:t>was</w:t>
      </w:r>
      <w:r w:rsidR="001A407A" w:rsidRPr="008A3FBF">
        <w:t xml:space="preserve"> </w:t>
      </w:r>
      <w:r w:rsidR="00C07B47">
        <w:t xml:space="preserve">at that time </w:t>
      </w:r>
      <w:r w:rsidRPr="008A3FBF">
        <w:t xml:space="preserve">in the final stages of </w:t>
      </w:r>
      <w:r>
        <w:t xml:space="preserve">the legislative process for the adoption of a European </w:t>
      </w:r>
      <w:r w:rsidRPr="008A3FBF">
        <w:t>U</w:t>
      </w:r>
      <w:r>
        <w:t>nion R</w:t>
      </w:r>
      <w:r w:rsidRPr="008A3FBF">
        <w:t>egulation concerning geographical indication</w:t>
      </w:r>
      <w:r>
        <w:t xml:space="preserve"> protection for c</w:t>
      </w:r>
      <w:r w:rsidRPr="008A3FBF">
        <w:t>raft</w:t>
      </w:r>
      <w:r>
        <w:t>s</w:t>
      </w:r>
      <w:r w:rsidRPr="008A3FBF">
        <w:t xml:space="preserve"> and industrial products. </w:t>
      </w:r>
      <w:r>
        <w:t xml:space="preserve"> The Delegation </w:t>
      </w:r>
      <w:r w:rsidR="00583A63">
        <w:t>added</w:t>
      </w:r>
      <w:r>
        <w:t xml:space="preserve"> that while the European Union </w:t>
      </w:r>
      <w:r w:rsidRPr="008A3FBF">
        <w:t>welcome</w:t>
      </w:r>
      <w:r>
        <w:t>d</w:t>
      </w:r>
      <w:r w:rsidRPr="008A3FBF">
        <w:t xml:space="preserve"> the proposed moder</w:t>
      </w:r>
      <w:r>
        <w:t>ate increase in the 2024/25 WIPO</w:t>
      </w:r>
      <w:r w:rsidRPr="008A3FBF">
        <w:t xml:space="preserve"> bu</w:t>
      </w:r>
      <w:r>
        <w:t xml:space="preserve">dget for the Lisbon System, </w:t>
      </w:r>
      <w:r w:rsidR="00583A63">
        <w:t xml:space="preserve">it </w:t>
      </w:r>
      <w:r>
        <w:t>also believed that adequate resources had to</w:t>
      </w:r>
      <w:r w:rsidRPr="008A3FBF">
        <w:t xml:space="preserve"> be made available to manage the </w:t>
      </w:r>
      <w:r>
        <w:t>Lisbon S</w:t>
      </w:r>
      <w:r w:rsidRPr="008A3FBF">
        <w:t>ystem effectively</w:t>
      </w:r>
      <w:r>
        <w:t xml:space="preserve"> </w:t>
      </w:r>
      <w:r w:rsidRPr="008A3FBF">
        <w:t>in view of the increasing membership</w:t>
      </w:r>
      <w:r>
        <w:t xml:space="preserve">.  </w:t>
      </w:r>
      <w:r w:rsidRPr="001A407A">
        <w:t>In that regard</w:t>
      </w:r>
      <w:r>
        <w:t>, the Delegation</w:t>
      </w:r>
      <w:r w:rsidRPr="008A3FBF">
        <w:t xml:space="preserve"> </w:t>
      </w:r>
      <w:r>
        <w:t xml:space="preserve">stressed </w:t>
      </w:r>
      <w:r w:rsidRPr="008A3FBF">
        <w:t>the need to ensure the</w:t>
      </w:r>
      <w:r>
        <w:t xml:space="preserve"> efficient performance of the</w:t>
      </w:r>
      <w:r w:rsidRPr="008A3FBF">
        <w:t xml:space="preserve"> Lis</w:t>
      </w:r>
      <w:r>
        <w:t xml:space="preserve">bon System, </w:t>
      </w:r>
      <w:r w:rsidR="00270E8D">
        <w:t>suggesting</w:t>
      </w:r>
      <w:r w:rsidR="007922D1">
        <w:t xml:space="preserve"> </w:t>
      </w:r>
      <w:r w:rsidR="00583A63">
        <w:t>th</w:t>
      </w:r>
      <w:r w:rsidR="007922D1">
        <w:t>at</w:t>
      </w:r>
      <w:r w:rsidR="00583A63">
        <w:t xml:space="preserve"> </w:t>
      </w:r>
      <w:r>
        <w:t xml:space="preserve">the </w:t>
      </w:r>
      <w:r w:rsidRPr="008A3FBF">
        <w:t>current backlog as well as the anticipated workload resultin</w:t>
      </w:r>
      <w:r>
        <w:t xml:space="preserve">g from the growing membership </w:t>
      </w:r>
      <w:r w:rsidR="007922D1">
        <w:t xml:space="preserve">be </w:t>
      </w:r>
      <w:r>
        <w:t xml:space="preserve">addressed and </w:t>
      </w:r>
      <w:r w:rsidRPr="008A3FBF">
        <w:t xml:space="preserve">the full deployment of the functionalities of the new </w:t>
      </w:r>
      <w:r>
        <w:t>information technology platform, namely e</w:t>
      </w:r>
      <w:r>
        <w:noBreakHyphen/>
        <w:t>Lisbon,</w:t>
      </w:r>
      <w:r w:rsidR="00C606B8">
        <w:t xml:space="preserve"> </w:t>
      </w:r>
      <w:r>
        <w:t>was</w:t>
      </w:r>
      <w:r w:rsidRPr="008A3FBF">
        <w:t xml:space="preserve"> achieved to ensure an efficient and smooth functioning of a modern electron</w:t>
      </w:r>
      <w:r>
        <w:t>ic</w:t>
      </w:r>
      <w:r w:rsidRPr="008A3FBF">
        <w:t xml:space="preserve"> system of registration</w:t>
      </w:r>
      <w:r>
        <w:t xml:space="preserve">, </w:t>
      </w:r>
      <w:proofErr w:type="gramStart"/>
      <w:r>
        <w:t>notification</w:t>
      </w:r>
      <w:proofErr w:type="gramEnd"/>
      <w:r>
        <w:t xml:space="preserve"> and publication.</w:t>
      </w:r>
      <w:r w:rsidRPr="008A3FBF">
        <w:t xml:space="preserve"> </w:t>
      </w:r>
      <w:r>
        <w:t xml:space="preserve"> </w:t>
      </w:r>
      <w:r w:rsidRPr="008A3FBF">
        <w:t xml:space="preserve">The </w:t>
      </w:r>
      <w:r>
        <w:t>Delegation reiterated the importance of appropriate technical assistance being provided to support those Member States that had recently become – or that had expressed an interest in becoming – members of the Lisbon System, and of the Geneva Act of the Lisbon Agreement</w:t>
      </w:r>
      <w:r w:rsidR="007922D1">
        <w:t>,</w:t>
      </w:r>
      <w:r>
        <w:t xml:space="preserve"> in particular.  The Delegation also </w:t>
      </w:r>
      <w:r w:rsidRPr="008A3FBF">
        <w:t>note</w:t>
      </w:r>
      <w:r>
        <w:t>d</w:t>
      </w:r>
      <w:r w:rsidRPr="008A3FBF">
        <w:t xml:space="preserve"> </w:t>
      </w:r>
      <w:r>
        <w:t xml:space="preserve">with satisfaction </w:t>
      </w:r>
      <w:r w:rsidRPr="008A3FBF">
        <w:t>the continuous enlargement o</w:t>
      </w:r>
      <w:r>
        <w:t>f the membership of the Geneva A</w:t>
      </w:r>
      <w:r w:rsidRPr="008A3FBF">
        <w:t xml:space="preserve">ct </w:t>
      </w:r>
      <w:r>
        <w:t xml:space="preserve">of the Lisbon Agreement </w:t>
      </w:r>
      <w:r w:rsidRPr="008A3FBF">
        <w:t xml:space="preserve">over the course of </w:t>
      </w:r>
      <w:r w:rsidR="00C07B47">
        <w:t xml:space="preserve">the </w:t>
      </w:r>
      <w:r w:rsidRPr="008A3FBF">
        <w:t>year</w:t>
      </w:r>
      <w:r w:rsidR="00C07B47">
        <w:t xml:space="preserve"> before</w:t>
      </w:r>
      <w:r w:rsidR="00264867">
        <w:t xml:space="preserve"> </w:t>
      </w:r>
      <w:r w:rsidR="007922D1">
        <w:t xml:space="preserve">and </w:t>
      </w:r>
      <w:r w:rsidR="00264867">
        <w:t>in that regard</w:t>
      </w:r>
      <w:r>
        <w:t xml:space="preserve"> </w:t>
      </w:r>
      <w:r w:rsidRPr="008A3FBF">
        <w:t>welcome</w:t>
      </w:r>
      <w:r>
        <w:t>d</w:t>
      </w:r>
      <w:r w:rsidRPr="008A3FBF">
        <w:t xml:space="preserve"> the accession of the African </w:t>
      </w:r>
      <w:r>
        <w:t>Intellectual Property Organization (</w:t>
      </w:r>
      <w:r w:rsidRPr="008A3FBF">
        <w:t>OAPI</w:t>
      </w:r>
      <w:r>
        <w:t>) as the second intergovernmental organization to join the Lisbon System</w:t>
      </w:r>
      <w:r w:rsidRPr="008A3FBF">
        <w:t xml:space="preserve">. </w:t>
      </w:r>
      <w:r>
        <w:t xml:space="preserve"> The Delegation was of the view that t</w:t>
      </w:r>
      <w:r w:rsidRPr="008A3FBF">
        <w:t>he inclusio</w:t>
      </w:r>
      <w:r>
        <w:t>n of 17 new African countries constituted</w:t>
      </w:r>
      <w:r w:rsidRPr="008A3FBF">
        <w:t xml:space="preserve"> a strong political signal of the </w:t>
      </w:r>
      <w:r>
        <w:t xml:space="preserve">increasing </w:t>
      </w:r>
      <w:r w:rsidRPr="008A3FBF">
        <w:t>attractiveness of the Lisbon System.</w:t>
      </w:r>
      <w:r>
        <w:t xml:space="preserve"> </w:t>
      </w:r>
      <w:r w:rsidRPr="008A3FBF">
        <w:t xml:space="preserve"> </w:t>
      </w:r>
      <w:r>
        <w:t>While the Delegation</w:t>
      </w:r>
      <w:r w:rsidRPr="008A3FBF">
        <w:t xml:space="preserve"> also welcome</w:t>
      </w:r>
      <w:r>
        <w:t xml:space="preserve">d the recent accession of Tunisia, it </w:t>
      </w:r>
      <w:r w:rsidRPr="008A3FBF">
        <w:t xml:space="preserve">expressed serious concerns </w:t>
      </w:r>
      <w:r>
        <w:t xml:space="preserve">with respect </w:t>
      </w:r>
      <w:r w:rsidRPr="008A3FBF">
        <w:t xml:space="preserve">to the Russian Federation's </w:t>
      </w:r>
      <w:r>
        <w:t>recent accession to the Geneva Act of the Lisbon Agreement.  For as long as the Russian</w:t>
      </w:r>
      <w:r w:rsidR="00264867">
        <w:t> </w:t>
      </w:r>
      <w:r>
        <w:t xml:space="preserve">Federation did not reverse </w:t>
      </w:r>
      <w:r w:rsidR="00264867">
        <w:t xml:space="preserve">the </w:t>
      </w:r>
      <w:r>
        <w:t xml:space="preserve">course and </w:t>
      </w:r>
      <w:r w:rsidR="00264867">
        <w:t>abide</w:t>
      </w:r>
      <w:r w:rsidR="00264867" w:rsidRPr="008A3FBF">
        <w:t xml:space="preserve"> </w:t>
      </w:r>
      <w:r w:rsidRPr="008A3FBF">
        <w:t>by the principle</w:t>
      </w:r>
      <w:r>
        <w:t>s</w:t>
      </w:r>
      <w:r w:rsidRPr="008A3FBF">
        <w:t xml:space="preserve"> of the U</w:t>
      </w:r>
      <w:r>
        <w:t xml:space="preserve">nited </w:t>
      </w:r>
      <w:r w:rsidRPr="008A3FBF">
        <w:t>N</w:t>
      </w:r>
      <w:r>
        <w:t>ations</w:t>
      </w:r>
      <w:r w:rsidR="00264867">
        <w:t> (UN)</w:t>
      </w:r>
      <w:r w:rsidRPr="008A3FBF">
        <w:t xml:space="preserve"> Charter and its i</w:t>
      </w:r>
      <w:r>
        <w:t xml:space="preserve">nternational obligations, it was </w:t>
      </w:r>
      <w:r w:rsidRPr="008A3FBF">
        <w:t>clear that business</w:t>
      </w:r>
      <w:r>
        <w:t xml:space="preserve"> as usual with the Russian Federation </w:t>
      </w:r>
      <w:r w:rsidRPr="008A3FBF">
        <w:t xml:space="preserve">at the </w:t>
      </w:r>
      <w:r w:rsidR="00264867">
        <w:t>UN</w:t>
      </w:r>
      <w:r>
        <w:t xml:space="preserve"> and other multilateral fora was</w:t>
      </w:r>
      <w:r w:rsidRPr="008A3FBF">
        <w:t xml:space="preserve"> no longer an option. </w:t>
      </w:r>
      <w:r>
        <w:t xml:space="preserve"> </w:t>
      </w:r>
      <w:r w:rsidR="00264867">
        <w:t>P</w:t>
      </w:r>
      <w:r>
        <w:t>ointing out that the Russian Federation was</w:t>
      </w:r>
      <w:r w:rsidRPr="008A3FBF">
        <w:t xml:space="preserve"> violating the international legal order through its war of ag</w:t>
      </w:r>
      <w:r>
        <w:t xml:space="preserve">gression against Ukraine, the Delegation </w:t>
      </w:r>
      <w:r w:rsidRPr="008A3FBF">
        <w:t>express</w:t>
      </w:r>
      <w:r>
        <w:t>ed</w:t>
      </w:r>
      <w:r w:rsidRPr="008A3FBF">
        <w:t xml:space="preserve"> solidarity with Ukraine and </w:t>
      </w:r>
      <w:r w:rsidR="00264867">
        <w:t xml:space="preserve">expressed </w:t>
      </w:r>
      <w:r w:rsidRPr="008A3FBF">
        <w:t>support</w:t>
      </w:r>
      <w:r w:rsidR="00264867">
        <w:t xml:space="preserve"> for</w:t>
      </w:r>
      <w:r>
        <w:t xml:space="preserve"> the sovereignty</w:t>
      </w:r>
      <w:r w:rsidRPr="008A3FBF">
        <w:t xml:space="preserve">, </w:t>
      </w:r>
      <w:proofErr w:type="gramStart"/>
      <w:r w:rsidRPr="008A3FBF">
        <w:t>independence</w:t>
      </w:r>
      <w:proofErr w:type="gramEnd"/>
      <w:r w:rsidRPr="008A3FBF">
        <w:t xml:space="preserve"> and the territorial integrity of Ukraine</w:t>
      </w:r>
      <w:r>
        <w:t xml:space="preserve"> within its internationally recognized borders and its inherent right of self-defense against the Russian </w:t>
      </w:r>
      <w:r w:rsidR="00264867">
        <w:t xml:space="preserve">Federation </w:t>
      </w:r>
      <w:r>
        <w:t>aggression</w:t>
      </w:r>
      <w:r w:rsidRPr="008A3FBF">
        <w:t xml:space="preserve">. </w:t>
      </w:r>
      <w:r>
        <w:t xml:space="preserve"> The Delegation</w:t>
      </w:r>
      <w:r w:rsidRPr="008A3FBF">
        <w:t xml:space="preserve"> call</w:t>
      </w:r>
      <w:r>
        <w:t>ed</w:t>
      </w:r>
      <w:r w:rsidRPr="008A3FBF">
        <w:t xml:space="preserve"> on </w:t>
      </w:r>
      <w:r>
        <w:t xml:space="preserve">the </w:t>
      </w:r>
      <w:r w:rsidRPr="008A3FBF">
        <w:t>Russia</w:t>
      </w:r>
      <w:r>
        <w:t>n Federation</w:t>
      </w:r>
      <w:r w:rsidRPr="008A3FBF">
        <w:t xml:space="preserve"> to </w:t>
      </w:r>
      <w:r>
        <w:t xml:space="preserve">immediately </w:t>
      </w:r>
      <w:r w:rsidRPr="008A3FBF">
        <w:t xml:space="preserve">stop all </w:t>
      </w:r>
      <w:r>
        <w:t>violations of international law, it</w:t>
      </w:r>
      <w:r w:rsidRPr="008A3FBF">
        <w:t>s illegal war of aggression against Ukraine</w:t>
      </w:r>
      <w:r>
        <w:t>,</w:t>
      </w:r>
      <w:r w:rsidRPr="008A3FBF">
        <w:t xml:space="preserve"> and immediately, completely</w:t>
      </w:r>
      <w:r w:rsidR="00264867">
        <w:t>,</w:t>
      </w:r>
      <w:r w:rsidRPr="008A3FBF">
        <w:t xml:space="preserve"> and unconditionally withdraw </w:t>
      </w:r>
      <w:proofErr w:type="gramStart"/>
      <w:r w:rsidRPr="008A3FBF">
        <w:t>all of</w:t>
      </w:r>
      <w:proofErr w:type="gramEnd"/>
      <w:r w:rsidRPr="008A3FBF">
        <w:t xml:space="preserve"> its military forces </w:t>
      </w:r>
      <w:r>
        <w:t xml:space="preserve">and proxies </w:t>
      </w:r>
      <w:r w:rsidRPr="008A3FBF">
        <w:t>from the ent</w:t>
      </w:r>
      <w:r>
        <w:t xml:space="preserve">ire territory of Ukraine and </w:t>
      </w:r>
      <w:r w:rsidR="00807EA5">
        <w:t xml:space="preserve">to </w:t>
      </w:r>
      <w:r w:rsidRPr="008A3FBF">
        <w:t>fully respe</w:t>
      </w:r>
      <w:r>
        <w:t>ct Ukraine's territorial integrity</w:t>
      </w:r>
      <w:r w:rsidRPr="008A3FBF">
        <w:t xml:space="preserve">, </w:t>
      </w:r>
      <w:r>
        <w:t>sovereignty</w:t>
      </w:r>
      <w:r w:rsidR="00924A77">
        <w:t>,</w:t>
      </w:r>
      <w:r>
        <w:t xml:space="preserve"> and independence.  </w:t>
      </w:r>
      <w:r w:rsidR="00530891">
        <w:t>In concluding, the Delegation reiterated the European Union’s continued support and solidarity with Ukraine and the Ukrainian people.</w:t>
      </w:r>
    </w:p>
    <w:p w14:paraId="42336E11" w14:textId="16ECC689" w:rsidR="0042100A" w:rsidRDefault="0042100A" w:rsidP="0042100A">
      <w:pPr>
        <w:pStyle w:val="ONUME"/>
      </w:pPr>
      <w:r>
        <w:t>The Delegation of the Russian Federation said that it was difficult to imagine a more technical issue than the one under consideration, namely</w:t>
      </w:r>
      <w:r w:rsidR="00924A77">
        <w:t>,</w:t>
      </w:r>
      <w:r>
        <w:t xml:space="preserve"> the adoption of the </w:t>
      </w:r>
      <w:r w:rsidRPr="008A3FBF">
        <w:t>proposed ame</w:t>
      </w:r>
      <w:r>
        <w:t>ndments to the Common R</w:t>
      </w:r>
      <w:r w:rsidRPr="008A3FBF">
        <w:t xml:space="preserve">egulations. </w:t>
      </w:r>
      <w:r>
        <w:t xml:space="preserve"> </w:t>
      </w:r>
      <w:r w:rsidRPr="008A3FBF">
        <w:t xml:space="preserve">However, </w:t>
      </w:r>
      <w:r>
        <w:t xml:space="preserve">the Delegation deplored that the </w:t>
      </w:r>
      <w:r w:rsidRPr="008A3FBF">
        <w:t xml:space="preserve">delegations </w:t>
      </w:r>
      <w:r>
        <w:t>present in the room were</w:t>
      </w:r>
      <w:r w:rsidRPr="008A3FBF">
        <w:t xml:space="preserve"> yet again forced to listen to absurd anti-Russian</w:t>
      </w:r>
      <w:r w:rsidR="00924A77">
        <w:t> </w:t>
      </w:r>
      <w:r w:rsidRPr="008A3FBF">
        <w:t xml:space="preserve">statements. </w:t>
      </w:r>
      <w:r>
        <w:t xml:space="preserve"> The Delegation deplore</w:t>
      </w:r>
      <w:r w:rsidR="00924A77">
        <w:t>d</w:t>
      </w:r>
      <w:r>
        <w:t xml:space="preserve"> </w:t>
      </w:r>
      <w:r w:rsidR="00924A77">
        <w:t xml:space="preserve">not only </w:t>
      </w:r>
      <w:r>
        <w:t xml:space="preserve">the </w:t>
      </w:r>
      <w:r w:rsidRPr="008A3FBF">
        <w:t>lack of respect for</w:t>
      </w:r>
      <w:r>
        <w:t xml:space="preserve"> WIPO’s mandate, but also </w:t>
      </w:r>
      <w:r w:rsidR="00C309F4">
        <w:t>the</w:t>
      </w:r>
      <w:r w:rsidRPr="008A3FBF">
        <w:t xml:space="preserve"> lack of civilized dialogue and</w:t>
      </w:r>
      <w:r>
        <w:t xml:space="preserve"> use of</w:t>
      </w:r>
      <w:r w:rsidRPr="008A3FBF">
        <w:t xml:space="preserve"> destructive initiat</w:t>
      </w:r>
      <w:r>
        <w:t>ives that were rocking the boat</w:t>
      </w:r>
      <w:r w:rsidRPr="008A3FBF">
        <w:t xml:space="preserve"> of the </w:t>
      </w:r>
      <w:r w:rsidR="00AC7475">
        <w:t>IP</w:t>
      </w:r>
      <w:r w:rsidRPr="008A3FBF">
        <w:t xml:space="preserve"> </w:t>
      </w:r>
      <w:r>
        <w:t>system that had</w:t>
      </w:r>
      <w:r w:rsidRPr="008A3FBF">
        <w:t xml:space="preserve"> been b</w:t>
      </w:r>
      <w:r>
        <w:t xml:space="preserve">uilt over decades by WIPO.  The Delegation pointed out that they were </w:t>
      </w:r>
      <w:r w:rsidR="00C309F4">
        <w:t xml:space="preserve">currently </w:t>
      </w:r>
      <w:r w:rsidRPr="008A3FBF">
        <w:t>witness</w:t>
      </w:r>
      <w:r>
        <w:t>ing an</w:t>
      </w:r>
      <w:r w:rsidRPr="008A3FBF">
        <w:t xml:space="preserve"> artificial </w:t>
      </w:r>
      <w:r>
        <w:t>politiciz</w:t>
      </w:r>
      <w:r w:rsidRPr="008A3FBF">
        <w:t>ation</w:t>
      </w:r>
      <w:r>
        <w:t xml:space="preserve"> of the work of the Assembly and therefore counted </w:t>
      </w:r>
      <w:r w:rsidRPr="008A3FBF">
        <w:t xml:space="preserve">on </w:t>
      </w:r>
      <w:r>
        <w:t xml:space="preserve">the </w:t>
      </w:r>
      <w:r w:rsidRPr="008A3FBF">
        <w:t>support of the Secretariat</w:t>
      </w:r>
      <w:r w:rsidR="00441234">
        <w:t xml:space="preserve"> to ensure the observance of the Rules of Procedure </w:t>
      </w:r>
      <w:proofErr w:type="gramStart"/>
      <w:r w:rsidR="00C43FB0">
        <w:t>in the course of</w:t>
      </w:r>
      <w:proofErr w:type="gramEnd"/>
      <w:r w:rsidR="00C43FB0">
        <w:t xml:space="preserve"> the ongoing Assembly</w:t>
      </w:r>
      <w:r w:rsidR="00A03778">
        <w:t>.</w:t>
      </w:r>
    </w:p>
    <w:p w14:paraId="4A12563F" w14:textId="741F5C6A" w:rsidR="0042100A" w:rsidRDefault="008402A3" w:rsidP="0042100A">
      <w:pPr>
        <w:pStyle w:val="ONUME"/>
      </w:pPr>
      <w:r>
        <w:lastRenderedPageBreak/>
        <w:t>A</w:t>
      </w:r>
      <w:r w:rsidR="0042100A">
        <w:t>ligning</w:t>
      </w:r>
      <w:r w:rsidR="0042100A" w:rsidRPr="008A3FBF">
        <w:t xml:space="preserve"> itself with the statement made by the </w:t>
      </w:r>
      <w:r w:rsidR="0042100A">
        <w:t xml:space="preserve">Delegation of the </w:t>
      </w:r>
      <w:r w:rsidR="0042100A" w:rsidRPr="008A3FBF">
        <w:t>European Union</w:t>
      </w:r>
      <w:r w:rsidR="0042100A">
        <w:t xml:space="preserve">, the Delegation of </w:t>
      </w:r>
      <w:r w:rsidR="0042100A" w:rsidRPr="008A3FBF">
        <w:t xml:space="preserve">France </w:t>
      </w:r>
      <w:r w:rsidR="0042100A">
        <w:t>supported</w:t>
      </w:r>
      <w:r w:rsidR="0042100A" w:rsidRPr="008A3FBF">
        <w:t xml:space="preserve"> the proposed amend</w:t>
      </w:r>
      <w:r w:rsidR="0042100A">
        <w:t>ments to the Common Regulations contained in document LI/A/40/1</w:t>
      </w:r>
      <w:proofErr w:type="gramStart"/>
      <w:r w:rsidR="0042100A">
        <w:t>, in particular</w:t>
      </w:r>
      <w:r w:rsidR="0011577E">
        <w:t>,</w:t>
      </w:r>
      <w:r w:rsidR="0042100A">
        <w:t xml:space="preserve"> the</w:t>
      </w:r>
      <w:proofErr w:type="gramEnd"/>
      <w:r w:rsidR="0042100A">
        <w:t xml:space="preserve"> proposal to delete Rule 5(</w:t>
      </w:r>
      <w:r w:rsidR="0042100A" w:rsidRPr="008A3FBF">
        <w:t>4</w:t>
      </w:r>
      <w:r w:rsidR="0042100A">
        <w:t>)</w:t>
      </w:r>
      <w:r w:rsidR="0042100A" w:rsidRPr="008A3FBF">
        <w:t xml:space="preserve"> </w:t>
      </w:r>
      <w:r w:rsidR="0042100A">
        <w:t xml:space="preserve">that had been </w:t>
      </w:r>
      <w:r w:rsidR="0042100A" w:rsidRPr="008A3FBF">
        <w:t xml:space="preserve">adopted by consensus </w:t>
      </w:r>
      <w:r w:rsidR="0042100A">
        <w:t xml:space="preserve">by the Working Group on </w:t>
      </w:r>
      <w:r w:rsidR="0042100A" w:rsidRPr="008A3FBF">
        <w:t>January</w:t>
      </w:r>
      <w:r w:rsidR="0042100A">
        <w:t xml:space="preserve"> 26, 2023</w:t>
      </w:r>
      <w:r w:rsidR="0042100A" w:rsidRPr="008A3FBF">
        <w:t xml:space="preserve">. </w:t>
      </w:r>
      <w:r w:rsidR="0042100A">
        <w:t xml:space="preserve"> The Delegation was of the view that the proposed</w:t>
      </w:r>
      <w:r w:rsidR="0042100A" w:rsidRPr="008A3FBF">
        <w:t xml:space="preserve"> amendmen</w:t>
      </w:r>
      <w:r w:rsidR="0042100A">
        <w:t>ts were</w:t>
      </w:r>
      <w:r w:rsidR="0042100A" w:rsidRPr="008A3FBF">
        <w:t xml:space="preserve"> pragmatic and of genuine interest to the members of the Lisbon </w:t>
      </w:r>
      <w:r w:rsidR="0042100A">
        <w:t xml:space="preserve">Union because they </w:t>
      </w:r>
      <w:r w:rsidR="0042100A" w:rsidRPr="008A3FBF">
        <w:t>introduce</w:t>
      </w:r>
      <w:r w:rsidR="0042100A">
        <w:t>d</w:t>
      </w:r>
      <w:r w:rsidR="0042100A" w:rsidRPr="008A3FBF">
        <w:t xml:space="preserve"> administrative </w:t>
      </w:r>
      <w:r w:rsidR="0042100A">
        <w:t xml:space="preserve">simplification </w:t>
      </w:r>
      <w:r w:rsidR="0042100A" w:rsidRPr="008A3FBF">
        <w:t>whi</w:t>
      </w:r>
      <w:r w:rsidR="0042100A">
        <w:t>le observing the spirit of the Geneva A</w:t>
      </w:r>
      <w:r w:rsidR="0042100A" w:rsidRPr="008A3FBF">
        <w:t>ct</w:t>
      </w:r>
      <w:r w:rsidR="0042100A">
        <w:t xml:space="preserve"> of the Lisbon Agreement. </w:t>
      </w:r>
    </w:p>
    <w:p w14:paraId="3C838115" w14:textId="7C6E7EDB" w:rsidR="0042100A" w:rsidRDefault="00462180" w:rsidP="0042100A">
      <w:pPr>
        <w:pStyle w:val="ONUME"/>
      </w:pPr>
      <w:r>
        <w:t>A</w:t>
      </w:r>
      <w:r w:rsidR="0042100A">
        <w:t xml:space="preserve">ssociating itself with </w:t>
      </w:r>
      <w:r w:rsidR="0042100A" w:rsidRPr="008A3FBF">
        <w:t xml:space="preserve">the statement delivered </w:t>
      </w:r>
      <w:r w:rsidR="0042100A">
        <w:t xml:space="preserve">by the </w:t>
      </w:r>
      <w:r w:rsidR="0042100A" w:rsidRPr="00FC1093">
        <w:t xml:space="preserve">Delegation of </w:t>
      </w:r>
      <w:r w:rsidR="0042100A">
        <w:t>the European</w:t>
      </w:r>
      <w:r>
        <w:t> </w:t>
      </w:r>
      <w:r w:rsidR="0042100A">
        <w:t xml:space="preserve">Union, the </w:t>
      </w:r>
      <w:r w:rsidR="0042100A" w:rsidRPr="008A3FBF">
        <w:t>Delegation</w:t>
      </w:r>
      <w:r w:rsidR="0042100A">
        <w:t xml:space="preserve"> of Portugal expressed the view that a clear </w:t>
      </w:r>
      <w:r w:rsidR="0042100A" w:rsidRPr="008A3FBF">
        <w:t>differentiation betw</w:t>
      </w:r>
      <w:r w:rsidR="0042100A">
        <w:t>een the cultural heritage of their respective</w:t>
      </w:r>
      <w:r w:rsidR="0042100A" w:rsidRPr="008A3FBF">
        <w:t xml:space="preserve"> countries and </w:t>
      </w:r>
      <w:r w:rsidR="0042100A">
        <w:t xml:space="preserve">their origin-based </w:t>
      </w:r>
      <w:r w:rsidR="0042100A" w:rsidRPr="008A3FBF">
        <w:t xml:space="preserve">products </w:t>
      </w:r>
      <w:r w:rsidR="0042100A">
        <w:t xml:space="preserve">was </w:t>
      </w:r>
      <w:r w:rsidR="0042100A" w:rsidRPr="008A3FBF">
        <w:t xml:space="preserve">vital for the trade strategy of any company, </w:t>
      </w:r>
      <w:proofErr w:type="gramStart"/>
      <w:r w:rsidR="0042100A" w:rsidRPr="008A3FBF">
        <w:t>region</w:t>
      </w:r>
      <w:proofErr w:type="gramEnd"/>
      <w:r w:rsidR="0042100A" w:rsidRPr="008A3FBF">
        <w:t xml:space="preserve"> or country.</w:t>
      </w:r>
      <w:r w:rsidR="0042100A">
        <w:t xml:space="preserve"> </w:t>
      </w:r>
      <w:r w:rsidR="0042100A" w:rsidRPr="008A3FBF">
        <w:t xml:space="preserve"> </w:t>
      </w:r>
      <w:r w:rsidR="0042100A">
        <w:t>I</w:t>
      </w:r>
      <w:r w:rsidR="0042100A" w:rsidRPr="008A3FBF">
        <w:t>n</w:t>
      </w:r>
      <w:r w:rsidR="0042100A">
        <w:t xml:space="preserve"> that context, the Delegation believed that appellations of o</w:t>
      </w:r>
      <w:r w:rsidR="0042100A" w:rsidRPr="008A3FBF">
        <w:t xml:space="preserve">rigin and geographical indications </w:t>
      </w:r>
      <w:r w:rsidR="0042100A">
        <w:t xml:space="preserve">were </w:t>
      </w:r>
      <w:proofErr w:type="gramStart"/>
      <w:r w:rsidR="0042100A" w:rsidRPr="008A3FBF">
        <w:t>absolutely decisive</w:t>
      </w:r>
      <w:proofErr w:type="gramEnd"/>
      <w:r w:rsidR="0042100A" w:rsidRPr="008A3FBF">
        <w:t xml:space="preserve"> at </w:t>
      </w:r>
      <w:r w:rsidR="0042100A">
        <w:t xml:space="preserve">the </w:t>
      </w:r>
      <w:r w:rsidR="0042100A" w:rsidRPr="008A3FBF">
        <w:t>internatio</w:t>
      </w:r>
      <w:r w:rsidR="0042100A">
        <w:t>nal level and was therefore convinced that the support and development of the Lisbon</w:t>
      </w:r>
      <w:r w:rsidR="00A60310">
        <w:t> </w:t>
      </w:r>
      <w:r w:rsidR="0042100A">
        <w:t xml:space="preserve">System should be a priority for WIPO.  In that regard, the Delegation </w:t>
      </w:r>
      <w:r w:rsidR="0042100A" w:rsidRPr="008A3FBF">
        <w:t>welcome</w:t>
      </w:r>
      <w:r w:rsidR="0042100A">
        <w:t>d the work and progress that had</w:t>
      </w:r>
      <w:r w:rsidR="0042100A" w:rsidRPr="008A3FBF">
        <w:t xml:space="preserve"> been mad</w:t>
      </w:r>
      <w:r w:rsidR="0042100A">
        <w:t>e by the Working Group</w:t>
      </w:r>
      <w:r w:rsidR="0042100A" w:rsidRPr="008A3FBF">
        <w:t xml:space="preserve"> </w:t>
      </w:r>
      <w:r w:rsidR="0042100A">
        <w:t xml:space="preserve">and </w:t>
      </w:r>
      <w:r w:rsidR="0042100A" w:rsidRPr="008A3FBF">
        <w:t>support</w:t>
      </w:r>
      <w:r w:rsidR="0042100A">
        <w:t>ed the proposed a</w:t>
      </w:r>
      <w:r w:rsidR="0042100A" w:rsidRPr="008A3FBF">
        <w:t>mend</w:t>
      </w:r>
      <w:r w:rsidR="0042100A">
        <w:t>ments to the Common Regulations a</w:t>
      </w:r>
      <w:r w:rsidR="0042100A" w:rsidRPr="008A3FBF">
        <w:t xml:space="preserve">nd the strengthening of the budget and resources of the </w:t>
      </w:r>
      <w:r w:rsidR="0042100A">
        <w:t>Lisbon S</w:t>
      </w:r>
      <w:r w:rsidR="0042100A" w:rsidRPr="008A3FBF">
        <w:t xml:space="preserve">ystem. </w:t>
      </w:r>
      <w:r w:rsidR="0042100A">
        <w:t xml:space="preserve"> Lastly, the Delegation was pleased to see a progressive increase in</w:t>
      </w:r>
      <w:r w:rsidR="0042100A" w:rsidRPr="008A3FBF">
        <w:t xml:space="preserve"> the number of</w:t>
      </w:r>
      <w:r w:rsidR="0042100A">
        <w:t xml:space="preserve"> members of the Lisbon System and welcomed </w:t>
      </w:r>
      <w:proofErr w:type="gramStart"/>
      <w:r w:rsidR="0042100A">
        <w:t>in particular the</w:t>
      </w:r>
      <w:proofErr w:type="gramEnd"/>
      <w:r w:rsidR="0042100A">
        <w:t xml:space="preserve"> accession of OAPI and the addition</w:t>
      </w:r>
      <w:r w:rsidR="0042100A" w:rsidRPr="008A3FBF">
        <w:t xml:space="preserve"> of 17</w:t>
      </w:r>
      <w:r w:rsidR="0042100A">
        <w:t> </w:t>
      </w:r>
      <w:r w:rsidR="0042100A" w:rsidRPr="008A3FBF">
        <w:t xml:space="preserve">new African countries to the Lisbon System. </w:t>
      </w:r>
    </w:p>
    <w:p w14:paraId="1BFBE670" w14:textId="2F541F3B" w:rsidR="0042100A" w:rsidRPr="003C3AB9" w:rsidRDefault="0042100A" w:rsidP="0042100A">
      <w:pPr>
        <w:pStyle w:val="ONUME"/>
      </w:pPr>
      <w:r w:rsidRPr="008A3FBF">
        <w:t xml:space="preserve">The </w:t>
      </w:r>
      <w:r>
        <w:t xml:space="preserve">Delegation of the </w:t>
      </w:r>
      <w:r w:rsidRPr="008A3FBF">
        <w:t xml:space="preserve">United States </w:t>
      </w:r>
      <w:r>
        <w:t xml:space="preserve">of America raised its </w:t>
      </w:r>
      <w:r w:rsidRPr="008A3FBF">
        <w:t xml:space="preserve">long-standing concern with the chronic and increasing deficit of the Lisbon </w:t>
      </w:r>
      <w:r>
        <w:t>Union</w:t>
      </w:r>
      <w:r w:rsidRPr="00664C01">
        <w:t xml:space="preserve"> </w:t>
      </w:r>
      <w:r>
        <w:t>as well as with</w:t>
      </w:r>
      <w:r w:rsidRPr="003C3AB9">
        <w:t xml:space="preserve"> the proposed increased budget for the next biennium.  The Delegation reiterated that the Lisbon System had significant negative ramifications f</w:t>
      </w:r>
      <w:r>
        <w:t>or businesses worldwide, including</w:t>
      </w:r>
      <w:r w:rsidRPr="003C3AB9">
        <w:t xml:space="preserve"> small companies and new market entrants that depended on the use of common names</w:t>
      </w:r>
      <w:r>
        <w:t>, as well as</w:t>
      </w:r>
      <w:r w:rsidRPr="003C3AB9">
        <w:t xml:space="preserve"> </w:t>
      </w:r>
      <w:r>
        <w:t xml:space="preserve">the integrity of </w:t>
      </w:r>
      <w:r w:rsidRPr="003C3AB9">
        <w:t xml:space="preserve">established trademarks </w:t>
      </w:r>
      <w:r>
        <w:t>to market</w:t>
      </w:r>
      <w:r w:rsidRPr="003C3AB9">
        <w:t xml:space="preserve"> and </w:t>
      </w:r>
      <w:r>
        <w:t>to sell</w:t>
      </w:r>
      <w:r w:rsidRPr="003C3AB9">
        <w:t xml:space="preserve"> their products globally.  The Delegation stated that</w:t>
      </w:r>
      <w:r>
        <w:t>, by providing for the protection to geographical indications</w:t>
      </w:r>
      <w:r w:rsidRPr="003C3AB9">
        <w:t xml:space="preserve"> for a wide range of products</w:t>
      </w:r>
      <w:r>
        <w:t xml:space="preserve"> without sufficient protection for users of common names or for prior trademark holders</w:t>
      </w:r>
      <w:r w:rsidRPr="003C3AB9">
        <w:t>, the Lisbon</w:t>
      </w:r>
      <w:r w:rsidR="0020470E">
        <w:t> </w:t>
      </w:r>
      <w:r w:rsidRPr="003C3AB9">
        <w:t xml:space="preserve">System was hindering market access for </w:t>
      </w:r>
      <w:r>
        <w:t>stake</w:t>
      </w:r>
      <w:r w:rsidRPr="003C3AB9">
        <w:t xml:space="preserve">holders from the United States </w:t>
      </w:r>
      <w:r>
        <w:t xml:space="preserve">of America </w:t>
      </w:r>
      <w:r w:rsidRPr="003C3AB9">
        <w:t xml:space="preserve">and other WIPO </w:t>
      </w:r>
      <w:r w:rsidR="00270E8D">
        <w:t>M</w:t>
      </w:r>
      <w:r w:rsidRPr="003C3AB9">
        <w:t>ember</w:t>
      </w:r>
      <w:r w:rsidR="0020470E">
        <w:noBreakHyphen/>
      </w:r>
      <w:r w:rsidR="00270E8D">
        <w:t>States</w:t>
      </w:r>
      <w:r w:rsidRPr="003C3AB9">
        <w:t>.  The lack of safeguards</w:t>
      </w:r>
      <w:r>
        <w:t xml:space="preserve"> was diminishing sales opportunities, erecting trade barriers and eroding trademark rights in countries that were blocking the use of common commercial names.  The Delegation underscored</w:t>
      </w:r>
      <w:r w:rsidRPr="003C3AB9">
        <w:t xml:space="preserve"> that the Lisbon</w:t>
      </w:r>
      <w:r w:rsidR="0020470E">
        <w:t> </w:t>
      </w:r>
      <w:r w:rsidRPr="003C3AB9">
        <w:t xml:space="preserve">System was running a chronic deficit that was </w:t>
      </w:r>
      <w:r>
        <w:t xml:space="preserve">even </w:t>
      </w:r>
      <w:r w:rsidRPr="003C3AB9">
        <w:t xml:space="preserve">expected to grow significantly under the proposed budget for the next biennium. </w:t>
      </w:r>
      <w:r>
        <w:t xml:space="preserve"> </w:t>
      </w:r>
      <w:r w:rsidRPr="003C3AB9">
        <w:t xml:space="preserve">The Delegation was of the view that the </w:t>
      </w:r>
      <w:r>
        <w:t>continuing deficit</w:t>
      </w:r>
      <w:r w:rsidRPr="003C3AB9">
        <w:t xml:space="preserve"> was </w:t>
      </w:r>
      <w:r>
        <w:t xml:space="preserve">driven and </w:t>
      </w:r>
      <w:r w:rsidRPr="003C3AB9">
        <w:t xml:space="preserve">perpetuated by the Lisbon </w:t>
      </w:r>
      <w:r>
        <w:t xml:space="preserve">Union </w:t>
      </w:r>
      <w:r w:rsidRPr="003C3AB9">
        <w:t>members’</w:t>
      </w:r>
      <w:r>
        <w:t xml:space="preserve"> failure to adhere to their treaty obligations to make the S</w:t>
      </w:r>
      <w:r w:rsidRPr="003C3AB9">
        <w:t xml:space="preserve">ystem financially sustainable. </w:t>
      </w:r>
      <w:r>
        <w:t xml:space="preserve"> </w:t>
      </w:r>
      <w:r w:rsidR="0020470E">
        <w:t>It</w:t>
      </w:r>
      <w:r w:rsidRPr="003C3AB9">
        <w:t xml:space="preserve"> stres</w:t>
      </w:r>
      <w:r>
        <w:t>sed that the</w:t>
      </w:r>
      <w:r w:rsidRPr="003C3AB9">
        <w:t xml:space="preserve"> language of the WIPO treaties and fi</w:t>
      </w:r>
      <w:r>
        <w:t xml:space="preserve">nancial rules was </w:t>
      </w:r>
      <w:r w:rsidRPr="003C3AB9">
        <w:t>clear an</w:t>
      </w:r>
      <w:r>
        <w:t>d should not be disregarded by Member States</w:t>
      </w:r>
      <w:r w:rsidRPr="003C3AB9">
        <w:t xml:space="preserve"> </w:t>
      </w:r>
      <w:r w:rsidR="00AD5026">
        <w:t>who</w:t>
      </w:r>
      <w:r w:rsidR="0020470E" w:rsidRPr="003C3AB9">
        <w:t xml:space="preserve"> </w:t>
      </w:r>
      <w:r w:rsidRPr="003C3AB9">
        <w:t xml:space="preserve">should be held accountable </w:t>
      </w:r>
      <w:r w:rsidR="00302787">
        <w:t>for</w:t>
      </w:r>
      <w:r w:rsidR="00302787" w:rsidRPr="003C3AB9">
        <w:t xml:space="preserve"> </w:t>
      </w:r>
      <w:r w:rsidRPr="003C3AB9">
        <w:t>their treaty obligations.  The Delegatio</w:t>
      </w:r>
      <w:r>
        <w:t xml:space="preserve">n reiterated </w:t>
      </w:r>
      <w:r w:rsidRPr="003C3AB9">
        <w:t xml:space="preserve">its serious </w:t>
      </w:r>
      <w:r>
        <w:t>concerns that fees paid to other WIPO Global IP Systems, particularly</w:t>
      </w:r>
      <w:r w:rsidRPr="003C3AB9">
        <w:t xml:space="preserve"> the </w:t>
      </w:r>
      <w:r>
        <w:t xml:space="preserve">Patent </w:t>
      </w:r>
      <w:r w:rsidRPr="00A130EC">
        <w:t>Cooperation Treaty (PCT), continued</w:t>
      </w:r>
      <w:r w:rsidRPr="003C3AB9">
        <w:t xml:space="preserve"> to be diverted to subsidize the Lisbon System.  The Delega</w:t>
      </w:r>
      <w:r>
        <w:t>tion considered that fairness and</w:t>
      </w:r>
      <w:r w:rsidRPr="003C3AB9">
        <w:t xml:space="preserve"> user expectation</w:t>
      </w:r>
      <w:r>
        <w:t xml:space="preserve"> dictated that this</w:t>
      </w:r>
      <w:r w:rsidRPr="003C3AB9">
        <w:t xml:space="preserve"> should not occur.  The Delegation recalled that it ha</w:t>
      </w:r>
      <w:r w:rsidR="00AD5026">
        <w:t>d</w:t>
      </w:r>
      <w:r w:rsidRPr="003C3AB9">
        <w:t xml:space="preserve"> already e</w:t>
      </w:r>
      <w:r>
        <w:t xml:space="preserve">mphasized </w:t>
      </w:r>
      <w:r w:rsidRPr="003C3AB9">
        <w:t xml:space="preserve">in various WIPO meetings </w:t>
      </w:r>
      <w:r>
        <w:t>the importance of developing a path for financial sustainability</w:t>
      </w:r>
      <w:r w:rsidRPr="003C3AB9">
        <w:t xml:space="preserve"> of all fee-funded unions, particularly</w:t>
      </w:r>
      <w:r w:rsidR="00AD5026">
        <w:t>,</w:t>
      </w:r>
      <w:r w:rsidRPr="003C3AB9">
        <w:t xml:space="preserve"> the Lisbon Union.  The Delegation added that WIPO should provide a full and consistent accounting of the </w:t>
      </w:r>
      <w:r>
        <w:t xml:space="preserve">Lisbon System funding sources and establish a process in which the Lisbon Union </w:t>
      </w:r>
      <w:r w:rsidR="00AD5026">
        <w:t xml:space="preserve">would </w:t>
      </w:r>
      <w:r>
        <w:t>appropriately reimburse other WIPO Global IP Systems for previous cross-funding.</w:t>
      </w:r>
      <w:r w:rsidRPr="003C3AB9">
        <w:t xml:space="preserve"> </w:t>
      </w:r>
      <w:r>
        <w:t xml:space="preserve"> </w:t>
      </w:r>
      <w:r w:rsidRPr="003C3AB9">
        <w:t>The Delegation believed that it was important that WIPO preserved the</w:t>
      </w:r>
      <w:r>
        <w:t xml:space="preserve"> diversity of the views of </w:t>
      </w:r>
      <w:r w:rsidRPr="003C3AB9">
        <w:t xml:space="preserve">all </w:t>
      </w:r>
      <w:r>
        <w:t xml:space="preserve">WIPO </w:t>
      </w:r>
      <w:r w:rsidRPr="003C3AB9">
        <w:t xml:space="preserve">Member States regarding </w:t>
      </w:r>
      <w:r>
        <w:t xml:space="preserve">geographical indications </w:t>
      </w:r>
      <w:r w:rsidRPr="003C3AB9">
        <w:t xml:space="preserve">and </w:t>
      </w:r>
      <w:r>
        <w:t xml:space="preserve">was of the view that more needed to be done for WIPO to undertake </w:t>
      </w:r>
      <w:r w:rsidRPr="003C3AB9">
        <w:t>a balanced and fair approach</w:t>
      </w:r>
      <w:r>
        <w:t xml:space="preserve"> in its programmatic</w:t>
      </w:r>
      <w:r w:rsidRPr="003C3AB9">
        <w:t xml:space="preserve"> </w:t>
      </w:r>
      <w:r>
        <w:t xml:space="preserve">work on geographical indications </w:t>
      </w:r>
      <w:r w:rsidRPr="003C3AB9">
        <w:t>and co</w:t>
      </w:r>
      <w:r>
        <w:t xml:space="preserve">mmon names.  The Delegation indicated </w:t>
      </w:r>
      <w:r w:rsidRPr="003C3AB9">
        <w:t xml:space="preserve">that </w:t>
      </w:r>
      <w:r>
        <w:t xml:space="preserve">more </w:t>
      </w:r>
      <w:r w:rsidRPr="003C3AB9">
        <w:t xml:space="preserve">awareness </w:t>
      </w:r>
      <w:r>
        <w:t xml:space="preserve">had to be provided </w:t>
      </w:r>
      <w:r w:rsidRPr="003C3AB9">
        <w:t xml:space="preserve">to governments </w:t>
      </w:r>
      <w:r>
        <w:t xml:space="preserve">and other stakeholders </w:t>
      </w:r>
      <w:r w:rsidRPr="003C3AB9">
        <w:t>on the inherent and int</w:t>
      </w:r>
      <w:r>
        <w:t>ertwined relationship between geographical indication</w:t>
      </w:r>
      <w:r w:rsidRPr="003C3AB9">
        <w:t xml:space="preserve"> prot</w:t>
      </w:r>
      <w:r>
        <w:t xml:space="preserve">ection and the </w:t>
      </w:r>
      <w:r w:rsidRPr="003C3AB9">
        <w:t>use</w:t>
      </w:r>
      <w:r>
        <w:t>s</w:t>
      </w:r>
      <w:r w:rsidRPr="003C3AB9">
        <w:t xml:space="preserve"> of generic or common names.  </w:t>
      </w:r>
      <w:r>
        <w:t>T</w:t>
      </w:r>
      <w:r w:rsidRPr="003C3AB9">
        <w:t>he Delegation underscored that</w:t>
      </w:r>
      <w:r>
        <w:t xml:space="preserve">, </w:t>
      </w:r>
      <w:r w:rsidRPr="003C3AB9">
        <w:t xml:space="preserve">when </w:t>
      </w:r>
      <w:r>
        <w:t xml:space="preserve">such </w:t>
      </w:r>
      <w:r w:rsidRPr="003C3AB9">
        <w:t>balance failed to occur</w:t>
      </w:r>
      <w:r>
        <w:t xml:space="preserve"> </w:t>
      </w:r>
      <w:r w:rsidRPr="003C3AB9">
        <w:t xml:space="preserve">there were negative ramifications for </w:t>
      </w:r>
      <w:r w:rsidRPr="003C3AB9">
        <w:lastRenderedPageBreak/>
        <w:t xml:space="preserve">businesses </w:t>
      </w:r>
      <w:r>
        <w:t xml:space="preserve">worldwide </w:t>
      </w:r>
      <w:r w:rsidRPr="003C3AB9">
        <w:t>that utilized common names</w:t>
      </w:r>
      <w:r>
        <w:t xml:space="preserve">, but also for </w:t>
      </w:r>
      <w:r w:rsidRPr="003C3AB9">
        <w:t>established trademar</w:t>
      </w:r>
      <w:r>
        <w:t>k owners that were prevented from marketing and selling their products</w:t>
      </w:r>
      <w:r w:rsidRPr="003C3AB9">
        <w:t xml:space="preserve"> globally. </w:t>
      </w:r>
    </w:p>
    <w:p w14:paraId="29C40811" w14:textId="78AF9C4E" w:rsidR="0042100A" w:rsidRDefault="00AD5026" w:rsidP="0042100A">
      <w:pPr>
        <w:pStyle w:val="ONUME"/>
      </w:pPr>
      <w:r>
        <w:t xml:space="preserve">The Delegation of Peru recalled </w:t>
      </w:r>
      <w:r w:rsidR="0042100A">
        <w:t>that i</w:t>
      </w:r>
      <w:r w:rsidR="0042100A" w:rsidRPr="008A3FBF">
        <w:t>n t</w:t>
      </w:r>
      <w:r w:rsidR="0042100A">
        <w:t>he framework of the previous Lisbon Assembly</w:t>
      </w:r>
      <w:r w:rsidR="00C43FB0">
        <w:t>,</w:t>
      </w:r>
      <w:r w:rsidR="0042100A" w:rsidRPr="008A3FBF">
        <w:t xml:space="preserve"> </w:t>
      </w:r>
      <w:r w:rsidR="0042100A" w:rsidRPr="003C07F9">
        <w:t>Peru</w:t>
      </w:r>
      <w:r w:rsidR="0042100A" w:rsidRPr="008A3FBF">
        <w:t xml:space="preserve"> </w:t>
      </w:r>
      <w:r w:rsidR="0042100A">
        <w:t xml:space="preserve">had </w:t>
      </w:r>
      <w:r w:rsidR="0042100A" w:rsidRPr="008A3FBF">
        <w:t xml:space="preserve">deposited its </w:t>
      </w:r>
      <w:r w:rsidR="0042100A">
        <w:t xml:space="preserve">instrument of </w:t>
      </w:r>
      <w:r w:rsidR="0042100A" w:rsidRPr="008A3FBF">
        <w:t xml:space="preserve">ratification </w:t>
      </w:r>
      <w:r w:rsidR="0042100A">
        <w:t>to</w:t>
      </w:r>
      <w:r w:rsidR="0042100A" w:rsidRPr="008A3FBF">
        <w:t xml:space="preserve"> the Geneva Act </w:t>
      </w:r>
      <w:r w:rsidR="0042100A">
        <w:t xml:space="preserve">of the Lisbon </w:t>
      </w:r>
      <w:proofErr w:type="gramStart"/>
      <w:r w:rsidR="0042100A">
        <w:t>A</w:t>
      </w:r>
      <w:r w:rsidR="0042100A" w:rsidRPr="008A3FBF">
        <w:t>greement</w:t>
      </w:r>
      <w:proofErr w:type="gramEnd"/>
      <w:r w:rsidR="00F91800">
        <w:t xml:space="preserve"> and </w:t>
      </w:r>
      <w:r w:rsidR="00C43FB0">
        <w:t>it</w:t>
      </w:r>
      <w:r w:rsidR="0042100A">
        <w:t xml:space="preserve"> had </w:t>
      </w:r>
      <w:r w:rsidR="00F91800">
        <w:t xml:space="preserve">since then </w:t>
      </w:r>
      <w:r w:rsidR="0042100A" w:rsidRPr="008A3FBF">
        <w:t>been working very closely w</w:t>
      </w:r>
      <w:r w:rsidR="0042100A">
        <w:t>ith the Secretariat to ensure the full implementation of the Act</w:t>
      </w:r>
      <w:r w:rsidR="0042100A" w:rsidRPr="008A3FBF">
        <w:t xml:space="preserve">. </w:t>
      </w:r>
      <w:r w:rsidR="0042100A">
        <w:t xml:space="preserve"> The Delegation also welcomed the accession of</w:t>
      </w:r>
      <w:r w:rsidR="0042100A" w:rsidRPr="008A3FBF">
        <w:t xml:space="preserve"> three new countries </w:t>
      </w:r>
      <w:r w:rsidR="00F91800">
        <w:t xml:space="preserve">as well as </w:t>
      </w:r>
      <w:r w:rsidR="0042100A">
        <w:t>the</w:t>
      </w:r>
      <w:r w:rsidR="0042100A" w:rsidRPr="008A3FBF">
        <w:t xml:space="preserve"> </w:t>
      </w:r>
      <w:r w:rsidR="0042100A">
        <w:t xml:space="preserve">accession of OAPI with its 17 member states.  In that regard, the Delegation </w:t>
      </w:r>
      <w:r w:rsidR="0042100A" w:rsidRPr="008A3FBF">
        <w:t>underscore</w:t>
      </w:r>
      <w:r w:rsidR="0042100A">
        <w:t>d</w:t>
      </w:r>
      <w:r w:rsidR="0042100A" w:rsidRPr="008A3FBF">
        <w:t xml:space="preserve"> the importance of a</w:t>
      </w:r>
      <w:r w:rsidR="0042100A">
        <w:t xml:space="preserve">llocating financial resources through an adequate budget to </w:t>
      </w:r>
      <w:r w:rsidR="00F60393">
        <w:t xml:space="preserve">ensure </w:t>
      </w:r>
      <w:r w:rsidR="0042100A">
        <w:t xml:space="preserve">quality </w:t>
      </w:r>
      <w:r w:rsidR="0042100A" w:rsidRPr="008A3FBF">
        <w:t xml:space="preserve">services </w:t>
      </w:r>
      <w:r w:rsidR="0042100A">
        <w:t>in an effective and timely manner to an increasing number of Contracting Parties.  This would</w:t>
      </w:r>
      <w:r w:rsidR="00F91800">
        <w:t>,</w:t>
      </w:r>
      <w:r w:rsidR="0042100A">
        <w:t xml:space="preserve"> in turn</w:t>
      </w:r>
      <w:r w:rsidR="00F91800">
        <w:t>,</w:t>
      </w:r>
      <w:r w:rsidR="0042100A">
        <w:t xml:space="preserve"> contribute to strengthening the Lisbon System and to increasing its attractiv</w:t>
      </w:r>
      <w:r w:rsidR="00C606B8">
        <w:t>e</w:t>
      </w:r>
      <w:r w:rsidR="0042100A">
        <w:t xml:space="preserve">ness.  Lastly, the Delegation supported the </w:t>
      </w:r>
      <w:r w:rsidR="0042100A" w:rsidRPr="008A3FBF">
        <w:t>proposed amendments to the Common Regulations</w:t>
      </w:r>
      <w:r w:rsidR="0042100A">
        <w:t>,</w:t>
      </w:r>
      <w:r w:rsidR="0042100A" w:rsidRPr="008A3FBF">
        <w:t xml:space="preserve"> including the linguistic corrections to the Span</w:t>
      </w:r>
      <w:r w:rsidR="0042100A">
        <w:t>ish version and the deletion of Rule</w:t>
      </w:r>
      <w:r w:rsidR="00F91800">
        <w:t> </w:t>
      </w:r>
      <w:r w:rsidR="0042100A">
        <w:t>5(</w:t>
      </w:r>
      <w:r w:rsidR="0042100A" w:rsidRPr="008A3FBF">
        <w:t>4</w:t>
      </w:r>
      <w:r w:rsidR="0042100A">
        <w:t>)</w:t>
      </w:r>
      <w:r w:rsidR="0042100A" w:rsidRPr="008A3FBF">
        <w:t xml:space="preserve">. </w:t>
      </w:r>
    </w:p>
    <w:p w14:paraId="6076428D" w14:textId="1489451F" w:rsidR="0042100A" w:rsidRDefault="0042100A" w:rsidP="0042100A">
      <w:pPr>
        <w:pStyle w:val="ONUME"/>
      </w:pPr>
      <w:r>
        <w:t>The Delegation of Poland aligned</w:t>
      </w:r>
      <w:r w:rsidRPr="008A3FBF">
        <w:t xml:space="preserve"> itself</w:t>
      </w:r>
      <w:r>
        <w:t xml:space="preserve"> with the statement delivered by the </w:t>
      </w:r>
      <w:r w:rsidRPr="00EE5C9D">
        <w:t xml:space="preserve">Delegation of </w:t>
      </w:r>
      <w:r>
        <w:t xml:space="preserve">the European Union.  </w:t>
      </w:r>
      <w:r w:rsidR="00F91800">
        <w:t>T</w:t>
      </w:r>
      <w:r>
        <w:t xml:space="preserve">aking </w:t>
      </w:r>
      <w:r w:rsidRPr="008A3FBF">
        <w:t>n</w:t>
      </w:r>
      <w:r>
        <w:t>ote of the entry into force on</w:t>
      </w:r>
      <w:r w:rsidRPr="008A3FBF">
        <w:t xml:space="preserve"> January</w:t>
      </w:r>
      <w:r>
        <w:t xml:space="preserve"> 1,</w:t>
      </w:r>
      <w:r w:rsidRPr="008A3FBF">
        <w:t xml:space="preserve"> 2023 of the amendments to the Common Regulations</w:t>
      </w:r>
      <w:r>
        <w:t xml:space="preserve"> that </w:t>
      </w:r>
      <w:r w:rsidRPr="008A3FBF">
        <w:t>enable</w:t>
      </w:r>
      <w:r>
        <w:t>d</w:t>
      </w:r>
      <w:r w:rsidRPr="008A3FBF">
        <w:t xml:space="preserve"> the users of the </w:t>
      </w:r>
      <w:r>
        <w:t>Lisbon System to benefit from simplified and streamlined procedures,</w:t>
      </w:r>
      <w:r w:rsidRPr="008A3FBF">
        <w:t xml:space="preserve"> </w:t>
      </w:r>
      <w:r>
        <w:t xml:space="preserve">the Delegation </w:t>
      </w:r>
      <w:r w:rsidRPr="008A3FBF">
        <w:t>support</w:t>
      </w:r>
      <w:r>
        <w:t xml:space="preserve">ed </w:t>
      </w:r>
      <w:r w:rsidRPr="008A3FBF">
        <w:t xml:space="preserve">the adoption of </w:t>
      </w:r>
      <w:r>
        <w:t xml:space="preserve">the proposed </w:t>
      </w:r>
      <w:r w:rsidRPr="008A3FBF">
        <w:t>amendment</w:t>
      </w:r>
      <w:r>
        <w:t>s</w:t>
      </w:r>
      <w:r w:rsidRPr="008A3FBF">
        <w:t xml:space="preserve"> to the Common Regulations</w:t>
      </w:r>
      <w:r>
        <w:t>,</w:t>
      </w:r>
      <w:r w:rsidRPr="008A3FBF">
        <w:t xml:space="preserve"> as s</w:t>
      </w:r>
      <w:r>
        <w:t>et out in the Annex to document </w:t>
      </w:r>
      <w:r w:rsidRPr="008A3FBF">
        <w:t>LI/A/40/1</w:t>
      </w:r>
      <w:r>
        <w:t>,</w:t>
      </w:r>
      <w:r w:rsidRPr="008A3FBF">
        <w:t xml:space="preserve"> as </w:t>
      </w:r>
      <w:r>
        <w:t>they would ensure an administrative simplification in the interest of all Contracting P</w:t>
      </w:r>
      <w:r w:rsidRPr="008A3FBF">
        <w:t>arties and further</w:t>
      </w:r>
      <w:r>
        <w:t xml:space="preserve"> enhance the attractiveness of appellations of origin and geographical indications</w:t>
      </w:r>
      <w:r w:rsidRPr="008A3FBF">
        <w:t xml:space="preserve"> protection systems. </w:t>
      </w:r>
      <w:r>
        <w:t xml:space="preserve"> </w:t>
      </w:r>
      <w:r w:rsidR="00F91800">
        <w:t>It</w:t>
      </w:r>
      <w:r>
        <w:t xml:space="preserve"> pointed out that geographical indications were </w:t>
      </w:r>
      <w:r w:rsidRPr="008A3FBF">
        <w:t>v</w:t>
      </w:r>
      <w:r>
        <w:t xml:space="preserve">ery important for the Polish </w:t>
      </w:r>
      <w:r w:rsidR="00AC7475">
        <w:t xml:space="preserve">IP </w:t>
      </w:r>
      <w:r w:rsidRPr="008A3FBF">
        <w:t>system as they protect</w:t>
      </w:r>
      <w:r>
        <w:t>ed Poland’s</w:t>
      </w:r>
      <w:r w:rsidRPr="008A3FBF">
        <w:t xml:space="preserve"> traditional products and </w:t>
      </w:r>
      <w:r>
        <w:t xml:space="preserve">thereby ensured the preservation of the country’s </w:t>
      </w:r>
      <w:r w:rsidRPr="008A3FBF">
        <w:t>long las</w:t>
      </w:r>
      <w:r>
        <w:t>ting cultural heritage.  The Delegation</w:t>
      </w:r>
      <w:r w:rsidRPr="008A3FBF">
        <w:t xml:space="preserve"> took note of the continuous enlargement of the member</w:t>
      </w:r>
      <w:r>
        <w:t>ship of the Lisbon System and</w:t>
      </w:r>
      <w:r w:rsidRPr="008A3FBF">
        <w:t xml:space="preserve"> welcome</w:t>
      </w:r>
      <w:r>
        <w:t>d</w:t>
      </w:r>
      <w:r w:rsidRPr="008A3FBF">
        <w:t xml:space="preserve"> the proposed budget for the Lisbon System for </w:t>
      </w:r>
      <w:r>
        <w:t>the 2024/25 biennium that reflected</w:t>
      </w:r>
      <w:r w:rsidRPr="008A3FBF">
        <w:t xml:space="preserve"> the growing membership of the </w:t>
      </w:r>
      <w:r>
        <w:t>S</w:t>
      </w:r>
      <w:r w:rsidRPr="008A3FBF">
        <w:t xml:space="preserve">ystem. </w:t>
      </w:r>
      <w:r>
        <w:t xml:space="preserve"> While the Delegation welcomed the new accessions to the Lisbon System, it expressed its concerns related to the accession of the Russian Federation</w:t>
      </w:r>
      <w:r w:rsidRPr="008A3FBF">
        <w:t xml:space="preserve"> to the Geneva </w:t>
      </w:r>
      <w:r>
        <w:t>Act of the Lisbon Agreement, as the Delegation was of the view</w:t>
      </w:r>
      <w:r w:rsidR="00F91800">
        <w:t>,</w:t>
      </w:r>
      <w:r>
        <w:t xml:space="preserve"> that a country that continued</w:t>
      </w:r>
      <w:r w:rsidRPr="00523413">
        <w:t xml:space="preserve"> to violate international laws should not benefit from the achievements </w:t>
      </w:r>
      <w:r>
        <w:t xml:space="preserve">of the Lisbon System </w:t>
      </w:r>
      <w:r w:rsidRPr="00523413">
        <w:t xml:space="preserve">on a </w:t>
      </w:r>
      <w:r>
        <w:t>“</w:t>
      </w:r>
      <w:r w:rsidRPr="00523413">
        <w:t>business as usual</w:t>
      </w:r>
      <w:r>
        <w:t>”</w:t>
      </w:r>
      <w:r w:rsidRPr="00523413">
        <w:t xml:space="preserve"> basis. </w:t>
      </w:r>
      <w:r>
        <w:t xml:space="preserve"> </w:t>
      </w:r>
      <w:r w:rsidR="00F91800">
        <w:t>Lastly,</w:t>
      </w:r>
      <w:r>
        <w:t xml:space="preserve"> </w:t>
      </w:r>
      <w:r w:rsidR="00F91800">
        <w:t xml:space="preserve">the </w:t>
      </w:r>
      <w:r>
        <w:t xml:space="preserve">Delegation </w:t>
      </w:r>
      <w:r w:rsidRPr="00523413">
        <w:t>express</w:t>
      </w:r>
      <w:r>
        <w:t>ed its</w:t>
      </w:r>
      <w:r w:rsidRPr="00523413">
        <w:t xml:space="preserve"> solidarity with Ukraine and the Ukrainian people.</w:t>
      </w:r>
    </w:p>
    <w:p w14:paraId="33E3F4EA" w14:textId="301F6F8B" w:rsidR="0042100A" w:rsidRDefault="00F91800" w:rsidP="0042100A">
      <w:pPr>
        <w:pStyle w:val="ONUME"/>
      </w:pPr>
      <w:r>
        <w:t>A</w:t>
      </w:r>
      <w:r w:rsidR="0042100A" w:rsidRPr="00607ADE">
        <w:t>ligning itself with the statement made by the Delegation</w:t>
      </w:r>
      <w:r w:rsidR="0042100A">
        <w:t xml:space="preserve"> of the </w:t>
      </w:r>
      <w:r w:rsidR="0042100A" w:rsidRPr="008E5838">
        <w:t>European Union</w:t>
      </w:r>
      <w:r w:rsidR="0042100A">
        <w:t xml:space="preserve"> </w:t>
      </w:r>
      <w:r>
        <w:t xml:space="preserve">on behalf of </w:t>
      </w:r>
      <w:r w:rsidR="0042100A">
        <w:t>its member states,</w:t>
      </w:r>
      <w:r w:rsidR="0042100A" w:rsidRPr="008E5838">
        <w:t xml:space="preserve"> </w:t>
      </w:r>
      <w:r w:rsidR="0042100A">
        <w:t>the Delegation of Italy welcomed all the work done by the Lisbon R</w:t>
      </w:r>
      <w:r w:rsidR="0042100A" w:rsidRPr="008E5838">
        <w:t>egistry to improve the geographica</w:t>
      </w:r>
      <w:r w:rsidR="0042100A">
        <w:t xml:space="preserve">l representation of the Lisbon Union </w:t>
      </w:r>
      <w:proofErr w:type="gramStart"/>
      <w:r w:rsidR="0042100A">
        <w:t>and also</w:t>
      </w:r>
      <w:proofErr w:type="gramEnd"/>
      <w:r w:rsidR="0042100A">
        <w:t xml:space="preserve"> looked </w:t>
      </w:r>
      <w:r w:rsidR="0042100A" w:rsidRPr="008E5838">
        <w:t>forwa</w:t>
      </w:r>
      <w:r w:rsidR="0042100A">
        <w:t>rd to a further development of the</w:t>
      </w:r>
      <w:r w:rsidR="0042100A" w:rsidRPr="008E5838">
        <w:t xml:space="preserve"> international </w:t>
      </w:r>
      <w:r w:rsidR="0042100A">
        <w:t xml:space="preserve">registration </w:t>
      </w:r>
      <w:r w:rsidR="0042100A" w:rsidRPr="008E5838">
        <w:t xml:space="preserve">system for </w:t>
      </w:r>
      <w:r w:rsidR="0042100A">
        <w:t xml:space="preserve">appellations of origin and </w:t>
      </w:r>
      <w:r w:rsidR="0042100A" w:rsidRPr="008E5838">
        <w:t>geographical indication</w:t>
      </w:r>
      <w:r w:rsidR="0042100A">
        <w:t xml:space="preserve">s, as well as a </w:t>
      </w:r>
      <w:r w:rsidR="0042100A" w:rsidRPr="008E5838">
        <w:t xml:space="preserve">swift implementation of the e-Lisbon </w:t>
      </w:r>
      <w:r w:rsidR="0042100A">
        <w:t xml:space="preserve">platform in the near future.  </w:t>
      </w:r>
      <w:r>
        <w:t>P</w:t>
      </w:r>
      <w:r w:rsidR="0042100A">
        <w:t>ointing out that a</w:t>
      </w:r>
      <w:r w:rsidR="0042100A" w:rsidRPr="008E5838">
        <w:t xml:space="preserve"> </w:t>
      </w:r>
      <w:r w:rsidR="0042100A">
        <w:t>significant amount of the WIPO Union budget was</w:t>
      </w:r>
      <w:r w:rsidR="0042100A" w:rsidRPr="008E5838">
        <w:t xml:space="preserve"> currently being used by the Secretariat</w:t>
      </w:r>
      <w:r w:rsidR="0042100A">
        <w:t xml:space="preserve"> for</w:t>
      </w:r>
      <w:r w:rsidR="0042100A" w:rsidRPr="008E5838">
        <w:t xml:space="preserve"> technical support and capacity building activities, rathe</w:t>
      </w:r>
      <w:r w:rsidR="0042100A">
        <w:t>r than for promotional purposes, the Delegation</w:t>
      </w:r>
      <w:r w:rsidR="0042100A" w:rsidRPr="008E5838">
        <w:t xml:space="preserve"> </w:t>
      </w:r>
      <w:r w:rsidR="0042100A">
        <w:t xml:space="preserve">expressed the view that </w:t>
      </w:r>
      <w:r w:rsidR="0042100A" w:rsidRPr="008E5838">
        <w:t xml:space="preserve">such </w:t>
      </w:r>
      <w:r w:rsidR="0042100A">
        <w:t>technical support was</w:t>
      </w:r>
      <w:r w:rsidR="0042100A" w:rsidRPr="008E5838">
        <w:t xml:space="preserve"> indeed necessary to meet the growing</w:t>
      </w:r>
      <w:r w:rsidR="0042100A">
        <w:t xml:space="preserve"> needs of the Lisbon membership, which already extended to 71 countries in different</w:t>
      </w:r>
      <w:r w:rsidR="0042100A" w:rsidRPr="008E5838">
        <w:t xml:space="preserve"> geographical regions.</w:t>
      </w:r>
      <w:r w:rsidR="0042100A">
        <w:t xml:space="preserve"> </w:t>
      </w:r>
      <w:r w:rsidR="0042100A" w:rsidRPr="008E5838">
        <w:t xml:space="preserve"> </w:t>
      </w:r>
      <w:r w:rsidR="0042100A">
        <w:t>The Delegation</w:t>
      </w:r>
      <w:r w:rsidR="00990D2D">
        <w:t xml:space="preserve"> added</w:t>
      </w:r>
      <w:r w:rsidR="0042100A">
        <w:t xml:space="preserve"> that such enlargement provided</w:t>
      </w:r>
      <w:r w:rsidR="0042100A" w:rsidRPr="008E5838">
        <w:t xml:space="preserve"> e</w:t>
      </w:r>
      <w:r w:rsidR="0042100A">
        <w:t>vidence of the increased interest i</w:t>
      </w:r>
      <w:r w:rsidR="0042100A" w:rsidRPr="008E5838">
        <w:t>n geographical indication</w:t>
      </w:r>
      <w:r w:rsidR="0042100A">
        <w:t>s around the globe as an engine</w:t>
      </w:r>
      <w:r w:rsidR="0042100A" w:rsidRPr="008E5838">
        <w:t xml:space="preserve"> to </w:t>
      </w:r>
      <w:r w:rsidR="0042100A">
        <w:t xml:space="preserve">foster </w:t>
      </w:r>
      <w:r w:rsidR="0042100A" w:rsidRPr="008E5838">
        <w:t>economic develop</w:t>
      </w:r>
      <w:r w:rsidR="0042100A">
        <w:t>ment, and</w:t>
      </w:r>
      <w:r w:rsidR="0042100A" w:rsidRPr="008E5838">
        <w:t xml:space="preserve"> </w:t>
      </w:r>
      <w:r w:rsidR="0042100A">
        <w:t xml:space="preserve">therefore </w:t>
      </w:r>
      <w:r w:rsidR="0042100A" w:rsidRPr="008E5838">
        <w:t>consider</w:t>
      </w:r>
      <w:r w:rsidR="0042100A">
        <w:t>ed</w:t>
      </w:r>
      <w:r w:rsidR="0042100A" w:rsidRPr="008E5838">
        <w:t xml:space="preserve"> it appropriate and necessary for the WIPO Secretar</w:t>
      </w:r>
      <w:r w:rsidR="0042100A">
        <w:t>iat to continue its work in the</w:t>
      </w:r>
      <w:r w:rsidR="0042100A" w:rsidRPr="008E5838">
        <w:t xml:space="preserve"> field</w:t>
      </w:r>
      <w:r w:rsidR="0042100A">
        <w:t xml:space="preserve"> of geographical indications</w:t>
      </w:r>
      <w:r w:rsidR="0042100A" w:rsidRPr="008E5838">
        <w:t xml:space="preserve">. </w:t>
      </w:r>
      <w:r w:rsidR="0042100A">
        <w:t xml:space="preserve"> The Delegation pointed out that </w:t>
      </w:r>
      <w:r w:rsidR="0042100A" w:rsidRPr="008E5838">
        <w:t>the moderate increase of the Lisbon budge</w:t>
      </w:r>
      <w:r w:rsidR="0042100A">
        <w:t>t for the next biennium responded</w:t>
      </w:r>
      <w:r w:rsidR="0042100A" w:rsidRPr="008E5838">
        <w:t xml:space="preserve"> to the </w:t>
      </w:r>
      <w:r w:rsidR="0042100A">
        <w:t xml:space="preserve">growth in the </w:t>
      </w:r>
      <w:r w:rsidR="0042100A" w:rsidRPr="008E5838">
        <w:t xml:space="preserve">administrative workload and </w:t>
      </w:r>
      <w:r w:rsidR="0042100A">
        <w:t xml:space="preserve">in </w:t>
      </w:r>
      <w:r w:rsidR="0042100A" w:rsidRPr="008E5838">
        <w:t>request</w:t>
      </w:r>
      <w:r w:rsidR="0042100A">
        <w:t>s for technical assistance that the Registry was</w:t>
      </w:r>
      <w:r w:rsidR="0042100A" w:rsidRPr="008E5838">
        <w:t xml:space="preserve"> re</w:t>
      </w:r>
      <w:r w:rsidR="0042100A">
        <w:t xml:space="preserve">ceiving.  At the same time, the Delegation </w:t>
      </w:r>
      <w:r w:rsidR="0042100A" w:rsidRPr="008E5838">
        <w:t>highlight</w:t>
      </w:r>
      <w:r w:rsidR="0042100A">
        <w:t>ed</w:t>
      </w:r>
      <w:r w:rsidR="0042100A" w:rsidRPr="008E5838">
        <w:t xml:space="preserve"> that such</w:t>
      </w:r>
      <w:r w:rsidR="0042100A">
        <w:t xml:space="preserve"> activities had</w:t>
      </w:r>
      <w:r w:rsidR="0042100A" w:rsidRPr="008E5838">
        <w:t xml:space="preserve"> a crosscutting impact </w:t>
      </w:r>
      <w:r w:rsidR="0042100A">
        <w:t xml:space="preserve">that went </w:t>
      </w:r>
      <w:r w:rsidR="0042100A" w:rsidRPr="008E5838">
        <w:t>well beyond</w:t>
      </w:r>
      <w:r w:rsidR="0042100A">
        <w:t xml:space="preserve"> the</w:t>
      </w:r>
      <w:r w:rsidR="0042100A" w:rsidRPr="008E5838">
        <w:t xml:space="preserve"> Lisbon System </w:t>
      </w:r>
      <w:r w:rsidR="0042100A">
        <w:t xml:space="preserve">as </w:t>
      </w:r>
      <w:r w:rsidR="0042100A" w:rsidRPr="008E5838">
        <w:t>they a</w:t>
      </w:r>
      <w:r w:rsidR="0042100A">
        <w:t xml:space="preserve">lso contributed to regional </w:t>
      </w:r>
      <w:r w:rsidR="0042100A" w:rsidRPr="008E5838">
        <w:t xml:space="preserve">and national </w:t>
      </w:r>
      <w:r w:rsidR="0042100A">
        <w:t xml:space="preserve">development </w:t>
      </w:r>
      <w:r w:rsidR="0042100A" w:rsidRPr="008E5838">
        <w:t>and to the achievement of the Sustainable Development G</w:t>
      </w:r>
      <w:r w:rsidR="0042100A">
        <w:t xml:space="preserve">oals </w:t>
      </w:r>
      <w:r w:rsidR="0042100A" w:rsidRPr="004217CD">
        <w:t>(SDGs)</w:t>
      </w:r>
      <w:r w:rsidR="00270E8D">
        <w:t>,</w:t>
      </w:r>
      <w:r w:rsidR="0042100A" w:rsidRPr="004217CD">
        <w:t xml:space="preserve"> </w:t>
      </w:r>
      <w:r w:rsidR="00990D2D">
        <w:t xml:space="preserve">which was </w:t>
      </w:r>
      <w:r w:rsidR="0042100A">
        <w:t>in full compliance with</w:t>
      </w:r>
      <w:r w:rsidR="0042100A" w:rsidRPr="008E5838">
        <w:t xml:space="preserve"> WIPO</w:t>
      </w:r>
      <w:r w:rsidR="0042100A">
        <w:t>’s </w:t>
      </w:r>
      <w:r w:rsidR="0042100A" w:rsidRPr="008E5838">
        <w:t>mandate.</w:t>
      </w:r>
      <w:r w:rsidR="0042100A">
        <w:t xml:space="preserve">  </w:t>
      </w:r>
    </w:p>
    <w:p w14:paraId="4B3778BE" w14:textId="406A045A" w:rsidR="0042100A" w:rsidRDefault="0042100A" w:rsidP="0042100A">
      <w:pPr>
        <w:pStyle w:val="ONUME"/>
      </w:pPr>
      <w:r>
        <w:lastRenderedPageBreak/>
        <w:t xml:space="preserve">The Delegation of Lithuania fully </w:t>
      </w:r>
      <w:r w:rsidRPr="008E5838">
        <w:t>align</w:t>
      </w:r>
      <w:r>
        <w:t>ed</w:t>
      </w:r>
      <w:r w:rsidRPr="008E5838">
        <w:t xml:space="preserve"> </w:t>
      </w:r>
      <w:r>
        <w:t xml:space="preserve">itself </w:t>
      </w:r>
      <w:r w:rsidRPr="008E5838">
        <w:t>with the statement deliver</w:t>
      </w:r>
      <w:r>
        <w:t>ed</w:t>
      </w:r>
      <w:r w:rsidRPr="008E5838">
        <w:t xml:space="preserve"> by the </w:t>
      </w:r>
      <w:r w:rsidRPr="00C20887">
        <w:t xml:space="preserve">Delegation of </w:t>
      </w:r>
      <w:r>
        <w:t xml:space="preserve">the </w:t>
      </w:r>
      <w:r w:rsidRPr="008E5838">
        <w:t xml:space="preserve">European Union </w:t>
      </w:r>
      <w:r>
        <w:t xml:space="preserve">and </w:t>
      </w:r>
      <w:r w:rsidRPr="008E5838">
        <w:t>support</w:t>
      </w:r>
      <w:r>
        <w:t>ed</w:t>
      </w:r>
      <w:r w:rsidRPr="008E5838">
        <w:t xml:space="preserve"> </w:t>
      </w:r>
      <w:r>
        <w:t xml:space="preserve">the proposed </w:t>
      </w:r>
      <w:r w:rsidRPr="008E5838">
        <w:t xml:space="preserve">amendments </w:t>
      </w:r>
      <w:r>
        <w:t>to the Lisbon Common Regulations</w:t>
      </w:r>
      <w:r w:rsidRPr="008E5838">
        <w:t xml:space="preserve">. </w:t>
      </w:r>
      <w:r>
        <w:t xml:space="preserve"> </w:t>
      </w:r>
      <w:r w:rsidR="00990D2D">
        <w:t>H</w:t>
      </w:r>
      <w:r>
        <w:t>owever, the recent accession of the Russian Federation to</w:t>
      </w:r>
      <w:r w:rsidRPr="008E5838">
        <w:t xml:space="preserve"> the </w:t>
      </w:r>
      <w:r>
        <w:t xml:space="preserve">Geneva Act of the Lisbon Agreement was </w:t>
      </w:r>
      <w:r w:rsidRPr="008E5838">
        <w:t xml:space="preserve">a cause for serious concern. </w:t>
      </w:r>
      <w:r>
        <w:t xml:space="preserve"> </w:t>
      </w:r>
      <w:r w:rsidRPr="008E5838">
        <w:t xml:space="preserve">After launching a war of aggression against Ukraine, </w:t>
      </w:r>
      <w:r>
        <w:t>the Russian Federation had unilaterally</w:t>
      </w:r>
      <w:r w:rsidRPr="008E5838">
        <w:t xml:space="preserve"> adopted national legislation that </w:t>
      </w:r>
      <w:r>
        <w:t>legitimized</w:t>
      </w:r>
      <w:r w:rsidRPr="008E5838">
        <w:t xml:space="preserve"> violations of the international agreement</w:t>
      </w:r>
      <w:r>
        <w:t>s</w:t>
      </w:r>
      <w:r w:rsidRPr="008E5838">
        <w:t xml:space="preserve"> in the field of </w:t>
      </w:r>
      <w:r w:rsidR="00AC7475">
        <w:t>IP</w:t>
      </w:r>
      <w:r>
        <w:t xml:space="preserve"> and grossly violated the rights of other Contracting Parties to those</w:t>
      </w:r>
      <w:r w:rsidRPr="008E5838">
        <w:t xml:space="preserve"> agreement</w:t>
      </w:r>
      <w:r>
        <w:t>s</w:t>
      </w:r>
      <w:r w:rsidRPr="008E5838">
        <w:t xml:space="preserve">. </w:t>
      </w:r>
      <w:r>
        <w:t xml:space="preserve"> </w:t>
      </w:r>
      <w:r w:rsidRPr="008E5838">
        <w:t xml:space="preserve">This only </w:t>
      </w:r>
      <w:r>
        <w:t>reconfirmed</w:t>
      </w:r>
      <w:r w:rsidRPr="008E5838">
        <w:t xml:space="preserve"> that </w:t>
      </w:r>
      <w:r w:rsidR="004B4CB0">
        <w:t xml:space="preserve">the </w:t>
      </w:r>
      <w:r w:rsidRPr="008E5838">
        <w:t>Russ</w:t>
      </w:r>
      <w:r>
        <w:t>ia</w:t>
      </w:r>
      <w:r w:rsidR="004B4CB0">
        <w:t>n Federation</w:t>
      </w:r>
      <w:r>
        <w:t>'s accession to the Geneva A</w:t>
      </w:r>
      <w:r w:rsidRPr="008E5838">
        <w:t xml:space="preserve">ct </w:t>
      </w:r>
      <w:r>
        <w:t xml:space="preserve">of the Lisbon Agreement </w:t>
      </w:r>
      <w:r w:rsidRPr="008E5838">
        <w:t>neither contribute</w:t>
      </w:r>
      <w:r>
        <w:t>d</w:t>
      </w:r>
      <w:r w:rsidRPr="008E5838">
        <w:t xml:space="preserve"> to </w:t>
      </w:r>
      <w:r>
        <w:t xml:space="preserve">the </w:t>
      </w:r>
      <w:r w:rsidRPr="008E5838">
        <w:t>strengthening</w:t>
      </w:r>
      <w:r>
        <w:t>, nor to the promotion of the Lisbon S</w:t>
      </w:r>
      <w:r w:rsidRPr="008E5838">
        <w:t xml:space="preserve">ystem but rather </w:t>
      </w:r>
      <w:r>
        <w:t xml:space="preserve">weakened the System and made it more fragile.  </w:t>
      </w:r>
      <w:r w:rsidR="006E1E02">
        <w:t>Finally,</w:t>
      </w:r>
      <w:r w:rsidR="004B4CB0">
        <w:t xml:space="preserve"> t</w:t>
      </w:r>
      <w:r>
        <w:t xml:space="preserve">he Delegation </w:t>
      </w:r>
      <w:r w:rsidR="004B4CB0">
        <w:t xml:space="preserve">said </w:t>
      </w:r>
      <w:r>
        <w:t>that those concerns</w:t>
      </w:r>
      <w:r w:rsidRPr="008E5838">
        <w:t xml:space="preserve"> should be addressed accordingly, being also mindful </w:t>
      </w:r>
      <w:r w:rsidR="004B4CB0">
        <w:t>of</w:t>
      </w:r>
      <w:r w:rsidR="004B4CB0" w:rsidRPr="008E5838">
        <w:t xml:space="preserve"> </w:t>
      </w:r>
      <w:r w:rsidRPr="008E5838">
        <w:t>the spectrum of solutions available under the Ge</w:t>
      </w:r>
      <w:r>
        <w:t>neva A</w:t>
      </w:r>
      <w:r w:rsidRPr="008E5838">
        <w:t>ct</w:t>
      </w:r>
      <w:r>
        <w:t xml:space="preserve"> of the Lisbon Agreement</w:t>
      </w:r>
      <w:r w:rsidRPr="008E5838">
        <w:t>.</w:t>
      </w:r>
    </w:p>
    <w:p w14:paraId="2A1FF2A8" w14:textId="3783FD7E" w:rsidR="0042100A" w:rsidRDefault="0042100A" w:rsidP="0042100A">
      <w:pPr>
        <w:pStyle w:val="ONUME"/>
      </w:pPr>
      <w:r w:rsidRPr="008E5838">
        <w:t xml:space="preserve">The </w:t>
      </w:r>
      <w:r>
        <w:t xml:space="preserve">Delegation of </w:t>
      </w:r>
      <w:r w:rsidRPr="008E5838">
        <w:t>San Marino align</w:t>
      </w:r>
      <w:r>
        <w:t>ed</w:t>
      </w:r>
      <w:r w:rsidRPr="008E5838">
        <w:t xml:space="preserve"> itself with the statement made by</w:t>
      </w:r>
      <w:r>
        <w:t xml:space="preserve"> the Delegation of</w:t>
      </w:r>
      <w:r w:rsidRPr="008E5838">
        <w:t xml:space="preserve"> Italy.</w:t>
      </w:r>
    </w:p>
    <w:p w14:paraId="26ACE482" w14:textId="554DE600" w:rsidR="0042100A" w:rsidRDefault="0042100A" w:rsidP="0042100A">
      <w:pPr>
        <w:pStyle w:val="ONUME"/>
      </w:pPr>
      <w:r>
        <w:t xml:space="preserve">The Delegation of the European Union, speaking on behalf of the European Union and its member states, </w:t>
      </w:r>
      <w:r w:rsidR="00C43FB0">
        <w:t>stated</w:t>
      </w:r>
      <w:r w:rsidR="004B4CB0">
        <w:t xml:space="preserve"> that it </w:t>
      </w:r>
      <w:r w:rsidRPr="008E5838">
        <w:t>remain</w:t>
      </w:r>
      <w:r>
        <w:t xml:space="preserve">ed convinced </w:t>
      </w:r>
      <w:r w:rsidR="004B4CB0">
        <w:t>of the possibility of</w:t>
      </w:r>
      <w:r w:rsidRPr="008E5838">
        <w:t xml:space="preserve"> find</w:t>
      </w:r>
      <w:r w:rsidR="004B4CB0">
        <w:t>ing</w:t>
      </w:r>
      <w:r w:rsidRPr="008E5838">
        <w:t xml:space="preserve"> a way to provide financial support to</w:t>
      </w:r>
      <w:r>
        <w:t xml:space="preserve"> the Lisbon U</w:t>
      </w:r>
      <w:r w:rsidRPr="008E5838">
        <w:t>nion in line with the principle of the capacity to pay, while securing full respect for the long-standing principles of financial solidar</w:t>
      </w:r>
      <w:r>
        <w:t>ity</w:t>
      </w:r>
      <w:r w:rsidR="004B4CB0">
        <w:t>,</w:t>
      </w:r>
      <w:r>
        <w:t xml:space="preserve"> between the different WIPO u</w:t>
      </w:r>
      <w:r w:rsidRPr="008E5838">
        <w:t xml:space="preserve">nions and equality </w:t>
      </w:r>
      <w:r>
        <w:t xml:space="preserve">of treatment for each area of </w:t>
      </w:r>
      <w:r w:rsidR="00AC7475">
        <w:t>IP</w:t>
      </w:r>
    </w:p>
    <w:p w14:paraId="51C72206" w14:textId="608F87DC" w:rsidR="0042100A" w:rsidRDefault="0042100A" w:rsidP="0042100A">
      <w:pPr>
        <w:pStyle w:val="ONUME"/>
      </w:pPr>
      <w:r>
        <w:t>The Delegation of France underlined the increasing</w:t>
      </w:r>
      <w:r w:rsidRPr="003B3B9C">
        <w:t xml:space="preserve"> interest of various countries </w:t>
      </w:r>
      <w:r>
        <w:t xml:space="preserve">in </w:t>
      </w:r>
      <w:r w:rsidRPr="003B3B9C">
        <w:t>the Geneva</w:t>
      </w:r>
      <w:r>
        <w:t xml:space="preserve"> Act of the Lisbon Agreement over the past two years.  In that context, the Delegation </w:t>
      </w:r>
      <w:r w:rsidR="004B4CB0">
        <w:t>was of the view</w:t>
      </w:r>
      <w:r>
        <w:t xml:space="preserve"> that</w:t>
      </w:r>
      <w:r w:rsidRPr="003B3B9C">
        <w:t xml:space="preserve"> </w:t>
      </w:r>
      <w:r>
        <w:t>the increase in the Lisbon budget proposed</w:t>
      </w:r>
      <w:r w:rsidRPr="003B3B9C">
        <w:t xml:space="preserve"> by the D</w:t>
      </w:r>
      <w:r>
        <w:t xml:space="preserve">irector </w:t>
      </w:r>
      <w:r w:rsidRPr="003B3B9C">
        <w:t>G</w:t>
      </w:r>
      <w:r>
        <w:t>eneral</w:t>
      </w:r>
      <w:r w:rsidRPr="003B3B9C">
        <w:t xml:space="preserve"> </w:t>
      </w:r>
      <w:r>
        <w:t xml:space="preserve">of </w:t>
      </w:r>
      <w:r w:rsidRPr="003B3B9C">
        <w:t xml:space="preserve">WIPO </w:t>
      </w:r>
      <w:r>
        <w:t>went in the right direction as it took due account of t</w:t>
      </w:r>
      <w:r w:rsidRPr="003B3B9C">
        <w:t xml:space="preserve">he </w:t>
      </w:r>
      <w:r>
        <w:t xml:space="preserve">increasing number </w:t>
      </w:r>
      <w:r w:rsidRPr="003B3B9C">
        <w:t xml:space="preserve">of </w:t>
      </w:r>
      <w:r>
        <w:t>trans</w:t>
      </w:r>
      <w:r w:rsidRPr="003B3B9C">
        <w:t>actions</w:t>
      </w:r>
      <w:r>
        <w:t xml:space="preserve"> generated by new accessions.  The Delegation </w:t>
      </w:r>
      <w:r w:rsidR="004B4CB0">
        <w:t>added</w:t>
      </w:r>
      <w:r>
        <w:t xml:space="preserve"> that the proposed </w:t>
      </w:r>
      <w:r w:rsidRPr="003B3B9C">
        <w:t xml:space="preserve">budget </w:t>
      </w:r>
      <w:r>
        <w:t>increase met</w:t>
      </w:r>
      <w:r w:rsidRPr="003B3B9C">
        <w:t xml:space="preserve"> the legitimate expectations of </w:t>
      </w:r>
      <w:r>
        <w:t>the Lisbon stakeholders, as it would</w:t>
      </w:r>
      <w:r w:rsidRPr="003B3B9C">
        <w:t xml:space="preserve"> </w:t>
      </w:r>
      <w:r>
        <w:t xml:space="preserve">ensure the efficient and smooth functioning of the Lisbon Registry.  </w:t>
      </w:r>
      <w:r w:rsidR="00A41C74">
        <w:t>T</w:t>
      </w:r>
      <w:r>
        <w:t>he proposed budget</w:t>
      </w:r>
      <w:r w:rsidRPr="003B3B9C">
        <w:t xml:space="preserve"> increase </w:t>
      </w:r>
      <w:r>
        <w:t xml:space="preserve">was not only reasonable but in the interest of budgetary transparency, essentially reflected the transfer under the Lisbon budget of a staff member already working for the Lisbon System but previously attached to a different budget line.  </w:t>
      </w:r>
      <w:r w:rsidR="00A41C74">
        <w:t>T</w:t>
      </w:r>
      <w:r>
        <w:t>he proposed budget increase constituted a negligible amount compared to</w:t>
      </w:r>
      <w:r w:rsidRPr="003B3B9C">
        <w:t xml:space="preserve"> the overa</w:t>
      </w:r>
      <w:r>
        <w:t>ll budget and financial results</w:t>
      </w:r>
      <w:r w:rsidRPr="003B3B9C">
        <w:t xml:space="preserve"> of WIPO. </w:t>
      </w:r>
      <w:r>
        <w:t xml:space="preserve"> Moreover, the Delegation was surprised by the remark concerning</w:t>
      </w:r>
      <w:r w:rsidRPr="00E044EA">
        <w:t xml:space="preserve"> generic names insofar as the Lisbon </w:t>
      </w:r>
      <w:r>
        <w:t>S</w:t>
      </w:r>
      <w:r w:rsidRPr="00E044EA">
        <w:t xml:space="preserve">ystem has a perfectly clear and perfectly defined </w:t>
      </w:r>
      <w:r w:rsidRPr="00FC6CC0">
        <w:t xml:space="preserve">subject matter of protection.  Generic names did not constitute </w:t>
      </w:r>
      <w:r w:rsidR="00270E8D">
        <w:t>i</w:t>
      </w:r>
      <w:r w:rsidRPr="00FC6CC0">
        <w:t xml:space="preserve">ntellectual </w:t>
      </w:r>
      <w:r w:rsidR="00270E8D">
        <w:t>p</w:t>
      </w:r>
      <w:r w:rsidRPr="00FC6CC0">
        <w:t xml:space="preserve">roperty </w:t>
      </w:r>
      <w:r w:rsidR="00270E8D">
        <w:t>r</w:t>
      </w:r>
      <w:r w:rsidRPr="00FC6CC0">
        <w:t>ights (IPRs), while geographical indications</w:t>
      </w:r>
      <w:r>
        <w:t xml:space="preserve"> were </w:t>
      </w:r>
      <w:r w:rsidRPr="00FC6CC0">
        <w:t>IPRs</w:t>
      </w:r>
      <w:r>
        <w:t xml:space="preserve"> and </w:t>
      </w:r>
      <w:r w:rsidRPr="00E044EA">
        <w:t>tool</w:t>
      </w:r>
      <w:r>
        <w:t>s</w:t>
      </w:r>
      <w:r w:rsidRPr="00E044EA">
        <w:t xml:space="preserve"> </w:t>
      </w:r>
      <w:r>
        <w:t xml:space="preserve">for </w:t>
      </w:r>
      <w:r w:rsidRPr="00E044EA">
        <w:t xml:space="preserve">development that </w:t>
      </w:r>
      <w:r>
        <w:t xml:space="preserve">were </w:t>
      </w:r>
      <w:r w:rsidRPr="00E044EA">
        <w:t>attracting grow</w:t>
      </w:r>
      <w:r>
        <w:t xml:space="preserve">ing support and interest among </w:t>
      </w:r>
      <w:r w:rsidRPr="00E044EA">
        <w:t>WIPO</w:t>
      </w:r>
      <w:r>
        <w:t xml:space="preserve"> </w:t>
      </w:r>
      <w:r w:rsidR="00A41C74">
        <w:t>m</w:t>
      </w:r>
      <w:r>
        <w:t xml:space="preserve">embers from all regions of the world.  </w:t>
      </w:r>
      <w:r w:rsidR="00A41C74">
        <w:t xml:space="preserve">In </w:t>
      </w:r>
      <w:r>
        <w:t xml:space="preserve">conclusion, the Delegation expressed support for the proposed increase of the Lisbon budget. </w:t>
      </w:r>
    </w:p>
    <w:p w14:paraId="5F710F01" w14:textId="287D6C1D" w:rsidR="0042100A" w:rsidRDefault="0042100A" w:rsidP="0042100A">
      <w:pPr>
        <w:pStyle w:val="ONUME"/>
      </w:pPr>
      <w:r>
        <w:t>The Delegation of Iran (Islamic Republic of) attached great importance to the protection of geographical indications outside its territory through the Lisbon System</w:t>
      </w:r>
      <w:r w:rsidR="00A41C74">
        <w:t xml:space="preserve"> and</w:t>
      </w:r>
      <w:r>
        <w:t xml:space="preserve"> informed the Assembly that Iran (Islamic Republic of) was</w:t>
      </w:r>
      <w:r w:rsidRPr="003B3B9C">
        <w:t xml:space="preserve"> in the p</w:t>
      </w:r>
      <w:r>
        <w:t>rocess of ratifying the Geneva</w:t>
      </w:r>
      <w:r w:rsidR="00A41C74">
        <w:t> </w:t>
      </w:r>
      <w:r>
        <w:t xml:space="preserve">Act of the Lisbon Agreement in Parliament.  </w:t>
      </w:r>
      <w:r w:rsidR="00A41C74">
        <w:t>R</w:t>
      </w:r>
      <w:r>
        <w:t xml:space="preserve">ecalling </w:t>
      </w:r>
      <w:r w:rsidRPr="003B3B9C">
        <w:t xml:space="preserve">that geographical indications and </w:t>
      </w:r>
      <w:r>
        <w:t xml:space="preserve">appellations </w:t>
      </w:r>
      <w:r w:rsidRPr="003B3B9C">
        <w:t>of origi</w:t>
      </w:r>
      <w:r>
        <w:t xml:space="preserve">n were </w:t>
      </w:r>
      <w:r w:rsidRPr="00FC6CC0">
        <w:t>IPRs</w:t>
      </w:r>
      <w:r>
        <w:t xml:space="preserve"> alongside </w:t>
      </w:r>
      <w:r w:rsidRPr="003B3B9C">
        <w:t xml:space="preserve">copyright, </w:t>
      </w:r>
      <w:r>
        <w:t xml:space="preserve">trademarks, patents and designs, the Delegation underscored </w:t>
      </w:r>
      <w:r w:rsidRPr="003B3B9C">
        <w:t>WIPO</w:t>
      </w:r>
      <w:r>
        <w:t>’s commitment</w:t>
      </w:r>
      <w:r w:rsidRPr="003B3B9C">
        <w:t xml:space="preserve"> to promoting the protection of all types of </w:t>
      </w:r>
      <w:r w:rsidRPr="00FC6CC0">
        <w:t>IPRs</w:t>
      </w:r>
      <w:r w:rsidRPr="003B3B9C">
        <w:t xml:space="preserve"> throughout the world in acc</w:t>
      </w:r>
      <w:r>
        <w:t>ordance with Articles 3 and 4 of the Convention establishing WIPO</w:t>
      </w:r>
      <w:r w:rsidRPr="003B3B9C">
        <w:t>.</w:t>
      </w:r>
      <w:r>
        <w:t xml:space="preserve"> </w:t>
      </w:r>
      <w:r w:rsidRPr="003B3B9C">
        <w:t xml:space="preserve"> On</w:t>
      </w:r>
      <w:r>
        <w:t xml:space="preserve"> the issue of the financial sustainability of the Lisbon Union, the D</w:t>
      </w:r>
      <w:r w:rsidRPr="003B3B9C">
        <w:t xml:space="preserve">elegation </w:t>
      </w:r>
      <w:r>
        <w:t>pointed out the political determination and willingness</w:t>
      </w:r>
      <w:r w:rsidRPr="003B3B9C">
        <w:t xml:space="preserve"> </w:t>
      </w:r>
      <w:r>
        <w:t>of the members of the Lisbon</w:t>
      </w:r>
      <w:r w:rsidR="00D12395">
        <w:t> </w:t>
      </w:r>
      <w:r>
        <w:t>Union to find</w:t>
      </w:r>
      <w:r w:rsidRPr="003B3B9C">
        <w:t xml:space="preserve"> </w:t>
      </w:r>
      <w:r>
        <w:t xml:space="preserve">a </w:t>
      </w:r>
      <w:r w:rsidRPr="003B3B9C">
        <w:t>long</w:t>
      </w:r>
      <w:r w:rsidR="007247F8">
        <w:noBreakHyphen/>
      </w:r>
      <w:r w:rsidRPr="003B3B9C">
        <w:t xml:space="preserve">standing </w:t>
      </w:r>
      <w:r>
        <w:t xml:space="preserve">financial </w:t>
      </w:r>
      <w:r w:rsidRPr="003B3B9C">
        <w:t>solution to the issue of the</w:t>
      </w:r>
      <w:r>
        <w:t xml:space="preserve"> financial sustainability of the</w:t>
      </w:r>
      <w:r w:rsidRPr="003B3B9C">
        <w:t xml:space="preserve"> Li</w:t>
      </w:r>
      <w:r>
        <w:t>sbon System.  The Delegation was convinced that a way</w:t>
      </w:r>
      <w:r w:rsidRPr="003B3B9C">
        <w:t xml:space="preserve"> could be found to</w:t>
      </w:r>
      <w:r>
        <w:t xml:space="preserve"> provide financial support to the Lisbon Union while securing full respect of</w:t>
      </w:r>
      <w:r w:rsidRPr="003B3B9C">
        <w:t xml:space="preserve"> the long-standing </w:t>
      </w:r>
      <w:r>
        <w:t xml:space="preserve">principle of solidarity and equality of treatment for all areas of </w:t>
      </w:r>
      <w:r w:rsidR="00AC7475">
        <w:t>IP</w:t>
      </w:r>
      <w:r w:rsidRPr="003B3B9C">
        <w:t xml:space="preserve">. </w:t>
      </w:r>
      <w:r>
        <w:t xml:space="preserve"> </w:t>
      </w:r>
      <w:r w:rsidRPr="003B3B9C">
        <w:t>As a tool for ensuring the long-standing fin</w:t>
      </w:r>
      <w:r>
        <w:t>ancial viability of the Lisbon Union, the Delegation</w:t>
      </w:r>
      <w:r w:rsidRPr="003B3B9C">
        <w:t xml:space="preserve"> reiterate</w:t>
      </w:r>
      <w:r>
        <w:t>d</w:t>
      </w:r>
      <w:r w:rsidRPr="003B3B9C">
        <w:t xml:space="preserve"> the need for a robust and focused </w:t>
      </w:r>
      <w:r>
        <w:t>promotion of the Lisbon S</w:t>
      </w:r>
      <w:r w:rsidRPr="003B3B9C">
        <w:t>ystem, includi</w:t>
      </w:r>
      <w:r>
        <w:t>ng the Geneva A</w:t>
      </w:r>
      <w:r w:rsidRPr="003B3B9C">
        <w:t>ct</w:t>
      </w:r>
      <w:r>
        <w:t xml:space="preserve"> of the Lisbon</w:t>
      </w:r>
      <w:r w:rsidR="00D12395">
        <w:t> </w:t>
      </w:r>
      <w:r>
        <w:t>Agreement, that</w:t>
      </w:r>
      <w:r w:rsidRPr="003B3B9C">
        <w:t xml:space="preserve"> would highligh</w:t>
      </w:r>
      <w:r>
        <w:t xml:space="preserve">t the </w:t>
      </w:r>
      <w:r>
        <w:lastRenderedPageBreak/>
        <w:t xml:space="preserve">development potential of geographical indications with a view to attracting new Contracting Parties.  </w:t>
      </w:r>
      <w:r w:rsidR="00D12395">
        <w:t>H</w:t>
      </w:r>
      <w:r>
        <w:t>ighlighting</w:t>
      </w:r>
      <w:r w:rsidRPr="003B3B9C">
        <w:t xml:space="preserve"> the im</w:t>
      </w:r>
      <w:r>
        <w:t>portance of putting all WIPO Global IP S</w:t>
      </w:r>
      <w:r w:rsidRPr="003B3B9C">
        <w:t xml:space="preserve">ystems on </w:t>
      </w:r>
      <w:r>
        <w:t xml:space="preserve">an </w:t>
      </w:r>
      <w:r w:rsidRPr="003B3B9C">
        <w:t>equal f</w:t>
      </w:r>
      <w:r>
        <w:t>ooting, the</w:t>
      </w:r>
      <w:r w:rsidR="00D12395">
        <w:t xml:space="preserve"> </w:t>
      </w:r>
      <w:r>
        <w:t xml:space="preserve">Delegation </w:t>
      </w:r>
      <w:r w:rsidR="00D12395">
        <w:t xml:space="preserve">stated that it </w:t>
      </w:r>
      <w:r>
        <w:t>remained committed to the principles</w:t>
      </w:r>
      <w:r w:rsidRPr="003B3B9C">
        <w:t xml:space="preserve"> </w:t>
      </w:r>
      <w:r>
        <w:t xml:space="preserve">of </w:t>
      </w:r>
      <w:r w:rsidRPr="003B3B9C">
        <w:t xml:space="preserve">solidarity, trust and </w:t>
      </w:r>
      <w:r>
        <w:t>equal treatment that had</w:t>
      </w:r>
      <w:r w:rsidRPr="003B3B9C">
        <w:t xml:space="preserve"> always been the </w:t>
      </w:r>
      <w:r>
        <w:t xml:space="preserve">basic </w:t>
      </w:r>
      <w:r w:rsidRPr="003B3B9C">
        <w:t xml:space="preserve">principles of </w:t>
      </w:r>
      <w:r>
        <w:t xml:space="preserve">functioning and </w:t>
      </w:r>
      <w:r w:rsidRPr="003B3B9C">
        <w:t>decision-making</w:t>
      </w:r>
      <w:r>
        <w:t xml:space="preserve"> at WIPO</w:t>
      </w:r>
      <w:r w:rsidRPr="003B3B9C">
        <w:t>.</w:t>
      </w:r>
    </w:p>
    <w:p w14:paraId="0F597681" w14:textId="7F4AD3AE" w:rsidR="0042100A" w:rsidRDefault="00D12395" w:rsidP="0042100A">
      <w:pPr>
        <w:pStyle w:val="ONUME"/>
      </w:pPr>
      <w:r>
        <w:t>A</w:t>
      </w:r>
      <w:r w:rsidR="0042100A">
        <w:t xml:space="preserve">ligning itself with </w:t>
      </w:r>
      <w:r w:rsidR="0042100A" w:rsidRPr="003B3B9C">
        <w:t>the statement</w:t>
      </w:r>
      <w:r w:rsidR="0042100A">
        <w:t>s</w:t>
      </w:r>
      <w:r w:rsidR="0042100A" w:rsidRPr="003B3B9C">
        <w:t xml:space="preserve"> made by the </w:t>
      </w:r>
      <w:r w:rsidR="0042100A">
        <w:t xml:space="preserve">Delegations of the </w:t>
      </w:r>
      <w:r w:rsidR="0042100A" w:rsidRPr="003B3B9C">
        <w:t>E</w:t>
      </w:r>
      <w:r w:rsidR="0042100A">
        <w:t xml:space="preserve">uropean </w:t>
      </w:r>
      <w:r w:rsidR="0042100A" w:rsidRPr="003B3B9C">
        <w:t>U</w:t>
      </w:r>
      <w:r w:rsidR="0042100A">
        <w:t xml:space="preserve">nion and France, the Delegation of Portugal invited all Lisbon members to </w:t>
      </w:r>
      <w:r w:rsidR="0042100A" w:rsidRPr="003B3B9C">
        <w:t xml:space="preserve">continue to work towards </w:t>
      </w:r>
      <w:r w:rsidR="0042100A">
        <w:t xml:space="preserve">ensuring </w:t>
      </w:r>
      <w:r w:rsidR="0042100A" w:rsidRPr="003B3B9C">
        <w:t xml:space="preserve">the </w:t>
      </w:r>
      <w:r w:rsidR="0042100A">
        <w:t xml:space="preserve">financial sustainability of the Lisbon System.  The Delegation reiterated its </w:t>
      </w:r>
      <w:r w:rsidR="0042100A" w:rsidRPr="003B3B9C">
        <w:t xml:space="preserve">support </w:t>
      </w:r>
      <w:r w:rsidR="0042100A">
        <w:t xml:space="preserve">for </w:t>
      </w:r>
      <w:r w:rsidR="0042100A" w:rsidRPr="003B3B9C">
        <w:t xml:space="preserve">the budget </w:t>
      </w:r>
      <w:r w:rsidR="0042100A">
        <w:t xml:space="preserve">proposed by the Secretariat to be able to </w:t>
      </w:r>
      <w:r w:rsidR="0042100A" w:rsidRPr="003B3B9C">
        <w:t xml:space="preserve">deal with the delays in </w:t>
      </w:r>
      <w:r w:rsidR="0042100A">
        <w:t xml:space="preserve">the procedures for the registration of appellations of origin and geographical indications. </w:t>
      </w:r>
      <w:r w:rsidR="0042100A" w:rsidRPr="003B3B9C">
        <w:t xml:space="preserve"> </w:t>
      </w:r>
    </w:p>
    <w:p w14:paraId="7623DDDF" w14:textId="63AC5CD5" w:rsidR="0042100A" w:rsidRDefault="0042100A" w:rsidP="0042100A">
      <w:pPr>
        <w:pStyle w:val="ONUME"/>
      </w:pPr>
      <w:r w:rsidRPr="000C2F41">
        <w:t>The Representative of the Intellectual</w:t>
      </w:r>
      <w:r>
        <w:t xml:space="preserve"> Property </w:t>
      </w:r>
      <w:r w:rsidRPr="000C2F41">
        <w:t xml:space="preserve">Latin American School </w:t>
      </w:r>
      <w:r>
        <w:t xml:space="preserve">(ELAPI) supported and welcomed the proposed amendments to the Common Regulations, as </w:t>
      </w:r>
      <w:r w:rsidR="00E83718">
        <w:t xml:space="preserve">it </w:t>
      </w:r>
      <w:r w:rsidR="00D12395">
        <w:t>w</w:t>
      </w:r>
      <w:r>
        <w:t>as of the view that the deletion of Rule 5(4) would simplify</w:t>
      </w:r>
      <w:r w:rsidRPr="003B3B9C">
        <w:t xml:space="preserve"> </w:t>
      </w:r>
      <w:r>
        <w:t>and streamline the procedures under the Lisbon</w:t>
      </w:r>
      <w:r w:rsidR="00D12395">
        <w:t> </w:t>
      </w:r>
      <w:r>
        <w:t>System, while</w:t>
      </w:r>
      <w:r w:rsidRPr="003B3B9C">
        <w:t xml:space="preserve"> </w:t>
      </w:r>
      <w:r>
        <w:t xml:space="preserve">the </w:t>
      </w:r>
      <w:r w:rsidRPr="003B3B9C">
        <w:t>proposed am</w:t>
      </w:r>
      <w:r>
        <w:t>endments to the Spanish version of the Common Regulations</w:t>
      </w:r>
      <w:r w:rsidRPr="003B3B9C">
        <w:t xml:space="preserve"> </w:t>
      </w:r>
      <w:r>
        <w:t xml:space="preserve">would bring greater clarity </w:t>
      </w:r>
      <w:r w:rsidRPr="003B3B9C">
        <w:t>and cohe</w:t>
      </w:r>
      <w:r>
        <w:t xml:space="preserve">rence.  </w:t>
      </w:r>
      <w:r w:rsidR="00E83718">
        <w:t xml:space="preserve">It </w:t>
      </w:r>
      <w:r w:rsidRPr="003B3B9C">
        <w:t>conclude</w:t>
      </w:r>
      <w:r>
        <w:t xml:space="preserve">d by saying that ELAPI would cooperate in the dissemination, </w:t>
      </w:r>
      <w:proofErr w:type="gramStart"/>
      <w:r>
        <w:t>promotion</w:t>
      </w:r>
      <w:proofErr w:type="gramEnd"/>
      <w:r>
        <w:t xml:space="preserve"> and study of the revised Common Regulations.</w:t>
      </w:r>
    </w:p>
    <w:p w14:paraId="590397E4" w14:textId="7FF31681" w:rsidR="0042100A" w:rsidRDefault="0042100A" w:rsidP="0042100A">
      <w:pPr>
        <w:pStyle w:val="ONUME"/>
      </w:pPr>
      <w:r>
        <w:t>The Representative of the Organization for an International Geographical Indications Network (</w:t>
      </w:r>
      <w:proofErr w:type="spellStart"/>
      <w:r>
        <w:t>OriGIn</w:t>
      </w:r>
      <w:proofErr w:type="spellEnd"/>
      <w:r>
        <w:t xml:space="preserve">) </w:t>
      </w:r>
      <w:r w:rsidRPr="003B3B9C">
        <w:t>sup</w:t>
      </w:r>
      <w:r>
        <w:t>ported the proposed amendments to the Common R</w:t>
      </w:r>
      <w:r w:rsidRPr="003B3B9C">
        <w:t>egulation</w:t>
      </w:r>
      <w:r>
        <w:t>s</w:t>
      </w:r>
      <w:r w:rsidRPr="003B3B9C">
        <w:t xml:space="preserve"> </w:t>
      </w:r>
      <w:r>
        <w:t>because they aimed at further simplifying a System, which had</w:t>
      </w:r>
      <w:r w:rsidRPr="003B3B9C">
        <w:t xml:space="preserve"> been attracting the inte</w:t>
      </w:r>
      <w:r>
        <w:t xml:space="preserve">rest of several countries.  </w:t>
      </w:r>
      <w:r w:rsidR="00E83718">
        <w:t xml:space="preserve">It </w:t>
      </w:r>
      <w:r>
        <w:t xml:space="preserve">also </w:t>
      </w:r>
      <w:r w:rsidRPr="003B3B9C">
        <w:t>welcome</w:t>
      </w:r>
      <w:r>
        <w:t xml:space="preserve">d new accessions such as the accession of OAPI, as that reaffirmed the point </w:t>
      </w:r>
      <w:proofErr w:type="spellStart"/>
      <w:r>
        <w:t>OriGIn</w:t>
      </w:r>
      <w:proofErr w:type="spellEnd"/>
      <w:r>
        <w:t xml:space="preserve"> had</w:t>
      </w:r>
      <w:r w:rsidRPr="003B3B9C">
        <w:t xml:space="preserve"> been making over the</w:t>
      </w:r>
      <w:r>
        <w:t xml:space="preserve"> years, namely that the Lisbon System was particularly beneficial</w:t>
      </w:r>
      <w:r w:rsidRPr="003B3B9C">
        <w:t xml:space="preserve"> </w:t>
      </w:r>
      <w:r>
        <w:t xml:space="preserve">to </w:t>
      </w:r>
      <w:r w:rsidRPr="003B3B9C">
        <w:t xml:space="preserve">small producers and </w:t>
      </w:r>
      <w:r>
        <w:t>small and medium-sized enterprises (</w:t>
      </w:r>
      <w:r w:rsidRPr="003B3B9C">
        <w:t>SMEs</w:t>
      </w:r>
      <w:r>
        <w:t>)</w:t>
      </w:r>
      <w:r w:rsidRPr="003B3B9C">
        <w:t>, especially in developing countries.</w:t>
      </w:r>
      <w:r>
        <w:t xml:space="preserve"> </w:t>
      </w:r>
      <w:r w:rsidRPr="003B3B9C">
        <w:t xml:space="preserve"> </w:t>
      </w:r>
      <w:r>
        <w:t xml:space="preserve">In that regard, </w:t>
      </w:r>
      <w:r w:rsidR="00E83718">
        <w:t xml:space="preserve">it </w:t>
      </w:r>
      <w:r>
        <w:t>referred to the clear connection that had</w:t>
      </w:r>
      <w:r w:rsidRPr="003B3B9C">
        <w:t xml:space="preserve"> been emphasized by the </w:t>
      </w:r>
      <w:r>
        <w:t xml:space="preserve">Food and Agriculture Organization </w:t>
      </w:r>
      <w:r w:rsidR="00DB6FE9">
        <w:t xml:space="preserve">(FAO) </w:t>
      </w:r>
      <w:r>
        <w:t>of the United Nations</w:t>
      </w:r>
      <w:r w:rsidRPr="003B3B9C">
        <w:t xml:space="preserve"> </w:t>
      </w:r>
      <w:r>
        <w:t>on several occasions, namely the</w:t>
      </w:r>
      <w:r w:rsidRPr="003B3B9C">
        <w:t xml:space="preserve"> </w:t>
      </w:r>
      <w:r>
        <w:t>increasingly recognized link</w:t>
      </w:r>
      <w:r w:rsidRPr="003B3B9C">
        <w:t xml:space="preserve"> between sustainable</w:t>
      </w:r>
      <w:r>
        <w:t xml:space="preserve"> development and geographical indications, as attested to by the increasing use of</w:t>
      </w:r>
      <w:r w:rsidRPr="003B3B9C">
        <w:t xml:space="preserve"> </w:t>
      </w:r>
      <w:r>
        <w:t xml:space="preserve">geographical indications as </w:t>
      </w:r>
      <w:r w:rsidRPr="003B3B9C">
        <w:t xml:space="preserve">part of a </w:t>
      </w:r>
      <w:r>
        <w:t xml:space="preserve">sustainable </w:t>
      </w:r>
      <w:r w:rsidRPr="003B3B9C">
        <w:t>strategy</w:t>
      </w:r>
      <w:r>
        <w:t xml:space="preserve"> in</w:t>
      </w:r>
      <w:r w:rsidRPr="003B3B9C">
        <w:t xml:space="preserve"> </w:t>
      </w:r>
      <w:r>
        <w:t>agriculture</w:t>
      </w:r>
      <w:r w:rsidRPr="003B3B9C">
        <w:t xml:space="preserve">. </w:t>
      </w:r>
      <w:r>
        <w:t xml:space="preserve"> </w:t>
      </w:r>
      <w:proofErr w:type="gramStart"/>
      <w:r>
        <w:t>In order to</w:t>
      </w:r>
      <w:proofErr w:type="gramEnd"/>
      <w:r>
        <w:t xml:space="preserve"> address the needs of </w:t>
      </w:r>
      <w:r w:rsidRPr="003B3B9C">
        <w:t>developing countries</w:t>
      </w:r>
      <w:r>
        <w:t xml:space="preserve">, </w:t>
      </w:r>
      <w:r w:rsidR="00DB6FE9">
        <w:t xml:space="preserve">the Representative </w:t>
      </w:r>
      <w:r>
        <w:t>expressed the wish</w:t>
      </w:r>
      <w:r w:rsidRPr="003B3B9C">
        <w:t xml:space="preserve"> that enough financial resources </w:t>
      </w:r>
      <w:r>
        <w:t>be allocated to the Lisbon System in order</w:t>
      </w:r>
      <w:r w:rsidRPr="003B3B9C">
        <w:t xml:space="preserve"> to en</w:t>
      </w:r>
      <w:r>
        <w:t xml:space="preserve">sure its smooth functioning. </w:t>
      </w:r>
      <w:r w:rsidRPr="003B3B9C">
        <w:t xml:space="preserve"> </w:t>
      </w:r>
      <w:r>
        <w:t xml:space="preserve">Lastly, </w:t>
      </w:r>
      <w:r w:rsidR="001B2D27">
        <w:t xml:space="preserve">it </w:t>
      </w:r>
      <w:r>
        <w:t xml:space="preserve">expressed great concern with respect to a </w:t>
      </w:r>
      <w:r w:rsidRPr="003B3B9C">
        <w:t xml:space="preserve">proposal circulating within WIPO aimed at raising the international profile of common </w:t>
      </w:r>
      <w:r>
        <w:t xml:space="preserve">food </w:t>
      </w:r>
      <w:r w:rsidRPr="003B3B9C">
        <w:t xml:space="preserve">names, beyond </w:t>
      </w:r>
      <w:r>
        <w:t>a mere exception to IPRs</w:t>
      </w:r>
      <w:r w:rsidRPr="003B3B9C">
        <w:t xml:space="preserve">. </w:t>
      </w:r>
      <w:r>
        <w:t xml:space="preserve"> </w:t>
      </w:r>
      <w:r w:rsidR="001B2D27">
        <w:t xml:space="preserve">It </w:t>
      </w:r>
      <w:r>
        <w:t>further indicated that t</w:t>
      </w:r>
      <w:r w:rsidRPr="003B3B9C">
        <w:t xml:space="preserve">he </w:t>
      </w:r>
      <w:r>
        <w:t xml:space="preserve">existing </w:t>
      </w:r>
      <w:r w:rsidRPr="003B3B9C">
        <w:t>system with international</w:t>
      </w:r>
      <w:r>
        <w:t>ly</w:t>
      </w:r>
      <w:r w:rsidRPr="003B3B9C">
        <w:t xml:space="preserve"> recognized property rights </w:t>
      </w:r>
      <w:r>
        <w:t xml:space="preserve">and the admission of </w:t>
      </w:r>
      <w:r w:rsidRPr="003B3B9C">
        <w:t>exception</w:t>
      </w:r>
      <w:r>
        <w:t>s to those rights,</w:t>
      </w:r>
      <w:r w:rsidRPr="003B3B9C">
        <w:t xml:space="preserve"> to be evaluated on a case-by-case</w:t>
      </w:r>
      <w:r>
        <w:t xml:space="preserve"> basis</w:t>
      </w:r>
      <w:r w:rsidRPr="003B3B9C">
        <w:t xml:space="preserve">, </w:t>
      </w:r>
      <w:r>
        <w:t>was fully capable of ensuring</w:t>
      </w:r>
      <w:r w:rsidRPr="003B3B9C">
        <w:t xml:space="preserve"> the rights of geo</w:t>
      </w:r>
      <w:r>
        <w:t>graphical indication owners, while also giving</w:t>
      </w:r>
      <w:r w:rsidRPr="003B3B9C">
        <w:t xml:space="preserve"> the possibility </w:t>
      </w:r>
      <w:r>
        <w:t>to parties claiming the genericity</w:t>
      </w:r>
      <w:r w:rsidRPr="003B3B9C">
        <w:t xml:space="preserve"> of a name to demonstrate it before national courts. </w:t>
      </w:r>
      <w:r>
        <w:t xml:space="preserve"> </w:t>
      </w:r>
      <w:r w:rsidR="00E83718">
        <w:t xml:space="preserve">The Representative, </w:t>
      </w:r>
      <w:r w:rsidR="00FD6131">
        <w:t>in conclusion,</w:t>
      </w:r>
      <w:r>
        <w:t xml:space="preserve"> </w:t>
      </w:r>
      <w:r w:rsidR="00FD6131">
        <w:t>said</w:t>
      </w:r>
      <w:r>
        <w:t xml:space="preserve"> that the proposal concerning common food names was</w:t>
      </w:r>
      <w:r w:rsidRPr="003B3B9C">
        <w:t xml:space="preserve"> extremely dan</w:t>
      </w:r>
      <w:r>
        <w:t xml:space="preserve">gerous for the international </w:t>
      </w:r>
      <w:r w:rsidR="00AC7475">
        <w:t xml:space="preserve">IP </w:t>
      </w:r>
      <w:r>
        <w:t>system and could</w:t>
      </w:r>
      <w:r w:rsidRPr="003B3B9C">
        <w:t xml:space="preserve"> potential</w:t>
      </w:r>
      <w:r>
        <w:t>ly</w:t>
      </w:r>
      <w:r w:rsidRPr="003B3B9C">
        <w:t xml:space="preserve"> undermine its basic principles and values across </w:t>
      </w:r>
      <w:r>
        <w:t>IPRs</w:t>
      </w:r>
      <w:r w:rsidRPr="003B3B9C">
        <w:t xml:space="preserve"> well beyond geographical indications.</w:t>
      </w:r>
    </w:p>
    <w:p w14:paraId="79E6E49C" w14:textId="2BB34A13" w:rsidR="0042100A" w:rsidRDefault="00FD6131" w:rsidP="0042100A">
      <w:pPr>
        <w:pStyle w:val="ONUME"/>
      </w:pPr>
      <w:r>
        <w:t>S</w:t>
      </w:r>
      <w:r w:rsidR="0042100A">
        <w:t xml:space="preserve">upporting </w:t>
      </w:r>
      <w:r w:rsidR="0042100A" w:rsidRPr="00345589">
        <w:t xml:space="preserve">the comments made by the </w:t>
      </w:r>
      <w:r w:rsidR="0042100A" w:rsidRPr="001328E5">
        <w:t xml:space="preserve">Delegation of </w:t>
      </w:r>
      <w:r w:rsidR="0042100A">
        <w:t xml:space="preserve">the </w:t>
      </w:r>
      <w:r w:rsidR="0042100A" w:rsidRPr="00345589">
        <w:t>United States</w:t>
      </w:r>
      <w:r w:rsidR="0042100A">
        <w:t xml:space="preserve"> of America, the Representative of the Consortium for Common Food Names (CCFN) </w:t>
      </w:r>
      <w:r w:rsidR="0042100A" w:rsidRPr="00345589">
        <w:t>strongly believe</w:t>
      </w:r>
      <w:r w:rsidR="0042100A">
        <w:t>d</w:t>
      </w:r>
      <w:r w:rsidR="0042100A" w:rsidRPr="00345589">
        <w:t xml:space="preserve"> that producers of common food names around the world should</w:t>
      </w:r>
      <w:r w:rsidR="0042100A">
        <w:t xml:space="preserve"> </w:t>
      </w:r>
      <w:r w:rsidR="0042100A" w:rsidRPr="00345589">
        <w:t xml:space="preserve">alert </w:t>
      </w:r>
      <w:r w:rsidR="0042100A">
        <w:t>WIPO</w:t>
      </w:r>
      <w:r w:rsidR="0042100A" w:rsidRPr="00345589">
        <w:t xml:space="preserve"> that </w:t>
      </w:r>
      <w:proofErr w:type="gramStart"/>
      <w:r w:rsidR="0042100A" w:rsidRPr="00345589">
        <w:t>the majority of</w:t>
      </w:r>
      <w:proofErr w:type="gramEnd"/>
      <w:r w:rsidR="0042100A" w:rsidRPr="00345589">
        <w:t xml:space="preserve"> producers, especially in the least developed cou</w:t>
      </w:r>
      <w:r w:rsidR="0042100A">
        <w:t xml:space="preserve">ntries (LDCs), were producers of common food </w:t>
      </w:r>
      <w:r w:rsidR="0042100A" w:rsidRPr="00345589">
        <w:t>names</w:t>
      </w:r>
      <w:r w:rsidR="0042100A">
        <w:t xml:space="preserve"> rather than geographical indications.  </w:t>
      </w:r>
      <w:r w:rsidR="00BF3A99">
        <w:t xml:space="preserve">The Representative </w:t>
      </w:r>
      <w:r>
        <w:t>added</w:t>
      </w:r>
      <w:r w:rsidR="0042100A">
        <w:t xml:space="preserve"> that it was therefore</w:t>
      </w:r>
      <w:r w:rsidR="0042100A" w:rsidRPr="00345589">
        <w:t xml:space="preserve"> extremely important that </w:t>
      </w:r>
      <w:r w:rsidR="0042100A">
        <w:t>WIPO made</w:t>
      </w:r>
      <w:r w:rsidR="0042100A" w:rsidRPr="00345589">
        <w:t xml:space="preserve"> sure that thos</w:t>
      </w:r>
      <w:r w:rsidR="0042100A">
        <w:t>e producers in LDCs also had</w:t>
      </w:r>
      <w:r w:rsidR="0042100A" w:rsidRPr="00345589">
        <w:t xml:space="preserve"> a voice. </w:t>
      </w:r>
      <w:r w:rsidR="0042100A">
        <w:t xml:space="preserve"> In response to the comment </w:t>
      </w:r>
      <w:r w:rsidR="0042100A" w:rsidRPr="00345589">
        <w:t>that gener</w:t>
      </w:r>
      <w:r w:rsidR="0042100A">
        <w:t>ic terms did not belong to</w:t>
      </w:r>
      <w:r w:rsidR="0042100A" w:rsidRPr="00345589">
        <w:t xml:space="preserve"> the </w:t>
      </w:r>
      <w:r w:rsidR="0042100A">
        <w:t xml:space="preserve">IPR world, </w:t>
      </w:r>
      <w:r w:rsidR="00BF3A99">
        <w:t xml:space="preserve">it </w:t>
      </w:r>
      <w:r w:rsidR="0042100A">
        <w:t xml:space="preserve">said that it was </w:t>
      </w:r>
      <w:r w:rsidR="0087089B">
        <w:t xml:space="preserve">precisely to the contrary – that </w:t>
      </w:r>
      <w:r w:rsidR="0042100A">
        <w:t xml:space="preserve">generic names were clearly part of </w:t>
      </w:r>
      <w:r w:rsidR="00AC7475">
        <w:t>IP</w:t>
      </w:r>
      <w:r w:rsidR="0042100A" w:rsidRPr="00345589">
        <w:t xml:space="preserve">. </w:t>
      </w:r>
      <w:r w:rsidR="0042100A">
        <w:t xml:space="preserve"> Lastly, </w:t>
      </w:r>
      <w:r w:rsidR="00BF3A99">
        <w:t xml:space="preserve">the Representative </w:t>
      </w:r>
      <w:r w:rsidR="0042100A">
        <w:t xml:space="preserve">thanked </w:t>
      </w:r>
      <w:r w:rsidR="0042100A" w:rsidRPr="00345589">
        <w:t>the United States</w:t>
      </w:r>
      <w:r w:rsidR="0042100A">
        <w:t xml:space="preserve"> of America and many countries in the new w</w:t>
      </w:r>
      <w:r w:rsidR="0042100A" w:rsidRPr="00345589">
        <w:t xml:space="preserve">orld that </w:t>
      </w:r>
      <w:r w:rsidR="0042100A">
        <w:t xml:space="preserve">supported </w:t>
      </w:r>
      <w:r w:rsidR="0042100A" w:rsidRPr="00345589">
        <w:t xml:space="preserve">common food </w:t>
      </w:r>
      <w:r w:rsidR="0042100A">
        <w:t>names and he</w:t>
      </w:r>
      <w:r w:rsidR="0042100A" w:rsidRPr="00345589">
        <w:t xml:space="preserve"> encourage</w:t>
      </w:r>
      <w:r w:rsidR="0042100A">
        <w:t>d</w:t>
      </w:r>
      <w:r w:rsidR="0042100A" w:rsidRPr="00345589">
        <w:t xml:space="preserve"> WIPO and </w:t>
      </w:r>
      <w:r w:rsidR="0042100A">
        <w:t xml:space="preserve">the </w:t>
      </w:r>
      <w:r w:rsidR="0042100A" w:rsidRPr="00345589">
        <w:t>Lisbon</w:t>
      </w:r>
      <w:r w:rsidR="0042100A">
        <w:t xml:space="preserve"> System</w:t>
      </w:r>
      <w:r w:rsidR="0042100A" w:rsidRPr="00345589">
        <w:t xml:space="preserve"> to p</w:t>
      </w:r>
      <w:r w:rsidR="0042100A">
        <w:t>rotect names like “Quechua”,</w:t>
      </w:r>
      <w:r w:rsidR="0042100A" w:rsidRPr="00345589">
        <w:t xml:space="preserve"> which </w:t>
      </w:r>
      <w:r w:rsidR="0042100A">
        <w:t xml:space="preserve">did </w:t>
      </w:r>
      <w:r w:rsidR="0042100A" w:rsidRPr="00345589">
        <w:t>not seem to be of interest compared to other less important names.</w:t>
      </w:r>
    </w:p>
    <w:p w14:paraId="29DD2C42" w14:textId="4A7F4B74" w:rsidR="0042100A" w:rsidRDefault="00FD6131" w:rsidP="0042100A">
      <w:pPr>
        <w:pStyle w:val="ONUME"/>
      </w:pPr>
      <w:r>
        <w:lastRenderedPageBreak/>
        <w:t>T</w:t>
      </w:r>
      <w:r w:rsidR="0042100A">
        <w:t xml:space="preserve">aking note of the statements made by delegations </w:t>
      </w:r>
      <w:proofErr w:type="gramStart"/>
      <w:r w:rsidR="0042100A">
        <w:t>with regard to</w:t>
      </w:r>
      <w:proofErr w:type="gramEnd"/>
      <w:r w:rsidR="0042100A">
        <w:t xml:space="preserve"> the Lisbon budget, the Chair recalled that budgetary matters would be further discussed within the Program and Budget Committee (PBC).</w:t>
      </w:r>
    </w:p>
    <w:p w14:paraId="6470C9C1" w14:textId="0029BA62" w:rsidR="007247F8" w:rsidRDefault="007247F8" w:rsidP="007247F8">
      <w:pPr>
        <w:pStyle w:val="ONUME"/>
        <w:ind w:left="540"/>
      </w:pPr>
      <w:r>
        <w:rPr>
          <w:szCs w:val="22"/>
        </w:rPr>
        <w:t>The Assembly of the Lisbon Union:</w:t>
      </w:r>
      <w:r w:rsidRPr="007247F8">
        <w:t xml:space="preserve"> </w:t>
      </w:r>
    </w:p>
    <w:p w14:paraId="0C127C05" w14:textId="530A45EE" w:rsidR="007247F8" w:rsidRDefault="00E946C4" w:rsidP="00E946C4">
      <w:pPr>
        <w:pStyle w:val="ONUME"/>
        <w:numPr>
          <w:ilvl w:val="0"/>
          <w:numId w:val="0"/>
        </w:numPr>
        <w:tabs>
          <w:tab w:val="left" w:pos="1710"/>
        </w:tabs>
        <w:ind w:left="1170"/>
        <w:rPr>
          <w:szCs w:val="22"/>
        </w:rPr>
      </w:pPr>
      <w:r>
        <w:rPr>
          <w:szCs w:val="22"/>
        </w:rPr>
        <w:t>(</w:t>
      </w:r>
      <w:proofErr w:type="spellStart"/>
      <w:r>
        <w:rPr>
          <w:szCs w:val="22"/>
        </w:rPr>
        <w:t>i</w:t>
      </w:r>
      <w:proofErr w:type="spellEnd"/>
      <w:r>
        <w:rPr>
          <w:szCs w:val="22"/>
        </w:rPr>
        <w:t>)</w:t>
      </w:r>
      <w:r w:rsidR="00041420">
        <w:rPr>
          <w:szCs w:val="22"/>
        </w:rPr>
        <w:tab/>
      </w:r>
      <w:r w:rsidR="007247F8">
        <w:rPr>
          <w:szCs w:val="22"/>
        </w:rPr>
        <w:t>adopted</w:t>
      </w:r>
      <w:r w:rsidR="007247F8" w:rsidRPr="00A9636F">
        <w:rPr>
          <w:szCs w:val="22"/>
        </w:rPr>
        <w:t xml:space="preserve"> the amendments to the Common Regulations under the Lisbon Agreement for the Protection of Appellations of Origin and their International Registration and the </w:t>
      </w:r>
      <w:r w:rsidR="007247F8">
        <w:rPr>
          <w:szCs w:val="22"/>
        </w:rPr>
        <w:t>Geneva Act of the Lisbon Agreement</w:t>
      </w:r>
      <w:r w:rsidR="007247F8" w:rsidRPr="00A9636F">
        <w:rPr>
          <w:szCs w:val="22"/>
        </w:rPr>
        <w:t xml:space="preserve"> on Appellations of Origin and Geographical Indications, as s</w:t>
      </w:r>
      <w:r w:rsidR="007247F8">
        <w:rPr>
          <w:szCs w:val="22"/>
        </w:rPr>
        <w:t>et out in the Annex to document LI/A/40</w:t>
      </w:r>
      <w:r w:rsidR="007247F8" w:rsidRPr="00A9636F">
        <w:rPr>
          <w:szCs w:val="22"/>
        </w:rPr>
        <w:t xml:space="preserve">/1, </w:t>
      </w:r>
      <w:r w:rsidR="007247F8">
        <w:rPr>
          <w:szCs w:val="22"/>
        </w:rPr>
        <w:t>and</w:t>
      </w:r>
    </w:p>
    <w:p w14:paraId="36CC92AF" w14:textId="77777777" w:rsidR="00CA2F28" w:rsidRDefault="00C606B8" w:rsidP="000C4A2B">
      <w:pPr>
        <w:pStyle w:val="ONUME"/>
        <w:numPr>
          <w:ilvl w:val="0"/>
          <w:numId w:val="0"/>
        </w:numPr>
        <w:tabs>
          <w:tab w:val="left" w:pos="1710"/>
        </w:tabs>
        <w:ind w:left="1170"/>
        <w:rPr>
          <w:szCs w:val="22"/>
        </w:rPr>
      </w:pPr>
      <w:r>
        <w:rPr>
          <w:szCs w:val="22"/>
        </w:rPr>
        <w:t>(ii)</w:t>
      </w:r>
      <w:r w:rsidR="00041420">
        <w:rPr>
          <w:szCs w:val="22"/>
        </w:rPr>
        <w:tab/>
      </w:r>
      <w:r w:rsidR="007247F8">
        <w:rPr>
          <w:szCs w:val="22"/>
        </w:rPr>
        <w:t xml:space="preserve">adopted the proposed corrections to the Spanish version of the Common Regulations, as set out in the Spanish version </w:t>
      </w:r>
      <w:r w:rsidR="00FD6131">
        <w:rPr>
          <w:szCs w:val="22"/>
        </w:rPr>
        <w:t xml:space="preserve">of </w:t>
      </w:r>
      <w:r w:rsidR="007247F8">
        <w:rPr>
          <w:szCs w:val="22"/>
        </w:rPr>
        <w:t>document LI/A/40/1,</w:t>
      </w:r>
    </w:p>
    <w:p w14:paraId="15860A9B" w14:textId="12185B43" w:rsidR="007247F8" w:rsidRDefault="007247F8" w:rsidP="000C4A2B">
      <w:pPr>
        <w:pStyle w:val="ONUME"/>
        <w:numPr>
          <w:ilvl w:val="0"/>
          <w:numId w:val="0"/>
        </w:numPr>
        <w:tabs>
          <w:tab w:val="left" w:pos="1710"/>
        </w:tabs>
        <w:ind w:left="1170"/>
        <w:rPr>
          <w:szCs w:val="22"/>
        </w:rPr>
      </w:pPr>
      <w:r>
        <w:rPr>
          <w:szCs w:val="22"/>
        </w:rPr>
        <w:t>with July 14, 2023, as their date of entry into force.</w:t>
      </w:r>
    </w:p>
    <w:p w14:paraId="5489F82D" w14:textId="4FCB663A" w:rsidR="007247F8" w:rsidRDefault="0042100A" w:rsidP="007247F8">
      <w:pPr>
        <w:pStyle w:val="ONUME"/>
      </w:pPr>
      <w:r w:rsidRPr="00A9636F">
        <w:t>For ease</w:t>
      </w:r>
      <w:r>
        <w:t xml:space="preserve"> of reference, </w:t>
      </w:r>
      <w:r w:rsidRPr="00E064F2">
        <w:t xml:space="preserve">the </w:t>
      </w:r>
      <w:r>
        <w:t xml:space="preserve">Annex to this </w:t>
      </w:r>
      <w:r w:rsidRPr="00A9636F">
        <w:t xml:space="preserve">report </w:t>
      </w:r>
      <w:r w:rsidRPr="00FA7DEF">
        <w:t xml:space="preserve">contains the amendments to the Common Regulations under the Lisbon Agreement and the </w:t>
      </w:r>
      <w:r>
        <w:t>Geneva Act of the Lisbon Agreement</w:t>
      </w:r>
      <w:r w:rsidRPr="00FA7DEF">
        <w:t xml:space="preserve">, as adopted by the decision set out in </w:t>
      </w:r>
      <w:r>
        <w:t>paragraph 2</w:t>
      </w:r>
      <w:r w:rsidR="00E325FD">
        <w:t>6</w:t>
      </w:r>
      <w:r w:rsidRPr="00E064F2">
        <w:t>(</w:t>
      </w:r>
      <w:proofErr w:type="spellStart"/>
      <w:r w:rsidRPr="00E064F2">
        <w:t>i</w:t>
      </w:r>
      <w:proofErr w:type="spellEnd"/>
      <w:r w:rsidRPr="00E064F2">
        <w:t>),</w:t>
      </w:r>
      <w:r>
        <w:t xml:space="preserve"> above</w:t>
      </w:r>
      <w:r w:rsidRPr="00512CAE">
        <w:t xml:space="preserve">.  The corrections to the Spanish version of the Common Regulations, as adopted by the </w:t>
      </w:r>
      <w:r>
        <w:t>decision set out in paragraph 2</w:t>
      </w:r>
      <w:r w:rsidR="00E325FD">
        <w:t>6</w:t>
      </w:r>
      <w:r w:rsidRPr="00512CAE">
        <w:t>(ii), above</w:t>
      </w:r>
      <w:r>
        <w:t>,</w:t>
      </w:r>
      <w:r w:rsidRPr="00512CAE">
        <w:t xml:space="preserve"> are only set out in Annex II of the Spanish version of the present report.</w:t>
      </w:r>
      <w:r w:rsidR="007247F8" w:rsidRPr="007247F8">
        <w:t xml:space="preserve"> </w:t>
      </w:r>
    </w:p>
    <w:p w14:paraId="1C9B7AFF" w14:textId="77777777" w:rsidR="0042100A" w:rsidRDefault="0042100A" w:rsidP="0042100A">
      <w:pPr>
        <w:pStyle w:val="ONUME"/>
        <w:numPr>
          <w:ilvl w:val="0"/>
          <w:numId w:val="0"/>
        </w:numPr>
      </w:pPr>
    </w:p>
    <w:p w14:paraId="69A34512" w14:textId="77777777" w:rsidR="007247F8" w:rsidRDefault="0042100A" w:rsidP="007247F8">
      <w:pPr>
        <w:pStyle w:val="ONUME"/>
        <w:numPr>
          <w:ilvl w:val="0"/>
          <w:numId w:val="0"/>
        </w:numPr>
        <w:ind w:left="5580"/>
        <w:sectPr w:rsidR="007247F8" w:rsidSect="00CB25AB">
          <w:headerReference w:type="first" r:id="rId16"/>
          <w:endnotePr>
            <w:numFmt w:val="decimal"/>
          </w:endnotePr>
          <w:pgSz w:w="11907" w:h="16840" w:code="9"/>
          <w:pgMar w:top="567" w:right="1134" w:bottom="1418" w:left="1418" w:header="510" w:footer="1021" w:gutter="0"/>
          <w:cols w:space="720"/>
          <w:titlePg/>
          <w:docGrid w:linePitch="299"/>
        </w:sectPr>
      </w:pPr>
      <w:r w:rsidRPr="005854F0">
        <w:t>[</w:t>
      </w:r>
      <w:r w:rsidRPr="006F2265">
        <w:t>Annex</w:t>
      </w:r>
      <w:r>
        <w:t xml:space="preserve"> follows]</w:t>
      </w:r>
    </w:p>
    <w:p w14:paraId="66B8D54A" w14:textId="682FE47F" w:rsidR="007247F8" w:rsidRPr="00387C43" w:rsidRDefault="007247F8" w:rsidP="007247F8">
      <w:pPr>
        <w:spacing w:before="240"/>
        <w:jc w:val="center"/>
        <w:rPr>
          <w:rFonts w:eastAsia="MS Mincho"/>
          <w:b/>
          <w:szCs w:val="22"/>
          <w:lang w:eastAsia="en-US"/>
        </w:rPr>
      </w:pPr>
      <w:r w:rsidRPr="00387C43">
        <w:rPr>
          <w:rFonts w:eastAsia="MS Mincho"/>
          <w:b/>
          <w:szCs w:val="22"/>
          <w:lang w:eastAsia="en-US"/>
        </w:rPr>
        <w:lastRenderedPageBreak/>
        <w:t>Common Regulations Under the Lisbon Agreement for the Protection of Appellations of Origin and Their International Registration and the Geneva Act of the Lisbon Agreement on Appellations of Origin and Geographical Indications</w:t>
      </w:r>
    </w:p>
    <w:p w14:paraId="5BDB52C5" w14:textId="77777777" w:rsidR="007247F8" w:rsidRPr="0069365A" w:rsidRDefault="007247F8" w:rsidP="007247F8">
      <w:pPr>
        <w:spacing w:before="240" w:after="240"/>
        <w:jc w:val="center"/>
        <w:rPr>
          <w:rFonts w:eastAsia="MS Mincho"/>
          <w:strike/>
          <w:szCs w:val="22"/>
          <w:lang w:eastAsia="en-US"/>
        </w:rPr>
      </w:pPr>
      <w:r w:rsidRPr="00387C43">
        <w:rPr>
          <w:rFonts w:eastAsia="MS Mincho"/>
          <w:szCs w:val="22"/>
          <w:lang w:eastAsia="en-US"/>
        </w:rPr>
        <w:t xml:space="preserve">as in force on </w:t>
      </w:r>
      <w:r w:rsidRPr="00387C43">
        <w:rPr>
          <w:color w:val="000000" w:themeColor="text1"/>
        </w:rPr>
        <w:t>July 14, 2023</w:t>
      </w:r>
    </w:p>
    <w:p w14:paraId="08033612" w14:textId="77777777" w:rsidR="007247F8" w:rsidRPr="00387C43" w:rsidRDefault="007247F8" w:rsidP="007247F8">
      <w:pPr>
        <w:spacing w:before="240"/>
        <w:rPr>
          <w:rFonts w:eastAsia="Times New Roman"/>
          <w:szCs w:val="22"/>
          <w:lang w:val="en-GB" w:eastAsia="ja-JP"/>
        </w:rPr>
      </w:pPr>
      <w:r w:rsidRPr="00387C43">
        <w:rPr>
          <w:rFonts w:eastAsia="Times New Roman"/>
          <w:szCs w:val="22"/>
          <w:lang w:val="en-GB" w:eastAsia="ja-JP"/>
        </w:rPr>
        <w:t>[…]</w:t>
      </w:r>
    </w:p>
    <w:p w14:paraId="7E3E1698" w14:textId="77777777" w:rsidR="007247F8" w:rsidRPr="00387C43" w:rsidRDefault="007247F8" w:rsidP="007247F8">
      <w:pPr>
        <w:keepNext/>
        <w:spacing w:after="480"/>
        <w:jc w:val="center"/>
        <w:rPr>
          <w:b/>
          <w:bCs/>
        </w:rPr>
      </w:pPr>
      <w:r w:rsidRPr="00387C43">
        <w:rPr>
          <w:b/>
        </w:rPr>
        <w:t>Chapter II</w:t>
      </w:r>
      <w:r w:rsidRPr="00387C43">
        <w:rPr>
          <w:b/>
        </w:rPr>
        <w:br/>
        <w:t>Application and International Registration</w:t>
      </w:r>
    </w:p>
    <w:p w14:paraId="2EF5BF0E" w14:textId="77777777" w:rsidR="007247F8" w:rsidRPr="00387C43" w:rsidRDefault="007247F8" w:rsidP="007247F8">
      <w:pPr>
        <w:spacing w:before="120" w:after="120"/>
        <w:jc w:val="center"/>
        <w:rPr>
          <w:b/>
          <w:bCs/>
          <w:color w:val="1A1A1A"/>
          <w:szCs w:val="22"/>
        </w:rPr>
      </w:pPr>
      <w:r w:rsidRPr="00387C43">
        <w:rPr>
          <w:b/>
          <w:bCs/>
          <w:color w:val="1A1A1A"/>
          <w:szCs w:val="22"/>
        </w:rPr>
        <w:t xml:space="preserve">Rule 5 </w:t>
      </w:r>
      <w:r w:rsidRPr="00387C43">
        <w:rPr>
          <w:b/>
          <w:bCs/>
          <w:color w:val="1A1A1A"/>
          <w:szCs w:val="22"/>
        </w:rPr>
        <w:br/>
      </w:r>
      <w:r w:rsidRPr="00387C43">
        <w:rPr>
          <w:bCs/>
          <w:color w:val="1A1A1A"/>
          <w:szCs w:val="22"/>
        </w:rPr>
        <w:t>Requirements Concerning the Application</w:t>
      </w:r>
    </w:p>
    <w:p w14:paraId="24AF3D0D" w14:textId="77777777" w:rsidR="007247F8" w:rsidRPr="00387C43" w:rsidRDefault="007247F8" w:rsidP="007247F8">
      <w:pPr>
        <w:spacing w:before="120" w:after="120"/>
      </w:pPr>
      <w:r w:rsidRPr="00387C43">
        <w:t>[…]</w:t>
      </w:r>
    </w:p>
    <w:p w14:paraId="71C5E1B4" w14:textId="77777777" w:rsidR="007247F8" w:rsidRPr="00DF5266" w:rsidRDefault="007247F8" w:rsidP="007247F8">
      <w:pPr>
        <w:autoSpaceDE w:val="0"/>
        <w:autoSpaceDN w:val="0"/>
        <w:adjustRightInd w:val="0"/>
      </w:pPr>
      <w:r>
        <w:rPr>
          <w:rFonts w:eastAsia="Batang"/>
          <w:lang w:eastAsia="ko-KR"/>
        </w:rPr>
        <w:t>4)</w:t>
      </w:r>
      <w:r>
        <w:rPr>
          <w:color w:val="C00000"/>
        </w:rPr>
        <w:tab/>
      </w:r>
      <w:r w:rsidRPr="00387C43">
        <w:rPr>
          <w:color w:val="000000" w:themeColor="text1"/>
        </w:rPr>
        <w:t>[Deleted]</w:t>
      </w:r>
    </w:p>
    <w:p w14:paraId="4F70A941" w14:textId="77777777" w:rsidR="007247F8" w:rsidRPr="00387C43" w:rsidRDefault="007247F8" w:rsidP="007247F8">
      <w:pPr>
        <w:spacing w:before="120" w:after="120"/>
        <w:rPr>
          <w:rFonts w:eastAsia="Times New Roman"/>
          <w:color w:val="1A1A1A"/>
          <w:szCs w:val="22"/>
          <w:lang w:eastAsia="en-US"/>
        </w:rPr>
      </w:pPr>
      <w:r w:rsidRPr="00387C43">
        <w:rPr>
          <w:rFonts w:eastAsia="Times New Roman"/>
          <w:color w:val="1A1A1A"/>
          <w:szCs w:val="22"/>
          <w:lang w:eastAsia="en-US"/>
        </w:rPr>
        <w:t>[…]</w:t>
      </w:r>
    </w:p>
    <w:p w14:paraId="301A0DFD" w14:textId="77777777" w:rsidR="007247F8" w:rsidRPr="00387C43" w:rsidRDefault="007247F8" w:rsidP="007247F8">
      <w:pPr>
        <w:keepNext/>
        <w:keepLines/>
        <w:jc w:val="center"/>
        <w:rPr>
          <w:b/>
        </w:rPr>
      </w:pPr>
      <w:r w:rsidRPr="00387C43">
        <w:rPr>
          <w:b/>
        </w:rPr>
        <w:t>Rule 6</w:t>
      </w:r>
    </w:p>
    <w:p w14:paraId="7297618C" w14:textId="77777777" w:rsidR="007247F8" w:rsidRPr="00387C43" w:rsidRDefault="007247F8" w:rsidP="007247F8">
      <w:pPr>
        <w:keepNext/>
        <w:keepLines/>
        <w:jc w:val="center"/>
      </w:pPr>
      <w:r w:rsidRPr="00387C43">
        <w:t>Irregular Applications</w:t>
      </w:r>
    </w:p>
    <w:p w14:paraId="3486325E" w14:textId="77777777" w:rsidR="007247F8" w:rsidRPr="00387C43" w:rsidRDefault="007247F8" w:rsidP="007247F8">
      <w:pPr>
        <w:spacing w:before="120" w:after="120"/>
      </w:pPr>
      <w:r w:rsidRPr="00387C43">
        <w:t>[…]</w:t>
      </w:r>
    </w:p>
    <w:p w14:paraId="1B471964" w14:textId="77777777" w:rsidR="007247F8" w:rsidRPr="00387C43" w:rsidRDefault="007247F8" w:rsidP="007247F8">
      <w:pPr>
        <w:spacing w:before="120" w:after="120"/>
        <w:rPr>
          <w:iCs/>
        </w:rPr>
      </w:pPr>
      <w:r w:rsidRPr="00387C43">
        <w:t>(1)</w:t>
      </w:r>
      <w:r w:rsidRPr="00387C43">
        <w:tab/>
      </w:r>
      <w:r w:rsidRPr="00387C43">
        <w:rPr>
          <w:i/>
          <w:iCs/>
        </w:rPr>
        <w:t>[Examination of the Application and Correction of Irregularities]</w:t>
      </w:r>
      <w:r w:rsidRPr="00387C43">
        <w:rPr>
          <w:iCs/>
        </w:rPr>
        <w:t xml:space="preserve">  </w:t>
      </w:r>
    </w:p>
    <w:p w14:paraId="11A5D19F" w14:textId="77777777" w:rsidR="007247F8" w:rsidRPr="00387C43" w:rsidRDefault="007247F8" w:rsidP="007247F8">
      <w:pPr>
        <w:spacing w:before="120" w:after="120"/>
      </w:pPr>
      <w:r w:rsidRPr="00387C43">
        <w:t>[…]</w:t>
      </w:r>
    </w:p>
    <w:p w14:paraId="21676E65" w14:textId="77777777" w:rsidR="007247F8" w:rsidRPr="00387C43" w:rsidRDefault="007247F8" w:rsidP="007247F8">
      <w:pPr>
        <w:tabs>
          <w:tab w:val="left" w:pos="1134"/>
        </w:tabs>
        <w:ind w:firstLine="567"/>
      </w:pPr>
      <w:r w:rsidRPr="00387C43">
        <w:t>(d)</w:t>
      </w:r>
      <w:r w:rsidRPr="00387C43">
        <w:tab/>
        <w:t>In the case of an irregularity with respect to a requirement based on a notification made under Rule 5(3), or on a declaration made under Article 7(4) of the Geneva Act, if the correction of the irregularity is not received by the International Bureau within the three</w:t>
      </w:r>
      <w:r w:rsidRPr="00387C43">
        <w:noBreakHyphen/>
        <w:t>month period referred to in subparagraph (a), the protection resulting from the international registration shall be considered to be renounced in the Contracting Party that has made the notification or the declaration.</w:t>
      </w:r>
    </w:p>
    <w:p w14:paraId="1802E3EC" w14:textId="77777777" w:rsidR="007247F8" w:rsidRDefault="007247F8" w:rsidP="007247F8">
      <w:pPr>
        <w:spacing w:before="120" w:after="120"/>
      </w:pPr>
      <w:r w:rsidRPr="00387C43">
        <w:t>[…]</w:t>
      </w:r>
    </w:p>
    <w:p w14:paraId="41EE964C" w14:textId="77777777" w:rsidR="007247F8" w:rsidRPr="00387C43" w:rsidRDefault="007247F8" w:rsidP="007247F8">
      <w:pPr>
        <w:spacing w:before="120"/>
        <w:jc w:val="center"/>
      </w:pPr>
      <w:r w:rsidRPr="00387C43">
        <w:rPr>
          <w:b/>
        </w:rPr>
        <w:t>Rule 7</w:t>
      </w:r>
    </w:p>
    <w:p w14:paraId="7908B8F9" w14:textId="77777777" w:rsidR="007247F8" w:rsidRPr="00387C43" w:rsidRDefault="007247F8" w:rsidP="007247F8">
      <w:pPr>
        <w:keepNext/>
        <w:jc w:val="center"/>
      </w:pPr>
      <w:r w:rsidRPr="00387C43">
        <w:t>Entry in the International Register</w:t>
      </w:r>
    </w:p>
    <w:p w14:paraId="5EAD20B7" w14:textId="77777777" w:rsidR="007247F8" w:rsidRPr="00387C43" w:rsidRDefault="007247F8" w:rsidP="007247F8">
      <w:pPr>
        <w:spacing w:before="120" w:after="120"/>
      </w:pPr>
      <w:r w:rsidRPr="00387C43">
        <w:t>[…]</w:t>
      </w:r>
    </w:p>
    <w:p w14:paraId="32CCFADA" w14:textId="77777777" w:rsidR="007247F8" w:rsidRPr="00387C43" w:rsidRDefault="007247F8" w:rsidP="007247F8">
      <w:pPr>
        <w:tabs>
          <w:tab w:val="left" w:pos="567"/>
        </w:tabs>
      </w:pPr>
      <w:r w:rsidRPr="00387C43">
        <w:t>(4)</w:t>
      </w:r>
      <w:r w:rsidRPr="00387C43">
        <w:tab/>
      </w:r>
      <w:r w:rsidRPr="00387C43">
        <w:rPr>
          <w:i/>
        </w:rPr>
        <w:t xml:space="preserve">[Implementation of Articles 29(4) and 31(1) of the Geneva </w:t>
      </w:r>
      <w:proofErr w:type="gramStart"/>
      <w:r w:rsidRPr="00387C43">
        <w:rPr>
          <w:i/>
        </w:rPr>
        <w:t>Act]</w:t>
      </w:r>
      <w:r w:rsidRPr="00387C43">
        <w:t xml:space="preserve">  (</w:t>
      </w:r>
      <w:proofErr w:type="gramEnd"/>
      <w:r w:rsidRPr="00387C43">
        <w:t xml:space="preserve">a)  In case of the ratification of, or accession to, the Geneva Act by a State that is party to the 1967 Act, Rule 5(2) </w:t>
      </w:r>
      <w:r w:rsidRPr="00387C43">
        <w:rPr>
          <w:color w:val="000000" w:themeColor="text1"/>
        </w:rPr>
        <w:t xml:space="preserve">and (3) </w:t>
      </w:r>
      <w:r w:rsidRPr="00387C43">
        <w:t xml:space="preserve">shall apply </w:t>
      </w:r>
      <w:r w:rsidRPr="00387C43">
        <w:rPr>
          <w:i/>
        </w:rPr>
        <w:t>mutatis mutandis</w:t>
      </w:r>
      <w:r w:rsidRPr="00387C43">
        <w:t xml:space="preserve"> with regard to international registrations or appellations of origin effective under the 1967 Act in respect of that State.  The International Bureau shall verify with the Competent Authority concerned any modifications to be made, in view of the requirements of Rules 3(1)</w:t>
      </w:r>
      <w:r>
        <w:t>,</w:t>
      </w:r>
      <w:r w:rsidRPr="00387C43">
        <w:rPr>
          <w:color w:val="C00000"/>
        </w:rPr>
        <w:t xml:space="preserve"> </w:t>
      </w:r>
      <w:r w:rsidRPr="00387C43">
        <w:t xml:space="preserve">5(2) </w:t>
      </w:r>
      <w:r w:rsidRPr="00387C43">
        <w:rPr>
          <w:color w:val="000000" w:themeColor="text1"/>
          <w:shd w:val="clear" w:color="auto" w:fill="FFFFFF" w:themeFill="background1"/>
        </w:rPr>
        <w:t>and (3)</w:t>
      </w:r>
      <w:r w:rsidRPr="00387C43">
        <w:rPr>
          <w:color w:val="000000" w:themeColor="text1"/>
        </w:rPr>
        <w:t xml:space="preserve"> </w:t>
      </w:r>
      <w:r w:rsidRPr="00387C43">
        <w:t>for the purpose of their registration under the Geneva Act and shall notify international registrations thus effected to all other Contracting Parties that are party to the Geneva Act.  Modifications relating to Rule 5(2) shall be subject to payment of the fee specified in Rule 8(1)(ii).</w:t>
      </w:r>
    </w:p>
    <w:p w14:paraId="7CC04606" w14:textId="77777777" w:rsidR="007247F8" w:rsidRPr="00387C43" w:rsidRDefault="007247F8" w:rsidP="007247F8">
      <w:pPr>
        <w:spacing w:before="120" w:after="120"/>
      </w:pPr>
      <w:r w:rsidRPr="00387C43">
        <w:t>[…]</w:t>
      </w:r>
    </w:p>
    <w:p w14:paraId="774B434C" w14:textId="77777777" w:rsidR="007247F8" w:rsidRPr="00387C43" w:rsidRDefault="007247F8" w:rsidP="007247F8">
      <w:pPr>
        <w:spacing w:before="720"/>
        <w:ind w:left="5533"/>
      </w:pPr>
      <w:r w:rsidRPr="00387C43">
        <w:t>[End of Annex</w:t>
      </w:r>
      <w:r>
        <w:t xml:space="preserve"> </w:t>
      </w:r>
      <w:r w:rsidRPr="00387C43">
        <w:t>and of document]</w:t>
      </w:r>
    </w:p>
    <w:sectPr w:rsidR="007247F8" w:rsidRPr="00387C43" w:rsidSect="00CB25AB">
      <w:headerReference w:type="first" r:id="rId1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DA52A" w14:textId="77777777" w:rsidR="008D5E96" w:rsidRDefault="008D5E96">
      <w:r>
        <w:separator/>
      </w:r>
    </w:p>
  </w:endnote>
  <w:endnote w:type="continuationSeparator" w:id="0">
    <w:p w14:paraId="497B76F5" w14:textId="77777777" w:rsidR="008D5E96" w:rsidRDefault="008D5E96" w:rsidP="003B38C1">
      <w:r>
        <w:separator/>
      </w:r>
    </w:p>
    <w:p w14:paraId="208F7763" w14:textId="77777777" w:rsidR="008D5E96" w:rsidRPr="003B38C1" w:rsidRDefault="008D5E96" w:rsidP="003B38C1">
      <w:pPr>
        <w:spacing w:after="60"/>
        <w:rPr>
          <w:sz w:val="17"/>
        </w:rPr>
      </w:pPr>
      <w:r>
        <w:rPr>
          <w:sz w:val="17"/>
        </w:rPr>
        <w:t>[Endnote continued from previous page]</w:t>
      </w:r>
    </w:p>
  </w:endnote>
  <w:endnote w:type="continuationNotice" w:id="1">
    <w:p w14:paraId="51CB3401" w14:textId="77777777" w:rsidR="008D5E96" w:rsidRPr="003B38C1" w:rsidRDefault="008D5E96"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21EF" w14:textId="77777777" w:rsidR="00D47CFD" w:rsidRDefault="00D47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A9D1" w14:textId="77777777" w:rsidR="00D47CFD" w:rsidRDefault="00D47C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67E1" w14:textId="77777777" w:rsidR="00D47CFD" w:rsidRDefault="00D47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E1ABD" w14:textId="77777777" w:rsidR="008D5E96" w:rsidRDefault="008D5E96">
      <w:r>
        <w:separator/>
      </w:r>
    </w:p>
  </w:footnote>
  <w:footnote w:type="continuationSeparator" w:id="0">
    <w:p w14:paraId="7CD894E5" w14:textId="77777777" w:rsidR="008D5E96" w:rsidRDefault="008D5E96" w:rsidP="008B60B2">
      <w:r>
        <w:separator/>
      </w:r>
    </w:p>
    <w:p w14:paraId="1BD517CB" w14:textId="77777777" w:rsidR="008D5E96" w:rsidRPr="00ED77FB" w:rsidRDefault="008D5E96" w:rsidP="008B60B2">
      <w:pPr>
        <w:spacing w:after="60"/>
        <w:rPr>
          <w:sz w:val="17"/>
          <w:szCs w:val="17"/>
        </w:rPr>
      </w:pPr>
      <w:r w:rsidRPr="00ED77FB">
        <w:rPr>
          <w:sz w:val="17"/>
          <w:szCs w:val="17"/>
        </w:rPr>
        <w:t>[Footnote continued from previous page]</w:t>
      </w:r>
    </w:p>
  </w:footnote>
  <w:footnote w:type="continuationNotice" w:id="1">
    <w:p w14:paraId="3919068C" w14:textId="77777777" w:rsidR="008D5E96" w:rsidRPr="00ED77FB" w:rsidRDefault="008D5E96"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9306" w14:textId="77777777" w:rsidR="00D47CFD" w:rsidRDefault="00D47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017F" w14:textId="59010369" w:rsidR="00EC4E49" w:rsidRDefault="00CB25AB" w:rsidP="00477D6B">
    <w:pPr>
      <w:jc w:val="right"/>
    </w:pPr>
    <w:bookmarkStart w:id="5" w:name="Code2"/>
    <w:bookmarkEnd w:id="5"/>
    <w:r>
      <w:t>LI/A/38/3</w:t>
    </w:r>
  </w:p>
  <w:p w14:paraId="630A5381" w14:textId="45200AFF" w:rsidR="00EC4E49" w:rsidRDefault="00EC4E49" w:rsidP="00477D6B">
    <w:pPr>
      <w:jc w:val="right"/>
    </w:pPr>
    <w:r>
      <w:t xml:space="preserve">page </w:t>
    </w:r>
    <w:r>
      <w:fldChar w:fldCharType="begin"/>
    </w:r>
    <w:r>
      <w:instrText xml:space="preserve"> PAGE  \* MERGEFORMAT </w:instrText>
    </w:r>
    <w:r>
      <w:fldChar w:fldCharType="separate"/>
    </w:r>
    <w:r w:rsidR="002048DC">
      <w:rPr>
        <w:noProof/>
      </w:rPr>
      <w:t>8</w:t>
    </w:r>
    <w:r>
      <w:fldChar w:fldCharType="end"/>
    </w:r>
  </w:p>
  <w:p w14:paraId="1E326B0F" w14:textId="77777777" w:rsidR="00EC4E49" w:rsidRDefault="00EC4E49" w:rsidP="00477D6B">
    <w:pPr>
      <w:jc w:val="right"/>
    </w:pPr>
  </w:p>
  <w:p w14:paraId="0F41E735"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E5A" w14:textId="77777777" w:rsidR="00AE03AF" w:rsidRDefault="00AE03AF" w:rsidP="00D32E36">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DBD0" w14:textId="5A51E073" w:rsidR="00367043" w:rsidRDefault="00367043" w:rsidP="00367043">
    <w:pPr>
      <w:pStyle w:val="Header"/>
      <w:jc w:val="right"/>
    </w:pPr>
    <w:r>
      <w:t>LI/A/40/</w:t>
    </w:r>
    <w:r w:rsidR="008C3478">
      <w:t>2</w:t>
    </w:r>
  </w:p>
  <w:p w14:paraId="1B630446" w14:textId="306A5FC8" w:rsidR="00D8096B" w:rsidRDefault="00D8096B" w:rsidP="00D8096B">
    <w:pPr>
      <w:jc w:val="right"/>
    </w:pPr>
    <w:r>
      <w:t xml:space="preserve">page </w:t>
    </w:r>
    <w:r>
      <w:fldChar w:fldCharType="begin"/>
    </w:r>
    <w:r>
      <w:instrText xml:space="preserve"> PAGE  \* MERGEFORMAT </w:instrText>
    </w:r>
    <w:r>
      <w:fldChar w:fldCharType="separate"/>
    </w:r>
    <w:r w:rsidR="002E2DDA">
      <w:rPr>
        <w:noProof/>
      </w:rPr>
      <w:t>2</w:t>
    </w:r>
    <w:r>
      <w:fldChar w:fldCharType="end"/>
    </w:r>
  </w:p>
  <w:p w14:paraId="63D83DB9" w14:textId="312119C6" w:rsidR="00367043" w:rsidRDefault="00367043" w:rsidP="00D8096B">
    <w:pPr>
      <w:pStyle w:val="Header"/>
      <w:jc w:val="right"/>
    </w:pPr>
  </w:p>
  <w:p w14:paraId="5DE69419" w14:textId="77777777" w:rsidR="00D8096B" w:rsidRDefault="00D8096B" w:rsidP="00D8096B">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D123" w14:textId="6ED2E898" w:rsidR="00D8096B" w:rsidRDefault="00D8096B" w:rsidP="00367043">
    <w:pPr>
      <w:pStyle w:val="Header"/>
      <w:jc w:val="right"/>
    </w:pPr>
    <w:r>
      <w:t xml:space="preserve">LI/A/40/2 </w:t>
    </w:r>
  </w:p>
  <w:p w14:paraId="35ED16A3" w14:textId="6F8D7192" w:rsidR="00D8096B" w:rsidRDefault="00D8096B" w:rsidP="00D8096B">
    <w:pPr>
      <w:jc w:val="right"/>
    </w:pPr>
    <w:r>
      <w:t>ANNEX</w:t>
    </w:r>
  </w:p>
  <w:p w14:paraId="638A4CD8" w14:textId="77777777" w:rsidR="00D8096B" w:rsidRDefault="00D8096B" w:rsidP="00D8096B">
    <w:pPr>
      <w:pStyle w:val="Header"/>
      <w:jc w:val="right"/>
    </w:pPr>
  </w:p>
  <w:p w14:paraId="4BB2EE4F" w14:textId="77777777" w:rsidR="00D8096B" w:rsidRDefault="00D8096B" w:rsidP="00D809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3C2E09"/>
    <w:multiLevelType w:val="hybridMultilevel"/>
    <w:tmpl w:val="9326B78E"/>
    <w:lvl w:ilvl="0" w:tplc="100C0001">
      <w:start w:val="1"/>
      <w:numFmt w:val="bullet"/>
      <w:lvlText w:val=""/>
      <w:lvlJc w:val="left"/>
      <w:pPr>
        <w:ind w:left="1095" w:hanging="360"/>
      </w:pPr>
      <w:rPr>
        <w:rFonts w:ascii="Symbol" w:hAnsi="Symbol" w:hint="default"/>
      </w:rPr>
    </w:lvl>
    <w:lvl w:ilvl="1" w:tplc="100C0003">
      <w:start w:val="1"/>
      <w:numFmt w:val="bullet"/>
      <w:lvlText w:val="o"/>
      <w:lvlJc w:val="left"/>
      <w:pPr>
        <w:ind w:left="1815" w:hanging="360"/>
      </w:pPr>
      <w:rPr>
        <w:rFonts w:ascii="Courier New" w:hAnsi="Courier New" w:cs="Courier New" w:hint="default"/>
      </w:rPr>
    </w:lvl>
    <w:lvl w:ilvl="2" w:tplc="100C0005" w:tentative="1">
      <w:start w:val="1"/>
      <w:numFmt w:val="bullet"/>
      <w:lvlText w:val=""/>
      <w:lvlJc w:val="left"/>
      <w:pPr>
        <w:ind w:left="2535" w:hanging="360"/>
      </w:pPr>
      <w:rPr>
        <w:rFonts w:ascii="Wingdings" w:hAnsi="Wingdings" w:hint="default"/>
      </w:rPr>
    </w:lvl>
    <w:lvl w:ilvl="3" w:tplc="100C0001" w:tentative="1">
      <w:start w:val="1"/>
      <w:numFmt w:val="bullet"/>
      <w:lvlText w:val=""/>
      <w:lvlJc w:val="left"/>
      <w:pPr>
        <w:ind w:left="3255" w:hanging="360"/>
      </w:pPr>
      <w:rPr>
        <w:rFonts w:ascii="Symbol" w:hAnsi="Symbol" w:hint="default"/>
      </w:rPr>
    </w:lvl>
    <w:lvl w:ilvl="4" w:tplc="100C0003" w:tentative="1">
      <w:start w:val="1"/>
      <w:numFmt w:val="bullet"/>
      <w:lvlText w:val="o"/>
      <w:lvlJc w:val="left"/>
      <w:pPr>
        <w:ind w:left="3975" w:hanging="360"/>
      </w:pPr>
      <w:rPr>
        <w:rFonts w:ascii="Courier New" w:hAnsi="Courier New" w:cs="Courier New" w:hint="default"/>
      </w:rPr>
    </w:lvl>
    <w:lvl w:ilvl="5" w:tplc="100C0005" w:tentative="1">
      <w:start w:val="1"/>
      <w:numFmt w:val="bullet"/>
      <w:lvlText w:val=""/>
      <w:lvlJc w:val="left"/>
      <w:pPr>
        <w:ind w:left="4695" w:hanging="360"/>
      </w:pPr>
      <w:rPr>
        <w:rFonts w:ascii="Wingdings" w:hAnsi="Wingdings" w:hint="default"/>
      </w:rPr>
    </w:lvl>
    <w:lvl w:ilvl="6" w:tplc="100C0001" w:tentative="1">
      <w:start w:val="1"/>
      <w:numFmt w:val="bullet"/>
      <w:lvlText w:val=""/>
      <w:lvlJc w:val="left"/>
      <w:pPr>
        <w:ind w:left="5415" w:hanging="360"/>
      </w:pPr>
      <w:rPr>
        <w:rFonts w:ascii="Symbol" w:hAnsi="Symbol" w:hint="default"/>
      </w:rPr>
    </w:lvl>
    <w:lvl w:ilvl="7" w:tplc="100C0003" w:tentative="1">
      <w:start w:val="1"/>
      <w:numFmt w:val="bullet"/>
      <w:lvlText w:val="o"/>
      <w:lvlJc w:val="left"/>
      <w:pPr>
        <w:ind w:left="6135" w:hanging="360"/>
      </w:pPr>
      <w:rPr>
        <w:rFonts w:ascii="Courier New" w:hAnsi="Courier New" w:cs="Courier New" w:hint="default"/>
      </w:rPr>
    </w:lvl>
    <w:lvl w:ilvl="8" w:tplc="100C0005" w:tentative="1">
      <w:start w:val="1"/>
      <w:numFmt w:val="bullet"/>
      <w:lvlText w:val=""/>
      <w:lvlJc w:val="left"/>
      <w:pPr>
        <w:ind w:left="6855"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34612F7"/>
    <w:multiLevelType w:val="hybridMultilevel"/>
    <w:tmpl w:val="5DF891B6"/>
    <w:lvl w:ilvl="0" w:tplc="C9FA388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11777074">
    <w:abstractNumId w:val="3"/>
  </w:num>
  <w:num w:numId="2" w16cid:durableId="80105811">
    <w:abstractNumId w:val="6"/>
  </w:num>
  <w:num w:numId="3" w16cid:durableId="1609391434">
    <w:abstractNumId w:val="0"/>
  </w:num>
  <w:num w:numId="4" w16cid:durableId="1466045310">
    <w:abstractNumId w:val="7"/>
  </w:num>
  <w:num w:numId="5" w16cid:durableId="1423381659">
    <w:abstractNumId w:val="2"/>
  </w:num>
  <w:num w:numId="6" w16cid:durableId="1111894760">
    <w:abstractNumId w:val="4"/>
  </w:num>
  <w:num w:numId="7" w16cid:durableId="18116262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410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5AB"/>
    <w:rsid w:val="0001647B"/>
    <w:rsid w:val="000250FE"/>
    <w:rsid w:val="00041420"/>
    <w:rsid w:val="00043CAA"/>
    <w:rsid w:val="00045D5A"/>
    <w:rsid w:val="00075432"/>
    <w:rsid w:val="000937FD"/>
    <w:rsid w:val="000968ED"/>
    <w:rsid w:val="000C4A2B"/>
    <w:rsid w:val="000F5E56"/>
    <w:rsid w:val="001024FE"/>
    <w:rsid w:val="001102BA"/>
    <w:rsid w:val="0011577E"/>
    <w:rsid w:val="001362EE"/>
    <w:rsid w:val="00142868"/>
    <w:rsid w:val="001832A6"/>
    <w:rsid w:val="00197711"/>
    <w:rsid w:val="001A407A"/>
    <w:rsid w:val="001A7B56"/>
    <w:rsid w:val="001B2D27"/>
    <w:rsid w:val="001C6808"/>
    <w:rsid w:val="001F672F"/>
    <w:rsid w:val="0020470E"/>
    <w:rsid w:val="002048DC"/>
    <w:rsid w:val="002121FA"/>
    <w:rsid w:val="00217B76"/>
    <w:rsid w:val="00224DA3"/>
    <w:rsid w:val="0023501A"/>
    <w:rsid w:val="002634C4"/>
    <w:rsid w:val="00264867"/>
    <w:rsid w:val="00270E8D"/>
    <w:rsid w:val="00275EC0"/>
    <w:rsid w:val="002928D3"/>
    <w:rsid w:val="002A58A8"/>
    <w:rsid w:val="002E00D0"/>
    <w:rsid w:val="002E2DDA"/>
    <w:rsid w:val="002F1FE6"/>
    <w:rsid w:val="002F4E68"/>
    <w:rsid w:val="00302787"/>
    <w:rsid w:val="003117FA"/>
    <w:rsid w:val="00312F7F"/>
    <w:rsid w:val="003228B7"/>
    <w:rsid w:val="003249F8"/>
    <w:rsid w:val="00335710"/>
    <w:rsid w:val="003508A3"/>
    <w:rsid w:val="00364AAB"/>
    <w:rsid w:val="00367043"/>
    <w:rsid w:val="003673CF"/>
    <w:rsid w:val="003845C1"/>
    <w:rsid w:val="003A695F"/>
    <w:rsid w:val="003A6F89"/>
    <w:rsid w:val="003B38C1"/>
    <w:rsid w:val="003D65B4"/>
    <w:rsid w:val="0042100A"/>
    <w:rsid w:val="00423E3E"/>
    <w:rsid w:val="00424AC3"/>
    <w:rsid w:val="00427AF4"/>
    <w:rsid w:val="0043709A"/>
    <w:rsid w:val="004400E2"/>
    <w:rsid w:val="00440961"/>
    <w:rsid w:val="00441234"/>
    <w:rsid w:val="004456A7"/>
    <w:rsid w:val="00461632"/>
    <w:rsid w:val="00462180"/>
    <w:rsid w:val="004647DA"/>
    <w:rsid w:val="00474062"/>
    <w:rsid w:val="00477D6B"/>
    <w:rsid w:val="004B4CB0"/>
    <w:rsid w:val="004D39C4"/>
    <w:rsid w:val="0053057A"/>
    <w:rsid w:val="00530891"/>
    <w:rsid w:val="005414AC"/>
    <w:rsid w:val="00560A29"/>
    <w:rsid w:val="00583A63"/>
    <w:rsid w:val="00591C4B"/>
    <w:rsid w:val="005922EA"/>
    <w:rsid w:val="00594D27"/>
    <w:rsid w:val="005A7C56"/>
    <w:rsid w:val="005D02F2"/>
    <w:rsid w:val="00601760"/>
    <w:rsid w:val="00605023"/>
    <w:rsid w:val="00605827"/>
    <w:rsid w:val="00612A04"/>
    <w:rsid w:val="00612F93"/>
    <w:rsid w:val="006168F9"/>
    <w:rsid w:val="00622141"/>
    <w:rsid w:val="0063070C"/>
    <w:rsid w:val="00646050"/>
    <w:rsid w:val="00647542"/>
    <w:rsid w:val="006713CA"/>
    <w:rsid w:val="00673C68"/>
    <w:rsid w:val="00676C5C"/>
    <w:rsid w:val="00695558"/>
    <w:rsid w:val="006A6A83"/>
    <w:rsid w:val="006B1149"/>
    <w:rsid w:val="006D2271"/>
    <w:rsid w:val="006D5E0F"/>
    <w:rsid w:val="006E1E02"/>
    <w:rsid w:val="007058FB"/>
    <w:rsid w:val="00706CDD"/>
    <w:rsid w:val="007247F8"/>
    <w:rsid w:val="007922D1"/>
    <w:rsid w:val="007947D7"/>
    <w:rsid w:val="007A0FDB"/>
    <w:rsid w:val="007B6A58"/>
    <w:rsid w:val="007C2B46"/>
    <w:rsid w:val="007D1613"/>
    <w:rsid w:val="007D1A7E"/>
    <w:rsid w:val="00807EA5"/>
    <w:rsid w:val="008402A3"/>
    <w:rsid w:val="0087089B"/>
    <w:rsid w:val="00873EE5"/>
    <w:rsid w:val="00895F62"/>
    <w:rsid w:val="008B2CC1"/>
    <w:rsid w:val="008B4B5E"/>
    <w:rsid w:val="008B60B2"/>
    <w:rsid w:val="008C1319"/>
    <w:rsid w:val="008C3478"/>
    <w:rsid w:val="008D5E96"/>
    <w:rsid w:val="008E3D65"/>
    <w:rsid w:val="008F279F"/>
    <w:rsid w:val="00902822"/>
    <w:rsid w:val="00902DB5"/>
    <w:rsid w:val="0090731E"/>
    <w:rsid w:val="00916EE2"/>
    <w:rsid w:val="009249CA"/>
    <w:rsid w:val="00924A77"/>
    <w:rsid w:val="00934C7D"/>
    <w:rsid w:val="00966A22"/>
    <w:rsid w:val="0096722F"/>
    <w:rsid w:val="00980843"/>
    <w:rsid w:val="00990D2D"/>
    <w:rsid w:val="009A5558"/>
    <w:rsid w:val="009B2983"/>
    <w:rsid w:val="009E2791"/>
    <w:rsid w:val="009E3F6F"/>
    <w:rsid w:val="009F3BF9"/>
    <w:rsid w:val="009F499F"/>
    <w:rsid w:val="00A03778"/>
    <w:rsid w:val="00A41C74"/>
    <w:rsid w:val="00A42DAF"/>
    <w:rsid w:val="00A45BD8"/>
    <w:rsid w:val="00A60310"/>
    <w:rsid w:val="00A76AB4"/>
    <w:rsid w:val="00A770E4"/>
    <w:rsid w:val="00A778BF"/>
    <w:rsid w:val="00A85B8E"/>
    <w:rsid w:val="00AC0E6C"/>
    <w:rsid w:val="00AC205C"/>
    <w:rsid w:val="00AC7475"/>
    <w:rsid w:val="00AD5026"/>
    <w:rsid w:val="00AE03AF"/>
    <w:rsid w:val="00AF5C73"/>
    <w:rsid w:val="00B05A69"/>
    <w:rsid w:val="00B23BF7"/>
    <w:rsid w:val="00B37A89"/>
    <w:rsid w:val="00B40598"/>
    <w:rsid w:val="00B50B99"/>
    <w:rsid w:val="00B62CD9"/>
    <w:rsid w:val="00B632EA"/>
    <w:rsid w:val="00B85494"/>
    <w:rsid w:val="00B912EB"/>
    <w:rsid w:val="00B91421"/>
    <w:rsid w:val="00B9734B"/>
    <w:rsid w:val="00BB6B1C"/>
    <w:rsid w:val="00BE69FC"/>
    <w:rsid w:val="00BF3A99"/>
    <w:rsid w:val="00C07B47"/>
    <w:rsid w:val="00C11BFE"/>
    <w:rsid w:val="00C309F4"/>
    <w:rsid w:val="00C43FB0"/>
    <w:rsid w:val="00C606B8"/>
    <w:rsid w:val="00C72CEE"/>
    <w:rsid w:val="00C86932"/>
    <w:rsid w:val="00C94629"/>
    <w:rsid w:val="00C9541C"/>
    <w:rsid w:val="00CA2F28"/>
    <w:rsid w:val="00CB25AB"/>
    <w:rsid w:val="00CC4780"/>
    <w:rsid w:val="00CD106E"/>
    <w:rsid w:val="00CE65D4"/>
    <w:rsid w:val="00D1220E"/>
    <w:rsid w:val="00D12395"/>
    <w:rsid w:val="00D32E36"/>
    <w:rsid w:val="00D34246"/>
    <w:rsid w:val="00D45252"/>
    <w:rsid w:val="00D47CFD"/>
    <w:rsid w:val="00D71B4D"/>
    <w:rsid w:val="00D8096B"/>
    <w:rsid w:val="00D93D55"/>
    <w:rsid w:val="00DA5C8A"/>
    <w:rsid w:val="00DA6954"/>
    <w:rsid w:val="00DB6FE9"/>
    <w:rsid w:val="00DC37C2"/>
    <w:rsid w:val="00E04E3B"/>
    <w:rsid w:val="00E14D37"/>
    <w:rsid w:val="00E161A2"/>
    <w:rsid w:val="00E325FD"/>
    <w:rsid w:val="00E335FE"/>
    <w:rsid w:val="00E5021F"/>
    <w:rsid w:val="00E671A6"/>
    <w:rsid w:val="00E83718"/>
    <w:rsid w:val="00E85870"/>
    <w:rsid w:val="00E946C4"/>
    <w:rsid w:val="00E95C05"/>
    <w:rsid w:val="00EC4E49"/>
    <w:rsid w:val="00ED77FB"/>
    <w:rsid w:val="00F01F3D"/>
    <w:rsid w:val="00F021A6"/>
    <w:rsid w:val="00F11D94"/>
    <w:rsid w:val="00F43A27"/>
    <w:rsid w:val="00F44579"/>
    <w:rsid w:val="00F53AF4"/>
    <w:rsid w:val="00F60393"/>
    <w:rsid w:val="00F66152"/>
    <w:rsid w:val="00F83975"/>
    <w:rsid w:val="00F91800"/>
    <w:rsid w:val="00F9526B"/>
    <w:rsid w:val="00FD3911"/>
    <w:rsid w:val="00FD6131"/>
    <w:rsid w:val="00FF07A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BBB29CA"/>
  <w15:docId w15:val="{B9790315-0F1D-4C11-BBCC-11429B71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8E3D65"/>
    <w:rPr>
      <w:rFonts w:ascii="Arial" w:eastAsia="SimSun" w:hAnsi="Arial" w:cs="Arial"/>
      <w:sz w:val="22"/>
      <w:lang w:val="en-US" w:eastAsia="zh-CN"/>
    </w:rPr>
  </w:style>
  <w:style w:type="character" w:customStyle="1" w:styleId="HeaderChar">
    <w:name w:val="Header Char"/>
    <w:basedOn w:val="DefaultParagraphFont"/>
    <w:link w:val="Header"/>
    <w:uiPriority w:val="99"/>
    <w:rsid w:val="00F44579"/>
    <w:rPr>
      <w:rFonts w:ascii="Arial" w:eastAsia="SimSun" w:hAnsi="Arial" w:cs="Arial"/>
      <w:sz w:val="22"/>
      <w:lang w:val="en-US" w:eastAsia="zh-CN"/>
    </w:rPr>
  </w:style>
  <w:style w:type="character" w:customStyle="1" w:styleId="FooterChar">
    <w:name w:val="Footer Char"/>
    <w:basedOn w:val="DefaultParagraphFont"/>
    <w:link w:val="Footer"/>
    <w:uiPriority w:val="99"/>
    <w:rsid w:val="00F44579"/>
    <w:rPr>
      <w:rFonts w:ascii="Arial" w:eastAsia="SimSun" w:hAnsi="Arial" w:cs="Arial"/>
      <w:sz w:val="22"/>
      <w:lang w:val="en-US" w:eastAsia="zh-CN"/>
    </w:rPr>
  </w:style>
  <w:style w:type="character" w:styleId="Hyperlink">
    <w:name w:val="Hyperlink"/>
    <w:basedOn w:val="DefaultParagraphFont"/>
    <w:unhideWhenUsed/>
    <w:rsid w:val="002E00D0"/>
    <w:rPr>
      <w:color w:val="0000FF" w:themeColor="hyperlink"/>
      <w:u w:val="single"/>
    </w:rPr>
  </w:style>
  <w:style w:type="character" w:styleId="FollowedHyperlink">
    <w:name w:val="FollowedHyperlink"/>
    <w:basedOn w:val="DefaultParagraphFont"/>
    <w:semiHidden/>
    <w:unhideWhenUsed/>
    <w:rsid w:val="009249CA"/>
    <w:rPr>
      <w:color w:val="800080" w:themeColor="followedHyperlink"/>
      <w:u w:val="single"/>
    </w:rPr>
  </w:style>
  <w:style w:type="character" w:styleId="CommentReference">
    <w:name w:val="annotation reference"/>
    <w:basedOn w:val="DefaultParagraphFont"/>
    <w:uiPriority w:val="99"/>
    <w:semiHidden/>
    <w:unhideWhenUsed/>
    <w:rsid w:val="007D1A7E"/>
    <w:rPr>
      <w:sz w:val="16"/>
      <w:szCs w:val="16"/>
    </w:rPr>
  </w:style>
  <w:style w:type="paragraph" w:styleId="CommentSubject">
    <w:name w:val="annotation subject"/>
    <w:basedOn w:val="CommentText"/>
    <w:next w:val="CommentText"/>
    <w:link w:val="CommentSubjectChar"/>
    <w:uiPriority w:val="99"/>
    <w:semiHidden/>
    <w:unhideWhenUsed/>
    <w:rsid w:val="007D1A7E"/>
    <w:rPr>
      <w:b/>
      <w:bCs/>
      <w:sz w:val="20"/>
    </w:rPr>
  </w:style>
  <w:style w:type="character" w:customStyle="1" w:styleId="CommentTextChar">
    <w:name w:val="Comment Text Char"/>
    <w:basedOn w:val="DefaultParagraphFont"/>
    <w:link w:val="CommentText"/>
    <w:uiPriority w:val="99"/>
    <w:semiHidden/>
    <w:rsid w:val="007D1A7E"/>
    <w:rPr>
      <w:rFonts w:ascii="Arial" w:eastAsia="SimSun" w:hAnsi="Arial" w:cs="Arial"/>
      <w:sz w:val="18"/>
      <w:lang w:val="en-US" w:eastAsia="zh-CN"/>
    </w:rPr>
  </w:style>
  <w:style w:type="character" w:customStyle="1" w:styleId="CommentSubjectChar">
    <w:name w:val="Comment Subject Char"/>
    <w:basedOn w:val="CommentTextChar"/>
    <w:link w:val="CommentSubject"/>
    <w:uiPriority w:val="99"/>
    <w:semiHidden/>
    <w:rsid w:val="007D1A7E"/>
    <w:rPr>
      <w:rFonts w:ascii="Arial" w:eastAsia="SimSun" w:hAnsi="Arial" w:cs="Arial"/>
      <w:b/>
      <w:bCs/>
      <w:sz w:val="18"/>
      <w:lang w:val="en-US" w:eastAsia="zh-CN"/>
    </w:rPr>
  </w:style>
  <w:style w:type="paragraph" w:styleId="Revision">
    <w:name w:val="Revision"/>
    <w:hidden/>
    <w:uiPriority w:val="99"/>
    <w:semiHidden/>
    <w:rsid w:val="007D1A7E"/>
    <w:rPr>
      <w:rFonts w:ascii="Arial" w:eastAsia="SimSun" w:hAnsi="Arial" w:cs="Arial"/>
      <w:sz w:val="22"/>
      <w:lang w:val="en-US" w:eastAsia="zh-CN"/>
    </w:rPr>
  </w:style>
  <w:style w:type="paragraph" w:styleId="BalloonText">
    <w:name w:val="Balloon Text"/>
    <w:basedOn w:val="Normal"/>
    <w:link w:val="BalloonTextChar"/>
    <w:uiPriority w:val="99"/>
    <w:semiHidden/>
    <w:unhideWhenUsed/>
    <w:rsid w:val="007D1A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7E"/>
    <w:rPr>
      <w:rFonts w:ascii="Segoe UI" w:eastAsia="SimSun" w:hAnsi="Segoe UI" w:cs="Segoe UI"/>
      <w:sz w:val="18"/>
      <w:szCs w:val="18"/>
      <w:lang w:val="en-US" w:eastAsia="zh-CN"/>
    </w:rPr>
  </w:style>
  <w:style w:type="character" w:customStyle="1" w:styleId="Heading3Char">
    <w:name w:val="Heading 3 Char"/>
    <w:basedOn w:val="DefaultParagraphFont"/>
    <w:link w:val="Heading3"/>
    <w:rsid w:val="0042100A"/>
    <w:rPr>
      <w:rFonts w:ascii="Arial" w:eastAsia="SimSun" w:hAnsi="Arial" w:cs="Arial"/>
      <w:bCs/>
      <w:sz w:val="22"/>
      <w:szCs w:val="26"/>
      <w:u w:val="single"/>
      <w:lang w:val="en-US" w:eastAsia="zh-CN"/>
    </w:rPr>
  </w:style>
  <w:style w:type="character" w:customStyle="1" w:styleId="BodyTextChar">
    <w:name w:val="Body Text Char"/>
    <w:basedOn w:val="DefaultParagraphFont"/>
    <w:link w:val="BodyText"/>
    <w:uiPriority w:val="99"/>
    <w:rsid w:val="0042100A"/>
    <w:rPr>
      <w:rFonts w:ascii="Arial" w:eastAsia="SimSun" w:hAnsi="Arial" w:cs="Arial"/>
      <w:sz w:val="22"/>
      <w:lang w:val="en-US" w:eastAsia="zh-CN"/>
    </w:rPr>
  </w:style>
  <w:style w:type="character" w:customStyle="1" w:styleId="FootnoteTextChar">
    <w:name w:val="Footnote Text Char"/>
    <w:basedOn w:val="DefaultParagraphFont"/>
    <w:link w:val="FootnoteText"/>
    <w:rsid w:val="0042100A"/>
    <w:rPr>
      <w:rFonts w:ascii="Arial" w:eastAsia="SimSun" w:hAnsi="Arial" w:cs="Arial"/>
      <w:sz w:val="18"/>
      <w:lang w:val="en-US" w:eastAsia="zh-CN"/>
    </w:rPr>
  </w:style>
  <w:style w:type="character" w:styleId="FootnoteReference">
    <w:name w:val="footnote reference"/>
    <w:basedOn w:val="DefaultParagraphFont"/>
    <w:uiPriority w:val="99"/>
    <w:rsid w:val="0042100A"/>
    <w:rPr>
      <w:vertAlign w:val="superscript"/>
    </w:rPr>
  </w:style>
  <w:style w:type="character" w:styleId="UnresolvedMention">
    <w:name w:val="Unresolved Mention"/>
    <w:basedOn w:val="DefaultParagraphFont"/>
    <w:uiPriority w:val="99"/>
    <w:semiHidden/>
    <w:unhideWhenUsed/>
    <w:rsid w:val="00A77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ipo.int/meetings/en/doc_details.jsp?doc_id=604686"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552F1-0467-41B4-A46C-E4B6F379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4752</Words>
  <Characters>26109</Characters>
  <Application>Microsoft Office Word</Application>
  <DocSecurity>0</DocSecurity>
  <Lines>1864</Lines>
  <Paragraphs>1186</Paragraphs>
  <ScaleCrop>false</ScaleCrop>
  <HeadingPairs>
    <vt:vector size="2" baseType="variant">
      <vt:variant>
        <vt:lpstr>Title</vt:lpstr>
      </vt:variant>
      <vt:variant>
        <vt:i4>1</vt:i4>
      </vt:variant>
    </vt:vector>
  </HeadingPairs>
  <TitlesOfParts>
    <vt:vector size="1" baseType="lpstr">
      <vt:lpstr>LI/A/40/2</vt:lpstr>
    </vt:vector>
  </TitlesOfParts>
  <Company>WIPO</Company>
  <LinksUpToDate>false</LinksUpToDate>
  <CharactersWithSpaces>29675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LI/A/40/2</dc:title>
  <dc:subject>Draft Report</dc:subject>
  <dc:creator>WIPO</dc:creator>
  <cp:keywords>PUBLIC</cp:keywords>
  <cp:lastModifiedBy>HÄFLIGER Patience</cp:lastModifiedBy>
  <cp:revision>4</cp:revision>
  <cp:lastPrinted>2021-10-20T13:27:00Z</cp:lastPrinted>
  <dcterms:created xsi:type="dcterms:W3CDTF">2023-09-22T15:31:00Z</dcterms:created>
  <dcterms:modified xsi:type="dcterms:W3CDTF">2023-09-22T16:21:00Z</dcterms:modified>
  <cp:category>Lisbon Union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9b0df8d4-5147-4fd3-9ecb-50cde061ce5a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2023-08-11T17:32:24Z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7f201033-0d83-401b-8a6a-df71df4e6f41</vt:lpwstr>
  </property>
  <property fmtid="{D5CDD505-2E9C-101B-9397-08002B2CF9AE}" pid="13" name="MSIP_Label_20773ee6-353b-4fb9-a59d-0b94c8c67bea_ContentBits">
    <vt:lpwstr>0</vt:lpwstr>
  </property>
</Properties>
</file>