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8B2CC1" w:rsidRDefault="00873EE5" w:rsidP="009B020C">
      <w:pPr>
        <w:spacing w:after="120"/>
        <w:jc w:val="right"/>
      </w:pPr>
      <w:bookmarkStart w:id="0" w:name="_GoBack"/>
      <w:bookmarkEnd w:id="0"/>
      <w:r>
        <w:rPr>
          <w:noProof/>
          <w:sz w:val="28"/>
          <w:szCs w:val="28"/>
          <w:lang w:eastAsia="en-US"/>
        </w:rPr>
        <w:drawing>
          <wp:inline distT="0" distB="0" distL="0" distR="0" wp14:anchorId="74135393" wp14:editId="247A2936">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4EBCD384" wp14:editId="3D0B474B">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CA6D1D0"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8B2CC1" w:rsidRPr="001024FE" w:rsidRDefault="005F5C9C" w:rsidP="009B020C">
      <w:pPr>
        <w:jc w:val="right"/>
        <w:rPr>
          <w:rFonts w:ascii="Arial Black" w:hAnsi="Arial Black"/>
          <w:caps/>
          <w:sz w:val="15"/>
          <w:szCs w:val="15"/>
        </w:rPr>
      </w:pPr>
      <w:r>
        <w:rPr>
          <w:rFonts w:ascii="Arial Black" w:hAnsi="Arial Black"/>
          <w:caps/>
          <w:sz w:val="15"/>
        </w:rPr>
        <w:t>LI/A/39</w:t>
      </w:r>
      <w:r w:rsidRPr="00865814">
        <w:rPr>
          <w:rFonts w:ascii="Arial Black" w:hAnsi="Arial Black"/>
          <w:caps/>
          <w:sz w:val="15"/>
        </w:rPr>
        <w:t>/</w:t>
      </w:r>
      <w:bookmarkStart w:id="1" w:name="Code"/>
      <w:r w:rsidR="00ED0796" w:rsidRPr="00865814">
        <w:rPr>
          <w:rFonts w:ascii="Arial Black" w:hAnsi="Arial Black"/>
          <w:caps/>
          <w:sz w:val="15"/>
          <w:szCs w:val="15"/>
        </w:rPr>
        <w:t>2</w:t>
      </w:r>
    </w:p>
    <w:bookmarkEnd w:id="1"/>
    <w:p w:rsidR="00CE65D4" w:rsidRPr="00CE65D4" w:rsidRDefault="00CE65D4" w:rsidP="009B020C">
      <w:pPr>
        <w:jc w:val="right"/>
        <w:rPr>
          <w:rFonts w:ascii="Arial Black" w:hAnsi="Arial Black"/>
          <w:caps/>
          <w:sz w:val="15"/>
          <w:szCs w:val="15"/>
        </w:rPr>
      </w:pPr>
      <w:r w:rsidRPr="00CE65D4">
        <w:rPr>
          <w:rFonts w:ascii="Arial Black" w:hAnsi="Arial Black"/>
          <w:caps/>
          <w:sz w:val="15"/>
          <w:szCs w:val="15"/>
        </w:rPr>
        <w:t xml:space="preserve">ORIGINAL: </w:t>
      </w:r>
      <w:bookmarkStart w:id="2" w:name="Original"/>
      <w:r w:rsidR="00ED0796">
        <w:rPr>
          <w:rFonts w:ascii="Arial Black" w:hAnsi="Arial Black"/>
          <w:caps/>
          <w:sz w:val="15"/>
          <w:szCs w:val="15"/>
        </w:rPr>
        <w:t>English</w:t>
      </w:r>
    </w:p>
    <w:bookmarkEnd w:id="2"/>
    <w:p w:rsidR="008B2CC1" w:rsidRPr="00CE65D4" w:rsidRDefault="00CE65D4" w:rsidP="009B020C">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3" w:name="Date"/>
      <w:r w:rsidR="00794469">
        <w:rPr>
          <w:rFonts w:ascii="Arial Black" w:hAnsi="Arial Black"/>
          <w:caps/>
          <w:sz w:val="15"/>
          <w:szCs w:val="15"/>
        </w:rPr>
        <w:t>SEPTEMBER 30</w:t>
      </w:r>
      <w:r w:rsidR="00ED0796">
        <w:rPr>
          <w:rFonts w:ascii="Arial Black" w:hAnsi="Arial Black"/>
          <w:caps/>
          <w:sz w:val="15"/>
          <w:szCs w:val="15"/>
        </w:rPr>
        <w:t>, 2022</w:t>
      </w:r>
    </w:p>
    <w:bookmarkEnd w:id="3"/>
    <w:p w:rsidR="008B2CC1" w:rsidRPr="003845C1" w:rsidRDefault="005F5C9C" w:rsidP="009B020C">
      <w:pPr>
        <w:spacing w:after="600"/>
        <w:rPr>
          <w:b/>
          <w:sz w:val="28"/>
          <w:szCs w:val="28"/>
        </w:rPr>
      </w:pPr>
      <w:r w:rsidRPr="003A695F">
        <w:rPr>
          <w:b/>
          <w:sz w:val="28"/>
          <w:szCs w:val="28"/>
        </w:rPr>
        <w:t>Special Union for the Protection of Appellations of Origin and their International Registration (Lisbon Union)</w:t>
      </w:r>
    </w:p>
    <w:p w:rsidR="00A85B8E" w:rsidRPr="00A85B8E" w:rsidRDefault="00A85B8E" w:rsidP="009B020C">
      <w:pPr>
        <w:spacing w:after="720"/>
        <w:rPr>
          <w:b/>
          <w:sz w:val="28"/>
          <w:szCs w:val="28"/>
        </w:rPr>
      </w:pPr>
      <w:r w:rsidRPr="00A85B8E">
        <w:rPr>
          <w:b/>
          <w:sz w:val="28"/>
          <w:szCs w:val="28"/>
        </w:rPr>
        <w:t>Assembly</w:t>
      </w:r>
    </w:p>
    <w:p w:rsidR="008B2CC1" w:rsidRPr="003845C1" w:rsidRDefault="005F5C9C" w:rsidP="009B020C">
      <w:pPr>
        <w:rPr>
          <w:b/>
          <w:sz w:val="24"/>
          <w:szCs w:val="24"/>
        </w:rPr>
      </w:pPr>
      <w:r w:rsidRPr="00813EEF">
        <w:rPr>
          <w:b/>
          <w:sz w:val="24"/>
        </w:rPr>
        <w:t>Thirty</w:t>
      </w:r>
      <w:r w:rsidR="00EA58AD">
        <w:rPr>
          <w:b/>
          <w:sz w:val="24"/>
        </w:rPr>
        <w:noBreakHyphen/>
      </w:r>
      <w:r w:rsidR="006E38F6">
        <w:rPr>
          <w:b/>
          <w:sz w:val="24"/>
        </w:rPr>
        <w:t>N</w:t>
      </w:r>
      <w:r>
        <w:rPr>
          <w:b/>
          <w:sz w:val="24"/>
        </w:rPr>
        <w:t xml:space="preserve">inth </w:t>
      </w:r>
      <w:r w:rsidRPr="00813EEF">
        <w:rPr>
          <w:b/>
          <w:sz w:val="24"/>
        </w:rPr>
        <w:t>(</w:t>
      </w:r>
      <w:r>
        <w:rPr>
          <w:b/>
          <w:sz w:val="24"/>
        </w:rPr>
        <w:t>15</w:t>
      </w:r>
      <w:r w:rsidRPr="00813EEF">
        <w:rPr>
          <w:b/>
          <w:sz w:val="24"/>
          <w:vertAlign w:val="superscript"/>
        </w:rPr>
        <w:t>th</w:t>
      </w:r>
      <w:r>
        <w:rPr>
          <w:b/>
          <w:sz w:val="24"/>
        </w:rPr>
        <w:t xml:space="preserve"> Extrao</w:t>
      </w:r>
      <w:r w:rsidRPr="00813EEF">
        <w:rPr>
          <w:b/>
          <w:sz w:val="24"/>
        </w:rPr>
        <w:t xml:space="preserve">rdinary) </w:t>
      </w:r>
      <w:r w:rsidRPr="008237EF">
        <w:rPr>
          <w:b/>
          <w:sz w:val="24"/>
        </w:rPr>
        <w:t>Session</w:t>
      </w:r>
    </w:p>
    <w:p w:rsidR="008B2CC1" w:rsidRPr="009F3BF9" w:rsidRDefault="005F5C9C" w:rsidP="009B020C">
      <w:pPr>
        <w:spacing w:after="720"/>
      </w:pPr>
      <w:r w:rsidRPr="009C127D">
        <w:rPr>
          <w:b/>
          <w:sz w:val="24"/>
        </w:rPr>
        <w:t xml:space="preserve">Geneva, </w:t>
      </w:r>
      <w:r>
        <w:rPr>
          <w:b/>
          <w:sz w:val="24"/>
        </w:rPr>
        <w:t xml:space="preserve">July </w:t>
      </w:r>
      <w:r w:rsidR="00395727">
        <w:rPr>
          <w:b/>
          <w:sz w:val="24"/>
        </w:rPr>
        <w:t>14</w:t>
      </w:r>
      <w:r>
        <w:rPr>
          <w:b/>
          <w:sz w:val="24"/>
        </w:rPr>
        <w:t xml:space="preserve"> to 22, 2022</w:t>
      </w:r>
    </w:p>
    <w:p w:rsidR="008B2CC1" w:rsidRPr="009F3BF9" w:rsidRDefault="00ED0796" w:rsidP="009B020C">
      <w:pPr>
        <w:spacing w:after="360"/>
        <w:rPr>
          <w:caps/>
          <w:sz w:val="24"/>
        </w:rPr>
      </w:pPr>
      <w:bookmarkStart w:id="4" w:name="TitleOfDoc"/>
      <w:r>
        <w:rPr>
          <w:caps/>
          <w:sz w:val="24"/>
        </w:rPr>
        <w:t>report</w:t>
      </w:r>
    </w:p>
    <w:p w:rsidR="008B2CC1" w:rsidRPr="004D39C4" w:rsidRDefault="00794469" w:rsidP="009B020C">
      <w:pPr>
        <w:spacing w:after="960"/>
        <w:rPr>
          <w:i/>
        </w:rPr>
      </w:pPr>
      <w:bookmarkStart w:id="5" w:name="Prepared"/>
      <w:bookmarkEnd w:id="4"/>
      <w:r>
        <w:rPr>
          <w:i/>
        </w:rPr>
        <w:t>adopted by the Assembly</w:t>
      </w:r>
    </w:p>
    <w:bookmarkEnd w:id="5"/>
    <w:p w:rsidR="00865814" w:rsidRDefault="00865814" w:rsidP="009B020C">
      <w:pPr>
        <w:pStyle w:val="ONUME"/>
      </w:pPr>
      <w:r>
        <w:t>The Assembly was concerned with the following items of the Consolidated Agenda (docume</w:t>
      </w:r>
      <w:r w:rsidR="00990DFA">
        <w:t>nt A/63/1):  1, 2, 3, 4, 6, 8, 10(ii), 11</w:t>
      </w:r>
      <w:r>
        <w:t xml:space="preserve">, </w:t>
      </w:r>
      <w:r w:rsidR="00990DFA">
        <w:t>17</w:t>
      </w:r>
      <w:r w:rsidR="006E38F6">
        <w:t xml:space="preserve">, </w:t>
      </w:r>
      <w:r w:rsidR="00990DFA">
        <w:t>19, 20 and 21.</w:t>
      </w:r>
    </w:p>
    <w:p w:rsidR="00865814" w:rsidRDefault="00865814" w:rsidP="009B020C">
      <w:pPr>
        <w:pStyle w:val="ONUME"/>
      </w:pPr>
      <w:r>
        <w:t>The reports on the said item</w:t>
      </w:r>
      <w:r w:rsidR="00990DFA">
        <w:t>s, with the exception of item 17</w:t>
      </w:r>
      <w:r>
        <w:t>, are contained in the General Report (document A/63/</w:t>
      </w:r>
      <w:r w:rsidR="00903A4A">
        <w:t>10</w:t>
      </w:r>
      <w:r>
        <w:t>).</w:t>
      </w:r>
    </w:p>
    <w:p w:rsidR="00865814" w:rsidRDefault="00990DFA" w:rsidP="009B020C">
      <w:pPr>
        <w:pStyle w:val="ONUME"/>
      </w:pPr>
      <w:r>
        <w:t>The report on item 17</w:t>
      </w:r>
      <w:r w:rsidR="00865814">
        <w:t xml:space="preserve"> is contained in the present document.</w:t>
      </w:r>
    </w:p>
    <w:p w:rsidR="00865814" w:rsidRDefault="00865814" w:rsidP="009B020C">
      <w:pPr>
        <w:pStyle w:val="ONUME"/>
      </w:pPr>
      <w:r>
        <w:t xml:space="preserve">Mr. </w:t>
      </w:r>
      <w:r w:rsidRPr="00865814">
        <w:t>Pascal Faure</w:t>
      </w:r>
      <w:r>
        <w:t xml:space="preserve"> (France), Chair of the Assembly, presided over the meeting.</w:t>
      </w:r>
    </w:p>
    <w:p w:rsidR="00865814" w:rsidRDefault="00865814" w:rsidP="009B020C">
      <w:r>
        <w:br w:type="page"/>
      </w:r>
    </w:p>
    <w:p w:rsidR="00865814" w:rsidRPr="00563679" w:rsidRDefault="00990DFA" w:rsidP="005D7339">
      <w:pPr>
        <w:pStyle w:val="Heading2"/>
        <w:spacing w:line="480" w:lineRule="auto"/>
      </w:pPr>
      <w:r>
        <w:lastRenderedPageBreak/>
        <w:t>ITEM 17</w:t>
      </w:r>
      <w:r w:rsidR="00865814" w:rsidRPr="00563679">
        <w:t xml:space="preserve"> OF THE CONSOLIDATED AGENDA</w:t>
      </w:r>
      <w:r w:rsidR="00865814" w:rsidRPr="00563679">
        <w:br/>
      </w:r>
      <w:r w:rsidR="00865814" w:rsidRPr="00865814">
        <w:t>Lisbon System</w:t>
      </w:r>
    </w:p>
    <w:p w:rsidR="009B020C" w:rsidRDefault="009B020C" w:rsidP="00052F5D">
      <w:pPr>
        <w:pStyle w:val="ONUME"/>
      </w:pPr>
      <w:r w:rsidRPr="00A02C8D">
        <w:t>The Chair of the</w:t>
      </w:r>
      <w:r>
        <w:t xml:space="preserve"> Lisbon Union Assembly </w:t>
      </w:r>
      <w:r w:rsidRPr="00570721">
        <w:t>pointed out that since the previous session of the Lisbon Union Assembl</w:t>
      </w:r>
      <w:r>
        <w:t>y, four additional countries had</w:t>
      </w:r>
      <w:r w:rsidRPr="00570721">
        <w:t xml:space="preserve"> deposited their instruments of accession</w:t>
      </w:r>
      <w:r>
        <w:t xml:space="preserve"> or ratification</w:t>
      </w:r>
      <w:r w:rsidRPr="00570721">
        <w:t xml:space="preserve"> to the </w:t>
      </w:r>
      <w:r>
        <w:t>Geneva Act of the Lisbon Agreement</w:t>
      </w:r>
      <w:r w:rsidRPr="00570721">
        <w:t xml:space="preserve"> </w:t>
      </w:r>
      <w:r w:rsidRPr="00A9636F">
        <w:t>on Appellations of Origin and Geographical Indications</w:t>
      </w:r>
      <w:r>
        <w:t xml:space="preserve"> (“Geneva Act of the Lisbon Agreement”)</w:t>
      </w:r>
      <w:r w:rsidRPr="00570721">
        <w:t>, namely</w:t>
      </w:r>
      <w:r w:rsidR="00132E63">
        <w:t>,</w:t>
      </w:r>
      <w:r w:rsidRPr="00570721">
        <w:t xml:space="preserve"> </w:t>
      </w:r>
      <w:r>
        <w:t>in chronological order</w:t>
      </w:r>
      <w:r w:rsidR="00132E63">
        <w:t>,</w:t>
      </w:r>
      <w:r>
        <w:t xml:space="preserve"> </w:t>
      </w:r>
      <w:r w:rsidRPr="00570721">
        <w:t>Gha</w:t>
      </w:r>
      <w:r>
        <w:t>na, Cabo Verde,</w:t>
      </w:r>
      <w:r w:rsidRPr="00570721">
        <w:t xml:space="preserve"> the C</w:t>
      </w:r>
      <w:r>
        <w:t>zech Republic, and earlier that week, Peru.  This brought</w:t>
      </w:r>
      <w:r w:rsidRPr="00570721">
        <w:t xml:space="preserve"> the </w:t>
      </w:r>
      <w:r>
        <w:t xml:space="preserve">total </w:t>
      </w:r>
      <w:r w:rsidRPr="00570721">
        <w:t>number of countries covered by the Lisbon System to 57</w:t>
      </w:r>
      <w:r>
        <w:t xml:space="preserve"> and the total number of countries covered by the Geneva Act of the Lisbon Agreement to 37</w:t>
      </w:r>
      <w:r w:rsidRPr="00570721">
        <w:t>.</w:t>
      </w:r>
      <w:r>
        <w:t xml:space="preserve">  He further underlined that, a</w:t>
      </w:r>
      <w:r w:rsidRPr="00497E41">
        <w:t>f</w:t>
      </w:r>
      <w:r>
        <w:t>ter only two years of existence,</w:t>
      </w:r>
      <w:r w:rsidRPr="00497E41">
        <w:t xml:space="preserve"> the </w:t>
      </w:r>
      <w:r>
        <w:t>Geneva Act of the Lisbon Agreement</w:t>
      </w:r>
      <w:r w:rsidRPr="00497E41">
        <w:t xml:space="preserve"> already co</w:t>
      </w:r>
      <w:r>
        <w:t>vered</w:t>
      </w:r>
      <w:r w:rsidRPr="00497E41">
        <w:t xml:space="preserve"> </w:t>
      </w:r>
      <w:r>
        <w:t>seven </w:t>
      </w:r>
      <w:r w:rsidRPr="00497E41">
        <w:t xml:space="preserve">more countries than the Lisbon Agreement </w:t>
      </w:r>
      <w:r w:rsidRPr="00A9636F">
        <w:t xml:space="preserve">for the Protection of Appellations of Origin and their International Registration </w:t>
      </w:r>
      <w:r>
        <w:t xml:space="preserve">(“the Lisbon Agreement”) </w:t>
      </w:r>
      <w:r w:rsidRPr="00497E41">
        <w:t xml:space="preserve">in almost 60 </w:t>
      </w:r>
      <w:r w:rsidRPr="00BA4233">
        <w:t>years of existence, which clearly showed the growing interest in the Lisbon System by an increasing</w:t>
      </w:r>
      <w:r>
        <w:t xml:space="preserve"> number of</w:t>
      </w:r>
      <w:r w:rsidRPr="00BA4233">
        <w:rPr>
          <w:lang w:val="en-GB"/>
        </w:rPr>
        <w:t xml:space="preserve"> </w:t>
      </w:r>
      <w:r>
        <w:rPr>
          <w:lang w:val="en-GB"/>
        </w:rPr>
        <w:t>WIPO </w:t>
      </w:r>
      <w:r w:rsidRPr="00BA4233">
        <w:t>Member States in different regions of the world.</w:t>
      </w:r>
    </w:p>
    <w:p w:rsidR="009B020C" w:rsidRPr="00A02C8D" w:rsidRDefault="009B020C" w:rsidP="00052F5D">
      <w:pPr>
        <w:pStyle w:val="ONUME"/>
      </w:pPr>
      <w:r>
        <w:t xml:space="preserve">The Chair then turned to the document on the agenda, namely </w:t>
      </w:r>
      <w:r w:rsidRPr="00B40BF9">
        <w:t>document</w:t>
      </w:r>
      <w:r>
        <w:t xml:space="preserve"> LI/A/39/1. </w:t>
      </w:r>
    </w:p>
    <w:p w:rsidR="009B020C" w:rsidRPr="00A02C8D" w:rsidRDefault="009B020C" w:rsidP="00052F5D">
      <w:pPr>
        <w:pStyle w:val="Heading3"/>
        <w:spacing w:before="0" w:after="220"/>
        <w:rPr>
          <w:szCs w:val="22"/>
        </w:rPr>
      </w:pPr>
      <w:r>
        <w:rPr>
          <w:szCs w:val="22"/>
        </w:rPr>
        <w:t>Proposed Amendments to the Common Regulations under the Lisbon Agreement and the Geneva Act of the Lisbon Agreement</w:t>
      </w:r>
    </w:p>
    <w:p w:rsidR="009B020C" w:rsidRDefault="009B020C" w:rsidP="00052F5D">
      <w:pPr>
        <w:pStyle w:val="ONUME"/>
      </w:pPr>
      <w:r w:rsidRPr="00A02C8D">
        <w:t>Dis</w:t>
      </w:r>
      <w:r>
        <w:t>cussions were based on document</w:t>
      </w:r>
      <w:r w:rsidRPr="00A02C8D">
        <w:t xml:space="preserve"> LI/A/3</w:t>
      </w:r>
      <w:r>
        <w:t>9/1.</w:t>
      </w:r>
    </w:p>
    <w:p w:rsidR="009B020C" w:rsidRDefault="009B020C" w:rsidP="00052F5D">
      <w:pPr>
        <w:pStyle w:val="ONUME"/>
      </w:pPr>
      <w:r w:rsidRPr="005A64DE">
        <w:t xml:space="preserve">Introducing the </w:t>
      </w:r>
      <w:r>
        <w:t>document under consideration</w:t>
      </w:r>
      <w:r w:rsidRPr="005A64DE">
        <w:t xml:space="preserve">, the </w:t>
      </w:r>
      <w:r>
        <w:t xml:space="preserve">Secretariat recalled that </w:t>
      </w:r>
      <w:r w:rsidRPr="00D07FE7">
        <w:t>at its fourth session, which took place from June 14 to 16, 2022, the Working Group on the Development of the Lisbon System (</w:t>
      </w:r>
      <w:r>
        <w:t>“</w:t>
      </w:r>
      <w:r w:rsidRPr="00D07FE7">
        <w:t>the Working Group”) recommended amendme</w:t>
      </w:r>
      <w:r>
        <w:t>nts to Rules 7, 8, 9, 15 and </w:t>
      </w:r>
      <w:r w:rsidRPr="00D07FE7">
        <w:t>16 of the Common Regula</w:t>
      </w:r>
      <w:r>
        <w:t xml:space="preserve">tions under the </w:t>
      </w:r>
      <w:r w:rsidRPr="004D10DA">
        <w:t xml:space="preserve">Lisbon Agreement for the Protection of Appellations of Origin and their International Registration and the Geneva Act of the Lisbon Agreement on Appellations of Origin and Geographical Indications </w:t>
      </w:r>
      <w:r w:rsidRPr="00BC3CEA">
        <w:t xml:space="preserve">(“Common Regulations”) </w:t>
      </w:r>
      <w:r>
        <w:t>to simplify and rationalize the procedures under the Lisbon System.  The Secretariat indicated</w:t>
      </w:r>
      <w:r w:rsidRPr="00D07FE7">
        <w:t xml:space="preserve"> that the proposed amendments contained in the Annex to document LI/A/39/1 would enter into force on January 1, 2023.</w:t>
      </w:r>
    </w:p>
    <w:p w:rsidR="009B020C" w:rsidRDefault="009B020C" w:rsidP="00052F5D">
      <w:pPr>
        <w:pStyle w:val="ONUME"/>
      </w:pPr>
      <w:r w:rsidRPr="00A9636F">
        <w:t xml:space="preserve">The </w:t>
      </w:r>
      <w:r>
        <w:t>Delegation</w:t>
      </w:r>
      <w:r w:rsidRPr="00A9636F">
        <w:t xml:space="preserve"> of the European Union</w:t>
      </w:r>
      <w:r>
        <w:t>, speaking on behalf of the European Union</w:t>
      </w:r>
      <w:r w:rsidRPr="00A9636F">
        <w:t xml:space="preserve"> and its member states</w:t>
      </w:r>
      <w:r>
        <w:t>,</w:t>
      </w:r>
      <w:r w:rsidRPr="00A9636F">
        <w:t xml:space="preserve"> </w:t>
      </w:r>
      <w:r>
        <w:t xml:space="preserve">supported the adoption of </w:t>
      </w:r>
      <w:r w:rsidRPr="00A9636F">
        <w:t xml:space="preserve">the proposed amendments to the Common Regulations </w:t>
      </w:r>
      <w:r>
        <w:t>as recommended by the Working Group for their adoption by the present Assembly.</w:t>
      </w:r>
      <w:r w:rsidRPr="00943B8B">
        <w:rPr>
          <w:rFonts w:eastAsia="Times New Roman"/>
          <w:lang w:eastAsia="en-US"/>
        </w:rPr>
        <w:t xml:space="preserve"> </w:t>
      </w:r>
      <w:r>
        <w:rPr>
          <w:rFonts w:eastAsia="Times New Roman"/>
          <w:lang w:eastAsia="en-US"/>
        </w:rPr>
        <w:t xml:space="preserve"> The Delegation was</w:t>
      </w:r>
      <w:r w:rsidRPr="00943B8B">
        <w:t xml:space="preserve"> confident that the proposed amendments would </w:t>
      </w:r>
      <w:r>
        <w:t>contribute to the simplification and streamlining of the</w:t>
      </w:r>
      <w:r w:rsidRPr="00943B8B">
        <w:t xml:space="preserve"> procedures </w:t>
      </w:r>
      <w:r>
        <w:t>under the Lisbon System and would</w:t>
      </w:r>
      <w:r w:rsidRPr="00943B8B">
        <w:t xml:space="preserve"> provide greater clarity for the benefit of the current and futur</w:t>
      </w:r>
      <w:r>
        <w:t xml:space="preserve">e users of the Lisbon System.  The Delegation expressed its willingness </w:t>
      </w:r>
      <w:r w:rsidRPr="00943B8B">
        <w:t xml:space="preserve">to work together with the WIPO Secretariat and other </w:t>
      </w:r>
      <w:r>
        <w:t xml:space="preserve">WIPO Member States with the aim to further </w:t>
      </w:r>
      <w:r w:rsidRPr="00943B8B">
        <w:t xml:space="preserve">develop </w:t>
      </w:r>
      <w:r>
        <w:t xml:space="preserve">the </w:t>
      </w:r>
      <w:r w:rsidRPr="00943B8B">
        <w:t xml:space="preserve">rules of the Lisbon System </w:t>
      </w:r>
      <w:r>
        <w:t>in accordance with the Summary by the C</w:t>
      </w:r>
      <w:r w:rsidRPr="00943B8B">
        <w:t xml:space="preserve">hair </w:t>
      </w:r>
      <w:r>
        <w:t>adopted by the Working Group at the end of its</w:t>
      </w:r>
      <w:r w:rsidRPr="00943B8B">
        <w:t xml:space="preserve"> fourth </w:t>
      </w:r>
      <w:r>
        <w:t xml:space="preserve">session (see document LI/WG/DEV-SYS/4/3).  Lastly, the Delegation pointed out </w:t>
      </w:r>
      <w:r w:rsidRPr="00943B8B">
        <w:t>that the discussions on the proposal to create E</w:t>
      </w:r>
      <w:r>
        <w:t xml:space="preserve">uropean </w:t>
      </w:r>
      <w:r w:rsidRPr="00943B8B">
        <w:t>U</w:t>
      </w:r>
      <w:r>
        <w:t>nion</w:t>
      </w:r>
      <w:r w:rsidRPr="00943B8B">
        <w:t xml:space="preserve"> level g</w:t>
      </w:r>
      <w:r>
        <w:t>eogr</w:t>
      </w:r>
      <w:r w:rsidRPr="00943B8B">
        <w:t xml:space="preserve">aphical protection for </w:t>
      </w:r>
      <w:r>
        <w:t>handicrafts and industrial products had</w:t>
      </w:r>
      <w:r w:rsidRPr="00943B8B">
        <w:t xml:space="preserve"> recently started in Brussels. </w:t>
      </w:r>
    </w:p>
    <w:p w:rsidR="009B020C" w:rsidRDefault="009B020C" w:rsidP="00052F5D">
      <w:pPr>
        <w:pStyle w:val="ONUME"/>
      </w:pPr>
      <w:r>
        <w:t xml:space="preserve">Upon expressing its support to </w:t>
      </w:r>
      <w:r w:rsidRPr="002A0BEA">
        <w:t xml:space="preserve">the </w:t>
      </w:r>
      <w:r>
        <w:t xml:space="preserve">proposed </w:t>
      </w:r>
      <w:r w:rsidRPr="002A0BEA">
        <w:t xml:space="preserve">amendments </w:t>
      </w:r>
      <w:r>
        <w:t xml:space="preserve">to the Common Regulations, as proposed in </w:t>
      </w:r>
      <w:r w:rsidRPr="002A0BEA">
        <w:t xml:space="preserve">document </w:t>
      </w:r>
      <w:r>
        <w:t>LI/A/39/1, the Delegation</w:t>
      </w:r>
      <w:r w:rsidRPr="002A0BEA">
        <w:t xml:space="preserve"> of Serbia emphasize</w:t>
      </w:r>
      <w:r>
        <w:t>d</w:t>
      </w:r>
      <w:r w:rsidRPr="002A0BEA">
        <w:t xml:space="preserve"> t</w:t>
      </w:r>
      <w:r>
        <w:t>he importance of having a</w:t>
      </w:r>
      <w:r w:rsidRPr="002A0BEA">
        <w:t xml:space="preserve"> </w:t>
      </w:r>
      <w:r>
        <w:t xml:space="preserve">more </w:t>
      </w:r>
      <w:r w:rsidRPr="002A0BEA">
        <w:t>centralized</w:t>
      </w:r>
      <w:r>
        <w:t xml:space="preserve"> WIPO budget, which it also regarded as offering the best solution to ensure </w:t>
      </w:r>
      <w:r>
        <w:lastRenderedPageBreak/>
        <w:t>the financial stability and sustainability of the Lisbon Union</w:t>
      </w:r>
      <w:r w:rsidRPr="002A0BEA">
        <w:t>.</w:t>
      </w:r>
      <w:r>
        <w:t xml:space="preserve"> </w:t>
      </w:r>
      <w:r w:rsidRPr="002A0BEA">
        <w:t xml:space="preserve"> </w:t>
      </w:r>
      <w:r>
        <w:t>On the contrary, t</w:t>
      </w:r>
      <w:r w:rsidRPr="002A0BEA">
        <w:t xml:space="preserve">he </w:t>
      </w:r>
      <w:r>
        <w:t>Delegation believed that a</w:t>
      </w:r>
      <w:r w:rsidRPr="002A0BEA">
        <w:t xml:space="preserve"> higher level of fina</w:t>
      </w:r>
      <w:r>
        <w:t>ncial independence among the WIPO u</w:t>
      </w:r>
      <w:r w:rsidRPr="002A0BEA">
        <w:t xml:space="preserve">nions would not benefit WIPO and would </w:t>
      </w:r>
      <w:r>
        <w:t xml:space="preserve">ultimately </w:t>
      </w:r>
      <w:r w:rsidRPr="002A0BEA">
        <w:t xml:space="preserve">lead the </w:t>
      </w:r>
      <w:r>
        <w:t>O</w:t>
      </w:r>
      <w:r w:rsidRPr="002A0BEA">
        <w:t xml:space="preserve">rganization to decentralization. </w:t>
      </w:r>
      <w:r>
        <w:t xml:space="preserve"> The Delegation was of the view </w:t>
      </w:r>
      <w:r w:rsidRPr="002A0BEA">
        <w:t xml:space="preserve">that the current methodology of solidarity </w:t>
      </w:r>
      <w:r>
        <w:t>between unions would enable the</w:t>
      </w:r>
      <w:r w:rsidRPr="002A0BEA">
        <w:t xml:space="preserve"> financial sustainability of the </w:t>
      </w:r>
      <w:r>
        <w:t>O</w:t>
      </w:r>
      <w:r w:rsidRPr="002A0BEA">
        <w:t>rganization</w:t>
      </w:r>
      <w:r>
        <w:t xml:space="preserve"> as a whole</w:t>
      </w:r>
      <w:r w:rsidRPr="002A0BEA">
        <w:t xml:space="preserve"> in the long run.</w:t>
      </w:r>
      <w:r>
        <w:t xml:space="preserve"> </w:t>
      </w:r>
      <w:r w:rsidRPr="002A0BEA">
        <w:t xml:space="preserve"> </w:t>
      </w:r>
      <w:r>
        <w:t xml:space="preserve">The Delegation further pointed out that since </w:t>
      </w:r>
      <w:r w:rsidRPr="002B1C59">
        <w:t>some industrial property rights were more attractive for stakeholders but also more costly, some WIPO unions were naturally</w:t>
      </w:r>
      <w:r>
        <w:t xml:space="preserve"> able to generate a significant income, while others did</w:t>
      </w:r>
      <w:r w:rsidRPr="002A0BEA">
        <w:t xml:space="preserve"> not. </w:t>
      </w:r>
      <w:r>
        <w:t xml:space="preserve"> In that regard, the Delegation recalled, h</w:t>
      </w:r>
      <w:r w:rsidRPr="002A0BEA">
        <w:t xml:space="preserve">owever, </w:t>
      </w:r>
      <w:r>
        <w:t xml:space="preserve">that one of the Organization’s objectives was </w:t>
      </w:r>
      <w:r w:rsidRPr="002A0BEA">
        <w:t>to promote intellectual propert</w:t>
      </w:r>
      <w:r w:rsidR="00985B93">
        <w:t>y </w:t>
      </w:r>
      <w:r>
        <w:t xml:space="preserve">(IP) </w:t>
      </w:r>
      <w:r w:rsidRPr="002A0BEA">
        <w:t>throughou</w:t>
      </w:r>
      <w:r>
        <w:t xml:space="preserve">t the world in accordance </w:t>
      </w:r>
      <w:r w:rsidRPr="00200D0A">
        <w:t xml:space="preserve">with Article 3 of the </w:t>
      </w:r>
      <w:r w:rsidR="00132E63">
        <w:t xml:space="preserve">WIPO </w:t>
      </w:r>
      <w:r w:rsidRPr="00200D0A">
        <w:t>Convention</w:t>
      </w:r>
      <w:r>
        <w:t>, which also meant</w:t>
      </w:r>
      <w:r w:rsidRPr="002A0BEA">
        <w:t xml:space="preserve"> ev</w:t>
      </w:r>
      <w:r>
        <w:t>ery category of intellectual property rights (IPRs) including those that were</w:t>
      </w:r>
      <w:r w:rsidRPr="002A0BEA">
        <w:t xml:space="preserve"> not as highly lucrative as </w:t>
      </w:r>
      <w:r>
        <w:t>others</w:t>
      </w:r>
      <w:r w:rsidRPr="002A0BEA">
        <w:t xml:space="preserve">. </w:t>
      </w:r>
      <w:r>
        <w:t xml:space="preserve"> The Delegation </w:t>
      </w:r>
      <w:r w:rsidR="00132E63">
        <w:t>added</w:t>
      </w:r>
      <w:r>
        <w:t xml:space="preserve"> that even if geographical indications did not appear to</w:t>
      </w:r>
      <w:r w:rsidRPr="002A0BEA">
        <w:t xml:space="preserve"> </w:t>
      </w:r>
      <w:r>
        <w:t xml:space="preserve">have a significant impact on the state of the national economy as a whole in Serbia, they were certainly </w:t>
      </w:r>
      <w:r w:rsidRPr="002A0BEA">
        <w:t>very important for local communities</w:t>
      </w:r>
      <w:r>
        <w:t xml:space="preserve">.  In that regard, the Delegation referred to those geographical indication producers in Serbia that had already benefited from the Lisbon System and that, through the significant support of the European Union, had also achieved </w:t>
      </w:r>
      <w:r w:rsidRPr="002A0BEA">
        <w:t>valuable cooperation with local authorities</w:t>
      </w:r>
      <w:r>
        <w:t xml:space="preserve"> in</w:t>
      </w:r>
      <w:r w:rsidRPr="002A0BEA">
        <w:t xml:space="preserve"> the cities</w:t>
      </w:r>
      <w:r>
        <w:t xml:space="preserve"> of Novi Sad, </w:t>
      </w:r>
      <w:r w:rsidRPr="00B71845">
        <w:t xml:space="preserve">Nova Varoš </w:t>
      </w:r>
      <w:r w:rsidRPr="0067012B">
        <w:t>and Čačak,</w:t>
      </w:r>
      <w:r>
        <w:t xml:space="preserve"> in particular.</w:t>
      </w:r>
      <w:r w:rsidRPr="002A0BEA">
        <w:t xml:space="preserve"> </w:t>
      </w:r>
      <w:r>
        <w:t xml:space="preserve"> These cities now financially support the certification of geographical indication products from their region, which in turn demonstrates the increasing support provided to Serbia’s geographical indication community at large.  The Delegation concluded by expressing the wish to pursue</w:t>
      </w:r>
      <w:r w:rsidRPr="002A0BEA">
        <w:t xml:space="preserve"> </w:t>
      </w:r>
      <w:r>
        <w:t>its excellent cooperation with the Lisbon U</w:t>
      </w:r>
      <w:r w:rsidRPr="002A0BEA">
        <w:t xml:space="preserve">nion </w:t>
      </w:r>
      <w:r>
        <w:t xml:space="preserve">and WIPO </w:t>
      </w:r>
      <w:r w:rsidRPr="002A0BEA">
        <w:t xml:space="preserve">for the defense </w:t>
      </w:r>
      <w:r>
        <w:t>and better protection of Serbia’s geographical indication</w:t>
      </w:r>
      <w:r w:rsidRPr="002A0BEA">
        <w:t xml:space="preserve"> products.</w:t>
      </w:r>
    </w:p>
    <w:p w:rsidR="009B020C" w:rsidRDefault="009B020C" w:rsidP="00052F5D">
      <w:pPr>
        <w:pStyle w:val="ONUME"/>
      </w:pPr>
      <w:r>
        <w:t xml:space="preserve">The Delegation of France </w:t>
      </w:r>
      <w:r w:rsidRPr="00675EA8">
        <w:t>support</w:t>
      </w:r>
      <w:r>
        <w:t>ed</w:t>
      </w:r>
      <w:r w:rsidRPr="00675EA8">
        <w:t xml:space="preserve"> the statement made by the </w:t>
      </w:r>
      <w:r>
        <w:t xml:space="preserve">Delegation of the </w:t>
      </w:r>
      <w:r w:rsidRPr="00675EA8">
        <w:t>Eur</w:t>
      </w:r>
      <w:r>
        <w:t>opean Union and welcomed the amendments to the Common R</w:t>
      </w:r>
      <w:r w:rsidRPr="00675EA8">
        <w:t xml:space="preserve">egulations </w:t>
      </w:r>
      <w:r>
        <w:t>adopted by consensus at the last session of the Working Group on June 16, 2022.  In that regard, the Delegation expressed the view that the</w:t>
      </w:r>
      <w:r w:rsidRPr="00675EA8">
        <w:t xml:space="preserve"> </w:t>
      </w:r>
      <w:r>
        <w:t xml:space="preserve">proposed </w:t>
      </w:r>
      <w:r w:rsidRPr="00675EA8">
        <w:t>a</w:t>
      </w:r>
      <w:r>
        <w:t>mendments were</w:t>
      </w:r>
      <w:r w:rsidRPr="00675EA8">
        <w:t xml:space="preserve"> pragmatic and provide</w:t>
      </w:r>
      <w:r>
        <w:t>d</w:t>
      </w:r>
      <w:r w:rsidRPr="00675EA8">
        <w:t xml:space="preserve"> practical solutions to </w:t>
      </w:r>
      <w:r>
        <w:t>the problem of facilitating administrative</w:t>
      </w:r>
      <w:r w:rsidRPr="00675EA8">
        <w:t xml:space="preserve"> work</w:t>
      </w:r>
      <w:r>
        <w:t xml:space="preserve"> for the benefit of S</w:t>
      </w:r>
      <w:r w:rsidRPr="00675EA8">
        <w:t>tates, applicants and the WIPO Secretariat.</w:t>
      </w:r>
      <w:r>
        <w:t xml:space="preserve"> </w:t>
      </w:r>
      <w:r w:rsidRPr="00675EA8">
        <w:t xml:space="preserve"> Above all</w:t>
      </w:r>
      <w:r>
        <w:t>, the Delegation underscored that the proposed amendments would</w:t>
      </w:r>
      <w:r w:rsidRPr="00675EA8">
        <w:t xml:space="preserve"> ease the extremely tight deadlines for the payment of individual fees. </w:t>
      </w:r>
      <w:r>
        <w:t xml:space="preserve"> Upon pointing out that the proposed amendments would be in </w:t>
      </w:r>
      <w:r w:rsidRPr="00675EA8">
        <w:t xml:space="preserve">the interest of </w:t>
      </w:r>
      <w:r>
        <w:t xml:space="preserve">everybody involved because they would have the effect of making </w:t>
      </w:r>
      <w:r w:rsidRPr="00675EA8">
        <w:t>the</w:t>
      </w:r>
      <w:r>
        <w:t xml:space="preserve"> Lisbon System more attractive, the Delegation </w:t>
      </w:r>
      <w:r w:rsidRPr="00675EA8">
        <w:t>emphasize</w:t>
      </w:r>
      <w:r>
        <w:t>d that such major improvements went</w:t>
      </w:r>
      <w:r w:rsidRPr="00675EA8">
        <w:t xml:space="preserve"> hand-in-hand with the ongoing computerization </w:t>
      </w:r>
      <w:r>
        <w:t xml:space="preserve">of the Lisbon System and the resulting </w:t>
      </w:r>
      <w:r w:rsidRPr="00B71845">
        <w:t>reduction of costs related</w:t>
      </w:r>
      <w:r w:rsidRPr="00675EA8">
        <w:t xml:space="preserve"> to request</w:t>
      </w:r>
      <w:r>
        <w:t>s</w:t>
      </w:r>
      <w:r w:rsidRPr="00675EA8">
        <w:t xml:space="preserve"> for registration, modification and payment of individual fees. </w:t>
      </w:r>
    </w:p>
    <w:p w:rsidR="009B020C" w:rsidRDefault="009B020C" w:rsidP="00052F5D">
      <w:pPr>
        <w:pStyle w:val="ONUME"/>
      </w:pPr>
      <w:r>
        <w:t>The Delegation of the Czech Republic aligned</w:t>
      </w:r>
      <w:r w:rsidRPr="00852AFD">
        <w:t xml:space="preserve"> itself with the statement delivered by the</w:t>
      </w:r>
      <w:r>
        <w:t xml:space="preserve"> Delegation of the</w:t>
      </w:r>
      <w:r w:rsidRPr="00852AFD">
        <w:t xml:space="preserve"> E</w:t>
      </w:r>
      <w:r>
        <w:t xml:space="preserve">uropean </w:t>
      </w:r>
      <w:r w:rsidRPr="00852AFD">
        <w:t>U</w:t>
      </w:r>
      <w:r>
        <w:t xml:space="preserve">nion and further indicated that the Czech Republic attached </w:t>
      </w:r>
      <w:r w:rsidRPr="00852AFD">
        <w:t xml:space="preserve">great importance to the adoption of </w:t>
      </w:r>
      <w:r>
        <w:t>the proposed amendments to the C</w:t>
      </w:r>
      <w:r w:rsidRPr="00852AFD">
        <w:t>om</w:t>
      </w:r>
      <w:r>
        <w:t>mon R</w:t>
      </w:r>
      <w:r w:rsidRPr="00852AFD">
        <w:t>egulations</w:t>
      </w:r>
      <w:r>
        <w:t>,</w:t>
      </w:r>
      <w:r w:rsidRPr="00852AFD">
        <w:t xml:space="preserve"> </w:t>
      </w:r>
      <w:r>
        <w:t xml:space="preserve">as contained in the Annex to the Summary by the Chair of the Working Group </w:t>
      </w:r>
      <w:r w:rsidRPr="00852AFD">
        <w:t>o</w:t>
      </w:r>
      <w:r>
        <w:t xml:space="preserve">f June 2022.  The Delegation was convinced that the proposed amendments would not only </w:t>
      </w:r>
      <w:r w:rsidRPr="00852AFD">
        <w:t xml:space="preserve">simplify </w:t>
      </w:r>
      <w:r>
        <w:t xml:space="preserve">the </w:t>
      </w:r>
      <w:r w:rsidRPr="00852AFD">
        <w:t xml:space="preserve">procedures under the Lisbon System, </w:t>
      </w:r>
      <w:r>
        <w:t xml:space="preserve">but also </w:t>
      </w:r>
      <w:r w:rsidRPr="00852AFD">
        <w:t>increase the</w:t>
      </w:r>
      <w:r>
        <w:t>ir</w:t>
      </w:r>
      <w:r w:rsidRPr="00852AFD">
        <w:t xml:space="preserve"> efficiency </w:t>
      </w:r>
      <w:r>
        <w:t>and that they would</w:t>
      </w:r>
      <w:r w:rsidRPr="00852AFD">
        <w:t xml:space="preserve"> be extremely beneficial for either current or future users of the Lisbon System.</w:t>
      </w:r>
      <w:r>
        <w:t xml:space="preserve"> </w:t>
      </w:r>
      <w:r w:rsidRPr="00852AFD">
        <w:t xml:space="preserve"> </w:t>
      </w:r>
      <w:r>
        <w:t xml:space="preserve">The Delegation concluded by saying that they would be glad to continue to </w:t>
      </w:r>
      <w:r w:rsidRPr="00852AFD">
        <w:t>cooperate</w:t>
      </w:r>
      <w:r>
        <w:t xml:space="preserve"> with the WIPO Secretariat and </w:t>
      </w:r>
      <w:r w:rsidRPr="00852AFD">
        <w:t>other members on the future</w:t>
      </w:r>
      <w:r>
        <w:t xml:space="preserve"> development of the rules under</w:t>
      </w:r>
      <w:r w:rsidRPr="00852AFD">
        <w:t xml:space="preserve"> the Lisbon System.</w:t>
      </w:r>
    </w:p>
    <w:p w:rsidR="009B020C" w:rsidRDefault="00132E63" w:rsidP="00052F5D">
      <w:pPr>
        <w:pStyle w:val="ONUME"/>
      </w:pPr>
      <w:r>
        <w:t>The</w:t>
      </w:r>
      <w:r w:rsidRPr="00984715">
        <w:t xml:space="preserve"> </w:t>
      </w:r>
      <w:r>
        <w:t xml:space="preserve">Delegation of Portugal </w:t>
      </w:r>
      <w:r w:rsidR="009B020C">
        <w:t>support</w:t>
      </w:r>
      <w:r>
        <w:t>ed</w:t>
      </w:r>
      <w:r w:rsidR="009B020C">
        <w:t xml:space="preserve"> </w:t>
      </w:r>
      <w:r w:rsidR="009B020C" w:rsidRPr="00984715">
        <w:t>the state</w:t>
      </w:r>
      <w:r w:rsidR="009B020C">
        <w:t xml:space="preserve">ment made by the Delegation of the European Union, </w:t>
      </w:r>
      <w:r>
        <w:t>and</w:t>
      </w:r>
      <w:r w:rsidR="009B020C">
        <w:t xml:space="preserve"> recalled that </w:t>
      </w:r>
      <w:r w:rsidR="009B020C" w:rsidRPr="00984715">
        <w:t>geographic</w:t>
      </w:r>
      <w:r w:rsidR="009B020C" w:rsidRPr="00B71845">
        <w:t>al indications and appellations of origin were very important to Portugal given their significant contribution in pushing forward the</w:t>
      </w:r>
      <w:r w:rsidR="009B020C">
        <w:t xml:space="preserve"> economy, but also in terms of</w:t>
      </w:r>
      <w:r w:rsidR="009B020C" w:rsidRPr="00984715">
        <w:t xml:space="preserve"> socia</w:t>
      </w:r>
      <w:r w:rsidR="009B020C">
        <w:t xml:space="preserve">l and cultural development of </w:t>
      </w:r>
      <w:r w:rsidR="009B020C" w:rsidRPr="00984715">
        <w:t>regions across the world.</w:t>
      </w:r>
      <w:r w:rsidR="009B020C">
        <w:t xml:space="preserve"> </w:t>
      </w:r>
      <w:r w:rsidR="009B020C" w:rsidRPr="00984715">
        <w:t xml:space="preserve"> </w:t>
      </w:r>
      <w:r w:rsidR="009B020C">
        <w:t xml:space="preserve">In that </w:t>
      </w:r>
      <w:r w:rsidR="009B020C" w:rsidRPr="00984715">
        <w:t>context</w:t>
      </w:r>
      <w:r w:rsidR="009B020C">
        <w:t xml:space="preserve">, the </w:t>
      </w:r>
      <w:r w:rsidR="009B020C">
        <w:lastRenderedPageBreak/>
        <w:t>Delegation</w:t>
      </w:r>
      <w:r w:rsidR="009B020C" w:rsidRPr="00984715">
        <w:t xml:space="preserve"> </w:t>
      </w:r>
      <w:r w:rsidR="009B020C">
        <w:t>expressed the view that the Lisbon System could be</w:t>
      </w:r>
      <w:r w:rsidR="009B020C" w:rsidRPr="00984715">
        <w:t xml:space="preserve"> very useful and important to the</w:t>
      </w:r>
      <w:r w:rsidR="009B020C">
        <w:t xml:space="preserve"> different WIPO Member States and should therefore </w:t>
      </w:r>
      <w:r w:rsidR="009B020C" w:rsidRPr="00984715">
        <w:t>cont</w:t>
      </w:r>
      <w:r w:rsidR="009B020C">
        <w:t>inue to be a priority on WIPO's </w:t>
      </w:r>
      <w:r w:rsidR="009B020C" w:rsidRPr="00984715">
        <w:t>agenda.</w:t>
      </w:r>
      <w:r w:rsidR="009B020C">
        <w:t xml:space="preserve"> </w:t>
      </w:r>
      <w:r w:rsidR="009B020C" w:rsidRPr="00984715">
        <w:t xml:space="preserve"> </w:t>
      </w:r>
      <w:r w:rsidR="009B020C">
        <w:t xml:space="preserve">In that regard, the Delegation was </w:t>
      </w:r>
      <w:r w:rsidR="009B020C" w:rsidRPr="00984715">
        <w:t>pleased to see the</w:t>
      </w:r>
      <w:r w:rsidR="009B020C">
        <w:t xml:space="preserve"> very positive progress made over the last few years, i</w:t>
      </w:r>
      <w:r w:rsidR="009B020C" w:rsidRPr="00984715">
        <w:t xml:space="preserve">ncluding the </w:t>
      </w:r>
      <w:r w:rsidR="009B020C">
        <w:t xml:space="preserve">significant increase in the </w:t>
      </w:r>
      <w:r w:rsidR="009B020C" w:rsidRPr="00984715">
        <w:t>number</w:t>
      </w:r>
      <w:r w:rsidR="009B020C">
        <w:t xml:space="preserve"> of members of the Lisbon Union. </w:t>
      </w:r>
      <w:r w:rsidR="009B020C" w:rsidRPr="00984715">
        <w:t xml:space="preserve"> </w:t>
      </w:r>
      <w:r w:rsidR="009B020C">
        <w:t xml:space="preserve">The Delegation went on to say that the Lisbon System should continue to be promoted in order to increase </w:t>
      </w:r>
      <w:r w:rsidR="009B020C" w:rsidRPr="00984715">
        <w:t>ev</w:t>
      </w:r>
      <w:r w:rsidR="009B020C">
        <w:t xml:space="preserve">eryone’s understanding of the System and thereby increase the number of members, which could also </w:t>
      </w:r>
      <w:r w:rsidR="009B020C" w:rsidRPr="00984715">
        <w:t>have a positive impact on the reven</w:t>
      </w:r>
      <w:r w:rsidR="009B020C">
        <w:t>ue generated</w:t>
      </w:r>
      <w:r w:rsidR="009B020C" w:rsidRPr="00984715">
        <w:t xml:space="preserve">. </w:t>
      </w:r>
      <w:r w:rsidR="009B020C">
        <w:t xml:space="preserve"> </w:t>
      </w:r>
      <w:r w:rsidR="001714D0" w:rsidRPr="006D717D">
        <w:rPr>
          <w:bCs/>
          <w:iCs/>
        </w:rPr>
        <w:t xml:space="preserve">The Delegation said that Portugal is currently in the process of finalizing the ratification of the Geneva Act of the Lisbon Agreement. </w:t>
      </w:r>
      <w:r w:rsidR="001714D0">
        <w:rPr>
          <w:bCs/>
          <w:iCs/>
        </w:rPr>
        <w:t xml:space="preserve"> </w:t>
      </w:r>
      <w:r w:rsidR="001714D0" w:rsidRPr="006D717D">
        <w:rPr>
          <w:bCs/>
          <w:iCs/>
        </w:rPr>
        <w:t>Additionally, the Delegation agreed with the proposed amendments to the Common Regulations, highlighting the efforts taken towards the simplification of the Lisbon System promoted by the debates engaged in the Working Group</w:t>
      </w:r>
      <w:r w:rsidR="001714D0">
        <w:rPr>
          <w:bCs/>
          <w:iCs/>
        </w:rPr>
        <w:t>.</w:t>
      </w:r>
      <w:r w:rsidR="001714D0" w:rsidRPr="001714D0" w:rsidDel="001714D0">
        <w:t xml:space="preserve"> </w:t>
      </w:r>
    </w:p>
    <w:p w:rsidR="009B020C" w:rsidRDefault="009B020C" w:rsidP="00052F5D">
      <w:pPr>
        <w:pStyle w:val="ONUME"/>
      </w:pPr>
      <w:r>
        <w:t>The Delegation of Hungary aligned itself with the statement made by the Delegation of the European Union, and further specified that it fully supported the adoption of amendments to Rules 7, 8, 9, 15 and 16 of the Common R</w:t>
      </w:r>
      <w:r w:rsidRPr="000A713C">
        <w:t>egulations</w:t>
      </w:r>
      <w:r>
        <w:t>,</w:t>
      </w:r>
      <w:r w:rsidRPr="000A713C">
        <w:t xml:space="preserve"> as recomme</w:t>
      </w:r>
      <w:r>
        <w:t>nded by the Working G</w:t>
      </w:r>
      <w:r w:rsidRPr="000A713C">
        <w:t>r</w:t>
      </w:r>
      <w:r>
        <w:t>oup after a fruitful debate, with</w:t>
      </w:r>
      <w:r w:rsidRPr="00546AB7">
        <w:t xml:space="preserve"> </w:t>
      </w:r>
      <w:r w:rsidRPr="00A9636F">
        <w:t>January 1, 2023, as their date of entry into force.</w:t>
      </w:r>
      <w:r w:rsidRPr="000A713C">
        <w:t xml:space="preserve"> </w:t>
      </w:r>
      <w:r>
        <w:t xml:space="preserve"> </w:t>
      </w:r>
      <w:r w:rsidRPr="000A713C">
        <w:t xml:space="preserve">The </w:t>
      </w:r>
      <w:r>
        <w:t>Delegation expressed the view that the concept behind the proposal was clear and reasonable and therefore regarded</w:t>
      </w:r>
      <w:r w:rsidRPr="000A713C">
        <w:t xml:space="preserve"> </w:t>
      </w:r>
      <w:r>
        <w:t>the proposed</w:t>
      </w:r>
      <w:r w:rsidRPr="000A713C">
        <w:t xml:space="preserve"> amendments </w:t>
      </w:r>
      <w:r>
        <w:t>as necessary for the simplification</w:t>
      </w:r>
      <w:r w:rsidRPr="000A713C">
        <w:t xml:space="preserve"> and streamlining of the procedures under the Lisbon System</w:t>
      </w:r>
      <w:r>
        <w:t>,</w:t>
      </w:r>
      <w:r w:rsidRPr="000A713C">
        <w:t xml:space="preserve"> for the benefit of users</w:t>
      </w:r>
      <w:r>
        <w:t>.</w:t>
      </w:r>
    </w:p>
    <w:p w:rsidR="009B020C" w:rsidRPr="003D3F66" w:rsidRDefault="009B020C" w:rsidP="00052F5D">
      <w:pPr>
        <w:pStyle w:val="ONUME"/>
        <w:rPr>
          <w:lang w:val="en-GB"/>
        </w:rPr>
      </w:pPr>
      <w:r>
        <w:t xml:space="preserve">The Delegation of Georgia </w:t>
      </w:r>
      <w:r w:rsidRPr="003D3F66">
        <w:rPr>
          <w:lang w:val="en-GB"/>
        </w:rPr>
        <w:t>support</w:t>
      </w:r>
      <w:r>
        <w:rPr>
          <w:lang w:val="en-GB"/>
        </w:rPr>
        <w:t>ed</w:t>
      </w:r>
      <w:r w:rsidRPr="003D3F66">
        <w:rPr>
          <w:lang w:val="en-GB"/>
        </w:rPr>
        <w:t xml:space="preserve"> the </w:t>
      </w:r>
      <w:r>
        <w:rPr>
          <w:lang w:val="en-GB"/>
        </w:rPr>
        <w:t>proposed a</w:t>
      </w:r>
      <w:r w:rsidRPr="003D3F66">
        <w:rPr>
          <w:lang w:val="en-GB"/>
        </w:rPr>
        <w:t xml:space="preserve">mendments to the Common Regulations </w:t>
      </w:r>
      <w:r>
        <w:rPr>
          <w:lang w:val="en-GB"/>
        </w:rPr>
        <w:t>as it was of the view</w:t>
      </w:r>
      <w:r w:rsidRPr="003D3F66">
        <w:rPr>
          <w:lang w:val="en-GB"/>
        </w:rPr>
        <w:t xml:space="preserve"> that the proposed amendments</w:t>
      </w:r>
      <w:r>
        <w:rPr>
          <w:lang w:val="en-GB"/>
        </w:rPr>
        <w:t xml:space="preserve"> would contribute to </w:t>
      </w:r>
      <w:r w:rsidRPr="003D3F66">
        <w:rPr>
          <w:lang w:val="en-GB"/>
        </w:rPr>
        <w:t xml:space="preserve">strengthen the Lisbon Union, while </w:t>
      </w:r>
      <w:r>
        <w:rPr>
          <w:lang w:val="en-GB"/>
        </w:rPr>
        <w:t>they would also allow Lisbon</w:t>
      </w:r>
      <w:r w:rsidRPr="003D3F66">
        <w:rPr>
          <w:lang w:val="en-GB"/>
        </w:rPr>
        <w:t xml:space="preserve"> members </w:t>
      </w:r>
      <w:r>
        <w:rPr>
          <w:lang w:val="en-GB"/>
        </w:rPr>
        <w:t xml:space="preserve">to </w:t>
      </w:r>
      <w:r w:rsidRPr="003D3F66">
        <w:rPr>
          <w:lang w:val="en-GB"/>
        </w:rPr>
        <w:t>find a reasonable and balanced solution in order to establish a long-term financially sustain</w:t>
      </w:r>
      <w:r>
        <w:rPr>
          <w:lang w:val="en-GB"/>
        </w:rPr>
        <w:t>able system.  The Delegation</w:t>
      </w:r>
      <w:r w:rsidRPr="003D3F66">
        <w:rPr>
          <w:lang w:val="en-GB"/>
        </w:rPr>
        <w:t xml:space="preserve"> </w:t>
      </w:r>
      <w:r>
        <w:rPr>
          <w:lang w:val="en-GB"/>
        </w:rPr>
        <w:t xml:space="preserve">concluded by saying </w:t>
      </w:r>
      <w:r w:rsidRPr="003D3F66">
        <w:rPr>
          <w:lang w:val="en-GB"/>
        </w:rPr>
        <w:t xml:space="preserve">that Georgia had decided to join the </w:t>
      </w:r>
      <w:r>
        <w:rPr>
          <w:lang w:val="en-GB"/>
        </w:rPr>
        <w:t>Geneva Act of the Lisbon Agreement.</w:t>
      </w:r>
    </w:p>
    <w:p w:rsidR="009B020C" w:rsidRPr="00AE06A8" w:rsidRDefault="009B020C" w:rsidP="00052F5D">
      <w:pPr>
        <w:pStyle w:val="ONUME"/>
        <w:rPr>
          <w:lang w:val="en-GB"/>
        </w:rPr>
      </w:pPr>
      <w:r>
        <w:t xml:space="preserve">The Delegation of the Russian Federation </w:t>
      </w:r>
      <w:r w:rsidRPr="00AE06A8">
        <w:rPr>
          <w:lang w:val="en-GB"/>
        </w:rPr>
        <w:t>welcomed t</w:t>
      </w:r>
      <w:r>
        <w:rPr>
          <w:lang w:val="en-GB"/>
        </w:rPr>
        <w:t>he proposed amendments to Rules </w:t>
      </w:r>
      <w:r w:rsidRPr="00AE06A8">
        <w:rPr>
          <w:lang w:val="en-GB"/>
        </w:rPr>
        <w:t xml:space="preserve">7, 8, 9, 15 and 16 of </w:t>
      </w:r>
      <w:r>
        <w:rPr>
          <w:lang w:val="en-GB"/>
        </w:rPr>
        <w:t xml:space="preserve">the Common Regulations, before recalling that </w:t>
      </w:r>
      <w:r w:rsidRPr="00AE06A8">
        <w:rPr>
          <w:lang w:val="en-GB"/>
        </w:rPr>
        <w:t>in December 2021</w:t>
      </w:r>
      <w:r>
        <w:rPr>
          <w:lang w:val="en-GB"/>
        </w:rPr>
        <w:t>,</w:t>
      </w:r>
      <w:r w:rsidRPr="00AE06A8">
        <w:rPr>
          <w:lang w:val="en-GB"/>
        </w:rPr>
        <w:t xml:space="preserve"> the Russian Federation had introduced into</w:t>
      </w:r>
      <w:r>
        <w:rPr>
          <w:lang w:val="en-GB"/>
        </w:rPr>
        <w:t xml:space="preserve"> its</w:t>
      </w:r>
      <w:r w:rsidRPr="00AE06A8">
        <w:rPr>
          <w:lang w:val="en-GB"/>
        </w:rPr>
        <w:t xml:space="preserve"> national law a provision confirming the accession of the Russian Federat</w:t>
      </w:r>
      <w:r>
        <w:rPr>
          <w:lang w:val="en-GB"/>
        </w:rPr>
        <w:t>ion to the Geneva Act of the Lisbon Agreement.  The Delegation</w:t>
      </w:r>
      <w:r w:rsidRPr="00AE06A8">
        <w:rPr>
          <w:lang w:val="en-GB"/>
        </w:rPr>
        <w:t xml:space="preserve"> </w:t>
      </w:r>
      <w:r w:rsidR="00132E63">
        <w:rPr>
          <w:lang w:val="en-GB"/>
        </w:rPr>
        <w:t>added</w:t>
      </w:r>
      <w:r>
        <w:rPr>
          <w:lang w:val="en-GB"/>
        </w:rPr>
        <w:t xml:space="preserve"> </w:t>
      </w:r>
      <w:r w:rsidRPr="00AE06A8">
        <w:rPr>
          <w:lang w:val="en-GB"/>
        </w:rPr>
        <w:t xml:space="preserve">that the Russian Federation was </w:t>
      </w:r>
      <w:r>
        <w:rPr>
          <w:lang w:val="en-GB"/>
        </w:rPr>
        <w:t>in the process of finalizing the revision of its national</w:t>
      </w:r>
      <w:r w:rsidRPr="00AE06A8">
        <w:rPr>
          <w:lang w:val="en-GB"/>
        </w:rPr>
        <w:t xml:space="preserve"> law</w:t>
      </w:r>
      <w:r>
        <w:rPr>
          <w:lang w:val="en-GB"/>
        </w:rPr>
        <w:t xml:space="preserve"> through the adoption of</w:t>
      </w:r>
      <w:r w:rsidRPr="00AE06A8">
        <w:rPr>
          <w:lang w:val="en-GB"/>
        </w:rPr>
        <w:t xml:space="preserve"> </w:t>
      </w:r>
      <w:r>
        <w:rPr>
          <w:lang w:val="en-GB"/>
        </w:rPr>
        <w:t>the necessary amendments to the relevant</w:t>
      </w:r>
      <w:r w:rsidRPr="00AE06A8">
        <w:rPr>
          <w:lang w:val="en-GB"/>
        </w:rPr>
        <w:t xml:space="preserve"> provisions to make the accession to the Lisbon System possible.  </w:t>
      </w:r>
      <w:r>
        <w:rPr>
          <w:lang w:val="en-GB"/>
        </w:rPr>
        <w:t>In that regard, t</w:t>
      </w:r>
      <w:r w:rsidRPr="00AE06A8">
        <w:rPr>
          <w:lang w:val="en-GB"/>
        </w:rPr>
        <w:t xml:space="preserve">he </w:t>
      </w:r>
      <w:r>
        <w:rPr>
          <w:lang w:val="en-GB"/>
        </w:rPr>
        <w:t>Delegation</w:t>
      </w:r>
      <w:r w:rsidRPr="00AE06A8">
        <w:rPr>
          <w:lang w:val="en-GB"/>
        </w:rPr>
        <w:t xml:space="preserve"> </w:t>
      </w:r>
      <w:r>
        <w:rPr>
          <w:lang w:val="en-GB"/>
        </w:rPr>
        <w:t xml:space="preserve">indicated </w:t>
      </w:r>
      <w:r w:rsidRPr="00AE06A8">
        <w:rPr>
          <w:lang w:val="en-GB"/>
        </w:rPr>
        <w:t>that at the beginning of next year</w:t>
      </w:r>
      <w:r>
        <w:rPr>
          <w:lang w:val="en-GB"/>
        </w:rPr>
        <w:t>,</w:t>
      </w:r>
      <w:r w:rsidRPr="00AE06A8">
        <w:rPr>
          <w:lang w:val="en-GB"/>
        </w:rPr>
        <w:t xml:space="preserve"> the Russian Federation would be officially depositing its instrument of accession with the Director General of </w:t>
      </w:r>
      <w:r>
        <w:rPr>
          <w:lang w:val="en-GB"/>
        </w:rPr>
        <w:t>WIPO.  The Delegation</w:t>
      </w:r>
      <w:r w:rsidRPr="00AE06A8">
        <w:rPr>
          <w:lang w:val="en-GB"/>
        </w:rPr>
        <w:t xml:space="preserve"> </w:t>
      </w:r>
      <w:r>
        <w:rPr>
          <w:lang w:val="en-GB"/>
        </w:rPr>
        <w:t xml:space="preserve">expressed the view </w:t>
      </w:r>
      <w:r w:rsidRPr="00AE06A8">
        <w:rPr>
          <w:lang w:val="en-GB"/>
        </w:rPr>
        <w:t xml:space="preserve">that the Russian </w:t>
      </w:r>
      <w:r>
        <w:rPr>
          <w:lang w:val="en-GB"/>
        </w:rPr>
        <w:t xml:space="preserve">Federation’s </w:t>
      </w:r>
      <w:r w:rsidRPr="00AE06A8">
        <w:rPr>
          <w:lang w:val="en-GB"/>
        </w:rPr>
        <w:t xml:space="preserve">participation in the Lisbon System would help </w:t>
      </w:r>
      <w:r>
        <w:rPr>
          <w:lang w:val="en-GB"/>
        </w:rPr>
        <w:t xml:space="preserve">the </w:t>
      </w:r>
      <w:r w:rsidRPr="00AE06A8">
        <w:rPr>
          <w:lang w:val="en-GB"/>
        </w:rPr>
        <w:t xml:space="preserve">Russian Federation speed up the </w:t>
      </w:r>
      <w:r w:rsidRPr="00B71845">
        <w:rPr>
          <w:lang w:val="en-GB"/>
        </w:rPr>
        <w:t>procedures</w:t>
      </w:r>
      <w:r w:rsidRPr="00AE06A8">
        <w:rPr>
          <w:lang w:val="en-GB"/>
        </w:rPr>
        <w:t xml:space="preserve"> for receiving legal protection for appellations of origin and geographical indications</w:t>
      </w:r>
      <w:r>
        <w:rPr>
          <w:lang w:val="en-GB"/>
        </w:rPr>
        <w:t xml:space="preserve"> in the other Contracting P</w:t>
      </w:r>
      <w:r w:rsidRPr="00AE06A8">
        <w:rPr>
          <w:lang w:val="en-GB"/>
        </w:rPr>
        <w:t>arties</w:t>
      </w:r>
      <w:r>
        <w:rPr>
          <w:lang w:val="en-GB"/>
        </w:rPr>
        <w:t xml:space="preserve"> of the Lisbon S</w:t>
      </w:r>
      <w:r w:rsidRPr="00AE06A8">
        <w:rPr>
          <w:lang w:val="en-GB"/>
        </w:rPr>
        <w:t xml:space="preserve">ystem.  </w:t>
      </w:r>
      <w:r>
        <w:rPr>
          <w:lang w:val="en-GB"/>
        </w:rPr>
        <w:t>Furthermore, the Delegation</w:t>
      </w:r>
      <w:r w:rsidRPr="00AE06A8">
        <w:rPr>
          <w:lang w:val="en-GB"/>
        </w:rPr>
        <w:t xml:space="preserve"> </w:t>
      </w:r>
      <w:r>
        <w:rPr>
          <w:lang w:val="en-GB"/>
        </w:rPr>
        <w:t>was of the view that the</w:t>
      </w:r>
      <w:r w:rsidRPr="00AE06A8">
        <w:rPr>
          <w:lang w:val="en-GB"/>
        </w:rPr>
        <w:t xml:space="preserve"> participation</w:t>
      </w:r>
      <w:r>
        <w:rPr>
          <w:lang w:val="en-GB"/>
        </w:rPr>
        <w:t xml:space="preserve"> of the Russian Federation</w:t>
      </w:r>
      <w:r w:rsidRPr="00AE06A8">
        <w:rPr>
          <w:lang w:val="en-GB"/>
        </w:rPr>
        <w:t xml:space="preserve"> in the Lisbon System would offer new opportunities for economic development in specific regions and </w:t>
      </w:r>
      <w:r>
        <w:rPr>
          <w:lang w:val="en-GB"/>
        </w:rPr>
        <w:t xml:space="preserve">would </w:t>
      </w:r>
      <w:r w:rsidRPr="00AE06A8">
        <w:rPr>
          <w:lang w:val="en-GB"/>
        </w:rPr>
        <w:t xml:space="preserve">support local producers, while also ensuring further integration of the Russian Federation in the global </w:t>
      </w:r>
      <w:r>
        <w:rPr>
          <w:lang w:val="en-GB"/>
        </w:rPr>
        <w:t>IP</w:t>
      </w:r>
      <w:r w:rsidRPr="00AE06A8">
        <w:rPr>
          <w:lang w:val="en-GB"/>
        </w:rPr>
        <w:t xml:space="preserve"> protection system.</w:t>
      </w:r>
    </w:p>
    <w:p w:rsidR="009B020C" w:rsidRDefault="009B020C" w:rsidP="00052F5D">
      <w:pPr>
        <w:pStyle w:val="ONUME"/>
      </w:pPr>
      <w:r>
        <w:t xml:space="preserve">The Delegation of Slovakia </w:t>
      </w:r>
      <w:r w:rsidRPr="00DC623F">
        <w:t>endorsed the adoption of the proposed amend</w:t>
      </w:r>
      <w:r>
        <w:t>ments to the Common Regulations, with January 1, 2023, as their date of entry into force.  The Delegation</w:t>
      </w:r>
      <w:r w:rsidRPr="00DC623F">
        <w:t xml:space="preserve"> believed that such amendments would help relevant </w:t>
      </w:r>
      <w:r w:rsidRPr="00B71845">
        <w:t>actors</w:t>
      </w:r>
      <w:r w:rsidRPr="00DC623F">
        <w:t xml:space="preserve"> and stakeholders, while also making the Lisbo</w:t>
      </w:r>
      <w:r>
        <w:t>n System more attractive.  The Delegation stressed that the proposed amendments would</w:t>
      </w:r>
      <w:r w:rsidRPr="00DC623F">
        <w:t xml:space="preserve"> also dec</w:t>
      </w:r>
      <w:r>
        <w:t>rease the administrative burden</w:t>
      </w:r>
      <w:r w:rsidRPr="00DC623F">
        <w:t xml:space="preserve"> for the procedures under the Lisbon System and </w:t>
      </w:r>
      <w:r>
        <w:t xml:space="preserve">may </w:t>
      </w:r>
      <w:r w:rsidRPr="00DC623F">
        <w:t>become well established in the practice, which would be beneficial to</w:t>
      </w:r>
      <w:r>
        <w:t xml:space="preserve"> all Member States.  </w:t>
      </w:r>
      <w:r>
        <w:lastRenderedPageBreak/>
        <w:t>The Delegation</w:t>
      </w:r>
      <w:r w:rsidRPr="00DC623F">
        <w:t xml:space="preserve"> </w:t>
      </w:r>
      <w:r>
        <w:t xml:space="preserve">reiterated </w:t>
      </w:r>
      <w:r w:rsidRPr="00DC623F">
        <w:t>that it fully supp</w:t>
      </w:r>
      <w:r>
        <w:t>orted the proposed amendments agreed upon at the previous session of the</w:t>
      </w:r>
      <w:r w:rsidRPr="00DC623F">
        <w:t xml:space="preserve"> Working Group </w:t>
      </w:r>
      <w:r>
        <w:t>held in June 2022</w:t>
      </w:r>
      <w:r w:rsidRPr="00DC623F">
        <w:t>.</w:t>
      </w:r>
    </w:p>
    <w:p w:rsidR="009B020C" w:rsidRDefault="009B020C" w:rsidP="00052F5D">
      <w:pPr>
        <w:pStyle w:val="ONUME"/>
      </w:pPr>
      <w:r w:rsidRPr="00B20A81">
        <w:t xml:space="preserve">The Delegation of Italy aligned itself with the statement made by the Delegation of </w:t>
      </w:r>
      <w:r>
        <w:t xml:space="preserve">the </w:t>
      </w:r>
      <w:r w:rsidRPr="00B20A81">
        <w:t>European Union and expressed its strong support for the position taken by the Delegation of France in relation to the Lisbon Union.</w:t>
      </w:r>
    </w:p>
    <w:p w:rsidR="009B020C" w:rsidRDefault="009B020C" w:rsidP="00052F5D">
      <w:pPr>
        <w:pStyle w:val="ONUME"/>
      </w:pPr>
      <w:r>
        <w:t xml:space="preserve">The Representative of the </w:t>
      </w:r>
      <w:r w:rsidRPr="00FA234F">
        <w:t xml:space="preserve">Latin American School of Intellectual Property </w:t>
      </w:r>
      <w:r>
        <w:t xml:space="preserve">(ELAPI) supported the proposed amendments to the Common Regulations, as they were of the view that </w:t>
      </w:r>
      <w:r w:rsidRPr="00FA234F">
        <w:t xml:space="preserve">the proposed amendments would help the Lisbon Union achieve the goals set in previous meetings.  </w:t>
      </w:r>
      <w:r>
        <w:t xml:space="preserve">He further </w:t>
      </w:r>
      <w:r w:rsidRPr="00FA234F">
        <w:t xml:space="preserve">highlighted the search for rationality in the setting of fees to be paid for modifications of </w:t>
      </w:r>
      <w:r>
        <w:t xml:space="preserve">an international registration and said that ELAPI </w:t>
      </w:r>
      <w:r w:rsidRPr="00FA234F">
        <w:t>attach</w:t>
      </w:r>
      <w:r>
        <w:t>ed</w:t>
      </w:r>
      <w:r w:rsidRPr="00FA234F">
        <w:t xml:space="preserve"> great importance to the discount of 50</w:t>
      </w:r>
      <w:r>
        <w:t xml:space="preserve"> per cent</w:t>
      </w:r>
      <w:r w:rsidRPr="00FA234F">
        <w:t xml:space="preserve"> for internat</w:t>
      </w:r>
      <w:r>
        <w:t>ional registrations originating in</w:t>
      </w:r>
      <w:r w:rsidRPr="00FA234F">
        <w:t xml:space="preserve"> a geographical area of origin located in </w:t>
      </w:r>
      <w:r>
        <w:t>a least developed country (LDC).  He concluded by saying</w:t>
      </w:r>
      <w:r w:rsidRPr="00FA234F">
        <w:t xml:space="preserve"> that many countries and potential users seeking protection </w:t>
      </w:r>
      <w:r>
        <w:t xml:space="preserve">for their geographical indications </w:t>
      </w:r>
      <w:r w:rsidRPr="00FA234F">
        <w:t>woul</w:t>
      </w:r>
      <w:r>
        <w:t>d be extremely pleased with such a</w:t>
      </w:r>
      <w:r w:rsidRPr="00FA234F">
        <w:t xml:space="preserve"> discount because the </w:t>
      </w:r>
      <w:r>
        <w:t xml:space="preserve">amount of </w:t>
      </w:r>
      <w:r w:rsidRPr="00FA234F">
        <w:t xml:space="preserve">fees to be paid sometimes </w:t>
      </w:r>
      <w:r>
        <w:t xml:space="preserve">made it </w:t>
      </w:r>
      <w:r w:rsidRPr="00FA234F">
        <w:t xml:space="preserve">difficult </w:t>
      </w:r>
      <w:r>
        <w:t xml:space="preserve">for them to file </w:t>
      </w:r>
      <w:r w:rsidRPr="00FA234F">
        <w:t>application</w:t>
      </w:r>
      <w:r>
        <w:t>s</w:t>
      </w:r>
      <w:r w:rsidRPr="00FA234F">
        <w:t xml:space="preserve">.  </w:t>
      </w:r>
    </w:p>
    <w:p w:rsidR="009B020C" w:rsidRDefault="009B020C" w:rsidP="00052F5D">
      <w:pPr>
        <w:pStyle w:val="ONUME"/>
        <w:tabs>
          <w:tab w:val="clear" w:pos="567"/>
          <w:tab w:val="left" w:pos="1080"/>
        </w:tabs>
        <w:ind w:left="540"/>
      </w:pPr>
      <w:r>
        <w:t>The Assembly of the Lisbon Union adopted</w:t>
      </w:r>
      <w:r w:rsidRPr="00A9636F">
        <w:t xml:space="preserve"> the amendments to the Common Regulations under the Lisbon Agreement for the Protection of Appellations of Origin and their International Registration and the </w:t>
      </w:r>
      <w:r>
        <w:t>Geneva Act of the Lisbon Agreement</w:t>
      </w:r>
      <w:r w:rsidRPr="00A9636F">
        <w:t xml:space="preserve"> on Appellations of Origin and Geographical Indications, as s</w:t>
      </w:r>
      <w:r>
        <w:t>et out in the Annex to document </w:t>
      </w:r>
      <w:r w:rsidRPr="00A9636F">
        <w:t>LI/A/39/1, with January 1, 2023, as their date of entry into force.</w:t>
      </w:r>
    </w:p>
    <w:p w:rsidR="009B020C" w:rsidRPr="00190374" w:rsidRDefault="009B020C" w:rsidP="00052F5D">
      <w:pPr>
        <w:pStyle w:val="ONUME"/>
        <w:spacing w:after="720"/>
      </w:pPr>
      <w:r w:rsidRPr="00A9636F">
        <w:t>For ease</w:t>
      </w:r>
      <w:r>
        <w:t xml:space="preserve"> of reference, the Annex to this </w:t>
      </w:r>
      <w:r w:rsidRPr="00A9636F">
        <w:t xml:space="preserve">report </w:t>
      </w:r>
      <w:r w:rsidRPr="00FA7DEF">
        <w:t xml:space="preserve">contains the amendments to the Common Regulations under the Lisbon Agreement and the </w:t>
      </w:r>
      <w:r>
        <w:t>Geneva Act of the Lisbon Agreement</w:t>
      </w:r>
      <w:r w:rsidRPr="00FA7DEF">
        <w:t>, as adopted by the decision set out in paragraph 1</w:t>
      </w:r>
      <w:r>
        <w:t>6</w:t>
      </w:r>
      <w:r w:rsidRPr="00FA7DEF">
        <w:t>, above.</w:t>
      </w:r>
    </w:p>
    <w:p w:rsidR="009B020C" w:rsidRDefault="009B020C">
      <w:pPr>
        <w:ind w:left="5529"/>
        <w:rPr>
          <w:szCs w:val="22"/>
        </w:rPr>
      </w:pPr>
      <w:r w:rsidRPr="005854F0">
        <w:rPr>
          <w:szCs w:val="22"/>
        </w:rPr>
        <w:t>[</w:t>
      </w:r>
      <w:r w:rsidRPr="006F2265">
        <w:rPr>
          <w:szCs w:val="22"/>
        </w:rPr>
        <w:t>Annex follows</w:t>
      </w:r>
      <w:r>
        <w:rPr>
          <w:szCs w:val="22"/>
        </w:rPr>
        <w:t>]</w:t>
      </w:r>
    </w:p>
    <w:p w:rsidR="009B020C" w:rsidRDefault="009B020C">
      <w:pPr>
        <w:sectPr w:rsidR="009B020C" w:rsidSect="00E55BA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titlePg/>
          <w:docGrid w:linePitch="360"/>
        </w:sectPr>
      </w:pPr>
    </w:p>
    <w:p w:rsidR="009B020C" w:rsidRPr="00FB4AD4" w:rsidRDefault="009B020C">
      <w:pPr>
        <w:jc w:val="center"/>
        <w:rPr>
          <w:rFonts w:eastAsia="MS Mincho"/>
          <w:b/>
          <w:szCs w:val="22"/>
          <w:lang w:eastAsia="en-US"/>
        </w:rPr>
      </w:pPr>
      <w:r>
        <w:rPr>
          <w:rFonts w:eastAsia="MS Mincho"/>
          <w:b/>
          <w:szCs w:val="22"/>
          <w:lang w:eastAsia="en-US"/>
        </w:rPr>
        <w:lastRenderedPageBreak/>
        <w:t>Common Regulations U</w:t>
      </w:r>
      <w:r w:rsidRPr="00FB4AD4">
        <w:rPr>
          <w:rFonts w:eastAsia="MS Mincho"/>
          <w:b/>
          <w:szCs w:val="22"/>
          <w:lang w:eastAsia="en-US"/>
        </w:rPr>
        <w:t xml:space="preserve">nder the Lisbon Agreement for the Protection of Appellations of Origin and Their International Registration and the </w:t>
      </w:r>
      <w:r>
        <w:rPr>
          <w:rFonts w:eastAsia="MS Mincho"/>
          <w:b/>
          <w:szCs w:val="22"/>
          <w:lang w:eastAsia="en-US"/>
        </w:rPr>
        <w:t>Geneva Act of the Lisbon Agreement</w:t>
      </w:r>
      <w:r w:rsidRPr="00FB4AD4">
        <w:rPr>
          <w:rFonts w:eastAsia="MS Mincho"/>
          <w:b/>
          <w:szCs w:val="22"/>
          <w:lang w:eastAsia="en-US"/>
        </w:rPr>
        <w:t xml:space="preserve"> of the Lisbon Agreement on Appellations of Origin and Geographical Indications</w:t>
      </w:r>
    </w:p>
    <w:p w:rsidR="009B020C" w:rsidRPr="00FB4AD4" w:rsidRDefault="009B020C">
      <w:pPr>
        <w:spacing w:before="240" w:after="600"/>
        <w:jc w:val="center"/>
        <w:rPr>
          <w:rFonts w:eastAsia="MS Mincho"/>
          <w:szCs w:val="22"/>
          <w:lang w:eastAsia="en-US"/>
        </w:rPr>
      </w:pPr>
      <w:r w:rsidRPr="00FB4AD4">
        <w:rPr>
          <w:rFonts w:eastAsia="MS Mincho"/>
          <w:szCs w:val="22"/>
          <w:lang w:eastAsia="en-US"/>
        </w:rPr>
        <w:t xml:space="preserve">as in force on </w:t>
      </w:r>
      <w:r w:rsidRPr="00E95635">
        <w:rPr>
          <w:rFonts w:eastAsia="MS Mincho"/>
          <w:szCs w:val="22"/>
          <w:lang w:eastAsia="en-US"/>
        </w:rPr>
        <w:t>January 1, 2023</w:t>
      </w:r>
    </w:p>
    <w:p w:rsidR="009B020C" w:rsidRPr="00FB4AD4" w:rsidRDefault="009B020C">
      <w:pPr>
        <w:keepNext/>
        <w:spacing w:after="120"/>
      </w:pPr>
      <w:r w:rsidRPr="00FB4AD4">
        <w:t>[…]</w:t>
      </w:r>
    </w:p>
    <w:p w:rsidR="009B020C" w:rsidRPr="00FB4AD4" w:rsidRDefault="009B020C">
      <w:pPr>
        <w:keepNext/>
        <w:spacing w:after="480"/>
        <w:jc w:val="center"/>
        <w:rPr>
          <w:b/>
          <w:bCs/>
        </w:rPr>
      </w:pPr>
      <w:r w:rsidRPr="00FB4AD4">
        <w:rPr>
          <w:b/>
        </w:rPr>
        <w:t>Chapter II</w:t>
      </w:r>
      <w:r w:rsidRPr="00FB4AD4">
        <w:rPr>
          <w:b/>
        </w:rPr>
        <w:br/>
        <w:t>Application and International Registration</w:t>
      </w:r>
    </w:p>
    <w:p w:rsidR="009B020C" w:rsidRPr="00FB4AD4" w:rsidRDefault="009B020C">
      <w:pPr>
        <w:tabs>
          <w:tab w:val="left" w:pos="630"/>
          <w:tab w:val="left" w:pos="1170"/>
        </w:tabs>
        <w:spacing w:before="120" w:after="120"/>
        <w:jc w:val="center"/>
        <w:rPr>
          <w:rFonts w:eastAsia="Times New Roman"/>
          <w:color w:val="1A1A1A"/>
          <w:szCs w:val="22"/>
          <w:lang w:eastAsia="en-US"/>
        </w:rPr>
      </w:pPr>
      <w:r w:rsidRPr="00FB4AD4">
        <w:rPr>
          <w:rFonts w:eastAsia="Times New Roman"/>
          <w:b/>
          <w:bCs/>
          <w:color w:val="1A1A1A"/>
          <w:szCs w:val="22"/>
          <w:lang w:eastAsia="en-US"/>
        </w:rPr>
        <w:t>Rule 7</w:t>
      </w:r>
      <w:r w:rsidRPr="00FB4AD4">
        <w:rPr>
          <w:rFonts w:eastAsia="Times New Roman"/>
          <w:b/>
          <w:bCs/>
          <w:color w:val="1A1A1A"/>
          <w:szCs w:val="22"/>
          <w:lang w:eastAsia="en-US"/>
        </w:rPr>
        <w:br/>
      </w:r>
      <w:r w:rsidRPr="00FB4AD4">
        <w:rPr>
          <w:rFonts w:eastAsia="Times New Roman"/>
          <w:bCs/>
          <w:color w:val="1A1A1A"/>
          <w:szCs w:val="22"/>
          <w:lang w:eastAsia="en-US"/>
        </w:rPr>
        <w:t>Entry in the International Register</w:t>
      </w:r>
    </w:p>
    <w:p w:rsidR="009B020C" w:rsidRPr="00FB4AD4" w:rsidRDefault="009B020C">
      <w:pPr>
        <w:spacing w:before="120" w:after="120"/>
        <w:rPr>
          <w:rFonts w:eastAsia="Times New Roman"/>
          <w:color w:val="1A1A1A"/>
          <w:szCs w:val="22"/>
          <w:lang w:eastAsia="en-US"/>
        </w:rPr>
      </w:pPr>
      <w:r w:rsidRPr="00FB4AD4">
        <w:rPr>
          <w:rFonts w:eastAsia="Times New Roman"/>
          <w:color w:val="1A1A1A"/>
          <w:szCs w:val="22"/>
          <w:lang w:eastAsia="en-US"/>
        </w:rPr>
        <w:t>[…]</w:t>
      </w:r>
    </w:p>
    <w:p w:rsidR="009B020C" w:rsidRPr="00FB4AD4" w:rsidRDefault="009B020C">
      <w:pPr>
        <w:tabs>
          <w:tab w:val="left" w:pos="630"/>
        </w:tabs>
        <w:spacing w:before="120" w:after="120"/>
        <w:rPr>
          <w:rFonts w:eastAsia="Times New Roman"/>
          <w:color w:val="1A1A1A"/>
          <w:szCs w:val="22"/>
          <w:lang w:eastAsia="en-US"/>
        </w:rPr>
      </w:pPr>
      <w:r w:rsidRPr="00FB4AD4">
        <w:rPr>
          <w:rFonts w:eastAsia="Times New Roman"/>
          <w:color w:val="1A1A1A"/>
          <w:szCs w:val="22"/>
          <w:lang w:eastAsia="en-US"/>
        </w:rPr>
        <w:t>(4) </w:t>
      </w:r>
      <w:r w:rsidRPr="00FB4AD4">
        <w:rPr>
          <w:rFonts w:eastAsia="Times New Roman"/>
          <w:color w:val="1A1A1A"/>
          <w:szCs w:val="22"/>
          <w:lang w:eastAsia="en-US"/>
        </w:rPr>
        <w:tab/>
      </w:r>
      <w:r w:rsidRPr="00FB4AD4">
        <w:rPr>
          <w:rFonts w:eastAsia="Times New Roman"/>
          <w:i/>
          <w:iCs/>
          <w:color w:val="1A1A1A"/>
          <w:szCs w:val="22"/>
          <w:lang w:eastAsia="en-US"/>
        </w:rPr>
        <w:t xml:space="preserve">[Implementation of Articles 29(4) and 31(1) of the </w:t>
      </w:r>
      <w:r>
        <w:rPr>
          <w:rFonts w:eastAsia="Times New Roman"/>
          <w:i/>
          <w:iCs/>
          <w:color w:val="1A1A1A"/>
          <w:szCs w:val="22"/>
          <w:lang w:eastAsia="en-US"/>
        </w:rPr>
        <w:t>Geneva Act of the Lisbon Agreement</w:t>
      </w:r>
      <w:r w:rsidRPr="00FB4AD4">
        <w:rPr>
          <w:rFonts w:eastAsia="Times New Roman"/>
          <w:i/>
          <w:iCs/>
          <w:color w:val="1A1A1A"/>
          <w:szCs w:val="22"/>
          <w:lang w:eastAsia="en-US"/>
        </w:rPr>
        <w:t>]</w:t>
      </w:r>
    </w:p>
    <w:p w:rsidR="009B020C" w:rsidRPr="00FB4AD4" w:rsidRDefault="009B020C">
      <w:pPr>
        <w:tabs>
          <w:tab w:val="left" w:pos="630"/>
          <w:tab w:val="left" w:pos="1170"/>
        </w:tabs>
        <w:spacing w:before="120" w:after="120"/>
        <w:rPr>
          <w:rFonts w:eastAsia="Times New Roman"/>
          <w:color w:val="1A1A1A"/>
          <w:szCs w:val="22"/>
          <w:lang w:eastAsia="en-US"/>
        </w:rPr>
      </w:pPr>
      <w:r w:rsidRPr="00FB4AD4">
        <w:rPr>
          <w:rFonts w:eastAsia="Times New Roman"/>
          <w:color w:val="1A1A1A"/>
          <w:szCs w:val="22"/>
          <w:lang w:eastAsia="en-US"/>
        </w:rPr>
        <w:tab/>
        <w:t xml:space="preserve">(a) </w:t>
      </w:r>
      <w:r w:rsidRPr="00FB4AD4">
        <w:rPr>
          <w:rFonts w:eastAsia="Times New Roman"/>
          <w:color w:val="1A1A1A"/>
          <w:szCs w:val="22"/>
          <w:lang w:eastAsia="en-US"/>
        </w:rPr>
        <w:tab/>
        <w:t xml:space="preserve">In case of the ratification of, or accession to, the </w:t>
      </w:r>
      <w:r>
        <w:rPr>
          <w:rFonts w:eastAsia="Times New Roman"/>
          <w:color w:val="1A1A1A"/>
          <w:szCs w:val="22"/>
          <w:lang w:eastAsia="en-US"/>
        </w:rPr>
        <w:t>Geneva Act of the Lisbon Agreement</w:t>
      </w:r>
      <w:r w:rsidRPr="00FB4AD4">
        <w:rPr>
          <w:rFonts w:eastAsia="Times New Roman"/>
          <w:color w:val="1A1A1A"/>
          <w:szCs w:val="22"/>
          <w:lang w:eastAsia="en-US"/>
        </w:rPr>
        <w:t xml:space="preserve"> by a State that is party to the 1967 Act, Rules 5(2) to (4) shall apply </w:t>
      </w:r>
      <w:r w:rsidRPr="00FB4AD4">
        <w:rPr>
          <w:rFonts w:eastAsia="Times New Roman"/>
          <w:i/>
          <w:iCs/>
          <w:color w:val="1A1A1A"/>
          <w:szCs w:val="22"/>
          <w:lang w:eastAsia="en-US"/>
        </w:rPr>
        <w:t>mutatis mutandis</w:t>
      </w:r>
      <w:r w:rsidRPr="00FB4AD4">
        <w:rPr>
          <w:rFonts w:eastAsia="Times New Roman"/>
          <w:color w:val="1A1A1A"/>
          <w:szCs w:val="22"/>
          <w:lang w:eastAsia="en-US"/>
        </w:rPr>
        <w:t xml:space="preserve"> with regard to international registrations or appellations of origin effective under the 1967 Act in respect of that State.  The International Bureau shall verify with the Competent Authority concerned any modifications to be made, in view of the requirements of Rules 3(1) and 5(2) to (4), for the purpose of their registration under the </w:t>
      </w:r>
      <w:r>
        <w:rPr>
          <w:rFonts w:eastAsia="Times New Roman"/>
          <w:color w:val="1A1A1A"/>
          <w:szCs w:val="22"/>
          <w:lang w:eastAsia="en-US"/>
        </w:rPr>
        <w:t>Geneva Act of the Lisbon Agreement</w:t>
      </w:r>
      <w:r w:rsidRPr="00FB4AD4">
        <w:rPr>
          <w:rFonts w:eastAsia="Times New Roman"/>
          <w:color w:val="1A1A1A"/>
          <w:szCs w:val="22"/>
          <w:lang w:eastAsia="en-US"/>
        </w:rPr>
        <w:t xml:space="preserve"> and shall notify international registrations thus effected to all other Contracting Parties that are party to the </w:t>
      </w:r>
      <w:r>
        <w:rPr>
          <w:rFonts w:eastAsia="Times New Roman"/>
          <w:color w:val="1A1A1A"/>
          <w:szCs w:val="22"/>
          <w:lang w:eastAsia="en-US"/>
        </w:rPr>
        <w:t>Geneva Act of the Lisbon Agreement</w:t>
      </w:r>
      <w:r w:rsidRPr="00FB4AD4">
        <w:rPr>
          <w:rFonts w:eastAsia="Times New Roman"/>
          <w:color w:val="1A1A1A"/>
          <w:szCs w:val="22"/>
          <w:lang w:eastAsia="en-US"/>
        </w:rPr>
        <w:t xml:space="preserve">. </w:t>
      </w:r>
      <w:r>
        <w:rPr>
          <w:rFonts w:eastAsia="Times New Roman"/>
          <w:color w:val="1A1A1A"/>
          <w:szCs w:val="22"/>
          <w:lang w:eastAsia="en-US"/>
        </w:rPr>
        <w:t xml:space="preserve"> </w:t>
      </w:r>
      <w:r w:rsidRPr="00FB4AD4">
        <w:rPr>
          <w:rFonts w:eastAsia="Times New Roman"/>
          <w:color w:val="1A1A1A"/>
          <w:szCs w:val="22"/>
          <w:lang w:eastAsia="en-US"/>
        </w:rPr>
        <w:t xml:space="preserve">Modifications </w:t>
      </w:r>
      <w:r>
        <w:rPr>
          <w:rFonts w:eastAsia="Times New Roman"/>
          <w:szCs w:val="22"/>
          <w:lang w:eastAsia="en-US"/>
        </w:rPr>
        <w:t>relating to Rule </w:t>
      </w:r>
      <w:r w:rsidRPr="00E95635">
        <w:rPr>
          <w:rFonts w:eastAsia="Times New Roman"/>
          <w:szCs w:val="22"/>
          <w:lang w:eastAsia="en-US"/>
        </w:rPr>
        <w:t xml:space="preserve">5(2) </w:t>
      </w:r>
      <w:r w:rsidRPr="00FB4AD4">
        <w:rPr>
          <w:rFonts w:eastAsia="Times New Roman"/>
          <w:color w:val="1A1A1A"/>
          <w:szCs w:val="22"/>
          <w:lang w:eastAsia="en-US"/>
        </w:rPr>
        <w:t>shall be subject to payment of the fee specified in Rule 8(1)(ii).</w:t>
      </w:r>
    </w:p>
    <w:p w:rsidR="009B020C" w:rsidRPr="00FB4AD4" w:rsidRDefault="009B020C">
      <w:pPr>
        <w:tabs>
          <w:tab w:val="left" w:pos="1170"/>
        </w:tabs>
        <w:spacing w:before="120" w:after="240"/>
        <w:rPr>
          <w:rFonts w:eastAsia="Times New Roman"/>
          <w:bCs/>
          <w:color w:val="1A1A1A"/>
          <w:szCs w:val="22"/>
          <w:lang w:eastAsia="en-US"/>
        </w:rPr>
      </w:pPr>
      <w:bookmarkStart w:id="6" w:name="rule7bis"/>
      <w:bookmarkEnd w:id="6"/>
      <w:r w:rsidRPr="00FB4AD4">
        <w:rPr>
          <w:rFonts w:eastAsia="Times New Roman"/>
          <w:bCs/>
          <w:color w:val="1A1A1A"/>
          <w:szCs w:val="22"/>
          <w:lang w:eastAsia="en-US"/>
        </w:rPr>
        <w:t>[…]</w:t>
      </w:r>
    </w:p>
    <w:p w:rsidR="009B020C" w:rsidRPr="00FB4AD4" w:rsidRDefault="009B020C">
      <w:pPr>
        <w:keepNext/>
        <w:jc w:val="center"/>
        <w:rPr>
          <w:b/>
        </w:rPr>
      </w:pPr>
      <w:r w:rsidRPr="00FB4AD4">
        <w:rPr>
          <w:b/>
        </w:rPr>
        <w:t>Rule 8</w:t>
      </w:r>
    </w:p>
    <w:p w:rsidR="009B020C" w:rsidRPr="00FB4AD4" w:rsidRDefault="009B020C">
      <w:pPr>
        <w:keepNext/>
        <w:spacing w:after="240"/>
        <w:jc w:val="center"/>
      </w:pPr>
      <w:r w:rsidRPr="00FB4AD4">
        <w:t>Fees</w:t>
      </w:r>
    </w:p>
    <w:p w:rsidR="009B020C" w:rsidRPr="00FB4AD4" w:rsidRDefault="009B020C">
      <w:pPr>
        <w:keepNext/>
        <w:tabs>
          <w:tab w:val="left" w:pos="567"/>
          <w:tab w:val="left" w:pos="1134"/>
        </w:tabs>
      </w:pPr>
      <w:r w:rsidRPr="00FB4AD4">
        <w:t>(1)</w:t>
      </w:r>
      <w:r w:rsidRPr="00FB4AD4">
        <w:tab/>
      </w:r>
      <w:r w:rsidRPr="00FB4AD4">
        <w:rPr>
          <w:i/>
        </w:rPr>
        <w:t>[Amount of Fees]</w:t>
      </w:r>
      <w:r w:rsidRPr="00FB4AD4">
        <w:t xml:space="preserve">  The International Bureau shall collect the following fees, payable in Swiss francs:</w:t>
      </w:r>
    </w:p>
    <w:p w:rsidR="009B020C" w:rsidRPr="00FB4AD4" w:rsidRDefault="009B020C">
      <w:pPr>
        <w:tabs>
          <w:tab w:val="left" w:pos="1134"/>
          <w:tab w:val="left" w:pos="1701"/>
          <w:tab w:val="right" w:pos="9072"/>
        </w:tabs>
      </w:pPr>
      <w:r w:rsidRPr="00FB4AD4">
        <w:tab/>
        <w:t>(i)</w:t>
      </w:r>
      <w:r w:rsidRPr="00FB4AD4">
        <w:tab/>
        <w:t>fee for international registration</w:t>
      </w:r>
      <w:r w:rsidRPr="00FB4AD4">
        <w:rPr>
          <w:b/>
          <w:bCs/>
          <w:vertAlign w:val="superscript"/>
        </w:rPr>
        <w:t>3</w:t>
      </w:r>
      <w:r w:rsidRPr="00FB4AD4">
        <w:tab/>
        <w:t>1000</w:t>
      </w:r>
    </w:p>
    <w:p w:rsidR="009B020C" w:rsidRPr="00722B0D" w:rsidRDefault="009B020C">
      <w:pPr>
        <w:tabs>
          <w:tab w:val="left" w:pos="1134"/>
          <w:tab w:val="left" w:pos="1701"/>
          <w:tab w:val="right" w:pos="9072"/>
        </w:tabs>
      </w:pPr>
      <w:r w:rsidRPr="00FB4AD4">
        <w:tab/>
        <w:t>(ii)</w:t>
      </w:r>
      <w:r w:rsidRPr="00FB4AD4">
        <w:tab/>
        <w:t xml:space="preserve">fee </w:t>
      </w:r>
      <w:r w:rsidRPr="00722B0D">
        <w:t xml:space="preserve">for </w:t>
      </w:r>
      <w:r w:rsidRPr="00E95635">
        <w:t xml:space="preserve">one </w:t>
      </w:r>
      <w:r w:rsidRPr="00722B0D">
        <w:t>modification of an international registration</w:t>
      </w:r>
      <w:r w:rsidRPr="00722B0D">
        <w:rPr>
          <w:vertAlign w:val="superscript"/>
        </w:rPr>
        <w:footnoteReference w:customMarkFollows="1" w:id="2"/>
        <w:t>3</w:t>
      </w:r>
      <w:r w:rsidRPr="00722B0D">
        <w:tab/>
        <w:t>500</w:t>
      </w:r>
    </w:p>
    <w:p w:rsidR="009B020C" w:rsidRPr="00722B0D" w:rsidRDefault="009B020C">
      <w:pPr>
        <w:tabs>
          <w:tab w:val="left" w:pos="1134"/>
          <w:tab w:val="left" w:pos="1701"/>
          <w:tab w:val="right" w:pos="9072"/>
        </w:tabs>
        <w:ind w:left="1701"/>
      </w:pPr>
      <w:r w:rsidRPr="00E95635">
        <w:t xml:space="preserve">complementary fee for additional modification(s) submitted in </w:t>
      </w:r>
      <w:r w:rsidRPr="00E95635">
        <w:br/>
        <w:t>the same request</w:t>
      </w:r>
      <w:r w:rsidRPr="00722B0D">
        <w:tab/>
      </w:r>
      <w:r w:rsidRPr="00E95635">
        <w:t>300</w:t>
      </w:r>
    </w:p>
    <w:p w:rsidR="009B020C" w:rsidRPr="00FB4AD4" w:rsidRDefault="009B020C">
      <w:pPr>
        <w:tabs>
          <w:tab w:val="left" w:pos="1134"/>
          <w:tab w:val="left" w:pos="1701"/>
          <w:tab w:val="right" w:pos="9072"/>
        </w:tabs>
      </w:pPr>
      <w:r w:rsidRPr="00FB4AD4">
        <w:tab/>
        <w:t>(iii)</w:t>
      </w:r>
      <w:r w:rsidRPr="00FB4AD4">
        <w:tab/>
        <w:t>fee for providing an extract from the International Register</w:t>
      </w:r>
      <w:r w:rsidRPr="00FB4AD4">
        <w:tab/>
        <w:t>150</w:t>
      </w:r>
    </w:p>
    <w:p w:rsidR="009B020C" w:rsidRPr="00FB4AD4" w:rsidRDefault="009B020C">
      <w:pPr>
        <w:tabs>
          <w:tab w:val="left" w:pos="1134"/>
          <w:tab w:val="left" w:pos="1701"/>
          <w:tab w:val="right" w:pos="9072"/>
        </w:tabs>
      </w:pPr>
      <w:r w:rsidRPr="00FB4AD4">
        <w:tab/>
        <w:t>(iv)</w:t>
      </w:r>
      <w:r w:rsidRPr="00FB4AD4">
        <w:tab/>
        <w:t xml:space="preserve">fee for providing an attestation or any other written information </w:t>
      </w:r>
      <w:r w:rsidRPr="00FB4AD4">
        <w:tab/>
        <w:t>100</w:t>
      </w:r>
    </w:p>
    <w:p w:rsidR="009B020C" w:rsidRPr="00FB4AD4" w:rsidRDefault="009B020C">
      <w:pPr>
        <w:tabs>
          <w:tab w:val="left" w:pos="550"/>
          <w:tab w:val="left" w:pos="1080"/>
          <w:tab w:val="left" w:pos="8460"/>
          <w:tab w:val="left" w:pos="8640"/>
          <w:tab w:val="left" w:pos="9000"/>
        </w:tabs>
      </w:pPr>
      <w:r w:rsidRPr="00FB4AD4">
        <w:t>concerning the contents of the International Register</w:t>
      </w:r>
      <w:r w:rsidRPr="00FB4AD4">
        <w:tab/>
      </w:r>
    </w:p>
    <w:p w:rsidR="009B020C" w:rsidRPr="00FB4AD4" w:rsidRDefault="009B020C">
      <w:pPr>
        <w:tabs>
          <w:tab w:val="left" w:pos="1134"/>
          <w:tab w:val="left" w:pos="1701"/>
          <w:tab w:val="left" w:pos="8460"/>
          <w:tab w:val="left" w:pos="8640"/>
          <w:tab w:val="left" w:pos="9000"/>
        </w:tabs>
      </w:pPr>
      <w:r w:rsidRPr="00FB4AD4">
        <w:tab/>
        <w:t>(v)</w:t>
      </w:r>
      <w:r w:rsidRPr="00FB4AD4">
        <w:tab/>
        <w:t>individual fees as referred to in paragraph (2).</w:t>
      </w:r>
    </w:p>
    <w:p w:rsidR="002D1A88" w:rsidRDefault="002D1A88" w:rsidP="009B020C">
      <w:pPr>
        <w:spacing w:before="120" w:after="120"/>
        <w:rPr>
          <w:rFonts w:eastAsia="Times New Roman"/>
          <w:bCs/>
          <w:color w:val="1A1A1A"/>
          <w:szCs w:val="22"/>
          <w:lang w:eastAsia="en-US"/>
        </w:rPr>
        <w:sectPr w:rsidR="002D1A88" w:rsidSect="00ED0796">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567" w:right="1134" w:bottom="1418" w:left="1418" w:header="510" w:footer="1021" w:gutter="0"/>
          <w:cols w:space="720"/>
          <w:titlePg/>
          <w:docGrid w:linePitch="299"/>
        </w:sectPr>
      </w:pPr>
    </w:p>
    <w:p w:rsidR="009B020C" w:rsidRPr="00FB4AD4" w:rsidRDefault="009B3B17">
      <w:pPr>
        <w:spacing w:before="120" w:after="120"/>
        <w:rPr>
          <w:rFonts w:eastAsia="Times New Roman"/>
          <w:bCs/>
          <w:color w:val="1A1A1A"/>
          <w:szCs w:val="22"/>
          <w:lang w:eastAsia="en-US"/>
        </w:rPr>
      </w:pPr>
      <w:r w:rsidRPr="00FB4AD4">
        <w:rPr>
          <w:rFonts w:eastAsia="Times New Roman"/>
          <w:bCs/>
          <w:color w:val="1A1A1A"/>
          <w:szCs w:val="22"/>
          <w:lang w:eastAsia="en-US"/>
        </w:rPr>
        <w:lastRenderedPageBreak/>
        <w:t>[…</w:t>
      </w:r>
      <w:r w:rsidRPr="00FB4AD4">
        <w:t>]</w:t>
      </w:r>
    </w:p>
    <w:p w:rsidR="009B020C" w:rsidRPr="00FB4AD4" w:rsidRDefault="009B020C">
      <w:pPr>
        <w:spacing w:before="240" w:after="480"/>
        <w:jc w:val="center"/>
        <w:rPr>
          <w:rFonts w:eastAsia="Times New Roman"/>
          <w:color w:val="1A1A1A"/>
          <w:szCs w:val="22"/>
          <w:lang w:eastAsia="en-US"/>
        </w:rPr>
      </w:pPr>
      <w:bookmarkStart w:id="8" w:name="chapter3"/>
      <w:bookmarkEnd w:id="8"/>
      <w:r w:rsidRPr="00FB4AD4">
        <w:rPr>
          <w:rFonts w:eastAsia="Times New Roman"/>
          <w:b/>
          <w:bCs/>
          <w:color w:val="1A1A1A"/>
          <w:szCs w:val="22"/>
          <w:lang w:eastAsia="en-US"/>
        </w:rPr>
        <w:t>Chapter III</w:t>
      </w:r>
      <w:r w:rsidRPr="00FB4AD4">
        <w:rPr>
          <w:rFonts w:eastAsia="Times New Roman"/>
          <w:b/>
          <w:bCs/>
          <w:color w:val="1A1A1A"/>
          <w:szCs w:val="22"/>
          <w:lang w:eastAsia="en-US"/>
        </w:rPr>
        <w:br/>
        <w:t>Refusal and Other Actions in Respect of International Registration</w:t>
      </w:r>
    </w:p>
    <w:p w:rsidR="009B020C" w:rsidRPr="00FB4AD4" w:rsidRDefault="009B020C">
      <w:pPr>
        <w:keepNext/>
        <w:jc w:val="center"/>
        <w:rPr>
          <w:b/>
        </w:rPr>
      </w:pPr>
      <w:r w:rsidRPr="00FB4AD4">
        <w:rPr>
          <w:b/>
        </w:rPr>
        <w:t>Rule 9</w:t>
      </w:r>
    </w:p>
    <w:p w:rsidR="009B020C" w:rsidRPr="00FB4AD4" w:rsidRDefault="009B020C">
      <w:pPr>
        <w:keepNext/>
        <w:spacing w:after="240"/>
        <w:jc w:val="center"/>
      </w:pPr>
      <w:r w:rsidRPr="00FB4AD4">
        <w:t>Refusal</w:t>
      </w:r>
    </w:p>
    <w:p w:rsidR="009B020C" w:rsidRPr="00FB4AD4" w:rsidRDefault="009B020C">
      <w:pPr>
        <w:keepNext/>
        <w:tabs>
          <w:tab w:val="left" w:pos="567"/>
        </w:tabs>
        <w:spacing w:after="120"/>
        <w:rPr>
          <w:iCs/>
        </w:rPr>
      </w:pPr>
      <w:r w:rsidRPr="00FB4AD4">
        <w:t>(1)</w:t>
      </w:r>
      <w:r w:rsidRPr="00FB4AD4">
        <w:tab/>
      </w:r>
      <w:r w:rsidRPr="00FB4AD4">
        <w:rPr>
          <w:i/>
          <w:iCs/>
        </w:rPr>
        <w:t>[Notification to the International Bureau]</w:t>
      </w:r>
    </w:p>
    <w:p w:rsidR="009B020C" w:rsidRPr="00FB4AD4" w:rsidRDefault="009B020C">
      <w:pPr>
        <w:keepNext/>
        <w:tabs>
          <w:tab w:val="left" w:pos="567"/>
        </w:tabs>
        <w:spacing w:before="120" w:after="120"/>
      </w:pPr>
      <w:r w:rsidRPr="00FB4AD4">
        <w:t>[…]</w:t>
      </w:r>
    </w:p>
    <w:p w:rsidR="009B020C" w:rsidRPr="00FB4AD4" w:rsidRDefault="009B020C">
      <w:pPr>
        <w:tabs>
          <w:tab w:val="left" w:pos="567"/>
          <w:tab w:val="left" w:pos="1134"/>
        </w:tabs>
        <w:spacing w:before="120" w:after="120"/>
      </w:pPr>
      <w:r w:rsidRPr="00FB4AD4">
        <w:tab/>
        <w:t>(b)</w:t>
      </w:r>
      <w:r w:rsidRPr="00FB4AD4">
        <w:tab/>
      </w:r>
      <w:r w:rsidRPr="00FB4AD4">
        <w:rPr>
          <w:color w:val="1A1A1A"/>
          <w:szCs w:val="22"/>
        </w:rPr>
        <w:t xml:space="preserve">The refusal shall be notified within a period of one year from the receipt of the notification of the international registration under Article 5(2) of the 1967 Act or </w:t>
      </w:r>
      <w:r w:rsidRPr="00E95635">
        <w:rPr>
          <w:szCs w:val="22"/>
        </w:rPr>
        <w:t>under</w:t>
      </w:r>
      <w:r w:rsidRPr="00E95635">
        <w:rPr>
          <w:strike/>
          <w:szCs w:val="22"/>
        </w:rPr>
        <w:t xml:space="preserve"> </w:t>
      </w:r>
      <w:r w:rsidRPr="00FB4AD4">
        <w:rPr>
          <w:color w:val="1A1A1A"/>
          <w:szCs w:val="22"/>
        </w:rPr>
        <w:t xml:space="preserve">Article 6(4) of the </w:t>
      </w:r>
      <w:r>
        <w:rPr>
          <w:color w:val="1A1A1A"/>
          <w:szCs w:val="22"/>
        </w:rPr>
        <w:t>Geneva Act of the Lisbon Agreement</w:t>
      </w:r>
      <w:r w:rsidRPr="00FB4AD4">
        <w:rPr>
          <w:color w:val="1A1A1A"/>
          <w:szCs w:val="22"/>
        </w:rPr>
        <w:t xml:space="preserve">. In the case of Article 29(4) of the </w:t>
      </w:r>
      <w:r>
        <w:rPr>
          <w:color w:val="1A1A1A"/>
          <w:szCs w:val="22"/>
        </w:rPr>
        <w:t>Geneva Act of the Lisbon Agreement</w:t>
      </w:r>
      <w:r w:rsidRPr="00FB4AD4">
        <w:rPr>
          <w:color w:val="1A1A1A"/>
          <w:szCs w:val="22"/>
        </w:rPr>
        <w:t>, this time limit may be extended by another year</w:t>
      </w:r>
      <w:r w:rsidRPr="00FB4AD4">
        <w:t>.</w:t>
      </w:r>
    </w:p>
    <w:p w:rsidR="009B020C" w:rsidRPr="00FB4AD4" w:rsidRDefault="009B020C">
      <w:pPr>
        <w:tabs>
          <w:tab w:val="left" w:pos="567"/>
          <w:tab w:val="left" w:pos="1134"/>
        </w:tabs>
        <w:spacing w:before="120" w:after="120"/>
        <w:ind w:firstLine="540"/>
      </w:pPr>
      <w:r w:rsidRPr="00FB4AD4">
        <w:t>(c)</w:t>
      </w:r>
      <w:r w:rsidRPr="00FB4AD4">
        <w:tab/>
      </w:r>
      <w:r w:rsidRPr="00FB4AD4">
        <w:rPr>
          <w:color w:val="1A1A1A"/>
          <w:szCs w:val="22"/>
        </w:rPr>
        <w:t xml:space="preserve">Unless demonstrated to the contrary by the Competent Authority referred to in subparagraph (a), the notification of an international registration </w:t>
      </w:r>
      <w:r w:rsidRPr="00E95635">
        <w:t xml:space="preserve">referred to in subparagraph (b) </w:t>
      </w:r>
      <w:r w:rsidRPr="00FB4AD4">
        <w:rPr>
          <w:color w:val="1A1A1A"/>
          <w:szCs w:val="22"/>
        </w:rPr>
        <w:t>shall be deemed to have been received by the Competent Authority 20 days after the date indicated in the notification</w:t>
      </w:r>
      <w:r w:rsidRPr="00FB4AD4">
        <w:t>.</w:t>
      </w:r>
    </w:p>
    <w:p w:rsidR="009B020C" w:rsidRPr="00FB4AD4" w:rsidRDefault="009B020C">
      <w:pPr>
        <w:spacing w:before="120" w:after="240"/>
        <w:jc w:val="both"/>
      </w:pPr>
      <w:r w:rsidRPr="00FB4AD4">
        <w:t>[…]</w:t>
      </w:r>
    </w:p>
    <w:p w:rsidR="009B020C" w:rsidRPr="00FB4AD4" w:rsidRDefault="009B020C">
      <w:pPr>
        <w:keepNext/>
        <w:spacing w:after="240"/>
        <w:jc w:val="center"/>
      </w:pPr>
      <w:r w:rsidRPr="00FB4AD4">
        <w:rPr>
          <w:b/>
        </w:rPr>
        <w:t>Rule 15</w:t>
      </w:r>
      <w:r w:rsidRPr="00FB4AD4">
        <w:br/>
        <w:t>Modifications</w:t>
      </w:r>
    </w:p>
    <w:p w:rsidR="009B020C" w:rsidRPr="00FB4AD4" w:rsidRDefault="009B020C">
      <w:pPr>
        <w:keepNext/>
        <w:tabs>
          <w:tab w:val="left" w:pos="567"/>
        </w:tabs>
      </w:pPr>
      <w:r w:rsidRPr="00FB4AD4">
        <w:t>(1)</w:t>
      </w:r>
      <w:r w:rsidRPr="00FB4AD4">
        <w:tab/>
      </w:r>
      <w:r w:rsidRPr="00FB4AD4">
        <w:rPr>
          <w:i/>
          <w:iCs/>
        </w:rPr>
        <w:t xml:space="preserve">[Permissible Modifications]  </w:t>
      </w:r>
      <w:r w:rsidRPr="00FB4AD4">
        <w:t>The following modifications may be recorded in the International Register:</w:t>
      </w:r>
    </w:p>
    <w:p w:rsidR="009B020C" w:rsidRPr="00E95635" w:rsidRDefault="009B020C">
      <w:pPr>
        <w:keepNext/>
        <w:tabs>
          <w:tab w:val="left" w:pos="1710"/>
        </w:tabs>
        <w:ind w:firstLine="1134"/>
      </w:pPr>
      <w:r w:rsidRPr="00FB4AD4">
        <w:t>(i)</w:t>
      </w:r>
      <w:r w:rsidRPr="00FB4AD4">
        <w:tab/>
      </w:r>
      <w:r w:rsidRPr="00E95635">
        <w:t xml:space="preserve">a modification of the beneficiaries consisting in </w:t>
      </w:r>
      <w:r w:rsidRPr="00722B0D">
        <w:t>the addition or deletion of a beneficiary or some beneficiaries</w:t>
      </w:r>
      <w:r w:rsidRPr="00E95635">
        <w:t>, or a modification of the names or addresses of the beneficiaries or of the natural person or legal entity referred to in Article 5(2)(ii) of the Geneva Act;</w:t>
      </w:r>
    </w:p>
    <w:p w:rsidR="009B020C" w:rsidRPr="00FB4AD4" w:rsidRDefault="009B020C">
      <w:pPr>
        <w:tabs>
          <w:tab w:val="left" w:pos="1710"/>
        </w:tabs>
        <w:ind w:firstLine="1134"/>
      </w:pPr>
      <w:r w:rsidRPr="00FB4AD4">
        <w:t>(ii)</w:t>
      </w:r>
      <w:r w:rsidRPr="00FB4AD4">
        <w:tab/>
      </w:r>
      <w:r w:rsidRPr="00E95635">
        <w:t>[Deleted]</w:t>
      </w:r>
    </w:p>
    <w:p w:rsidR="009B020C" w:rsidRPr="00FB4AD4" w:rsidRDefault="009B020C">
      <w:pPr>
        <w:tabs>
          <w:tab w:val="left" w:pos="1710"/>
        </w:tabs>
        <w:ind w:firstLine="1134"/>
      </w:pPr>
      <w:r w:rsidRPr="00FB4AD4">
        <w:t>(iii)</w:t>
      </w:r>
      <w:r w:rsidRPr="00FB4AD4">
        <w:tab/>
        <w:t>a modification of the limits of the geographical area of production or the geographical area of origin of the good or goods to which the appellation of origin, or the geographical indication, applies;</w:t>
      </w:r>
    </w:p>
    <w:p w:rsidR="009B020C" w:rsidRPr="00FB4AD4" w:rsidRDefault="009B020C">
      <w:pPr>
        <w:tabs>
          <w:tab w:val="left" w:pos="1710"/>
        </w:tabs>
        <w:ind w:firstLine="1134"/>
      </w:pPr>
      <w:r w:rsidRPr="00FB4AD4">
        <w:t>(iv)</w:t>
      </w:r>
      <w:r w:rsidRPr="00FB4AD4">
        <w:tab/>
        <w:t>a modification relating to the legislative or administrative act, the judicial or administrative decision, or the registration referred to in Rule 5(2)(a)(vii);</w:t>
      </w:r>
    </w:p>
    <w:p w:rsidR="009B020C" w:rsidRPr="00FB4AD4" w:rsidRDefault="009B020C">
      <w:pPr>
        <w:tabs>
          <w:tab w:val="left" w:pos="1710"/>
        </w:tabs>
        <w:ind w:firstLine="1134"/>
      </w:pPr>
      <w:r w:rsidRPr="00FB4AD4">
        <w:t>(v)</w:t>
      </w:r>
      <w:r w:rsidRPr="00FB4AD4">
        <w:tab/>
        <w:t>a modification relating to the Contracting Party of Origin that does not affect the geographical area of production or the geographical area of origin of the good or goods to which the appellation of origin, or the geographical indication, applies</w:t>
      </w:r>
      <w:r>
        <w:t>.</w:t>
      </w:r>
    </w:p>
    <w:p w:rsidR="009B020C" w:rsidRPr="00E95635" w:rsidRDefault="009B020C">
      <w:pPr>
        <w:tabs>
          <w:tab w:val="left" w:pos="1710"/>
        </w:tabs>
        <w:ind w:left="414" w:firstLine="720"/>
      </w:pPr>
      <w:r w:rsidRPr="00FB4AD4">
        <w:rPr>
          <w:color w:val="000000" w:themeColor="text1"/>
        </w:rPr>
        <w:t>(vi)</w:t>
      </w:r>
      <w:r w:rsidRPr="00FB4AD4">
        <w:rPr>
          <w:color w:val="C00000"/>
        </w:rPr>
        <w:tab/>
      </w:r>
      <w:r w:rsidRPr="00E95635">
        <w:t>[Deleted]</w:t>
      </w:r>
    </w:p>
    <w:p w:rsidR="009B020C" w:rsidRDefault="009B020C">
      <w:pPr>
        <w:tabs>
          <w:tab w:val="left" w:pos="1710"/>
        </w:tabs>
        <w:spacing w:before="120" w:after="240"/>
      </w:pPr>
      <w:r w:rsidRPr="00FB4AD4">
        <w:t>[…]</w:t>
      </w:r>
    </w:p>
    <w:p w:rsidR="009B020C" w:rsidRDefault="009B020C" w:rsidP="00052F5D">
      <w:pPr>
        <w:spacing w:after="200"/>
      </w:pPr>
      <w:r>
        <w:br w:type="page"/>
      </w:r>
    </w:p>
    <w:p w:rsidR="009B020C" w:rsidRPr="00FB4AD4" w:rsidRDefault="009B020C">
      <w:pPr>
        <w:spacing w:after="120"/>
        <w:jc w:val="center"/>
        <w:rPr>
          <w:rFonts w:eastAsia="Times New Roman"/>
          <w:color w:val="1A1A1A"/>
          <w:szCs w:val="22"/>
          <w:lang w:eastAsia="en-US"/>
        </w:rPr>
      </w:pPr>
      <w:r w:rsidRPr="00FB4AD4">
        <w:rPr>
          <w:rFonts w:eastAsia="Times New Roman"/>
          <w:b/>
          <w:bCs/>
          <w:color w:val="1A1A1A"/>
          <w:szCs w:val="22"/>
          <w:lang w:eastAsia="en-US"/>
        </w:rPr>
        <w:lastRenderedPageBreak/>
        <w:t>Rule 16</w:t>
      </w:r>
      <w:r w:rsidRPr="00FB4AD4">
        <w:rPr>
          <w:rFonts w:eastAsia="Times New Roman"/>
          <w:b/>
          <w:bCs/>
          <w:color w:val="1A1A1A"/>
          <w:szCs w:val="22"/>
          <w:lang w:eastAsia="en-US"/>
        </w:rPr>
        <w:br/>
      </w:r>
      <w:r w:rsidRPr="00FB4AD4">
        <w:rPr>
          <w:rFonts w:eastAsia="Times New Roman"/>
          <w:bCs/>
          <w:color w:val="1A1A1A"/>
          <w:szCs w:val="22"/>
          <w:lang w:eastAsia="en-US"/>
        </w:rPr>
        <w:t>Renunciation of Protection</w:t>
      </w:r>
    </w:p>
    <w:p w:rsidR="009B020C" w:rsidRPr="00FB4AD4" w:rsidRDefault="009B020C">
      <w:pPr>
        <w:spacing w:before="120" w:after="120"/>
        <w:rPr>
          <w:rFonts w:eastAsia="Times New Roman"/>
          <w:color w:val="1A1A1A"/>
          <w:szCs w:val="22"/>
          <w:lang w:eastAsia="en-US"/>
        </w:rPr>
      </w:pPr>
      <w:r w:rsidRPr="00FB4AD4">
        <w:rPr>
          <w:rFonts w:eastAsia="Times New Roman"/>
          <w:color w:val="1A1A1A"/>
          <w:szCs w:val="22"/>
          <w:lang w:eastAsia="en-US"/>
        </w:rPr>
        <w:t>[…]</w:t>
      </w:r>
    </w:p>
    <w:p w:rsidR="009B020C" w:rsidRPr="00722B0D" w:rsidRDefault="009B020C">
      <w:pPr>
        <w:tabs>
          <w:tab w:val="left" w:pos="567"/>
        </w:tabs>
      </w:pPr>
      <w:r w:rsidRPr="00FB4AD4">
        <w:t>(2)</w:t>
      </w:r>
      <w:r w:rsidRPr="00FB4AD4">
        <w:tab/>
      </w:r>
      <w:r w:rsidRPr="00FB4AD4">
        <w:rPr>
          <w:i/>
        </w:rPr>
        <w:t>[Withdrawal of a Renunciation]</w:t>
      </w:r>
      <w:r w:rsidRPr="00FB4AD4">
        <w:t xml:space="preserve">  (a) Any renunciation, including a renunciation under Rule 6(1)(d), may be withdrawn, in whole or in part, at any time by the Competent Authority of the Contracting Party of Origin or, in the case of Article 5(3) of the </w:t>
      </w:r>
      <w:r>
        <w:t>Geneva Act of the Lisbon Agreement</w:t>
      </w:r>
      <w:r w:rsidRPr="00FB4AD4">
        <w:t xml:space="preserve">, the beneficiaries or the natural person or legal entity referred to in Article 5(2)(ii) of that Act or the Competent Authority of the Contracting Party of Origin, subject to </w:t>
      </w:r>
      <w:r w:rsidRPr="00722B0D">
        <w:t xml:space="preserve">the correction of the irregularity </w:t>
      </w:r>
      <w:r w:rsidRPr="00E95635">
        <w:t>in the case of a renunciation under Rule 6(1)(d)</w:t>
      </w:r>
      <w:r w:rsidRPr="00722B0D">
        <w:t>.</w:t>
      </w:r>
    </w:p>
    <w:p w:rsidR="009B020C" w:rsidRPr="00FB4AD4" w:rsidRDefault="009B020C">
      <w:pPr>
        <w:spacing w:before="120" w:after="720"/>
        <w:rPr>
          <w:rFonts w:eastAsia="Times New Roman"/>
          <w:color w:val="1A1A1A"/>
          <w:szCs w:val="22"/>
          <w:lang w:eastAsia="en-US"/>
        </w:rPr>
      </w:pPr>
      <w:bookmarkStart w:id="9" w:name="rule24"/>
      <w:bookmarkEnd w:id="9"/>
      <w:r w:rsidRPr="00FB4AD4">
        <w:rPr>
          <w:rFonts w:eastAsia="Times New Roman"/>
          <w:color w:val="1A1A1A"/>
          <w:szCs w:val="22"/>
          <w:lang w:eastAsia="en-US"/>
        </w:rPr>
        <w:t>[…]</w:t>
      </w:r>
    </w:p>
    <w:p w:rsidR="002D1A88" w:rsidRPr="002D1A88" w:rsidRDefault="002D1A88" w:rsidP="00052F5D">
      <w:pPr>
        <w:pStyle w:val="ONUME"/>
        <w:numPr>
          <w:ilvl w:val="0"/>
          <w:numId w:val="0"/>
        </w:numPr>
        <w:ind w:left="5533"/>
      </w:pPr>
      <w:r w:rsidRPr="002D1A88">
        <w:t>[End of Annex and of document]</w:t>
      </w:r>
    </w:p>
    <w:p w:rsidR="002928D3" w:rsidRDefault="002928D3" w:rsidP="002D1A88">
      <w:pPr>
        <w:spacing w:after="220"/>
      </w:pPr>
    </w:p>
    <w:sectPr w:rsidR="002928D3" w:rsidSect="002D1A88">
      <w:headerReference w:type="default" r:id="rId21"/>
      <w:headerReference w:type="first" r:id="rId22"/>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56E" w:rsidRDefault="00BE556E">
      <w:r>
        <w:separator/>
      </w:r>
    </w:p>
  </w:endnote>
  <w:endnote w:type="continuationSeparator" w:id="0">
    <w:p w:rsidR="00BE556E" w:rsidRDefault="00BE556E" w:rsidP="003B38C1">
      <w:r>
        <w:separator/>
      </w:r>
    </w:p>
    <w:p w:rsidR="00BE556E" w:rsidRPr="003B38C1" w:rsidRDefault="00BE556E" w:rsidP="003B38C1">
      <w:pPr>
        <w:spacing w:after="60"/>
        <w:rPr>
          <w:sz w:val="17"/>
        </w:rPr>
      </w:pPr>
      <w:r>
        <w:rPr>
          <w:sz w:val="17"/>
        </w:rPr>
        <w:t>[Endnote continued from previous page]</w:t>
      </w:r>
    </w:p>
  </w:endnote>
  <w:endnote w:type="continuationNotice" w:id="1">
    <w:p w:rsidR="00BE556E" w:rsidRPr="003B38C1" w:rsidRDefault="00BE556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CA8" w:rsidRDefault="009C1C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CA8" w:rsidRDefault="009C1C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CA8" w:rsidRDefault="009C1C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814" w:rsidRDefault="0086581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814" w:rsidRDefault="0086581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814" w:rsidRDefault="00865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56E" w:rsidRDefault="00BE556E">
      <w:r>
        <w:separator/>
      </w:r>
    </w:p>
  </w:footnote>
  <w:footnote w:type="continuationSeparator" w:id="0">
    <w:p w:rsidR="00BE556E" w:rsidRDefault="00BE556E" w:rsidP="008B60B2">
      <w:r>
        <w:separator/>
      </w:r>
    </w:p>
    <w:p w:rsidR="00BE556E" w:rsidRPr="00ED77FB" w:rsidRDefault="00BE556E" w:rsidP="008B60B2">
      <w:pPr>
        <w:spacing w:after="60"/>
        <w:rPr>
          <w:sz w:val="17"/>
          <w:szCs w:val="17"/>
        </w:rPr>
      </w:pPr>
      <w:r w:rsidRPr="00ED77FB">
        <w:rPr>
          <w:sz w:val="17"/>
          <w:szCs w:val="17"/>
        </w:rPr>
        <w:t>[Footnote continued from previous page]</w:t>
      </w:r>
    </w:p>
  </w:footnote>
  <w:footnote w:type="continuationNotice" w:id="1">
    <w:p w:rsidR="00BE556E" w:rsidRPr="00ED77FB" w:rsidRDefault="00BE556E" w:rsidP="008B60B2">
      <w:pPr>
        <w:spacing w:before="60"/>
        <w:jc w:val="right"/>
        <w:rPr>
          <w:sz w:val="17"/>
          <w:szCs w:val="17"/>
        </w:rPr>
      </w:pPr>
      <w:r w:rsidRPr="00ED77FB">
        <w:rPr>
          <w:sz w:val="17"/>
          <w:szCs w:val="17"/>
        </w:rPr>
        <w:t>[Footnote continued on next page]</w:t>
      </w:r>
    </w:p>
  </w:footnote>
  <w:footnote w:id="2">
    <w:p w:rsidR="009B020C" w:rsidRPr="00A0678D" w:rsidRDefault="009B020C" w:rsidP="009B020C">
      <w:pPr>
        <w:pStyle w:val="FootnoteText"/>
        <w:rPr>
          <w:sz w:val="20"/>
        </w:rPr>
      </w:pPr>
      <w:r>
        <w:rPr>
          <w:rStyle w:val="FootnoteReference"/>
        </w:rPr>
        <w:t>3</w:t>
      </w:r>
      <w:r>
        <w:rPr>
          <w:sz w:val="20"/>
        </w:rPr>
        <w:t xml:space="preserve"> </w:t>
      </w:r>
      <w:r>
        <w:rPr>
          <w:sz w:val="20"/>
        </w:rPr>
        <w:tab/>
      </w:r>
      <w:r w:rsidRPr="00A0678D">
        <w:rPr>
          <w:sz w:val="20"/>
        </w:rPr>
        <w:t xml:space="preserve">For an international registration referring to a geographical area located in a least developed country (LDC), in accordance with the lists </w:t>
      </w:r>
      <w:r w:rsidRPr="00722B0D">
        <w:rPr>
          <w:sz w:val="20"/>
        </w:rPr>
        <w:t xml:space="preserve">established by the United Nations, the fee is reduced to 50 per cent of the prescribed amount (rounded to the nearest full figure).  In such case, the fee will amount to 500 Swiss francs for an international registration referring to a geographical area of origin located in an LDC, to 250 Swiss francs for </w:t>
      </w:r>
      <w:r w:rsidRPr="00E95635">
        <w:rPr>
          <w:sz w:val="20"/>
        </w:rPr>
        <w:t>one</w:t>
      </w:r>
      <w:r w:rsidRPr="00722B0D">
        <w:rPr>
          <w:sz w:val="20"/>
        </w:rPr>
        <w:t xml:space="preserve"> modification of an international registration referring to a geographical area of origin located in an LDC</w:t>
      </w:r>
      <w:r w:rsidRPr="00E95635">
        <w:rPr>
          <w:sz w:val="20"/>
        </w:rPr>
        <w:t>, and to 150 Swiss francs for a complementary fee for additional modification(s) submitted in the same request</w:t>
      </w:r>
      <w:r w:rsidRPr="00722B0D">
        <w:rPr>
          <w:sz w:val="20"/>
        </w:rPr>
        <w:t xml:space="preserve">.  </w:t>
      </w:r>
      <w:r w:rsidRPr="00A0678D">
        <w:rPr>
          <w:sz w:val="20"/>
        </w:rPr>
        <w:t xml:space="preserve">These fee reductions will apply three years after the entry into force of the </w:t>
      </w:r>
      <w:r>
        <w:rPr>
          <w:sz w:val="20"/>
        </w:rPr>
        <w:t>Geneva Act of the Lisbon Agreement</w:t>
      </w:r>
      <w:r w:rsidRPr="00A0678D">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CA8" w:rsidRDefault="009C1C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20C" w:rsidRDefault="006D717D" w:rsidP="00052F5D">
    <w:pPr>
      <w:pStyle w:val="Header"/>
      <w:jc w:val="right"/>
    </w:pPr>
    <w:r>
      <w:t>LI/A/39/2</w:t>
    </w:r>
  </w:p>
  <w:p w:rsidR="009B020C" w:rsidRPr="009B020C" w:rsidRDefault="009B020C" w:rsidP="00052F5D">
    <w:pPr>
      <w:pStyle w:val="Header"/>
      <w:jc w:val="right"/>
    </w:pPr>
    <w:r w:rsidRPr="009B020C">
      <w:t xml:space="preserve">page </w:t>
    </w:r>
    <w:r w:rsidRPr="009B020C">
      <w:fldChar w:fldCharType="begin"/>
    </w:r>
    <w:r w:rsidRPr="009B020C">
      <w:instrText xml:space="preserve"> PAGE  \* MERGEFORMAT </w:instrText>
    </w:r>
    <w:r w:rsidRPr="009B020C">
      <w:fldChar w:fldCharType="separate"/>
    </w:r>
    <w:r w:rsidR="009C1CA8">
      <w:rPr>
        <w:noProof/>
      </w:rPr>
      <w:t>5</w:t>
    </w:r>
    <w:r w:rsidRPr="009B020C">
      <w:fldChar w:fldCharType="end"/>
    </w:r>
  </w:p>
  <w:p w:rsidR="009B020C" w:rsidRDefault="009B020C" w:rsidP="00052F5D">
    <w:pPr>
      <w:pStyle w:val="Header"/>
      <w:jc w:val="right"/>
    </w:pPr>
  </w:p>
  <w:p w:rsidR="009B020C" w:rsidRDefault="009B020C" w:rsidP="00052F5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CA8" w:rsidRDefault="009C1C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814" w:rsidRDefault="008658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ED0796" w:rsidP="00477D6B">
    <w:pPr>
      <w:jc w:val="right"/>
    </w:pPr>
    <w:bookmarkStart w:id="7" w:name="Code2"/>
    <w:bookmarkEnd w:id="7"/>
    <w:r>
      <w:t>LI/A/39/2 Prov.</w:t>
    </w:r>
  </w:p>
  <w:p w:rsidR="00EC4E49" w:rsidRDefault="00EC4E49" w:rsidP="00477D6B">
    <w:pPr>
      <w:jc w:val="right"/>
    </w:pPr>
    <w:r>
      <w:t xml:space="preserve">page </w:t>
    </w:r>
    <w:r>
      <w:fldChar w:fldCharType="begin"/>
    </w:r>
    <w:r>
      <w:instrText xml:space="preserve"> PAGE  \* MERGEFORMAT </w:instrText>
    </w:r>
    <w:r>
      <w:fldChar w:fldCharType="separate"/>
    </w:r>
    <w:r w:rsidR="002D1A88">
      <w:rPr>
        <w:noProof/>
      </w:rPr>
      <w:t>3</w:t>
    </w:r>
    <w:r>
      <w:fldChar w:fldCharType="end"/>
    </w:r>
  </w:p>
  <w:p w:rsidR="00EC4E49" w:rsidRDefault="00EC4E49" w:rsidP="00477D6B">
    <w:pPr>
      <w:jc w:val="right"/>
    </w:pPr>
  </w:p>
  <w:p w:rsidR="00B50B99" w:rsidRDefault="00B50B99" w:rsidP="00477D6B">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67E" w:rsidRDefault="00AD367E" w:rsidP="00AD367E">
    <w:pPr>
      <w:pStyle w:val="Header"/>
      <w:jc w:val="right"/>
    </w:pPr>
    <w:r>
      <w:t>LI/A/39/2</w:t>
    </w:r>
  </w:p>
  <w:p w:rsidR="00AD367E" w:rsidRPr="009B020C" w:rsidRDefault="00AD367E" w:rsidP="00AD367E">
    <w:pPr>
      <w:pStyle w:val="Header"/>
      <w:jc w:val="right"/>
    </w:pPr>
    <w:r>
      <w:t>ANNEX</w:t>
    </w:r>
  </w:p>
  <w:p w:rsidR="00AD367E" w:rsidRDefault="00AD367E" w:rsidP="00AD367E">
    <w:pPr>
      <w:pStyle w:val="Header"/>
      <w:jc w:val="right"/>
    </w:pPr>
  </w:p>
  <w:p w:rsidR="00AD367E" w:rsidRDefault="00AD367E" w:rsidP="00AD367E">
    <w:pPr>
      <w:pStyle w:val="Header"/>
      <w:jc w:val="right"/>
    </w:pPr>
  </w:p>
  <w:p w:rsidR="00865814" w:rsidRDefault="0086581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A88" w:rsidRPr="005D7339" w:rsidRDefault="002D1A88" w:rsidP="002D1A88">
    <w:pPr>
      <w:pStyle w:val="Header"/>
      <w:jc w:val="right"/>
      <w:rPr>
        <w:lang w:val="fr-CH"/>
      </w:rPr>
    </w:pPr>
    <w:r w:rsidRPr="005D7339">
      <w:rPr>
        <w:lang w:val="fr-CH"/>
      </w:rPr>
      <w:t>LI/A/39/2</w:t>
    </w:r>
  </w:p>
  <w:p w:rsidR="002D1A88" w:rsidRPr="005D7339" w:rsidRDefault="002D1A88" w:rsidP="002D1A88">
    <w:pPr>
      <w:pStyle w:val="Header"/>
      <w:jc w:val="right"/>
      <w:rPr>
        <w:lang w:val="fr-CH"/>
      </w:rPr>
    </w:pPr>
    <w:r w:rsidRPr="005D7339">
      <w:rPr>
        <w:lang w:val="fr-CH"/>
      </w:rPr>
      <w:t xml:space="preserve">Annex, page </w:t>
    </w:r>
    <w:r w:rsidRPr="009B020C">
      <w:fldChar w:fldCharType="begin"/>
    </w:r>
    <w:r w:rsidRPr="005D7339">
      <w:rPr>
        <w:lang w:val="fr-CH"/>
      </w:rPr>
      <w:instrText xml:space="preserve"> PAGE  \* MERGEFORMAT </w:instrText>
    </w:r>
    <w:r w:rsidRPr="009B020C">
      <w:fldChar w:fldCharType="separate"/>
    </w:r>
    <w:r w:rsidR="009C1CA8">
      <w:rPr>
        <w:noProof/>
        <w:lang w:val="fr-CH"/>
      </w:rPr>
      <w:t>3</w:t>
    </w:r>
    <w:r w:rsidRPr="009B020C">
      <w:fldChar w:fldCharType="end"/>
    </w:r>
  </w:p>
  <w:p w:rsidR="002D1A88" w:rsidRPr="005D7339" w:rsidRDefault="002D1A88" w:rsidP="002D1A88">
    <w:pPr>
      <w:pStyle w:val="Header"/>
      <w:jc w:val="right"/>
      <w:rPr>
        <w:lang w:val="fr-CH"/>
      </w:rPr>
    </w:pPr>
  </w:p>
  <w:p w:rsidR="002D1A88" w:rsidRPr="005D7339" w:rsidRDefault="002D1A88" w:rsidP="00477D6B">
    <w:pPr>
      <w:jc w:val="right"/>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A88" w:rsidRPr="005D7339" w:rsidRDefault="002D1A88" w:rsidP="00AD367E">
    <w:pPr>
      <w:pStyle w:val="Header"/>
      <w:jc w:val="right"/>
      <w:rPr>
        <w:lang w:val="fr-CH"/>
      </w:rPr>
    </w:pPr>
    <w:r w:rsidRPr="005D7339">
      <w:rPr>
        <w:lang w:val="fr-CH"/>
      </w:rPr>
      <w:t>LI/A/39/2</w:t>
    </w:r>
  </w:p>
  <w:p w:rsidR="002D1A88" w:rsidRPr="005D7339" w:rsidRDefault="002D1A88" w:rsidP="00AD367E">
    <w:pPr>
      <w:pStyle w:val="Header"/>
      <w:jc w:val="right"/>
      <w:rPr>
        <w:lang w:val="fr-CH"/>
      </w:rPr>
    </w:pPr>
    <w:r w:rsidRPr="005D7339">
      <w:rPr>
        <w:lang w:val="fr-CH"/>
      </w:rPr>
      <w:t xml:space="preserve">Annex, page </w:t>
    </w:r>
    <w:r w:rsidRPr="009B020C">
      <w:fldChar w:fldCharType="begin"/>
    </w:r>
    <w:r w:rsidRPr="005D7339">
      <w:rPr>
        <w:lang w:val="fr-CH"/>
      </w:rPr>
      <w:instrText xml:space="preserve"> PAGE  \* MERGEFORMAT </w:instrText>
    </w:r>
    <w:r w:rsidRPr="009B020C">
      <w:fldChar w:fldCharType="separate"/>
    </w:r>
    <w:r w:rsidR="009C1CA8">
      <w:rPr>
        <w:noProof/>
        <w:lang w:val="fr-CH"/>
      </w:rPr>
      <w:t>2</w:t>
    </w:r>
    <w:r w:rsidRPr="009B020C">
      <w:fldChar w:fldCharType="end"/>
    </w:r>
  </w:p>
  <w:p w:rsidR="002D1A88" w:rsidRPr="005D7339" w:rsidRDefault="002D1A88" w:rsidP="00AD367E">
    <w:pPr>
      <w:pStyle w:val="Header"/>
      <w:jc w:val="right"/>
      <w:rPr>
        <w:lang w:val="fr-CH"/>
      </w:rPr>
    </w:pPr>
  </w:p>
  <w:p w:rsidR="002D1A88" w:rsidRPr="005D7339" w:rsidRDefault="002D1A88">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1557"/>
        </w:tabs>
        <w:ind w:left="99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796"/>
    <w:rsid w:val="00001A71"/>
    <w:rsid w:val="0001647B"/>
    <w:rsid w:val="00043CAA"/>
    <w:rsid w:val="00052F5D"/>
    <w:rsid w:val="00075432"/>
    <w:rsid w:val="000968ED"/>
    <w:rsid w:val="000A7640"/>
    <w:rsid w:val="000F5E56"/>
    <w:rsid w:val="001024FE"/>
    <w:rsid w:val="00132E63"/>
    <w:rsid w:val="001362EE"/>
    <w:rsid w:val="00142868"/>
    <w:rsid w:val="001714D0"/>
    <w:rsid w:val="001832A6"/>
    <w:rsid w:val="001C6808"/>
    <w:rsid w:val="002121FA"/>
    <w:rsid w:val="002634C4"/>
    <w:rsid w:val="002928D3"/>
    <w:rsid w:val="002D1A88"/>
    <w:rsid w:val="002F1FE6"/>
    <w:rsid w:val="002F4E68"/>
    <w:rsid w:val="00312F7F"/>
    <w:rsid w:val="003228B7"/>
    <w:rsid w:val="003508A3"/>
    <w:rsid w:val="0035411A"/>
    <w:rsid w:val="003673CF"/>
    <w:rsid w:val="003845C1"/>
    <w:rsid w:val="00385E6C"/>
    <w:rsid w:val="00395727"/>
    <w:rsid w:val="003A6F89"/>
    <w:rsid w:val="003B38C1"/>
    <w:rsid w:val="003D3F7C"/>
    <w:rsid w:val="00410C0F"/>
    <w:rsid w:val="00423E3E"/>
    <w:rsid w:val="00427AF4"/>
    <w:rsid w:val="004400E2"/>
    <w:rsid w:val="00461632"/>
    <w:rsid w:val="004647DA"/>
    <w:rsid w:val="00474062"/>
    <w:rsid w:val="00477D6B"/>
    <w:rsid w:val="004D39C4"/>
    <w:rsid w:val="0053057A"/>
    <w:rsid w:val="00560A29"/>
    <w:rsid w:val="00594D27"/>
    <w:rsid w:val="005D7339"/>
    <w:rsid w:val="005F5C9C"/>
    <w:rsid w:val="00601760"/>
    <w:rsid w:val="00605827"/>
    <w:rsid w:val="0062702A"/>
    <w:rsid w:val="00646050"/>
    <w:rsid w:val="006464F5"/>
    <w:rsid w:val="006713CA"/>
    <w:rsid w:val="00676C5C"/>
    <w:rsid w:val="00695558"/>
    <w:rsid w:val="006B3A4C"/>
    <w:rsid w:val="006D5E0F"/>
    <w:rsid w:val="006D717D"/>
    <w:rsid w:val="006E38F6"/>
    <w:rsid w:val="007058FB"/>
    <w:rsid w:val="0071612C"/>
    <w:rsid w:val="00794469"/>
    <w:rsid w:val="007B6A58"/>
    <w:rsid w:val="007D1613"/>
    <w:rsid w:val="007F7587"/>
    <w:rsid w:val="00865814"/>
    <w:rsid w:val="00873EE5"/>
    <w:rsid w:val="008B2CC1"/>
    <w:rsid w:val="008B4B5E"/>
    <w:rsid w:val="008B60B2"/>
    <w:rsid w:val="00903A4A"/>
    <w:rsid w:val="0090731E"/>
    <w:rsid w:val="00916EE2"/>
    <w:rsid w:val="009422AB"/>
    <w:rsid w:val="00966A22"/>
    <w:rsid w:val="0096722F"/>
    <w:rsid w:val="00980843"/>
    <w:rsid w:val="00985B93"/>
    <w:rsid w:val="00990DFA"/>
    <w:rsid w:val="009B020C"/>
    <w:rsid w:val="009B3B17"/>
    <w:rsid w:val="009C1CA8"/>
    <w:rsid w:val="009E2791"/>
    <w:rsid w:val="009E3F6F"/>
    <w:rsid w:val="009E442A"/>
    <w:rsid w:val="009F3BF9"/>
    <w:rsid w:val="009F499F"/>
    <w:rsid w:val="00A37EC5"/>
    <w:rsid w:val="00A42DAF"/>
    <w:rsid w:val="00A45BD8"/>
    <w:rsid w:val="00A778BF"/>
    <w:rsid w:val="00A85B8E"/>
    <w:rsid w:val="00AC205C"/>
    <w:rsid w:val="00AD367E"/>
    <w:rsid w:val="00AF5C73"/>
    <w:rsid w:val="00B05A69"/>
    <w:rsid w:val="00B40598"/>
    <w:rsid w:val="00B50B99"/>
    <w:rsid w:val="00B62CD9"/>
    <w:rsid w:val="00B9734B"/>
    <w:rsid w:val="00BE556E"/>
    <w:rsid w:val="00C11BFE"/>
    <w:rsid w:val="00C24872"/>
    <w:rsid w:val="00C25D03"/>
    <w:rsid w:val="00C94629"/>
    <w:rsid w:val="00CE65D4"/>
    <w:rsid w:val="00D45252"/>
    <w:rsid w:val="00D71B4D"/>
    <w:rsid w:val="00D93D55"/>
    <w:rsid w:val="00E161A2"/>
    <w:rsid w:val="00E335FE"/>
    <w:rsid w:val="00E5021F"/>
    <w:rsid w:val="00E671A6"/>
    <w:rsid w:val="00EA58AD"/>
    <w:rsid w:val="00EC4E49"/>
    <w:rsid w:val="00ED0796"/>
    <w:rsid w:val="00ED77FB"/>
    <w:rsid w:val="00EF10B3"/>
    <w:rsid w:val="00F021A6"/>
    <w:rsid w:val="00F11D94"/>
    <w:rsid w:val="00F66152"/>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A2CC94DD-7C65-4C9E-935A-D07ECB021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tabs>
        <w:tab w:val="clear" w:pos="1557"/>
        <w:tab w:val="num" w:pos="567"/>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ONUMEChar">
    <w:name w:val="ONUM E Char"/>
    <w:basedOn w:val="DefaultParagraphFont"/>
    <w:link w:val="ONUME"/>
    <w:rsid w:val="009B020C"/>
    <w:rPr>
      <w:rFonts w:ascii="Arial" w:eastAsia="SimSun" w:hAnsi="Arial" w:cs="Arial"/>
      <w:sz w:val="22"/>
      <w:lang w:val="en-US" w:eastAsia="zh-CN"/>
    </w:rPr>
  </w:style>
  <w:style w:type="character" w:customStyle="1" w:styleId="HeaderChar">
    <w:name w:val="Header Char"/>
    <w:basedOn w:val="DefaultParagraphFont"/>
    <w:link w:val="Header"/>
    <w:uiPriority w:val="99"/>
    <w:rsid w:val="009B020C"/>
    <w:rPr>
      <w:rFonts w:ascii="Arial" w:eastAsia="SimSun" w:hAnsi="Arial" w:cs="Arial"/>
      <w:sz w:val="22"/>
      <w:lang w:val="en-US" w:eastAsia="zh-CN"/>
    </w:rPr>
  </w:style>
  <w:style w:type="character" w:customStyle="1" w:styleId="FooterChar">
    <w:name w:val="Footer Char"/>
    <w:basedOn w:val="DefaultParagraphFont"/>
    <w:link w:val="Footer"/>
    <w:uiPriority w:val="99"/>
    <w:rsid w:val="009B020C"/>
    <w:rPr>
      <w:rFonts w:ascii="Arial" w:eastAsia="SimSun" w:hAnsi="Arial" w:cs="Arial"/>
      <w:sz w:val="22"/>
      <w:lang w:val="en-US" w:eastAsia="zh-CN"/>
    </w:rPr>
  </w:style>
  <w:style w:type="character" w:customStyle="1" w:styleId="FootnoteTextChar">
    <w:name w:val="Footnote Text Char"/>
    <w:basedOn w:val="DefaultParagraphFont"/>
    <w:link w:val="FootnoteText"/>
    <w:rsid w:val="009B020C"/>
    <w:rPr>
      <w:rFonts w:ascii="Arial" w:eastAsia="SimSun" w:hAnsi="Arial" w:cs="Arial"/>
      <w:sz w:val="18"/>
      <w:lang w:val="en-US" w:eastAsia="zh-CN"/>
    </w:rPr>
  </w:style>
  <w:style w:type="character" w:styleId="FootnoteReference">
    <w:name w:val="footnote reference"/>
    <w:basedOn w:val="DefaultParagraphFont"/>
    <w:uiPriority w:val="99"/>
    <w:rsid w:val="009B02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LI%20A%203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2BA32-7099-41CC-8136-74AF31D36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 A 39 (E)</Template>
  <TotalTime>1</TotalTime>
  <Pages>8</Pages>
  <Words>2920</Words>
  <Characters>15637</Characters>
  <Application>Microsoft Office Word</Application>
  <DocSecurity>0</DocSecurity>
  <Lines>260</Lines>
  <Paragraphs>75</Paragraphs>
  <ScaleCrop>false</ScaleCrop>
  <HeadingPairs>
    <vt:vector size="2" baseType="variant">
      <vt:variant>
        <vt:lpstr>Title</vt:lpstr>
      </vt:variant>
      <vt:variant>
        <vt:i4>1</vt:i4>
      </vt:variant>
    </vt:vector>
  </HeadingPairs>
  <TitlesOfParts>
    <vt:vector size="1" baseType="lpstr">
      <vt:lpstr>LI/A/39/2</vt:lpstr>
    </vt:vector>
  </TitlesOfParts>
  <Company>WIPO</Company>
  <LinksUpToDate>false</LinksUpToDate>
  <CharactersWithSpaces>18539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LI/A/39/2</dc:title>
  <dc:creator>WIPO</dc:creator>
  <cp:keywords>PUBLIC</cp:keywords>
  <cp:lastModifiedBy>HÄFLIGER Patience</cp:lastModifiedBy>
  <cp:revision>5</cp:revision>
  <cp:lastPrinted>2011-02-15T11:56:00Z</cp:lastPrinted>
  <dcterms:created xsi:type="dcterms:W3CDTF">2022-09-23T08:44:00Z</dcterms:created>
  <dcterms:modified xsi:type="dcterms:W3CDTF">2022-09-27T13:15:00Z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e6a3381d-a440-476f-a77e-d87fd844394a</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