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5958D" w14:textId="77777777" w:rsidR="00E5566B" w:rsidRPr="00123893" w:rsidRDefault="00E5566B" w:rsidP="00E5566B">
      <w:pPr>
        <w:widowControl w:val="0"/>
        <w:jc w:val="right"/>
        <w:rPr>
          <w:b/>
          <w:sz w:val="2"/>
          <w:szCs w:val="40"/>
        </w:rPr>
      </w:pPr>
    </w:p>
    <w:p w14:paraId="16B7037D"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060F4F38" wp14:editId="145EBEC1">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060D8DE8" w14:textId="39B6947B" w:rsidR="006E4F5F" w:rsidRPr="009C425C" w:rsidRDefault="008166B3" w:rsidP="00086241">
      <w:pPr>
        <w:pBdr>
          <w:top w:val="single" w:sz="4" w:space="10" w:color="auto"/>
        </w:pBdr>
        <w:spacing w:before="120"/>
        <w:jc w:val="right"/>
        <w:rPr>
          <w:rFonts w:ascii="Arial Black" w:hAnsi="Arial Black"/>
          <w:b/>
          <w:caps/>
          <w:sz w:val="15"/>
        </w:rPr>
      </w:pPr>
      <w:r w:rsidRPr="009C425C">
        <w:rPr>
          <w:rFonts w:ascii="Arial Black" w:hAnsi="Arial Black"/>
          <w:b/>
          <w:caps/>
          <w:sz w:val="15"/>
        </w:rPr>
        <w:t>LI/A/</w:t>
      </w:r>
      <w:r w:rsidR="0038600E" w:rsidRPr="009C425C">
        <w:rPr>
          <w:rFonts w:ascii="Arial Black" w:hAnsi="Arial Black"/>
          <w:b/>
          <w:caps/>
          <w:sz w:val="15"/>
        </w:rPr>
        <w:t>39</w:t>
      </w:r>
      <w:r w:rsidR="006E4F5F" w:rsidRPr="009C425C">
        <w:rPr>
          <w:rFonts w:ascii="Arial Black" w:hAnsi="Arial Black"/>
          <w:b/>
          <w:caps/>
          <w:sz w:val="15"/>
        </w:rPr>
        <w:t>/</w:t>
      </w:r>
      <w:bookmarkStart w:id="0" w:name="Code"/>
      <w:bookmarkEnd w:id="0"/>
      <w:r w:rsidR="0038600E" w:rsidRPr="009C425C">
        <w:rPr>
          <w:rFonts w:ascii="Arial Black" w:hAnsi="Arial Black"/>
          <w:b/>
          <w:caps/>
          <w:sz w:val="15"/>
        </w:rPr>
        <w:t>1</w:t>
      </w:r>
    </w:p>
    <w:p w14:paraId="5109B94C" w14:textId="77777777" w:rsidR="006E4F5F" w:rsidRPr="009C425C" w:rsidRDefault="006E4F5F" w:rsidP="006E4F5F">
      <w:pPr>
        <w:jc w:val="right"/>
        <w:rPr>
          <w:rFonts w:ascii="Arial Black" w:hAnsi="Arial Black"/>
          <w:b/>
          <w:caps/>
          <w:sz w:val="15"/>
        </w:rPr>
      </w:pPr>
      <w:r w:rsidRPr="009C425C">
        <w:rPr>
          <w:rFonts w:ascii="Arial Black" w:hAnsi="Arial Black"/>
          <w:b/>
          <w:caps/>
          <w:sz w:val="15"/>
        </w:rPr>
        <w:t>ORIGINAL:</w:t>
      </w:r>
      <w:r w:rsidR="00781DB8" w:rsidRPr="009C425C">
        <w:rPr>
          <w:rFonts w:ascii="Arial Black" w:hAnsi="Arial Black"/>
          <w:b/>
          <w:caps/>
          <w:sz w:val="15"/>
        </w:rPr>
        <w:t xml:space="preserve"> </w:t>
      </w:r>
      <w:r w:rsidRPr="009C425C">
        <w:rPr>
          <w:rFonts w:ascii="Arial Black" w:hAnsi="Arial Black"/>
          <w:b/>
          <w:caps/>
          <w:sz w:val="15"/>
        </w:rPr>
        <w:t xml:space="preserve"> </w:t>
      </w:r>
      <w:bookmarkStart w:id="1" w:name="Original"/>
      <w:bookmarkEnd w:id="1"/>
      <w:r w:rsidR="000F0B28" w:rsidRPr="009C425C">
        <w:rPr>
          <w:rFonts w:ascii="Arial Black" w:hAnsi="Arial Black"/>
          <w:b/>
          <w:caps/>
          <w:sz w:val="15"/>
        </w:rPr>
        <w:t>ENGLISH</w:t>
      </w:r>
    </w:p>
    <w:p w14:paraId="7D168567" w14:textId="576E3B2A" w:rsidR="006E4F5F" w:rsidRPr="006E4F5F" w:rsidRDefault="006E4F5F" w:rsidP="006E4F5F">
      <w:pPr>
        <w:spacing w:line="1680" w:lineRule="auto"/>
        <w:jc w:val="right"/>
        <w:rPr>
          <w:rFonts w:ascii="Arial Black" w:hAnsi="Arial Black"/>
          <w:b/>
          <w:caps/>
          <w:sz w:val="15"/>
        </w:rPr>
      </w:pPr>
      <w:r w:rsidRPr="009C425C">
        <w:rPr>
          <w:rFonts w:ascii="Arial Black" w:hAnsi="Arial Black"/>
          <w:b/>
          <w:caps/>
          <w:sz w:val="15"/>
        </w:rPr>
        <w:t>DATE:</w:t>
      </w:r>
      <w:r w:rsidR="00781DB8" w:rsidRPr="009C425C">
        <w:rPr>
          <w:rFonts w:ascii="Arial Black" w:hAnsi="Arial Black"/>
          <w:b/>
          <w:caps/>
          <w:sz w:val="15"/>
        </w:rPr>
        <w:t xml:space="preserve"> </w:t>
      </w:r>
      <w:r w:rsidRPr="009C425C">
        <w:rPr>
          <w:rFonts w:ascii="Arial Black" w:hAnsi="Arial Black"/>
          <w:b/>
          <w:caps/>
          <w:sz w:val="15"/>
        </w:rPr>
        <w:t xml:space="preserve"> </w:t>
      </w:r>
      <w:bookmarkStart w:id="2" w:name="Date"/>
      <w:bookmarkEnd w:id="2"/>
      <w:r w:rsidR="00DA00EC">
        <w:rPr>
          <w:rFonts w:ascii="Arial Black" w:hAnsi="Arial Black"/>
          <w:b/>
          <w:caps/>
          <w:sz w:val="15"/>
        </w:rPr>
        <w:t xml:space="preserve">july </w:t>
      </w:r>
      <w:r w:rsidR="00411F33">
        <w:rPr>
          <w:rFonts w:ascii="Arial Black" w:hAnsi="Arial Black"/>
          <w:b/>
          <w:caps/>
          <w:sz w:val="15"/>
        </w:rPr>
        <w:t>8</w:t>
      </w:r>
      <w:r w:rsidR="0038600E" w:rsidRPr="009C425C">
        <w:rPr>
          <w:rFonts w:ascii="Arial Black" w:hAnsi="Arial Black"/>
          <w:b/>
          <w:caps/>
          <w:sz w:val="15"/>
        </w:rPr>
        <w:t>, 2022</w:t>
      </w:r>
    </w:p>
    <w:p w14:paraId="6408B6BA" w14:textId="24C01D16" w:rsidR="00A60917" w:rsidRDefault="00A60917" w:rsidP="00A60917">
      <w:pPr>
        <w:pStyle w:val="Heading1"/>
      </w:pPr>
      <w:r>
        <w:t>Special Union for the Protection of Appellations of Origin and their International Registration (Lisbon Union)</w:t>
      </w:r>
      <w:bookmarkStart w:id="3" w:name="_GoBack"/>
      <w:bookmarkEnd w:id="3"/>
    </w:p>
    <w:p w14:paraId="3D56F694" w14:textId="1E44B987" w:rsidR="008B2CC1" w:rsidRPr="003D57B0" w:rsidRDefault="00A60917" w:rsidP="00A60917">
      <w:pPr>
        <w:pStyle w:val="Heading1"/>
      </w:pPr>
      <w:r>
        <w:t>Assembly</w:t>
      </w:r>
    </w:p>
    <w:p w14:paraId="4C3E7304" w14:textId="20BB2D43" w:rsidR="008B2CC1" w:rsidRPr="009C127D" w:rsidRDefault="0038600E" w:rsidP="003D2030">
      <w:pPr>
        <w:spacing w:after="720"/>
        <w:rPr>
          <w:b/>
          <w:sz w:val="24"/>
        </w:rPr>
      </w:pPr>
      <w:r>
        <w:rPr>
          <w:b/>
          <w:sz w:val="24"/>
        </w:rPr>
        <w:t>Thirty-Ninth (15</w:t>
      </w:r>
      <w:r w:rsidR="00B56A00" w:rsidRPr="00B56A00">
        <w:rPr>
          <w:b/>
          <w:sz w:val="24"/>
          <w:vertAlign w:val="superscript"/>
        </w:rPr>
        <w:t>th</w:t>
      </w:r>
      <w:r w:rsidR="00B56A00">
        <w:rPr>
          <w:b/>
          <w:sz w:val="24"/>
        </w:rPr>
        <w:t xml:space="preserve"> </w:t>
      </w:r>
      <w:r>
        <w:rPr>
          <w:b/>
          <w:sz w:val="24"/>
        </w:rPr>
        <w:t>Extrao</w:t>
      </w:r>
      <w:r w:rsidR="00C214BD" w:rsidRPr="00C214BD">
        <w:rPr>
          <w:b/>
          <w:sz w:val="24"/>
        </w:rPr>
        <w:t xml:space="preserve">rdinary) </w:t>
      </w:r>
      <w:r w:rsidR="00A60917" w:rsidRPr="00E60AE4">
        <w:rPr>
          <w:b/>
          <w:sz w:val="24"/>
        </w:rPr>
        <w:t>Session</w:t>
      </w:r>
      <w:r w:rsidR="003D57B0" w:rsidRPr="009C127D">
        <w:rPr>
          <w:b/>
          <w:sz w:val="24"/>
        </w:rPr>
        <w:br/>
      </w:r>
      <w:r>
        <w:rPr>
          <w:b/>
          <w:sz w:val="24"/>
        </w:rPr>
        <w:t>Geneva, July</w:t>
      </w:r>
      <w:r w:rsidR="007D1BA3" w:rsidRPr="009E56CE">
        <w:rPr>
          <w:b/>
          <w:sz w:val="24"/>
        </w:rPr>
        <w:t xml:space="preserve"> </w:t>
      </w:r>
      <w:r>
        <w:rPr>
          <w:b/>
          <w:sz w:val="24"/>
        </w:rPr>
        <w:t>14 to</w:t>
      </w:r>
      <w:r w:rsidR="007C20C6">
        <w:rPr>
          <w:b/>
          <w:sz w:val="24"/>
        </w:rPr>
        <w:t xml:space="preserve"> July</w:t>
      </w:r>
      <w:r>
        <w:rPr>
          <w:b/>
          <w:sz w:val="24"/>
        </w:rPr>
        <w:t xml:space="preserve"> 22</w:t>
      </w:r>
      <w:r w:rsidR="00A60917" w:rsidRPr="009E56CE">
        <w:rPr>
          <w:b/>
          <w:sz w:val="24"/>
        </w:rPr>
        <w:t>, 20</w:t>
      </w:r>
      <w:r>
        <w:rPr>
          <w:b/>
          <w:sz w:val="24"/>
        </w:rPr>
        <w:t>22</w:t>
      </w:r>
    </w:p>
    <w:p w14:paraId="12CF45D6" w14:textId="649F767B" w:rsidR="000F0B28" w:rsidRPr="009429D7" w:rsidRDefault="00C74519" w:rsidP="000F0B28">
      <w:pPr>
        <w:spacing w:after="360"/>
        <w:rPr>
          <w:caps/>
          <w:sz w:val="24"/>
          <w:szCs w:val="24"/>
        </w:rPr>
      </w:pPr>
      <w:bookmarkStart w:id="4" w:name="TitleOfDoc"/>
      <w:bookmarkStart w:id="5" w:name="Prepared"/>
      <w:bookmarkEnd w:id="4"/>
      <w:bookmarkEnd w:id="5"/>
      <w:r w:rsidRPr="009429D7">
        <w:rPr>
          <w:caps/>
          <w:sz w:val="24"/>
          <w:szCs w:val="24"/>
        </w:rPr>
        <w:t>P</w:t>
      </w:r>
      <w:r w:rsidRPr="009429D7">
        <w:rPr>
          <w:sz w:val="24"/>
          <w:szCs w:val="24"/>
        </w:rPr>
        <w:t>ROPOSED AMENDMENTS TO THE COMMON REGULATIONS UNDER THE LISBON AGREEMENT AND THE GENEVA ACT OF THE LISBON AGREEMENT</w:t>
      </w:r>
    </w:p>
    <w:p w14:paraId="34B6CD01" w14:textId="532A204B" w:rsidR="008B2CC1" w:rsidRPr="009C127D" w:rsidRDefault="00E128A8" w:rsidP="009C127D">
      <w:pPr>
        <w:spacing w:after="960"/>
        <w:rPr>
          <w:i/>
        </w:rPr>
      </w:pPr>
      <w:r>
        <w:rPr>
          <w:i/>
        </w:rPr>
        <w:t xml:space="preserve">Document </w:t>
      </w:r>
      <w:r w:rsidR="000F0B28">
        <w:rPr>
          <w:i/>
        </w:rPr>
        <w:t xml:space="preserve">prepared by the </w:t>
      </w:r>
      <w:r w:rsidR="005C582A">
        <w:rPr>
          <w:i/>
        </w:rPr>
        <w:t>Secretariat</w:t>
      </w:r>
    </w:p>
    <w:p w14:paraId="4ED2CE7B" w14:textId="34C6A480" w:rsidR="006D53B6" w:rsidRPr="006D53B6" w:rsidRDefault="006D53B6" w:rsidP="00EA46D9">
      <w:pPr>
        <w:pStyle w:val="ONUME"/>
        <w:numPr>
          <w:ilvl w:val="0"/>
          <w:numId w:val="0"/>
        </w:numPr>
        <w:spacing w:after="240"/>
        <w:rPr>
          <w:b/>
          <w:szCs w:val="22"/>
        </w:rPr>
      </w:pPr>
      <w:r w:rsidRPr="006D53B6">
        <w:rPr>
          <w:b/>
          <w:szCs w:val="22"/>
        </w:rPr>
        <w:t>INTRODUCTION</w:t>
      </w:r>
    </w:p>
    <w:p w14:paraId="7A0E3067" w14:textId="5A721DBB" w:rsidR="004E093D" w:rsidRPr="00D765F1" w:rsidRDefault="004E093D" w:rsidP="004E093D">
      <w:pPr>
        <w:pStyle w:val="ONUME"/>
        <w:rPr>
          <w:szCs w:val="22"/>
        </w:rPr>
      </w:pPr>
      <w:proofErr w:type="gramStart"/>
      <w:r>
        <w:t xml:space="preserve">The entry into force of the Geneva Act of the Lisbon Agreement </w:t>
      </w:r>
      <w:r w:rsidRPr="004C6D57">
        <w:t xml:space="preserve">on Appellations of Origin and Geographical Indications (hereinafter referred to as “the </w:t>
      </w:r>
      <w:r w:rsidR="00B068F2">
        <w:t>Geneva Act”) on February 26, </w:t>
      </w:r>
      <w:r>
        <w:t xml:space="preserve">2020, brought to light the need to consider amendments to the Common Regulations </w:t>
      </w:r>
      <w:r w:rsidR="00B068F2">
        <w:rPr>
          <w:szCs w:val="22"/>
        </w:rPr>
        <w:t>u</w:t>
      </w:r>
      <w:r w:rsidRPr="00967B9B">
        <w:rPr>
          <w:szCs w:val="22"/>
        </w:rPr>
        <w:t>nder the Lisbon Agreement for the Protection of Appellations of Origin and their International Registration and the Geneva Act of the Lisbon Agreement on Appellations of Origin and Geographical Indications (hereinafter referred to as “the Common Regulations”)</w:t>
      </w:r>
      <w:r>
        <w:rPr>
          <w:szCs w:val="22"/>
        </w:rPr>
        <w:t xml:space="preserve"> </w:t>
      </w:r>
      <w:r>
        <w:t xml:space="preserve">to </w:t>
      </w:r>
      <w:r w:rsidRPr="005D0009">
        <w:t>simpli</w:t>
      </w:r>
      <w:r>
        <w:t>fy and streamline the procedures</w:t>
      </w:r>
      <w:r w:rsidRPr="005D0009">
        <w:t xml:space="preserve"> under the Lisbon System</w:t>
      </w:r>
      <w:r>
        <w:t xml:space="preserve"> for the International Registration of Appellations of Origin and Geographical Indications (hereinafter referred to as “the Lisbon System”)</w:t>
      </w:r>
      <w:r w:rsidRPr="005D0009">
        <w:t xml:space="preserve">, </w:t>
      </w:r>
      <w:r>
        <w:t xml:space="preserve">also with the aim of providing greater </w:t>
      </w:r>
      <w:r w:rsidRPr="005D0009">
        <w:t xml:space="preserve">clarity to the users of the </w:t>
      </w:r>
      <w:r>
        <w:t xml:space="preserve">Lisbon </w:t>
      </w:r>
      <w:r w:rsidRPr="005D0009">
        <w:t>System</w:t>
      </w:r>
      <w:r>
        <w:t>.</w:t>
      </w:r>
      <w:proofErr w:type="gramEnd"/>
    </w:p>
    <w:p w14:paraId="1DC32286" w14:textId="7F3AE950" w:rsidR="00967B9B" w:rsidRPr="00967B9B" w:rsidRDefault="004E093D" w:rsidP="003E6CF6">
      <w:pPr>
        <w:pStyle w:val="ONUME"/>
      </w:pPr>
      <w:proofErr w:type="gramStart"/>
      <w:r>
        <w:t>Hence, at its fourth session, which took place from June 14 to 16, 2022, t</w:t>
      </w:r>
      <w:r w:rsidR="000F0B28" w:rsidRPr="00342182">
        <w:t>he Working Group on the Development of the Lisbon System (</w:t>
      </w:r>
      <w:r w:rsidR="00534F04">
        <w:t xml:space="preserve">hereinafter referred to as </w:t>
      </w:r>
      <w:r w:rsidR="000F0B28" w:rsidRPr="00342182">
        <w:t>“th</w:t>
      </w:r>
      <w:r w:rsidR="002173F6" w:rsidRPr="00342182">
        <w:t>e Working Group”)</w:t>
      </w:r>
      <w:r w:rsidR="007E19D8">
        <w:t xml:space="preserve"> </w:t>
      </w:r>
      <w:r w:rsidR="004E6F0A">
        <w:rPr>
          <w:szCs w:val="22"/>
        </w:rPr>
        <w:t xml:space="preserve">recommended </w:t>
      </w:r>
      <w:r w:rsidR="00D765F1">
        <w:rPr>
          <w:szCs w:val="22"/>
        </w:rPr>
        <w:t>amendments to Rules 7, 8, 9</w:t>
      </w:r>
      <w:r w:rsidR="0057516A">
        <w:rPr>
          <w:szCs w:val="22"/>
        </w:rPr>
        <w:t xml:space="preserve">, </w:t>
      </w:r>
      <w:r w:rsidR="00D765F1">
        <w:rPr>
          <w:szCs w:val="22"/>
        </w:rPr>
        <w:t xml:space="preserve">15 and 16 </w:t>
      </w:r>
      <w:r w:rsidR="003F64FC" w:rsidRPr="003F64FC">
        <w:rPr>
          <w:szCs w:val="22"/>
        </w:rPr>
        <w:t xml:space="preserve">of the </w:t>
      </w:r>
      <w:r w:rsidR="00967B9B" w:rsidRPr="00967B9B">
        <w:rPr>
          <w:szCs w:val="22"/>
        </w:rPr>
        <w:t>Common Regulations</w:t>
      </w:r>
      <w:r w:rsidR="00967B9B">
        <w:rPr>
          <w:szCs w:val="22"/>
        </w:rPr>
        <w:t xml:space="preserve">, </w:t>
      </w:r>
      <w:r w:rsidR="00967B9B">
        <w:rPr>
          <w:szCs w:val="22"/>
        </w:rPr>
        <w:lastRenderedPageBreak/>
        <w:t xml:space="preserve">for their adoption by the Lisbon Union Assembly at its thirty-ninth </w:t>
      </w:r>
      <w:r w:rsidR="003E6CF6">
        <w:rPr>
          <w:szCs w:val="22"/>
        </w:rPr>
        <w:t>(15</w:t>
      </w:r>
      <w:r w:rsidR="003E6CF6" w:rsidRPr="00B56A00">
        <w:rPr>
          <w:szCs w:val="22"/>
          <w:vertAlign w:val="superscript"/>
        </w:rPr>
        <w:t>th</w:t>
      </w:r>
      <w:r w:rsidR="00B56A00">
        <w:rPr>
          <w:szCs w:val="22"/>
        </w:rPr>
        <w:t xml:space="preserve"> </w:t>
      </w:r>
      <w:r w:rsidR="003E6CF6">
        <w:rPr>
          <w:szCs w:val="22"/>
        </w:rPr>
        <w:t>e</w:t>
      </w:r>
      <w:r w:rsidR="003E6CF6" w:rsidRPr="003E6CF6">
        <w:rPr>
          <w:szCs w:val="22"/>
        </w:rPr>
        <w:t xml:space="preserve">xtraordinary) </w:t>
      </w:r>
      <w:r w:rsidR="00967B9B">
        <w:rPr>
          <w:szCs w:val="22"/>
        </w:rPr>
        <w:t>sess</w:t>
      </w:r>
      <w:r w:rsidR="0056739A">
        <w:rPr>
          <w:szCs w:val="22"/>
        </w:rPr>
        <w:t xml:space="preserve">ion </w:t>
      </w:r>
      <w:r w:rsidR="0056739A">
        <w:t xml:space="preserve">(see </w:t>
      </w:r>
      <w:r w:rsidR="0056739A" w:rsidRPr="0056739A">
        <w:t>paragraph</w:t>
      </w:r>
      <w:r w:rsidR="0056739A">
        <w:t> </w:t>
      </w:r>
      <w:r w:rsidR="00D765F1" w:rsidRPr="0056739A">
        <w:t>12</w:t>
      </w:r>
      <w:r w:rsidR="00D765F1">
        <w:t xml:space="preserve"> of </w:t>
      </w:r>
      <w:r w:rsidR="0056739A">
        <w:t>document </w:t>
      </w:r>
      <w:r w:rsidR="00D765F1" w:rsidRPr="00431211">
        <w:t>LI/WG/DEV-SYS/4/</w:t>
      </w:r>
      <w:r w:rsidR="00D765F1">
        <w:t>3)</w:t>
      </w:r>
      <w:r w:rsidR="00D765F1">
        <w:rPr>
          <w:szCs w:val="22"/>
        </w:rPr>
        <w:t>.</w:t>
      </w:r>
      <w:proofErr w:type="gramEnd"/>
    </w:p>
    <w:p w14:paraId="3CA2CFD5" w14:textId="37AF1CF2" w:rsidR="003F64FC" w:rsidRDefault="00D765F1" w:rsidP="00EA46D9">
      <w:pPr>
        <w:pStyle w:val="ONUME"/>
        <w:spacing w:after="480"/>
      </w:pPr>
      <w:r>
        <w:t xml:space="preserve">Discussions in the Working Group </w:t>
      </w:r>
      <w:proofErr w:type="gramStart"/>
      <w:r>
        <w:t>were based</w:t>
      </w:r>
      <w:proofErr w:type="gramEnd"/>
      <w:r>
        <w:t xml:space="preserve"> on document LI/WG/DEV-SYS/4/2</w:t>
      </w:r>
      <w:r w:rsidRPr="00D765F1">
        <w:t xml:space="preserve"> </w:t>
      </w:r>
      <w:r>
        <w:t>and on alternative proposa</w:t>
      </w:r>
      <w:r w:rsidR="0056739A">
        <w:t>ls for amendments submitted by D</w:t>
      </w:r>
      <w:r>
        <w:t xml:space="preserve">elegations during the Working Group.  </w:t>
      </w:r>
      <w:r w:rsidRPr="00D765F1">
        <w:t xml:space="preserve">Relevant background information on the proposed amendments to the </w:t>
      </w:r>
      <w:r>
        <w:t xml:space="preserve">Common Regulations </w:t>
      </w:r>
      <w:proofErr w:type="gramStart"/>
      <w:r>
        <w:t xml:space="preserve">is </w:t>
      </w:r>
      <w:r w:rsidRPr="00D765F1">
        <w:t>gi</w:t>
      </w:r>
      <w:r w:rsidR="00012A0B">
        <w:t>ven</w:t>
      </w:r>
      <w:proofErr w:type="gramEnd"/>
      <w:r w:rsidR="00012A0B">
        <w:t xml:space="preserve"> in the following paragraphs</w:t>
      </w:r>
      <w:r w:rsidRPr="003F64FC">
        <w:rPr>
          <w:szCs w:val="22"/>
        </w:rPr>
        <w:t>.</w:t>
      </w:r>
      <w:r>
        <w:rPr>
          <w:szCs w:val="22"/>
        </w:rPr>
        <w:t xml:space="preserve"> </w:t>
      </w:r>
      <w:r w:rsidR="00012A0B">
        <w:rPr>
          <w:szCs w:val="22"/>
        </w:rPr>
        <w:t xml:space="preserve"> </w:t>
      </w:r>
      <w:r w:rsidRPr="00E60AE4">
        <w:rPr>
          <w:szCs w:val="22"/>
        </w:rPr>
        <w:t xml:space="preserve">The proposed amendments are reproduced in the </w:t>
      </w:r>
      <w:r w:rsidRPr="00E60AE4">
        <w:t xml:space="preserve">Annex to the present document (proposed </w:t>
      </w:r>
      <w:r>
        <w:t>amendments</w:t>
      </w:r>
      <w:r w:rsidRPr="00E60AE4">
        <w:t xml:space="preserve"> are underlin</w:t>
      </w:r>
      <w:r w:rsidRPr="0035324C">
        <w:t>ed</w:t>
      </w:r>
      <w:r>
        <w:t xml:space="preserve"> or struck through</w:t>
      </w:r>
      <w:r w:rsidRPr="0035324C">
        <w:t>).</w:t>
      </w:r>
    </w:p>
    <w:p w14:paraId="0D9666AC" w14:textId="596622E4" w:rsidR="006D53B6" w:rsidRDefault="006D53B6" w:rsidP="006D53B6">
      <w:pPr>
        <w:pStyle w:val="Default"/>
        <w:spacing w:after="240"/>
        <w:rPr>
          <w:b/>
          <w:sz w:val="22"/>
          <w:szCs w:val="22"/>
        </w:rPr>
      </w:pPr>
      <w:r>
        <w:rPr>
          <w:b/>
          <w:sz w:val="22"/>
          <w:szCs w:val="22"/>
        </w:rPr>
        <w:t>PROPOSED AMENDMENTS</w:t>
      </w:r>
      <w:r w:rsidR="003539E7">
        <w:rPr>
          <w:b/>
          <w:sz w:val="22"/>
          <w:szCs w:val="22"/>
        </w:rPr>
        <w:t xml:space="preserve"> TO THE COMMON REGULATIONS</w:t>
      </w:r>
    </w:p>
    <w:p w14:paraId="698E2C0A" w14:textId="5CA563F7" w:rsidR="00636681" w:rsidRPr="00CD3BE5" w:rsidRDefault="00636681" w:rsidP="00CD3BE5">
      <w:pPr>
        <w:pStyle w:val="ONUME"/>
      </w:pPr>
      <w:proofErr w:type="gramStart"/>
      <w:r>
        <w:t xml:space="preserve">The proposed </w:t>
      </w:r>
      <w:r w:rsidR="003539E7">
        <w:t xml:space="preserve">amendments to </w:t>
      </w:r>
      <w:r>
        <w:t xml:space="preserve">Rule 7(4)(a) </w:t>
      </w:r>
      <w:r w:rsidR="00F93C81">
        <w:t>would</w:t>
      </w:r>
      <w:r>
        <w:t xml:space="preserve"> </w:t>
      </w:r>
      <w:r w:rsidR="00AC19AF">
        <w:t>clarify</w:t>
      </w:r>
      <w:r>
        <w:t xml:space="preserve"> that, in case of ratification of, or accession to, the Geneva Act by a State party to the 1967 Act, only those modifications concerning a </w:t>
      </w:r>
      <w:r w:rsidR="00937A97">
        <w:t>mandatory element</w:t>
      </w:r>
      <w:r>
        <w:t xml:space="preserve"> listed under Rule 5(2) of the Common Regulations </w:t>
      </w:r>
      <w:r w:rsidR="00E97549">
        <w:t xml:space="preserve">would </w:t>
      </w:r>
      <w:r>
        <w:t>be subject to payment of the modification fee specified in Rule 8(1)</w:t>
      </w:r>
      <w:r w:rsidR="00E97549">
        <w:t xml:space="preserve">, while </w:t>
      </w:r>
      <w:r>
        <w:t xml:space="preserve">those modifications effected in order to comply with any additional </w:t>
      </w:r>
      <w:r w:rsidR="00405A4E">
        <w:t>notification</w:t>
      </w:r>
      <w:r w:rsidR="00937A97">
        <w:t xml:space="preserve">-based </w:t>
      </w:r>
      <w:r w:rsidR="009903F3">
        <w:t>requirement under Rule 5(3) or </w:t>
      </w:r>
      <w:r>
        <w:t>5(4)</w:t>
      </w:r>
      <w:r w:rsidR="00E142FE">
        <w:t xml:space="preserve"> of the Common Regulations</w:t>
      </w:r>
      <w:r w:rsidR="00E97549">
        <w:t xml:space="preserve"> would not be subject to payment of the modification fee</w:t>
      </w:r>
      <w:r>
        <w:t>.</w:t>
      </w:r>
      <w:proofErr w:type="gramEnd"/>
    </w:p>
    <w:p w14:paraId="615AF26F" w14:textId="5EC61411" w:rsidR="00966DC4" w:rsidRPr="00063493" w:rsidRDefault="00FA5693" w:rsidP="00063493">
      <w:pPr>
        <w:pStyle w:val="ONUME"/>
      </w:pPr>
      <w:r>
        <w:t xml:space="preserve">The proposed </w:t>
      </w:r>
      <w:r w:rsidR="003539E7">
        <w:t>amendments to</w:t>
      </w:r>
      <w:r w:rsidR="00C030FC">
        <w:t xml:space="preserve"> Rule 8(1</w:t>
      </w:r>
      <w:proofErr w:type="gramStart"/>
      <w:r w:rsidR="00C030FC">
        <w:t>)(</w:t>
      </w:r>
      <w:proofErr w:type="gramEnd"/>
      <w:r w:rsidR="00C030FC">
        <w:t xml:space="preserve">ii) </w:t>
      </w:r>
      <w:r w:rsidR="00EE02CB">
        <w:t xml:space="preserve">would streamline the amount of </w:t>
      </w:r>
      <w:r w:rsidR="00473596">
        <w:t xml:space="preserve">the </w:t>
      </w:r>
      <w:r w:rsidR="00EE02CB">
        <w:t xml:space="preserve">fee to be paid </w:t>
      </w:r>
      <w:r w:rsidR="00C030FC">
        <w:t>in respect of one or several modifications</w:t>
      </w:r>
      <w:r w:rsidR="00C03E6B" w:rsidRPr="00C03E6B">
        <w:t xml:space="preserve"> </w:t>
      </w:r>
      <w:r w:rsidR="00C03E6B">
        <w:t>submitted in the same request</w:t>
      </w:r>
      <w:r w:rsidR="00C030FC">
        <w:t xml:space="preserve">.  </w:t>
      </w:r>
      <w:r w:rsidR="004A71C3">
        <w:t>T</w:t>
      </w:r>
      <w:r w:rsidR="00C030FC">
        <w:t>he fee for one modification</w:t>
      </w:r>
      <w:r w:rsidR="0035132B">
        <w:t xml:space="preserve"> only </w:t>
      </w:r>
      <w:r w:rsidR="004A71C3">
        <w:t xml:space="preserve">would </w:t>
      </w:r>
      <w:r w:rsidR="0035132B">
        <w:t>remain at</w:t>
      </w:r>
      <w:r w:rsidR="00C030FC">
        <w:t xml:space="preserve"> 500</w:t>
      </w:r>
      <w:r w:rsidR="003539E7">
        <w:t xml:space="preserve"> Swiss francs</w:t>
      </w:r>
      <w:r w:rsidR="00C030FC">
        <w:t xml:space="preserve">, while </w:t>
      </w:r>
      <w:r w:rsidR="0035132B">
        <w:t xml:space="preserve">it </w:t>
      </w:r>
      <w:proofErr w:type="gramStart"/>
      <w:r w:rsidR="0035132B">
        <w:t>is proposed</w:t>
      </w:r>
      <w:proofErr w:type="gramEnd"/>
      <w:r w:rsidR="0035132B">
        <w:t xml:space="preserve"> to introduce a compl</w:t>
      </w:r>
      <w:r w:rsidR="00E773B2">
        <w:t>e</w:t>
      </w:r>
      <w:r w:rsidR="0035132B">
        <w:t xml:space="preserve">mentary </w:t>
      </w:r>
      <w:r w:rsidR="00C030FC">
        <w:t xml:space="preserve">fee for </w:t>
      </w:r>
      <w:r w:rsidR="0035132B">
        <w:t>one or severa</w:t>
      </w:r>
      <w:r w:rsidR="00660764">
        <w:t xml:space="preserve">l additional modifications </w:t>
      </w:r>
      <w:r w:rsidR="004A71C3">
        <w:t>submitted in the same request</w:t>
      </w:r>
      <w:r w:rsidR="003B55A5">
        <w:t xml:space="preserve"> for a total </w:t>
      </w:r>
      <w:r w:rsidR="00C03E6B">
        <w:t xml:space="preserve">additional </w:t>
      </w:r>
      <w:r w:rsidR="003B55A5">
        <w:t>amount of 300 Swiss francs</w:t>
      </w:r>
      <w:r w:rsidR="0035132B">
        <w:t>.</w:t>
      </w:r>
      <w:r w:rsidR="00395A77">
        <w:t xml:space="preserve">  The </w:t>
      </w:r>
      <w:r w:rsidR="004A71C3">
        <w:t xml:space="preserve">proposed amendments to the </w:t>
      </w:r>
      <w:r w:rsidR="00395A77">
        <w:t>footnote clarif</w:t>
      </w:r>
      <w:r w:rsidR="003B55A5">
        <w:t>y</w:t>
      </w:r>
      <w:r w:rsidR="00395A77">
        <w:t xml:space="preserve"> that these amounts </w:t>
      </w:r>
      <w:proofErr w:type="gramStart"/>
      <w:r w:rsidR="00395A77">
        <w:t>w</w:t>
      </w:r>
      <w:r w:rsidR="004A71C3">
        <w:t>ould</w:t>
      </w:r>
      <w:r w:rsidR="00395A77">
        <w:t xml:space="preserve"> be reduced</w:t>
      </w:r>
      <w:proofErr w:type="gramEnd"/>
      <w:r w:rsidR="00395A77">
        <w:t xml:space="preserve"> to 50 per cent for those international registrations referring to a geographi</w:t>
      </w:r>
      <w:r w:rsidR="00F57262">
        <w:t>cal area of origin located in a least developed country</w:t>
      </w:r>
      <w:r w:rsidR="00395A77">
        <w:t xml:space="preserve"> </w:t>
      </w:r>
      <w:r w:rsidR="00F57262">
        <w:t>(</w:t>
      </w:r>
      <w:r w:rsidR="00395A77">
        <w:t>LDC</w:t>
      </w:r>
      <w:r w:rsidR="00F57262">
        <w:t>)</w:t>
      </w:r>
      <w:r w:rsidR="00395A77">
        <w:t>.</w:t>
      </w:r>
    </w:p>
    <w:p w14:paraId="5CE6CCBC" w14:textId="47040B91" w:rsidR="006D53B6" w:rsidRPr="00B80C00" w:rsidRDefault="00E773B2" w:rsidP="004A71C3">
      <w:pPr>
        <w:pStyle w:val="ONUME"/>
      </w:pPr>
      <w:r w:rsidRPr="00B80C00">
        <w:t>The proposed amendment</w:t>
      </w:r>
      <w:r w:rsidR="0027664A" w:rsidRPr="00B80C00">
        <w:t>s</w:t>
      </w:r>
      <w:r w:rsidRPr="00B80C00">
        <w:t xml:space="preserve"> </w:t>
      </w:r>
      <w:r w:rsidR="003B55A5">
        <w:t>to</w:t>
      </w:r>
      <w:r w:rsidR="003B55A5" w:rsidRPr="00B80C00">
        <w:t xml:space="preserve"> </w:t>
      </w:r>
      <w:r w:rsidRPr="00B80C00">
        <w:t>Rule 9(1</w:t>
      </w:r>
      <w:proofErr w:type="gramStart"/>
      <w:r w:rsidRPr="00B80C00">
        <w:t>)</w:t>
      </w:r>
      <w:r w:rsidR="004A71C3" w:rsidRPr="00B80C00">
        <w:t>(</w:t>
      </w:r>
      <w:proofErr w:type="gramEnd"/>
      <w:r w:rsidR="004A71C3" w:rsidRPr="00B80C00">
        <w:t xml:space="preserve">b) and </w:t>
      </w:r>
      <w:r w:rsidRPr="00B80C00">
        <w:t xml:space="preserve">(c) of the Common Regulations </w:t>
      </w:r>
      <w:r w:rsidR="004A71C3" w:rsidRPr="00B80C00">
        <w:t>are merely editorial and seek</w:t>
      </w:r>
      <w:r w:rsidRPr="00B80C00">
        <w:t xml:space="preserve"> to correct an ambiguity that exist</w:t>
      </w:r>
      <w:r w:rsidR="003B55A5">
        <w:t>s</w:t>
      </w:r>
      <w:r w:rsidRPr="00B80C00">
        <w:t xml:space="preserve"> in Rule 9(1), as currently drafted. </w:t>
      </w:r>
      <w:r w:rsidR="00021A7B" w:rsidRPr="00B80C00">
        <w:t xml:space="preserve"> </w:t>
      </w:r>
      <w:r w:rsidR="0027664A" w:rsidRPr="00B80C00">
        <w:t>More specifically, the proposed amendments would</w:t>
      </w:r>
      <w:r w:rsidRPr="00B80C00">
        <w:t xml:space="preserve"> clarify that the general principle introduced in subparagraph (c) </w:t>
      </w:r>
      <w:r w:rsidR="004A71C3" w:rsidRPr="00B80C00">
        <w:t xml:space="preserve">to facilitate the identification of the start date of the refusal period, </w:t>
      </w:r>
      <w:r w:rsidR="0027664A" w:rsidRPr="00B80C00">
        <w:t xml:space="preserve">would </w:t>
      </w:r>
      <w:r w:rsidRPr="00B80C00">
        <w:t>appl</w:t>
      </w:r>
      <w:r w:rsidR="0027664A" w:rsidRPr="00B80C00">
        <w:t>y</w:t>
      </w:r>
      <w:r w:rsidRPr="00B80C00">
        <w:t xml:space="preserve"> to all refusals received in accordance with subparagraph (b)</w:t>
      </w:r>
      <w:r w:rsidR="004A71C3" w:rsidRPr="00B80C00">
        <w:t>.  S</w:t>
      </w:r>
      <w:r w:rsidRPr="00B80C00">
        <w:t xml:space="preserve">ubparagraph (b) should </w:t>
      </w:r>
      <w:r w:rsidR="004A71C3" w:rsidRPr="00B80C00">
        <w:t xml:space="preserve">indeed </w:t>
      </w:r>
      <w:r w:rsidRPr="00B80C00">
        <w:t>be read in conjunction with subparagraph (c), rather than separately</w:t>
      </w:r>
      <w:r w:rsidR="006D53B6" w:rsidRPr="00B80C00">
        <w:t>.</w:t>
      </w:r>
    </w:p>
    <w:p w14:paraId="750CBED4" w14:textId="64B9334B" w:rsidR="006D53B6" w:rsidRDefault="00C03E6B" w:rsidP="004E637D">
      <w:pPr>
        <w:pStyle w:val="ONUME"/>
      </w:pPr>
      <w:r>
        <w:t xml:space="preserve">With respect to </w:t>
      </w:r>
      <w:r w:rsidRPr="0085688C">
        <w:t>modification</w:t>
      </w:r>
      <w:r>
        <w:t>s concerning beneficiaries, the proposed amendments to Rule 15(1) would merge subparagraphs (</w:t>
      </w:r>
      <w:proofErr w:type="spellStart"/>
      <w:r>
        <w:t>i</w:t>
      </w:r>
      <w:proofErr w:type="spellEnd"/>
      <w:r>
        <w:t xml:space="preserve">) and (ii) </w:t>
      </w:r>
      <w:r w:rsidRPr="00D027E9">
        <w:t>into</w:t>
      </w:r>
      <w:r>
        <w:t xml:space="preserve"> a single subparagraph (</w:t>
      </w:r>
      <w:proofErr w:type="spellStart"/>
      <w:r>
        <w:t>i</w:t>
      </w:r>
      <w:proofErr w:type="spellEnd"/>
      <w:r>
        <w:t>) i</w:t>
      </w:r>
      <w:r w:rsidR="006D53B6">
        <w:t xml:space="preserve">n order to streamline the procedure concerning the request </w:t>
      </w:r>
      <w:r w:rsidR="006D53B6" w:rsidRPr="0085688C">
        <w:t xml:space="preserve">for </w:t>
      </w:r>
      <w:r w:rsidR="00494928">
        <w:t>those</w:t>
      </w:r>
      <w:r w:rsidR="006D53B6" w:rsidRPr="0085688C">
        <w:t xml:space="preserve"> </w:t>
      </w:r>
      <w:r w:rsidRPr="00C03E6B">
        <w:t>modifications</w:t>
      </w:r>
      <w:r w:rsidR="00F9741B">
        <w:t xml:space="preserve"> and reduce error for the users of the Lisbon System</w:t>
      </w:r>
      <w:r w:rsidR="006D53B6">
        <w:t>.</w:t>
      </w:r>
    </w:p>
    <w:p w14:paraId="59B59B4B" w14:textId="4DAF6B21" w:rsidR="009B7CC4" w:rsidRDefault="009B7CC4" w:rsidP="00EA46D9">
      <w:pPr>
        <w:pStyle w:val="ONUME"/>
        <w:spacing w:after="480"/>
      </w:pPr>
      <w:r>
        <w:t>Th</w:t>
      </w:r>
      <w:r w:rsidR="00817B95">
        <w:t xml:space="preserve">e proposed </w:t>
      </w:r>
      <w:r>
        <w:t>amendment</w:t>
      </w:r>
      <w:r w:rsidR="00817B95">
        <w:t>s</w:t>
      </w:r>
      <w:r>
        <w:t xml:space="preserve"> </w:t>
      </w:r>
      <w:r w:rsidR="00817B95">
        <w:t>to Rule</w:t>
      </w:r>
      <w:r w:rsidR="00F97FE4">
        <w:t>s</w:t>
      </w:r>
      <w:r w:rsidR="00817B95">
        <w:t xml:space="preserve"> 16(2) </w:t>
      </w:r>
      <w:r w:rsidR="00F97FE4">
        <w:t xml:space="preserve">and </w:t>
      </w:r>
      <w:r w:rsidR="006C0931">
        <w:t xml:space="preserve">15(1)(vi) </w:t>
      </w:r>
      <w:r w:rsidR="00817B95">
        <w:t xml:space="preserve">of the Common Regulations would </w:t>
      </w:r>
      <w:r w:rsidR="006C0931">
        <w:t xml:space="preserve">make </w:t>
      </w:r>
      <w:r w:rsidR="00633FFB">
        <w:t xml:space="preserve">the extension of </w:t>
      </w:r>
      <w:r w:rsidR="003B55A5">
        <w:t xml:space="preserve">the </w:t>
      </w:r>
      <w:r w:rsidR="00633FFB">
        <w:t xml:space="preserve">geographical coverage of international registrations </w:t>
      </w:r>
      <w:r w:rsidR="006C0931">
        <w:t>more accessible</w:t>
      </w:r>
      <w:r w:rsidR="00817B95">
        <w:t xml:space="preserve"> </w:t>
      </w:r>
      <w:r w:rsidR="006C0931">
        <w:t xml:space="preserve">for the users of the Lisbon System in the case of a renunciation under Rule 6(1)(d).  </w:t>
      </w:r>
      <w:proofErr w:type="gramStart"/>
      <w:r w:rsidR="006C0931">
        <w:t>Holders of interna</w:t>
      </w:r>
      <w:r w:rsidR="00F263EE">
        <w:t xml:space="preserve">tional registrations, </w:t>
      </w:r>
      <w:r w:rsidR="00F263EE" w:rsidRPr="00F7427E">
        <w:t xml:space="preserve">who </w:t>
      </w:r>
      <w:r w:rsidR="006C0931" w:rsidRPr="00F7427E">
        <w:t>decide to</w:t>
      </w:r>
      <w:r w:rsidR="006C0931">
        <w:t xml:space="preserve"> </w:t>
      </w:r>
      <w:r w:rsidR="00E00A72">
        <w:t xml:space="preserve">withdraw </w:t>
      </w:r>
      <w:r w:rsidR="006C0931">
        <w:t xml:space="preserve">a renunciation </w:t>
      </w:r>
      <w:r w:rsidR="00E00A72">
        <w:t xml:space="preserve">under Rule 6(1)(d), </w:t>
      </w:r>
      <w:r w:rsidR="006C0931">
        <w:t>would simply</w:t>
      </w:r>
      <w:r w:rsidR="00633FFB">
        <w:t xml:space="preserve"> need</w:t>
      </w:r>
      <w:r w:rsidR="006C0931">
        <w:t xml:space="preserve"> </w:t>
      </w:r>
      <w:r w:rsidR="00633FFB">
        <w:t xml:space="preserve">to correct </w:t>
      </w:r>
      <w:r w:rsidR="00E00A72">
        <w:t>the irregularity</w:t>
      </w:r>
      <w:r w:rsidR="00633FFB">
        <w:t xml:space="preserve"> with respect to a requirement based on a notification under Rule 5(3) </w:t>
      </w:r>
      <w:r w:rsidR="00E851CA">
        <w:t>or</w:t>
      </w:r>
      <w:r w:rsidR="00633FFB">
        <w:t xml:space="preserve"> (4), or on a d</w:t>
      </w:r>
      <w:r w:rsidR="001F4553">
        <w:t>eclaration made under Article 7(</w:t>
      </w:r>
      <w:r w:rsidR="00633FFB">
        <w:t>4</w:t>
      </w:r>
      <w:r w:rsidR="001F4553">
        <w:t>)</w:t>
      </w:r>
      <w:r w:rsidR="00633FFB">
        <w:t xml:space="preserve"> of the Geneva Act</w:t>
      </w:r>
      <w:r w:rsidR="00E0199B">
        <w:t>,</w:t>
      </w:r>
      <w:r w:rsidR="00633FFB">
        <w:t xml:space="preserve"> to extend the protection of their international registration to </w:t>
      </w:r>
      <w:r w:rsidR="00E0199B">
        <w:t>a</w:t>
      </w:r>
      <w:r w:rsidR="00633FFB">
        <w:t xml:space="preserve"> Contracting Party </w:t>
      </w:r>
      <w:r w:rsidR="00E0199B">
        <w:t>that</w:t>
      </w:r>
      <w:r w:rsidR="00633FFB">
        <w:t xml:space="preserve"> requested any of those addition</w:t>
      </w:r>
      <w:r w:rsidR="003B55A5">
        <w:t>al</w:t>
      </w:r>
      <w:r w:rsidR="00633FFB">
        <w:t xml:space="preserve"> requirements</w:t>
      </w:r>
      <w:r w:rsidR="00E0199B">
        <w:t>.</w:t>
      </w:r>
      <w:proofErr w:type="gramEnd"/>
      <w:r w:rsidR="00E0199B">
        <w:t xml:space="preserve">  The withdrawal of renunciation </w:t>
      </w:r>
      <w:proofErr w:type="gramStart"/>
      <w:r w:rsidR="00E0199B">
        <w:t>would not be classified</w:t>
      </w:r>
      <w:proofErr w:type="gramEnd"/>
      <w:r w:rsidR="00E0199B">
        <w:t xml:space="preserve"> as a modification and would not </w:t>
      </w:r>
      <w:r w:rsidR="00E0199B" w:rsidRPr="00E0199B">
        <w:t>be subject to payment of the modification fee</w:t>
      </w:r>
      <w:r w:rsidR="00633FFB">
        <w:t xml:space="preserve">. </w:t>
      </w:r>
    </w:p>
    <w:p w14:paraId="3E4080F2" w14:textId="3F4D09EA" w:rsidR="006D53B6" w:rsidRPr="006D53B6" w:rsidRDefault="006D53B6" w:rsidP="006D53B6">
      <w:pPr>
        <w:pStyle w:val="ONUME"/>
        <w:numPr>
          <w:ilvl w:val="0"/>
          <w:numId w:val="0"/>
        </w:numPr>
        <w:rPr>
          <w:b/>
        </w:rPr>
      </w:pPr>
      <w:r w:rsidRPr="006D53B6">
        <w:rPr>
          <w:b/>
        </w:rPr>
        <w:t>DATE OF ENTRY INTO FORCE</w:t>
      </w:r>
    </w:p>
    <w:p w14:paraId="1A83FB83" w14:textId="6EF725AB" w:rsidR="006D53B6" w:rsidRPr="0035324C" w:rsidRDefault="006D53B6" w:rsidP="00250D60">
      <w:pPr>
        <w:pStyle w:val="ONUME"/>
      </w:pPr>
      <w:r w:rsidRPr="0035324C">
        <w:t xml:space="preserve">The Working Group recommended that the proposed amendments to </w:t>
      </w:r>
      <w:r w:rsidR="00E04A63" w:rsidRPr="00E04A63">
        <w:t>Rule</w:t>
      </w:r>
      <w:r w:rsidR="00E04A63">
        <w:t>s</w:t>
      </w:r>
      <w:r w:rsidR="00E04A63" w:rsidRPr="00E04A63">
        <w:t xml:space="preserve"> 7</w:t>
      </w:r>
      <w:r w:rsidR="00E04A63">
        <w:t>,</w:t>
      </w:r>
      <w:r w:rsidR="00E04A63" w:rsidRPr="00E04A63">
        <w:t xml:space="preserve"> 8</w:t>
      </w:r>
      <w:r w:rsidR="00E04A63">
        <w:t xml:space="preserve">, </w:t>
      </w:r>
      <w:r w:rsidR="00E04A63" w:rsidRPr="00E04A63">
        <w:t>9</w:t>
      </w:r>
      <w:r w:rsidR="00E04A63">
        <w:t xml:space="preserve">, </w:t>
      </w:r>
      <w:r w:rsidR="00E04A63" w:rsidRPr="00E04A63">
        <w:t>15</w:t>
      </w:r>
      <w:r w:rsidR="00E04A63">
        <w:t xml:space="preserve"> and 16</w:t>
      </w:r>
      <w:r w:rsidR="00E04A63" w:rsidRPr="00E04A63">
        <w:t xml:space="preserve"> of the Common Regulations</w:t>
      </w:r>
      <w:r w:rsidR="003A558E">
        <w:t>, as reproduced in the Annex to the present document,</w:t>
      </w:r>
      <w:r w:rsidR="00E04A63" w:rsidRPr="00E04A63">
        <w:t xml:space="preserve"> </w:t>
      </w:r>
      <w:r w:rsidRPr="0035324C">
        <w:t xml:space="preserve">enter into force </w:t>
      </w:r>
      <w:r>
        <w:t>on January 1, 2023</w:t>
      </w:r>
      <w:r w:rsidRPr="0035324C">
        <w:t xml:space="preserve"> </w:t>
      </w:r>
      <w:r w:rsidRPr="0035324C">
        <w:rPr>
          <w:szCs w:val="22"/>
        </w:rPr>
        <w:t xml:space="preserve">(see </w:t>
      </w:r>
      <w:r w:rsidRPr="00E60AE4">
        <w:rPr>
          <w:szCs w:val="22"/>
        </w:rPr>
        <w:t xml:space="preserve">paragraph </w:t>
      </w:r>
      <w:r w:rsidR="00E773B2">
        <w:rPr>
          <w:szCs w:val="22"/>
        </w:rPr>
        <w:t>12</w:t>
      </w:r>
      <w:r w:rsidRPr="0035324C">
        <w:rPr>
          <w:szCs w:val="22"/>
        </w:rPr>
        <w:t xml:space="preserve"> of document</w:t>
      </w:r>
      <w:r w:rsidRPr="00AA7179">
        <w:rPr>
          <w:szCs w:val="22"/>
        </w:rPr>
        <w:t xml:space="preserve"> </w:t>
      </w:r>
      <w:r w:rsidR="00456BE8">
        <w:rPr>
          <w:szCs w:val="22"/>
        </w:rPr>
        <w:t>LI/WG/DEV-SYS/4/3</w:t>
      </w:r>
      <w:r w:rsidRPr="0035324C">
        <w:rPr>
          <w:szCs w:val="22"/>
        </w:rPr>
        <w:t>)</w:t>
      </w:r>
      <w:r w:rsidRPr="0035324C">
        <w:t>.</w:t>
      </w:r>
    </w:p>
    <w:p w14:paraId="2E4EE46A" w14:textId="69BDC84F" w:rsidR="00945A95" w:rsidRDefault="00080DFC" w:rsidP="00BB60F8">
      <w:pPr>
        <w:spacing w:before="240"/>
        <w:ind w:left="5534"/>
        <w:rPr>
          <w:i/>
        </w:rPr>
      </w:pPr>
      <w:proofErr w:type="gramStart"/>
      <w:r>
        <w:rPr>
          <w:i/>
        </w:rPr>
        <w:lastRenderedPageBreak/>
        <w:t>10</w:t>
      </w:r>
      <w:r w:rsidR="000F0B28">
        <w:rPr>
          <w:i/>
        </w:rPr>
        <w:t>.</w:t>
      </w:r>
      <w:r w:rsidR="000F0B28">
        <w:rPr>
          <w:i/>
        </w:rPr>
        <w:tab/>
      </w:r>
      <w:r w:rsidR="000F0B28" w:rsidRPr="008345AC">
        <w:rPr>
          <w:i/>
        </w:rPr>
        <w:t xml:space="preserve">The Assembly </w:t>
      </w:r>
      <w:r w:rsidR="000F0B28" w:rsidRPr="008345AC">
        <w:rPr>
          <w:i/>
          <w:iCs/>
        </w:rPr>
        <w:t xml:space="preserve">of the Lisbon </w:t>
      </w:r>
      <w:r w:rsidR="000F0B28" w:rsidRPr="008345AC">
        <w:rPr>
          <w:i/>
        </w:rPr>
        <w:t xml:space="preserve">Union is invited to </w:t>
      </w:r>
      <w:r w:rsidR="00945A95">
        <w:rPr>
          <w:i/>
        </w:rPr>
        <w:t>adopt</w:t>
      </w:r>
      <w:r w:rsidR="00945A95" w:rsidRPr="00945A95">
        <w:rPr>
          <w:i/>
        </w:rPr>
        <w:t xml:space="preserve"> the amendments to</w:t>
      </w:r>
      <w:r w:rsidR="00A3210C">
        <w:rPr>
          <w:i/>
        </w:rPr>
        <w:t xml:space="preserve"> </w:t>
      </w:r>
      <w:r w:rsidR="00945A95" w:rsidRPr="00945A95">
        <w:rPr>
          <w:i/>
        </w:rPr>
        <w:t xml:space="preserve">the Common Regulations </w:t>
      </w:r>
      <w:r w:rsidR="00C43288">
        <w:rPr>
          <w:i/>
        </w:rPr>
        <w:t>u</w:t>
      </w:r>
      <w:r w:rsidR="003A558E" w:rsidRPr="003A558E">
        <w:rPr>
          <w:i/>
        </w:rPr>
        <w:t>nder the Lisbon Agreement for the Protection of Appellations of Origin and their International Registration and the Geneva Act of the Lisbon Agreement on Appellations of Orig</w:t>
      </w:r>
      <w:r w:rsidR="003A558E">
        <w:rPr>
          <w:i/>
        </w:rPr>
        <w:t>in and Geographical Indications</w:t>
      </w:r>
      <w:r w:rsidR="00A3210C">
        <w:rPr>
          <w:i/>
        </w:rPr>
        <w:t>, as</w:t>
      </w:r>
      <w:r w:rsidR="00945A95" w:rsidRPr="00945A95">
        <w:rPr>
          <w:i/>
        </w:rPr>
        <w:t xml:space="preserve"> </w:t>
      </w:r>
      <w:r w:rsidR="00706E7D">
        <w:rPr>
          <w:i/>
        </w:rPr>
        <w:t>set out</w:t>
      </w:r>
      <w:r w:rsidR="00945A95" w:rsidRPr="00945A95">
        <w:rPr>
          <w:i/>
        </w:rPr>
        <w:t xml:space="preserve"> in the Annex to </w:t>
      </w:r>
      <w:r w:rsidR="001003A8">
        <w:rPr>
          <w:i/>
        </w:rPr>
        <w:t>document LI/A/39/1</w:t>
      </w:r>
      <w:r w:rsidR="00383D32" w:rsidRPr="00383D32">
        <w:rPr>
          <w:i/>
        </w:rPr>
        <w:t>, with January 1, 2023, as their date of entry into force</w:t>
      </w:r>
      <w:r w:rsidR="00945A95" w:rsidRPr="00945A95">
        <w:rPr>
          <w:i/>
        </w:rPr>
        <w:t>.</w:t>
      </w:r>
      <w:proofErr w:type="gramEnd"/>
    </w:p>
    <w:p w14:paraId="47ABC830" w14:textId="77777777" w:rsidR="004B2CC9" w:rsidRDefault="003F2B2D" w:rsidP="004B2CC9">
      <w:pPr>
        <w:spacing w:before="960"/>
        <w:ind w:left="5534"/>
        <w:sectPr w:rsidR="004B2CC9" w:rsidSect="00AC631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[Annex follows</w:t>
      </w:r>
      <w:r w:rsidR="00BB60F8" w:rsidRPr="00182325">
        <w:t>]</w:t>
      </w:r>
    </w:p>
    <w:p w14:paraId="5769963E" w14:textId="77777777" w:rsidR="000A7AD4" w:rsidRPr="000A7AD4" w:rsidRDefault="000A7AD4" w:rsidP="000A7AD4">
      <w:pPr>
        <w:jc w:val="center"/>
        <w:rPr>
          <w:rFonts w:eastAsia="MS Mincho"/>
          <w:b/>
          <w:szCs w:val="22"/>
          <w:lang w:eastAsia="en-US"/>
        </w:rPr>
      </w:pPr>
      <w:r w:rsidRPr="000A7AD4">
        <w:rPr>
          <w:rFonts w:eastAsia="MS Mincho"/>
          <w:b/>
          <w:szCs w:val="22"/>
          <w:lang w:eastAsia="en-US"/>
        </w:rPr>
        <w:lastRenderedPageBreak/>
        <w:t xml:space="preserve">Common Regulations </w:t>
      </w:r>
      <w:proofErr w:type="gramStart"/>
      <w:r w:rsidRPr="000A7AD4">
        <w:rPr>
          <w:rFonts w:eastAsia="MS Mincho"/>
          <w:b/>
          <w:szCs w:val="22"/>
          <w:lang w:eastAsia="en-US"/>
        </w:rPr>
        <w:t>Under</w:t>
      </w:r>
      <w:proofErr w:type="gramEnd"/>
      <w:r w:rsidRPr="000A7AD4">
        <w:rPr>
          <w:rFonts w:eastAsia="MS Mincho"/>
          <w:b/>
          <w:szCs w:val="22"/>
          <w:lang w:eastAsia="en-US"/>
        </w:rPr>
        <w:t xml:space="preserve"> the Lisbon Agreement for the Protection of Appellations of Origin and Their International Registration and the Geneva Act of the Lisbon Agreement on Appellations of Origin and Geographical Indications</w:t>
      </w:r>
    </w:p>
    <w:p w14:paraId="08B5A776" w14:textId="77777777" w:rsidR="000A7AD4" w:rsidRPr="000A7AD4" w:rsidRDefault="000A7AD4" w:rsidP="000A7AD4">
      <w:pPr>
        <w:spacing w:before="240" w:after="720"/>
        <w:jc w:val="center"/>
        <w:rPr>
          <w:rFonts w:eastAsia="MS Mincho"/>
          <w:szCs w:val="22"/>
          <w:lang w:eastAsia="en-US"/>
        </w:rPr>
      </w:pPr>
      <w:proofErr w:type="gramStart"/>
      <w:r w:rsidRPr="000A7AD4">
        <w:rPr>
          <w:rFonts w:eastAsia="MS Mincho"/>
          <w:szCs w:val="22"/>
          <w:lang w:eastAsia="en-US"/>
        </w:rPr>
        <w:t>as</w:t>
      </w:r>
      <w:proofErr w:type="gramEnd"/>
      <w:r w:rsidRPr="000A7AD4">
        <w:rPr>
          <w:rFonts w:eastAsia="MS Mincho"/>
          <w:szCs w:val="22"/>
          <w:lang w:eastAsia="en-US"/>
        </w:rPr>
        <w:t xml:space="preserve"> in force on </w:t>
      </w:r>
      <w:r w:rsidRPr="000A7AD4">
        <w:rPr>
          <w:rFonts w:eastAsia="MS Mincho"/>
          <w:color w:val="0070C0"/>
          <w:szCs w:val="22"/>
          <w:u w:val="single"/>
          <w:lang w:eastAsia="en-US"/>
        </w:rPr>
        <w:t>January 1, 2023</w:t>
      </w:r>
      <w:r w:rsidRPr="000A7AD4">
        <w:rPr>
          <w:rFonts w:eastAsia="MS Mincho"/>
          <w:strike/>
          <w:color w:val="C00000"/>
          <w:szCs w:val="22"/>
          <w:lang w:eastAsia="en-US"/>
        </w:rPr>
        <w:t>December 8, 2021</w:t>
      </w:r>
    </w:p>
    <w:p w14:paraId="5A68003D" w14:textId="17C1BC36" w:rsidR="00080DFC" w:rsidRPr="00250D60" w:rsidRDefault="00080DFC" w:rsidP="00250D60">
      <w:pPr>
        <w:keepNext/>
        <w:spacing w:after="120"/>
      </w:pPr>
      <w:r w:rsidRPr="00250D60">
        <w:t>[…]</w:t>
      </w:r>
    </w:p>
    <w:p w14:paraId="3BE612AA" w14:textId="5364BB08" w:rsidR="000A7AD4" w:rsidRPr="000A7AD4" w:rsidRDefault="000A7AD4" w:rsidP="000A7AD4">
      <w:pPr>
        <w:keepNext/>
        <w:spacing w:after="480"/>
        <w:jc w:val="center"/>
        <w:rPr>
          <w:b/>
          <w:bCs/>
        </w:rPr>
      </w:pPr>
      <w:r w:rsidRPr="000A7AD4">
        <w:rPr>
          <w:b/>
        </w:rPr>
        <w:t>Chapter II</w:t>
      </w:r>
      <w:r w:rsidRPr="000A7AD4">
        <w:rPr>
          <w:b/>
        </w:rPr>
        <w:br/>
        <w:t>Application and International Registration</w:t>
      </w:r>
    </w:p>
    <w:p w14:paraId="0466D176" w14:textId="77777777" w:rsidR="000A7AD4" w:rsidRPr="000A7AD4" w:rsidRDefault="000A7AD4" w:rsidP="000A7AD4">
      <w:pPr>
        <w:tabs>
          <w:tab w:val="left" w:pos="630"/>
          <w:tab w:val="left" w:pos="1170"/>
        </w:tabs>
        <w:spacing w:before="120" w:after="120"/>
        <w:jc w:val="center"/>
        <w:rPr>
          <w:rFonts w:eastAsia="Times New Roman"/>
          <w:color w:val="1A1A1A"/>
          <w:szCs w:val="22"/>
          <w:lang w:eastAsia="en-US"/>
        </w:rPr>
      </w:pPr>
      <w:r w:rsidRPr="000A7AD4">
        <w:rPr>
          <w:rFonts w:eastAsia="Times New Roman"/>
          <w:b/>
          <w:bCs/>
          <w:color w:val="1A1A1A"/>
          <w:szCs w:val="22"/>
          <w:lang w:eastAsia="en-US"/>
        </w:rPr>
        <w:t xml:space="preserve">Rule </w:t>
      </w:r>
      <w:proofErr w:type="gramStart"/>
      <w:r w:rsidRPr="000A7AD4">
        <w:rPr>
          <w:rFonts w:eastAsia="Times New Roman"/>
          <w:b/>
          <w:bCs/>
          <w:color w:val="1A1A1A"/>
          <w:szCs w:val="22"/>
          <w:lang w:eastAsia="en-US"/>
        </w:rPr>
        <w:t>7</w:t>
      </w:r>
      <w:proofErr w:type="gramEnd"/>
      <w:r w:rsidRPr="000A7AD4">
        <w:rPr>
          <w:rFonts w:eastAsia="Times New Roman"/>
          <w:b/>
          <w:bCs/>
          <w:color w:val="1A1A1A"/>
          <w:szCs w:val="22"/>
          <w:lang w:eastAsia="en-US"/>
        </w:rPr>
        <w:br/>
      </w:r>
      <w:r w:rsidRPr="000A7AD4">
        <w:rPr>
          <w:rFonts w:eastAsia="Times New Roman"/>
          <w:bCs/>
          <w:color w:val="1A1A1A"/>
          <w:szCs w:val="22"/>
          <w:lang w:eastAsia="en-US"/>
        </w:rPr>
        <w:t>Entry in the International Register</w:t>
      </w:r>
    </w:p>
    <w:p w14:paraId="777E5D34" w14:textId="77777777" w:rsidR="000A7AD4" w:rsidRPr="000A7AD4" w:rsidRDefault="000A7AD4" w:rsidP="000A7AD4">
      <w:pPr>
        <w:spacing w:before="120" w:after="120"/>
        <w:rPr>
          <w:rFonts w:eastAsia="Times New Roman"/>
          <w:color w:val="1A1A1A"/>
          <w:szCs w:val="22"/>
          <w:lang w:eastAsia="en-US"/>
        </w:rPr>
      </w:pPr>
      <w:r w:rsidRPr="000A7AD4">
        <w:rPr>
          <w:rFonts w:eastAsia="Times New Roman"/>
          <w:color w:val="1A1A1A"/>
          <w:szCs w:val="22"/>
          <w:lang w:eastAsia="en-US"/>
        </w:rPr>
        <w:t>[…]</w:t>
      </w:r>
    </w:p>
    <w:p w14:paraId="45CA7CB7" w14:textId="77777777" w:rsidR="000A7AD4" w:rsidRPr="000A7AD4" w:rsidRDefault="000A7AD4" w:rsidP="000A7AD4">
      <w:pPr>
        <w:tabs>
          <w:tab w:val="left" w:pos="630"/>
        </w:tabs>
        <w:spacing w:before="120" w:after="120"/>
        <w:rPr>
          <w:rFonts w:eastAsia="Times New Roman"/>
          <w:color w:val="1A1A1A"/>
          <w:szCs w:val="22"/>
          <w:lang w:eastAsia="en-US"/>
        </w:rPr>
      </w:pPr>
      <w:r w:rsidRPr="000A7AD4">
        <w:rPr>
          <w:rFonts w:eastAsia="Times New Roman"/>
          <w:color w:val="1A1A1A"/>
          <w:szCs w:val="22"/>
          <w:lang w:eastAsia="en-US"/>
        </w:rPr>
        <w:t>(4) </w:t>
      </w:r>
      <w:r w:rsidRPr="000A7AD4">
        <w:rPr>
          <w:rFonts w:eastAsia="Times New Roman"/>
          <w:color w:val="1A1A1A"/>
          <w:szCs w:val="22"/>
          <w:lang w:eastAsia="en-US"/>
        </w:rPr>
        <w:tab/>
      </w:r>
      <w:r w:rsidRPr="000A7AD4">
        <w:rPr>
          <w:rFonts w:eastAsia="Times New Roman"/>
          <w:i/>
          <w:iCs/>
          <w:color w:val="1A1A1A"/>
          <w:szCs w:val="22"/>
          <w:lang w:eastAsia="en-US"/>
        </w:rPr>
        <w:t>[Implementation of Articles 29(4) and 31(1) of the Geneva Act]</w:t>
      </w:r>
    </w:p>
    <w:p w14:paraId="041F56D2" w14:textId="77777777" w:rsidR="000A7AD4" w:rsidRPr="000A7AD4" w:rsidRDefault="000A7AD4" w:rsidP="000A7AD4">
      <w:pPr>
        <w:tabs>
          <w:tab w:val="left" w:pos="630"/>
          <w:tab w:val="left" w:pos="1170"/>
        </w:tabs>
        <w:spacing w:before="120" w:after="120"/>
        <w:rPr>
          <w:rFonts w:eastAsia="Times New Roman"/>
          <w:color w:val="1A1A1A"/>
          <w:szCs w:val="22"/>
          <w:lang w:eastAsia="en-US"/>
        </w:rPr>
      </w:pPr>
      <w:r w:rsidRPr="000A7AD4">
        <w:rPr>
          <w:rFonts w:eastAsia="Times New Roman"/>
          <w:color w:val="1A1A1A"/>
          <w:szCs w:val="22"/>
          <w:lang w:eastAsia="en-US"/>
        </w:rPr>
        <w:tab/>
        <w:t xml:space="preserve">(a) </w:t>
      </w:r>
      <w:r w:rsidRPr="000A7AD4">
        <w:rPr>
          <w:rFonts w:eastAsia="Times New Roman"/>
          <w:color w:val="1A1A1A"/>
          <w:szCs w:val="22"/>
          <w:lang w:eastAsia="en-US"/>
        </w:rPr>
        <w:tab/>
        <w:t>In case of the ratification of, or accession to, the Geneva Act by a State that is party to the 1967 Act, Rules 5(2) to (4) shall apply </w:t>
      </w:r>
      <w:r w:rsidRPr="000A7AD4">
        <w:rPr>
          <w:rFonts w:eastAsia="Times New Roman"/>
          <w:i/>
          <w:iCs/>
          <w:color w:val="1A1A1A"/>
          <w:szCs w:val="22"/>
          <w:lang w:eastAsia="en-US"/>
        </w:rPr>
        <w:t>mutatis mutandis</w:t>
      </w:r>
      <w:r w:rsidRPr="000A7AD4">
        <w:rPr>
          <w:rFonts w:eastAsia="Times New Roman"/>
          <w:color w:val="1A1A1A"/>
          <w:szCs w:val="22"/>
          <w:lang w:eastAsia="en-US"/>
        </w:rPr>
        <w:t xml:space="preserve"> with regard to international registrations or appellations of origin effective under the 1967 Act in respect of that State.  The International Bureau shall verify with the Competent Authority concerned any modifications to </w:t>
      </w:r>
      <w:proofErr w:type="gramStart"/>
      <w:r w:rsidRPr="000A7AD4">
        <w:rPr>
          <w:rFonts w:eastAsia="Times New Roman"/>
          <w:color w:val="1A1A1A"/>
          <w:szCs w:val="22"/>
          <w:lang w:eastAsia="en-US"/>
        </w:rPr>
        <w:t>be made</w:t>
      </w:r>
      <w:proofErr w:type="gramEnd"/>
      <w:r w:rsidRPr="000A7AD4">
        <w:rPr>
          <w:rFonts w:eastAsia="Times New Roman"/>
          <w:color w:val="1A1A1A"/>
          <w:szCs w:val="22"/>
          <w:lang w:eastAsia="en-US"/>
        </w:rPr>
        <w:t xml:space="preserve">, in view of the requirements of Rules 3(1) and 5(2) to (4), for the purpose of their registration under the Geneva Act and shall notify international registrations thus effected to all other Contracting Parties that are party to the Geneva Act. Modifications </w:t>
      </w:r>
      <w:r w:rsidRPr="000A7AD4">
        <w:rPr>
          <w:rFonts w:eastAsia="Times New Roman"/>
          <w:color w:val="0070C0"/>
          <w:szCs w:val="22"/>
          <w:u w:val="single"/>
          <w:lang w:eastAsia="en-US"/>
        </w:rPr>
        <w:t>relating to Rule 5(2)</w:t>
      </w:r>
      <w:r w:rsidRPr="000A7AD4">
        <w:rPr>
          <w:rFonts w:eastAsia="Times New Roman"/>
          <w:color w:val="0070C0"/>
          <w:szCs w:val="22"/>
          <w:lang w:eastAsia="en-US"/>
        </w:rPr>
        <w:t xml:space="preserve"> </w:t>
      </w:r>
      <w:r w:rsidRPr="000A7AD4">
        <w:rPr>
          <w:rFonts w:eastAsia="Times New Roman"/>
          <w:color w:val="1A1A1A"/>
          <w:szCs w:val="22"/>
          <w:lang w:eastAsia="en-US"/>
        </w:rPr>
        <w:t>shall be subject to payment of the fee specified in Rule 8(1</w:t>
      </w:r>
      <w:proofErr w:type="gramStart"/>
      <w:r w:rsidRPr="000A7AD4">
        <w:rPr>
          <w:rFonts w:eastAsia="Times New Roman"/>
          <w:color w:val="1A1A1A"/>
          <w:szCs w:val="22"/>
          <w:lang w:eastAsia="en-US"/>
        </w:rPr>
        <w:t>)(</w:t>
      </w:r>
      <w:proofErr w:type="gramEnd"/>
      <w:r w:rsidRPr="000A7AD4">
        <w:rPr>
          <w:rFonts w:eastAsia="Times New Roman"/>
          <w:color w:val="1A1A1A"/>
          <w:szCs w:val="22"/>
          <w:lang w:eastAsia="en-US"/>
        </w:rPr>
        <w:t>ii).</w:t>
      </w:r>
    </w:p>
    <w:p w14:paraId="41525DB4" w14:textId="77777777" w:rsidR="000A7AD4" w:rsidRPr="000A7AD4" w:rsidRDefault="000A7AD4" w:rsidP="000A7AD4">
      <w:pPr>
        <w:spacing w:before="120" w:after="360"/>
        <w:rPr>
          <w:rFonts w:eastAsia="Times New Roman"/>
          <w:bCs/>
          <w:color w:val="1A1A1A"/>
          <w:szCs w:val="22"/>
          <w:lang w:eastAsia="en-US"/>
        </w:rPr>
      </w:pPr>
      <w:bookmarkStart w:id="6" w:name="rule7bis"/>
      <w:bookmarkEnd w:id="6"/>
      <w:r w:rsidRPr="000A7AD4">
        <w:rPr>
          <w:rFonts w:eastAsia="Times New Roman"/>
          <w:bCs/>
          <w:color w:val="1A1A1A"/>
          <w:szCs w:val="22"/>
          <w:lang w:eastAsia="en-US"/>
        </w:rPr>
        <w:t>[…]</w:t>
      </w:r>
    </w:p>
    <w:p w14:paraId="0FE18AB3" w14:textId="77777777" w:rsidR="000A7AD4" w:rsidRPr="000A7AD4" w:rsidRDefault="000A7AD4" w:rsidP="000A7AD4">
      <w:pPr>
        <w:keepNext/>
        <w:jc w:val="center"/>
        <w:rPr>
          <w:b/>
        </w:rPr>
      </w:pPr>
      <w:r w:rsidRPr="000A7AD4">
        <w:rPr>
          <w:b/>
        </w:rPr>
        <w:t>Rule 8</w:t>
      </w:r>
    </w:p>
    <w:p w14:paraId="5A92B35E" w14:textId="77777777" w:rsidR="000A7AD4" w:rsidRPr="000A7AD4" w:rsidRDefault="000A7AD4" w:rsidP="000A7AD4">
      <w:pPr>
        <w:keepNext/>
        <w:spacing w:after="240"/>
        <w:jc w:val="center"/>
      </w:pPr>
      <w:r w:rsidRPr="000A7AD4">
        <w:t>Fees</w:t>
      </w:r>
    </w:p>
    <w:p w14:paraId="48F7FBC8" w14:textId="77777777" w:rsidR="000A7AD4" w:rsidRPr="000A7AD4" w:rsidRDefault="000A7AD4" w:rsidP="000A7AD4">
      <w:pPr>
        <w:keepNext/>
        <w:tabs>
          <w:tab w:val="left" w:pos="567"/>
          <w:tab w:val="left" w:pos="1134"/>
        </w:tabs>
      </w:pPr>
      <w:r w:rsidRPr="000A7AD4">
        <w:t>(1)</w:t>
      </w:r>
      <w:r w:rsidRPr="000A7AD4">
        <w:tab/>
      </w:r>
      <w:r w:rsidRPr="000A7AD4">
        <w:rPr>
          <w:i/>
        </w:rPr>
        <w:t>[Amount of Fees</w:t>
      </w:r>
      <w:proofErr w:type="gramStart"/>
      <w:r w:rsidRPr="000A7AD4">
        <w:rPr>
          <w:i/>
        </w:rPr>
        <w:t>]</w:t>
      </w:r>
      <w:r w:rsidRPr="000A7AD4">
        <w:t xml:space="preserve">  The</w:t>
      </w:r>
      <w:proofErr w:type="gramEnd"/>
      <w:r w:rsidRPr="000A7AD4">
        <w:t xml:space="preserve"> International Bureau shall collect the following fees, payable in Swiss francs:</w:t>
      </w:r>
    </w:p>
    <w:p w14:paraId="6C83114E" w14:textId="77777777" w:rsidR="000A7AD4" w:rsidRPr="000A7AD4" w:rsidRDefault="000A7AD4" w:rsidP="000A7AD4">
      <w:pPr>
        <w:tabs>
          <w:tab w:val="left" w:pos="1134"/>
          <w:tab w:val="left" w:pos="1701"/>
          <w:tab w:val="right" w:pos="9072"/>
        </w:tabs>
      </w:pPr>
      <w:r w:rsidRPr="000A7AD4">
        <w:tab/>
        <w:t>(</w:t>
      </w:r>
      <w:proofErr w:type="spellStart"/>
      <w:r w:rsidRPr="000A7AD4">
        <w:t>i</w:t>
      </w:r>
      <w:proofErr w:type="spellEnd"/>
      <w:r w:rsidRPr="000A7AD4">
        <w:t>)</w:t>
      </w:r>
      <w:r w:rsidRPr="000A7AD4">
        <w:tab/>
      </w:r>
      <w:proofErr w:type="gramStart"/>
      <w:r w:rsidRPr="000A7AD4">
        <w:t>fee</w:t>
      </w:r>
      <w:proofErr w:type="gramEnd"/>
      <w:r w:rsidRPr="000A7AD4">
        <w:t xml:space="preserve"> for international registration</w:t>
      </w:r>
      <w:r w:rsidRPr="000A7AD4">
        <w:rPr>
          <w:b/>
          <w:bCs/>
          <w:vertAlign w:val="superscript"/>
        </w:rPr>
        <w:t>3</w:t>
      </w:r>
      <w:r w:rsidRPr="000A7AD4">
        <w:tab/>
        <w:t>1000</w:t>
      </w:r>
    </w:p>
    <w:p w14:paraId="3D95C398" w14:textId="5B5884A1" w:rsidR="000A7AD4" w:rsidRPr="000A7AD4" w:rsidRDefault="000A7AD4" w:rsidP="00377A77">
      <w:pPr>
        <w:tabs>
          <w:tab w:val="left" w:pos="1134"/>
          <w:tab w:val="left" w:pos="1701"/>
          <w:tab w:val="right" w:pos="9072"/>
        </w:tabs>
      </w:pPr>
      <w:r w:rsidRPr="000A7AD4">
        <w:tab/>
        <w:t>(ii)</w:t>
      </w:r>
      <w:r w:rsidRPr="000A7AD4">
        <w:tab/>
      </w:r>
      <w:proofErr w:type="gramStart"/>
      <w:r w:rsidRPr="000A7AD4">
        <w:t>fee</w:t>
      </w:r>
      <w:proofErr w:type="gramEnd"/>
      <w:r w:rsidRPr="000A7AD4">
        <w:t xml:space="preserve"> for </w:t>
      </w:r>
      <w:proofErr w:type="spellStart"/>
      <w:r w:rsidRPr="000A7AD4">
        <w:rPr>
          <w:strike/>
          <w:color w:val="C00000"/>
        </w:rPr>
        <w:t>each</w:t>
      </w:r>
      <w:r w:rsidRPr="000A7AD4">
        <w:rPr>
          <w:color w:val="0070C0"/>
          <w:u w:val="single"/>
        </w:rPr>
        <w:t>one</w:t>
      </w:r>
      <w:proofErr w:type="spellEnd"/>
      <w:r w:rsidRPr="000A7AD4">
        <w:rPr>
          <w:color w:val="0070C0"/>
          <w:u w:val="single"/>
        </w:rPr>
        <w:t xml:space="preserve"> </w:t>
      </w:r>
      <w:r w:rsidRPr="000A7AD4">
        <w:t>modification of an international registration</w:t>
      </w:r>
      <w:r w:rsidRPr="000A7AD4">
        <w:rPr>
          <w:vertAlign w:val="superscript"/>
        </w:rPr>
        <w:footnoteReference w:customMarkFollows="1" w:id="2"/>
        <w:t>3</w:t>
      </w:r>
      <w:r w:rsidRPr="000A7AD4">
        <w:tab/>
        <w:t>500</w:t>
      </w:r>
    </w:p>
    <w:p w14:paraId="291D6D01" w14:textId="224147EB" w:rsidR="000A7AD4" w:rsidRPr="000A7AD4" w:rsidRDefault="000A7AD4" w:rsidP="00377A77">
      <w:pPr>
        <w:tabs>
          <w:tab w:val="left" w:pos="1134"/>
          <w:tab w:val="left" w:pos="1701"/>
          <w:tab w:val="right" w:pos="9072"/>
        </w:tabs>
        <w:ind w:left="1701"/>
      </w:pPr>
      <w:proofErr w:type="gramStart"/>
      <w:r w:rsidRPr="000A7AD4">
        <w:rPr>
          <w:color w:val="0070C0"/>
          <w:u w:val="single"/>
        </w:rPr>
        <w:t>complementary</w:t>
      </w:r>
      <w:proofErr w:type="gramEnd"/>
      <w:r w:rsidRPr="000A7AD4">
        <w:rPr>
          <w:color w:val="0070C0"/>
          <w:u w:val="single"/>
        </w:rPr>
        <w:t xml:space="preserve"> fee for additional modification(s) submitted in </w:t>
      </w:r>
      <w:r w:rsidRPr="000A7AD4">
        <w:rPr>
          <w:color w:val="0070C0"/>
          <w:u w:val="single"/>
        </w:rPr>
        <w:br/>
        <w:t>the same request</w:t>
      </w:r>
      <w:r w:rsidRPr="000A7AD4">
        <w:tab/>
      </w:r>
      <w:r w:rsidRPr="000A7AD4">
        <w:rPr>
          <w:color w:val="0070C0"/>
          <w:u w:val="single"/>
        </w:rPr>
        <w:t>300</w:t>
      </w:r>
    </w:p>
    <w:p w14:paraId="68EB7AEE" w14:textId="77777777" w:rsidR="000A7AD4" w:rsidRPr="000A7AD4" w:rsidRDefault="000A7AD4" w:rsidP="000A7AD4">
      <w:pPr>
        <w:tabs>
          <w:tab w:val="left" w:pos="1134"/>
          <w:tab w:val="left" w:pos="1701"/>
          <w:tab w:val="right" w:pos="9072"/>
        </w:tabs>
      </w:pPr>
      <w:r w:rsidRPr="000A7AD4">
        <w:tab/>
        <w:t>(iii)</w:t>
      </w:r>
      <w:r w:rsidRPr="000A7AD4">
        <w:tab/>
      </w:r>
      <w:proofErr w:type="gramStart"/>
      <w:r w:rsidRPr="000A7AD4">
        <w:t>fee</w:t>
      </w:r>
      <w:proofErr w:type="gramEnd"/>
      <w:r w:rsidRPr="000A7AD4">
        <w:t xml:space="preserve"> for providing an extract from the International Register</w:t>
      </w:r>
      <w:r w:rsidRPr="000A7AD4">
        <w:tab/>
        <w:t>150</w:t>
      </w:r>
    </w:p>
    <w:p w14:paraId="2CD7E5D0" w14:textId="77777777" w:rsidR="000A7AD4" w:rsidRPr="000A7AD4" w:rsidRDefault="000A7AD4" w:rsidP="000A7AD4">
      <w:pPr>
        <w:tabs>
          <w:tab w:val="left" w:pos="1134"/>
          <w:tab w:val="left" w:pos="1701"/>
          <w:tab w:val="right" w:pos="9072"/>
        </w:tabs>
      </w:pPr>
      <w:r w:rsidRPr="000A7AD4">
        <w:tab/>
        <w:t>(iv)</w:t>
      </w:r>
      <w:r w:rsidRPr="000A7AD4">
        <w:tab/>
      </w:r>
      <w:proofErr w:type="gramStart"/>
      <w:r w:rsidRPr="000A7AD4">
        <w:t>fee</w:t>
      </w:r>
      <w:proofErr w:type="gramEnd"/>
      <w:r w:rsidRPr="000A7AD4">
        <w:t xml:space="preserve"> for providing an attestation or any other written information </w:t>
      </w:r>
      <w:r w:rsidRPr="000A7AD4">
        <w:tab/>
        <w:t>100</w:t>
      </w:r>
    </w:p>
    <w:p w14:paraId="71981EDF" w14:textId="77777777" w:rsidR="000A7AD4" w:rsidRPr="000A7AD4" w:rsidRDefault="000A7AD4" w:rsidP="000A7AD4">
      <w:pPr>
        <w:tabs>
          <w:tab w:val="left" w:pos="550"/>
          <w:tab w:val="left" w:pos="1080"/>
          <w:tab w:val="left" w:pos="8460"/>
          <w:tab w:val="left" w:pos="8640"/>
          <w:tab w:val="left" w:pos="9000"/>
        </w:tabs>
      </w:pPr>
      <w:proofErr w:type="gramStart"/>
      <w:r w:rsidRPr="000A7AD4">
        <w:t>concerning</w:t>
      </w:r>
      <w:proofErr w:type="gramEnd"/>
      <w:r w:rsidRPr="000A7AD4">
        <w:t xml:space="preserve"> the contents of the International Register</w:t>
      </w:r>
      <w:r w:rsidRPr="000A7AD4">
        <w:tab/>
      </w:r>
    </w:p>
    <w:p w14:paraId="73E547B2" w14:textId="77777777" w:rsidR="000A7AD4" w:rsidRPr="000A7AD4" w:rsidRDefault="000A7AD4" w:rsidP="000A7AD4">
      <w:pPr>
        <w:tabs>
          <w:tab w:val="left" w:pos="1134"/>
          <w:tab w:val="left" w:pos="1701"/>
          <w:tab w:val="left" w:pos="8460"/>
          <w:tab w:val="left" w:pos="8640"/>
          <w:tab w:val="left" w:pos="9000"/>
        </w:tabs>
      </w:pPr>
      <w:r w:rsidRPr="000A7AD4">
        <w:tab/>
        <w:t>(v)</w:t>
      </w:r>
      <w:r w:rsidRPr="000A7AD4">
        <w:tab/>
      </w:r>
      <w:proofErr w:type="gramStart"/>
      <w:r w:rsidRPr="000A7AD4">
        <w:t>individual</w:t>
      </w:r>
      <w:proofErr w:type="gramEnd"/>
      <w:r w:rsidRPr="000A7AD4">
        <w:t xml:space="preserve"> fees as referred to in paragraph (2).</w:t>
      </w:r>
    </w:p>
    <w:p w14:paraId="3DFC6D14" w14:textId="77777777" w:rsidR="000A7AD4" w:rsidRPr="000A7AD4" w:rsidRDefault="000A7AD4" w:rsidP="000A7AD4">
      <w:pPr>
        <w:spacing w:before="120" w:after="120"/>
        <w:rPr>
          <w:rFonts w:eastAsia="Times New Roman"/>
          <w:bCs/>
          <w:color w:val="1A1A1A"/>
          <w:szCs w:val="22"/>
          <w:lang w:eastAsia="en-US"/>
        </w:rPr>
      </w:pPr>
      <w:r w:rsidRPr="000A7AD4">
        <w:rPr>
          <w:rFonts w:eastAsia="Times New Roman"/>
          <w:bCs/>
          <w:color w:val="1A1A1A"/>
          <w:szCs w:val="22"/>
          <w:lang w:eastAsia="en-US"/>
        </w:rPr>
        <w:t>[…]</w:t>
      </w:r>
    </w:p>
    <w:p w14:paraId="17F16405" w14:textId="77777777" w:rsidR="000A7AD4" w:rsidRPr="000A7AD4" w:rsidRDefault="000A7AD4" w:rsidP="000A7AD4">
      <w:pPr>
        <w:spacing w:before="360" w:after="480"/>
        <w:jc w:val="center"/>
        <w:rPr>
          <w:rFonts w:eastAsia="Times New Roman"/>
          <w:color w:val="1A1A1A"/>
          <w:szCs w:val="22"/>
          <w:lang w:eastAsia="en-US"/>
        </w:rPr>
      </w:pPr>
      <w:bookmarkStart w:id="7" w:name="chapter3"/>
      <w:bookmarkEnd w:id="7"/>
      <w:r w:rsidRPr="000A7AD4">
        <w:rPr>
          <w:rFonts w:eastAsia="Times New Roman"/>
          <w:b/>
          <w:bCs/>
          <w:color w:val="1A1A1A"/>
          <w:szCs w:val="22"/>
          <w:lang w:eastAsia="en-US"/>
        </w:rPr>
        <w:lastRenderedPageBreak/>
        <w:t>Chapter III</w:t>
      </w:r>
      <w:r w:rsidRPr="000A7AD4">
        <w:rPr>
          <w:rFonts w:eastAsia="Times New Roman"/>
          <w:b/>
          <w:bCs/>
          <w:color w:val="1A1A1A"/>
          <w:szCs w:val="22"/>
          <w:lang w:eastAsia="en-US"/>
        </w:rPr>
        <w:br/>
        <w:t>Refusal and Other Actions in Respect of International Registration</w:t>
      </w:r>
    </w:p>
    <w:p w14:paraId="2296DFCC" w14:textId="77777777" w:rsidR="000A7AD4" w:rsidRPr="000A7AD4" w:rsidRDefault="000A7AD4" w:rsidP="000A7AD4">
      <w:pPr>
        <w:keepNext/>
        <w:jc w:val="center"/>
        <w:rPr>
          <w:b/>
        </w:rPr>
      </w:pPr>
      <w:r w:rsidRPr="000A7AD4">
        <w:rPr>
          <w:b/>
        </w:rPr>
        <w:t>Rule 9</w:t>
      </w:r>
    </w:p>
    <w:p w14:paraId="11144FA2" w14:textId="77777777" w:rsidR="000A7AD4" w:rsidRPr="000A7AD4" w:rsidRDefault="000A7AD4" w:rsidP="000A7AD4">
      <w:pPr>
        <w:keepNext/>
        <w:spacing w:after="240"/>
        <w:jc w:val="center"/>
      </w:pPr>
      <w:r w:rsidRPr="000A7AD4">
        <w:t>Refusal</w:t>
      </w:r>
    </w:p>
    <w:p w14:paraId="533FA802" w14:textId="77777777" w:rsidR="000A7AD4" w:rsidRPr="000A7AD4" w:rsidRDefault="000A7AD4" w:rsidP="000A7AD4">
      <w:pPr>
        <w:keepNext/>
        <w:tabs>
          <w:tab w:val="left" w:pos="567"/>
        </w:tabs>
        <w:spacing w:after="120"/>
        <w:rPr>
          <w:iCs/>
        </w:rPr>
      </w:pPr>
      <w:r w:rsidRPr="000A7AD4">
        <w:t>(1)</w:t>
      </w:r>
      <w:r w:rsidRPr="000A7AD4">
        <w:tab/>
      </w:r>
      <w:r w:rsidRPr="000A7AD4">
        <w:rPr>
          <w:i/>
          <w:iCs/>
        </w:rPr>
        <w:t>[Notification to the International Bureau]</w:t>
      </w:r>
    </w:p>
    <w:p w14:paraId="4C1D2A5F" w14:textId="77777777" w:rsidR="000A7AD4" w:rsidRPr="000A7AD4" w:rsidRDefault="000A7AD4" w:rsidP="000A7AD4">
      <w:pPr>
        <w:keepNext/>
        <w:tabs>
          <w:tab w:val="left" w:pos="567"/>
        </w:tabs>
        <w:spacing w:before="120" w:after="120"/>
      </w:pPr>
      <w:r w:rsidRPr="000A7AD4">
        <w:t>[…]</w:t>
      </w:r>
    </w:p>
    <w:p w14:paraId="15EF4998" w14:textId="77777777" w:rsidR="000A7AD4" w:rsidRPr="000A7AD4" w:rsidRDefault="000A7AD4" w:rsidP="000A7AD4">
      <w:pPr>
        <w:tabs>
          <w:tab w:val="left" w:pos="567"/>
          <w:tab w:val="left" w:pos="1134"/>
        </w:tabs>
        <w:spacing w:before="120" w:after="120"/>
      </w:pPr>
      <w:r w:rsidRPr="000A7AD4">
        <w:tab/>
        <w:t>(b)</w:t>
      </w:r>
      <w:r w:rsidRPr="000A7AD4">
        <w:tab/>
      </w:r>
      <w:r w:rsidRPr="000A7AD4">
        <w:rPr>
          <w:color w:val="1A1A1A"/>
          <w:szCs w:val="22"/>
        </w:rPr>
        <w:t xml:space="preserve">The refusal </w:t>
      </w:r>
      <w:proofErr w:type="gramStart"/>
      <w:r w:rsidRPr="000A7AD4">
        <w:rPr>
          <w:color w:val="1A1A1A"/>
          <w:szCs w:val="22"/>
        </w:rPr>
        <w:t>shall be notified</w:t>
      </w:r>
      <w:proofErr w:type="gramEnd"/>
      <w:r w:rsidRPr="000A7AD4">
        <w:rPr>
          <w:color w:val="1A1A1A"/>
          <w:szCs w:val="22"/>
        </w:rPr>
        <w:t xml:space="preserve"> within a period of one year from the receipt of the notification of the international registration under Article 5(2) of the 1967 Act or under</w:t>
      </w:r>
      <w:r w:rsidRPr="000A7AD4">
        <w:rPr>
          <w:strike/>
          <w:color w:val="C00000"/>
          <w:szCs w:val="22"/>
        </w:rPr>
        <w:t xml:space="preserve"> the </w:t>
      </w:r>
      <w:r w:rsidRPr="000A7AD4">
        <w:rPr>
          <w:color w:val="1A1A1A"/>
          <w:szCs w:val="22"/>
        </w:rPr>
        <w:t xml:space="preserve">Article 6(4) of the Geneva Act. In the case of Article 29(4) of the Geneva Act, this time limit </w:t>
      </w:r>
      <w:proofErr w:type="gramStart"/>
      <w:r w:rsidRPr="000A7AD4">
        <w:rPr>
          <w:color w:val="1A1A1A"/>
          <w:szCs w:val="22"/>
        </w:rPr>
        <w:t>may be extended</w:t>
      </w:r>
      <w:proofErr w:type="gramEnd"/>
      <w:r w:rsidRPr="000A7AD4">
        <w:rPr>
          <w:color w:val="1A1A1A"/>
          <w:szCs w:val="22"/>
        </w:rPr>
        <w:t xml:space="preserve"> by another year</w:t>
      </w:r>
      <w:r w:rsidRPr="000A7AD4">
        <w:t>.</w:t>
      </w:r>
    </w:p>
    <w:p w14:paraId="17E6FFD9" w14:textId="77777777" w:rsidR="000A7AD4" w:rsidRPr="000A7AD4" w:rsidRDefault="000A7AD4" w:rsidP="000A7AD4">
      <w:pPr>
        <w:tabs>
          <w:tab w:val="left" w:pos="567"/>
          <w:tab w:val="left" w:pos="1134"/>
        </w:tabs>
        <w:spacing w:before="120" w:after="120"/>
        <w:ind w:firstLine="540"/>
      </w:pPr>
      <w:r w:rsidRPr="000A7AD4">
        <w:t>(c)</w:t>
      </w:r>
      <w:r w:rsidRPr="000A7AD4">
        <w:tab/>
      </w:r>
      <w:r w:rsidRPr="000A7AD4">
        <w:rPr>
          <w:color w:val="1A1A1A"/>
          <w:szCs w:val="22"/>
        </w:rPr>
        <w:t xml:space="preserve">Unless demonstrated to the contrary by the Competent Authority referred to in subparagraph (a), the notification of an international registration </w:t>
      </w:r>
      <w:r w:rsidRPr="000A7AD4">
        <w:rPr>
          <w:color w:val="0070C0"/>
          <w:u w:val="single"/>
        </w:rPr>
        <w:t>referred to in subparagraph </w:t>
      </w:r>
      <w:proofErr w:type="gramStart"/>
      <w:r w:rsidRPr="000A7AD4">
        <w:rPr>
          <w:color w:val="0070C0"/>
          <w:u w:val="single"/>
        </w:rPr>
        <w:t>(b)</w:t>
      </w:r>
      <w:r w:rsidRPr="000A7AD4">
        <w:rPr>
          <w:color w:val="0070C0"/>
        </w:rPr>
        <w:t xml:space="preserve"> </w:t>
      </w:r>
      <w:r w:rsidRPr="000A7AD4">
        <w:rPr>
          <w:color w:val="1A1A1A"/>
          <w:szCs w:val="22"/>
        </w:rPr>
        <w:t>shall be deemed to have been received</w:t>
      </w:r>
      <w:proofErr w:type="gramEnd"/>
      <w:r w:rsidRPr="000A7AD4">
        <w:rPr>
          <w:color w:val="1A1A1A"/>
          <w:szCs w:val="22"/>
        </w:rPr>
        <w:t xml:space="preserve"> by the Competent Authority 20 days after the date indicated in the notification</w:t>
      </w:r>
      <w:r w:rsidRPr="000A7AD4">
        <w:t>.</w:t>
      </w:r>
    </w:p>
    <w:p w14:paraId="13F1E115" w14:textId="77777777" w:rsidR="000A7AD4" w:rsidRPr="000A7AD4" w:rsidRDefault="000A7AD4" w:rsidP="000A7AD4">
      <w:pPr>
        <w:spacing w:before="120" w:after="360"/>
        <w:jc w:val="both"/>
      </w:pPr>
      <w:r w:rsidRPr="000A7AD4">
        <w:t>[…]</w:t>
      </w:r>
    </w:p>
    <w:p w14:paraId="41548D6A" w14:textId="77777777" w:rsidR="000A7AD4" w:rsidRPr="000A7AD4" w:rsidRDefault="000A7AD4" w:rsidP="000A7AD4">
      <w:pPr>
        <w:keepNext/>
        <w:spacing w:after="240"/>
        <w:jc w:val="center"/>
      </w:pPr>
      <w:r w:rsidRPr="000A7AD4">
        <w:rPr>
          <w:b/>
        </w:rPr>
        <w:t>Rule 15</w:t>
      </w:r>
      <w:r w:rsidRPr="000A7AD4">
        <w:br/>
        <w:t>Modifications</w:t>
      </w:r>
    </w:p>
    <w:p w14:paraId="63C1EA7B" w14:textId="77777777" w:rsidR="000A7AD4" w:rsidRPr="000A7AD4" w:rsidRDefault="000A7AD4" w:rsidP="000A7AD4">
      <w:pPr>
        <w:keepNext/>
        <w:tabs>
          <w:tab w:val="left" w:pos="567"/>
        </w:tabs>
      </w:pPr>
      <w:r w:rsidRPr="000A7AD4">
        <w:t>(1)</w:t>
      </w:r>
      <w:r w:rsidRPr="000A7AD4">
        <w:tab/>
      </w:r>
      <w:r w:rsidRPr="000A7AD4">
        <w:rPr>
          <w:i/>
          <w:iCs/>
        </w:rPr>
        <w:t>[Permissible Modifications</w:t>
      </w:r>
      <w:proofErr w:type="gramStart"/>
      <w:r w:rsidRPr="000A7AD4">
        <w:rPr>
          <w:i/>
          <w:iCs/>
        </w:rPr>
        <w:t xml:space="preserve">]  </w:t>
      </w:r>
      <w:r w:rsidRPr="000A7AD4">
        <w:t>The</w:t>
      </w:r>
      <w:proofErr w:type="gramEnd"/>
      <w:r w:rsidRPr="000A7AD4">
        <w:t xml:space="preserve"> following modifications may be recorded in the International Register:</w:t>
      </w:r>
    </w:p>
    <w:p w14:paraId="214D5BC2" w14:textId="77777777" w:rsidR="000A7AD4" w:rsidRPr="000A7AD4" w:rsidRDefault="000A7AD4" w:rsidP="000A7AD4">
      <w:pPr>
        <w:keepNext/>
        <w:tabs>
          <w:tab w:val="left" w:pos="1710"/>
        </w:tabs>
        <w:ind w:firstLine="1134"/>
        <w:rPr>
          <w:color w:val="0070C0"/>
        </w:rPr>
      </w:pPr>
      <w:r w:rsidRPr="000A7AD4">
        <w:t>(</w:t>
      </w:r>
      <w:proofErr w:type="spellStart"/>
      <w:r w:rsidRPr="000A7AD4">
        <w:t>i</w:t>
      </w:r>
      <w:proofErr w:type="spellEnd"/>
      <w:r w:rsidRPr="000A7AD4">
        <w:t>)</w:t>
      </w:r>
      <w:r w:rsidRPr="000A7AD4">
        <w:tab/>
      </w:r>
      <w:r w:rsidRPr="000A7AD4">
        <w:rPr>
          <w:color w:val="0070C0"/>
          <w:u w:val="single"/>
        </w:rPr>
        <w:t>a modification of the beneficiaries consisting in</w:t>
      </w:r>
      <w:r w:rsidRPr="000A7AD4">
        <w:rPr>
          <w:color w:val="0070C0"/>
        </w:rPr>
        <w:t xml:space="preserve"> </w:t>
      </w:r>
      <w:r w:rsidRPr="000A7AD4">
        <w:t>the addition or deletion of a beneficiary or some beneficiaries</w:t>
      </w:r>
      <w:r w:rsidRPr="000A7AD4">
        <w:rPr>
          <w:color w:val="0070C0"/>
          <w:u w:val="single"/>
        </w:rPr>
        <w:t>, or a modification of the names or addresses of the beneficiaries or of the natural person or legal entity referred to in Article 5(2)(ii) of the Geneva Act;</w:t>
      </w:r>
    </w:p>
    <w:p w14:paraId="2FC5EA9C" w14:textId="77777777" w:rsidR="000A7AD4" w:rsidRPr="000A7AD4" w:rsidRDefault="000A7AD4" w:rsidP="000A7AD4">
      <w:pPr>
        <w:tabs>
          <w:tab w:val="left" w:pos="1710"/>
        </w:tabs>
        <w:ind w:firstLine="1134"/>
      </w:pPr>
      <w:r w:rsidRPr="000A7AD4">
        <w:t>(ii)</w:t>
      </w:r>
      <w:r w:rsidRPr="000A7AD4">
        <w:tab/>
      </w:r>
      <w:proofErr w:type="gramStart"/>
      <w:r w:rsidRPr="000A7AD4">
        <w:rPr>
          <w:strike/>
          <w:color w:val="C00000"/>
          <w:u w:val="single"/>
        </w:rPr>
        <w:t>a</w:t>
      </w:r>
      <w:proofErr w:type="gramEnd"/>
      <w:r w:rsidRPr="000A7AD4">
        <w:rPr>
          <w:strike/>
          <w:color w:val="C00000"/>
          <w:u w:val="single"/>
        </w:rPr>
        <w:t xml:space="preserve"> modification of the names or addresses of the beneficiaries or of the natural person or legal entity referred to in Article 5(2)(ii) of the Geneva Act;</w:t>
      </w:r>
      <w:r w:rsidRPr="000A7AD4">
        <w:rPr>
          <w:color w:val="0070C0"/>
          <w:u w:val="single"/>
        </w:rPr>
        <w:t xml:space="preserve"> [Deleted]</w:t>
      </w:r>
    </w:p>
    <w:p w14:paraId="56C620F0" w14:textId="77777777" w:rsidR="000A7AD4" w:rsidRPr="000A7AD4" w:rsidRDefault="000A7AD4" w:rsidP="000A7AD4">
      <w:pPr>
        <w:tabs>
          <w:tab w:val="left" w:pos="1710"/>
        </w:tabs>
        <w:ind w:firstLine="1134"/>
      </w:pPr>
      <w:r w:rsidRPr="000A7AD4">
        <w:t>(iii)</w:t>
      </w:r>
      <w:r w:rsidRPr="000A7AD4">
        <w:tab/>
        <w:t>a modification of the limits of the geographical area of production or the geographical area of origin of the good or goods to which the appellation of origin, or the geographical indication, applies;</w:t>
      </w:r>
    </w:p>
    <w:p w14:paraId="09EA6EDB" w14:textId="77777777" w:rsidR="000A7AD4" w:rsidRPr="000A7AD4" w:rsidRDefault="000A7AD4" w:rsidP="000A7AD4">
      <w:pPr>
        <w:tabs>
          <w:tab w:val="left" w:pos="1710"/>
        </w:tabs>
        <w:ind w:firstLine="1134"/>
      </w:pPr>
      <w:r w:rsidRPr="000A7AD4">
        <w:t>(iv)</w:t>
      </w:r>
      <w:r w:rsidRPr="000A7AD4">
        <w:tab/>
      </w:r>
      <w:proofErr w:type="gramStart"/>
      <w:r w:rsidRPr="000A7AD4">
        <w:t>a</w:t>
      </w:r>
      <w:proofErr w:type="gramEnd"/>
      <w:r w:rsidRPr="000A7AD4">
        <w:t xml:space="preserve"> modification relating to the legislative or administrative act, the judicial or administrative decision, or the registration referred to in Rule 5(2)(a)(vii);</w:t>
      </w:r>
    </w:p>
    <w:p w14:paraId="01AB8EF8" w14:textId="77777777" w:rsidR="000A7AD4" w:rsidRPr="000A7AD4" w:rsidRDefault="000A7AD4" w:rsidP="000A7AD4">
      <w:pPr>
        <w:tabs>
          <w:tab w:val="left" w:pos="1710"/>
        </w:tabs>
        <w:ind w:firstLine="1134"/>
      </w:pPr>
      <w:r w:rsidRPr="000A7AD4">
        <w:t>(v)</w:t>
      </w:r>
      <w:r w:rsidRPr="000A7AD4">
        <w:tab/>
        <w:t>a modification relating to the Contracting Party of Origin that does not affect the geographical area of production or the geographical area of origin of the good or goods to which the appellation of origin, or the geographical indication, applies</w:t>
      </w:r>
      <w:r w:rsidRPr="000A7AD4">
        <w:rPr>
          <w:color w:val="0070C0"/>
          <w:u w:val="single"/>
        </w:rPr>
        <w:t>.</w:t>
      </w:r>
      <w:r w:rsidRPr="000A7AD4">
        <w:rPr>
          <w:color w:val="C00000"/>
        </w:rPr>
        <w:t>;</w:t>
      </w:r>
    </w:p>
    <w:p w14:paraId="2D98778B" w14:textId="77777777" w:rsidR="000A7AD4" w:rsidRPr="000A7AD4" w:rsidRDefault="000A7AD4" w:rsidP="000A7AD4">
      <w:pPr>
        <w:tabs>
          <w:tab w:val="left" w:pos="1710"/>
        </w:tabs>
        <w:ind w:left="414" w:firstLine="720"/>
        <w:rPr>
          <w:color w:val="C00000"/>
        </w:rPr>
      </w:pPr>
      <w:r w:rsidRPr="000A7AD4">
        <w:rPr>
          <w:color w:val="000000" w:themeColor="text1"/>
        </w:rPr>
        <w:t>(vi)</w:t>
      </w:r>
      <w:r w:rsidRPr="000A7AD4">
        <w:rPr>
          <w:color w:val="C00000"/>
        </w:rPr>
        <w:tab/>
      </w:r>
      <w:proofErr w:type="gramStart"/>
      <w:r w:rsidRPr="000A7AD4">
        <w:rPr>
          <w:strike/>
          <w:color w:val="C00000"/>
        </w:rPr>
        <w:t>a</w:t>
      </w:r>
      <w:proofErr w:type="gramEnd"/>
      <w:r w:rsidRPr="000A7AD4">
        <w:rPr>
          <w:strike/>
          <w:color w:val="C00000"/>
        </w:rPr>
        <w:t xml:space="preserve"> modification under Rule 16.</w:t>
      </w:r>
      <w:r w:rsidRPr="000A7AD4">
        <w:rPr>
          <w:color w:val="C00000"/>
        </w:rPr>
        <w:t xml:space="preserve"> </w:t>
      </w:r>
      <w:r w:rsidRPr="000A7AD4">
        <w:rPr>
          <w:color w:val="0070C0"/>
          <w:u w:val="single"/>
        </w:rPr>
        <w:t>[Deleted]</w:t>
      </w:r>
    </w:p>
    <w:p w14:paraId="4D2ED2DC" w14:textId="77777777" w:rsidR="000A7AD4" w:rsidRPr="000A7AD4" w:rsidRDefault="000A7AD4" w:rsidP="000A7AD4">
      <w:pPr>
        <w:spacing w:before="360" w:after="120"/>
      </w:pPr>
      <w:r w:rsidRPr="000A7AD4">
        <w:t>[…]</w:t>
      </w:r>
    </w:p>
    <w:p w14:paraId="185C17B8" w14:textId="77777777" w:rsidR="000A7AD4" w:rsidRPr="000A7AD4" w:rsidRDefault="000A7AD4" w:rsidP="000A7AD4">
      <w:r w:rsidRPr="000A7AD4">
        <w:br w:type="page"/>
      </w:r>
    </w:p>
    <w:p w14:paraId="2006A07F" w14:textId="77777777" w:rsidR="000A7AD4" w:rsidRPr="000A7AD4" w:rsidRDefault="000A7AD4" w:rsidP="000A7AD4">
      <w:pPr>
        <w:spacing w:after="120"/>
        <w:jc w:val="center"/>
        <w:rPr>
          <w:rFonts w:eastAsia="Times New Roman"/>
          <w:color w:val="1A1A1A"/>
          <w:szCs w:val="22"/>
          <w:lang w:eastAsia="en-US"/>
        </w:rPr>
      </w:pPr>
      <w:r w:rsidRPr="000A7AD4">
        <w:rPr>
          <w:rFonts w:eastAsia="Times New Roman"/>
          <w:b/>
          <w:bCs/>
          <w:color w:val="1A1A1A"/>
          <w:szCs w:val="22"/>
          <w:lang w:eastAsia="en-US"/>
        </w:rPr>
        <w:lastRenderedPageBreak/>
        <w:t>Rule 16</w:t>
      </w:r>
      <w:r w:rsidRPr="000A7AD4">
        <w:rPr>
          <w:rFonts w:eastAsia="Times New Roman"/>
          <w:b/>
          <w:bCs/>
          <w:color w:val="1A1A1A"/>
          <w:szCs w:val="22"/>
          <w:lang w:eastAsia="en-US"/>
        </w:rPr>
        <w:br/>
      </w:r>
      <w:r w:rsidRPr="000A7AD4">
        <w:rPr>
          <w:rFonts w:eastAsia="Times New Roman"/>
          <w:bCs/>
          <w:color w:val="1A1A1A"/>
          <w:szCs w:val="22"/>
          <w:lang w:eastAsia="en-US"/>
        </w:rPr>
        <w:t>Renunciation of Protection</w:t>
      </w:r>
    </w:p>
    <w:p w14:paraId="3947F9E2" w14:textId="77777777" w:rsidR="000A7AD4" w:rsidRPr="000A7AD4" w:rsidRDefault="000A7AD4" w:rsidP="000A7AD4">
      <w:pPr>
        <w:spacing w:before="120" w:after="120"/>
        <w:rPr>
          <w:rFonts w:eastAsia="Times New Roman"/>
          <w:color w:val="1A1A1A"/>
          <w:szCs w:val="22"/>
          <w:lang w:eastAsia="en-US"/>
        </w:rPr>
      </w:pPr>
      <w:r w:rsidRPr="000A7AD4">
        <w:rPr>
          <w:rFonts w:eastAsia="Times New Roman"/>
          <w:color w:val="1A1A1A"/>
          <w:szCs w:val="22"/>
          <w:lang w:eastAsia="en-US"/>
        </w:rPr>
        <w:t>[…]</w:t>
      </w:r>
    </w:p>
    <w:p w14:paraId="194A3376" w14:textId="77777777" w:rsidR="000A7AD4" w:rsidRPr="000A7AD4" w:rsidRDefault="000A7AD4" w:rsidP="000A7AD4">
      <w:pPr>
        <w:tabs>
          <w:tab w:val="left" w:pos="567"/>
        </w:tabs>
      </w:pPr>
      <w:proofErr w:type="gramStart"/>
      <w:r w:rsidRPr="000A7AD4">
        <w:t>(2)</w:t>
      </w:r>
      <w:r w:rsidRPr="000A7AD4">
        <w:tab/>
      </w:r>
      <w:r w:rsidRPr="000A7AD4">
        <w:rPr>
          <w:i/>
        </w:rPr>
        <w:t>[Withdrawal of a Renunciation]</w:t>
      </w:r>
      <w:r w:rsidRPr="000A7AD4">
        <w:t xml:space="preserve">  (a) Any renunciation, including a renunciation under Rule 6(1)(d), may be withdrawn, in whole or in part, at any time by the Competent Authority of the Contracting Party of Origin or, in the case of Article 5(3) of the Geneva Act, the beneficiaries or the natural person or legal entity referred to in Article 5(2)(ii) of that Act or the Competent Authority of the Contracting Party of Origin, subject to </w:t>
      </w:r>
      <w:r w:rsidRPr="000A7AD4">
        <w:rPr>
          <w:strike/>
          <w:color w:val="C00000"/>
        </w:rPr>
        <w:t>payment of the fee for a modification and, in the case of a renunciation under Rule 6(1)(d),</w:t>
      </w:r>
      <w:r w:rsidRPr="000A7AD4">
        <w:t xml:space="preserve"> the correction of the irregularity </w:t>
      </w:r>
      <w:r w:rsidRPr="000A7AD4">
        <w:rPr>
          <w:color w:val="0070C0"/>
          <w:u w:val="single"/>
        </w:rPr>
        <w:t>in the case of a renunciation under Rule 6(1)(d)</w:t>
      </w:r>
      <w:r w:rsidRPr="000A7AD4">
        <w:t>.</w:t>
      </w:r>
      <w:proofErr w:type="gramEnd"/>
    </w:p>
    <w:p w14:paraId="4EA4FFF8" w14:textId="77777777" w:rsidR="000A7AD4" w:rsidRPr="000A7AD4" w:rsidRDefault="000A7AD4" w:rsidP="000A7AD4">
      <w:pPr>
        <w:spacing w:before="120" w:after="720"/>
        <w:rPr>
          <w:rFonts w:eastAsia="Times New Roman"/>
          <w:color w:val="1A1A1A"/>
          <w:szCs w:val="22"/>
          <w:lang w:eastAsia="en-US"/>
        </w:rPr>
      </w:pPr>
      <w:bookmarkStart w:id="8" w:name="rule24"/>
      <w:bookmarkEnd w:id="8"/>
      <w:r w:rsidRPr="000A7AD4">
        <w:rPr>
          <w:rFonts w:eastAsia="Times New Roman"/>
          <w:color w:val="1A1A1A"/>
          <w:szCs w:val="22"/>
          <w:lang w:eastAsia="en-US"/>
        </w:rPr>
        <w:t>[…]</w:t>
      </w:r>
    </w:p>
    <w:p w14:paraId="7EB22EB7" w14:textId="6CC0A218" w:rsidR="008E4171" w:rsidRPr="00D03444" w:rsidRDefault="000A7AD4" w:rsidP="00D03444">
      <w:pPr>
        <w:ind w:left="5528"/>
        <w:rPr>
          <w:rFonts w:eastAsia="Times New Roman"/>
          <w:szCs w:val="22"/>
          <w:lang w:eastAsia="ja-JP"/>
        </w:rPr>
      </w:pPr>
      <w:r w:rsidRPr="000A7AD4">
        <w:t>[End of Annex and of document]</w:t>
      </w:r>
    </w:p>
    <w:sectPr w:rsidR="008E4171" w:rsidRPr="00D03444" w:rsidSect="0031669F">
      <w:headerReference w:type="even" r:id="rId15"/>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6C351" w14:textId="77777777" w:rsidR="00044CB9" w:rsidRDefault="00044CB9">
      <w:r>
        <w:separator/>
      </w:r>
    </w:p>
  </w:endnote>
  <w:endnote w:type="continuationSeparator" w:id="0">
    <w:p w14:paraId="7300A0F1" w14:textId="77777777" w:rsidR="00044CB9" w:rsidRDefault="00044CB9" w:rsidP="003B38C1">
      <w:r>
        <w:separator/>
      </w:r>
    </w:p>
    <w:p w14:paraId="7A2B3E6D" w14:textId="77777777" w:rsidR="00044CB9" w:rsidRPr="003B38C1" w:rsidRDefault="00044CB9" w:rsidP="003B38C1">
      <w:pPr>
        <w:spacing w:after="60"/>
        <w:rPr>
          <w:sz w:val="17"/>
        </w:rPr>
      </w:pPr>
      <w:r>
        <w:rPr>
          <w:sz w:val="17"/>
        </w:rPr>
        <w:t>[Endnote continued from previous page]</w:t>
      </w:r>
    </w:p>
  </w:endnote>
  <w:endnote w:type="continuationNotice" w:id="1">
    <w:p w14:paraId="66D83F7F" w14:textId="77777777" w:rsidR="00044CB9" w:rsidRPr="003B38C1" w:rsidRDefault="00044C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C6BF0" w14:textId="77777777" w:rsidR="002C6FE5" w:rsidRDefault="002C6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A434C" w14:textId="77777777" w:rsidR="002C6FE5" w:rsidRDefault="002C6F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D12AF" w14:textId="77777777" w:rsidR="002C6FE5" w:rsidRDefault="002C6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72196" w14:textId="77777777" w:rsidR="00044CB9" w:rsidRDefault="00044CB9">
      <w:r>
        <w:separator/>
      </w:r>
    </w:p>
  </w:footnote>
  <w:footnote w:type="continuationSeparator" w:id="0">
    <w:p w14:paraId="6D06D622" w14:textId="77777777" w:rsidR="00044CB9" w:rsidRDefault="00044CB9" w:rsidP="008B60B2">
      <w:r>
        <w:separator/>
      </w:r>
    </w:p>
    <w:p w14:paraId="3A51C924" w14:textId="77777777" w:rsidR="00044CB9" w:rsidRPr="00ED77FB" w:rsidRDefault="00044CB9" w:rsidP="008B60B2">
      <w:pPr>
        <w:spacing w:after="60"/>
        <w:rPr>
          <w:sz w:val="17"/>
          <w:szCs w:val="17"/>
        </w:rPr>
      </w:pPr>
      <w:r w:rsidRPr="00ED77FB">
        <w:rPr>
          <w:sz w:val="17"/>
          <w:szCs w:val="17"/>
        </w:rPr>
        <w:t>[Footnote continued from previous page]</w:t>
      </w:r>
    </w:p>
  </w:footnote>
  <w:footnote w:type="continuationNotice" w:id="1">
    <w:p w14:paraId="4A32CDF0" w14:textId="77777777" w:rsidR="00044CB9" w:rsidRPr="00ED77FB" w:rsidRDefault="00044CB9" w:rsidP="008B60B2">
      <w:pPr>
        <w:spacing w:before="60"/>
        <w:jc w:val="right"/>
        <w:rPr>
          <w:sz w:val="17"/>
          <w:szCs w:val="17"/>
        </w:rPr>
      </w:pPr>
      <w:r w:rsidRPr="00ED77FB">
        <w:rPr>
          <w:sz w:val="17"/>
          <w:szCs w:val="17"/>
        </w:rPr>
        <w:t>[Footnote continued on next page]</w:t>
      </w:r>
    </w:p>
  </w:footnote>
  <w:footnote w:id="2">
    <w:p w14:paraId="3D4EA5F3" w14:textId="77777777" w:rsidR="000A7AD4" w:rsidRPr="00A0678D" w:rsidRDefault="000A7AD4" w:rsidP="000A7AD4">
      <w:pPr>
        <w:pStyle w:val="FootnoteText"/>
        <w:rPr>
          <w:sz w:val="20"/>
        </w:rPr>
      </w:pPr>
      <w:r>
        <w:rPr>
          <w:rStyle w:val="FootnoteReference"/>
        </w:rPr>
        <w:t>3</w:t>
      </w:r>
      <w:r>
        <w:rPr>
          <w:sz w:val="20"/>
        </w:rPr>
        <w:t xml:space="preserve"> </w:t>
      </w:r>
      <w:r>
        <w:rPr>
          <w:sz w:val="20"/>
        </w:rPr>
        <w:tab/>
      </w:r>
      <w:r w:rsidRPr="00A0678D">
        <w:rPr>
          <w:sz w:val="20"/>
        </w:rPr>
        <w:t xml:space="preserve">For an international registration referring to a geographical area located in a least developed country (LDC), in accordance with the lists established by the United Nations, the fee is reduced to 50 per cent of the prescribed amount (rounded to the nearest full figure).  </w:t>
      </w:r>
      <w:proofErr w:type="gramStart"/>
      <w:r w:rsidRPr="00A0678D">
        <w:rPr>
          <w:sz w:val="20"/>
        </w:rPr>
        <w:t xml:space="preserve">In such case, the fee will amount to 500 Swiss francs for an international registration referring to a geographical area of origin located in an LDC, </w:t>
      </w:r>
      <w:r w:rsidRPr="006428EB">
        <w:rPr>
          <w:strike/>
          <w:color w:val="C00000"/>
          <w:sz w:val="20"/>
        </w:rPr>
        <w:t xml:space="preserve">and </w:t>
      </w:r>
      <w:r w:rsidRPr="00A0678D">
        <w:rPr>
          <w:sz w:val="20"/>
        </w:rPr>
        <w:t xml:space="preserve">to 250 Swiss francs for </w:t>
      </w:r>
      <w:r w:rsidRPr="007C009C">
        <w:rPr>
          <w:strike/>
          <w:color w:val="C00000"/>
          <w:sz w:val="20"/>
        </w:rPr>
        <w:t xml:space="preserve">each </w:t>
      </w:r>
      <w:r w:rsidRPr="009E2D50">
        <w:rPr>
          <w:color w:val="0070C0"/>
          <w:sz w:val="20"/>
          <w:u w:val="single"/>
        </w:rPr>
        <w:t>one</w:t>
      </w:r>
      <w:r>
        <w:rPr>
          <w:sz w:val="20"/>
        </w:rPr>
        <w:t xml:space="preserve"> </w:t>
      </w:r>
      <w:r w:rsidRPr="00A0678D">
        <w:rPr>
          <w:sz w:val="20"/>
        </w:rPr>
        <w:t>modification of an international registration referring to a geographical area of origin located in an LDC</w:t>
      </w:r>
      <w:r w:rsidRPr="007C009C">
        <w:rPr>
          <w:color w:val="0070C0"/>
          <w:sz w:val="20"/>
          <w:u w:val="single"/>
        </w:rPr>
        <w:t>, and to 150 Swiss francs for a complementary fee for additional modification(s) submitted in the same request</w:t>
      </w:r>
      <w:r w:rsidRPr="00A0678D">
        <w:rPr>
          <w:sz w:val="20"/>
        </w:rPr>
        <w:t>.</w:t>
      </w:r>
      <w:proofErr w:type="gramEnd"/>
      <w:r w:rsidRPr="00A0678D">
        <w:rPr>
          <w:sz w:val="20"/>
        </w:rPr>
        <w:t xml:space="preserve">  These fee reductions will apply three years after the entry into force of the Geneva 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EC2DF" w14:textId="77777777" w:rsidR="002C6FE5" w:rsidRDefault="002C6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41FA9" w14:textId="77777777" w:rsidR="003E6B20" w:rsidRDefault="003E6B20" w:rsidP="003E6B20">
    <w:pPr>
      <w:jc w:val="right"/>
    </w:pPr>
    <w:r>
      <w:t>LI/A/39/1</w:t>
    </w:r>
  </w:p>
  <w:p w14:paraId="76EFF1AC" w14:textId="46947F49" w:rsidR="006A0BF0" w:rsidRPr="00BA0078" w:rsidRDefault="00F7427E" w:rsidP="003E6B20">
    <w:pPr>
      <w:pStyle w:val="Header"/>
      <w:spacing w:after="480"/>
      <w:jc w:val="right"/>
    </w:pPr>
    <w:proofErr w:type="gramStart"/>
    <w:r>
      <w:t>p</w:t>
    </w:r>
    <w:r w:rsidR="003E6B20">
      <w:t>age</w:t>
    </w:r>
    <w:proofErr w:type="gramEnd"/>
    <w:r w:rsidR="003E6B20">
      <w:t xml:space="preserve"> </w:t>
    </w:r>
    <w:sdt>
      <w:sdtPr>
        <w:id w:val="1193800842"/>
        <w:docPartObj>
          <w:docPartGallery w:val="Page Numbers (Top of Page)"/>
          <w:docPartUnique/>
        </w:docPartObj>
      </w:sdtPr>
      <w:sdtEndPr>
        <w:rPr>
          <w:noProof/>
        </w:rPr>
      </w:sdtEndPr>
      <w:sdtContent>
        <w:r w:rsidR="003E6B20">
          <w:fldChar w:fldCharType="begin"/>
        </w:r>
        <w:r w:rsidR="003E6B20">
          <w:instrText xml:space="preserve"> PAGE   \* MERGEFORMAT </w:instrText>
        </w:r>
        <w:r w:rsidR="003E6B20">
          <w:fldChar w:fldCharType="separate"/>
        </w:r>
        <w:r w:rsidR="006819FC">
          <w:rPr>
            <w:noProof/>
          </w:rPr>
          <w:t>3</w:t>
        </w:r>
        <w:r w:rsidR="003E6B20">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222C6" w14:textId="77777777" w:rsidR="00A157C3" w:rsidRPr="006A5CAE" w:rsidRDefault="006A5CAE" w:rsidP="006A5CAE">
    <w:pPr>
      <w:pStyle w:val="Header"/>
      <w:jc w:val="right"/>
      <w:rPr>
        <w:b/>
        <w:bCs/>
        <w:sz w:val="40"/>
        <w:szCs w:val="40"/>
      </w:rPr>
    </w:pPr>
    <w:r w:rsidRPr="005857F3">
      <w:rPr>
        <w:b/>
        <w:bCs/>
        <w:sz w:val="40"/>
        <w:szCs w:val="40"/>
      </w:rPr>
      <w:t>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1278F" w14:textId="77777777" w:rsidR="00014A10" w:rsidRPr="00C15947" w:rsidRDefault="00217D25" w:rsidP="00A566C3">
    <w:pPr>
      <w:jc w:val="right"/>
      <w:rPr>
        <w:lang w:val="fr-CH"/>
      </w:rPr>
    </w:pPr>
    <w:r w:rsidRPr="00C15947">
      <w:rPr>
        <w:lang w:val="fr-CH"/>
      </w:rPr>
      <w:t>LI/WG/DEV-SYS/4/3</w:t>
    </w:r>
  </w:p>
  <w:p w14:paraId="179748FB" w14:textId="56166970" w:rsidR="00014A10" w:rsidRPr="007D43E5" w:rsidRDefault="00217D25" w:rsidP="00B173D8">
    <w:pPr>
      <w:pStyle w:val="Header"/>
      <w:spacing w:after="480"/>
      <w:jc w:val="right"/>
      <w:rPr>
        <w:lang w:val="fr-CH"/>
      </w:rPr>
    </w:pPr>
    <w:proofErr w:type="spellStart"/>
    <w:r w:rsidRPr="00C15947">
      <w:rPr>
        <w:lang w:val="fr-CH"/>
      </w:rPr>
      <w:t>Annex</w:t>
    </w:r>
    <w:proofErr w:type="spellEnd"/>
    <w:r w:rsidRPr="00C15947">
      <w:rPr>
        <w:lang w:val="fr-CH"/>
      </w:rPr>
      <w:t xml:space="preserve">, </w:t>
    </w:r>
    <w:r w:rsidRPr="007D43E5">
      <w:rPr>
        <w:lang w:val="fr-CH"/>
      </w:rPr>
      <w:t xml:space="preserve">page </w:t>
    </w:r>
    <w:r>
      <w:fldChar w:fldCharType="begin"/>
    </w:r>
    <w:r w:rsidRPr="007D43E5">
      <w:rPr>
        <w:lang w:val="fr-CH"/>
      </w:rPr>
      <w:instrText xml:space="preserve"> PAGE   \* MERGEFORMAT </w:instrText>
    </w:r>
    <w:r>
      <w:fldChar w:fldCharType="separate"/>
    </w:r>
    <w:r w:rsidR="009D4E4D">
      <w:rPr>
        <w:noProof/>
        <w:lang w:val="fr-CH"/>
      </w:rPr>
      <w:t>3</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8007C" w14:textId="6340838E" w:rsidR="000F1B05" w:rsidRPr="00C15947" w:rsidRDefault="009A42FF" w:rsidP="00F962F4">
    <w:pPr>
      <w:jc w:val="right"/>
      <w:rPr>
        <w:lang w:val="fr-CH"/>
      </w:rPr>
    </w:pPr>
    <w:r w:rsidRPr="009A42FF">
      <w:rPr>
        <w:lang w:val="fr-CH"/>
      </w:rPr>
      <w:t>LI/A/39/1</w:t>
    </w:r>
  </w:p>
  <w:p w14:paraId="01F77868" w14:textId="28DDBBFC" w:rsidR="000F1B05" w:rsidRPr="00F962F4" w:rsidRDefault="00217D25" w:rsidP="00446822">
    <w:pPr>
      <w:pStyle w:val="Header"/>
      <w:spacing w:after="480"/>
      <w:jc w:val="right"/>
      <w:rPr>
        <w:lang w:val="fr-CH"/>
      </w:rPr>
    </w:pPr>
    <w:proofErr w:type="spellStart"/>
    <w:r w:rsidRPr="00C15947">
      <w:rPr>
        <w:lang w:val="fr-CH"/>
      </w:rPr>
      <w:t>Annex</w:t>
    </w:r>
    <w:proofErr w:type="spellEnd"/>
    <w:r w:rsidRPr="00C15947">
      <w:rPr>
        <w:lang w:val="fr-CH"/>
      </w:rPr>
      <w:t xml:space="preserve">, </w:t>
    </w:r>
    <w:r w:rsidRPr="007D43E5">
      <w:rPr>
        <w:lang w:val="fr-CH"/>
      </w:rPr>
      <w:t xml:space="preserve">page </w:t>
    </w:r>
    <w:r>
      <w:fldChar w:fldCharType="begin"/>
    </w:r>
    <w:r w:rsidRPr="007D43E5">
      <w:rPr>
        <w:lang w:val="fr-CH"/>
      </w:rPr>
      <w:instrText xml:space="preserve"> PAGE   \* MERGEFORMAT </w:instrText>
    </w:r>
    <w:r>
      <w:fldChar w:fldCharType="separate"/>
    </w:r>
    <w:r w:rsidR="006819FC">
      <w:rPr>
        <w:noProof/>
        <w:lang w:val="fr-CH"/>
      </w:rPr>
      <w:t>3</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3BC38" w14:textId="5DF88418" w:rsidR="00014A10" w:rsidRPr="00B173D8" w:rsidRDefault="000A7AD4" w:rsidP="00014A10">
    <w:pPr>
      <w:jc w:val="right"/>
    </w:pPr>
    <w:r>
      <w:t>LI/A/39/1</w:t>
    </w:r>
  </w:p>
  <w:p w14:paraId="5A989EC9" w14:textId="77777777" w:rsidR="00014A10" w:rsidRPr="006E3BA6" w:rsidRDefault="00217D25" w:rsidP="00B173D8">
    <w:pPr>
      <w:pStyle w:val="Header"/>
      <w:spacing w:after="480"/>
      <w:jc w:val="right"/>
    </w:pPr>
    <w:r>
      <w:t>ANNEX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DA7067"/>
    <w:multiLevelType w:val="hybridMultilevel"/>
    <w:tmpl w:val="986259AA"/>
    <w:lvl w:ilvl="0" w:tplc="87C8977A">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C94C6F"/>
    <w:multiLevelType w:val="hybridMultilevel"/>
    <w:tmpl w:val="FF002892"/>
    <w:lvl w:ilvl="0" w:tplc="AF723B4A">
      <w:start w:val="1"/>
      <w:numFmt w:val="lowerRoman"/>
      <w:lvlText w:val="(%1)"/>
      <w:lvlJc w:val="left"/>
      <w:pPr>
        <w:ind w:left="1489" w:hanging="720"/>
      </w:pPr>
      <w:rPr>
        <w:rFonts w:hint="default"/>
      </w:rPr>
    </w:lvl>
    <w:lvl w:ilvl="1" w:tplc="100C0019" w:tentative="1">
      <w:start w:val="1"/>
      <w:numFmt w:val="lowerLetter"/>
      <w:lvlText w:val="%2."/>
      <w:lvlJc w:val="left"/>
      <w:pPr>
        <w:ind w:left="1849" w:hanging="360"/>
      </w:pPr>
    </w:lvl>
    <w:lvl w:ilvl="2" w:tplc="100C001B" w:tentative="1">
      <w:start w:val="1"/>
      <w:numFmt w:val="lowerRoman"/>
      <w:lvlText w:val="%3."/>
      <w:lvlJc w:val="right"/>
      <w:pPr>
        <w:ind w:left="2569" w:hanging="180"/>
      </w:pPr>
    </w:lvl>
    <w:lvl w:ilvl="3" w:tplc="100C000F" w:tentative="1">
      <w:start w:val="1"/>
      <w:numFmt w:val="decimal"/>
      <w:lvlText w:val="%4."/>
      <w:lvlJc w:val="left"/>
      <w:pPr>
        <w:ind w:left="3289" w:hanging="360"/>
      </w:pPr>
    </w:lvl>
    <w:lvl w:ilvl="4" w:tplc="100C0019" w:tentative="1">
      <w:start w:val="1"/>
      <w:numFmt w:val="lowerLetter"/>
      <w:lvlText w:val="%5."/>
      <w:lvlJc w:val="left"/>
      <w:pPr>
        <w:ind w:left="4009" w:hanging="360"/>
      </w:pPr>
    </w:lvl>
    <w:lvl w:ilvl="5" w:tplc="100C001B" w:tentative="1">
      <w:start w:val="1"/>
      <w:numFmt w:val="lowerRoman"/>
      <w:lvlText w:val="%6."/>
      <w:lvlJc w:val="right"/>
      <w:pPr>
        <w:ind w:left="4729" w:hanging="180"/>
      </w:pPr>
    </w:lvl>
    <w:lvl w:ilvl="6" w:tplc="100C000F" w:tentative="1">
      <w:start w:val="1"/>
      <w:numFmt w:val="decimal"/>
      <w:lvlText w:val="%7."/>
      <w:lvlJc w:val="left"/>
      <w:pPr>
        <w:ind w:left="5449" w:hanging="360"/>
      </w:pPr>
    </w:lvl>
    <w:lvl w:ilvl="7" w:tplc="100C0019" w:tentative="1">
      <w:start w:val="1"/>
      <w:numFmt w:val="lowerLetter"/>
      <w:lvlText w:val="%8."/>
      <w:lvlJc w:val="left"/>
      <w:pPr>
        <w:ind w:left="6169" w:hanging="360"/>
      </w:pPr>
    </w:lvl>
    <w:lvl w:ilvl="8" w:tplc="100C001B" w:tentative="1">
      <w:start w:val="1"/>
      <w:numFmt w:val="lowerRoman"/>
      <w:lvlText w:val="%9."/>
      <w:lvlJc w:val="right"/>
      <w:pPr>
        <w:ind w:left="6889"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F44399"/>
    <w:multiLevelType w:val="hybridMultilevel"/>
    <w:tmpl w:val="FCD05D9C"/>
    <w:lvl w:ilvl="0" w:tplc="B5261A58">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91A06D7"/>
    <w:multiLevelType w:val="hybridMultilevel"/>
    <w:tmpl w:val="1BD88F1A"/>
    <w:lvl w:ilvl="0" w:tplc="68C012F2">
      <w:start w:val="1"/>
      <w:numFmt w:val="bullet"/>
      <w:lvlText w:val="­"/>
      <w:lvlJc w:val="left"/>
      <w:pPr>
        <w:ind w:left="720" w:hanging="360"/>
      </w:pPr>
      <w:rPr>
        <w:rFonts w:ascii="Arial" w:hAnsi="Arial" w:hint="default"/>
        <w:caps w:val="0"/>
        <w:strike w:val="0"/>
        <w:dstrike w:val="0"/>
        <w:outline w:val="0"/>
        <w:shadow w:val="0"/>
        <w:emboss w:val="0"/>
        <w:imprint w:val="0"/>
        <w:vanish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7550A"/>
    <w:multiLevelType w:val="hybridMultilevel"/>
    <w:tmpl w:val="35E4F1E4"/>
    <w:lvl w:ilvl="0" w:tplc="8CC0200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367B5A41"/>
    <w:multiLevelType w:val="hybridMultilevel"/>
    <w:tmpl w:val="5E985624"/>
    <w:lvl w:ilvl="0" w:tplc="87707D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D978C1"/>
    <w:multiLevelType w:val="hybridMultilevel"/>
    <w:tmpl w:val="878813FE"/>
    <w:lvl w:ilvl="0" w:tplc="F1FE3D0C">
      <w:start w:val="1"/>
      <w:numFmt w:val="lowerRoman"/>
      <w:lvlText w:val="(%1)"/>
      <w:lvlJc w:val="left"/>
      <w:pPr>
        <w:ind w:left="-1305" w:hanging="720"/>
      </w:pPr>
      <w:rPr>
        <w:rFonts w:hint="default"/>
      </w:rPr>
    </w:lvl>
    <w:lvl w:ilvl="1" w:tplc="100C0019" w:tentative="1">
      <w:start w:val="1"/>
      <w:numFmt w:val="lowerLetter"/>
      <w:lvlText w:val="%2."/>
      <w:lvlJc w:val="left"/>
      <w:pPr>
        <w:ind w:left="-945" w:hanging="360"/>
      </w:pPr>
    </w:lvl>
    <w:lvl w:ilvl="2" w:tplc="100C001B" w:tentative="1">
      <w:start w:val="1"/>
      <w:numFmt w:val="lowerRoman"/>
      <w:lvlText w:val="%3."/>
      <w:lvlJc w:val="right"/>
      <w:pPr>
        <w:ind w:left="-225" w:hanging="180"/>
      </w:pPr>
    </w:lvl>
    <w:lvl w:ilvl="3" w:tplc="100C000F" w:tentative="1">
      <w:start w:val="1"/>
      <w:numFmt w:val="decimal"/>
      <w:lvlText w:val="%4."/>
      <w:lvlJc w:val="left"/>
      <w:pPr>
        <w:ind w:left="495" w:hanging="360"/>
      </w:pPr>
    </w:lvl>
    <w:lvl w:ilvl="4" w:tplc="100C0019" w:tentative="1">
      <w:start w:val="1"/>
      <w:numFmt w:val="lowerLetter"/>
      <w:lvlText w:val="%5."/>
      <w:lvlJc w:val="left"/>
      <w:pPr>
        <w:ind w:left="1215" w:hanging="360"/>
      </w:pPr>
    </w:lvl>
    <w:lvl w:ilvl="5" w:tplc="100C001B" w:tentative="1">
      <w:start w:val="1"/>
      <w:numFmt w:val="lowerRoman"/>
      <w:lvlText w:val="%6."/>
      <w:lvlJc w:val="right"/>
      <w:pPr>
        <w:ind w:left="1935" w:hanging="180"/>
      </w:pPr>
    </w:lvl>
    <w:lvl w:ilvl="6" w:tplc="100C000F" w:tentative="1">
      <w:start w:val="1"/>
      <w:numFmt w:val="decimal"/>
      <w:lvlText w:val="%7."/>
      <w:lvlJc w:val="left"/>
      <w:pPr>
        <w:ind w:left="2655" w:hanging="360"/>
      </w:pPr>
    </w:lvl>
    <w:lvl w:ilvl="7" w:tplc="100C0019" w:tentative="1">
      <w:start w:val="1"/>
      <w:numFmt w:val="lowerLetter"/>
      <w:lvlText w:val="%8."/>
      <w:lvlJc w:val="left"/>
      <w:pPr>
        <w:ind w:left="3375" w:hanging="360"/>
      </w:pPr>
    </w:lvl>
    <w:lvl w:ilvl="8" w:tplc="100C001B" w:tentative="1">
      <w:start w:val="1"/>
      <w:numFmt w:val="lowerRoman"/>
      <w:lvlText w:val="%9."/>
      <w:lvlJc w:val="right"/>
      <w:pPr>
        <w:ind w:left="4095" w:hanging="180"/>
      </w:pPr>
    </w:lvl>
  </w:abstractNum>
  <w:abstractNum w:abstractNumId="13" w15:restartNumberingAfterBreak="0">
    <w:nsid w:val="53065E24"/>
    <w:multiLevelType w:val="hybridMultilevel"/>
    <w:tmpl w:val="B54A4A7E"/>
    <w:lvl w:ilvl="0" w:tplc="B5261A58">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11"/>
  </w:num>
  <w:num w:numId="5">
    <w:abstractNumId w:val="2"/>
  </w:num>
  <w:num w:numId="6">
    <w:abstractNumId w:val="5"/>
  </w:num>
  <w:num w:numId="7">
    <w:abstractNumId w:val="3"/>
  </w:num>
  <w:num w:numId="8">
    <w:abstractNumId w:val="12"/>
  </w:num>
  <w:num w:numId="9">
    <w:abstractNumId w:val="8"/>
  </w:num>
  <w:num w:numId="10">
    <w:abstractNumId w:val="7"/>
  </w:num>
  <w:num w:numId="11">
    <w:abstractNumId w:val="6"/>
  </w:num>
  <w:num w:numId="12">
    <w:abstractNumId w:val="13"/>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28"/>
    <w:rsid w:val="000000EF"/>
    <w:rsid w:val="00010562"/>
    <w:rsid w:val="00012A0B"/>
    <w:rsid w:val="0001484C"/>
    <w:rsid w:val="00021A7B"/>
    <w:rsid w:val="00023095"/>
    <w:rsid w:val="0002624E"/>
    <w:rsid w:val="0002680E"/>
    <w:rsid w:val="000300CC"/>
    <w:rsid w:val="0003253F"/>
    <w:rsid w:val="000341F7"/>
    <w:rsid w:val="00036CEE"/>
    <w:rsid w:val="0004243E"/>
    <w:rsid w:val="00043CAA"/>
    <w:rsid w:val="00044CB9"/>
    <w:rsid w:val="00046169"/>
    <w:rsid w:val="00055B07"/>
    <w:rsid w:val="0006005B"/>
    <w:rsid w:val="00063493"/>
    <w:rsid w:val="0006361B"/>
    <w:rsid w:val="000677EA"/>
    <w:rsid w:val="00075432"/>
    <w:rsid w:val="000765C4"/>
    <w:rsid w:val="00080DFC"/>
    <w:rsid w:val="00085140"/>
    <w:rsid w:val="00086241"/>
    <w:rsid w:val="000921F3"/>
    <w:rsid w:val="00093D3A"/>
    <w:rsid w:val="000968ED"/>
    <w:rsid w:val="000A00F8"/>
    <w:rsid w:val="000A1904"/>
    <w:rsid w:val="000A23E6"/>
    <w:rsid w:val="000A7AD4"/>
    <w:rsid w:val="000C117A"/>
    <w:rsid w:val="000D60DE"/>
    <w:rsid w:val="000E181D"/>
    <w:rsid w:val="000E6FDE"/>
    <w:rsid w:val="000F0B28"/>
    <w:rsid w:val="000F251F"/>
    <w:rsid w:val="000F5E56"/>
    <w:rsid w:val="001003A8"/>
    <w:rsid w:val="0010331B"/>
    <w:rsid w:val="00110440"/>
    <w:rsid w:val="00117617"/>
    <w:rsid w:val="001238AC"/>
    <w:rsid w:val="0013252B"/>
    <w:rsid w:val="00134150"/>
    <w:rsid w:val="00134C35"/>
    <w:rsid w:val="001362EE"/>
    <w:rsid w:val="00156693"/>
    <w:rsid w:val="00156C9A"/>
    <w:rsid w:val="001647D5"/>
    <w:rsid w:val="00164CB0"/>
    <w:rsid w:val="00172B30"/>
    <w:rsid w:val="0018111C"/>
    <w:rsid w:val="00182325"/>
    <w:rsid w:val="001832A6"/>
    <w:rsid w:val="0018411D"/>
    <w:rsid w:val="001855B7"/>
    <w:rsid w:val="0018585B"/>
    <w:rsid w:val="00196AA5"/>
    <w:rsid w:val="001A2D09"/>
    <w:rsid w:val="001B4018"/>
    <w:rsid w:val="001C04F1"/>
    <w:rsid w:val="001D211F"/>
    <w:rsid w:val="001E1940"/>
    <w:rsid w:val="001E306B"/>
    <w:rsid w:val="001E4E00"/>
    <w:rsid w:val="001E698B"/>
    <w:rsid w:val="001E7C0A"/>
    <w:rsid w:val="001F1524"/>
    <w:rsid w:val="001F3FB8"/>
    <w:rsid w:val="001F42C9"/>
    <w:rsid w:val="001F4553"/>
    <w:rsid w:val="002000FB"/>
    <w:rsid w:val="002027D8"/>
    <w:rsid w:val="00204E73"/>
    <w:rsid w:val="00207AD7"/>
    <w:rsid w:val="0021217E"/>
    <w:rsid w:val="002173F6"/>
    <w:rsid w:val="00217D25"/>
    <w:rsid w:val="00224A25"/>
    <w:rsid w:val="00227151"/>
    <w:rsid w:val="00250D60"/>
    <w:rsid w:val="00253771"/>
    <w:rsid w:val="002561FD"/>
    <w:rsid w:val="00256704"/>
    <w:rsid w:val="0026259E"/>
    <w:rsid w:val="002634C4"/>
    <w:rsid w:val="00266EA8"/>
    <w:rsid w:val="00267F9C"/>
    <w:rsid w:val="00275857"/>
    <w:rsid w:val="0027664A"/>
    <w:rsid w:val="002918D0"/>
    <w:rsid w:val="002928D3"/>
    <w:rsid w:val="00296EEF"/>
    <w:rsid w:val="00297919"/>
    <w:rsid w:val="002A38A7"/>
    <w:rsid w:val="002A3E80"/>
    <w:rsid w:val="002C5895"/>
    <w:rsid w:val="002C6FE5"/>
    <w:rsid w:val="002D50F6"/>
    <w:rsid w:val="002E451E"/>
    <w:rsid w:val="002F1FE6"/>
    <w:rsid w:val="002F4E68"/>
    <w:rsid w:val="002F6A4B"/>
    <w:rsid w:val="00305455"/>
    <w:rsid w:val="00306A0F"/>
    <w:rsid w:val="00307410"/>
    <w:rsid w:val="00312F7F"/>
    <w:rsid w:val="003140AE"/>
    <w:rsid w:val="003178BA"/>
    <w:rsid w:val="00320FEB"/>
    <w:rsid w:val="00321326"/>
    <w:rsid w:val="00323E31"/>
    <w:rsid w:val="00325DA0"/>
    <w:rsid w:val="003348DA"/>
    <w:rsid w:val="00342182"/>
    <w:rsid w:val="00350AE2"/>
    <w:rsid w:val="0035132B"/>
    <w:rsid w:val="0035324C"/>
    <w:rsid w:val="003539E7"/>
    <w:rsid w:val="00357DFA"/>
    <w:rsid w:val="0036027D"/>
    <w:rsid w:val="00361450"/>
    <w:rsid w:val="003673CF"/>
    <w:rsid w:val="00370A30"/>
    <w:rsid w:val="00373F08"/>
    <w:rsid w:val="003768F8"/>
    <w:rsid w:val="00377A77"/>
    <w:rsid w:val="003832DB"/>
    <w:rsid w:val="00383D32"/>
    <w:rsid w:val="003845C1"/>
    <w:rsid w:val="003855E4"/>
    <w:rsid w:val="0038600E"/>
    <w:rsid w:val="00391C44"/>
    <w:rsid w:val="00395A77"/>
    <w:rsid w:val="003A3BB2"/>
    <w:rsid w:val="003A558E"/>
    <w:rsid w:val="003A63A5"/>
    <w:rsid w:val="003A6F89"/>
    <w:rsid w:val="003B1B05"/>
    <w:rsid w:val="003B38C1"/>
    <w:rsid w:val="003B55A5"/>
    <w:rsid w:val="003D2030"/>
    <w:rsid w:val="003D3991"/>
    <w:rsid w:val="003D57B0"/>
    <w:rsid w:val="003E6B20"/>
    <w:rsid w:val="003E6CF6"/>
    <w:rsid w:val="003F012B"/>
    <w:rsid w:val="003F2B2D"/>
    <w:rsid w:val="003F3520"/>
    <w:rsid w:val="003F64FC"/>
    <w:rsid w:val="00405A4E"/>
    <w:rsid w:val="00411F33"/>
    <w:rsid w:val="00423244"/>
    <w:rsid w:val="00423E3E"/>
    <w:rsid w:val="00427AF4"/>
    <w:rsid w:val="00431211"/>
    <w:rsid w:val="00456BE8"/>
    <w:rsid w:val="00456D2F"/>
    <w:rsid w:val="00460683"/>
    <w:rsid w:val="00463488"/>
    <w:rsid w:val="004647DA"/>
    <w:rsid w:val="00465DF1"/>
    <w:rsid w:val="004718D0"/>
    <w:rsid w:val="00473596"/>
    <w:rsid w:val="00474062"/>
    <w:rsid w:val="00477D6B"/>
    <w:rsid w:val="00491A0C"/>
    <w:rsid w:val="00494928"/>
    <w:rsid w:val="004A5CD3"/>
    <w:rsid w:val="004A71C3"/>
    <w:rsid w:val="004B2599"/>
    <w:rsid w:val="004B2CC9"/>
    <w:rsid w:val="004B391E"/>
    <w:rsid w:val="004C2469"/>
    <w:rsid w:val="004C480A"/>
    <w:rsid w:val="004C54E2"/>
    <w:rsid w:val="004E093D"/>
    <w:rsid w:val="004E3582"/>
    <w:rsid w:val="004E6F0A"/>
    <w:rsid w:val="005019FF"/>
    <w:rsid w:val="00524415"/>
    <w:rsid w:val="0053057A"/>
    <w:rsid w:val="00531C21"/>
    <w:rsid w:val="00534F04"/>
    <w:rsid w:val="00536F7F"/>
    <w:rsid w:val="0054437C"/>
    <w:rsid w:val="005459CC"/>
    <w:rsid w:val="00550034"/>
    <w:rsid w:val="00557BDA"/>
    <w:rsid w:val="00557E91"/>
    <w:rsid w:val="005607A4"/>
    <w:rsid w:val="00560A29"/>
    <w:rsid w:val="00562553"/>
    <w:rsid w:val="0056739A"/>
    <w:rsid w:val="005739A5"/>
    <w:rsid w:val="0057516A"/>
    <w:rsid w:val="0058309E"/>
    <w:rsid w:val="00585D0A"/>
    <w:rsid w:val="005A15E6"/>
    <w:rsid w:val="005A4B73"/>
    <w:rsid w:val="005A4D59"/>
    <w:rsid w:val="005C0E8F"/>
    <w:rsid w:val="005C582A"/>
    <w:rsid w:val="005C6649"/>
    <w:rsid w:val="005C7569"/>
    <w:rsid w:val="005D1F68"/>
    <w:rsid w:val="005E114B"/>
    <w:rsid w:val="005E4FEE"/>
    <w:rsid w:val="005F3682"/>
    <w:rsid w:val="005F38D7"/>
    <w:rsid w:val="005F38F0"/>
    <w:rsid w:val="006001B1"/>
    <w:rsid w:val="00600C98"/>
    <w:rsid w:val="00601E0B"/>
    <w:rsid w:val="00605827"/>
    <w:rsid w:val="006175E5"/>
    <w:rsid w:val="00626BE0"/>
    <w:rsid w:val="00630D32"/>
    <w:rsid w:val="006315CA"/>
    <w:rsid w:val="00633FFB"/>
    <w:rsid w:val="00636681"/>
    <w:rsid w:val="00640535"/>
    <w:rsid w:val="00642326"/>
    <w:rsid w:val="006452A5"/>
    <w:rsid w:val="00646050"/>
    <w:rsid w:val="00650AE3"/>
    <w:rsid w:val="00650D14"/>
    <w:rsid w:val="00660764"/>
    <w:rsid w:val="00664B95"/>
    <w:rsid w:val="006713CA"/>
    <w:rsid w:val="0067586F"/>
    <w:rsid w:val="00676C5C"/>
    <w:rsid w:val="006819FC"/>
    <w:rsid w:val="0069116E"/>
    <w:rsid w:val="006A0BF0"/>
    <w:rsid w:val="006A368E"/>
    <w:rsid w:val="006A4317"/>
    <w:rsid w:val="006A5CAE"/>
    <w:rsid w:val="006B2226"/>
    <w:rsid w:val="006C0931"/>
    <w:rsid w:val="006C2EFB"/>
    <w:rsid w:val="006C45BD"/>
    <w:rsid w:val="006D53B6"/>
    <w:rsid w:val="006E2F00"/>
    <w:rsid w:val="006E4F5F"/>
    <w:rsid w:val="006F668F"/>
    <w:rsid w:val="0070387A"/>
    <w:rsid w:val="00706D6F"/>
    <w:rsid w:val="00706E7D"/>
    <w:rsid w:val="00717238"/>
    <w:rsid w:val="00724836"/>
    <w:rsid w:val="00724CBF"/>
    <w:rsid w:val="0073282F"/>
    <w:rsid w:val="00737753"/>
    <w:rsid w:val="0074083E"/>
    <w:rsid w:val="00743A35"/>
    <w:rsid w:val="007442FA"/>
    <w:rsid w:val="007444FC"/>
    <w:rsid w:val="00747D93"/>
    <w:rsid w:val="00750362"/>
    <w:rsid w:val="00751D3E"/>
    <w:rsid w:val="00753807"/>
    <w:rsid w:val="007547F5"/>
    <w:rsid w:val="00762F09"/>
    <w:rsid w:val="00777FCC"/>
    <w:rsid w:val="00781DB8"/>
    <w:rsid w:val="00785CEC"/>
    <w:rsid w:val="007A6D35"/>
    <w:rsid w:val="007B2991"/>
    <w:rsid w:val="007B326F"/>
    <w:rsid w:val="007C20C6"/>
    <w:rsid w:val="007D1613"/>
    <w:rsid w:val="007D1BA3"/>
    <w:rsid w:val="007E117B"/>
    <w:rsid w:val="007E19D8"/>
    <w:rsid w:val="007E219E"/>
    <w:rsid w:val="007E4C0E"/>
    <w:rsid w:val="007F65E8"/>
    <w:rsid w:val="008014B6"/>
    <w:rsid w:val="008016E1"/>
    <w:rsid w:val="008032AB"/>
    <w:rsid w:val="008166B3"/>
    <w:rsid w:val="00817B95"/>
    <w:rsid w:val="008249CB"/>
    <w:rsid w:val="0082594E"/>
    <w:rsid w:val="008310EF"/>
    <w:rsid w:val="00835B19"/>
    <w:rsid w:val="00836736"/>
    <w:rsid w:val="0084263C"/>
    <w:rsid w:val="0084299E"/>
    <w:rsid w:val="00845AF4"/>
    <w:rsid w:val="00847124"/>
    <w:rsid w:val="0085042C"/>
    <w:rsid w:val="00860537"/>
    <w:rsid w:val="00862A38"/>
    <w:rsid w:val="0086648C"/>
    <w:rsid w:val="00874EBD"/>
    <w:rsid w:val="00877540"/>
    <w:rsid w:val="00877718"/>
    <w:rsid w:val="008865FA"/>
    <w:rsid w:val="008A134B"/>
    <w:rsid w:val="008A1850"/>
    <w:rsid w:val="008B2CC1"/>
    <w:rsid w:val="008B60B2"/>
    <w:rsid w:val="008B777D"/>
    <w:rsid w:val="008C09A9"/>
    <w:rsid w:val="008C4BE8"/>
    <w:rsid w:val="008D2506"/>
    <w:rsid w:val="008D2F97"/>
    <w:rsid w:val="008D3398"/>
    <w:rsid w:val="008E4171"/>
    <w:rsid w:val="008E4224"/>
    <w:rsid w:val="008E470A"/>
    <w:rsid w:val="008F17B1"/>
    <w:rsid w:val="008F57A4"/>
    <w:rsid w:val="00901935"/>
    <w:rsid w:val="0090731E"/>
    <w:rsid w:val="00910ECE"/>
    <w:rsid w:val="00912C1D"/>
    <w:rsid w:val="00916EE2"/>
    <w:rsid w:val="009362E7"/>
    <w:rsid w:val="00937A97"/>
    <w:rsid w:val="00937C9A"/>
    <w:rsid w:val="009429D7"/>
    <w:rsid w:val="0094464F"/>
    <w:rsid w:val="00945017"/>
    <w:rsid w:val="00945A95"/>
    <w:rsid w:val="00966A22"/>
    <w:rsid w:val="00966AE1"/>
    <w:rsid w:val="00966DC4"/>
    <w:rsid w:val="0096722F"/>
    <w:rsid w:val="00967B9B"/>
    <w:rsid w:val="00972902"/>
    <w:rsid w:val="00972C4C"/>
    <w:rsid w:val="00980843"/>
    <w:rsid w:val="009811B3"/>
    <w:rsid w:val="009903F3"/>
    <w:rsid w:val="00997EFD"/>
    <w:rsid w:val="009A22FF"/>
    <w:rsid w:val="009A3785"/>
    <w:rsid w:val="009A42FF"/>
    <w:rsid w:val="009B3C8A"/>
    <w:rsid w:val="009B6777"/>
    <w:rsid w:val="009B7CC4"/>
    <w:rsid w:val="009C127D"/>
    <w:rsid w:val="009C425C"/>
    <w:rsid w:val="009D2DF8"/>
    <w:rsid w:val="009D31C0"/>
    <w:rsid w:val="009D4E4D"/>
    <w:rsid w:val="009D53FB"/>
    <w:rsid w:val="009E2791"/>
    <w:rsid w:val="009E3F6F"/>
    <w:rsid w:val="009E4ED9"/>
    <w:rsid w:val="009E56CE"/>
    <w:rsid w:val="009F3E8D"/>
    <w:rsid w:val="009F499F"/>
    <w:rsid w:val="009F77CC"/>
    <w:rsid w:val="009F7DB0"/>
    <w:rsid w:val="00A00551"/>
    <w:rsid w:val="00A06708"/>
    <w:rsid w:val="00A15403"/>
    <w:rsid w:val="00A24180"/>
    <w:rsid w:val="00A3210C"/>
    <w:rsid w:val="00A37342"/>
    <w:rsid w:val="00A42DAF"/>
    <w:rsid w:val="00A43705"/>
    <w:rsid w:val="00A44005"/>
    <w:rsid w:val="00A4441F"/>
    <w:rsid w:val="00A45BD8"/>
    <w:rsid w:val="00A57E01"/>
    <w:rsid w:val="00A60917"/>
    <w:rsid w:val="00A623C5"/>
    <w:rsid w:val="00A65A52"/>
    <w:rsid w:val="00A67CC7"/>
    <w:rsid w:val="00A8019D"/>
    <w:rsid w:val="00A81FF6"/>
    <w:rsid w:val="00A83300"/>
    <w:rsid w:val="00A83CFE"/>
    <w:rsid w:val="00A869B7"/>
    <w:rsid w:val="00A92633"/>
    <w:rsid w:val="00AA2DD4"/>
    <w:rsid w:val="00AA7179"/>
    <w:rsid w:val="00AC19AF"/>
    <w:rsid w:val="00AC205C"/>
    <w:rsid w:val="00AC6815"/>
    <w:rsid w:val="00AD5C50"/>
    <w:rsid w:val="00AF0A6B"/>
    <w:rsid w:val="00AF6A83"/>
    <w:rsid w:val="00B05A69"/>
    <w:rsid w:val="00B05ACB"/>
    <w:rsid w:val="00B068F2"/>
    <w:rsid w:val="00B115F7"/>
    <w:rsid w:val="00B125E3"/>
    <w:rsid w:val="00B14A6D"/>
    <w:rsid w:val="00B157D4"/>
    <w:rsid w:val="00B16337"/>
    <w:rsid w:val="00B220F6"/>
    <w:rsid w:val="00B22B12"/>
    <w:rsid w:val="00B2371E"/>
    <w:rsid w:val="00B26D46"/>
    <w:rsid w:val="00B328CC"/>
    <w:rsid w:val="00B42C2A"/>
    <w:rsid w:val="00B4366C"/>
    <w:rsid w:val="00B46826"/>
    <w:rsid w:val="00B468C8"/>
    <w:rsid w:val="00B525D6"/>
    <w:rsid w:val="00B56A00"/>
    <w:rsid w:val="00B62277"/>
    <w:rsid w:val="00B64FB9"/>
    <w:rsid w:val="00B67858"/>
    <w:rsid w:val="00B80C00"/>
    <w:rsid w:val="00B92CB3"/>
    <w:rsid w:val="00B95020"/>
    <w:rsid w:val="00B9734B"/>
    <w:rsid w:val="00BA0078"/>
    <w:rsid w:val="00BA30E2"/>
    <w:rsid w:val="00BA3CF8"/>
    <w:rsid w:val="00BA5814"/>
    <w:rsid w:val="00BA63A0"/>
    <w:rsid w:val="00BB60F8"/>
    <w:rsid w:val="00BC1E1C"/>
    <w:rsid w:val="00BC7B19"/>
    <w:rsid w:val="00BD1517"/>
    <w:rsid w:val="00BD4A6F"/>
    <w:rsid w:val="00BD67CE"/>
    <w:rsid w:val="00BE2B08"/>
    <w:rsid w:val="00BF672C"/>
    <w:rsid w:val="00C02596"/>
    <w:rsid w:val="00C029A7"/>
    <w:rsid w:val="00C030FC"/>
    <w:rsid w:val="00C03E6B"/>
    <w:rsid w:val="00C044B7"/>
    <w:rsid w:val="00C115C4"/>
    <w:rsid w:val="00C11BFE"/>
    <w:rsid w:val="00C16A6E"/>
    <w:rsid w:val="00C214BD"/>
    <w:rsid w:val="00C265DF"/>
    <w:rsid w:val="00C32AB5"/>
    <w:rsid w:val="00C352FB"/>
    <w:rsid w:val="00C3539D"/>
    <w:rsid w:val="00C3789D"/>
    <w:rsid w:val="00C43288"/>
    <w:rsid w:val="00C5068F"/>
    <w:rsid w:val="00C52178"/>
    <w:rsid w:val="00C60617"/>
    <w:rsid w:val="00C71AE3"/>
    <w:rsid w:val="00C739D1"/>
    <w:rsid w:val="00C74519"/>
    <w:rsid w:val="00C8106F"/>
    <w:rsid w:val="00C86D74"/>
    <w:rsid w:val="00C919E8"/>
    <w:rsid w:val="00C933E3"/>
    <w:rsid w:val="00C95C76"/>
    <w:rsid w:val="00CA06DF"/>
    <w:rsid w:val="00CA1B61"/>
    <w:rsid w:val="00CA1C4B"/>
    <w:rsid w:val="00CA39F1"/>
    <w:rsid w:val="00CA3F7F"/>
    <w:rsid w:val="00CA6BC1"/>
    <w:rsid w:val="00CB12B3"/>
    <w:rsid w:val="00CB678B"/>
    <w:rsid w:val="00CB67D5"/>
    <w:rsid w:val="00CB69CA"/>
    <w:rsid w:val="00CB7CBD"/>
    <w:rsid w:val="00CC01C5"/>
    <w:rsid w:val="00CC4206"/>
    <w:rsid w:val="00CC4731"/>
    <w:rsid w:val="00CC75D7"/>
    <w:rsid w:val="00CD04F1"/>
    <w:rsid w:val="00CD13B9"/>
    <w:rsid w:val="00CD2224"/>
    <w:rsid w:val="00CD2964"/>
    <w:rsid w:val="00CD3BE5"/>
    <w:rsid w:val="00CD52A9"/>
    <w:rsid w:val="00CD7F59"/>
    <w:rsid w:val="00CF7FB4"/>
    <w:rsid w:val="00D02F62"/>
    <w:rsid w:val="00D03444"/>
    <w:rsid w:val="00D03CBC"/>
    <w:rsid w:val="00D068DC"/>
    <w:rsid w:val="00D17468"/>
    <w:rsid w:val="00D33133"/>
    <w:rsid w:val="00D3671C"/>
    <w:rsid w:val="00D41803"/>
    <w:rsid w:val="00D44A0B"/>
    <w:rsid w:val="00D45252"/>
    <w:rsid w:val="00D5033F"/>
    <w:rsid w:val="00D621C8"/>
    <w:rsid w:val="00D66E37"/>
    <w:rsid w:val="00D71B4D"/>
    <w:rsid w:val="00D72B16"/>
    <w:rsid w:val="00D74717"/>
    <w:rsid w:val="00D765F1"/>
    <w:rsid w:val="00D770A7"/>
    <w:rsid w:val="00D93D55"/>
    <w:rsid w:val="00D95939"/>
    <w:rsid w:val="00D95FD8"/>
    <w:rsid w:val="00D96C3B"/>
    <w:rsid w:val="00DA00EC"/>
    <w:rsid w:val="00DA0642"/>
    <w:rsid w:val="00DA5152"/>
    <w:rsid w:val="00DB0EE2"/>
    <w:rsid w:val="00DB596E"/>
    <w:rsid w:val="00DC0E7C"/>
    <w:rsid w:val="00DC308C"/>
    <w:rsid w:val="00DC435C"/>
    <w:rsid w:val="00DC6126"/>
    <w:rsid w:val="00DC61A6"/>
    <w:rsid w:val="00DC6676"/>
    <w:rsid w:val="00DD1EA4"/>
    <w:rsid w:val="00DE1B47"/>
    <w:rsid w:val="00DE681C"/>
    <w:rsid w:val="00DF023A"/>
    <w:rsid w:val="00DF3417"/>
    <w:rsid w:val="00DF383E"/>
    <w:rsid w:val="00E00364"/>
    <w:rsid w:val="00E00A72"/>
    <w:rsid w:val="00E0199B"/>
    <w:rsid w:val="00E03315"/>
    <w:rsid w:val="00E04A63"/>
    <w:rsid w:val="00E128A8"/>
    <w:rsid w:val="00E142FE"/>
    <w:rsid w:val="00E15015"/>
    <w:rsid w:val="00E335FE"/>
    <w:rsid w:val="00E40E26"/>
    <w:rsid w:val="00E456BC"/>
    <w:rsid w:val="00E47D9B"/>
    <w:rsid w:val="00E47DD3"/>
    <w:rsid w:val="00E52A12"/>
    <w:rsid w:val="00E5566B"/>
    <w:rsid w:val="00E60AE4"/>
    <w:rsid w:val="00E64A23"/>
    <w:rsid w:val="00E64B82"/>
    <w:rsid w:val="00E657BE"/>
    <w:rsid w:val="00E71A0D"/>
    <w:rsid w:val="00E773B2"/>
    <w:rsid w:val="00E851CA"/>
    <w:rsid w:val="00E85557"/>
    <w:rsid w:val="00E87979"/>
    <w:rsid w:val="00E96DAD"/>
    <w:rsid w:val="00E97549"/>
    <w:rsid w:val="00EA2D46"/>
    <w:rsid w:val="00EA3B78"/>
    <w:rsid w:val="00EA46D9"/>
    <w:rsid w:val="00EA6587"/>
    <w:rsid w:val="00EA6A48"/>
    <w:rsid w:val="00EA6AFB"/>
    <w:rsid w:val="00EA7C5F"/>
    <w:rsid w:val="00EA7D6E"/>
    <w:rsid w:val="00EB2210"/>
    <w:rsid w:val="00EB4686"/>
    <w:rsid w:val="00EC4E49"/>
    <w:rsid w:val="00ED77FB"/>
    <w:rsid w:val="00EE02CB"/>
    <w:rsid w:val="00EE30A7"/>
    <w:rsid w:val="00EE45FA"/>
    <w:rsid w:val="00EE5095"/>
    <w:rsid w:val="00EF0289"/>
    <w:rsid w:val="00F00337"/>
    <w:rsid w:val="00F011B5"/>
    <w:rsid w:val="00F134E5"/>
    <w:rsid w:val="00F263EE"/>
    <w:rsid w:val="00F277F7"/>
    <w:rsid w:val="00F33C1C"/>
    <w:rsid w:val="00F45F1A"/>
    <w:rsid w:val="00F464E8"/>
    <w:rsid w:val="00F47B6F"/>
    <w:rsid w:val="00F57262"/>
    <w:rsid w:val="00F64FA1"/>
    <w:rsid w:val="00F66152"/>
    <w:rsid w:val="00F66F8A"/>
    <w:rsid w:val="00F71986"/>
    <w:rsid w:val="00F73125"/>
    <w:rsid w:val="00F73A67"/>
    <w:rsid w:val="00F7427E"/>
    <w:rsid w:val="00F76AF5"/>
    <w:rsid w:val="00F77EF5"/>
    <w:rsid w:val="00F82119"/>
    <w:rsid w:val="00F83D3B"/>
    <w:rsid w:val="00F93C81"/>
    <w:rsid w:val="00F952D1"/>
    <w:rsid w:val="00F955FF"/>
    <w:rsid w:val="00F96A04"/>
    <w:rsid w:val="00F9741B"/>
    <w:rsid w:val="00F97BA4"/>
    <w:rsid w:val="00F97FE4"/>
    <w:rsid w:val="00FA5693"/>
    <w:rsid w:val="00FB4474"/>
    <w:rsid w:val="00FD15C2"/>
    <w:rsid w:val="00FD53CC"/>
    <w:rsid w:val="00FF33B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6CE73CF"/>
  <w15:docId w15:val="{68E9373C-48AB-4FBC-91E8-282DD146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basedOn w:val="DefaultParagraphFont"/>
    <w:link w:val="ONUME"/>
    <w:locked/>
    <w:rsid w:val="000F0B28"/>
    <w:rPr>
      <w:rFonts w:ascii="Arial" w:eastAsia="SimSun" w:hAnsi="Arial" w:cs="Arial"/>
      <w:sz w:val="22"/>
      <w:lang w:val="en-US" w:eastAsia="zh-CN"/>
    </w:rPr>
  </w:style>
  <w:style w:type="character" w:customStyle="1" w:styleId="FootnoteTextChar">
    <w:name w:val="Footnote Text Char"/>
    <w:basedOn w:val="DefaultParagraphFont"/>
    <w:link w:val="FootnoteText"/>
    <w:rsid w:val="00182325"/>
    <w:rPr>
      <w:rFonts w:ascii="Arial" w:eastAsia="SimSun" w:hAnsi="Arial" w:cs="Arial"/>
      <w:sz w:val="18"/>
      <w:lang w:val="en-US" w:eastAsia="zh-CN"/>
    </w:rPr>
  </w:style>
  <w:style w:type="character" w:customStyle="1" w:styleId="HeaderChar">
    <w:name w:val="Header Char"/>
    <w:basedOn w:val="DefaultParagraphFont"/>
    <w:link w:val="Header"/>
    <w:uiPriority w:val="99"/>
    <w:rsid w:val="00182325"/>
    <w:rPr>
      <w:rFonts w:ascii="Arial" w:eastAsia="SimSun" w:hAnsi="Arial" w:cs="Arial"/>
      <w:sz w:val="22"/>
      <w:lang w:val="en-US" w:eastAsia="zh-CN"/>
    </w:rPr>
  </w:style>
  <w:style w:type="character" w:styleId="FootnoteReference">
    <w:name w:val="footnote reference"/>
    <w:uiPriority w:val="99"/>
    <w:rsid w:val="00182325"/>
    <w:rPr>
      <w:vertAlign w:val="superscript"/>
    </w:rPr>
  </w:style>
  <w:style w:type="paragraph" w:styleId="ListParagraph">
    <w:name w:val="List Paragraph"/>
    <w:basedOn w:val="Normal"/>
    <w:uiPriority w:val="34"/>
    <w:qFormat/>
    <w:rsid w:val="00A65A52"/>
    <w:pPr>
      <w:ind w:left="720"/>
      <w:contextualSpacing/>
    </w:pPr>
  </w:style>
  <w:style w:type="paragraph" w:customStyle="1" w:styleId="Default">
    <w:name w:val="Default"/>
    <w:rsid w:val="00A65A52"/>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semiHidden/>
    <w:unhideWhenUsed/>
    <w:rsid w:val="00F82119"/>
    <w:rPr>
      <w:sz w:val="16"/>
      <w:szCs w:val="16"/>
    </w:rPr>
  </w:style>
  <w:style w:type="paragraph" w:styleId="CommentSubject">
    <w:name w:val="annotation subject"/>
    <w:basedOn w:val="CommentText"/>
    <w:next w:val="CommentText"/>
    <w:link w:val="CommentSubjectChar"/>
    <w:semiHidden/>
    <w:unhideWhenUsed/>
    <w:rsid w:val="00F82119"/>
    <w:rPr>
      <w:b/>
      <w:bCs/>
      <w:sz w:val="20"/>
    </w:rPr>
  </w:style>
  <w:style w:type="character" w:customStyle="1" w:styleId="CommentTextChar">
    <w:name w:val="Comment Text Char"/>
    <w:basedOn w:val="DefaultParagraphFont"/>
    <w:link w:val="CommentText"/>
    <w:semiHidden/>
    <w:rsid w:val="00F8211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82119"/>
    <w:rPr>
      <w:rFonts w:ascii="Arial" w:eastAsia="SimSun" w:hAnsi="Arial" w:cs="Arial"/>
      <w:b/>
      <w:bCs/>
      <w:sz w:val="18"/>
      <w:lang w:val="en-US" w:eastAsia="zh-CN"/>
    </w:rPr>
  </w:style>
  <w:style w:type="paragraph" w:styleId="Revision">
    <w:name w:val="Revision"/>
    <w:hidden/>
    <w:uiPriority w:val="99"/>
    <w:semiHidden/>
    <w:rsid w:val="00F77EF5"/>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82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F2A81-3EEB-41EA-B579-AB043E8BE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1599</Words>
  <Characters>8529</Characters>
  <Application>Microsoft Office Word</Application>
  <DocSecurity>0</DocSecurity>
  <Lines>167</Lines>
  <Paragraphs>64</Paragraphs>
  <ScaleCrop>false</ScaleCrop>
  <HeadingPairs>
    <vt:vector size="2" baseType="variant">
      <vt:variant>
        <vt:lpstr>Title</vt:lpstr>
      </vt:variant>
      <vt:variant>
        <vt:i4>1</vt:i4>
      </vt:variant>
    </vt:vector>
  </HeadingPairs>
  <TitlesOfParts>
    <vt:vector size="1" baseType="lpstr">
      <vt:lpstr>LI/A/38/1</vt:lpstr>
    </vt:vector>
  </TitlesOfParts>
  <Company>WIPO</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LI/A/39/1</dc:title>
  <dc:subject>Sixty-Second Series of Meetings</dc:subject>
  <dc:creator>WIPO</dc:creator>
  <cp:keywords>PUBLIC</cp:keywords>
  <cp:lastModifiedBy>HÄFLIGER Patience</cp:lastModifiedBy>
  <cp:revision>10</cp:revision>
  <cp:lastPrinted>2022-06-27T14:35:00Z</cp:lastPrinted>
  <dcterms:created xsi:type="dcterms:W3CDTF">2022-06-27T14:35:00Z</dcterms:created>
  <dcterms:modified xsi:type="dcterms:W3CDTF">2022-07-08T06:33:00Z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8ddf3888-9384-4be8-8bdb-07f8041e600f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