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66B" w:rsidRPr="00123893" w:rsidRDefault="00E5566B" w:rsidP="00E5566B">
      <w:pPr>
        <w:widowControl w:val="0"/>
        <w:jc w:val="right"/>
        <w:rPr>
          <w:b/>
          <w:sz w:val="2"/>
          <w:szCs w:val="40"/>
        </w:rPr>
      </w:pPr>
      <w:bookmarkStart w:id="0" w:name="_GoBack"/>
      <w:bookmarkEnd w:id="0"/>
      <w:r>
        <w:rPr>
          <w:b/>
          <w:sz w:val="40"/>
          <w:szCs w:val="40"/>
        </w:rPr>
        <w:t>E</w:t>
      </w:r>
    </w:p>
    <w:p w:rsidR="006E4F5F" w:rsidRDefault="006E4F5F" w:rsidP="006E4F5F">
      <w:pPr>
        <w:spacing w:line="360" w:lineRule="auto"/>
        <w:ind w:left="4592"/>
        <w:rPr>
          <w:rFonts w:ascii="Arial Black" w:hAnsi="Arial Black"/>
          <w:caps/>
          <w:sz w:val="15"/>
        </w:rPr>
      </w:pPr>
      <w:r>
        <w:rPr>
          <w:noProof/>
          <w:lang w:eastAsia="en-US"/>
        </w:rPr>
        <w:drawing>
          <wp:inline distT="0" distB="0" distL="0" distR="0" wp14:anchorId="57861B99" wp14:editId="4EDDAE2C">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rsidR="006E4F5F" w:rsidRPr="006E4F5F" w:rsidRDefault="00A60917" w:rsidP="00AA2DD4">
      <w:pPr>
        <w:pBdr>
          <w:top w:val="single" w:sz="4" w:space="10" w:color="auto"/>
        </w:pBdr>
        <w:spacing w:before="120"/>
        <w:jc w:val="right"/>
        <w:rPr>
          <w:rFonts w:ascii="Arial Black" w:hAnsi="Arial Black"/>
          <w:b/>
          <w:caps/>
          <w:sz w:val="15"/>
        </w:rPr>
      </w:pPr>
      <w:r w:rsidRPr="00A60917">
        <w:rPr>
          <w:rFonts w:ascii="Arial Black" w:hAnsi="Arial Black"/>
          <w:b/>
          <w:caps/>
          <w:sz w:val="15"/>
        </w:rPr>
        <w:t>LI/A/36</w:t>
      </w:r>
      <w:r w:rsidR="006E4F5F" w:rsidRPr="006E4F5F">
        <w:rPr>
          <w:rFonts w:ascii="Arial Black" w:hAnsi="Arial Black"/>
          <w:b/>
          <w:caps/>
          <w:sz w:val="15"/>
        </w:rPr>
        <w:t>/</w:t>
      </w:r>
      <w:bookmarkStart w:id="1" w:name="Code"/>
      <w:bookmarkEnd w:id="1"/>
      <w:r w:rsidR="000F0B28">
        <w:rPr>
          <w:rFonts w:ascii="Arial Black" w:hAnsi="Arial Black"/>
          <w:b/>
          <w:caps/>
          <w:sz w:val="15"/>
        </w:rPr>
        <w:t>1</w:t>
      </w:r>
    </w:p>
    <w:p w:rsidR="006E4F5F" w:rsidRPr="006E4F5F" w:rsidRDefault="006E4F5F" w:rsidP="006E4F5F">
      <w:pPr>
        <w:jc w:val="right"/>
        <w:rPr>
          <w:rFonts w:ascii="Arial Black" w:hAnsi="Arial Black"/>
          <w:b/>
          <w:caps/>
          <w:sz w:val="15"/>
        </w:rPr>
      </w:pPr>
      <w:r w:rsidRPr="006E4F5F">
        <w:rPr>
          <w:rFonts w:ascii="Arial Black" w:hAnsi="Arial Black"/>
          <w:b/>
          <w:caps/>
          <w:sz w:val="15"/>
        </w:rPr>
        <w:t>ORIGINAL:</w:t>
      </w:r>
      <w:r w:rsidR="00781DB8">
        <w:rPr>
          <w:rFonts w:ascii="Arial Black" w:hAnsi="Arial Black"/>
          <w:b/>
          <w:caps/>
          <w:sz w:val="15"/>
        </w:rPr>
        <w:t xml:space="preserve"> </w:t>
      </w:r>
      <w:r w:rsidRPr="006E4F5F">
        <w:rPr>
          <w:rFonts w:ascii="Arial Black" w:hAnsi="Arial Black"/>
          <w:b/>
          <w:caps/>
          <w:sz w:val="15"/>
        </w:rPr>
        <w:t xml:space="preserve"> </w:t>
      </w:r>
      <w:bookmarkStart w:id="2" w:name="Original"/>
      <w:bookmarkEnd w:id="2"/>
      <w:r w:rsidR="000F0B28">
        <w:rPr>
          <w:rFonts w:ascii="Arial Black" w:hAnsi="Arial Black"/>
          <w:b/>
          <w:caps/>
          <w:sz w:val="15"/>
        </w:rPr>
        <w:t>ENGLISH</w:t>
      </w:r>
    </w:p>
    <w:p w:rsidR="006E4F5F" w:rsidRPr="006E4F5F" w:rsidRDefault="006E4F5F" w:rsidP="006E4F5F">
      <w:pPr>
        <w:spacing w:line="1680" w:lineRule="auto"/>
        <w:jc w:val="right"/>
        <w:rPr>
          <w:rFonts w:ascii="Arial Black" w:hAnsi="Arial Black"/>
          <w:b/>
          <w:caps/>
          <w:sz w:val="15"/>
        </w:rPr>
      </w:pPr>
      <w:r w:rsidRPr="006E4F5F">
        <w:rPr>
          <w:rFonts w:ascii="Arial Black" w:hAnsi="Arial Black"/>
          <w:b/>
          <w:caps/>
          <w:sz w:val="15"/>
        </w:rPr>
        <w:t>DATE:</w:t>
      </w:r>
      <w:r w:rsidR="00781DB8">
        <w:rPr>
          <w:rFonts w:ascii="Arial Black" w:hAnsi="Arial Black"/>
          <w:b/>
          <w:caps/>
          <w:sz w:val="15"/>
        </w:rPr>
        <w:t xml:space="preserve"> </w:t>
      </w:r>
      <w:r w:rsidRPr="006E4F5F">
        <w:rPr>
          <w:rFonts w:ascii="Arial Black" w:hAnsi="Arial Black"/>
          <w:b/>
          <w:caps/>
          <w:sz w:val="15"/>
        </w:rPr>
        <w:t xml:space="preserve"> </w:t>
      </w:r>
      <w:bookmarkStart w:id="3" w:name="Date"/>
      <w:bookmarkEnd w:id="3"/>
      <w:r w:rsidR="006A5CAE">
        <w:rPr>
          <w:rFonts w:ascii="Arial Black" w:hAnsi="Arial Black"/>
          <w:b/>
          <w:caps/>
          <w:sz w:val="15"/>
        </w:rPr>
        <w:t>JULY 30</w:t>
      </w:r>
      <w:r w:rsidR="000F0B28">
        <w:rPr>
          <w:rFonts w:ascii="Arial Black" w:hAnsi="Arial Black"/>
          <w:b/>
          <w:caps/>
          <w:sz w:val="15"/>
        </w:rPr>
        <w:t>, 2019</w:t>
      </w:r>
    </w:p>
    <w:p w:rsidR="00A60917" w:rsidRDefault="00A60917" w:rsidP="00A60917">
      <w:pPr>
        <w:pStyle w:val="Heading1"/>
      </w:pPr>
      <w:r>
        <w:t>Special Union for the Protection of Appellations of Origin and their International Registration (Lisbon Union)</w:t>
      </w:r>
    </w:p>
    <w:p w:rsidR="008B2CC1" w:rsidRPr="003D57B0" w:rsidRDefault="00A60917" w:rsidP="00A60917">
      <w:pPr>
        <w:pStyle w:val="Heading1"/>
      </w:pPr>
      <w:r>
        <w:t>Assembly</w:t>
      </w:r>
    </w:p>
    <w:p w:rsidR="008B2CC1" w:rsidRPr="009C127D" w:rsidRDefault="00A60917" w:rsidP="003D2030">
      <w:pPr>
        <w:spacing w:after="720"/>
        <w:rPr>
          <w:b/>
          <w:sz w:val="24"/>
        </w:rPr>
      </w:pPr>
      <w:r w:rsidRPr="00A60917">
        <w:rPr>
          <w:b/>
          <w:sz w:val="24"/>
        </w:rPr>
        <w:t>Thirty-Sixth (23</w:t>
      </w:r>
      <w:r w:rsidRPr="00A60917">
        <w:rPr>
          <w:b/>
          <w:sz w:val="24"/>
          <w:vertAlign w:val="superscript"/>
        </w:rPr>
        <w:t>rd</w:t>
      </w:r>
      <w:r w:rsidRPr="00A60917">
        <w:rPr>
          <w:b/>
          <w:sz w:val="24"/>
        </w:rPr>
        <w:t xml:space="preserve"> Ordinary) Session</w:t>
      </w:r>
      <w:r w:rsidR="003D57B0" w:rsidRPr="009C127D">
        <w:rPr>
          <w:b/>
          <w:sz w:val="24"/>
        </w:rPr>
        <w:br/>
      </w:r>
      <w:r w:rsidRPr="00A60917">
        <w:rPr>
          <w:b/>
          <w:sz w:val="24"/>
        </w:rPr>
        <w:t>Geneva, September 30 to October 9, 2019</w:t>
      </w:r>
    </w:p>
    <w:p w:rsidR="000F0B28" w:rsidRPr="009C127D" w:rsidRDefault="000F0B28" w:rsidP="000F0B28">
      <w:pPr>
        <w:spacing w:after="360"/>
        <w:rPr>
          <w:caps/>
          <w:sz w:val="24"/>
        </w:rPr>
      </w:pPr>
      <w:bookmarkStart w:id="4" w:name="TitleOfDoc"/>
      <w:bookmarkStart w:id="5" w:name="Prepared"/>
      <w:bookmarkEnd w:id="4"/>
      <w:bookmarkEnd w:id="5"/>
      <w:r w:rsidRPr="00AC6315">
        <w:rPr>
          <w:caps/>
          <w:sz w:val="24"/>
        </w:rPr>
        <w:t>Report on the Working Group on the Development of the Lisbon System</w:t>
      </w:r>
    </w:p>
    <w:p w:rsidR="008B2CC1" w:rsidRPr="009C127D" w:rsidRDefault="000F0B28" w:rsidP="009C127D">
      <w:pPr>
        <w:spacing w:after="960"/>
        <w:rPr>
          <w:i/>
        </w:rPr>
      </w:pPr>
      <w:proofErr w:type="gramStart"/>
      <w:r>
        <w:rPr>
          <w:i/>
        </w:rPr>
        <w:t>prepared</w:t>
      </w:r>
      <w:proofErr w:type="gramEnd"/>
      <w:r>
        <w:rPr>
          <w:i/>
        </w:rPr>
        <w:t xml:space="preserve"> by the </w:t>
      </w:r>
      <w:r w:rsidR="00DC61A6">
        <w:rPr>
          <w:i/>
        </w:rPr>
        <w:t>Secretariat</w:t>
      </w:r>
    </w:p>
    <w:p w:rsidR="000F0B28" w:rsidRDefault="000F0B28" w:rsidP="000F0B28">
      <w:pPr>
        <w:pStyle w:val="ONUME"/>
      </w:pPr>
      <w:r w:rsidRPr="00141320">
        <w:t>Since the previous session of the Assembly</w:t>
      </w:r>
      <w:r>
        <w:t xml:space="preserve"> of the Lisbon Union</w:t>
      </w:r>
      <w:r w:rsidRPr="00141320">
        <w:t>, the Working Group on the Development of the Lisbon System (“th</w:t>
      </w:r>
      <w:r>
        <w:t xml:space="preserve">e Working Group”) held its second session on </w:t>
      </w:r>
      <w:r w:rsidR="00C90F0E">
        <w:t>May </w:t>
      </w:r>
      <w:r>
        <w:t xml:space="preserve">27 and </w:t>
      </w:r>
      <w:r w:rsidRPr="00141320">
        <w:t>2</w:t>
      </w:r>
      <w:r>
        <w:t>8, 2019</w:t>
      </w:r>
      <w:r w:rsidRPr="00141320">
        <w:t>.</w:t>
      </w:r>
      <w:r>
        <w:t xml:space="preserve">  </w:t>
      </w:r>
      <w:r w:rsidRPr="00141320">
        <w:t xml:space="preserve">Delegations exchanged views on issues related to the </w:t>
      </w:r>
      <w:r>
        <w:t xml:space="preserve">financial sustainability of the </w:t>
      </w:r>
      <w:r w:rsidRPr="00141320">
        <w:t xml:space="preserve">Lisbon System, as </w:t>
      </w:r>
      <w:r>
        <w:t>reproduced in the Annex to the present document (document LI/WG/DEV-SYS/2/3)</w:t>
      </w:r>
      <w:r w:rsidRPr="00141320">
        <w:t>, which was approved by the Working Group.</w:t>
      </w:r>
    </w:p>
    <w:p w:rsidR="000F0B28" w:rsidRPr="00141320" w:rsidRDefault="000F0B28" w:rsidP="000F0B28">
      <w:pPr>
        <w:pStyle w:val="ONUME"/>
      </w:pPr>
      <w:r>
        <w:t>In its deliberations, the Working Group</w:t>
      </w:r>
      <w:r w:rsidRPr="00525898">
        <w:t xml:space="preserve"> emphasized the importance of promotion activities to increase the membership of the Lisbon System, including the Geneva Act, and the need to increase coordination among</w:t>
      </w:r>
      <w:r>
        <w:t xml:space="preserve"> Lisbon members in that respect.</w:t>
      </w:r>
    </w:p>
    <w:p w:rsidR="000F0B28" w:rsidRPr="00797B60" w:rsidRDefault="000F0B28" w:rsidP="000F0B28">
      <w:pPr>
        <w:pStyle w:val="ONUME"/>
      </w:pPr>
      <w:proofErr w:type="gramStart"/>
      <w:r>
        <w:t>A</w:t>
      </w:r>
      <w:r w:rsidR="009F48A7">
        <w:t>t</w:t>
      </w:r>
      <w:r>
        <w:t xml:space="preserve"> the end of the session, </w:t>
      </w:r>
      <w:r w:rsidRPr="00141320">
        <w:t xml:space="preserve">the Working </w:t>
      </w:r>
      <w:r>
        <w:t xml:space="preserve">Group decided to </w:t>
      </w:r>
      <w:r w:rsidRPr="00797B60">
        <w:t>further discuss appropriate measures to ensure the financial sustainability of the Lisbon Union in the future, including the review of the Schedule of Fees on a regular basis, while recognizing the need to assess the impact of the entry into force of the Geneva Act on the financial situation of the Union.</w:t>
      </w:r>
      <w:proofErr w:type="gramEnd"/>
    </w:p>
    <w:p w:rsidR="000F0B28" w:rsidRDefault="000F0B28" w:rsidP="000F0B28">
      <w:pPr>
        <w:pStyle w:val="ONUME"/>
        <w:numPr>
          <w:ilvl w:val="0"/>
          <w:numId w:val="0"/>
        </w:numPr>
      </w:pPr>
    </w:p>
    <w:p w:rsidR="000F0B28" w:rsidRPr="008345AC" w:rsidRDefault="000F0B28" w:rsidP="000F0B28">
      <w:pPr>
        <w:pStyle w:val="ONUME"/>
        <w:keepNext/>
        <w:keepLines/>
        <w:numPr>
          <w:ilvl w:val="0"/>
          <w:numId w:val="0"/>
        </w:numPr>
        <w:tabs>
          <w:tab w:val="left" w:pos="6096"/>
        </w:tabs>
        <w:spacing w:after="840"/>
        <w:ind w:left="5533"/>
        <w:rPr>
          <w:i/>
        </w:rPr>
      </w:pPr>
      <w:r>
        <w:rPr>
          <w:i/>
        </w:rPr>
        <w:lastRenderedPageBreak/>
        <w:t>4.</w:t>
      </w:r>
      <w:r>
        <w:rPr>
          <w:i/>
        </w:rPr>
        <w:tab/>
      </w:r>
      <w:r w:rsidRPr="008345AC">
        <w:rPr>
          <w:i/>
        </w:rPr>
        <w:t xml:space="preserve">The Assembly </w:t>
      </w:r>
      <w:r w:rsidRPr="008345AC">
        <w:rPr>
          <w:i/>
          <w:iCs/>
        </w:rPr>
        <w:t xml:space="preserve">of the Lisbon </w:t>
      </w:r>
      <w:r w:rsidRPr="008345AC">
        <w:rPr>
          <w:i/>
        </w:rPr>
        <w:t xml:space="preserve">Union </w:t>
      </w:r>
      <w:proofErr w:type="gramStart"/>
      <w:r w:rsidRPr="008345AC">
        <w:rPr>
          <w:i/>
        </w:rPr>
        <w:t>is invited</w:t>
      </w:r>
      <w:proofErr w:type="gramEnd"/>
      <w:r w:rsidRPr="008345AC">
        <w:rPr>
          <w:i/>
        </w:rPr>
        <w:t xml:space="preserve"> to take note of the “Report on the Working Group on the Development of the Lisbon System” (document </w:t>
      </w:r>
      <w:r>
        <w:rPr>
          <w:i/>
        </w:rPr>
        <w:t>LI/A/36/1</w:t>
      </w:r>
      <w:r w:rsidRPr="008345AC">
        <w:rPr>
          <w:i/>
        </w:rPr>
        <w:t>).</w:t>
      </w:r>
    </w:p>
    <w:p w:rsidR="000F0B28" w:rsidRDefault="000F0B28" w:rsidP="000F0B28">
      <w:pPr>
        <w:pStyle w:val="Endofdocument-Annex"/>
        <w:sectPr w:rsidR="000F0B28" w:rsidSect="00AC6315">
          <w:headerReference w:type="default" r:id="rId9"/>
          <w:endnotePr>
            <w:numFmt w:val="decimal"/>
          </w:endnotePr>
          <w:pgSz w:w="11907" w:h="16840" w:code="9"/>
          <w:pgMar w:top="567" w:right="1134" w:bottom="1418" w:left="1418" w:header="510" w:footer="1021" w:gutter="0"/>
          <w:cols w:space="720"/>
          <w:titlePg/>
          <w:docGrid w:linePitch="299"/>
        </w:sectPr>
      </w:pPr>
      <w:r w:rsidRPr="00141320">
        <w:t>[</w:t>
      </w:r>
      <w:r>
        <w:t xml:space="preserve">Document LI/WG/DEV-SYS/2/3 </w:t>
      </w:r>
      <w:r w:rsidRPr="00141320">
        <w:t>follows]</w:t>
      </w:r>
    </w:p>
    <w:p w:rsidR="00182325" w:rsidRPr="00182325" w:rsidRDefault="00182325" w:rsidP="00182325">
      <w:pPr>
        <w:tabs>
          <w:tab w:val="left" w:pos="4621"/>
          <w:tab w:val="left" w:pos="8850"/>
        </w:tabs>
        <w:spacing w:after="120"/>
        <w:ind w:left="4592"/>
        <w:rPr>
          <w:b/>
          <w:color w:val="FFFFFF"/>
          <w:sz w:val="40"/>
          <w:szCs w:val="40"/>
        </w:rPr>
      </w:pPr>
      <w:r w:rsidRPr="00182325">
        <w:rPr>
          <w:noProof/>
          <w:color w:val="FFFFFF"/>
          <w:lang w:eastAsia="en-US"/>
        </w:rPr>
        <w:lastRenderedPageBreak/>
        <w:drawing>
          <wp:inline distT="0" distB="0" distL="0" distR="0" wp14:anchorId="7F8ECB07" wp14:editId="240FC142">
            <wp:extent cx="1857375" cy="1323975"/>
            <wp:effectExtent l="0" t="0" r="9525" b="9525"/>
            <wp:docPr id="2" name="Picture 2" descr="Logo of World Intellectual Property Organization"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r w:rsidRPr="00182325">
        <w:rPr>
          <w:b/>
          <w:color w:val="FFFFFF"/>
          <w:sz w:val="40"/>
          <w:szCs w:val="40"/>
        </w:rPr>
        <w:t>E</w:t>
      </w:r>
    </w:p>
    <w:tbl>
      <w:tblPr>
        <w:tblW w:w="9456" w:type="dxa"/>
        <w:tblInd w:w="108" w:type="dxa"/>
        <w:tblLayout w:type="fixed"/>
        <w:tblLook w:val="01E0" w:firstRow="1" w:lastRow="1" w:firstColumn="1" w:lastColumn="1" w:noHBand="0" w:noVBand="0"/>
      </w:tblPr>
      <w:tblGrid>
        <w:gridCol w:w="9456"/>
      </w:tblGrid>
      <w:tr w:rsidR="00182325" w:rsidRPr="00182325" w:rsidTr="00146060">
        <w:trPr>
          <w:trHeight w:hRule="exact" w:val="603"/>
        </w:trPr>
        <w:tc>
          <w:tcPr>
            <w:tcW w:w="9456" w:type="dxa"/>
            <w:tcBorders>
              <w:top w:val="single" w:sz="4" w:space="0" w:color="auto"/>
            </w:tcBorders>
            <w:tcMar>
              <w:top w:w="170" w:type="dxa"/>
              <w:left w:w="0" w:type="dxa"/>
              <w:right w:w="0" w:type="dxa"/>
            </w:tcMar>
            <w:vAlign w:val="bottom"/>
          </w:tcPr>
          <w:p w:rsidR="00182325" w:rsidRPr="00182325" w:rsidRDefault="00182325" w:rsidP="00182325">
            <w:pPr>
              <w:jc w:val="right"/>
              <w:rPr>
                <w:rFonts w:ascii="Arial Black" w:hAnsi="Arial Black"/>
                <w:caps/>
                <w:sz w:val="15"/>
              </w:rPr>
            </w:pPr>
            <w:r w:rsidRPr="00182325">
              <w:rPr>
                <w:rFonts w:ascii="Arial Black" w:hAnsi="Arial Black"/>
                <w:caps/>
                <w:sz w:val="15"/>
              </w:rPr>
              <w:t xml:space="preserve">LI/WG/DEV-SYS/2/3       </w:t>
            </w:r>
          </w:p>
        </w:tc>
      </w:tr>
      <w:tr w:rsidR="00182325" w:rsidRPr="00182325" w:rsidTr="00146060">
        <w:trPr>
          <w:trHeight w:hRule="exact" w:val="170"/>
        </w:trPr>
        <w:tc>
          <w:tcPr>
            <w:tcW w:w="9456" w:type="dxa"/>
            <w:noWrap/>
            <w:tcMar>
              <w:left w:w="0" w:type="dxa"/>
              <w:right w:w="0" w:type="dxa"/>
            </w:tcMar>
            <w:vAlign w:val="bottom"/>
          </w:tcPr>
          <w:p w:rsidR="00182325" w:rsidRPr="00182325" w:rsidRDefault="00182325" w:rsidP="00182325">
            <w:pPr>
              <w:jc w:val="right"/>
              <w:rPr>
                <w:rFonts w:ascii="Arial Black" w:hAnsi="Arial Black"/>
                <w:caps/>
                <w:sz w:val="15"/>
              </w:rPr>
            </w:pPr>
            <w:r w:rsidRPr="00182325">
              <w:rPr>
                <w:rFonts w:ascii="Arial Black" w:hAnsi="Arial Black"/>
                <w:caps/>
                <w:sz w:val="15"/>
              </w:rPr>
              <w:t>ORIGINAL:  English</w:t>
            </w:r>
          </w:p>
        </w:tc>
      </w:tr>
      <w:tr w:rsidR="00182325" w:rsidRPr="00182325" w:rsidTr="00146060">
        <w:trPr>
          <w:trHeight w:hRule="exact" w:val="198"/>
        </w:trPr>
        <w:tc>
          <w:tcPr>
            <w:tcW w:w="9456" w:type="dxa"/>
            <w:tcMar>
              <w:left w:w="0" w:type="dxa"/>
              <w:right w:w="0" w:type="dxa"/>
            </w:tcMar>
            <w:vAlign w:val="bottom"/>
          </w:tcPr>
          <w:p w:rsidR="00182325" w:rsidRPr="00182325" w:rsidRDefault="00182325" w:rsidP="00182325">
            <w:pPr>
              <w:jc w:val="right"/>
              <w:rPr>
                <w:rFonts w:ascii="Arial Black" w:hAnsi="Arial Black"/>
                <w:caps/>
                <w:sz w:val="15"/>
              </w:rPr>
            </w:pPr>
            <w:r w:rsidRPr="00182325">
              <w:rPr>
                <w:rFonts w:ascii="Arial Black" w:hAnsi="Arial Black"/>
                <w:caps/>
                <w:sz w:val="15"/>
              </w:rPr>
              <w:t>DATE:  may 28, 2019</w:t>
            </w:r>
          </w:p>
        </w:tc>
      </w:tr>
    </w:tbl>
    <w:p w:rsidR="00182325" w:rsidRPr="00182325" w:rsidRDefault="00182325" w:rsidP="00182325"/>
    <w:p w:rsidR="00182325" w:rsidRPr="00182325" w:rsidRDefault="00182325" w:rsidP="00182325"/>
    <w:p w:rsidR="00182325" w:rsidRPr="00182325" w:rsidRDefault="00182325" w:rsidP="00182325"/>
    <w:p w:rsidR="00182325" w:rsidRPr="00182325" w:rsidRDefault="00182325" w:rsidP="00182325"/>
    <w:p w:rsidR="00182325" w:rsidRPr="00182325" w:rsidRDefault="00182325" w:rsidP="00182325">
      <w:pPr>
        <w:rPr>
          <w:b/>
          <w:sz w:val="28"/>
          <w:szCs w:val="28"/>
        </w:rPr>
      </w:pPr>
      <w:r w:rsidRPr="00182325">
        <w:rPr>
          <w:b/>
          <w:sz w:val="28"/>
          <w:szCs w:val="28"/>
        </w:rPr>
        <w:t>Working Group on the Development of the Lisbon System</w:t>
      </w:r>
    </w:p>
    <w:p w:rsidR="00182325" w:rsidRPr="00182325" w:rsidRDefault="00182325" w:rsidP="00182325"/>
    <w:p w:rsidR="00182325" w:rsidRPr="00182325" w:rsidRDefault="00182325" w:rsidP="00182325"/>
    <w:p w:rsidR="00182325" w:rsidRPr="00182325" w:rsidRDefault="00182325" w:rsidP="00182325">
      <w:pPr>
        <w:rPr>
          <w:b/>
          <w:sz w:val="24"/>
          <w:szCs w:val="24"/>
        </w:rPr>
      </w:pPr>
      <w:r w:rsidRPr="00182325">
        <w:rPr>
          <w:b/>
          <w:sz w:val="24"/>
          <w:szCs w:val="24"/>
        </w:rPr>
        <w:t>Second Session</w:t>
      </w:r>
    </w:p>
    <w:p w:rsidR="00182325" w:rsidRPr="00182325" w:rsidRDefault="00182325" w:rsidP="00182325">
      <w:pPr>
        <w:rPr>
          <w:b/>
          <w:sz w:val="24"/>
          <w:szCs w:val="24"/>
        </w:rPr>
      </w:pPr>
      <w:r w:rsidRPr="00182325">
        <w:rPr>
          <w:b/>
          <w:sz w:val="24"/>
          <w:szCs w:val="24"/>
        </w:rPr>
        <w:t>Geneva, May 27 and 28, 2019</w:t>
      </w:r>
    </w:p>
    <w:p w:rsidR="00182325" w:rsidRPr="00182325" w:rsidRDefault="00182325" w:rsidP="00182325"/>
    <w:p w:rsidR="00182325" w:rsidRPr="00182325" w:rsidRDefault="00182325" w:rsidP="00182325"/>
    <w:p w:rsidR="00182325" w:rsidRPr="00182325" w:rsidRDefault="00182325" w:rsidP="00182325"/>
    <w:p w:rsidR="00182325" w:rsidRPr="00182325" w:rsidRDefault="00182325" w:rsidP="00182325">
      <w:pPr>
        <w:rPr>
          <w:caps/>
          <w:sz w:val="24"/>
        </w:rPr>
      </w:pPr>
      <w:r w:rsidRPr="00182325">
        <w:rPr>
          <w:caps/>
          <w:sz w:val="24"/>
        </w:rPr>
        <w:t>SUMMARY BY THE CHAIR</w:t>
      </w:r>
    </w:p>
    <w:p w:rsidR="00182325" w:rsidRPr="00182325" w:rsidRDefault="00182325" w:rsidP="00182325"/>
    <w:p w:rsidR="00182325" w:rsidRPr="00182325" w:rsidRDefault="00182325" w:rsidP="00182325">
      <w:pPr>
        <w:rPr>
          <w:i/>
          <w:szCs w:val="22"/>
        </w:rPr>
      </w:pPr>
      <w:proofErr w:type="gramStart"/>
      <w:r w:rsidRPr="00182325">
        <w:rPr>
          <w:i/>
          <w:szCs w:val="22"/>
        </w:rPr>
        <w:t>adopted</w:t>
      </w:r>
      <w:proofErr w:type="gramEnd"/>
      <w:r w:rsidRPr="00182325">
        <w:rPr>
          <w:i/>
          <w:szCs w:val="22"/>
        </w:rPr>
        <w:t xml:space="preserve"> by the Working Group</w:t>
      </w:r>
    </w:p>
    <w:p w:rsidR="00182325" w:rsidRPr="00182325" w:rsidRDefault="00182325" w:rsidP="00182325">
      <w:pPr>
        <w:rPr>
          <w:szCs w:val="22"/>
        </w:rPr>
      </w:pPr>
    </w:p>
    <w:p w:rsidR="00182325" w:rsidRPr="00182325" w:rsidRDefault="00182325" w:rsidP="00182325">
      <w:pPr>
        <w:rPr>
          <w:szCs w:val="22"/>
        </w:rPr>
      </w:pPr>
    </w:p>
    <w:p w:rsidR="00182325" w:rsidRPr="00182325" w:rsidRDefault="00182325" w:rsidP="00182325">
      <w:pPr>
        <w:rPr>
          <w:szCs w:val="22"/>
        </w:rPr>
      </w:pPr>
    </w:p>
    <w:p w:rsidR="00182325" w:rsidRPr="00182325" w:rsidRDefault="00182325" w:rsidP="00182325">
      <w:pPr>
        <w:rPr>
          <w:szCs w:val="22"/>
        </w:rPr>
      </w:pPr>
    </w:p>
    <w:p w:rsidR="00182325" w:rsidRPr="00182325" w:rsidRDefault="00182325" w:rsidP="00182325">
      <w:pPr>
        <w:numPr>
          <w:ilvl w:val="0"/>
          <w:numId w:val="6"/>
        </w:numPr>
        <w:spacing w:after="220"/>
      </w:pPr>
      <w:r w:rsidRPr="00182325">
        <w:t>The Working Group on the Development of the Lisbon System (hereinafter referred to as “the Working Group”) met in Geneva, on May 27 and 28, 2019.</w:t>
      </w:r>
    </w:p>
    <w:p w:rsidR="00182325" w:rsidRPr="00182325" w:rsidRDefault="00182325" w:rsidP="00182325">
      <w:pPr>
        <w:numPr>
          <w:ilvl w:val="0"/>
          <w:numId w:val="6"/>
        </w:numPr>
        <w:spacing w:after="220"/>
      </w:pPr>
      <w:r w:rsidRPr="00182325">
        <w:t xml:space="preserve">The following Contracting Parties of the Lisbon Union were represented at the session:  Burkina Faso, Czech Republic, France, Gabon, Hungary, Iran (Islamic Republic of), Israel, Italy, Mexico, Nicaragua, Peru, Portugal, Slovakia (13). </w:t>
      </w:r>
    </w:p>
    <w:p w:rsidR="00182325" w:rsidRPr="00182325" w:rsidRDefault="00182325" w:rsidP="00182325">
      <w:pPr>
        <w:numPr>
          <w:ilvl w:val="0"/>
          <w:numId w:val="6"/>
        </w:numPr>
        <w:spacing w:after="220"/>
      </w:pPr>
      <w:r w:rsidRPr="00182325">
        <w:t xml:space="preserve">The following States were represented as observers:  Afghanistan, Australia, Finland, Germany, Guyana, Honduras, India, Ireland, Japan, Kuwait, Nigeria, Paraguay, Poland, Republic of Korea, Romania, Russian Federation, Senegal, Spain, Switzerland, </w:t>
      </w:r>
      <w:proofErr w:type="gramStart"/>
      <w:r w:rsidRPr="00182325">
        <w:t xml:space="preserve">United States </w:t>
      </w:r>
      <w:r w:rsidRPr="00182325">
        <w:br/>
        <w:t>of</w:t>
      </w:r>
      <w:proofErr w:type="gramEnd"/>
      <w:r w:rsidRPr="00182325">
        <w:t xml:space="preserve"> America (20).  </w:t>
      </w:r>
    </w:p>
    <w:p w:rsidR="00182325" w:rsidRPr="00182325" w:rsidRDefault="00182325" w:rsidP="00182325">
      <w:pPr>
        <w:numPr>
          <w:ilvl w:val="0"/>
          <w:numId w:val="6"/>
        </w:numPr>
        <w:spacing w:after="220"/>
      </w:pPr>
      <w:r w:rsidRPr="00182325">
        <w:t xml:space="preserve">Representatives of the following international intergovernmental organizations (IGOs) took part in the session in an observer capacity:  European Union (EU), Food and Agriculture Organization of the United Nations (FAO), Organization of Islamic Cooperation (OIC), </w:t>
      </w:r>
      <w:proofErr w:type="gramStart"/>
      <w:r w:rsidRPr="00182325">
        <w:t>World</w:t>
      </w:r>
      <w:proofErr w:type="gramEnd"/>
      <w:r w:rsidRPr="00182325">
        <w:t xml:space="preserve"> Trade Organization (WTO) (4).  </w:t>
      </w:r>
    </w:p>
    <w:p w:rsidR="00182325" w:rsidRPr="00182325" w:rsidRDefault="00182325" w:rsidP="00182325">
      <w:pPr>
        <w:numPr>
          <w:ilvl w:val="0"/>
          <w:numId w:val="6"/>
        </w:numPr>
        <w:spacing w:after="220"/>
      </w:pPr>
      <w:r w:rsidRPr="00182325">
        <w:t xml:space="preserve">Representatives of the following national and international non-governmental organizations (NGOs) took part in the session in an observer capacity:  </w:t>
      </w:r>
      <w:r w:rsidRPr="00182325">
        <w:rPr>
          <w:i/>
        </w:rPr>
        <w:t xml:space="preserve">Association </w:t>
      </w:r>
      <w:proofErr w:type="spellStart"/>
      <w:r w:rsidRPr="00182325">
        <w:rPr>
          <w:i/>
        </w:rPr>
        <w:t>congolaise</w:t>
      </w:r>
      <w:proofErr w:type="spellEnd"/>
      <w:r w:rsidRPr="00182325">
        <w:rPr>
          <w:i/>
        </w:rPr>
        <w:t xml:space="preserve"> pour le </w:t>
      </w:r>
      <w:proofErr w:type="spellStart"/>
      <w:r w:rsidRPr="00182325">
        <w:rPr>
          <w:i/>
        </w:rPr>
        <w:t>développement</w:t>
      </w:r>
      <w:proofErr w:type="spellEnd"/>
      <w:r w:rsidRPr="00182325">
        <w:rPr>
          <w:i/>
        </w:rPr>
        <w:t xml:space="preserve"> </w:t>
      </w:r>
      <w:proofErr w:type="spellStart"/>
      <w:r w:rsidRPr="00182325">
        <w:rPr>
          <w:i/>
        </w:rPr>
        <w:t>agricole</w:t>
      </w:r>
      <w:proofErr w:type="spellEnd"/>
      <w:r w:rsidRPr="00182325">
        <w:rPr>
          <w:i/>
        </w:rPr>
        <w:t xml:space="preserve"> </w:t>
      </w:r>
      <w:r w:rsidRPr="00182325">
        <w:t>(ACDA), Centre for International Intellectual Property Studies (CEIPI), Health and Environment Program (HEP), International Wine Law Association (AIDV), MARQUES – Association of European Trademark Owners, Organization for an International Geographical Indications Network (</w:t>
      </w:r>
      <w:proofErr w:type="spellStart"/>
      <w:r w:rsidRPr="00182325">
        <w:t>oriGIn</w:t>
      </w:r>
      <w:proofErr w:type="spellEnd"/>
      <w:r w:rsidRPr="00182325">
        <w:t>) (6).</w:t>
      </w:r>
    </w:p>
    <w:p w:rsidR="00182325" w:rsidRPr="00182325" w:rsidRDefault="00182325" w:rsidP="00182325">
      <w:pPr>
        <w:numPr>
          <w:ilvl w:val="0"/>
          <w:numId w:val="6"/>
        </w:numPr>
        <w:spacing w:after="220"/>
      </w:pPr>
      <w:r w:rsidRPr="00182325">
        <w:lastRenderedPageBreak/>
        <w:t xml:space="preserve">The list of participants is contained in document LI/WG/DEV-SYS/2/INF/1 </w:t>
      </w:r>
      <w:proofErr w:type="spellStart"/>
      <w:r w:rsidRPr="00182325">
        <w:t>Prov</w:t>
      </w:r>
      <w:proofErr w:type="spellEnd"/>
      <w:r w:rsidRPr="00182325">
        <w:rPr>
          <w:szCs w:val="22"/>
          <w:vertAlign w:val="superscript"/>
        </w:rPr>
        <w:footnoteReference w:customMarkFollows="1" w:id="2"/>
        <w:t>*</w:t>
      </w:r>
      <w:r w:rsidRPr="00182325">
        <w:t xml:space="preserve">.  </w:t>
      </w:r>
    </w:p>
    <w:p w:rsidR="00182325" w:rsidRPr="00182325" w:rsidRDefault="00182325" w:rsidP="00D72B16">
      <w:pPr>
        <w:pStyle w:val="Heading3"/>
      </w:pPr>
      <w:r w:rsidRPr="00182325">
        <w:t>Agenda Item 1:  Opening of the Session</w:t>
      </w:r>
    </w:p>
    <w:p w:rsidR="00182325" w:rsidRPr="00182325" w:rsidRDefault="00182325" w:rsidP="00182325">
      <w:pPr>
        <w:numPr>
          <w:ilvl w:val="0"/>
          <w:numId w:val="6"/>
        </w:numPr>
        <w:spacing w:after="220"/>
      </w:pPr>
      <w:r w:rsidRPr="00182325">
        <w:t xml:space="preserve">Mr. Francis </w:t>
      </w:r>
      <w:proofErr w:type="spellStart"/>
      <w:r w:rsidRPr="00182325">
        <w:t>Gurry</w:t>
      </w:r>
      <w:proofErr w:type="spellEnd"/>
      <w:r w:rsidRPr="00182325">
        <w:t xml:space="preserve">, Director General of the World </w:t>
      </w:r>
      <w:proofErr w:type="spellStart"/>
      <w:r w:rsidRPr="00182325">
        <w:t>Intellecual</w:t>
      </w:r>
      <w:proofErr w:type="spellEnd"/>
      <w:r w:rsidRPr="00182325">
        <w:t xml:space="preserve"> Property Organization (WIPO), opened the session. </w:t>
      </w:r>
    </w:p>
    <w:p w:rsidR="00182325" w:rsidRPr="00182325" w:rsidRDefault="00182325" w:rsidP="00D72B16">
      <w:pPr>
        <w:pStyle w:val="Heading3"/>
      </w:pPr>
      <w:r w:rsidRPr="00182325">
        <w:t>Agenda Item 2:  ELECTION OF A CHAIR AND TWO VICE-CHAIRS</w:t>
      </w:r>
    </w:p>
    <w:p w:rsidR="00182325" w:rsidRPr="00182325" w:rsidRDefault="00182325" w:rsidP="00182325">
      <w:pPr>
        <w:numPr>
          <w:ilvl w:val="0"/>
          <w:numId w:val="6"/>
        </w:numPr>
        <w:spacing w:after="240"/>
      </w:pPr>
      <w:r w:rsidRPr="00182325">
        <w:t xml:space="preserve">Mr. </w:t>
      </w:r>
      <w:proofErr w:type="spellStart"/>
      <w:r w:rsidRPr="00182325">
        <w:t>Csaba</w:t>
      </w:r>
      <w:proofErr w:type="spellEnd"/>
      <w:r w:rsidRPr="00182325">
        <w:t xml:space="preserve"> </w:t>
      </w:r>
      <w:proofErr w:type="spellStart"/>
      <w:r w:rsidRPr="00182325">
        <w:t>Baticz</w:t>
      </w:r>
      <w:proofErr w:type="spellEnd"/>
      <w:r w:rsidRPr="00182325">
        <w:t xml:space="preserve"> (Hungary) </w:t>
      </w:r>
      <w:proofErr w:type="gramStart"/>
      <w:r w:rsidRPr="00182325">
        <w:t>was unanimously elected</w:t>
      </w:r>
      <w:proofErr w:type="gramEnd"/>
      <w:r w:rsidRPr="00182325">
        <w:t xml:space="preserve"> as Chair of the Working Group.  </w:t>
      </w:r>
    </w:p>
    <w:p w:rsidR="00182325" w:rsidRPr="00182325" w:rsidRDefault="00182325" w:rsidP="00182325">
      <w:pPr>
        <w:numPr>
          <w:ilvl w:val="0"/>
          <w:numId w:val="6"/>
        </w:numPr>
        <w:spacing w:after="240"/>
      </w:pPr>
      <w:r w:rsidRPr="00182325">
        <w:t xml:space="preserve">Ms. Alexandra Grazioli (WIPO) acted as Secretary to the Working Group.  </w:t>
      </w:r>
    </w:p>
    <w:p w:rsidR="00182325" w:rsidRPr="00182325" w:rsidRDefault="00182325" w:rsidP="00D72B16">
      <w:pPr>
        <w:pStyle w:val="Heading3"/>
      </w:pPr>
      <w:r w:rsidRPr="00182325">
        <w:t>Agenda Item 3:  Adoption of the Agenda</w:t>
      </w:r>
    </w:p>
    <w:p w:rsidR="00182325" w:rsidRPr="00182325" w:rsidRDefault="00182325" w:rsidP="00182325">
      <w:pPr>
        <w:numPr>
          <w:ilvl w:val="0"/>
          <w:numId w:val="6"/>
        </w:numPr>
        <w:tabs>
          <w:tab w:val="num" w:pos="540"/>
        </w:tabs>
        <w:spacing w:after="220"/>
        <w:ind w:left="540"/>
      </w:pPr>
      <w:r w:rsidRPr="00182325">
        <w:t xml:space="preserve">The Working Group adopted the draft agenda (document </w:t>
      </w:r>
      <w:r w:rsidRPr="00182325">
        <w:br/>
        <w:t xml:space="preserve">LI/WG/DEV-SYS/2/1 Prov.) without modification. </w:t>
      </w:r>
    </w:p>
    <w:p w:rsidR="00182325" w:rsidRPr="00182325" w:rsidRDefault="00182325" w:rsidP="00D72B16">
      <w:pPr>
        <w:pStyle w:val="Heading3"/>
      </w:pPr>
      <w:r w:rsidRPr="00182325">
        <w:t>Agenda Item 4:  financial sustainability of the lisbon union</w:t>
      </w:r>
    </w:p>
    <w:p w:rsidR="00182325" w:rsidRPr="00182325" w:rsidRDefault="00182325" w:rsidP="00182325">
      <w:pPr>
        <w:spacing w:after="220"/>
      </w:pPr>
      <w:r w:rsidRPr="00182325">
        <w:t>11.</w:t>
      </w:r>
      <w:r w:rsidRPr="00182325">
        <w:tab/>
        <w:t xml:space="preserve">Discussions </w:t>
      </w:r>
      <w:proofErr w:type="gramStart"/>
      <w:r w:rsidRPr="00182325">
        <w:t>were based</w:t>
      </w:r>
      <w:proofErr w:type="gramEnd"/>
      <w:r w:rsidRPr="00182325">
        <w:t xml:space="preserve"> on document LI/WG/DEV-SYS/2/2.</w:t>
      </w:r>
    </w:p>
    <w:p w:rsidR="00182325" w:rsidRPr="00182325" w:rsidRDefault="00182325" w:rsidP="00182325">
      <w:pPr>
        <w:spacing w:after="220"/>
      </w:pPr>
      <w:r w:rsidRPr="00182325">
        <w:t>12.</w:t>
      </w:r>
      <w:r w:rsidRPr="00182325">
        <w:tab/>
        <w:t xml:space="preserve">The Chair took note of the positions expressed by all Delegations, including observer Delegations.  These </w:t>
      </w:r>
      <w:proofErr w:type="gramStart"/>
      <w:r w:rsidRPr="00182325">
        <w:t>will be fully reflected</w:t>
      </w:r>
      <w:proofErr w:type="gramEnd"/>
      <w:r w:rsidRPr="00182325">
        <w:t xml:space="preserve"> in the Report of the present session.</w:t>
      </w:r>
      <w:r w:rsidRPr="00182325">
        <w:tab/>
      </w:r>
    </w:p>
    <w:p w:rsidR="00182325" w:rsidRPr="00182325" w:rsidRDefault="00182325" w:rsidP="00182325">
      <w:pPr>
        <w:spacing w:after="220"/>
      </w:pPr>
      <w:r w:rsidRPr="00182325">
        <w:t>13.</w:t>
      </w:r>
      <w:r w:rsidRPr="00182325">
        <w:tab/>
        <w:t>The Working Group also emphasized the importance of promotion activities to increase the membership of the Lisbon System, including the Geneva Act, and the need to increase coordination among Lisbon members in that respect.</w:t>
      </w:r>
    </w:p>
    <w:p w:rsidR="00182325" w:rsidRPr="00182325" w:rsidRDefault="00182325" w:rsidP="00182325">
      <w:pPr>
        <w:autoSpaceDE w:val="0"/>
        <w:autoSpaceDN w:val="0"/>
        <w:adjustRightInd w:val="0"/>
        <w:spacing w:after="120" w:line="276" w:lineRule="auto"/>
        <w:ind w:left="540" w:firstLine="27"/>
        <w:rPr>
          <w:rFonts w:eastAsia="Times New Roman"/>
          <w:color w:val="000000"/>
          <w:szCs w:val="22"/>
          <w:lang w:eastAsia="en-US"/>
        </w:rPr>
      </w:pPr>
      <w:r w:rsidRPr="00182325">
        <w:rPr>
          <w:rFonts w:eastAsia="Times New Roman"/>
          <w:color w:val="000000"/>
          <w:szCs w:val="22"/>
          <w:lang w:eastAsia="en-US"/>
        </w:rPr>
        <w:t>14.</w:t>
      </w:r>
      <w:r w:rsidRPr="00182325">
        <w:rPr>
          <w:rFonts w:eastAsia="Times New Roman"/>
          <w:color w:val="000000"/>
          <w:szCs w:val="22"/>
          <w:lang w:eastAsia="en-US"/>
        </w:rPr>
        <w:tab/>
        <w:t xml:space="preserve">On the basis of the discussions that took place under Agenda item 4, the Working Group decided:  </w:t>
      </w:r>
    </w:p>
    <w:p w:rsidR="00182325" w:rsidRPr="00182325" w:rsidRDefault="00182325" w:rsidP="00182325">
      <w:pPr>
        <w:numPr>
          <w:ilvl w:val="0"/>
          <w:numId w:val="7"/>
        </w:numPr>
        <w:tabs>
          <w:tab w:val="left" w:pos="567"/>
          <w:tab w:val="left" w:pos="1134"/>
        </w:tabs>
        <w:autoSpaceDE w:val="0"/>
        <w:autoSpaceDN w:val="0"/>
        <w:adjustRightInd w:val="0"/>
        <w:spacing w:after="120"/>
        <w:ind w:left="1560" w:right="-321" w:hanging="426"/>
        <w:rPr>
          <w:rFonts w:eastAsia="Times New Roman"/>
          <w:color w:val="000000"/>
          <w:szCs w:val="22"/>
          <w:lang w:eastAsia="en-US"/>
        </w:rPr>
      </w:pPr>
      <w:r w:rsidRPr="00182325">
        <w:rPr>
          <w:rFonts w:eastAsia="Times New Roman"/>
          <w:color w:val="000000"/>
          <w:szCs w:val="22"/>
          <w:lang w:eastAsia="en-US"/>
        </w:rPr>
        <w:t>to take note of the declarations made and the different views expressed under Agenda Item 4;  and</w:t>
      </w:r>
    </w:p>
    <w:p w:rsidR="00182325" w:rsidRPr="00182325" w:rsidRDefault="00182325" w:rsidP="00182325">
      <w:pPr>
        <w:numPr>
          <w:ilvl w:val="0"/>
          <w:numId w:val="7"/>
        </w:numPr>
        <w:autoSpaceDE w:val="0"/>
        <w:autoSpaceDN w:val="0"/>
        <w:adjustRightInd w:val="0"/>
        <w:spacing w:after="120"/>
        <w:ind w:left="1560" w:right="-321" w:hanging="426"/>
        <w:rPr>
          <w:rFonts w:eastAsia="Times New Roman"/>
          <w:color w:val="000000"/>
          <w:szCs w:val="22"/>
          <w:lang w:eastAsia="en-US"/>
        </w:rPr>
      </w:pPr>
      <w:proofErr w:type="gramStart"/>
      <w:r w:rsidRPr="00182325">
        <w:rPr>
          <w:rFonts w:eastAsia="Times New Roman"/>
          <w:color w:val="000000"/>
          <w:szCs w:val="22"/>
          <w:lang w:eastAsia="en-US"/>
        </w:rPr>
        <w:t>to</w:t>
      </w:r>
      <w:proofErr w:type="gramEnd"/>
      <w:r w:rsidRPr="00182325">
        <w:rPr>
          <w:rFonts w:eastAsia="Times New Roman"/>
          <w:color w:val="000000"/>
          <w:szCs w:val="22"/>
          <w:lang w:eastAsia="en-US"/>
        </w:rPr>
        <w:t xml:space="preserve"> further discuss appropriate measures to ensure the financial sustainability of the Lisbon Union in the future, including the review of the Schedule of Fees on a regular basis, while recognizing the need to assess the impact of the entry into force of the Geneva Act on the financial situation of the Union.</w:t>
      </w:r>
    </w:p>
    <w:p w:rsidR="00182325" w:rsidRPr="00182325" w:rsidRDefault="00182325" w:rsidP="00D72B16">
      <w:pPr>
        <w:pStyle w:val="Heading3"/>
      </w:pPr>
      <w:r w:rsidRPr="00182325">
        <w:t>Agenda Item 5:  adoption of the Summary by the Chair</w:t>
      </w:r>
    </w:p>
    <w:p w:rsidR="00182325" w:rsidRPr="00182325" w:rsidRDefault="00182325" w:rsidP="00182325">
      <w:pPr>
        <w:spacing w:after="220"/>
        <w:ind w:left="567"/>
      </w:pPr>
      <w:r w:rsidRPr="00182325">
        <w:t>15.</w:t>
      </w:r>
      <w:r w:rsidRPr="00182325">
        <w:tab/>
        <w:t>The Working Group approved the Summary by the Chair, as contained in the present document.</w:t>
      </w:r>
    </w:p>
    <w:p w:rsidR="00182325" w:rsidRPr="00182325" w:rsidRDefault="00182325" w:rsidP="00D72B16">
      <w:pPr>
        <w:pStyle w:val="Heading3"/>
      </w:pPr>
      <w:r w:rsidRPr="00182325">
        <w:t>Agenda Item 6:  Closing of the Session</w:t>
      </w:r>
    </w:p>
    <w:p w:rsidR="00182325" w:rsidRPr="00182325" w:rsidRDefault="00182325" w:rsidP="00182325">
      <w:pPr>
        <w:spacing w:after="220"/>
      </w:pPr>
      <w:r w:rsidRPr="00182325">
        <w:t>16.</w:t>
      </w:r>
      <w:r w:rsidRPr="00182325">
        <w:tab/>
        <w:t>The Chair closed the session on May 28, 2019.</w:t>
      </w:r>
    </w:p>
    <w:p w:rsidR="00182325" w:rsidRPr="00182325" w:rsidRDefault="00182325" w:rsidP="00182325"/>
    <w:p w:rsidR="000765C4" w:rsidRDefault="00182325" w:rsidP="006A5CAE">
      <w:pPr>
        <w:ind w:left="5534"/>
      </w:pPr>
      <w:r w:rsidRPr="00182325">
        <w:t>[End of document]</w:t>
      </w:r>
    </w:p>
    <w:sectPr w:rsidR="000765C4" w:rsidSect="00AC6315">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B28" w:rsidRDefault="000F0B28">
      <w:r>
        <w:separator/>
      </w:r>
    </w:p>
  </w:endnote>
  <w:endnote w:type="continuationSeparator" w:id="0">
    <w:p w:rsidR="000F0B28" w:rsidRDefault="000F0B28" w:rsidP="003B38C1">
      <w:r>
        <w:separator/>
      </w:r>
    </w:p>
    <w:p w:rsidR="000F0B28" w:rsidRPr="003B38C1" w:rsidRDefault="000F0B28" w:rsidP="003B38C1">
      <w:pPr>
        <w:spacing w:after="60"/>
        <w:rPr>
          <w:sz w:val="17"/>
        </w:rPr>
      </w:pPr>
      <w:r>
        <w:rPr>
          <w:sz w:val="17"/>
        </w:rPr>
        <w:t>[Endnote continued from previous page]</w:t>
      </w:r>
    </w:p>
  </w:endnote>
  <w:endnote w:type="continuationNotice" w:id="1">
    <w:p w:rsidR="000F0B28" w:rsidRPr="003B38C1" w:rsidRDefault="000F0B2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B28" w:rsidRDefault="000F0B28">
      <w:r>
        <w:separator/>
      </w:r>
    </w:p>
  </w:footnote>
  <w:footnote w:type="continuationSeparator" w:id="0">
    <w:p w:rsidR="000F0B28" w:rsidRDefault="000F0B28" w:rsidP="008B60B2">
      <w:r>
        <w:separator/>
      </w:r>
    </w:p>
    <w:p w:rsidR="000F0B28" w:rsidRPr="00ED77FB" w:rsidRDefault="000F0B28" w:rsidP="008B60B2">
      <w:pPr>
        <w:spacing w:after="60"/>
        <w:rPr>
          <w:sz w:val="17"/>
          <w:szCs w:val="17"/>
        </w:rPr>
      </w:pPr>
      <w:r w:rsidRPr="00ED77FB">
        <w:rPr>
          <w:sz w:val="17"/>
          <w:szCs w:val="17"/>
        </w:rPr>
        <w:t>[Footnote continued from previous page]</w:t>
      </w:r>
    </w:p>
  </w:footnote>
  <w:footnote w:type="continuationNotice" w:id="1">
    <w:p w:rsidR="000F0B28" w:rsidRPr="00ED77FB" w:rsidRDefault="000F0B28" w:rsidP="008B60B2">
      <w:pPr>
        <w:spacing w:before="60"/>
        <w:jc w:val="right"/>
        <w:rPr>
          <w:sz w:val="17"/>
          <w:szCs w:val="17"/>
        </w:rPr>
      </w:pPr>
      <w:r w:rsidRPr="00ED77FB">
        <w:rPr>
          <w:sz w:val="17"/>
          <w:szCs w:val="17"/>
        </w:rPr>
        <w:t>[Footnote continued on next page]</w:t>
      </w:r>
    </w:p>
  </w:footnote>
  <w:footnote w:id="2">
    <w:p w:rsidR="00182325" w:rsidRDefault="00182325" w:rsidP="00182325">
      <w:pPr>
        <w:pStyle w:val="FootnoteText"/>
        <w:tabs>
          <w:tab w:val="left" w:pos="550"/>
        </w:tabs>
        <w:rPr>
          <w:szCs w:val="18"/>
        </w:rPr>
      </w:pPr>
      <w:r w:rsidRPr="000C3B1E">
        <w:rPr>
          <w:rStyle w:val="FootnoteReference"/>
          <w:szCs w:val="18"/>
        </w:rPr>
        <w:t>*</w:t>
      </w:r>
      <w:r w:rsidRPr="000C3B1E">
        <w:rPr>
          <w:szCs w:val="18"/>
        </w:rPr>
        <w:t xml:space="preserve"> </w:t>
      </w:r>
      <w:r w:rsidRPr="000C3B1E">
        <w:rPr>
          <w:szCs w:val="18"/>
        </w:rPr>
        <w:tab/>
        <w:t xml:space="preserve">The final list of participants </w:t>
      </w:r>
      <w:proofErr w:type="gramStart"/>
      <w:r w:rsidRPr="000C3B1E">
        <w:rPr>
          <w:szCs w:val="18"/>
        </w:rPr>
        <w:t>will be made</w:t>
      </w:r>
      <w:proofErr w:type="gramEnd"/>
      <w:r w:rsidRPr="000C3B1E">
        <w:rPr>
          <w:szCs w:val="18"/>
        </w:rPr>
        <w:t xml:space="preserve"> available as an </w:t>
      </w:r>
      <w:r>
        <w:rPr>
          <w:szCs w:val="18"/>
        </w:rPr>
        <w:t>Annex to the R</w:t>
      </w:r>
      <w:r w:rsidRPr="000C3B1E">
        <w:rPr>
          <w:szCs w:val="18"/>
        </w:rPr>
        <w:t xml:space="preserve">eport of the session.  </w:t>
      </w:r>
    </w:p>
    <w:p w:rsidR="00182325" w:rsidRPr="000C3B1E" w:rsidRDefault="00182325" w:rsidP="00182325">
      <w:pPr>
        <w:pStyle w:val="FootnoteText"/>
        <w:tabs>
          <w:tab w:val="left" w:pos="550"/>
        </w:tabs>
        <w:rPr>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B28" w:rsidRDefault="000F0B28" w:rsidP="00477D6B">
    <w:pPr>
      <w:jc w:val="right"/>
    </w:pPr>
    <w:r>
      <w:t>LI/</w:t>
    </w:r>
    <w:r w:rsidR="00D72B16">
      <w:t>A/36/1</w:t>
    </w:r>
  </w:p>
  <w:p w:rsidR="000F0B28" w:rsidRDefault="000F0B28" w:rsidP="00477D6B">
    <w:pPr>
      <w:jc w:val="right"/>
    </w:pPr>
    <w:proofErr w:type="gramStart"/>
    <w:r>
      <w:t>page</w:t>
    </w:r>
    <w:proofErr w:type="gramEnd"/>
    <w:r>
      <w:t xml:space="preserve"> </w:t>
    </w:r>
    <w:r w:rsidR="006A5CAE">
      <w:t>2</w:t>
    </w:r>
  </w:p>
  <w:p w:rsidR="000F0B28" w:rsidRDefault="000F0B28" w:rsidP="00477D6B">
    <w:pPr>
      <w:jc w:val="right"/>
    </w:pPr>
  </w:p>
  <w:p w:rsidR="000F0B28" w:rsidRDefault="000F0B28"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B16" w:rsidRPr="009F48A7" w:rsidRDefault="00D72B16" w:rsidP="00477D6B">
    <w:pPr>
      <w:jc w:val="right"/>
      <w:rPr>
        <w:lang w:val="fr-CH"/>
      </w:rPr>
    </w:pPr>
    <w:r w:rsidRPr="009F48A7">
      <w:rPr>
        <w:lang w:val="fr-CH"/>
      </w:rPr>
      <w:t>LI/WG/DEV-SYS/2/3</w:t>
    </w:r>
  </w:p>
  <w:p w:rsidR="00D72B16" w:rsidRPr="009F48A7" w:rsidRDefault="00D72B16" w:rsidP="00477D6B">
    <w:pPr>
      <w:jc w:val="right"/>
      <w:rPr>
        <w:lang w:val="fr-CH"/>
      </w:rPr>
    </w:pPr>
    <w:r w:rsidRPr="009F48A7">
      <w:rPr>
        <w:lang w:val="fr-CH"/>
      </w:rPr>
      <w:t>page 2</w:t>
    </w:r>
  </w:p>
  <w:p w:rsidR="00D72B16" w:rsidRPr="009F48A7" w:rsidRDefault="00D72B16" w:rsidP="00477D6B">
    <w:pPr>
      <w:jc w:val="right"/>
      <w:rPr>
        <w:lang w:val="fr-CH"/>
      </w:rPr>
    </w:pPr>
  </w:p>
  <w:p w:rsidR="00D72B16" w:rsidRPr="009F48A7" w:rsidRDefault="00D72B16" w:rsidP="00477D6B">
    <w:pPr>
      <w:jc w:val="right"/>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7C3" w:rsidRPr="006A5CAE" w:rsidRDefault="006A5CAE" w:rsidP="006A5CAE">
    <w:pPr>
      <w:pStyle w:val="Header"/>
      <w:jc w:val="right"/>
      <w:rPr>
        <w:b/>
        <w:bCs/>
        <w:sz w:val="40"/>
        <w:szCs w:val="40"/>
      </w:rPr>
    </w:pPr>
    <w:r w:rsidRPr="005857F3">
      <w:rPr>
        <w:b/>
        <w:bCs/>
        <w:sz w:val="40"/>
        <w:szCs w:val="40"/>
      </w:rPr>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BC94C6F"/>
    <w:multiLevelType w:val="hybridMultilevel"/>
    <w:tmpl w:val="FF002892"/>
    <w:lvl w:ilvl="0" w:tplc="AF723B4A">
      <w:start w:val="1"/>
      <w:numFmt w:val="lowerRoman"/>
      <w:lvlText w:val="(%1)"/>
      <w:lvlJc w:val="left"/>
      <w:pPr>
        <w:ind w:left="1489" w:hanging="720"/>
      </w:pPr>
      <w:rPr>
        <w:rFonts w:hint="default"/>
      </w:rPr>
    </w:lvl>
    <w:lvl w:ilvl="1" w:tplc="100C0019" w:tentative="1">
      <w:start w:val="1"/>
      <w:numFmt w:val="lowerLetter"/>
      <w:lvlText w:val="%2."/>
      <w:lvlJc w:val="left"/>
      <w:pPr>
        <w:ind w:left="1849" w:hanging="360"/>
      </w:pPr>
    </w:lvl>
    <w:lvl w:ilvl="2" w:tplc="100C001B" w:tentative="1">
      <w:start w:val="1"/>
      <w:numFmt w:val="lowerRoman"/>
      <w:lvlText w:val="%3."/>
      <w:lvlJc w:val="right"/>
      <w:pPr>
        <w:ind w:left="2569" w:hanging="180"/>
      </w:pPr>
    </w:lvl>
    <w:lvl w:ilvl="3" w:tplc="100C000F" w:tentative="1">
      <w:start w:val="1"/>
      <w:numFmt w:val="decimal"/>
      <w:lvlText w:val="%4."/>
      <w:lvlJc w:val="left"/>
      <w:pPr>
        <w:ind w:left="3289" w:hanging="360"/>
      </w:pPr>
    </w:lvl>
    <w:lvl w:ilvl="4" w:tplc="100C0019" w:tentative="1">
      <w:start w:val="1"/>
      <w:numFmt w:val="lowerLetter"/>
      <w:lvlText w:val="%5."/>
      <w:lvlJc w:val="left"/>
      <w:pPr>
        <w:ind w:left="4009" w:hanging="360"/>
      </w:pPr>
    </w:lvl>
    <w:lvl w:ilvl="5" w:tplc="100C001B" w:tentative="1">
      <w:start w:val="1"/>
      <w:numFmt w:val="lowerRoman"/>
      <w:lvlText w:val="%6."/>
      <w:lvlJc w:val="right"/>
      <w:pPr>
        <w:ind w:left="4729" w:hanging="180"/>
      </w:pPr>
    </w:lvl>
    <w:lvl w:ilvl="6" w:tplc="100C000F" w:tentative="1">
      <w:start w:val="1"/>
      <w:numFmt w:val="decimal"/>
      <w:lvlText w:val="%7."/>
      <w:lvlJc w:val="left"/>
      <w:pPr>
        <w:ind w:left="5449" w:hanging="360"/>
      </w:pPr>
    </w:lvl>
    <w:lvl w:ilvl="7" w:tplc="100C0019" w:tentative="1">
      <w:start w:val="1"/>
      <w:numFmt w:val="lowerLetter"/>
      <w:lvlText w:val="%8."/>
      <w:lvlJc w:val="left"/>
      <w:pPr>
        <w:ind w:left="6169" w:hanging="360"/>
      </w:pPr>
    </w:lvl>
    <w:lvl w:ilvl="8" w:tplc="100C001B" w:tentative="1">
      <w:start w:val="1"/>
      <w:numFmt w:val="lowerRoman"/>
      <w:lvlText w:val="%9."/>
      <w:lvlJc w:val="right"/>
      <w:pPr>
        <w:ind w:left="6889"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B28"/>
    <w:rsid w:val="00043CAA"/>
    <w:rsid w:val="00075432"/>
    <w:rsid w:val="000765C4"/>
    <w:rsid w:val="000968ED"/>
    <w:rsid w:val="000C117A"/>
    <w:rsid w:val="000E6FDE"/>
    <w:rsid w:val="000F0B28"/>
    <w:rsid w:val="000F5E56"/>
    <w:rsid w:val="0010331B"/>
    <w:rsid w:val="001362EE"/>
    <w:rsid w:val="00156693"/>
    <w:rsid w:val="001647D5"/>
    <w:rsid w:val="00182325"/>
    <w:rsid w:val="001832A6"/>
    <w:rsid w:val="001E4E00"/>
    <w:rsid w:val="0021217E"/>
    <w:rsid w:val="002634C4"/>
    <w:rsid w:val="002928D3"/>
    <w:rsid w:val="002F1FE6"/>
    <w:rsid w:val="002F4E68"/>
    <w:rsid w:val="00312F7F"/>
    <w:rsid w:val="003178BA"/>
    <w:rsid w:val="00350AE2"/>
    <w:rsid w:val="00361450"/>
    <w:rsid w:val="003673CF"/>
    <w:rsid w:val="003845C1"/>
    <w:rsid w:val="003A6F89"/>
    <w:rsid w:val="003B38C1"/>
    <w:rsid w:val="003D2030"/>
    <w:rsid w:val="003D57B0"/>
    <w:rsid w:val="00423E3E"/>
    <w:rsid w:val="00427AF4"/>
    <w:rsid w:val="004647DA"/>
    <w:rsid w:val="00474062"/>
    <w:rsid w:val="00477D6B"/>
    <w:rsid w:val="005019FF"/>
    <w:rsid w:val="0053057A"/>
    <w:rsid w:val="00560A29"/>
    <w:rsid w:val="005C6649"/>
    <w:rsid w:val="00605827"/>
    <w:rsid w:val="00646050"/>
    <w:rsid w:val="006713CA"/>
    <w:rsid w:val="00676C5C"/>
    <w:rsid w:val="006A5CAE"/>
    <w:rsid w:val="006E4F5F"/>
    <w:rsid w:val="00781DB8"/>
    <w:rsid w:val="007D1613"/>
    <w:rsid w:val="007E4C0E"/>
    <w:rsid w:val="00860537"/>
    <w:rsid w:val="00877718"/>
    <w:rsid w:val="008A134B"/>
    <w:rsid w:val="008B2CC1"/>
    <w:rsid w:val="008B60B2"/>
    <w:rsid w:val="0090731E"/>
    <w:rsid w:val="00916EE2"/>
    <w:rsid w:val="00966A22"/>
    <w:rsid w:val="0096722F"/>
    <w:rsid w:val="00980843"/>
    <w:rsid w:val="009B6777"/>
    <w:rsid w:val="009C127D"/>
    <w:rsid w:val="009E2791"/>
    <w:rsid w:val="009E3F6F"/>
    <w:rsid w:val="009F48A7"/>
    <w:rsid w:val="009F499F"/>
    <w:rsid w:val="009F7DB0"/>
    <w:rsid w:val="00A37342"/>
    <w:rsid w:val="00A42DAF"/>
    <w:rsid w:val="00A45BD8"/>
    <w:rsid w:val="00A60917"/>
    <w:rsid w:val="00A869B7"/>
    <w:rsid w:val="00AA2DD4"/>
    <w:rsid w:val="00AC205C"/>
    <w:rsid w:val="00AF0A6B"/>
    <w:rsid w:val="00B05A69"/>
    <w:rsid w:val="00B16337"/>
    <w:rsid w:val="00B9734B"/>
    <w:rsid w:val="00BA30E2"/>
    <w:rsid w:val="00C11BFE"/>
    <w:rsid w:val="00C5068F"/>
    <w:rsid w:val="00C86D74"/>
    <w:rsid w:val="00C90F0E"/>
    <w:rsid w:val="00CD04F1"/>
    <w:rsid w:val="00CD7F59"/>
    <w:rsid w:val="00D44A0B"/>
    <w:rsid w:val="00D45252"/>
    <w:rsid w:val="00D66E37"/>
    <w:rsid w:val="00D71B4D"/>
    <w:rsid w:val="00D72B16"/>
    <w:rsid w:val="00D93D55"/>
    <w:rsid w:val="00DC0E7C"/>
    <w:rsid w:val="00DC61A6"/>
    <w:rsid w:val="00DF023A"/>
    <w:rsid w:val="00DF383E"/>
    <w:rsid w:val="00E15015"/>
    <w:rsid w:val="00E335FE"/>
    <w:rsid w:val="00E5566B"/>
    <w:rsid w:val="00E85557"/>
    <w:rsid w:val="00EA7D6E"/>
    <w:rsid w:val="00EB2210"/>
    <w:rsid w:val="00EC4E49"/>
    <w:rsid w:val="00ED77FB"/>
    <w:rsid w:val="00EE45FA"/>
    <w:rsid w:val="00F66152"/>
    <w:rsid w:val="00FD53C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B3E474F"/>
  <w15:docId w15:val="{68E9373C-48AB-4FBC-91E8-282DD146B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9F7DB0"/>
    <w:pPr>
      <w:keepNext/>
      <w:spacing w:before="240" w:after="220"/>
      <w:outlineLvl w:val="1"/>
    </w:pPr>
    <w:rPr>
      <w:b/>
      <w:bCs/>
      <w:iCs/>
      <w:caps/>
      <w:szCs w:val="28"/>
    </w:rPr>
  </w:style>
  <w:style w:type="paragraph" w:styleId="Heading3">
    <w:name w:val="heading 3"/>
    <w:basedOn w:val="Normal"/>
    <w:next w:val="Normal"/>
    <w:autoRedefine/>
    <w:qFormat/>
    <w:rsid w:val="009F7DB0"/>
    <w:pPr>
      <w:keepNext/>
      <w:spacing w:before="240" w:after="220"/>
      <w:outlineLvl w:val="2"/>
    </w:pPr>
    <w:rPr>
      <w:bCs/>
      <w:caps/>
      <w:szCs w:val="26"/>
    </w:rPr>
  </w:style>
  <w:style w:type="paragraph" w:styleId="Heading4">
    <w:name w:val="heading 4"/>
    <w:basedOn w:val="Normal"/>
    <w:next w:val="Normal"/>
    <w:autoRedefine/>
    <w:qFormat/>
    <w:rsid w:val="009F7DB0"/>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character" w:customStyle="1" w:styleId="ONUMEChar">
    <w:name w:val="ONUM E Char"/>
    <w:basedOn w:val="DefaultParagraphFont"/>
    <w:link w:val="ONUME"/>
    <w:locked/>
    <w:rsid w:val="000F0B28"/>
    <w:rPr>
      <w:rFonts w:ascii="Arial" w:eastAsia="SimSun" w:hAnsi="Arial" w:cs="Arial"/>
      <w:sz w:val="22"/>
      <w:lang w:val="en-US" w:eastAsia="zh-CN"/>
    </w:rPr>
  </w:style>
  <w:style w:type="character" w:customStyle="1" w:styleId="FootnoteTextChar">
    <w:name w:val="Footnote Text Char"/>
    <w:basedOn w:val="DefaultParagraphFont"/>
    <w:link w:val="FootnoteText"/>
    <w:uiPriority w:val="99"/>
    <w:rsid w:val="00182325"/>
    <w:rPr>
      <w:rFonts w:ascii="Arial" w:eastAsia="SimSun" w:hAnsi="Arial" w:cs="Arial"/>
      <w:sz w:val="18"/>
      <w:lang w:val="en-US" w:eastAsia="zh-CN"/>
    </w:rPr>
  </w:style>
  <w:style w:type="character" w:customStyle="1" w:styleId="HeaderChar">
    <w:name w:val="Header Char"/>
    <w:basedOn w:val="DefaultParagraphFont"/>
    <w:link w:val="Header"/>
    <w:uiPriority w:val="99"/>
    <w:rsid w:val="00182325"/>
    <w:rPr>
      <w:rFonts w:ascii="Arial" w:eastAsia="SimSun" w:hAnsi="Arial" w:cs="Arial"/>
      <w:sz w:val="22"/>
      <w:lang w:val="en-US" w:eastAsia="zh-CN"/>
    </w:rPr>
  </w:style>
  <w:style w:type="character" w:styleId="FootnoteReference">
    <w:name w:val="footnote reference"/>
    <w:uiPriority w:val="99"/>
    <w:rsid w:val="001823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LI%20A%203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F3B45-B0CF-436E-954F-1E887FABC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 A 36 (E)</Template>
  <TotalTime>1</TotalTime>
  <Pages>4</Pages>
  <Words>782</Words>
  <Characters>4339</Characters>
  <Application>Microsoft Office Word</Application>
  <DocSecurity>4</DocSecurity>
  <Lines>271</Lines>
  <Paragraphs>182</Paragraphs>
  <ScaleCrop>false</ScaleCrop>
  <HeadingPairs>
    <vt:vector size="2" baseType="variant">
      <vt:variant>
        <vt:lpstr>Title</vt:lpstr>
      </vt:variant>
      <vt:variant>
        <vt:i4>1</vt:i4>
      </vt:variant>
    </vt:vector>
  </HeadingPairs>
  <TitlesOfParts>
    <vt:vector size="1" baseType="lpstr">
      <vt:lpstr>LI/A/36/</vt:lpstr>
    </vt:vector>
  </TitlesOfParts>
  <Company>WIPO</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LI/A/36/</dc:title>
  <dc:subject>Fifty-Eighth Series of Meetings</dc:subject>
  <dc:creator>VINCENT Anouck</dc:creator>
  <cp:keywords>FOR OFFICIAL USE ONLY</cp:keywords>
  <cp:lastModifiedBy>HÄFLIGER Patience</cp:lastModifiedBy>
  <cp:revision>2</cp:revision>
  <cp:lastPrinted>2011-02-15T11:56:00Z</cp:lastPrinted>
  <dcterms:created xsi:type="dcterms:W3CDTF">2019-07-17T15:13:00Z</dcterms:created>
  <dcterms:modified xsi:type="dcterms:W3CDTF">2019-07-17T15:13:00Z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96a01240-16b8-40c5-9267-e57670cb7d54</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