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B34F6" w:rsidP="00916EE2">
            <w:r>
              <w:rPr>
                <w:noProof/>
                <w:lang w:eastAsia="en-US"/>
              </w:rPr>
              <w:drawing>
                <wp:inline distT="0" distB="0" distL="0" distR="0" wp14:anchorId="5F3ACE94" wp14:editId="6E13FAAD">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B34F6" w:rsidP="00506ED5">
            <w:pPr>
              <w:jc w:val="right"/>
              <w:rPr>
                <w:rFonts w:ascii="Arial Black" w:hAnsi="Arial Black"/>
                <w:caps/>
                <w:sz w:val="15"/>
              </w:rPr>
            </w:pPr>
            <w:r w:rsidRPr="000B34F6">
              <w:rPr>
                <w:rFonts w:ascii="Arial Black" w:hAnsi="Arial Black"/>
                <w:caps/>
                <w:sz w:val="15"/>
              </w:rPr>
              <w:t>LI/A/3</w:t>
            </w:r>
            <w:r w:rsidR="00C847C0">
              <w:rPr>
                <w:rFonts w:ascii="Arial Black" w:hAnsi="Arial Black"/>
                <w:caps/>
                <w:sz w:val="15"/>
              </w:rPr>
              <w:t>3</w:t>
            </w:r>
            <w:r w:rsidRPr="000B34F6">
              <w:rPr>
                <w:rFonts w:ascii="Arial Black" w:hAnsi="Arial Black"/>
                <w:caps/>
                <w:sz w:val="15"/>
              </w:rPr>
              <w:t>/</w:t>
            </w:r>
            <w:bookmarkStart w:id="0" w:name="Code"/>
            <w:bookmarkEnd w:id="0"/>
            <w:r w:rsidR="00506ED5">
              <w:rPr>
                <w:rFonts w:ascii="Arial Black" w:hAnsi="Arial Black"/>
                <w:caps/>
                <w:sz w:val="15"/>
              </w:rPr>
              <w:t>1</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506ED5">
              <w:rPr>
                <w:rFonts w:ascii="Arial Black" w:hAnsi="Arial Black"/>
                <w:caps/>
                <w:sz w:val="15"/>
              </w:rPr>
              <w:t xml:space="preserve">  ENGLISH  </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C205B">
            <w:pPr>
              <w:jc w:val="right"/>
              <w:rPr>
                <w:rFonts w:ascii="Arial Black" w:hAnsi="Arial Black"/>
                <w:caps/>
                <w:sz w:val="15"/>
              </w:rPr>
            </w:pPr>
            <w:r w:rsidRPr="0090731E">
              <w:rPr>
                <w:rFonts w:ascii="Arial Black" w:hAnsi="Arial Black"/>
                <w:caps/>
                <w:sz w:val="15"/>
              </w:rPr>
              <w:t>DATE:</w:t>
            </w:r>
            <w:r w:rsidR="00511392">
              <w:rPr>
                <w:rFonts w:ascii="Arial Black" w:hAnsi="Arial Black"/>
                <w:caps/>
                <w:sz w:val="15"/>
              </w:rPr>
              <w:t xml:space="preserve">  </w:t>
            </w:r>
            <w:r w:rsidR="009C205B">
              <w:rPr>
                <w:rFonts w:ascii="Arial Black" w:hAnsi="Arial Black"/>
                <w:caps/>
                <w:sz w:val="15"/>
              </w:rPr>
              <w:t>August 2</w:t>
            </w:r>
            <w:r w:rsidR="007325CD">
              <w:rPr>
                <w:rFonts w:ascii="Arial Black" w:hAnsi="Arial Black"/>
                <w:caps/>
                <w:sz w:val="15"/>
              </w:rPr>
              <w:t>, 2016</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0B34F6" w:rsidP="008B2CC1">
      <w:pPr>
        <w:rPr>
          <w:b/>
          <w:sz w:val="28"/>
          <w:szCs w:val="28"/>
        </w:rPr>
      </w:pPr>
      <w:r w:rsidRPr="000B34F6">
        <w:rPr>
          <w:b/>
          <w:sz w:val="28"/>
          <w:szCs w:val="28"/>
        </w:rPr>
        <w:t>Special Union for the Protection of Appellations of Origin and their International Registration (Lisbon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0B34F6" w:rsidRPr="000B34F6" w:rsidRDefault="00C847C0" w:rsidP="000B34F6">
      <w:pPr>
        <w:rPr>
          <w:b/>
          <w:sz w:val="24"/>
          <w:szCs w:val="24"/>
        </w:rPr>
      </w:pPr>
      <w:r>
        <w:rPr>
          <w:b/>
          <w:sz w:val="24"/>
          <w:szCs w:val="24"/>
        </w:rPr>
        <w:t>Thirty-Third (</w:t>
      </w:r>
      <w:r w:rsidR="000B34F6" w:rsidRPr="000B34F6">
        <w:rPr>
          <w:b/>
          <w:sz w:val="24"/>
          <w:szCs w:val="24"/>
        </w:rPr>
        <w:t>1</w:t>
      </w:r>
      <w:r>
        <w:rPr>
          <w:b/>
          <w:sz w:val="24"/>
          <w:szCs w:val="24"/>
        </w:rPr>
        <w:t>2</w:t>
      </w:r>
      <w:r w:rsidR="000B34F6" w:rsidRPr="00E570EE">
        <w:rPr>
          <w:b/>
          <w:sz w:val="24"/>
          <w:szCs w:val="24"/>
          <w:vertAlign w:val="superscript"/>
        </w:rPr>
        <w:t>t</w:t>
      </w:r>
      <w:r>
        <w:rPr>
          <w:b/>
          <w:sz w:val="24"/>
          <w:szCs w:val="24"/>
          <w:vertAlign w:val="superscript"/>
        </w:rPr>
        <w:t>h</w:t>
      </w:r>
      <w:r>
        <w:rPr>
          <w:b/>
          <w:sz w:val="24"/>
          <w:szCs w:val="24"/>
        </w:rPr>
        <w:t xml:space="preserve"> Extrao</w:t>
      </w:r>
      <w:r w:rsidR="000B34F6" w:rsidRPr="000B34F6">
        <w:rPr>
          <w:b/>
          <w:sz w:val="24"/>
          <w:szCs w:val="24"/>
        </w:rPr>
        <w:t>rdinary) Session</w:t>
      </w:r>
    </w:p>
    <w:p w:rsidR="008B2CC1" w:rsidRPr="003845C1" w:rsidRDefault="00C847C0" w:rsidP="000B34F6">
      <w:pPr>
        <w:rPr>
          <w:b/>
          <w:sz w:val="24"/>
          <w:szCs w:val="24"/>
        </w:rPr>
      </w:pPr>
      <w:r>
        <w:rPr>
          <w:b/>
          <w:sz w:val="24"/>
          <w:szCs w:val="24"/>
        </w:rPr>
        <w:t>Geneva, October 3 to 11, 2016</w:t>
      </w:r>
    </w:p>
    <w:p w:rsidR="008B2CC1" w:rsidRPr="008B2CC1" w:rsidRDefault="008B2CC1" w:rsidP="008B2CC1"/>
    <w:p w:rsidR="008B2CC1" w:rsidRPr="008B2CC1" w:rsidRDefault="008B2CC1" w:rsidP="008B2CC1"/>
    <w:p w:rsidR="008B2CC1" w:rsidRPr="008B2CC1" w:rsidRDefault="008B2CC1" w:rsidP="008B2CC1"/>
    <w:p w:rsidR="00C904CE" w:rsidRDefault="00C904CE" w:rsidP="00C904CE">
      <w:pPr>
        <w:rPr>
          <w:caps/>
          <w:sz w:val="24"/>
          <w:szCs w:val="24"/>
        </w:rPr>
      </w:pPr>
      <w:bookmarkStart w:id="3" w:name="TitleOfDoc"/>
      <w:bookmarkEnd w:id="3"/>
      <w:r>
        <w:rPr>
          <w:caps/>
          <w:sz w:val="24"/>
          <w:szCs w:val="24"/>
        </w:rPr>
        <w:t>financial matters concerning the LISBON Union</w:t>
      </w:r>
    </w:p>
    <w:p w:rsidR="00C904CE" w:rsidRDefault="00C904CE" w:rsidP="00C904CE"/>
    <w:p w:rsidR="00C904CE" w:rsidRDefault="00C904CE" w:rsidP="00C904CE">
      <w:pPr>
        <w:rPr>
          <w:i/>
        </w:rPr>
      </w:pPr>
      <w:r>
        <w:rPr>
          <w:i/>
        </w:rPr>
        <w:t>Document prepared by the International Bureau</w:t>
      </w:r>
    </w:p>
    <w:p w:rsidR="00C904CE" w:rsidRDefault="00C904CE" w:rsidP="00C904CE"/>
    <w:p w:rsidR="00C904CE" w:rsidRDefault="00C904CE" w:rsidP="00C904CE"/>
    <w:p w:rsidR="00C904CE" w:rsidRDefault="00C904CE" w:rsidP="00C904CE"/>
    <w:p w:rsidR="00C904CE" w:rsidRDefault="00C904CE" w:rsidP="00C904CE"/>
    <w:p w:rsidR="00C904CE" w:rsidRDefault="00C904CE" w:rsidP="004B0A65">
      <w:pPr>
        <w:pStyle w:val="ONUME"/>
        <w:numPr>
          <w:ilvl w:val="0"/>
          <w:numId w:val="0"/>
        </w:numPr>
        <w:tabs>
          <w:tab w:val="left" w:pos="540"/>
        </w:tabs>
        <w:spacing w:after="0"/>
        <w:rPr>
          <w:b/>
          <w:szCs w:val="22"/>
        </w:rPr>
      </w:pPr>
      <w:r>
        <w:rPr>
          <w:b/>
          <w:szCs w:val="22"/>
        </w:rPr>
        <w:t>BACKGROUND</w:t>
      </w:r>
    </w:p>
    <w:p w:rsidR="004B0A65" w:rsidRPr="004B0A65" w:rsidRDefault="004B0A65" w:rsidP="004B0A65">
      <w:pPr>
        <w:tabs>
          <w:tab w:val="left" w:pos="540"/>
        </w:tabs>
        <w:autoSpaceDE w:val="0"/>
        <w:autoSpaceDN w:val="0"/>
        <w:adjustRightInd w:val="0"/>
        <w:rPr>
          <w:rFonts w:eastAsia="Times New Roman"/>
          <w:szCs w:val="22"/>
          <w:lang w:eastAsia="en-US"/>
        </w:rPr>
      </w:pPr>
    </w:p>
    <w:p w:rsidR="00AD0175" w:rsidRPr="00AD0175" w:rsidRDefault="00AD0175" w:rsidP="00AD0175">
      <w:pPr>
        <w:pStyle w:val="ListParagraph"/>
        <w:numPr>
          <w:ilvl w:val="0"/>
          <w:numId w:val="31"/>
        </w:numPr>
        <w:tabs>
          <w:tab w:val="left" w:pos="540"/>
        </w:tabs>
        <w:ind w:left="0" w:firstLine="0"/>
        <w:rPr>
          <w:szCs w:val="22"/>
          <w:lang w:eastAsia="en-US"/>
        </w:rPr>
      </w:pPr>
      <w:r w:rsidRPr="004C6C18">
        <w:rPr>
          <w:szCs w:val="22"/>
          <w:lang w:eastAsia="en-US"/>
        </w:rPr>
        <w:t xml:space="preserve">At the </w:t>
      </w:r>
      <w:r w:rsidR="00536FEE">
        <w:rPr>
          <w:szCs w:val="22"/>
          <w:lang w:eastAsia="en-US"/>
        </w:rPr>
        <w:t>fifty-fifth series of meetings of the Assemblies of the Member States of WIPO</w:t>
      </w:r>
      <w:r w:rsidR="00893F75">
        <w:rPr>
          <w:szCs w:val="22"/>
          <w:lang w:eastAsia="en-US"/>
        </w:rPr>
        <w:t xml:space="preserve"> </w:t>
      </w:r>
      <w:r w:rsidRPr="004C6C18">
        <w:rPr>
          <w:szCs w:val="22"/>
          <w:lang w:eastAsia="en-US"/>
        </w:rPr>
        <w:t xml:space="preserve">(October 5 to 14, 2015), the </w:t>
      </w:r>
      <w:r w:rsidRPr="00754D36">
        <w:t xml:space="preserve">Assemblies of the Member States of WIPO and </w:t>
      </w:r>
      <w:r w:rsidR="002B02CC">
        <w:t xml:space="preserve">of </w:t>
      </w:r>
      <w:r w:rsidRPr="00754D36">
        <w:t xml:space="preserve">the Unions, each as far as it </w:t>
      </w:r>
      <w:r w:rsidR="000376C4">
        <w:t>wa</w:t>
      </w:r>
      <w:r w:rsidRPr="00754D36">
        <w:t>s concerned</w:t>
      </w:r>
      <w:r>
        <w:rPr>
          <w:szCs w:val="22"/>
          <w:lang w:eastAsia="en-US"/>
        </w:rPr>
        <w:t xml:space="preserve">, </w:t>
      </w:r>
      <w:r w:rsidRPr="00754D36">
        <w:t>noted the decision of the Lisbon Union Assembly</w:t>
      </w:r>
      <w:r w:rsidR="00F45345">
        <w:rPr>
          <w:rStyle w:val="FootnoteReference"/>
        </w:rPr>
        <w:footnoteReference w:id="2"/>
      </w:r>
      <w:r w:rsidRPr="00754D36">
        <w:t xml:space="preserve"> to adopt measures by the 2016 Assemblies to eliminate the Lisbon Union’s projected biennial deficit, as describe</w:t>
      </w:r>
      <w:r>
        <w:t>d in the 2016/17 biennium WIPO P</w:t>
      </w:r>
      <w:r w:rsidRPr="00754D36">
        <w:t xml:space="preserve">rogram and </w:t>
      </w:r>
      <w:r>
        <w:t>B</w:t>
      </w:r>
      <w:r w:rsidRPr="00754D36">
        <w:t>udget (</w:t>
      </w:r>
      <w:r w:rsidRPr="00581306">
        <w:t>i.e.</w:t>
      </w:r>
      <w:r>
        <w:rPr>
          <w:i/>
        </w:rPr>
        <w:t xml:space="preserve"> </w:t>
      </w:r>
      <w:r w:rsidRPr="00754D36">
        <w:t xml:space="preserve">1.523 million </w:t>
      </w:r>
      <w:r>
        <w:t>Swiss francs</w:t>
      </w:r>
      <w:r w:rsidRPr="00754D36">
        <w:t>)</w:t>
      </w:r>
      <w:r w:rsidR="004B3B8C">
        <w:t xml:space="preserve">.  </w:t>
      </w:r>
      <w:r w:rsidR="00E45AB5">
        <w:t xml:space="preserve">The </w:t>
      </w:r>
      <w:r w:rsidR="00FC3D1F">
        <w:t>Assemblies</w:t>
      </w:r>
      <w:r w:rsidR="00E45AB5">
        <w:t xml:space="preserve"> of the Member States of WIPO and of the Unions, each as far as it was concerned</w:t>
      </w:r>
      <w:r w:rsidR="0081630E">
        <w:t>,</w:t>
      </w:r>
      <w:r>
        <w:t xml:space="preserve"> </w:t>
      </w:r>
      <w:r w:rsidR="000376C4">
        <w:t xml:space="preserve">also </w:t>
      </w:r>
      <w:r w:rsidRPr="00754D36">
        <w:t xml:space="preserve">decided </w:t>
      </w:r>
      <w:r w:rsidR="00345EB6" w:rsidRPr="00345EB6">
        <w:t>“to approve a loan from the reserves of the Contribution-financed Unions to the Lisbon Union in order to fund the operations of the Lisbon System for 2016/17, in case such measures are not sufficient to cover its projected biennial deficit. Such loan shall be provided on the basis that no interest shall be payable and that it would be repaid when the Lisbon Union reserves would allow it to do so”</w:t>
      </w:r>
      <w:r w:rsidR="00893F75">
        <w:t xml:space="preserve"> </w:t>
      </w:r>
      <w:r w:rsidR="00E45AB5">
        <w:t>(</w:t>
      </w:r>
      <w:r w:rsidRPr="00A40D5B">
        <w:rPr>
          <w:szCs w:val="22"/>
        </w:rPr>
        <w:t>document</w:t>
      </w:r>
      <w:r>
        <w:rPr>
          <w:szCs w:val="22"/>
        </w:rPr>
        <w:t xml:space="preserve"> A/55/13, paragraphs </w:t>
      </w:r>
      <w:r w:rsidR="008B1840">
        <w:rPr>
          <w:szCs w:val="22"/>
        </w:rPr>
        <w:t>231</w:t>
      </w:r>
      <w:r>
        <w:rPr>
          <w:szCs w:val="22"/>
        </w:rPr>
        <w:t xml:space="preserve"> </w:t>
      </w:r>
      <w:r w:rsidR="008B1840">
        <w:rPr>
          <w:szCs w:val="22"/>
        </w:rPr>
        <w:t>and</w:t>
      </w:r>
      <w:r>
        <w:rPr>
          <w:szCs w:val="22"/>
        </w:rPr>
        <w:t xml:space="preserve"> 235</w:t>
      </w:r>
      <w:r w:rsidR="00E45AB5">
        <w:rPr>
          <w:szCs w:val="22"/>
        </w:rPr>
        <w:t>)</w:t>
      </w:r>
      <w:r>
        <w:rPr>
          <w:szCs w:val="22"/>
        </w:rPr>
        <w:t>.</w:t>
      </w:r>
    </w:p>
    <w:p w:rsidR="001F1156" w:rsidRDefault="001F1156">
      <w:pPr>
        <w:rPr>
          <w:szCs w:val="22"/>
          <w:lang w:eastAsia="en-US"/>
        </w:rPr>
      </w:pPr>
      <w:r>
        <w:rPr>
          <w:szCs w:val="22"/>
          <w:lang w:eastAsia="en-US"/>
        </w:rPr>
        <w:br w:type="page"/>
      </w:r>
    </w:p>
    <w:p w:rsidR="00D60D6D" w:rsidRPr="00A40D5B" w:rsidRDefault="004C6C18" w:rsidP="004C6C18">
      <w:pPr>
        <w:pStyle w:val="ListParagraph"/>
        <w:numPr>
          <w:ilvl w:val="0"/>
          <w:numId w:val="31"/>
        </w:numPr>
        <w:tabs>
          <w:tab w:val="left" w:pos="540"/>
        </w:tabs>
        <w:ind w:left="0" w:firstLine="0"/>
        <w:rPr>
          <w:szCs w:val="22"/>
          <w:lang w:eastAsia="en-US"/>
        </w:rPr>
      </w:pPr>
      <w:r w:rsidRPr="00A40D5B">
        <w:rPr>
          <w:szCs w:val="22"/>
        </w:rPr>
        <w:lastRenderedPageBreak/>
        <w:t>In addition,</w:t>
      </w:r>
      <w:r w:rsidR="007C75CD">
        <w:rPr>
          <w:szCs w:val="22"/>
        </w:rPr>
        <w:t xml:space="preserve"> at its thirty-second (21</w:t>
      </w:r>
      <w:r w:rsidR="007C75CD" w:rsidRPr="00893F75">
        <w:rPr>
          <w:szCs w:val="22"/>
          <w:vertAlign w:val="superscript"/>
        </w:rPr>
        <w:t>st</w:t>
      </w:r>
      <w:r w:rsidR="007C75CD">
        <w:rPr>
          <w:szCs w:val="22"/>
        </w:rPr>
        <w:t xml:space="preserve"> ordinary)</w:t>
      </w:r>
      <w:r w:rsidR="002E61A5">
        <w:rPr>
          <w:szCs w:val="22"/>
        </w:rPr>
        <w:t xml:space="preserve"> session</w:t>
      </w:r>
      <w:r w:rsidR="007C75CD">
        <w:rPr>
          <w:szCs w:val="22"/>
        </w:rPr>
        <w:t>,</w:t>
      </w:r>
      <w:r w:rsidRPr="00A40D5B">
        <w:rPr>
          <w:szCs w:val="22"/>
        </w:rPr>
        <w:t xml:space="preserve"> </w:t>
      </w:r>
      <w:r w:rsidRPr="00A40D5B">
        <w:rPr>
          <w:szCs w:val="22"/>
          <w:lang w:eastAsia="en-US"/>
        </w:rPr>
        <w:t xml:space="preserve">the Assembly of the Lisbon Union decided that </w:t>
      </w:r>
      <w:r w:rsidR="00D60D6D" w:rsidRPr="00A40D5B">
        <w:rPr>
          <w:rFonts w:eastAsia="Times New Roman"/>
          <w:color w:val="000000"/>
          <w:szCs w:val="22"/>
          <w:lang w:eastAsia="en-US"/>
        </w:rPr>
        <w:t>the Lisbon Union</w:t>
      </w:r>
      <w:r w:rsidRPr="00A40D5B">
        <w:rPr>
          <w:rFonts w:eastAsia="Times New Roman"/>
          <w:color w:val="000000"/>
          <w:szCs w:val="22"/>
          <w:lang w:eastAsia="en-US"/>
        </w:rPr>
        <w:t xml:space="preserve"> should</w:t>
      </w:r>
      <w:r w:rsidR="00D60D6D" w:rsidRPr="00A40D5B">
        <w:rPr>
          <w:rFonts w:eastAsia="Times New Roman"/>
          <w:color w:val="000000"/>
          <w:szCs w:val="22"/>
          <w:lang w:eastAsia="en-US"/>
        </w:rPr>
        <w:t xml:space="preserve"> take advantage of the meetings of the Working Group </w:t>
      </w:r>
      <w:r w:rsidRPr="00A40D5B">
        <w:rPr>
          <w:rFonts w:eastAsia="Times New Roman"/>
          <w:color w:val="000000"/>
          <w:szCs w:val="22"/>
          <w:lang w:eastAsia="en-US"/>
        </w:rPr>
        <w:t xml:space="preserve">for the Preparation of Common Regulations under the Lisbon Agreement and the Geneva Act of the Lisbon Agreement </w:t>
      </w:r>
      <w:r w:rsidR="00066D55" w:rsidRPr="00A40D5B">
        <w:rPr>
          <w:rFonts w:eastAsia="Times New Roman"/>
          <w:color w:val="000000"/>
          <w:szCs w:val="22"/>
          <w:lang w:eastAsia="en-US"/>
        </w:rPr>
        <w:t>(hereinafter</w:t>
      </w:r>
      <w:r w:rsidR="00581306">
        <w:rPr>
          <w:rFonts w:eastAsia="Times New Roman"/>
          <w:color w:val="000000"/>
          <w:szCs w:val="22"/>
          <w:lang w:eastAsia="en-US"/>
        </w:rPr>
        <w:t xml:space="preserve"> referred to as</w:t>
      </w:r>
      <w:r w:rsidR="00066D55" w:rsidRPr="00A40D5B">
        <w:rPr>
          <w:rFonts w:eastAsia="Times New Roman"/>
          <w:color w:val="000000"/>
          <w:szCs w:val="22"/>
          <w:lang w:eastAsia="en-US"/>
        </w:rPr>
        <w:t xml:space="preserve"> “the Working Group”) </w:t>
      </w:r>
      <w:r w:rsidR="00D60D6D" w:rsidRPr="00A40D5B">
        <w:rPr>
          <w:rFonts w:eastAsia="Times New Roman"/>
          <w:color w:val="000000"/>
          <w:szCs w:val="22"/>
          <w:lang w:eastAsia="en-US"/>
        </w:rPr>
        <w:t>to consider the financial sustainability of the Lisbon Union, including th</w:t>
      </w:r>
      <w:r w:rsidR="00F61BDF">
        <w:rPr>
          <w:rFonts w:eastAsia="Times New Roman"/>
          <w:color w:val="000000"/>
          <w:szCs w:val="22"/>
          <w:lang w:eastAsia="en-US"/>
        </w:rPr>
        <w:t>e options contained in document </w:t>
      </w:r>
      <w:r w:rsidR="00D60D6D" w:rsidRPr="00A40D5B">
        <w:rPr>
          <w:rFonts w:eastAsia="Times New Roman"/>
          <w:color w:val="000000"/>
          <w:szCs w:val="22"/>
          <w:lang w:eastAsia="en-US"/>
        </w:rPr>
        <w:t>LI/A/32/3 or any other practical solution, and to present a proposal to the next session of the Assembly in 2016</w:t>
      </w:r>
      <w:r w:rsidR="007F1249">
        <w:rPr>
          <w:rFonts w:eastAsia="Times New Roman"/>
          <w:color w:val="000000"/>
          <w:szCs w:val="22"/>
          <w:lang w:eastAsia="en-US"/>
        </w:rPr>
        <w:t xml:space="preserve"> (</w:t>
      </w:r>
      <w:r w:rsidR="002E5BEA" w:rsidRPr="00A40D5B">
        <w:rPr>
          <w:szCs w:val="22"/>
        </w:rPr>
        <w:t>document LI/A/32/5, paragraph 73(iii)</w:t>
      </w:r>
      <w:r w:rsidR="007F1249">
        <w:rPr>
          <w:szCs w:val="22"/>
        </w:rPr>
        <w:t>)</w:t>
      </w:r>
      <w:r w:rsidR="002E5BEA" w:rsidRPr="00A40D5B">
        <w:rPr>
          <w:szCs w:val="22"/>
        </w:rPr>
        <w:t>.</w:t>
      </w:r>
    </w:p>
    <w:p w:rsidR="00C904CE" w:rsidRPr="004C6C18" w:rsidRDefault="00C904CE" w:rsidP="004B0A65">
      <w:pPr>
        <w:pStyle w:val="ONUME"/>
        <w:numPr>
          <w:ilvl w:val="0"/>
          <w:numId w:val="0"/>
        </w:numPr>
        <w:tabs>
          <w:tab w:val="left" w:pos="540"/>
        </w:tabs>
        <w:spacing w:after="0"/>
        <w:rPr>
          <w:szCs w:val="22"/>
        </w:rPr>
      </w:pPr>
    </w:p>
    <w:p w:rsidR="005B3204" w:rsidRPr="004C6C18" w:rsidRDefault="005B3204" w:rsidP="004B0A65">
      <w:pPr>
        <w:pStyle w:val="ONUME"/>
        <w:numPr>
          <w:ilvl w:val="0"/>
          <w:numId w:val="0"/>
        </w:numPr>
        <w:tabs>
          <w:tab w:val="left" w:pos="540"/>
        </w:tabs>
        <w:spacing w:after="0"/>
        <w:rPr>
          <w:szCs w:val="22"/>
        </w:rPr>
      </w:pPr>
    </w:p>
    <w:p w:rsidR="00CC6841" w:rsidRPr="00CC6841" w:rsidRDefault="00CC6841" w:rsidP="004B0A65">
      <w:pPr>
        <w:pStyle w:val="ONUME"/>
        <w:numPr>
          <w:ilvl w:val="0"/>
          <w:numId w:val="0"/>
        </w:numPr>
        <w:tabs>
          <w:tab w:val="left" w:pos="540"/>
        </w:tabs>
        <w:spacing w:after="0"/>
        <w:rPr>
          <w:b/>
          <w:szCs w:val="22"/>
        </w:rPr>
      </w:pPr>
      <w:r w:rsidRPr="00CC6841">
        <w:rPr>
          <w:b/>
          <w:szCs w:val="22"/>
        </w:rPr>
        <w:t>FINANCIAL SUSTAINABILITY OF THE LISBON UNION</w:t>
      </w:r>
    </w:p>
    <w:p w:rsidR="00C904CE" w:rsidRDefault="00C904CE" w:rsidP="004B0A65">
      <w:pPr>
        <w:tabs>
          <w:tab w:val="left" w:pos="540"/>
        </w:tabs>
        <w:rPr>
          <w:rFonts w:eastAsia="Times New Roman"/>
          <w:szCs w:val="22"/>
          <w:lang w:eastAsia="en-US"/>
        </w:rPr>
      </w:pPr>
    </w:p>
    <w:p w:rsidR="00C904CE" w:rsidRPr="0085527A" w:rsidRDefault="002E61A5" w:rsidP="00B02909">
      <w:pPr>
        <w:pStyle w:val="ONUME"/>
        <w:numPr>
          <w:ilvl w:val="0"/>
          <w:numId w:val="31"/>
        </w:numPr>
        <w:tabs>
          <w:tab w:val="left" w:pos="540"/>
        </w:tabs>
        <w:autoSpaceDE w:val="0"/>
        <w:autoSpaceDN w:val="0"/>
        <w:adjustRightInd w:val="0"/>
        <w:spacing w:after="0"/>
        <w:ind w:left="0" w:firstLine="0"/>
        <w:rPr>
          <w:szCs w:val="22"/>
        </w:rPr>
      </w:pPr>
      <w:r>
        <w:rPr>
          <w:rFonts w:eastAsia="Times New Roman"/>
          <w:szCs w:val="22"/>
          <w:lang w:eastAsia="en-US"/>
        </w:rPr>
        <w:t>During</w:t>
      </w:r>
      <w:r w:rsidR="007F1249">
        <w:rPr>
          <w:rFonts w:eastAsia="Times New Roman"/>
          <w:szCs w:val="22"/>
          <w:lang w:eastAsia="en-US"/>
        </w:rPr>
        <w:t xml:space="preserve"> the </w:t>
      </w:r>
      <w:r w:rsidR="007F1249">
        <w:rPr>
          <w:szCs w:val="22"/>
        </w:rPr>
        <w:t>first session of the Working Group, which took place</w:t>
      </w:r>
      <w:r w:rsidR="007F1249">
        <w:rPr>
          <w:rFonts w:eastAsia="Times New Roman"/>
          <w:szCs w:val="22"/>
          <w:lang w:eastAsia="en-US"/>
        </w:rPr>
        <w:t xml:space="preserve"> </w:t>
      </w:r>
      <w:r w:rsidR="00B02909">
        <w:rPr>
          <w:szCs w:val="22"/>
        </w:rPr>
        <w:t>in Geneva from June 7 to </w:t>
      </w:r>
      <w:r w:rsidR="007F1249">
        <w:rPr>
          <w:szCs w:val="22"/>
        </w:rPr>
        <w:t xml:space="preserve">9, 2016, </w:t>
      </w:r>
      <w:r w:rsidR="002E5BEA">
        <w:rPr>
          <w:rFonts w:eastAsia="Times New Roman"/>
          <w:szCs w:val="22"/>
          <w:lang w:eastAsia="en-US"/>
        </w:rPr>
        <w:t>t</w:t>
      </w:r>
      <w:r w:rsidR="00C904CE">
        <w:rPr>
          <w:rFonts w:eastAsia="Times New Roman"/>
          <w:szCs w:val="22"/>
          <w:lang w:eastAsia="en-US"/>
        </w:rPr>
        <w:t>he Working Group</w:t>
      </w:r>
      <w:r w:rsidR="007F1249">
        <w:rPr>
          <w:rFonts w:eastAsia="Times New Roman"/>
          <w:szCs w:val="22"/>
          <w:lang w:eastAsia="en-US"/>
        </w:rPr>
        <w:t xml:space="preserve"> referred to </w:t>
      </w:r>
      <w:r w:rsidR="00C904CE" w:rsidRPr="0085527A">
        <w:rPr>
          <w:rFonts w:eastAsia="Times New Roman"/>
          <w:szCs w:val="22"/>
          <w:lang w:eastAsia="en-US"/>
        </w:rPr>
        <w:t xml:space="preserve">documents LI/A/32/3 (Options for the Financial Sustainability of the Lisbon Union), LI/A/32/2 (Proposal to Update the Fee Schedule Under </w:t>
      </w:r>
      <w:r w:rsidR="00581306">
        <w:rPr>
          <w:rFonts w:eastAsia="Times New Roman"/>
          <w:szCs w:val="22"/>
          <w:lang w:eastAsia="en-US"/>
        </w:rPr>
        <w:br/>
      </w:r>
      <w:r w:rsidR="00C904CE" w:rsidRPr="0085527A">
        <w:rPr>
          <w:rFonts w:eastAsia="Times New Roman"/>
          <w:szCs w:val="22"/>
          <w:lang w:eastAsia="en-US"/>
        </w:rPr>
        <w:t>Rule 23 of the Regulations Under the Lisbon Treaty) and LI/A/32/4 (Proposal to Establish a Working Capital Fund for the Lisbon Union)</w:t>
      </w:r>
      <w:r w:rsidR="00C63D91">
        <w:rPr>
          <w:rStyle w:val="FootnoteReference"/>
          <w:rFonts w:eastAsia="Times New Roman"/>
          <w:szCs w:val="22"/>
          <w:lang w:eastAsia="en-US"/>
        </w:rPr>
        <w:footnoteReference w:id="3"/>
      </w:r>
      <w:r w:rsidR="002E5BEA" w:rsidRPr="0085527A">
        <w:rPr>
          <w:rFonts w:eastAsia="Times New Roman"/>
          <w:szCs w:val="22"/>
          <w:lang w:eastAsia="en-US"/>
        </w:rPr>
        <w:t>.</w:t>
      </w:r>
    </w:p>
    <w:p w:rsidR="005B3204" w:rsidRPr="0085527A" w:rsidRDefault="005B3204" w:rsidP="004B0A65">
      <w:pPr>
        <w:tabs>
          <w:tab w:val="left" w:pos="540"/>
        </w:tabs>
        <w:rPr>
          <w:szCs w:val="22"/>
        </w:rPr>
      </w:pPr>
    </w:p>
    <w:p w:rsidR="005B3204" w:rsidRPr="003B5A52" w:rsidRDefault="00893F75" w:rsidP="003B5A52">
      <w:pPr>
        <w:pStyle w:val="ONUME"/>
        <w:numPr>
          <w:ilvl w:val="0"/>
          <w:numId w:val="31"/>
        </w:numPr>
        <w:tabs>
          <w:tab w:val="left" w:pos="540"/>
        </w:tabs>
        <w:spacing w:after="0"/>
        <w:ind w:left="0" w:firstLine="0"/>
        <w:rPr>
          <w:szCs w:val="22"/>
        </w:rPr>
      </w:pPr>
      <w:r w:rsidRPr="00893F75">
        <w:rPr>
          <w:szCs w:val="22"/>
        </w:rPr>
        <w:t>The Chair of the Working Group noted that there was agreement by the Working Group that measures had to be adopted for the long term financial sustainability of the Lisbon Union, including further discussions on a possible gradual increase in fees and the establishment of a contribution system to be discussed and agreed to in the future.</w:t>
      </w:r>
      <w:r>
        <w:rPr>
          <w:szCs w:val="22"/>
        </w:rPr>
        <w:t xml:space="preserve"> </w:t>
      </w:r>
      <w:r w:rsidRPr="00893F75">
        <w:rPr>
          <w:szCs w:val="22"/>
        </w:rPr>
        <w:t xml:space="preserve"> Moreover, delegations recalled the importance </w:t>
      </w:r>
      <w:r w:rsidR="003B1C12">
        <w:rPr>
          <w:szCs w:val="22"/>
        </w:rPr>
        <w:t>of the promotion of the Lisbon S</w:t>
      </w:r>
      <w:r w:rsidRPr="00893F75">
        <w:rPr>
          <w:szCs w:val="22"/>
        </w:rPr>
        <w:t xml:space="preserve">ystem </w:t>
      </w:r>
      <w:r w:rsidR="004E7CFF">
        <w:rPr>
          <w:szCs w:val="22"/>
        </w:rPr>
        <w:t xml:space="preserve">that should be </w:t>
      </w:r>
      <w:proofErr w:type="gramStart"/>
      <w:r w:rsidR="004E7CFF">
        <w:rPr>
          <w:szCs w:val="22"/>
        </w:rPr>
        <w:t>effected</w:t>
      </w:r>
      <w:proofErr w:type="gramEnd"/>
      <w:r w:rsidR="004E7CFF">
        <w:rPr>
          <w:szCs w:val="22"/>
        </w:rPr>
        <w:t xml:space="preserve"> </w:t>
      </w:r>
      <w:r w:rsidRPr="00893F75">
        <w:rPr>
          <w:szCs w:val="22"/>
        </w:rPr>
        <w:t xml:space="preserve">by the Lisbon Registry </w:t>
      </w:r>
      <w:r w:rsidR="004E7CFF">
        <w:rPr>
          <w:szCs w:val="22"/>
        </w:rPr>
        <w:t xml:space="preserve">in order </w:t>
      </w:r>
      <w:r w:rsidRPr="00893F75">
        <w:rPr>
          <w:szCs w:val="22"/>
        </w:rPr>
        <w:t>to attract new Contracting Parties, which would help to share the financial burden among a wider mem</w:t>
      </w:r>
      <w:r w:rsidR="003B1C12">
        <w:rPr>
          <w:szCs w:val="22"/>
        </w:rPr>
        <w:t xml:space="preserve">bership, </w:t>
      </w:r>
      <w:r w:rsidR="00045F57">
        <w:rPr>
          <w:szCs w:val="22"/>
        </w:rPr>
        <w:t>and</w:t>
      </w:r>
      <w:r w:rsidR="006C62C8">
        <w:rPr>
          <w:szCs w:val="22"/>
        </w:rPr>
        <w:t xml:space="preserve"> internally</w:t>
      </w:r>
      <w:r w:rsidR="00045F57">
        <w:rPr>
          <w:szCs w:val="22"/>
        </w:rPr>
        <w:t xml:space="preserve"> </w:t>
      </w:r>
      <w:r w:rsidR="003B1C12">
        <w:rPr>
          <w:szCs w:val="22"/>
        </w:rPr>
        <w:t xml:space="preserve">by the </w:t>
      </w:r>
      <w:r w:rsidR="00581306">
        <w:rPr>
          <w:szCs w:val="22"/>
        </w:rPr>
        <w:t>M</w:t>
      </w:r>
      <w:r w:rsidRPr="00893F75">
        <w:rPr>
          <w:szCs w:val="22"/>
        </w:rPr>
        <w:t xml:space="preserve">ember States </w:t>
      </w:r>
      <w:r w:rsidR="004E7CFF">
        <w:rPr>
          <w:szCs w:val="22"/>
        </w:rPr>
        <w:t xml:space="preserve">in order </w:t>
      </w:r>
      <w:r w:rsidRPr="00893F75">
        <w:rPr>
          <w:szCs w:val="22"/>
        </w:rPr>
        <w:t>to promote the filing of new applications, as much as possible.</w:t>
      </w:r>
      <w:r>
        <w:rPr>
          <w:szCs w:val="22"/>
        </w:rPr>
        <w:t xml:space="preserve"> </w:t>
      </w:r>
      <w:r w:rsidRPr="00893F75">
        <w:rPr>
          <w:szCs w:val="22"/>
        </w:rPr>
        <w:t xml:space="preserve"> In this regard, two </w:t>
      </w:r>
      <w:r w:rsidR="007A045E">
        <w:rPr>
          <w:szCs w:val="22"/>
        </w:rPr>
        <w:t>o</w:t>
      </w:r>
      <w:r w:rsidRPr="00893F75">
        <w:rPr>
          <w:szCs w:val="22"/>
        </w:rPr>
        <w:t xml:space="preserve">bserver </w:t>
      </w:r>
      <w:r w:rsidR="007A045E">
        <w:rPr>
          <w:szCs w:val="22"/>
        </w:rPr>
        <w:t>d</w:t>
      </w:r>
      <w:r w:rsidRPr="00893F75">
        <w:rPr>
          <w:szCs w:val="22"/>
        </w:rPr>
        <w:t xml:space="preserve">elegations stated that WIPO should conduct promotion activities for geographical indications in a balanced manner. </w:t>
      </w:r>
      <w:r w:rsidR="00041445">
        <w:rPr>
          <w:szCs w:val="22"/>
        </w:rPr>
        <w:t xml:space="preserve"> </w:t>
      </w:r>
      <w:r w:rsidR="00EE730F">
        <w:rPr>
          <w:szCs w:val="22"/>
        </w:rPr>
        <w:t>One m</w:t>
      </w:r>
      <w:r w:rsidRPr="00893F75">
        <w:rPr>
          <w:szCs w:val="22"/>
        </w:rPr>
        <w:t xml:space="preserve">ember </w:t>
      </w:r>
      <w:r w:rsidR="007A045E">
        <w:rPr>
          <w:szCs w:val="22"/>
        </w:rPr>
        <w:t>d</w:t>
      </w:r>
      <w:r w:rsidRPr="00893F75">
        <w:rPr>
          <w:szCs w:val="22"/>
        </w:rPr>
        <w:t>elegation questioned whether the issue of balanced promotion should not be</w:t>
      </w:r>
      <w:r w:rsidR="00B02909">
        <w:rPr>
          <w:szCs w:val="22"/>
        </w:rPr>
        <w:t xml:space="preserve"> discussed in a broader context</w:t>
      </w:r>
      <w:r w:rsidR="00B97F1D" w:rsidRPr="000376C4">
        <w:rPr>
          <w:rStyle w:val="FootnoteReference"/>
          <w:szCs w:val="22"/>
        </w:rPr>
        <w:footnoteReference w:id="4"/>
      </w:r>
      <w:r w:rsidR="00B02909">
        <w:rPr>
          <w:szCs w:val="22"/>
        </w:rPr>
        <w:t>.</w:t>
      </w:r>
      <w:r w:rsidR="00B97F1D" w:rsidRPr="003B5A52">
        <w:rPr>
          <w:szCs w:val="22"/>
        </w:rPr>
        <w:t xml:space="preserve"> </w:t>
      </w:r>
      <w:r w:rsidR="005B3204" w:rsidRPr="003B5A52">
        <w:rPr>
          <w:szCs w:val="22"/>
        </w:rPr>
        <w:t xml:space="preserve"> </w:t>
      </w:r>
    </w:p>
    <w:p w:rsidR="005B3204" w:rsidRPr="0085527A" w:rsidRDefault="005B3204" w:rsidP="004B0A65">
      <w:pPr>
        <w:tabs>
          <w:tab w:val="left" w:pos="540"/>
        </w:tabs>
        <w:rPr>
          <w:szCs w:val="22"/>
        </w:rPr>
      </w:pPr>
    </w:p>
    <w:p w:rsidR="005B3204" w:rsidRPr="0085527A" w:rsidRDefault="007A045E" w:rsidP="004B0A65">
      <w:pPr>
        <w:pStyle w:val="ONUME"/>
        <w:numPr>
          <w:ilvl w:val="0"/>
          <w:numId w:val="31"/>
        </w:numPr>
        <w:tabs>
          <w:tab w:val="left" w:pos="540"/>
        </w:tabs>
        <w:spacing w:after="0"/>
        <w:ind w:left="0" w:firstLine="0"/>
        <w:rPr>
          <w:szCs w:val="22"/>
        </w:rPr>
      </w:pPr>
      <w:r>
        <w:rPr>
          <w:szCs w:val="22"/>
        </w:rPr>
        <w:t>Finally</w:t>
      </w:r>
      <w:r w:rsidR="007F1249">
        <w:rPr>
          <w:szCs w:val="22"/>
        </w:rPr>
        <w:t>, t</w:t>
      </w:r>
      <w:r w:rsidR="005B3204" w:rsidRPr="0085527A">
        <w:rPr>
          <w:szCs w:val="22"/>
        </w:rPr>
        <w:t xml:space="preserve">he Working Group requested the Secretariat to organize meeting(s) for the Lisbon Union </w:t>
      </w:r>
      <w:r w:rsidR="009E0B3B">
        <w:rPr>
          <w:szCs w:val="22"/>
        </w:rPr>
        <w:t xml:space="preserve">members </w:t>
      </w:r>
      <w:r w:rsidR="005B3204" w:rsidRPr="0085527A">
        <w:rPr>
          <w:szCs w:val="22"/>
        </w:rPr>
        <w:t>to prepare proposals, with the assistance of the Secretariat, to address the long term financial sustainability of the Lisbon Union in time for consideration at the next session of the Lisbon Union Assembly in accordance with the decision of that Assembly (document LI/A/32/5, paragraph 73(iii)).</w:t>
      </w:r>
    </w:p>
    <w:p w:rsidR="005B3204" w:rsidRPr="0085527A" w:rsidRDefault="005B3204" w:rsidP="004B0A65">
      <w:pPr>
        <w:pStyle w:val="ONUME"/>
        <w:numPr>
          <w:ilvl w:val="0"/>
          <w:numId w:val="0"/>
        </w:numPr>
        <w:tabs>
          <w:tab w:val="left" w:pos="540"/>
        </w:tabs>
        <w:spacing w:after="0"/>
        <w:rPr>
          <w:szCs w:val="22"/>
        </w:rPr>
      </w:pPr>
    </w:p>
    <w:p w:rsidR="005B3204" w:rsidRPr="005B3204" w:rsidRDefault="005B3204" w:rsidP="004B0A65">
      <w:pPr>
        <w:pStyle w:val="ONUME"/>
        <w:numPr>
          <w:ilvl w:val="0"/>
          <w:numId w:val="0"/>
        </w:numPr>
        <w:tabs>
          <w:tab w:val="left" w:pos="540"/>
        </w:tabs>
        <w:spacing w:after="0"/>
        <w:rPr>
          <w:szCs w:val="22"/>
        </w:rPr>
      </w:pPr>
    </w:p>
    <w:p w:rsidR="005B3204" w:rsidRPr="005B3204" w:rsidRDefault="0085527A" w:rsidP="004B0A65">
      <w:pPr>
        <w:pStyle w:val="ONUME"/>
        <w:numPr>
          <w:ilvl w:val="0"/>
          <w:numId w:val="0"/>
        </w:numPr>
        <w:tabs>
          <w:tab w:val="left" w:pos="540"/>
        </w:tabs>
        <w:spacing w:after="0"/>
        <w:rPr>
          <w:b/>
          <w:szCs w:val="22"/>
        </w:rPr>
      </w:pPr>
      <w:r>
        <w:rPr>
          <w:b/>
          <w:szCs w:val="22"/>
        </w:rPr>
        <w:t xml:space="preserve">DEFICIT </w:t>
      </w:r>
      <w:r w:rsidR="005B3204" w:rsidRPr="005B3204">
        <w:rPr>
          <w:b/>
          <w:szCs w:val="22"/>
        </w:rPr>
        <w:t>OF THE LISBON UNION</w:t>
      </w:r>
    </w:p>
    <w:p w:rsidR="00C904CE" w:rsidRDefault="00C904CE" w:rsidP="004B0A65">
      <w:pPr>
        <w:pStyle w:val="ONUME"/>
        <w:numPr>
          <w:ilvl w:val="0"/>
          <w:numId w:val="0"/>
        </w:numPr>
        <w:tabs>
          <w:tab w:val="left" w:pos="540"/>
        </w:tabs>
        <w:spacing w:after="0"/>
        <w:rPr>
          <w:szCs w:val="22"/>
        </w:rPr>
      </w:pPr>
    </w:p>
    <w:p w:rsidR="0049267B" w:rsidRDefault="002E61A5" w:rsidP="00066D55">
      <w:pPr>
        <w:pStyle w:val="ONUME"/>
        <w:numPr>
          <w:ilvl w:val="0"/>
          <w:numId w:val="31"/>
        </w:numPr>
        <w:tabs>
          <w:tab w:val="left" w:pos="540"/>
        </w:tabs>
        <w:ind w:left="0" w:firstLine="0"/>
        <w:rPr>
          <w:szCs w:val="22"/>
        </w:rPr>
      </w:pPr>
      <w:r>
        <w:rPr>
          <w:rFonts w:eastAsia="Times New Roman"/>
          <w:szCs w:val="22"/>
          <w:lang w:eastAsia="en-US"/>
        </w:rPr>
        <w:t>During</w:t>
      </w:r>
      <w:r w:rsidR="003B5A52">
        <w:rPr>
          <w:rFonts w:eastAsia="Times New Roman"/>
          <w:szCs w:val="22"/>
          <w:lang w:eastAsia="en-US"/>
        </w:rPr>
        <w:t xml:space="preserve"> the </w:t>
      </w:r>
      <w:r w:rsidR="003B5A52">
        <w:rPr>
          <w:szCs w:val="22"/>
        </w:rPr>
        <w:t xml:space="preserve">first session of the Working Group, </w:t>
      </w:r>
      <w:r w:rsidR="0049267B">
        <w:rPr>
          <w:szCs w:val="22"/>
        </w:rPr>
        <w:t>Lisbon Union members</w:t>
      </w:r>
      <w:r w:rsidR="0049267B" w:rsidRPr="0049267B">
        <w:rPr>
          <w:rFonts w:eastAsia="Times New Roman"/>
          <w:szCs w:val="22"/>
          <w:lang w:eastAsia="en-US"/>
        </w:rPr>
        <w:t xml:space="preserve"> </w:t>
      </w:r>
      <w:r w:rsidR="003B5A52">
        <w:rPr>
          <w:rFonts w:eastAsia="Times New Roman"/>
          <w:szCs w:val="22"/>
          <w:lang w:eastAsia="en-US"/>
        </w:rPr>
        <w:t>exchange</w:t>
      </w:r>
      <w:r>
        <w:rPr>
          <w:rFonts w:eastAsia="Times New Roman"/>
          <w:szCs w:val="22"/>
          <w:lang w:eastAsia="en-US"/>
        </w:rPr>
        <w:t>d</w:t>
      </w:r>
      <w:r w:rsidR="00E12088">
        <w:rPr>
          <w:rFonts w:eastAsia="Times New Roman"/>
          <w:szCs w:val="22"/>
          <w:lang w:eastAsia="en-US"/>
        </w:rPr>
        <w:t xml:space="preserve"> views </w:t>
      </w:r>
      <w:r w:rsidR="008D20FD">
        <w:rPr>
          <w:rFonts w:eastAsia="Times New Roman"/>
          <w:szCs w:val="22"/>
          <w:lang w:eastAsia="en-US"/>
        </w:rPr>
        <w:t>on</w:t>
      </w:r>
      <w:r w:rsidR="00634A32">
        <w:rPr>
          <w:rFonts w:eastAsia="Times New Roman"/>
          <w:szCs w:val="22"/>
          <w:lang w:eastAsia="en-US"/>
        </w:rPr>
        <w:t xml:space="preserve"> </w:t>
      </w:r>
      <w:r w:rsidR="00197487">
        <w:rPr>
          <w:rFonts w:eastAsia="Times New Roman"/>
          <w:szCs w:val="22"/>
          <w:lang w:eastAsia="en-US"/>
        </w:rPr>
        <w:t xml:space="preserve">possible </w:t>
      </w:r>
      <w:r w:rsidR="0049267B">
        <w:rPr>
          <w:rFonts w:eastAsia="Times New Roman"/>
          <w:szCs w:val="22"/>
          <w:lang w:eastAsia="en-US"/>
        </w:rPr>
        <w:t xml:space="preserve">measures to be adopted by the 2016 Assemblies in order to eliminate </w:t>
      </w:r>
      <w:r w:rsidR="0049267B">
        <w:rPr>
          <w:szCs w:val="22"/>
        </w:rPr>
        <w:t>the projected biennial deficit of the Lisbon Union, as describe</w:t>
      </w:r>
      <w:r w:rsidR="00EE730F">
        <w:rPr>
          <w:szCs w:val="22"/>
        </w:rPr>
        <w:t>d in the 2016/17 biennium WIPO Program and B</w:t>
      </w:r>
      <w:r w:rsidR="0049267B">
        <w:rPr>
          <w:szCs w:val="22"/>
        </w:rPr>
        <w:t xml:space="preserve">udget of the Lisbon Union (1.523 million </w:t>
      </w:r>
      <w:r w:rsidR="00581306">
        <w:rPr>
          <w:szCs w:val="22"/>
        </w:rPr>
        <w:t>Swiss francs</w:t>
      </w:r>
      <w:r w:rsidR="0049267B">
        <w:rPr>
          <w:szCs w:val="22"/>
        </w:rPr>
        <w:t>).</w:t>
      </w:r>
      <w:r w:rsidR="00197487">
        <w:rPr>
          <w:szCs w:val="22"/>
        </w:rPr>
        <w:t xml:space="preserve">  </w:t>
      </w:r>
    </w:p>
    <w:p w:rsidR="001F1156" w:rsidRDefault="00EE730F" w:rsidP="0049267B">
      <w:pPr>
        <w:pStyle w:val="ONUME"/>
        <w:numPr>
          <w:ilvl w:val="0"/>
          <w:numId w:val="31"/>
        </w:numPr>
        <w:tabs>
          <w:tab w:val="left" w:pos="540"/>
        </w:tabs>
        <w:ind w:left="0" w:firstLine="0"/>
        <w:rPr>
          <w:szCs w:val="22"/>
        </w:rPr>
      </w:pPr>
      <w:r>
        <w:rPr>
          <w:szCs w:val="22"/>
        </w:rPr>
        <w:t>In this respect,</w:t>
      </w:r>
      <w:r w:rsidR="0049267B">
        <w:rPr>
          <w:szCs w:val="22"/>
        </w:rPr>
        <w:t xml:space="preserve"> the Chair noted that </w:t>
      </w:r>
      <w:r w:rsidR="00066D55">
        <w:rPr>
          <w:szCs w:val="22"/>
        </w:rPr>
        <w:t>a number of Lisbon Union members</w:t>
      </w:r>
      <w:r w:rsidR="0049267B">
        <w:rPr>
          <w:szCs w:val="22"/>
        </w:rPr>
        <w:t xml:space="preserve"> </w:t>
      </w:r>
      <w:r w:rsidR="00066D55">
        <w:rPr>
          <w:szCs w:val="22"/>
        </w:rPr>
        <w:t>announced their readiness to make voluntary payments in order to eliminate the projected biennial deficit of the Lisbon Union and that they would take the necessary steps to work with the Secretariat on the modalities of such payments</w:t>
      </w:r>
      <w:r w:rsidR="0049267B">
        <w:rPr>
          <w:szCs w:val="22"/>
        </w:rPr>
        <w:t>.</w:t>
      </w:r>
    </w:p>
    <w:p w:rsidR="005B3204" w:rsidRPr="0049267B" w:rsidRDefault="001F1156" w:rsidP="001F1156">
      <w:pPr>
        <w:rPr>
          <w:szCs w:val="22"/>
        </w:rPr>
      </w:pPr>
      <w:r>
        <w:rPr>
          <w:szCs w:val="22"/>
        </w:rPr>
        <w:br w:type="page"/>
      </w:r>
    </w:p>
    <w:p w:rsidR="00C904CE" w:rsidRPr="009E7591" w:rsidRDefault="00C904CE" w:rsidP="007A30C7">
      <w:pPr>
        <w:pStyle w:val="ONUME"/>
        <w:numPr>
          <w:ilvl w:val="0"/>
          <w:numId w:val="31"/>
        </w:numPr>
        <w:tabs>
          <w:tab w:val="left" w:pos="5954"/>
        </w:tabs>
        <w:spacing w:after="0"/>
        <w:ind w:left="5533" w:firstLine="0"/>
        <w:rPr>
          <w:i/>
          <w:szCs w:val="22"/>
        </w:rPr>
      </w:pPr>
      <w:bookmarkStart w:id="4" w:name="_GoBack"/>
      <w:bookmarkEnd w:id="4"/>
      <w:r w:rsidRPr="009E7591">
        <w:rPr>
          <w:i/>
          <w:szCs w:val="22"/>
        </w:rPr>
        <w:lastRenderedPageBreak/>
        <w:t>The Assembly of the Lisbon Union is invited to:</w:t>
      </w:r>
    </w:p>
    <w:p w:rsidR="00C904CE" w:rsidRDefault="00C904CE" w:rsidP="00C904CE">
      <w:pPr>
        <w:ind w:left="5533"/>
        <w:rPr>
          <w:szCs w:val="22"/>
        </w:rPr>
      </w:pPr>
    </w:p>
    <w:p w:rsidR="009E7591" w:rsidRDefault="00581306" w:rsidP="007A58C7">
      <w:pPr>
        <w:pStyle w:val="ListParagraph"/>
        <w:numPr>
          <w:ilvl w:val="0"/>
          <w:numId w:val="32"/>
        </w:numPr>
        <w:tabs>
          <w:tab w:val="left" w:pos="6521"/>
        </w:tabs>
        <w:ind w:left="5954" w:firstLine="0"/>
        <w:rPr>
          <w:i/>
          <w:szCs w:val="22"/>
        </w:rPr>
      </w:pPr>
      <w:r>
        <w:rPr>
          <w:i/>
          <w:szCs w:val="22"/>
        </w:rPr>
        <w:t>take note of</w:t>
      </w:r>
      <w:r w:rsidR="009E7591" w:rsidRPr="009E7591">
        <w:rPr>
          <w:i/>
          <w:szCs w:val="22"/>
        </w:rPr>
        <w:t xml:space="preserve"> document</w:t>
      </w:r>
      <w:r>
        <w:rPr>
          <w:i/>
          <w:szCs w:val="22"/>
        </w:rPr>
        <w:t xml:space="preserve"> LI/A/33/1 (Financial Matters Concerning the Lisbon Union)</w:t>
      </w:r>
      <w:r w:rsidR="009E7591" w:rsidRPr="009E7591">
        <w:rPr>
          <w:i/>
          <w:szCs w:val="22"/>
        </w:rPr>
        <w:t>;</w:t>
      </w:r>
    </w:p>
    <w:p w:rsidR="009E7591" w:rsidRPr="009E7591" w:rsidRDefault="009E7591" w:rsidP="007A58C7">
      <w:pPr>
        <w:pStyle w:val="ListParagraph"/>
        <w:tabs>
          <w:tab w:val="left" w:pos="6521"/>
          <w:tab w:val="left" w:pos="6663"/>
        </w:tabs>
        <w:ind w:left="6210" w:firstLine="27"/>
        <w:rPr>
          <w:i/>
          <w:szCs w:val="22"/>
        </w:rPr>
      </w:pPr>
    </w:p>
    <w:p w:rsidR="00F9681A" w:rsidRPr="00181C6A" w:rsidRDefault="009E7591" w:rsidP="007A58C7">
      <w:pPr>
        <w:pStyle w:val="ListParagraph"/>
        <w:numPr>
          <w:ilvl w:val="0"/>
          <w:numId w:val="32"/>
        </w:numPr>
        <w:tabs>
          <w:tab w:val="left" w:pos="6521"/>
          <w:tab w:val="left" w:pos="6663"/>
        </w:tabs>
        <w:ind w:left="5954" w:firstLine="0"/>
        <w:rPr>
          <w:i/>
          <w:szCs w:val="22"/>
        </w:rPr>
      </w:pPr>
      <w:r>
        <w:rPr>
          <w:i/>
          <w:szCs w:val="22"/>
        </w:rPr>
        <w:t xml:space="preserve">consider </w:t>
      </w:r>
      <w:r w:rsidR="005B3204" w:rsidRPr="009E7591">
        <w:rPr>
          <w:i/>
          <w:szCs w:val="22"/>
        </w:rPr>
        <w:t>proposal</w:t>
      </w:r>
      <w:r w:rsidR="001020EE" w:rsidRPr="009E7591">
        <w:rPr>
          <w:i/>
          <w:szCs w:val="22"/>
        </w:rPr>
        <w:t>(s)</w:t>
      </w:r>
      <w:r w:rsidR="005B3204" w:rsidRPr="009E7591">
        <w:rPr>
          <w:i/>
          <w:szCs w:val="22"/>
        </w:rPr>
        <w:t xml:space="preserve"> to </w:t>
      </w:r>
      <w:r w:rsidR="005B3204" w:rsidRPr="00181C6A">
        <w:rPr>
          <w:i/>
          <w:szCs w:val="22"/>
        </w:rPr>
        <w:t>address the financial sust</w:t>
      </w:r>
      <w:r w:rsidR="001020EE" w:rsidRPr="00181C6A">
        <w:rPr>
          <w:i/>
          <w:szCs w:val="22"/>
        </w:rPr>
        <w:t>ainability of the Lisbon Union</w:t>
      </w:r>
      <w:r w:rsidR="005B3204" w:rsidRPr="00181C6A">
        <w:rPr>
          <w:i/>
          <w:szCs w:val="22"/>
        </w:rPr>
        <w:t xml:space="preserve">;  and </w:t>
      </w:r>
    </w:p>
    <w:p w:rsidR="00F9681A" w:rsidRPr="00181C6A" w:rsidRDefault="00F9681A" w:rsidP="007A58C7">
      <w:pPr>
        <w:pStyle w:val="ListParagraph"/>
        <w:tabs>
          <w:tab w:val="left" w:pos="6521"/>
          <w:tab w:val="left" w:pos="6663"/>
        </w:tabs>
        <w:ind w:left="5954"/>
        <w:rPr>
          <w:i/>
          <w:szCs w:val="22"/>
        </w:rPr>
      </w:pPr>
    </w:p>
    <w:p w:rsidR="00C904CE" w:rsidRPr="00F9681A" w:rsidRDefault="00F9681A" w:rsidP="007A58C7">
      <w:pPr>
        <w:pStyle w:val="ListParagraph"/>
        <w:numPr>
          <w:ilvl w:val="0"/>
          <w:numId w:val="32"/>
        </w:numPr>
        <w:tabs>
          <w:tab w:val="left" w:pos="6521"/>
          <w:tab w:val="left" w:pos="6663"/>
        </w:tabs>
        <w:ind w:left="5954" w:firstLine="0"/>
        <w:rPr>
          <w:i/>
          <w:szCs w:val="22"/>
        </w:rPr>
      </w:pPr>
      <w:r w:rsidRPr="00181C6A">
        <w:rPr>
          <w:i/>
          <w:szCs w:val="22"/>
        </w:rPr>
        <w:t>adopt</w:t>
      </w:r>
      <w:r w:rsidR="00C904CE" w:rsidRPr="00181C6A">
        <w:rPr>
          <w:i/>
          <w:szCs w:val="22"/>
        </w:rPr>
        <w:t xml:space="preserve"> </w:t>
      </w:r>
      <w:r w:rsidR="00305B9D" w:rsidRPr="00181C6A">
        <w:rPr>
          <w:i/>
          <w:szCs w:val="22"/>
        </w:rPr>
        <w:t xml:space="preserve">measures </w:t>
      </w:r>
      <w:r w:rsidR="00C904CE" w:rsidRPr="00181C6A">
        <w:rPr>
          <w:i/>
          <w:szCs w:val="22"/>
        </w:rPr>
        <w:t xml:space="preserve">to eliminate the </w:t>
      </w:r>
      <w:r w:rsidR="00581306">
        <w:rPr>
          <w:i/>
          <w:szCs w:val="22"/>
        </w:rPr>
        <w:t xml:space="preserve">Lisbon Union’s </w:t>
      </w:r>
      <w:r w:rsidR="00C904CE" w:rsidRPr="00181C6A">
        <w:rPr>
          <w:i/>
          <w:szCs w:val="22"/>
        </w:rPr>
        <w:t xml:space="preserve">projected </w:t>
      </w:r>
      <w:r w:rsidR="00D13F33" w:rsidRPr="00181C6A">
        <w:rPr>
          <w:i/>
          <w:szCs w:val="22"/>
        </w:rPr>
        <w:t>biennial</w:t>
      </w:r>
      <w:r w:rsidR="00D13F33">
        <w:rPr>
          <w:i/>
          <w:szCs w:val="22"/>
        </w:rPr>
        <w:t xml:space="preserve"> </w:t>
      </w:r>
      <w:r w:rsidR="005B3204" w:rsidRPr="00F9681A">
        <w:rPr>
          <w:i/>
          <w:szCs w:val="22"/>
        </w:rPr>
        <w:t>deficit</w:t>
      </w:r>
      <w:r>
        <w:rPr>
          <w:i/>
          <w:szCs w:val="22"/>
        </w:rPr>
        <w:t>, as described in the 2016/17 biennium WIPO Program and Budget</w:t>
      </w:r>
      <w:r w:rsidR="00C904CE" w:rsidRPr="00F9681A">
        <w:rPr>
          <w:i/>
          <w:szCs w:val="22"/>
        </w:rPr>
        <w:t>.</w:t>
      </w:r>
    </w:p>
    <w:p w:rsidR="00C904CE" w:rsidRDefault="00C904CE" w:rsidP="007A58C7">
      <w:pPr>
        <w:tabs>
          <w:tab w:val="left" w:pos="6663"/>
        </w:tabs>
        <w:ind w:left="5954"/>
        <w:rPr>
          <w:szCs w:val="22"/>
        </w:rPr>
      </w:pPr>
    </w:p>
    <w:p w:rsidR="00C904CE" w:rsidRDefault="00C904CE" w:rsidP="00C904CE">
      <w:pPr>
        <w:pStyle w:val="Endofdocument-Annex"/>
        <w:rPr>
          <w:szCs w:val="22"/>
        </w:rPr>
      </w:pPr>
    </w:p>
    <w:p w:rsidR="00C904CE" w:rsidRDefault="00C904CE" w:rsidP="00C904CE">
      <w:pPr>
        <w:pStyle w:val="Endofdocument-Annex"/>
        <w:rPr>
          <w:szCs w:val="22"/>
        </w:rPr>
      </w:pPr>
    </w:p>
    <w:p w:rsidR="00955707" w:rsidRDefault="00C904CE" w:rsidP="001879CD">
      <w:pPr>
        <w:pStyle w:val="Endofdocument-Annex"/>
        <w:rPr>
          <w:szCs w:val="22"/>
        </w:rPr>
      </w:pPr>
      <w:r>
        <w:rPr>
          <w:szCs w:val="22"/>
        </w:rPr>
        <w:t>[End of document]</w:t>
      </w:r>
    </w:p>
    <w:p w:rsidR="002928D3" w:rsidRDefault="002928D3"/>
    <w:sectPr w:rsidR="002928D3" w:rsidSect="00035466">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A02" w:rsidRDefault="00877A02">
      <w:r>
        <w:separator/>
      </w:r>
    </w:p>
  </w:endnote>
  <w:endnote w:type="continuationSeparator" w:id="0">
    <w:p w:rsidR="00877A02" w:rsidRDefault="00877A02" w:rsidP="003B38C1">
      <w:r>
        <w:separator/>
      </w:r>
    </w:p>
    <w:p w:rsidR="00877A02" w:rsidRPr="003B38C1" w:rsidRDefault="00877A02" w:rsidP="003B38C1">
      <w:pPr>
        <w:spacing w:after="60"/>
        <w:rPr>
          <w:sz w:val="17"/>
        </w:rPr>
      </w:pPr>
      <w:r>
        <w:rPr>
          <w:sz w:val="17"/>
        </w:rPr>
        <w:t>[Endnote continued from previous page]</w:t>
      </w:r>
    </w:p>
  </w:endnote>
  <w:endnote w:type="continuationNotice" w:id="1">
    <w:p w:rsidR="00877A02" w:rsidRPr="003B38C1" w:rsidRDefault="00877A0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A02" w:rsidRDefault="00877A02">
      <w:r>
        <w:separator/>
      </w:r>
    </w:p>
  </w:footnote>
  <w:footnote w:type="continuationSeparator" w:id="0">
    <w:p w:rsidR="00877A02" w:rsidRDefault="00877A02" w:rsidP="008B60B2">
      <w:r>
        <w:separator/>
      </w:r>
    </w:p>
    <w:p w:rsidR="00877A02" w:rsidRPr="00ED77FB" w:rsidRDefault="00877A02" w:rsidP="008B60B2">
      <w:pPr>
        <w:spacing w:after="60"/>
        <w:rPr>
          <w:sz w:val="17"/>
          <w:szCs w:val="17"/>
        </w:rPr>
      </w:pPr>
      <w:r w:rsidRPr="00ED77FB">
        <w:rPr>
          <w:sz w:val="17"/>
          <w:szCs w:val="17"/>
        </w:rPr>
        <w:t>[Footnote continued from previous page]</w:t>
      </w:r>
    </w:p>
  </w:footnote>
  <w:footnote w:type="continuationNotice" w:id="1">
    <w:p w:rsidR="00877A02" w:rsidRPr="00ED77FB" w:rsidRDefault="00877A02" w:rsidP="008B60B2">
      <w:pPr>
        <w:spacing w:before="60"/>
        <w:jc w:val="right"/>
        <w:rPr>
          <w:sz w:val="17"/>
          <w:szCs w:val="17"/>
        </w:rPr>
      </w:pPr>
      <w:r w:rsidRPr="00ED77FB">
        <w:rPr>
          <w:sz w:val="17"/>
          <w:szCs w:val="17"/>
        </w:rPr>
        <w:t>[Footnote continued on next page]</w:t>
      </w:r>
    </w:p>
  </w:footnote>
  <w:footnote w:id="2">
    <w:p w:rsidR="00F45345" w:rsidRPr="00F45345" w:rsidRDefault="00F45345">
      <w:pPr>
        <w:pStyle w:val="FootnoteText"/>
      </w:pPr>
      <w:r>
        <w:rPr>
          <w:rStyle w:val="FootnoteReference"/>
        </w:rPr>
        <w:footnoteRef/>
      </w:r>
      <w:r>
        <w:t xml:space="preserve"> </w:t>
      </w:r>
      <w:r>
        <w:tab/>
      </w:r>
      <w:r w:rsidRPr="00A40D5B">
        <w:rPr>
          <w:szCs w:val="22"/>
        </w:rPr>
        <w:t>See document LI/A/32/5, paragraph 73(</w:t>
      </w:r>
      <w:proofErr w:type="spellStart"/>
      <w:r w:rsidRPr="00A40D5B">
        <w:rPr>
          <w:szCs w:val="22"/>
        </w:rPr>
        <w:t>i</w:t>
      </w:r>
      <w:proofErr w:type="spellEnd"/>
      <w:r w:rsidRPr="00A40D5B">
        <w:rPr>
          <w:szCs w:val="22"/>
        </w:rPr>
        <w:t>) and (ii)</w:t>
      </w:r>
      <w:r>
        <w:rPr>
          <w:szCs w:val="22"/>
        </w:rPr>
        <w:t>.</w:t>
      </w:r>
    </w:p>
  </w:footnote>
  <w:footnote w:id="3">
    <w:p w:rsidR="00C63D91" w:rsidRPr="00C63F20" w:rsidRDefault="00C63D91">
      <w:pPr>
        <w:pStyle w:val="FootnoteText"/>
      </w:pPr>
      <w:r w:rsidRPr="00C63F20">
        <w:rPr>
          <w:rStyle w:val="FootnoteReference"/>
        </w:rPr>
        <w:footnoteRef/>
      </w:r>
      <w:r w:rsidRPr="00C63F20">
        <w:t xml:space="preserve"> </w:t>
      </w:r>
      <w:r w:rsidRPr="00C63F20">
        <w:tab/>
      </w:r>
      <w:r w:rsidRPr="00C63F20">
        <w:rPr>
          <w:szCs w:val="22"/>
        </w:rPr>
        <w:t xml:space="preserve">See document </w:t>
      </w:r>
      <w:r w:rsidRPr="00C63F20">
        <w:rPr>
          <w:rFonts w:eastAsia="Times New Roman"/>
          <w:szCs w:val="22"/>
          <w:lang w:eastAsia="en-US"/>
        </w:rPr>
        <w:t>LI/WG/PCR/1/4.</w:t>
      </w:r>
    </w:p>
  </w:footnote>
  <w:footnote w:id="4">
    <w:p w:rsidR="00B97F1D" w:rsidRPr="003B5A52" w:rsidRDefault="00B97F1D">
      <w:pPr>
        <w:pStyle w:val="FootnoteText"/>
        <w:rPr>
          <w:szCs w:val="18"/>
          <w:lang w:val="fr-CH"/>
        </w:rPr>
      </w:pPr>
      <w:r w:rsidRPr="00C63F20">
        <w:rPr>
          <w:rStyle w:val="FootnoteReference"/>
          <w:szCs w:val="18"/>
        </w:rPr>
        <w:footnoteRef/>
      </w:r>
      <w:r w:rsidRPr="00C63F20">
        <w:rPr>
          <w:szCs w:val="18"/>
        </w:rPr>
        <w:t xml:space="preserve"> </w:t>
      </w:r>
      <w:r w:rsidRPr="00C63F20">
        <w:rPr>
          <w:szCs w:val="18"/>
        </w:rPr>
        <w:tab/>
      </w:r>
      <w:r w:rsidR="002C236F" w:rsidRPr="00C63F20">
        <w:rPr>
          <w:szCs w:val="22"/>
        </w:rPr>
        <w:t xml:space="preserve">See document </w:t>
      </w:r>
      <w:r w:rsidR="002C236F" w:rsidRPr="00C63F20">
        <w:rPr>
          <w:rFonts w:eastAsia="Times New Roman"/>
          <w:szCs w:val="22"/>
          <w:lang w:eastAsia="en-US"/>
        </w:rPr>
        <w:t>LI/WG/PCR/1/5, paragraph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923573"/>
      <w:docPartObj>
        <w:docPartGallery w:val="Page Numbers (Top of Page)"/>
        <w:docPartUnique/>
      </w:docPartObj>
    </w:sdtPr>
    <w:sdtEndPr>
      <w:rPr>
        <w:noProof/>
      </w:rPr>
    </w:sdtEndPr>
    <w:sdtContent>
      <w:p w:rsidR="00035466" w:rsidRDefault="00035466">
        <w:pPr>
          <w:pStyle w:val="Header"/>
          <w:jc w:val="right"/>
        </w:pPr>
        <w:r>
          <w:t>LI/A/33/1</w:t>
        </w:r>
      </w:p>
      <w:p w:rsidR="00035466" w:rsidRDefault="00035466">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FA5213">
          <w:rPr>
            <w:noProof/>
          </w:rPr>
          <w:t>3</w:t>
        </w:r>
        <w:r>
          <w:rPr>
            <w:noProof/>
          </w:rPr>
          <w:fldChar w:fldCharType="end"/>
        </w:r>
      </w:p>
      <w:p w:rsidR="00035466" w:rsidRDefault="00FA5213">
        <w:pPr>
          <w:pStyle w:val="Header"/>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D1F14"/>
    <w:multiLevelType w:val="hybridMultilevel"/>
    <w:tmpl w:val="1B84D826"/>
    <w:lvl w:ilvl="0" w:tplc="A5B82BC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3CE1CD2"/>
    <w:multiLevelType w:val="hybridMultilevel"/>
    <w:tmpl w:val="6EA2D23A"/>
    <w:lvl w:ilvl="0" w:tplc="9A08CA40">
      <w:start w:val="1"/>
      <w:numFmt w:val="lowerLetter"/>
      <w:lvlText w:val="(%1)"/>
      <w:lvlJc w:val="left"/>
      <w:pPr>
        <w:ind w:left="960" w:hanging="39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7">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9D64004"/>
    <w:multiLevelType w:val="hybridMultilevel"/>
    <w:tmpl w:val="1598AA8C"/>
    <w:lvl w:ilvl="0" w:tplc="B1EE782E">
      <w:start w:val="1"/>
      <w:numFmt w:val="lowerRoman"/>
      <w:lvlText w:val="(%1)"/>
      <w:lvlJc w:val="left"/>
      <w:pPr>
        <w:ind w:left="6957" w:hanging="72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10">
    <w:nsid w:val="2BFD3956"/>
    <w:multiLevelType w:val="hybridMultilevel"/>
    <w:tmpl w:val="E276807A"/>
    <w:lvl w:ilvl="0" w:tplc="0E1468C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nsid w:val="30CC354E"/>
    <w:multiLevelType w:val="hybridMultilevel"/>
    <w:tmpl w:val="41A60F7E"/>
    <w:lvl w:ilvl="0" w:tplc="2EFCCB50">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350C451C"/>
    <w:multiLevelType w:val="hybridMultilevel"/>
    <w:tmpl w:val="990E46C8"/>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2873C3"/>
    <w:multiLevelType w:val="hybridMultilevel"/>
    <w:tmpl w:val="9692DA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B65D8B"/>
    <w:multiLevelType w:val="hybridMultilevel"/>
    <w:tmpl w:val="B8AC3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B5D7F9C"/>
    <w:multiLevelType w:val="hybridMultilevel"/>
    <w:tmpl w:val="C50296D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E97368"/>
    <w:multiLevelType w:val="hybridMultilevel"/>
    <w:tmpl w:val="636A6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9A37C9"/>
    <w:multiLevelType w:val="hybridMultilevel"/>
    <w:tmpl w:val="21CABD44"/>
    <w:lvl w:ilvl="0" w:tplc="CCF20034">
      <w:start w:val="1"/>
      <w:numFmt w:val="decimal"/>
      <w:lvlText w:val="%1."/>
      <w:lvlJc w:val="left"/>
      <w:pPr>
        <w:ind w:left="0" w:firstLine="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2DA2CEB"/>
    <w:multiLevelType w:val="hybridMultilevel"/>
    <w:tmpl w:val="B288B9D8"/>
    <w:lvl w:ilvl="0" w:tplc="0218CCDC">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22">
    <w:nsid w:val="5CD94210"/>
    <w:multiLevelType w:val="hybridMultilevel"/>
    <w:tmpl w:val="3698E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A62EFD"/>
    <w:multiLevelType w:val="hybridMultilevel"/>
    <w:tmpl w:val="EA8CB0D2"/>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2E5286"/>
    <w:multiLevelType w:val="hybridMultilevel"/>
    <w:tmpl w:val="1B5036DC"/>
    <w:lvl w:ilvl="0" w:tplc="27DC7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26">
    <w:nsid w:val="6D0B1844"/>
    <w:multiLevelType w:val="hybridMultilevel"/>
    <w:tmpl w:val="5B9A7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500BE8"/>
    <w:multiLevelType w:val="hybridMultilevel"/>
    <w:tmpl w:val="CCE03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581EDA"/>
    <w:multiLevelType w:val="hybridMultilevel"/>
    <w:tmpl w:val="B61AA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0"/>
  </w:num>
  <w:num w:numId="4">
    <w:abstractNumId w:val="18"/>
  </w:num>
  <w:num w:numId="5">
    <w:abstractNumId w:val="4"/>
  </w:num>
  <w:num w:numId="6">
    <w:abstractNumId w:val="8"/>
  </w:num>
  <w:num w:numId="7">
    <w:abstractNumId w:val="7"/>
  </w:num>
  <w:num w:numId="8">
    <w:abstractNumId w:val="25"/>
  </w:num>
  <w:num w:numId="9">
    <w:abstractNumId w:val="6"/>
  </w:num>
  <w:num w:numId="10">
    <w:abstractNumId w:val="2"/>
  </w:num>
  <w:num w:numId="11">
    <w:abstractNumId w:val="24"/>
  </w:num>
  <w:num w:numId="12">
    <w:abstractNumId w:val="21"/>
  </w:num>
  <w:num w:numId="13">
    <w:abstractNumId w:val="4"/>
    <w:lvlOverride w:ilvl="0">
      <w:startOverride w:val="1"/>
    </w:lvlOverride>
    <w:lvlOverride w:ilvl="1">
      <w:startOverride w:val="1"/>
    </w:lvlOverride>
    <w:lvlOverride w:ilvl="2">
      <w:startOverride w:val="2"/>
    </w:lvlOverride>
  </w:num>
  <w:num w:numId="14">
    <w:abstractNumId w:val="12"/>
  </w:num>
  <w:num w:numId="15">
    <w:abstractNumId w:val="23"/>
  </w:num>
  <w:num w:numId="16">
    <w:abstractNumId w:val="20"/>
  </w:num>
  <w:num w:numId="17">
    <w:abstractNumId w:val="1"/>
  </w:num>
  <w:num w:numId="18">
    <w:abstractNumId w:val="3"/>
  </w:num>
  <w:num w:numId="19">
    <w:abstractNumId w:val="10"/>
  </w:num>
  <w:num w:numId="2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22"/>
  </w:num>
  <w:num w:numId="24">
    <w:abstractNumId w:val="19"/>
  </w:num>
  <w:num w:numId="25">
    <w:abstractNumId w:val="27"/>
  </w:num>
  <w:num w:numId="26">
    <w:abstractNumId w:val="14"/>
  </w:num>
  <w:num w:numId="27">
    <w:abstractNumId w:val="13"/>
  </w:num>
  <w:num w:numId="28">
    <w:abstractNumId w:val="26"/>
  </w:num>
  <w:num w:numId="29">
    <w:abstractNumId w:val="28"/>
  </w:num>
  <w:num w:numId="30">
    <w:abstractNumId w:val="16"/>
  </w:num>
  <w:num w:numId="31">
    <w:abstractNumId w:val="17"/>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04"/>
    <w:rsid w:val="00012377"/>
    <w:rsid w:val="00035466"/>
    <w:rsid w:val="00035E6A"/>
    <w:rsid w:val="000376C4"/>
    <w:rsid w:val="00041445"/>
    <w:rsid w:val="00042BA6"/>
    <w:rsid w:val="00043CAA"/>
    <w:rsid w:val="00045F57"/>
    <w:rsid w:val="00057564"/>
    <w:rsid w:val="00066D55"/>
    <w:rsid w:val="00075432"/>
    <w:rsid w:val="00082836"/>
    <w:rsid w:val="00084376"/>
    <w:rsid w:val="000968ED"/>
    <w:rsid w:val="000A13E9"/>
    <w:rsid w:val="000B3177"/>
    <w:rsid w:val="000B34F6"/>
    <w:rsid w:val="000D5CD3"/>
    <w:rsid w:val="000F5E56"/>
    <w:rsid w:val="000F7BE9"/>
    <w:rsid w:val="001020EE"/>
    <w:rsid w:val="00102ABA"/>
    <w:rsid w:val="00105F7B"/>
    <w:rsid w:val="0010624A"/>
    <w:rsid w:val="00115AC9"/>
    <w:rsid w:val="00127BE1"/>
    <w:rsid w:val="00133F1D"/>
    <w:rsid w:val="001362EE"/>
    <w:rsid w:val="00173B71"/>
    <w:rsid w:val="00181C6A"/>
    <w:rsid w:val="001832A6"/>
    <w:rsid w:val="001879CD"/>
    <w:rsid w:val="00197487"/>
    <w:rsid w:val="001A0E16"/>
    <w:rsid w:val="001B0811"/>
    <w:rsid w:val="001E110E"/>
    <w:rsid w:val="001F1156"/>
    <w:rsid w:val="001F312A"/>
    <w:rsid w:val="00201766"/>
    <w:rsid w:val="00234DCC"/>
    <w:rsid w:val="00244071"/>
    <w:rsid w:val="00244D0A"/>
    <w:rsid w:val="002518BC"/>
    <w:rsid w:val="00262B88"/>
    <w:rsid w:val="002634C4"/>
    <w:rsid w:val="00281A06"/>
    <w:rsid w:val="00284F62"/>
    <w:rsid w:val="00291913"/>
    <w:rsid w:val="002928D3"/>
    <w:rsid w:val="002A661C"/>
    <w:rsid w:val="002A7E97"/>
    <w:rsid w:val="002B02CC"/>
    <w:rsid w:val="002C236F"/>
    <w:rsid w:val="002D2015"/>
    <w:rsid w:val="002D5D6E"/>
    <w:rsid w:val="002E403E"/>
    <w:rsid w:val="002E5BEA"/>
    <w:rsid w:val="002E61A5"/>
    <w:rsid w:val="002F1FE6"/>
    <w:rsid w:val="002F4E68"/>
    <w:rsid w:val="00305B9D"/>
    <w:rsid w:val="00306338"/>
    <w:rsid w:val="00306BD3"/>
    <w:rsid w:val="00312F7F"/>
    <w:rsid w:val="00320659"/>
    <w:rsid w:val="003228B7"/>
    <w:rsid w:val="00335537"/>
    <w:rsid w:val="00345EB6"/>
    <w:rsid w:val="003673CF"/>
    <w:rsid w:val="003845C1"/>
    <w:rsid w:val="003A6F89"/>
    <w:rsid w:val="003B1C12"/>
    <w:rsid w:val="003B38C1"/>
    <w:rsid w:val="003B5A52"/>
    <w:rsid w:val="003C0C49"/>
    <w:rsid w:val="003D3031"/>
    <w:rsid w:val="003E551C"/>
    <w:rsid w:val="003F2FC0"/>
    <w:rsid w:val="00414BDF"/>
    <w:rsid w:val="00423E3E"/>
    <w:rsid w:val="00424059"/>
    <w:rsid w:val="00427AF4"/>
    <w:rsid w:val="004400E2"/>
    <w:rsid w:val="00442FCC"/>
    <w:rsid w:val="004647DA"/>
    <w:rsid w:val="00474062"/>
    <w:rsid w:val="00477D6B"/>
    <w:rsid w:val="00481EE0"/>
    <w:rsid w:val="00490192"/>
    <w:rsid w:val="0049267B"/>
    <w:rsid w:val="004A7D83"/>
    <w:rsid w:val="004B0A65"/>
    <w:rsid w:val="004B3B8C"/>
    <w:rsid w:val="004C6C18"/>
    <w:rsid w:val="004D3574"/>
    <w:rsid w:val="004D38D9"/>
    <w:rsid w:val="004E7CFF"/>
    <w:rsid w:val="00506ED5"/>
    <w:rsid w:val="00507E62"/>
    <w:rsid w:val="00511392"/>
    <w:rsid w:val="0051392C"/>
    <w:rsid w:val="0051799B"/>
    <w:rsid w:val="0053057A"/>
    <w:rsid w:val="005315A9"/>
    <w:rsid w:val="00536FEE"/>
    <w:rsid w:val="00560A29"/>
    <w:rsid w:val="00581306"/>
    <w:rsid w:val="00585963"/>
    <w:rsid w:val="00585C0C"/>
    <w:rsid w:val="005B3204"/>
    <w:rsid w:val="005B7363"/>
    <w:rsid w:val="005C53A5"/>
    <w:rsid w:val="005D2E8D"/>
    <w:rsid w:val="005E3F28"/>
    <w:rsid w:val="005E7A29"/>
    <w:rsid w:val="00602D16"/>
    <w:rsid w:val="00604B3D"/>
    <w:rsid w:val="00605827"/>
    <w:rsid w:val="00634A32"/>
    <w:rsid w:val="00646050"/>
    <w:rsid w:val="00646B74"/>
    <w:rsid w:val="006475E0"/>
    <w:rsid w:val="00664227"/>
    <w:rsid w:val="00664EA2"/>
    <w:rsid w:val="00670529"/>
    <w:rsid w:val="006713CA"/>
    <w:rsid w:val="00676C5C"/>
    <w:rsid w:val="00683BF5"/>
    <w:rsid w:val="00686840"/>
    <w:rsid w:val="00691862"/>
    <w:rsid w:val="006A37FA"/>
    <w:rsid w:val="006A41E9"/>
    <w:rsid w:val="006A7859"/>
    <w:rsid w:val="006C62C8"/>
    <w:rsid w:val="006D0CF0"/>
    <w:rsid w:val="006E26D6"/>
    <w:rsid w:val="007058FB"/>
    <w:rsid w:val="00710904"/>
    <w:rsid w:val="00710D99"/>
    <w:rsid w:val="00712486"/>
    <w:rsid w:val="007325CD"/>
    <w:rsid w:val="00734C05"/>
    <w:rsid w:val="00747149"/>
    <w:rsid w:val="007A045E"/>
    <w:rsid w:val="007A30C7"/>
    <w:rsid w:val="007A4A3B"/>
    <w:rsid w:val="007A56C0"/>
    <w:rsid w:val="007A58C7"/>
    <w:rsid w:val="007B0838"/>
    <w:rsid w:val="007B6A58"/>
    <w:rsid w:val="007C75CD"/>
    <w:rsid w:val="007D1613"/>
    <w:rsid w:val="007D16E8"/>
    <w:rsid w:val="007D2DC8"/>
    <w:rsid w:val="007D5BA3"/>
    <w:rsid w:val="007F1249"/>
    <w:rsid w:val="00800288"/>
    <w:rsid w:val="00813B7B"/>
    <w:rsid w:val="0081630E"/>
    <w:rsid w:val="00826BA7"/>
    <w:rsid w:val="0084346F"/>
    <w:rsid w:val="00846F47"/>
    <w:rsid w:val="0085527A"/>
    <w:rsid w:val="00860345"/>
    <w:rsid w:val="0086619E"/>
    <w:rsid w:val="00877A02"/>
    <w:rsid w:val="00881363"/>
    <w:rsid w:val="00891161"/>
    <w:rsid w:val="00893F75"/>
    <w:rsid w:val="008A3E48"/>
    <w:rsid w:val="008A5210"/>
    <w:rsid w:val="008A5BD9"/>
    <w:rsid w:val="008B1840"/>
    <w:rsid w:val="008B2CC1"/>
    <w:rsid w:val="008B60B2"/>
    <w:rsid w:val="008D20FD"/>
    <w:rsid w:val="008D5950"/>
    <w:rsid w:val="008E0257"/>
    <w:rsid w:val="008E0C27"/>
    <w:rsid w:val="008F0A22"/>
    <w:rsid w:val="008F47C3"/>
    <w:rsid w:val="0090731E"/>
    <w:rsid w:val="00916EE2"/>
    <w:rsid w:val="009171F0"/>
    <w:rsid w:val="0094735C"/>
    <w:rsid w:val="00955707"/>
    <w:rsid w:val="00961F04"/>
    <w:rsid w:val="009648D3"/>
    <w:rsid w:val="00966A22"/>
    <w:rsid w:val="0096722F"/>
    <w:rsid w:val="00980843"/>
    <w:rsid w:val="009C205B"/>
    <w:rsid w:val="009E0B3B"/>
    <w:rsid w:val="009E2791"/>
    <w:rsid w:val="009E3F6F"/>
    <w:rsid w:val="009E5174"/>
    <w:rsid w:val="009E5710"/>
    <w:rsid w:val="009E7591"/>
    <w:rsid w:val="009F499F"/>
    <w:rsid w:val="00A07491"/>
    <w:rsid w:val="00A30D07"/>
    <w:rsid w:val="00A30F03"/>
    <w:rsid w:val="00A40D5B"/>
    <w:rsid w:val="00A42DAF"/>
    <w:rsid w:val="00A45BD8"/>
    <w:rsid w:val="00A85B8E"/>
    <w:rsid w:val="00A9719D"/>
    <w:rsid w:val="00AA1B26"/>
    <w:rsid w:val="00AA440C"/>
    <w:rsid w:val="00AC09B1"/>
    <w:rsid w:val="00AC205C"/>
    <w:rsid w:val="00AD0175"/>
    <w:rsid w:val="00AD01AD"/>
    <w:rsid w:val="00B02909"/>
    <w:rsid w:val="00B0396B"/>
    <w:rsid w:val="00B05A69"/>
    <w:rsid w:val="00B14184"/>
    <w:rsid w:val="00B1573A"/>
    <w:rsid w:val="00B2126C"/>
    <w:rsid w:val="00B35FB8"/>
    <w:rsid w:val="00B36837"/>
    <w:rsid w:val="00B52235"/>
    <w:rsid w:val="00B703B3"/>
    <w:rsid w:val="00B7043D"/>
    <w:rsid w:val="00B92981"/>
    <w:rsid w:val="00B93E5C"/>
    <w:rsid w:val="00B9734B"/>
    <w:rsid w:val="00B97F1D"/>
    <w:rsid w:val="00BA56E1"/>
    <w:rsid w:val="00BC4BA0"/>
    <w:rsid w:val="00BE4D83"/>
    <w:rsid w:val="00C11BFE"/>
    <w:rsid w:val="00C128C1"/>
    <w:rsid w:val="00C12D8A"/>
    <w:rsid w:val="00C41F9A"/>
    <w:rsid w:val="00C47886"/>
    <w:rsid w:val="00C613B2"/>
    <w:rsid w:val="00C63D91"/>
    <w:rsid w:val="00C63F20"/>
    <w:rsid w:val="00C76CD9"/>
    <w:rsid w:val="00C847C0"/>
    <w:rsid w:val="00C856B1"/>
    <w:rsid w:val="00C904CE"/>
    <w:rsid w:val="00C94629"/>
    <w:rsid w:val="00CB4460"/>
    <w:rsid w:val="00CC6841"/>
    <w:rsid w:val="00CE0386"/>
    <w:rsid w:val="00CE5DEF"/>
    <w:rsid w:val="00CF3374"/>
    <w:rsid w:val="00CF5981"/>
    <w:rsid w:val="00D13F33"/>
    <w:rsid w:val="00D17E1B"/>
    <w:rsid w:val="00D25DD5"/>
    <w:rsid w:val="00D30A71"/>
    <w:rsid w:val="00D45252"/>
    <w:rsid w:val="00D462A6"/>
    <w:rsid w:val="00D47AF0"/>
    <w:rsid w:val="00D51946"/>
    <w:rsid w:val="00D548EA"/>
    <w:rsid w:val="00D60D6D"/>
    <w:rsid w:val="00D71B4D"/>
    <w:rsid w:val="00D93D55"/>
    <w:rsid w:val="00DA5393"/>
    <w:rsid w:val="00DA6DAE"/>
    <w:rsid w:val="00DA79B8"/>
    <w:rsid w:val="00DC24D7"/>
    <w:rsid w:val="00DD5818"/>
    <w:rsid w:val="00DD7A35"/>
    <w:rsid w:val="00E12088"/>
    <w:rsid w:val="00E156E9"/>
    <w:rsid w:val="00E335FE"/>
    <w:rsid w:val="00E360CA"/>
    <w:rsid w:val="00E43F92"/>
    <w:rsid w:val="00E45AB5"/>
    <w:rsid w:val="00E46835"/>
    <w:rsid w:val="00E5021F"/>
    <w:rsid w:val="00E51A3C"/>
    <w:rsid w:val="00E570EE"/>
    <w:rsid w:val="00E8758A"/>
    <w:rsid w:val="00E9234D"/>
    <w:rsid w:val="00EC446F"/>
    <w:rsid w:val="00EC4E49"/>
    <w:rsid w:val="00ED77FB"/>
    <w:rsid w:val="00EE0AD5"/>
    <w:rsid w:val="00EE730F"/>
    <w:rsid w:val="00EF6AA9"/>
    <w:rsid w:val="00F021A6"/>
    <w:rsid w:val="00F2169B"/>
    <w:rsid w:val="00F251A0"/>
    <w:rsid w:val="00F3313F"/>
    <w:rsid w:val="00F45345"/>
    <w:rsid w:val="00F502CC"/>
    <w:rsid w:val="00F519D5"/>
    <w:rsid w:val="00F61BDF"/>
    <w:rsid w:val="00F66152"/>
    <w:rsid w:val="00F91B1D"/>
    <w:rsid w:val="00F9681A"/>
    <w:rsid w:val="00FA5213"/>
    <w:rsid w:val="00FC08D3"/>
    <w:rsid w:val="00FC1E96"/>
    <w:rsid w:val="00FC3D1F"/>
    <w:rsid w:val="00FF0282"/>
    <w:rsid w:val="00FF60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955707"/>
    <w:rPr>
      <w:rFonts w:ascii="Arial" w:eastAsia="SimSun" w:hAnsi="Arial" w:cs="Arial"/>
      <w:sz w:val="22"/>
      <w:lang w:eastAsia="zh-CN"/>
    </w:rPr>
  </w:style>
  <w:style w:type="character" w:styleId="PageNumber">
    <w:name w:val="page number"/>
    <w:basedOn w:val="DefaultParagraphFont"/>
    <w:rsid w:val="00955707"/>
  </w:style>
  <w:style w:type="character" w:styleId="FootnoteReference">
    <w:name w:val="footnote reference"/>
    <w:basedOn w:val="DefaultParagraphFont"/>
    <w:rsid w:val="00955707"/>
    <w:rPr>
      <w:vertAlign w:val="superscript"/>
    </w:rPr>
  </w:style>
  <w:style w:type="character" w:customStyle="1" w:styleId="EndnoteTextChar">
    <w:name w:val="Endnote Text Char"/>
    <w:basedOn w:val="DefaultParagraphFont"/>
    <w:link w:val="EndnoteText"/>
    <w:semiHidden/>
    <w:rsid w:val="00955707"/>
    <w:rPr>
      <w:rFonts w:ascii="Arial" w:eastAsia="SimSun" w:hAnsi="Arial" w:cs="Arial"/>
      <w:sz w:val="18"/>
      <w:lang w:eastAsia="zh-CN"/>
    </w:rPr>
  </w:style>
  <w:style w:type="character" w:styleId="EndnoteReference">
    <w:name w:val="endnote reference"/>
    <w:basedOn w:val="DefaultParagraphFont"/>
    <w:rsid w:val="00955707"/>
    <w:rPr>
      <w:vertAlign w:val="superscript"/>
    </w:rPr>
  </w:style>
  <w:style w:type="paragraph" w:styleId="ListParagraph">
    <w:name w:val="List Paragraph"/>
    <w:basedOn w:val="Normal"/>
    <w:uiPriority w:val="34"/>
    <w:qFormat/>
    <w:rsid w:val="00955707"/>
    <w:pPr>
      <w:ind w:left="720"/>
      <w:contextualSpacing/>
    </w:pPr>
  </w:style>
  <w:style w:type="paragraph" w:customStyle="1" w:styleId="Endofdocument">
    <w:name w:val="End of document"/>
    <w:basedOn w:val="Normal"/>
    <w:rsid w:val="00955707"/>
    <w:pPr>
      <w:spacing w:after="120" w:line="260" w:lineRule="atLeast"/>
      <w:ind w:left="5534"/>
      <w:contextualSpacing/>
    </w:pPr>
    <w:rPr>
      <w:rFonts w:eastAsia="Times New Roman" w:cs="Times New Roman"/>
      <w:sz w:val="20"/>
      <w:lang w:eastAsia="en-US"/>
    </w:rPr>
  </w:style>
  <w:style w:type="character" w:styleId="CommentReference">
    <w:name w:val="annotation reference"/>
    <w:rsid w:val="00955707"/>
    <w:rPr>
      <w:sz w:val="16"/>
      <w:szCs w:val="16"/>
    </w:rPr>
  </w:style>
  <w:style w:type="paragraph" w:styleId="CommentSubject">
    <w:name w:val="annotation subject"/>
    <w:basedOn w:val="CommentText"/>
    <w:next w:val="CommentText"/>
    <w:link w:val="CommentSubjectChar"/>
    <w:rsid w:val="00955707"/>
    <w:rPr>
      <w:b/>
      <w:bCs/>
      <w:sz w:val="20"/>
    </w:rPr>
  </w:style>
  <w:style w:type="character" w:customStyle="1" w:styleId="CommentTextChar">
    <w:name w:val="Comment Text Char"/>
    <w:basedOn w:val="DefaultParagraphFont"/>
    <w:link w:val="CommentText"/>
    <w:semiHidden/>
    <w:rsid w:val="00955707"/>
    <w:rPr>
      <w:rFonts w:ascii="Arial" w:eastAsia="SimSun" w:hAnsi="Arial" w:cs="Arial"/>
      <w:sz w:val="18"/>
      <w:lang w:eastAsia="zh-CN"/>
    </w:rPr>
  </w:style>
  <w:style w:type="character" w:customStyle="1" w:styleId="CommentSubjectChar">
    <w:name w:val="Comment Subject Char"/>
    <w:basedOn w:val="CommentTextChar"/>
    <w:link w:val="CommentSubject"/>
    <w:rsid w:val="00955707"/>
    <w:rPr>
      <w:rFonts w:ascii="Arial" w:eastAsia="SimSun" w:hAnsi="Arial" w:cs="Arial"/>
      <w:b/>
      <w:bCs/>
      <w:sz w:val="18"/>
      <w:lang w:eastAsia="zh-CN"/>
    </w:rPr>
  </w:style>
  <w:style w:type="character" w:customStyle="1" w:styleId="Heading2Char">
    <w:name w:val="Heading 2 Char"/>
    <w:basedOn w:val="DefaultParagraphFont"/>
    <w:link w:val="Heading2"/>
    <w:rsid w:val="00955707"/>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955707"/>
    <w:rPr>
      <w:rFonts w:ascii="Arial" w:eastAsia="SimSun" w:hAnsi="Arial" w:cs="Arial"/>
      <w:bCs/>
      <w:i/>
      <w:sz w:val="22"/>
      <w:szCs w:val="28"/>
      <w:lang w:eastAsia="zh-CN"/>
    </w:rPr>
  </w:style>
  <w:style w:type="character" w:customStyle="1" w:styleId="FootnoteTextChar">
    <w:name w:val="Footnote Text Char"/>
    <w:basedOn w:val="DefaultParagraphFont"/>
    <w:link w:val="FootnoteText"/>
    <w:rsid w:val="00955707"/>
    <w:rPr>
      <w:rFonts w:ascii="Arial" w:eastAsia="SimSun" w:hAnsi="Arial" w:cs="Arial"/>
      <w:sz w:val="18"/>
      <w:lang w:eastAsia="zh-CN"/>
    </w:rPr>
  </w:style>
  <w:style w:type="character" w:customStyle="1" w:styleId="Heading3Char">
    <w:name w:val="Heading 3 Char"/>
    <w:basedOn w:val="DefaultParagraphFont"/>
    <w:link w:val="Heading3"/>
    <w:rsid w:val="00955707"/>
    <w:rPr>
      <w:rFonts w:ascii="Arial" w:eastAsia="SimSun" w:hAnsi="Arial" w:cs="Arial"/>
      <w:bCs/>
      <w:sz w:val="22"/>
      <w:szCs w:val="26"/>
      <w:u w:val="single"/>
      <w:lang w:eastAsia="zh-CN"/>
    </w:rPr>
  </w:style>
  <w:style w:type="paragraph" w:customStyle="1" w:styleId="Default">
    <w:name w:val="Default"/>
    <w:rsid w:val="00955707"/>
    <w:pPr>
      <w:suppressAutoHyphens/>
      <w:autoSpaceDE w:val="0"/>
      <w:autoSpaceDN w:val="0"/>
      <w:spacing w:line="360" w:lineRule="auto"/>
      <w:textAlignment w:val="baseline"/>
    </w:pPr>
    <w:rPr>
      <w:rFonts w:ascii="Arial" w:hAnsi="Arial" w:cs="Arial"/>
      <w:color w:val="000000"/>
      <w:sz w:val="24"/>
      <w:szCs w:val="24"/>
    </w:rPr>
  </w:style>
  <w:style w:type="paragraph" w:customStyle="1" w:styleId="CharCharCharChar">
    <w:name w:val="Char Char Char Char"/>
    <w:basedOn w:val="Normal"/>
    <w:rsid w:val="00AD0175"/>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955707"/>
    <w:rPr>
      <w:rFonts w:ascii="Arial" w:eastAsia="SimSun" w:hAnsi="Arial" w:cs="Arial"/>
      <w:sz w:val="22"/>
      <w:lang w:eastAsia="zh-CN"/>
    </w:rPr>
  </w:style>
  <w:style w:type="character" w:styleId="PageNumber">
    <w:name w:val="page number"/>
    <w:basedOn w:val="DefaultParagraphFont"/>
    <w:rsid w:val="00955707"/>
  </w:style>
  <w:style w:type="character" w:styleId="FootnoteReference">
    <w:name w:val="footnote reference"/>
    <w:basedOn w:val="DefaultParagraphFont"/>
    <w:rsid w:val="00955707"/>
    <w:rPr>
      <w:vertAlign w:val="superscript"/>
    </w:rPr>
  </w:style>
  <w:style w:type="character" w:customStyle="1" w:styleId="EndnoteTextChar">
    <w:name w:val="Endnote Text Char"/>
    <w:basedOn w:val="DefaultParagraphFont"/>
    <w:link w:val="EndnoteText"/>
    <w:semiHidden/>
    <w:rsid w:val="00955707"/>
    <w:rPr>
      <w:rFonts w:ascii="Arial" w:eastAsia="SimSun" w:hAnsi="Arial" w:cs="Arial"/>
      <w:sz w:val="18"/>
      <w:lang w:eastAsia="zh-CN"/>
    </w:rPr>
  </w:style>
  <w:style w:type="character" w:styleId="EndnoteReference">
    <w:name w:val="endnote reference"/>
    <w:basedOn w:val="DefaultParagraphFont"/>
    <w:rsid w:val="00955707"/>
    <w:rPr>
      <w:vertAlign w:val="superscript"/>
    </w:rPr>
  </w:style>
  <w:style w:type="paragraph" w:styleId="ListParagraph">
    <w:name w:val="List Paragraph"/>
    <w:basedOn w:val="Normal"/>
    <w:uiPriority w:val="34"/>
    <w:qFormat/>
    <w:rsid w:val="00955707"/>
    <w:pPr>
      <w:ind w:left="720"/>
      <w:contextualSpacing/>
    </w:pPr>
  </w:style>
  <w:style w:type="paragraph" w:customStyle="1" w:styleId="Endofdocument">
    <w:name w:val="End of document"/>
    <w:basedOn w:val="Normal"/>
    <w:rsid w:val="00955707"/>
    <w:pPr>
      <w:spacing w:after="120" w:line="260" w:lineRule="atLeast"/>
      <w:ind w:left="5534"/>
      <w:contextualSpacing/>
    </w:pPr>
    <w:rPr>
      <w:rFonts w:eastAsia="Times New Roman" w:cs="Times New Roman"/>
      <w:sz w:val="20"/>
      <w:lang w:eastAsia="en-US"/>
    </w:rPr>
  </w:style>
  <w:style w:type="character" w:styleId="CommentReference">
    <w:name w:val="annotation reference"/>
    <w:rsid w:val="00955707"/>
    <w:rPr>
      <w:sz w:val="16"/>
      <w:szCs w:val="16"/>
    </w:rPr>
  </w:style>
  <w:style w:type="paragraph" w:styleId="CommentSubject">
    <w:name w:val="annotation subject"/>
    <w:basedOn w:val="CommentText"/>
    <w:next w:val="CommentText"/>
    <w:link w:val="CommentSubjectChar"/>
    <w:rsid w:val="00955707"/>
    <w:rPr>
      <w:b/>
      <w:bCs/>
      <w:sz w:val="20"/>
    </w:rPr>
  </w:style>
  <w:style w:type="character" w:customStyle="1" w:styleId="CommentTextChar">
    <w:name w:val="Comment Text Char"/>
    <w:basedOn w:val="DefaultParagraphFont"/>
    <w:link w:val="CommentText"/>
    <w:semiHidden/>
    <w:rsid w:val="00955707"/>
    <w:rPr>
      <w:rFonts w:ascii="Arial" w:eastAsia="SimSun" w:hAnsi="Arial" w:cs="Arial"/>
      <w:sz w:val="18"/>
      <w:lang w:eastAsia="zh-CN"/>
    </w:rPr>
  </w:style>
  <w:style w:type="character" w:customStyle="1" w:styleId="CommentSubjectChar">
    <w:name w:val="Comment Subject Char"/>
    <w:basedOn w:val="CommentTextChar"/>
    <w:link w:val="CommentSubject"/>
    <w:rsid w:val="00955707"/>
    <w:rPr>
      <w:rFonts w:ascii="Arial" w:eastAsia="SimSun" w:hAnsi="Arial" w:cs="Arial"/>
      <w:b/>
      <w:bCs/>
      <w:sz w:val="18"/>
      <w:lang w:eastAsia="zh-CN"/>
    </w:rPr>
  </w:style>
  <w:style w:type="character" w:customStyle="1" w:styleId="Heading2Char">
    <w:name w:val="Heading 2 Char"/>
    <w:basedOn w:val="DefaultParagraphFont"/>
    <w:link w:val="Heading2"/>
    <w:rsid w:val="00955707"/>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955707"/>
    <w:rPr>
      <w:rFonts w:ascii="Arial" w:eastAsia="SimSun" w:hAnsi="Arial" w:cs="Arial"/>
      <w:bCs/>
      <w:i/>
      <w:sz w:val="22"/>
      <w:szCs w:val="28"/>
      <w:lang w:eastAsia="zh-CN"/>
    </w:rPr>
  </w:style>
  <w:style w:type="character" w:customStyle="1" w:styleId="FootnoteTextChar">
    <w:name w:val="Footnote Text Char"/>
    <w:basedOn w:val="DefaultParagraphFont"/>
    <w:link w:val="FootnoteText"/>
    <w:rsid w:val="00955707"/>
    <w:rPr>
      <w:rFonts w:ascii="Arial" w:eastAsia="SimSun" w:hAnsi="Arial" w:cs="Arial"/>
      <w:sz w:val="18"/>
      <w:lang w:eastAsia="zh-CN"/>
    </w:rPr>
  </w:style>
  <w:style w:type="character" w:customStyle="1" w:styleId="Heading3Char">
    <w:name w:val="Heading 3 Char"/>
    <w:basedOn w:val="DefaultParagraphFont"/>
    <w:link w:val="Heading3"/>
    <w:rsid w:val="00955707"/>
    <w:rPr>
      <w:rFonts w:ascii="Arial" w:eastAsia="SimSun" w:hAnsi="Arial" w:cs="Arial"/>
      <w:bCs/>
      <w:sz w:val="22"/>
      <w:szCs w:val="26"/>
      <w:u w:val="single"/>
      <w:lang w:eastAsia="zh-CN"/>
    </w:rPr>
  </w:style>
  <w:style w:type="paragraph" w:customStyle="1" w:styleId="Default">
    <w:name w:val="Default"/>
    <w:rsid w:val="00955707"/>
    <w:pPr>
      <w:suppressAutoHyphens/>
      <w:autoSpaceDE w:val="0"/>
      <w:autoSpaceDN w:val="0"/>
      <w:spacing w:line="360" w:lineRule="auto"/>
      <w:textAlignment w:val="baseline"/>
    </w:pPr>
    <w:rPr>
      <w:rFonts w:ascii="Arial" w:hAnsi="Arial" w:cs="Arial"/>
      <w:color w:val="000000"/>
      <w:sz w:val="24"/>
      <w:szCs w:val="24"/>
    </w:rPr>
  </w:style>
  <w:style w:type="paragraph" w:customStyle="1" w:styleId="CharCharCharChar">
    <w:name w:val="Char Char Char Char"/>
    <w:basedOn w:val="Normal"/>
    <w:rsid w:val="00AD0175"/>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4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ABF58-1B0F-4DE8-B366-94B1AEC5A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2120B22</Template>
  <TotalTime>14</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LI/A/32/</vt:lpstr>
    </vt:vector>
  </TitlesOfParts>
  <Company>WIPO</Company>
  <LinksUpToDate>false</LinksUpToDate>
  <CharactersWithSpaces>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LI/A/32/</dc:title>
  <dc:creator>VINCENT Anouck</dc:creator>
  <cp:lastModifiedBy>HÄFLIGER Patience</cp:lastModifiedBy>
  <cp:revision>14</cp:revision>
  <cp:lastPrinted>2016-07-19T08:24:00Z</cp:lastPrinted>
  <dcterms:created xsi:type="dcterms:W3CDTF">2016-07-08T12:49:00Z</dcterms:created>
  <dcterms:modified xsi:type="dcterms:W3CDTF">2016-07-19T08:24:00Z</dcterms:modified>
</cp:coreProperties>
</file>