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81F5" w14:textId="4D6C93D1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6C88BB45" wp14:editId="54854A04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1875505A" wp14:editId="6798387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133C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649122" w14:textId="77777777" w:rsidR="008B2CC1" w:rsidRPr="001024FE" w:rsidRDefault="00B57A42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B57A42">
        <w:rPr>
          <w:rFonts w:ascii="Arial Black" w:hAnsi="Arial Black"/>
          <w:caps/>
          <w:sz w:val="15"/>
          <w:szCs w:val="15"/>
        </w:rPr>
        <w:t>BP/A/</w:t>
      </w:r>
      <w:r w:rsidR="002E6C1A">
        <w:rPr>
          <w:rFonts w:ascii="Arial Black" w:hAnsi="Arial Black"/>
          <w:caps/>
          <w:sz w:val="15"/>
          <w:szCs w:val="15"/>
        </w:rPr>
        <w:t>41</w:t>
      </w:r>
      <w:r w:rsidRPr="00B57A42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A1CED">
        <w:rPr>
          <w:rFonts w:ascii="Arial Black" w:hAnsi="Arial Black"/>
          <w:caps/>
          <w:sz w:val="15"/>
          <w:szCs w:val="15"/>
        </w:rPr>
        <w:t>1</w:t>
      </w:r>
    </w:p>
    <w:bookmarkEnd w:id="0"/>
    <w:p w14:paraId="5420AC61" w14:textId="1A3A32F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1513F2">
        <w:rPr>
          <w:rFonts w:ascii="Arial Black" w:hAnsi="Arial Black"/>
          <w:caps/>
          <w:sz w:val="15"/>
          <w:szCs w:val="15"/>
        </w:rPr>
        <w:t xml:space="preserve"> </w:t>
      </w:r>
      <w:r w:rsidR="002A1CED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0481D5B7" w14:textId="45C1F6B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1513F2">
        <w:rPr>
          <w:rFonts w:ascii="Arial Black" w:hAnsi="Arial Black"/>
          <w:caps/>
          <w:sz w:val="15"/>
          <w:szCs w:val="15"/>
        </w:rPr>
        <w:t xml:space="preserve"> </w:t>
      </w:r>
      <w:r w:rsidR="00965A6F">
        <w:rPr>
          <w:rFonts w:ascii="Arial Black" w:hAnsi="Arial Black"/>
          <w:caps/>
          <w:sz w:val="15"/>
          <w:szCs w:val="15"/>
        </w:rPr>
        <w:t>May 8</w:t>
      </w:r>
      <w:r w:rsidR="002A1CED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03F0841B" w14:textId="77777777" w:rsidR="008B2CC1" w:rsidRPr="003845C1" w:rsidRDefault="00B57A42" w:rsidP="00CE65D4">
      <w:pPr>
        <w:spacing w:after="600"/>
        <w:rPr>
          <w:b/>
          <w:sz w:val="28"/>
          <w:szCs w:val="28"/>
        </w:rPr>
      </w:pPr>
      <w:r w:rsidRPr="00B57A42">
        <w:rPr>
          <w:b/>
          <w:sz w:val="28"/>
          <w:szCs w:val="28"/>
        </w:rPr>
        <w:t>Union for the International Recognition of the Deposit of Microorganisms for the Purposes of Patent Procedure (Budapest Union)</w:t>
      </w:r>
    </w:p>
    <w:p w14:paraId="3D08C33F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14:paraId="14370DA6" w14:textId="77777777" w:rsidR="008B2CC1" w:rsidRPr="003845C1" w:rsidRDefault="002E6C1A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Forty-First </w:t>
      </w:r>
      <w:r w:rsidR="00B57A42" w:rsidRPr="00813EEF">
        <w:rPr>
          <w:b/>
          <w:sz w:val="24"/>
        </w:rPr>
        <w:t>(</w:t>
      </w:r>
      <w:r w:rsidR="00B57A42">
        <w:rPr>
          <w:b/>
          <w:sz w:val="24"/>
        </w:rPr>
        <w:t>1</w:t>
      </w:r>
      <w:r>
        <w:rPr>
          <w:b/>
          <w:sz w:val="24"/>
        </w:rPr>
        <w:t>9</w:t>
      </w:r>
      <w:r w:rsidR="00B57A42" w:rsidRPr="00813EEF">
        <w:rPr>
          <w:b/>
          <w:sz w:val="24"/>
          <w:vertAlign w:val="superscript"/>
        </w:rPr>
        <w:t>th</w:t>
      </w:r>
      <w:r w:rsidR="00B57A42">
        <w:rPr>
          <w:b/>
          <w:sz w:val="24"/>
        </w:rPr>
        <w:t xml:space="preserve"> Extrao</w:t>
      </w:r>
      <w:r w:rsidR="00B57A42" w:rsidRPr="00813EEF">
        <w:rPr>
          <w:b/>
          <w:sz w:val="24"/>
        </w:rPr>
        <w:t xml:space="preserve">rdinary) </w:t>
      </w:r>
      <w:r w:rsidR="00B57A42" w:rsidRPr="008237EF">
        <w:rPr>
          <w:b/>
          <w:sz w:val="24"/>
        </w:rPr>
        <w:t>Session</w:t>
      </w:r>
    </w:p>
    <w:p w14:paraId="1F1350E7" w14:textId="77777777" w:rsidR="008B2CC1" w:rsidRPr="009F3BF9" w:rsidRDefault="00B57A42" w:rsidP="00CE65D4">
      <w:pPr>
        <w:spacing w:after="720"/>
      </w:pPr>
      <w:r w:rsidRPr="00B57A42">
        <w:rPr>
          <w:b/>
          <w:sz w:val="24"/>
          <w:szCs w:val="24"/>
        </w:rPr>
        <w:t xml:space="preserve">Geneva, July </w:t>
      </w:r>
      <w:r w:rsidR="002E6C1A">
        <w:rPr>
          <w:b/>
          <w:sz w:val="24"/>
          <w:szCs w:val="24"/>
        </w:rPr>
        <w:t>9</w:t>
      </w:r>
      <w:r w:rsidRPr="00B57A42">
        <w:rPr>
          <w:b/>
          <w:sz w:val="24"/>
          <w:szCs w:val="24"/>
        </w:rPr>
        <w:t xml:space="preserve"> to </w:t>
      </w:r>
      <w:r w:rsidR="002E6C1A">
        <w:rPr>
          <w:b/>
          <w:sz w:val="24"/>
          <w:szCs w:val="24"/>
        </w:rPr>
        <w:t>17</w:t>
      </w:r>
      <w:r w:rsidRPr="00B57A42">
        <w:rPr>
          <w:b/>
          <w:sz w:val="24"/>
          <w:szCs w:val="24"/>
        </w:rPr>
        <w:t>, 202</w:t>
      </w:r>
      <w:r w:rsidR="002E6C1A">
        <w:rPr>
          <w:b/>
          <w:sz w:val="24"/>
          <w:szCs w:val="24"/>
        </w:rPr>
        <w:t>4</w:t>
      </w:r>
    </w:p>
    <w:p w14:paraId="43137F37" w14:textId="032D52EC" w:rsidR="008B2CC1" w:rsidRPr="009F3BF9" w:rsidRDefault="002A1CED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Activity report on the operation of the budapest system</w:t>
      </w:r>
    </w:p>
    <w:p w14:paraId="5E043DE4" w14:textId="405644C9" w:rsidR="008B2CC1" w:rsidRDefault="00B8507B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</w:t>
      </w:r>
      <w:r w:rsidR="002A1CED">
        <w:rPr>
          <w:i/>
        </w:rPr>
        <w:t>repared by the International Bureau</w:t>
      </w:r>
    </w:p>
    <w:p w14:paraId="318C39B1" w14:textId="240AE290" w:rsidR="002A1CED" w:rsidRDefault="00D4337E" w:rsidP="002A1CED">
      <w:pPr>
        <w:pStyle w:val="ONUME"/>
      </w:pPr>
      <w:r>
        <w:t xml:space="preserve">This document contains information </w:t>
      </w:r>
      <w:r w:rsidR="006E37DA">
        <w:t>on</w:t>
      </w:r>
      <w:r>
        <w:t xml:space="preserve"> the latest developments and activities relating to the Budapest Treaty on the International Recognition of the Deposit of Microorganisms for the Purposes of Patent Procedure (Budapest Treaty)</w:t>
      </w:r>
      <w:r w:rsidR="006E37DA">
        <w:t>,</w:t>
      </w:r>
      <w:r>
        <w:t xml:space="preserve"> since</w:t>
      </w:r>
      <w:r w:rsidR="002A1CED">
        <w:t xml:space="preserve"> the Meeting of the Assembly of the Budapest Union held from July 14 to 22, 2022</w:t>
      </w:r>
      <w:r>
        <w:t>.</w:t>
      </w:r>
    </w:p>
    <w:p w14:paraId="47F0081D" w14:textId="28C285FC" w:rsidR="002A1CED" w:rsidRDefault="002A1CED" w:rsidP="0088518C">
      <w:pPr>
        <w:pStyle w:val="Heading3"/>
      </w:pPr>
      <w:r w:rsidRPr="002A1CED">
        <w:t xml:space="preserve">New </w:t>
      </w:r>
      <w:r w:rsidR="00D4337E">
        <w:t>Contracting</w:t>
      </w:r>
      <w:r w:rsidRPr="002A1CED">
        <w:t xml:space="preserve"> States, Intergovernmental Industrial Property </w:t>
      </w:r>
      <w:proofErr w:type="gramStart"/>
      <w:r w:rsidRPr="002A1CED">
        <w:t>Organizations</w:t>
      </w:r>
      <w:proofErr w:type="gramEnd"/>
      <w:r w:rsidRPr="002A1CED">
        <w:t xml:space="preserve"> and International Depositary Authorities (IDAs)</w:t>
      </w:r>
    </w:p>
    <w:p w14:paraId="160152C9" w14:textId="77777777" w:rsidR="0088518C" w:rsidRPr="0088518C" w:rsidRDefault="0088518C" w:rsidP="0088518C"/>
    <w:p w14:paraId="248DC057" w14:textId="3DC63171" w:rsidR="00457F5B" w:rsidRDefault="002A1CED" w:rsidP="00457F5B">
      <w:pPr>
        <w:numPr>
          <w:ilvl w:val="0"/>
          <w:numId w:val="5"/>
        </w:numPr>
        <w:spacing w:after="220"/>
      </w:pPr>
      <w:bookmarkStart w:id="5" w:name="_Hlk163043940"/>
      <w:bookmarkEnd w:id="4"/>
      <w:r w:rsidRPr="002A1CED">
        <w:t>Paraguay and Rwanda acceded to the Budapest Treaty on May 5, </w:t>
      </w:r>
      <w:proofErr w:type="gramStart"/>
      <w:r w:rsidRPr="002A1CED">
        <w:t>2023</w:t>
      </w:r>
      <w:proofErr w:type="gramEnd"/>
      <w:r w:rsidRPr="002A1CED">
        <w:t xml:space="preserve"> and September 4, 2023, respectively.  As of April 12, 2024, the number of States </w:t>
      </w:r>
      <w:r w:rsidR="00DD5137">
        <w:t>party</w:t>
      </w:r>
      <w:r w:rsidR="00DD5137" w:rsidRPr="002A1CED">
        <w:t xml:space="preserve"> </w:t>
      </w:r>
      <w:r w:rsidRPr="002A1CED">
        <w:t>to the B</w:t>
      </w:r>
      <w:r w:rsidR="00D4337E">
        <w:t xml:space="preserve">udapest </w:t>
      </w:r>
      <w:r w:rsidRPr="002A1CED">
        <w:t>T</w:t>
      </w:r>
      <w:r w:rsidR="00D4337E">
        <w:t>reaty</w:t>
      </w:r>
      <w:r w:rsidRPr="002A1CED">
        <w:t xml:space="preserve"> is 89.</w:t>
      </w:r>
      <w:r w:rsidR="00D4337E">
        <w:t xml:space="preserve">  T</w:t>
      </w:r>
      <w:r w:rsidR="00BB0B3E">
        <w:t>able 1</w:t>
      </w:r>
      <w:r w:rsidR="00457F5B">
        <w:t xml:space="preserve"> shows the evolution of the number of Contracting States</w:t>
      </w:r>
      <w:r w:rsidR="00DB24F6">
        <w:t xml:space="preserve"> since the entry into force of the Budapest Treaty on August 19, 1980</w:t>
      </w:r>
      <w:r w:rsidR="00457F5B">
        <w:t>.</w:t>
      </w:r>
    </w:p>
    <w:p w14:paraId="1AD34CF6" w14:textId="394FE730" w:rsidR="00937C0D" w:rsidRDefault="00937C0D">
      <w:r>
        <w:br w:type="page"/>
      </w:r>
    </w:p>
    <w:p w14:paraId="13B3B835" w14:textId="632219AD" w:rsidR="009551C9" w:rsidRDefault="009551C9"/>
    <w:p w14:paraId="58D7AD8C" w14:textId="5344DBDE" w:rsidR="007C23D4" w:rsidRDefault="007C23D4" w:rsidP="00AE5F84">
      <w:pPr>
        <w:jc w:val="center"/>
      </w:pPr>
      <w:r>
        <w:t>Table 1:  E</w:t>
      </w:r>
      <w:r w:rsidRPr="007C23D4">
        <w:t>volution of the number of Contracting States</w:t>
      </w:r>
    </w:p>
    <w:p w14:paraId="417B86C8" w14:textId="77777777" w:rsidR="007C23D4" w:rsidRDefault="007C23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1209"/>
        <w:gridCol w:w="1209"/>
        <w:gridCol w:w="1210"/>
        <w:gridCol w:w="1209"/>
        <w:gridCol w:w="1209"/>
        <w:gridCol w:w="1210"/>
      </w:tblGrid>
      <w:tr w:rsidR="00457F5B" w:rsidRPr="00457F5B" w14:paraId="5E54B8DA" w14:textId="77777777" w:rsidTr="009551C9">
        <w:trPr>
          <w:trHeight w:val="404"/>
        </w:trPr>
        <w:tc>
          <w:tcPr>
            <w:tcW w:w="2089" w:type="dxa"/>
          </w:tcPr>
          <w:p w14:paraId="25EB98D8" w14:textId="0F9CCFFC" w:rsidR="007C23D4" w:rsidRDefault="007C23D4" w:rsidP="001A6438">
            <w:pPr>
              <w:spacing w:after="220"/>
            </w:pPr>
          </w:p>
        </w:tc>
        <w:tc>
          <w:tcPr>
            <w:tcW w:w="1209" w:type="dxa"/>
          </w:tcPr>
          <w:p w14:paraId="5A535003" w14:textId="4474C263" w:rsidR="00457F5B" w:rsidRPr="00457F5B" w:rsidRDefault="00457F5B" w:rsidP="009551C9">
            <w:pPr>
              <w:spacing w:after="120"/>
              <w:jc w:val="center"/>
              <w:rPr>
                <w:sz w:val="20"/>
              </w:rPr>
            </w:pPr>
            <w:r w:rsidRPr="00457F5B">
              <w:rPr>
                <w:szCs w:val="22"/>
              </w:rPr>
              <w:t>1980</w:t>
            </w:r>
          </w:p>
        </w:tc>
        <w:tc>
          <w:tcPr>
            <w:tcW w:w="1209" w:type="dxa"/>
          </w:tcPr>
          <w:p w14:paraId="4931701C" w14:textId="1E509807" w:rsidR="00457F5B" w:rsidRPr="00457F5B" w:rsidRDefault="002065DD" w:rsidP="009551C9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457F5B" w:rsidRPr="00457F5B">
              <w:rPr>
                <w:szCs w:val="22"/>
              </w:rPr>
              <w:t>983</w:t>
            </w:r>
          </w:p>
        </w:tc>
        <w:tc>
          <w:tcPr>
            <w:tcW w:w="1210" w:type="dxa"/>
          </w:tcPr>
          <w:p w14:paraId="08A6C707" w14:textId="77777777" w:rsidR="00457F5B" w:rsidRPr="00457F5B" w:rsidRDefault="00457F5B" w:rsidP="009551C9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1993</w:t>
            </w:r>
          </w:p>
        </w:tc>
        <w:tc>
          <w:tcPr>
            <w:tcW w:w="1209" w:type="dxa"/>
          </w:tcPr>
          <w:p w14:paraId="012E1DC1" w14:textId="77777777" w:rsidR="00457F5B" w:rsidRPr="00457F5B" w:rsidRDefault="00457F5B" w:rsidP="009551C9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2003</w:t>
            </w:r>
          </w:p>
        </w:tc>
        <w:tc>
          <w:tcPr>
            <w:tcW w:w="1209" w:type="dxa"/>
          </w:tcPr>
          <w:p w14:paraId="61383028" w14:textId="77777777" w:rsidR="00457F5B" w:rsidRPr="00457F5B" w:rsidRDefault="00457F5B" w:rsidP="009551C9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2013</w:t>
            </w:r>
          </w:p>
        </w:tc>
        <w:tc>
          <w:tcPr>
            <w:tcW w:w="1210" w:type="dxa"/>
          </w:tcPr>
          <w:p w14:paraId="439C4D77" w14:textId="77777777" w:rsidR="00457F5B" w:rsidRPr="00457F5B" w:rsidRDefault="00457F5B" w:rsidP="009551C9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2023</w:t>
            </w:r>
          </w:p>
        </w:tc>
      </w:tr>
      <w:tr w:rsidR="00457F5B" w14:paraId="650EBD1B" w14:textId="77777777" w:rsidTr="009551C9">
        <w:tc>
          <w:tcPr>
            <w:tcW w:w="2089" w:type="dxa"/>
          </w:tcPr>
          <w:p w14:paraId="73446F3D" w14:textId="715A2646" w:rsidR="00457F5B" w:rsidRDefault="00457F5B" w:rsidP="00AE5F84">
            <w:pPr>
              <w:spacing w:after="120"/>
            </w:pPr>
            <w:r>
              <w:t xml:space="preserve">Number of Contracting </w:t>
            </w:r>
            <w:r w:rsidR="00502DF6">
              <w:t>States</w:t>
            </w:r>
          </w:p>
        </w:tc>
        <w:tc>
          <w:tcPr>
            <w:tcW w:w="1209" w:type="dxa"/>
            <w:vAlign w:val="center"/>
          </w:tcPr>
          <w:p w14:paraId="236C7484" w14:textId="17AABB9A" w:rsidR="00457F5B" w:rsidRDefault="002065DD" w:rsidP="009551C9">
            <w:pPr>
              <w:spacing w:after="220"/>
              <w:jc w:val="center"/>
            </w:pPr>
            <w:r>
              <w:t>6</w:t>
            </w:r>
          </w:p>
        </w:tc>
        <w:tc>
          <w:tcPr>
            <w:tcW w:w="1209" w:type="dxa"/>
            <w:vAlign w:val="center"/>
          </w:tcPr>
          <w:p w14:paraId="12BEC173" w14:textId="68104E85" w:rsidR="00457F5B" w:rsidRDefault="002065DD" w:rsidP="009551C9">
            <w:pPr>
              <w:spacing w:after="220"/>
              <w:jc w:val="center"/>
            </w:pPr>
            <w:r>
              <w:t>14</w:t>
            </w:r>
          </w:p>
        </w:tc>
        <w:tc>
          <w:tcPr>
            <w:tcW w:w="1210" w:type="dxa"/>
            <w:vAlign w:val="center"/>
          </w:tcPr>
          <w:p w14:paraId="3B1015EB" w14:textId="6122F1F4" w:rsidR="00457F5B" w:rsidRDefault="002065DD" w:rsidP="009551C9">
            <w:pPr>
              <w:spacing w:after="220"/>
              <w:jc w:val="center"/>
            </w:pPr>
            <w:r>
              <w:t>28</w:t>
            </w:r>
          </w:p>
        </w:tc>
        <w:tc>
          <w:tcPr>
            <w:tcW w:w="1209" w:type="dxa"/>
            <w:vAlign w:val="center"/>
          </w:tcPr>
          <w:p w14:paraId="7325BA99" w14:textId="0C44F797" w:rsidR="00457F5B" w:rsidRDefault="002065DD" w:rsidP="009551C9">
            <w:pPr>
              <w:spacing w:after="220"/>
              <w:jc w:val="center"/>
            </w:pPr>
            <w:r>
              <w:t>58</w:t>
            </w:r>
          </w:p>
        </w:tc>
        <w:tc>
          <w:tcPr>
            <w:tcW w:w="1209" w:type="dxa"/>
            <w:vAlign w:val="center"/>
          </w:tcPr>
          <w:p w14:paraId="097484CF" w14:textId="0BCD6B85" w:rsidR="00457F5B" w:rsidRDefault="002065DD" w:rsidP="009551C9">
            <w:pPr>
              <w:spacing w:after="220"/>
              <w:jc w:val="center"/>
            </w:pPr>
            <w:r>
              <w:t>78</w:t>
            </w:r>
          </w:p>
        </w:tc>
        <w:tc>
          <w:tcPr>
            <w:tcW w:w="1210" w:type="dxa"/>
            <w:vAlign w:val="center"/>
          </w:tcPr>
          <w:p w14:paraId="5617AB2D" w14:textId="38C80CE7" w:rsidR="00457F5B" w:rsidRDefault="000F3714" w:rsidP="009551C9">
            <w:pPr>
              <w:spacing w:after="220"/>
              <w:jc w:val="center"/>
            </w:pPr>
            <w:r>
              <w:t>89</w:t>
            </w:r>
          </w:p>
        </w:tc>
      </w:tr>
    </w:tbl>
    <w:p w14:paraId="3C9A6CDD" w14:textId="518D4094" w:rsidR="00457F5B" w:rsidRPr="002A1CED" w:rsidRDefault="002A1CED" w:rsidP="00457F5B">
      <w:pPr>
        <w:spacing w:after="220"/>
      </w:pPr>
      <w:r w:rsidRPr="002A1CED">
        <w:t xml:space="preserve"> </w:t>
      </w:r>
    </w:p>
    <w:bookmarkEnd w:id="5"/>
    <w:p w14:paraId="63C736A8" w14:textId="0235D962" w:rsidR="002928D3" w:rsidRDefault="0083083E" w:rsidP="002A1CED">
      <w:pPr>
        <w:pStyle w:val="ONUME"/>
      </w:pPr>
      <w:r>
        <w:t xml:space="preserve">In accordance with Article 9(1)(a) of the </w:t>
      </w:r>
      <w:r w:rsidR="002A1CED" w:rsidRPr="002A1CED">
        <w:t>B</w:t>
      </w:r>
      <w:r w:rsidR="00457F5B">
        <w:t xml:space="preserve">udapest </w:t>
      </w:r>
      <w:r w:rsidR="002A1CED" w:rsidRPr="002A1CED">
        <w:t>T</w:t>
      </w:r>
      <w:r w:rsidR="00457F5B">
        <w:t>reaty</w:t>
      </w:r>
      <w:r w:rsidR="002A1CED" w:rsidRPr="002A1CED">
        <w:t xml:space="preserve">, </w:t>
      </w:r>
      <w:r>
        <w:t xml:space="preserve">any </w:t>
      </w:r>
      <w:r w:rsidR="002A1CED" w:rsidRPr="002A1CED">
        <w:t xml:space="preserve">intergovernmental industrial property organization </w:t>
      </w:r>
      <w:r>
        <w:t xml:space="preserve">that meets the conditions set out in that provision may </w:t>
      </w:r>
      <w:r w:rsidR="002A1CED" w:rsidRPr="002A1CED">
        <w:t xml:space="preserve">file a declaration </w:t>
      </w:r>
      <w:r>
        <w:t>that it accepts the obligations and effects stipulated in the Treaty and the Regulations under the Budapest Treaty</w:t>
      </w:r>
      <w:r w:rsidR="00745D6B">
        <w:t xml:space="preserve"> (Regulations)</w:t>
      </w:r>
      <w:r w:rsidR="002A1CED" w:rsidRPr="002A1CED">
        <w:t>.</w:t>
      </w:r>
      <w:r w:rsidR="007907E1">
        <w:t xml:space="preserve">  </w:t>
      </w:r>
      <w:r w:rsidR="002A1CED" w:rsidRPr="002A1CED">
        <w:t xml:space="preserve">The African Intellectual Property Organization (OAPI) made such </w:t>
      </w:r>
      <w:r>
        <w:t xml:space="preserve">a </w:t>
      </w:r>
      <w:r w:rsidR="002A1CED" w:rsidRPr="002A1CED">
        <w:t xml:space="preserve">declaration on December 15, 2022.  </w:t>
      </w:r>
      <w:r>
        <w:t>Consequently, a</w:t>
      </w:r>
      <w:r w:rsidR="002A1CED" w:rsidRPr="002A1CED">
        <w:t>s of April 12, 2024, there are four intergovernmental industrial property organizations</w:t>
      </w:r>
      <w:r w:rsidR="00917176">
        <w:t xml:space="preserve"> that made the declaration under Article 9(1)(a)</w:t>
      </w:r>
      <w:r w:rsidR="002A1CED" w:rsidRPr="002A1CED">
        <w:t xml:space="preserve">, namely the OAPI, the African Regional Intellectual Property Organization (ARIPO), the Eurasian Patent Organization (EAPO) and the </w:t>
      </w:r>
      <w:r w:rsidR="002A1CED" w:rsidRPr="00EF393D">
        <w:t xml:space="preserve">European Patent </w:t>
      </w:r>
      <w:proofErr w:type="spellStart"/>
      <w:r w:rsidR="002A1CED" w:rsidRPr="00EF393D">
        <w:t>Organisation</w:t>
      </w:r>
      <w:proofErr w:type="spellEnd"/>
      <w:r w:rsidR="002A1CED" w:rsidRPr="002A1CED">
        <w:t xml:space="preserve"> (EPO).</w:t>
      </w:r>
    </w:p>
    <w:p w14:paraId="13659D05" w14:textId="15A1F366" w:rsidR="00DB24F6" w:rsidRDefault="0083083E" w:rsidP="00DB24F6">
      <w:pPr>
        <w:pStyle w:val="ONUME"/>
      </w:pPr>
      <w:r>
        <w:t>With respect to the International Depositary Authorities (IDAs), o</w:t>
      </w:r>
      <w:r w:rsidR="002A1CED" w:rsidRPr="002A1CED">
        <w:t>n January 26, 2023, the Collection of Plasmids and Microorganisms (KPD), located in Poland</w:t>
      </w:r>
      <w:r w:rsidR="00CD4DD6">
        <w:t xml:space="preserve"> </w:t>
      </w:r>
      <w:r w:rsidR="00CD4DD6" w:rsidRPr="00CD4DD6">
        <w:t>and</w:t>
      </w:r>
      <w:r w:rsidR="00CD4DD6">
        <w:t xml:space="preserve">, </w:t>
      </w:r>
      <w:r w:rsidR="00CD4DD6" w:rsidRPr="00CD4DD6">
        <w:t>on April 25, 2024, the University of Coimbra Bacteria Culture Collection (UCCCB), located in Portugal</w:t>
      </w:r>
      <w:r w:rsidR="00D13D2B">
        <w:t>,</w:t>
      </w:r>
      <w:r w:rsidR="00CD4DD6" w:rsidRPr="00CD4DD6">
        <w:t xml:space="preserve"> </w:t>
      </w:r>
      <w:r w:rsidR="00DD5137">
        <w:t xml:space="preserve">each </w:t>
      </w:r>
      <w:r w:rsidR="002A1CED" w:rsidRPr="002A1CED">
        <w:t>acquired</w:t>
      </w:r>
      <w:r w:rsidR="00D13D2B">
        <w:t xml:space="preserve"> </w:t>
      </w:r>
      <w:r w:rsidR="002A1CED" w:rsidRPr="002A1CED">
        <w:t>the status of</w:t>
      </w:r>
      <w:r w:rsidR="00D13D2B">
        <w:t xml:space="preserve"> an</w:t>
      </w:r>
      <w:r w:rsidR="002A1CED" w:rsidRPr="002A1CED">
        <w:t xml:space="preserve"> International Depositary Authority (IDA), </w:t>
      </w:r>
      <w:r>
        <w:t>bec</w:t>
      </w:r>
      <w:r w:rsidR="00DB24F6">
        <w:t>oming</w:t>
      </w:r>
      <w:r w:rsidR="002A1CED" w:rsidRPr="002A1CED">
        <w:t xml:space="preserve"> </w:t>
      </w:r>
      <w:r w:rsidR="009F7EF4">
        <w:t>the</w:t>
      </w:r>
      <w:r w:rsidR="002A1CED" w:rsidRPr="002A1CED">
        <w:t xml:space="preserve"> 49</w:t>
      </w:r>
      <w:r w:rsidR="00DB24F6" w:rsidRPr="00AE5F84">
        <w:rPr>
          <w:vertAlign w:val="superscript"/>
        </w:rPr>
        <w:t>th</w:t>
      </w:r>
      <w:r w:rsidR="00DB24F6">
        <w:t xml:space="preserve"> </w:t>
      </w:r>
      <w:r w:rsidR="00CD4DD6">
        <w:t>and 50</w:t>
      </w:r>
      <w:r w:rsidR="00CD4DD6" w:rsidRPr="00914FA1">
        <w:rPr>
          <w:vertAlign w:val="superscript"/>
        </w:rPr>
        <w:t>th</w:t>
      </w:r>
      <w:r w:rsidR="00CD4DD6">
        <w:t xml:space="preserve"> </w:t>
      </w:r>
      <w:r w:rsidR="002A1CED" w:rsidRPr="002A1CED">
        <w:t>IDA</w:t>
      </w:r>
      <w:r w:rsidR="00CD4DD6">
        <w:t>s</w:t>
      </w:r>
      <w:r w:rsidR="00DD5137">
        <w:t>, respectively</w:t>
      </w:r>
      <w:r w:rsidR="002A1CED" w:rsidRPr="002A1CED">
        <w:t>.</w:t>
      </w:r>
      <w:r w:rsidR="00DB24F6">
        <w:t xml:space="preserve"> </w:t>
      </w:r>
      <w:r w:rsidR="00AE5F84">
        <w:t xml:space="preserve"> </w:t>
      </w:r>
      <w:r w:rsidR="00DB24F6" w:rsidRPr="00DB24F6">
        <w:t>T</w:t>
      </w:r>
      <w:r w:rsidR="00BB0B3E">
        <w:t>able 2</w:t>
      </w:r>
      <w:r w:rsidR="00DB24F6" w:rsidRPr="00DB24F6">
        <w:t xml:space="preserve"> shows the evolution of the number of </w:t>
      </w:r>
      <w:r w:rsidR="00DB24F6">
        <w:t>IDAs</w:t>
      </w:r>
      <w:r w:rsidR="00DB24F6" w:rsidRPr="00DB24F6">
        <w:t>.</w:t>
      </w:r>
    </w:p>
    <w:p w14:paraId="2BE9D42D" w14:textId="79A2671F" w:rsidR="007C23D4" w:rsidRDefault="007C23D4" w:rsidP="00AE5F84">
      <w:pPr>
        <w:pStyle w:val="ONUME"/>
        <w:numPr>
          <w:ilvl w:val="0"/>
          <w:numId w:val="0"/>
        </w:numPr>
        <w:jc w:val="center"/>
      </w:pPr>
      <w:r>
        <w:t>Table 2:  Evolution of the number of IDAs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099"/>
        <w:gridCol w:w="1099"/>
        <w:gridCol w:w="1099"/>
        <w:gridCol w:w="1099"/>
        <w:gridCol w:w="1099"/>
        <w:gridCol w:w="1100"/>
        <w:gridCol w:w="984"/>
      </w:tblGrid>
      <w:tr w:rsidR="00CD4DD6" w:rsidRPr="00457F5B" w14:paraId="26CAEDAC" w14:textId="6C0D8477" w:rsidTr="00914FA1">
        <w:tc>
          <w:tcPr>
            <w:tcW w:w="1766" w:type="dxa"/>
          </w:tcPr>
          <w:p w14:paraId="6871429F" w14:textId="77777777" w:rsidR="00CD4DD6" w:rsidRDefault="00CD4DD6" w:rsidP="001A6438">
            <w:pPr>
              <w:spacing w:after="220"/>
            </w:pPr>
          </w:p>
        </w:tc>
        <w:tc>
          <w:tcPr>
            <w:tcW w:w="1099" w:type="dxa"/>
          </w:tcPr>
          <w:p w14:paraId="5C15BAB5" w14:textId="7BC7A47E" w:rsidR="00CD4DD6" w:rsidRPr="00457F5B" w:rsidRDefault="00CD4DD6" w:rsidP="001A6438">
            <w:pPr>
              <w:spacing w:after="220"/>
              <w:jc w:val="center"/>
              <w:rPr>
                <w:sz w:val="20"/>
              </w:rPr>
            </w:pPr>
            <w:r w:rsidRPr="00457F5B">
              <w:rPr>
                <w:szCs w:val="22"/>
              </w:rPr>
              <w:t xml:space="preserve">1980 </w:t>
            </w:r>
          </w:p>
        </w:tc>
        <w:tc>
          <w:tcPr>
            <w:tcW w:w="1099" w:type="dxa"/>
          </w:tcPr>
          <w:p w14:paraId="48A88FA4" w14:textId="77777777" w:rsidR="00CD4DD6" w:rsidRPr="00457F5B" w:rsidRDefault="00CD4DD6" w:rsidP="001A6438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1983</w:t>
            </w:r>
          </w:p>
        </w:tc>
        <w:tc>
          <w:tcPr>
            <w:tcW w:w="1099" w:type="dxa"/>
          </w:tcPr>
          <w:p w14:paraId="059B50E9" w14:textId="77777777" w:rsidR="00CD4DD6" w:rsidRPr="00457F5B" w:rsidRDefault="00CD4DD6" w:rsidP="001A6438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1993</w:t>
            </w:r>
          </w:p>
        </w:tc>
        <w:tc>
          <w:tcPr>
            <w:tcW w:w="1099" w:type="dxa"/>
          </w:tcPr>
          <w:p w14:paraId="327BB551" w14:textId="77777777" w:rsidR="00CD4DD6" w:rsidRPr="00457F5B" w:rsidRDefault="00CD4DD6" w:rsidP="001A6438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2003</w:t>
            </w:r>
          </w:p>
        </w:tc>
        <w:tc>
          <w:tcPr>
            <w:tcW w:w="1099" w:type="dxa"/>
          </w:tcPr>
          <w:p w14:paraId="4EE7A085" w14:textId="77777777" w:rsidR="00CD4DD6" w:rsidRPr="00457F5B" w:rsidRDefault="00CD4DD6" w:rsidP="001A6438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2013</w:t>
            </w:r>
          </w:p>
        </w:tc>
        <w:tc>
          <w:tcPr>
            <w:tcW w:w="1100" w:type="dxa"/>
          </w:tcPr>
          <w:p w14:paraId="2705DBB8" w14:textId="77777777" w:rsidR="00CD4DD6" w:rsidRPr="00457F5B" w:rsidRDefault="00CD4DD6" w:rsidP="001A6438">
            <w:pPr>
              <w:spacing w:after="220"/>
              <w:jc w:val="center"/>
              <w:rPr>
                <w:szCs w:val="22"/>
              </w:rPr>
            </w:pPr>
            <w:r w:rsidRPr="00457F5B">
              <w:rPr>
                <w:szCs w:val="22"/>
              </w:rPr>
              <w:t>2023</w:t>
            </w:r>
          </w:p>
        </w:tc>
        <w:tc>
          <w:tcPr>
            <w:tcW w:w="984" w:type="dxa"/>
          </w:tcPr>
          <w:p w14:paraId="5D9FB68D" w14:textId="7A1D4FF9" w:rsidR="00CD4DD6" w:rsidRPr="00457F5B" w:rsidRDefault="00CD4DD6" w:rsidP="001A6438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2024</w:t>
            </w:r>
          </w:p>
        </w:tc>
      </w:tr>
      <w:tr w:rsidR="00CD4DD6" w14:paraId="7D0F9907" w14:textId="532B19A9" w:rsidTr="00914FA1">
        <w:tc>
          <w:tcPr>
            <w:tcW w:w="1766" w:type="dxa"/>
          </w:tcPr>
          <w:p w14:paraId="520CB26E" w14:textId="2F46078E" w:rsidR="00CD4DD6" w:rsidRDefault="00CD4DD6" w:rsidP="001A6438">
            <w:pPr>
              <w:spacing w:after="220"/>
            </w:pPr>
            <w:r>
              <w:t>Number of IDAs</w:t>
            </w:r>
          </w:p>
        </w:tc>
        <w:tc>
          <w:tcPr>
            <w:tcW w:w="1099" w:type="dxa"/>
            <w:vAlign w:val="center"/>
          </w:tcPr>
          <w:p w14:paraId="4C2602B9" w14:textId="2482BDC0" w:rsidR="00CD4DD6" w:rsidRDefault="00CD4DD6" w:rsidP="00502DF6">
            <w:pPr>
              <w:spacing w:after="220"/>
              <w:jc w:val="center"/>
            </w:pPr>
            <w:r>
              <w:t>0</w:t>
            </w:r>
          </w:p>
        </w:tc>
        <w:tc>
          <w:tcPr>
            <w:tcW w:w="1099" w:type="dxa"/>
            <w:vAlign w:val="center"/>
          </w:tcPr>
          <w:p w14:paraId="69434819" w14:textId="34685BC9" w:rsidR="00CD4DD6" w:rsidRDefault="00CD4DD6" w:rsidP="00502DF6">
            <w:pPr>
              <w:spacing w:after="220"/>
              <w:jc w:val="center"/>
            </w:pPr>
            <w:r>
              <w:t>11</w:t>
            </w:r>
          </w:p>
        </w:tc>
        <w:tc>
          <w:tcPr>
            <w:tcW w:w="1099" w:type="dxa"/>
            <w:vAlign w:val="center"/>
          </w:tcPr>
          <w:p w14:paraId="5531DF91" w14:textId="478726B0" w:rsidR="00CD4DD6" w:rsidRDefault="00CD4DD6" w:rsidP="00502DF6">
            <w:pPr>
              <w:spacing w:after="220"/>
              <w:jc w:val="center"/>
            </w:pPr>
            <w:r>
              <w:t>26</w:t>
            </w:r>
          </w:p>
        </w:tc>
        <w:tc>
          <w:tcPr>
            <w:tcW w:w="1099" w:type="dxa"/>
            <w:vAlign w:val="center"/>
          </w:tcPr>
          <w:p w14:paraId="755A9A82" w14:textId="7B1EE034" w:rsidR="00CD4DD6" w:rsidRDefault="00CD4DD6" w:rsidP="00502DF6">
            <w:pPr>
              <w:spacing w:after="220"/>
              <w:jc w:val="center"/>
            </w:pPr>
            <w:r>
              <w:t>34</w:t>
            </w:r>
          </w:p>
        </w:tc>
        <w:tc>
          <w:tcPr>
            <w:tcW w:w="1099" w:type="dxa"/>
            <w:vAlign w:val="center"/>
          </w:tcPr>
          <w:p w14:paraId="2FE66F74" w14:textId="2B4A8621" w:rsidR="00CD4DD6" w:rsidRDefault="00CD4DD6" w:rsidP="00502DF6">
            <w:pPr>
              <w:spacing w:after="220"/>
              <w:jc w:val="center"/>
            </w:pPr>
            <w:r>
              <w:t>42</w:t>
            </w:r>
          </w:p>
        </w:tc>
        <w:tc>
          <w:tcPr>
            <w:tcW w:w="1100" w:type="dxa"/>
            <w:vAlign w:val="center"/>
          </w:tcPr>
          <w:p w14:paraId="364E834B" w14:textId="4CEF230F" w:rsidR="00CD4DD6" w:rsidRDefault="00CD4DD6" w:rsidP="00502DF6">
            <w:pPr>
              <w:spacing w:after="220"/>
              <w:jc w:val="center"/>
            </w:pPr>
            <w:r>
              <w:t>49</w:t>
            </w:r>
          </w:p>
        </w:tc>
        <w:tc>
          <w:tcPr>
            <w:tcW w:w="984" w:type="dxa"/>
            <w:vAlign w:val="center"/>
          </w:tcPr>
          <w:p w14:paraId="37844B73" w14:textId="31917C89" w:rsidR="00CD4DD6" w:rsidRDefault="00CD4DD6" w:rsidP="00CD4DD6">
            <w:pPr>
              <w:spacing w:after="220"/>
              <w:jc w:val="center"/>
            </w:pPr>
            <w:r>
              <w:t>50</w:t>
            </w:r>
          </w:p>
        </w:tc>
      </w:tr>
    </w:tbl>
    <w:p w14:paraId="12C94EF8" w14:textId="77777777" w:rsidR="00DB24F6" w:rsidRPr="00DB24F6" w:rsidRDefault="00DB24F6" w:rsidP="00AE5F84">
      <w:pPr>
        <w:pStyle w:val="ONUME"/>
        <w:numPr>
          <w:ilvl w:val="0"/>
          <w:numId w:val="0"/>
        </w:numPr>
      </w:pPr>
    </w:p>
    <w:p w14:paraId="2A0CCDEA" w14:textId="45A7673E" w:rsidR="002A1CED" w:rsidRPr="002A1CED" w:rsidRDefault="00DB24F6" w:rsidP="00DB24F6">
      <w:pPr>
        <w:pStyle w:val="ONUME"/>
        <w:numPr>
          <w:ilvl w:val="0"/>
          <w:numId w:val="0"/>
        </w:numPr>
      </w:pPr>
      <w:r>
        <w:t xml:space="preserve">Currently, </w:t>
      </w:r>
      <w:r w:rsidR="002A1CED" w:rsidRPr="002A1CED">
        <w:t xml:space="preserve">IDAs </w:t>
      </w:r>
      <w:proofErr w:type="gramStart"/>
      <w:r w:rsidR="002A1CED" w:rsidRPr="002A1CED">
        <w:t>are located in</w:t>
      </w:r>
      <w:proofErr w:type="gramEnd"/>
      <w:r w:rsidR="002A1CED" w:rsidRPr="002A1CED">
        <w:t xml:space="preserve"> the following </w:t>
      </w:r>
      <w:r w:rsidR="00CC5B5F">
        <w:t>Groups</w:t>
      </w:r>
      <w:r w:rsidR="00131F47">
        <w:t>:</w:t>
      </w:r>
      <w:r w:rsidR="002A1CED" w:rsidRPr="002A1CED">
        <w:t xml:space="preserve"> </w:t>
      </w:r>
      <w:r>
        <w:t xml:space="preserve"> </w:t>
      </w:r>
      <w:r w:rsidR="00257DF2">
        <w:t>Africa</w:t>
      </w:r>
      <w:r w:rsidR="002A1CED" w:rsidRPr="002A1CED">
        <w:t xml:space="preserve"> (one</w:t>
      </w:r>
      <w:r w:rsidR="002A1CED">
        <w:rPr>
          <w:rStyle w:val="FootnoteReference"/>
        </w:rPr>
        <w:footnoteReference w:id="2"/>
      </w:r>
      <w:r w:rsidR="002A1CED" w:rsidRPr="002A1CED">
        <w:t>), Asia and Pacific (</w:t>
      </w:r>
      <w:r w:rsidR="00AE5F84">
        <w:t>seven</w:t>
      </w:r>
      <w:r w:rsidR="002A1CED">
        <w:rPr>
          <w:rStyle w:val="FootnoteReference"/>
        </w:rPr>
        <w:footnoteReference w:id="3"/>
      </w:r>
      <w:r w:rsidR="002A1CED" w:rsidRPr="002A1CED">
        <w:t>),</w:t>
      </w:r>
      <w:r w:rsidR="00917176" w:rsidRPr="00917176">
        <w:t xml:space="preserve"> </w:t>
      </w:r>
      <w:r w:rsidR="00917176" w:rsidRPr="002A1CED">
        <w:t>Central Asian, Caucasus and Eastern European Countries (two</w:t>
      </w:r>
      <w:r w:rsidR="00917176">
        <w:rPr>
          <w:rStyle w:val="FootnoteReference"/>
        </w:rPr>
        <w:footnoteReference w:id="4"/>
      </w:r>
      <w:r w:rsidR="00917176" w:rsidRPr="002A1CED">
        <w:t>)</w:t>
      </w:r>
      <w:r w:rsidR="00917176">
        <w:t xml:space="preserve">, </w:t>
      </w:r>
      <w:r w:rsidR="00917176" w:rsidRPr="002A1CED">
        <w:t>Central European and Baltic States (eight</w:t>
      </w:r>
      <w:r w:rsidR="00917176">
        <w:rPr>
          <w:rStyle w:val="FootnoteReference"/>
        </w:rPr>
        <w:footnoteReference w:id="5"/>
      </w:r>
      <w:r w:rsidR="00917176" w:rsidRPr="002A1CED">
        <w:t xml:space="preserve">), </w:t>
      </w:r>
      <w:r w:rsidR="00917176">
        <w:t>China (three),</w:t>
      </w:r>
      <w:r w:rsidR="00917176" w:rsidRPr="002A1CED">
        <w:t xml:space="preserve"> </w:t>
      </w:r>
      <w:r w:rsidR="00917176">
        <w:t>Group B</w:t>
      </w:r>
      <w:r w:rsidR="00917176" w:rsidRPr="002A1CED">
        <w:t xml:space="preserve"> (</w:t>
      </w:r>
      <w:r w:rsidR="00917176">
        <w:t>twenty-s</w:t>
      </w:r>
      <w:r w:rsidR="00CD4DD6">
        <w:t>even</w:t>
      </w:r>
      <w:r w:rsidR="00917176">
        <w:rPr>
          <w:rStyle w:val="FootnoteReference"/>
        </w:rPr>
        <w:footnoteReference w:id="6"/>
      </w:r>
      <w:r w:rsidR="00917176" w:rsidRPr="002A1CED">
        <w:t>)</w:t>
      </w:r>
      <w:r w:rsidR="00917176">
        <w:t xml:space="preserve"> and</w:t>
      </w:r>
      <w:r w:rsidR="002A1CED" w:rsidRPr="002A1CED">
        <w:t xml:space="preserve"> Latin America and the Caribbean (two</w:t>
      </w:r>
      <w:r w:rsidR="002A1CED">
        <w:rPr>
          <w:rStyle w:val="FootnoteReference"/>
        </w:rPr>
        <w:footnoteReference w:id="7"/>
      </w:r>
      <w:r w:rsidR="002A1CED" w:rsidRPr="002A1CED">
        <w:t>).</w:t>
      </w:r>
      <w:r w:rsidR="007F0CFC">
        <w:t xml:space="preserve">  </w:t>
      </w:r>
    </w:p>
    <w:p w14:paraId="20CEBB6B" w14:textId="3383E8C6" w:rsidR="00914FA1" w:rsidRDefault="001A45B9" w:rsidP="00914FA1">
      <w:pPr>
        <w:pStyle w:val="ONUME"/>
      </w:pPr>
      <w:r w:rsidRPr="001A45B9">
        <w:t>It should be noted that</w:t>
      </w:r>
      <w:r>
        <w:t xml:space="preserve"> both the membership of Treaty and the locations of the IDAs </w:t>
      </w:r>
      <w:r w:rsidRPr="001A45B9">
        <w:t xml:space="preserve">show more </w:t>
      </w:r>
      <w:r>
        <w:t xml:space="preserve">geographical </w:t>
      </w:r>
      <w:r w:rsidRPr="001A45B9">
        <w:t xml:space="preserve">diversity </w:t>
      </w:r>
      <w:r w:rsidR="00917176">
        <w:t>over time</w:t>
      </w:r>
      <w:r w:rsidRPr="001A45B9">
        <w:t>.</w:t>
      </w:r>
      <w:r w:rsidR="00B95AB3">
        <w:t xml:space="preserve">  </w:t>
      </w:r>
      <w:r w:rsidR="002A1CED" w:rsidRPr="002A1CED">
        <w:t xml:space="preserve">A list of the Budapest Treaty Contracting </w:t>
      </w:r>
      <w:r w:rsidR="00B95AB3">
        <w:t>States</w:t>
      </w:r>
      <w:r w:rsidR="002A1CED" w:rsidRPr="002A1CED">
        <w:t xml:space="preserve"> and IDAs is </w:t>
      </w:r>
      <w:r w:rsidR="00AE5F84">
        <w:t xml:space="preserve">available on the </w:t>
      </w:r>
      <w:hyperlink r:id="rId9" w:history="1">
        <w:r w:rsidR="00AE5F84" w:rsidRPr="001513F2">
          <w:rPr>
            <w:rStyle w:val="Hyperlink"/>
          </w:rPr>
          <w:t>Budapest Treaty website</w:t>
        </w:r>
      </w:hyperlink>
      <w:r w:rsidR="002A1CED" w:rsidRPr="002A1CED">
        <w:t>.</w:t>
      </w:r>
    </w:p>
    <w:p w14:paraId="3A6B0B93" w14:textId="77777777" w:rsidR="001A151C" w:rsidRDefault="001A151C" w:rsidP="001A151C">
      <w:pPr>
        <w:pStyle w:val="ONUME"/>
        <w:numPr>
          <w:ilvl w:val="0"/>
          <w:numId w:val="0"/>
        </w:numPr>
      </w:pPr>
    </w:p>
    <w:p w14:paraId="3DCB6246" w14:textId="77777777" w:rsidR="001A151C" w:rsidRPr="002A1CED" w:rsidRDefault="001A151C" w:rsidP="001A151C">
      <w:pPr>
        <w:pStyle w:val="ONUME"/>
        <w:numPr>
          <w:ilvl w:val="0"/>
          <w:numId w:val="0"/>
        </w:numPr>
      </w:pPr>
    </w:p>
    <w:p w14:paraId="0261EA9A" w14:textId="3CFE9524" w:rsidR="002A1CED" w:rsidRDefault="002A1CED" w:rsidP="0088518C">
      <w:pPr>
        <w:pStyle w:val="Heading3"/>
      </w:pPr>
      <w:r w:rsidRPr="002A1CED">
        <w:lastRenderedPageBreak/>
        <w:t>Changes in the Regulations under the Budapest Treaty</w:t>
      </w:r>
    </w:p>
    <w:p w14:paraId="25A631A3" w14:textId="77777777" w:rsidR="0088518C" w:rsidRPr="0088518C" w:rsidRDefault="0088518C" w:rsidP="0088518C"/>
    <w:p w14:paraId="02A5844E" w14:textId="19F7211E" w:rsidR="002A1CED" w:rsidRDefault="002A1CED" w:rsidP="002A1CED">
      <w:pPr>
        <w:pStyle w:val="ONUME"/>
      </w:pPr>
      <w:r w:rsidRPr="002A1CED">
        <w:t>In 2022, the Assembly of the Budapest Union decided to amend Rule 11.4(a)</w:t>
      </w:r>
      <w:r w:rsidR="00467385">
        <w:t>(</w:t>
      </w:r>
      <w:proofErr w:type="spellStart"/>
      <w:r w:rsidR="00467385">
        <w:t>i</w:t>
      </w:r>
      <w:proofErr w:type="spellEnd"/>
      <w:r w:rsidR="00467385">
        <w:t>)</w:t>
      </w:r>
      <w:r w:rsidRPr="002A1CED">
        <w:t xml:space="preserve"> and (b) of the B</w:t>
      </w:r>
      <w:r w:rsidR="00467385">
        <w:t xml:space="preserve">udapest </w:t>
      </w:r>
      <w:r w:rsidRPr="002A1CED">
        <w:t>T</w:t>
      </w:r>
      <w:r w:rsidR="00467385">
        <w:t>reaty</w:t>
      </w:r>
      <w:r w:rsidRPr="002A1CED">
        <w:t>, extend</w:t>
      </w:r>
      <w:r w:rsidR="00467385">
        <w:t>ing</w:t>
      </w:r>
      <w:r w:rsidRPr="002A1CED">
        <w:t xml:space="preserve"> the languages </w:t>
      </w:r>
      <w:r w:rsidR="00467385">
        <w:t xml:space="preserve">of certain </w:t>
      </w:r>
      <w:r w:rsidRPr="002A1CED">
        <w:t>communications addressed to IDAs</w:t>
      </w:r>
      <w:r w:rsidR="00FF6CF8">
        <w:t xml:space="preserve"> to the six </w:t>
      </w:r>
      <w:r w:rsidR="0055221F">
        <w:t xml:space="preserve">official </w:t>
      </w:r>
      <w:r w:rsidR="009C1FD9">
        <w:t xml:space="preserve">WIPO </w:t>
      </w:r>
      <w:r w:rsidR="00FF6CF8">
        <w:t>languages</w:t>
      </w:r>
      <w:r w:rsidRPr="002A1CED">
        <w:t>.  These changes entered into force on January</w:t>
      </w:r>
      <w:r w:rsidR="00917176">
        <w:t> </w:t>
      </w:r>
      <w:r w:rsidRPr="002A1CED">
        <w:t>1,</w:t>
      </w:r>
      <w:r w:rsidR="00917176">
        <w:t> </w:t>
      </w:r>
      <w:r w:rsidRPr="002A1CED">
        <w:t xml:space="preserve">2023. </w:t>
      </w:r>
    </w:p>
    <w:p w14:paraId="183E6B4A" w14:textId="350E9D6E" w:rsidR="002A1CED" w:rsidRPr="002A1CED" w:rsidRDefault="00FF6CF8" w:rsidP="002A1CED">
      <w:pPr>
        <w:pStyle w:val="ONUME"/>
      </w:pPr>
      <w:r>
        <w:t>In addition</w:t>
      </w:r>
      <w:r w:rsidR="002A1CED" w:rsidRPr="002A1CED">
        <w:t xml:space="preserve">, in line with the decision of the Assembly, the International Bureau (IB) published </w:t>
      </w:r>
      <w:hyperlink r:id="rId10" w:history="1">
        <w:r w:rsidR="002A1CED" w:rsidRPr="001513F2">
          <w:rPr>
            <w:rStyle w:val="Hyperlink"/>
          </w:rPr>
          <w:t>the new Forms under the B</w:t>
        </w:r>
        <w:r w:rsidRPr="001513F2">
          <w:rPr>
            <w:rStyle w:val="Hyperlink"/>
          </w:rPr>
          <w:t xml:space="preserve">udapest </w:t>
        </w:r>
        <w:r w:rsidR="002A1CED" w:rsidRPr="001513F2">
          <w:rPr>
            <w:rStyle w:val="Hyperlink"/>
          </w:rPr>
          <w:t>T</w:t>
        </w:r>
        <w:r w:rsidRPr="001513F2">
          <w:rPr>
            <w:rStyle w:val="Hyperlink"/>
          </w:rPr>
          <w:t>reaty</w:t>
        </w:r>
      </w:hyperlink>
      <w:r w:rsidR="00917176">
        <w:t xml:space="preserve"> in the six </w:t>
      </w:r>
      <w:r w:rsidR="00CC5B5F">
        <w:t>official WIPO</w:t>
      </w:r>
      <w:r w:rsidR="00917176">
        <w:t xml:space="preserve"> languages</w:t>
      </w:r>
      <w:r w:rsidR="006715BF">
        <w:t>.  These forms now include designated spaces for email addresses and telephone numbers of relevant parties.</w:t>
      </w:r>
      <w:r w:rsidR="004947AE">
        <w:t xml:space="preserve"> </w:t>
      </w:r>
    </w:p>
    <w:p w14:paraId="212D1264" w14:textId="0A369F5C" w:rsidR="002A1CED" w:rsidRDefault="002A1CED" w:rsidP="0088518C">
      <w:pPr>
        <w:pStyle w:val="Heading3"/>
      </w:pPr>
      <w:r w:rsidRPr="00917176">
        <w:t>Notifications</w:t>
      </w:r>
      <w:r w:rsidR="00917176" w:rsidRPr="00917176">
        <w:t xml:space="preserve"> and communications</w:t>
      </w:r>
    </w:p>
    <w:p w14:paraId="651B313C" w14:textId="77777777" w:rsidR="0088518C" w:rsidRPr="0088518C" w:rsidRDefault="0088518C" w:rsidP="0088518C"/>
    <w:p w14:paraId="4B5ABF7B" w14:textId="648333C4" w:rsidR="002A1CED" w:rsidRPr="00917176" w:rsidRDefault="002A1CED" w:rsidP="002A1CED">
      <w:pPr>
        <w:pStyle w:val="ONUME"/>
      </w:pPr>
      <w:r w:rsidRPr="00917176">
        <w:t>The Budapest Treaty regulates various kinds of</w:t>
      </w:r>
      <w:r w:rsidR="00412D60" w:rsidRPr="00917176">
        <w:t xml:space="preserve"> </w:t>
      </w:r>
      <w:r w:rsidRPr="00917176">
        <w:t xml:space="preserve">communications from the Contracting </w:t>
      </w:r>
      <w:r w:rsidR="00FF6CF8" w:rsidRPr="00917176">
        <w:t>States and intergovernmental industrial property organizations</w:t>
      </w:r>
      <w:r w:rsidRPr="00917176">
        <w:t xml:space="preserve"> to the IB.  The</w:t>
      </w:r>
      <w:r w:rsidR="007663DA" w:rsidRPr="00917176">
        <w:t>y</w:t>
      </w:r>
      <w:r w:rsidRPr="00917176">
        <w:t xml:space="preserve"> may concern</w:t>
      </w:r>
      <w:r w:rsidR="007663DA" w:rsidRPr="00917176">
        <w:t>,</w:t>
      </w:r>
      <w:r w:rsidR="00412D60" w:rsidRPr="00917176">
        <w:t xml:space="preserve"> </w:t>
      </w:r>
      <w:r w:rsidR="007663DA" w:rsidRPr="00917176">
        <w:t>for example,</w:t>
      </w:r>
      <w:r w:rsidRPr="00917176">
        <w:t xml:space="preserve"> the acquisition of the status of an IDA or the requirements of an IDA </w:t>
      </w:r>
      <w:r w:rsidR="00042478" w:rsidRPr="00917176">
        <w:t xml:space="preserve">for accepting deposits, including </w:t>
      </w:r>
      <w:r w:rsidRPr="00917176">
        <w:t xml:space="preserve">changes in the schedule of fees charged by an IDA.  </w:t>
      </w:r>
      <w:r w:rsidR="009043DD" w:rsidRPr="009043DD">
        <w:t>In addition to the notifications of new accessions/ratifications to the Budapest Treaty and new declarations under Article 9(1)(a),</w:t>
      </w:r>
      <w:r w:rsidR="002B2C20">
        <w:t xml:space="preserve"> </w:t>
      </w:r>
      <w:r w:rsidR="009043DD">
        <w:t>t</w:t>
      </w:r>
      <w:r w:rsidRPr="00917176">
        <w:t xml:space="preserve">he </w:t>
      </w:r>
      <w:r w:rsidR="00917176">
        <w:t xml:space="preserve">IB notifies and publishes </w:t>
      </w:r>
      <w:r w:rsidR="009043DD">
        <w:t xml:space="preserve">these </w:t>
      </w:r>
      <w:hyperlink r:id="rId11" w:history="1">
        <w:r w:rsidR="00E5071C" w:rsidRPr="002A54A4">
          <w:rPr>
            <w:rStyle w:val="Hyperlink"/>
          </w:rPr>
          <w:t>communications</w:t>
        </w:r>
      </w:hyperlink>
      <w:r w:rsidRPr="00917176">
        <w:t xml:space="preserve"> </w:t>
      </w:r>
      <w:r w:rsidR="00E5071C" w:rsidRPr="00E5071C">
        <w:t>on the Budapest Treaty website</w:t>
      </w:r>
      <w:r w:rsidR="001513F2">
        <w:t>.</w:t>
      </w:r>
      <w:r w:rsidRPr="00917176">
        <w:t xml:space="preserve">  </w:t>
      </w:r>
    </w:p>
    <w:p w14:paraId="23199891" w14:textId="78395E11" w:rsidR="002A1CED" w:rsidRPr="002A1CED" w:rsidRDefault="002A1CED" w:rsidP="002A1CED">
      <w:pPr>
        <w:pStyle w:val="ONUME"/>
      </w:pPr>
      <w:r w:rsidRPr="00917176">
        <w:t xml:space="preserve">Since July 2022, </w:t>
      </w:r>
      <w:r w:rsidR="009043DD">
        <w:t xml:space="preserve">the IB notified and published the </w:t>
      </w:r>
      <w:r w:rsidRPr="00917176">
        <w:t>communications received from the United Kingdom, the European Patent Office, Poland, Japan, Spain, the United</w:t>
      </w:r>
      <w:r w:rsidRPr="002A1CED">
        <w:t xml:space="preserve"> States of America</w:t>
      </w:r>
      <w:r w:rsidR="00D7243F">
        <w:t xml:space="preserve">, </w:t>
      </w:r>
      <w:proofErr w:type="gramStart"/>
      <w:r w:rsidRPr="002A1CED">
        <w:t>Finland</w:t>
      </w:r>
      <w:proofErr w:type="gramEnd"/>
      <w:r w:rsidRPr="002A1CED">
        <w:t xml:space="preserve"> </w:t>
      </w:r>
      <w:r w:rsidR="00D7243F">
        <w:t xml:space="preserve">and Portugal </w:t>
      </w:r>
      <w:r w:rsidR="006A37D4">
        <w:t xml:space="preserve">(in the order of </w:t>
      </w:r>
      <w:r w:rsidR="00917176">
        <w:t>publication</w:t>
      </w:r>
      <w:r w:rsidR="006A37D4">
        <w:t>)</w:t>
      </w:r>
      <w:r w:rsidRPr="002A1CED">
        <w:t>.</w:t>
      </w:r>
    </w:p>
    <w:p w14:paraId="1081AFC0" w14:textId="2DE5B551" w:rsidR="002A1CED" w:rsidRDefault="002A1CED" w:rsidP="0088518C">
      <w:pPr>
        <w:pStyle w:val="Heading3"/>
      </w:pPr>
      <w:r w:rsidRPr="002A1CED">
        <w:t>Update of the Guide to the Deposit of Microorganisms under the Budapest Treaty</w:t>
      </w:r>
    </w:p>
    <w:p w14:paraId="69F609D9" w14:textId="77777777" w:rsidR="0088518C" w:rsidRPr="0088518C" w:rsidRDefault="0088518C" w:rsidP="0088518C"/>
    <w:p w14:paraId="5CABA960" w14:textId="127F77EE" w:rsidR="002A1CED" w:rsidRDefault="004D3EA4" w:rsidP="002A1CED">
      <w:pPr>
        <w:pStyle w:val="ONUME"/>
      </w:pPr>
      <w:hyperlink r:id="rId12" w:history="1">
        <w:r w:rsidR="002A1CED" w:rsidRPr="001513F2">
          <w:rPr>
            <w:rStyle w:val="Hyperlink"/>
          </w:rPr>
          <w:t>The Guide to the Deposit of Microorganisms under the Budapest Treaty</w:t>
        </w:r>
      </w:hyperlink>
      <w:r w:rsidR="002A1CED" w:rsidRPr="002A1CED">
        <w:t xml:space="preserve"> contains </w:t>
      </w:r>
      <w:r w:rsidR="00042478">
        <w:t xml:space="preserve">information about </w:t>
      </w:r>
      <w:r w:rsidR="002A1CED" w:rsidRPr="002A1CED">
        <w:t xml:space="preserve">the </w:t>
      </w:r>
      <w:r w:rsidR="002C1F40">
        <w:t>requirements to be met and the procedure to be followed</w:t>
      </w:r>
      <w:r w:rsidR="002A1CED" w:rsidRPr="002A1CED">
        <w:t xml:space="preserve"> </w:t>
      </w:r>
      <w:r w:rsidR="00941CF8">
        <w:t xml:space="preserve">by users of the Budapest system in </w:t>
      </w:r>
      <w:r w:rsidR="002A1CED" w:rsidRPr="002A1CED">
        <w:t>deposit</w:t>
      </w:r>
      <w:r w:rsidR="00042478">
        <w:t>ing</w:t>
      </w:r>
      <w:r w:rsidR="002A1CED" w:rsidRPr="002A1CED">
        <w:t xml:space="preserve"> microorganisms and </w:t>
      </w:r>
      <w:r w:rsidR="00BB3152">
        <w:t>obtaining</w:t>
      </w:r>
      <w:r w:rsidR="002A1CED" w:rsidRPr="002A1CED">
        <w:t xml:space="preserve"> samples </w:t>
      </w:r>
      <w:r w:rsidR="00BB3152">
        <w:t>of the deposited microorganisms under the Budapest Treaty</w:t>
      </w:r>
      <w:r w:rsidR="002A1CED" w:rsidRPr="002A1CED">
        <w:t>.</w:t>
      </w:r>
    </w:p>
    <w:p w14:paraId="34D81978" w14:textId="47D50E0A" w:rsidR="002A1CED" w:rsidRPr="009551C9" w:rsidRDefault="002A1CED" w:rsidP="002A1CED">
      <w:pPr>
        <w:pStyle w:val="ONUME"/>
      </w:pPr>
      <w:r w:rsidRPr="002A1CED">
        <w:t xml:space="preserve">In addition to </w:t>
      </w:r>
      <w:r w:rsidR="00BB3152">
        <w:t xml:space="preserve">a </w:t>
      </w:r>
      <w:r w:rsidRPr="002A1CED">
        <w:t xml:space="preserve">general </w:t>
      </w:r>
      <w:r w:rsidR="00BB3152">
        <w:t>introduction to the Budapest Treaty and general requirements for deposit and furnishing of samples</w:t>
      </w:r>
      <w:r w:rsidRPr="002A1CED">
        <w:t xml:space="preserve">, the Guide provides in Section D the technical and administrative </w:t>
      </w:r>
      <w:r w:rsidR="00BB3152">
        <w:t>requirements of</w:t>
      </w:r>
      <w:r w:rsidR="002C1F40">
        <w:t xml:space="preserve"> </w:t>
      </w:r>
      <w:r w:rsidR="00BB3152">
        <w:t xml:space="preserve">each </w:t>
      </w:r>
      <w:r w:rsidRPr="002A1CED">
        <w:t xml:space="preserve">IDA </w:t>
      </w:r>
      <w:r w:rsidR="00941CF8">
        <w:t>in</w:t>
      </w:r>
      <w:r w:rsidR="002C1F40">
        <w:t xml:space="preserve"> receiving </w:t>
      </w:r>
      <w:r w:rsidR="007C2D50">
        <w:t>a</w:t>
      </w:r>
      <w:r w:rsidRPr="002A1CED">
        <w:t xml:space="preserve"> deposit of </w:t>
      </w:r>
      <w:r w:rsidR="007C2D50">
        <w:t xml:space="preserve">a </w:t>
      </w:r>
      <w:r w:rsidRPr="002A1CED">
        <w:t xml:space="preserve">microorganism and furnishing of samples of deposited microorganisms (for example, the kinds of </w:t>
      </w:r>
      <w:r w:rsidRPr="009551C9">
        <w:t>microorganisms accepted, the form and quantity in which microorganisms shall be received, the schedule of the fees</w:t>
      </w:r>
      <w:r w:rsidR="002A54A4">
        <w:t>,</w:t>
      </w:r>
      <w:r w:rsidR="00941CF8" w:rsidRPr="009551C9">
        <w:t xml:space="preserve"> etc.</w:t>
      </w:r>
      <w:r w:rsidRPr="009551C9">
        <w:t>).</w:t>
      </w:r>
    </w:p>
    <w:p w14:paraId="4E7B763F" w14:textId="6BB9DA19" w:rsidR="002A1CED" w:rsidRPr="009551C9" w:rsidRDefault="002A1CED" w:rsidP="002A1CED">
      <w:pPr>
        <w:pStyle w:val="ONUME"/>
      </w:pPr>
      <w:r w:rsidRPr="009551C9">
        <w:t>Section D is regularly updated</w:t>
      </w:r>
      <w:r w:rsidR="00941CF8" w:rsidRPr="009551C9">
        <w:t>,</w:t>
      </w:r>
      <w:r w:rsidRPr="009551C9">
        <w:t xml:space="preserve"> </w:t>
      </w:r>
      <w:r w:rsidR="00D5732C" w:rsidRPr="009551C9">
        <w:t xml:space="preserve">based on the information </w:t>
      </w:r>
      <w:r w:rsidRPr="009551C9">
        <w:t xml:space="preserve">received </w:t>
      </w:r>
      <w:r w:rsidR="00941CF8" w:rsidRPr="009551C9">
        <w:t>from</w:t>
      </w:r>
      <w:r w:rsidRPr="009551C9">
        <w:t xml:space="preserve"> the Contracting </w:t>
      </w:r>
      <w:r w:rsidR="00941CF8" w:rsidRPr="009551C9">
        <w:t>States</w:t>
      </w:r>
      <w:r w:rsidR="00D5732C" w:rsidRPr="009551C9">
        <w:t xml:space="preserve"> or the IDAs (as the case may be)</w:t>
      </w:r>
      <w:r w:rsidRPr="009551C9">
        <w:t xml:space="preserve">.  In 2024, </w:t>
      </w:r>
      <w:r w:rsidR="00941CF8" w:rsidRPr="009551C9">
        <w:t xml:space="preserve">information from </w:t>
      </w:r>
      <w:r w:rsidR="00D5732C" w:rsidRPr="009551C9">
        <w:t>16</w:t>
      </w:r>
      <w:r w:rsidR="00941CF8" w:rsidRPr="009551C9">
        <w:t xml:space="preserve"> IDAs was </w:t>
      </w:r>
      <w:r w:rsidRPr="009551C9">
        <w:t>update</w:t>
      </w:r>
      <w:r w:rsidR="00941CF8" w:rsidRPr="009551C9">
        <w:t>d</w:t>
      </w:r>
      <w:r w:rsidRPr="009551C9">
        <w:t xml:space="preserve">.  </w:t>
      </w:r>
    </w:p>
    <w:p w14:paraId="42307448" w14:textId="60285D08" w:rsidR="002A1CED" w:rsidRPr="002A1CED" w:rsidRDefault="002A1CED" w:rsidP="002A1CED">
      <w:pPr>
        <w:pStyle w:val="ONUME"/>
      </w:pPr>
      <w:r w:rsidRPr="009551C9">
        <w:t>Section E of the Guide contains information on the requirements</w:t>
      </w:r>
      <w:r w:rsidR="00941CF8" w:rsidRPr="009551C9">
        <w:t xml:space="preserve"> of</w:t>
      </w:r>
      <w:r w:rsidRPr="009551C9">
        <w:t xml:space="preserve"> the </w:t>
      </w:r>
      <w:r w:rsidR="000C0F52" w:rsidRPr="009551C9">
        <w:t>intellectual property (IP)</w:t>
      </w:r>
      <w:r w:rsidRPr="009551C9">
        <w:t xml:space="preserve"> </w:t>
      </w:r>
      <w:r w:rsidR="000C0F52" w:rsidRPr="009551C9">
        <w:t>o</w:t>
      </w:r>
      <w:r w:rsidRPr="009551C9">
        <w:t>ffices and regional patent organizations concerning the deposit of</w:t>
      </w:r>
      <w:r w:rsidRPr="002A1CED">
        <w:t xml:space="preserve"> microorganisms and furnishing of </w:t>
      </w:r>
      <w:r w:rsidR="0000408F">
        <w:t xml:space="preserve">their </w:t>
      </w:r>
      <w:r w:rsidRPr="002A1CED">
        <w:t>samples</w:t>
      </w:r>
      <w:r w:rsidR="0000408F">
        <w:t xml:space="preserve"> under the Budapest Treaty</w:t>
      </w:r>
      <w:r w:rsidRPr="002A1CED">
        <w:t xml:space="preserve"> (for example, when the deposit shall be made, the conditions under which </w:t>
      </w:r>
      <w:r w:rsidR="003C50A7">
        <w:t xml:space="preserve">a </w:t>
      </w:r>
      <w:r w:rsidRPr="002A1CED">
        <w:t xml:space="preserve">sample of </w:t>
      </w:r>
      <w:r w:rsidR="003C50A7">
        <w:t xml:space="preserve">a </w:t>
      </w:r>
      <w:r w:rsidRPr="002A1CED">
        <w:t>deposited microorganism</w:t>
      </w:r>
      <w:r w:rsidR="003C50A7">
        <w:t xml:space="preserve"> used in a patent application</w:t>
      </w:r>
      <w:r w:rsidRPr="002A1CED">
        <w:t xml:space="preserve"> </w:t>
      </w:r>
      <w:r w:rsidR="003C50A7">
        <w:t>is</w:t>
      </w:r>
      <w:r w:rsidRPr="002A1CED">
        <w:t xml:space="preserve"> available).</w:t>
      </w:r>
      <w:r w:rsidR="007673AA">
        <w:t xml:space="preserve">  The IB requests regularly the Contracting </w:t>
      </w:r>
      <w:r w:rsidR="0000408F">
        <w:t>States</w:t>
      </w:r>
      <w:r w:rsidR="007673AA">
        <w:t xml:space="preserve"> to provide</w:t>
      </w:r>
      <w:r w:rsidR="0000138B">
        <w:t xml:space="preserve"> or </w:t>
      </w:r>
      <w:r w:rsidR="007673AA">
        <w:t>update information</w:t>
      </w:r>
      <w:r w:rsidR="0000138B">
        <w:t xml:space="preserve"> regarding the</w:t>
      </w:r>
      <w:r w:rsidR="0000408F">
        <w:t>ir</w:t>
      </w:r>
      <w:r w:rsidR="0000138B">
        <w:t xml:space="preserve"> requirements</w:t>
      </w:r>
      <w:r w:rsidR="0000408F">
        <w:t xml:space="preserve"> concerned</w:t>
      </w:r>
      <w:r w:rsidR="007673AA">
        <w:t>.</w:t>
      </w:r>
    </w:p>
    <w:p w14:paraId="48B84D17" w14:textId="44E3E021" w:rsidR="002A1CED" w:rsidRDefault="002A1CED" w:rsidP="002A1CED">
      <w:pPr>
        <w:pStyle w:val="ONUME"/>
      </w:pPr>
      <w:r w:rsidRPr="000B3B17">
        <w:t xml:space="preserve">In 2024, </w:t>
      </w:r>
      <w:r w:rsidR="003C50A7">
        <w:t>the IB updated Section E with the information</w:t>
      </w:r>
      <w:r w:rsidRPr="000B3B17">
        <w:t xml:space="preserve"> received from </w:t>
      </w:r>
      <w:r w:rsidR="00BF6E96" w:rsidRPr="000B3B17">
        <w:t xml:space="preserve">Belarus, Bulgaria, Chile, </w:t>
      </w:r>
      <w:r w:rsidR="0000408F">
        <w:t xml:space="preserve">the </w:t>
      </w:r>
      <w:r w:rsidR="00BF6E96" w:rsidRPr="000B3B17">
        <w:t xml:space="preserve">Czech Republic, Hungary, Iceland, Latvia, Peru, Poland, </w:t>
      </w:r>
      <w:r w:rsidR="0000408F">
        <w:t xml:space="preserve">the </w:t>
      </w:r>
      <w:r w:rsidR="00BF6E96" w:rsidRPr="000B3B17">
        <w:t xml:space="preserve">Republic </w:t>
      </w:r>
      <w:r w:rsidR="00E82269" w:rsidRPr="000B3B17">
        <w:t>o</w:t>
      </w:r>
      <w:r w:rsidR="00BF6E96" w:rsidRPr="000B3B17">
        <w:t xml:space="preserve">f Moldova, Serbia, Singapore, Slovenia, Spain, </w:t>
      </w:r>
      <w:bookmarkStart w:id="6" w:name="_Hlk163485267"/>
      <w:r w:rsidR="00BF6E96" w:rsidRPr="000B3B17">
        <w:t>Türkiye</w:t>
      </w:r>
      <w:bookmarkEnd w:id="6"/>
      <w:r w:rsidR="00BF6E96" w:rsidRPr="000B3B17">
        <w:t xml:space="preserve">, </w:t>
      </w:r>
      <w:r w:rsidR="0000408F">
        <w:t xml:space="preserve">the </w:t>
      </w:r>
      <w:r w:rsidR="00BF6E96" w:rsidRPr="000B3B17">
        <w:t>U</w:t>
      </w:r>
      <w:r w:rsidR="00E82269" w:rsidRPr="000B3B17">
        <w:t xml:space="preserve">nited Kingdom, </w:t>
      </w:r>
      <w:r w:rsidR="00444A6C">
        <w:t xml:space="preserve">EPO and </w:t>
      </w:r>
      <w:r w:rsidR="00E82269" w:rsidRPr="000B3B17">
        <w:t>OAPI.</w:t>
      </w:r>
    </w:p>
    <w:p w14:paraId="6D06558F" w14:textId="77777777" w:rsidR="00E76BC2" w:rsidRDefault="00E76BC2">
      <w:pPr>
        <w:rPr>
          <w:bCs/>
          <w:szCs w:val="26"/>
          <w:u w:val="single"/>
        </w:rPr>
      </w:pPr>
      <w:r>
        <w:br w:type="page"/>
      </w:r>
    </w:p>
    <w:p w14:paraId="28A9B6F4" w14:textId="26BE4914" w:rsidR="002A1CED" w:rsidRDefault="002A1CED" w:rsidP="0088518C">
      <w:pPr>
        <w:pStyle w:val="Heading3"/>
      </w:pPr>
      <w:r w:rsidRPr="002A1CED">
        <w:lastRenderedPageBreak/>
        <w:t>Statistics</w:t>
      </w:r>
    </w:p>
    <w:p w14:paraId="6B13A449" w14:textId="77777777" w:rsidR="0088518C" w:rsidRPr="0088518C" w:rsidRDefault="0088518C" w:rsidP="0088518C"/>
    <w:p w14:paraId="07DA7075" w14:textId="14AAF36A" w:rsidR="002A1CED" w:rsidRDefault="002A1CED" w:rsidP="002A1CED">
      <w:pPr>
        <w:pStyle w:val="ONUME"/>
      </w:pPr>
      <w:r w:rsidRPr="002A1CED">
        <w:t>The I</w:t>
      </w:r>
      <w:r w:rsidR="000B3B17">
        <w:t>B</w:t>
      </w:r>
      <w:r w:rsidRPr="002A1CED">
        <w:t xml:space="preserve"> collects and publishes </w:t>
      </w:r>
      <w:r w:rsidR="00E76BC2" w:rsidRPr="004947AE">
        <w:t xml:space="preserve">annual statistics regarding </w:t>
      </w:r>
      <w:hyperlink r:id="rId13" w:history="1">
        <w:r w:rsidR="00E76BC2" w:rsidRPr="004947AE">
          <w:rPr>
            <w:rStyle w:val="Hyperlink"/>
          </w:rPr>
          <w:t>the number of microorganisms deposited and the number of samples of deposited microorganisms furnished</w:t>
        </w:r>
      </w:hyperlink>
      <w:r w:rsidR="00E76BC2" w:rsidRPr="004947AE">
        <w:t xml:space="preserve"> under the Budapest Treaty</w:t>
      </w:r>
      <w:r w:rsidR="00DB6C27">
        <w:t xml:space="preserve">, </w:t>
      </w:r>
      <w:r w:rsidRPr="002A1CED">
        <w:t xml:space="preserve">based on data received from IDAs.  </w:t>
      </w:r>
      <w:r w:rsidR="000C0F52">
        <w:t>Figure</w:t>
      </w:r>
      <w:r w:rsidRPr="002A1CED">
        <w:t xml:space="preserve"> 1 below shows that in 2022, a total of 9,</w:t>
      </w:r>
      <w:r w:rsidR="00FB09D2">
        <w:t>8</w:t>
      </w:r>
      <w:r w:rsidRPr="002A1CED">
        <w:t>08 microorganisms were deposited with IDAs</w:t>
      </w:r>
      <w:r w:rsidR="0000408F">
        <w:t>.</w:t>
      </w:r>
      <w:r w:rsidRPr="002A1CED">
        <w:t xml:space="preserve"> </w:t>
      </w:r>
      <w:r w:rsidR="0000408F">
        <w:t xml:space="preserve"> T</w:t>
      </w:r>
      <w:r w:rsidRPr="002A1CED">
        <w:t>his made an increase of 12</w:t>
      </w:r>
      <w:r w:rsidR="00E5071C">
        <w:t> per cent</w:t>
      </w:r>
      <w:r w:rsidRPr="002A1CED">
        <w:t xml:space="preserve"> </w:t>
      </w:r>
      <w:r w:rsidR="0000408F">
        <w:t>from the number of deposits made in</w:t>
      </w:r>
      <w:r w:rsidRPr="002A1CED">
        <w:t xml:space="preserve"> 2021.  The number of microorganisms deposited </w:t>
      </w:r>
      <w:r w:rsidR="0000408F">
        <w:t xml:space="preserve">has been </w:t>
      </w:r>
      <w:r w:rsidRPr="002A1CED">
        <w:t>steadily increas</w:t>
      </w:r>
      <w:r w:rsidR="009C2B08">
        <w:t>ing</w:t>
      </w:r>
      <w:r w:rsidRPr="002A1CED">
        <w:t xml:space="preserve"> since 20</w:t>
      </w:r>
      <w:r w:rsidR="00DB6C27">
        <w:t>0</w:t>
      </w:r>
      <w:r w:rsidRPr="002A1CED">
        <w:t xml:space="preserve">2 </w:t>
      </w:r>
      <w:r w:rsidR="0000408F">
        <w:t xml:space="preserve">(with a notable exception in 2020) </w:t>
      </w:r>
      <w:r w:rsidRPr="002A1CED">
        <w:t xml:space="preserve">and doubled over the last </w:t>
      </w:r>
      <w:r w:rsidR="00E5071C">
        <w:t>10</w:t>
      </w:r>
      <w:r w:rsidR="00E5071C" w:rsidRPr="002A1CED">
        <w:t xml:space="preserve"> </w:t>
      </w:r>
      <w:r w:rsidRPr="002A1CED">
        <w:t xml:space="preserve">years.  </w:t>
      </w:r>
      <w:r w:rsidR="00745D6B">
        <w:t>Figure </w:t>
      </w:r>
      <w:r w:rsidRPr="002A1CED">
        <w:t xml:space="preserve">2 provides the </w:t>
      </w:r>
      <w:r w:rsidRPr="007673AA">
        <w:t>break</w:t>
      </w:r>
      <w:r w:rsidR="007673AA" w:rsidRPr="007673AA">
        <w:t>down</w:t>
      </w:r>
      <w:r w:rsidRPr="007673AA">
        <w:t xml:space="preserve"> </w:t>
      </w:r>
      <w:r w:rsidRPr="002A1CED">
        <w:t xml:space="preserve">of </w:t>
      </w:r>
      <w:r w:rsidR="00EB47D2">
        <w:t xml:space="preserve">microorganisms </w:t>
      </w:r>
      <w:r w:rsidRPr="002A1CED">
        <w:t>deposit</w:t>
      </w:r>
      <w:r w:rsidR="00EB47D2">
        <w:t xml:space="preserve">ed in 2022, sorted </w:t>
      </w:r>
      <w:r w:rsidR="00A213B8">
        <w:t>by country of</w:t>
      </w:r>
      <w:r w:rsidR="00EB47D2">
        <w:t xml:space="preserve"> the </w:t>
      </w:r>
      <w:r w:rsidR="00E823DF">
        <w:t>IDA</w:t>
      </w:r>
      <w:r w:rsidR="00A213B8">
        <w:t>’s location</w:t>
      </w:r>
      <w:r w:rsidRPr="002A1CED">
        <w:t>.</w:t>
      </w:r>
    </w:p>
    <w:p w14:paraId="1A8AEB5B" w14:textId="190A74F1" w:rsidR="002A1CED" w:rsidRDefault="004A1CFA" w:rsidP="002A1CED">
      <w:pPr>
        <w:pStyle w:val="ONUME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Figure</w:t>
      </w:r>
      <w:r w:rsidRPr="002A1CED">
        <w:rPr>
          <w:b/>
          <w:bCs/>
        </w:rPr>
        <w:t xml:space="preserve"> </w:t>
      </w:r>
      <w:r w:rsidR="002A1CED" w:rsidRPr="002A1CED">
        <w:rPr>
          <w:b/>
          <w:bCs/>
        </w:rPr>
        <w:t>1</w:t>
      </w:r>
    </w:p>
    <w:p w14:paraId="48DD1834" w14:textId="2FB029EB" w:rsidR="002A1CED" w:rsidRDefault="002A1CED" w:rsidP="002A1CED">
      <w:pPr>
        <w:pStyle w:val="ONUME"/>
        <w:numPr>
          <w:ilvl w:val="0"/>
          <w:numId w:val="0"/>
        </w:num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444E4D4" wp14:editId="26B331DC">
            <wp:extent cx="4865298" cy="2743200"/>
            <wp:effectExtent l="0" t="0" r="12065" b="0"/>
            <wp:docPr id="6" name="Chart 6" descr="Overall Total Microorganisms Deposited (2012-2022)&#10;">
              <a:extLst xmlns:a="http://schemas.openxmlformats.org/drawingml/2006/main">
                <a:ext uri="{FF2B5EF4-FFF2-40B4-BE49-F238E27FC236}">
                  <a16:creationId xmlns:a16="http://schemas.microsoft.com/office/drawing/2014/main" id="{FAF58AE1-B6A4-8C39-9173-FFA72EDC39E9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E7D3111" w14:textId="77777777" w:rsidR="002A1CED" w:rsidRDefault="002A1CED" w:rsidP="002A1CED">
      <w:pPr>
        <w:rPr>
          <w:b/>
          <w:bCs/>
        </w:rPr>
      </w:pPr>
    </w:p>
    <w:p w14:paraId="395320C5" w14:textId="6C655CB2" w:rsidR="002A1CED" w:rsidRDefault="004A1CFA" w:rsidP="002A1CED">
      <w:pPr>
        <w:rPr>
          <w:b/>
          <w:bCs/>
        </w:rPr>
      </w:pPr>
      <w:r>
        <w:rPr>
          <w:b/>
          <w:bCs/>
        </w:rPr>
        <w:t>Figure</w:t>
      </w:r>
      <w:r w:rsidRPr="003677B8">
        <w:rPr>
          <w:b/>
          <w:bCs/>
        </w:rPr>
        <w:t xml:space="preserve"> </w:t>
      </w:r>
      <w:r w:rsidR="002A1CED" w:rsidRPr="003677B8">
        <w:rPr>
          <w:b/>
          <w:bCs/>
        </w:rPr>
        <w:t>2</w:t>
      </w:r>
    </w:p>
    <w:p w14:paraId="5E36C8AC" w14:textId="77777777" w:rsidR="00C53FEF" w:rsidRDefault="00C53FEF" w:rsidP="002A1CED">
      <w:pPr>
        <w:rPr>
          <w:b/>
          <w:bCs/>
        </w:rPr>
      </w:pPr>
    </w:p>
    <w:p w14:paraId="2087C893" w14:textId="5133069C" w:rsidR="002A1CED" w:rsidRDefault="001B0DC7" w:rsidP="00C53FEF">
      <w:pPr>
        <w:jc w:val="center"/>
      </w:pPr>
      <w:r>
        <w:rPr>
          <w:noProof/>
        </w:rPr>
        <w:drawing>
          <wp:inline distT="0" distB="0" distL="0" distR="0" wp14:anchorId="35BB4171" wp14:editId="3F47D202">
            <wp:extent cx="5021580" cy="3268980"/>
            <wp:effectExtent l="0" t="0" r="7620" b="7620"/>
            <wp:docPr id="1" name="Chart 1" descr="This chart show the distribution per countries of microorganisms deposited in 2022&#10;">
              <a:extLst xmlns:a="http://schemas.openxmlformats.org/drawingml/2006/main">
                <a:ext uri="{FF2B5EF4-FFF2-40B4-BE49-F238E27FC236}">
                  <a16:creationId xmlns:a16="http://schemas.microsoft.com/office/drawing/2014/main" id="{F48E8FF0-5C2D-151C-415A-BD02299D74C4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B2A678B" w14:textId="77777777" w:rsidR="000B3B06" w:rsidRDefault="000B3B06" w:rsidP="00C53FEF">
      <w:pPr>
        <w:jc w:val="center"/>
      </w:pPr>
    </w:p>
    <w:p w14:paraId="1C4FDD56" w14:textId="061A149F" w:rsidR="002A1CED" w:rsidRDefault="002A1CED" w:rsidP="002A1CED">
      <w:pPr>
        <w:pStyle w:val="ONUME"/>
      </w:pPr>
      <w:r w:rsidRPr="002A1CED">
        <w:lastRenderedPageBreak/>
        <w:t>Regarding the samples of deposited microorganisms furnished</w:t>
      </w:r>
      <w:r w:rsidR="0000408F">
        <w:t xml:space="preserve"> by IDAs</w:t>
      </w:r>
      <w:r w:rsidRPr="002A1CED">
        <w:t>, a total number of 1,751 samples were furnished in 2022 (</w:t>
      </w:r>
      <w:r w:rsidR="00745D6B">
        <w:t>Figure</w:t>
      </w:r>
      <w:r w:rsidRPr="002A1CED">
        <w:t xml:space="preserve"> 3).  </w:t>
      </w:r>
    </w:p>
    <w:p w14:paraId="65B12658" w14:textId="07A21439" w:rsidR="002A1CED" w:rsidRDefault="004A1CFA" w:rsidP="002A1CED">
      <w:pPr>
        <w:pStyle w:val="ONUME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Figure</w:t>
      </w:r>
      <w:r w:rsidR="002A1CED" w:rsidRPr="002A1CED">
        <w:rPr>
          <w:b/>
          <w:bCs/>
        </w:rPr>
        <w:t xml:space="preserve"> 3</w:t>
      </w:r>
    </w:p>
    <w:p w14:paraId="3371A194" w14:textId="1B1DF0D8" w:rsidR="002A1CED" w:rsidRDefault="002A1CED" w:rsidP="002A1CED">
      <w:pPr>
        <w:pStyle w:val="ONUME"/>
        <w:numPr>
          <w:ilvl w:val="0"/>
          <w:numId w:val="0"/>
        </w:num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6AD5127" wp14:editId="26E7D642">
            <wp:extent cx="4572000" cy="274320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9F85BAD0-D3F2-DF85-A7B3-A2FA1561E527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18B73A" w14:textId="77777777" w:rsidR="002A1CED" w:rsidRDefault="002A1CED" w:rsidP="002A1CED">
      <w:pPr>
        <w:rPr>
          <w:b/>
          <w:bCs/>
        </w:rPr>
      </w:pPr>
    </w:p>
    <w:p w14:paraId="6C6EFD04" w14:textId="0D34254F" w:rsidR="002A1CED" w:rsidRDefault="008D2667" w:rsidP="002A1CED">
      <w:pPr>
        <w:pStyle w:val="ONUME"/>
      </w:pPr>
      <w:r>
        <w:t xml:space="preserve">Table </w:t>
      </w:r>
      <w:r w:rsidR="00AC61AD">
        <w:t>3</w:t>
      </w:r>
      <w:r>
        <w:t xml:space="preserve"> indicates the breakdown of</w:t>
      </w:r>
      <w:r w:rsidR="00947CD4" w:rsidRPr="00947CD4">
        <w:t xml:space="preserve"> the number of furnished samples by the type</w:t>
      </w:r>
      <w:r w:rsidR="00AC61AD">
        <w:t>s</w:t>
      </w:r>
      <w:r w:rsidR="00947CD4" w:rsidRPr="00947CD4">
        <w:t xml:space="preserve"> of</w:t>
      </w:r>
      <w:r>
        <w:t xml:space="preserve"> </w:t>
      </w:r>
      <w:r w:rsidR="000F3714">
        <w:t xml:space="preserve">parties who requested samples of the deposited materials under the Budapest Treaty.  </w:t>
      </w:r>
      <w:proofErr w:type="gramStart"/>
      <w:r w:rsidR="00AC61AD">
        <w:t>T</w:t>
      </w:r>
      <w:r w:rsidR="002A1CED" w:rsidRPr="002A1CED">
        <w:t>he vast majority of</w:t>
      </w:r>
      <w:proofErr w:type="gramEnd"/>
      <w:r w:rsidR="002A1CED" w:rsidRPr="002A1CED">
        <w:t xml:space="preserve"> the samples of deposited microorganisms are furnished by IDAs </w:t>
      </w:r>
      <w:r w:rsidR="00AC61AD" w:rsidRPr="00AC61AD">
        <w:t xml:space="preserve">to the depositor or to a party authorized by the depositor </w:t>
      </w:r>
      <w:r w:rsidR="002A1CED" w:rsidRPr="002A1CED">
        <w:t xml:space="preserve">under Rule 11.2 of the Regulations.  The total number of samples furnished to IP offices </w:t>
      </w:r>
      <w:r w:rsidR="00AC61AD">
        <w:t xml:space="preserve">under Rule 11.1 </w:t>
      </w:r>
      <w:r w:rsidR="002A1CED" w:rsidRPr="002A1CED">
        <w:t>had been very low:  either in a single digit number per year or zero in some years.  However, the number has risen sharply in 2021 – in total, 100 samples were furnished to IP offices.  This trend continued in 2022</w:t>
      </w:r>
      <w:r w:rsidR="00AC61AD">
        <w:t>,</w:t>
      </w:r>
      <w:r w:rsidR="002A1CED" w:rsidRPr="002A1CED">
        <w:t xml:space="preserve"> </w:t>
      </w:r>
      <w:r w:rsidR="00AC61AD">
        <w:t xml:space="preserve">counting </w:t>
      </w:r>
      <w:r w:rsidR="002A1CED" w:rsidRPr="002A1CED">
        <w:t xml:space="preserve">87 samples furnished to IP offices in 2022. </w:t>
      </w:r>
    </w:p>
    <w:p w14:paraId="2F32AE53" w14:textId="654845F1" w:rsidR="002A1CED" w:rsidRDefault="002A1CED" w:rsidP="002A1CED">
      <w:pPr>
        <w:pStyle w:val="ONUME"/>
      </w:pPr>
      <w:r w:rsidRPr="002A1CED">
        <w:t>With respect to the total number of samples furnished to legally entitled parties under Rule</w:t>
      </w:r>
      <w:r w:rsidR="00BC309E">
        <w:t> </w:t>
      </w:r>
      <w:r w:rsidRPr="002A1CED">
        <w:t xml:space="preserve">11.3, it had been falling steadily from 467 samples in 2017 to 246 samples in 2021.  This is </w:t>
      </w:r>
      <w:r w:rsidR="00DD5137">
        <w:t xml:space="preserve">an </w:t>
      </w:r>
      <w:r w:rsidRPr="002A1CED">
        <w:t>almost 50</w:t>
      </w:r>
      <w:r w:rsidR="00FA6ED1">
        <w:t> per cent</w:t>
      </w:r>
      <w:r w:rsidRPr="002A1CED">
        <w:t xml:space="preserve"> decrease during </w:t>
      </w:r>
      <w:r w:rsidR="00444A6C">
        <w:t>the last</w:t>
      </w:r>
      <w:r w:rsidRPr="002A1CED">
        <w:t xml:space="preserve"> five-year period.  In 2022, the number increased slightly to 287 furnished samples. </w:t>
      </w:r>
    </w:p>
    <w:p w14:paraId="04B847AF" w14:textId="00D71980" w:rsidR="002A1CED" w:rsidRPr="002A1CED" w:rsidRDefault="002A1CED" w:rsidP="00B11EDA">
      <w:pPr>
        <w:pStyle w:val="ONUME"/>
        <w:numPr>
          <w:ilvl w:val="0"/>
          <w:numId w:val="0"/>
        </w:numPr>
        <w:jc w:val="center"/>
      </w:pPr>
      <w:r w:rsidRPr="00B11EDA">
        <w:t xml:space="preserve">Table </w:t>
      </w:r>
      <w:r w:rsidR="00AC61AD" w:rsidRPr="00B11EDA">
        <w:t>3</w:t>
      </w:r>
      <w:r w:rsidRPr="00B11EDA">
        <w:t>:</w:t>
      </w:r>
      <w:r w:rsidRPr="002A1CED">
        <w:t xml:space="preserve">  Total Number of Samples Furnished by the IDAs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4"/>
        <w:gridCol w:w="1003"/>
        <w:gridCol w:w="1004"/>
        <w:gridCol w:w="1004"/>
        <w:gridCol w:w="1004"/>
        <w:gridCol w:w="1004"/>
        <w:gridCol w:w="1002"/>
      </w:tblGrid>
      <w:tr w:rsidR="002A1CED" w:rsidRPr="002A1CED" w14:paraId="65150B9B" w14:textId="77777777" w:rsidTr="00A72DFE">
        <w:tc>
          <w:tcPr>
            <w:tcW w:w="1779" w:type="pct"/>
          </w:tcPr>
          <w:p w14:paraId="5F0A599F" w14:textId="77777777" w:rsidR="002A1CED" w:rsidRPr="002A1CED" w:rsidRDefault="002A1CED" w:rsidP="002A1CED"/>
        </w:tc>
        <w:tc>
          <w:tcPr>
            <w:tcW w:w="537" w:type="pct"/>
          </w:tcPr>
          <w:p w14:paraId="2B1CFEEE" w14:textId="0E8C6737" w:rsidR="002A1CED" w:rsidRPr="002A1CED" w:rsidRDefault="002A1CED" w:rsidP="00B11EDA">
            <w:pPr>
              <w:jc w:val="center"/>
            </w:pPr>
            <w:r w:rsidRPr="002A1CED">
              <w:t>2017</w:t>
            </w:r>
            <w:r w:rsidR="00C53FEF">
              <w:rPr>
                <w:rStyle w:val="FootnoteReference"/>
              </w:rPr>
              <w:footnoteReference w:id="8"/>
            </w:r>
          </w:p>
        </w:tc>
        <w:tc>
          <w:tcPr>
            <w:tcW w:w="537" w:type="pct"/>
          </w:tcPr>
          <w:p w14:paraId="126CC5F5" w14:textId="77777777" w:rsidR="002A1CED" w:rsidRPr="002A1CED" w:rsidRDefault="002A1CED" w:rsidP="00B11EDA">
            <w:pPr>
              <w:jc w:val="center"/>
            </w:pPr>
            <w:r w:rsidRPr="002A1CED">
              <w:t>2018</w:t>
            </w:r>
          </w:p>
        </w:tc>
        <w:tc>
          <w:tcPr>
            <w:tcW w:w="537" w:type="pct"/>
          </w:tcPr>
          <w:p w14:paraId="71F30525" w14:textId="77777777" w:rsidR="002A1CED" w:rsidRPr="002A1CED" w:rsidRDefault="002A1CED" w:rsidP="00B11EDA">
            <w:pPr>
              <w:jc w:val="center"/>
            </w:pPr>
            <w:r w:rsidRPr="002A1CED">
              <w:t>2019</w:t>
            </w:r>
          </w:p>
        </w:tc>
        <w:tc>
          <w:tcPr>
            <w:tcW w:w="537" w:type="pct"/>
          </w:tcPr>
          <w:p w14:paraId="13193EAD" w14:textId="77777777" w:rsidR="002A1CED" w:rsidRPr="002A1CED" w:rsidRDefault="002A1CED" w:rsidP="00B11EDA">
            <w:pPr>
              <w:jc w:val="center"/>
            </w:pPr>
            <w:r w:rsidRPr="002A1CED">
              <w:t>2020</w:t>
            </w:r>
          </w:p>
        </w:tc>
        <w:tc>
          <w:tcPr>
            <w:tcW w:w="537" w:type="pct"/>
          </w:tcPr>
          <w:p w14:paraId="4A862B6B" w14:textId="77777777" w:rsidR="002A1CED" w:rsidRPr="002A1CED" w:rsidRDefault="002A1CED" w:rsidP="00B11EDA">
            <w:pPr>
              <w:jc w:val="center"/>
            </w:pPr>
            <w:r w:rsidRPr="002A1CED">
              <w:t>2021</w:t>
            </w:r>
          </w:p>
        </w:tc>
        <w:tc>
          <w:tcPr>
            <w:tcW w:w="537" w:type="pct"/>
          </w:tcPr>
          <w:p w14:paraId="183C8708" w14:textId="77777777" w:rsidR="002A1CED" w:rsidRPr="002A1CED" w:rsidRDefault="002A1CED" w:rsidP="00B11EDA">
            <w:pPr>
              <w:spacing w:after="120"/>
              <w:jc w:val="center"/>
            </w:pPr>
            <w:r w:rsidRPr="002A1CED">
              <w:t>2022</w:t>
            </w:r>
          </w:p>
        </w:tc>
      </w:tr>
      <w:tr w:rsidR="002A1CED" w:rsidRPr="002A1CED" w14:paraId="12FC8A93" w14:textId="77777777" w:rsidTr="00A72DFE">
        <w:tc>
          <w:tcPr>
            <w:tcW w:w="1779" w:type="pct"/>
          </w:tcPr>
          <w:p w14:paraId="736B2102" w14:textId="121C5299" w:rsidR="002A1CED" w:rsidRPr="002A1CED" w:rsidRDefault="002A1CED" w:rsidP="002A1CED">
            <w:r w:rsidRPr="002A1CED">
              <w:t xml:space="preserve">Samples </w:t>
            </w:r>
            <w:r w:rsidR="007C23D4">
              <w:t xml:space="preserve">furnished </w:t>
            </w:r>
            <w:r w:rsidRPr="002A1CED">
              <w:t>to Industrial Property Offices (Rule 11.1)</w:t>
            </w:r>
          </w:p>
        </w:tc>
        <w:tc>
          <w:tcPr>
            <w:tcW w:w="537" w:type="pct"/>
          </w:tcPr>
          <w:p w14:paraId="6FDE328C" w14:textId="77777777" w:rsidR="002A1CED" w:rsidRPr="002A1CED" w:rsidRDefault="002A1CED" w:rsidP="00B11EDA">
            <w:pPr>
              <w:jc w:val="center"/>
            </w:pPr>
            <w:r w:rsidRPr="002A1CED">
              <w:t>5</w:t>
            </w:r>
          </w:p>
        </w:tc>
        <w:tc>
          <w:tcPr>
            <w:tcW w:w="537" w:type="pct"/>
          </w:tcPr>
          <w:p w14:paraId="3A46298F" w14:textId="77777777" w:rsidR="002A1CED" w:rsidRPr="002A1CED" w:rsidRDefault="002A1CED" w:rsidP="00B11EDA">
            <w:pPr>
              <w:jc w:val="center"/>
            </w:pPr>
            <w:r w:rsidRPr="002A1CED">
              <w:t>1</w:t>
            </w:r>
          </w:p>
        </w:tc>
        <w:tc>
          <w:tcPr>
            <w:tcW w:w="537" w:type="pct"/>
          </w:tcPr>
          <w:p w14:paraId="30B520CD" w14:textId="77777777" w:rsidR="002A1CED" w:rsidRPr="002A1CED" w:rsidRDefault="002A1CED" w:rsidP="00B11EDA">
            <w:pPr>
              <w:jc w:val="center"/>
            </w:pPr>
            <w:r w:rsidRPr="002A1CED">
              <w:t>3</w:t>
            </w:r>
          </w:p>
        </w:tc>
        <w:tc>
          <w:tcPr>
            <w:tcW w:w="537" w:type="pct"/>
          </w:tcPr>
          <w:p w14:paraId="2FB827C0" w14:textId="77777777" w:rsidR="002A1CED" w:rsidRPr="002A1CED" w:rsidRDefault="002A1CED" w:rsidP="00B11EDA">
            <w:pPr>
              <w:jc w:val="center"/>
            </w:pPr>
            <w:r w:rsidRPr="002A1CED">
              <w:t>8</w:t>
            </w:r>
          </w:p>
        </w:tc>
        <w:tc>
          <w:tcPr>
            <w:tcW w:w="537" w:type="pct"/>
          </w:tcPr>
          <w:p w14:paraId="46D9AAF8" w14:textId="77777777" w:rsidR="002A1CED" w:rsidRPr="002A1CED" w:rsidRDefault="002A1CED" w:rsidP="00B11EDA">
            <w:pPr>
              <w:jc w:val="center"/>
            </w:pPr>
            <w:r w:rsidRPr="002A1CED">
              <w:t>100</w:t>
            </w:r>
          </w:p>
        </w:tc>
        <w:tc>
          <w:tcPr>
            <w:tcW w:w="537" w:type="pct"/>
          </w:tcPr>
          <w:p w14:paraId="2780CB1B" w14:textId="77777777" w:rsidR="002A1CED" w:rsidRPr="002A1CED" w:rsidRDefault="002A1CED" w:rsidP="00B11EDA">
            <w:pPr>
              <w:jc w:val="center"/>
            </w:pPr>
            <w:r w:rsidRPr="002A1CED">
              <w:t>87</w:t>
            </w:r>
          </w:p>
        </w:tc>
      </w:tr>
      <w:tr w:rsidR="002A1CED" w:rsidRPr="002A1CED" w14:paraId="124F1975" w14:textId="77777777" w:rsidTr="00A72DFE">
        <w:tc>
          <w:tcPr>
            <w:tcW w:w="1779" w:type="pct"/>
          </w:tcPr>
          <w:p w14:paraId="7D5CF2FA" w14:textId="7A01D846" w:rsidR="002A1CED" w:rsidRPr="002A1CED" w:rsidRDefault="002A1CED" w:rsidP="002A1CED">
            <w:r w:rsidRPr="002A1CED">
              <w:t xml:space="preserve">Samples </w:t>
            </w:r>
            <w:r w:rsidR="007C23D4">
              <w:t xml:space="preserve">furnished </w:t>
            </w:r>
            <w:r w:rsidRPr="002A1CED">
              <w:t xml:space="preserve">to </w:t>
            </w:r>
            <w:r w:rsidR="007C23D4">
              <w:t>d</w:t>
            </w:r>
            <w:r w:rsidRPr="002A1CED">
              <w:t xml:space="preserve">epositor or </w:t>
            </w:r>
            <w:r w:rsidR="007C23D4">
              <w:t>a</w:t>
            </w:r>
            <w:r w:rsidRPr="002A1CED">
              <w:t xml:space="preserve">uthorized </w:t>
            </w:r>
            <w:r w:rsidR="007C23D4">
              <w:t>p</w:t>
            </w:r>
            <w:r w:rsidRPr="002A1CED">
              <w:t>arties (Rule 11.2)</w:t>
            </w:r>
          </w:p>
        </w:tc>
        <w:tc>
          <w:tcPr>
            <w:tcW w:w="537" w:type="pct"/>
          </w:tcPr>
          <w:p w14:paraId="71E26F42" w14:textId="77777777" w:rsidR="002A1CED" w:rsidRPr="002A1CED" w:rsidRDefault="002A1CED" w:rsidP="00B11EDA">
            <w:pPr>
              <w:jc w:val="center"/>
            </w:pPr>
            <w:r w:rsidRPr="002A1CED">
              <w:t>1,243</w:t>
            </w:r>
          </w:p>
        </w:tc>
        <w:tc>
          <w:tcPr>
            <w:tcW w:w="537" w:type="pct"/>
          </w:tcPr>
          <w:p w14:paraId="16D31C5B" w14:textId="77777777" w:rsidR="002A1CED" w:rsidRPr="002A1CED" w:rsidRDefault="002A1CED" w:rsidP="00B11EDA">
            <w:pPr>
              <w:jc w:val="center"/>
            </w:pPr>
            <w:r w:rsidRPr="002A1CED">
              <w:t>1,275</w:t>
            </w:r>
          </w:p>
        </w:tc>
        <w:tc>
          <w:tcPr>
            <w:tcW w:w="537" w:type="pct"/>
          </w:tcPr>
          <w:p w14:paraId="3BF39FC2" w14:textId="77777777" w:rsidR="002A1CED" w:rsidRPr="002A1CED" w:rsidRDefault="002A1CED" w:rsidP="00B11EDA">
            <w:pPr>
              <w:jc w:val="center"/>
            </w:pPr>
            <w:r w:rsidRPr="002A1CED">
              <w:t>1,174</w:t>
            </w:r>
          </w:p>
        </w:tc>
        <w:tc>
          <w:tcPr>
            <w:tcW w:w="537" w:type="pct"/>
          </w:tcPr>
          <w:p w14:paraId="0C44A102" w14:textId="77777777" w:rsidR="002A1CED" w:rsidRPr="002A1CED" w:rsidRDefault="002A1CED" w:rsidP="00B11EDA">
            <w:pPr>
              <w:jc w:val="center"/>
            </w:pPr>
            <w:r w:rsidRPr="002A1CED">
              <w:t>1,619</w:t>
            </w:r>
          </w:p>
        </w:tc>
        <w:tc>
          <w:tcPr>
            <w:tcW w:w="537" w:type="pct"/>
          </w:tcPr>
          <w:p w14:paraId="3FE180CD" w14:textId="77777777" w:rsidR="002A1CED" w:rsidRPr="002A1CED" w:rsidRDefault="002A1CED" w:rsidP="00B11EDA">
            <w:pPr>
              <w:jc w:val="center"/>
            </w:pPr>
            <w:r w:rsidRPr="002A1CED">
              <w:t>1,354</w:t>
            </w:r>
          </w:p>
        </w:tc>
        <w:tc>
          <w:tcPr>
            <w:tcW w:w="537" w:type="pct"/>
          </w:tcPr>
          <w:p w14:paraId="4916FF5B" w14:textId="77777777" w:rsidR="002A1CED" w:rsidRPr="002A1CED" w:rsidRDefault="002A1CED" w:rsidP="00B11EDA">
            <w:pPr>
              <w:jc w:val="center"/>
            </w:pPr>
            <w:r w:rsidRPr="002A1CED">
              <w:t>1,377</w:t>
            </w:r>
          </w:p>
        </w:tc>
      </w:tr>
      <w:tr w:rsidR="002A1CED" w:rsidRPr="002A1CED" w14:paraId="457794C5" w14:textId="77777777" w:rsidTr="00A72DFE">
        <w:tc>
          <w:tcPr>
            <w:tcW w:w="1779" w:type="pct"/>
          </w:tcPr>
          <w:p w14:paraId="7F905758" w14:textId="77A286B6" w:rsidR="002A1CED" w:rsidRPr="002A1CED" w:rsidRDefault="002A1CED" w:rsidP="002A1CED">
            <w:r w:rsidRPr="002A1CED">
              <w:t xml:space="preserve">Samples </w:t>
            </w:r>
            <w:r w:rsidR="007C23D4">
              <w:t xml:space="preserve">furnished </w:t>
            </w:r>
            <w:r w:rsidRPr="002A1CED">
              <w:t xml:space="preserve">to </w:t>
            </w:r>
            <w:r w:rsidR="007C23D4">
              <w:t>p</w:t>
            </w:r>
            <w:r w:rsidRPr="002A1CED">
              <w:t xml:space="preserve">arties </w:t>
            </w:r>
            <w:r w:rsidR="007C23D4">
              <w:t>l</w:t>
            </w:r>
            <w:r w:rsidRPr="002A1CED">
              <w:t xml:space="preserve">egally </w:t>
            </w:r>
            <w:r w:rsidR="007C23D4">
              <w:t>e</w:t>
            </w:r>
            <w:r w:rsidRPr="002A1CED">
              <w:t>ntitled (Rule 11.3)</w:t>
            </w:r>
          </w:p>
        </w:tc>
        <w:tc>
          <w:tcPr>
            <w:tcW w:w="537" w:type="pct"/>
          </w:tcPr>
          <w:p w14:paraId="5F73D3DC" w14:textId="77777777" w:rsidR="002A1CED" w:rsidRPr="002A1CED" w:rsidRDefault="002A1CED" w:rsidP="00B11EDA">
            <w:pPr>
              <w:jc w:val="center"/>
            </w:pPr>
            <w:r w:rsidRPr="002A1CED">
              <w:t>467</w:t>
            </w:r>
          </w:p>
        </w:tc>
        <w:tc>
          <w:tcPr>
            <w:tcW w:w="537" w:type="pct"/>
          </w:tcPr>
          <w:p w14:paraId="799399BA" w14:textId="77777777" w:rsidR="002A1CED" w:rsidRPr="002A1CED" w:rsidRDefault="002A1CED" w:rsidP="00B11EDA">
            <w:pPr>
              <w:jc w:val="center"/>
            </w:pPr>
            <w:r w:rsidRPr="002A1CED">
              <w:t>413</w:t>
            </w:r>
          </w:p>
        </w:tc>
        <w:tc>
          <w:tcPr>
            <w:tcW w:w="537" w:type="pct"/>
          </w:tcPr>
          <w:p w14:paraId="2E7D699C" w14:textId="77777777" w:rsidR="002A1CED" w:rsidRPr="002A1CED" w:rsidRDefault="002A1CED" w:rsidP="00B11EDA">
            <w:pPr>
              <w:jc w:val="center"/>
            </w:pPr>
            <w:r w:rsidRPr="002A1CED">
              <w:t>307</w:t>
            </w:r>
          </w:p>
        </w:tc>
        <w:tc>
          <w:tcPr>
            <w:tcW w:w="537" w:type="pct"/>
          </w:tcPr>
          <w:p w14:paraId="1C495506" w14:textId="77777777" w:rsidR="002A1CED" w:rsidRPr="002A1CED" w:rsidRDefault="002A1CED" w:rsidP="00B11EDA">
            <w:pPr>
              <w:jc w:val="center"/>
            </w:pPr>
            <w:r w:rsidRPr="002A1CED">
              <w:t>259</w:t>
            </w:r>
          </w:p>
        </w:tc>
        <w:tc>
          <w:tcPr>
            <w:tcW w:w="537" w:type="pct"/>
          </w:tcPr>
          <w:p w14:paraId="444F885E" w14:textId="77777777" w:rsidR="002A1CED" w:rsidRPr="002A1CED" w:rsidRDefault="002A1CED" w:rsidP="00B11EDA">
            <w:pPr>
              <w:jc w:val="center"/>
            </w:pPr>
            <w:r w:rsidRPr="002A1CED">
              <w:t>246</w:t>
            </w:r>
          </w:p>
        </w:tc>
        <w:tc>
          <w:tcPr>
            <w:tcW w:w="537" w:type="pct"/>
          </w:tcPr>
          <w:p w14:paraId="3A2F590A" w14:textId="77777777" w:rsidR="002A1CED" w:rsidRPr="002A1CED" w:rsidRDefault="002A1CED" w:rsidP="00B11EDA">
            <w:pPr>
              <w:jc w:val="center"/>
            </w:pPr>
            <w:r w:rsidRPr="002A1CED">
              <w:t>287</w:t>
            </w:r>
          </w:p>
        </w:tc>
      </w:tr>
    </w:tbl>
    <w:p w14:paraId="4F299FFF" w14:textId="77777777" w:rsidR="002A1CED" w:rsidRDefault="002A1CED" w:rsidP="002A1CED"/>
    <w:p w14:paraId="63B16124" w14:textId="20B02C0F" w:rsidR="002A1CED" w:rsidRDefault="002A1CED" w:rsidP="0088518C">
      <w:pPr>
        <w:pStyle w:val="Heading3"/>
      </w:pPr>
      <w:r w:rsidRPr="002A1CED">
        <w:lastRenderedPageBreak/>
        <w:t xml:space="preserve">Meeting of Member States and </w:t>
      </w:r>
      <w:r w:rsidR="00287D28">
        <w:t>IDAs</w:t>
      </w:r>
      <w:r w:rsidRPr="002A1CED">
        <w:t xml:space="preserve"> under the Budapest Treaty</w:t>
      </w:r>
    </w:p>
    <w:p w14:paraId="65946880" w14:textId="77777777" w:rsidR="002A1CED" w:rsidRDefault="002A1CED" w:rsidP="002A1CED">
      <w:pPr>
        <w:rPr>
          <w:u w:val="single"/>
        </w:rPr>
      </w:pPr>
    </w:p>
    <w:p w14:paraId="25AF97F0" w14:textId="7E24CC5A" w:rsidR="002A1CED" w:rsidRDefault="002A1CED" w:rsidP="002A1CED">
      <w:pPr>
        <w:pStyle w:val="ONUME"/>
      </w:pPr>
      <w:r w:rsidRPr="002A1CED">
        <w:t>One of the main features of the Budapest system is that</w:t>
      </w:r>
      <w:r w:rsidR="00DC064C">
        <w:t xml:space="preserve"> the Contracting </w:t>
      </w:r>
      <w:r w:rsidR="00DE018B">
        <w:t>States</w:t>
      </w:r>
      <w:r w:rsidR="00DC064C">
        <w:t xml:space="preserve"> shall recognize the effect of a deposit of a microorganism</w:t>
      </w:r>
      <w:r w:rsidRPr="002A1CED">
        <w:t xml:space="preserve"> with any IDAs for the purposes of their patent procedure.  Therefore, while IDAs </w:t>
      </w:r>
      <w:proofErr w:type="gramStart"/>
      <w:r w:rsidRPr="002A1CED">
        <w:t>are located in</w:t>
      </w:r>
      <w:proofErr w:type="gramEnd"/>
      <w:r w:rsidRPr="002A1CED">
        <w:t xml:space="preserve"> </w:t>
      </w:r>
      <w:r w:rsidR="00DE018B">
        <w:t xml:space="preserve">only </w:t>
      </w:r>
      <w:r w:rsidRPr="002A1CED">
        <w:t xml:space="preserve">some of the </w:t>
      </w:r>
      <w:r w:rsidR="00DE018B">
        <w:t>Contracting</w:t>
      </w:r>
      <w:r w:rsidRPr="002A1CED">
        <w:t xml:space="preserve"> States, services delivered by any</w:t>
      </w:r>
      <w:r w:rsidR="00DE018B">
        <w:t xml:space="preserve"> IDAs</w:t>
      </w:r>
      <w:r w:rsidRPr="002A1CED">
        <w:t xml:space="preserve"> may potentially concern IP </w:t>
      </w:r>
      <w:r w:rsidR="000C0F52">
        <w:t>o</w:t>
      </w:r>
      <w:r w:rsidRPr="002A1CED">
        <w:t xml:space="preserve">ffices of any of the Member States.  This means that cooperation between IP </w:t>
      </w:r>
      <w:r w:rsidR="000C0F52">
        <w:t>o</w:t>
      </w:r>
      <w:r w:rsidRPr="002A1CED">
        <w:t>ffices and IDAs takes place both at the national and international level.</w:t>
      </w:r>
    </w:p>
    <w:p w14:paraId="698A8632" w14:textId="221D4102" w:rsidR="00163311" w:rsidRDefault="00DE018B" w:rsidP="002A1CED">
      <w:pPr>
        <w:pStyle w:val="ONUME"/>
      </w:pPr>
      <w:r>
        <w:t xml:space="preserve">As shown in Tables 1 and 2, since the entry into force of the Budapest Treaty in 1980, the </w:t>
      </w:r>
      <w:r w:rsidRPr="00502DF6">
        <w:t>number of Contracting States and IDAs ha</w:t>
      </w:r>
      <w:r w:rsidR="00B82547">
        <w:t>s</w:t>
      </w:r>
      <w:r w:rsidR="00502DF6" w:rsidRPr="00B11EDA">
        <w:t xml:space="preserve"> </w:t>
      </w:r>
      <w:r w:rsidRPr="00502DF6">
        <w:t>grown steadily.</w:t>
      </w:r>
      <w:r>
        <w:t xml:space="preserve">  </w:t>
      </w:r>
      <w:r w:rsidR="002A1CED" w:rsidRPr="002A1CED">
        <w:t xml:space="preserve">To provide </w:t>
      </w:r>
      <w:r w:rsidR="00F32384">
        <w:t xml:space="preserve">an </w:t>
      </w:r>
      <w:r w:rsidR="002A1CED" w:rsidRPr="002A1CED">
        <w:t xml:space="preserve">opportunity for the Member States and IDAs to share information and experiences at the international level on the implementation of the Treaty, the </w:t>
      </w:r>
      <w:r w:rsidR="005B6787">
        <w:t>IB</w:t>
      </w:r>
      <w:r w:rsidR="002A1CED" w:rsidRPr="002A1CED">
        <w:t xml:space="preserve"> organized and hosted </w:t>
      </w:r>
      <w:r w:rsidR="007864D4" w:rsidRPr="007864D4">
        <w:t xml:space="preserve">a Meeting of the Member States and </w:t>
      </w:r>
      <w:r w:rsidR="00287D28">
        <w:t>IDAs</w:t>
      </w:r>
      <w:r w:rsidR="007864D4" w:rsidRPr="007864D4">
        <w:t xml:space="preserve"> </w:t>
      </w:r>
      <w:bookmarkStart w:id="7" w:name="_Hlk163230670"/>
      <w:r w:rsidR="007864D4" w:rsidRPr="007864D4">
        <w:t>under the Budapest Treaty</w:t>
      </w:r>
      <w:r w:rsidR="007864D4">
        <w:t xml:space="preserve">, </w:t>
      </w:r>
      <w:r w:rsidR="00EF393D">
        <w:t>on</w:t>
      </w:r>
      <w:r w:rsidR="00EF393D" w:rsidRPr="002A1CED">
        <w:t xml:space="preserve"> </w:t>
      </w:r>
      <w:r w:rsidR="002A1CED" w:rsidRPr="002A1CED">
        <w:t>November</w:t>
      </w:r>
      <w:r w:rsidR="003220C3">
        <w:t> </w:t>
      </w:r>
      <w:r w:rsidR="002A1CED" w:rsidRPr="002A1CED">
        <w:t xml:space="preserve">13 </w:t>
      </w:r>
      <w:r w:rsidR="00EF393D">
        <w:t>and </w:t>
      </w:r>
      <w:r w:rsidR="002A1CED" w:rsidRPr="002A1CED">
        <w:t>14,</w:t>
      </w:r>
      <w:r w:rsidR="003220C3">
        <w:t> </w:t>
      </w:r>
      <w:r w:rsidR="002A1CED" w:rsidRPr="002A1CED">
        <w:t>2023</w:t>
      </w:r>
      <w:r w:rsidR="009627D3">
        <w:t>,</w:t>
      </w:r>
      <w:r w:rsidR="009627D3" w:rsidRPr="009627D3">
        <w:t xml:space="preserve"> </w:t>
      </w:r>
      <w:r w:rsidR="009627D3">
        <w:t>in Geneva</w:t>
      </w:r>
      <w:r w:rsidR="002A1CED" w:rsidRPr="002A1CED">
        <w:t>.</w:t>
      </w:r>
    </w:p>
    <w:p w14:paraId="593EF3CF" w14:textId="473F8209" w:rsidR="00163311" w:rsidRPr="00163311" w:rsidRDefault="00163311" w:rsidP="00163311">
      <w:pPr>
        <w:pStyle w:val="ONUME"/>
      </w:pPr>
      <w:r>
        <w:t xml:space="preserve"> </w:t>
      </w:r>
      <w:r w:rsidRPr="00163311">
        <w:t xml:space="preserve">The Meeting was attended by 92 participants from 36 Member States, two intergovernmental industrial property organizations and 29 IDAs. </w:t>
      </w:r>
    </w:p>
    <w:bookmarkEnd w:id="7"/>
    <w:p w14:paraId="69813A9C" w14:textId="5D82E995" w:rsidR="00DC064C" w:rsidRPr="00774A9B" w:rsidRDefault="00DC064C" w:rsidP="003220C3">
      <w:pPr>
        <w:pStyle w:val="ONUME"/>
      </w:pPr>
      <w:r w:rsidRPr="00774A9B">
        <w:t xml:space="preserve">The </w:t>
      </w:r>
      <w:r w:rsidR="00F32384">
        <w:t xml:space="preserve">objective of the </w:t>
      </w:r>
      <w:r w:rsidRPr="00774A9B">
        <w:t xml:space="preserve">Meeting </w:t>
      </w:r>
      <w:r w:rsidR="004429FD" w:rsidRPr="00774A9B">
        <w:t xml:space="preserve">was </w:t>
      </w:r>
      <w:r w:rsidR="00F32384">
        <w:t xml:space="preserve">to </w:t>
      </w:r>
      <w:r w:rsidR="003220C3">
        <w:t xml:space="preserve">hold </w:t>
      </w:r>
      <w:r w:rsidR="004429FD" w:rsidRPr="00774A9B">
        <w:t>discussion</w:t>
      </w:r>
      <w:r w:rsidR="003220C3">
        <w:t>s</w:t>
      </w:r>
      <w:r w:rsidR="004429FD" w:rsidRPr="00774A9B">
        <w:t xml:space="preserve"> between Member States and IDAs</w:t>
      </w:r>
      <w:r w:rsidR="00DE018B">
        <w:t>, in an in-person format,</w:t>
      </w:r>
      <w:r w:rsidR="00F32384">
        <w:t xml:space="preserve"> on various topics regarding the deposit </w:t>
      </w:r>
      <w:r w:rsidR="003220C3">
        <w:t>of microorganisms in relation to the patent procedure</w:t>
      </w:r>
      <w:r w:rsidR="004429FD" w:rsidRPr="00774A9B">
        <w:t xml:space="preserve">.  </w:t>
      </w:r>
      <w:r w:rsidR="00163311">
        <w:t xml:space="preserve">It was an </w:t>
      </w:r>
      <w:r w:rsidR="00163311" w:rsidRPr="00163311">
        <w:rPr>
          <w:i/>
          <w:iCs/>
        </w:rPr>
        <w:t>ad hoc</w:t>
      </w:r>
      <w:r w:rsidR="00163311">
        <w:t xml:space="preserve"> meeting, which was not designed to make any decisions or recommendations.  </w:t>
      </w:r>
      <w:r w:rsidR="003220C3">
        <w:t>The Meeting</w:t>
      </w:r>
      <w:r w:rsidR="00F05810">
        <w:t xml:space="preserve"> allowed the participants to have</w:t>
      </w:r>
      <w:r w:rsidR="009627D3">
        <w:t xml:space="preserve"> a</w:t>
      </w:r>
      <w:r w:rsidR="00F05810">
        <w:t xml:space="preserve"> fruitful</w:t>
      </w:r>
      <w:r w:rsidR="00774A9B" w:rsidRPr="00774A9B">
        <w:t xml:space="preserve"> exchange of views in a</w:t>
      </w:r>
      <w:r w:rsidR="00163311">
        <w:t>n</w:t>
      </w:r>
      <w:r w:rsidR="00774A9B" w:rsidRPr="00774A9B">
        <w:t xml:space="preserve"> informal atmosphere.</w:t>
      </w:r>
      <w:r w:rsidR="00F05810">
        <w:t xml:space="preserve">  </w:t>
      </w:r>
    </w:p>
    <w:p w14:paraId="7D5155A2" w14:textId="12C29FC4" w:rsidR="000A1B41" w:rsidRDefault="000A1B41" w:rsidP="000A1B41">
      <w:pPr>
        <w:pStyle w:val="ONUME"/>
      </w:pPr>
      <w:r>
        <w:t xml:space="preserve">The program </w:t>
      </w:r>
      <w:r w:rsidR="000C0F52">
        <w:t xml:space="preserve">of the Meeting </w:t>
      </w:r>
      <w:r>
        <w:t xml:space="preserve">addressed the following topics: </w:t>
      </w:r>
    </w:p>
    <w:p w14:paraId="5FC9BEC2" w14:textId="65B607E4" w:rsidR="000A1B41" w:rsidRDefault="000A1B41" w:rsidP="00B20B0C">
      <w:pPr>
        <w:pStyle w:val="ONUME"/>
        <w:numPr>
          <w:ilvl w:val="0"/>
          <w:numId w:val="0"/>
        </w:numPr>
        <w:ind w:left="540"/>
      </w:pPr>
      <w:r>
        <w:t>Topic</w:t>
      </w:r>
      <w:r w:rsidR="00342BB0">
        <w:t> </w:t>
      </w:r>
      <w:r>
        <w:t xml:space="preserve">1: </w:t>
      </w:r>
      <w:r w:rsidR="00745D6B">
        <w:t xml:space="preserve"> </w:t>
      </w:r>
      <w:r>
        <w:t xml:space="preserve">Presentation of recent developments in the Budapest </w:t>
      </w:r>
      <w:proofErr w:type="gramStart"/>
      <w:r>
        <w:t>system;</w:t>
      </w:r>
      <w:proofErr w:type="gramEnd"/>
    </w:p>
    <w:p w14:paraId="587B0A64" w14:textId="63D55872" w:rsidR="000A1B41" w:rsidRDefault="000A1B41" w:rsidP="00B20B0C">
      <w:pPr>
        <w:pStyle w:val="ONUME"/>
        <w:numPr>
          <w:ilvl w:val="0"/>
          <w:numId w:val="0"/>
        </w:numPr>
        <w:ind w:left="540"/>
      </w:pPr>
      <w:r>
        <w:t>Topic</w:t>
      </w:r>
      <w:r w:rsidR="00342BB0">
        <w:t> </w:t>
      </w:r>
      <w:r>
        <w:t>2:</w:t>
      </w:r>
      <w:r w:rsidR="00745D6B">
        <w:t xml:space="preserve"> </w:t>
      </w:r>
      <w:r>
        <w:t xml:space="preserve"> Deposit of biological </w:t>
      </w:r>
      <w:proofErr w:type="gramStart"/>
      <w:r>
        <w:t>material;</w:t>
      </w:r>
      <w:proofErr w:type="gramEnd"/>
      <w:r>
        <w:t xml:space="preserve"> </w:t>
      </w:r>
    </w:p>
    <w:p w14:paraId="33B1251F" w14:textId="4D6B6ED3" w:rsidR="000A1B41" w:rsidRDefault="000A1B41" w:rsidP="00B20B0C">
      <w:pPr>
        <w:pStyle w:val="ONUME"/>
        <w:numPr>
          <w:ilvl w:val="0"/>
          <w:numId w:val="0"/>
        </w:numPr>
        <w:ind w:left="540"/>
      </w:pPr>
      <w:r>
        <w:t>Topic</w:t>
      </w:r>
      <w:r w:rsidR="00342BB0">
        <w:t> </w:t>
      </w:r>
      <w:r>
        <w:t xml:space="preserve">3: </w:t>
      </w:r>
      <w:r w:rsidR="00745D6B">
        <w:t xml:space="preserve"> </w:t>
      </w:r>
      <w:r>
        <w:t xml:space="preserve">Furnishing of samples of the deposited biological </w:t>
      </w:r>
      <w:proofErr w:type="gramStart"/>
      <w:r>
        <w:t>materials;</w:t>
      </w:r>
      <w:proofErr w:type="gramEnd"/>
      <w:r>
        <w:t xml:space="preserve"> </w:t>
      </w:r>
    </w:p>
    <w:p w14:paraId="3A9CCB61" w14:textId="79D8380C" w:rsidR="000A1B41" w:rsidRDefault="000A1B41" w:rsidP="00B20B0C">
      <w:pPr>
        <w:pStyle w:val="ONUME"/>
        <w:numPr>
          <w:ilvl w:val="0"/>
          <w:numId w:val="0"/>
        </w:numPr>
        <w:ind w:left="540"/>
      </w:pPr>
      <w:r>
        <w:t>Topic</w:t>
      </w:r>
      <w:r w:rsidR="00342BB0">
        <w:t> </w:t>
      </w:r>
      <w:r>
        <w:t xml:space="preserve">4: </w:t>
      </w:r>
      <w:r w:rsidR="00745D6B">
        <w:t xml:space="preserve"> </w:t>
      </w:r>
      <w:r>
        <w:t>Cooperation between IDAs and IP</w:t>
      </w:r>
      <w:r w:rsidR="000C0F52">
        <w:t xml:space="preserve"> </w:t>
      </w:r>
      <w:proofErr w:type="gramStart"/>
      <w:r w:rsidR="000C0F52">
        <w:t>offices</w:t>
      </w:r>
      <w:r>
        <w:t>;</w:t>
      </w:r>
      <w:proofErr w:type="gramEnd"/>
    </w:p>
    <w:p w14:paraId="4E73E4C5" w14:textId="6A988143" w:rsidR="000A1B41" w:rsidRDefault="000A1B41" w:rsidP="00B20B0C">
      <w:pPr>
        <w:pStyle w:val="ONUME"/>
        <w:numPr>
          <w:ilvl w:val="0"/>
          <w:numId w:val="0"/>
        </w:numPr>
        <w:ind w:left="1440" w:hanging="900"/>
      </w:pPr>
      <w:r>
        <w:t>Topic</w:t>
      </w:r>
      <w:r w:rsidR="00342BB0">
        <w:t> </w:t>
      </w:r>
      <w:r>
        <w:t xml:space="preserve">5: </w:t>
      </w:r>
      <w:r w:rsidR="00745D6B">
        <w:t xml:space="preserve"> </w:t>
      </w:r>
      <w:r>
        <w:t>Practices of the IDAs under the Budapest Treaty.  Under this topic, the IDAs presented their practices on</w:t>
      </w:r>
      <w:proofErr w:type="gramStart"/>
      <w:r w:rsidR="00745D6B">
        <w:t>:</w:t>
      </w:r>
      <w:r>
        <w:t xml:space="preserve"> </w:t>
      </w:r>
      <w:r w:rsidR="00745D6B">
        <w:t xml:space="preserve"> </w:t>
      </w:r>
      <w:r>
        <w:t>(</w:t>
      </w:r>
      <w:proofErr w:type="gramEnd"/>
      <w:r>
        <w:t>a) the handling of the deposited biological material after the mandatory storage period prescribed in the B</w:t>
      </w:r>
      <w:r w:rsidR="00745D6B">
        <w:t xml:space="preserve">udapest </w:t>
      </w:r>
      <w:r>
        <w:t>T</w:t>
      </w:r>
      <w:r w:rsidR="00745D6B">
        <w:t>reaty</w:t>
      </w:r>
      <w:r>
        <w:t>;</w:t>
      </w:r>
      <w:r w:rsidR="00745D6B">
        <w:t xml:space="preserve"> </w:t>
      </w:r>
      <w:r>
        <w:t xml:space="preserve"> (b) the Nagoya Protocol; </w:t>
      </w:r>
      <w:r w:rsidR="00745D6B">
        <w:t xml:space="preserve"> </w:t>
      </w:r>
      <w:r>
        <w:t>(c) other issues;</w:t>
      </w:r>
    </w:p>
    <w:p w14:paraId="34AF6A89" w14:textId="449BAB25" w:rsidR="000A1B41" w:rsidRDefault="000A1B41" w:rsidP="00B20B0C">
      <w:pPr>
        <w:pStyle w:val="ONUME"/>
        <w:numPr>
          <w:ilvl w:val="0"/>
          <w:numId w:val="0"/>
        </w:numPr>
        <w:ind w:left="1440" w:hanging="900"/>
      </w:pPr>
      <w:r>
        <w:t>Topic</w:t>
      </w:r>
      <w:r w:rsidR="00342BB0">
        <w:t> </w:t>
      </w:r>
      <w:r>
        <w:t xml:space="preserve">6: </w:t>
      </w:r>
      <w:r w:rsidR="00745D6B">
        <w:t xml:space="preserve"> </w:t>
      </w:r>
      <w:r>
        <w:t xml:space="preserve">Deposit of biological materials:  technology trends and emerging practices in </w:t>
      </w:r>
      <w:proofErr w:type="gramStart"/>
      <w:r>
        <w:t>IDAs;</w:t>
      </w:r>
      <w:proofErr w:type="gramEnd"/>
    </w:p>
    <w:p w14:paraId="39003712" w14:textId="3978EDA6" w:rsidR="000A1B41" w:rsidRDefault="000A1B41" w:rsidP="00B20B0C">
      <w:pPr>
        <w:pStyle w:val="ONUME"/>
        <w:numPr>
          <w:ilvl w:val="0"/>
          <w:numId w:val="0"/>
        </w:numPr>
        <w:ind w:left="1440" w:hanging="900"/>
      </w:pPr>
      <w:r>
        <w:t>Topic</w:t>
      </w:r>
      <w:r w:rsidR="00342BB0">
        <w:t> </w:t>
      </w:r>
      <w:r>
        <w:t xml:space="preserve">7: </w:t>
      </w:r>
      <w:r w:rsidR="00745D6B">
        <w:t xml:space="preserve"> </w:t>
      </w:r>
      <w:r>
        <w:t>Technological advancement in biotechnology:</w:t>
      </w:r>
      <w:r w:rsidR="00745D6B">
        <w:t xml:space="preserve"> </w:t>
      </w:r>
      <w:r>
        <w:t xml:space="preserve"> impacts on the enabling disclosure requirement and the deposit of biological </w:t>
      </w:r>
      <w:proofErr w:type="gramStart"/>
      <w:r>
        <w:t>materials;</w:t>
      </w:r>
      <w:proofErr w:type="gramEnd"/>
    </w:p>
    <w:p w14:paraId="678215E0" w14:textId="3D5C3074" w:rsidR="000A1B41" w:rsidRDefault="000A1B41" w:rsidP="00B20B0C">
      <w:pPr>
        <w:pStyle w:val="ONUME"/>
        <w:numPr>
          <w:ilvl w:val="0"/>
          <w:numId w:val="0"/>
        </w:numPr>
        <w:ind w:left="540"/>
      </w:pPr>
      <w:r>
        <w:t>Topic</w:t>
      </w:r>
      <w:r w:rsidR="00342BB0">
        <w:t> </w:t>
      </w:r>
      <w:r>
        <w:t xml:space="preserve">8: </w:t>
      </w:r>
      <w:r w:rsidR="00745D6B">
        <w:t xml:space="preserve"> </w:t>
      </w:r>
      <w:r>
        <w:t xml:space="preserve">Future development in the Budapest System.  </w:t>
      </w:r>
    </w:p>
    <w:p w14:paraId="18F3BF24" w14:textId="6425E542" w:rsidR="007864D4" w:rsidRPr="006715BF" w:rsidRDefault="006715BF" w:rsidP="006715BF">
      <w:pPr>
        <w:pStyle w:val="ONUME"/>
        <w:rPr>
          <w:rFonts w:eastAsiaTheme="minorHAnsi"/>
          <w:shd w:val="clear" w:color="auto" w:fill="FFFFFF"/>
          <w:lang w:val="en-GB" w:eastAsia="en-GB"/>
        </w:rPr>
      </w:pPr>
      <w:r>
        <w:rPr>
          <w:shd w:val="clear" w:color="auto" w:fill="FFFFFF"/>
        </w:rPr>
        <w:t>To facilitate comprehensive discussions on each topic, presentations were delivered by speakers representing IP offices, IDAs, and external experts, as outlined in the program.</w:t>
      </w:r>
      <w:r w:rsidR="007864D4" w:rsidRPr="007864D4">
        <w:t>.  Three background documents regarding the Handling of Microorganisms Deposited under the Budapest Treaty after the Period of Storage</w:t>
      </w:r>
      <w:r w:rsidR="00287D28">
        <w:t>,</w:t>
      </w:r>
      <w:r w:rsidR="007864D4" w:rsidRPr="007864D4">
        <w:t xml:space="preserve"> the Furnishing of samples of deposited biological material</w:t>
      </w:r>
      <w:r w:rsidR="008515C5">
        <w:t>,</w:t>
      </w:r>
      <w:r w:rsidR="007864D4" w:rsidRPr="007864D4">
        <w:t xml:space="preserve"> and the Nagoya Protocol and the Budapest Treaty were prepared by the </w:t>
      </w:r>
      <w:r w:rsidR="00EF393D">
        <w:t>IB</w:t>
      </w:r>
      <w:r w:rsidR="007864D4" w:rsidRPr="007864D4">
        <w:t xml:space="preserve"> to support the discussion on </w:t>
      </w:r>
      <w:r w:rsidR="006467C0">
        <w:t>T</w:t>
      </w:r>
      <w:r w:rsidR="007864D4" w:rsidRPr="007864D4">
        <w:t>opic</w:t>
      </w:r>
      <w:r w:rsidR="006467C0">
        <w:t>s</w:t>
      </w:r>
      <w:r w:rsidR="0037719A">
        <w:t> </w:t>
      </w:r>
      <w:r w:rsidR="007864D4">
        <w:t>3</w:t>
      </w:r>
      <w:r w:rsidR="007864D4" w:rsidRPr="007864D4">
        <w:t xml:space="preserve"> and</w:t>
      </w:r>
      <w:r w:rsidR="0037719A">
        <w:t> </w:t>
      </w:r>
      <w:r w:rsidR="007864D4">
        <w:t>5</w:t>
      </w:r>
      <w:r w:rsidR="007864D4" w:rsidRPr="007864D4">
        <w:t xml:space="preserve">.  </w:t>
      </w:r>
      <w:hyperlink r:id="rId17" w:history="1">
        <w:r w:rsidR="00EA77E7" w:rsidRPr="00EF393D">
          <w:rPr>
            <w:rStyle w:val="Hyperlink"/>
          </w:rPr>
          <w:t>All documents</w:t>
        </w:r>
      </w:hyperlink>
      <w:r w:rsidR="00EA77E7" w:rsidRPr="00EA77E7">
        <w:t xml:space="preserve"> prepared by the IB, including the Summary Report</w:t>
      </w:r>
      <w:r w:rsidR="006467C0">
        <w:t xml:space="preserve"> of the Meeting</w:t>
      </w:r>
      <w:r w:rsidR="00EA77E7" w:rsidRPr="00EA77E7">
        <w:t xml:space="preserve">, </w:t>
      </w:r>
      <w:r w:rsidR="00172A2F">
        <w:t>as well as the</w:t>
      </w:r>
      <w:r w:rsidR="00EA77E7" w:rsidRPr="00EA77E7">
        <w:t xml:space="preserve"> presentations</w:t>
      </w:r>
      <w:r w:rsidR="006E37DA">
        <w:t>,</w:t>
      </w:r>
      <w:r w:rsidR="00EA77E7" w:rsidRPr="00EA77E7">
        <w:t xml:space="preserve"> are available </w:t>
      </w:r>
      <w:r w:rsidR="006467C0">
        <w:t>on</w:t>
      </w:r>
      <w:r w:rsidR="00EA77E7" w:rsidRPr="00EA77E7">
        <w:t xml:space="preserve"> the </w:t>
      </w:r>
      <w:r w:rsidR="008515C5">
        <w:t>M</w:t>
      </w:r>
      <w:r w:rsidR="008515C5" w:rsidRPr="00EF393D">
        <w:t xml:space="preserve">eeting </w:t>
      </w:r>
      <w:r w:rsidR="00EF393D" w:rsidRPr="00EF393D">
        <w:t>website</w:t>
      </w:r>
      <w:r w:rsidR="00EA77E7" w:rsidRPr="00EA77E7">
        <w:t xml:space="preserve">. </w:t>
      </w:r>
    </w:p>
    <w:p w14:paraId="2FBDC036" w14:textId="4596D92B" w:rsidR="007864D4" w:rsidRPr="007864D4" w:rsidRDefault="00EA77E7" w:rsidP="007864D4">
      <w:pPr>
        <w:pStyle w:val="ONUME"/>
      </w:pPr>
      <w:bookmarkStart w:id="8" w:name="_Hlk163230602"/>
      <w:r>
        <w:lastRenderedPageBreak/>
        <w:t>Under Topic</w:t>
      </w:r>
      <w:r w:rsidR="0037719A">
        <w:t> </w:t>
      </w:r>
      <w:r w:rsidR="006467C0">
        <w:t>8</w:t>
      </w:r>
      <w:r w:rsidR="007864D4" w:rsidRPr="007864D4">
        <w:t>, participants also discussed whether there were any areas in the Budapest system that might be improved and how they might be addressed.  Paragraph</w:t>
      </w:r>
      <w:r>
        <w:t> </w:t>
      </w:r>
      <w:r w:rsidR="007864D4" w:rsidRPr="007864D4">
        <w:t xml:space="preserve">38 of the Summary Report </w:t>
      </w:r>
      <w:bookmarkEnd w:id="8"/>
      <w:r w:rsidR="00172A2F">
        <w:t>outlines</w:t>
      </w:r>
      <w:r w:rsidR="007864D4" w:rsidRPr="007864D4">
        <w:t xml:space="preserve"> the main messages that emerged under </w:t>
      </w:r>
      <w:r w:rsidR="00172A2F">
        <w:t>that</w:t>
      </w:r>
      <w:r w:rsidR="007864D4" w:rsidRPr="007864D4">
        <w:t xml:space="preserve"> </w:t>
      </w:r>
      <w:r w:rsidR="00172A2F">
        <w:t>T</w:t>
      </w:r>
      <w:r w:rsidR="007864D4" w:rsidRPr="007864D4">
        <w:t>opic</w:t>
      </w:r>
      <w:r w:rsidR="00172A2F">
        <w:t>, as follows</w:t>
      </w:r>
      <w:r w:rsidR="007864D4" w:rsidRPr="007864D4">
        <w:t xml:space="preserve">: </w:t>
      </w:r>
    </w:p>
    <w:p w14:paraId="27A7246F" w14:textId="759D5ED4" w:rsidR="007864D4" w:rsidRDefault="007864D4" w:rsidP="00B20B0C">
      <w:pPr>
        <w:pStyle w:val="ONUME"/>
        <w:numPr>
          <w:ilvl w:val="0"/>
          <w:numId w:val="10"/>
        </w:numPr>
        <w:ind w:left="1260" w:hanging="720"/>
      </w:pPr>
      <w:r>
        <w:t xml:space="preserve">communication among IP </w:t>
      </w:r>
      <w:r w:rsidR="000C0F52">
        <w:t>o</w:t>
      </w:r>
      <w:r>
        <w:t>ffices, IDAs and the I</w:t>
      </w:r>
      <w:r w:rsidR="00172A2F">
        <w:t>B</w:t>
      </w:r>
      <w:r>
        <w:t xml:space="preserve">, at the national and international level, and with depositors and patent applicants, should be </w:t>
      </w:r>
      <w:proofErr w:type="gramStart"/>
      <w:r>
        <w:t>improved;</w:t>
      </w:r>
      <w:proofErr w:type="gramEnd"/>
    </w:p>
    <w:p w14:paraId="7213BDC4" w14:textId="04C096DF" w:rsidR="000A1B41" w:rsidRDefault="007864D4" w:rsidP="00B20B0C">
      <w:pPr>
        <w:pStyle w:val="ONUME"/>
        <w:numPr>
          <w:ilvl w:val="0"/>
          <w:numId w:val="10"/>
        </w:numPr>
        <w:ind w:left="1260" w:hanging="720"/>
      </w:pPr>
      <w:r>
        <w:t xml:space="preserve">IP </w:t>
      </w:r>
      <w:r w:rsidR="000C0F52">
        <w:t>o</w:t>
      </w:r>
      <w:r>
        <w:t>ffices, IDAs and the I</w:t>
      </w:r>
      <w:r w:rsidR="00172A2F">
        <w:t>B</w:t>
      </w:r>
      <w:r>
        <w:t xml:space="preserve"> may consider creating more opportunities for exchange of best practices and </w:t>
      </w:r>
      <w:proofErr w:type="gramStart"/>
      <w:r>
        <w:t>experiences;</w:t>
      </w:r>
      <w:proofErr w:type="gramEnd"/>
    </w:p>
    <w:p w14:paraId="5D465A06" w14:textId="6A8AF7C2" w:rsidR="007864D4" w:rsidRDefault="007864D4" w:rsidP="00B20B0C">
      <w:pPr>
        <w:pStyle w:val="ONUME"/>
        <w:numPr>
          <w:ilvl w:val="0"/>
          <w:numId w:val="10"/>
        </w:numPr>
        <w:ind w:left="1260" w:hanging="720"/>
      </w:pPr>
      <w:r>
        <w:t xml:space="preserve">IDAs and IP </w:t>
      </w:r>
      <w:r w:rsidR="000C0F52">
        <w:t>o</w:t>
      </w:r>
      <w:r>
        <w:t xml:space="preserve">ffices may explore new means of sharing information and data in order to support the operation of the </w:t>
      </w:r>
      <w:proofErr w:type="gramStart"/>
      <w:r>
        <w:t>organizations;</w:t>
      </w:r>
      <w:proofErr w:type="gramEnd"/>
    </w:p>
    <w:p w14:paraId="6EF879BC" w14:textId="3799107B" w:rsidR="007864D4" w:rsidRDefault="006A37D4" w:rsidP="00B20B0C">
      <w:pPr>
        <w:pStyle w:val="ONUME"/>
        <w:numPr>
          <w:ilvl w:val="0"/>
          <w:numId w:val="10"/>
        </w:numPr>
        <w:ind w:left="1260" w:hanging="720"/>
      </w:pPr>
      <w:r>
        <w:t xml:space="preserve">the </w:t>
      </w:r>
      <w:r w:rsidR="00172A2F">
        <w:t xml:space="preserve">Contracting States of the </w:t>
      </w:r>
      <w:r w:rsidR="007864D4">
        <w:t>B</w:t>
      </w:r>
      <w:r w:rsidR="00172A2F">
        <w:t xml:space="preserve">udapest </w:t>
      </w:r>
      <w:r w:rsidR="007864D4">
        <w:t>T</w:t>
      </w:r>
      <w:r w:rsidR="00172A2F">
        <w:t>reaty</w:t>
      </w:r>
      <w:r w:rsidR="007864D4">
        <w:t xml:space="preserve"> may provide guidance on how samples of deposited biological material should be handled by the IDAs after the storage period prescribed in the B</w:t>
      </w:r>
      <w:r w:rsidR="00172A2F">
        <w:t xml:space="preserve">udapest </w:t>
      </w:r>
      <w:proofErr w:type="gramStart"/>
      <w:r w:rsidR="00172A2F">
        <w:t>Treaty</w:t>
      </w:r>
      <w:r w:rsidR="007864D4">
        <w:t>;</w:t>
      </w:r>
      <w:proofErr w:type="gramEnd"/>
      <w:r w:rsidR="007864D4">
        <w:t xml:space="preserve"> </w:t>
      </w:r>
    </w:p>
    <w:p w14:paraId="1CE1F969" w14:textId="77777777" w:rsidR="007864D4" w:rsidRDefault="007864D4" w:rsidP="00B20B0C">
      <w:pPr>
        <w:pStyle w:val="ONUME"/>
        <w:numPr>
          <w:ilvl w:val="0"/>
          <w:numId w:val="10"/>
        </w:numPr>
        <w:ind w:left="1260" w:hanging="720"/>
      </w:pPr>
      <w:r>
        <w:t xml:space="preserve">technological advancements that may assist IDAs to better preserve and transmit the deposited biological material, including new kinds of material, should be </w:t>
      </w:r>
      <w:proofErr w:type="gramStart"/>
      <w:r>
        <w:t>followed;</w:t>
      </w:r>
      <w:proofErr w:type="gramEnd"/>
    </w:p>
    <w:p w14:paraId="765CB79F" w14:textId="3982AC78" w:rsidR="007864D4" w:rsidRDefault="007864D4" w:rsidP="00B20B0C">
      <w:pPr>
        <w:pStyle w:val="ONUME"/>
        <w:numPr>
          <w:ilvl w:val="0"/>
          <w:numId w:val="10"/>
        </w:numPr>
        <w:ind w:left="1260" w:hanging="720"/>
      </w:pPr>
      <w:r>
        <w:t>potential of genome sequencing information to complement the deposit of physical biological materials may be explored.</w:t>
      </w:r>
    </w:p>
    <w:p w14:paraId="0DA194C4" w14:textId="4F304C2E" w:rsidR="00172A2F" w:rsidRPr="009551C9" w:rsidRDefault="00E31143" w:rsidP="00275485">
      <w:pPr>
        <w:pStyle w:val="ONUME"/>
      </w:pPr>
      <w:r>
        <w:t>With a view to</w:t>
      </w:r>
      <w:r w:rsidR="009627D3" w:rsidRPr="009551C9">
        <w:t xml:space="preserve"> </w:t>
      </w:r>
      <w:r w:rsidR="007A6729" w:rsidRPr="009551C9">
        <w:t>facilitating communication and cooperation between IP</w:t>
      </w:r>
      <w:r w:rsidR="00444A6C" w:rsidRPr="009551C9">
        <w:t xml:space="preserve"> offices</w:t>
      </w:r>
      <w:r w:rsidR="007A6729" w:rsidRPr="009551C9">
        <w:t xml:space="preserve"> and </w:t>
      </w:r>
      <w:proofErr w:type="gramStart"/>
      <w:r w:rsidR="007A6729" w:rsidRPr="009551C9">
        <w:t>IDAs</w:t>
      </w:r>
      <w:r w:rsidR="009627D3">
        <w:t>,</w:t>
      </w:r>
      <w:r w:rsidR="00816E39" w:rsidRPr="009551C9">
        <w:t xml:space="preserve"> and</w:t>
      </w:r>
      <w:proofErr w:type="gramEnd"/>
      <w:r w:rsidR="00275485" w:rsidRPr="009551C9">
        <w:t xml:space="preserve"> </w:t>
      </w:r>
      <w:r w:rsidR="00816E39" w:rsidRPr="009551C9">
        <w:t xml:space="preserve">taking the opportunity of the </w:t>
      </w:r>
      <w:r w:rsidR="009627D3">
        <w:t xml:space="preserve">request for </w:t>
      </w:r>
      <w:r w:rsidR="00816E39" w:rsidRPr="009551C9">
        <w:t>update</w:t>
      </w:r>
      <w:r w:rsidR="009627D3">
        <w:t>s</w:t>
      </w:r>
      <w:r w:rsidR="00816E39" w:rsidRPr="009551C9">
        <w:t xml:space="preserve"> </w:t>
      </w:r>
      <w:r w:rsidR="009627D3">
        <w:t>in</w:t>
      </w:r>
      <w:r w:rsidR="00816E39" w:rsidRPr="009551C9">
        <w:t xml:space="preserve"> Section E of the Guide (see</w:t>
      </w:r>
      <w:r w:rsidR="00FE56E8">
        <w:t> </w:t>
      </w:r>
      <w:r w:rsidR="00816E39" w:rsidRPr="009551C9">
        <w:t>paragraph</w:t>
      </w:r>
      <w:r w:rsidR="00FE56E8">
        <w:t> </w:t>
      </w:r>
      <w:r w:rsidR="00816E39" w:rsidRPr="009551C9">
        <w:t xml:space="preserve">13), the </w:t>
      </w:r>
      <w:r w:rsidR="00E26B63" w:rsidRPr="009551C9">
        <w:t xml:space="preserve">IB </w:t>
      </w:r>
      <w:r w:rsidR="00275485" w:rsidRPr="009551C9">
        <w:t>invited the IP</w:t>
      </w:r>
      <w:r w:rsidR="00444A6C" w:rsidRPr="009551C9">
        <w:t xml:space="preserve"> offices</w:t>
      </w:r>
      <w:r w:rsidR="00275485" w:rsidRPr="009551C9">
        <w:t xml:space="preserve"> to provide an email address that may be used by the IDAs to contact them.  </w:t>
      </w:r>
      <w:r w:rsidR="005F6678" w:rsidRPr="009551C9">
        <w:t>Based on the information received, Section E of the Guide was updated accordingly</w:t>
      </w:r>
      <w:r w:rsidR="00580DE7" w:rsidRPr="009551C9">
        <w:t xml:space="preserve">.  </w:t>
      </w:r>
      <w:r w:rsidR="0056137D" w:rsidRPr="009551C9">
        <w:t xml:space="preserve">The IB is also exploring the feasibility </w:t>
      </w:r>
      <w:r w:rsidR="005F6678" w:rsidRPr="009551C9">
        <w:t>of</w:t>
      </w:r>
      <w:r w:rsidR="0056137D" w:rsidRPr="009551C9">
        <w:t xml:space="preserve"> improv</w:t>
      </w:r>
      <w:r w:rsidR="005F6678" w:rsidRPr="009551C9">
        <w:t>ing</w:t>
      </w:r>
      <w:r w:rsidR="0056137D" w:rsidRPr="009551C9">
        <w:t xml:space="preserve"> the searchability of published patent documents that are related to deposited biological material in P</w:t>
      </w:r>
      <w:r w:rsidR="005F6678" w:rsidRPr="009551C9">
        <w:t>ATENTSCOPE</w:t>
      </w:r>
      <w:r w:rsidR="0056137D" w:rsidRPr="009551C9">
        <w:t xml:space="preserve">. </w:t>
      </w:r>
    </w:p>
    <w:p w14:paraId="5259E395" w14:textId="50EF8958" w:rsidR="007864D4" w:rsidRPr="007864D4" w:rsidRDefault="007864D4" w:rsidP="004947AE">
      <w:pPr>
        <w:pStyle w:val="ONUME"/>
        <w:spacing w:after="720"/>
        <w:ind w:left="5533"/>
        <w:rPr>
          <w:i/>
          <w:iCs/>
        </w:rPr>
      </w:pPr>
      <w:r w:rsidRPr="007864D4">
        <w:rPr>
          <w:i/>
          <w:iCs/>
        </w:rPr>
        <w:t xml:space="preserve">The Assembly of the Budapest Union is invited to take note of the </w:t>
      </w:r>
      <w:r w:rsidR="00172A2F">
        <w:rPr>
          <w:i/>
          <w:iCs/>
        </w:rPr>
        <w:t>“</w:t>
      </w:r>
      <w:r w:rsidR="00172A2F" w:rsidRPr="00172A2F">
        <w:rPr>
          <w:i/>
          <w:iCs/>
        </w:rPr>
        <w:t xml:space="preserve">Activity Report </w:t>
      </w:r>
      <w:r w:rsidR="001D05BB">
        <w:rPr>
          <w:i/>
          <w:iCs/>
        </w:rPr>
        <w:t>on the</w:t>
      </w:r>
      <w:r w:rsidR="00172A2F" w:rsidRPr="00172A2F">
        <w:rPr>
          <w:i/>
          <w:iCs/>
        </w:rPr>
        <w:t xml:space="preserve"> Operation </w:t>
      </w:r>
      <w:r w:rsidR="001D05BB">
        <w:rPr>
          <w:i/>
          <w:iCs/>
        </w:rPr>
        <w:t>of</w:t>
      </w:r>
      <w:r w:rsidR="00172A2F" w:rsidRPr="00172A2F">
        <w:rPr>
          <w:i/>
          <w:iCs/>
        </w:rPr>
        <w:t xml:space="preserve"> </w:t>
      </w:r>
      <w:r w:rsidR="001D05BB">
        <w:rPr>
          <w:i/>
          <w:iCs/>
        </w:rPr>
        <w:t>the</w:t>
      </w:r>
      <w:r w:rsidR="00172A2F" w:rsidRPr="00172A2F">
        <w:rPr>
          <w:i/>
          <w:iCs/>
        </w:rPr>
        <w:t xml:space="preserve"> Budapest </w:t>
      </w:r>
      <w:r w:rsidR="006A6297" w:rsidRPr="00172A2F">
        <w:rPr>
          <w:i/>
          <w:iCs/>
        </w:rPr>
        <w:t>System</w:t>
      </w:r>
      <w:r w:rsidR="006A6297">
        <w:rPr>
          <w:i/>
          <w:iCs/>
        </w:rPr>
        <w:t>” (</w:t>
      </w:r>
      <w:r w:rsidR="001D05BB">
        <w:rPr>
          <w:i/>
          <w:iCs/>
        </w:rPr>
        <w:t>document BP/A/41/1)</w:t>
      </w:r>
      <w:r w:rsidRPr="007864D4">
        <w:rPr>
          <w:i/>
          <w:iCs/>
        </w:rPr>
        <w:t>.</w:t>
      </w:r>
    </w:p>
    <w:p w14:paraId="5D7C9EF9" w14:textId="010F3696" w:rsidR="007864D4" w:rsidRDefault="007864D4" w:rsidP="007864D4">
      <w:pPr>
        <w:pStyle w:val="Endofdocument-Annex"/>
      </w:pPr>
      <w:r>
        <w:t>[</w:t>
      </w:r>
      <w:r w:rsidR="00C277FE">
        <w:t>End of document</w:t>
      </w:r>
      <w:r>
        <w:t>]</w:t>
      </w:r>
    </w:p>
    <w:sectPr w:rsidR="007864D4" w:rsidSect="002A1CED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5ABF" w14:textId="77777777" w:rsidR="00FD2A28" w:rsidRDefault="00FD2A28">
      <w:r>
        <w:separator/>
      </w:r>
    </w:p>
  </w:endnote>
  <w:endnote w:type="continuationSeparator" w:id="0">
    <w:p w14:paraId="4C9C8C9B" w14:textId="77777777" w:rsidR="00FD2A28" w:rsidRDefault="00FD2A28" w:rsidP="003B38C1">
      <w:r>
        <w:separator/>
      </w:r>
    </w:p>
    <w:p w14:paraId="2CCB056E" w14:textId="77777777" w:rsidR="00FD2A28" w:rsidRPr="003B38C1" w:rsidRDefault="00FD2A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4EEA1A9" w14:textId="77777777" w:rsidR="00FD2A28" w:rsidRPr="003B38C1" w:rsidRDefault="00FD2A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FB02" w14:textId="77777777" w:rsidR="00FD2A28" w:rsidRDefault="00FD2A28">
      <w:r>
        <w:separator/>
      </w:r>
    </w:p>
  </w:footnote>
  <w:footnote w:type="continuationSeparator" w:id="0">
    <w:p w14:paraId="33927795" w14:textId="77777777" w:rsidR="00FD2A28" w:rsidRDefault="00FD2A28" w:rsidP="008B60B2">
      <w:r>
        <w:separator/>
      </w:r>
    </w:p>
    <w:p w14:paraId="15025B7C" w14:textId="77777777" w:rsidR="00FD2A28" w:rsidRPr="00ED77FB" w:rsidRDefault="00FD2A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BBD9B46" w14:textId="77777777" w:rsidR="00FD2A28" w:rsidRPr="00ED77FB" w:rsidRDefault="00FD2A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F19EDBC" w14:textId="0A12F677" w:rsidR="002A1CED" w:rsidRDefault="002A1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B24F6">
        <w:t xml:space="preserve">In </w:t>
      </w:r>
      <w:r w:rsidRPr="002A1CED">
        <w:t>Morocco.</w:t>
      </w:r>
    </w:p>
  </w:footnote>
  <w:footnote w:id="3">
    <w:p w14:paraId="226284A9" w14:textId="6A771648" w:rsidR="002A1CED" w:rsidRDefault="002A1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6641">
        <w:t xml:space="preserve">In </w:t>
      </w:r>
      <w:r w:rsidRPr="002A1CED">
        <w:t>India</w:t>
      </w:r>
      <w:r w:rsidR="00DB24F6">
        <w:t xml:space="preserve"> (3)</w:t>
      </w:r>
      <w:r w:rsidR="007F0CFC">
        <w:t xml:space="preserve"> and the Republic of Korea (4)</w:t>
      </w:r>
      <w:r w:rsidRPr="002A1CED">
        <w:t>.</w:t>
      </w:r>
      <w:r>
        <w:t xml:space="preserve"> </w:t>
      </w:r>
    </w:p>
  </w:footnote>
  <w:footnote w:id="4">
    <w:p w14:paraId="736F79B0" w14:textId="77777777" w:rsidR="00917176" w:rsidRDefault="00917176" w:rsidP="00917176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Pr="002A1CED">
        <w:t>n the Russian Federation</w:t>
      </w:r>
      <w:r>
        <w:t xml:space="preserve"> (2)</w:t>
      </w:r>
      <w:r w:rsidRPr="002A1CED">
        <w:t>.</w:t>
      </w:r>
    </w:p>
  </w:footnote>
  <w:footnote w:id="5">
    <w:p w14:paraId="1AA26A82" w14:textId="77777777" w:rsidR="00917176" w:rsidRDefault="00917176" w:rsidP="00917176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Pr="002A1CED">
        <w:t>n Bulgaria</w:t>
      </w:r>
      <w:r>
        <w:t xml:space="preserve"> (1)</w:t>
      </w:r>
      <w:r w:rsidRPr="002A1CED">
        <w:t xml:space="preserve">, </w:t>
      </w:r>
      <w:r>
        <w:t xml:space="preserve">the </w:t>
      </w:r>
      <w:r w:rsidRPr="002A1CED">
        <w:t>Czech Republic</w:t>
      </w:r>
      <w:r>
        <w:t xml:space="preserve"> (1)</w:t>
      </w:r>
      <w:r w:rsidRPr="002A1CED">
        <w:t>, Hungary</w:t>
      </w:r>
      <w:r>
        <w:t xml:space="preserve"> (1)</w:t>
      </w:r>
      <w:r w:rsidRPr="002A1CED">
        <w:t>, Latvia</w:t>
      </w:r>
      <w:r>
        <w:t xml:space="preserve"> (1)</w:t>
      </w:r>
      <w:r w:rsidRPr="002A1CED">
        <w:t>, Poland</w:t>
      </w:r>
      <w:r>
        <w:t xml:space="preserve"> (3)</w:t>
      </w:r>
      <w:r w:rsidRPr="002A1CED">
        <w:t>, Slovakia</w:t>
      </w:r>
      <w:r>
        <w:t xml:space="preserve"> (1)</w:t>
      </w:r>
      <w:r w:rsidRPr="002A1CED">
        <w:t>.</w:t>
      </w:r>
    </w:p>
  </w:footnote>
  <w:footnote w:id="6">
    <w:p w14:paraId="11F26218" w14:textId="7E9978AE" w:rsidR="00917176" w:rsidRDefault="00917176" w:rsidP="00917176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Pr="002A1CED">
        <w:t>n Australia</w:t>
      </w:r>
      <w:r>
        <w:t xml:space="preserve"> (2)</w:t>
      </w:r>
      <w:r w:rsidRPr="002A1CED">
        <w:t>, Belgium</w:t>
      </w:r>
      <w:r>
        <w:t xml:space="preserve"> (1)</w:t>
      </w:r>
      <w:r w:rsidRPr="002A1CED">
        <w:t>, Canada</w:t>
      </w:r>
      <w:r>
        <w:t xml:space="preserve"> (1)</w:t>
      </w:r>
      <w:r w:rsidRPr="002A1CED">
        <w:t>, Finland</w:t>
      </w:r>
      <w:r>
        <w:t xml:space="preserve"> (1)</w:t>
      </w:r>
      <w:r w:rsidRPr="002A1CED">
        <w:t>, France</w:t>
      </w:r>
      <w:r>
        <w:t xml:space="preserve"> (1)</w:t>
      </w:r>
      <w:r w:rsidRPr="002A1CED">
        <w:t>, Germany</w:t>
      </w:r>
      <w:r>
        <w:t> (1)</w:t>
      </w:r>
      <w:r w:rsidRPr="002A1CED">
        <w:t>, Italy</w:t>
      </w:r>
      <w:r>
        <w:t xml:space="preserve"> (3)</w:t>
      </w:r>
      <w:r w:rsidRPr="002A1CED">
        <w:t>, Japan</w:t>
      </w:r>
      <w:r>
        <w:t xml:space="preserve"> (2)</w:t>
      </w:r>
      <w:r w:rsidRPr="002A1CED">
        <w:t>, Netherlands (Kingdom of the)</w:t>
      </w:r>
      <w:r>
        <w:t xml:space="preserve"> (1)</w:t>
      </w:r>
      <w:r w:rsidRPr="002A1CED">
        <w:t xml:space="preserve">, </w:t>
      </w:r>
      <w:r w:rsidR="00CD4DD6">
        <w:t xml:space="preserve">Portugal (1), </w:t>
      </w:r>
      <w:r w:rsidRPr="002A1CED">
        <w:t>Spain</w:t>
      </w:r>
      <w:r>
        <w:t xml:space="preserve"> (2)</w:t>
      </w:r>
      <w:r w:rsidRPr="002A1CED">
        <w:t>, Switzerland</w:t>
      </w:r>
      <w:r>
        <w:t xml:space="preserve"> (1)</w:t>
      </w:r>
      <w:r w:rsidRPr="002A1CED">
        <w:t xml:space="preserve">, the United Kingdom </w:t>
      </w:r>
      <w:r>
        <w:t xml:space="preserve">(7) </w:t>
      </w:r>
      <w:r w:rsidRPr="002A1CED">
        <w:t>and the United States of America</w:t>
      </w:r>
      <w:r>
        <w:t xml:space="preserve"> (3)</w:t>
      </w:r>
      <w:r w:rsidRPr="002A1CED">
        <w:t>.</w:t>
      </w:r>
    </w:p>
  </w:footnote>
  <w:footnote w:id="7">
    <w:p w14:paraId="15D9B200" w14:textId="0EE69D98" w:rsidR="002A1CED" w:rsidRDefault="002A1C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B24F6">
        <w:t>I</w:t>
      </w:r>
      <w:r w:rsidRPr="002A1CED">
        <w:t>n Chile</w:t>
      </w:r>
      <w:r w:rsidR="00DB24F6">
        <w:t xml:space="preserve"> (1) and</w:t>
      </w:r>
      <w:r w:rsidRPr="002A1CED">
        <w:t xml:space="preserve"> Mexico</w:t>
      </w:r>
      <w:r w:rsidR="00DB24F6">
        <w:t xml:space="preserve"> (1)</w:t>
      </w:r>
      <w:r w:rsidRPr="002A1CED">
        <w:t>.</w:t>
      </w:r>
    </w:p>
  </w:footnote>
  <w:footnote w:id="8">
    <w:p w14:paraId="3B606A52" w14:textId="5908FD9D" w:rsidR="00C53FEF" w:rsidRDefault="00C53F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6531">
        <w:t xml:space="preserve">In 2017, one IDA </w:t>
      </w:r>
      <w:r w:rsidR="00606531" w:rsidRPr="00606531">
        <w:t>notified the total number of furnished samples (7 samples), without specifying the breakdown</w:t>
      </w:r>
      <w:r w:rsidR="00606531">
        <w:t xml:space="preserve"> by the type</w:t>
      </w:r>
      <w:r w:rsidR="00287D28">
        <w:t>s</w:t>
      </w:r>
      <w:r w:rsidR="00606531">
        <w:t xml:space="preserve"> of parties</w:t>
      </w:r>
      <w:r w:rsidR="00A26641">
        <w:t xml:space="preserve"> to which the samples were furnished</w:t>
      </w:r>
      <w:r w:rsidR="00606531" w:rsidRPr="00606531">
        <w:t>. </w:t>
      </w:r>
      <w:r w:rsidR="00606531">
        <w:t xml:space="preserve"> </w:t>
      </w:r>
      <w:r w:rsidR="00A26641">
        <w:t xml:space="preserve">Therefore, </w:t>
      </w:r>
      <w:r w:rsidR="00606531" w:rsidRPr="00606531">
        <w:t xml:space="preserve">the total number </w:t>
      </w:r>
      <w:r w:rsidR="00606531">
        <w:t xml:space="preserve">of furnished samples </w:t>
      </w:r>
      <w:r w:rsidR="00A26641">
        <w:t xml:space="preserve">in 2017 </w:t>
      </w:r>
      <w:r w:rsidR="00606531" w:rsidRPr="00606531">
        <w:t xml:space="preserve">(Figure 3) </w:t>
      </w:r>
      <w:r w:rsidR="00A26641">
        <w:t>counts 1,722 samples while the total number calculate</w:t>
      </w:r>
      <w:r w:rsidR="00287D28">
        <w:t>d</w:t>
      </w:r>
      <w:r w:rsidR="00A26641">
        <w:t xml:space="preserve"> from the data </w:t>
      </w:r>
      <w:r w:rsidR="00606531" w:rsidRPr="00606531">
        <w:t>in Table 3</w:t>
      </w:r>
      <w:r w:rsidR="00A26641">
        <w:t xml:space="preserve"> amounts to 1,715 samples</w:t>
      </w:r>
      <w:r w:rsidR="00606531" w:rsidRPr="00606531">
        <w:t>. </w:t>
      </w:r>
      <w:r w:rsidR="00606531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9A2E" w14:textId="77777777" w:rsidR="00EC4E49" w:rsidRDefault="002A1CED" w:rsidP="00477D6B">
    <w:pPr>
      <w:jc w:val="right"/>
    </w:pPr>
    <w:bookmarkStart w:id="9" w:name="Code2"/>
    <w:bookmarkEnd w:id="9"/>
    <w:r>
      <w:t>BP/A/41/1</w:t>
    </w:r>
  </w:p>
  <w:p w14:paraId="07C2A5C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6E46D6B5" w14:textId="77777777" w:rsidR="00EB6FEE" w:rsidRDefault="00EB6F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EB0C79"/>
    <w:multiLevelType w:val="hybridMultilevel"/>
    <w:tmpl w:val="53EAC83C"/>
    <w:lvl w:ilvl="0" w:tplc="8EA24C6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B35F06"/>
    <w:multiLevelType w:val="hybridMultilevel"/>
    <w:tmpl w:val="FA4600F6"/>
    <w:lvl w:ilvl="0" w:tplc="8EA24C64">
      <w:numFmt w:val="bullet"/>
      <w:lvlText w:val="-"/>
      <w:lvlJc w:val="left"/>
      <w:pPr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C8B4E81"/>
    <w:multiLevelType w:val="hybridMultilevel"/>
    <w:tmpl w:val="DCDEDC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11B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720907">
    <w:abstractNumId w:val="3"/>
  </w:num>
  <w:num w:numId="2" w16cid:durableId="2072847089">
    <w:abstractNumId w:val="8"/>
  </w:num>
  <w:num w:numId="3" w16cid:durableId="1625842177">
    <w:abstractNumId w:val="0"/>
  </w:num>
  <w:num w:numId="4" w16cid:durableId="1752114583">
    <w:abstractNumId w:val="9"/>
  </w:num>
  <w:num w:numId="5" w16cid:durableId="1082339995">
    <w:abstractNumId w:val="1"/>
  </w:num>
  <w:num w:numId="6" w16cid:durableId="1714691948">
    <w:abstractNumId w:val="5"/>
  </w:num>
  <w:num w:numId="7" w16cid:durableId="1594239650">
    <w:abstractNumId w:val="6"/>
  </w:num>
  <w:num w:numId="8" w16cid:durableId="1696346143">
    <w:abstractNumId w:val="7"/>
  </w:num>
  <w:num w:numId="9" w16cid:durableId="1704017241">
    <w:abstractNumId w:val="4"/>
  </w:num>
  <w:num w:numId="10" w16cid:durableId="154298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ED"/>
    <w:rsid w:val="0000138B"/>
    <w:rsid w:val="0000408F"/>
    <w:rsid w:val="0001647B"/>
    <w:rsid w:val="00021F7B"/>
    <w:rsid w:val="000329B0"/>
    <w:rsid w:val="00037950"/>
    <w:rsid w:val="00042478"/>
    <w:rsid w:val="00043CAA"/>
    <w:rsid w:val="00075432"/>
    <w:rsid w:val="000968ED"/>
    <w:rsid w:val="000A1B41"/>
    <w:rsid w:val="000B3B06"/>
    <w:rsid w:val="000B3B17"/>
    <w:rsid w:val="000C0F52"/>
    <w:rsid w:val="000E1129"/>
    <w:rsid w:val="000F3714"/>
    <w:rsid w:val="000F5E56"/>
    <w:rsid w:val="00101526"/>
    <w:rsid w:val="001024FE"/>
    <w:rsid w:val="00111443"/>
    <w:rsid w:val="00131F47"/>
    <w:rsid w:val="001362EE"/>
    <w:rsid w:val="00142868"/>
    <w:rsid w:val="001513F2"/>
    <w:rsid w:val="00163311"/>
    <w:rsid w:val="00172A2F"/>
    <w:rsid w:val="001832A6"/>
    <w:rsid w:val="001A151C"/>
    <w:rsid w:val="001A45B9"/>
    <w:rsid w:val="001B0DC7"/>
    <w:rsid w:val="001C6808"/>
    <w:rsid w:val="001D05BB"/>
    <w:rsid w:val="001D0E8B"/>
    <w:rsid w:val="001F5A7A"/>
    <w:rsid w:val="002065DD"/>
    <w:rsid w:val="002121FA"/>
    <w:rsid w:val="002313B1"/>
    <w:rsid w:val="00233251"/>
    <w:rsid w:val="00257DF2"/>
    <w:rsid w:val="002634C4"/>
    <w:rsid w:val="002700DC"/>
    <w:rsid w:val="00275485"/>
    <w:rsid w:val="00287D28"/>
    <w:rsid w:val="002928D3"/>
    <w:rsid w:val="002A1CED"/>
    <w:rsid w:val="002A54A4"/>
    <w:rsid w:val="002B2C20"/>
    <w:rsid w:val="002C1F40"/>
    <w:rsid w:val="002C340C"/>
    <w:rsid w:val="002E6C1A"/>
    <w:rsid w:val="002F1FE6"/>
    <w:rsid w:val="002F4E68"/>
    <w:rsid w:val="00312F7F"/>
    <w:rsid w:val="003144B1"/>
    <w:rsid w:val="003220C3"/>
    <w:rsid w:val="003228B7"/>
    <w:rsid w:val="00332FED"/>
    <w:rsid w:val="00342BB0"/>
    <w:rsid w:val="003508A3"/>
    <w:rsid w:val="003673CF"/>
    <w:rsid w:val="0037719A"/>
    <w:rsid w:val="003804C8"/>
    <w:rsid w:val="003845C1"/>
    <w:rsid w:val="003A6F89"/>
    <w:rsid w:val="003B38C1"/>
    <w:rsid w:val="003C50A7"/>
    <w:rsid w:val="003D352A"/>
    <w:rsid w:val="0041138D"/>
    <w:rsid w:val="00412D60"/>
    <w:rsid w:val="00423E3E"/>
    <w:rsid w:val="00427AF4"/>
    <w:rsid w:val="004400E2"/>
    <w:rsid w:val="004429FD"/>
    <w:rsid w:val="00444A6C"/>
    <w:rsid w:val="00446B83"/>
    <w:rsid w:val="00457F5B"/>
    <w:rsid w:val="00461632"/>
    <w:rsid w:val="004647DA"/>
    <w:rsid w:val="00467385"/>
    <w:rsid w:val="00474062"/>
    <w:rsid w:val="00477D6B"/>
    <w:rsid w:val="004947AE"/>
    <w:rsid w:val="004A1CFA"/>
    <w:rsid w:val="004D39C4"/>
    <w:rsid w:val="004D3EA4"/>
    <w:rsid w:val="00502DF6"/>
    <w:rsid w:val="0051126C"/>
    <w:rsid w:val="00511AB3"/>
    <w:rsid w:val="00516CD4"/>
    <w:rsid w:val="00517F2F"/>
    <w:rsid w:val="0053057A"/>
    <w:rsid w:val="0055221F"/>
    <w:rsid w:val="00560A29"/>
    <w:rsid w:val="0056137D"/>
    <w:rsid w:val="00580DE7"/>
    <w:rsid w:val="00594D27"/>
    <w:rsid w:val="005B4721"/>
    <w:rsid w:val="005B6787"/>
    <w:rsid w:val="005C3357"/>
    <w:rsid w:val="005F6678"/>
    <w:rsid w:val="00601760"/>
    <w:rsid w:val="00605827"/>
    <w:rsid w:val="00606531"/>
    <w:rsid w:val="00646050"/>
    <w:rsid w:val="006467C0"/>
    <w:rsid w:val="006713CA"/>
    <w:rsid w:val="006715BF"/>
    <w:rsid w:val="00676C5C"/>
    <w:rsid w:val="00691BD9"/>
    <w:rsid w:val="00695558"/>
    <w:rsid w:val="006A37D4"/>
    <w:rsid w:val="006A6297"/>
    <w:rsid w:val="006D5E0F"/>
    <w:rsid w:val="006D7863"/>
    <w:rsid w:val="006E37DA"/>
    <w:rsid w:val="006F14DF"/>
    <w:rsid w:val="0070187A"/>
    <w:rsid w:val="007058FB"/>
    <w:rsid w:val="0072658E"/>
    <w:rsid w:val="00745D6B"/>
    <w:rsid w:val="007663DA"/>
    <w:rsid w:val="007673AA"/>
    <w:rsid w:val="00774A9B"/>
    <w:rsid w:val="007864D4"/>
    <w:rsid w:val="007907E1"/>
    <w:rsid w:val="007A65AA"/>
    <w:rsid w:val="007A6729"/>
    <w:rsid w:val="007B6A58"/>
    <w:rsid w:val="007C23D4"/>
    <w:rsid w:val="007C2D50"/>
    <w:rsid w:val="007D1613"/>
    <w:rsid w:val="007D1EC2"/>
    <w:rsid w:val="007F0CFC"/>
    <w:rsid w:val="00816E39"/>
    <w:rsid w:val="0083083E"/>
    <w:rsid w:val="008515C5"/>
    <w:rsid w:val="00873EE5"/>
    <w:rsid w:val="0088518C"/>
    <w:rsid w:val="008B2CC1"/>
    <w:rsid w:val="008B4B5E"/>
    <w:rsid w:val="008B60B2"/>
    <w:rsid w:val="008B7EB0"/>
    <w:rsid w:val="008D2667"/>
    <w:rsid w:val="008E266A"/>
    <w:rsid w:val="009043DD"/>
    <w:rsid w:val="009053E5"/>
    <w:rsid w:val="0090731E"/>
    <w:rsid w:val="00914FA1"/>
    <w:rsid w:val="00916EE2"/>
    <w:rsid w:val="00917176"/>
    <w:rsid w:val="00936FD7"/>
    <w:rsid w:val="00937C0D"/>
    <w:rsid w:val="00941CF8"/>
    <w:rsid w:val="00947CD4"/>
    <w:rsid w:val="009551C9"/>
    <w:rsid w:val="009627D3"/>
    <w:rsid w:val="00965A6F"/>
    <w:rsid w:val="00966A22"/>
    <w:rsid w:val="0096722F"/>
    <w:rsid w:val="00980843"/>
    <w:rsid w:val="00983E4F"/>
    <w:rsid w:val="0099504E"/>
    <w:rsid w:val="009B0860"/>
    <w:rsid w:val="009C051A"/>
    <w:rsid w:val="009C1FD9"/>
    <w:rsid w:val="009C2B08"/>
    <w:rsid w:val="009D7FBE"/>
    <w:rsid w:val="009E2791"/>
    <w:rsid w:val="009E3F6F"/>
    <w:rsid w:val="009F3BF9"/>
    <w:rsid w:val="009F499F"/>
    <w:rsid w:val="009F7EF4"/>
    <w:rsid w:val="00A03010"/>
    <w:rsid w:val="00A213B8"/>
    <w:rsid w:val="00A26641"/>
    <w:rsid w:val="00A3763B"/>
    <w:rsid w:val="00A42DAF"/>
    <w:rsid w:val="00A42DC6"/>
    <w:rsid w:val="00A45BD8"/>
    <w:rsid w:val="00A72DFE"/>
    <w:rsid w:val="00A778BF"/>
    <w:rsid w:val="00A85B8E"/>
    <w:rsid w:val="00AA79AE"/>
    <w:rsid w:val="00AC205C"/>
    <w:rsid w:val="00AC61AD"/>
    <w:rsid w:val="00AE5F84"/>
    <w:rsid w:val="00AF5C73"/>
    <w:rsid w:val="00B042B1"/>
    <w:rsid w:val="00B05A69"/>
    <w:rsid w:val="00B11EDA"/>
    <w:rsid w:val="00B20B0C"/>
    <w:rsid w:val="00B40598"/>
    <w:rsid w:val="00B41BA4"/>
    <w:rsid w:val="00B45924"/>
    <w:rsid w:val="00B50B99"/>
    <w:rsid w:val="00B57A42"/>
    <w:rsid w:val="00B62CD9"/>
    <w:rsid w:val="00B67402"/>
    <w:rsid w:val="00B7261C"/>
    <w:rsid w:val="00B82547"/>
    <w:rsid w:val="00B8507B"/>
    <w:rsid w:val="00B91881"/>
    <w:rsid w:val="00B95AB3"/>
    <w:rsid w:val="00B9734B"/>
    <w:rsid w:val="00BB0B3E"/>
    <w:rsid w:val="00BB3152"/>
    <w:rsid w:val="00BC278C"/>
    <w:rsid w:val="00BC309E"/>
    <w:rsid w:val="00BD2456"/>
    <w:rsid w:val="00BF6E96"/>
    <w:rsid w:val="00C06646"/>
    <w:rsid w:val="00C11BFE"/>
    <w:rsid w:val="00C22E08"/>
    <w:rsid w:val="00C277FE"/>
    <w:rsid w:val="00C53FEF"/>
    <w:rsid w:val="00C94629"/>
    <w:rsid w:val="00CC5B5F"/>
    <w:rsid w:val="00CD4DD6"/>
    <w:rsid w:val="00CE65D4"/>
    <w:rsid w:val="00D13D2B"/>
    <w:rsid w:val="00D4337E"/>
    <w:rsid w:val="00D45252"/>
    <w:rsid w:val="00D5732C"/>
    <w:rsid w:val="00D66F61"/>
    <w:rsid w:val="00D71B4D"/>
    <w:rsid w:val="00D7243F"/>
    <w:rsid w:val="00D93D55"/>
    <w:rsid w:val="00DB24F6"/>
    <w:rsid w:val="00DB60D6"/>
    <w:rsid w:val="00DB6C27"/>
    <w:rsid w:val="00DC064C"/>
    <w:rsid w:val="00DD5137"/>
    <w:rsid w:val="00DE018B"/>
    <w:rsid w:val="00DE709F"/>
    <w:rsid w:val="00E161A2"/>
    <w:rsid w:val="00E26B63"/>
    <w:rsid w:val="00E31143"/>
    <w:rsid w:val="00E3226E"/>
    <w:rsid w:val="00E335FE"/>
    <w:rsid w:val="00E5021F"/>
    <w:rsid w:val="00E5071C"/>
    <w:rsid w:val="00E671A6"/>
    <w:rsid w:val="00E76BC2"/>
    <w:rsid w:val="00E82269"/>
    <w:rsid w:val="00E823DF"/>
    <w:rsid w:val="00E945EB"/>
    <w:rsid w:val="00EA77E7"/>
    <w:rsid w:val="00EB47D2"/>
    <w:rsid w:val="00EB6FEE"/>
    <w:rsid w:val="00EC4E49"/>
    <w:rsid w:val="00ED43E3"/>
    <w:rsid w:val="00ED77FB"/>
    <w:rsid w:val="00EE0F99"/>
    <w:rsid w:val="00EF393D"/>
    <w:rsid w:val="00EF56D8"/>
    <w:rsid w:val="00F021A6"/>
    <w:rsid w:val="00F05810"/>
    <w:rsid w:val="00F11D94"/>
    <w:rsid w:val="00F32384"/>
    <w:rsid w:val="00F66152"/>
    <w:rsid w:val="00F864D9"/>
    <w:rsid w:val="00FA6ED1"/>
    <w:rsid w:val="00FB09D2"/>
    <w:rsid w:val="00FD2A28"/>
    <w:rsid w:val="00FE56E8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E11BF"/>
  <w15:docId w15:val="{2A8458D9-4DA7-40B9-AB17-F6F4E8C1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2A1CED"/>
    <w:rPr>
      <w:vertAlign w:val="superscript"/>
    </w:rPr>
  </w:style>
  <w:style w:type="table" w:styleId="TableGrid">
    <w:name w:val="Table Grid"/>
    <w:basedOn w:val="TableNormal"/>
    <w:rsid w:val="002A1CE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4D4"/>
    <w:pPr>
      <w:ind w:left="720"/>
      <w:contextualSpacing/>
    </w:pPr>
  </w:style>
  <w:style w:type="paragraph" w:styleId="Revision">
    <w:name w:val="Revision"/>
    <w:hidden/>
    <w:uiPriority w:val="99"/>
    <w:semiHidden/>
    <w:rsid w:val="00965A6F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941C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CF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1CF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41CF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17176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1513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3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030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budapest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budapest/en/guide" TargetMode="External"/><Relationship Id="rId17" Type="http://schemas.openxmlformats.org/officeDocument/2006/relationships/hyperlink" Target="https://www.wipo.int/meetings/en/details.jsp?meeting_id=76968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wipolex/en/treaties/ShowResults?search_what=N&amp;treaty_id=7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www.wipo.int/budapest/en/guide/appendix_3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treaties/en/registration/budapest/" TargetMode="External"/><Relationship Id="rId1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P_A_41%20(E)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 of Microorganisms Deposited with IDAs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Sheet1!$A$23</c:f>
              <c:strCache>
                <c:ptCount val="1"/>
                <c:pt idx="0">
                  <c:v>Overall Total Deposits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Sheet1!$B$22:$L$22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Sheet1!$B$23:$L$23</c:f>
              <c:numCache>
                <c:formatCode>General</c:formatCode>
                <c:ptCount val="11"/>
                <c:pt idx="0">
                  <c:v>4790</c:v>
                </c:pt>
                <c:pt idx="1">
                  <c:v>5003</c:v>
                </c:pt>
                <c:pt idx="2">
                  <c:v>4957</c:v>
                </c:pt>
                <c:pt idx="3">
                  <c:v>4893</c:v>
                </c:pt>
                <c:pt idx="4">
                  <c:v>5127</c:v>
                </c:pt>
                <c:pt idx="5">
                  <c:v>5806</c:v>
                </c:pt>
                <c:pt idx="6">
                  <c:v>6303</c:v>
                </c:pt>
                <c:pt idx="7">
                  <c:v>7368</c:v>
                </c:pt>
                <c:pt idx="8">
                  <c:v>6756</c:v>
                </c:pt>
                <c:pt idx="9">
                  <c:v>8714</c:v>
                </c:pt>
                <c:pt idx="10">
                  <c:v>9808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4B-4138-A073-E39F3BD57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7008608"/>
        <c:axId val="1508200704"/>
      </c:barChart>
      <c:catAx>
        <c:axId val="157700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8200704"/>
        <c:crosses val="autoZero"/>
        <c:auto val="1"/>
        <c:lblAlgn val="ctr"/>
        <c:lblOffset val="100"/>
        <c:noMultiLvlLbl val="0"/>
      </c:catAx>
      <c:valAx>
        <c:axId val="150820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00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000" b="0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Breakdown</a:t>
            </a:r>
            <a:r>
              <a:rPr lang="en-US" sz="1000" b="0" baseline="0">
                <a:solidFill>
                  <a:schemeClr val="bg1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 of the Number of Deposited Microoganisms with IDAs by Country of the IDA's Location (2022)</a:t>
            </a:r>
            <a:endParaRPr lang="en-US" sz="1000" b="0">
              <a:solidFill>
                <a:schemeClr val="bg1">
                  <a:lumMod val="5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169936124055921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66C-4ED2-94C4-27D18FF51CE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66C-4ED2-94C4-27D18FF51CE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66C-4ED2-94C4-27D18FF51CE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66C-4ED2-94C4-27D18FF51CE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66C-4ED2-94C4-27D18FF51CE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66C-4ED2-94C4-27D18FF51CE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F66C-4ED2-94C4-27D18FF51CE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F66C-4ED2-94C4-27D18FF51CE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F66C-4ED2-94C4-27D18FF51CE0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F66C-4ED2-94C4-27D18FF51CE0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F66C-4ED2-94C4-27D18FF51CE0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F66C-4ED2-94C4-27D18FF51CE0}"/>
              </c:ext>
            </c:extLst>
          </c:dPt>
          <c:cat>
            <c:strRef>
              <c:f>'geographical distribution'!$K$47:$K$58</c:f>
              <c:strCache>
                <c:ptCount val="12"/>
                <c:pt idx="0">
                  <c:v>China</c:v>
                </c:pt>
                <c:pt idx="1">
                  <c:v>United States of America</c:v>
                </c:pt>
                <c:pt idx="2">
                  <c:v>Republic of Korea</c:v>
                </c:pt>
                <c:pt idx="3">
                  <c:v>Germany</c:v>
                </c:pt>
                <c:pt idx="4">
                  <c:v>United Kingdom</c:v>
                </c:pt>
                <c:pt idx="5">
                  <c:v>Japan</c:v>
                </c:pt>
                <c:pt idx="6">
                  <c:v>France</c:v>
                </c:pt>
                <c:pt idx="7">
                  <c:v>India</c:v>
                </c:pt>
                <c:pt idx="8">
                  <c:v>Poland</c:v>
                </c:pt>
                <c:pt idx="9">
                  <c:v>Canada</c:v>
                </c:pt>
                <c:pt idx="10">
                  <c:v>Spain</c:v>
                </c:pt>
                <c:pt idx="11">
                  <c:v>Others</c:v>
                </c:pt>
              </c:strCache>
            </c:strRef>
          </c:cat>
          <c:val>
            <c:numRef>
              <c:f>'geographical distribution'!$L$47:$L$58</c:f>
              <c:numCache>
                <c:formatCode>General</c:formatCode>
                <c:ptCount val="12"/>
                <c:pt idx="0">
                  <c:v>6396</c:v>
                </c:pt>
                <c:pt idx="1">
                  <c:v>1517</c:v>
                </c:pt>
                <c:pt idx="2">
                  <c:v>638</c:v>
                </c:pt>
                <c:pt idx="3">
                  <c:v>215</c:v>
                </c:pt>
                <c:pt idx="4">
                  <c:v>200</c:v>
                </c:pt>
                <c:pt idx="5">
                  <c:v>128</c:v>
                </c:pt>
                <c:pt idx="6">
                  <c:v>126</c:v>
                </c:pt>
                <c:pt idx="7">
                  <c:v>126</c:v>
                </c:pt>
                <c:pt idx="8">
                  <c:v>122</c:v>
                </c:pt>
                <c:pt idx="9">
                  <c:v>59</c:v>
                </c:pt>
                <c:pt idx="10">
                  <c:v>53</c:v>
                </c:pt>
                <c:pt idx="11">
                  <c:v>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F66C-4ED2-94C4-27D18FF51C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Number of Samples</a:t>
            </a:r>
            <a:r>
              <a:rPr lang="en-US" baseline="0"/>
              <a:t> of Deposited Microoganisms Furnished by IDAs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Sheet1!$A$49</c:f>
              <c:strCache>
                <c:ptCount val="1"/>
                <c:pt idx="0">
                  <c:v>Overall Total Samples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Sheet1!$B$48:$L$48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Sheet1!$B$49:$L$49</c:f>
              <c:numCache>
                <c:formatCode>General</c:formatCode>
                <c:ptCount val="11"/>
                <c:pt idx="0">
                  <c:v>950</c:v>
                </c:pt>
                <c:pt idx="1">
                  <c:v>852</c:v>
                </c:pt>
                <c:pt idx="2">
                  <c:v>838</c:v>
                </c:pt>
                <c:pt idx="3">
                  <c:v>997</c:v>
                </c:pt>
                <c:pt idx="4">
                  <c:v>1079</c:v>
                </c:pt>
                <c:pt idx="5">
                  <c:v>1722</c:v>
                </c:pt>
                <c:pt idx="6">
                  <c:v>1689</c:v>
                </c:pt>
                <c:pt idx="7">
                  <c:v>1484</c:v>
                </c:pt>
                <c:pt idx="8">
                  <c:v>1886</c:v>
                </c:pt>
                <c:pt idx="9">
                  <c:v>1700</c:v>
                </c:pt>
                <c:pt idx="10">
                  <c:v>1751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5B-4048-831D-1576C403CB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1090416"/>
        <c:axId val="1357838960"/>
      </c:barChart>
      <c:catAx>
        <c:axId val="150109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7838960"/>
        <c:crosses val="autoZero"/>
        <c:auto val="1"/>
        <c:lblAlgn val="ctr"/>
        <c:lblOffset val="100"/>
        <c:noMultiLvlLbl val="0"/>
      </c:catAx>
      <c:valAx>
        <c:axId val="135783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0109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0.08611</cdr:x>
      <cdr:y>0.5162</cdr:y>
    </cdr:from>
    <cdr:to>
      <cdr:x>0.20625</cdr:x>
      <cdr:y>0.60416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2DCE50A6-9187-FAEA-AB08-65C607A02992}"/>
            </a:ext>
          </a:extLst>
        </cdr:cNvPr>
        <cdr:cNvSpPr txBox="1"/>
      </cdr:nvSpPr>
      <cdr:spPr>
        <a:xfrm xmlns:a="http://schemas.openxmlformats.org/drawingml/2006/main">
          <a:off x="393700" y="1416050"/>
          <a:ext cx="549280" cy="2412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4790</a:t>
          </a:r>
        </a:p>
      </cdr:txBody>
    </cdr:sp>
  </cdr:relSizeAnchor>
  <cdr:relSizeAnchor xmlns:cdr="http://schemas.openxmlformats.org/drawingml/2006/chartDrawing">
    <cdr:from>
      <cdr:x>0.16944</cdr:x>
      <cdr:y>0.52315</cdr:y>
    </cdr:from>
    <cdr:to>
      <cdr:x>0.27014</cdr:x>
      <cdr:y>0.60648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0B791A1E-6DC4-6ED2-33D0-2D306342585B}"/>
            </a:ext>
          </a:extLst>
        </cdr:cNvPr>
        <cdr:cNvSpPr txBox="1"/>
      </cdr:nvSpPr>
      <cdr:spPr>
        <a:xfrm xmlns:a="http://schemas.openxmlformats.org/drawingml/2006/main">
          <a:off x="774700" y="1435100"/>
          <a:ext cx="460400" cy="228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5003</a:t>
          </a:r>
        </a:p>
      </cdr:txBody>
    </cdr:sp>
  </cdr:relSizeAnchor>
  <cdr:relSizeAnchor xmlns:cdr="http://schemas.openxmlformats.org/drawingml/2006/chartDrawing">
    <cdr:from>
      <cdr:x>0.25139</cdr:x>
      <cdr:y>0.51389</cdr:y>
    </cdr:from>
    <cdr:to>
      <cdr:x>0.35208</cdr:x>
      <cdr:y>0.59491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8C6D9CF7-6B67-96F0-2129-BBAA13B7A55B}"/>
            </a:ext>
          </a:extLst>
        </cdr:cNvPr>
        <cdr:cNvSpPr txBox="1"/>
      </cdr:nvSpPr>
      <cdr:spPr>
        <a:xfrm xmlns:a="http://schemas.openxmlformats.org/drawingml/2006/main">
          <a:off x="1149350" y="1409700"/>
          <a:ext cx="460355" cy="2222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4957</a:t>
          </a:r>
        </a:p>
      </cdr:txBody>
    </cdr:sp>
  </cdr:relSizeAnchor>
  <cdr:relSizeAnchor xmlns:cdr="http://schemas.openxmlformats.org/drawingml/2006/chartDrawing">
    <cdr:from>
      <cdr:x>0.32778</cdr:x>
      <cdr:y>0.48611</cdr:y>
    </cdr:from>
    <cdr:to>
      <cdr:x>0.42916</cdr:x>
      <cdr:y>0.56482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B3F687AB-CE05-B976-30B4-91900593E616}"/>
            </a:ext>
          </a:extLst>
        </cdr:cNvPr>
        <cdr:cNvSpPr txBox="1"/>
      </cdr:nvSpPr>
      <cdr:spPr>
        <a:xfrm xmlns:a="http://schemas.openxmlformats.org/drawingml/2006/main">
          <a:off x="1498600" y="1333500"/>
          <a:ext cx="463510" cy="21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4893</a:t>
          </a:r>
        </a:p>
      </cdr:txBody>
    </cdr:sp>
  </cdr:relSizeAnchor>
  <cdr:relSizeAnchor xmlns:cdr="http://schemas.openxmlformats.org/drawingml/2006/chartDrawing">
    <cdr:from>
      <cdr:x>0.40278</cdr:x>
      <cdr:y>0.47454</cdr:y>
    </cdr:from>
    <cdr:to>
      <cdr:x>0.49305</cdr:x>
      <cdr:y>0.56945</cdr:y>
    </cdr:to>
    <cdr:sp macro="" textlink="">
      <cdr:nvSpPr>
        <cdr:cNvPr id="7" name="TextBox 1">
          <a:extLst xmlns:a="http://schemas.openxmlformats.org/drawingml/2006/main">
            <a:ext uri="{FF2B5EF4-FFF2-40B4-BE49-F238E27FC236}">
              <a16:creationId xmlns:a16="http://schemas.microsoft.com/office/drawing/2014/main" id="{28D9C691-8A13-76BA-558C-5617D40B987D}"/>
            </a:ext>
          </a:extLst>
        </cdr:cNvPr>
        <cdr:cNvSpPr txBox="1"/>
      </cdr:nvSpPr>
      <cdr:spPr>
        <a:xfrm xmlns:a="http://schemas.openxmlformats.org/drawingml/2006/main">
          <a:off x="1841500" y="1301750"/>
          <a:ext cx="412715" cy="2603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5127</a:t>
          </a:r>
        </a:p>
      </cdr:txBody>
    </cdr:sp>
  </cdr:relSizeAnchor>
  <cdr:relSizeAnchor xmlns:cdr="http://schemas.openxmlformats.org/drawingml/2006/chartDrawing">
    <cdr:from>
      <cdr:x>0.48333</cdr:x>
      <cdr:y>0.47222</cdr:y>
    </cdr:from>
    <cdr:to>
      <cdr:x>0.5861</cdr:x>
      <cdr:y>0.56713</cdr:y>
    </cdr:to>
    <cdr:sp macro="" textlink="">
      <cdr:nvSpPr>
        <cdr:cNvPr id="8" name="TextBox 1">
          <a:extLst xmlns:a="http://schemas.openxmlformats.org/drawingml/2006/main">
            <a:ext uri="{FF2B5EF4-FFF2-40B4-BE49-F238E27FC236}">
              <a16:creationId xmlns:a16="http://schemas.microsoft.com/office/drawing/2014/main" id="{2DFE4E92-0556-6E58-BF7D-1134B897B01D}"/>
            </a:ext>
          </a:extLst>
        </cdr:cNvPr>
        <cdr:cNvSpPr txBox="1"/>
      </cdr:nvSpPr>
      <cdr:spPr>
        <a:xfrm xmlns:a="http://schemas.openxmlformats.org/drawingml/2006/main">
          <a:off x="2209800" y="1295400"/>
          <a:ext cx="469865" cy="2603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5806</a:t>
          </a:r>
        </a:p>
      </cdr:txBody>
    </cdr:sp>
  </cdr:relSizeAnchor>
  <cdr:relSizeAnchor xmlns:cdr="http://schemas.openxmlformats.org/drawingml/2006/chartDrawing">
    <cdr:from>
      <cdr:x>0.56111</cdr:x>
      <cdr:y>0.43287</cdr:y>
    </cdr:from>
    <cdr:to>
      <cdr:x>0.65972</cdr:x>
      <cdr:y>0.52315</cdr:y>
    </cdr:to>
    <cdr:sp macro="" textlink="">
      <cdr:nvSpPr>
        <cdr:cNvPr id="9" name="TextBox 1">
          <a:extLst xmlns:a="http://schemas.openxmlformats.org/drawingml/2006/main">
            <a:ext uri="{FF2B5EF4-FFF2-40B4-BE49-F238E27FC236}">
              <a16:creationId xmlns:a16="http://schemas.microsoft.com/office/drawing/2014/main" id="{02545E80-CADB-2ED8-B7BE-3F270023F2C0}"/>
            </a:ext>
          </a:extLst>
        </cdr:cNvPr>
        <cdr:cNvSpPr txBox="1"/>
      </cdr:nvSpPr>
      <cdr:spPr>
        <a:xfrm xmlns:a="http://schemas.openxmlformats.org/drawingml/2006/main">
          <a:off x="2565400" y="1187450"/>
          <a:ext cx="450845" cy="2476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6303</a:t>
          </a:r>
        </a:p>
      </cdr:txBody>
    </cdr:sp>
  </cdr:relSizeAnchor>
  <cdr:relSizeAnchor xmlns:cdr="http://schemas.openxmlformats.org/drawingml/2006/chartDrawing">
    <cdr:from>
      <cdr:x>0.62917</cdr:x>
      <cdr:y>0.37269</cdr:y>
    </cdr:from>
    <cdr:to>
      <cdr:x>0.74028</cdr:x>
      <cdr:y>0.45602</cdr:y>
    </cdr:to>
    <cdr:sp macro="" textlink="">
      <cdr:nvSpPr>
        <cdr:cNvPr id="10" name="TextBox 1">
          <a:extLst xmlns:a="http://schemas.openxmlformats.org/drawingml/2006/main">
            <a:ext uri="{FF2B5EF4-FFF2-40B4-BE49-F238E27FC236}">
              <a16:creationId xmlns:a16="http://schemas.microsoft.com/office/drawing/2014/main" id="{13105A3C-F4F3-5DCD-C33E-1EC7980D9F07}"/>
            </a:ext>
          </a:extLst>
        </cdr:cNvPr>
        <cdr:cNvSpPr txBox="1"/>
      </cdr:nvSpPr>
      <cdr:spPr>
        <a:xfrm xmlns:a="http://schemas.openxmlformats.org/drawingml/2006/main">
          <a:off x="2876550" y="1022350"/>
          <a:ext cx="507995" cy="228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7368</a:t>
          </a:r>
        </a:p>
      </cdr:txBody>
    </cdr:sp>
  </cdr:relSizeAnchor>
  <cdr:relSizeAnchor xmlns:cdr="http://schemas.openxmlformats.org/drawingml/2006/chartDrawing">
    <cdr:from>
      <cdr:x>0.71807</cdr:x>
      <cdr:y>0.40516</cdr:y>
    </cdr:from>
    <cdr:to>
      <cdr:x>0.81668</cdr:x>
      <cdr:y>0.48849</cdr:y>
    </cdr:to>
    <cdr:sp macro="" textlink="">
      <cdr:nvSpPr>
        <cdr:cNvPr id="12" name="TextBox 1">
          <a:extLst xmlns:a="http://schemas.openxmlformats.org/drawingml/2006/main">
            <a:ext uri="{FF2B5EF4-FFF2-40B4-BE49-F238E27FC236}">
              <a16:creationId xmlns:a16="http://schemas.microsoft.com/office/drawing/2014/main" id="{3E0D3A6C-FECA-7E08-BD6D-C0E038D86A75}"/>
            </a:ext>
          </a:extLst>
        </cdr:cNvPr>
        <cdr:cNvSpPr txBox="1"/>
      </cdr:nvSpPr>
      <cdr:spPr>
        <a:xfrm xmlns:a="http://schemas.openxmlformats.org/drawingml/2006/main">
          <a:off x="3493234" y="1111440"/>
          <a:ext cx="479711" cy="228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6756</a:t>
          </a:r>
        </a:p>
      </cdr:txBody>
    </cdr:sp>
  </cdr:relSizeAnchor>
  <cdr:relSizeAnchor xmlns:cdr="http://schemas.openxmlformats.org/drawingml/2006/chartDrawing">
    <cdr:from>
      <cdr:x>0.7931</cdr:x>
      <cdr:y>0.28849</cdr:y>
    </cdr:from>
    <cdr:to>
      <cdr:x>0.88894</cdr:x>
      <cdr:y>0.39265</cdr:y>
    </cdr:to>
    <cdr:sp macro="" textlink="">
      <cdr:nvSpPr>
        <cdr:cNvPr id="13" name="TextBox 1">
          <a:extLst xmlns:a="http://schemas.openxmlformats.org/drawingml/2006/main">
            <a:ext uri="{FF2B5EF4-FFF2-40B4-BE49-F238E27FC236}">
              <a16:creationId xmlns:a16="http://schemas.microsoft.com/office/drawing/2014/main" id="{650888D8-6CAA-D01D-AEEF-1C773463E252}"/>
            </a:ext>
          </a:extLst>
        </cdr:cNvPr>
        <cdr:cNvSpPr txBox="1"/>
      </cdr:nvSpPr>
      <cdr:spPr>
        <a:xfrm xmlns:a="http://schemas.openxmlformats.org/drawingml/2006/main">
          <a:off x="3858213" y="791392"/>
          <a:ext cx="466236" cy="285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8714</a:t>
          </a:r>
        </a:p>
      </cdr:txBody>
    </cdr:sp>
  </cdr:relSizeAnchor>
  <cdr:relSizeAnchor xmlns:cdr="http://schemas.openxmlformats.org/drawingml/2006/chartDrawing">
    <cdr:from>
      <cdr:x>0.86771</cdr:x>
      <cdr:y>0.18981</cdr:y>
    </cdr:from>
    <cdr:to>
      <cdr:x>1</cdr:x>
      <cdr:y>0.26157</cdr:y>
    </cdr:to>
    <cdr:sp macro="" textlink="">
      <cdr:nvSpPr>
        <cdr:cNvPr id="14" name="TextBox 1">
          <a:extLst xmlns:a="http://schemas.openxmlformats.org/drawingml/2006/main">
            <a:ext uri="{FF2B5EF4-FFF2-40B4-BE49-F238E27FC236}">
              <a16:creationId xmlns:a16="http://schemas.microsoft.com/office/drawing/2014/main" id="{AAA011B9-71B3-CDE4-398E-D9D567DC1741}"/>
            </a:ext>
          </a:extLst>
        </cdr:cNvPr>
        <cdr:cNvSpPr txBox="1"/>
      </cdr:nvSpPr>
      <cdr:spPr>
        <a:xfrm xmlns:a="http://schemas.openxmlformats.org/drawingml/2006/main">
          <a:off x="4221195" y="520699"/>
          <a:ext cx="643540" cy="196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9808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0.08194</cdr:x>
      <cdr:y>0.43287</cdr:y>
    </cdr:from>
    <cdr:to>
      <cdr:x>0.16925</cdr:x>
      <cdr:y>0.52931</cdr:y>
    </cdr:to>
    <cdr:sp macro="" textlink="">
      <cdr:nvSpPr>
        <cdr:cNvPr id="2" name="TextBox 13">
          <a:extLst xmlns:a="http://schemas.openxmlformats.org/drawingml/2006/main">
            <a:ext uri="{FF2B5EF4-FFF2-40B4-BE49-F238E27FC236}">
              <a16:creationId xmlns:a16="http://schemas.microsoft.com/office/drawing/2014/main" id="{4B5901D4-1F22-FED2-103B-4476B056F2C8}"/>
            </a:ext>
          </a:extLst>
        </cdr:cNvPr>
        <cdr:cNvSpPr txBox="1"/>
      </cdr:nvSpPr>
      <cdr:spPr>
        <a:xfrm xmlns:a="http://schemas.openxmlformats.org/drawingml/2006/main">
          <a:off x="374650" y="1187450"/>
          <a:ext cx="399148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950</a:t>
          </a:r>
        </a:p>
      </cdr:txBody>
    </cdr:sp>
  </cdr:relSizeAnchor>
  <cdr:relSizeAnchor xmlns:cdr="http://schemas.openxmlformats.org/drawingml/2006/chartDrawing">
    <cdr:from>
      <cdr:x>0.16944</cdr:x>
      <cdr:y>0.47685</cdr:y>
    </cdr:from>
    <cdr:to>
      <cdr:x>0.25675</cdr:x>
      <cdr:y>0.57329</cdr:y>
    </cdr:to>
    <cdr:sp macro="" textlink="">
      <cdr:nvSpPr>
        <cdr:cNvPr id="3" name="TextBox 12">
          <a:extLst xmlns:a="http://schemas.openxmlformats.org/drawingml/2006/main">
            <a:ext uri="{FF2B5EF4-FFF2-40B4-BE49-F238E27FC236}">
              <a16:creationId xmlns:a16="http://schemas.microsoft.com/office/drawing/2014/main" id="{09A34B8D-929D-9078-0FA8-E96266C04693}"/>
            </a:ext>
          </a:extLst>
        </cdr:cNvPr>
        <cdr:cNvSpPr txBox="1"/>
      </cdr:nvSpPr>
      <cdr:spPr>
        <a:xfrm xmlns:a="http://schemas.openxmlformats.org/drawingml/2006/main">
          <a:off x="774700" y="1308100"/>
          <a:ext cx="399148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852</a:t>
          </a:r>
        </a:p>
      </cdr:txBody>
    </cdr:sp>
  </cdr:relSizeAnchor>
  <cdr:relSizeAnchor xmlns:cdr="http://schemas.openxmlformats.org/drawingml/2006/chartDrawing">
    <cdr:from>
      <cdr:x>0.32222</cdr:x>
      <cdr:y>0.42824</cdr:y>
    </cdr:from>
    <cdr:to>
      <cdr:x>0.40952</cdr:x>
      <cdr:y>0.52468</cdr:y>
    </cdr:to>
    <cdr:sp macro="" textlink="">
      <cdr:nvSpPr>
        <cdr:cNvPr id="5" name="TextBox 10">
          <a:extLst xmlns:a="http://schemas.openxmlformats.org/drawingml/2006/main">
            <a:ext uri="{FF2B5EF4-FFF2-40B4-BE49-F238E27FC236}">
              <a16:creationId xmlns:a16="http://schemas.microsoft.com/office/drawing/2014/main" id="{6376570F-9047-2BFB-8BAC-32705B9C5EC6}"/>
            </a:ext>
          </a:extLst>
        </cdr:cNvPr>
        <cdr:cNvSpPr txBox="1"/>
      </cdr:nvSpPr>
      <cdr:spPr>
        <a:xfrm xmlns:a="http://schemas.openxmlformats.org/drawingml/2006/main">
          <a:off x="1473200" y="1174750"/>
          <a:ext cx="399148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997</a:t>
          </a:r>
        </a:p>
      </cdr:txBody>
    </cdr:sp>
  </cdr:relSizeAnchor>
  <cdr:relSizeAnchor xmlns:cdr="http://schemas.openxmlformats.org/drawingml/2006/chartDrawing">
    <cdr:from>
      <cdr:x>0.39444</cdr:x>
      <cdr:y>0.36806</cdr:y>
    </cdr:from>
    <cdr:to>
      <cdr:x>0.49738</cdr:x>
      <cdr:y>0.4645</cdr:y>
    </cdr:to>
    <cdr:sp macro="" textlink="">
      <cdr:nvSpPr>
        <cdr:cNvPr id="6" name="TextBox 9">
          <a:extLst xmlns:a="http://schemas.openxmlformats.org/drawingml/2006/main">
            <a:ext uri="{FF2B5EF4-FFF2-40B4-BE49-F238E27FC236}">
              <a16:creationId xmlns:a16="http://schemas.microsoft.com/office/drawing/2014/main" id="{37CA0581-60BC-258E-A21A-72715CC001FB}"/>
            </a:ext>
          </a:extLst>
        </cdr:cNvPr>
        <cdr:cNvSpPr txBox="1"/>
      </cdr:nvSpPr>
      <cdr:spPr>
        <a:xfrm xmlns:a="http://schemas.openxmlformats.org/drawingml/2006/main">
          <a:off x="1803400" y="1009650"/>
          <a:ext cx="470642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1079</a:t>
          </a:r>
        </a:p>
      </cdr:txBody>
    </cdr:sp>
  </cdr:relSizeAnchor>
  <cdr:relSizeAnchor xmlns:cdr="http://schemas.openxmlformats.org/drawingml/2006/chartDrawing">
    <cdr:from>
      <cdr:x>0.47083</cdr:x>
      <cdr:y>0.24537</cdr:y>
    </cdr:from>
    <cdr:to>
      <cdr:x>0.57377</cdr:x>
      <cdr:y>0.34181</cdr:y>
    </cdr:to>
    <cdr:sp macro="" textlink="">
      <cdr:nvSpPr>
        <cdr:cNvPr id="7" name="TextBox 8">
          <a:extLst xmlns:a="http://schemas.openxmlformats.org/drawingml/2006/main">
            <a:ext uri="{FF2B5EF4-FFF2-40B4-BE49-F238E27FC236}">
              <a16:creationId xmlns:a16="http://schemas.microsoft.com/office/drawing/2014/main" id="{BB10D69E-4C76-E88D-9A3C-E47C99A4B94F}"/>
            </a:ext>
          </a:extLst>
        </cdr:cNvPr>
        <cdr:cNvSpPr txBox="1"/>
      </cdr:nvSpPr>
      <cdr:spPr>
        <a:xfrm xmlns:a="http://schemas.openxmlformats.org/drawingml/2006/main">
          <a:off x="2152650" y="673100"/>
          <a:ext cx="470642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1722</a:t>
          </a:r>
        </a:p>
      </cdr:txBody>
    </cdr:sp>
  </cdr:relSizeAnchor>
  <cdr:relSizeAnchor xmlns:cdr="http://schemas.openxmlformats.org/drawingml/2006/chartDrawing">
    <cdr:from>
      <cdr:x>0.55</cdr:x>
      <cdr:y>0.23611</cdr:y>
    </cdr:from>
    <cdr:to>
      <cdr:x>0.65294</cdr:x>
      <cdr:y>0.33255</cdr:y>
    </cdr:to>
    <cdr:sp macro="" textlink="">
      <cdr:nvSpPr>
        <cdr:cNvPr id="8" name="TextBox 7">
          <a:extLst xmlns:a="http://schemas.openxmlformats.org/drawingml/2006/main">
            <a:ext uri="{FF2B5EF4-FFF2-40B4-BE49-F238E27FC236}">
              <a16:creationId xmlns:a16="http://schemas.microsoft.com/office/drawing/2014/main" id="{FC399FB3-0FE4-D496-8294-E8B96E57EC9F}"/>
            </a:ext>
          </a:extLst>
        </cdr:cNvPr>
        <cdr:cNvSpPr txBox="1"/>
      </cdr:nvSpPr>
      <cdr:spPr>
        <a:xfrm xmlns:a="http://schemas.openxmlformats.org/drawingml/2006/main">
          <a:off x="2514600" y="647700"/>
          <a:ext cx="470642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1689</a:t>
          </a:r>
        </a:p>
      </cdr:txBody>
    </cdr:sp>
  </cdr:relSizeAnchor>
  <cdr:relSizeAnchor xmlns:cdr="http://schemas.openxmlformats.org/drawingml/2006/chartDrawing">
    <cdr:from>
      <cdr:x>0.24444</cdr:x>
      <cdr:y>0.4838</cdr:y>
    </cdr:from>
    <cdr:to>
      <cdr:x>0.33175</cdr:x>
      <cdr:y>0.58024</cdr:y>
    </cdr:to>
    <cdr:sp macro="" textlink="">
      <cdr:nvSpPr>
        <cdr:cNvPr id="10" name="TextBox 11">
          <a:extLst xmlns:a="http://schemas.openxmlformats.org/drawingml/2006/main">
            <a:ext uri="{FF2B5EF4-FFF2-40B4-BE49-F238E27FC236}">
              <a16:creationId xmlns:a16="http://schemas.microsoft.com/office/drawing/2014/main" id="{CEC8439E-F576-8CC7-C13A-99E935DBDEA1}"/>
            </a:ext>
          </a:extLst>
        </cdr:cNvPr>
        <cdr:cNvSpPr txBox="1"/>
      </cdr:nvSpPr>
      <cdr:spPr>
        <a:xfrm xmlns:a="http://schemas.openxmlformats.org/drawingml/2006/main">
          <a:off x="1117600" y="1327150"/>
          <a:ext cx="399148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838</a:t>
          </a:r>
        </a:p>
      </cdr:txBody>
    </cdr:sp>
  </cdr:relSizeAnchor>
  <cdr:relSizeAnchor xmlns:cdr="http://schemas.openxmlformats.org/drawingml/2006/chartDrawing">
    <cdr:from>
      <cdr:x>0.63611</cdr:x>
      <cdr:y>0.29861</cdr:y>
    </cdr:from>
    <cdr:to>
      <cdr:x>0.73905</cdr:x>
      <cdr:y>0.39505</cdr:y>
    </cdr:to>
    <cdr:sp macro="" textlink="">
      <cdr:nvSpPr>
        <cdr:cNvPr id="11" name="TextBox 6">
          <a:extLst xmlns:a="http://schemas.openxmlformats.org/drawingml/2006/main">
            <a:ext uri="{FF2B5EF4-FFF2-40B4-BE49-F238E27FC236}">
              <a16:creationId xmlns:a16="http://schemas.microsoft.com/office/drawing/2014/main" id="{0B22CABF-0680-661A-6E02-434E937F7BBB}"/>
            </a:ext>
          </a:extLst>
        </cdr:cNvPr>
        <cdr:cNvSpPr txBox="1"/>
      </cdr:nvSpPr>
      <cdr:spPr>
        <a:xfrm xmlns:a="http://schemas.openxmlformats.org/drawingml/2006/main">
          <a:off x="2908300" y="819150"/>
          <a:ext cx="470642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1484</a:t>
          </a:r>
        </a:p>
      </cdr:txBody>
    </cdr:sp>
  </cdr:relSizeAnchor>
  <cdr:relSizeAnchor xmlns:cdr="http://schemas.openxmlformats.org/drawingml/2006/chartDrawing">
    <cdr:from>
      <cdr:x>0.70417</cdr:x>
      <cdr:y>0.18519</cdr:y>
    </cdr:from>
    <cdr:to>
      <cdr:x>0.80711</cdr:x>
      <cdr:y>0.28163</cdr:y>
    </cdr:to>
    <cdr:sp macro="" textlink="">
      <cdr:nvSpPr>
        <cdr:cNvPr id="12" name="TextBox 5">
          <a:extLst xmlns:a="http://schemas.openxmlformats.org/drawingml/2006/main">
            <a:ext uri="{FF2B5EF4-FFF2-40B4-BE49-F238E27FC236}">
              <a16:creationId xmlns:a16="http://schemas.microsoft.com/office/drawing/2014/main" id="{2038EF49-D9E7-215B-EA11-791D753511EE}"/>
            </a:ext>
          </a:extLst>
        </cdr:cNvPr>
        <cdr:cNvSpPr txBox="1"/>
      </cdr:nvSpPr>
      <cdr:spPr>
        <a:xfrm xmlns:a="http://schemas.openxmlformats.org/drawingml/2006/main">
          <a:off x="3219450" y="508000"/>
          <a:ext cx="470642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1886</a:t>
          </a:r>
        </a:p>
      </cdr:txBody>
    </cdr:sp>
  </cdr:relSizeAnchor>
  <cdr:relSizeAnchor xmlns:cdr="http://schemas.openxmlformats.org/drawingml/2006/chartDrawing">
    <cdr:from>
      <cdr:x>0.79167</cdr:x>
      <cdr:y>0.16435</cdr:y>
    </cdr:from>
    <cdr:to>
      <cdr:x>0.92987</cdr:x>
      <cdr:y>0.26403</cdr:y>
    </cdr:to>
    <cdr:sp macro="" textlink="">
      <cdr:nvSpPr>
        <cdr:cNvPr id="14" name="TextBox 1">
          <a:extLst xmlns:a="http://schemas.openxmlformats.org/drawingml/2006/main">
            <a:ext uri="{FF2B5EF4-FFF2-40B4-BE49-F238E27FC236}">
              <a16:creationId xmlns:a16="http://schemas.microsoft.com/office/drawing/2014/main" id="{1F21C3B9-C64B-5010-692E-59FB2E2CA53C}"/>
            </a:ext>
          </a:extLst>
        </cdr:cNvPr>
        <cdr:cNvSpPr txBox="1"/>
      </cdr:nvSpPr>
      <cdr:spPr>
        <a:xfrm xmlns:a="http://schemas.openxmlformats.org/drawingml/2006/main">
          <a:off x="3619500" y="450850"/>
          <a:ext cx="631864" cy="2734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1700</a:t>
          </a:r>
        </a:p>
      </cdr:txBody>
    </cdr:sp>
  </cdr:relSizeAnchor>
  <cdr:relSizeAnchor xmlns:cdr="http://schemas.openxmlformats.org/drawingml/2006/chartDrawing">
    <cdr:from>
      <cdr:x>0.87639</cdr:x>
      <cdr:y>0.13889</cdr:y>
    </cdr:from>
    <cdr:to>
      <cdr:x>0.97933</cdr:x>
      <cdr:y>0.23533</cdr:y>
    </cdr:to>
    <cdr:sp macro="" textlink="">
      <cdr:nvSpPr>
        <cdr:cNvPr id="15" name="TextBox 4">
          <a:extLst xmlns:a="http://schemas.openxmlformats.org/drawingml/2006/main">
            <a:ext uri="{FF2B5EF4-FFF2-40B4-BE49-F238E27FC236}">
              <a16:creationId xmlns:a16="http://schemas.microsoft.com/office/drawing/2014/main" id="{BE096EF5-D7D9-A7EB-156D-4DBD1079D8D4}"/>
            </a:ext>
          </a:extLst>
        </cdr:cNvPr>
        <cdr:cNvSpPr txBox="1"/>
      </cdr:nvSpPr>
      <cdr:spPr>
        <a:xfrm xmlns:a="http://schemas.openxmlformats.org/drawingml/2006/main">
          <a:off x="4006850" y="381000"/>
          <a:ext cx="470642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1751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9786-2A47-4F8B-9497-C3003E59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BP_A_41 (E).dotm</Template>
  <TotalTime>10</TotalTime>
  <Pages>7</Pages>
  <Words>2116</Words>
  <Characters>11690</Characters>
  <Application>Microsoft Office Word</Application>
  <DocSecurity>0</DocSecurity>
  <Lines>212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BP/A/41/1</vt:lpstr>
    </vt:vector>
  </TitlesOfParts>
  <Company>WIPO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BP/A/41/1</dc:title>
  <dc:creator>WIPO</dc:creator>
  <cp:keywords/>
  <cp:lastModifiedBy>HÄFLIGER Patience</cp:lastModifiedBy>
  <cp:revision>5</cp:revision>
  <cp:lastPrinted>2024-04-19T08:11:00Z</cp:lastPrinted>
  <dcterms:created xsi:type="dcterms:W3CDTF">2024-04-23T08:31:00Z</dcterms:created>
  <dcterms:modified xsi:type="dcterms:W3CDTF">2024-05-01T13:59:00Z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2024-04-05T08:16:25Z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8ba76563-ed79-40d8-a212-a9d4729bb12c</vt:lpwstr>
  </property>
  <property fmtid="{D5CDD505-2E9C-101B-9397-08002B2CF9AE}" pid="14" name="MSIP_Label_20773ee6-353b-4fb9-a59d-0b94c8c67bea_ContentBits">
    <vt:lpwstr>0</vt:lpwstr>
  </property>
</Properties>
</file>