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E6BC" w14:textId="3DC4C6B0" w:rsidR="003646C0" w:rsidRPr="008B2CC1" w:rsidRDefault="003646C0" w:rsidP="003646C0">
      <w:pPr>
        <w:spacing w:after="120"/>
        <w:jc w:val="right"/>
      </w:pPr>
      <w:r>
        <w:rPr>
          <w:noProof/>
          <w:sz w:val="28"/>
          <w:szCs w:val="28"/>
          <w:lang w:eastAsia="en-US"/>
        </w:rPr>
        <w:drawing>
          <wp:inline distT="0" distB="0" distL="0" distR="0" wp14:anchorId="5A256291" wp14:editId="6743487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1B4024D9" wp14:editId="06D258F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F3C41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2975818E" w14:textId="28123414" w:rsidR="003646C0" w:rsidRPr="001024FE" w:rsidRDefault="003646C0" w:rsidP="003646C0">
      <w:pPr>
        <w:jc w:val="right"/>
        <w:rPr>
          <w:rFonts w:ascii="Arial Black" w:hAnsi="Arial Black"/>
          <w:caps/>
          <w:sz w:val="15"/>
          <w:szCs w:val="15"/>
        </w:rPr>
      </w:pPr>
      <w:r w:rsidRPr="003010B8">
        <w:rPr>
          <w:rFonts w:ascii="Arial Black" w:hAnsi="Arial Black"/>
          <w:caps/>
          <w:sz w:val="15"/>
          <w:szCs w:val="15"/>
        </w:rPr>
        <w:t>a/68/</w:t>
      </w:r>
      <w:bookmarkStart w:id="0" w:name="Code"/>
      <w:r w:rsidR="0017756E">
        <w:rPr>
          <w:rFonts w:ascii="Arial Black" w:hAnsi="Arial Black"/>
          <w:caps/>
          <w:sz w:val="15"/>
          <w:szCs w:val="15"/>
        </w:rPr>
        <w:t>7</w:t>
      </w:r>
    </w:p>
    <w:bookmarkEnd w:id="0"/>
    <w:p w14:paraId="1BF7F476" w14:textId="77777777" w:rsidR="003646C0" w:rsidRPr="00CE65D4" w:rsidRDefault="003646C0" w:rsidP="003646C0">
      <w:pPr>
        <w:jc w:val="right"/>
        <w:rPr>
          <w:rFonts w:ascii="Arial Black" w:hAnsi="Arial Black"/>
          <w:caps/>
          <w:sz w:val="15"/>
          <w:szCs w:val="15"/>
        </w:rPr>
      </w:pPr>
      <w:r w:rsidRPr="00CE65D4">
        <w:rPr>
          <w:rFonts w:ascii="Arial Black" w:hAnsi="Arial Black"/>
          <w:caps/>
          <w:sz w:val="15"/>
          <w:szCs w:val="15"/>
        </w:rPr>
        <w:t>ORIGINAL:</w:t>
      </w:r>
      <w:r>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Pr>
          <w:rFonts w:ascii="Arial Black" w:hAnsi="Arial Black"/>
          <w:caps/>
          <w:sz w:val="15"/>
          <w:szCs w:val="15"/>
        </w:rPr>
        <w:t xml:space="preserve">English </w:t>
      </w:r>
    </w:p>
    <w:bookmarkEnd w:id="1"/>
    <w:p w14:paraId="126A1E79" w14:textId="0AB727CA" w:rsidR="003646C0" w:rsidRPr="00CE65D4" w:rsidRDefault="003646C0" w:rsidP="003646C0">
      <w:pPr>
        <w:spacing w:after="1200"/>
        <w:jc w:val="right"/>
        <w:rPr>
          <w:rFonts w:ascii="Arial Black" w:hAnsi="Arial Black"/>
          <w:caps/>
          <w:sz w:val="15"/>
          <w:szCs w:val="15"/>
        </w:rPr>
      </w:pPr>
      <w:r w:rsidRPr="00AD5DCD">
        <w:rPr>
          <w:rFonts w:ascii="Arial Black" w:hAnsi="Arial Black"/>
          <w:sz w:val="15"/>
          <w:szCs w:val="15"/>
        </w:rPr>
        <w:t>DATE</w:t>
      </w:r>
      <w:proofErr w:type="gramStart"/>
      <w:r w:rsidRPr="00AD5DCD">
        <w:rPr>
          <w:rFonts w:ascii="Arial Black" w:hAnsi="Arial Black"/>
          <w:caps/>
          <w:sz w:val="15"/>
          <w:szCs w:val="15"/>
        </w:rPr>
        <w:t xml:space="preserve">:  </w:t>
      </w:r>
      <w:bookmarkStart w:id="2" w:name="Date"/>
      <w:r w:rsidR="0072035B" w:rsidRPr="00AD5DCD">
        <w:rPr>
          <w:rFonts w:ascii="Arial Black" w:hAnsi="Arial Black"/>
          <w:caps/>
          <w:sz w:val="15"/>
          <w:szCs w:val="15"/>
        </w:rPr>
        <w:t>June</w:t>
      </w:r>
      <w:proofErr w:type="gramEnd"/>
      <w:r w:rsidR="0072035B" w:rsidRPr="00AD5DCD">
        <w:rPr>
          <w:rFonts w:ascii="Arial Black" w:hAnsi="Arial Black"/>
          <w:caps/>
          <w:sz w:val="15"/>
          <w:szCs w:val="15"/>
        </w:rPr>
        <w:t xml:space="preserve"> </w:t>
      </w:r>
      <w:r w:rsidR="00AD5DCD" w:rsidRPr="00AD5DCD">
        <w:rPr>
          <w:rFonts w:ascii="Arial Black" w:hAnsi="Arial Black"/>
          <w:caps/>
          <w:sz w:val="15"/>
          <w:szCs w:val="15"/>
        </w:rPr>
        <w:t>15</w:t>
      </w:r>
      <w:r w:rsidRPr="00AD5DCD">
        <w:rPr>
          <w:rFonts w:ascii="Arial Black" w:hAnsi="Arial Black"/>
          <w:caps/>
          <w:sz w:val="15"/>
          <w:szCs w:val="15"/>
        </w:rPr>
        <w:t>, 2026</w:t>
      </w:r>
    </w:p>
    <w:bookmarkEnd w:id="2"/>
    <w:p w14:paraId="0C1FC600" w14:textId="77777777" w:rsidR="003646C0" w:rsidRPr="003845C1" w:rsidRDefault="003646C0" w:rsidP="003646C0">
      <w:pPr>
        <w:spacing w:after="600"/>
        <w:rPr>
          <w:b/>
          <w:sz w:val="28"/>
          <w:szCs w:val="28"/>
        </w:rPr>
      </w:pPr>
      <w:r w:rsidRPr="005F10BC">
        <w:rPr>
          <w:b/>
          <w:sz w:val="28"/>
          <w:szCs w:val="28"/>
        </w:rPr>
        <w:t>Assemblies of the Member States of WIPO</w:t>
      </w:r>
    </w:p>
    <w:p w14:paraId="39FBB0C3" w14:textId="77777777" w:rsidR="003646C0" w:rsidRPr="003845C1" w:rsidRDefault="003646C0" w:rsidP="003646C0">
      <w:pPr>
        <w:rPr>
          <w:b/>
          <w:sz w:val="24"/>
          <w:szCs w:val="24"/>
        </w:rPr>
      </w:pPr>
      <w:bookmarkStart w:id="3" w:name="TitleOfDoc"/>
      <w:r>
        <w:rPr>
          <w:b/>
          <w:sz w:val="24"/>
        </w:rPr>
        <w:t>Sixty</w:t>
      </w:r>
      <w:r w:rsidRPr="009C127D">
        <w:rPr>
          <w:b/>
          <w:sz w:val="24"/>
        </w:rPr>
        <w:t>-</w:t>
      </w:r>
      <w:r>
        <w:rPr>
          <w:b/>
          <w:sz w:val="24"/>
        </w:rPr>
        <w:t>Eighth</w:t>
      </w:r>
      <w:r w:rsidRPr="0083486E">
        <w:rPr>
          <w:b/>
          <w:sz w:val="24"/>
        </w:rPr>
        <w:t xml:space="preserve"> </w:t>
      </w:r>
      <w:r w:rsidRPr="009C127D">
        <w:rPr>
          <w:b/>
          <w:sz w:val="24"/>
        </w:rPr>
        <w:t>Series of Meetings</w:t>
      </w:r>
    </w:p>
    <w:p w14:paraId="07B8FC9D" w14:textId="77777777" w:rsidR="003646C0" w:rsidRPr="009F3BF9" w:rsidRDefault="003646C0" w:rsidP="003646C0">
      <w:pPr>
        <w:spacing w:after="720"/>
      </w:pPr>
      <w:r w:rsidRPr="009C127D">
        <w:rPr>
          <w:b/>
          <w:sz w:val="24"/>
        </w:rPr>
        <w:t xml:space="preserve">Geneva, </w:t>
      </w:r>
      <w:r>
        <w:rPr>
          <w:b/>
          <w:sz w:val="24"/>
        </w:rPr>
        <w:t>July 7 to 15, 2026</w:t>
      </w:r>
    </w:p>
    <w:p w14:paraId="5EBFC95B" w14:textId="77777777" w:rsidR="003646C0" w:rsidRPr="009F3BF9" w:rsidRDefault="003646C0" w:rsidP="003646C0">
      <w:pPr>
        <w:spacing w:after="360"/>
        <w:rPr>
          <w:caps/>
          <w:sz w:val="24"/>
        </w:rPr>
      </w:pPr>
      <w:r>
        <w:rPr>
          <w:caps/>
          <w:sz w:val="24"/>
        </w:rPr>
        <w:t>Report on the Assistance and Support for Ukraine’s Innovation and Creativity Sector and Intellectual Property System</w:t>
      </w:r>
    </w:p>
    <w:p w14:paraId="7E9C9C58" w14:textId="77777777" w:rsidR="003646C0" w:rsidRPr="004D39C4" w:rsidRDefault="003646C0" w:rsidP="003646C0">
      <w:pPr>
        <w:spacing w:after="960"/>
        <w:rPr>
          <w:i/>
        </w:rPr>
      </w:pPr>
      <w:bookmarkStart w:id="4" w:name="Prepared"/>
      <w:bookmarkEnd w:id="3"/>
      <w:r>
        <w:rPr>
          <w:i/>
        </w:rPr>
        <w:t>prepared by the Secretariat</w:t>
      </w:r>
    </w:p>
    <w:bookmarkEnd w:id="4"/>
    <w:p w14:paraId="5926D893" w14:textId="77777777" w:rsidR="003646C0" w:rsidRDefault="003646C0" w:rsidP="003646C0">
      <w:r>
        <w:br w:type="page"/>
      </w:r>
    </w:p>
    <w:p w14:paraId="3C0ECDE6" w14:textId="0076759A" w:rsidR="002347B9" w:rsidRDefault="003646C0">
      <w:pPr>
        <w:pStyle w:val="TOC1"/>
        <w:rPr>
          <w:rFonts w:asciiTheme="minorHAnsi" w:eastAsiaTheme="minorEastAsia" w:hAnsiTheme="minorHAnsi" w:cstheme="minorBidi"/>
          <w:noProof/>
          <w:kern w:val="2"/>
          <w:sz w:val="24"/>
          <w:szCs w:val="24"/>
          <w:lang w:eastAsia="en-US"/>
          <w14:ligatures w14:val="standardContextual"/>
        </w:rPr>
      </w:pPr>
      <w:r>
        <w:rPr>
          <w:lang w:eastAsia="en-US"/>
        </w:rPr>
        <w:lastRenderedPageBreak/>
        <w:fldChar w:fldCharType="begin"/>
      </w:r>
      <w:r>
        <w:rPr>
          <w:lang w:eastAsia="en-US"/>
        </w:rPr>
        <w:instrText xml:space="preserve"> TOC \o "1-3" \h \z \u </w:instrText>
      </w:r>
      <w:r>
        <w:rPr>
          <w:lang w:eastAsia="en-US"/>
        </w:rPr>
        <w:fldChar w:fldCharType="separate"/>
      </w:r>
      <w:hyperlink w:anchor="_Toc232436566" w:history="1">
        <w:r w:rsidR="002347B9" w:rsidRPr="00F0585A">
          <w:rPr>
            <w:rStyle w:val="Hyperlink"/>
            <w:b/>
            <w:bCs/>
            <w:caps/>
            <w:noProof/>
            <w:kern w:val="32"/>
            <w:lang w:eastAsia="en-US"/>
          </w:rPr>
          <w:t>1.</w:t>
        </w:r>
        <w:r w:rsidR="002347B9">
          <w:rPr>
            <w:rFonts w:asciiTheme="minorHAnsi" w:eastAsiaTheme="minorEastAsia" w:hAnsiTheme="minorHAnsi" w:cstheme="minorBidi"/>
            <w:noProof/>
            <w:kern w:val="2"/>
            <w:sz w:val="24"/>
            <w:szCs w:val="24"/>
            <w:lang w:eastAsia="en-US"/>
            <w14:ligatures w14:val="standardContextual"/>
          </w:rPr>
          <w:tab/>
        </w:r>
        <w:r w:rsidR="002347B9" w:rsidRPr="00F0585A">
          <w:rPr>
            <w:rStyle w:val="Hyperlink"/>
            <w:b/>
            <w:bCs/>
            <w:caps/>
            <w:noProof/>
            <w:kern w:val="32"/>
            <w:lang w:eastAsia="en-US"/>
          </w:rPr>
          <w:t>EXECUTIVE SUMMARY</w:t>
        </w:r>
        <w:r w:rsidR="002347B9">
          <w:rPr>
            <w:noProof/>
            <w:webHidden/>
          </w:rPr>
          <w:tab/>
        </w:r>
        <w:r w:rsidR="002347B9">
          <w:rPr>
            <w:noProof/>
            <w:webHidden/>
          </w:rPr>
          <w:fldChar w:fldCharType="begin"/>
        </w:r>
        <w:r w:rsidR="002347B9">
          <w:rPr>
            <w:noProof/>
            <w:webHidden/>
          </w:rPr>
          <w:instrText xml:space="preserve"> PAGEREF _Toc232436566 \h </w:instrText>
        </w:r>
        <w:r w:rsidR="002347B9">
          <w:rPr>
            <w:noProof/>
            <w:webHidden/>
          </w:rPr>
        </w:r>
        <w:r w:rsidR="002347B9">
          <w:rPr>
            <w:noProof/>
            <w:webHidden/>
          </w:rPr>
          <w:fldChar w:fldCharType="separate"/>
        </w:r>
        <w:r w:rsidR="0037550B">
          <w:rPr>
            <w:noProof/>
            <w:webHidden/>
          </w:rPr>
          <w:t>4</w:t>
        </w:r>
        <w:r w:rsidR="002347B9">
          <w:rPr>
            <w:noProof/>
            <w:webHidden/>
          </w:rPr>
          <w:fldChar w:fldCharType="end"/>
        </w:r>
      </w:hyperlink>
    </w:p>
    <w:p w14:paraId="1EFDCFF1" w14:textId="19886D6D"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67" w:history="1">
        <w:r w:rsidRPr="00F0585A">
          <w:rPr>
            <w:rStyle w:val="Hyperlink"/>
            <w:bCs/>
            <w:noProof/>
            <w:lang w:eastAsia="en-US"/>
          </w:rPr>
          <w:t>1.1.</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iCs/>
            <w:caps/>
            <w:noProof/>
            <w:lang w:eastAsia="en-US"/>
          </w:rPr>
          <w:t>Introduction</w:t>
        </w:r>
        <w:r>
          <w:rPr>
            <w:noProof/>
            <w:webHidden/>
          </w:rPr>
          <w:tab/>
        </w:r>
        <w:r>
          <w:rPr>
            <w:noProof/>
            <w:webHidden/>
          </w:rPr>
          <w:fldChar w:fldCharType="begin"/>
        </w:r>
        <w:r>
          <w:rPr>
            <w:noProof/>
            <w:webHidden/>
          </w:rPr>
          <w:instrText xml:space="preserve"> PAGEREF _Toc232436567 \h </w:instrText>
        </w:r>
        <w:r>
          <w:rPr>
            <w:noProof/>
            <w:webHidden/>
          </w:rPr>
        </w:r>
        <w:r>
          <w:rPr>
            <w:noProof/>
            <w:webHidden/>
          </w:rPr>
          <w:fldChar w:fldCharType="separate"/>
        </w:r>
        <w:r w:rsidR="0037550B">
          <w:rPr>
            <w:noProof/>
            <w:webHidden/>
          </w:rPr>
          <w:t>4</w:t>
        </w:r>
        <w:r>
          <w:rPr>
            <w:noProof/>
            <w:webHidden/>
          </w:rPr>
          <w:fldChar w:fldCharType="end"/>
        </w:r>
      </w:hyperlink>
    </w:p>
    <w:p w14:paraId="0A1F0CCC" w14:textId="08B9D8CC"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68" w:history="1">
        <w:r w:rsidRPr="00F0585A">
          <w:rPr>
            <w:rStyle w:val="Hyperlink"/>
            <w:bCs/>
            <w:noProof/>
            <w:lang w:eastAsia="en-US"/>
          </w:rPr>
          <w:t>1.2.</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SUMMARY</w:t>
        </w:r>
        <w:r>
          <w:rPr>
            <w:noProof/>
            <w:webHidden/>
          </w:rPr>
          <w:tab/>
        </w:r>
        <w:r>
          <w:rPr>
            <w:noProof/>
            <w:webHidden/>
          </w:rPr>
          <w:fldChar w:fldCharType="begin"/>
        </w:r>
        <w:r>
          <w:rPr>
            <w:noProof/>
            <w:webHidden/>
          </w:rPr>
          <w:instrText xml:space="preserve"> PAGEREF _Toc232436568 \h </w:instrText>
        </w:r>
        <w:r>
          <w:rPr>
            <w:noProof/>
            <w:webHidden/>
          </w:rPr>
        </w:r>
        <w:r>
          <w:rPr>
            <w:noProof/>
            <w:webHidden/>
          </w:rPr>
          <w:fldChar w:fldCharType="separate"/>
        </w:r>
        <w:r w:rsidR="0037550B">
          <w:rPr>
            <w:noProof/>
            <w:webHidden/>
          </w:rPr>
          <w:t>4</w:t>
        </w:r>
        <w:r>
          <w:rPr>
            <w:noProof/>
            <w:webHidden/>
          </w:rPr>
          <w:fldChar w:fldCharType="end"/>
        </w:r>
      </w:hyperlink>
    </w:p>
    <w:p w14:paraId="643AA315" w14:textId="5EFB9697" w:rsidR="002347B9" w:rsidRDefault="002347B9">
      <w:pPr>
        <w:pStyle w:val="TOC1"/>
        <w:rPr>
          <w:rFonts w:asciiTheme="minorHAnsi" w:eastAsiaTheme="minorEastAsia" w:hAnsiTheme="minorHAnsi" w:cstheme="minorBidi"/>
          <w:noProof/>
          <w:kern w:val="2"/>
          <w:sz w:val="24"/>
          <w:szCs w:val="24"/>
          <w:lang w:eastAsia="en-US"/>
          <w14:ligatures w14:val="standardContextual"/>
        </w:rPr>
      </w:pPr>
      <w:hyperlink w:anchor="_Toc232436569" w:history="1">
        <w:r w:rsidRPr="00F0585A">
          <w:rPr>
            <w:rStyle w:val="Hyperlink"/>
            <w:b/>
            <w:bCs/>
            <w:caps/>
            <w:noProof/>
            <w:kern w:val="32"/>
            <w:lang w:eastAsia="en-US"/>
          </w:rPr>
          <w:t xml:space="preserve">2. </w:t>
        </w:r>
        <w:r>
          <w:rPr>
            <w:rFonts w:asciiTheme="minorHAnsi" w:eastAsiaTheme="minorEastAsia" w:hAnsiTheme="minorHAnsi" w:cstheme="minorBidi"/>
            <w:noProof/>
            <w:kern w:val="2"/>
            <w:sz w:val="24"/>
            <w:szCs w:val="24"/>
            <w:lang w:eastAsia="en-US"/>
            <w14:ligatures w14:val="standardContextual"/>
          </w:rPr>
          <w:tab/>
        </w:r>
        <w:r w:rsidRPr="00F0585A">
          <w:rPr>
            <w:rStyle w:val="Hyperlink"/>
            <w:b/>
            <w:bCs/>
            <w:caps/>
            <w:noProof/>
            <w:kern w:val="32"/>
            <w:lang w:eastAsia="en-US"/>
          </w:rPr>
          <w:t>ASSESSMENT OF IMPACTS OF THE WAR ON UKRAINE’S INNOVATION AND CREATIVITY SECTOR AND ECOSYSTEM</w:t>
        </w:r>
        <w:r>
          <w:rPr>
            <w:noProof/>
            <w:webHidden/>
          </w:rPr>
          <w:tab/>
        </w:r>
        <w:r>
          <w:rPr>
            <w:noProof/>
            <w:webHidden/>
          </w:rPr>
          <w:fldChar w:fldCharType="begin"/>
        </w:r>
        <w:r>
          <w:rPr>
            <w:noProof/>
            <w:webHidden/>
          </w:rPr>
          <w:instrText xml:space="preserve"> PAGEREF _Toc232436569 \h </w:instrText>
        </w:r>
        <w:r>
          <w:rPr>
            <w:noProof/>
            <w:webHidden/>
          </w:rPr>
        </w:r>
        <w:r>
          <w:rPr>
            <w:noProof/>
            <w:webHidden/>
          </w:rPr>
          <w:fldChar w:fldCharType="separate"/>
        </w:r>
        <w:r w:rsidR="0037550B">
          <w:rPr>
            <w:noProof/>
            <w:webHidden/>
          </w:rPr>
          <w:t>5</w:t>
        </w:r>
        <w:r>
          <w:rPr>
            <w:noProof/>
            <w:webHidden/>
          </w:rPr>
          <w:fldChar w:fldCharType="end"/>
        </w:r>
      </w:hyperlink>
    </w:p>
    <w:p w14:paraId="388F4694" w14:textId="1291CF1E"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70" w:history="1">
        <w:r w:rsidRPr="00F0585A">
          <w:rPr>
            <w:rStyle w:val="Hyperlink"/>
            <w:bCs/>
            <w:noProof/>
            <w:lang w:eastAsia="en-US"/>
          </w:rPr>
          <w:t>2.1.</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SUMMARY</w:t>
        </w:r>
        <w:r>
          <w:rPr>
            <w:noProof/>
            <w:webHidden/>
          </w:rPr>
          <w:tab/>
        </w:r>
        <w:r>
          <w:rPr>
            <w:noProof/>
            <w:webHidden/>
          </w:rPr>
          <w:fldChar w:fldCharType="begin"/>
        </w:r>
        <w:r>
          <w:rPr>
            <w:noProof/>
            <w:webHidden/>
          </w:rPr>
          <w:instrText xml:space="preserve"> PAGEREF _Toc232436570 \h </w:instrText>
        </w:r>
        <w:r>
          <w:rPr>
            <w:noProof/>
            <w:webHidden/>
          </w:rPr>
        </w:r>
        <w:r>
          <w:rPr>
            <w:noProof/>
            <w:webHidden/>
          </w:rPr>
          <w:fldChar w:fldCharType="separate"/>
        </w:r>
        <w:r w:rsidR="0037550B">
          <w:rPr>
            <w:noProof/>
            <w:webHidden/>
          </w:rPr>
          <w:t>5</w:t>
        </w:r>
        <w:r>
          <w:rPr>
            <w:noProof/>
            <w:webHidden/>
          </w:rPr>
          <w:fldChar w:fldCharType="end"/>
        </w:r>
      </w:hyperlink>
    </w:p>
    <w:p w14:paraId="6B936F75" w14:textId="6A262426"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71" w:history="1">
        <w:r w:rsidRPr="00F0585A">
          <w:rPr>
            <w:rStyle w:val="Hyperlink"/>
            <w:bCs/>
            <w:noProof/>
          </w:rPr>
          <w:t>2.2.    METHODOLOGY</w:t>
        </w:r>
        <w:r>
          <w:rPr>
            <w:noProof/>
            <w:webHidden/>
          </w:rPr>
          <w:tab/>
        </w:r>
        <w:r>
          <w:rPr>
            <w:noProof/>
            <w:webHidden/>
          </w:rPr>
          <w:fldChar w:fldCharType="begin"/>
        </w:r>
        <w:r>
          <w:rPr>
            <w:noProof/>
            <w:webHidden/>
          </w:rPr>
          <w:instrText xml:space="preserve"> PAGEREF _Toc232436571 \h </w:instrText>
        </w:r>
        <w:r>
          <w:rPr>
            <w:noProof/>
            <w:webHidden/>
          </w:rPr>
        </w:r>
        <w:r>
          <w:rPr>
            <w:noProof/>
            <w:webHidden/>
          </w:rPr>
          <w:fldChar w:fldCharType="separate"/>
        </w:r>
        <w:r w:rsidR="0037550B">
          <w:rPr>
            <w:noProof/>
            <w:webHidden/>
          </w:rPr>
          <w:t>7</w:t>
        </w:r>
        <w:r>
          <w:rPr>
            <w:noProof/>
            <w:webHidden/>
          </w:rPr>
          <w:fldChar w:fldCharType="end"/>
        </w:r>
      </w:hyperlink>
    </w:p>
    <w:p w14:paraId="1227D797" w14:textId="7EA6ACE1"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72" w:history="1">
        <w:r w:rsidRPr="00F0585A">
          <w:rPr>
            <w:rStyle w:val="Hyperlink"/>
            <w:bCs/>
            <w:noProof/>
            <w:lang w:eastAsia="en-US"/>
          </w:rPr>
          <w:t>2.3</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INNOVATION AND CREATIVE SECTOR AND ECOSYSTEM</w:t>
        </w:r>
        <w:r>
          <w:rPr>
            <w:noProof/>
            <w:webHidden/>
          </w:rPr>
          <w:tab/>
        </w:r>
        <w:r>
          <w:rPr>
            <w:noProof/>
            <w:webHidden/>
          </w:rPr>
          <w:fldChar w:fldCharType="begin"/>
        </w:r>
        <w:r>
          <w:rPr>
            <w:noProof/>
            <w:webHidden/>
          </w:rPr>
          <w:instrText xml:space="preserve"> PAGEREF _Toc232436572 \h </w:instrText>
        </w:r>
        <w:r>
          <w:rPr>
            <w:noProof/>
            <w:webHidden/>
          </w:rPr>
        </w:r>
        <w:r>
          <w:rPr>
            <w:noProof/>
            <w:webHidden/>
          </w:rPr>
          <w:fldChar w:fldCharType="separate"/>
        </w:r>
        <w:r w:rsidR="0037550B">
          <w:rPr>
            <w:noProof/>
            <w:webHidden/>
          </w:rPr>
          <w:t>8</w:t>
        </w:r>
        <w:r>
          <w:rPr>
            <w:noProof/>
            <w:webHidden/>
          </w:rPr>
          <w:fldChar w:fldCharType="end"/>
        </w:r>
      </w:hyperlink>
    </w:p>
    <w:p w14:paraId="1D86678B" w14:textId="3E05423B"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73" w:history="1">
        <w:r w:rsidRPr="00F0585A">
          <w:rPr>
            <w:rStyle w:val="Hyperlink"/>
            <w:bCs/>
            <w:noProof/>
            <w:lang w:eastAsia="en-US"/>
          </w:rPr>
          <w:t>2.3.1</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Policy development</w:t>
        </w:r>
        <w:r>
          <w:rPr>
            <w:noProof/>
            <w:webHidden/>
          </w:rPr>
          <w:tab/>
        </w:r>
        <w:r>
          <w:rPr>
            <w:noProof/>
            <w:webHidden/>
          </w:rPr>
          <w:fldChar w:fldCharType="begin"/>
        </w:r>
        <w:r>
          <w:rPr>
            <w:noProof/>
            <w:webHidden/>
          </w:rPr>
          <w:instrText xml:space="preserve"> PAGEREF _Toc232436573 \h </w:instrText>
        </w:r>
        <w:r>
          <w:rPr>
            <w:noProof/>
            <w:webHidden/>
          </w:rPr>
        </w:r>
        <w:r>
          <w:rPr>
            <w:noProof/>
            <w:webHidden/>
          </w:rPr>
          <w:fldChar w:fldCharType="separate"/>
        </w:r>
        <w:r w:rsidR="0037550B">
          <w:rPr>
            <w:noProof/>
            <w:webHidden/>
          </w:rPr>
          <w:t>8</w:t>
        </w:r>
        <w:r>
          <w:rPr>
            <w:noProof/>
            <w:webHidden/>
          </w:rPr>
          <w:fldChar w:fldCharType="end"/>
        </w:r>
      </w:hyperlink>
    </w:p>
    <w:p w14:paraId="483EEF00" w14:textId="41372CD1"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74" w:history="1">
        <w:r w:rsidRPr="00F0585A">
          <w:rPr>
            <w:rStyle w:val="Hyperlink"/>
            <w:bCs/>
            <w:noProof/>
            <w:lang w:eastAsia="en-US"/>
          </w:rPr>
          <w:t>2.3.2</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 xml:space="preserve">Stakeholders responsible for the </w:t>
        </w:r>
        <w:r w:rsidRPr="00F0585A">
          <w:rPr>
            <w:rStyle w:val="Hyperlink"/>
            <w:noProof/>
            <w:lang w:eastAsia="en-US"/>
          </w:rPr>
          <w:t>protection and enforcement of IP</w:t>
        </w:r>
        <w:r>
          <w:rPr>
            <w:noProof/>
            <w:webHidden/>
          </w:rPr>
          <w:tab/>
        </w:r>
        <w:r>
          <w:rPr>
            <w:noProof/>
            <w:webHidden/>
          </w:rPr>
          <w:fldChar w:fldCharType="begin"/>
        </w:r>
        <w:r>
          <w:rPr>
            <w:noProof/>
            <w:webHidden/>
          </w:rPr>
          <w:instrText xml:space="preserve"> PAGEREF _Toc232436574 \h </w:instrText>
        </w:r>
        <w:r>
          <w:rPr>
            <w:noProof/>
            <w:webHidden/>
          </w:rPr>
        </w:r>
        <w:r>
          <w:rPr>
            <w:noProof/>
            <w:webHidden/>
          </w:rPr>
          <w:fldChar w:fldCharType="separate"/>
        </w:r>
        <w:r w:rsidR="0037550B">
          <w:rPr>
            <w:noProof/>
            <w:webHidden/>
          </w:rPr>
          <w:t>9</w:t>
        </w:r>
        <w:r>
          <w:rPr>
            <w:noProof/>
            <w:webHidden/>
          </w:rPr>
          <w:fldChar w:fldCharType="end"/>
        </w:r>
      </w:hyperlink>
    </w:p>
    <w:p w14:paraId="3163B2FC" w14:textId="0C5029FD"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75" w:history="1">
        <w:r w:rsidRPr="00F0585A">
          <w:rPr>
            <w:rStyle w:val="Hyperlink"/>
            <w:bCs/>
            <w:noProof/>
            <w:lang w:eastAsia="en-US"/>
          </w:rPr>
          <w:t>2.3.3</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Innovation support framework and innovative businesses</w:t>
        </w:r>
        <w:r>
          <w:rPr>
            <w:noProof/>
            <w:webHidden/>
          </w:rPr>
          <w:tab/>
        </w:r>
        <w:r>
          <w:rPr>
            <w:noProof/>
            <w:webHidden/>
          </w:rPr>
          <w:fldChar w:fldCharType="begin"/>
        </w:r>
        <w:r>
          <w:rPr>
            <w:noProof/>
            <w:webHidden/>
          </w:rPr>
          <w:instrText xml:space="preserve"> PAGEREF _Toc232436575 \h </w:instrText>
        </w:r>
        <w:r>
          <w:rPr>
            <w:noProof/>
            <w:webHidden/>
          </w:rPr>
        </w:r>
        <w:r>
          <w:rPr>
            <w:noProof/>
            <w:webHidden/>
          </w:rPr>
          <w:fldChar w:fldCharType="separate"/>
        </w:r>
        <w:r w:rsidR="0037550B">
          <w:rPr>
            <w:noProof/>
            <w:webHidden/>
          </w:rPr>
          <w:t>11</w:t>
        </w:r>
        <w:r>
          <w:rPr>
            <w:noProof/>
            <w:webHidden/>
          </w:rPr>
          <w:fldChar w:fldCharType="end"/>
        </w:r>
      </w:hyperlink>
    </w:p>
    <w:p w14:paraId="58D63B2C" w14:textId="1BCD3D5D"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76" w:history="1">
        <w:r w:rsidRPr="00F0585A">
          <w:rPr>
            <w:rStyle w:val="Hyperlink"/>
            <w:bCs/>
            <w:noProof/>
            <w:lang w:eastAsia="en-US"/>
          </w:rPr>
          <w:t>2.3.4</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Educational and research institutions</w:t>
        </w:r>
        <w:r>
          <w:rPr>
            <w:noProof/>
            <w:webHidden/>
          </w:rPr>
          <w:tab/>
        </w:r>
        <w:r>
          <w:rPr>
            <w:noProof/>
            <w:webHidden/>
          </w:rPr>
          <w:fldChar w:fldCharType="begin"/>
        </w:r>
        <w:r>
          <w:rPr>
            <w:noProof/>
            <w:webHidden/>
          </w:rPr>
          <w:instrText xml:space="preserve"> PAGEREF _Toc232436576 \h </w:instrText>
        </w:r>
        <w:r>
          <w:rPr>
            <w:noProof/>
            <w:webHidden/>
          </w:rPr>
        </w:r>
        <w:r>
          <w:rPr>
            <w:noProof/>
            <w:webHidden/>
          </w:rPr>
          <w:fldChar w:fldCharType="separate"/>
        </w:r>
        <w:r w:rsidR="0037550B">
          <w:rPr>
            <w:noProof/>
            <w:webHidden/>
          </w:rPr>
          <w:t>13</w:t>
        </w:r>
        <w:r>
          <w:rPr>
            <w:noProof/>
            <w:webHidden/>
          </w:rPr>
          <w:fldChar w:fldCharType="end"/>
        </w:r>
      </w:hyperlink>
    </w:p>
    <w:p w14:paraId="2DA8E7B8" w14:textId="5EA7C254"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77" w:history="1">
        <w:r w:rsidRPr="00F0585A">
          <w:rPr>
            <w:rStyle w:val="Hyperlink"/>
            <w:bCs/>
            <w:noProof/>
            <w:lang w:eastAsia="en-US"/>
          </w:rPr>
          <w:t>2.3.6    Creative Sector</w:t>
        </w:r>
        <w:r>
          <w:rPr>
            <w:noProof/>
            <w:webHidden/>
          </w:rPr>
          <w:tab/>
        </w:r>
        <w:r>
          <w:rPr>
            <w:noProof/>
            <w:webHidden/>
          </w:rPr>
          <w:fldChar w:fldCharType="begin"/>
        </w:r>
        <w:r>
          <w:rPr>
            <w:noProof/>
            <w:webHidden/>
          </w:rPr>
          <w:instrText xml:space="preserve"> PAGEREF _Toc232436577 \h </w:instrText>
        </w:r>
        <w:r>
          <w:rPr>
            <w:noProof/>
            <w:webHidden/>
          </w:rPr>
        </w:r>
        <w:r>
          <w:rPr>
            <w:noProof/>
            <w:webHidden/>
          </w:rPr>
          <w:fldChar w:fldCharType="separate"/>
        </w:r>
        <w:r w:rsidR="0037550B">
          <w:rPr>
            <w:noProof/>
            <w:webHidden/>
          </w:rPr>
          <w:t>16</w:t>
        </w:r>
        <w:r>
          <w:rPr>
            <w:noProof/>
            <w:webHidden/>
          </w:rPr>
          <w:fldChar w:fldCharType="end"/>
        </w:r>
      </w:hyperlink>
    </w:p>
    <w:p w14:paraId="43CE446D" w14:textId="11FA565E" w:rsidR="002347B9" w:rsidRDefault="002347B9">
      <w:pPr>
        <w:pStyle w:val="TOC2"/>
        <w:tabs>
          <w:tab w:val="left" w:pos="9210"/>
        </w:tabs>
        <w:rPr>
          <w:rFonts w:asciiTheme="minorHAnsi" w:eastAsiaTheme="minorEastAsia" w:hAnsiTheme="minorHAnsi" w:cstheme="minorBidi"/>
          <w:noProof/>
          <w:kern w:val="2"/>
          <w:sz w:val="24"/>
          <w:szCs w:val="24"/>
          <w:lang w:eastAsia="en-US"/>
          <w14:ligatures w14:val="standardContextual"/>
        </w:rPr>
      </w:pPr>
      <w:hyperlink w:anchor="_Toc232436578" w:history="1">
        <w:r w:rsidRPr="00F0585A">
          <w:rPr>
            <w:rStyle w:val="Hyperlink"/>
            <w:bCs/>
            <w:noProof/>
          </w:rPr>
          <w:t xml:space="preserve">2.4.    ANALYSIS OF THE INNOVATION PERFORMANCE OF UKRAINE THROUGH   </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rPr>
          <w:t xml:space="preserve">       THE GLOBAL INNOVATION INDEX (GII)</w:t>
        </w:r>
        <w:r>
          <w:rPr>
            <w:noProof/>
            <w:webHidden/>
          </w:rPr>
          <w:tab/>
        </w:r>
        <w:r>
          <w:rPr>
            <w:noProof/>
            <w:webHidden/>
          </w:rPr>
          <w:fldChar w:fldCharType="begin"/>
        </w:r>
        <w:r>
          <w:rPr>
            <w:noProof/>
            <w:webHidden/>
          </w:rPr>
          <w:instrText xml:space="preserve"> PAGEREF _Toc232436578 \h </w:instrText>
        </w:r>
        <w:r>
          <w:rPr>
            <w:noProof/>
            <w:webHidden/>
          </w:rPr>
        </w:r>
        <w:r>
          <w:rPr>
            <w:noProof/>
            <w:webHidden/>
          </w:rPr>
          <w:fldChar w:fldCharType="separate"/>
        </w:r>
        <w:r w:rsidR="0037550B">
          <w:rPr>
            <w:noProof/>
            <w:webHidden/>
          </w:rPr>
          <w:t>17</w:t>
        </w:r>
        <w:r>
          <w:rPr>
            <w:noProof/>
            <w:webHidden/>
          </w:rPr>
          <w:fldChar w:fldCharType="end"/>
        </w:r>
      </w:hyperlink>
    </w:p>
    <w:p w14:paraId="5B23E77B" w14:textId="3B151B41"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79" w:history="1">
        <w:r w:rsidRPr="00F0585A">
          <w:rPr>
            <w:rStyle w:val="Hyperlink"/>
            <w:bCs/>
            <w:noProof/>
            <w:lang w:eastAsia="en-US"/>
          </w:rPr>
          <w:t>2.4.1</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Overall Ranking and Income Group Placement</w:t>
        </w:r>
        <w:r>
          <w:rPr>
            <w:noProof/>
            <w:webHidden/>
          </w:rPr>
          <w:tab/>
        </w:r>
        <w:r>
          <w:rPr>
            <w:noProof/>
            <w:webHidden/>
          </w:rPr>
          <w:fldChar w:fldCharType="begin"/>
        </w:r>
        <w:r>
          <w:rPr>
            <w:noProof/>
            <w:webHidden/>
          </w:rPr>
          <w:instrText xml:space="preserve"> PAGEREF _Toc232436579 \h </w:instrText>
        </w:r>
        <w:r>
          <w:rPr>
            <w:noProof/>
            <w:webHidden/>
          </w:rPr>
        </w:r>
        <w:r>
          <w:rPr>
            <w:noProof/>
            <w:webHidden/>
          </w:rPr>
          <w:fldChar w:fldCharType="separate"/>
        </w:r>
        <w:r w:rsidR="0037550B">
          <w:rPr>
            <w:noProof/>
            <w:webHidden/>
          </w:rPr>
          <w:t>17</w:t>
        </w:r>
        <w:r>
          <w:rPr>
            <w:noProof/>
            <w:webHidden/>
          </w:rPr>
          <w:fldChar w:fldCharType="end"/>
        </w:r>
      </w:hyperlink>
    </w:p>
    <w:p w14:paraId="0B744A61" w14:textId="64513643"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80" w:history="1">
        <w:r w:rsidRPr="00F0585A">
          <w:rPr>
            <w:rStyle w:val="Hyperlink"/>
            <w:bCs/>
            <w:noProof/>
            <w:lang w:eastAsia="en-US"/>
          </w:rPr>
          <w:t>2.4.2</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GII 2026 – Trends by Selected Indicators</w:t>
        </w:r>
        <w:r>
          <w:rPr>
            <w:noProof/>
            <w:webHidden/>
          </w:rPr>
          <w:tab/>
        </w:r>
        <w:r>
          <w:rPr>
            <w:noProof/>
            <w:webHidden/>
          </w:rPr>
          <w:fldChar w:fldCharType="begin"/>
        </w:r>
        <w:r>
          <w:rPr>
            <w:noProof/>
            <w:webHidden/>
          </w:rPr>
          <w:instrText xml:space="preserve"> PAGEREF _Toc232436580 \h </w:instrText>
        </w:r>
        <w:r>
          <w:rPr>
            <w:noProof/>
            <w:webHidden/>
          </w:rPr>
        </w:r>
        <w:r>
          <w:rPr>
            <w:noProof/>
            <w:webHidden/>
          </w:rPr>
          <w:fldChar w:fldCharType="separate"/>
        </w:r>
        <w:r w:rsidR="0037550B">
          <w:rPr>
            <w:noProof/>
            <w:webHidden/>
          </w:rPr>
          <w:t>19</w:t>
        </w:r>
        <w:r>
          <w:rPr>
            <w:noProof/>
            <w:webHidden/>
          </w:rPr>
          <w:fldChar w:fldCharType="end"/>
        </w:r>
      </w:hyperlink>
    </w:p>
    <w:p w14:paraId="075625E9" w14:textId="14982A64"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81" w:history="1">
        <w:r w:rsidRPr="00F0585A">
          <w:rPr>
            <w:rStyle w:val="Hyperlink"/>
            <w:noProof/>
            <w:lang w:eastAsia="en-US"/>
          </w:rPr>
          <w:t xml:space="preserve">  </w:t>
        </w:r>
        <w:r w:rsidRPr="00F0585A">
          <w:rPr>
            <w:rStyle w:val="Hyperlink"/>
            <w:bCs/>
            <w:noProof/>
          </w:rPr>
          <w:t xml:space="preserve">2.5.    </w:t>
        </w:r>
        <w:r w:rsidRPr="00F0585A">
          <w:rPr>
            <w:rStyle w:val="Hyperlink"/>
            <w:bCs/>
            <w:noProof/>
            <w:lang w:eastAsia="en-US"/>
          </w:rPr>
          <w:t>INTELLECTUAL PROPERTY FILING TRENDS AND REGISTRATION TRENDS</w:t>
        </w:r>
        <w:r>
          <w:rPr>
            <w:noProof/>
            <w:webHidden/>
          </w:rPr>
          <w:tab/>
        </w:r>
        <w:r>
          <w:rPr>
            <w:noProof/>
            <w:webHidden/>
          </w:rPr>
          <w:fldChar w:fldCharType="begin"/>
        </w:r>
        <w:r>
          <w:rPr>
            <w:noProof/>
            <w:webHidden/>
          </w:rPr>
          <w:instrText xml:space="preserve"> PAGEREF _Toc232436581 \h </w:instrText>
        </w:r>
        <w:r>
          <w:rPr>
            <w:noProof/>
            <w:webHidden/>
          </w:rPr>
        </w:r>
        <w:r>
          <w:rPr>
            <w:noProof/>
            <w:webHidden/>
          </w:rPr>
          <w:fldChar w:fldCharType="separate"/>
        </w:r>
        <w:r w:rsidR="0037550B">
          <w:rPr>
            <w:noProof/>
            <w:webHidden/>
          </w:rPr>
          <w:t>23</w:t>
        </w:r>
        <w:r>
          <w:rPr>
            <w:noProof/>
            <w:webHidden/>
          </w:rPr>
          <w:fldChar w:fldCharType="end"/>
        </w:r>
      </w:hyperlink>
    </w:p>
    <w:p w14:paraId="0EF917BE" w14:textId="60B49CB7"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82" w:history="1">
        <w:r w:rsidRPr="00F0585A">
          <w:rPr>
            <w:rStyle w:val="Hyperlink"/>
            <w:bCs/>
            <w:noProof/>
            <w:lang w:eastAsia="en-US"/>
          </w:rPr>
          <w:t>2.5.1</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National Filings and Registrations</w:t>
        </w:r>
        <w:r>
          <w:rPr>
            <w:noProof/>
            <w:webHidden/>
          </w:rPr>
          <w:tab/>
        </w:r>
        <w:r>
          <w:rPr>
            <w:noProof/>
            <w:webHidden/>
          </w:rPr>
          <w:fldChar w:fldCharType="begin"/>
        </w:r>
        <w:r>
          <w:rPr>
            <w:noProof/>
            <w:webHidden/>
          </w:rPr>
          <w:instrText xml:space="preserve"> PAGEREF _Toc232436582 \h </w:instrText>
        </w:r>
        <w:r>
          <w:rPr>
            <w:noProof/>
            <w:webHidden/>
          </w:rPr>
        </w:r>
        <w:r>
          <w:rPr>
            <w:noProof/>
            <w:webHidden/>
          </w:rPr>
          <w:fldChar w:fldCharType="separate"/>
        </w:r>
        <w:r w:rsidR="0037550B">
          <w:rPr>
            <w:noProof/>
            <w:webHidden/>
          </w:rPr>
          <w:t>23</w:t>
        </w:r>
        <w:r>
          <w:rPr>
            <w:noProof/>
            <w:webHidden/>
          </w:rPr>
          <w:fldChar w:fldCharType="end"/>
        </w:r>
      </w:hyperlink>
    </w:p>
    <w:p w14:paraId="05107B11" w14:textId="035B5255"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83" w:history="1">
        <w:r w:rsidRPr="00F0585A">
          <w:rPr>
            <w:rStyle w:val="Hyperlink"/>
            <w:bCs/>
            <w:noProof/>
            <w:lang w:eastAsia="en-US"/>
          </w:rPr>
          <w:t>2.5.2</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International Filings</w:t>
        </w:r>
        <w:r>
          <w:rPr>
            <w:noProof/>
            <w:webHidden/>
          </w:rPr>
          <w:tab/>
        </w:r>
        <w:r>
          <w:rPr>
            <w:noProof/>
            <w:webHidden/>
          </w:rPr>
          <w:fldChar w:fldCharType="begin"/>
        </w:r>
        <w:r>
          <w:rPr>
            <w:noProof/>
            <w:webHidden/>
          </w:rPr>
          <w:instrText xml:space="preserve"> PAGEREF _Toc232436583 \h </w:instrText>
        </w:r>
        <w:r>
          <w:rPr>
            <w:noProof/>
            <w:webHidden/>
          </w:rPr>
        </w:r>
        <w:r>
          <w:rPr>
            <w:noProof/>
            <w:webHidden/>
          </w:rPr>
          <w:fldChar w:fldCharType="separate"/>
        </w:r>
        <w:r w:rsidR="0037550B">
          <w:rPr>
            <w:noProof/>
            <w:webHidden/>
          </w:rPr>
          <w:t>25</w:t>
        </w:r>
        <w:r>
          <w:rPr>
            <w:noProof/>
            <w:webHidden/>
          </w:rPr>
          <w:fldChar w:fldCharType="end"/>
        </w:r>
      </w:hyperlink>
    </w:p>
    <w:p w14:paraId="644DE0A3" w14:textId="45A23EB7"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84" w:history="1">
        <w:r w:rsidRPr="00F0585A">
          <w:rPr>
            <w:rStyle w:val="Hyperlink"/>
            <w:bCs/>
            <w:noProof/>
            <w:lang w:eastAsia="en-US"/>
          </w:rPr>
          <w:t>2.5.2.1</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Patent Cooperation Treaty (PCT</w:t>
        </w:r>
        <w:r w:rsidRPr="00F0585A">
          <w:rPr>
            <w:rStyle w:val="Hyperlink"/>
            <w:noProof/>
            <w:lang w:eastAsia="en-US"/>
          </w:rPr>
          <w:t>)</w:t>
        </w:r>
        <w:r>
          <w:rPr>
            <w:noProof/>
            <w:webHidden/>
          </w:rPr>
          <w:tab/>
        </w:r>
        <w:r>
          <w:rPr>
            <w:noProof/>
            <w:webHidden/>
          </w:rPr>
          <w:fldChar w:fldCharType="begin"/>
        </w:r>
        <w:r>
          <w:rPr>
            <w:noProof/>
            <w:webHidden/>
          </w:rPr>
          <w:instrText xml:space="preserve"> PAGEREF _Toc232436584 \h </w:instrText>
        </w:r>
        <w:r>
          <w:rPr>
            <w:noProof/>
            <w:webHidden/>
          </w:rPr>
        </w:r>
        <w:r>
          <w:rPr>
            <w:noProof/>
            <w:webHidden/>
          </w:rPr>
          <w:fldChar w:fldCharType="separate"/>
        </w:r>
        <w:r w:rsidR="0037550B">
          <w:rPr>
            <w:noProof/>
            <w:webHidden/>
          </w:rPr>
          <w:t>25</w:t>
        </w:r>
        <w:r>
          <w:rPr>
            <w:noProof/>
            <w:webHidden/>
          </w:rPr>
          <w:fldChar w:fldCharType="end"/>
        </w:r>
      </w:hyperlink>
    </w:p>
    <w:p w14:paraId="1AAFC687" w14:textId="1D4B8A91"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85" w:history="1">
        <w:r w:rsidRPr="00F0585A">
          <w:rPr>
            <w:rStyle w:val="Hyperlink"/>
            <w:bCs/>
            <w:noProof/>
          </w:rPr>
          <w:t>2.5.2.2 Madrid System</w:t>
        </w:r>
        <w:r>
          <w:rPr>
            <w:noProof/>
            <w:webHidden/>
          </w:rPr>
          <w:tab/>
        </w:r>
        <w:r>
          <w:rPr>
            <w:noProof/>
            <w:webHidden/>
          </w:rPr>
          <w:fldChar w:fldCharType="begin"/>
        </w:r>
        <w:r>
          <w:rPr>
            <w:noProof/>
            <w:webHidden/>
          </w:rPr>
          <w:instrText xml:space="preserve"> PAGEREF _Toc232436585 \h </w:instrText>
        </w:r>
        <w:r>
          <w:rPr>
            <w:noProof/>
            <w:webHidden/>
          </w:rPr>
        </w:r>
        <w:r>
          <w:rPr>
            <w:noProof/>
            <w:webHidden/>
          </w:rPr>
          <w:fldChar w:fldCharType="separate"/>
        </w:r>
        <w:r w:rsidR="0037550B">
          <w:rPr>
            <w:noProof/>
            <w:webHidden/>
          </w:rPr>
          <w:t>26</w:t>
        </w:r>
        <w:r>
          <w:rPr>
            <w:noProof/>
            <w:webHidden/>
          </w:rPr>
          <w:fldChar w:fldCharType="end"/>
        </w:r>
      </w:hyperlink>
    </w:p>
    <w:p w14:paraId="645FDF70" w14:textId="73942B54"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86" w:history="1">
        <w:r w:rsidRPr="00F0585A">
          <w:rPr>
            <w:rStyle w:val="Hyperlink"/>
            <w:bCs/>
            <w:noProof/>
          </w:rPr>
          <w:t>2.5.2.3 Hague System</w:t>
        </w:r>
        <w:r>
          <w:rPr>
            <w:noProof/>
            <w:webHidden/>
          </w:rPr>
          <w:tab/>
        </w:r>
        <w:r>
          <w:rPr>
            <w:noProof/>
            <w:webHidden/>
          </w:rPr>
          <w:fldChar w:fldCharType="begin"/>
        </w:r>
        <w:r>
          <w:rPr>
            <w:noProof/>
            <w:webHidden/>
          </w:rPr>
          <w:instrText xml:space="preserve"> PAGEREF _Toc232436586 \h </w:instrText>
        </w:r>
        <w:r>
          <w:rPr>
            <w:noProof/>
            <w:webHidden/>
          </w:rPr>
        </w:r>
        <w:r>
          <w:rPr>
            <w:noProof/>
            <w:webHidden/>
          </w:rPr>
          <w:fldChar w:fldCharType="separate"/>
        </w:r>
        <w:r w:rsidR="0037550B">
          <w:rPr>
            <w:noProof/>
            <w:webHidden/>
          </w:rPr>
          <w:t>27</w:t>
        </w:r>
        <w:r>
          <w:rPr>
            <w:noProof/>
            <w:webHidden/>
          </w:rPr>
          <w:fldChar w:fldCharType="end"/>
        </w:r>
      </w:hyperlink>
    </w:p>
    <w:p w14:paraId="4D0BC6F2" w14:textId="36E7DE95" w:rsidR="002347B9" w:rsidRDefault="002347B9">
      <w:pPr>
        <w:pStyle w:val="TOC1"/>
        <w:rPr>
          <w:rFonts w:asciiTheme="minorHAnsi" w:eastAsiaTheme="minorEastAsia" w:hAnsiTheme="minorHAnsi" w:cstheme="minorBidi"/>
          <w:noProof/>
          <w:kern w:val="2"/>
          <w:sz w:val="24"/>
          <w:szCs w:val="24"/>
          <w:lang w:eastAsia="en-US"/>
          <w14:ligatures w14:val="standardContextual"/>
        </w:rPr>
      </w:pPr>
      <w:hyperlink w:anchor="_Toc232436587" w:history="1">
        <w:r w:rsidRPr="00F0585A">
          <w:rPr>
            <w:rStyle w:val="Hyperlink"/>
            <w:b/>
            <w:bCs/>
            <w:noProof/>
            <w:lang w:eastAsia="en-US"/>
          </w:rPr>
          <w:t>3.</w:t>
        </w:r>
        <w:r>
          <w:rPr>
            <w:rFonts w:asciiTheme="minorHAnsi" w:eastAsiaTheme="minorEastAsia" w:hAnsiTheme="minorHAnsi" w:cstheme="minorBidi"/>
            <w:noProof/>
            <w:kern w:val="2"/>
            <w:sz w:val="24"/>
            <w:szCs w:val="24"/>
            <w:lang w:eastAsia="en-US"/>
            <w14:ligatures w14:val="standardContextual"/>
          </w:rPr>
          <w:tab/>
        </w:r>
        <w:r w:rsidRPr="00F0585A">
          <w:rPr>
            <w:rStyle w:val="Hyperlink"/>
            <w:b/>
            <w:bCs/>
            <w:noProof/>
            <w:lang w:eastAsia="en-US"/>
          </w:rPr>
          <w:t>WIPO’S ASSISTANCE AND SUPPORT FOR UKRAINE’S INNOVATION AND CREATIVITY SECTOR AND INTELLECTUAL PROPERTY SYSTEM</w:t>
        </w:r>
        <w:r>
          <w:rPr>
            <w:noProof/>
            <w:webHidden/>
          </w:rPr>
          <w:tab/>
        </w:r>
        <w:r>
          <w:rPr>
            <w:noProof/>
            <w:webHidden/>
          </w:rPr>
          <w:fldChar w:fldCharType="begin"/>
        </w:r>
        <w:r>
          <w:rPr>
            <w:noProof/>
            <w:webHidden/>
          </w:rPr>
          <w:instrText xml:space="preserve"> PAGEREF _Toc232436587 \h </w:instrText>
        </w:r>
        <w:r>
          <w:rPr>
            <w:noProof/>
            <w:webHidden/>
          </w:rPr>
        </w:r>
        <w:r>
          <w:rPr>
            <w:noProof/>
            <w:webHidden/>
          </w:rPr>
          <w:fldChar w:fldCharType="separate"/>
        </w:r>
        <w:r w:rsidR="0037550B">
          <w:rPr>
            <w:noProof/>
            <w:webHidden/>
          </w:rPr>
          <w:t>28</w:t>
        </w:r>
        <w:r>
          <w:rPr>
            <w:noProof/>
            <w:webHidden/>
          </w:rPr>
          <w:fldChar w:fldCharType="end"/>
        </w:r>
      </w:hyperlink>
    </w:p>
    <w:p w14:paraId="57DC0409" w14:textId="758D6B0E"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88" w:history="1">
        <w:r w:rsidRPr="00F0585A">
          <w:rPr>
            <w:rStyle w:val="Hyperlink"/>
            <w:bCs/>
            <w:noProof/>
            <w:lang w:eastAsia="en-US"/>
          </w:rPr>
          <w:t>3.1</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IMPLEMENTATION OF THE MEMORANDUM OF UNDERSTANDING (MOU) BETWEEN WIPO AND THE MINISTRY OF ECONOMY OF UKRAINE ON COOPERATION IN THE SPHERE OF INTELLECTUAL PROPERTY</w:t>
        </w:r>
        <w:r>
          <w:rPr>
            <w:noProof/>
            <w:webHidden/>
          </w:rPr>
          <w:tab/>
        </w:r>
        <w:r>
          <w:rPr>
            <w:noProof/>
            <w:webHidden/>
          </w:rPr>
          <w:fldChar w:fldCharType="begin"/>
        </w:r>
        <w:r>
          <w:rPr>
            <w:noProof/>
            <w:webHidden/>
          </w:rPr>
          <w:instrText xml:space="preserve"> PAGEREF _Toc232436588 \h </w:instrText>
        </w:r>
        <w:r>
          <w:rPr>
            <w:noProof/>
            <w:webHidden/>
          </w:rPr>
        </w:r>
        <w:r>
          <w:rPr>
            <w:noProof/>
            <w:webHidden/>
          </w:rPr>
          <w:fldChar w:fldCharType="separate"/>
        </w:r>
        <w:r w:rsidR="0037550B">
          <w:rPr>
            <w:noProof/>
            <w:webHidden/>
          </w:rPr>
          <w:t>28</w:t>
        </w:r>
        <w:r>
          <w:rPr>
            <w:noProof/>
            <w:webHidden/>
          </w:rPr>
          <w:fldChar w:fldCharType="end"/>
        </w:r>
      </w:hyperlink>
    </w:p>
    <w:p w14:paraId="2E93AA1B" w14:textId="0A88962A"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89" w:history="1">
        <w:r w:rsidRPr="00F0585A">
          <w:rPr>
            <w:rStyle w:val="Hyperlink"/>
            <w:bCs/>
            <w:noProof/>
            <w:lang w:eastAsia="en-US"/>
          </w:rPr>
          <w:t>3.2</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SUPPORT FOR THE DEVELOPMENT OF THE NATIONAL IP STRATEGY</w:t>
        </w:r>
        <w:r>
          <w:rPr>
            <w:noProof/>
            <w:webHidden/>
          </w:rPr>
          <w:tab/>
        </w:r>
        <w:r>
          <w:rPr>
            <w:noProof/>
            <w:webHidden/>
          </w:rPr>
          <w:fldChar w:fldCharType="begin"/>
        </w:r>
        <w:r>
          <w:rPr>
            <w:noProof/>
            <w:webHidden/>
          </w:rPr>
          <w:instrText xml:space="preserve"> PAGEREF _Toc232436589 \h </w:instrText>
        </w:r>
        <w:r>
          <w:rPr>
            <w:noProof/>
            <w:webHidden/>
          </w:rPr>
        </w:r>
        <w:r>
          <w:rPr>
            <w:noProof/>
            <w:webHidden/>
          </w:rPr>
          <w:fldChar w:fldCharType="separate"/>
        </w:r>
        <w:r w:rsidR="0037550B">
          <w:rPr>
            <w:noProof/>
            <w:webHidden/>
          </w:rPr>
          <w:t>29</w:t>
        </w:r>
        <w:r>
          <w:rPr>
            <w:noProof/>
            <w:webHidden/>
          </w:rPr>
          <w:fldChar w:fldCharType="end"/>
        </w:r>
      </w:hyperlink>
    </w:p>
    <w:p w14:paraId="71F1A9AB" w14:textId="0F22FF2A"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90" w:history="1">
        <w:r w:rsidRPr="00F0585A">
          <w:rPr>
            <w:rStyle w:val="Hyperlink"/>
            <w:bCs/>
            <w:noProof/>
            <w:lang w:eastAsia="en-US"/>
          </w:rPr>
          <w:t>3.3</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GENEVA ACT OF THE LISBON AGREEMENT</w:t>
        </w:r>
        <w:r>
          <w:rPr>
            <w:noProof/>
            <w:webHidden/>
          </w:rPr>
          <w:tab/>
        </w:r>
        <w:r>
          <w:rPr>
            <w:noProof/>
            <w:webHidden/>
          </w:rPr>
          <w:fldChar w:fldCharType="begin"/>
        </w:r>
        <w:r>
          <w:rPr>
            <w:noProof/>
            <w:webHidden/>
          </w:rPr>
          <w:instrText xml:space="preserve"> PAGEREF _Toc232436590 \h </w:instrText>
        </w:r>
        <w:r>
          <w:rPr>
            <w:noProof/>
            <w:webHidden/>
          </w:rPr>
        </w:r>
        <w:r>
          <w:rPr>
            <w:noProof/>
            <w:webHidden/>
          </w:rPr>
          <w:fldChar w:fldCharType="separate"/>
        </w:r>
        <w:r w:rsidR="0037550B">
          <w:rPr>
            <w:noProof/>
            <w:webHidden/>
          </w:rPr>
          <w:t>29</w:t>
        </w:r>
        <w:r>
          <w:rPr>
            <w:noProof/>
            <w:webHidden/>
          </w:rPr>
          <w:fldChar w:fldCharType="end"/>
        </w:r>
      </w:hyperlink>
    </w:p>
    <w:p w14:paraId="5F06F97C" w14:textId="5367FC37"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91" w:history="1">
        <w:r w:rsidRPr="00F0585A">
          <w:rPr>
            <w:rStyle w:val="Hyperlink"/>
            <w:bCs/>
            <w:noProof/>
            <w:lang w:eastAsia="en-US"/>
          </w:rPr>
          <w:t>3.4</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SUPPORT FOR INCREASED IP KNOWLEDGE AND SKILLS</w:t>
        </w:r>
        <w:r>
          <w:rPr>
            <w:noProof/>
            <w:webHidden/>
          </w:rPr>
          <w:tab/>
        </w:r>
        <w:r>
          <w:rPr>
            <w:noProof/>
            <w:webHidden/>
          </w:rPr>
          <w:fldChar w:fldCharType="begin"/>
        </w:r>
        <w:r>
          <w:rPr>
            <w:noProof/>
            <w:webHidden/>
          </w:rPr>
          <w:instrText xml:space="preserve"> PAGEREF _Toc232436591 \h </w:instrText>
        </w:r>
        <w:r>
          <w:rPr>
            <w:noProof/>
            <w:webHidden/>
          </w:rPr>
        </w:r>
        <w:r>
          <w:rPr>
            <w:noProof/>
            <w:webHidden/>
          </w:rPr>
          <w:fldChar w:fldCharType="separate"/>
        </w:r>
        <w:r w:rsidR="0037550B">
          <w:rPr>
            <w:noProof/>
            <w:webHidden/>
          </w:rPr>
          <w:t>29</w:t>
        </w:r>
        <w:r>
          <w:rPr>
            <w:noProof/>
            <w:webHidden/>
          </w:rPr>
          <w:fldChar w:fldCharType="end"/>
        </w:r>
      </w:hyperlink>
    </w:p>
    <w:p w14:paraId="299DE756" w14:textId="5F5587AD"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92" w:history="1">
        <w:r w:rsidRPr="00F0585A">
          <w:rPr>
            <w:rStyle w:val="Hyperlink"/>
            <w:bCs/>
            <w:noProof/>
            <w:lang w:eastAsia="en-US"/>
          </w:rPr>
          <w:t>3.4.1</w:t>
        </w:r>
        <w:r>
          <w:rPr>
            <w:rFonts w:asciiTheme="minorHAnsi" w:eastAsiaTheme="minorEastAsia" w:hAnsiTheme="minorHAnsi" w:cstheme="minorBidi"/>
            <w:noProof/>
            <w:kern w:val="2"/>
            <w:sz w:val="24"/>
            <w:szCs w:val="24"/>
            <w:lang w:eastAsia="en-US"/>
            <w14:ligatures w14:val="standardContextual"/>
          </w:rPr>
          <w:tab/>
        </w:r>
        <w:r w:rsidRPr="00F0585A">
          <w:rPr>
            <w:rStyle w:val="Hyperlink"/>
            <w:noProof/>
            <w:lang w:eastAsia="en-US"/>
          </w:rPr>
          <w:t>WIPO</w:t>
        </w:r>
        <w:r w:rsidRPr="00F0585A">
          <w:rPr>
            <w:rStyle w:val="Hyperlink"/>
            <w:bCs/>
            <w:noProof/>
            <w:lang w:eastAsia="en-US"/>
          </w:rPr>
          <w:t xml:space="preserve"> Academy – IP Academy of Ukraine</w:t>
        </w:r>
        <w:r>
          <w:rPr>
            <w:noProof/>
            <w:webHidden/>
          </w:rPr>
          <w:tab/>
        </w:r>
        <w:r>
          <w:rPr>
            <w:noProof/>
            <w:webHidden/>
          </w:rPr>
          <w:fldChar w:fldCharType="begin"/>
        </w:r>
        <w:r>
          <w:rPr>
            <w:noProof/>
            <w:webHidden/>
          </w:rPr>
          <w:instrText xml:space="preserve"> PAGEREF _Toc232436592 \h </w:instrText>
        </w:r>
        <w:r>
          <w:rPr>
            <w:noProof/>
            <w:webHidden/>
          </w:rPr>
        </w:r>
        <w:r>
          <w:rPr>
            <w:noProof/>
            <w:webHidden/>
          </w:rPr>
          <w:fldChar w:fldCharType="separate"/>
        </w:r>
        <w:r w:rsidR="0037550B">
          <w:rPr>
            <w:noProof/>
            <w:webHidden/>
          </w:rPr>
          <w:t>29</w:t>
        </w:r>
        <w:r>
          <w:rPr>
            <w:noProof/>
            <w:webHidden/>
          </w:rPr>
          <w:fldChar w:fldCharType="end"/>
        </w:r>
      </w:hyperlink>
    </w:p>
    <w:p w14:paraId="29C08730" w14:textId="51421AF8"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93" w:history="1">
        <w:r w:rsidRPr="00F0585A">
          <w:rPr>
            <w:rStyle w:val="Hyperlink"/>
            <w:bCs/>
            <w:noProof/>
            <w:lang w:eastAsia="en-US"/>
          </w:rPr>
          <w:t>3.4.2</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Collaboration in other WIPO Academy Programs</w:t>
        </w:r>
        <w:r>
          <w:rPr>
            <w:noProof/>
            <w:webHidden/>
          </w:rPr>
          <w:tab/>
        </w:r>
        <w:r>
          <w:rPr>
            <w:noProof/>
            <w:webHidden/>
          </w:rPr>
          <w:fldChar w:fldCharType="begin"/>
        </w:r>
        <w:r>
          <w:rPr>
            <w:noProof/>
            <w:webHidden/>
          </w:rPr>
          <w:instrText xml:space="preserve"> PAGEREF _Toc232436593 \h </w:instrText>
        </w:r>
        <w:r>
          <w:rPr>
            <w:noProof/>
            <w:webHidden/>
          </w:rPr>
        </w:r>
        <w:r>
          <w:rPr>
            <w:noProof/>
            <w:webHidden/>
          </w:rPr>
          <w:fldChar w:fldCharType="separate"/>
        </w:r>
        <w:r w:rsidR="0037550B">
          <w:rPr>
            <w:noProof/>
            <w:webHidden/>
          </w:rPr>
          <w:t>30</w:t>
        </w:r>
        <w:r>
          <w:rPr>
            <w:noProof/>
            <w:webHidden/>
          </w:rPr>
          <w:fldChar w:fldCharType="end"/>
        </w:r>
      </w:hyperlink>
    </w:p>
    <w:p w14:paraId="5A0F1813" w14:textId="396F7314"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94" w:history="1">
        <w:r w:rsidRPr="00F0585A">
          <w:rPr>
            <w:rStyle w:val="Hyperlink"/>
            <w:bCs/>
            <w:noProof/>
            <w:lang w:eastAsia="en-US"/>
          </w:rPr>
          <w:t>3.4.3</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Support for the Judiciary</w:t>
        </w:r>
        <w:r>
          <w:rPr>
            <w:noProof/>
            <w:webHidden/>
          </w:rPr>
          <w:tab/>
        </w:r>
        <w:r>
          <w:rPr>
            <w:noProof/>
            <w:webHidden/>
          </w:rPr>
          <w:fldChar w:fldCharType="begin"/>
        </w:r>
        <w:r>
          <w:rPr>
            <w:noProof/>
            <w:webHidden/>
          </w:rPr>
          <w:instrText xml:space="preserve"> PAGEREF _Toc232436594 \h </w:instrText>
        </w:r>
        <w:r>
          <w:rPr>
            <w:noProof/>
            <w:webHidden/>
          </w:rPr>
        </w:r>
        <w:r>
          <w:rPr>
            <w:noProof/>
            <w:webHidden/>
          </w:rPr>
          <w:fldChar w:fldCharType="separate"/>
        </w:r>
        <w:r w:rsidR="0037550B">
          <w:rPr>
            <w:noProof/>
            <w:webHidden/>
          </w:rPr>
          <w:t>30</w:t>
        </w:r>
        <w:r>
          <w:rPr>
            <w:noProof/>
            <w:webHidden/>
          </w:rPr>
          <w:fldChar w:fldCharType="end"/>
        </w:r>
      </w:hyperlink>
    </w:p>
    <w:p w14:paraId="101B705D" w14:textId="73848398"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95" w:history="1">
        <w:r w:rsidRPr="00F0585A">
          <w:rPr>
            <w:rStyle w:val="Hyperlink"/>
            <w:bCs/>
            <w:noProof/>
            <w:lang w:eastAsia="en-US"/>
          </w:rPr>
          <w:t>3.4.4</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Other initiatives</w:t>
        </w:r>
        <w:r>
          <w:rPr>
            <w:noProof/>
            <w:webHidden/>
          </w:rPr>
          <w:tab/>
        </w:r>
        <w:r>
          <w:rPr>
            <w:noProof/>
            <w:webHidden/>
          </w:rPr>
          <w:fldChar w:fldCharType="begin"/>
        </w:r>
        <w:r>
          <w:rPr>
            <w:noProof/>
            <w:webHidden/>
          </w:rPr>
          <w:instrText xml:space="preserve"> PAGEREF _Toc232436595 \h </w:instrText>
        </w:r>
        <w:r>
          <w:rPr>
            <w:noProof/>
            <w:webHidden/>
          </w:rPr>
        </w:r>
        <w:r>
          <w:rPr>
            <w:noProof/>
            <w:webHidden/>
          </w:rPr>
          <w:fldChar w:fldCharType="separate"/>
        </w:r>
        <w:r w:rsidR="0037550B">
          <w:rPr>
            <w:noProof/>
            <w:webHidden/>
          </w:rPr>
          <w:t>31</w:t>
        </w:r>
        <w:r>
          <w:rPr>
            <w:noProof/>
            <w:webHidden/>
          </w:rPr>
          <w:fldChar w:fldCharType="end"/>
        </w:r>
      </w:hyperlink>
    </w:p>
    <w:p w14:paraId="07B26300" w14:textId="5B21ACAB"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596" w:history="1">
        <w:r w:rsidRPr="00F0585A">
          <w:rPr>
            <w:rStyle w:val="Hyperlink"/>
            <w:bCs/>
            <w:noProof/>
            <w:lang w:eastAsia="en-US"/>
          </w:rPr>
          <w:t>3.5</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SUPPORT TO INNOVATORS, CREATORS, SMES, UNIVERSITIES AND RESEARCH INSTITUTIONS</w:t>
        </w:r>
        <w:r>
          <w:rPr>
            <w:noProof/>
            <w:webHidden/>
          </w:rPr>
          <w:tab/>
        </w:r>
        <w:r>
          <w:rPr>
            <w:noProof/>
            <w:webHidden/>
          </w:rPr>
          <w:fldChar w:fldCharType="begin"/>
        </w:r>
        <w:r>
          <w:rPr>
            <w:noProof/>
            <w:webHidden/>
          </w:rPr>
          <w:instrText xml:space="preserve"> PAGEREF _Toc232436596 \h </w:instrText>
        </w:r>
        <w:r>
          <w:rPr>
            <w:noProof/>
            <w:webHidden/>
          </w:rPr>
        </w:r>
        <w:r>
          <w:rPr>
            <w:noProof/>
            <w:webHidden/>
          </w:rPr>
          <w:fldChar w:fldCharType="separate"/>
        </w:r>
        <w:r w:rsidR="0037550B">
          <w:rPr>
            <w:noProof/>
            <w:webHidden/>
          </w:rPr>
          <w:t>31</w:t>
        </w:r>
        <w:r>
          <w:rPr>
            <w:noProof/>
            <w:webHidden/>
          </w:rPr>
          <w:fldChar w:fldCharType="end"/>
        </w:r>
      </w:hyperlink>
    </w:p>
    <w:p w14:paraId="618CA7DA" w14:textId="64D98019"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97" w:history="1">
        <w:r w:rsidRPr="00F0585A">
          <w:rPr>
            <w:rStyle w:val="Hyperlink"/>
            <w:bCs/>
            <w:noProof/>
            <w:lang w:eastAsia="en-US"/>
          </w:rPr>
          <w:t>3.5.1</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Technology and Innovation Support Centers (TISC) Network</w:t>
        </w:r>
        <w:r>
          <w:rPr>
            <w:noProof/>
            <w:webHidden/>
          </w:rPr>
          <w:tab/>
        </w:r>
        <w:r>
          <w:rPr>
            <w:noProof/>
            <w:webHidden/>
          </w:rPr>
          <w:fldChar w:fldCharType="begin"/>
        </w:r>
        <w:r>
          <w:rPr>
            <w:noProof/>
            <w:webHidden/>
          </w:rPr>
          <w:instrText xml:space="preserve"> PAGEREF _Toc232436597 \h </w:instrText>
        </w:r>
        <w:r>
          <w:rPr>
            <w:noProof/>
            <w:webHidden/>
          </w:rPr>
        </w:r>
        <w:r>
          <w:rPr>
            <w:noProof/>
            <w:webHidden/>
          </w:rPr>
          <w:fldChar w:fldCharType="separate"/>
        </w:r>
        <w:r w:rsidR="0037550B">
          <w:rPr>
            <w:noProof/>
            <w:webHidden/>
          </w:rPr>
          <w:t>31</w:t>
        </w:r>
        <w:r>
          <w:rPr>
            <w:noProof/>
            <w:webHidden/>
          </w:rPr>
          <w:fldChar w:fldCharType="end"/>
        </w:r>
      </w:hyperlink>
    </w:p>
    <w:p w14:paraId="6C104084" w14:textId="46C2A7A3"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98" w:history="1">
        <w:r w:rsidRPr="00F0585A">
          <w:rPr>
            <w:rStyle w:val="Hyperlink"/>
            <w:bCs/>
            <w:noProof/>
            <w:lang w:eastAsia="en-US"/>
          </w:rPr>
          <w:t>3.5.2</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Support Tools for SMEs and Startups</w:t>
        </w:r>
        <w:r>
          <w:rPr>
            <w:noProof/>
            <w:webHidden/>
          </w:rPr>
          <w:tab/>
        </w:r>
        <w:r>
          <w:rPr>
            <w:noProof/>
            <w:webHidden/>
          </w:rPr>
          <w:fldChar w:fldCharType="begin"/>
        </w:r>
        <w:r>
          <w:rPr>
            <w:noProof/>
            <w:webHidden/>
          </w:rPr>
          <w:instrText xml:space="preserve"> PAGEREF _Toc232436598 \h </w:instrText>
        </w:r>
        <w:r>
          <w:rPr>
            <w:noProof/>
            <w:webHidden/>
          </w:rPr>
        </w:r>
        <w:r>
          <w:rPr>
            <w:noProof/>
            <w:webHidden/>
          </w:rPr>
          <w:fldChar w:fldCharType="separate"/>
        </w:r>
        <w:r w:rsidR="0037550B">
          <w:rPr>
            <w:noProof/>
            <w:webHidden/>
          </w:rPr>
          <w:t>32</w:t>
        </w:r>
        <w:r>
          <w:rPr>
            <w:noProof/>
            <w:webHidden/>
          </w:rPr>
          <w:fldChar w:fldCharType="end"/>
        </w:r>
      </w:hyperlink>
    </w:p>
    <w:p w14:paraId="4687FE7D" w14:textId="56C4BFD8"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599" w:history="1">
        <w:r w:rsidRPr="00F0585A">
          <w:rPr>
            <w:rStyle w:val="Hyperlink"/>
            <w:bCs/>
            <w:noProof/>
            <w:lang w:eastAsia="en-US"/>
          </w:rPr>
          <w:t>3.5.3</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Provision of Access to Information and Technologies</w:t>
        </w:r>
        <w:r>
          <w:rPr>
            <w:noProof/>
            <w:webHidden/>
          </w:rPr>
          <w:tab/>
        </w:r>
        <w:r>
          <w:rPr>
            <w:noProof/>
            <w:webHidden/>
          </w:rPr>
          <w:fldChar w:fldCharType="begin"/>
        </w:r>
        <w:r>
          <w:rPr>
            <w:noProof/>
            <w:webHidden/>
          </w:rPr>
          <w:instrText xml:space="preserve"> PAGEREF _Toc232436599 \h </w:instrText>
        </w:r>
        <w:r>
          <w:rPr>
            <w:noProof/>
            <w:webHidden/>
          </w:rPr>
        </w:r>
        <w:r>
          <w:rPr>
            <w:noProof/>
            <w:webHidden/>
          </w:rPr>
          <w:fldChar w:fldCharType="separate"/>
        </w:r>
        <w:r w:rsidR="0037550B">
          <w:rPr>
            <w:noProof/>
            <w:webHidden/>
          </w:rPr>
          <w:t>32</w:t>
        </w:r>
        <w:r>
          <w:rPr>
            <w:noProof/>
            <w:webHidden/>
          </w:rPr>
          <w:fldChar w:fldCharType="end"/>
        </w:r>
      </w:hyperlink>
    </w:p>
    <w:p w14:paraId="6A3AE909" w14:textId="57EC2DA3"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600" w:history="1">
        <w:r w:rsidRPr="00F0585A">
          <w:rPr>
            <w:rStyle w:val="Hyperlink"/>
            <w:bCs/>
            <w:noProof/>
          </w:rPr>
          <w:t>3.5.4</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rPr>
          <w:t>IP Management in Technoparks</w:t>
        </w:r>
        <w:r>
          <w:rPr>
            <w:noProof/>
            <w:webHidden/>
          </w:rPr>
          <w:tab/>
        </w:r>
        <w:r>
          <w:rPr>
            <w:noProof/>
            <w:webHidden/>
          </w:rPr>
          <w:fldChar w:fldCharType="begin"/>
        </w:r>
        <w:r>
          <w:rPr>
            <w:noProof/>
            <w:webHidden/>
          </w:rPr>
          <w:instrText xml:space="preserve"> PAGEREF _Toc232436600 \h </w:instrText>
        </w:r>
        <w:r>
          <w:rPr>
            <w:noProof/>
            <w:webHidden/>
          </w:rPr>
        </w:r>
        <w:r>
          <w:rPr>
            <w:noProof/>
            <w:webHidden/>
          </w:rPr>
          <w:fldChar w:fldCharType="separate"/>
        </w:r>
        <w:r w:rsidR="0037550B">
          <w:rPr>
            <w:noProof/>
            <w:webHidden/>
          </w:rPr>
          <w:t>32</w:t>
        </w:r>
        <w:r>
          <w:rPr>
            <w:noProof/>
            <w:webHidden/>
          </w:rPr>
          <w:fldChar w:fldCharType="end"/>
        </w:r>
      </w:hyperlink>
    </w:p>
    <w:p w14:paraId="710AE020" w14:textId="06317A0D"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601" w:history="1">
        <w:r w:rsidRPr="00F0585A">
          <w:rPr>
            <w:rStyle w:val="Hyperlink"/>
            <w:bCs/>
            <w:noProof/>
            <w:lang w:eastAsia="en-US"/>
          </w:rPr>
          <w:t>3.5.5</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Copyright Management</w:t>
        </w:r>
        <w:r>
          <w:rPr>
            <w:noProof/>
            <w:webHidden/>
          </w:rPr>
          <w:tab/>
        </w:r>
        <w:r>
          <w:rPr>
            <w:noProof/>
            <w:webHidden/>
          </w:rPr>
          <w:fldChar w:fldCharType="begin"/>
        </w:r>
        <w:r>
          <w:rPr>
            <w:noProof/>
            <w:webHidden/>
          </w:rPr>
          <w:instrText xml:space="preserve"> PAGEREF _Toc232436601 \h </w:instrText>
        </w:r>
        <w:r>
          <w:rPr>
            <w:noProof/>
            <w:webHidden/>
          </w:rPr>
        </w:r>
        <w:r>
          <w:rPr>
            <w:noProof/>
            <w:webHidden/>
          </w:rPr>
          <w:fldChar w:fldCharType="separate"/>
        </w:r>
        <w:r w:rsidR="0037550B">
          <w:rPr>
            <w:noProof/>
            <w:webHidden/>
          </w:rPr>
          <w:t>33</w:t>
        </w:r>
        <w:r>
          <w:rPr>
            <w:noProof/>
            <w:webHidden/>
          </w:rPr>
          <w:fldChar w:fldCharType="end"/>
        </w:r>
      </w:hyperlink>
    </w:p>
    <w:p w14:paraId="49450E01" w14:textId="6CDF8C3E"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602" w:history="1">
        <w:r w:rsidRPr="00F0585A">
          <w:rPr>
            <w:rStyle w:val="Hyperlink"/>
            <w:bCs/>
            <w:noProof/>
            <w:lang w:eastAsia="en-US"/>
          </w:rPr>
          <w:t>3.5.6</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Accessible Books Consortium (ABC)</w:t>
        </w:r>
        <w:r>
          <w:rPr>
            <w:noProof/>
            <w:webHidden/>
          </w:rPr>
          <w:tab/>
        </w:r>
        <w:r>
          <w:rPr>
            <w:noProof/>
            <w:webHidden/>
          </w:rPr>
          <w:fldChar w:fldCharType="begin"/>
        </w:r>
        <w:r>
          <w:rPr>
            <w:noProof/>
            <w:webHidden/>
          </w:rPr>
          <w:instrText xml:space="preserve"> PAGEREF _Toc232436602 \h </w:instrText>
        </w:r>
        <w:r>
          <w:rPr>
            <w:noProof/>
            <w:webHidden/>
          </w:rPr>
        </w:r>
        <w:r>
          <w:rPr>
            <w:noProof/>
            <w:webHidden/>
          </w:rPr>
          <w:fldChar w:fldCharType="separate"/>
        </w:r>
        <w:r w:rsidR="0037550B">
          <w:rPr>
            <w:noProof/>
            <w:webHidden/>
          </w:rPr>
          <w:t>33</w:t>
        </w:r>
        <w:r>
          <w:rPr>
            <w:noProof/>
            <w:webHidden/>
          </w:rPr>
          <w:fldChar w:fldCharType="end"/>
        </w:r>
      </w:hyperlink>
    </w:p>
    <w:p w14:paraId="7937293B" w14:textId="42F1BD9D"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603" w:history="1">
        <w:r w:rsidRPr="00F0585A">
          <w:rPr>
            <w:rStyle w:val="Hyperlink"/>
            <w:bCs/>
            <w:noProof/>
            <w:lang w:eastAsia="en-US"/>
          </w:rPr>
          <w:t>3.5.7</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CDIP Project on “Enhancing the Capacities of National Intellectual Property Offices in Times of Crisis”</w:t>
        </w:r>
        <w:r>
          <w:rPr>
            <w:noProof/>
            <w:webHidden/>
          </w:rPr>
          <w:tab/>
        </w:r>
        <w:r>
          <w:rPr>
            <w:noProof/>
            <w:webHidden/>
          </w:rPr>
          <w:fldChar w:fldCharType="begin"/>
        </w:r>
        <w:r>
          <w:rPr>
            <w:noProof/>
            <w:webHidden/>
          </w:rPr>
          <w:instrText xml:space="preserve"> PAGEREF _Toc232436603 \h </w:instrText>
        </w:r>
        <w:r>
          <w:rPr>
            <w:noProof/>
            <w:webHidden/>
          </w:rPr>
        </w:r>
        <w:r>
          <w:rPr>
            <w:noProof/>
            <w:webHidden/>
          </w:rPr>
          <w:fldChar w:fldCharType="separate"/>
        </w:r>
        <w:r w:rsidR="0037550B">
          <w:rPr>
            <w:noProof/>
            <w:webHidden/>
          </w:rPr>
          <w:t>33</w:t>
        </w:r>
        <w:r>
          <w:rPr>
            <w:noProof/>
            <w:webHidden/>
          </w:rPr>
          <w:fldChar w:fldCharType="end"/>
        </w:r>
      </w:hyperlink>
    </w:p>
    <w:p w14:paraId="5435B9B6" w14:textId="3A951E5C" w:rsidR="002347B9" w:rsidRDefault="002347B9">
      <w:pPr>
        <w:pStyle w:val="TOC1"/>
        <w:rPr>
          <w:rFonts w:asciiTheme="minorHAnsi" w:eastAsiaTheme="minorEastAsia" w:hAnsiTheme="minorHAnsi" w:cstheme="minorBidi"/>
          <w:noProof/>
          <w:kern w:val="2"/>
          <w:sz w:val="24"/>
          <w:szCs w:val="24"/>
          <w:lang w:eastAsia="en-US"/>
          <w14:ligatures w14:val="standardContextual"/>
        </w:rPr>
      </w:pPr>
      <w:hyperlink w:anchor="_Toc232436604" w:history="1">
        <w:r w:rsidRPr="00F0585A">
          <w:rPr>
            <w:rStyle w:val="Hyperlink"/>
            <w:b/>
            <w:bCs/>
            <w:noProof/>
            <w:lang w:eastAsia="en-US"/>
          </w:rPr>
          <w:t>4.</w:t>
        </w:r>
        <w:r>
          <w:rPr>
            <w:rFonts w:asciiTheme="minorHAnsi" w:eastAsiaTheme="minorEastAsia" w:hAnsiTheme="minorHAnsi" w:cstheme="minorBidi"/>
            <w:noProof/>
            <w:kern w:val="2"/>
            <w:sz w:val="24"/>
            <w:szCs w:val="24"/>
            <w:lang w:eastAsia="en-US"/>
            <w14:ligatures w14:val="standardContextual"/>
          </w:rPr>
          <w:tab/>
        </w:r>
        <w:r w:rsidRPr="00F0585A">
          <w:rPr>
            <w:rStyle w:val="Hyperlink"/>
            <w:b/>
            <w:bCs/>
            <w:noProof/>
            <w:lang w:eastAsia="en-US"/>
          </w:rPr>
          <w:t>ACCESS TO WIPO’S IP SERVICES AND STEPS UNDERTAKEN TO ENSURE THAT PUBLICATIONS ON WIPO RESOURCES AND PLATFORMS COMPLY WITH THE PRINCIPLES OF SOVEREIGNTY, INDEPENDENCE, AND TERRITORIAL INTEGRITY OF UKRAINE</w:t>
        </w:r>
        <w:r>
          <w:rPr>
            <w:noProof/>
            <w:webHidden/>
          </w:rPr>
          <w:tab/>
        </w:r>
        <w:r>
          <w:rPr>
            <w:noProof/>
            <w:webHidden/>
          </w:rPr>
          <w:fldChar w:fldCharType="begin"/>
        </w:r>
        <w:r>
          <w:rPr>
            <w:noProof/>
            <w:webHidden/>
          </w:rPr>
          <w:instrText xml:space="preserve"> PAGEREF _Toc232436604 \h </w:instrText>
        </w:r>
        <w:r>
          <w:rPr>
            <w:noProof/>
            <w:webHidden/>
          </w:rPr>
        </w:r>
        <w:r>
          <w:rPr>
            <w:noProof/>
            <w:webHidden/>
          </w:rPr>
          <w:fldChar w:fldCharType="separate"/>
        </w:r>
        <w:r w:rsidR="0037550B">
          <w:rPr>
            <w:noProof/>
            <w:webHidden/>
          </w:rPr>
          <w:t>34</w:t>
        </w:r>
        <w:r>
          <w:rPr>
            <w:noProof/>
            <w:webHidden/>
          </w:rPr>
          <w:fldChar w:fldCharType="end"/>
        </w:r>
      </w:hyperlink>
    </w:p>
    <w:p w14:paraId="2C226FEF" w14:textId="1E121D65"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605" w:history="1">
        <w:r w:rsidRPr="00F0585A">
          <w:rPr>
            <w:rStyle w:val="Hyperlink"/>
            <w:bCs/>
            <w:noProof/>
            <w:lang w:eastAsia="en-US"/>
          </w:rPr>
          <w:t>4.1</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Patent Cooperation Treaty (PCT)</w:t>
        </w:r>
        <w:r>
          <w:rPr>
            <w:noProof/>
            <w:webHidden/>
          </w:rPr>
          <w:tab/>
        </w:r>
        <w:r>
          <w:rPr>
            <w:noProof/>
            <w:webHidden/>
          </w:rPr>
          <w:fldChar w:fldCharType="begin"/>
        </w:r>
        <w:r>
          <w:rPr>
            <w:noProof/>
            <w:webHidden/>
          </w:rPr>
          <w:instrText xml:space="preserve"> PAGEREF _Toc232436605 \h </w:instrText>
        </w:r>
        <w:r>
          <w:rPr>
            <w:noProof/>
            <w:webHidden/>
          </w:rPr>
        </w:r>
        <w:r>
          <w:rPr>
            <w:noProof/>
            <w:webHidden/>
          </w:rPr>
          <w:fldChar w:fldCharType="separate"/>
        </w:r>
        <w:r w:rsidR="0037550B">
          <w:rPr>
            <w:noProof/>
            <w:webHidden/>
          </w:rPr>
          <w:t>34</w:t>
        </w:r>
        <w:r>
          <w:rPr>
            <w:noProof/>
            <w:webHidden/>
          </w:rPr>
          <w:fldChar w:fldCharType="end"/>
        </w:r>
      </w:hyperlink>
    </w:p>
    <w:p w14:paraId="402CDE1E" w14:textId="4E3D29D1"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606" w:history="1">
        <w:r w:rsidRPr="00F0585A">
          <w:rPr>
            <w:rStyle w:val="Hyperlink"/>
            <w:bCs/>
            <w:noProof/>
            <w:lang w:eastAsia="en-US"/>
          </w:rPr>
          <w:t>4.2</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Madrid System</w:t>
        </w:r>
        <w:r>
          <w:rPr>
            <w:noProof/>
            <w:webHidden/>
          </w:rPr>
          <w:tab/>
        </w:r>
        <w:r>
          <w:rPr>
            <w:noProof/>
            <w:webHidden/>
          </w:rPr>
          <w:fldChar w:fldCharType="begin"/>
        </w:r>
        <w:r>
          <w:rPr>
            <w:noProof/>
            <w:webHidden/>
          </w:rPr>
          <w:instrText xml:space="preserve"> PAGEREF _Toc232436606 \h </w:instrText>
        </w:r>
        <w:r>
          <w:rPr>
            <w:noProof/>
            <w:webHidden/>
          </w:rPr>
        </w:r>
        <w:r>
          <w:rPr>
            <w:noProof/>
            <w:webHidden/>
          </w:rPr>
          <w:fldChar w:fldCharType="separate"/>
        </w:r>
        <w:r w:rsidR="0037550B">
          <w:rPr>
            <w:noProof/>
            <w:webHidden/>
          </w:rPr>
          <w:t>34</w:t>
        </w:r>
        <w:r>
          <w:rPr>
            <w:noProof/>
            <w:webHidden/>
          </w:rPr>
          <w:fldChar w:fldCharType="end"/>
        </w:r>
      </w:hyperlink>
    </w:p>
    <w:p w14:paraId="14520AE1" w14:textId="34C4BE11"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607" w:history="1">
        <w:r w:rsidRPr="00F0585A">
          <w:rPr>
            <w:rStyle w:val="Hyperlink"/>
            <w:bCs/>
            <w:noProof/>
            <w:lang w:eastAsia="en-US"/>
          </w:rPr>
          <w:t>4.3</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Hague System</w:t>
        </w:r>
        <w:r>
          <w:rPr>
            <w:noProof/>
            <w:webHidden/>
          </w:rPr>
          <w:tab/>
        </w:r>
        <w:r>
          <w:rPr>
            <w:noProof/>
            <w:webHidden/>
          </w:rPr>
          <w:fldChar w:fldCharType="begin"/>
        </w:r>
        <w:r>
          <w:rPr>
            <w:noProof/>
            <w:webHidden/>
          </w:rPr>
          <w:instrText xml:space="preserve"> PAGEREF _Toc232436607 \h </w:instrText>
        </w:r>
        <w:r>
          <w:rPr>
            <w:noProof/>
            <w:webHidden/>
          </w:rPr>
        </w:r>
        <w:r>
          <w:rPr>
            <w:noProof/>
            <w:webHidden/>
          </w:rPr>
          <w:fldChar w:fldCharType="separate"/>
        </w:r>
        <w:r w:rsidR="0037550B">
          <w:rPr>
            <w:noProof/>
            <w:webHidden/>
          </w:rPr>
          <w:t>35</w:t>
        </w:r>
        <w:r>
          <w:rPr>
            <w:noProof/>
            <w:webHidden/>
          </w:rPr>
          <w:fldChar w:fldCharType="end"/>
        </w:r>
      </w:hyperlink>
    </w:p>
    <w:p w14:paraId="2A781562" w14:textId="02D3C5F3" w:rsidR="002347B9" w:rsidRDefault="002347B9">
      <w:pPr>
        <w:pStyle w:val="TOC2"/>
        <w:rPr>
          <w:rFonts w:asciiTheme="minorHAnsi" w:eastAsiaTheme="minorEastAsia" w:hAnsiTheme="minorHAnsi" w:cstheme="minorBidi"/>
          <w:noProof/>
          <w:kern w:val="2"/>
          <w:sz w:val="24"/>
          <w:szCs w:val="24"/>
          <w:lang w:eastAsia="en-US"/>
          <w14:ligatures w14:val="standardContextual"/>
        </w:rPr>
      </w:pPr>
      <w:hyperlink w:anchor="_Toc232436608" w:history="1">
        <w:r w:rsidRPr="00F0585A">
          <w:rPr>
            <w:rStyle w:val="Hyperlink"/>
            <w:bCs/>
            <w:noProof/>
            <w:lang w:eastAsia="en-US"/>
          </w:rPr>
          <w:t>4.4</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Arbitration and Mediation</w:t>
        </w:r>
        <w:r>
          <w:rPr>
            <w:noProof/>
            <w:webHidden/>
          </w:rPr>
          <w:tab/>
        </w:r>
        <w:r>
          <w:rPr>
            <w:noProof/>
            <w:webHidden/>
          </w:rPr>
          <w:fldChar w:fldCharType="begin"/>
        </w:r>
        <w:r>
          <w:rPr>
            <w:noProof/>
            <w:webHidden/>
          </w:rPr>
          <w:instrText xml:space="preserve"> PAGEREF _Toc232436608 \h </w:instrText>
        </w:r>
        <w:r>
          <w:rPr>
            <w:noProof/>
            <w:webHidden/>
          </w:rPr>
        </w:r>
        <w:r>
          <w:rPr>
            <w:noProof/>
            <w:webHidden/>
          </w:rPr>
          <w:fldChar w:fldCharType="separate"/>
        </w:r>
        <w:r w:rsidR="0037550B">
          <w:rPr>
            <w:noProof/>
            <w:webHidden/>
          </w:rPr>
          <w:t>35</w:t>
        </w:r>
        <w:r>
          <w:rPr>
            <w:noProof/>
            <w:webHidden/>
          </w:rPr>
          <w:fldChar w:fldCharType="end"/>
        </w:r>
      </w:hyperlink>
    </w:p>
    <w:p w14:paraId="5BD91A8E" w14:textId="4008729B" w:rsidR="002347B9" w:rsidRDefault="002347B9">
      <w:pPr>
        <w:pStyle w:val="TOC3"/>
        <w:rPr>
          <w:rFonts w:asciiTheme="minorHAnsi" w:eastAsiaTheme="minorEastAsia" w:hAnsiTheme="minorHAnsi" w:cstheme="minorBidi"/>
          <w:noProof/>
          <w:kern w:val="2"/>
          <w:sz w:val="24"/>
          <w:szCs w:val="24"/>
          <w:lang w:eastAsia="en-US"/>
          <w14:ligatures w14:val="standardContextual"/>
        </w:rPr>
      </w:pPr>
      <w:hyperlink w:anchor="_Toc232436609" w:history="1">
        <w:r w:rsidRPr="00F0585A">
          <w:rPr>
            <w:rStyle w:val="Hyperlink"/>
            <w:bCs/>
            <w:noProof/>
            <w:lang w:eastAsia="en-US"/>
          </w:rPr>
          <w:t>4.5</w:t>
        </w:r>
        <w:r>
          <w:rPr>
            <w:rFonts w:asciiTheme="minorHAnsi" w:eastAsiaTheme="minorEastAsia" w:hAnsiTheme="minorHAnsi" w:cstheme="minorBidi"/>
            <w:noProof/>
            <w:kern w:val="2"/>
            <w:sz w:val="24"/>
            <w:szCs w:val="24"/>
            <w:lang w:eastAsia="en-US"/>
            <w14:ligatures w14:val="standardContextual"/>
          </w:rPr>
          <w:tab/>
        </w:r>
        <w:r w:rsidRPr="00F0585A">
          <w:rPr>
            <w:rStyle w:val="Hyperlink"/>
            <w:bCs/>
            <w:noProof/>
            <w:lang w:eastAsia="en-US"/>
          </w:rPr>
          <w:t>Steps Undertaken to Ensure that Publications on WIPO Resources and Platforms comply with the Principles of Sovereignty, Independence, and Territorial Integrity of Ukraine Within its Internationally Recognized Borders</w:t>
        </w:r>
        <w:r>
          <w:rPr>
            <w:noProof/>
            <w:webHidden/>
          </w:rPr>
          <w:tab/>
        </w:r>
        <w:r>
          <w:rPr>
            <w:noProof/>
            <w:webHidden/>
          </w:rPr>
          <w:fldChar w:fldCharType="begin"/>
        </w:r>
        <w:r>
          <w:rPr>
            <w:noProof/>
            <w:webHidden/>
          </w:rPr>
          <w:instrText xml:space="preserve"> PAGEREF _Toc232436609 \h </w:instrText>
        </w:r>
        <w:r>
          <w:rPr>
            <w:noProof/>
            <w:webHidden/>
          </w:rPr>
        </w:r>
        <w:r>
          <w:rPr>
            <w:noProof/>
            <w:webHidden/>
          </w:rPr>
          <w:fldChar w:fldCharType="separate"/>
        </w:r>
        <w:r w:rsidR="0037550B">
          <w:rPr>
            <w:noProof/>
            <w:webHidden/>
          </w:rPr>
          <w:t>35</w:t>
        </w:r>
        <w:r>
          <w:rPr>
            <w:noProof/>
            <w:webHidden/>
          </w:rPr>
          <w:fldChar w:fldCharType="end"/>
        </w:r>
      </w:hyperlink>
    </w:p>
    <w:p w14:paraId="2F4DF2DD" w14:textId="32DC9E24" w:rsidR="003646C0" w:rsidRDefault="003646C0" w:rsidP="003646C0">
      <w:pPr>
        <w:rPr>
          <w:lang w:eastAsia="en-US"/>
        </w:rPr>
      </w:pPr>
      <w:r>
        <w:rPr>
          <w:lang w:eastAsia="en-US"/>
        </w:rPr>
        <w:fldChar w:fldCharType="end"/>
      </w:r>
    </w:p>
    <w:p w14:paraId="5C6AD78F" w14:textId="77777777" w:rsidR="003646C0" w:rsidRDefault="003646C0" w:rsidP="003646C0">
      <w:pPr>
        <w:rPr>
          <w:lang w:eastAsia="en-US"/>
        </w:rPr>
      </w:pPr>
      <w:r>
        <w:rPr>
          <w:lang w:eastAsia="en-US"/>
        </w:rPr>
        <w:br w:type="page"/>
      </w:r>
    </w:p>
    <w:p w14:paraId="09DC6989" w14:textId="3FEAA649" w:rsidR="003646C0" w:rsidRPr="00160936" w:rsidRDefault="003646C0" w:rsidP="00053C9E">
      <w:pPr>
        <w:pStyle w:val="Heading1"/>
        <w:keepLines w:val="0"/>
        <w:tabs>
          <w:tab w:val="left" w:pos="567"/>
        </w:tabs>
        <w:spacing w:before="240" w:after="60" w:line="240" w:lineRule="auto"/>
        <w:rPr>
          <w:rFonts w:eastAsia="SimSun"/>
          <w:b/>
          <w:bCs/>
          <w:caps/>
          <w:color w:val="auto"/>
          <w:kern w:val="32"/>
          <w:sz w:val="22"/>
          <w:szCs w:val="32"/>
          <w:lang w:eastAsia="en-US"/>
        </w:rPr>
      </w:pPr>
      <w:bookmarkStart w:id="5" w:name="_Toc232436566"/>
      <w:r w:rsidRPr="00160936">
        <w:rPr>
          <w:rFonts w:eastAsia="SimSun"/>
          <w:b/>
          <w:bCs/>
          <w:caps/>
          <w:color w:val="auto"/>
          <w:kern w:val="32"/>
          <w:sz w:val="22"/>
          <w:szCs w:val="32"/>
          <w:lang w:eastAsia="en-US"/>
        </w:rPr>
        <w:lastRenderedPageBreak/>
        <w:t>1.</w:t>
      </w:r>
      <w:r w:rsidR="00053C9E">
        <w:rPr>
          <w:rFonts w:eastAsia="SimSun"/>
          <w:b/>
          <w:bCs/>
          <w:caps/>
          <w:color w:val="auto"/>
          <w:kern w:val="32"/>
          <w:sz w:val="22"/>
          <w:szCs w:val="32"/>
          <w:lang w:eastAsia="en-US"/>
        </w:rPr>
        <w:tab/>
      </w:r>
      <w:r w:rsidRPr="00160936">
        <w:rPr>
          <w:rFonts w:eastAsia="SimSun"/>
          <w:b/>
          <w:bCs/>
          <w:caps/>
          <w:color w:val="auto"/>
          <w:kern w:val="32"/>
          <w:sz w:val="22"/>
          <w:szCs w:val="32"/>
          <w:lang w:eastAsia="en-US"/>
        </w:rPr>
        <w:t>EXECUTIVE SUMMARY</w:t>
      </w:r>
      <w:bookmarkEnd w:id="5"/>
      <w:r w:rsidRPr="00160936">
        <w:rPr>
          <w:rFonts w:eastAsia="SimSun"/>
          <w:b/>
          <w:bCs/>
          <w:caps/>
          <w:color w:val="auto"/>
          <w:kern w:val="32"/>
          <w:sz w:val="22"/>
          <w:szCs w:val="32"/>
          <w:lang w:eastAsia="en-US"/>
        </w:rPr>
        <w:t xml:space="preserve"> </w:t>
      </w:r>
    </w:p>
    <w:p w14:paraId="67C9656A" w14:textId="61FA2E22" w:rsidR="003646C0" w:rsidRPr="00EA21F3" w:rsidRDefault="003646C0" w:rsidP="00160936">
      <w:pPr>
        <w:pStyle w:val="Heading2"/>
        <w:keepLines w:val="0"/>
        <w:spacing w:before="240" w:after="220"/>
        <w:ind w:left="1170" w:hanging="623"/>
        <w:rPr>
          <w:color w:val="000000" w:themeColor="text1"/>
          <w:lang w:eastAsia="en-US"/>
        </w:rPr>
      </w:pPr>
      <w:bookmarkStart w:id="6" w:name="_Toc232436567"/>
      <w:r w:rsidRPr="00EA21F3">
        <w:rPr>
          <w:b w:val="0"/>
          <w:bCs/>
          <w:color w:val="000000" w:themeColor="text1"/>
          <w:sz w:val="22"/>
          <w:szCs w:val="18"/>
          <w:lang w:eastAsia="en-US"/>
        </w:rPr>
        <w:t>1.1.</w:t>
      </w:r>
      <w:r w:rsidR="00160936" w:rsidRPr="00EA21F3">
        <w:rPr>
          <w:color w:val="000000" w:themeColor="text1"/>
          <w:lang w:eastAsia="en-US"/>
        </w:rPr>
        <w:tab/>
      </w:r>
      <w:r w:rsidRPr="00EA21F3">
        <w:rPr>
          <w:rFonts w:eastAsia="SimSun"/>
          <w:b w:val="0"/>
          <w:bCs/>
          <w:iCs/>
          <w:caps/>
          <w:color w:val="000000" w:themeColor="text1"/>
          <w:sz w:val="22"/>
          <w:szCs w:val="28"/>
          <w:lang w:eastAsia="en-US"/>
        </w:rPr>
        <w:t>Introduction</w:t>
      </w:r>
      <w:bookmarkEnd w:id="6"/>
    </w:p>
    <w:p w14:paraId="344479A3" w14:textId="57CC967C" w:rsidR="003646C0" w:rsidRPr="004577B9" w:rsidRDefault="003646C0" w:rsidP="00486AEF">
      <w:pPr>
        <w:pStyle w:val="ONUME"/>
        <w:rPr>
          <w:lang w:eastAsia="en-US"/>
        </w:rPr>
      </w:pPr>
      <w:r w:rsidRPr="00C9293C">
        <w:rPr>
          <w:lang w:eastAsia="en-US"/>
        </w:rPr>
        <w:t xml:space="preserve">During the Sixty-Fifth Series of Meetings of the Assemblies of the Member States of the World Intellectual Property Organization (WIPO) (July 9 to 17, 2024), Member States recalled their </w:t>
      </w:r>
      <w:r>
        <w:rPr>
          <w:lang w:eastAsia="en-US"/>
        </w:rPr>
        <w:t>“</w:t>
      </w:r>
      <w:r w:rsidRPr="00C9293C">
        <w:rPr>
          <w:lang w:eastAsia="en-US"/>
        </w:rPr>
        <w:t>Decisions on the Assistance and Support for Ukraine’s Innovation and Creativity Sector and Intellectual Property System</w:t>
      </w:r>
      <w:r>
        <w:rPr>
          <w:lang w:eastAsia="en-US"/>
        </w:rPr>
        <w:t>”</w:t>
      </w:r>
      <w:r w:rsidRPr="00C9293C">
        <w:rPr>
          <w:lang w:eastAsia="en-US"/>
        </w:rPr>
        <w:t xml:space="preserve"> contained in documents A/63/10</w:t>
      </w:r>
      <w:r>
        <w:rPr>
          <w:lang w:eastAsia="en-US"/>
        </w:rPr>
        <w:t xml:space="preserve"> and</w:t>
      </w:r>
      <w:r w:rsidRPr="00C9293C">
        <w:rPr>
          <w:lang w:eastAsia="en-US"/>
        </w:rPr>
        <w:t xml:space="preserve"> A/64/14</w:t>
      </w:r>
      <w:r>
        <w:rPr>
          <w:lang w:eastAsia="en-US"/>
        </w:rPr>
        <w:t>, and</w:t>
      </w:r>
      <w:r w:rsidRPr="00C9293C">
        <w:rPr>
          <w:lang w:eastAsia="en-US"/>
        </w:rPr>
        <w:t xml:space="preserve"> took note of the Report contained in document A/65/7, and </w:t>
      </w:r>
      <w:r>
        <w:rPr>
          <w:lang w:eastAsia="en-US"/>
        </w:rPr>
        <w:t>“</w:t>
      </w:r>
      <w:r w:rsidRPr="00C9293C">
        <w:rPr>
          <w:lang w:eastAsia="en-US"/>
        </w:rPr>
        <w:t xml:space="preserve">the continued negative impacts of the ongoing war on Ukraine’s innovation and creativity sector and </w:t>
      </w:r>
      <w:r>
        <w:rPr>
          <w:lang w:eastAsia="en-US"/>
        </w:rPr>
        <w:t>IP</w:t>
      </w:r>
      <w:r w:rsidRPr="00C9293C">
        <w:rPr>
          <w:lang w:eastAsia="en-US"/>
        </w:rPr>
        <w:t xml:space="preserve"> system</w:t>
      </w:r>
      <w:r>
        <w:rPr>
          <w:lang w:eastAsia="en-US"/>
        </w:rPr>
        <w:t>”.</w:t>
      </w:r>
      <w:r w:rsidRPr="00C9293C">
        <w:rPr>
          <w:lang w:eastAsia="en-US"/>
        </w:rPr>
        <w:t xml:space="preserve"> </w:t>
      </w:r>
      <w:r>
        <w:rPr>
          <w:lang w:eastAsia="en-US"/>
        </w:rPr>
        <w:t xml:space="preserve"> The Assemblies of WIPO, each in so far </w:t>
      </w:r>
      <w:proofErr w:type="gramStart"/>
      <w:r>
        <w:rPr>
          <w:lang w:eastAsia="en-US"/>
        </w:rPr>
        <w:t>as it</w:t>
      </w:r>
      <w:proofErr w:type="gramEnd"/>
      <w:r>
        <w:rPr>
          <w:lang w:eastAsia="en-US"/>
        </w:rPr>
        <w:t xml:space="preserve"> is concerned, </w:t>
      </w:r>
      <w:r w:rsidRPr="00C9293C">
        <w:rPr>
          <w:lang w:eastAsia="en-US"/>
        </w:rPr>
        <w:t>requested the International Bureau:</w:t>
      </w:r>
    </w:p>
    <w:p w14:paraId="01C41D41" w14:textId="77777777" w:rsidR="00071DDF" w:rsidRDefault="00071DDF">
      <w:pPr>
        <w:ind w:left="567"/>
        <w:rPr>
          <w:rFonts w:eastAsia="Times New Roman"/>
          <w:szCs w:val="22"/>
        </w:rPr>
      </w:pPr>
      <w:bookmarkStart w:id="7" w:name="_Hlk199490338"/>
      <w:r>
        <w:rPr>
          <w:rFonts w:eastAsia="Times New Roman"/>
        </w:rPr>
        <w:t xml:space="preserve">“(a) to continue </w:t>
      </w:r>
      <w:bookmarkStart w:id="8" w:name="_Hlk196323097"/>
      <w:r>
        <w:rPr>
          <w:rFonts w:eastAsia="Times New Roman"/>
        </w:rPr>
        <w:t>its close cooperation with Ukraine to ensure its ongoing support and assistance to the creators, innovators, and members of the IP community,</w:t>
      </w:r>
      <w:bookmarkEnd w:id="8"/>
      <w:r>
        <w:rPr>
          <w:rFonts w:eastAsia="Times New Roman"/>
        </w:rPr>
        <w:t xml:space="preserve"> focusing on mitigating the adverse effects of the war and rebuilding an innovative and creative ecosystem in Ukraine that benefits all stakeholders and strengthens the country’s economy; and </w:t>
      </w:r>
    </w:p>
    <w:p w14:paraId="5BCBF2D2" w14:textId="77777777" w:rsidR="003646C0" w:rsidRPr="00D420D7" w:rsidRDefault="003646C0" w:rsidP="003646C0">
      <w:pPr>
        <w:tabs>
          <w:tab w:val="left" w:pos="567"/>
          <w:tab w:val="left" w:pos="1134"/>
        </w:tabs>
        <w:ind w:left="567"/>
        <w:rPr>
          <w:rFonts w:asciiTheme="minorBidi" w:hAnsiTheme="minorBidi"/>
          <w:szCs w:val="22"/>
        </w:rPr>
      </w:pPr>
    </w:p>
    <w:bookmarkEnd w:id="7"/>
    <w:p w14:paraId="1673329B" w14:textId="77777777" w:rsidR="00071DDF" w:rsidRDefault="00071DDF">
      <w:pPr>
        <w:ind w:left="567"/>
        <w:rPr>
          <w:rFonts w:eastAsia="Times New Roman"/>
          <w:szCs w:val="22"/>
        </w:rPr>
      </w:pPr>
      <w:r>
        <w:rPr>
          <w:rFonts w:eastAsia="Times New Roman"/>
        </w:rPr>
        <w:t xml:space="preserve">“(b) to provide an updated assessment of the medium- and long-term impacts of the war on Ukraine’s innovation and creativity sector and ecosystem; and </w:t>
      </w:r>
    </w:p>
    <w:p w14:paraId="42DA5BE0" w14:textId="77777777" w:rsidR="003646C0" w:rsidRPr="00D420D7" w:rsidRDefault="003646C0" w:rsidP="003646C0">
      <w:pPr>
        <w:tabs>
          <w:tab w:val="left" w:pos="567"/>
          <w:tab w:val="left" w:pos="1134"/>
        </w:tabs>
        <w:ind w:left="567"/>
        <w:rPr>
          <w:rFonts w:asciiTheme="minorBidi" w:hAnsiTheme="minorBidi"/>
          <w:szCs w:val="22"/>
        </w:rPr>
      </w:pPr>
    </w:p>
    <w:p w14:paraId="4E03690E" w14:textId="77777777" w:rsidR="003646C0" w:rsidRDefault="003646C0" w:rsidP="003646C0">
      <w:pPr>
        <w:tabs>
          <w:tab w:val="left" w:pos="567"/>
          <w:tab w:val="left" w:pos="1134"/>
        </w:tabs>
        <w:ind w:left="567"/>
        <w:rPr>
          <w:rFonts w:asciiTheme="minorBidi" w:hAnsiTheme="minorBidi"/>
          <w:szCs w:val="22"/>
        </w:rPr>
      </w:pPr>
      <w:r w:rsidRPr="00D420D7">
        <w:rPr>
          <w:rFonts w:asciiTheme="minorBidi" w:hAnsiTheme="minorBidi"/>
          <w:szCs w:val="22"/>
        </w:rPr>
        <w:t xml:space="preserve">“(c) </w:t>
      </w:r>
      <w:bookmarkStart w:id="9" w:name="_Hlk199171462"/>
      <w:r w:rsidRPr="00D420D7">
        <w:rPr>
          <w:rFonts w:asciiTheme="minorBidi" w:hAnsiTheme="minorBidi"/>
          <w:szCs w:val="22"/>
        </w:rPr>
        <w:t>to take steps to ensure that publications on WIPO resources and platforms comply with the principles of sovereignty, independence, and territorial integrity of Ukraine within its internationally recognized borders</w:t>
      </w:r>
      <w:bookmarkEnd w:id="9"/>
      <w:r w:rsidRPr="00D420D7">
        <w:rPr>
          <w:rFonts w:asciiTheme="minorBidi" w:hAnsiTheme="minorBidi"/>
          <w:szCs w:val="22"/>
        </w:rPr>
        <w:t>;</w:t>
      </w:r>
    </w:p>
    <w:p w14:paraId="73E21F44" w14:textId="77777777" w:rsidR="003646C0" w:rsidRPr="00D420D7" w:rsidRDefault="003646C0" w:rsidP="003646C0">
      <w:pPr>
        <w:tabs>
          <w:tab w:val="left" w:pos="567"/>
          <w:tab w:val="left" w:pos="1134"/>
        </w:tabs>
        <w:ind w:left="567"/>
        <w:rPr>
          <w:rFonts w:asciiTheme="minorBidi" w:hAnsiTheme="minorBidi"/>
          <w:szCs w:val="22"/>
        </w:rPr>
      </w:pPr>
    </w:p>
    <w:p w14:paraId="44D66418" w14:textId="77777777" w:rsidR="003646C0" w:rsidRPr="00D420D7" w:rsidRDefault="003646C0" w:rsidP="003646C0">
      <w:pPr>
        <w:tabs>
          <w:tab w:val="left" w:pos="567"/>
          <w:tab w:val="left" w:pos="1134"/>
        </w:tabs>
        <w:ind w:left="567"/>
        <w:rPr>
          <w:rFonts w:asciiTheme="minorBidi" w:hAnsiTheme="minorBidi"/>
          <w:szCs w:val="22"/>
        </w:rPr>
      </w:pPr>
      <w:r w:rsidRPr="00D420D7">
        <w:rPr>
          <w:rFonts w:asciiTheme="minorBidi" w:hAnsiTheme="minorBidi"/>
          <w:szCs w:val="22"/>
        </w:rPr>
        <w:t>“(d) to report on the implementation of this decision and other relevant activities at the 2025 WIPO Assemblies, and annually thereafter”</w:t>
      </w:r>
      <w:r>
        <w:rPr>
          <w:rFonts w:asciiTheme="minorBidi" w:hAnsiTheme="minorBidi"/>
          <w:szCs w:val="22"/>
        </w:rPr>
        <w:t>.</w:t>
      </w:r>
      <w:r w:rsidRPr="00D420D7">
        <w:rPr>
          <w:rFonts w:asciiTheme="minorBidi" w:hAnsiTheme="minorBidi"/>
          <w:szCs w:val="22"/>
        </w:rPr>
        <w:t xml:space="preserve"> </w:t>
      </w:r>
    </w:p>
    <w:p w14:paraId="6FCAD83D" w14:textId="77777777" w:rsidR="003646C0" w:rsidRPr="004577B9" w:rsidRDefault="003646C0" w:rsidP="003646C0">
      <w:pPr>
        <w:tabs>
          <w:tab w:val="left" w:pos="1170"/>
        </w:tabs>
        <w:ind w:left="1170" w:hanging="540"/>
        <w:contextualSpacing/>
        <w:rPr>
          <w:rFonts w:eastAsia="Times New Roman"/>
          <w:szCs w:val="22"/>
          <w:lang w:eastAsia="en-US"/>
        </w:rPr>
      </w:pPr>
    </w:p>
    <w:p w14:paraId="59762115" w14:textId="767B0743" w:rsidR="006F135D" w:rsidRDefault="0048415B" w:rsidP="00FB6F4F">
      <w:pPr>
        <w:pStyle w:val="ONUME"/>
      </w:pPr>
      <w:r>
        <w:t>This document constitutes the report to the Assemblies pursuant to sub-paragraph (d) above</w:t>
      </w:r>
      <w:r w:rsidR="003678C0">
        <w:rPr>
          <w:lang w:eastAsia="en-US"/>
        </w:rPr>
        <w:t>, covering the period from July 202</w:t>
      </w:r>
      <w:r w:rsidR="00255F02">
        <w:rPr>
          <w:lang w:eastAsia="en-US"/>
        </w:rPr>
        <w:t>5 to June 2026</w:t>
      </w:r>
      <w:r w:rsidR="00641C25">
        <w:rPr>
          <w:rStyle w:val="FootnoteReference"/>
          <w:lang w:eastAsia="en-US"/>
        </w:rPr>
        <w:footnoteReference w:id="1"/>
      </w:r>
      <w:r w:rsidR="00255F02">
        <w:rPr>
          <w:lang w:eastAsia="en-US"/>
        </w:rPr>
        <w:t xml:space="preserve">. </w:t>
      </w:r>
    </w:p>
    <w:p w14:paraId="567F83FC" w14:textId="45BD74C7" w:rsidR="003646C0" w:rsidRPr="000A7300" w:rsidRDefault="003646C0" w:rsidP="00160936">
      <w:pPr>
        <w:pStyle w:val="Heading2"/>
        <w:keepLines w:val="0"/>
        <w:spacing w:before="240" w:after="220"/>
        <w:ind w:left="1170" w:hanging="623"/>
        <w:rPr>
          <w:b w:val="0"/>
          <w:bCs/>
          <w:color w:val="auto"/>
          <w:lang w:eastAsia="en-US"/>
        </w:rPr>
      </w:pPr>
      <w:bookmarkStart w:id="10" w:name="_Toc232436568"/>
      <w:r w:rsidRPr="003010B8">
        <w:rPr>
          <w:b w:val="0"/>
          <w:bCs/>
          <w:color w:val="auto"/>
          <w:sz w:val="22"/>
          <w:szCs w:val="18"/>
          <w:lang w:eastAsia="en-US"/>
        </w:rPr>
        <w:t>1.2.</w:t>
      </w:r>
      <w:r w:rsidRPr="000A7300">
        <w:rPr>
          <w:b w:val="0"/>
          <w:bCs/>
          <w:color w:val="auto"/>
          <w:lang w:eastAsia="en-US"/>
        </w:rPr>
        <w:tab/>
      </w:r>
      <w:r w:rsidRPr="003010B8">
        <w:rPr>
          <w:b w:val="0"/>
          <w:bCs/>
          <w:color w:val="auto"/>
          <w:sz w:val="22"/>
          <w:szCs w:val="18"/>
          <w:lang w:eastAsia="en-US"/>
        </w:rPr>
        <w:t>S</w:t>
      </w:r>
      <w:r w:rsidR="00160936" w:rsidRPr="003010B8">
        <w:rPr>
          <w:b w:val="0"/>
          <w:bCs/>
          <w:color w:val="auto"/>
          <w:sz w:val="22"/>
          <w:szCs w:val="18"/>
          <w:lang w:eastAsia="en-US"/>
        </w:rPr>
        <w:t>UMMARY</w:t>
      </w:r>
      <w:bookmarkEnd w:id="10"/>
    </w:p>
    <w:p w14:paraId="74F7514E" w14:textId="23584587" w:rsidR="003646C0" w:rsidRPr="00B263BB" w:rsidRDefault="003646C0" w:rsidP="003646C0">
      <w:pPr>
        <w:pStyle w:val="ONUME"/>
        <w:rPr>
          <w:lang w:eastAsia="en-US"/>
        </w:rPr>
      </w:pPr>
      <w:r w:rsidRPr="00B263BB">
        <w:rPr>
          <w:lang w:eastAsia="en-US"/>
        </w:rPr>
        <w:t>Further to the request by Member States, in close cooperation and consultation with Ukraine</w:t>
      </w:r>
      <w:r>
        <w:rPr>
          <w:lang w:eastAsia="en-US"/>
        </w:rPr>
        <w:t>,</w:t>
      </w:r>
      <w:r w:rsidRPr="00B263BB">
        <w:rPr>
          <w:lang w:eastAsia="en-US"/>
        </w:rPr>
        <w:t xml:space="preserve"> the International Bureau continued to </w:t>
      </w:r>
      <w:proofErr w:type="gramStart"/>
      <w:r w:rsidRPr="00B263BB">
        <w:rPr>
          <w:lang w:eastAsia="en-US"/>
        </w:rPr>
        <w:t>provide assistance</w:t>
      </w:r>
      <w:proofErr w:type="gramEnd"/>
      <w:r w:rsidRPr="00B263BB">
        <w:rPr>
          <w:lang w:eastAsia="en-US"/>
        </w:rPr>
        <w:t xml:space="preserve"> and support to Ukraine’s </w:t>
      </w:r>
      <w:r>
        <w:rPr>
          <w:lang w:eastAsia="en-US"/>
        </w:rPr>
        <w:t>i</w:t>
      </w:r>
      <w:r w:rsidRPr="00B263BB">
        <w:rPr>
          <w:lang w:eastAsia="en-US"/>
        </w:rPr>
        <w:t xml:space="preserve">nnovation and </w:t>
      </w:r>
      <w:r>
        <w:rPr>
          <w:lang w:eastAsia="en-US"/>
        </w:rPr>
        <w:t>c</w:t>
      </w:r>
      <w:r w:rsidRPr="00B263BB">
        <w:rPr>
          <w:lang w:eastAsia="en-US"/>
        </w:rPr>
        <w:t>reativi</w:t>
      </w:r>
      <w:r w:rsidRPr="00B56D5D">
        <w:rPr>
          <w:lang w:eastAsia="en-US"/>
        </w:rPr>
        <w:t xml:space="preserve">ty sector and </w:t>
      </w:r>
      <w:r w:rsidR="219C5D11" w:rsidRPr="4AA53EFB">
        <w:rPr>
          <w:lang w:eastAsia="en-US"/>
        </w:rPr>
        <w:t>intellectual property (</w:t>
      </w:r>
      <w:r w:rsidRPr="00B56D5D">
        <w:rPr>
          <w:lang w:eastAsia="en-US"/>
        </w:rPr>
        <w:t>IP</w:t>
      </w:r>
      <w:r w:rsidR="38BBF87F" w:rsidRPr="4AA53EFB">
        <w:rPr>
          <w:lang w:eastAsia="en-US"/>
        </w:rPr>
        <w:t>)</w:t>
      </w:r>
      <w:r w:rsidRPr="00B56D5D">
        <w:rPr>
          <w:lang w:eastAsia="en-US"/>
        </w:rPr>
        <w:t xml:space="preserve"> system.  The support </w:t>
      </w:r>
      <w:r w:rsidR="009A4AAE">
        <w:rPr>
          <w:lang w:eastAsia="en-US"/>
        </w:rPr>
        <w:t>was</w:t>
      </w:r>
      <w:r w:rsidRPr="00B56D5D">
        <w:rPr>
          <w:lang w:eastAsia="en-US"/>
        </w:rPr>
        <w:t xml:space="preserve"> </w:t>
      </w:r>
      <w:r w:rsidR="00EC4DE5">
        <w:rPr>
          <w:lang w:eastAsia="en-US"/>
        </w:rPr>
        <w:t>guided</w:t>
      </w:r>
      <w:r w:rsidR="00EC4DE5" w:rsidRPr="00B56D5D">
        <w:rPr>
          <w:lang w:eastAsia="en-US"/>
        </w:rPr>
        <w:t xml:space="preserve"> </w:t>
      </w:r>
      <w:r w:rsidRPr="00B56D5D">
        <w:rPr>
          <w:lang w:eastAsia="en-US"/>
        </w:rPr>
        <w:t>by the implementation of the Memorandum of Understanding (MoU) between WIPO and the Ministry of Economy of Ukraine</w:t>
      </w:r>
      <w:r w:rsidR="006E624C">
        <w:rPr>
          <w:rStyle w:val="FootnoteReference"/>
          <w:lang w:eastAsia="en-US"/>
        </w:rPr>
        <w:footnoteReference w:id="2"/>
      </w:r>
      <w:r w:rsidRPr="00B56D5D">
        <w:rPr>
          <w:lang w:eastAsia="en-US"/>
        </w:rPr>
        <w:t xml:space="preserve"> on Cooperation in the Sphere of Intellectual Property signed in July 2025.</w:t>
      </w:r>
      <w:r w:rsidRPr="00B263BB">
        <w:rPr>
          <w:lang w:eastAsia="en-US"/>
        </w:rPr>
        <w:t xml:space="preserve"> </w:t>
      </w:r>
    </w:p>
    <w:p w14:paraId="4EF719B7" w14:textId="2523FE44" w:rsidR="003646C0" w:rsidRPr="005D2305" w:rsidRDefault="003646C0" w:rsidP="003646C0">
      <w:pPr>
        <w:pStyle w:val="ONUME"/>
        <w:rPr>
          <w:b/>
          <w:bCs/>
          <w:lang w:eastAsia="en-US"/>
        </w:rPr>
      </w:pPr>
      <w:r w:rsidRPr="00BE62BD">
        <w:rPr>
          <w:lang w:eastAsia="en-US"/>
        </w:rPr>
        <w:t xml:space="preserve">Since the last Assemblies, the International Bureau held </w:t>
      </w:r>
      <w:r w:rsidRPr="000B7E53">
        <w:rPr>
          <w:lang w:eastAsia="en-US"/>
        </w:rPr>
        <w:t xml:space="preserve">over </w:t>
      </w:r>
      <w:r w:rsidR="00FB5D01" w:rsidRPr="002A5A28">
        <w:rPr>
          <w:lang w:eastAsia="en-US"/>
        </w:rPr>
        <w:t>30</w:t>
      </w:r>
      <w:r w:rsidRPr="000B7E53">
        <w:rPr>
          <w:lang w:eastAsia="en-US"/>
        </w:rPr>
        <w:t xml:space="preserve"> </w:t>
      </w:r>
      <w:r w:rsidRPr="005329E5">
        <w:rPr>
          <w:lang w:eastAsia="en-US"/>
        </w:rPr>
        <w:t xml:space="preserve">online and in-person meetings, </w:t>
      </w:r>
      <w:r w:rsidRPr="00BE62BD">
        <w:rPr>
          <w:lang w:eastAsia="en-US"/>
        </w:rPr>
        <w:t xml:space="preserve">which involved relevant governmental and other stakeholders from Ukraine, including the </w:t>
      </w:r>
      <w:r w:rsidRPr="005D2305">
        <w:rPr>
          <w:lang w:eastAsia="en-US"/>
        </w:rPr>
        <w:t>Ministry of Economy</w:t>
      </w:r>
      <w:r w:rsidR="003E74D8" w:rsidRPr="003E74D8">
        <w:rPr>
          <w:lang w:eastAsia="en-US"/>
        </w:rPr>
        <w:t>, Environment and Agriculture of Ukraine</w:t>
      </w:r>
      <w:r w:rsidR="00CC58C2">
        <w:rPr>
          <w:lang w:eastAsia="en-US"/>
        </w:rPr>
        <w:t xml:space="preserve"> </w:t>
      </w:r>
      <w:r w:rsidRPr="00BE62BD">
        <w:rPr>
          <w:lang w:eastAsia="en-US"/>
        </w:rPr>
        <w:t>and the Ukrainian National Office for Intellectual Property and Innovations (UANIPIO).</w:t>
      </w:r>
      <w:r w:rsidRPr="00B263BB">
        <w:rPr>
          <w:lang w:eastAsia="en-US"/>
        </w:rPr>
        <w:t xml:space="preserve"> </w:t>
      </w:r>
      <w:r>
        <w:rPr>
          <w:lang w:eastAsia="en-US"/>
        </w:rPr>
        <w:t xml:space="preserve"> </w:t>
      </w:r>
      <w:r w:rsidRPr="00B263BB">
        <w:rPr>
          <w:lang w:eastAsia="en-US"/>
        </w:rPr>
        <w:t>These continuous consultations allowed the International Bureau to adapt its support and assistance to the evolving needs of the country and the circumstances on the ground.</w:t>
      </w:r>
    </w:p>
    <w:p w14:paraId="78A26F66" w14:textId="0FEC5AD8" w:rsidR="003646C0" w:rsidRPr="00DC307C" w:rsidRDefault="003646C0" w:rsidP="003646C0">
      <w:pPr>
        <w:pStyle w:val="ONUME"/>
        <w:rPr>
          <w:lang w:eastAsia="en-US"/>
        </w:rPr>
      </w:pPr>
      <w:bookmarkStart w:id="11" w:name="_Hlk199326752"/>
      <w:r w:rsidRPr="00B263BB">
        <w:rPr>
          <w:lang w:eastAsia="en-US"/>
        </w:rPr>
        <w:t>Further to the request by Member States</w:t>
      </w:r>
      <w:r>
        <w:rPr>
          <w:lang w:eastAsia="en-US"/>
        </w:rPr>
        <w:t>,</w:t>
      </w:r>
      <w:r w:rsidRPr="00B263BB">
        <w:rPr>
          <w:lang w:eastAsia="en-US"/>
        </w:rPr>
        <w:t xml:space="preserve"> the International Bureau conducted </w:t>
      </w:r>
      <w:r w:rsidR="009474FD">
        <w:rPr>
          <w:lang w:eastAsia="en-US"/>
        </w:rPr>
        <w:t xml:space="preserve">an </w:t>
      </w:r>
      <w:r w:rsidRPr="00B263BB">
        <w:rPr>
          <w:lang w:eastAsia="en-US"/>
        </w:rPr>
        <w:t xml:space="preserve">assessment on the impacts of the war on Ukraine’s innovation and creativity sector and </w:t>
      </w:r>
      <w:r w:rsidRPr="00B263BB">
        <w:rPr>
          <w:lang w:eastAsia="en-US"/>
        </w:rPr>
        <w:lastRenderedPageBreak/>
        <w:t>ecosystem</w:t>
      </w:r>
      <w:r w:rsidR="00E93B18">
        <w:rPr>
          <w:lang w:eastAsia="en-US"/>
        </w:rPr>
        <w:t>,</w:t>
      </w:r>
      <w:r w:rsidRPr="00B263BB">
        <w:rPr>
          <w:lang w:eastAsia="en-US"/>
        </w:rPr>
        <w:t xml:space="preserve"> </w:t>
      </w:r>
      <w:r w:rsidR="00E93B18">
        <w:rPr>
          <w:lang w:eastAsia="en-US"/>
        </w:rPr>
        <w:t xml:space="preserve">engaging in </w:t>
      </w:r>
      <w:r>
        <w:rPr>
          <w:lang w:eastAsia="en-US"/>
        </w:rPr>
        <w:t>targeted</w:t>
      </w:r>
      <w:r w:rsidRPr="00B263BB">
        <w:rPr>
          <w:lang w:eastAsia="en-US"/>
        </w:rPr>
        <w:t xml:space="preserve"> consultations with relevant stakeholders at various levels through </w:t>
      </w:r>
      <w:r w:rsidRPr="00DC307C">
        <w:rPr>
          <w:lang w:eastAsia="en-US"/>
        </w:rPr>
        <w:t>questionnaires and interviews, as well as desk research</w:t>
      </w:r>
      <w:r w:rsidR="00353BFB" w:rsidRPr="00DC307C">
        <w:rPr>
          <w:lang w:eastAsia="en-US"/>
        </w:rPr>
        <w:t xml:space="preserve"> and data analysis</w:t>
      </w:r>
      <w:r w:rsidRPr="00DC307C">
        <w:rPr>
          <w:lang w:eastAsia="en-US"/>
        </w:rPr>
        <w:t xml:space="preserve">. </w:t>
      </w:r>
    </w:p>
    <w:p w14:paraId="0A9887CE" w14:textId="546018C0" w:rsidR="003646C0" w:rsidRDefault="003646C0" w:rsidP="003646C0">
      <w:pPr>
        <w:pStyle w:val="ONUME"/>
        <w:rPr>
          <w:lang w:eastAsia="en-US"/>
        </w:rPr>
      </w:pPr>
      <w:r w:rsidRPr="00DC307C">
        <w:rPr>
          <w:lang w:eastAsia="en-US"/>
        </w:rPr>
        <w:t>Based on the outcome of this assessment, the war continues to have a</w:t>
      </w:r>
      <w:r w:rsidR="002C2408" w:rsidRPr="00DC307C">
        <w:rPr>
          <w:lang w:eastAsia="en-US"/>
        </w:rPr>
        <w:t xml:space="preserve"> severe and increasingly structural </w:t>
      </w:r>
      <w:r w:rsidRPr="00DC307C">
        <w:rPr>
          <w:lang w:eastAsia="en-US"/>
        </w:rPr>
        <w:t xml:space="preserve">impact on the innovation and creativity sector and ecosystem in Ukraine.  Most of the impact observed in reports to the WIPO Assemblies, contained in documents </w:t>
      </w:r>
      <w:hyperlink r:id="rId14" w:history="1">
        <w:r w:rsidRPr="00DC307C">
          <w:rPr>
            <w:rStyle w:val="Hyperlink"/>
            <w:lang w:eastAsia="en-US"/>
          </w:rPr>
          <w:t>A/64/8</w:t>
        </w:r>
      </w:hyperlink>
      <w:r w:rsidRPr="00DC307C">
        <w:rPr>
          <w:lang w:eastAsia="en-US"/>
        </w:rPr>
        <w:t xml:space="preserve">, </w:t>
      </w:r>
      <w:hyperlink r:id="rId15" w:history="1">
        <w:r w:rsidRPr="00DC307C">
          <w:rPr>
            <w:rStyle w:val="Hyperlink"/>
            <w:lang w:eastAsia="en-US"/>
          </w:rPr>
          <w:t>A/65/7</w:t>
        </w:r>
      </w:hyperlink>
      <w:r w:rsidRPr="00DC307C">
        <w:rPr>
          <w:lang w:eastAsia="en-US"/>
        </w:rPr>
        <w:t xml:space="preserve"> and </w:t>
      </w:r>
      <w:hyperlink r:id="rId16" w:history="1">
        <w:r w:rsidRPr="00DC307C">
          <w:rPr>
            <w:rStyle w:val="Hyperlink"/>
            <w:lang w:eastAsia="en-US"/>
          </w:rPr>
          <w:t>A/66/8</w:t>
        </w:r>
      </w:hyperlink>
      <w:r w:rsidRPr="00DC307C">
        <w:rPr>
          <w:lang w:eastAsia="en-US"/>
        </w:rPr>
        <w:t xml:space="preserve"> </w:t>
      </w:r>
      <w:r w:rsidRPr="002A5A28">
        <w:rPr>
          <w:lang w:eastAsia="en-US"/>
        </w:rPr>
        <w:t xml:space="preserve">persist or even </w:t>
      </w:r>
      <w:proofErr w:type="gramStart"/>
      <w:r w:rsidRPr="002A5A28">
        <w:rPr>
          <w:lang w:eastAsia="en-US"/>
        </w:rPr>
        <w:t>intensified</w:t>
      </w:r>
      <w:proofErr w:type="gramEnd"/>
      <w:r w:rsidRPr="00DC307C">
        <w:rPr>
          <w:lang w:eastAsia="en-US"/>
        </w:rPr>
        <w:t xml:space="preserve"> and are causing growing damage to the innovation and creative ecosystem.  </w:t>
      </w:r>
      <w:r w:rsidR="00E017F4" w:rsidRPr="00E017F4">
        <w:rPr>
          <w:lang w:eastAsia="en-US"/>
        </w:rPr>
        <w:t>At the same time, Ukrainian institutions and stakeholders have demonstrated remarkable resilience by maintaining core functions and, in some cases, expanding services and adapting operations under extraordinary pressure.</w:t>
      </w:r>
    </w:p>
    <w:p w14:paraId="5109C56D" w14:textId="6113CBAB" w:rsidR="007F7FF5" w:rsidRPr="00DC307C" w:rsidRDefault="007F7FF5" w:rsidP="003646C0">
      <w:pPr>
        <w:pStyle w:val="ONUME"/>
        <w:rPr>
          <w:lang w:eastAsia="en-US"/>
        </w:rPr>
      </w:pPr>
      <w:r w:rsidRPr="007F7FF5">
        <w:rPr>
          <w:lang w:eastAsia="en-US"/>
        </w:rPr>
        <w:t xml:space="preserve">International reporting by </w:t>
      </w:r>
      <w:r w:rsidR="00B767D8">
        <w:rPr>
          <w:lang w:eastAsia="en-US"/>
        </w:rPr>
        <w:t xml:space="preserve">the </w:t>
      </w:r>
      <w:r w:rsidR="008E5F96" w:rsidRPr="008E5F96">
        <w:rPr>
          <w:lang w:eastAsia="en-US"/>
        </w:rPr>
        <w:t xml:space="preserve">United Nations Educational, Scientific and Cultural Organization </w:t>
      </w:r>
      <w:r w:rsidR="008E5F96">
        <w:rPr>
          <w:lang w:eastAsia="en-US"/>
        </w:rPr>
        <w:t>(</w:t>
      </w:r>
      <w:r w:rsidRPr="007F7FF5">
        <w:rPr>
          <w:lang w:eastAsia="en-US"/>
        </w:rPr>
        <w:t>UNESCO</w:t>
      </w:r>
      <w:r w:rsidR="008E5F96">
        <w:rPr>
          <w:lang w:eastAsia="en-US"/>
        </w:rPr>
        <w:t>)</w:t>
      </w:r>
      <w:r w:rsidRPr="007F7FF5">
        <w:rPr>
          <w:lang w:eastAsia="en-US"/>
        </w:rPr>
        <w:t xml:space="preserve">, </w:t>
      </w:r>
      <w:r w:rsidR="00B767D8">
        <w:rPr>
          <w:lang w:eastAsia="en-US"/>
        </w:rPr>
        <w:t xml:space="preserve">the </w:t>
      </w:r>
      <w:r w:rsidR="008E5F96" w:rsidRPr="008E5F96">
        <w:rPr>
          <w:lang w:eastAsia="en-US"/>
        </w:rPr>
        <w:t xml:space="preserve">International </w:t>
      </w:r>
      <w:proofErr w:type="spellStart"/>
      <w:r w:rsidR="008E5F96" w:rsidRPr="008E5F96">
        <w:rPr>
          <w:lang w:eastAsia="en-US"/>
        </w:rPr>
        <w:t>Labour</w:t>
      </w:r>
      <w:proofErr w:type="spellEnd"/>
      <w:r w:rsidR="008E5F96" w:rsidRPr="008E5F96">
        <w:rPr>
          <w:lang w:eastAsia="en-US"/>
        </w:rPr>
        <w:t xml:space="preserve"> Organization </w:t>
      </w:r>
      <w:r w:rsidR="008E5F96">
        <w:rPr>
          <w:lang w:eastAsia="en-US"/>
        </w:rPr>
        <w:t>(</w:t>
      </w:r>
      <w:r w:rsidRPr="007F7FF5">
        <w:rPr>
          <w:lang w:eastAsia="en-US"/>
        </w:rPr>
        <w:t>ILO</w:t>
      </w:r>
      <w:r w:rsidR="008E5F96">
        <w:rPr>
          <w:lang w:eastAsia="en-US"/>
        </w:rPr>
        <w:t>)</w:t>
      </w:r>
      <w:r w:rsidRPr="007F7FF5">
        <w:rPr>
          <w:lang w:eastAsia="en-US"/>
        </w:rPr>
        <w:t xml:space="preserve">, </w:t>
      </w:r>
      <w:r w:rsidR="00B767D8">
        <w:rPr>
          <w:lang w:eastAsia="en-US"/>
        </w:rPr>
        <w:t xml:space="preserve">the </w:t>
      </w:r>
      <w:r w:rsidR="00B62114" w:rsidRPr="00B62114">
        <w:rPr>
          <w:lang w:eastAsia="en-US"/>
        </w:rPr>
        <w:t xml:space="preserve">International Telecommunication Union </w:t>
      </w:r>
      <w:r w:rsidR="00B62114">
        <w:rPr>
          <w:lang w:eastAsia="en-US"/>
        </w:rPr>
        <w:t>(</w:t>
      </w:r>
      <w:r w:rsidRPr="007F7FF5">
        <w:rPr>
          <w:lang w:eastAsia="en-US"/>
        </w:rPr>
        <w:t>ITU</w:t>
      </w:r>
      <w:r w:rsidR="00B62114">
        <w:rPr>
          <w:lang w:eastAsia="en-US"/>
        </w:rPr>
        <w:t>)</w:t>
      </w:r>
      <w:r w:rsidRPr="007F7FF5">
        <w:rPr>
          <w:lang w:eastAsia="en-US"/>
        </w:rPr>
        <w:t xml:space="preserve">, </w:t>
      </w:r>
      <w:r w:rsidR="00B767D8">
        <w:rPr>
          <w:lang w:eastAsia="en-US"/>
        </w:rPr>
        <w:t xml:space="preserve">the </w:t>
      </w:r>
      <w:r w:rsidR="00B62114" w:rsidRPr="00B62114">
        <w:rPr>
          <w:lang w:eastAsia="en-US"/>
        </w:rPr>
        <w:t xml:space="preserve">United Nations Economic Commission for Europe </w:t>
      </w:r>
      <w:r w:rsidR="00B62114">
        <w:rPr>
          <w:lang w:eastAsia="en-US"/>
        </w:rPr>
        <w:t>(</w:t>
      </w:r>
      <w:r w:rsidRPr="007F7FF5">
        <w:rPr>
          <w:lang w:eastAsia="en-US"/>
        </w:rPr>
        <w:t>UNECE</w:t>
      </w:r>
      <w:r w:rsidR="00B62114">
        <w:rPr>
          <w:lang w:eastAsia="en-US"/>
        </w:rPr>
        <w:t>)</w:t>
      </w:r>
      <w:r w:rsidRPr="007F7FF5">
        <w:rPr>
          <w:lang w:eastAsia="en-US"/>
        </w:rPr>
        <w:t xml:space="preserve">, </w:t>
      </w:r>
      <w:r w:rsidR="00B767D8">
        <w:rPr>
          <w:lang w:eastAsia="en-US"/>
        </w:rPr>
        <w:t xml:space="preserve">the </w:t>
      </w:r>
      <w:r w:rsidR="00374231" w:rsidRPr="00374231">
        <w:rPr>
          <w:lang w:eastAsia="en-US"/>
        </w:rPr>
        <w:t xml:space="preserve">Organisation for Economic Co-operation and Development </w:t>
      </w:r>
      <w:r w:rsidR="00374231">
        <w:rPr>
          <w:lang w:eastAsia="en-US"/>
        </w:rPr>
        <w:t>(</w:t>
      </w:r>
      <w:r w:rsidRPr="007F7FF5">
        <w:rPr>
          <w:lang w:eastAsia="en-US"/>
        </w:rPr>
        <w:t>OECD</w:t>
      </w:r>
      <w:r w:rsidR="00374231">
        <w:rPr>
          <w:lang w:eastAsia="en-US"/>
        </w:rPr>
        <w:t>)</w:t>
      </w:r>
      <w:r w:rsidRPr="007F7FF5">
        <w:rPr>
          <w:lang w:eastAsia="en-US"/>
        </w:rPr>
        <w:t>, the World Bank and the European Union</w:t>
      </w:r>
      <w:r w:rsidR="008B79CE">
        <w:rPr>
          <w:lang w:eastAsia="en-US"/>
        </w:rPr>
        <w:t xml:space="preserve"> </w:t>
      </w:r>
      <w:r w:rsidR="000109E3">
        <w:rPr>
          <w:lang w:eastAsia="en-US"/>
        </w:rPr>
        <w:t>(EU)</w:t>
      </w:r>
      <w:r w:rsidR="008B79CE">
        <w:rPr>
          <w:lang w:eastAsia="en-US"/>
        </w:rPr>
        <w:t xml:space="preserve"> and other international organizatio</w:t>
      </w:r>
      <w:r w:rsidR="00624872">
        <w:rPr>
          <w:lang w:eastAsia="en-US"/>
        </w:rPr>
        <w:t>ns</w:t>
      </w:r>
      <w:r w:rsidRPr="007F7FF5">
        <w:rPr>
          <w:lang w:eastAsia="en-US"/>
        </w:rPr>
        <w:t xml:space="preserve"> during the </w:t>
      </w:r>
      <w:r w:rsidR="008F5716">
        <w:rPr>
          <w:lang w:eastAsia="en-US"/>
        </w:rPr>
        <w:t>reporting period</w:t>
      </w:r>
      <w:r w:rsidRPr="007F7FF5">
        <w:rPr>
          <w:lang w:eastAsia="en-US"/>
        </w:rPr>
        <w:t xml:space="preserve"> indicates that Ukraine’s innovation, scientific, digital and creative ecosystems are gradually transitioning from emergency wartime resilience toward reconstruction-oriented transformation.</w:t>
      </w:r>
      <w:r w:rsidR="003C1A61">
        <w:rPr>
          <w:lang w:eastAsia="en-US"/>
        </w:rPr>
        <w:t xml:space="preserve"> </w:t>
      </w:r>
      <w:r w:rsidRPr="007F7FF5">
        <w:rPr>
          <w:lang w:eastAsia="en-US"/>
        </w:rPr>
        <w:t xml:space="preserve"> While structural constraints remain significant</w:t>
      </w:r>
      <w:r w:rsidR="00FF4ADE">
        <w:rPr>
          <w:lang w:eastAsia="en-US"/>
        </w:rPr>
        <w:t xml:space="preserve">, </w:t>
      </w:r>
      <w:r w:rsidRPr="007F7FF5">
        <w:rPr>
          <w:lang w:eastAsia="en-US"/>
        </w:rPr>
        <w:t>particularly in relation to human capital, infrastructure and financing</w:t>
      </w:r>
      <w:r w:rsidR="00FF4ADE">
        <w:rPr>
          <w:lang w:eastAsia="en-US"/>
        </w:rPr>
        <w:t xml:space="preserve">, </w:t>
      </w:r>
      <w:r w:rsidRPr="007F7FF5">
        <w:rPr>
          <w:lang w:eastAsia="en-US"/>
        </w:rPr>
        <w:t>the policy direction increasingly emphasizes institutional recovery, EU integration and innovation-led reconstruction as core pillars of Ukraine’s long-term development trajectory.</w:t>
      </w:r>
    </w:p>
    <w:bookmarkEnd w:id="11"/>
    <w:p w14:paraId="189EA51B" w14:textId="53D541A6" w:rsidR="003646C0" w:rsidRPr="00F14CAA" w:rsidRDefault="00FC27F1" w:rsidP="00FD6BE3">
      <w:pPr>
        <w:pStyle w:val="ONUME"/>
        <w:rPr>
          <w:lang w:eastAsia="en-US"/>
        </w:rPr>
      </w:pPr>
      <w:r>
        <w:rPr>
          <w:lang w:eastAsia="en-US"/>
        </w:rPr>
        <w:t>N</w:t>
      </w:r>
      <w:r w:rsidR="00BA01F4" w:rsidRPr="00BA01F4">
        <w:rPr>
          <w:lang w:eastAsia="en-US"/>
        </w:rPr>
        <w:t xml:space="preserve">ational IP filings experienced a declining trend in 2024, </w:t>
      </w:r>
      <w:r>
        <w:rPr>
          <w:lang w:eastAsia="en-US"/>
        </w:rPr>
        <w:t xml:space="preserve">while </w:t>
      </w:r>
      <w:r w:rsidR="00BA01F4" w:rsidRPr="00BA01F4">
        <w:rPr>
          <w:lang w:eastAsia="en-US"/>
        </w:rPr>
        <w:t xml:space="preserve">utility model applications demonstrated resilience by sustaining </w:t>
      </w:r>
      <w:proofErr w:type="gramStart"/>
      <w:r w:rsidR="00BA01F4" w:rsidRPr="00BA01F4">
        <w:rPr>
          <w:lang w:eastAsia="en-US"/>
        </w:rPr>
        <w:t>positive growth</w:t>
      </w:r>
      <w:proofErr w:type="gramEnd"/>
      <w:r w:rsidR="00BA01F4" w:rsidRPr="00BA01F4">
        <w:rPr>
          <w:lang w:eastAsia="en-US"/>
        </w:rPr>
        <w:t>.</w:t>
      </w:r>
      <w:r w:rsidR="00FD6BE3">
        <w:rPr>
          <w:lang w:eastAsia="en-US"/>
        </w:rPr>
        <w:t xml:space="preserve">  </w:t>
      </w:r>
      <w:r w:rsidR="00FD6BE3" w:rsidRPr="00FD6BE3">
        <w:rPr>
          <w:lang w:eastAsia="en-US"/>
        </w:rPr>
        <w:t>In 2025, system resilience was further evidenced by continued growth in international filings. In both cases, filings from applicants domiciled in Ukraine (resident filings) showed greater resilience than non-resident filings</w:t>
      </w:r>
      <w:r w:rsidR="00FD6BE3">
        <w:rPr>
          <w:lang w:eastAsia="en-US"/>
        </w:rPr>
        <w:t xml:space="preserve">. </w:t>
      </w:r>
    </w:p>
    <w:p w14:paraId="7FCD2550" w14:textId="77777777" w:rsidR="003646C0" w:rsidRDefault="003646C0" w:rsidP="003646C0">
      <w:pPr>
        <w:pStyle w:val="ONUME"/>
        <w:rPr>
          <w:lang w:eastAsia="en-US"/>
        </w:rPr>
      </w:pPr>
      <w:r w:rsidRPr="00DA5E09">
        <w:rPr>
          <w:lang w:eastAsia="en-US"/>
        </w:rPr>
        <w:t>The International Bureau continued to ensure adequate financial and human resources within the approved Program of Work and Budget for the implementation of technical and legal assistance, capacity building, and other projects and activities for Ukraine, as appropriate and required, for the restoration and rebuilding of Ukraine’s IP sector and ecosystem.</w:t>
      </w:r>
    </w:p>
    <w:p w14:paraId="7C1D633F" w14:textId="0E9A3935" w:rsidR="003646C0" w:rsidRPr="00DA5E09" w:rsidRDefault="003646C0" w:rsidP="003646C0">
      <w:pPr>
        <w:pStyle w:val="ONUME"/>
        <w:rPr>
          <w:lang w:eastAsia="en-US"/>
        </w:rPr>
      </w:pPr>
      <w:r w:rsidRPr="00DA5E09">
        <w:rPr>
          <w:lang w:eastAsia="en-US"/>
        </w:rPr>
        <w:t xml:space="preserve">The International Bureau also </w:t>
      </w:r>
      <w:r w:rsidR="00E7705A">
        <w:rPr>
          <w:lang w:eastAsia="en-US"/>
        </w:rPr>
        <w:t xml:space="preserve">continued to </w:t>
      </w:r>
      <w:r w:rsidRPr="00DA5E09">
        <w:rPr>
          <w:lang w:eastAsia="en-US"/>
        </w:rPr>
        <w:t xml:space="preserve">take steps to ensure that publications on WIPO resources and platforms comply with the principles of sovereignty, independence, and territorial integrity of Ukraine within its internationally recognized borders.  </w:t>
      </w:r>
    </w:p>
    <w:p w14:paraId="0E756B64" w14:textId="77777777" w:rsidR="003646C0" w:rsidRPr="00DA5E09" w:rsidRDefault="003646C0" w:rsidP="003646C0">
      <w:pPr>
        <w:pStyle w:val="ONUME"/>
        <w:rPr>
          <w:lang w:eastAsia="en-US"/>
        </w:rPr>
      </w:pPr>
      <w:r w:rsidRPr="00DA5E09">
        <w:rPr>
          <w:lang w:eastAsia="en-US"/>
        </w:rPr>
        <w:t>The International Bureau remains committed to continuing its close cooperation with Ukraine to ensure that the ongoing support and assistance provide concrete benefits and impact to the creators, innovators, and members of the IP community, while focusing on mitigating the adverse effects of the war and on rebuilding an innovative and creative ecosystem in Ukraine that benefits all stakeholders and strengthens the country’s economy.</w:t>
      </w:r>
    </w:p>
    <w:p w14:paraId="49A58669" w14:textId="77777777" w:rsidR="003646C0" w:rsidRPr="00B85962" w:rsidRDefault="003646C0" w:rsidP="00CC1324">
      <w:pPr>
        <w:pStyle w:val="Heading1"/>
        <w:keepLines w:val="0"/>
        <w:spacing w:before="240" w:after="60" w:line="240" w:lineRule="auto"/>
        <w:ind w:left="547" w:hanging="547"/>
        <w:rPr>
          <w:rFonts w:eastAsia="SimSun"/>
          <w:b/>
          <w:bCs/>
          <w:caps/>
          <w:color w:val="auto"/>
          <w:kern w:val="32"/>
          <w:sz w:val="22"/>
          <w:szCs w:val="32"/>
          <w:lang w:eastAsia="en-US"/>
        </w:rPr>
      </w:pPr>
      <w:bookmarkStart w:id="12" w:name="_Toc232436569"/>
      <w:r w:rsidRPr="00160936">
        <w:rPr>
          <w:rFonts w:eastAsia="SimSun"/>
          <w:b/>
          <w:bCs/>
          <w:caps/>
          <w:color w:val="auto"/>
          <w:kern w:val="32"/>
          <w:sz w:val="22"/>
          <w:szCs w:val="32"/>
          <w:lang w:eastAsia="en-US"/>
        </w:rPr>
        <w:t xml:space="preserve">2. </w:t>
      </w:r>
      <w:r w:rsidRPr="00160936">
        <w:rPr>
          <w:rFonts w:eastAsia="SimSun"/>
          <w:b/>
          <w:bCs/>
          <w:caps/>
          <w:color w:val="auto"/>
          <w:kern w:val="32"/>
          <w:sz w:val="22"/>
          <w:szCs w:val="32"/>
          <w:lang w:eastAsia="en-US"/>
        </w:rPr>
        <w:tab/>
        <w:t xml:space="preserve">ASSESSMENT OF IMPACTS OF THE WAR ON UKRAINE’S INNOVATION AND </w:t>
      </w:r>
      <w:r w:rsidRPr="00B85962">
        <w:rPr>
          <w:rFonts w:eastAsia="SimSun"/>
          <w:b/>
          <w:bCs/>
          <w:caps/>
          <w:color w:val="auto"/>
          <w:kern w:val="32"/>
          <w:sz w:val="22"/>
          <w:szCs w:val="32"/>
          <w:lang w:eastAsia="en-US"/>
        </w:rPr>
        <w:t>CREATIVITY SECTOR AND ECOSYSTEM</w:t>
      </w:r>
      <w:bookmarkEnd w:id="12"/>
      <w:r w:rsidRPr="00B85962">
        <w:rPr>
          <w:rFonts w:eastAsia="SimSun"/>
          <w:b/>
          <w:bCs/>
          <w:caps/>
          <w:color w:val="auto"/>
          <w:kern w:val="32"/>
          <w:sz w:val="22"/>
          <w:szCs w:val="32"/>
          <w:lang w:eastAsia="en-US"/>
        </w:rPr>
        <w:t xml:space="preserve"> </w:t>
      </w:r>
    </w:p>
    <w:p w14:paraId="103E6E12" w14:textId="77777777" w:rsidR="00497E56" w:rsidRPr="003010B8" w:rsidRDefault="00497E56" w:rsidP="00497E56">
      <w:pPr>
        <w:pStyle w:val="Heading2"/>
        <w:keepLines w:val="0"/>
        <w:spacing w:before="240" w:after="220"/>
        <w:ind w:left="1170" w:hanging="623"/>
        <w:rPr>
          <w:b w:val="0"/>
          <w:bCs/>
          <w:color w:val="auto"/>
          <w:sz w:val="22"/>
          <w:szCs w:val="18"/>
          <w:lang w:eastAsia="en-US"/>
        </w:rPr>
      </w:pPr>
      <w:bookmarkStart w:id="13" w:name="_Toc227774533"/>
      <w:bookmarkStart w:id="14" w:name="_Toc232436570"/>
      <w:r w:rsidRPr="003010B8">
        <w:rPr>
          <w:b w:val="0"/>
          <w:bCs/>
          <w:color w:val="auto"/>
          <w:sz w:val="22"/>
          <w:szCs w:val="18"/>
          <w:lang w:eastAsia="en-US"/>
        </w:rPr>
        <w:t>2.1.</w:t>
      </w:r>
      <w:r w:rsidRPr="003010B8">
        <w:rPr>
          <w:b w:val="0"/>
          <w:bCs/>
          <w:color w:val="auto"/>
          <w:sz w:val="22"/>
          <w:szCs w:val="18"/>
          <w:lang w:eastAsia="en-US"/>
        </w:rPr>
        <w:tab/>
        <w:t>SUMMARY</w:t>
      </w:r>
      <w:bookmarkEnd w:id="13"/>
      <w:bookmarkEnd w:id="14"/>
    </w:p>
    <w:p w14:paraId="6CDF96CB" w14:textId="082B7964" w:rsidR="009C0379" w:rsidRDefault="00497E56" w:rsidP="002A5A28">
      <w:pPr>
        <w:pStyle w:val="ONUME"/>
        <w:numPr>
          <w:ilvl w:val="0"/>
          <w:numId w:val="13"/>
        </w:numPr>
        <w:rPr>
          <w:lang w:eastAsia="en-US"/>
        </w:rPr>
      </w:pPr>
      <w:r w:rsidRPr="00113902">
        <w:rPr>
          <w:lang w:eastAsia="en-US"/>
        </w:rPr>
        <w:t xml:space="preserve">  </w:t>
      </w:r>
      <w:r>
        <w:rPr>
          <w:lang w:eastAsia="en-US"/>
        </w:rPr>
        <w:t>Four</w:t>
      </w:r>
      <w:r w:rsidRPr="00EC0B22">
        <w:rPr>
          <w:lang w:eastAsia="en-US"/>
        </w:rPr>
        <w:t xml:space="preserve"> years of war </w:t>
      </w:r>
      <w:r w:rsidR="005D182C">
        <w:rPr>
          <w:lang w:eastAsia="en-US"/>
        </w:rPr>
        <w:t xml:space="preserve">have </w:t>
      </w:r>
      <w:r w:rsidR="00B0580F">
        <w:rPr>
          <w:lang w:eastAsia="en-US"/>
        </w:rPr>
        <w:t>continue</w:t>
      </w:r>
      <w:r w:rsidR="005D182C">
        <w:rPr>
          <w:lang w:eastAsia="en-US"/>
        </w:rPr>
        <w:t>d</w:t>
      </w:r>
      <w:r w:rsidR="00B0580F">
        <w:rPr>
          <w:lang w:eastAsia="en-US"/>
        </w:rPr>
        <w:t xml:space="preserve"> to cause</w:t>
      </w:r>
      <w:r w:rsidR="00B0580F" w:rsidRPr="00EC0B22">
        <w:rPr>
          <w:lang w:eastAsia="en-US"/>
        </w:rPr>
        <w:t xml:space="preserve"> </w:t>
      </w:r>
      <w:r w:rsidRPr="00EC0B22">
        <w:rPr>
          <w:lang w:eastAsia="en-US"/>
        </w:rPr>
        <w:t xml:space="preserve">profound social, humanitarian, and economic </w:t>
      </w:r>
      <w:r w:rsidR="00EE6795">
        <w:rPr>
          <w:lang w:eastAsia="en-US"/>
        </w:rPr>
        <w:t>impacts</w:t>
      </w:r>
      <w:r w:rsidR="00EE6795" w:rsidRPr="00EC0B22">
        <w:rPr>
          <w:lang w:eastAsia="en-US"/>
        </w:rPr>
        <w:t xml:space="preserve"> </w:t>
      </w:r>
      <w:r w:rsidRPr="00EC0B22">
        <w:rPr>
          <w:lang w:eastAsia="en-US"/>
        </w:rPr>
        <w:t xml:space="preserve">on Ukraine.  </w:t>
      </w:r>
      <w:r w:rsidR="00C05C82">
        <w:rPr>
          <w:lang w:eastAsia="en-US"/>
        </w:rPr>
        <w:t>The</w:t>
      </w:r>
      <w:r w:rsidRPr="00EC0B22">
        <w:rPr>
          <w:lang w:eastAsia="en-US"/>
        </w:rPr>
        <w:t xml:space="preserve"> "Ukraine - </w:t>
      </w:r>
      <w:r>
        <w:rPr>
          <w:lang w:eastAsia="en-US"/>
        </w:rPr>
        <w:t>Fifth</w:t>
      </w:r>
      <w:r w:rsidRPr="00EC0B22">
        <w:rPr>
          <w:lang w:eastAsia="en-US"/>
        </w:rPr>
        <w:t xml:space="preserve"> Rapid Damage and Needs Assessment"</w:t>
      </w:r>
      <w:r w:rsidR="00343C5E">
        <w:rPr>
          <w:lang w:eastAsia="en-US"/>
        </w:rPr>
        <w:t xml:space="preserve"> </w:t>
      </w:r>
      <w:r w:rsidRPr="00EC0B22">
        <w:rPr>
          <w:lang w:eastAsia="en-US"/>
        </w:rPr>
        <w:t>(RDNA</w:t>
      </w:r>
      <w:r>
        <w:rPr>
          <w:lang w:eastAsia="en-US"/>
        </w:rPr>
        <w:t>5</w:t>
      </w:r>
      <w:r w:rsidRPr="00EC0B22">
        <w:rPr>
          <w:lang w:eastAsia="en-US"/>
        </w:rPr>
        <w:t xml:space="preserve">) </w:t>
      </w:r>
      <w:r w:rsidR="001E0856">
        <w:rPr>
          <w:lang w:eastAsia="en-US"/>
        </w:rPr>
        <w:t>r</w:t>
      </w:r>
      <w:r w:rsidR="00343C5E">
        <w:rPr>
          <w:lang w:eastAsia="en-US"/>
        </w:rPr>
        <w:t xml:space="preserve">eport </w:t>
      </w:r>
      <w:r w:rsidRPr="00EC0B22">
        <w:rPr>
          <w:lang w:eastAsia="en-US"/>
        </w:rPr>
        <w:t>published by the World Bank</w:t>
      </w:r>
      <w:r w:rsidRPr="00EC0B22">
        <w:rPr>
          <w:vertAlign w:val="superscript"/>
          <w:lang w:eastAsia="en-US"/>
        </w:rPr>
        <w:footnoteReference w:id="3"/>
      </w:r>
      <w:r w:rsidRPr="00EC0B22">
        <w:rPr>
          <w:lang w:eastAsia="en-US"/>
        </w:rPr>
        <w:t xml:space="preserve"> in </w:t>
      </w:r>
      <w:r>
        <w:rPr>
          <w:lang w:eastAsia="en-US"/>
        </w:rPr>
        <w:t>February</w:t>
      </w:r>
      <w:r w:rsidRPr="00EC0B22">
        <w:rPr>
          <w:lang w:eastAsia="en-US"/>
        </w:rPr>
        <w:t xml:space="preserve"> 202</w:t>
      </w:r>
      <w:r>
        <w:rPr>
          <w:lang w:eastAsia="en-US"/>
        </w:rPr>
        <w:t>6</w:t>
      </w:r>
      <w:r w:rsidRPr="00EC0B22">
        <w:rPr>
          <w:lang w:eastAsia="en-US"/>
        </w:rPr>
        <w:t xml:space="preserve"> and covering the period from February 2022 to December 202</w:t>
      </w:r>
      <w:r>
        <w:rPr>
          <w:lang w:eastAsia="en-US"/>
        </w:rPr>
        <w:t>5</w:t>
      </w:r>
      <w:r w:rsidRPr="00EC0B22">
        <w:rPr>
          <w:lang w:eastAsia="en-US"/>
        </w:rPr>
        <w:t xml:space="preserve">, </w:t>
      </w:r>
      <w:r w:rsidR="0070470A">
        <w:rPr>
          <w:lang w:eastAsia="en-US"/>
        </w:rPr>
        <w:t xml:space="preserve">provides updated estimates of damage and losses as well as recovery </w:t>
      </w:r>
      <w:r w:rsidR="0070470A">
        <w:rPr>
          <w:lang w:eastAsia="en-US"/>
        </w:rPr>
        <w:lastRenderedPageBreak/>
        <w:t>and reconstruction needs.</w:t>
      </w:r>
      <w:r w:rsidR="003C1A61">
        <w:rPr>
          <w:lang w:eastAsia="en-US"/>
        </w:rPr>
        <w:t xml:space="preserve"> </w:t>
      </w:r>
      <w:r w:rsidR="00F71D7E" w:rsidRPr="00F71D7E">
        <w:t xml:space="preserve"> </w:t>
      </w:r>
      <w:r w:rsidR="00F71D7E">
        <w:rPr>
          <w:lang w:eastAsia="en-US"/>
        </w:rPr>
        <w:t>The RDNA5 findings highlight the expanding footprint of destruction in 2025 and the increasing complexity of restoring systems essential for economic recovery and social wellbeing.</w:t>
      </w:r>
      <w:r w:rsidR="00DE00F5">
        <w:rPr>
          <w:lang w:eastAsia="en-US"/>
        </w:rPr>
        <w:t xml:space="preserve"> </w:t>
      </w:r>
    </w:p>
    <w:p w14:paraId="4109C695" w14:textId="19F0C4E9" w:rsidR="007C46D3" w:rsidRPr="00EC0B22" w:rsidRDefault="00B4253D" w:rsidP="00011A07">
      <w:pPr>
        <w:pStyle w:val="ONUME"/>
        <w:rPr>
          <w:lang w:eastAsia="en-US"/>
        </w:rPr>
      </w:pPr>
      <w:r w:rsidRPr="00B4253D">
        <w:rPr>
          <w:lang w:eastAsia="en-US"/>
        </w:rPr>
        <w:t>According to RDNA5, socioeconomic losses are estimated at 666.7 billion United States dollars, a 13.2 per</w:t>
      </w:r>
      <w:r w:rsidR="002B0284">
        <w:rPr>
          <w:lang w:eastAsia="en-US"/>
        </w:rPr>
        <w:t xml:space="preserve"> </w:t>
      </w:r>
      <w:r w:rsidRPr="00B4253D">
        <w:rPr>
          <w:lang w:eastAsia="en-US"/>
        </w:rPr>
        <w:t xml:space="preserve">cent increase since </w:t>
      </w:r>
      <w:r w:rsidR="003C1A61">
        <w:rPr>
          <w:lang w:eastAsia="en-US"/>
        </w:rPr>
        <w:t>the “</w:t>
      </w:r>
      <w:r w:rsidR="003C1A61" w:rsidRPr="00EC0B22">
        <w:rPr>
          <w:lang w:eastAsia="en-US"/>
        </w:rPr>
        <w:t>Ukraine -</w:t>
      </w:r>
      <w:r w:rsidR="003C1A61">
        <w:rPr>
          <w:lang w:eastAsia="en-US"/>
        </w:rPr>
        <w:t xml:space="preserve"> </w:t>
      </w:r>
      <w:r w:rsidR="003C1A61" w:rsidRPr="003C1A61">
        <w:rPr>
          <w:lang w:eastAsia="en-US"/>
        </w:rPr>
        <w:t>Fourth Rapid Damage and Needs Assessment</w:t>
      </w:r>
      <w:r w:rsidR="003C1A61">
        <w:rPr>
          <w:lang w:eastAsia="en-US"/>
        </w:rPr>
        <w:t>” (</w:t>
      </w:r>
      <w:r w:rsidRPr="00B4253D">
        <w:rPr>
          <w:lang w:eastAsia="en-US"/>
        </w:rPr>
        <w:t>RDNA4</w:t>
      </w:r>
      <w:r w:rsidR="003C1A61">
        <w:rPr>
          <w:lang w:eastAsia="en-US"/>
        </w:rPr>
        <w:t>)</w:t>
      </w:r>
      <w:r w:rsidRPr="00B4253D">
        <w:rPr>
          <w:lang w:eastAsia="en-US"/>
        </w:rPr>
        <w:t xml:space="preserve"> </w:t>
      </w:r>
      <w:r w:rsidR="00011A07">
        <w:rPr>
          <w:rStyle w:val="FootnoteReference"/>
          <w:lang w:eastAsia="en-US"/>
        </w:rPr>
        <w:footnoteReference w:id="4"/>
      </w:r>
      <w:r w:rsidR="00011A07">
        <w:rPr>
          <w:lang w:eastAsia="en-US"/>
        </w:rPr>
        <w:t xml:space="preserve"> </w:t>
      </w:r>
      <w:r w:rsidR="001E0856">
        <w:rPr>
          <w:lang w:eastAsia="en-US"/>
        </w:rPr>
        <w:t xml:space="preserve">report </w:t>
      </w:r>
      <w:r w:rsidRPr="00B4253D">
        <w:rPr>
          <w:lang w:eastAsia="en-US"/>
        </w:rPr>
        <w:t>that reflects the extensive and prolonged disruption to economic activity, public services, and livelihoods nationwide.</w:t>
      </w:r>
      <w:r w:rsidR="00011A07">
        <w:rPr>
          <w:lang w:eastAsia="en-US"/>
        </w:rPr>
        <w:t xml:space="preserve"> </w:t>
      </w:r>
    </w:p>
    <w:p w14:paraId="455EF14B" w14:textId="38620365" w:rsidR="00071DDF" w:rsidRDefault="00071DDF" w:rsidP="00071DDF">
      <w:pPr>
        <w:pStyle w:val="ONUME"/>
        <w:rPr>
          <w:szCs w:val="22"/>
        </w:rPr>
      </w:pPr>
      <w:bookmarkStart w:id="17" w:name="_Hlk199437912"/>
      <w:r>
        <w:t xml:space="preserve">As of December 31, 2025, </w:t>
      </w:r>
      <w:r w:rsidR="00FB4297">
        <w:t xml:space="preserve">RDNA5 also estimated </w:t>
      </w:r>
      <w:r>
        <w:t xml:space="preserve">the direct damage in Ukraine </w:t>
      </w:r>
      <w:r w:rsidR="00FB4297">
        <w:t xml:space="preserve">to have </w:t>
      </w:r>
      <w:r>
        <w:t>reached approximately 195.1 billion United States dollars, with housing, transport, and energy as the most affected sectors.</w:t>
      </w:r>
      <w:r w:rsidR="003C1A61">
        <w:t xml:space="preserve"> </w:t>
      </w:r>
      <w:r>
        <w:t xml:space="preserve"> This represents an increase of about 10.8 per cent compared with the RDNA4.  </w:t>
      </w:r>
      <w:r w:rsidR="003C1A61">
        <w:t xml:space="preserve"> </w:t>
      </w:r>
      <w:r>
        <w:t xml:space="preserve">In addition, as of May 13, 2026, UNESCO verified damage to 527 cultural sites since February 24, 2022:  </w:t>
      </w:r>
      <w:r w:rsidR="003C1A61">
        <w:t xml:space="preserve"> </w:t>
      </w:r>
      <w:r>
        <w:t xml:space="preserve">153 religious sites, 276 buildings of historical and/or artistic interest, 39 museums, 33 monuments, 21 libraries, </w:t>
      </w:r>
      <w:r w:rsidR="00503B89">
        <w:t>four</w:t>
      </w:r>
      <w:r>
        <w:t xml:space="preserve"> archaeological sites and one archive.</w:t>
      </w:r>
      <w:r w:rsidR="00E20B37">
        <w:rPr>
          <w:rStyle w:val="FootnoteReference"/>
        </w:rPr>
        <w:footnoteReference w:id="5"/>
      </w:r>
      <w:r w:rsidR="00E20B37" w:rsidDel="00E20B37">
        <w:t xml:space="preserve"> </w:t>
      </w:r>
    </w:p>
    <w:p w14:paraId="70C60A7A" w14:textId="53483697" w:rsidR="00497E56" w:rsidRPr="00E11729" w:rsidRDefault="00497E56" w:rsidP="008A29A0">
      <w:pPr>
        <w:pStyle w:val="ONUME"/>
        <w:rPr>
          <w:lang w:eastAsia="en-US"/>
        </w:rPr>
      </w:pPr>
      <w:r w:rsidRPr="00EC0B22">
        <w:rPr>
          <w:lang w:eastAsia="en-US"/>
        </w:rPr>
        <w:t xml:space="preserve">According to </w:t>
      </w:r>
      <w:r>
        <w:rPr>
          <w:lang w:eastAsia="en-US"/>
        </w:rPr>
        <w:t>t</w:t>
      </w:r>
      <w:r w:rsidRPr="00A002DE">
        <w:rPr>
          <w:lang w:eastAsia="en-US"/>
        </w:rPr>
        <w:t>he Office of the United Nations High Commissioner for Human Rights (OHCHR)</w:t>
      </w:r>
      <w:r>
        <w:rPr>
          <w:lang w:eastAsia="en-US"/>
        </w:rPr>
        <w:t>,</w:t>
      </w:r>
      <w:r w:rsidRPr="00EC0B22">
        <w:rPr>
          <w:vertAlign w:val="superscript"/>
          <w:lang w:eastAsia="en-US"/>
        </w:rPr>
        <w:footnoteReference w:id="6"/>
      </w:r>
      <w:r w:rsidRPr="00EC0B22">
        <w:rPr>
          <w:lang w:eastAsia="en-US"/>
        </w:rPr>
        <w:t xml:space="preserve"> as of February 202</w:t>
      </w:r>
      <w:r>
        <w:rPr>
          <w:lang w:eastAsia="en-US"/>
        </w:rPr>
        <w:t>6,</w:t>
      </w:r>
      <w:r w:rsidRPr="00EC0B22">
        <w:rPr>
          <w:lang w:eastAsia="en-US"/>
        </w:rPr>
        <w:t xml:space="preserve"> at least 1</w:t>
      </w:r>
      <w:r>
        <w:rPr>
          <w:lang w:eastAsia="en-US"/>
        </w:rPr>
        <w:t>5</w:t>
      </w:r>
      <w:r w:rsidRPr="00EC0B22">
        <w:rPr>
          <w:lang w:eastAsia="en-US"/>
        </w:rPr>
        <w:t>,</w:t>
      </w:r>
      <w:r>
        <w:rPr>
          <w:lang w:eastAsia="en-US"/>
        </w:rPr>
        <w:t>172</w:t>
      </w:r>
      <w:r w:rsidRPr="00EC0B22">
        <w:rPr>
          <w:lang w:eastAsia="en-US"/>
        </w:rPr>
        <w:t xml:space="preserve"> civilians </w:t>
      </w:r>
      <w:r w:rsidR="00AD698E">
        <w:rPr>
          <w:lang w:eastAsia="en-US"/>
        </w:rPr>
        <w:t>had</w:t>
      </w:r>
      <w:r w:rsidR="00AD698E" w:rsidRPr="00EC0B22">
        <w:rPr>
          <w:lang w:eastAsia="en-US"/>
        </w:rPr>
        <w:t xml:space="preserve"> </w:t>
      </w:r>
      <w:r w:rsidRPr="00EC0B22">
        <w:rPr>
          <w:lang w:eastAsia="en-US"/>
        </w:rPr>
        <w:t xml:space="preserve">been killed and </w:t>
      </w:r>
      <w:r>
        <w:rPr>
          <w:lang w:eastAsia="en-US"/>
        </w:rPr>
        <w:t>41</w:t>
      </w:r>
      <w:r w:rsidRPr="00EC0B22">
        <w:rPr>
          <w:lang w:eastAsia="en-US"/>
        </w:rPr>
        <w:t>,</w:t>
      </w:r>
      <w:r>
        <w:rPr>
          <w:lang w:eastAsia="en-US"/>
        </w:rPr>
        <w:t>378</w:t>
      </w:r>
      <w:r w:rsidRPr="00EC0B22">
        <w:rPr>
          <w:lang w:eastAsia="en-US"/>
        </w:rPr>
        <w:t xml:space="preserve"> injured</w:t>
      </w:r>
      <w:r w:rsidR="00AD698E">
        <w:rPr>
          <w:lang w:eastAsia="en-US"/>
        </w:rPr>
        <w:t>.</w:t>
      </w:r>
      <w:r w:rsidRPr="00EC0B22">
        <w:rPr>
          <w:lang w:eastAsia="en-US"/>
        </w:rPr>
        <w:t xml:space="preserve"> </w:t>
      </w:r>
      <w:r w:rsidR="00AD698E">
        <w:rPr>
          <w:lang w:eastAsia="en-US"/>
        </w:rPr>
        <w:t xml:space="preserve"> T</w:t>
      </w:r>
      <w:r w:rsidRPr="00EC0B22">
        <w:rPr>
          <w:lang w:eastAsia="en-US"/>
        </w:rPr>
        <w:t xml:space="preserve">he widespread </w:t>
      </w:r>
      <w:r w:rsidRPr="002D01AF">
        <w:rPr>
          <w:lang w:eastAsia="en-US"/>
        </w:rPr>
        <w:t>displacement</w:t>
      </w:r>
      <w:r w:rsidRPr="00EC0B22">
        <w:rPr>
          <w:lang w:eastAsia="en-US"/>
        </w:rPr>
        <w:t xml:space="preserve"> </w:t>
      </w:r>
      <w:r w:rsidRPr="00E11729">
        <w:rPr>
          <w:lang w:eastAsia="en-US"/>
        </w:rPr>
        <w:t xml:space="preserve">of the population continues to </w:t>
      </w:r>
      <w:r w:rsidR="002627A7">
        <w:rPr>
          <w:lang w:eastAsia="en-US"/>
        </w:rPr>
        <w:t>pose</w:t>
      </w:r>
      <w:r w:rsidRPr="00E11729">
        <w:rPr>
          <w:lang w:eastAsia="en-US"/>
        </w:rPr>
        <w:t xml:space="preserve"> a significant challenge.  According to the United Nations High Commissioner for Refugees (UNHCR)</w:t>
      </w:r>
      <w:r w:rsidR="00F47307">
        <w:rPr>
          <w:lang w:eastAsia="en-US"/>
        </w:rPr>
        <w:t>,</w:t>
      </w:r>
      <w:r w:rsidRPr="00E11729">
        <w:rPr>
          <w:vertAlign w:val="superscript"/>
          <w:lang w:eastAsia="en-US"/>
        </w:rPr>
        <w:footnoteReference w:id="7"/>
      </w:r>
      <w:r w:rsidRPr="00E11729">
        <w:rPr>
          <w:lang w:eastAsia="en-US"/>
        </w:rPr>
        <w:t xml:space="preserve"> as of April 30, 2026, a total of 5,762,290 Ukrainian refugees </w:t>
      </w:r>
      <w:r w:rsidR="00CB2888">
        <w:rPr>
          <w:lang w:eastAsia="en-US"/>
        </w:rPr>
        <w:t>had</w:t>
      </w:r>
      <w:r w:rsidR="00CB2888" w:rsidRPr="00E11729">
        <w:rPr>
          <w:lang w:eastAsia="en-US"/>
        </w:rPr>
        <w:t xml:space="preserve"> </w:t>
      </w:r>
      <w:r w:rsidRPr="00E11729">
        <w:rPr>
          <w:lang w:eastAsia="en-US"/>
        </w:rPr>
        <w:t>been recorded globally, and according to the International Organization for Migration (IOM),</w:t>
      </w:r>
      <w:r w:rsidRPr="00E11729">
        <w:rPr>
          <w:vertAlign w:val="superscript"/>
          <w:lang w:eastAsia="en-US"/>
        </w:rPr>
        <w:footnoteReference w:id="8"/>
      </w:r>
      <w:r w:rsidRPr="00E11729">
        <w:rPr>
          <w:lang w:eastAsia="en-US"/>
        </w:rPr>
        <w:t xml:space="preserve"> as of January 2026, an estimated 3.7 million persons </w:t>
      </w:r>
      <w:r w:rsidR="00FB4297">
        <w:rPr>
          <w:lang w:eastAsia="en-US"/>
        </w:rPr>
        <w:t>were</w:t>
      </w:r>
      <w:r w:rsidR="00FB4297" w:rsidRPr="00E11729">
        <w:rPr>
          <w:lang w:eastAsia="en-US"/>
        </w:rPr>
        <w:t xml:space="preserve"> </w:t>
      </w:r>
      <w:r w:rsidRPr="00E11729">
        <w:rPr>
          <w:lang w:eastAsia="en-US"/>
        </w:rPr>
        <w:t xml:space="preserve">internally displaced within Ukraine. </w:t>
      </w:r>
      <w:r w:rsidR="00152E57" w:rsidRPr="00E11729">
        <w:rPr>
          <w:lang w:eastAsia="en-US"/>
        </w:rPr>
        <w:t xml:space="preserve"> </w:t>
      </w:r>
    </w:p>
    <w:p w14:paraId="788CE4D3" w14:textId="7199C928" w:rsidR="00497E56" w:rsidRPr="00113902" w:rsidRDefault="00795AA2" w:rsidP="00497E56">
      <w:pPr>
        <w:pStyle w:val="ONUME"/>
        <w:rPr>
          <w:lang w:eastAsia="en-US"/>
        </w:rPr>
      </w:pPr>
      <w:r w:rsidRPr="00795AA2">
        <w:rPr>
          <w:lang w:eastAsia="en-US"/>
        </w:rPr>
        <w:t>All reported figures continue to evolve as the war persists and the outlook remains highly uncertain</w:t>
      </w:r>
      <w:r w:rsidR="002969DF">
        <w:rPr>
          <w:lang w:eastAsia="en-US"/>
        </w:rPr>
        <w:t xml:space="preserve">. </w:t>
      </w:r>
      <w:bookmarkEnd w:id="17"/>
    </w:p>
    <w:p w14:paraId="50337241" w14:textId="14631C85" w:rsidR="00497E56" w:rsidRPr="00113902" w:rsidRDefault="00497E56" w:rsidP="00497E56">
      <w:pPr>
        <w:pStyle w:val="ONUME"/>
        <w:rPr>
          <w:lang w:eastAsia="en-US"/>
        </w:rPr>
      </w:pPr>
      <w:r w:rsidRPr="00113902">
        <w:rPr>
          <w:lang w:eastAsia="en-US"/>
        </w:rPr>
        <w:t xml:space="preserve">Against this background and further to the request by Member States, the International Bureau conducted an assessment on the impacts of the war on Ukraine’s innovation and creativity sector and ecosystem by </w:t>
      </w:r>
      <w:r w:rsidR="00C27E5D">
        <w:rPr>
          <w:lang w:eastAsia="en-US"/>
        </w:rPr>
        <w:t xml:space="preserve">engaging in </w:t>
      </w:r>
      <w:r w:rsidRPr="00113902">
        <w:rPr>
          <w:lang w:eastAsia="en-US"/>
        </w:rPr>
        <w:t xml:space="preserve">consultations with relevant stakeholders at various levels through questionnaires and interviews, as well as desk research and data analysis. </w:t>
      </w:r>
    </w:p>
    <w:p w14:paraId="2E658259" w14:textId="70C3E544" w:rsidR="00F165D5" w:rsidRDefault="00497E56" w:rsidP="00497E56">
      <w:pPr>
        <w:pStyle w:val="ONUME"/>
        <w:rPr>
          <w:lang w:eastAsia="en-US"/>
        </w:rPr>
      </w:pPr>
      <w:r w:rsidRPr="00E11729">
        <w:rPr>
          <w:lang w:eastAsia="en-US"/>
        </w:rPr>
        <w:t xml:space="preserve">According to this assessment, the innovation and creativity sector and ecosystem in Ukraine continue to experience </w:t>
      </w:r>
      <w:r w:rsidR="002262BA" w:rsidRPr="002262BA">
        <w:rPr>
          <w:lang w:eastAsia="en-US"/>
        </w:rPr>
        <w:t>severe and increasingly structural impacts from the ongoing war.</w:t>
      </w:r>
      <w:r w:rsidRPr="00E11729">
        <w:rPr>
          <w:lang w:eastAsia="en-US"/>
        </w:rPr>
        <w:t xml:space="preserve"> </w:t>
      </w:r>
      <w:r w:rsidR="003C1A61">
        <w:rPr>
          <w:lang w:eastAsia="en-US"/>
        </w:rPr>
        <w:t xml:space="preserve"> </w:t>
      </w:r>
      <w:r w:rsidRPr="00E11729">
        <w:rPr>
          <w:lang w:eastAsia="en-US"/>
        </w:rPr>
        <w:t xml:space="preserve">Most of the negative impacts observed in the reports to the WIPO Assemblies, contained in documents </w:t>
      </w:r>
      <w:hyperlink r:id="rId17" w:history="1">
        <w:r w:rsidRPr="00E11729">
          <w:rPr>
            <w:rStyle w:val="Hyperlink"/>
            <w:lang w:eastAsia="en-US"/>
          </w:rPr>
          <w:t>A/64/8</w:t>
        </w:r>
      </w:hyperlink>
      <w:r w:rsidRPr="00E11729">
        <w:rPr>
          <w:lang w:eastAsia="en-US"/>
        </w:rPr>
        <w:t xml:space="preserve">,  </w:t>
      </w:r>
      <w:hyperlink r:id="rId18" w:history="1">
        <w:r w:rsidRPr="00E11729">
          <w:rPr>
            <w:rStyle w:val="Hyperlink"/>
            <w:lang w:eastAsia="en-US"/>
          </w:rPr>
          <w:t>A/65/7</w:t>
        </w:r>
      </w:hyperlink>
      <w:r w:rsidRPr="00E11729">
        <w:t xml:space="preserve"> </w:t>
      </w:r>
      <w:r w:rsidRPr="00E11729">
        <w:rPr>
          <w:lang w:eastAsia="en-US"/>
        </w:rPr>
        <w:t xml:space="preserve">and </w:t>
      </w:r>
      <w:hyperlink r:id="rId19" w:history="1">
        <w:r w:rsidRPr="00E11729">
          <w:rPr>
            <w:rStyle w:val="Hyperlink"/>
            <w:lang w:eastAsia="en-US"/>
          </w:rPr>
          <w:t>A/66/8</w:t>
        </w:r>
      </w:hyperlink>
      <w:r w:rsidRPr="00E11729">
        <w:rPr>
          <w:lang w:eastAsia="en-US"/>
        </w:rPr>
        <w:t xml:space="preserve"> </w:t>
      </w:r>
      <w:r w:rsidR="00141EB8" w:rsidRPr="00141EB8">
        <w:rPr>
          <w:lang w:eastAsia="en-US"/>
        </w:rPr>
        <w:t xml:space="preserve">persist or </w:t>
      </w:r>
      <w:r w:rsidR="00FA2536">
        <w:rPr>
          <w:lang w:eastAsia="en-US"/>
        </w:rPr>
        <w:t xml:space="preserve">have even </w:t>
      </w:r>
      <w:r w:rsidR="00141EB8" w:rsidRPr="00141EB8">
        <w:rPr>
          <w:lang w:eastAsia="en-US"/>
        </w:rPr>
        <w:t>intensified, causing cumulative damage to the innovation ecosystem</w:t>
      </w:r>
      <w:r w:rsidR="00141EB8">
        <w:rPr>
          <w:lang w:eastAsia="en-US"/>
        </w:rPr>
        <w:t xml:space="preserve">. </w:t>
      </w:r>
      <w:r w:rsidR="003C1A61">
        <w:rPr>
          <w:lang w:eastAsia="en-US"/>
        </w:rPr>
        <w:t xml:space="preserve"> </w:t>
      </w:r>
      <w:r w:rsidR="00C5294F" w:rsidRPr="00C5294F">
        <w:rPr>
          <w:lang w:eastAsia="en-US"/>
        </w:rPr>
        <w:t xml:space="preserve">These include social harm, mental health repercussions, increased infrastructure damage and loss of research equipment, brain drain, and a general lack of human resources, </w:t>
      </w:r>
      <w:r w:rsidR="00CA1B09">
        <w:rPr>
          <w:lang w:eastAsia="en-US"/>
        </w:rPr>
        <w:t xml:space="preserve">particularly </w:t>
      </w:r>
      <w:r w:rsidR="00605217">
        <w:rPr>
          <w:lang w:eastAsia="en-US"/>
        </w:rPr>
        <w:t>acute</w:t>
      </w:r>
      <w:r w:rsidR="00CA1B09" w:rsidRPr="00C5294F">
        <w:rPr>
          <w:lang w:eastAsia="en-US"/>
        </w:rPr>
        <w:t xml:space="preserve"> </w:t>
      </w:r>
      <w:r w:rsidR="00C5294F" w:rsidRPr="00C5294F">
        <w:rPr>
          <w:lang w:eastAsia="en-US"/>
        </w:rPr>
        <w:t>in the research and innovation (R&amp;I) sector</w:t>
      </w:r>
      <w:r w:rsidR="00F165D5">
        <w:rPr>
          <w:lang w:eastAsia="en-US"/>
        </w:rPr>
        <w:t xml:space="preserve">. </w:t>
      </w:r>
    </w:p>
    <w:p w14:paraId="413146DD" w14:textId="7C2B574F" w:rsidR="004F0323" w:rsidRDefault="00F165D5" w:rsidP="00F165D5">
      <w:pPr>
        <w:pStyle w:val="ONUME"/>
        <w:rPr>
          <w:lang w:eastAsia="en-US"/>
        </w:rPr>
      </w:pPr>
      <w:r w:rsidRPr="00F165D5">
        <w:rPr>
          <w:lang w:eastAsia="en-US"/>
        </w:rPr>
        <w:t xml:space="preserve">Additional systemic constraints have deepened during the reporting period, including sustained lack of funding due to continued reallocation of financial resources by the Government to national security and defense priorities and low innovation spending by enterprises. </w:t>
      </w:r>
      <w:r w:rsidR="003C1A61">
        <w:rPr>
          <w:lang w:eastAsia="en-US"/>
        </w:rPr>
        <w:t xml:space="preserve"> </w:t>
      </w:r>
      <w:r w:rsidRPr="00F165D5">
        <w:rPr>
          <w:lang w:eastAsia="en-US"/>
        </w:rPr>
        <w:t xml:space="preserve">Other impacts include declining student enrollment threatening the long-term </w:t>
      </w:r>
      <w:r w:rsidRPr="00F165D5">
        <w:rPr>
          <w:lang w:eastAsia="en-US"/>
        </w:rPr>
        <w:lastRenderedPageBreak/>
        <w:t>sustainability of higher education, mine contamination limiting innovation deployment in agriculture, and market contraction affecting creative industries and IP enforcement capacity</w:t>
      </w:r>
      <w:r>
        <w:rPr>
          <w:lang w:eastAsia="en-US"/>
        </w:rPr>
        <w:t>.</w:t>
      </w:r>
    </w:p>
    <w:p w14:paraId="5039FA91" w14:textId="59407DCD" w:rsidR="00497E56" w:rsidRPr="00E11729" w:rsidRDefault="00497E56" w:rsidP="001256C4">
      <w:pPr>
        <w:pStyle w:val="ONUME"/>
        <w:rPr>
          <w:lang w:eastAsia="en-US"/>
        </w:rPr>
      </w:pPr>
      <w:bookmarkStart w:id="21" w:name="_Hlk199438178"/>
      <w:r w:rsidRPr="00C677E0">
        <w:rPr>
          <w:lang w:eastAsia="en-US"/>
        </w:rPr>
        <w:t xml:space="preserve">The ongoing war continues to pose severe challenges to the </w:t>
      </w:r>
      <w:r w:rsidRPr="00E11729">
        <w:rPr>
          <w:lang w:eastAsia="en-US"/>
        </w:rPr>
        <w:t xml:space="preserve">creative sector. </w:t>
      </w:r>
      <w:r w:rsidR="003C1A61">
        <w:rPr>
          <w:lang w:eastAsia="en-US"/>
        </w:rPr>
        <w:t xml:space="preserve"> </w:t>
      </w:r>
      <w:r w:rsidRPr="00E11729">
        <w:rPr>
          <w:lang w:eastAsia="en-US"/>
        </w:rPr>
        <w:t xml:space="preserve">The industry has been deeply impacted by a drastic reduction in state funding for cultural development, </w:t>
      </w:r>
      <w:r w:rsidR="009C64D1">
        <w:rPr>
          <w:lang w:eastAsia="en-US"/>
        </w:rPr>
        <w:t>declining production</w:t>
      </w:r>
      <w:r w:rsidRPr="00E11729">
        <w:rPr>
          <w:lang w:eastAsia="en-US"/>
        </w:rPr>
        <w:t xml:space="preserve"> of creative goods and services, acute staff shortages, and the restricted operational capacity of Collective Management Organizations (CMOs).  </w:t>
      </w:r>
      <w:r w:rsidR="001256C4" w:rsidRPr="001256C4">
        <w:rPr>
          <w:lang w:eastAsia="en-US"/>
        </w:rPr>
        <w:t xml:space="preserve">However, certain subsectors </w:t>
      </w:r>
      <w:r w:rsidR="000740D1">
        <w:rPr>
          <w:lang w:eastAsia="en-US"/>
        </w:rPr>
        <w:t>showed</w:t>
      </w:r>
      <w:r w:rsidR="001256C4" w:rsidRPr="001256C4">
        <w:rPr>
          <w:lang w:eastAsia="en-US"/>
        </w:rPr>
        <w:t xml:space="preserve"> gradual stabilization where sustained state financial support was maintained, including modest improvements in CMO remuneration collection and payments, as well as recovery in book publishing and film production.</w:t>
      </w:r>
    </w:p>
    <w:p w14:paraId="307422C2" w14:textId="685E8369" w:rsidR="00AE5761" w:rsidRDefault="00FB1C96" w:rsidP="00F57727">
      <w:pPr>
        <w:pStyle w:val="ONUME"/>
        <w:rPr>
          <w:lang w:eastAsia="en-US"/>
        </w:rPr>
      </w:pPr>
      <w:bookmarkStart w:id="22" w:name="_Hlk199438251"/>
      <w:bookmarkEnd w:id="21"/>
      <w:r w:rsidRPr="00CC3C7A">
        <w:rPr>
          <w:lang w:eastAsia="en-US"/>
        </w:rPr>
        <w:t xml:space="preserve">Alongside </w:t>
      </w:r>
      <w:r>
        <w:rPr>
          <w:lang w:eastAsia="en-US"/>
        </w:rPr>
        <w:t>these</w:t>
      </w:r>
      <w:r w:rsidRPr="00CC3C7A">
        <w:rPr>
          <w:lang w:eastAsia="en-US"/>
        </w:rPr>
        <w:t xml:space="preserve"> persistent challenges</w:t>
      </w:r>
      <w:r w:rsidRPr="00A23AF1">
        <w:rPr>
          <w:lang w:eastAsia="en-US"/>
        </w:rPr>
        <w:t xml:space="preserve">, Ukrainian institutions and stakeholders demonstrated remarkable resilience by maintaining core functions and expanding services under extraordinary pressure. </w:t>
      </w:r>
      <w:r w:rsidR="003C1A61">
        <w:rPr>
          <w:lang w:eastAsia="en-US"/>
        </w:rPr>
        <w:t xml:space="preserve"> </w:t>
      </w:r>
      <w:r w:rsidRPr="00A23AF1">
        <w:rPr>
          <w:lang w:eastAsia="en-US"/>
        </w:rPr>
        <w:t xml:space="preserve">Most notably, international cooperation frameworks expanded significantly, including the establishment of the International Coalition for Science, </w:t>
      </w:r>
      <w:r w:rsidR="00A20CCC" w:rsidRPr="00C5294F">
        <w:rPr>
          <w:lang w:eastAsia="en-US"/>
        </w:rPr>
        <w:t>R&amp;I</w:t>
      </w:r>
      <w:r w:rsidR="00A20CCC" w:rsidRPr="00A23AF1" w:rsidDel="00A20CCC">
        <w:rPr>
          <w:lang w:eastAsia="en-US"/>
        </w:rPr>
        <w:t xml:space="preserve"> </w:t>
      </w:r>
      <w:r w:rsidR="000B2C16">
        <w:rPr>
          <w:rStyle w:val="FootnoteReference"/>
          <w:lang w:eastAsia="en-US"/>
        </w:rPr>
        <w:footnoteReference w:id="9"/>
      </w:r>
      <w:r w:rsidRPr="00A23AF1">
        <w:rPr>
          <w:lang w:eastAsia="en-US"/>
        </w:rPr>
        <w:t>, UNESCO's Action Plan</w:t>
      </w:r>
      <w:r w:rsidR="003F7B35">
        <w:rPr>
          <w:rStyle w:val="FootnoteReference"/>
          <w:lang w:eastAsia="en-US"/>
        </w:rPr>
        <w:footnoteReference w:id="10"/>
      </w:r>
      <w:r w:rsidRPr="00A23AF1">
        <w:rPr>
          <w:lang w:eastAsia="en-US"/>
        </w:rPr>
        <w:t xml:space="preserve"> and strengthened EU research integration. </w:t>
      </w:r>
      <w:r w:rsidR="003C1A61">
        <w:rPr>
          <w:lang w:eastAsia="en-US"/>
        </w:rPr>
        <w:t xml:space="preserve"> </w:t>
      </w:r>
      <w:r w:rsidRPr="00A23AF1">
        <w:rPr>
          <w:lang w:eastAsia="en-US"/>
        </w:rPr>
        <w:t xml:space="preserve">Domestically, resilience was evident in the IP system, defense innovation ecosystem, and creative sectors where </w:t>
      </w:r>
      <w:r w:rsidR="00F8742C">
        <w:rPr>
          <w:lang w:eastAsia="en-US"/>
        </w:rPr>
        <w:t>S</w:t>
      </w:r>
      <w:r w:rsidR="00F8742C" w:rsidRPr="00A23AF1">
        <w:rPr>
          <w:lang w:eastAsia="en-US"/>
        </w:rPr>
        <w:t xml:space="preserve">tate </w:t>
      </w:r>
      <w:r w:rsidRPr="00A23AF1">
        <w:rPr>
          <w:lang w:eastAsia="en-US"/>
        </w:rPr>
        <w:t>support was sustained, reflecting institutional determination and operational adaptability</w:t>
      </w:r>
      <w:r w:rsidR="00F57727">
        <w:rPr>
          <w:lang w:eastAsia="en-US"/>
        </w:rPr>
        <w:t>.</w:t>
      </w:r>
    </w:p>
    <w:p w14:paraId="2F3FEF6E" w14:textId="2BAB49A2" w:rsidR="00A23AF1" w:rsidRPr="00E11729" w:rsidRDefault="00AC5312" w:rsidP="00AE5761">
      <w:pPr>
        <w:pStyle w:val="ONUME"/>
        <w:rPr>
          <w:lang w:eastAsia="en-US"/>
        </w:rPr>
      </w:pPr>
      <w:r w:rsidRPr="00AC5312">
        <w:rPr>
          <w:lang w:eastAsia="en-US"/>
        </w:rPr>
        <w:t>Analysis of Ukraine's innovation performance through the Global Innovation Index (GII) continues to indicate structural challenges, with Ukraine ranking 66</w:t>
      </w:r>
      <w:r w:rsidRPr="003010B8">
        <w:rPr>
          <w:vertAlign w:val="superscript"/>
          <w:lang w:eastAsia="en-US"/>
        </w:rPr>
        <w:t>th</w:t>
      </w:r>
      <w:r w:rsidRPr="00AC5312">
        <w:rPr>
          <w:lang w:eastAsia="en-US"/>
        </w:rPr>
        <w:t xml:space="preserve"> of 139 economies in GII 2025 (down from 60</w:t>
      </w:r>
      <w:r w:rsidRPr="003010B8">
        <w:rPr>
          <w:vertAlign w:val="superscript"/>
          <w:lang w:eastAsia="en-US"/>
        </w:rPr>
        <w:t>th</w:t>
      </w:r>
      <w:r w:rsidRPr="00AC5312">
        <w:rPr>
          <w:lang w:eastAsia="en-US"/>
        </w:rPr>
        <w:t xml:space="preserve"> in 2024). However, Ukraine retains strong positions in specific areas</w:t>
      </w:r>
      <w:r w:rsidR="00F73C9E">
        <w:rPr>
          <w:lang w:eastAsia="en-US"/>
        </w:rPr>
        <w:t xml:space="preserve"> </w:t>
      </w:r>
      <w:r w:rsidRPr="00AC5312">
        <w:rPr>
          <w:lang w:eastAsia="en-US"/>
        </w:rPr>
        <w:t xml:space="preserve">ranking first globally in utility models, fifth in </w:t>
      </w:r>
      <w:r w:rsidR="00A96AF3">
        <w:rPr>
          <w:lang w:eastAsia="en-US"/>
        </w:rPr>
        <w:t>exports of</w:t>
      </w:r>
      <w:r w:rsidR="000E6666">
        <w:rPr>
          <w:lang w:eastAsia="en-US"/>
        </w:rPr>
        <w:t xml:space="preserve"> </w:t>
      </w:r>
      <w:r w:rsidR="000E6666" w:rsidRPr="000E6666">
        <w:rPr>
          <w:lang w:eastAsia="en-US"/>
        </w:rPr>
        <w:t>Information and Communications Technology</w:t>
      </w:r>
      <w:r w:rsidR="00A96AF3">
        <w:rPr>
          <w:lang w:eastAsia="en-US"/>
        </w:rPr>
        <w:t xml:space="preserve"> </w:t>
      </w:r>
      <w:r w:rsidR="000E6666">
        <w:rPr>
          <w:lang w:eastAsia="en-US"/>
        </w:rPr>
        <w:t>(</w:t>
      </w:r>
      <w:r w:rsidRPr="00AC5312">
        <w:rPr>
          <w:lang w:eastAsia="en-US"/>
        </w:rPr>
        <w:t>ICT</w:t>
      </w:r>
      <w:r w:rsidR="000E6666">
        <w:rPr>
          <w:lang w:eastAsia="en-US"/>
        </w:rPr>
        <w:t>)</w:t>
      </w:r>
      <w:r w:rsidRPr="00AC5312">
        <w:rPr>
          <w:lang w:eastAsia="en-US"/>
        </w:rPr>
        <w:t xml:space="preserve"> services, and performing above expectations relative to its development level. These findings align with broader </w:t>
      </w:r>
      <w:r w:rsidR="003B6438">
        <w:rPr>
          <w:lang w:eastAsia="en-US"/>
        </w:rPr>
        <w:t>assessment</w:t>
      </w:r>
      <w:r w:rsidRPr="00AC5312">
        <w:rPr>
          <w:lang w:eastAsia="en-US"/>
        </w:rPr>
        <w:t xml:space="preserve"> trends</w:t>
      </w:r>
      <w:proofErr w:type="gramStart"/>
      <w:r w:rsidRPr="00AC5312">
        <w:rPr>
          <w:lang w:eastAsia="en-US"/>
        </w:rPr>
        <w:t xml:space="preserve">: </w:t>
      </w:r>
      <w:r w:rsidR="003C1A61">
        <w:rPr>
          <w:lang w:eastAsia="en-US"/>
        </w:rPr>
        <w:t xml:space="preserve"> </w:t>
      </w:r>
      <w:r w:rsidRPr="00AC5312">
        <w:rPr>
          <w:lang w:eastAsia="en-US"/>
        </w:rPr>
        <w:t>declining</w:t>
      </w:r>
      <w:proofErr w:type="gramEnd"/>
      <w:r w:rsidRPr="00AC5312">
        <w:rPr>
          <w:lang w:eastAsia="en-US"/>
        </w:rPr>
        <w:t xml:space="preserve"> human capital and constrained research capacity coexist with resilience in specific innovation domains, including venture capital activity reaching new peaks and growth in high-tech manufacturing. </w:t>
      </w:r>
      <w:r w:rsidR="003C1A61">
        <w:rPr>
          <w:lang w:eastAsia="en-US"/>
        </w:rPr>
        <w:t xml:space="preserve"> </w:t>
      </w:r>
      <w:r w:rsidRPr="00AC5312">
        <w:rPr>
          <w:lang w:eastAsia="en-US"/>
        </w:rPr>
        <w:t>However, GII indicators should be interpreted with caution given inherent data lags of one to four years</w:t>
      </w:r>
      <w:r w:rsidR="00110A76">
        <w:rPr>
          <w:lang w:eastAsia="en-US"/>
        </w:rPr>
        <w:t xml:space="preserve"> and </w:t>
      </w:r>
      <w:r w:rsidRPr="00AC5312">
        <w:rPr>
          <w:lang w:eastAsia="en-US"/>
        </w:rPr>
        <w:t>missing baseline data</w:t>
      </w:r>
      <w:r w:rsidR="00110A76">
        <w:rPr>
          <w:lang w:eastAsia="en-US"/>
        </w:rPr>
        <w:t>.</w:t>
      </w:r>
      <w:r w:rsidR="003C1A61">
        <w:rPr>
          <w:lang w:eastAsia="en-US"/>
        </w:rPr>
        <w:t xml:space="preserve"> </w:t>
      </w:r>
      <w:r w:rsidR="00110A76">
        <w:rPr>
          <w:lang w:eastAsia="en-US"/>
        </w:rPr>
        <w:t xml:space="preserve"> </w:t>
      </w:r>
      <w:r w:rsidR="00941A36">
        <w:rPr>
          <w:lang w:eastAsia="en-US"/>
        </w:rPr>
        <w:t xml:space="preserve">The </w:t>
      </w:r>
      <w:r w:rsidRPr="00AC5312">
        <w:rPr>
          <w:lang w:eastAsia="en-US"/>
        </w:rPr>
        <w:t>difficulty of attributing trends solely to war-related disruptions rather than pre-existing structural conditions</w:t>
      </w:r>
      <w:r w:rsidR="00941A36">
        <w:rPr>
          <w:lang w:eastAsia="en-US"/>
        </w:rPr>
        <w:t xml:space="preserve"> </w:t>
      </w:r>
      <w:r w:rsidR="005C01A5">
        <w:rPr>
          <w:lang w:eastAsia="en-US"/>
        </w:rPr>
        <w:t>further complicates the assessment</w:t>
      </w:r>
      <w:r w:rsidR="009705EB">
        <w:rPr>
          <w:lang w:eastAsia="en-US"/>
        </w:rPr>
        <w:t xml:space="preserve">. </w:t>
      </w:r>
      <w:bookmarkEnd w:id="22"/>
    </w:p>
    <w:p w14:paraId="549EDDDE" w14:textId="10A40EE5" w:rsidR="00497E56" w:rsidRPr="00113902" w:rsidRDefault="00497E56" w:rsidP="00497E56">
      <w:pPr>
        <w:pStyle w:val="ONUME"/>
        <w:rPr>
          <w:lang w:eastAsia="en-US"/>
        </w:rPr>
      </w:pPr>
      <w:r w:rsidRPr="00113902">
        <w:rPr>
          <w:lang w:eastAsia="en-US"/>
        </w:rPr>
        <w:t xml:space="preserve">The following paragraphs provide an overview and an assessment of the impact of the war on the innovation and creative sector and ecosystem of Ukraine, including the methodology followed, major policy developments, stakeholders responsible for the protection and enforcement of IP, innovation support framework and support businesses, educational and research institutions, Technology Innovation Support Centers (TISCs), the creative sector, </w:t>
      </w:r>
      <w:r w:rsidR="000912B2" w:rsidRPr="000912B2">
        <w:rPr>
          <w:lang w:eastAsia="en-US"/>
        </w:rPr>
        <w:t>as well as an analysis of the innovation performance of Ukraine through the GII, and IP filing trends</w:t>
      </w:r>
      <w:r w:rsidR="000912B2">
        <w:rPr>
          <w:lang w:eastAsia="en-US"/>
        </w:rPr>
        <w:t xml:space="preserve">. </w:t>
      </w:r>
    </w:p>
    <w:p w14:paraId="2B12C038" w14:textId="77777777" w:rsidR="00071DDF" w:rsidRPr="00EA21F3" w:rsidRDefault="00071DDF" w:rsidP="00071DDF">
      <w:pPr>
        <w:pStyle w:val="Heading2"/>
        <w:spacing w:before="240" w:after="220"/>
        <w:ind w:left="547"/>
        <w:rPr>
          <w:color w:val="000000" w:themeColor="text1"/>
          <w:sz w:val="22"/>
          <w:szCs w:val="22"/>
        </w:rPr>
      </w:pPr>
      <w:bookmarkStart w:id="25" w:name="_Toc227774534"/>
      <w:bookmarkStart w:id="26" w:name="_Toc232436571"/>
      <w:r w:rsidRPr="00EA21F3">
        <w:rPr>
          <w:b w:val="0"/>
          <w:bCs/>
          <w:color w:val="000000" w:themeColor="text1"/>
          <w:sz w:val="22"/>
          <w:szCs w:val="18"/>
        </w:rPr>
        <w:t>2.2.    METHODOLOGY</w:t>
      </w:r>
      <w:bookmarkEnd w:id="25"/>
      <w:bookmarkEnd w:id="26"/>
      <w:r w:rsidRPr="00EA21F3">
        <w:rPr>
          <w:b w:val="0"/>
          <w:bCs/>
          <w:color w:val="000000" w:themeColor="text1"/>
          <w:sz w:val="22"/>
          <w:szCs w:val="18"/>
        </w:rPr>
        <w:t xml:space="preserve"> </w:t>
      </w:r>
    </w:p>
    <w:p w14:paraId="71B46702" w14:textId="1A19DFB7" w:rsidR="00497E56" w:rsidRPr="00113902" w:rsidRDefault="00497E56" w:rsidP="00497E56">
      <w:pPr>
        <w:pStyle w:val="ONUME"/>
        <w:tabs>
          <w:tab w:val="clear" w:pos="1134"/>
          <w:tab w:val="num" w:pos="630"/>
        </w:tabs>
        <w:rPr>
          <w:lang w:eastAsia="en-US"/>
        </w:rPr>
      </w:pPr>
      <w:r w:rsidRPr="00113902">
        <w:rPr>
          <w:lang w:eastAsia="en-US"/>
        </w:rPr>
        <w:t>Since July 202</w:t>
      </w:r>
      <w:r>
        <w:rPr>
          <w:lang w:eastAsia="en-US"/>
        </w:rPr>
        <w:t>5</w:t>
      </w:r>
      <w:r w:rsidRPr="00113902">
        <w:rPr>
          <w:lang w:eastAsia="en-US"/>
        </w:rPr>
        <w:t>, the International Bureau consulted with relevant stakeholders in Ukraine to undertake a further assessment on the impact of the war as requested by Member States.  This included preparation</w:t>
      </w:r>
      <w:r w:rsidR="00570D72">
        <w:rPr>
          <w:lang w:eastAsia="en-US"/>
        </w:rPr>
        <w:t>, circulation</w:t>
      </w:r>
      <w:r w:rsidRPr="00113902">
        <w:rPr>
          <w:lang w:eastAsia="en-US"/>
        </w:rPr>
        <w:t xml:space="preserve"> and collection of surveys from key stakeholders, such as government authorities responsible for the protection and enforcement of IP, educational and research institutions, innovation support institutions, IP practitioners, business representatives, representatives of creative industries (artists, performers, musicians, publishers, CMOs, etc.), as well as the TISCs.</w:t>
      </w:r>
    </w:p>
    <w:p w14:paraId="30E0B0BD" w14:textId="0251C16C" w:rsidR="00497E56" w:rsidRPr="00113902" w:rsidRDefault="00497E56" w:rsidP="00497E56">
      <w:pPr>
        <w:pStyle w:val="ONUME"/>
        <w:tabs>
          <w:tab w:val="clear" w:pos="1134"/>
          <w:tab w:val="num" w:pos="630"/>
        </w:tabs>
        <w:rPr>
          <w:lang w:eastAsia="en-US"/>
        </w:rPr>
      </w:pPr>
      <w:r w:rsidRPr="00113902">
        <w:rPr>
          <w:lang w:eastAsia="en-US"/>
        </w:rPr>
        <w:lastRenderedPageBreak/>
        <w:t>The assessment reviewed the impact of the war on the innovation and creativity sector and ecosystem in Ukraine and was carried out using the following methodology:</w:t>
      </w:r>
      <w:r w:rsidR="003C1A61">
        <w:rPr>
          <w:lang w:eastAsia="en-US"/>
        </w:rPr>
        <w:t xml:space="preserve"> </w:t>
      </w:r>
      <w:r w:rsidRPr="00113902">
        <w:rPr>
          <w:lang w:eastAsia="en-US"/>
        </w:rPr>
        <w:t xml:space="preserve"> desk research</w:t>
      </w:r>
      <w:r w:rsidR="003C1A61">
        <w:rPr>
          <w:lang w:eastAsia="en-US"/>
        </w:rPr>
        <w:t>,</w:t>
      </w:r>
      <w:r w:rsidRPr="00113902">
        <w:rPr>
          <w:lang w:eastAsia="en-US"/>
        </w:rPr>
        <w:t xml:space="preserve"> interviews and questionnaires, and data analysis.  When needed to clarify the information and obtain additional data, supplementary interviews were conducted with relevant institutions and stakeholders. </w:t>
      </w:r>
    </w:p>
    <w:p w14:paraId="36E903A0" w14:textId="6595AC11" w:rsidR="00497E56" w:rsidRPr="00113902" w:rsidRDefault="00497E56" w:rsidP="00497E56">
      <w:pPr>
        <w:pStyle w:val="ONUME"/>
        <w:tabs>
          <w:tab w:val="clear" w:pos="1134"/>
          <w:tab w:val="num" w:pos="630"/>
        </w:tabs>
        <w:rPr>
          <w:lang w:eastAsia="en-US"/>
        </w:rPr>
      </w:pPr>
      <w:r w:rsidRPr="00113902">
        <w:rPr>
          <w:lang w:eastAsia="en-US"/>
        </w:rPr>
        <w:t xml:space="preserve">Approximately </w:t>
      </w:r>
      <w:r w:rsidR="008A29A0" w:rsidRPr="00B10AAB">
        <w:rPr>
          <w:lang w:eastAsia="en-US"/>
        </w:rPr>
        <w:t>50</w:t>
      </w:r>
      <w:r w:rsidRPr="004851E4">
        <w:rPr>
          <w:lang w:eastAsia="en-US"/>
        </w:rPr>
        <w:t xml:space="preserve"> </w:t>
      </w:r>
      <w:r w:rsidRPr="00113902">
        <w:rPr>
          <w:lang w:eastAsia="en-US"/>
        </w:rPr>
        <w:t>stakeholders participated in this assessment</w:t>
      </w:r>
      <w:r w:rsidR="00B10AAB">
        <w:rPr>
          <w:lang w:eastAsia="en-US"/>
        </w:rPr>
        <w:t>.</w:t>
      </w:r>
    </w:p>
    <w:p w14:paraId="243CD71C" w14:textId="67461990" w:rsidR="00497E56" w:rsidRDefault="00497E56" w:rsidP="00497E56">
      <w:pPr>
        <w:pStyle w:val="ONUME"/>
        <w:tabs>
          <w:tab w:val="clear" w:pos="1134"/>
          <w:tab w:val="num" w:pos="630"/>
        </w:tabs>
        <w:rPr>
          <w:lang w:eastAsia="en-US"/>
        </w:rPr>
      </w:pPr>
      <w:r w:rsidRPr="00113902">
        <w:rPr>
          <w:lang w:eastAsia="en-US"/>
        </w:rPr>
        <w:t xml:space="preserve">The International Bureau also analyzed Ukraine’s innovation performance as reflected in the GII, and consulted and reviewed publicly available sources, including official reports of international and regional organizations and institutions, such as the United Nations (UN), UNHCR, UNESCO, the United Nations Development Program (UNDP), </w:t>
      </w:r>
      <w:r w:rsidR="00F774A6">
        <w:rPr>
          <w:lang w:eastAsia="en-US"/>
        </w:rPr>
        <w:t xml:space="preserve">UNECE, </w:t>
      </w:r>
      <w:r w:rsidR="000A18C1" w:rsidRPr="000A18C1">
        <w:rPr>
          <w:lang w:eastAsia="en-US"/>
        </w:rPr>
        <w:t>the World Health Organization (</w:t>
      </w:r>
      <w:r w:rsidR="0089132F">
        <w:rPr>
          <w:lang w:eastAsia="en-US"/>
        </w:rPr>
        <w:t>WHO</w:t>
      </w:r>
      <w:r w:rsidR="000A18C1">
        <w:rPr>
          <w:lang w:eastAsia="en-US"/>
        </w:rPr>
        <w:t>)</w:t>
      </w:r>
      <w:r w:rsidR="0089132F">
        <w:rPr>
          <w:lang w:eastAsia="en-US"/>
        </w:rPr>
        <w:t xml:space="preserve">, </w:t>
      </w:r>
      <w:r w:rsidR="00807360">
        <w:rPr>
          <w:lang w:eastAsia="en-US"/>
        </w:rPr>
        <w:t xml:space="preserve">ITU, OECD, </w:t>
      </w:r>
      <w:r w:rsidRPr="00113902">
        <w:rPr>
          <w:lang w:eastAsia="en-US"/>
        </w:rPr>
        <w:t xml:space="preserve">the World Bank, </w:t>
      </w:r>
      <w:r w:rsidR="001F3894">
        <w:rPr>
          <w:lang w:eastAsia="en-US"/>
        </w:rPr>
        <w:t>EU</w:t>
      </w:r>
      <w:r w:rsidRPr="00113902">
        <w:rPr>
          <w:lang w:eastAsia="en-US"/>
        </w:rPr>
        <w:t>,</w:t>
      </w:r>
      <w:r w:rsidR="00777961">
        <w:rPr>
          <w:lang w:eastAsia="en-US"/>
        </w:rPr>
        <w:t xml:space="preserve"> </w:t>
      </w:r>
      <w:r w:rsidRPr="00113902">
        <w:rPr>
          <w:lang w:eastAsia="en-US"/>
        </w:rPr>
        <w:t xml:space="preserve">national authorities, and official web pages of relevant stakeholders and summaries and reports of research centers. </w:t>
      </w:r>
    </w:p>
    <w:p w14:paraId="43C1F12C" w14:textId="44124B08" w:rsidR="00F67CAD" w:rsidRDefault="009C6FDF" w:rsidP="00497E56">
      <w:pPr>
        <w:pStyle w:val="ONUME"/>
        <w:tabs>
          <w:tab w:val="clear" w:pos="1134"/>
          <w:tab w:val="num" w:pos="630"/>
        </w:tabs>
        <w:rPr>
          <w:lang w:eastAsia="en-US"/>
        </w:rPr>
      </w:pPr>
      <w:r w:rsidRPr="009C6FDF">
        <w:rPr>
          <w:lang w:eastAsia="en-US"/>
        </w:rPr>
        <w:t xml:space="preserve">The evolving security situation, uncertainty regarding the war's duration and recovery prospects, and limitations in data availability and comparability render impact assessment inherently challenging. </w:t>
      </w:r>
      <w:r w:rsidR="003C1A61">
        <w:rPr>
          <w:lang w:eastAsia="en-US"/>
        </w:rPr>
        <w:t xml:space="preserve"> </w:t>
      </w:r>
      <w:r w:rsidRPr="009C6FDF">
        <w:rPr>
          <w:lang w:eastAsia="en-US"/>
        </w:rPr>
        <w:t>These constraints limit the scope and depth of analysis and underscore the importance of continued close engagement with Ukrainian authorities to adapt support to their evolving needs and priorities.</w:t>
      </w:r>
    </w:p>
    <w:p w14:paraId="3D86C6C8" w14:textId="77777777" w:rsidR="00497E56" w:rsidRPr="003010B8" w:rsidRDefault="00497E56" w:rsidP="004860CE">
      <w:pPr>
        <w:pStyle w:val="Heading2"/>
        <w:tabs>
          <w:tab w:val="left" w:pos="1170"/>
        </w:tabs>
        <w:spacing w:before="240" w:after="220"/>
        <w:ind w:left="1181" w:hanging="634"/>
        <w:rPr>
          <w:b w:val="0"/>
          <w:bCs/>
          <w:color w:val="000000" w:themeColor="text1"/>
          <w:sz w:val="22"/>
          <w:szCs w:val="18"/>
          <w:lang w:eastAsia="en-US"/>
        </w:rPr>
      </w:pPr>
      <w:bookmarkStart w:id="27" w:name="_Toc227774535"/>
      <w:bookmarkStart w:id="28" w:name="_Toc232436572"/>
      <w:r w:rsidRPr="003010B8">
        <w:rPr>
          <w:b w:val="0"/>
          <w:bCs/>
          <w:color w:val="000000" w:themeColor="text1"/>
          <w:sz w:val="22"/>
          <w:szCs w:val="18"/>
          <w:lang w:eastAsia="en-US"/>
        </w:rPr>
        <w:t>2.3</w:t>
      </w:r>
      <w:r w:rsidRPr="003010B8">
        <w:rPr>
          <w:b w:val="0"/>
          <w:bCs/>
          <w:color w:val="000000" w:themeColor="text1"/>
          <w:sz w:val="22"/>
          <w:szCs w:val="18"/>
          <w:lang w:eastAsia="en-US"/>
        </w:rPr>
        <w:tab/>
        <w:t>INNOVATION AND CREATIVE SECTOR AND ECOSYSTEM</w:t>
      </w:r>
      <w:bookmarkEnd w:id="27"/>
      <w:bookmarkEnd w:id="28"/>
    </w:p>
    <w:p w14:paraId="5E7A9291" w14:textId="710E44D8" w:rsidR="00497E56" w:rsidRPr="00603FAB" w:rsidRDefault="00497E56" w:rsidP="00603FAB">
      <w:pPr>
        <w:pStyle w:val="Heading3"/>
        <w:spacing w:after="220"/>
        <w:ind w:left="1890" w:hanging="720"/>
        <w:rPr>
          <w:b w:val="0"/>
          <w:bCs/>
          <w:color w:val="000000" w:themeColor="text1"/>
          <w:sz w:val="22"/>
          <w:szCs w:val="18"/>
          <w:lang w:eastAsia="en-US"/>
        </w:rPr>
      </w:pPr>
      <w:bookmarkStart w:id="29" w:name="_Toc227774536"/>
      <w:bookmarkStart w:id="30" w:name="_Toc232436573"/>
      <w:r w:rsidRPr="003010B8">
        <w:rPr>
          <w:b w:val="0"/>
          <w:bCs/>
          <w:color w:val="000000" w:themeColor="text1"/>
          <w:sz w:val="22"/>
          <w:szCs w:val="18"/>
          <w:lang w:eastAsia="en-US"/>
        </w:rPr>
        <w:t>2.3.1</w:t>
      </w:r>
      <w:r w:rsidRPr="003010B8">
        <w:rPr>
          <w:b w:val="0"/>
          <w:bCs/>
          <w:color w:val="000000" w:themeColor="text1"/>
          <w:sz w:val="22"/>
          <w:szCs w:val="18"/>
          <w:lang w:eastAsia="en-US"/>
        </w:rPr>
        <w:tab/>
      </w:r>
      <w:r w:rsidRPr="003010B8">
        <w:rPr>
          <w:b w:val="0"/>
          <w:bCs/>
          <w:color w:val="000000" w:themeColor="text1"/>
          <w:sz w:val="22"/>
          <w:szCs w:val="18"/>
          <w:u w:val="single"/>
          <w:lang w:eastAsia="en-US"/>
        </w:rPr>
        <w:t>Policy development</w:t>
      </w:r>
      <w:bookmarkEnd w:id="29"/>
      <w:bookmarkEnd w:id="30"/>
    </w:p>
    <w:p w14:paraId="73BA6102" w14:textId="66FDE5A6" w:rsidR="00C83113" w:rsidRDefault="00497E56" w:rsidP="003F61FC">
      <w:pPr>
        <w:pStyle w:val="ONUME"/>
        <w:rPr>
          <w:lang w:eastAsia="en-US"/>
        </w:rPr>
      </w:pPr>
      <w:bookmarkStart w:id="31" w:name="_Toc227774537"/>
      <w:r>
        <w:rPr>
          <w:lang w:eastAsia="en-US"/>
        </w:rPr>
        <w:t xml:space="preserve">Despite </w:t>
      </w:r>
      <w:r w:rsidRPr="004851E4">
        <w:rPr>
          <w:lang w:eastAsia="en-US"/>
        </w:rPr>
        <w:t>ongoing challenges</w:t>
      </w:r>
      <w:r w:rsidR="00491A94">
        <w:rPr>
          <w:lang w:eastAsia="en-US"/>
        </w:rPr>
        <w:t xml:space="preserve"> </w:t>
      </w:r>
      <w:r w:rsidR="00A1737D">
        <w:rPr>
          <w:lang w:eastAsia="en-US"/>
        </w:rPr>
        <w:t>imposed by the war</w:t>
      </w:r>
      <w:r>
        <w:rPr>
          <w:lang w:eastAsia="en-US"/>
        </w:rPr>
        <w:t xml:space="preserve">, the Government of Ukraine </w:t>
      </w:r>
      <w:r w:rsidR="00AC34C0">
        <w:rPr>
          <w:lang w:eastAsia="en-US"/>
        </w:rPr>
        <w:t xml:space="preserve">remained </w:t>
      </w:r>
      <w:r w:rsidR="009371A7">
        <w:rPr>
          <w:lang w:eastAsia="en-US"/>
        </w:rPr>
        <w:t>focused in advancing</w:t>
      </w:r>
      <w:r w:rsidR="00AC34C0">
        <w:rPr>
          <w:lang w:eastAsia="en-US"/>
        </w:rPr>
        <w:t xml:space="preserve"> </w:t>
      </w:r>
      <w:r w:rsidR="006C49BB">
        <w:rPr>
          <w:lang w:eastAsia="en-US"/>
        </w:rPr>
        <w:t>strategic</w:t>
      </w:r>
      <w:r w:rsidR="009371A7">
        <w:rPr>
          <w:lang w:eastAsia="en-US"/>
        </w:rPr>
        <w:t xml:space="preserve"> frameworks </w:t>
      </w:r>
      <w:r w:rsidR="00DF7FA5">
        <w:rPr>
          <w:lang w:eastAsia="en-US"/>
        </w:rPr>
        <w:t>supporting</w:t>
      </w:r>
      <w:r w:rsidR="009371A7">
        <w:rPr>
          <w:lang w:eastAsia="en-US"/>
        </w:rPr>
        <w:t xml:space="preserve"> </w:t>
      </w:r>
      <w:r>
        <w:rPr>
          <w:lang w:eastAsia="en-US"/>
        </w:rPr>
        <w:t xml:space="preserve">innovation, </w:t>
      </w:r>
      <w:r w:rsidR="00995579" w:rsidRPr="00312AB3">
        <w:rPr>
          <w:lang w:eastAsia="en-US"/>
        </w:rPr>
        <w:t>industrial recovery</w:t>
      </w:r>
      <w:r w:rsidR="00995579">
        <w:rPr>
          <w:lang w:eastAsia="en-US"/>
        </w:rPr>
        <w:t xml:space="preserve">, </w:t>
      </w:r>
      <w:r>
        <w:rPr>
          <w:lang w:eastAsia="en-US"/>
        </w:rPr>
        <w:t>creativity, and IP.</w:t>
      </w:r>
      <w:r w:rsidR="00B17169">
        <w:rPr>
          <w:lang w:eastAsia="en-US"/>
        </w:rPr>
        <w:t xml:space="preserve"> </w:t>
      </w:r>
      <w:r>
        <w:rPr>
          <w:lang w:eastAsia="en-US"/>
        </w:rPr>
        <w:t xml:space="preserve"> Existing strategic frameworks</w:t>
      </w:r>
      <w:r w:rsidR="002858D7">
        <w:rPr>
          <w:lang w:eastAsia="en-US"/>
        </w:rPr>
        <w:t xml:space="preserve"> as referenced in </w:t>
      </w:r>
      <w:hyperlink r:id="rId20" w:history="1">
        <w:r w:rsidR="007452A3" w:rsidRPr="00C1627B">
          <w:rPr>
            <w:rStyle w:val="Hyperlink"/>
            <w:lang w:eastAsia="en-US"/>
          </w:rPr>
          <w:t xml:space="preserve">document </w:t>
        </w:r>
        <w:r w:rsidR="002858D7" w:rsidRPr="00C1627B">
          <w:rPr>
            <w:rStyle w:val="Hyperlink"/>
            <w:lang w:eastAsia="en-US"/>
          </w:rPr>
          <w:t>A/66/8</w:t>
        </w:r>
      </w:hyperlink>
      <w:r>
        <w:rPr>
          <w:lang w:eastAsia="en-US"/>
        </w:rPr>
        <w:t xml:space="preserve"> </w:t>
      </w:r>
      <w:r w:rsidR="00C83113" w:rsidRPr="00C83113">
        <w:rPr>
          <w:lang w:eastAsia="en-US"/>
        </w:rPr>
        <w:t>continued to guide recovery-oriented polic</w:t>
      </w:r>
      <w:r w:rsidR="00C83113">
        <w:rPr>
          <w:lang w:eastAsia="en-US"/>
        </w:rPr>
        <w:t>y direction</w:t>
      </w:r>
      <w:r w:rsidR="00C83113" w:rsidRPr="00C83113">
        <w:rPr>
          <w:lang w:eastAsia="en-US"/>
        </w:rPr>
        <w:t xml:space="preserve">, </w:t>
      </w:r>
      <w:r w:rsidR="00003F3E" w:rsidRPr="00003F3E">
        <w:rPr>
          <w:lang w:eastAsia="en-US"/>
        </w:rPr>
        <w:t>long-term institutional planning, with increasing emphasis on digital transformation, human capital resilience, technological modernization, and European integration.</w:t>
      </w:r>
      <w:r w:rsidR="003C1A61">
        <w:rPr>
          <w:lang w:eastAsia="en-US"/>
        </w:rPr>
        <w:t xml:space="preserve"> </w:t>
      </w:r>
      <w:r w:rsidR="00003F3E">
        <w:rPr>
          <w:lang w:eastAsia="en-US"/>
        </w:rPr>
        <w:t xml:space="preserve"> </w:t>
      </w:r>
      <w:r w:rsidR="00003F3E" w:rsidRPr="00312AB3">
        <w:rPr>
          <w:lang w:eastAsia="en-US"/>
        </w:rPr>
        <w:t>At the same time, stakeholders reported that implementation efforts continued to face significant wartime constraints, including staff shortages and relocations, increased workloads, infrastructure damage, disruptions caused by air raid alerts and attacks, interruptions in electricity and heating supply, as well as gaps in statistical datasets and limitations in data collection, particularly in areas affected by active hostilities or temporary occupation.</w:t>
      </w:r>
    </w:p>
    <w:p w14:paraId="1C9D9865" w14:textId="589EDFC4" w:rsidR="007C3A15" w:rsidRDefault="00920F31" w:rsidP="00B44539">
      <w:pPr>
        <w:pStyle w:val="ONUME"/>
        <w:rPr>
          <w:lang w:eastAsia="en-US"/>
        </w:rPr>
      </w:pPr>
      <w:r w:rsidRPr="00920F31">
        <w:rPr>
          <w:lang w:eastAsia="en-US"/>
        </w:rPr>
        <w:t xml:space="preserve">During the reporting period, Ukraine also advanced broader </w:t>
      </w:r>
      <w:r w:rsidR="008C40AA" w:rsidRPr="00920F31">
        <w:rPr>
          <w:lang w:eastAsia="en-US"/>
        </w:rPr>
        <w:t>labo</w:t>
      </w:r>
      <w:r w:rsidR="008C40AA">
        <w:rPr>
          <w:lang w:eastAsia="en-US"/>
        </w:rPr>
        <w:t>r</w:t>
      </w:r>
      <w:r w:rsidRPr="00920F31">
        <w:rPr>
          <w:lang w:eastAsia="en-US"/>
        </w:rPr>
        <w:t xml:space="preserve"> market and human capital policies aimed at addressing growing shortages of skilled personnel caused by the war. </w:t>
      </w:r>
      <w:r w:rsidR="00C1627B">
        <w:rPr>
          <w:lang w:eastAsia="en-US"/>
        </w:rPr>
        <w:t xml:space="preserve"> </w:t>
      </w:r>
      <w:r w:rsidR="00A85AE0">
        <w:rPr>
          <w:lang w:eastAsia="en-US"/>
        </w:rPr>
        <w:t xml:space="preserve">On </w:t>
      </w:r>
      <w:r w:rsidR="00003F3E" w:rsidRPr="006321C7">
        <w:rPr>
          <w:lang w:eastAsia="en-US"/>
        </w:rPr>
        <w:t xml:space="preserve">January </w:t>
      </w:r>
      <w:r w:rsidR="00A85AE0" w:rsidRPr="002A5A28">
        <w:rPr>
          <w:lang w:eastAsia="en-US"/>
        </w:rPr>
        <w:t>7</w:t>
      </w:r>
      <w:r w:rsidR="006321C7" w:rsidRPr="002A5A28">
        <w:rPr>
          <w:lang w:eastAsia="en-US"/>
        </w:rPr>
        <w:t>,</w:t>
      </w:r>
      <w:r w:rsidR="00003F3E" w:rsidRPr="006321C7">
        <w:rPr>
          <w:lang w:eastAsia="en-US"/>
        </w:rPr>
        <w:t xml:space="preserve"> </w:t>
      </w:r>
      <w:proofErr w:type="gramStart"/>
      <w:r w:rsidR="00003F3E" w:rsidRPr="006321C7">
        <w:rPr>
          <w:lang w:eastAsia="en-US"/>
        </w:rPr>
        <w:t>2026</w:t>
      </w:r>
      <w:proofErr w:type="gramEnd"/>
      <w:r w:rsidR="00003F3E" w:rsidRPr="006321C7">
        <w:rPr>
          <w:lang w:eastAsia="en-US"/>
        </w:rPr>
        <w:t xml:space="preserve"> </w:t>
      </w:r>
      <w:r w:rsidRPr="006321C7">
        <w:rPr>
          <w:lang w:eastAsia="en-US"/>
        </w:rPr>
        <w:t>the Government</w:t>
      </w:r>
      <w:r w:rsidRPr="00920F31">
        <w:rPr>
          <w:lang w:eastAsia="en-US"/>
        </w:rPr>
        <w:t xml:space="preserve"> </w:t>
      </w:r>
      <w:r w:rsidR="00003F3E">
        <w:rPr>
          <w:lang w:eastAsia="en-US"/>
        </w:rPr>
        <w:t>adopted</w:t>
      </w:r>
      <w:r w:rsidRPr="00920F31">
        <w:rPr>
          <w:lang w:eastAsia="en-US"/>
        </w:rPr>
        <w:t xml:space="preserve"> Ukraine’s Employment Strategy until 2030,</w:t>
      </w:r>
      <w:r w:rsidR="00564D83" w:rsidRPr="00564D83">
        <w:rPr>
          <w:lang w:eastAsia="en-US"/>
        </w:rPr>
        <w:t xml:space="preserve"> </w:t>
      </w:r>
      <w:r w:rsidR="00564D83" w:rsidRPr="00097D06">
        <w:rPr>
          <w:lang w:eastAsia="en-US"/>
        </w:rPr>
        <w:t>accompanied by an operational plan for 2026–2028</w:t>
      </w:r>
      <w:r w:rsidR="0068597E">
        <w:rPr>
          <w:lang w:eastAsia="en-US"/>
        </w:rPr>
        <w:t xml:space="preserve">. </w:t>
      </w:r>
      <w:r w:rsidR="00C1627B">
        <w:rPr>
          <w:lang w:eastAsia="en-US"/>
        </w:rPr>
        <w:t xml:space="preserve"> </w:t>
      </w:r>
      <w:r w:rsidR="002E7E59">
        <w:rPr>
          <w:lang w:eastAsia="en-US"/>
        </w:rPr>
        <w:t xml:space="preserve">The Strategy </w:t>
      </w:r>
      <w:r w:rsidRPr="00920F31">
        <w:rPr>
          <w:lang w:eastAsia="en-US"/>
        </w:rPr>
        <w:t xml:space="preserve">focuses on workforce reintegration, vocational re-skilling, digital skills development, and better alignment between education systems and </w:t>
      </w:r>
      <w:r w:rsidR="003F61FC" w:rsidRPr="00920F31">
        <w:rPr>
          <w:lang w:eastAsia="en-US"/>
        </w:rPr>
        <w:t>labor</w:t>
      </w:r>
      <w:r w:rsidRPr="00920F31">
        <w:rPr>
          <w:lang w:eastAsia="en-US"/>
        </w:rPr>
        <w:t xml:space="preserve"> market needs. </w:t>
      </w:r>
      <w:r w:rsidR="00C1627B">
        <w:rPr>
          <w:lang w:eastAsia="en-US"/>
        </w:rPr>
        <w:t xml:space="preserve"> </w:t>
      </w:r>
      <w:r w:rsidRPr="00920F31">
        <w:rPr>
          <w:lang w:eastAsia="en-US"/>
        </w:rPr>
        <w:t xml:space="preserve">These measures are particularly relevant for Ukraine’s innovation and creative sectors, which continue to face shortages of researchers, engineers, ICT specialists, and creative professionals due to displacement, migration, and wartime mobilization. </w:t>
      </w:r>
    </w:p>
    <w:p w14:paraId="70A80A8C" w14:textId="05D7E6C5" w:rsidR="002D4B98" w:rsidRDefault="002D4B98" w:rsidP="00B12C14">
      <w:pPr>
        <w:pStyle w:val="ONUME"/>
        <w:rPr>
          <w:lang w:eastAsia="en-US"/>
        </w:rPr>
      </w:pPr>
      <w:r w:rsidRPr="002D4B98">
        <w:rPr>
          <w:lang w:eastAsia="en-US"/>
        </w:rPr>
        <w:t xml:space="preserve">In parallel, </w:t>
      </w:r>
      <w:r w:rsidR="00CA3ECC">
        <w:rPr>
          <w:lang w:eastAsia="en-US"/>
        </w:rPr>
        <w:t xml:space="preserve">in October 2025, </w:t>
      </w:r>
      <w:r w:rsidRPr="002D4B98">
        <w:rPr>
          <w:lang w:eastAsia="en-US"/>
        </w:rPr>
        <w:t xml:space="preserve">the European Union and the ILO launched the project “Promoting Inclusive </w:t>
      </w:r>
      <w:proofErr w:type="spellStart"/>
      <w:r w:rsidRPr="002D4B98">
        <w:rPr>
          <w:lang w:eastAsia="en-US"/>
        </w:rPr>
        <w:t>Labour</w:t>
      </w:r>
      <w:proofErr w:type="spellEnd"/>
      <w:r w:rsidRPr="002D4B98">
        <w:rPr>
          <w:lang w:eastAsia="en-US"/>
        </w:rPr>
        <w:t xml:space="preserve"> Market Governance Reform in Support of Ukraine’s Reconstruction and EU Accession” (2025–2028)</w:t>
      </w:r>
      <w:r w:rsidR="00CA3ECC">
        <w:rPr>
          <w:rStyle w:val="FootnoteReference"/>
          <w:lang w:eastAsia="en-US"/>
        </w:rPr>
        <w:footnoteReference w:id="11"/>
      </w:r>
      <w:r w:rsidRPr="002D4B98">
        <w:rPr>
          <w:lang w:eastAsia="en-US"/>
        </w:rPr>
        <w:t xml:space="preserve">, which provides technical assistance to strengthen </w:t>
      </w:r>
      <w:r w:rsidR="00586239" w:rsidRPr="002D4B98">
        <w:rPr>
          <w:lang w:eastAsia="en-US"/>
        </w:rPr>
        <w:t>labor</w:t>
      </w:r>
      <w:r w:rsidRPr="002D4B98">
        <w:rPr>
          <w:lang w:eastAsia="en-US"/>
        </w:rPr>
        <w:t xml:space="preserve"> market governance, employment services, and institutional capacity. </w:t>
      </w:r>
      <w:r w:rsidR="00C1627B">
        <w:rPr>
          <w:lang w:eastAsia="en-US"/>
        </w:rPr>
        <w:t xml:space="preserve"> </w:t>
      </w:r>
      <w:r w:rsidRPr="002D4B98">
        <w:rPr>
          <w:lang w:eastAsia="en-US"/>
        </w:rPr>
        <w:t xml:space="preserve">The project is closely aligned with the objectives of Ukraine’s Employment Strategy until 2030 and supports its implementation through capacity-building, analytical inputs, and policy support, particularly in </w:t>
      </w:r>
      <w:r w:rsidRPr="002D4B98">
        <w:rPr>
          <w:lang w:eastAsia="en-US"/>
        </w:rPr>
        <w:lastRenderedPageBreak/>
        <w:t>the areas of workforce reintegration and skills development.</w:t>
      </w:r>
      <w:r w:rsidR="00C1627B">
        <w:rPr>
          <w:lang w:eastAsia="en-US"/>
        </w:rPr>
        <w:t xml:space="preserve"> </w:t>
      </w:r>
      <w:r w:rsidRPr="002D4B98">
        <w:rPr>
          <w:lang w:eastAsia="en-US"/>
        </w:rPr>
        <w:t xml:space="preserve"> It also contributes to alignment with EU </w:t>
      </w:r>
      <w:r w:rsidR="00586239" w:rsidRPr="002D4B98">
        <w:rPr>
          <w:lang w:eastAsia="en-US"/>
        </w:rPr>
        <w:t>labor</w:t>
      </w:r>
      <w:r w:rsidRPr="002D4B98">
        <w:rPr>
          <w:lang w:eastAsia="en-US"/>
        </w:rPr>
        <w:t xml:space="preserve"> standards and broader reconstruction and recovery priorities.</w:t>
      </w:r>
    </w:p>
    <w:p w14:paraId="5EE4E979" w14:textId="160F846C" w:rsidR="00EC580B" w:rsidRDefault="00EC580B" w:rsidP="00B12C14">
      <w:pPr>
        <w:pStyle w:val="ONUME"/>
        <w:rPr>
          <w:lang w:eastAsia="en-US"/>
        </w:rPr>
      </w:pPr>
      <w:r w:rsidRPr="00097D06">
        <w:rPr>
          <w:lang w:eastAsia="en-US"/>
        </w:rPr>
        <w:t xml:space="preserve">Ukraine continued to advance industrial and innovation-oriented reconstruction policies under </w:t>
      </w:r>
      <w:r w:rsidRPr="00FC22D7">
        <w:rPr>
          <w:lang w:eastAsia="en-US"/>
        </w:rPr>
        <w:t>the “Made in Ukraine”</w:t>
      </w:r>
      <w:r w:rsidR="00DA6BDC" w:rsidRPr="00DA6BDC">
        <w:rPr>
          <w:lang w:eastAsia="en-US"/>
        </w:rPr>
        <w:t xml:space="preserve"> </w:t>
      </w:r>
      <w:r w:rsidR="00DA6BDC" w:rsidRPr="00FC22D7">
        <w:rPr>
          <w:lang w:eastAsia="en-US"/>
        </w:rPr>
        <w:t>framework</w:t>
      </w:r>
      <w:r w:rsidR="00DA6BDC">
        <w:rPr>
          <w:lang w:eastAsia="en-US"/>
        </w:rPr>
        <w:t>,</w:t>
      </w:r>
      <w:r w:rsidR="00672D68" w:rsidRPr="002A5A28">
        <w:rPr>
          <w:rStyle w:val="FootnoteReference"/>
          <w:lang w:eastAsia="en-US"/>
        </w:rPr>
        <w:footnoteReference w:id="12"/>
      </w:r>
      <w:r w:rsidRPr="00FC22D7">
        <w:rPr>
          <w:lang w:eastAsia="en-US"/>
        </w:rPr>
        <w:t xml:space="preserve"> </w:t>
      </w:r>
      <w:r w:rsidR="00672D68" w:rsidRPr="00FC22D7">
        <w:rPr>
          <w:lang w:eastAsia="en-US"/>
        </w:rPr>
        <w:t xml:space="preserve">a </w:t>
      </w:r>
      <w:r w:rsidR="00AC0016" w:rsidRPr="00FC22D7">
        <w:rPr>
          <w:lang w:eastAsia="en-US"/>
        </w:rPr>
        <w:t>government</w:t>
      </w:r>
      <w:r w:rsidR="00672D68" w:rsidRPr="00FC22D7">
        <w:rPr>
          <w:lang w:eastAsia="en-US"/>
        </w:rPr>
        <w:t xml:space="preserve"> framework aimed at supporting Ukrainian producers and entrepreneurs, strengthening</w:t>
      </w:r>
      <w:r w:rsidR="00672D68" w:rsidRPr="00672D68">
        <w:rPr>
          <w:lang w:eastAsia="en-US"/>
        </w:rPr>
        <w:t xml:space="preserve"> domestic production capacity, promoting enterprise modernization and investment, and contributing to economic resilience and reconstruction.</w:t>
      </w:r>
      <w:r w:rsidRPr="00097D06">
        <w:rPr>
          <w:lang w:eastAsia="en-US"/>
        </w:rPr>
        <w:t xml:space="preserve"> </w:t>
      </w:r>
      <w:r w:rsidR="00C1627B">
        <w:rPr>
          <w:lang w:eastAsia="en-US"/>
        </w:rPr>
        <w:t xml:space="preserve"> </w:t>
      </w:r>
      <w:r w:rsidRPr="00097D06">
        <w:rPr>
          <w:lang w:eastAsia="en-US"/>
        </w:rPr>
        <w:t xml:space="preserve">In this context, the </w:t>
      </w:r>
      <w:r w:rsidR="009038D1" w:rsidRPr="009038D1">
        <w:rPr>
          <w:lang w:eastAsia="en-US"/>
        </w:rPr>
        <w:t>Ministry of Economy, Environment and Agriculture of Ukraine</w:t>
      </w:r>
      <w:r w:rsidRPr="00097D06">
        <w:rPr>
          <w:lang w:eastAsia="en-US"/>
        </w:rPr>
        <w:t xml:space="preserve"> reported continued implementation of industrial park development policies, including </w:t>
      </w:r>
      <w:r w:rsidR="00C9213C">
        <w:rPr>
          <w:lang w:eastAsia="en-US"/>
        </w:rPr>
        <w:t>S</w:t>
      </w:r>
      <w:r w:rsidR="00C9213C" w:rsidRPr="00097D06">
        <w:rPr>
          <w:lang w:eastAsia="en-US"/>
        </w:rPr>
        <w:t xml:space="preserve">tate </w:t>
      </w:r>
      <w:r w:rsidRPr="00097D06">
        <w:rPr>
          <w:lang w:eastAsia="en-US"/>
        </w:rPr>
        <w:t xml:space="preserve">support for engineering and transport infrastructure on a co-financing basis. </w:t>
      </w:r>
    </w:p>
    <w:p w14:paraId="0EDDA824" w14:textId="4B625BAE" w:rsidR="00EC580B" w:rsidRDefault="00EC580B" w:rsidP="00B12C14">
      <w:pPr>
        <w:pStyle w:val="ONUME"/>
        <w:rPr>
          <w:lang w:eastAsia="en-US"/>
        </w:rPr>
      </w:pPr>
      <w:r w:rsidRPr="00A7652F">
        <w:rPr>
          <w:lang w:eastAsia="en-US"/>
        </w:rPr>
        <w:t xml:space="preserve">Ukraine, with the support of the International Bureau, continued the development of the National Strategy for the Development of the </w:t>
      </w:r>
      <w:r w:rsidR="001A63BC">
        <w:rPr>
          <w:lang w:eastAsia="en-US"/>
        </w:rPr>
        <w:t>IP</w:t>
      </w:r>
      <w:r w:rsidRPr="00A7652F">
        <w:rPr>
          <w:lang w:eastAsia="en-US"/>
        </w:rPr>
        <w:t xml:space="preserve"> Sphere until 2030. </w:t>
      </w:r>
      <w:r w:rsidR="00C1627B">
        <w:rPr>
          <w:lang w:eastAsia="en-US"/>
        </w:rPr>
        <w:t xml:space="preserve"> </w:t>
      </w:r>
      <w:r w:rsidRPr="00A7652F">
        <w:rPr>
          <w:lang w:eastAsia="en-US"/>
        </w:rPr>
        <w:t xml:space="preserve">The development of the Strategy is coordinated by the </w:t>
      </w:r>
      <w:r w:rsidR="009038D1" w:rsidRPr="009038D1">
        <w:rPr>
          <w:lang w:eastAsia="en-US"/>
        </w:rPr>
        <w:t xml:space="preserve">Ministry of Economy, Environment and Agriculture of Ukraine </w:t>
      </w:r>
      <w:r w:rsidRPr="00A7652F">
        <w:rPr>
          <w:lang w:eastAsia="en-US"/>
        </w:rPr>
        <w:t xml:space="preserve">as the state body responsible for the formulation and implementation of state policy in the field of IP. </w:t>
      </w:r>
      <w:r w:rsidR="00C1627B">
        <w:rPr>
          <w:lang w:eastAsia="en-US"/>
        </w:rPr>
        <w:t xml:space="preserve"> </w:t>
      </w:r>
      <w:r w:rsidRPr="00A7652F">
        <w:rPr>
          <w:lang w:eastAsia="en-US"/>
        </w:rPr>
        <w:t xml:space="preserve">On November 26, 2025, the draft Strategy was published for public discussion, inviting representatives of the business community, academic institutions, creative industries, authors’ organizations, rights holders, experts and the </w:t>
      </w:r>
      <w:proofErr w:type="gramStart"/>
      <w:r w:rsidRPr="00A7652F">
        <w:rPr>
          <w:lang w:eastAsia="en-US"/>
        </w:rPr>
        <w:t>general public</w:t>
      </w:r>
      <w:proofErr w:type="gramEnd"/>
      <w:r w:rsidRPr="00A7652F">
        <w:rPr>
          <w:lang w:eastAsia="en-US"/>
        </w:rPr>
        <w:t xml:space="preserve"> to provide comments.</w:t>
      </w:r>
      <w:r w:rsidRPr="00A7652F">
        <w:t xml:space="preserve"> </w:t>
      </w:r>
      <w:r w:rsidR="00EB6400">
        <w:t xml:space="preserve"> </w:t>
      </w:r>
      <w:r w:rsidRPr="00A7652F">
        <w:rPr>
          <w:lang w:eastAsia="en-US"/>
        </w:rPr>
        <w:t>According to information provided by the Ukrainian authorities, following the public consultation, as of mid-May 2026 the draft Strategy and the Operational Plan for its implementation in 2026-2028 had already been formally submitted for inter-agency approval.</w:t>
      </w:r>
    </w:p>
    <w:p w14:paraId="6888371B" w14:textId="436CC012" w:rsidR="00EC580B" w:rsidRPr="00097D06" w:rsidRDefault="00EC580B" w:rsidP="00B12C14">
      <w:pPr>
        <w:pStyle w:val="ONUME"/>
        <w:rPr>
          <w:lang w:eastAsia="en-US"/>
        </w:rPr>
      </w:pPr>
      <w:r w:rsidRPr="00A7652F">
        <w:rPr>
          <w:lang w:eastAsia="en-US"/>
        </w:rPr>
        <w:t xml:space="preserve">The proposed scope of the draft National IP Strategy includes copyright and related rights, collective management, industrial property, the protection of genetic resources and traditional knowledge, improvements to IP enforcement, commercialization and technology transfer, IP culture, and IP-related aspects of national resilience and security. </w:t>
      </w:r>
      <w:r w:rsidR="00EB6400">
        <w:rPr>
          <w:lang w:eastAsia="en-US"/>
        </w:rPr>
        <w:t xml:space="preserve"> </w:t>
      </w:r>
      <w:r w:rsidRPr="00A7652F">
        <w:rPr>
          <w:lang w:eastAsia="en-US"/>
        </w:rPr>
        <w:t>The draft Strategy is intended to support the development of the national innovation ecosystem and creative economy, strengthen institutional capacity, improve the use of IP by businesses, research institutions and creators, and align Ukraine’s IP system more closely with European standards and recovery needs.</w:t>
      </w:r>
    </w:p>
    <w:p w14:paraId="1A035781" w14:textId="15C51ED7" w:rsidR="00EC580B" w:rsidRDefault="001E528B" w:rsidP="00603FAB">
      <w:pPr>
        <w:pStyle w:val="ONUME"/>
        <w:rPr>
          <w:lang w:eastAsia="en-US"/>
        </w:rPr>
      </w:pPr>
      <w:r w:rsidRPr="00A7652F">
        <w:rPr>
          <w:lang w:eastAsia="en-US"/>
        </w:rPr>
        <w:t xml:space="preserve">Ukraine </w:t>
      </w:r>
      <w:r>
        <w:rPr>
          <w:lang w:eastAsia="en-US"/>
        </w:rPr>
        <w:t xml:space="preserve">also </w:t>
      </w:r>
      <w:r w:rsidRPr="00A7652F">
        <w:rPr>
          <w:lang w:eastAsia="en-US"/>
        </w:rPr>
        <w:t xml:space="preserve">continued to advance the modernization of its </w:t>
      </w:r>
      <w:r w:rsidR="001A63BC">
        <w:rPr>
          <w:lang w:eastAsia="en-US"/>
        </w:rPr>
        <w:t>IP</w:t>
      </w:r>
      <w:r w:rsidRPr="00A7652F">
        <w:rPr>
          <w:lang w:eastAsia="en-US"/>
        </w:rPr>
        <w:t xml:space="preserve"> legal framework, including in the context of its broader European integration process.</w:t>
      </w:r>
      <w:r w:rsidRPr="00A7652F">
        <w:t xml:space="preserve"> </w:t>
      </w:r>
      <w:r w:rsidR="00EB6400">
        <w:t xml:space="preserve"> </w:t>
      </w:r>
      <w:r w:rsidRPr="00A7652F">
        <w:t>During the reporting period, draft laws relating to copyright and related rights, trademarks, patents and utility models, and trade secrets were prepared and underwent broad public consultation, benefiting from international expertise and stakeholder input.</w:t>
      </w:r>
      <w:r>
        <w:t xml:space="preserve"> </w:t>
      </w:r>
    </w:p>
    <w:p w14:paraId="1195C149" w14:textId="36A859FB" w:rsidR="00497E56" w:rsidRPr="00603FAB" w:rsidRDefault="00497E56" w:rsidP="00603FAB">
      <w:pPr>
        <w:pStyle w:val="Heading3"/>
        <w:spacing w:after="220"/>
        <w:ind w:left="1890" w:hanging="720"/>
        <w:rPr>
          <w:b w:val="0"/>
          <w:bCs/>
          <w:color w:val="auto"/>
          <w:sz w:val="22"/>
          <w:szCs w:val="22"/>
          <w:u w:val="single"/>
          <w:lang w:eastAsia="en-US"/>
        </w:rPr>
      </w:pPr>
      <w:bookmarkStart w:id="32" w:name="_Toc232436574"/>
      <w:r w:rsidRPr="003F746A">
        <w:rPr>
          <w:b w:val="0"/>
          <w:bCs/>
          <w:color w:val="auto"/>
          <w:sz w:val="22"/>
          <w:szCs w:val="22"/>
          <w:lang w:eastAsia="en-US"/>
        </w:rPr>
        <w:t>2.3.2</w:t>
      </w:r>
      <w:r w:rsidRPr="003F746A">
        <w:rPr>
          <w:b w:val="0"/>
          <w:bCs/>
          <w:color w:val="auto"/>
          <w:sz w:val="22"/>
          <w:szCs w:val="22"/>
          <w:lang w:eastAsia="en-US"/>
        </w:rPr>
        <w:tab/>
      </w:r>
      <w:r w:rsidRPr="006558E5">
        <w:rPr>
          <w:b w:val="0"/>
          <w:bCs/>
          <w:color w:val="auto"/>
          <w:sz w:val="22"/>
          <w:szCs w:val="22"/>
          <w:u w:val="single"/>
          <w:lang w:eastAsia="en-US"/>
        </w:rPr>
        <w:t xml:space="preserve">Stakeholders responsible for the </w:t>
      </w:r>
      <w:r w:rsidRPr="00C22AF9">
        <w:rPr>
          <w:b w:val="0"/>
          <w:color w:val="auto"/>
          <w:sz w:val="22"/>
          <w:szCs w:val="22"/>
          <w:u w:val="single"/>
          <w:lang w:eastAsia="en-US"/>
        </w:rPr>
        <w:t>protection and enforcement of IP</w:t>
      </w:r>
      <w:bookmarkEnd w:id="31"/>
      <w:bookmarkEnd w:id="32"/>
    </w:p>
    <w:p w14:paraId="3924CF28" w14:textId="12E8CA6E" w:rsidR="00497E56" w:rsidRDefault="00497E56" w:rsidP="002A5A28">
      <w:pPr>
        <w:pStyle w:val="ONUME"/>
        <w:numPr>
          <w:ilvl w:val="0"/>
          <w:numId w:val="13"/>
        </w:numPr>
        <w:rPr>
          <w:lang w:eastAsia="en-US"/>
        </w:rPr>
      </w:pPr>
      <w:bookmarkStart w:id="33" w:name="_Toc227774538"/>
      <w:r>
        <w:rPr>
          <w:lang w:eastAsia="en-US"/>
        </w:rPr>
        <w:t xml:space="preserve">To obtain an updated assessment of the impact of the war on the institutions responsible for the protection and enforcement of IP, the International Bureau contacted the following relevant stakeholders: </w:t>
      </w:r>
      <w:r w:rsidR="00EB6400">
        <w:rPr>
          <w:lang w:eastAsia="en-US"/>
        </w:rPr>
        <w:t xml:space="preserve"> </w:t>
      </w:r>
      <w:r>
        <w:rPr>
          <w:lang w:eastAsia="en-US"/>
        </w:rPr>
        <w:t xml:space="preserve">the Ministry of Economy, </w:t>
      </w:r>
      <w:r w:rsidRPr="001B5E21">
        <w:rPr>
          <w:lang w:eastAsia="en-US"/>
        </w:rPr>
        <w:t>Environment and Agriculture</w:t>
      </w:r>
      <w:r>
        <w:rPr>
          <w:lang w:eastAsia="en-US"/>
        </w:rPr>
        <w:t xml:space="preserve"> of Ukraine, the </w:t>
      </w:r>
      <w:r w:rsidR="00297140">
        <w:rPr>
          <w:lang w:eastAsia="en-US"/>
        </w:rPr>
        <w:t xml:space="preserve">UANIPIO, the Supreme Court of Ukraine, the Office of the Prosecutor General, the National Police, and IP associations. </w:t>
      </w:r>
    </w:p>
    <w:p w14:paraId="542C0FDD" w14:textId="0693D845" w:rsidR="00497E56" w:rsidRDefault="00F211E2" w:rsidP="00497E56">
      <w:pPr>
        <w:pStyle w:val="ONUME"/>
        <w:rPr>
          <w:lang w:eastAsia="en-US"/>
        </w:rPr>
      </w:pPr>
      <w:r w:rsidRPr="00F211E2">
        <w:rPr>
          <w:lang w:eastAsia="en-US"/>
        </w:rPr>
        <w:t xml:space="preserve">The stakeholders that responded to the survey indicated that the challenges remain largely unchanged from the previous reporting period. </w:t>
      </w:r>
      <w:r w:rsidR="00EB6400">
        <w:rPr>
          <w:lang w:eastAsia="en-US"/>
        </w:rPr>
        <w:t xml:space="preserve"> </w:t>
      </w:r>
      <w:r w:rsidRPr="00F211E2">
        <w:rPr>
          <w:lang w:eastAsia="en-US"/>
        </w:rPr>
        <w:t>They continue to report as main operational challenges human resource constraints, mental health strain, brain drain, staff relocation and limited staff support, increased workload for employees, as well as disruptions due to frequent air raid</w:t>
      </w:r>
      <w:r w:rsidR="00A863A2">
        <w:rPr>
          <w:lang w:eastAsia="en-US"/>
        </w:rPr>
        <w:t xml:space="preserve"> </w:t>
      </w:r>
      <w:r w:rsidR="00D46F2D" w:rsidRPr="00F211E2">
        <w:rPr>
          <w:lang w:eastAsia="en-US"/>
        </w:rPr>
        <w:t>alerts</w:t>
      </w:r>
      <w:r w:rsidR="00D46F2D" w:rsidRPr="00D46F2D">
        <w:rPr>
          <w:lang w:eastAsia="en-US"/>
        </w:rPr>
        <w:t xml:space="preserve">, cyber incidents, bomb threats, power </w:t>
      </w:r>
      <w:r w:rsidR="00732AB4" w:rsidRPr="00F211E2">
        <w:rPr>
          <w:lang w:eastAsia="en-US"/>
        </w:rPr>
        <w:t>shortages</w:t>
      </w:r>
      <w:r w:rsidR="00D46F2D" w:rsidRPr="00D46F2D">
        <w:rPr>
          <w:lang w:eastAsia="en-US"/>
        </w:rPr>
        <w:t xml:space="preserve"> and the need to maintain remote access to services</w:t>
      </w:r>
      <w:r w:rsidRPr="00F211E2">
        <w:rPr>
          <w:lang w:eastAsia="en-US"/>
        </w:rPr>
        <w:t xml:space="preserve">. </w:t>
      </w:r>
      <w:r w:rsidR="00EB6400">
        <w:rPr>
          <w:lang w:eastAsia="en-US"/>
        </w:rPr>
        <w:t xml:space="preserve"> </w:t>
      </w:r>
      <w:r w:rsidRPr="00F211E2">
        <w:rPr>
          <w:lang w:eastAsia="en-US"/>
        </w:rPr>
        <w:t>Despite the persistence of these challenges, they also reported their continued operation, adaptability and resilience.</w:t>
      </w:r>
    </w:p>
    <w:p w14:paraId="3DE11508" w14:textId="617D229E" w:rsidR="00071DDF" w:rsidRDefault="00071DDF" w:rsidP="00071DDF">
      <w:pPr>
        <w:pStyle w:val="ONUME"/>
        <w:rPr>
          <w:szCs w:val="22"/>
        </w:rPr>
      </w:pPr>
      <w:r>
        <w:lastRenderedPageBreak/>
        <w:t xml:space="preserve">Under the challenging circumstances of the war, the Ministry of Economy, Environment and Agriculture of Ukraine continued to coordinate and implement state IP policy. </w:t>
      </w:r>
      <w:r w:rsidR="00D774B8">
        <w:t xml:space="preserve"> </w:t>
      </w:r>
      <w:r>
        <w:t xml:space="preserve">During the reporting period, priorities included the further modernization of the legal framework, support for enforcement-related tools in the digital environment, and measures aimed at improving the collective management system, including its transparency and efficiency. </w:t>
      </w:r>
      <w:r w:rsidR="00D774B8">
        <w:t xml:space="preserve"> </w:t>
      </w:r>
      <w:r>
        <w:t xml:space="preserve">In 2025, </w:t>
      </w:r>
      <w:proofErr w:type="gramStart"/>
      <w:r>
        <w:t>a number of</w:t>
      </w:r>
      <w:proofErr w:type="gramEnd"/>
      <w:r>
        <w:t xml:space="preserve"> legislative and regulatory measures relevant to the IP system were adopted or advanced. </w:t>
      </w:r>
      <w:r w:rsidR="00D774B8">
        <w:t xml:space="preserve"> </w:t>
      </w:r>
      <w:r>
        <w:t>These included the restoration of standard time limits for actions to protect IP rights, privileges for veterans’ businesses in relation to the registration of IP rights, rules concerning IP rights in objects created during military service, amendments facilitating access to the market for medicinal products after the expiry of patent protection, measures protecting sensitive information from state IP registers, improvements to the procedure for orphan works, shortened time limits for state copyright registration, and updates to the procedure for examining applications for geographical indications</w:t>
      </w:r>
      <w:r w:rsidR="007B1B60">
        <w:t xml:space="preserve"> (GI</w:t>
      </w:r>
      <w:r w:rsidR="00D774B8">
        <w:t>s</w:t>
      </w:r>
      <w:r w:rsidR="007B1B60">
        <w:t>)</w:t>
      </w:r>
      <w:r>
        <w:t>.</w:t>
      </w:r>
    </w:p>
    <w:p w14:paraId="7223DAE7" w14:textId="22843B5F" w:rsidR="004612B7" w:rsidRDefault="00115289" w:rsidP="00B12C14">
      <w:pPr>
        <w:pStyle w:val="ONUME"/>
        <w:rPr>
          <w:lang w:eastAsia="en-US"/>
        </w:rPr>
      </w:pPr>
      <w:r w:rsidRPr="00115289">
        <w:rPr>
          <w:lang w:eastAsia="en-US"/>
        </w:rPr>
        <w:t>As a direct IP-related support measure, on May 15, 2026, the Cabinet of Ministers of Ukraine adopted Resolution No. 616</w:t>
      </w:r>
      <w:r w:rsidR="006C27A8">
        <w:rPr>
          <w:rStyle w:val="FootnoteReference"/>
          <w:lang w:eastAsia="en-US"/>
        </w:rPr>
        <w:footnoteReference w:id="13"/>
      </w:r>
      <w:r w:rsidRPr="00115289">
        <w:rPr>
          <w:lang w:eastAsia="en-US"/>
        </w:rPr>
        <w:t xml:space="preserve">, introducing amendments to the grant support framework for the “Vlasna </w:t>
      </w:r>
      <w:proofErr w:type="spellStart"/>
      <w:r w:rsidRPr="00115289">
        <w:rPr>
          <w:lang w:eastAsia="en-US"/>
        </w:rPr>
        <w:t>Sprava</w:t>
      </w:r>
      <w:proofErr w:type="spellEnd"/>
      <w:r w:rsidRPr="00115289">
        <w:rPr>
          <w:lang w:eastAsia="en-US"/>
        </w:rPr>
        <w:t xml:space="preserve"> (Own Business)” program under the “Made in Ukraine” policy framework</w:t>
      </w:r>
      <w:r w:rsidR="009F06FB">
        <w:rPr>
          <w:rStyle w:val="FootnoteReference"/>
          <w:lang w:eastAsia="en-US"/>
        </w:rPr>
        <w:footnoteReference w:id="14"/>
      </w:r>
      <w:r w:rsidRPr="00115289">
        <w:rPr>
          <w:lang w:eastAsia="en-US"/>
        </w:rPr>
        <w:t xml:space="preserve">. “Vlasna </w:t>
      </w:r>
      <w:proofErr w:type="spellStart"/>
      <w:r w:rsidRPr="00115289">
        <w:rPr>
          <w:lang w:eastAsia="en-US"/>
        </w:rPr>
        <w:t>Sprava</w:t>
      </w:r>
      <w:proofErr w:type="spellEnd"/>
      <w:r w:rsidRPr="00115289">
        <w:rPr>
          <w:lang w:eastAsia="en-US"/>
        </w:rPr>
        <w:t xml:space="preserve">” is a government microgrant program supporting the creation and development of small businesses. </w:t>
      </w:r>
      <w:r w:rsidR="00D774B8">
        <w:rPr>
          <w:lang w:eastAsia="en-US"/>
        </w:rPr>
        <w:t xml:space="preserve"> </w:t>
      </w:r>
      <w:r w:rsidRPr="00115289">
        <w:rPr>
          <w:lang w:eastAsia="en-US"/>
        </w:rPr>
        <w:t>The amendments, which are expected to apply from September 1, 2026, include costs related to the registration of IP rights among eligible expenses. They also provide that the grant amount may be increased by 20 per cent for recipients that hold a valid Ukrainian patent for an invention and/or utility model, where the subject matter of the patent is directly related to the business project financed by the grant. This measure is intended to encourage entrepreneurs to integrate IP protection into business planning and to use IP as an intangible asset supporting business development</w:t>
      </w:r>
      <w:r w:rsidR="004612B7">
        <w:rPr>
          <w:lang w:eastAsia="en-US"/>
        </w:rPr>
        <w:t>.</w:t>
      </w:r>
    </w:p>
    <w:p w14:paraId="55085D8F" w14:textId="51796CE1" w:rsidR="00941845" w:rsidRDefault="00131337" w:rsidP="00B12C14">
      <w:pPr>
        <w:pStyle w:val="ONUME"/>
        <w:rPr>
          <w:lang w:eastAsia="en-US"/>
        </w:rPr>
      </w:pPr>
      <w:r w:rsidRPr="001538AE">
        <w:rPr>
          <w:lang w:eastAsia="en-US"/>
        </w:rPr>
        <w:t xml:space="preserve">The </w:t>
      </w:r>
      <w:r w:rsidR="00EE63CD" w:rsidRPr="00EE63CD">
        <w:rPr>
          <w:lang w:eastAsia="en-US"/>
        </w:rPr>
        <w:t>Ministry of Economy, Environment and Agriculture of Ukraine</w:t>
      </w:r>
      <w:r w:rsidR="00292E89">
        <w:rPr>
          <w:lang w:eastAsia="en-US"/>
        </w:rPr>
        <w:t xml:space="preserve"> </w:t>
      </w:r>
      <w:r w:rsidRPr="001538AE">
        <w:rPr>
          <w:lang w:eastAsia="en-US"/>
        </w:rPr>
        <w:t>also continued to support measures against online piracy and digital copyright infringements. Ukraine has been an authorized contributor to the WIPO ALERT platform since September 2020. During the reporting period, the Ministry contributed 16 copyright-infringing domains to WIPO ALERT, bringing the total number of Ukrainian contributions to 21. In addition, as of February 2, 2026, 18 websites were included in the national list of websites raising concerns regarding IP rights compliance, including 15 websites providing access to films and three websites providing access to textbooks.</w:t>
      </w:r>
    </w:p>
    <w:p w14:paraId="4899DEFD" w14:textId="4A3DE4D2" w:rsidR="008C4FA8" w:rsidRDefault="00401B29" w:rsidP="00B12C14">
      <w:pPr>
        <w:pStyle w:val="ONUME"/>
      </w:pPr>
      <w:r w:rsidRPr="00401B29">
        <w:rPr>
          <w:lang w:eastAsia="en-US"/>
        </w:rPr>
        <w:t>Despite the operational challenges outlined above</w:t>
      </w:r>
      <w:r>
        <w:rPr>
          <w:lang w:eastAsia="en-US"/>
        </w:rPr>
        <w:t xml:space="preserve"> </w:t>
      </w:r>
      <w:r w:rsidR="00497E56">
        <w:rPr>
          <w:lang w:eastAsia="en-US"/>
        </w:rPr>
        <w:t xml:space="preserve">UANIPIO </w:t>
      </w:r>
      <w:r w:rsidR="00497E56" w:rsidRPr="0029367E">
        <w:t>continue</w:t>
      </w:r>
      <w:r w:rsidR="00497E56">
        <w:t>d</w:t>
      </w:r>
      <w:r w:rsidR="00497E56" w:rsidRPr="0029367E">
        <w:t xml:space="preserve"> operating as the National IP Authority</w:t>
      </w:r>
      <w:r w:rsidR="00E346AD">
        <w:t xml:space="preserve"> and continued its </w:t>
      </w:r>
      <w:r w:rsidR="00497E56" w:rsidRPr="00B607A2">
        <w:t xml:space="preserve">gradual </w:t>
      </w:r>
      <w:r w:rsidR="0099657B">
        <w:t xml:space="preserve">transformation </w:t>
      </w:r>
      <w:r w:rsidR="0099657B" w:rsidRPr="00B607A2">
        <w:t>into</w:t>
      </w:r>
      <w:r w:rsidR="00497E56" w:rsidRPr="00B607A2">
        <w:t xml:space="preserve"> a service-oriented institution that combines the functions of </w:t>
      </w:r>
      <w:r w:rsidR="001B1503">
        <w:t xml:space="preserve">IP </w:t>
      </w:r>
      <w:r w:rsidR="00497E56" w:rsidRPr="00B607A2">
        <w:t xml:space="preserve">rights registration, expert review, analytics, </w:t>
      </w:r>
      <w:r w:rsidR="005A71CB">
        <w:t xml:space="preserve">awareness raising, </w:t>
      </w:r>
      <w:r w:rsidR="00497E56" w:rsidRPr="00B607A2">
        <w:t>innovation support, training</w:t>
      </w:r>
      <w:r w:rsidR="00192912">
        <w:t xml:space="preserve"> and capacity building</w:t>
      </w:r>
      <w:r w:rsidR="00497E56" w:rsidRPr="00B607A2">
        <w:t>, mediation, and international cooperation</w:t>
      </w:r>
      <w:r w:rsidR="00497E56">
        <w:t>.</w:t>
      </w:r>
    </w:p>
    <w:p w14:paraId="5371234C" w14:textId="46BCC94A" w:rsidR="004612B7" w:rsidRDefault="007844B7" w:rsidP="00497E56">
      <w:pPr>
        <w:pStyle w:val="ONUME"/>
        <w:rPr>
          <w:lang w:eastAsia="en-US"/>
        </w:rPr>
      </w:pPr>
      <w:r w:rsidRPr="007844B7">
        <w:rPr>
          <w:lang w:eastAsia="en-US"/>
        </w:rPr>
        <w:t xml:space="preserve">In 2025, for the first time since 2017, the UANIPIO Attestation Commission resumed the certification of IP representatives, certifying 76 patent attorneys specializing in trademarks, industrial designs, inventions and utility models, semiconductor products, </w:t>
      </w:r>
      <w:r w:rsidR="007B1B60">
        <w:rPr>
          <w:lang w:eastAsia="en-US"/>
        </w:rPr>
        <w:t>GI</w:t>
      </w:r>
      <w:r w:rsidR="00D774B8">
        <w:rPr>
          <w:lang w:eastAsia="en-US"/>
        </w:rPr>
        <w:t>s</w:t>
      </w:r>
      <w:r w:rsidRPr="007844B7">
        <w:rPr>
          <w:lang w:eastAsia="en-US"/>
        </w:rPr>
        <w:t xml:space="preserve"> and legal services. </w:t>
      </w:r>
      <w:r w:rsidR="00D774B8">
        <w:rPr>
          <w:lang w:eastAsia="en-US"/>
        </w:rPr>
        <w:t xml:space="preserve"> </w:t>
      </w:r>
      <w:r w:rsidRPr="007844B7">
        <w:rPr>
          <w:lang w:eastAsia="en-US"/>
        </w:rPr>
        <w:t>This helped to replenish and strengthen the professional capacity of Ukraine’s IP ecosystem, thereby expanding the resources available to users, businesses, creators and innovators seeking specialized support in the protection, management and enforcement of IP rights.</w:t>
      </w:r>
      <w:r>
        <w:rPr>
          <w:lang w:val="uk-UA" w:eastAsia="en-US"/>
        </w:rPr>
        <w:t xml:space="preserve"> </w:t>
      </w:r>
    </w:p>
    <w:p w14:paraId="21EF4A66" w14:textId="7E329252" w:rsidR="00497E56" w:rsidRDefault="006316C0" w:rsidP="00497E56">
      <w:pPr>
        <w:pStyle w:val="ONUME"/>
        <w:rPr>
          <w:lang w:eastAsia="en-US"/>
        </w:rPr>
      </w:pPr>
      <w:r>
        <w:rPr>
          <w:lang w:eastAsia="en-US"/>
        </w:rPr>
        <w:lastRenderedPageBreak/>
        <w:t xml:space="preserve">Alternative </w:t>
      </w:r>
      <w:r w:rsidR="00CB6BDA">
        <w:rPr>
          <w:lang w:eastAsia="en-US"/>
        </w:rPr>
        <w:t>dispute resolution capacities are also increasing</w:t>
      </w:r>
      <w:r w:rsidR="006D5911">
        <w:rPr>
          <w:lang w:eastAsia="en-US"/>
        </w:rPr>
        <w:t xml:space="preserve">. </w:t>
      </w:r>
      <w:r w:rsidR="00CB6BDA">
        <w:rPr>
          <w:lang w:eastAsia="en-US"/>
        </w:rPr>
        <w:t xml:space="preserve"> </w:t>
      </w:r>
      <w:r w:rsidR="006D5911">
        <w:rPr>
          <w:lang w:eastAsia="en-US"/>
        </w:rPr>
        <w:t xml:space="preserve">In 2025 </w:t>
      </w:r>
      <w:r w:rsidR="006D5911" w:rsidRPr="001B1503">
        <w:rPr>
          <w:lang w:eastAsia="en-US"/>
        </w:rPr>
        <w:t>UANIPIO Mediation Center also added six new IP mediators to the relevant register, bringing the total number of registered IP mediators to 21</w:t>
      </w:r>
      <w:r w:rsidR="00231F66">
        <w:rPr>
          <w:lang w:eastAsia="en-US"/>
        </w:rPr>
        <w:t xml:space="preserve">. </w:t>
      </w:r>
      <w:r w:rsidR="00D774B8">
        <w:rPr>
          <w:lang w:eastAsia="en-US"/>
        </w:rPr>
        <w:t xml:space="preserve"> </w:t>
      </w:r>
      <w:r w:rsidR="00B56BAC" w:rsidRPr="00B56BAC">
        <w:rPr>
          <w:lang w:eastAsia="en-US"/>
        </w:rPr>
        <w:t xml:space="preserve">UANIPIO continued to maintain its international partnerships through initiatives with WIPO, the European Union Intellectual Property Office (EUIPO) and the European Patent Office (EPO) and other IP offices. </w:t>
      </w:r>
      <w:r w:rsidR="00D774B8">
        <w:rPr>
          <w:lang w:eastAsia="en-US"/>
        </w:rPr>
        <w:t xml:space="preserve"> </w:t>
      </w:r>
      <w:r w:rsidR="00B56BAC" w:rsidRPr="00B56BAC">
        <w:rPr>
          <w:lang w:eastAsia="en-US"/>
        </w:rPr>
        <w:t xml:space="preserve">These ongoing collaborations continue to support Ukraine's alignment </w:t>
      </w:r>
      <w:r w:rsidR="00B56BAC" w:rsidRPr="00543B48">
        <w:rPr>
          <w:lang w:eastAsia="en-US"/>
        </w:rPr>
        <w:t xml:space="preserve">with </w:t>
      </w:r>
      <w:r w:rsidR="00B56BAC" w:rsidRPr="002A5A28">
        <w:rPr>
          <w:lang w:eastAsia="en-US"/>
        </w:rPr>
        <w:t>International</w:t>
      </w:r>
      <w:r w:rsidR="00B56BAC">
        <w:rPr>
          <w:lang w:eastAsia="en-US"/>
        </w:rPr>
        <w:t xml:space="preserve"> and </w:t>
      </w:r>
      <w:r w:rsidR="00B56BAC" w:rsidRPr="00B56BAC">
        <w:rPr>
          <w:lang w:eastAsia="en-US"/>
        </w:rPr>
        <w:t>European IP standards and its broader EU accession goals.</w:t>
      </w:r>
    </w:p>
    <w:p w14:paraId="22983DAA" w14:textId="50CAA016" w:rsidR="00497E56" w:rsidRDefault="00497E56" w:rsidP="00497E56">
      <w:pPr>
        <w:pStyle w:val="ONUME"/>
        <w:rPr>
          <w:lang w:eastAsia="en-US"/>
        </w:rPr>
      </w:pPr>
      <w:r>
        <w:rPr>
          <w:lang w:eastAsia="en-US"/>
        </w:rPr>
        <w:t>UANIPIO continued to le</w:t>
      </w:r>
      <w:r w:rsidR="00FE755B">
        <w:rPr>
          <w:lang w:eastAsia="en-US"/>
        </w:rPr>
        <w:t>a</w:t>
      </w:r>
      <w:r>
        <w:rPr>
          <w:lang w:eastAsia="en-US"/>
        </w:rPr>
        <w:t xml:space="preserve">d or co-implemented a series of targeted support programs, including “Lab2Market UA”, an initiative </w:t>
      </w:r>
      <w:r>
        <w:t>designed to assist researchers and scientists in commercializing academic discoveries into viable deep-tech enterprises</w:t>
      </w:r>
      <w:r>
        <w:rPr>
          <w:lang w:eastAsia="en-US"/>
        </w:rPr>
        <w:t xml:space="preserve">. </w:t>
      </w:r>
      <w:r w:rsidR="00D774B8">
        <w:rPr>
          <w:lang w:eastAsia="en-US"/>
        </w:rPr>
        <w:t xml:space="preserve"> </w:t>
      </w:r>
      <w:r>
        <w:rPr>
          <w:lang w:eastAsia="en-US"/>
        </w:rPr>
        <w:t xml:space="preserve">Complementary sectoral variants such as “Veterano” and “Medtech” continued to </w:t>
      </w:r>
      <w:r>
        <w:t>offer inclusive avenues for post-war recovery and job creation driven by innovation</w:t>
      </w:r>
      <w:r>
        <w:rPr>
          <w:lang w:eastAsia="en-US"/>
        </w:rPr>
        <w:t xml:space="preserve">.  </w:t>
      </w:r>
    </w:p>
    <w:p w14:paraId="3574FEFC" w14:textId="2535A83B" w:rsidR="00497E56" w:rsidRPr="002A5A28" w:rsidRDefault="00497E56" w:rsidP="002A5A28">
      <w:pPr>
        <w:pStyle w:val="ONUME"/>
        <w:numPr>
          <w:ilvl w:val="0"/>
          <w:numId w:val="13"/>
        </w:numPr>
        <w:rPr>
          <w:rFonts w:ascii="Aptos" w:hAnsi="Aptos" w:cs="Aptos"/>
        </w:rPr>
      </w:pPr>
      <w:r>
        <w:rPr>
          <w:lang w:eastAsia="en-US"/>
        </w:rPr>
        <w:t xml:space="preserve">UANIPIO continued to prioritize its educational and outreach activities.  In 2025, it organized </w:t>
      </w:r>
      <w:r w:rsidRPr="00A56831">
        <w:rPr>
          <w:lang w:eastAsia="en-US"/>
        </w:rPr>
        <w:t>55 educational events, training sessions, webinars, and workshops</w:t>
      </w:r>
      <w:r>
        <w:rPr>
          <w:lang w:eastAsia="en-US"/>
        </w:rPr>
        <w:t xml:space="preserve"> involving over 2500 participants.  UANIPIO</w:t>
      </w:r>
      <w:r w:rsidRPr="00777C3C">
        <w:rPr>
          <w:lang w:eastAsia="en-US"/>
        </w:rPr>
        <w:t xml:space="preserve"> also develop</w:t>
      </w:r>
      <w:r w:rsidR="000066C4">
        <w:rPr>
          <w:lang w:eastAsia="en-US"/>
        </w:rPr>
        <w:t>ed new</w:t>
      </w:r>
      <w:r w:rsidRPr="00777C3C">
        <w:rPr>
          <w:lang w:eastAsia="en-US"/>
        </w:rPr>
        <w:t xml:space="preserve"> informational and analytical materials, such as the Open Innovation Playbook, a Guide to Creating Academic, Graduate, and Student Startups, and an Assessment of Gaps in Awareness Regarding Patent and Licensing Activities</w:t>
      </w:r>
      <w:r w:rsidR="0016001D">
        <w:rPr>
          <w:lang w:eastAsia="en-US"/>
        </w:rPr>
        <w:t xml:space="preserve">. </w:t>
      </w:r>
      <w:r w:rsidR="00A71414">
        <w:t xml:space="preserve">The Office of the Prosecutor General reported sustained operational capacity in the detection and investigation of IP rights violations. </w:t>
      </w:r>
      <w:r w:rsidR="00D774B8">
        <w:t xml:space="preserve"> </w:t>
      </w:r>
      <w:r w:rsidR="00A71414">
        <w:t>The number of criminal proceedings for IP rights violations remained at levels comparable to 2024, continuing the pattern of reduced but stable enforcement activity observed since 2022.</w:t>
      </w:r>
    </w:p>
    <w:p w14:paraId="2BA6F181" w14:textId="5726B994" w:rsidR="001E3337" w:rsidRDefault="001E3337" w:rsidP="001E3337">
      <w:pPr>
        <w:pStyle w:val="ONUME"/>
        <w:rPr>
          <w:rFonts w:eastAsia="Times New Roman"/>
        </w:rPr>
      </w:pPr>
      <w:r>
        <w:t xml:space="preserve">The Supreme Court of Ukraine maintained operational capacity under enhanced security protocols. </w:t>
      </w:r>
      <w:r w:rsidR="00E143C3">
        <w:t xml:space="preserve"> </w:t>
      </w:r>
      <w:r>
        <w:t>However, IP-related cases in commercial courts continued their sharp decline, falling by approximately 40 per cent in 2025 compared to 2024 and reaching only 22 per cent of pre-war volumes</w:t>
      </w:r>
      <w:r w:rsidR="00C411A8">
        <w:t xml:space="preserve"> - </w:t>
      </w:r>
      <w:r>
        <w:t>the steepest year-on-year decline since 2022. IP professionals attribute this accelerating contraction to the compounding effects of economic crisis, market contraction, and wartime-specific challenges, including communication difficulties with parties in conflict-affected or occupied territories and evidentiary issues resulting from document loss due to shelling, territorial occupation, and business relocation.</w:t>
      </w:r>
    </w:p>
    <w:p w14:paraId="725F1916" w14:textId="471EADC6" w:rsidR="001E3337" w:rsidRDefault="001E3337" w:rsidP="00C411A8">
      <w:pPr>
        <w:pStyle w:val="ONUME"/>
      </w:pPr>
      <w:r>
        <w:t>At the same time, a notable shift in dispute resolution patterns has emerged: rights holders increasingly use out-of-court mechanisms, including notice-and-takedown procedures in the digital environment, negotiations, and mediation. IP professionals consider these procedures not only less expensive than litigation but also more effective, especially for digital infringements, suggesting an adaptive response to judicial system constraints and broader changes in enforcement strategies under wartime conditions.</w:t>
      </w:r>
    </w:p>
    <w:p w14:paraId="73DF2012" w14:textId="4782FE41" w:rsidR="00497E56" w:rsidRPr="00603FAB" w:rsidRDefault="00497E56" w:rsidP="00603FAB">
      <w:pPr>
        <w:pStyle w:val="Heading3"/>
        <w:numPr>
          <w:ilvl w:val="2"/>
          <w:numId w:val="22"/>
        </w:numPr>
        <w:spacing w:after="220"/>
        <w:rPr>
          <w:b w:val="0"/>
          <w:bCs/>
          <w:color w:val="000000" w:themeColor="text1"/>
          <w:sz w:val="22"/>
          <w:szCs w:val="18"/>
          <w:lang w:eastAsia="en-US"/>
        </w:rPr>
      </w:pPr>
      <w:bookmarkStart w:id="34" w:name="_Toc232436575"/>
      <w:r w:rsidRPr="00AD5DCD">
        <w:rPr>
          <w:b w:val="0"/>
          <w:bCs/>
          <w:color w:val="000000" w:themeColor="text1"/>
          <w:sz w:val="22"/>
          <w:szCs w:val="18"/>
          <w:u w:val="single"/>
          <w:lang w:eastAsia="en-US"/>
        </w:rPr>
        <w:t>Innovation support framework and innovative businesses</w:t>
      </w:r>
      <w:bookmarkEnd w:id="33"/>
      <w:bookmarkEnd w:id="34"/>
      <w:r w:rsidRPr="00AD5DCD">
        <w:rPr>
          <w:b w:val="0"/>
          <w:bCs/>
          <w:color w:val="000000" w:themeColor="text1"/>
          <w:sz w:val="22"/>
          <w:szCs w:val="18"/>
          <w:lang w:eastAsia="en-US"/>
        </w:rPr>
        <w:t xml:space="preserve"> </w:t>
      </w:r>
    </w:p>
    <w:p w14:paraId="51847E1A" w14:textId="4169CE2D" w:rsidR="00145D2B" w:rsidRDefault="00F40479" w:rsidP="00011CC6">
      <w:pPr>
        <w:pStyle w:val="ONUME"/>
        <w:rPr>
          <w:lang w:eastAsia="en-US"/>
        </w:rPr>
      </w:pPr>
      <w:r w:rsidRPr="00F40479">
        <w:rPr>
          <w:lang w:eastAsia="en-US"/>
        </w:rPr>
        <w:t xml:space="preserve">To obtain an updated assessment of the impact of the war on </w:t>
      </w:r>
      <w:r>
        <w:rPr>
          <w:lang w:eastAsia="en-US"/>
        </w:rPr>
        <w:t>the i</w:t>
      </w:r>
      <w:r w:rsidRPr="00F40479">
        <w:rPr>
          <w:lang w:eastAsia="en-US"/>
        </w:rPr>
        <w:t xml:space="preserve">nnovation support framework and innovative businesses </w:t>
      </w:r>
      <w:r>
        <w:rPr>
          <w:lang w:eastAsia="en-US"/>
        </w:rPr>
        <w:t xml:space="preserve">the </w:t>
      </w:r>
      <w:r w:rsidRPr="00F40479">
        <w:rPr>
          <w:lang w:eastAsia="en-US"/>
        </w:rPr>
        <w:t xml:space="preserve">International Bureau </w:t>
      </w:r>
      <w:r w:rsidR="00011CC6" w:rsidRPr="00011CC6">
        <w:rPr>
          <w:lang w:eastAsia="en-US"/>
        </w:rPr>
        <w:t xml:space="preserve">surveyed, interviewed and analyzed official data of the </w:t>
      </w:r>
      <w:r w:rsidR="00011CC6" w:rsidRPr="00F40479">
        <w:rPr>
          <w:lang w:eastAsia="en-US"/>
        </w:rPr>
        <w:t>Ministry of Economy, Environment and Agriculture</w:t>
      </w:r>
      <w:r w:rsidR="00011CC6">
        <w:rPr>
          <w:lang w:eastAsia="en-US"/>
        </w:rPr>
        <w:t xml:space="preserve"> and the Ministry of Digital Transformation of Ukraine and </w:t>
      </w:r>
      <w:r w:rsidR="000D66C8" w:rsidRPr="000D66C8">
        <w:rPr>
          <w:lang w:eastAsia="en-US"/>
        </w:rPr>
        <w:t xml:space="preserve">consulted and reviewed official reports of </w:t>
      </w:r>
      <w:r w:rsidR="00D13EFD">
        <w:rPr>
          <w:lang w:eastAsia="en-US"/>
        </w:rPr>
        <w:t xml:space="preserve">relevant </w:t>
      </w:r>
      <w:r w:rsidR="000D66C8" w:rsidRPr="000D66C8">
        <w:rPr>
          <w:lang w:eastAsia="en-US"/>
        </w:rPr>
        <w:t>international and regional organizations and institutions</w:t>
      </w:r>
      <w:r w:rsidR="003723E8">
        <w:rPr>
          <w:lang w:eastAsia="en-US"/>
        </w:rPr>
        <w:t xml:space="preserve"> and </w:t>
      </w:r>
      <w:r w:rsidR="000D66C8" w:rsidRPr="000D66C8">
        <w:rPr>
          <w:lang w:eastAsia="en-US"/>
        </w:rPr>
        <w:t>national authorities</w:t>
      </w:r>
      <w:r w:rsidR="00011CC6">
        <w:rPr>
          <w:lang w:eastAsia="en-US"/>
        </w:rPr>
        <w:t>.</w:t>
      </w:r>
    </w:p>
    <w:p w14:paraId="0FED15BB" w14:textId="1D6BC57F" w:rsidR="00833A64" w:rsidRDefault="0061533E" w:rsidP="0061533E">
      <w:pPr>
        <w:pStyle w:val="ONUME"/>
        <w:rPr>
          <w:lang w:eastAsia="en-US"/>
        </w:rPr>
      </w:pPr>
      <w:r w:rsidRPr="0061533E">
        <w:rPr>
          <w:lang w:eastAsia="en-US"/>
        </w:rPr>
        <w:t>According to the UNDP Ukraine Annual Report 2025</w:t>
      </w:r>
      <w:r w:rsidR="00E10029">
        <w:rPr>
          <w:lang w:eastAsia="en-US"/>
        </w:rPr>
        <w:t>,</w:t>
      </w:r>
      <w:r w:rsidR="00C844FA">
        <w:rPr>
          <w:rStyle w:val="FootnoteReference"/>
          <w:lang w:eastAsia="en-US"/>
        </w:rPr>
        <w:footnoteReference w:id="15"/>
      </w:r>
      <w:r w:rsidRPr="0061533E">
        <w:rPr>
          <w:lang w:eastAsia="en-US"/>
        </w:rPr>
        <w:t xml:space="preserve"> micro, small, and medium-sized enterprises (MSMEs) remain the backbone of Ukraine's economy, comprising 99.98 per cent of all business entities. Despite the devastating and prolonged impact of the war, MSMEs demonstrated remarkable resilience:</w:t>
      </w:r>
      <w:r w:rsidR="00E143C3">
        <w:rPr>
          <w:lang w:eastAsia="en-US"/>
        </w:rPr>
        <w:t xml:space="preserve"> </w:t>
      </w:r>
      <w:r w:rsidRPr="0061533E">
        <w:rPr>
          <w:lang w:eastAsia="en-US"/>
        </w:rPr>
        <w:t xml:space="preserve"> through inclusive initiatives, reskilling programs and </w:t>
      </w:r>
      <w:r w:rsidRPr="0061533E">
        <w:rPr>
          <w:lang w:eastAsia="en-US"/>
        </w:rPr>
        <w:lastRenderedPageBreak/>
        <w:t xml:space="preserve">business support mechanisms, 223,684 people expanded their economic </w:t>
      </w:r>
      <w:r w:rsidR="000429C4" w:rsidRPr="0061533E">
        <w:rPr>
          <w:lang w:eastAsia="en-US"/>
        </w:rPr>
        <w:t>opportunities,</w:t>
      </w:r>
      <w:r w:rsidRPr="0061533E">
        <w:rPr>
          <w:lang w:eastAsia="en-US"/>
        </w:rPr>
        <w:t xml:space="preserve"> and 17,980 private entities improved their competitiveness and export readiness via Made in Ukraine offices, Resilient Business Hubs, and training programs.</w:t>
      </w:r>
      <w:r w:rsidR="00E143C3">
        <w:rPr>
          <w:lang w:eastAsia="en-US"/>
        </w:rPr>
        <w:t xml:space="preserve"> </w:t>
      </w:r>
      <w:r w:rsidRPr="0061533E">
        <w:rPr>
          <w:lang w:eastAsia="en-US"/>
        </w:rPr>
        <w:t xml:space="preserve"> In January 2026, the </w:t>
      </w:r>
      <w:r w:rsidR="008B2397" w:rsidRPr="008B2397">
        <w:rPr>
          <w:lang w:eastAsia="en-US"/>
        </w:rPr>
        <w:t>Ministry of Economy, Environment and Agriculture of Ukraine</w:t>
      </w:r>
      <w:r w:rsidR="00540937">
        <w:rPr>
          <w:lang w:eastAsia="en-US"/>
        </w:rPr>
        <w:t xml:space="preserve"> </w:t>
      </w:r>
      <w:r w:rsidRPr="0061533E">
        <w:rPr>
          <w:lang w:eastAsia="en-US"/>
        </w:rPr>
        <w:t>and UNDP approved an action plan to further strengthen small and medium-sized businesses.</w:t>
      </w:r>
      <w:r w:rsidR="00E143C3">
        <w:rPr>
          <w:lang w:eastAsia="en-US"/>
        </w:rPr>
        <w:t xml:space="preserve"> </w:t>
      </w:r>
      <w:r w:rsidRPr="0061533E">
        <w:rPr>
          <w:lang w:eastAsia="en-US"/>
        </w:rPr>
        <w:t xml:space="preserve"> At the regional level, the Kyiv Regional Administration and Lviv City Council launched initiatives to provide partial reimbursement of expenses for state registration of trademarks, inventions, utility models and industrial designs, supporting SME access to IP protection.</w:t>
      </w:r>
      <w:r w:rsidR="00C844FA">
        <w:rPr>
          <w:lang w:eastAsia="en-US"/>
        </w:rPr>
        <w:t xml:space="preserve"> </w:t>
      </w:r>
    </w:p>
    <w:p w14:paraId="51DE4567" w14:textId="28601CE6" w:rsidR="00497E56" w:rsidRPr="002A5A28" w:rsidRDefault="00497E56" w:rsidP="0061533E">
      <w:pPr>
        <w:pStyle w:val="ONUME"/>
        <w:rPr>
          <w:lang w:eastAsia="en-US"/>
        </w:rPr>
      </w:pPr>
      <w:r>
        <w:rPr>
          <w:lang w:eastAsia="en-US"/>
        </w:rPr>
        <w:t xml:space="preserve"> </w:t>
      </w:r>
      <w:r w:rsidR="00833A64" w:rsidRPr="009355A8">
        <w:rPr>
          <w:shd w:val="clear" w:color="auto" w:fill="FFFFFF"/>
        </w:rPr>
        <w:t xml:space="preserve">International assessments confirm a continued structural shift of Ukraine's innovation ecosystem toward dual-use technologies, digitalization and reconstruction-oriented innovation. </w:t>
      </w:r>
      <w:r w:rsidR="002A34D4">
        <w:rPr>
          <w:lang w:eastAsia="en-US"/>
        </w:rPr>
        <w:t>Analyses</w:t>
      </w:r>
      <w:r w:rsidR="00BB5885">
        <w:rPr>
          <w:lang w:eastAsia="en-US"/>
        </w:rPr>
        <w:t xml:space="preserve"> and initiatives</w:t>
      </w:r>
      <w:r w:rsidR="002A34D4">
        <w:rPr>
          <w:lang w:eastAsia="en-US"/>
        </w:rPr>
        <w:t xml:space="preserve"> by t</w:t>
      </w:r>
      <w:r w:rsidR="00E76092" w:rsidRPr="00657256">
        <w:rPr>
          <w:lang w:eastAsia="en-US"/>
        </w:rPr>
        <w:t xml:space="preserve">he </w:t>
      </w:r>
      <w:r w:rsidR="00833A64" w:rsidRPr="009355A8">
        <w:rPr>
          <w:shd w:val="clear" w:color="auto" w:fill="FFFFFF"/>
        </w:rPr>
        <w:t>OECD</w:t>
      </w:r>
      <w:r w:rsidR="004C1F31">
        <w:rPr>
          <w:rStyle w:val="FootnoteReference"/>
          <w:shd w:val="clear" w:color="auto" w:fill="FFFFFF"/>
        </w:rPr>
        <w:footnoteReference w:id="16"/>
      </w:r>
      <w:r w:rsidR="00833A64" w:rsidRPr="009355A8">
        <w:rPr>
          <w:shd w:val="clear" w:color="auto" w:fill="FFFFFF"/>
        </w:rPr>
        <w:t xml:space="preserve"> and</w:t>
      </w:r>
      <w:r w:rsidR="007B2F82">
        <w:rPr>
          <w:shd w:val="clear" w:color="auto" w:fill="FFFFFF"/>
        </w:rPr>
        <w:t xml:space="preserve"> by the </w:t>
      </w:r>
      <w:r w:rsidR="00833A64" w:rsidRPr="009355A8">
        <w:rPr>
          <w:shd w:val="clear" w:color="auto" w:fill="FFFFFF"/>
        </w:rPr>
        <w:t>European Commission</w:t>
      </w:r>
      <w:r w:rsidR="00162EF4">
        <w:rPr>
          <w:rStyle w:val="FootnoteReference"/>
          <w:shd w:val="clear" w:color="auto" w:fill="FFFFFF"/>
        </w:rPr>
        <w:footnoteReference w:id="17"/>
      </w:r>
      <w:r w:rsidR="00833A64" w:rsidRPr="009355A8">
        <w:rPr>
          <w:shd w:val="clear" w:color="auto" w:fill="FFFFFF"/>
        </w:rPr>
        <w:t xml:space="preserve"> highlight growing prioritization of artificial intelligence</w:t>
      </w:r>
      <w:r w:rsidR="001F5188">
        <w:rPr>
          <w:shd w:val="clear" w:color="auto" w:fill="FFFFFF"/>
        </w:rPr>
        <w:t xml:space="preserve"> (AI)</w:t>
      </w:r>
      <w:r w:rsidR="00833A64" w:rsidRPr="009355A8">
        <w:rPr>
          <w:shd w:val="clear" w:color="auto" w:fill="FFFFFF"/>
        </w:rPr>
        <w:t xml:space="preserve">, cybersecurity, defense-related technologies, digital public infrastructure and deep-tech startups as strategic sectors of economic transformation and resilience-building. </w:t>
      </w:r>
      <w:r w:rsidR="00E143C3">
        <w:rPr>
          <w:shd w:val="clear" w:color="auto" w:fill="FFFFFF"/>
        </w:rPr>
        <w:t xml:space="preserve"> </w:t>
      </w:r>
      <w:r w:rsidR="00833A64" w:rsidRPr="009355A8">
        <w:rPr>
          <w:shd w:val="clear" w:color="auto" w:fill="FFFFFF"/>
        </w:rPr>
        <w:t>The World Bank's RDNA5 assessment underscores that reconstruction efforts increasingly rely on innovation-driven economic recovery models, while noting persistent constraints related to labor shortages, capital access and infrastructure destruction.</w:t>
      </w:r>
    </w:p>
    <w:p w14:paraId="47787CE6" w14:textId="1FE65DAF" w:rsidR="00833A64" w:rsidRPr="002A5A28" w:rsidRDefault="00833A64" w:rsidP="0061533E">
      <w:pPr>
        <w:pStyle w:val="ONUME"/>
        <w:rPr>
          <w:lang w:eastAsia="en-US"/>
        </w:rPr>
      </w:pPr>
      <w:r w:rsidRPr="009355A8">
        <w:rPr>
          <w:shd w:val="clear" w:color="auto" w:fill="FFFFFF"/>
        </w:rPr>
        <w:t xml:space="preserve">Ukraine's defense and dual-use innovation ecosystem achieved significant scale in 2025. The Ministry of Digital Transformation launched the Brave1 Market, a marketplace for defense technologies that presented over 3,000 products by year-end. </w:t>
      </w:r>
      <w:r w:rsidR="00A8444B">
        <w:rPr>
          <w:shd w:val="clear" w:color="auto" w:fill="FFFFFF"/>
        </w:rPr>
        <w:t xml:space="preserve"> </w:t>
      </w:r>
      <w:r w:rsidRPr="009355A8">
        <w:rPr>
          <w:shd w:val="clear" w:color="auto" w:fill="FFFFFF"/>
        </w:rPr>
        <w:t xml:space="preserve">According to the Innovation Development Fund, </w:t>
      </w:r>
      <w:r w:rsidR="00C9213C">
        <w:rPr>
          <w:shd w:val="clear" w:color="auto" w:fill="FFFFFF"/>
        </w:rPr>
        <w:t>S</w:t>
      </w:r>
      <w:r w:rsidR="00C9213C" w:rsidRPr="009355A8">
        <w:rPr>
          <w:shd w:val="clear" w:color="auto" w:fill="FFFFFF"/>
        </w:rPr>
        <w:t xml:space="preserve">tate </w:t>
      </w:r>
      <w:r w:rsidRPr="009355A8">
        <w:rPr>
          <w:shd w:val="clear" w:color="auto" w:fill="FFFFFF"/>
        </w:rPr>
        <w:t xml:space="preserve">support prioritized unmanned aerial vehicles (the market expanded from a few manufacturers in 2022 to over 500, across more than 30 technological sub-sectors), communications and navigation systems (personnel grew from dozens to thousands), ground-based robotic systems for logistics and evacuation, electronic systems, unmanned watercraft, and rehabilitation technologies. </w:t>
      </w:r>
      <w:r w:rsidR="00A8444B">
        <w:rPr>
          <w:shd w:val="clear" w:color="auto" w:fill="FFFFFF"/>
        </w:rPr>
        <w:t xml:space="preserve"> </w:t>
      </w:r>
      <w:r w:rsidRPr="009355A8">
        <w:rPr>
          <w:shd w:val="clear" w:color="auto" w:fill="FFFFFF"/>
        </w:rPr>
        <w:t>These developments reflect the transformation of fragmented innovation activity into a comprehensive defense-industrial ecosystem with indigenous technological capacity.</w:t>
      </w:r>
    </w:p>
    <w:p w14:paraId="54C6536D" w14:textId="2B2DCFF6" w:rsidR="00A679DA" w:rsidRPr="002A5A28" w:rsidRDefault="00A679DA" w:rsidP="0061533E">
      <w:pPr>
        <w:pStyle w:val="ONUME"/>
        <w:rPr>
          <w:lang w:eastAsia="en-US"/>
        </w:rPr>
      </w:pPr>
      <w:r w:rsidRPr="009355A8">
        <w:rPr>
          <w:shd w:val="clear" w:color="auto" w:fill="FFFFFF"/>
        </w:rPr>
        <w:t>International support for Ukrainian technology companies expanded in 2025-2026.</w:t>
      </w:r>
      <w:r w:rsidR="00A8444B">
        <w:rPr>
          <w:shd w:val="clear" w:color="auto" w:fill="FFFFFF"/>
        </w:rPr>
        <w:t xml:space="preserve"> </w:t>
      </w:r>
      <w:r w:rsidRPr="009355A8">
        <w:rPr>
          <w:shd w:val="clear" w:color="auto" w:fill="FFFFFF"/>
        </w:rPr>
        <w:t xml:space="preserve"> In April 2026, the European Commission announced that the European Innovation Council awarded €20 million in funding to 41 Ukrainian deep-tech startups and SMEs, with grants between €300,000 and €500,000 per company and accelerated access to the EIC Accelerator program. </w:t>
      </w:r>
      <w:r w:rsidR="00A8444B">
        <w:rPr>
          <w:shd w:val="clear" w:color="auto" w:fill="FFFFFF"/>
        </w:rPr>
        <w:t xml:space="preserve"> </w:t>
      </w:r>
      <w:r w:rsidRPr="009355A8">
        <w:rPr>
          <w:shd w:val="clear" w:color="auto" w:fill="FFFFFF"/>
        </w:rPr>
        <w:t>This support is intended to help Ukrainian innovators advance technologies toward market deployment and deepen integration into European innovation ecosystems.</w:t>
      </w:r>
      <w:r w:rsidR="001C12B4">
        <w:rPr>
          <w:rStyle w:val="FootnoteReference"/>
          <w:shd w:val="clear" w:color="auto" w:fill="FFFFFF"/>
        </w:rPr>
        <w:footnoteReference w:id="18"/>
      </w:r>
    </w:p>
    <w:p w14:paraId="1B49FCAB" w14:textId="2EE9F050" w:rsidR="00A679DA" w:rsidRPr="002A5A28" w:rsidRDefault="001E701C" w:rsidP="0061533E">
      <w:pPr>
        <w:pStyle w:val="ONUME"/>
        <w:rPr>
          <w:lang w:eastAsia="en-US"/>
        </w:rPr>
      </w:pPr>
      <w:r w:rsidRPr="009355A8">
        <w:rPr>
          <w:shd w:val="clear" w:color="auto" w:fill="FFFFFF"/>
        </w:rPr>
        <w:t>Innovation in prosthetics and rehabilitation technologies emerged as a significant growth area, addressing urgent needs arising from the war.</w:t>
      </w:r>
      <w:r w:rsidR="006F1BD5">
        <w:rPr>
          <w:shd w:val="clear" w:color="auto" w:fill="FFFFFF"/>
        </w:rPr>
        <w:t xml:space="preserve"> </w:t>
      </w:r>
      <w:r w:rsidRPr="009355A8">
        <w:rPr>
          <w:shd w:val="clear" w:color="auto" w:fill="FFFFFF"/>
        </w:rPr>
        <w:t xml:space="preserve"> Ukrainian startups developed AI-powered and robotics-based prosthetic solutions, exemplified by SYLA</w:t>
      </w:r>
      <w:r w:rsidR="00035AE1">
        <w:rPr>
          <w:shd w:val="clear" w:color="auto" w:fill="FFFFFF"/>
        </w:rPr>
        <w:t xml:space="preserve">, </w:t>
      </w:r>
      <w:r w:rsidRPr="009355A8">
        <w:rPr>
          <w:shd w:val="clear" w:color="auto" w:fill="FFFFFF"/>
        </w:rPr>
        <w:t>an AI-powered bionic knee prosthesis that adapts to individual movement patterns</w:t>
      </w:r>
      <w:r w:rsidR="00035AE1">
        <w:rPr>
          <w:shd w:val="clear" w:color="auto" w:fill="FFFFFF"/>
        </w:rPr>
        <w:t xml:space="preserve">, </w:t>
      </w:r>
      <w:r w:rsidRPr="009355A8">
        <w:rPr>
          <w:shd w:val="clear" w:color="auto" w:fill="FFFFFF"/>
        </w:rPr>
        <w:t xml:space="preserve">which was recognized as an Impact Startup at Web Summit 2025. </w:t>
      </w:r>
      <w:r w:rsidR="006F1BD5">
        <w:rPr>
          <w:shd w:val="clear" w:color="auto" w:fill="FFFFFF"/>
        </w:rPr>
        <w:t xml:space="preserve"> </w:t>
      </w:r>
      <w:r w:rsidRPr="009355A8">
        <w:rPr>
          <w:shd w:val="clear" w:color="auto" w:fill="FFFFFF"/>
        </w:rPr>
        <w:t>This reflects the broader emergence of health, rehabilitation and assistive technologies as innovation priorities linked to Ukraine's recovery needs.</w:t>
      </w:r>
    </w:p>
    <w:p w14:paraId="7C16ED12" w14:textId="7E36242A" w:rsidR="00833A64" w:rsidRDefault="006D0AC5" w:rsidP="0061533E">
      <w:pPr>
        <w:pStyle w:val="ONUME"/>
        <w:rPr>
          <w:lang w:eastAsia="en-US"/>
        </w:rPr>
      </w:pPr>
      <w:r w:rsidRPr="009355A8">
        <w:rPr>
          <w:shd w:val="clear" w:color="auto" w:fill="FFFFFF"/>
        </w:rPr>
        <w:t xml:space="preserve">The </w:t>
      </w:r>
      <w:proofErr w:type="spellStart"/>
      <w:r w:rsidRPr="009355A8">
        <w:rPr>
          <w:shd w:val="clear" w:color="auto" w:fill="FFFFFF"/>
        </w:rPr>
        <w:t>agro</w:t>
      </w:r>
      <w:proofErr w:type="spellEnd"/>
      <w:r w:rsidRPr="009355A8">
        <w:rPr>
          <w:shd w:val="clear" w:color="auto" w:fill="FFFFFF"/>
        </w:rPr>
        <w:t xml:space="preserve">-food and medtech sectors, both designated as national priorities under the Strategy for Digital Development of Ukraine's Innovation Activities for the Period up to 2030, </w:t>
      </w:r>
      <w:r w:rsidRPr="009355A8">
        <w:rPr>
          <w:shd w:val="clear" w:color="auto" w:fill="FFFFFF"/>
        </w:rPr>
        <w:lastRenderedPageBreak/>
        <w:t xml:space="preserve">faced contrasting trajectories. </w:t>
      </w:r>
      <w:r w:rsidR="006F1BD5">
        <w:rPr>
          <w:shd w:val="clear" w:color="auto" w:fill="FFFFFF"/>
        </w:rPr>
        <w:t xml:space="preserve"> </w:t>
      </w:r>
      <w:r w:rsidRPr="009355A8">
        <w:rPr>
          <w:shd w:val="clear" w:color="auto" w:fill="FFFFFF"/>
        </w:rPr>
        <w:t xml:space="preserve">The </w:t>
      </w:r>
      <w:proofErr w:type="spellStart"/>
      <w:r w:rsidRPr="009355A8">
        <w:rPr>
          <w:shd w:val="clear" w:color="auto" w:fill="FFFFFF"/>
        </w:rPr>
        <w:t>agrotech</w:t>
      </w:r>
      <w:proofErr w:type="spellEnd"/>
      <w:r w:rsidRPr="009355A8">
        <w:rPr>
          <w:shd w:val="clear" w:color="auto" w:fill="FFFFFF"/>
        </w:rPr>
        <w:t xml:space="preserve"> sector confronted multiple compounding constraints: by 2025, Ukraine's total cultivated area had declined by 23.5 per cent compared to pre-war levels, with 18 per cent of crop producers nationwide and 38 per cent in frontline areas reporting land affected by mines and unexploded ordnance.</w:t>
      </w:r>
      <w:r w:rsidR="006F1BD5">
        <w:rPr>
          <w:shd w:val="clear" w:color="auto" w:fill="FFFFFF"/>
        </w:rPr>
        <w:t xml:space="preserve"> </w:t>
      </w:r>
      <w:r w:rsidRPr="009355A8">
        <w:rPr>
          <w:shd w:val="clear" w:color="auto" w:fill="FFFFFF"/>
        </w:rPr>
        <w:t xml:space="preserve"> Contamination of approximately 137,000 to 139,000 square kilometers (25 per cent of Ukraine's territory, consisting mainly of agricultural land) has severely constrained investment, field operations, labor availability, irrigation recovery, and the scaling of autonomous and precision-farming technologies.</w:t>
      </w:r>
    </w:p>
    <w:p w14:paraId="31F0BA72" w14:textId="097B5656" w:rsidR="00250B99" w:rsidRPr="002A5A28" w:rsidRDefault="00250B99" w:rsidP="00825F21">
      <w:pPr>
        <w:pStyle w:val="ONUME"/>
        <w:rPr>
          <w:lang w:eastAsia="en-US"/>
        </w:rPr>
      </w:pPr>
      <w:r w:rsidRPr="009355A8">
        <w:rPr>
          <w:shd w:val="clear" w:color="auto" w:fill="FFFFFF"/>
        </w:rPr>
        <w:t xml:space="preserve">Nevertheless, since mid-2025, Ukraine's </w:t>
      </w:r>
      <w:proofErr w:type="spellStart"/>
      <w:r w:rsidRPr="009355A8">
        <w:rPr>
          <w:shd w:val="clear" w:color="auto" w:fill="FFFFFF"/>
        </w:rPr>
        <w:t>agro</w:t>
      </w:r>
      <w:proofErr w:type="spellEnd"/>
      <w:r w:rsidRPr="009355A8">
        <w:rPr>
          <w:shd w:val="clear" w:color="auto" w:fill="FFFFFF"/>
        </w:rPr>
        <w:t xml:space="preserve">-food sector has entered a more structured phase of recovery. </w:t>
      </w:r>
      <w:r w:rsidR="00287DFF">
        <w:rPr>
          <w:shd w:val="clear" w:color="auto" w:fill="FFFFFF"/>
        </w:rPr>
        <w:t xml:space="preserve"> </w:t>
      </w:r>
      <w:r w:rsidRPr="009355A8">
        <w:rPr>
          <w:shd w:val="clear" w:color="auto" w:fill="FFFFFF"/>
        </w:rPr>
        <w:t xml:space="preserve">Agriculture has shifted from crisis containment toward system-level restoration, supported by FAO- and UN-backed early recovery </w:t>
      </w:r>
      <w:r w:rsidR="00DC4955" w:rsidRPr="009355A8">
        <w:rPr>
          <w:shd w:val="clear" w:color="auto" w:fill="FFFFFF"/>
        </w:rPr>
        <w:t>programs</w:t>
      </w:r>
      <w:r w:rsidRPr="009355A8">
        <w:rPr>
          <w:shd w:val="clear" w:color="auto" w:fill="FFFFFF"/>
        </w:rPr>
        <w:t>, integration of mine action into agricultural land rehabilitation, partial stabilization of export logistics, and strengthened integration into reconstruction and EU accession financing frameworks. Implementation of the 2030 Agriculture and Rural Development Strategy accelerated during 2025–2026 through operationalization of the 2025–2027 Action Plan (amended in August 2025 and January 2026), with current priorities including agricultural demining, irrigation restoration, digital agricultural governance, and alignment with EU Common Agricultural Policy standards. These developments reflect a transition where agricultural rehabilitation, demining, digitalization and EU integration are becoming mutually reinforcing drivers of sectoral resilience.</w:t>
      </w:r>
    </w:p>
    <w:p w14:paraId="0539B375" w14:textId="24606EE2" w:rsidR="00250B99" w:rsidRPr="002A5A28" w:rsidRDefault="005D1502" w:rsidP="00825F21">
      <w:pPr>
        <w:pStyle w:val="ONUME"/>
        <w:rPr>
          <w:lang w:eastAsia="en-US"/>
        </w:rPr>
      </w:pPr>
      <w:r w:rsidRPr="009355A8">
        <w:rPr>
          <w:shd w:val="clear" w:color="auto" w:fill="FFFFFF"/>
        </w:rPr>
        <w:t xml:space="preserve">In contrast, the medtech sector demonstrated dynamism throughout the reporting period, with companies such as UTAS, </w:t>
      </w:r>
      <w:proofErr w:type="spellStart"/>
      <w:r w:rsidRPr="009355A8">
        <w:rPr>
          <w:shd w:val="clear" w:color="auto" w:fill="FFFFFF"/>
        </w:rPr>
        <w:t>Helsi</w:t>
      </w:r>
      <w:proofErr w:type="spellEnd"/>
      <w:r w:rsidRPr="009355A8">
        <w:rPr>
          <w:shd w:val="clear" w:color="auto" w:fill="FFFFFF"/>
        </w:rPr>
        <w:t>, and GlobalLogic Ukraine pioneering smart diagnostics, telehealth platforms, biosensors, and rehabilitation tools, supported by active volunteer networks and international partnerships.</w:t>
      </w:r>
    </w:p>
    <w:p w14:paraId="66722436" w14:textId="0CC22563" w:rsidR="00497E56" w:rsidRDefault="000E559F" w:rsidP="00C06FAA">
      <w:pPr>
        <w:pStyle w:val="ONUME"/>
        <w:rPr>
          <w:lang w:eastAsia="en-US"/>
        </w:rPr>
      </w:pPr>
      <w:r w:rsidRPr="009355A8">
        <w:rPr>
          <w:shd w:val="clear" w:color="auto" w:fill="FFFFFF"/>
        </w:rPr>
        <w:t>Digitalization remained a cornerstone of Ukraine's institutional and economic resilience. The ITU Ukraine Digital Development Country Profile 2025 noted that Ukraine's digital transformation continued to advance despite ongoing hostilities, with priorities including deeper alignment with the European digital market, expansion of communication services and investment in resilient infrastructure.</w:t>
      </w:r>
      <w:r w:rsidR="006F1BD5">
        <w:rPr>
          <w:shd w:val="clear" w:color="auto" w:fill="FFFFFF"/>
        </w:rPr>
        <w:t xml:space="preserve"> </w:t>
      </w:r>
      <w:r w:rsidRPr="009355A8">
        <w:rPr>
          <w:shd w:val="clear" w:color="auto" w:fill="FFFFFF"/>
        </w:rPr>
        <w:t xml:space="preserve"> A significant new development in 2025 was commencement of work on a national large language model (LLM) for public services and business, with UANIPIO participating alongside the Ministry of Digital Transformation and WINWIN AI Center of Excellence. </w:t>
      </w:r>
      <w:r w:rsidR="006F1BD5">
        <w:rPr>
          <w:shd w:val="clear" w:color="auto" w:fill="FFFFFF"/>
        </w:rPr>
        <w:t xml:space="preserve"> </w:t>
      </w:r>
      <w:r w:rsidRPr="009355A8">
        <w:rPr>
          <w:shd w:val="clear" w:color="auto" w:fill="FFFFFF"/>
        </w:rPr>
        <w:t xml:space="preserve">This initiative signals strategic commitment to digital sovereignty and indigenous AI capacity despite wartime resource constraints. </w:t>
      </w:r>
      <w:r w:rsidR="006F1BD5">
        <w:rPr>
          <w:shd w:val="clear" w:color="auto" w:fill="FFFFFF"/>
        </w:rPr>
        <w:t xml:space="preserve"> </w:t>
      </w:r>
      <w:r w:rsidRPr="009355A8">
        <w:rPr>
          <w:shd w:val="clear" w:color="auto" w:fill="FFFFFF"/>
        </w:rPr>
        <w:t xml:space="preserve">Ukraine's </w:t>
      </w:r>
      <w:r w:rsidR="004B0460" w:rsidRPr="001B37CB">
        <w:rPr>
          <w:shd w:val="clear" w:color="auto" w:fill="FFFFFF"/>
        </w:rPr>
        <w:t xml:space="preserve">information </w:t>
      </w:r>
      <w:r w:rsidR="00B47FCB">
        <w:rPr>
          <w:shd w:val="clear" w:color="auto" w:fill="FFFFFF"/>
        </w:rPr>
        <w:t>t</w:t>
      </w:r>
      <w:r w:rsidR="004B0460" w:rsidRPr="001B37CB">
        <w:rPr>
          <w:shd w:val="clear" w:color="auto" w:fill="FFFFFF"/>
        </w:rPr>
        <w:t>echnology</w:t>
      </w:r>
      <w:r w:rsidR="004B0460">
        <w:rPr>
          <w:shd w:val="clear" w:color="auto" w:fill="FFFFFF"/>
        </w:rPr>
        <w:t xml:space="preserve"> (IT) </w:t>
      </w:r>
      <w:r w:rsidRPr="009355A8">
        <w:rPr>
          <w:shd w:val="clear" w:color="auto" w:fill="FFFFFF"/>
        </w:rPr>
        <w:t>sector, featuring unicorns such as GitLab, Grammarly, and People.ai, continues to serve as a premier exporter of services in AI, data analytics, blockchain and other emerging technologies</w:t>
      </w:r>
    </w:p>
    <w:p w14:paraId="4E557E26" w14:textId="39ABF118" w:rsidR="00497E56" w:rsidRPr="00E96EE1" w:rsidRDefault="00497E56" w:rsidP="00E96EE1">
      <w:pPr>
        <w:pStyle w:val="Heading3"/>
        <w:spacing w:after="220"/>
        <w:ind w:left="1890" w:hanging="720"/>
        <w:rPr>
          <w:b w:val="0"/>
          <w:bCs/>
          <w:color w:val="000000" w:themeColor="text1"/>
          <w:sz w:val="22"/>
          <w:szCs w:val="18"/>
          <w:lang w:eastAsia="en-US"/>
        </w:rPr>
      </w:pPr>
      <w:bookmarkStart w:id="37" w:name="_Toc227774539"/>
      <w:bookmarkStart w:id="38" w:name="_Toc232436576"/>
      <w:r w:rsidRPr="003010B8">
        <w:rPr>
          <w:b w:val="0"/>
          <w:bCs/>
          <w:color w:val="000000" w:themeColor="text1"/>
          <w:sz w:val="22"/>
          <w:szCs w:val="18"/>
          <w:lang w:eastAsia="en-US"/>
        </w:rPr>
        <w:t>2.3.4</w:t>
      </w:r>
      <w:r w:rsidRPr="003010B8">
        <w:rPr>
          <w:b w:val="0"/>
          <w:bCs/>
          <w:color w:val="000000" w:themeColor="text1"/>
          <w:sz w:val="22"/>
          <w:szCs w:val="18"/>
          <w:lang w:eastAsia="en-US"/>
        </w:rPr>
        <w:tab/>
      </w:r>
      <w:r w:rsidRPr="003010B8">
        <w:rPr>
          <w:b w:val="0"/>
          <w:bCs/>
          <w:color w:val="000000" w:themeColor="text1"/>
          <w:sz w:val="22"/>
          <w:szCs w:val="18"/>
          <w:u w:val="single"/>
          <w:lang w:eastAsia="en-US"/>
        </w:rPr>
        <w:t>Educational and research institutions</w:t>
      </w:r>
      <w:bookmarkEnd w:id="37"/>
      <w:bookmarkEnd w:id="38"/>
      <w:r w:rsidRPr="003010B8">
        <w:rPr>
          <w:b w:val="0"/>
          <w:bCs/>
          <w:color w:val="000000" w:themeColor="text1"/>
          <w:sz w:val="22"/>
          <w:szCs w:val="18"/>
          <w:lang w:eastAsia="en-US"/>
        </w:rPr>
        <w:t xml:space="preserve"> </w:t>
      </w:r>
    </w:p>
    <w:p w14:paraId="40D55158" w14:textId="0F20ECF5" w:rsidR="00497E56" w:rsidRDefault="00497E56" w:rsidP="00497E56">
      <w:pPr>
        <w:pStyle w:val="ONUME"/>
        <w:rPr>
          <w:lang w:eastAsia="en-US"/>
        </w:rPr>
      </w:pPr>
      <w:r>
        <w:rPr>
          <w:lang w:eastAsia="en-US"/>
        </w:rPr>
        <w:t xml:space="preserve">To update the assessment of the impact of the war on educational and research institutions, the International Bureau surveyed, interviewed and analyzed official data of the Ministry of Education and Science, the National Academy of Sciences, the National Research Foundation, over 50 higher educational and research institutions, as well as relevant international organizations. </w:t>
      </w:r>
      <w:r w:rsidR="00287DFF">
        <w:rPr>
          <w:lang w:eastAsia="en-US"/>
        </w:rPr>
        <w:t xml:space="preserve"> </w:t>
      </w:r>
      <w:r>
        <w:rPr>
          <w:lang w:eastAsia="en-US"/>
        </w:rPr>
        <w:t xml:space="preserve">The key findings are presented in the following paragraphs. </w:t>
      </w:r>
    </w:p>
    <w:p w14:paraId="30A04068" w14:textId="73287D36" w:rsidR="00F27BC0" w:rsidRPr="002A5A28" w:rsidRDefault="00F27BC0" w:rsidP="00832162">
      <w:pPr>
        <w:pStyle w:val="ONUME"/>
        <w:rPr>
          <w:rFonts w:eastAsia="Times New Roman"/>
        </w:rPr>
      </w:pPr>
      <w:r w:rsidRPr="00F27BC0">
        <w:rPr>
          <w:rFonts w:eastAsia="Times New Roman"/>
        </w:rPr>
        <w:t xml:space="preserve">The cumulative impact of the war on educational and research infrastructure continued to increase. </w:t>
      </w:r>
      <w:r w:rsidR="00287DFF">
        <w:rPr>
          <w:rFonts w:eastAsia="Times New Roman"/>
        </w:rPr>
        <w:t xml:space="preserve"> </w:t>
      </w:r>
      <w:r w:rsidRPr="00F27BC0">
        <w:rPr>
          <w:rFonts w:eastAsia="Times New Roman"/>
        </w:rPr>
        <w:t>According to the Ministry of Education and Science of Ukraine</w:t>
      </w:r>
      <w:r w:rsidR="00FB0E39">
        <w:rPr>
          <w:rStyle w:val="FootnoteReference"/>
          <w:rFonts w:eastAsia="Times New Roman"/>
        </w:rPr>
        <w:footnoteReference w:id="19"/>
      </w:r>
      <w:r w:rsidRPr="00F27BC0">
        <w:rPr>
          <w:rFonts w:eastAsia="Times New Roman"/>
        </w:rPr>
        <w:t>, as of April 2026, 4,505 educational institutions had been damaged by shelling, of which 412 had been destroyed</w:t>
      </w:r>
      <w:r w:rsidR="00727838" w:rsidRPr="00727838">
        <w:rPr>
          <w:rFonts w:eastAsia="Times New Roman"/>
        </w:rPr>
        <w:t xml:space="preserve"> </w:t>
      </w:r>
      <w:r w:rsidR="00727838" w:rsidRPr="00F27BC0">
        <w:rPr>
          <w:rFonts w:eastAsia="Times New Roman"/>
        </w:rPr>
        <w:t>completely</w:t>
      </w:r>
      <w:r w:rsidRPr="00F27BC0">
        <w:rPr>
          <w:rFonts w:eastAsia="Times New Roman"/>
        </w:rPr>
        <w:t xml:space="preserve">. </w:t>
      </w:r>
      <w:r w:rsidR="00287DFF">
        <w:rPr>
          <w:rFonts w:eastAsia="Times New Roman"/>
        </w:rPr>
        <w:t xml:space="preserve"> </w:t>
      </w:r>
      <w:r w:rsidRPr="00F27BC0">
        <w:rPr>
          <w:rFonts w:eastAsia="Times New Roman"/>
        </w:rPr>
        <w:t>According to UNICEF,</w:t>
      </w:r>
      <w:r w:rsidR="00945648">
        <w:rPr>
          <w:rStyle w:val="FootnoteReference"/>
          <w:rFonts w:eastAsia="Times New Roman"/>
        </w:rPr>
        <w:footnoteReference w:id="20"/>
      </w:r>
      <w:r w:rsidRPr="00F27BC0">
        <w:rPr>
          <w:rFonts w:eastAsia="Times New Roman"/>
        </w:rPr>
        <w:t xml:space="preserve"> in 2025 alone, more than 340 educational facilities were damaged or destroyed, further disrupting access to education. </w:t>
      </w:r>
      <w:r w:rsidR="00287DFF">
        <w:rPr>
          <w:rFonts w:eastAsia="Times New Roman"/>
        </w:rPr>
        <w:t xml:space="preserve"> </w:t>
      </w:r>
      <w:r w:rsidRPr="00F27BC0">
        <w:rPr>
          <w:rFonts w:eastAsia="Times New Roman"/>
        </w:rPr>
        <w:t xml:space="preserve">The World Bank's RDNA5 </w:t>
      </w:r>
      <w:r w:rsidRPr="00F27BC0">
        <w:rPr>
          <w:rFonts w:eastAsia="Times New Roman"/>
        </w:rPr>
        <w:lastRenderedPageBreak/>
        <w:t>estimated total damage to the education and science sector at US$13.9 billion between February 2022 and December 31, 2025, with recovery and reconstruction needs of US$33.5 billion over 2026–2035, including costs for restoring in-person education and providing pedagogical and psychosocial support</w:t>
      </w:r>
    </w:p>
    <w:p w14:paraId="2FD275A0" w14:textId="77698ED7" w:rsidR="00832162" w:rsidRPr="0073758E" w:rsidRDefault="00832162" w:rsidP="00D44FA2">
      <w:pPr>
        <w:pStyle w:val="ONUME"/>
        <w:rPr>
          <w:rFonts w:eastAsia="Times New Roman"/>
        </w:rPr>
      </w:pPr>
      <w:r>
        <w:t xml:space="preserve">Human capital constraints in science and research remained acute. </w:t>
      </w:r>
      <w:r w:rsidR="00287DFF">
        <w:t xml:space="preserve"> </w:t>
      </w:r>
      <w:r>
        <w:t>UNESCO</w:t>
      </w:r>
      <w:r w:rsidR="0094296B">
        <w:rPr>
          <w:rStyle w:val="FootnoteReference"/>
        </w:rPr>
        <w:footnoteReference w:id="21"/>
      </w:r>
      <w:r>
        <w:t xml:space="preserve"> reported in July 2025 that between 10 per cent and 20 per cent of Ukraine's scientific researchers had been compelled to relocate within Ukraine or abroad, and that 54.3 per cent of scientists reported being unable to conduct research at pre-war levels. </w:t>
      </w:r>
      <w:r w:rsidR="00287DFF">
        <w:t xml:space="preserve"> </w:t>
      </w:r>
      <w:r>
        <w:t xml:space="preserve">According to the Ministry of Education and Science, between 15 per cent and 20 per cent of Ukrainian researchers had left the scientific workforce since the war began (approximately </w:t>
      </w:r>
      <w:r w:rsidR="0070653C">
        <w:t>eight</w:t>
      </w:r>
      <w:r>
        <w:t xml:space="preserve"> per cent migrating abroad, with others changing careers).</w:t>
      </w:r>
      <w:r w:rsidR="00287DFF">
        <w:t xml:space="preserve"> </w:t>
      </w:r>
      <w:r>
        <w:t xml:space="preserve"> The National Academy of Sciences continued to report annual personnel losses, a trend that existed before the war but has significantly accelerated.</w:t>
      </w:r>
      <w:r w:rsidR="00287DFF">
        <w:t xml:space="preserve"> </w:t>
      </w:r>
      <w:r>
        <w:t xml:space="preserve"> </w:t>
      </w:r>
      <w:r w:rsidR="006D22B8">
        <w:t>The r</w:t>
      </w:r>
      <w:r>
        <w:t>espondents noted that this loss, combined with pre-existing declines in young researchers, poses severe risks to the long-term sustainability of Ukraine's scientific system.</w:t>
      </w:r>
    </w:p>
    <w:p w14:paraId="37F74AA0" w14:textId="4AF50362" w:rsidR="00832162" w:rsidRDefault="00832162" w:rsidP="00832162">
      <w:pPr>
        <w:pStyle w:val="ONUME"/>
      </w:pPr>
      <w:r>
        <w:t xml:space="preserve"> Higher education institutions continued operating in remote or hybrid formats to ensure safety, with measures taken to relocate displaced universities and preserve academic programs even in regions near front lines. </w:t>
      </w:r>
      <w:r w:rsidR="00287DFF">
        <w:t xml:space="preserve"> </w:t>
      </w:r>
      <w:r>
        <w:t>However, a particularly alarming trend emerged:</w:t>
      </w:r>
      <w:r w:rsidR="00287DFF">
        <w:t xml:space="preserve"> </w:t>
      </w:r>
      <w:r>
        <w:t xml:space="preserve">according to the Ministry of Education and Science, in 2025, 33.2 per cent fewer students enrolled in higher education institutions than in 2023, and 9.2 per cent fewer than in 2024. </w:t>
      </w:r>
      <w:r w:rsidR="00287DFF">
        <w:t xml:space="preserve"> </w:t>
      </w:r>
      <w:r>
        <w:t xml:space="preserve">This decline, driven primarily by youth emigration abroad since 2022, threatens long-term contraction of the higher education network. </w:t>
      </w:r>
      <w:r w:rsidR="00287DFF">
        <w:t xml:space="preserve"> </w:t>
      </w:r>
      <w:r w:rsidR="00423D2A">
        <w:t>The respondents</w:t>
      </w:r>
      <w:r>
        <w:t xml:space="preserve"> from technical universities also highlighted shortages in engineering and technical fields critical for innovation, industrial recovery and IP-related processes.</w:t>
      </w:r>
      <w:r w:rsidR="00287DFF">
        <w:t xml:space="preserve"> </w:t>
      </w:r>
      <w:r>
        <w:t xml:space="preserve"> In response, the Ministry of Education and Science has been aligning higher education priorities with recovery needs, including training specialists in engineering, technology and</w:t>
      </w:r>
      <w:r w:rsidDel="00AB3B8F">
        <w:t xml:space="preserve"> </w:t>
      </w:r>
      <w:r w:rsidR="00AB3B8F">
        <w:t>IT</w:t>
      </w:r>
      <w:r>
        <w:t>, strengthening universities' innovative roles, and expanding cooperation with business and international partners.</w:t>
      </w:r>
    </w:p>
    <w:p w14:paraId="24F6AB40" w14:textId="348FAD67" w:rsidR="00832162" w:rsidRPr="00C22AF9" w:rsidRDefault="00832162" w:rsidP="00832162">
      <w:pPr>
        <w:pStyle w:val="ONUME"/>
      </w:pPr>
      <w:r>
        <w:t xml:space="preserve">Persistent and severe funding deficits kept academic salaries uncompetitive, making it </w:t>
      </w:r>
      <w:r w:rsidRPr="00C22AF9">
        <w:t>difficult for universities to attract young professionals to academia</w:t>
      </w:r>
      <w:r w:rsidR="00F348AD">
        <w:t xml:space="preserve"> and posing</w:t>
      </w:r>
      <w:r w:rsidR="009619D2">
        <w:t xml:space="preserve"> </w:t>
      </w:r>
      <w:r w:rsidRPr="00C22AF9">
        <w:t xml:space="preserve">a threat to long-term sustainability. </w:t>
      </w:r>
      <w:r w:rsidR="00AB3B8F">
        <w:t xml:space="preserve"> </w:t>
      </w:r>
      <w:r w:rsidRPr="00C22AF9">
        <w:t>The European Commission's Report "Support to Ukraine on research infrastructures policy" confirmed that Ukraine's R&amp;I ecosystem was already fragile due to chronically low investment before 2022, a situation the war has exacerbated.</w:t>
      </w:r>
      <w:r w:rsidR="00AB3B8F">
        <w:t xml:space="preserve"> </w:t>
      </w:r>
      <w:r w:rsidRPr="00C22AF9">
        <w:t xml:space="preserve"> Research institutions continued to face shortages of infrastructure and personnel, with support for young researchers remaining uneven across institutions.</w:t>
      </w:r>
    </w:p>
    <w:p w14:paraId="261488E6" w14:textId="1D9D5011" w:rsidR="00832162" w:rsidRPr="00C22AF9" w:rsidRDefault="00832162" w:rsidP="00832162">
      <w:pPr>
        <w:pStyle w:val="ONUME"/>
      </w:pPr>
      <w:r w:rsidRPr="00C22AF9">
        <w:t xml:space="preserve">Technology transfer within higher education and research institutions remained significantly below pre-war levels, at approximately 30 per cent of 2021 volumes, with 2024 and 2025 figures stagnant and comparable to 2023. </w:t>
      </w:r>
      <w:r w:rsidR="00AB3B8F">
        <w:t xml:space="preserve"> </w:t>
      </w:r>
      <w:r w:rsidR="00423D2A">
        <w:t>The respondents</w:t>
      </w:r>
      <w:r w:rsidRPr="00C22AF9">
        <w:t xml:space="preserve"> attributed this not only to wartime disruptions but to systemic barriers including limited IP management skills, weak communication networks, insufficient commercial incentives, limited understanding of market trends, damage to laboratories and enterprises, disruption of logistics and supply chains, and increased investment risks.</w:t>
      </w:r>
      <w:r w:rsidR="00AB3B8F">
        <w:t xml:space="preserve"> </w:t>
      </w:r>
      <w:r w:rsidRPr="00C22AF9">
        <w:t xml:space="preserve"> Data from the National Academy of Sciences indicate that patent filing activity, while marginally improving to 391 applications in 2025 (from 227 in 2022), remained at approximately half of pre-war levels, with budget constraints, fee payment difficulties and destroyed laboratory equipment continuing to affect inventive activity.</w:t>
      </w:r>
    </w:p>
    <w:p w14:paraId="56EE920D" w14:textId="5608D8E2" w:rsidR="00A700B5" w:rsidRPr="00C22AF9" w:rsidRDefault="00F30A87" w:rsidP="00D27A80">
      <w:pPr>
        <w:pStyle w:val="ONUME"/>
      </w:pPr>
      <w:r w:rsidRPr="003723E8">
        <w:rPr>
          <w:shd w:val="clear" w:color="auto" w:fill="FFFFFF"/>
        </w:rPr>
        <w:t xml:space="preserve">In recognition of these escalating challenges, the international community established a dedicated coordination mechanism in July 2025. </w:t>
      </w:r>
      <w:r w:rsidR="00AB3B8F">
        <w:rPr>
          <w:shd w:val="clear" w:color="auto" w:fill="FFFFFF"/>
        </w:rPr>
        <w:t xml:space="preserve"> </w:t>
      </w:r>
      <w:r w:rsidRPr="003723E8">
        <w:rPr>
          <w:shd w:val="clear" w:color="auto" w:fill="FFFFFF"/>
        </w:rPr>
        <w:t>The</w:t>
      </w:r>
      <w:r w:rsidR="003723E8" w:rsidRPr="003723E8">
        <w:t xml:space="preserve"> </w:t>
      </w:r>
      <w:r w:rsidR="003723E8" w:rsidRPr="003723E8">
        <w:rPr>
          <w:shd w:val="clear" w:color="auto" w:fill="FFFFFF"/>
        </w:rPr>
        <w:t>International Coalition for Science, Research, and Innovation in Ukraine</w:t>
      </w:r>
      <w:r w:rsidRPr="002A5A28">
        <w:rPr>
          <w:shd w:val="clear" w:color="auto" w:fill="FFFFFF"/>
        </w:rPr>
        <w:t xml:space="preserve"> was launched at the 2025 Ukraine Recovery Conference in Rome as a joint initiative by the Italian Ministry of University and Research, the Ukrainian Ministry of Education and Science, UNESCO, and the European Commission. </w:t>
      </w:r>
      <w:r w:rsidR="00EB3B89">
        <w:rPr>
          <w:shd w:val="clear" w:color="auto" w:fill="FFFFFF"/>
        </w:rPr>
        <w:t xml:space="preserve"> </w:t>
      </w:r>
      <w:r w:rsidRPr="002A5A28">
        <w:rPr>
          <w:shd w:val="clear" w:color="auto" w:fill="FFFFFF"/>
        </w:rPr>
        <w:t xml:space="preserve">The </w:t>
      </w:r>
      <w:r w:rsidR="00C22AF9">
        <w:rPr>
          <w:shd w:val="clear" w:color="auto" w:fill="FFFFFF"/>
        </w:rPr>
        <w:t>R</w:t>
      </w:r>
      <w:r w:rsidR="00F23D1E">
        <w:rPr>
          <w:shd w:val="clear" w:color="auto" w:fill="FFFFFF"/>
        </w:rPr>
        <w:t xml:space="preserve">ome </w:t>
      </w:r>
      <w:r w:rsidR="00F23D1E">
        <w:rPr>
          <w:shd w:val="clear" w:color="auto" w:fill="FFFFFF"/>
        </w:rPr>
        <w:lastRenderedPageBreak/>
        <w:t xml:space="preserve">Declaration of </w:t>
      </w:r>
      <w:r w:rsidR="00F23D1E" w:rsidRPr="00F23D1E">
        <w:rPr>
          <w:shd w:val="clear" w:color="auto" w:fill="FFFFFF"/>
        </w:rPr>
        <w:t xml:space="preserve">Intent for Science, </w:t>
      </w:r>
      <w:r w:rsidR="00A20CCC" w:rsidRPr="00C5294F">
        <w:rPr>
          <w:lang w:eastAsia="en-US"/>
        </w:rPr>
        <w:t>R&amp;I</w:t>
      </w:r>
      <w:r w:rsidR="00F23D1E" w:rsidRPr="00F23D1E">
        <w:rPr>
          <w:shd w:val="clear" w:color="auto" w:fill="FFFFFF"/>
        </w:rPr>
        <w:t xml:space="preserve"> in Ukraine</w:t>
      </w:r>
      <w:r w:rsidRPr="002A5A28">
        <w:rPr>
          <w:shd w:val="clear" w:color="auto" w:fill="FFFFFF"/>
        </w:rPr>
        <w:t>,</w:t>
      </w:r>
      <w:r w:rsidR="00257A31">
        <w:rPr>
          <w:rStyle w:val="FootnoteReference"/>
          <w:shd w:val="clear" w:color="auto" w:fill="FFFFFF"/>
        </w:rPr>
        <w:footnoteReference w:id="22"/>
      </w:r>
      <w:r w:rsidRPr="002A5A28">
        <w:rPr>
          <w:shd w:val="clear" w:color="auto" w:fill="FFFFFF"/>
        </w:rPr>
        <w:t xml:space="preserve"> signed by founding members, formally established a structured framework to coordinate international efforts, set shared cooperation priorities, and facilitate sustained dialogue between Ukraine and its global partners.</w:t>
      </w:r>
      <w:r w:rsidR="00EB3B89">
        <w:rPr>
          <w:shd w:val="clear" w:color="auto" w:fill="FFFFFF"/>
        </w:rPr>
        <w:t xml:space="preserve"> </w:t>
      </w:r>
      <w:r w:rsidRPr="002A5A28">
        <w:rPr>
          <w:shd w:val="clear" w:color="auto" w:fill="FFFFFF"/>
        </w:rPr>
        <w:t xml:space="preserve"> By the end of 2025, membership expanded to include Austria, Bulgaria, Croatia, Denmark, Germany, Poland, Portugal, </w:t>
      </w:r>
      <w:r w:rsidR="002229E8">
        <w:rPr>
          <w:shd w:val="clear" w:color="auto" w:fill="FFFFFF"/>
        </w:rPr>
        <w:t>Slovakia</w:t>
      </w:r>
      <w:r w:rsidRPr="002A5A28">
        <w:rPr>
          <w:shd w:val="clear" w:color="auto" w:fill="FFFFFF"/>
        </w:rPr>
        <w:t xml:space="preserve">, Spain, Sweden, the United Kingdom, and UNDP. </w:t>
      </w:r>
      <w:r w:rsidR="00EB3B89">
        <w:rPr>
          <w:shd w:val="clear" w:color="auto" w:fill="FFFFFF"/>
        </w:rPr>
        <w:t xml:space="preserve"> </w:t>
      </w:r>
      <w:r w:rsidRPr="002A5A28">
        <w:rPr>
          <w:shd w:val="clear" w:color="auto" w:fill="FFFFFF"/>
        </w:rPr>
        <w:t>The Coalition aims to address both immediate needs</w:t>
      </w:r>
      <w:r w:rsidR="00035AE1">
        <w:rPr>
          <w:shd w:val="clear" w:color="auto" w:fill="FFFFFF"/>
        </w:rPr>
        <w:t xml:space="preserve">, </w:t>
      </w:r>
      <w:r w:rsidRPr="002A5A28">
        <w:rPr>
          <w:shd w:val="clear" w:color="auto" w:fill="FFFFFF"/>
        </w:rPr>
        <w:t>supporting displaced scientists and maintaining research continuity</w:t>
      </w:r>
      <w:r w:rsidR="00035AE1">
        <w:rPr>
          <w:shd w:val="clear" w:color="auto" w:fill="FFFFFF"/>
        </w:rPr>
        <w:t xml:space="preserve">, </w:t>
      </w:r>
      <w:r w:rsidRPr="002A5A28">
        <w:rPr>
          <w:shd w:val="clear" w:color="auto" w:fill="FFFFFF"/>
        </w:rPr>
        <w:t>and structural objectives, including reconstruction and modernization of research infrastructure and integration of R&amp;I into Ukraine's recovery strategy.</w:t>
      </w:r>
    </w:p>
    <w:p w14:paraId="2286BDB3" w14:textId="2B0FB06F" w:rsidR="00F23D1E" w:rsidRPr="00F23D1E" w:rsidRDefault="004D7914" w:rsidP="00F23D1E">
      <w:pPr>
        <w:pStyle w:val="ONUME"/>
        <w:rPr>
          <w:shd w:val="clear" w:color="auto" w:fill="FFFFFF"/>
        </w:rPr>
      </w:pPr>
      <w:r w:rsidRPr="002A5A28">
        <w:rPr>
          <w:shd w:val="clear" w:color="auto" w:fill="FFFFFF"/>
        </w:rPr>
        <w:t>In June 2025,</w:t>
      </w:r>
      <w:r w:rsidR="00F23D1E" w:rsidRPr="00F23D1E">
        <w:t xml:space="preserve"> </w:t>
      </w:r>
      <w:r w:rsidR="00F23D1E" w:rsidRPr="00F23D1E">
        <w:rPr>
          <w:shd w:val="clear" w:color="auto" w:fill="FFFFFF"/>
        </w:rPr>
        <w:t>UNESCO published its Action Plan for Sciences, "Building a Robust Science Ecosystem in Ukraine,"</w:t>
      </w:r>
      <w:r w:rsidR="008D1EDF">
        <w:rPr>
          <w:rStyle w:val="FootnoteReference"/>
          <w:shd w:val="clear" w:color="auto" w:fill="FFFFFF"/>
        </w:rPr>
        <w:footnoteReference w:id="23"/>
      </w:r>
      <w:r w:rsidRPr="002A5A28">
        <w:rPr>
          <w:shd w:val="clear" w:color="auto" w:fill="FFFFFF"/>
        </w:rPr>
        <w:t xml:space="preserve"> </w:t>
      </w:r>
      <w:r w:rsidR="00F23D1E" w:rsidRPr="00F23D1E">
        <w:rPr>
          <w:shd w:val="clear" w:color="auto" w:fill="FFFFFF"/>
        </w:rPr>
        <w:t>developed following consultations with Ukrainian science and research actors and aligned with Ukraine's strategic priorities and the United Nations Decade of Action for Science for Sustainable Development.</w:t>
      </w:r>
      <w:r w:rsidR="00EB3B89">
        <w:rPr>
          <w:shd w:val="clear" w:color="auto" w:fill="FFFFFF"/>
        </w:rPr>
        <w:t xml:space="preserve"> </w:t>
      </w:r>
      <w:r w:rsidR="00F23D1E" w:rsidRPr="00F23D1E">
        <w:rPr>
          <w:shd w:val="clear" w:color="auto" w:fill="FFFFFF"/>
        </w:rPr>
        <w:t xml:space="preserve"> The Action Plan identifies damage to scientific infrastructure, displacement of scientists, brain drain and funding shortages as key challenges, and proposes short-, medium- and long-term measures including: </w:t>
      </w:r>
      <w:r w:rsidR="00EB3B89">
        <w:rPr>
          <w:shd w:val="clear" w:color="auto" w:fill="FFFFFF"/>
        </w:rPr>
        <w:t xml:space="preserve"> </w:t>
      </w:r>
      <w:r w:rsidR="00F23D1E" w:rsidRPr="00F23D1E">
        <w:rPr>
          <w:shd w:val="clear" w:color="auto" w:fill="FFFFFF"/>
        </w:rPr>
        <w:t xml:space="preserve">remote access to scientific equipment, science grants, support for </w:t>
      </w:r>
      <w:r w:rsidR="00963831" w:rsidRPr="00963831">
        <w:rPr>
          <w:shd w:val="clear" w:color="auto" w:fill="FFFFFF"/>
        </w:rPr>
        <w:t xml:space="preserve">Science, Technology, Engineering, and Mathematics </w:t>
      </w:r>
      <w:r w:rsidR="00963831">
        <w:rPr>
          <w:shd w:val="clear" w:color="auto" w:fill="FFFFFF"/>
        </w:rPr>
        <w:t>(</w:t>
      </w:r>
      <w:r w:rsidR="00F23D1E" w:rsidRPr="00F23D1E">
        <w:rPr>
          <w:shd w:val="clear" w:color="auto" w:fill="FFFFFF"/>
        </w:rPr>
        <w:t>STEM</w:t>
      </w:r>
      <w:r w:rsidR="00963831">
        <w:rPr>
          <w:shd w:val="clear" w:color="auto" w:fill="FFFFFF"/>
        </w:rPr>
        <w:t>)</w:t>
      </w:r>
      <w:r w:rsidR="00F23D1E" w:rsidRPr="00F23D1E">
        <w:rPr>
          <w:shd w:val="clear" w:color="auto" w:fill="FFFFFF"/>
        </w:rPr>
        <w:t xml:space="preserve"> education, mental health and psychosocial support for researchers, improved data collection, policy and legal support, and stronger links between scientists, </w:t>
      </w:r>
      <w:r w:rsidR="00963831">
        <w:rPr>
          <w:shd w:val="clear" w:color="auto" w:fill="FFFFFF"/>
        </w:rPr>
        <w:t>Small and Medium Ente</w:t>
      </w:r>
      <w:r w:rsidR="002D70CE">
        <w:rPr>
          <w:shd w:val="clear" w:color="auto" w:fill="FFFFFF"/>
        </w:rPr>
        <w:t>r</w:t>
      </w:r>
      <w:r w:rsidR="00963831">
        <w:rPr>
          <w:shd w:val="clear" w:color="auto" w:fill="FFFFFF"/>
        </w:rPr>
        <w:t>prises (</w:t>
      </w:r>
      <w:r w:rsidR="00F23D1E" w:rsidRPr="00F23D1E">
        <w:rPr>
          <w:shd w:val="clear" w:color="auto" w:fill="FFFFFF"/>
        </w:rPr>
        <w:t>SMEs</w:t>
      </w:r>
      <w:r w:rsidR="00963831">
        <w:rPr>
          <w:shd w:val="clear" w:color="auto" w:fill="FFFFFF"/>
        </w:rPr>
        <w:t>)</w:t>
      </w:r>
      <w:r w:rsidR="00F23D1E" w:rsidRPr="00F23D1E">
        <w:rPr>
          <w:shd w:val="clear" w:color="auto" w:fill="FFFFFF"/>
        </w:rPr>
        <w:t xml:space="preserve"> and reconstruction-related sectors. </w:t>
      </w:r>
      <w:r w:rsidR="00963831">
        <w:rPr>
          <w:shd w:val="clear" w:color="auto" w:fill="FFFFFF"/>
        </w:rPr>
        <w:t xml:space="preserve"> </w:t>
      </w:r>
      <w:r w:rsidR="00F23D1E" w:rsidRPr="00F23D1E">
        <w:rPr>
          <w:shd w:val="clear" w:color="auto" w:fill="FFFFFF"/>
        </w:rPr>
        <w:t>OECD assessments similarly highlight that innovation policy is increasingly embedded in broader governance, investment and EU accession reforms, with particular focus on regulatory alignment, institutional resilience and private-sector mobilization.</w:t>
      </w:r>
    </w:p>
    <w:p w14:paraId="4F3D2A6A" w14:textId="5F520939" w:rsidR="00F23D1E" w:rsidRPr="009355A8" w:rsidRDefault="00F23D1E" w:rsidP="00F23D1E">
      <w:pPr>
        <w:pStyle w:val="ONUME"/>
        <w:rPr>
          <w:shd w:val="clear" w:color="auto" w:fill="FFFFFF"/>
        </w:rPr>
      </w:pPr>
      <w:r w:rsidRPr="009355A8">
        <w:rPr>
          <w:shd w:val="clear" w:color="auto" w:fill="FFFFFF"/>
        </w:rPr>
        <w:t xml:space="preserve">At the </w:t>
      </w:r>
      <w:r w:rsidR="000109E3">
        <w:rPr>
          <w:shd w:val="clear" w:color="auto" w:fill="FFFFFF"/>
        </w:rPr>
        <w:t>EU</w:t>
      </w:r>
      <w:r w:rsidRPr="009355A8">
        <w:rPr>
          <w:shd w:val="clear" w:color="auto" w:fill="FFFFFF"/>
        </w:rPr>
        <w:t xml:space="preserve"> level, the Ukraine Facility and related investment frameworks have reinforced the shift toward reconstruction-oriented innovation governance, supporting integration of Ukraine into European research, digital and industrial ecosystems.</w:t>
      </w:r>
      <w:r w:rsidR="00963831">
        <w:rPr>
          <w:shd w:val="clear" w:color="auto" w:fill="FFFFFF"/>
        </w:rPr>
        <w:t xml:space="preserve"> </w:t>
      </w:r>
      <w:r w:rsidRPr="009355A8">
        <w:rPr>
          <w:shd w:val="clear" w:color="auto" w:fill="FFFFFF"/>
        </w:rPr>
        <w:t xml:space="preserve"> Ukraine continued to benefit from its full association with Horizon Europe and Euratom research and training programs (since 2016, with financial contribution waivers for 2021-2022), which allow Ukrainian </w:t>
      </w:r>
      <w:r w:rsidR="00A20CCC" w:rsidRPr="00C5294F">
        <w:rPr>
          <w:lang w:eastAsia="en-US"/>
        </w:rPr>
        <w:t>R&amp;I</w:t>
      </w:r>
      <w:r w:rsidR="00A20CCC" w:rsidRPr="009355A8" w:rsidDel="00A20CCC">
        <w:rPr>
          <w:shd w:val="clear" w:color="auto" w:fill="FFFFFF"/>
        </w:rPr>
        <w:t xml:space="preserve"> </w:t>
      </w:r>
      <w:r w:rsidRPr="009355A8">
        <w:rPr>
          <w:shd w:val="clear" w:color="auto" w:fill="FFFFFF"/>
        </w:rPr>
        <w:t xml:space="preserve">actors to participate on equal terms with entities from participating European countries. </w:t>
      </w:r>
      <w:r w:rsidR="00963831">
        <w:rPr>
          <w:shd w:val="clear" w:color="auto" w:fill="FFFFFF"/>
        </w:rPr>
        <w:t xml:space="preserve"> </w:t>
      </w:r>
      <w:r w:rsidRPr="009355A8">
        <w:rPr>
          <w:shd w:val="clear" w:color="auto" w:fill="FFFFFF"/>
        </w:rPr>
        <w:t xml:space="preserve">Ukraine has further benefited from the establishment of the Horizon Europe Office in Ukraine, the EIT RIS Community Hub, and dedicated support through Marie Skłodowska-Curie Actions and the European Innovation Council. </w:t>
      </w:r>
      <w:r w:rsidR="00963831">
        <w:rPr>
          <w:shd w:val="clear" w:color="auto" w:fill="FFFFFF"/>
        </w:rPr>
        <w:t xml:space="preserve"> </w:t>
      </w:r>
      <w:r w:rsidRPr="009355A8">
        <w:rPr>
          <w:shd w:val="clear" w:color="auto" w:fill="FFFFFF"/>
        </w:rPr>
        <w:t>These international coordination frameworks collectively address the US$33.5 billion reconstruction needs identified in the World Bank's RDNA5.</w:t>
      </w:r>
    </w:p>
    <w:p w14:paraId="41474277" w14:textId="77777777" w:rsidR="001204F5" w:rsidRDefault="00D27A80" w:rsidP="001204F5">
      <w:pPr>
        <w:pStyle w:val="ONUME"/>
      </w:pPr>
      <w:r>
        <w:t xml:space="preserve">Despite these positive international developments, domestic constraints persist. Ukrainian research institutions continue to face severe budget restrictions, uncompetitive salaries that deter young talent, and operational disruptions. </w:t>
      </w:r>
      <w:r w:rsidR="00963831">
        <w:t xml:space="preserve"> </w:t>
      </w:r>
      <w:r>
        <w:t xml:space="preserve">The Coalition's and broader international frameworks' effectiveness will depend on their ability to mobilize sustained financial commitments and translate declarations into tangible institutional capacity-building and infrastructure reconstruction. </w:t>
      </w:r>
      <w:r w:rsidR="00963831">
        <w:t xml:space="preserve"> </w:t>
      </w:r>
      <w:r>
        <w:t xml:space="preserve">Nevertheless, cooperation between Ukrainian universities and foreign higher educational institutions has developed, with </w:t>
      </w:r>
      <w:r w:rsidR="006D22B8">
        <w:t xml:space="preserve">the </w:t>
      </w:r>
      <w:r>
        <w:t>respondents from Ivan Franko National University of Lviv, Kharkiv National University of Radio Electronics, National Technical University of Ukraine "Igor Sikorsky Kyiv Polytechnic Institute", and Ukrainian State University of Science and Technologies noting improvements in mobility for teachers, undergraduate and graduate students.</w:t>
      </w:r>
      <w:bookmarkStart w:id="39" w:name="_Toc227774540"/>
    </w:p>
    <w:p w14:paraId="042A70A5" w14:textId="1903C91E" w:rsidR="00497E56" w:rsidRPr="001204F5" w:rsidRDefault="00497E56" w:rsidP="001204F5">
      <w:pPr>
        <w:pStyle w:val="ONUME"/>
        <w:numPr>
          <w:ilvl w:val="0"/>
          <w:numId w:val="0"/>
        </w:numPr>
        <w:tabs>
          <w:tab w:val="clear" w:pos="1134"/>
          <w:tab w:val="left" w:pos="2610"/>
        </w:tabs>
        <w:ind w:firstLine="1890"/>
      </w:pPr>
      <w:r w:rsidRPr="001204F5">
        <w:rPr>
          <w:bCs/>
          <w:color w:val="000000" w:themeColor="text1"/>
          <w:szCs w:val="18"/>
          <w:lang w:eastAsia="en-US"/>
        </w:rPr>
        <w:t>2.3.5</w:t>
      </w:r>
      <w:r w:rsidRPr="001204F5">
        <w:rPr>
          <w:bCs/>
          <w:color w:val="000000" w:themeColor="text1"/>
          <w:szCs w:val="18"/>
          <w:lang w:eastAsia="en-US"/>
        </w:rPr>
        <w:tab/>
      </w:r>
      <w:r w:rsidRPr="001204F5">
        <w:rPr>
          <w:bCs/>
          <w:color w:val="000000" w:themeColor="text1"/>
          <w:szCs w:val="18"/>
          <w:u w:val="single"/>
          <w:lang w:eastAsia="en-US"/>
        </w:rPr>
        <w:t>Technology Innovation Support Centers (TISCs)</w:t>
      </w:r>
      <w:bookmarkEnd w:id="39"/>
      <w:r w:rsidRPr="001204F5">
        <w:rPr>
          <w:bCs/>
          <w:color w:val="000000" w:themeColor="text1"/>
          <w:szCs w:val="18"/>
          <w:lang w:eastAsia="en-US"/>
        </w:rPr>
        <w:t xml:space="preserve"> </w:t>
      </w:r>
      <w:bookmarkStart w:id="40" w:name="_Toc227774541"/>
    </w:p>
    <w:p w14:paraId="6B301519" w14:textId="4A8F2C34" w:rsidR="00497E56" w:rsidRDefault="00497E56" w:rsidP="00497E56">
      <w:pPr>
        <w:pStyle w:val="ONUME"/>
        <w:rPr>
          <w:lang w:eastAsia="en-US"/>
        </w:rPr>
      </w:pPr>
      <w:r>
        <w:rPr>
          <w:lang w:eastAsia="en-US"/>
        </w:rPr>
        <w:lastRenderedPageBreak/>
        <w:t xml:space="preserve">By the end of 2025, Ukraine’s TISC network expanded to 48 centers, including the TISC Focal Point at the UANIPIO.  Two of TISCs were opened at the </w:t>
      </w:r>
      <w:r w:rsidRPr="007B2AA4">
        <w:rPr>
          <w:lang w:eastAsia="en-US"/>
        </w:rPr>
        <w:t xml:space="preserve">Regional Chambers of Commerce and Industry </w:t>
      </w:r>
      <w:r>
        <w:rPr>
          <w:lang w:eastAsia="en-US"/>
        </w:rPr>
        <w:t xml:space="preserve">in </w:t>
      </w:r>
      <w:r w:rsidRPr="007B2AA4">
        <w:rPr>
          <w:lang w:eastAsia="en-US"/>
        </w:rPr>
        <w:t>Chernihiv and Lviv</w:t>
      </w:r>
      <w:r>
        <w:rPr>
          <w:lang w:eastAsia="en-US"/>
        </w:rPr>
        <w:t>.</w:t>
      </w:r>
      <w:r w:rsidRPr="007B2AA4">
        <w:rPr>
          <w:lang w:eastAsia="en-US"/>
        </w:rPr>
        <w:t xml:space="preserve"> </w:t>
      </w:r>
      <w:r w:rsidR="00963831">
        <w:rPr>
          <w:lang w:eastAsia="en-US"/>
        </w:rPr>
        <w:t xml:space="preserve"> </w:t>
      </w:r>
      <w:r>
        <w:rPr>
          <w:lang w:eastAsia="en-US"/>
        </w:rPr>
        <w:t xml:space="preserve">The demand for TISC services has been consistently increasing, demonstrated by 977 user requests to regional TISCs in 2025, 80 patent searches through the </w:t>
      </w:r>
      <w:r w:rsidRPr="008F4951">
        <w:rPr>
          <w:lang w:eastAsia="en-US"/>
        </w:rPr>
        <w:t>Access to Specialized Patent Information</w:t>
      </w:r>
      <w:r>
        <w:rPr>
          <w:lang w:eastAsia="en-US"/>
        </w:rPr>
        <w:t xml:space="preserve"> (ASPI) and </w:t>
      </w:r>
      <w:r w:rsidRPr="00497B31">
        <w:rPr>
          <w:lang w:eastAsia="en-US"/>
        </w:rPr>
        <w:t>the Access to Research for Development and Innovation (ARDI)</w:t>
      </w:r>
      <w:r>
        <w:rPr>
          <w:lang w:eastAsia="en-US"/>
        </w:rPr>
        <w:t xml:space="preserve"> programs and consultations on IP rights protection, commercialization, and technology transfer.</w:t>
      </w:r>
    </w:p>
    <w:p w14:paraId="2EA651E6" w14:textId="72390E5D" w:rsidR="00497E56" w:rsidRDefault="005A0FF2" w:rsidP="005A0FF2">
      <w:pPr>
        <w:pStyle w:val="ONUME"/>
        <w:rPr>
          <w:lang w:eastAsia="en-US"/>
        </w:rPr>
      </w:pPr>
      <w:r w:rsidRPr="009355A8">
        <w:rPr>
          <w:shd w:val="clear" w:color="auto" w:fill="FFFFFF"/>
        </w:rPr>
        <w:t xml:space="preserve">During 2025, regional TISCs organized or participated in 49 events, while the TISC Focal Point led or participated in 50 events, including major national forums such as the IP LET FORUM and the All-Ukrainian Innovation Festival. </w:t>
      </w:r>
      <w:r w:rsidR="002B1594">
        <w:rPr>
          <w:shd w:val="clear" w:color="auto" w:fill="FFFFFF"/>
        </w:rPr>
        <w:t xml:space="preserve"> </w:t>
      </w:r>
      <w:r w:rsidRPr="009355A8">
        <w:rPr>
          <w:shd w:val="clear" w:color="auto" w:fill="FFFFFF"/>
        </w:rPr>
        <w:t xml:space="preserve">These initiatives attracted a broad audience of inventors, businesses, and academia, maintaining the network's role as a key platform for IP education and innovation support. </w:t>
      </w:r>
    </w:p>
    <w:p w14:paraId="0C88D970" w14:textId="7A5A7ADD" w:rsidR="00F5598E" w:rsidRDefault="00F5598E" w:rsidP="00F5598E">
      <w:pPr>
        <w:pStyle w:val="ONUME"/>
        <w:rPr>
          <w:szCs w:val="22"/>
        </w:rPr>
      </w:pPr>
      <w:r>
        <w:t>The network also continued to promote education and awareness through digital learning tools and interactive formats.</w:t>
      </w:r>
      <w:r w:rsidR="002B1594">
        <w:t xml:space="preserve"> </w:t>
      </w:r>
      <w:r>
        <w:t xml:space="preserve"> In 2025, the educational event “Collaborate to Innovate: Startups speak the language of innovation, investors speak the language of solutions” was organized in six sessions, with 15 speakers and more than 500 participants, creating a platform for dialogue among startups, businesses, investors and innovation support institutions. </w:t>
      </w:r>
      <w:r w:rsidR="002B1594">
        <w:t xml:space="preserve"> </w:t>
      </w:r>
      <w:r>
        <w:t>In addition, representatives of the TISC network prepared 33 analytical and informational publications in social networks and media on the activities of the TISC network in Ukraine, the protection and enforcement of IP rights, and the development of innovation activities.</w:t>
      </w:r>
    </w:p>
    <w:p w14:paraId="6D9E4B9C" w14:textId="317523CA" w:rsidR="00F5598E" w:rsidRDefault="00F5598E">
      <w:pPr>
        <w:pStyle w:val="ONUME"/>
        <w:rPr>
          <w:rFonts w:eastAsia="Times New Roman"/>
          <w:szCs w:val="22"/>
        </w:rPr>
      </w:pPr>
      <w:r w:rsidRPr="009355A8">
        <w:rPr>
          <w:rFonts w:eastAsia="Times New Roman"/>
          <w:shd w:val="clear" w:color="auto" w:fill="FFFFFF"/>
        </w:rPr>
        <w:t>The TISC network continued the strategic reorientation initiated in 2024, maintaining focus on international patenting support, accessible educational frameworks, and structured engagement with Ukrainian innovators to address ongoing security, humanitarian and technological challenges.</w:t>
      </w:r>
    </w:p>
    <w:p w14:paraId="3375FB96" w14:textId="005DA322" w:rsidR="001832C7" w:rsidRPr="00E96EE1" w:rsidRDefault="006A03FB" w:rsidP="001204F5">
      <w:pPr>
        <w:pStyle w:val="Heading3"/>
        <w:tabs>
          <w:tab w:val="left" w:pos="2790"/>
        </w:tabs>
        <w:spacing w:after="220"/>
        <w:ind w:left="1890" w:hanging="720"/>
        <w:rPr>
          <w:b w:val="0"/>
          <w:bCs/>
          <w:color w:val="000000" w:themeColor="text1"/>
          <w:sz w:val="22"/>
          <w:szCs w:val="18"/>
          <w:lang w:eastAsia="en-US"/>
        </w:rPr>
      </w:pPr>
      <w:r>
        <w:rPr>
          <w:lang w:eastAsia="en-US"/>
        </w:rPr>
        <w:tab/>
      </w:r>
      <w:bookmarkStart w:id="41" w:name="_Toc232436577"/>
      <w:bookmarkEnd w:id="40"/>
      <w:r w:rsidR="00F5598E" w:rsidRPr="001832C7">
        <w:rPr>
          <w:b w:val="0"/>
          <w:bCs/>
          <w:color w:val="000000" w:themeColor="text1"/>
          <w:sz w:val="22"/>
          <w:szCs w:val="18"/>
          <w:lang w:eastAsia="en-US"/>
        </w:rPr>
        <w:t>2.3.6    Creative Sector</w:t>
      </w:r>
      <w:bookmarkEnd w:id="41"/>
    </w:p>
    <w:p w14:paraId="1A381E37" w14:textId="7E1CAE37" w:rsidR="004C39E6" w:rsidRDefault="004C39E6" w:rsidP="00053664">
      <w:pPr>
        <w:pStyle w:val="ONUME"/>
        <w:rPr>
          <w:lang w:eastAsia="en-US"/>
        </w:rPr>
      </w:pPr>
      <w:r w:rsidRPr="004C39E6">
        <w:rPr>
          <w:lang w:eastAsia="en-US"/>
        </w:rPr>
        <w:t xml:space="preserve">To update the 2024 assessment, </w:t>
      </w:r>
      <w:r>
        <w:rPr>
          <w:lang w:eastAsia="en-US"/>
        </w:rPr>
        <w:t xml:space="preserve">in addition to publicly available national and international sources </w:t>
      </w:r>
      <w:r w:rsidRPr="004C39E6">
        <w:rPr>
          <w:lang w:eastAsia="en-US"/>
        </w:rPr>
        <w:t xml:space="preserve">consultations were held with stakeholders from across the creative industries, including book publishers, film producers, CMOs, stage actors, and individual artists, photographers, authors and performers of musical works.  </w:t>
      </w:r>
    </w:p>
    <w:p w14:paraId="1310E4A1" w14:textId="18CE4E85" w:rsidR="00497E56" w:rsidRDefault="004C39E6" w:rsidP="00053664">
      <w:pPr>
        <w:pStyle w:val="ONUME"/>
        <w:rPr>
          <w:lang w:eastAsia="en-US"/>
        </w:rPr>
      </w:pPr>
      <w:r w:rsidRPr="004C39E6">
        <w:rPr>
          <w:lang w:eastAsia="en-US"/>
        </w:rPr>
        <w:t>The cultural and creative sectors remained heavily affected by the war throughout the reporting period</w:t>
      </w:r>
      <w:r w:rsidR="00724B7F">
        <w:rPr>
          <w:lang w:eastAsia="en-US"/>
        </w:rPr>
        <w:t>.</w:t>
      </w:r>
      <w:r>
        <w:t xml:space="preserve"> </w:t>
      </w:r>
      <w:r w:rsidR="00CA113F">
        <w:t xml:space="preserve"> </w:t>
      </w:r>
      <w:r w:rsidR="007D032A">
        <w:t xml:space="preserve">In addition to the data reported by </w:t>
      </w:r>
      <w:r w:rsidR="0046037C">
        <w:t>UNESCO</w:t>
      </w:r>
      <w:r w:rsidR="00F303D5">
        <w:t xml:space="preserve"> </w:t>
      </w:r>
      <w:r w:rsidR="005129EB">
        <w:rPr>
          <w:lang w:eastAsia="en-US"/>
        </w:rPr>
        <w:t>a</w:t>
      </w:r>
      <w:r w:rsidR="00167180">
        <w:rPr>
          <w:lang w:eastAsia="en-US"/>
        </w:rPr>
        <w:t xml:space="preserve">ccording to the </w:t>
      </w:r>
      <w:r w:rsidR="005129EB">
        <w:rPr>
          <w:lang w:eastAsia="en-US"/>
        </w:rPr>
        <w:t xml:space="preserve">data </w:t>
      </w:r>
      <w:r w:rsidR="009038CF">
        <w:rPr>
          <w:lang w:eastAsia="en-US"/>
        </w:rPr>
        <w:t>published</w:t>
      </w:r>
      <w:r w:rsidR="005129EB">
        <w:rPr>
          <w:lang w:eastAsia="en-US"/>
        </w:rPr>
        <w:t xml:space="preserve"> by the Ministry of Culture of </w:t>
      </w:r>
      <w:r w:rsidR="009038CF">
        <w:rPr>
          <w:lang w:eastAsia="en-US"/>
        </w:rPr>
        <w:t>Ukraine on May 13, 2026</w:t>
      </w:r>
      <w:r w:rsidR="008B59D7">
        <w:t>, 4323</w:t>
      </w:r>
      <w:r w:rsidR="00E96776" w:rsidRPr="00E96776">
        <w:t xml:space="preserve"> </w:t>
      </w:r>
      <w:r w:rsidR="00E96776" w:rsidRPr="00E96776">
        <w:rPr>
          <w:lang w:eastAsia="en-US"/>
        </w:rPr>
        <w:t>different cultural sites were damaged or destroyed.</w:t>
      </w:r>
      <w:r w:rsidR="00243C22">
        <w:rPr>
          <w:rStyle w:val="FootnoteReference"/>
          <w:lang w:eastAsia="en-US"/>
        </w:rPr>
        <w:footnoteReference w:id="24"/>
      </w:r>
      <w:r w:rsidR="00CA113F">
        <w:rPr>
          <w:lang w:eastAsia="en-US"/>
        </w:rPr>
        <w:t xml:space="preserve"> </w:t>
      </w:r>
      <w:r w:rsidR="00167180">
        <w:rPr>
          <w:lang w:eastAsia="en-US"/>
        </w:rPr>
        <w:t xml:space="preserve"> </w:t>
      </w:r>
      <w:r w:rsidR="008664A0" w:rsidRPr="008664A0">
        <w:rPr>
          <w:lang w:eastAsia="en-US"/>
        </w:rPr>
        <w:t xml:space="preserve">UNESCO estimates point to 4.5 billion </w:t>
      </w:r>
      <w:r w:rsidR="007519E0">
        <w:rPr>
          <w:lang w:eastAsia="en-US"/>
        </w:rPr>
        <w:t>United States dollars</w:t>
      </w:r>
      <w:r w:rsidR="008664A0" w:rsidRPr="008664A0">
        <w:rPr>
          <w:lang w:eastAsia="en-US"/>
        </w:rPr>
        <w:t xml:space="preserve"> in damages to cultural assets over the four-year period, with recovery and reconstruction needs for education, media and culture estimated at 52.13 billion </w:t>
      </w:r>
      <w:r w:rsidR="007519E0">
        <w:rPr>
          <w:lang w:eastAsia="en-US"/>
        </w:rPr>
        <w:t>United States dollars</w:t>
      </w:r>
      <w:r w:rsidR="008664A0" w:rsidRPr="008664A0">
        <w:rPr>
          <w:lang w:eastAsia="en-US"/>
        </w:rPr>
        <w:t xml:space="preserve"> over the next decade.</w:t>
      </w:r>
    </w:p>
    <w:p w14:paraId="5CBA6EC5" w14:textId="3C1CF3E0" w:rsidR="005573FF" w:rsidRDefault="0077216F" w:rsidP="00497E56">
      <w:pPr>
        <w:pStyle w:val="ONUME"/>
        <w:rPr>
          <w:lang w:eastAsia="en-US"/>
        </w:rPr>
      </w:pPr>
      <w:r w:rsidRPr="0077216F">
        <w:rPr>
          <w:lang w:eastAsia="en-US"/>
        </w:rPr>
        <w:t xml:space="preserve">Stakeholder consultations confirmed that fundamental challenges identified in previous assessments </w:t>
      </w:r>
      <w:proofErr w:type="gramStart"/>
      <w:r w:rsidRPr="0077216F">
        <w:rPr>
          <w:lang w:eastAsia="en-US"/>
        </w:rPr>
        <w:t>persist:</w:t>
      </w:r>
      <w:proofErr w:type="gramEnd"/>
      <w:r w:rsidR="00CA113F">
        <w:rPr>
          <w:lang w:eastAsia="en-US"/>
        </w:rPr>
        <w:t xml:space="preserve"> </w:t>
      </w:r>
      <w:r w:rsidRPr="0077216F">
        <w:rPr>
          <w:lang w:eastAsia="en-US"/>
        </w:rPr>
        <w:t xml:space="preserve"> falling production rates, depleted revenues, diminished export capacity, emigration of professional talent, team disbandment, workforce displacement, and a shrinking domestic market for cultural events. </w:t>
      </w:r>
      <w:r w:rsidR="00CA113F">
        <w:rPr>
          <w:lang w:eastAsia="en-US"/>
        </w:rPr>
        <w:t xml:space="preserve"> </w:t>
      </w:r>
      <w:r w:rsidRPr="0077216F">
        <w:rPr>
          <w:lang w:eastAsia="en-US"/>
        </w:rPr>
        <w:t xml:space="preserve">At the same time, compared with earlier stages of the conflict, international attention increasingly shifted toward recovery, preservation and internationalization rather than solely documenting losses. </w:t>
      </w:r>
      <w:r w:rsidR="00CA113F">
        <w:rPr>
          <w:lang w:eastAsia="en-US"/>
        </w:rPr>
        <w:t xml:space="preserve"> </w:t>
      </w:r>
      <w:r w:rsidRPr="0077216F">
        <w:rPr>
          <w:lang w:eastAsia="en-US"/>
        </w:rPr>
        <w:t>Certain subsectors also demonstrated signs of gradual stabilization where sustained state financial support was maintained</w:t>
      </w:r>
      <w:r w:rsidR="005573FF">
        <w:rPr>
          <w:lang w:eastAsia="en-US"/>
        </w:rPr>
        <w:t>.</w:t>
      </w:r>
    </w:p>
    <w:p w14:paraId="5AB96518" w14:textId="1CC96D1F" w:rsidR="00165B80" w:rsidRPr="00821299" w:rsidRDefault="005573FF" w:rsidP="00497E56">
      <w:pPr>
        <w:pStyle w:val="ONUME"/>
        <w:rPr>
          <w:lang w:eastAsia="en-US"/>
        </w:rPr>
      </w:pPr>
      <w:r w:rsidRPr="005573FF">
        <w:rPr>
          <w:lang w:eastAsia="en-US"/>
        </w:rPr>
        <w:lastRenderedPageBreak/>
        <w:t>Ukraine's book publishing industry continued to face substantial disruption, with publishers struggling with employee safety, rising production costs, and logistics disruptions.</w:t>
      </w:r>
      <w:r w:rsidR="00CA113F">
        <w:rPr>
          <w:lang w:eastAsia="en-US"/>
        </w:rPr>
        <w:t xml:space="preserve"> </w:t>
      </w:r>
      <w:r w:rsidRPr="005573FF">
        <w:rPr>
          <w:lang w:eastAsia="en-US"/>
        </w:rPr>
        <w:t xml:space="preserve"> According to the Ministry of Culture, the main challenges include complete destruction of infrastructure and disruption of logistics due to destruction or suspension of operations at companies, including raw material suppliers and distributors. </w:t>
      </w:r>
      <w:r w:rsidR="00CA113F">
        <w:rPr>
          <w:lang w:eastAsia="en-US"/>
        </w:rPr>
        <w:t xml:space="preserve"> </w:t>
      </w:r>
      <w:r w:rsidRPr="005573FF">
        <w:rPr>
          <w:lang w:eastAsia="en-US"/>
        </w:rPr>
        <w:t xml:space="preserve">Since the outbreak of the war, 22 entities in the publishing industry sustained damage. </w:t>
      </w:r>
      <w:r w:rsidR="00CA113F">
        <w:rPr>
          <w:lang w:eastAsia="en-US"/>
        </w:rPr>
        <w:t xml:space="preserve"> </w:t>
      </w:r>
      <w:r w:rsidRPr="005573FF">
        <w:rPr>
          <w:lang w:eastAsia="en-US"/>
        </w:rPr>
        <w:t>However, supported by state funding that in 2024 and 2025 exceeded pre-war levels by more than 50 per cent, the sector showed modest recovery</w:t>
      </w:r>
      <w:proofErr w:type="gramStart"/>
      <w:r w:rsidRPr="005573FF">
        <w:rPr>
          <w:lang w:eastAsia="en-US"/>
        </w:rPr>
        <w:t>:</w:t>
      </w:r>
      <w:r w:rsidR="00CA113F">
        <w:rPr>
          <w:lang w:eastAsia="en-US"/>
        </w:rPr>
        <w:t xml:space="preserve"> </w:t>
      </w:r>
      <w:r w:rsidRPr="005573FF">
        <w:rPr>
          <w:lang w:eastAsia="en-US"/>
        </w:rPr>
        <w:t xml:space="preserve"> in</w:t>
      </w:r>
      <w:proofErr w:type="gramEnd"/>
      <w:r w:rsidRPr="005573FF">
        <w:rPr>
          <w:lang w:eastAsia="en-US"/>
        </w:rPr>
        <w:t xml:space="preserve"> 2025, the number of books published increased by 3.92 per cent compared to 2024, and total circulation rose by 5.55 per cent, though both metrics remained substantially below pre-war levels.</w:t>
      </w:r>
    </w:p>
    <w:p w14:paraId="0A8FBF8F" w14:textId="2710A8F9" w:rsidR="00497E56" w:rsidRDefault="00B132D0" w:rsidP="00497E56">
      <w:pPr>
        <w:pStyle w:val="ONUME"/>
        <w:rPr>
          <w:lang w:eastAsia="en-US"/>
        </w:rPr>
      </w:pPr>
      <w:r w:rsidRPr="00B132D0">
        <w:rPr>
          <w:lang w:eastAsia="en-US"/>
        </w:rPr>
        <w:t>Film production faced similar constraints, with many filmmakers joining the armed forces or relocating abroad, and production facilities affected by destruction, power shortages and shelling in areas where film production offices and facilities are located.</w:t>
      </w:r>
      <w:r w:rsidR="00CA113F">
        <w:rPr>
          <w:lang w:eastAsia="en-US"/>
        </w:rPr>
        <w:t xml:space="preserve"> </w:t>
      </w:r>
      <w:r w:rsidRPr="00B132D0">
        <w:rPr>
          <w:lang w:eastAsia="en-US"/>
        </w:rPr>
        <w:t xml:space="preserve"> The State Film Agency of Ukraine reported that lack of state funding, destruction and damage to production facilities, power shortages, and shelling resulted in the halt or suspension of filming for extended periods. However, state financial support contributed to a notable narrowing of the production gap: </w:t>
      </w:r>
      <w:r w:rsidR="00CA113F">
        <w:rPr>
          <w:lang w:eastAsia="en-US"/>
        </w:rPr>
        <w:t xml:space="preserve"> </w:t>
      </w:r>
      <w:r w:rsidRPr="00B132D0">
        <w:rPr>
          <w:lang w:eastAsia="en-US"/>
        </w:rPr>
        <w:t xml:space="preserve">while during 2022-2024 the average number of films (including TV series and animated films and series) produced with </w:t>
      </w:r>
      <w:r w:rsidR="00F8742C">
        <w:rPr>
          <w:lang w:eastAsia="en-US"/>
        </w:rPr>
        <w:t>S</w:t>
      </w:r>
      <w:r w:rsidR="00F8742C" w:rsidRPr="00B132D0">
        <w:rPr>
          <w:lang w:eastAsia="en-US"/>
        </w:rPr>
        <w:t xml:space="preserve">tate </w:t>
      </w:r>
      <w:r w:rsidRPr="00B132D0">
        <w:rPr>
          <w:lang w:eastAsia="en-US"/>
        </w:rPr>
        <w:t>support was 70.5 per cent lower than in 2021, in 2025 the gap narrowed to 32.35 per cent below 2021 levels, indicating gradual sector recovery.</w:t>
      </w:r>
      <w:r w:rsidR="00F21DD9">
        <w:rPr>
          <w:lang w:eastAsia="en-US"/>
        </w:rPr>
        <w:t xml:space="preserve"> </w:t>
      </w:r>
    </w:p>
    <w:p w14:paraId="357C8964" w14:textId="67FA2B60" w:rsidR="0075196D" w:rsidRDefault="0075196D" w:rsidP="00497E56">
      <w:pPr>
        <w:pStyle w:val="ONUME"/>
        <w:rPr>
          <w:lang w:eastAsia="en-US"/>
        </w:rPr>
      </w:pPr>
      <w:r w:rsidRPr="0075196D">
        <w:rPr>
          <w:lang w:eastAsia="en-US"/>
        </w:rPr>
        <w:t xml:space="preserve">The legal and operational framework for collective management organizations remained unchanged from previous reporting periods. </w:t>
      </w:r>
      <w:r w:rsidR="001F6251">
        <w:rPr>
          <w:lang w:eastAsia="en-US"/>
        </w:rPr>
        <w:t xml:space="preserve"> </w:t>
      </w:r>
      <w:r w:rsidRPr="0075196D">
        <w:rPr>
          <w:lang w:eastAsia="en-US"/>
        </w:rPr>
        <w:t xml:space="preserve">CMOs continue to operate only through voluntary agreements with right holders, without mandate to carry out extended or mandatory collective rights management, as accreditation procedures remain suspended during martial law (and for at least 12 months following its termination, pursuant to the December 2022 Law on Copyright and Related Rights). </w:t>
      </w:r>
      <w:r w:rsidR="001F6251">
        <w:rPr>
          <w:lang w:eastAsia="en-US"/>
        </w:rPr>
        <w:t xml:space="preserve"> </w:t>
      </w:r>
      <w:r w:rsidRPr="0075196D">
        <w:rPr>
          <w:lang w:eastAsia="en-US"/>
        </w:rPr>
        <w:t xml:space="preserve">According to the </w:t>
      </w:r>
      <w:r w:rsidRPr="00DD2E71">
        <w:rPr>
          <w:lang w:eastAsia="en-US"/>
        </w:rPr>
        <w:t>Ministry of Economy</w:t>
      </w:r>
      <w:r w:rsidR="006E21F9" w:rsidRPr="00DD2E71">
        <w:rPr>
          <w:lang w:eastAsia="en-US"/>
        </w:rPr>
        <w:t>,</w:t>
      </w:r>
      <w:r w:rsidR="000A50C4" w:rsidRPr="00DD2E71">
        <w:rPr>
          <w:lang w:val="uk-UA" w:eastAsia="en-US"/>
        </w:rPr>
        <w:t xml:space="preserve"> </w:t>
      </w:r>
      <w:r w:rsidR="000A50C4" w:rsidRPr="00DD2E71">
        <w:rPr>
          <w:lang w:eastAsia="en-US"/>
        </w:rPr>
        <w:t>Environment and Agriculture</w:t>
      </w:r>
      <w:r w:rsidR="008B2397">
        <w:rPr>
          <w:lang w:eastAsia="en-US"/>
        </w:rPr>
        <w:t xml:space="preserve"> of Ukraine</w:t>
      </w:r>
      <w:r w:rsidRPr="0075196D">
        <w:rPr>
          <w:lang w:eastAsia="en-US"/>
        </w:rPr>
        <w:t xml:space="preserve">, only 10 of 18 registered CMOs are functioning stably. </w:t>
      </w:r>
      <w:r w:rsidR="001F6251">
        <w:rPr>
          <w:lang w:eastAsia="en-US"/>
        </w:rPr>
        <w:t xml:space="preserve"> </w:t>
      </w:r>
      <w:r w:rsidRPr="0075196D">
        <w:rPr>
          <w:lang w:eastAsia="en-US"/>
        </w:rPr>
        <w:t>Despite these structural constraints, economic indicators showed improvement</w:t>
      </w:r>
      <w:proofErr w:type="gramStart"/>
      <w:r w:rsidRPr="0075196D">
        <w:rPr>
          <w:lang w:eastAsia="en-US"/>
        </w:rPr>
        <w:t>:</w:t>
      </w:r>
      <w:r w:rsidR="001F6251">
        <w:rPr>
          <w:lang w:eastAsia="en-US"/>
        </w:rPr>
        <w:t xml:space="preserve"> </w:t>
      </w:r>
      <w:r w:rsidRPr="0075196D">
        <w:rPr>
          <w:lang w:eastAsia="en-US"/>
        </w:rPr>
        <w:t xml:space="preserve"> total</w:t>
      </w:r>
      <w:proofErr w:type="gramEnd"/>
      <w:r w:rsidRPr="0075196D">
        <w:rPr>
          <w:lang w:eastAsia="en-US"/>
        </w:rPr>
        <w:t xml:space="preserve"> remuneration collected in 2025 increased by 17 per cent compared to 2024, allocated remuneration rose by 37 per cent, and remuneration paid increased by 46 per cent.</w:t>
      </w:r>
    </w:p>
    <w:p w14:paraId="444EB2DC" w14:textId="3DA6F219" w:rsidR="002D0B48" w:rsidRDefault="00470502" w:rsidP="002D0B48">
      <w:pPr>
        <w:pStyle w:val="ONUME"/>
        <w:rPr>
          <w:lang w:eastAsia="en-US"/>
        </w:rPr>
      </w:pPr>
      <w:r>
        <w:rPr>
          <w:lang w:eastAsia="en-US"/>
        </w:rPr>
        <w:t>International cooperation in cultural preservation and recovery advanced significantly during the reporting period.</w:t>
      </w:r>
      <w:r w:rsidR="001F6251">
        <w:rPr>
          <w:lang w:eastAsia="en-US"/>
        </w:rPr>
        <w:t xml:space="preserve"> </w:t>
      </w:r>
      <w:r>
        <w:rPr>
          <w:lang w:eastAsia="en-US"/>
        </w:rPr>
        <w:t xml:space="preserve"> UNESCO mobilized over 75 million </w:t>
      </w:r>
      <w:r w:rsidR="00D3610E">
        <w:rPr>
          <w:lang w:eastAsia="en-US"/>
        </w:rPr>
        <w:t xml:space="preserve">United </w:t>
      </w:r>
      <w:r w:rsidR="00CC0D70">
        <w:rPr>
          <w:lang w:eastAsia="en-US"/>
        </w:rPr>
        <w:t>States</w:t>
      </w:r>
      <w:r w:rsidR="00D3610E">
        <w:rPr>
          <w:lang w:eastAsia="en-US"/>
        </w:rPr>
        <w:t xml:space="preserve"> dollars</w:t>
      </w:r>
      <w:r>
        <w:rPr>
          <w:lang w:eastAsia="en-US"/>
        </w:rPr>
        <w:t xml:space="preserve"> in targeted support, strengthened institutional capacities by training over 2,500 cultural professionals and university students, and provided digital transformation capacity building for 100 museum professionals from 77 institutions. </w:t>
      </w:r>
      <w:r w:rsidR="001F6251">
        <w:rPr>
          <w:lang w:eastAsia="en-US"/>
        </w:rPr>
        <w:t xml:space="preserve"> </w:t>
      </w:r>
      <w:r>
        <w:rPr>
          <w:lang w:eastAsia="en-US"/>
        </w:rPr>
        <w:t>Ukrainian cultural actors increasingly integrated into international markets, exhibitions and digital platforms.</w:t>
      </w:r>
    </w:p>
    <w:p w14:paraId="39C05A48" w14:textId="74B87706" w:rsidR="003D796C" w:rsidRDefault="00470502" w:rsidP="002D0B48">
      <w:pPr>
        <w:pStyle w:val="ONUME"/>
        <w:rPr>
          <w:lang w:eastAsia="en-US"/>
        </w:rPr>
      </w:pPr>
      <w:r>
        <w:rPr>
          <w:lang w:eastAsia="en-US"/>
        </w:rPr>
        <w:t xml:space="preserve">In March 2026, the 2nd Ukraine Culture Conference "Cooperation for Resilience" showcased the Lviv Culture Hub as a practical model for cultural recovery. </w:t>
      </w:r>
      <w:r w:rsidR="001F6251">
        <w:rPr>
          <w:lang w:eastAsia="en-US"/>
        </w:rPr>
        <w:t xml:space="preserve"> </w:t>
      </w:r>
      <w:r>
        <w:rPr>
          <w:lang w:eastAsia="en-US"/>
        </w:rPr>
        <w:t>Since its opening in 2025, the Hub has hosted over 170 events reaching over 4,500 participants, ensuring continuity of cultural life during the war and providing a platform for dialogue between public authorities, cultural institutions and international partners.</w:t>
      </w:r>
    </w:p>
    <w:p w14:paraId="66F02DF0" w14:textId="4458D4B6" w:rsidR="00392F2B" w:rsidRDefault="00F5598E" w:rsidP="00392F2B">
      <w:pPr>
        <w:pStyle w:val="Heading2"/>
        <w:spacing w:before="240" w:after="220"/>
        <w:ind w:left="540"/>
        <w:rPr>
          <w:b w:val="0"/>
          <w:bCs/>
          <w:color w:val="000000"/>
          <w:sz w:val="22"/>
          <w:szCs w:val="18"/>
        </w:rPr>
      </w:pPr>
      <w:bookmarkStart w:id="42" w:name="_Toc232436578"/>
      <w:r w:rsidRPr="003010B8">
        <w:rPr>
          <w:b w:val="0"/>
          <w:bCs/>
          <w:color w:val="000000"/>
          <w:sz w:val="22"/>
          <w:szCs w:val="18"/>
        </w:rPr>
        <w:t xml:space="preserve">2.4.    ANALYSIS OF THE INNOVATION PERFORMANCE OF UKRAINE THROUGH </w:t>
      </w:r>
      <w:r w:rsidR="00AA3E1D">
        <w:rPr>
          <w:b w:val="0"/>
          <w:bCs/>
          <w:color w:val="000000"/>
          <w:sz w:val="22"/>
          <w:szCs w:val="18"/>
        </w:rPr>
        <w:br/>
        <w:t xml:space="preserve"> </w:t>
      </w:r>
      <w:r w:rsidR="00AA3E1D">
        <w:rPr>
          <w:b w:val="0"/>
          <w:bCs/>
          <w:color w:val="000000"/>
          <w:sz w:val="22"/>
          <w:szCs w:val="18"/>
        </w:rPr>
        <w:tab/>
        <w:t xml:space="preserve">       </w:t>
      </w:r>
      <w:r w:rsidRPr="003010B8">
        <w:rPr>
          <w:b w:val="0"/>
          <w:bCs/>
          <w:color w:val="000000"/>
          <w:sz w:val="22"/>
          <w:szCs w:val="18"/>
        </w:rPr>
        <w:t>THE GLOBAL INNOVATION INDEX (GII)</w:t>
      </w:r>
      <w:bookmarkEnd w:id="42"/>
    </w:p>
    <w:p w14:paraId="76DCB452" w14:textId="79A7493D" w:rsidR="00B144D3" w:rsidRPr="003010B8" w:rsidRDefault="003646C0" w:rsidP="00B12C14">
      <w:pPr>
        <w:pStyle w:val="Heading3"/>
        <w:spacing w:before="240" w:after="60"/>
        <w:ind w:left="1886" w:hanging="720"/>
        <w:rPr>
          <w:b w:val="0"/>
          <w:bCs/>
          <w:color w:val="000000" w:themeColor="text1"/>
          <w:sz w:val="22"/>
          <w:szCs w:val="18"/>
          <w:lang w:eastAsia="en-US"/>
        </w:rPr>
      </w:pPr>
      <w:bookmarkStart w:id="43" w:name="_Toc232436579"/>
      <w:r w:rsidRPr="003010B8">
        <w:rPr>
          <w:b w:val="0"/>
          <w:bCs/>
          <w:color w:val="000000" w:themeColor="text1"/>
          <w:sz w:val="22"/>
          <w:szCs w:val="18"/>
          <w:lang w:eastAsia="en-US"/>
        </w:rPr>
        <w:t>2.4.</w:t>
      </w:r>
      <w:r w:rsidR="00B12C14" w:rsidRPr="003010B8">
        <w:rPr>
          <w:b w:val="0"/>
          <w:bCs/>
          <w:color w:val="000000" w:themeColor="text1"/>
          <w:sz w:val="22"/>
          <w:szCs w:val="18"/>
          <w:lang w:eastAsia="en-US"/>
        </w:rPr>
        <w:t>1</w:t>
      </w:r>
      <w:r w:rsidRPr="003010B8">
        <w:rPr>
          <w:b w:val="0"/>
          <w:bCs/>
          <w:color w:val="000000" w:themeColor="text1"/>
          <w:sz w:val="22"/>
          <w:szCs w:val="18"/>
          <w:lang w:eastAsia="en-US"/>
        </w:rPr>
        <w:tab/>
      </w:r>
      <w:r w:rsidRPr="003010B8">
        <w:rPr>
          <w:b w:val="0"/>
          <w:bCs/>
          <w:color w:val="000000" w:themeColor="text1"/>
          <w:sz w:val="22"/>
          <w:szCs w:val="18"/>
          <w:u w:val="single"/>
          <w:lang w:eastAsia="en-US"/>
        </w:rPr>
        <w:t>Overall Ranking and Income Group Placement</w:t>
      </w:r>
      <w:bookmarkEnd w:id="43"/>
      <w:r w:rsidRPr="003010B8">
        <w:rPr>
          <w:b w:val="0"/>
          <w:bCs/>
          <w:color w:val="000000" w:themeColor="text1"/>
          <w:sz w:val="22"/>
          <w:szCs w:val="18"/>
          <w:lang w:eastAsia="en-US"/>
        </w:rPr>
        <w:t xml:space="preserve"> </w:t>
      </w:r>
    </w:p>
    <w:p w14:paraId="7E54E042" w14:textId="77777777" w:rsidR="00C37AFE" w:rsidRPr="00C37AFE" w:rsidRDefault="00C37AFE" w:rsidP="00C37AFE">
      <w:pPr>
        <w:rPr>
          <w:lang w:eastAsia="en-US"/>
        </w:rPr>
      </w:pPr>
    </w:p>
    <w:p w14:paraId="3472A3A4" w14:textId="06D5E160" w:rsidR="001647FF" w:rsidRDefault="001647FF" w:rsidP="001647FF">
      <w:pPr>
        <w:pStyle w:val="ONUME"/>
        <w:rPr>
          <w:lang w:eastAsia="en-US"/>
        </w:rPr>
      </w:pPr>
      <w:r w:rsidRPr="00C46924">
        <w:t xml:space="preserve">Ukraine's positioning in the GII continues to be influenced by a combination of </w:t>
      </w:r>
      <w:r>
        <w:t>the longstanding</w:t>
      </w:r>
      <w:r w:rsidRPr="00C46924">
        <w:t xml:space="preserve"> systemic constraints, </w:t>
      </w:r>
      <w:r>
        <w:t>post-</w:t>
      </w:r>
      <w:r w:rsidRPr="00C46924">
        <w:t xml:space="preserve">2022 </w:t>
      </w:r>
      <w:r>
        <w:t xml:space="preserve">disruptions </w:t>
      </w:r>
      <w:r w:rsidRPr="00C46924">
        <w:t xml:space="preserve">and </w:t>
      </w:r>
      <w:r>
        <w:t>the</w:t>
      </w:r>
      <w:r w:rsidRPr="00C46924">
        <w:t xml:space="preserve"> data lags and gaps in Ukrainian innovation statistics.</w:t>
      </w:r>
    </w:p>
    <w:p w14:paraId="2CFC9F19" w14:textId="13EDEC5F" w:rsidR="001647FF" w:rsidRDefault="001647FF" w:rsidP="001647FF">
      <w:pPr>
        <w:pStyle w:val="ONUME"/>
      </w:pPr>
      <w:r w:rsidRPr="008022E0">
        <w:lastRenderedPageBreak/>
        <w:t>In the GII 2025, Ukraine ranks 66</w:t>
      </w:r>
      <w:r w:rsidR="007F2661" w:rsidRPr="003010B8">
        <w:rPr>
          <w:vertAlign w:val="superscript"/>
        </w:rPr>
        <w:t>th</w:t>
      </w:r>
      <w:r w:rsidRPr="008022E0">
        <w:t xml:space="preserve"> out of 139 economies, marking a six-place drop from its 60</w:t>
      </w:r>
      <w:r w:rsidRPr="008022E0">
        <w:rPr>
          <w:vertAlign w:val="superscript"/>
        </w:rPr>
        <w:t>th</w:t>
      </w:r>
      <w:r w:rsidRPr="008022E0">
        <w:t xml:space="preserve"> position in 2024 and a continuation</w:t>
      </w:r>
      <w:r w:rsidR="00317FBD">
        <w:t xml:space="preserve"> of the</w:t>
      </w:r>
      <w:r w:rsidRPr="008022E0">
        <w:t xml:space="preserve"> </w:t>
      </w:r>
      <w:r>
        <w:t>declining trend of its</w:t>
      </w:r>
      <w:r w:rsidRPr="008022E0">
        <w:t xml:space="preserve"> innovation ranking</w:t>
      </w:r>
      <w:r>
        <w:rPr>
          <w:rStyle w:val="FootnoteReference"/>
        </w:rPr>
        <w:footnoteReference w:id="25"/>
      </w:r>
      <w:r w:rsidRPr="008022E0">
        <w:t xml:space="preserve">. </w:t>
      </w:r>
    </w:p>
    <w:p w14:paraId="727057B9" w14:textId="7455112F" w:rsidR="001647FF" w:rsidRDefault="001647FF" w:rsidP="001647FF">
      <w:pPr>
        <w:pStyle w:val="ONUME"/>
      </w:pPr>
      <w:r w:rsidRPr="008022E0">
        <w:t>Following Ukraine’s 2024 reclassification from lower-middle to upper-middle-income status, in the GII 2025, Ukraine ranks 15</w:t>
      </w:r>
      <w:r w:rsidRPr="003010B8">
        <w:rPr>
          <w:vertAlign w:val="superscript"/>
        </w:rPr>
        <w:t>th</w:t>
      </w:r>
      <w:r w:rsidRPr="008022E0">
        <w:t xml:space="preserve"> among the 36 upper-middle-income economies</w:t>
      </w:r>
      <w:r>
        <w:t xml:space="preserve"> </w:t>
      </w:r>
      <w:r w:rsidRPr="008022E0">
        <w:t>compared with the fourth-place rank among lower-middle-income</w:t>
      </w:r>
      <w:r w:rsidRPr="00767C4C">
        <w:t xml:space="preserve"> economies reported in the 2024 edition.</w:t>
      </w:r>
      <w:r w:rsidR="006D5F66">
        <w:t xml:space="preserve"> </w:t>
      </w:r>
      <w:r w:rsidRPr="00767C4C">
        <w:t xml:space="preserve"> </w:t>
      </w:r>
      <w:r>
        <w:t>While the ranking reflects the change in benchmarking</w:t>
      </w:r>
      <w:r w:rsidRPr="00767C4C">
        <w:t>, Ukraine performs above expectations relative to its level of development and produces more innovation outputs relative to its level of innovation investments, indicating that it leverages its limited resources efficiently</w:t>
      </w:r>
      <w:r>
        <w:t>.</w:t>
      </w:r>
    </w:p>
    <w:p w14:paraId="5AE245A6" w14:textId="17B6CCD6" w:rsidR="001647FF" w:rsidRDefault="001647FF" w:rsidP="001647FF">
      <w:pPr>
        <w:pStyle w:val="ONUME"/>
      </w:pPr>
      <w:proofErr w:type="gramStart"/>
      <w:r>
        <w:t>In particular,</w:t>
      </w:r>
      <w:r w:rsidRPr="00767C4C">
        <w:t xml:space="preserve"> Ukraine</w:t>
      </w:r>
      <w:proofErr w:type="gramEnd"/>
      <w:r w:rsidRPr="00767C4C">
        <w:t xml:space="preserve"> performs above the upper-middle-income group average in Human Capital and Research, Business Sophistication, Knowledge and Technology Outputs and Creative Outputs, but below the European regional average across all pillars.</w:t>
      </w:r>
      <w:r w:rsidR="006D5F66">
        <w:t xml:space="preserve"> </w:t>
      </w:r>
      <w:r>
        <w:t xml:space="preserve"> </w:t>
      </w:r>
      <w:r w:rsidRPr="00767C4C">
        <w:t>Ukraine ranks 35</w:t>
      </w:r>
      <w:r w:rsidRPr="00F02A14">
        <w:rPr>
          <w:vertAlign w:val="superscript"/>
        </w:rPr>
        <w:t>th</w:t>
      </w:r>
      <w:r w:rsidRPr="00767C4C">
        <w:t xml:space="preserve"> within European economies, with a decrease of one place compared to 2024.</w:t>
      </w:r>
      <w:r>
        <w:t xml:space="preserve"> </w:t>
      </w:r>
    </w:p>
    <w:p w14:paraId="3596CB72" w14:textId="1D6B8A93" w:rsidR="001647FF" w:rsidRDefault="001647FF" w:rsidP="001647FF">
      <w:pPr>
        <w:pStyle w:val="ONUME"/>
      </w:pPr>
      <w:r w:rsidRPr="008022E0">
        <w:t xml:space="preserve">Looking across the GII 2025 results, Ukraine’s </w:t>
      </w:r>
      <w:r w:rsidR="009B6B22">
        <w:t>strongest</w:t>
      </w:r>
      <w:r w:rsidR="009B6B22" w:rsidRPr="008022E0">
        <w:t xml:space="preserve"> </w:t>
      </w:r>
      <w:r w:rsidRPr="008022E0">
        <w:t xml:space="preserve">innovation performance remains in Knowledge and Technology Outputs, Business Sophistication and Human Capital and Research. </w:t>
      </w:r>
      <w:r w:rsidR="006D5F66">
        <w:t xml:space="preserve"> </w:t>
      </w:r>
      <w:r w:rsidRPr="008022E0">
        <w:t>At the same time, challenges and innovation weaknesses remain present in several pillars, such as Institutions, followed by Market Sophistication and Infrastructure.</w:t>
      </w:r>
    </w:p>
    <w:p w14:paraId="75079B98" w14:textId="328B861C" w:rsidR="001647FF" w:rsidRDefault="001647FF" w:rsidP="001647FF">
      <w:pPr>
        <w:pStyle w:val="ONUME"/>
      </w:pPr>
      <w:r>
        <w:t>Over the recent five-year window, Ukraine’s innovation input decline has shown higher resilience than the output decline, with the innovation outputs showing stabilization over the past two years.</w:t>
      </w:r>
      <w:r w:rsidRPr="006F0C74">
        <w:t xml:space="preserve"> </w:t>
      </w:r>
      <w:r w:rsidR="006D5F66">
        <w:t xml:space="preserve"> </w:t>
      </w:r>
      <w:r>
        <w:t>Specifically, in the GII 2025,</w:t>
      </w:r>
      <w:r w:rsidRPr="00767C4C">
        <w:t xml:space="preserve"> the Ukrainian innovation input ranking </w:t>
      </w:r>
      <w:r>
        <w:t>is 80</w:t>
      </w:r>
      <w:r w:rsidRPr="00767C4C">
        <w:rPr>
          <w:vertAlign w:val="superscript"/>
        </w:rPr>
        <w:t>th</w:t>
      </w:r>
      <w:r>
        <w:t xml:space="preserve"> (down from 76</w:t>
      </w:r>
      <w:r w:rsidRPr="00767C4C">
        <w:rPr>
          <w:vertAlign w:val="superscript"/>
        </w:rPr>
        <w:t>th</w:t>
      </w:r>
      <w:r>
        <w:t xml:space="preserve"> in 2021), and the output ranking is 54</w:t>
      </w:r>
      <w:r w:rsidRPr="008022E0">
        <w:rPr>
          <w:vertAlign w:val="superscript"/>
        </w:rPr>
        <w:t>th</w:t>
      </w:r>
      <w:r>
        <w:t xml:space="preserve"> (down from 37</w:t>
      </w:r>
      <w:r w:rsidRPr="008022E0">
        <w:rPr>
          <w:vertAlign w:val="superscript"/>
        </w:rPr>
        <w:t>th</w:t>
      </w:r>
      <w:r>
        <w:t xml:space="preserve"> in 2021 and unchanged from 2024).</w:t>
      </w:r>
    </w:p>
    <w:p w14:paraId="3FE9057D" w14:textId="176391D3" w:rsidR="001647FF" w:rsidRDefault="001647FF" w:rsidP="001647FF">
      <w:pPr>
        <w:pStyle w:val="ONUME"/>
      </w:pPr>
      <w:r>
        <w:t>At the indicator level, Ukraine retains several strong global positions in GII 2025.</w:t>
      </w:r>
      <w:r w:rsidR="006D5F66">
        <w:t xml:space="preserve"> </w:t>
      </w:r>
      <w:r>
        <w:t xml:space="preserve"> The country ranks first globally in utility models by origin and shows resilience in the other IP-intensive indicators. </w:t>
      </w:r>
      <w:r w:rsidR="006D5F66">
        <w:t xml:space="preserve"> </w:t>
      </w:r>
      <w:r>
        <w:t xml:space="preserve">Ukraine also preserved its strength in relation to digital services, remaining the fifth place globally in </w:t>
      </w:r>
      <w:r w:rsidR="00BC5DE9">
        <w:t xml:space="preserve">exports of </w:t>
      </w:r>
      <w:r>
        <w:t xml:space="preserve">ICT </w:t>
      </w:r>
      <w:r w:rsidR="00BC5DE9">
        <w:t>services</w:t>
      </w:r>
      <w:r>
        <w:t xml:space="preserve">, fifth place in Government’s online service and eighteenth in mobile app creation per </w:t>
      </w:r>
      <w:r w:rsidR="00691B34" w:rsidRPr="00691B34">
        <w:t xml:space="preserve">Gross Domestic Product </w:t>
      </w:r>
      <w:r w:rsidR="00A77149">
        <w:t>(</w:t>
      </w:r>
      <w:r>
        <w:t>GDP</w:t>
      </w:r>
      <w:r w:rsidR="00A77149">
        <w:t>)</w:t>
      </w:r>
      <w:r>
        <w:t>.</w:t>
      </w:r>
      <w:r w:rsidR="00487C1D">
        <w:t xml:space="preserve"> </w:t>
      </w:r>
      <w:r>
        <w:t xml:space="preserve"> As an exclusion, software spending presented a significant case of a sharp reverse, with a drop of 21 places (down from rank </w:t>
      </w:r>
      <w:r w:rsidR="00AD628F">
        <w:t>four</w:t>
      </w:r>
      <w:r>
        <w:t xml:space="preserve"> in 2024 to rank 25 in 2025).</w:t>
      </w:r>
    </w:p>
    <w:p w14:paraId="69845C35" w14:textId="41AFDB28" w:rsidR="001647FF" w:rsidRPr="009C69A7" w:rsidRDefault="001647FF" w:rsidP="001647FF">
      <w:pPr>
        <w:pStyle w:val="ONUME"/>
        <w:tabs>
          <w:tab w:val="clear" w:pos="1134"/>
          <w:tab w:val="num" w:pos="540"/>
        </w:tabs>
        <w:rPr>
          <w:bCs/>
          <w:color w:val="000000" w:themeColor="text1"/>
          <w:lang w:eastAsia="en-US"/>
        </w:rPr>
      </w:pPr>
      <w:r w:rsidRPr="00C46924">
        <w:t>In relation to human capital,</w:t>
      </w:r>
      <w:r w:rsidRPr="006F3354">
        <w:t xml:space="preserve"> investment in education remain</w:t>
      </w:r>
      <w:r>
        <w:t>s</w:t>
      </w:r>
      <w:r w:rsidRPr="006F3354">
        <w:t xml:space="preserve"> a structural strength </w:t>
      </w:r>
      <w:r>
        <w:t xml:space="preserve">and Ukraine ranks fourth in females employed with advanced degrees. </w:t>
      </w:r>
      <w:r w:rsidR="00A77149">
        <w:t xml:space="preserve"> </w:t>
      </w:r>
      <w:r>
        <w:t xml:space="preserve">However, </w:t>
      </w:r>
      <w:r w:rsidRPr="006F3354">
        <w:t>but</w:t>
      </w:r>
      <w:r w:rsidRPr="00C46924">
        <w:t xml:space="preserve"> a</w:t>
      </w:r>
      <w:r w:rsidRPr="006F3354">
        <w:t>n erosion</w:t>
      </w:r>
      <w:r>
        <w:t xml:space="preserve"> is observed in Ukraine’s talent-stock, with researchers per million population falling 24 per cent in a single year and graduates in science and engineering dropping 1.6 per cent.</w:t>
      </w:r>
      <w:r w:rsidRPr="00754E7C">
        <w:t xml:space="preserve"> </w:t>
      </w:r>
      <w:r w:rsidR="00A77149">
        <w:t xml:space="preserve"> </w:t>
      </w:r>
      <w:r>
        <w:t xml:space="preserve">Certain declines, such as scientific output and researcher numbers have been accelerated by the disruptions since February 2022. </w:t>
      </w:r>
    </w:p>
    <w:p w14:paraId="15D24841" w14:textId="1FD7CB95" w:rsidR="001647FF" w:rsidRPr="008022E0" w:rsidRDefault="001647FF" w:rsidP="001647FF">
      <w:pPr>
        <w:pStyle w:val="ONUME"/>
      </w:pPr>
      <w:r w:rsidRPr="008022E0">
        <w:t>It must be kept in mind that, as for the GII 2024, the GII 2025 data still only partially reflect post-2022 developments due to inherent data lags of one to four years, missing data for three indicators and outdated data for eleven indicators, which are older than 2022.</w:t>
      </w:r>
      <w:r w:rsidR="00A77149">
        <w:t xml:space="preserve"> </w:t>
      </w:r>
      <w:r w:rsidRPr="008022E0">
        <w:t xml:space="preserve"> The outdated indicators cluster heavily in Human Capital and Research and Business Sophistication pillars, which are also the most likely pillars to register post-2022 shocks to talent, </w:t>
      </w:r>
      <w:r w:rsidR="00B47FCB">
        <w:t>research and development (</w:t>
      </w:r>
      <w:r w:rsidRPr="008022E0">
        <w:t>R&amp;D</w:t>
      </w:r>
      <w:r w:rsidR="00B47FCB">
        <w:t>)</w:t>
      </w:r>
      <w:r w:rsidRPr="008022E0">
        <w:t xml:space="preserve"> financing and the knowledge workforce. </w:t>
      </w:r>
    </w:p>
    <w:p w14:paraId="3F2AA7C6" w14:textId="77777777" w:rsidR="001647FF" w:rsidRPr="009C69A7" w:rsidRDefault="001647FF" w:rsidP="001647FF">
      <w:pPr>
        <w:pStyle w:val="ONUME"/>
      </w:pPr>
      <w:r w:rsidRPr="008022E0">
        <w:t xml:space="preserve">In sum, the GII 2025 ranking should be interpreted as information on the pre-2022 starting position and the immediate inflection, and not for post-2022 performance assessment and causal attribution to </w:t>
      </w:r>
      <w:proofErr w:type="gramStart"/>
      <w:r w:rsidRPr="008022E0">
        <w:t>particular events</w:t>
      </w:r>
      <w:proofErr w:type="gramEnd"/>
      <w:r w:rsidRPr="008022E0">
        <w:t>, such as the war.</w:t>
      </w:r>
    </w:p>
    <w:p w14:paraId="609B8829" w14:textId="0B98BAF4" w:rsidR="003646C0" w:rsidRPr="00E96EE1" w:rsidRDefault="003646C0" w:rsidP="00E96EE1">
      <w:pPr>
        <w:pStyle w:val="Heading3"/>
        <w:spacing w:after="220"/>
        <w:ind w:left="1890" w:hanging="720"/>
        <w:rPr>
          <w:b w:val="0"/>
          <w:bCs/>
          <w:color w:val="000000" w:themeColor="text1"/>
          <w:sz w:val="22"/>
          <w:szCs w:val="18"/>
          <w:lang w:eastAsia="en-US"/>
        </w:rPr>
      </w:pPr>
      <w:bookmarkStart w:id="44" w:name="_Toc232436580"/>
      <w:r w:rsidRPr="003010B8">
        <w:rPr>
          <w:b w:val="0"/>
          <w:bCs/>
          <w:color w:val="000000" w:themeColor="text1"/>
          <w:sz w:val="22"/>
          <w:szCs w:val="18"/>
          <w:lang w:eastAsia="en-US"/>
        </w:rPr>
        <w:lastRenderedPageBreak/>
        <w:t>2.4.</w:t>
      </w:r>
      <w:r w:rsidR="00EB1823" w:rsidRPr="003010B8">
        <w:rPr>
          <w:b w:val="0"/>
          <w:bCs/>
          <w:color w:val="000000" w:themeColor="text1"/>
          <w:sz w:val="22"/>
          <w:szCs w:val="18"/>
          <w:lang w:eastAsia="en-US"/>
        </w:rPr>
        <w:t>2</w:t>
      </w:r>
      <w:r w:rsidRPr="003010B8">
        <w:rPr>
          <w:b w:val="0"/>
          <w:bCs/>
          <w:color w:val="000000" w:themeColor="text1"/>
          <w:sz w:val="22"/>
          <w:szCs w:val="18"/>
          <w:lang w:eastAsia="en-US"/>
        </w:rPr>
        <w:tab/>
      </w:r>
      <w:r w:rsidRPr="003010B8">
        <w:rPr>
          <w:b w:val="0"/>
          <w:bCs/>
          <w:color w:val="000000" w:themeColor="text1"/>
          <w:sz w:val="22"/>
          <w:szCs w:val="18"/>
          <w:u w:val="single"/>
          <w:lang w:eastAsia="en-US"/>
        </w:rPr>
        <w:t>GII 202</w:t>
      </w:r>
      <w:r w:rsidR="004C4473" w:rsidRPr="003010B8">
        <w:rPr>
          <w:b w:val="0"/>
          <w:bCs/>
          <w:color w:val="000000" w:themeColor="text1"/>
          <w:sz w:val="22"/>
          <w:szCs w:val="18"/>
          <w:u w:val="single"/>
          <w:lang w:eastAsia="en-US"/>
        </w:rPr>
        <w:t>6</w:t>
      </w:r>
      <w:r w:rsidRPr="003010B8">
        <w:rPr>
          <w:b w:val="0"/>
          <w:bCs/>
          <w:color w:val="000000" w:themeColor="text1"/>
          <w:sz w:val="22"/>
          <w:szCs w:val="18"/>
          <w:u w:val="single"/>
          <w:lang w:eastAsia="en-US"/>
        </w:rPr>
        <w:t xml:space="preserve"> – Trends by Selected Indicators</w:t>
      </w:r>
      <w:r w:rsidR="00B87F3F" w:rsidRPr="003010B8">
        <w:rPr>
          <w:rStyle w:val="FootnoteReference"/>
          <w:b w:val="0"/>
          <w:bCs/>
          <w:color w:val="000000" w:themeColor="text1"/>
          <w:sz w:val="22"/>
          <w:szCs w:val="18"/>
          <w:u w:val="single"/>
          <w:lang w:eastAsia="en-US"/>
        </w:rPr>
        <w:footnoteReference w:id="26"/>
      </w:r>
      <w:bookmarkEnd w:id="44"/>
    </w:p>
    <w:p w14:paraId="25ACC7D0" w14:textId="77777777" w:rsidR="00AD349D" w:rsidRPr="00AD349D" w:rsidRDefault="00AD349D" w:rsidP="00AD349D">
      <w:pPr>
        <w:pStyle w:val="ONUME"/>
        <w:rPr>
          <w:lang w:eastAsia="en-US"/>
        </w:rPr>
      </w:pPr>
      <w:r w:rsidRPr="00AD349D">
        <w:rPr>
          <w:lang w:eastAsia="en-US"/>
        </w:rPr>
        <w:t xml:space="preserve">While the GII 2026 will only be published on September 29, 2026, the section below provides an overview of the most recent innovation trends and selected indicators. </w:t>
      </w:r>
    </w:p>
    <w:p w14:paraId="1B86E5A9" w14:textId="74E93F22" w:rsidR="002F675F" w:rsidRDefault="002F675F" w:rsidP="002A5A28">
      <w:pPr>
        <w:pStyle w:val="ONUME"/>
        <w:numPr>
          <w:ilvl w:val="0"/>
          <w:numId w:val="0"/>
        </w:numPr>
        <w:tabs>
          <w:tab w:val="clear" w:pos="1134"/>
        </w:tabs>
        <w:rPr>
          <w:lang w:eastAsia="en-US"/>
        </w:rPr>
      </w:pPr>
      <w:r w:rsidRPr="002F675F">
        <w:rPr>
          <w:b/>
          <w:bCs/>
          <w:lang w:eastAsia="en-US"/>
        </w:rPr>
        <w:t>Gross expenditure on R&amp;D, percentage of GDP</w:t>
      </w:r>
    </w:p>
    <w:p w14:paraId="0ADEBB8F" w14:textId="0786930D" w:rsidR="00203500" w:rsidRPr="00922F3C" w:rsidRDefault="00203500" w:rsidP="00203500">
      <w:pPr>
        <w:pStyle w:val="ONUME"/>
      </w:pPr>
      <w:r w:rsidRPr="00922F3C">
        <w:t>Until 2023, Ukraine's gross expenditure on R&amp;D as a share of GDP followed a long-term downward trajectory, with a negative compound annual rate of −4.2 per cent and final drop to 0.32 per cent of GDP in 2023, before rebounding to 0.37 per cent in 2024</w:t>
      </w:r>
      <w:r w:rsidR="006339AE">
        <w:t xml:space="preserve"> and </w:t>
      </w:r>
      <w:r w:rsidRPr="00922F3C">
        <w:t xml:space="preserve">noting the first significant </w:t>
      </w:r>
      <w:r w:rsidRPr="00C46924">
        <w:t>increase</w:t>
      </w:r>
      <w:r w:rsidRPr="00922F3C">
        <w:t xml:space="preserve"> after </w:t>
      </w:r>
      <w:r w:rsidRPr="00C46924">
        <w:t>2018</w:t>
      </w:r>
      <w:r w:rsidRPr="00922F3C">
        <w:t>.</w:t>
      </w:r>
    </w:p>
    <w:p w14:paraId="1DCE082F" w14:textId="77777777" w:rsidR="00203500" w:rsidRDefault="00203500" w:rsidP="00203500">
      <w:pPr>
        <w:pStyle w:val="ONUME"/>
        <w:numPr>
          <w:ilvl w:val="0"/>
          <w:numId w:val="0"/>
        </w:numPr>
        <w:jc w:val="center"/>
      </w:pPr>
      <w:r>
        <w:rPr>
          <w:noProof/>
        </w:rPr>
        <w:drawing>
          <wp:inline distT="0" distB="0" distL="0" distR="0" wp14:anchorId="487AD17E" wp14:editId="31261E7B">
            <wp:extent cx="4527414" cy="2560320"/>
            <wp:effectExtent l="0" t="0" r="6985" b="0"/>
            <wp:docPr id="1462563797" name="Picture 17" descr="Ukraine's gross expenditure on R&amp;D as a share of GD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563797" name="Picture 17" descr="Ukraine's gross expenditure on R&amp;D as a share of GDP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27414" cy="2560320"/>
                    </a:xfrm>
                    <a:prstGeom prst="rect">
                      <a:avLst/>
                    </a:prstGeom>
                    <a:noFill/>
                    <a:ln>
                      <a:noFill/>
                    </a:ln>
                  </pic:spPr>
                </pic:pic>
              </a:graphicData>
            </a:graphic>
          </wp:inline>
        </w:drawing>
      </w:r>
    </w:p>
    <w:p w14:paraId="041CC580" w14:textId="77777777" w:rsidR="00203500" w:rsidRPr="00871C86" w:rsidRDefault="00203500" w:rsidP="00203500">
      <w:pPr>
        <w:pStyle w:val="ONUME"/>
        <w:numPr>
          <w:ilvl w:val="0"/>
          <w:numId w:val="0"/>
        </w:numPr>
        <w:tabs>
          <w:tab w:val="clear" w:pos="1134"/>
          <w:tab w:val="num" w:pos="540"/>
        </w:tabs>
        <w:rPr>
          <w:b/>
          <w:bCs/>
        </w:rPr>
      </w:pPr>
      <w:r>
        <w:tab/>
      </w:r>
      <w:r>
        <w:rPr>
          <w:b/>
          <w:bCs/>
        </w:rPr>
        <w:t>S</w:t>
      </w:r>
      <w:r w:rsidRPr="00871C86">
        <w:rPr>
          <w:b/>
          <w:bCs/>
        </w:rPr>
        <w:t>hare of tertiary graduates in science and engineering</w:t>
      </w:r>
    </w:p>
    <w:p w14:paraId="5ED16B7B" w14:textId="5AD9C008" w:rsidR="00203500" w:rsidRDefault="00203500" w:rsidP="00203500">
      <w:pPr>
        <w:pStyle w:val="ONUME"/>
      </w:pPr>
      <w:r>
        <w:t xml:space="preserve">The share of tertiary-level graduates in science and engineering peaked at 26.7 per cent in 2015 and has trended downward since. </w:t>
      </w:r>
      <w:r w:rsidR="00A77149">
        <w:t xml:space="preserve"> </w:t>
      </w:r>
      <w:r>
        <w:t xml:space="preserve">The numbers contracted at a compound annual rate of −1.2 per cent over the 2015–2024 period, with fluctuations and </w:t>
      </w:r>
      <w:r w:rsidR="000F2D1B">
        <w:t xml:space="preserve">a temporary </w:t>
      </w:r>
      <w:r>
        <w:t>recovery to 25.7 per cent in 2021, followed by a decline to 23.9 per cent in 2024.</w:t>
      </w:r>
    </w:p>
    <w:p w14:paraId="23153F6D" w14:textId="77777777" w:rsidR="00203500" w:rsidRDefault="00203500" w:rsidP="00203500">
      <w:pPr>
        <w:pStyle w:val="ONUME"/>
        <w:numPr>
          <w:ilvl w:val="0"/>
          <w:numId w:val="0"/>
        </w:numPr>
        <w:jc w:val="center"/>
      </w:pPr>
      <w:r>
        <w:rPr>
          <w:noProof/>
        </w:rPr>
        <w:drawing>
          <wp:inline distT="0" distB="0" distL="0" distR="0" wp14:anchorId="30D1CD91" wp14:editId="03F61237">
            <wp:extent cx="4527412" cy="2560320"/>
            <wp:effectExtent l="0" t="0" r="6985" b="0"/>
            <wp:docPr id="1285266599" name="Picture 22" descr="The share of tertiary-level graduates in science and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266599" name="Picture 22" descr="The share of tertiary-level graduates in science and engineeri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27412" cy="2560320"/>
                    </a:xfrm>
                    <a:prstGeom prst="rect">
                      <a:avLst/>
                    </a:prstGeom>
                    <a:noFill/>
                    <a:ln>
                      <a:noFill/>
                    </a:ln>
                  </pic:spPr>
                </pic:pic>
              </a:graphicData>
            </a:graphic>
          </wp:inline>
        </w:drawing>
      </w:r>
    </w:p>
    <w:p w14:paraId="012F081A" w14:textId="77777777" w:rsidR="00203500" w:rsidRPr="00871C86" w:rsidRDefault="00203500" w:rsidP="00203500">
      <w:pPr>
        <w:pStyle w:val="ONUME"/>
        <w:numPr>
          <w:ilvl w:val="0"/>
          <w:numId w:val="0"/>
        </w:numPr>
        <w:tabs>
          <w:tab w:val="clear" w:pos="1134"/>
        </w:tabs>
        <w:rPr>
          <w:b/>
          <w:bCs/>
        </w:rPr>
      </w:pPr>
      <w:r>
        <w:lastRenderedPageBreak/>
        <w:tab/>
      </w:r>
      <w:r w:rsidRPr="00871C86">
        <w:rPr>
          <w:b/>
          <w:bCs/>
        </w:rPr>
        <w:t>Scientific and technical articles</w:t>
      </w:r>
    </w:p>
    <w:p w14:paraId="04567636" w14:textId="06BA5001" w:rsidR="00203500" w:rsidRDefault="00203500" w:rsidP="00203500">
      <w:pPr>
        <w:pStyle w:val="ONUME"/>
      </w:pPr>
      <w:r>
        <w:t>Ukraine's scientific output grew steadily from 7,015 articles in 2015 to a peak of 8,942 in 2021, before entering a four-year decline to 8,689 in 2022, 8,352 in 2023 and a post-peak low of 8,204 in 2024.</w:t>
      </w:r>
      <w:r w:rsidR="00A77149">
        <w:t xml:space="preserve"> </w:t>
      </w:r>
      <w:r>
        <w:t xml:space="preserve"> In 2025, the scientific output partially recovered to 8,466 articles, noting a 3.2 per cent year-on-year increase, but remaining 5.3 per cent below the 2021 peak.</w:t>
      </w:r>
    </w:p>
    <w:p w14:paraId="0401A1E8" w14:textId="77777777" w:rsidR="00203500" w:rsidRDefault="00203500" w:rsidP="00203500">
      <w:pPr>
        <w:pStyle w:val="ONUME"/>
        <w:numPr>
          <w:ilvl w:val="0"/>
          <w:numId w:val="0"/>
        </w:numPr>
        <w:jc w:val="center"/>
      </w:pPr>
      <w:r>
        <w:rPr>
          <w:noProof/>
        </w:rPr>
        <w:drawing>
          <wp:inline distT="0" distB="0" distL="0" distR="0" wp14:anchorId="453F8CAD" wp14:editId="5CE087F4">
            <wp:extent cx="4527412" cy="2560320"/>
            <wp:effectExtent l="0" t="0" r="6985" b="0"/>
            <wp:docPr id="1554487666" name="Picture 9" descr="Ukraine's scientific outp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87666" name="Picture 9" descr="Ukraine's scientific outpu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27412" cy="2560320"/>
                    </a:xfrm>
                    <a:prstGeom prst="rect">
                      <a:avLst/>
                    </a:prstGeom>
                    <a:noFill/>
                    <a:ln>
                      <a:noFill/>
                    </a:ln>
                  </pic:spPr>
                </pic:pic>
              </a:graphicData>
            </a:graphic>
          </wp:inline>
        </w:drawing>
      </w:r>
    </w:p>
    <w:p w14:paraId="4DACE74D" w14:textId="77777777" w:rsidR="00203500" w:rsidRPr="00871C86" w:rsidRDefault="00203500" w:rsidP="00203500">
      <w:pPr>
        <w:pStyle w:val="ONUME"/>
        <w:numPr>
          <w:ilvl w:val="0"/>
          <w:numId w:val="0"/>
        </w:numPr>
        <w:tabs>
          <w:tab w:val="clear" w:pos="1134"/>
          <w:tab w:val="num" w:pos="540"/>
        </w:tabs>
        <w:rPr>
          <w:b/>
          <w:bCs/>
        </w:rPr>
      </w:pPr>
      <w:r>
        <w:tab/>
      </w:r>
      <w:r w:rsidRPr="00871C86">
        <w:rPr>
          <w:b/>
          <w:bCs/>
        </w:rPr>
        <w:t>Venture capital</w:t>
      </w:r>
      <w:r>
        <w:rPr>
          <w:b/>
          <w:bCs/>
        </w:rPr>
        <w:t xml:space="preserve"> (VC) received</w:t>
      </w:r>
    </w:p>
    <w:p w14:paraId="7D32615E" w14:textId="6B6AD944" w:rsidR="00203500" w:rsidRDefault="00203500" w:rsidP="00203500">
      <w:pPr>
        <w:pStyle w:val="ONUME"/>
      </w:pPr>
      <w:r>
        <w:t>The number of VC deals received in Ukraine reached a new peak in 2025,</w:t>
      </w:r>
      <w:r w:rsidRPr="00B40B8B">
        <w:t xml:space="preserve"> </w:t>
      </w:r>
      <w:r>
        <w:t>confirming a renewed acceleration of investor engagement.</w:t>
      </w:r>
      <w:r w:rsidR="00A77149">
        <w:t xml:space="preserve"> </w:t>
      </w:r>
      <w:r>
        <w:t xml:space="preserve"> With a total of 32 VC deals were received in 2025, Ukraine marked an increase of 39.1 per cent compared to 2024, surpassing the previous peak of 30 VC deals received in 2023. </w:t>
      </w:r>
    </w:p>
    <w:p w14:paraId="10CE4D36" w14:textId="77777777" w:rsidR="00203500" w:rsidRDefault="00203500" w:rsidP="00203500">
      <w:pPr>
        <w:pStyle w:val="ONUME"/>
        <w:numPr>
          <w:ilvl w:val="0"/>
          <w:numId w:val="0"/>
        </w:numPr>
        <w:jc w:val="center"/>
      </w:pPr>
      <w:r>
        <w:rPr>
          <w:noProof/>
        </w:rPr>
        <w:drawing>
          <wp:inline distT="0" distB="0" distL="0" distR="0" wp14:anchorId="77270881" wp14:editId="67B2D57A">
            <wp:extent cx="4527412" cy="2560320"/>
            <wp:effectExtent l="0" t="0" r="6985" b="0"/>
            <wp:docPr id="663053269" name="Picture 11" descr="number of cventure capital (VC) deals received in Ukra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053269" name="Picture 11" descr="number of cventure capital (VC) deals received in Ukraine "/>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27412" cy="2560320"/>
                    </a:xfrm>
                    <a:prstGeom prst="rect">
                      <a:avLst/>
                    </a:prstGeom>
                    <a:noFill/>
                    <a:ln>
                      <a:noFill/>
                    </a:ln>
                  </pic:spPr>
                </pic:pic>
              </a:graphicData>
            </a:graphic>
          </wp:inline>
        </w:drawing>
      </w:r>
    </w:p>
    <w:p w14:paraId="5574C00C" w14:textId="77777777" w:rsidR="00203500" w:rsidRPr="00F00543" w:rsidRDefault="00203500" w:rsidP="00203500">
      <w:pPr>
        <w:pStyle w:val="ONUME"/>
        <w:numPr>
          <w:ilvl w:val="0"/>
          <w:numId w:val="0"/>
        </w:numPr>
        <w:tabs>
          <w:tab w:val="clear" w:pos="1134"/>
          <w:tab w:val="num" w:pos="540"/>
        </w:tabs>
        <w:rPr>
          <w:b/>
          <w:bCs/>
          <w:color w:val="000000" w:themeColor="text1"/>
        </w:rPr>
      </w:pPr>
      <w:r w:rsidRPr="008433A6">
        <w:tab/>
      </w:r>
      <w:r w:rsidRPr="00F00543">
        <w:rPr>
          <w:b/>
          <w:bCs/>
          <w:color w:val="000000" w:themeColor="text1"/>
        </w:rPr>
        <w:t>High-tech manufacturing as a share of total manufacturing</w:t>
      </w:r>
    </w:p>
    <w:p w14:paraId="7AF8655F" w14:textId="040BB964" w:rsidR="00203500" w:rsidRPr="00F00543" w:rsidRDefault="00203500" w:rsidP="00203500">
      <w:pPr>
        <w:pStyle w:val="ONUME"/>
        <w:rPr>
          <w:color w:val="000000" w:themeColor="text1"/>
        </w:rPr>
      </w:pPr>
      <w:r w:rsidRPr="00F00543">
        <w:rPr>
          <w:color w:val="000000" w:themeColor="text1"/>
        </w:rPr>
        <w:t xml:space="preserve">High-tech manufacturing as a share of total manufacturing output rebounded to 21.6 per cent in 2023, the highest share since 2013. </w:t>
      </w:r>
      <w:r w:rsidR="00A77149">
        <w:rPr>
          <w:color w:val="000000" w:themeColor="text1"/>
        </w:rPr>
        <w:t xml:space="preserve"> </w:t>
      </w:r>
      <w:r w:rsidRPr="00F00543">
        <w:rPr>
          <w:color w:val="000000" w:themeColor="text1"/>
        </w:rPr>
        <w:t>This represents a 17.5 per cent increase from the 18.3</w:t>
      </w:r>
      <w:r w:rsidR="00C672E2">
        <w:rPr>
          <w:color w:val="000000" w:themeColor="text1"/>
        </w:rPr>
        <w:t xml:space="preserve"> per</w:t>
      </w:r>
      <w:r w:rsidR="00331B9D">
        <w:rPr>
          <w:color w:val="000000" w:themeColor="text1"/>
        </w:rPr>
        <w:t xml:space="preserve"> </w:t>
      </w:r>
      <w:r w:rsidR="00C672E2">
        <w:rPr>
          <w:color w:val="000000" w:themeColor="text1"/>
        </w:rPr>
        <w:t>cent</w:t>
      </w:r>
      <w:r w:rsidR="00C672E2" w:rsidRPr="00F00543">
        <w:rPr>
          <w:color w:val="000000" w:themeColor="text1"/>
        </w:rPr>
        <w:t xml:space="preserve"> </w:t>
      </w:r>
      <w:r w:rsidRPr="00F00543">
        <w:rPr>
          <w:color w:val="000000" w:themeColor="text1"/>
        </w:rPr>
        <w:t>recorded in 2022 and a marked recovery from the 16.3</w:t>
      </w:r>
      <w:r w:rsidR="00C672E2" w:rsidRPr="00C672E2">
        <w:rPr>
          <w:color w:val="000000" w:themeColor="text1"/>
        </w:rPr>
        <w:t xml:space="preserve"> </w:t>
      </w:r>
      <w:r w:rsidR="00C672E2">
        <w:rPr>
          <w:color w:val="000000" w:themeColor="text1"/>
        </w:rPr>
        <w:t>per</w:t>
      </w:r>
      <w:r w:rsidR="001400C2">
        <w:rPr>
          <w:color w:val="000000" w:themeColor="text1"/>
        </w:rPr>
        <w:t xml:space="preserve"> </w:t>
      </w:r>
      <w:r w:rsidR="00C672E2">
        <w:rPr>
          <w:color w:val="000000" w:themeColor="text1"/>
        </w:rPr>
        <w:t>cent</w:t>
      </w:r>
      <w:r w:rsidRPr="00F00543">
        <w:rPr>
          <w:color w:val="000000" w:themeColor="text1"/>
        </w:rPr>
        <w:t xml:space="preserve"> low in 2021, pointing to an increased share of high-tech activity within Ukraine's manufacturing base.</w:t>
      </w:r>
    </w:p>
    <w:p w14:paraId="2655E5A0" w14:textId="77777777" w:rsidR="00203500" w:rsidRDefault="00203500" w:rsidP="00203500">
      <w:pPr>
        <w:pStyle w:val="ONUME"/>
        <w:numPr>
          <w:ilvl w:val="0"/>
          <w:numId w:val="0"/>
        </w:numPr>
        <w:jc w:val="center"/>
      </w:pPr>
      <w:r w:rsidRPr="008E4C36">
        <w:rPr>
          <w:strike/>
          <w:noProof/>
        </w:rPr>
        <w:lastRenderedPageBreak/>
        <w:drawing>
          <wp:inline distT="0" distB="0" distL="0" distR="0" wp14:anchorId="15956DFB" wp14:editId="171149F4">
            <wp:extent cx="2988859" cy="1690245"/>
            <wp:effectExtent l="0" t="0" r="2540" b="5715"/>
            <wp:docPr id="1117600977" name="Picture 19" descr="High-tech manufacturing as a share of total manufacturing outpu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00977" name="Picture 19" descr="High-tech manufacturing as a share of total manufacturing output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94910" cy="1693667"/>
                    </a:xfrm>
                    <a:prstGeom prst="rect">
                      <a:avLst/>
                    </a:prstGeom>
                    <a:noFill/>
                    <a:ln>
                      <a:noFill/>
                    </a:ln>
                  </pic:spPr>
                </pic:pic>
              </a:graphicData>
            </a:graphic>
          </wp:inline>
        </w:drawing>
      </w:r>
    </w:p>
    <w:p w14:paraId="4856E532" w14:textId="68F43DD2" w:rsidR="00203500" w:rsidRPr="008433A6" w:rsidRDefault="008433A6" w:rsidP="008433A6">
      <w:pPr>
        <w:pStyle w:val="ONUME"/>
        <w:numPr>
          <w:ilvl w:val="0"/>
          <w:numId w:val="0"/>
        </w:numPr>
        <w:tabs>
          <w:tab w:val="clear" w:pos="1134"/>
          <w:tab w:val="num" w:pos="540"/>
        </w:tabs>
        <w:rPr>
          <w:b/>
          <w:bCs/>
          <w:color w:val="000000" w:themeColor="text1"/>
        </w:rPr>
      </w:pPr>
      <w:r>
        <w:rPr>
          <w:b/>
          <w:bCs/>
          <w:color w:val="000000" w:themeColor="text1"/>
        </w:rPr>
        <w:tab/>
      </w:r>
      <w:r w:rsidR="00203500" w:rsidRPr="008433A6">
        <w:rPr>
          <w:b/>
          <w:bCs/>
          <w:color w:val="000000" w:themeColor="text1"/>
        </w:rPr>
        <w:t xml:space="preserve">Software spending, million </w:t>
      </w:r>
      <w:r w:rsidR="002A1928" w:rsidRPr="008433A6">
        <w:rPr>
          <w:b/>
          <w:bCs/>
          <w:color w:val="000000" w:themeColor="text1"/>
        </w:rPr>
        <w:t>United States dollars</w:t>
      </w:r>
      <w:r w:rsidR="00203500" w:rsidRPr="008433A6">
        <w:rPr>
          <w:b/>
          <w:bCs/>
          <w:color w:val="000000" w:themeColor="text1"/>
        </w:rPr>
        <w:t xml:space="preserve"> </w:t>
      </w:r>
    </w:p>
    <w:p w14:paraId="48A3803C" w14:textId="777E26AA" w:rsidR="00203500" w:rsidRDefault="00203500" w:rsidP="00203500">
      <w:pPr>
        <w:pStyle w:val="ONUME"/>
      </w:pPr>
      <w:r>
        <w:t xml:space="preserve">Further positive change was observed for Ukraine's spending on computer software, which reached a new peak of 976.2 million </w:t>
      </w:r>
      <w:r w:rsidR="002A1928">
        <w:t xml:space="preserve">United States dollars </w:t>
      </w:r>
      <w:r>
        <w:t xml:space="preserve">in 2025, surpassing the previous peak of 945.2 million recorded in 2022 and noting a 22.2 per cent year-on-year increase from the 799 million </w:t>
      </w:r>
      <w:r w:rsidR="002A1928">
        <w:t>United States dollars</w:t>
      </w:r>
      <w:r>
        <w:t xml:space="preserve"> in 2024.</w:t>
      </w:r>
    </w:p>
    <w:p w14:paraId="437B6C2B" w14:textId="77777777" w:rsidR="00203500" w:rsidRDefault="00203500" w:rsidP="00203500">
      <w:pPr>
        <w:pStyle w:val="ONUME"/>
        <w:numPr>
          <w:ilvl w:val="0"/>
          <w:numId w:val="0"/>
        </w:numPr>
        <w:jc w:val="center"/>
      </w:pPr>
      <w:r>
        <w:rPr>
          <w:noProof/>
        </w:rPr>
        <w:drawing>
          <wp:inline distT="0" distB="0" distL="0" distR="0" wp14:anchorId="0E9C8197" wp14:editId="40BF66F3">
            <wp:extent cx="4527412" cy="2560320"/>
            <wp:effectExtent l="0" t="0" r="6985" b="0"/>
            <wp:docPr id="1153741476" name="Picture 12" descr="spending on computer software, million United states dol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3741476" name="Picture 12" descr="spending on computer software, million United states dollar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27412" cy="2560320"/>
                    </a:xfrm>
                    <a:prstGeom prst="rect">
                      <a:avLst/>
                    </a:prstGeom>
                    <a:noFill/>
                    <a:ln>
                      <a:noFill/>
                    </a:ln>
                  </pic:spPr>
                </pic:pic>
              </a:graphicData>
            </a:graphic>
          </wp:inline>
        </w:drawing>
      </w:r>
    </w:p>
    <w:p w14:paraId="70F17673" w14:textId="130FBD2A" w:rsidR="00203500" w:rsidRPr="008433A6" w:rsidRDefault="008433A6" w:rsidP="008433A6">
      <w:pPr>
        <w:pStyle w:val="ONUME"/>
        <w:numPr>
          <w:ilvl w:val="0"/>
          <w:numId w:val="0"/>
        </w:numPr>
        <w:tabs>
          <w:tab w:val="clear" w:pos="1134"/>
          <w:tab w:val="num" w:pos="540"/>
        </w:tabs>
        <w:rPr>
          <w:b/>
          <w:bCs/>
          <w:color w:val="000000" w:themeColor="text1"/>
        </w:rPr>
      </w:pPr>
      <w:r>
        <w:tab/>
      </w:r>
      <w:r w:rsidR="00203500" w:rsidRPr="008433A6">
        <w:rPr>
          <w:b/>
          <w:bCs/>
          <w:color w:val="000000" w:themeColor="text1"/>
        </w:rPr>
        <w:t>Mobile app creation</w:t>
      </w:r>
    </w:p>
    <w:p w14:paraId="7A5A08E5" w14:textId="77777777" w:rsidR="00203500" w:rsidRDefault="00203500" w:rsidP="00203500">
      <w:pPr>
        <w:pStyle w:val="ONUME"/>
      </w:pPr>
      <w:r>
        <w:t xml:space="preserve">While </w:t>
      </w:r>
      <w:r w:rsidRPr="008022E0">
        <w:t xml:space="preserve">Ukraine’s </w:t>
      </w:r>
      <w:r>
        <w:t xml:space="preserve">mobile app creation has peaked in 2021, reaching 1.20 billion apps, a continuous decline has been observed since 2022, with a final drop to 0.90 billion mobile apps recorded in 2025. </w:t>
      </w:r>
    </w:p>
    <w:p w14:paraId="6B14216A" w14:textId="77777777" w:rsidR="00203500" w:rsidRDefault="00203500" w:rsidP="00203500">
      <w:pPr>
        <w:pStyle w:val="ONUME"/>
        <w:numPr>
          <w:ilvl w:val="0"/>
          <w:numId w:val="0"/>
        </w:numPr>
        <w:jc w:val="center"/>
      </w:pPr>
      <w:r>
        <w:rPr>
          <w:noProof/>
        </w:rPr>
        <w:lastRenderedPageBreak/>
        <w:drawing>
          <wp:inline distT="0" distB="0" distL="0" distR="0" wp14:anchorId="7A9EE35D" wp14:editId="11710CFF">
            <wp:extent cx="4527412" cy="2560320"/>
            <wp:effectExtent l="0" t="0" r="6985" b="0"/>
            <wp:docPr id="369121380" name="Picture 14" descr="Mobile app 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121380" name="Picture 14" descr="Mobile app creatio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27412" cy="2560320"/>
                    </a:xfrm>
                    <a:prstGeom prst="rect">
                      <a:avLst/>
                    </a:prstGeom>
                    <a:noFill/>
                    <a:ln>
                      <a:noFill/>
                    </a:ln>
                  </pic:spPr>
                </pic:pic>
              </a:graphicData>
            </a:graphic>
          </wp:inline>
        </w:drawing>
      </w:r>
    </w:p>
    <w:p w14:paraId="7E52D2D2" w14:textId="77777777" w:rsidR="00203500" w:rsidRPr="00E4238B" w:rsidRDefault="00203500" w:rsidP="00203500">
      <w:pPr>
        <w:pStyle w:val="ONUME"/>
        <w:numPr>
          <w:ilvl w:val="0"/>
          <w:numId w:val="0"/>
        </w:numPr>
        <w:tabs>
          <w:tab w:val="clear" w:pos="1134"/>
          <w:tab w:val="num" w:pos="540"/>
        </w:tabs>
        <w:rPr>
          <w:b/>
          <w:bCs/>
        </w:rPr>
      </w:pPr>
      <w:r>
        <w:tab/>
      </w:r>
      <w:r w:rsidRPr="00E4238B">
        <w:rPr>
          <w:b/>
          <w:bCs/>
        </w:rPr>
        <w:t>High-tech exports, percentage of total trade</w:t>
      </w:r>
    </w:p>
    <w:p w14:paraId="4A6EB11C" w14:textId="78E2E0A6" w:rsidR="00203500" w:rsidRDefault="00203500" w:rsidP="00203500">
      <w:pPr>
        <w:pStyle w:val="ONUME"/>
      </w:pPr>
      <w:r>
        <w:t xml:space="preserve">In 2024, Ukraine's high-tech exports, </w:t>
      </w:r>
      <w:r w:rsidRPr="00E62946">
        <w:t>measured as a percentage of total trade,</w:t>
      </w:r>
      <w:r>
        <w:t xml:space="preserve"> partially recovered to 0.88 billion</w:t>
      </w:r>
      <w:r w:rsidR="001F326C">
        <w:t xml:space="preserve"> United States dollars</w:t>
      </w:r>
      <w:r>
        <w:t>, noting an 11.2 per cent year-on-year increase after the two-year decline. Despite the increase, high-tech exports remained 40 per cent below the 2021 peak of 1.46 billion</w:t>
      </w:r>
      <w:r w:rsidR="001F326C">
        <w:t xml:space="preserve"> United States dollars</w:t>
      </w:r>
      <w:r>
        <w:t>.</w:t>
      </w:r>
    </w:p>
    <w:p w14:paraId="138D4B87" w14:textId="77777777" w:rsidR="00203500" w:rsidRDefault="00203500" w:rsidP="00203500">
      <w:pPr>
        <w:pStyle w:val="ONUME"/>
        <w:numPr>
          <w:ilvl w:val="0"/>
          <w:numId w:val="0"/>
        </w:numPr>
        <w:jc w:val="center"/>
      </w:pPr>
      <w:r>
        <w:rPr>
          <w:noProof/>
        </w:rPr>
        <w:drawing>
          <wp:inline distT="0" distB="0" distL="0" distR="0" wp14:anchorId="643A302D" wp14:editId="4B94FB0B">
            <wp:extent cx="4527412" cy="2560320"/>
            <wp:effectExtent l="0" t="0" r="6985" b="0"/>
            <wp:docPr id="182567188" name="Picture 4" descr="High-tech exports, percentage of tota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7188" name="Picture 4" descr="High-tech exports, percentage of total trad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27412" cy="2560320"/>
                    </a:xfrm>
                    <a:prstGeom prst="rect">
                      <a:avLst/>
                    </a:prstGeom>
                    <a:noFill/>
                    <a:ln>
                      <a:noFill/>
                    </a:ln>
                  </pic:spPr>
                </pic:pic>
              </a:graphicData>
            </a:graphic>
          </wp:inline>
        </w:drawing>
      </w:r>
    </w:p>
    <w:p w14:paraId="2E97310B" w14:textId="4928EA7B" w:rsidR="00203500" w:rsidRPr="008022E0" w:rsidRDefault="0027498F" w:rsidP="00203500">
      <w:pPr>
        <w:pStyle w:val="ONUME"/>
        <w:numPr>
          <w:ilvl w:val="0"/>
          <w:numId w:val="0"/>
        </w:numPr>
        <w:tabs>
          <w:tab w:val="clear" w:pos="1134"/>
          <w:tab w:val="num" w:pos="540"/>
        </w:tabs>
        <w:rPr>
          <w:b/>
          <w:bCs/>
        </w:rPr>
      </w:pPr>
      <w:r>
        <w:tab/>
      </w:r>
      <w:r w:rsidR="00203500" w:rsidRPr="00E4238B">
        <w:rPr>
          <w:b/>
          <w:bCs/>
        </w:rPr>
        <w:t xml:space="preserve">High-tech </w:t>
      </w:r>
      <w:r w:rsidR="00203500">
        <w:rPr>
          <w:b/>
          <w:bCs/>
        </w:rPr>
        <w:t>imports</w:t>
      </w:r>
      <w:r w:rsidR="00203500" w:rsidRPr="00E4238B">
        <w:rPr>
          <w:b/>
          <w:bCs/>
        </w:rPr>
        <w:t>, percentage of total trade</w:t>
      </w:r>
    </w:p>
    <w:p w14:paraId="794132E8" w14:textId="7352A4C6" w:rsidR="00203500" w:rsidRDefault="00203500" w:rsidP="00203500">
      <w:pPr>
        <w:pStyle w:val="ONUME"/>
      </w:pPr>
      <w:r>
        <w:t xml:space="preserve">A significant positive trend was observed for Ukraine's high-tech imports, which reached a peak of 9.50 billion </w:t>
      </w:r>
      <w:r w:rsidR="001F326C">
        <w:t>United States dollars</w:t>
      </w:r>
      <w:r>
        <w:t xml:space="preserve"> in 2024, with a 36.5 per cent increase compared to 2023 and surpassing the previous peak of 8.27 billion </w:t>
      </w:r>
      <w:r w:rsidR="001F326C">
        <w:t>United States dollars</w:t>
      </w:r>
      <w:r>
        <w:t xml:space="preserve"> recorded in 2021.</w:t>
      </w:r>
      <w:r w:rsidR="005458B4">
        <w:t xml:space="preserve"> </w:t>
      </w:r>
      <w:r>
        <w:t xml:space="preserve"> With this increase, Ukraine sharply rebounded from the 5.63 billion </w:t>
      </w:r>
      <w:r w:rsidR="001F326C">
        <w:t>United States dollars</w:t>
      </w:r>
      <w:r>
        <w:t xml:space="preserve"> contraction recorded in 2022.</w:t>
      </w:r>
    </w:p>
    <w:p w14:paraId="554AEC29" w14:textId="77777777" w:rsidR="00203500" w:rsidRDefault="00203500" w:rsidP="00203500">
      <w:pPr>
        <w:pStyle w:val="ONUME"/>
        <w:numPr>
          <w:ilvl w:val="0"/>
          <w:numId w:val="0"/>
        </w:numPr>
      </w:pPr>
      <w:r>
        <w:lastRenderedPageBreak/>
        <w:tab/>
      </w:r>
      <w:r>
        <w:rPr>
          <w:noProof/>
        </w:rPr>
        <w:drawing>
          <wp:inline distT="0" distB="0" distL="0" distR="0" wp14:anchorId="5390EC33" wp14:editId="0008E5E8">
            <wp:extent cx="4527412" cy="2560320"/>
            <wp:effectExtent l="0" t="0" r="6985" b="0"/>
            <wp:docPr id="742271615" name="Picture 16" descr="High-tech imports, percentage of tota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71615" name="Picture 16" descr="High-tech imports, percentage of total trad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27412" cy="2560320"/>
                    </a:xfrm>
                    <a:prstGeom prst="rect">
                      <a:avLst/>
                    </a:prstGeom>
                    <a:noFill/>
                    <a:ln>
                      <a:noFill/>
                    </a:ln>
                  </pic:spPr>
                </pic:pic>
              </a:graphicData>
            </a:graphic>
          </wp:inline>
        </w:drawing>
      </w:r>
    </w:p>
    <w:p w14:paraId="3652C0BB" w14:textId="77777777" w:rsidR="00203500" w:rsidRPr="0034398C" w:rsidRDefault="00203500" w:rsidP="00203500">
      <w:pPr>
        <w:pStyle w:val="ONUME"/>
        <w:numPr>
          <w:ilvl w:val="0"/>
          <w:numId w:val="0"/>
        </w:numPr>
        <w:tabs>
          <w:tab w:val="clear" w:pos="1134"/>
          <w:tab w:val="num" w:pos="540"/>
        </w:tabs>
        <w:rPr>
          <w:b/>
          <w:bCs/>
        </w:rPr>
      </w:pPr>
      <w:r>
        <w:tab/>
      </w:r>
      <w:r w:rsidRPr="0034398C">
        <w:rPr>
          <w:b/>
          <w:bCs/>
        </w:rPr>
        <w:t>ICT services exports, percentage of total trade</w:t>
      </w:r>
    </w:p>
    <w:p w14:paraId="1FB885A0" w14:textId="448830FF" w:rsidR="00203500" w:rsidRDefault="00203500" w:rsidP="00203500">
      <w:pPr>
        <w:pStyle w:val="ONUME"/>
      </w:pPr>
      <w:r>
        <w:t xml:space="preserve">In contrast to the increase of high-tech exports, Ukraine's </w:t>
      </w:r>
      <w:r w:rsidR="00B85154">
        <w:t>exports of</w:t>
      </w:r>
      <w:r>
        <w:t xml:space="preserve"> ICT services have continued to follow the trend of decline and fell to 6.61 billion </w:t>
      </w:r>
      <w:r w:rsidR="001F326C">
        <w:t>United States dollars</w:t>
      </w:r>
      <w:r>
        <w:t xml:space="preserve"> in 2024, with a </w:t>
      </w:r>
      <w:r w:rsidR="00AD628F">
        <w:t>four</w:t>
      </w:r>
      <w:r>
        <w:t xml:space="preserve"> per cent year-on-year decrease.</w:t>
      </w:r>
    </w:p>
    <w:p w14:paraId="4EDE61BE" w14:textId="0AACBCB2" w:rsidR="00392F2B" w:rsidRDefault="00203500" w:rsidP="00392F2B">
      <w:pPr>
        <w:pStyle w:val="Heading2"/>
        <w:spacing w:before="240" w:after="220"/>
        <w:ind w:left="540"/>
        <w:rPr>
          <w:b w:val="0"/>
          <w:bCs/>
          <w:color w:val="000000"/>
          <w:sz w:val="22"/>
          <w:szCs w:val="18"/>
        </w:rPr>
      </w:pPr>
      <w:bookmarkStart w:id="45" w:name="_Toc232436581"/>
      <w:r>
        <w:rPr>
          <w:noProof/>
        </w:rPr>
        <w:drawing>
          <wp:inline distT="0" distB="0" distL="0" distR="0" wp14:anchorId="2D14C500" wp14:editId="3CDB0CF3">
            <wp:extent cx="4527412" cy="2560320"/>
            <wp:effectExtent l="0" t="0" r="6985" b="0"/>
            <wp:docPr id="273904512" name="Picture 8" descr="ICT services exports, percentage of tota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904512" name="Picture 8" descr="ICT services exports, percentage of total trad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527412" cy="2560320"/>
                    </a:xfrm>
                    <a:prstGeom prst="rect">
                      <a:avLst/>
                    </a:prstGeom>
                    <a:noFill/>
                    <a:ln>
                      <a:noFill/>
                    </a:ln>
                  </pic:spPr>
                </pic:pic>
              </a:graphicData>
            </a:graphic>
          </wp:inline>
        </w:drawing>
      </w:r>
      <w:r>
        <w:rPr>
          <w:lang w:eastAsia="en-US"/>
        </w:rPr>
        <w:br/>
      </w:r>
      <w:r w:rsidR="001B5EB6">
        <w:rPr>
          <w:lang w:eastAsia="en-US"/>
        </w:rPr>
        <w:br/>
      </w:r>
      <w:r w:rsidR="00392F2B" w:rsidRPr="003010B8">
        <w:rPr>
          <w:b w:val="0"/>
          <w:bCs/>
          <w:color w:val="000000"/>
          <w:sz w:val="22"/>
          <w:szCs w:val="18"/>
        </w:rPr>
        <w:t>2.</w:t>
      </w:r>
      <w:r w:rsidR="00392F2B">
        <w:rPr>
          <w:b w:val="0"/>
          <w:bCs/>
          <w:color w:val="000000"/>
          <w:sz w:val="22"/>
          <w:szCs w:val="18"/>
        </w:rPr>
        <w:t>5</w:t>
      </w:r>
      <w:r w:rsidR="00392F2B" w:rsidRPr="003010B8">
        <w:rPr>
          <w:b w:val="0"/>
          <w:bCs/>
          <w:color w:val="000000"/>
          <w:sz w:val="22"/>
          <w:szCs w:val="18"/>
        </w:rPr>
        <w:t xml:space="preserve">.    </w:t>
      </w:r>
      <w:r w:rsidR="00392F2B" w:rsidRPr="003447E9">
        <w:rPr>
          <w:b w:val="0"/>
          <w:bCs/>
          <w:color w:val="000000" w:themeColor="text1"/>
          <w:sz w:val="22"/>
          <w:szCs w:val="22"/>
          <w:lang w:eastAsia="en-US"/>
        </w:rPr>
        <w:t>INTELLECTUAL PROPERTY FILING TRENDS AND REGISTRATION TRENDS</w:t>
      </w:r>
      <w:bookmarkEnd w:id="45"/>
      <w:r w:rsidR="00392F2B" w:rsidRPr="001832C7">
        <w:rPr>
          <w:b w:val="0"/>
          <w:bCs/>
          <w:color w:val="000000" w:themeColor="text1"/>
          <w:sz w:val="22"/>
          <w:szCs w:val="18"/>
          <w:lang w:eastAsia="en-US"/>
        </w:rPr>
        <w:t xml:space="preserve"> </w:t>
      </w:r>
    </w:p>
    <w:p w14:paraId="6274266B" w14:textId="49F24E09" w:rsidR="003646C0" w:rsidRPr="00E96EE1" w:rsidRDefault="003646C0" w:rsidP="00E96EE1">
      <w:pPr>
        <w:pStyle w:val="Heading3"/>
        <w:numPr>
          <w:ilvl w:val="2"/>
          <w:numId w:val="8"/>
        </w:numPr>
        <w:spacing w:before="240" w:after="220"/>
        <w:ind w:left="1886"/>
        <w:rPr>
          <w:b w:val="0"/>
          <w:bCs/>
          <w:color w:val="000000" w:themeColor="text1"/>
          <w:sz w:val="22"/>
          <w:szCs w:val="22"/>
          <w:lang w:eastAsia="en-US"/>
        </w:rPr>
      </w:pPr>
      <w:bookmarkStart w:id="46" w:name="_Toc232436582"/>
      <w:r w:rsidRPr="00BF455A">
        <w:rPr>
          <w:b w:val="0"/>
          <w:bCs/>
          <w:color w:val="000000" w:themeColor="text1"/>
          <w:sz w:val="22"/>
          <w:szCs w:val="22"/>
          <w:u w:val="single"/>
          <w:lang w:eastAsia="en-US"/>
        </w:rPr>
        <w:t>National Filings</w:t>
      </w:r>
      <w:r w:rsidR="007D62B1">
        <w:rPr>
          <w:b w:val="0"/>
          <w:bCs/>
          <w:color w:val="000000" w:themeColor="text1"/>
          <w:sz w:val="22"/>
          <w:szCs w:val="22"/>
          <w:u w:val="single"/>
          <w:lang w:eastAsia="en-US"/>
        </w:rPr>
        <w:t xml:space="preserve"> and Registrations</w:t>
      </w:r>
      <w:bookmarkEnd w:id="46"/>
    </w:p>
    <w:p w14:paraId="5F1ED77F" w14:textId="06B804FC" w:rsidR="00D3159B" w:rsidRDefault="00A70FDF" w:rsidP="00661EAE">
      <w:pPr>
        <w:pStyle w:val="ONUME"/>
        <w:tabs>
          <w:tab w:val="clear" w:pos="1134"/>
          <w:tab w:val="num" w:pos="630"/>
        </w:tabs>
        <w:rPr>
          <w:lang w:eastAsia="en-US"/>
        </w:rPr>
      </w:pPr>
      <w:r>
        <w:rPr>
          <w:lang w:eastAsia="en-US"/>
        </w:rPr>
        <w:t xml:space="preserve">In </w:t>
      </w:r>
      <w:r w:rsidR="00FC6F63">
        <w:rPr>
          <w:lang w:eastAsia="en-US"/>
        </w:rPr>
        <w:t>contrast to the</w:t>
      </w:r>
      <w:r w:rsidR="00697358">
        <w:rPr>
          <w:lang w:eastAsia="en-US"/>
        </w:rPr>
        <w:t xml:space="preserve"> observed</w:t>
      </w:r>
      <w:r w:rsidR="00FC6F63">
        <w:rPr>
          <w:lang w:eastAsia="en-US"/>
        </w:rPr>
        <w:t xml:space="preserve"> </w:t>
      </w:r>
      <w:r w:rsidR="0018393E">
        <w:rPr>
          <w:lang w:eastAsia="en-US"/>
        </w:rPr>
        <w:t>growth in national filings</w:t>
      </w:r>
      <w:r w:rsidR="00FC6F63">
        <w:rPr>
          <w:lang w:eastAsia="en-US"/>
        </w:rPr>
        <w:t xml:space="preserve"> reported in document A/66/8, in 2024 </w:t>
      </w:r>
      <w:r w:rsidRPr="0030349E">
        <w:rPr>
          <w:lang w:eastAsia="en-US"/>
        </w:rPr>
        <w:t>UANIPIO</w:t>
      </w:r>
      <w:r>
        <w:rPr>
          <w:lang w:eastAsia="en-US"/>
        </w:rPr>
        <w:t xml:space="preserve"> </w:t>
      </w:r>
      <w:r w:rsidR="00922F1B">
        <w:rPr>
          <w:lang w:eastAsia="en-US"/>
        </w:rPr>
        <w:t>experienced</w:t>
      </w:r>
      <w:r w:rsidR="00FC6F63">
        <w:rPr>
          <w:lang w:eastAsia="en-US"/>
        </w:rPr>
        <w:t xml:space="preserve"> a</w:t>
      </w:r>
      <w:r w:rsidR="0051383E">
        <w:rPr>
          <w:lang w:eastAsia="en-US"/>
        </w:rPr>
        <w:t xml:space="preserve"> patter</w:t>
      </w:r>
      <w:r w:rsidR="003C10BD">
        <w:rPr>
          <w:lang w:eastAsia="en-US"/>
        </w:rPr>
        <w:t>n</w:t>
      </w:r>
      <w:r w:rsidR="0051383E">
        <w:rPr>
          <w:lang w:eastAsia="en-US"/>
        </w:rPr>
        <w:t xml:space="preserve"> of</w:t>
      </w:r>
      <w:r w:rsidR="00FC6F63">
        <w:rPr>
          <w:lang w:eastAsia="en-US"/>
        </w:rPr>
        <w:t xml:space="preserve"> </w:t>
      </w:r>
      <w:r w:rsidR="00004282">
        <w:rPr>
          <w:lang w:eastAsia="en-US"/>
        </w:rPr>
        <w:t>decline</w:t>
      </w:r>
      <w:r w:rsidR="00FC6F63">
        <w:rPr>
          <w:lang w:eastAsia="en-US"/>
        </w:rPr>
        <w:t xml:space="preserve"> in</w:t>
      </w:r>
      <w:r>
        <w:rPr>
          <w:lang w:eastAsia="en-US"/>
        </w:rPr>
        <w:t xml:space="preserve"> patent, trademark and </w:t>
      </w:r>
      <w:r w:rsidR="00004282">
        <w:rPr>
          <w:lang w:eastAsia="en-US"/>
        </w:rPr>
        <w:t xml:space="preserve">industrial </w:t>
      </w:r>
      <w:r>
        <w:rPr>
          <w:lang w:eastAsia="en-US"/>
        </w:rPr>
        <w:t>design</w:t>
      </w:r>
      <w:r w:rsidR="00FC6F63">
        <w:rPr>
          <w:lang w:eastAsia="en-US"/>
        </w:rPr>
        <w:t xml:space="preserve"> filing</w:t>
      </w:r>
      <w:r w:rsidR="00CB524A">
        <w:rPr>
          <w:lang w:eastAsia="en-US"/>
        </w:rPr>
        <w:t>s</w:t>
      </w:r>
      <w:r>
        <w:rPr>
          <w:lang w:eastAsia="en-US"/>
        </w:rPr>
        <w:t>.</w:t>
      </w:r>
      <w:r w:rsidR="002F0646">
        <w:rPr>
          <w:lang w:eastAsia="en-US"/>
        </w:rPr>
        <w:t xml:space="preserve"> </w:t>
      </w:r>
      <w:r w:rsidR="001D759B" w:rsidRPr="0030349E">
        <w:rPr>
          <w:lang w:eastAsia="en-US"/>
        </w:rPr>
        <w:t>Along the three IP rights,</w:t>
      </w:r>
      <w:r w:rsidR="003C10BD">
        <w:rPr>
          <w:lang w:eastAsia="en-US"/>
        </w:rPr>
        <w:t xml:space="preserve"> the trend was</w:t>
      </w:r>
      <w:r w:rsidR="001D759B" w:rsidRPr="00CA2307">
        <w:rPr>
          <w:lang w:eastAsia="en-US"/>
        </w:rPr>
        <w:t xml:space="preserve"> affected </w:t>
      </w:r>
      <w:r w:rsidR="00227625">
        <w:rPr>
          <w:lang w:eastAsia="en-US"/>
        </w:rPr>
        <w:t xml:space="preserve">both by </w:t>
      </w:r>
      <w:r w:rsidR="00A22154">
        <w:rPr>
          <w:lang w:eastAsia="en-US"/>
        </w:rPr>
        <w:t>filings from applicants domiciled in Ukraine (</w:t>
      </w:r>
      <w:r w:rsidR="003C10BD">
        <w:rPr>
          <w:lang w:eastAsia="en-US"/>
        </w:rPr>
        <w:t>resident</w:t>
      </w:r>
      <w:r w:rsidR="00A22154">
        <w:rPr>
          <w:lang w:eastAsia="en-US"/>
        </w:rPr>
        <w:t>s) and applicants located abroad (</w:t>
      </w:r>
      <w:r w:rsidR="001D759B">
        <w:rPr>
          <w:lang w:eastAsia="en-US"/>
        </w:rPr>
        <w:t>non-resident</w:t>
      </w:r>
      <w:r w:rsidR="00A22154">
        <w:rPr>
          <w:lang w:eastAsia="en-US"/>
        </w:rPr>
        <w:t>s)</w:t>
      </w:r>
      <w:r w:rsidR="00A31DA6">
        <w:rPr>
          <w:lang w:eastAsia="en-US"/>
        </w:rPr>
        <w:t xml:space="preserve">, with a less pronounced </w:t>
      </w:r>
      <w:r w:rsidR="001D759B">
        <w:rPr>
          <w:lang w:eastAsia="en-US"/>
        </w:rPr>
        <w:t xml:space="preserve">decline in </w:t>
      </w:r>
      <w:r w:rsidR="00F15531">
        <w:rPr>
          <w:lang w:eastAsia="en-US"/>
        </w:rPr>
        <w:t xml:space="preserve">the </w:t>
      </w:r>
      <w:r w:rsidR="001D759B">
        <w:rPr>
          <w:lang w:eastAsia="en-US"/>
        </w:rPr>
        <w:t>resident filings.</w:t>
      </w:r>
      <w:r w:rsidR="005458B4">
        <w:rPr>
          <w:lang w:eastAsia="en-US"/>
        </w:rPr>
        <w:t xml:space="preserve"> </w:t>
      </w:r>
      <w:r w:rsidR="0051383E" w:rsidRPr="0051383E">
        <w:rPr>
          <w:lang w:eastAsia="en-US"/>
        </w:rPr>
        <w:t xml:space="preserve"> </w:t>
      </w:r>
      <w:r w:rsidR="0051383E">
        <w:rPr>
          <w:lang w:eastAsia="en-US"/>
        </w:rPr>
        <w:t>At the same time, u</w:t>
      </w:r>
      <w:r w:rsidR="0051383E" w:rsidRPr="007669AA">
        <w:rPr>
          <w:lang w:eastAsia="en-US"/>
        </w:rPr>
        <w:t>tility model applications demonstrate</w:t>
      </w:r>
      <w:r w:rsidR="0051383E">
        <w:rPr>
          <w:lang w:eastAsia="en-US"/>
        </w:rPr>
        <w:t>d</w:t>
      </w:r>
      <w:r w:rsidR="0051383E" w:rsidRPr="007669AA">
        <w:rPr>
          <w:lang w:eastAsia="en-US"/>
        </w:rPr>
        <w:t xml:space="preserve"> resilience</w:t>
      </w:r>
      <w:r w:rsidR="0051383E">
        <w:rPr>
          <w:lang w:eastAsia="en-US"/>
        </w:rPr>
        <w:t xml:space="preserve"> and</w:t>
      </w:r>
      <w:r w:rsidR="0051383E" w:rsidRPr="007669AA">
        <w:rPr>
          <w:lang w:eastAsia="en-US"/>
        </w:rPr>
        <w:t xml:space="preserve"> </w:t>
      </w:r>
      <w:r w:rsidR="0051383E" w:rsidRPr="00697358">
        <w:rPr>
          <w:lang w:eastAsia="en-US"/>
        </w:rPr>
        <w:t>sustain</w:t>
      </w:r>
      <w:r w:rsidR="0051383E">
        <w:rPr>
          <w:lang w:eastAsia="en-US"/>
        </w:rPr>
        <w:t xml:space="preserve">ed the </w:t>
      </w:r>
      <w:proofErr w:type="gramStart"/>
      <w:r w:rsidR="0051383E">
        <w:rPr>
          <w:lang w:eastAsia="en-US"/>
        </w:rPr>
        <w:t xml:space="preserve">positive </w:t>
      </w:r>
      <w:r w:rsidR="007159F7">
        <w:rPr>
          <w:lang w:eastAsia="en-US"/>
        </w:rPr>
        <w:t>growth</w:t>
      </w:r>
      <w:proofErr w:type="gramEnd"/>
      <w:r w:rsidR="0051383E">
        <w:rPr>
          <w:lang w:eastAsia="en-US"/>
        </w:rPr>
        <w:t xml:space="preserve">, </w:t>
      </w:r>
      <w:r w:rsidR="0051383E" w:rsidRPr="00C646B8">
        <w:rPr>
          <w:lang w:eastAsia="en-US"/>
        </w:rPr>
        <w:t xml:space="preserve">driven by </w:t>
      </w:r>
      <w:r w:rsidR="00071409">
        <w:rPr>
          <w:lang w:eastAsia="en-US"/>
        </w:rPr>
        <w:t xml:space="preserve">the increase of </w:t>
      </w:r>
      <w:r w:rsidR="0051383E" w:rsidRPr="00C646B8">
        <w:rPr>
          <w:lang w:eastAsia="en-US"/>
        </w:rPr>
        <w:t>resident filings</w:t>
      </w:r>
      <w:r w:rsidR="0051383E">
        <w:rPr>
          <w:lang w:eastAsia="en-US"/>
        </w:rPr>
        <w:t>.</w:t>
      </w:r>
      <w:r w:rsidR="005458B4">
        <w:rPr>
          <w:lang w:eastAsia="en-US"/>
        </w:rPr>
        <w:t xml:space="preserve"> </w:t>
      </w:r>
      <w:r w:rsidR="008C6224">
        <w:rPr>
          <w:lang w:eastAsia="en-US"/>
        </w:rPr>
        <w:t xml:space="preserve"> The following table demonstrates </w:t>
      </w:r>
      <w:r w:rsidR="00D93DAF">
        <w:rPr>
          <w:lang w:eastAsia="en-US"/>
        </w:rPr>
        <w:t xml:space="preserve">the trend in annual growth rates </w:t>
      </w:r>
      <w:r w:rsidR="00D3159B">
        <w:rPr>
          <w:lang w:eastAsia="en-US"/>
        </w:rPr>
        <w:t xml:space="preserve">in </w:t>
      </w:r>
      <w:r w:rsidR="008C6224">
        <w:rPr>
          <w:lang w:eastAsia="en-US"/>
        </w:rPr>
        <w:t xml:space="preserve">national </w:t>
      </w:r>
      <w:r w:rsidR="00D3159B">
        <w:rPr>
          <w:lang w:eastAsia="en-US"/>
        </w:rPr>
        <w:t>IP filings</w:t>
      </w:r>
      <w:r w:rsidR="00BC38D2">
        <w:rPr>
          <w:lang w:eastAsia="en-US"/>
        </w:rPr>
        <w:t xml:space="preserve"> a</w:t>
      </w:r>
      <w:r w:rsidR="00020439">
        <w:rPr>
          <w:lang w:eastAsia="en-US"/>
        </w:rPr>
        <w:t>cross the four IP rights,</w:t>
      </w:r>
      <w:r w:rsidR="00F91ED6">
        <w:rPr>
          <w:lang w:eastAsia="en-US"/>
        </w:rPr>
        <w:t xml:space="preserve"> in </w:t>
      </w:r>
      <w:r w:rsidR="00F91ED6" w:rsidRPr="00FD2034">
        <w:rPr>
          <w:lang w:eastAsia="en-US"/>
        </w:rPr>
        <w:t>p</w:t>
      </w:r>
      <w:r w:rsidR="00F91ED6">
        <w:rPr>
          <w:lang w:eastAsia="en-US"/>
        </w:rPr>
        <w:t>er</w:t>
      </w:r>
      <w:r w:rsidR="00F91ED6" w:rsidRPr="00FD2034">
        <w:rPr>
          <w:lang w:eastAsia="en-US"/>
        </w:rPr>
        <w:t>cent</w:t>
      </w:r>
      <w:r w:rsidR="00F91ED6">
        <w:rPr>
          <w:lang w:eastAsia="en-US"/>
        </w:rPr>
        <w:t xml:space="preserve">ages, wherein the positive values depict growth, and the negative values depict decline </w:t>
      </w:r>
      <w:r w:rsidR="00BC38D2">
        <w:rPr>
          <w:lang w:eastAsia="en-US"/>
        </w:rPr>
        <w:t xml:space="preserve">in </w:t>
      </w:r>
      <w:r w:rsidR="005363CA">
        <w:rPr>
          <w:lang w:eastAsia="en-US"/>
        </w:rPr>
        <w:t>filings</w:t>
      </w:r>
      <w:r w:rsidR="00F91ED6">
        <w:rPr>
          <w:lang w:eastAsia="en-US"/>
        </w:rPr>
        <w:t>:</w:t>
      </w:r>
    </w:p>
    <w:p w14:paraId="7A5A85A8" w14:textId="77777777" w:rsidR="00C85EF7" w:rsidRDefault="00C85EF7" w:rsidP="00C85EF7">
      <w:pPr>
        <w:pStyle w:val="ONUME"/>
        <w:numPr>
          <w:ilvl w:val="0"/>
          <w:numId w:val="0"/>
        </w:numPr>
        <w:tabs>
          <w:tab w:val="clear" w:pos="1134"/>
          <w:tab w:val="num" w:pos="630"/>
        </w:tabs>
        <w:rPr>
          <w:lang w:eastAsia="en-US"/>
        </w:rPr>
      </w:pPr>
    </w:p>
    <w:tbl>
      <w:tblPr>
        <w:tblW w:w="9367" w:type="dxa"/>
        <w:tblInd w:w="-5" w:type="dxa"/>
        <w:tblLook w:val="04A0" w:firstRow="1" w:lastRow="0" w:firstColumn="1" w:lastColumn="0" w:noHBand="0" w:noVBand="1"/>
      </w:tblPr>
      <w:tblGrid>
        <w:gridCol w:w="3960"/>
        <w:gridCol w:w="907"/>
        <w:gridCol w:w="874"/>
        <w:gridCol w:w="33"/>
        <w:gridCol w:w="893"/>
        <w:gridCol w:w="867"/>
        <w:gridCol w:w="33"/>
        <w:gridCol w:w="900"/>
        <w:gridCol w:w="900"/>
      </w:tblGrid>
      <w:tr w:rsidR="00F5598E" w:rsidRPr="002138A3" w14:paraId="191F4AF1" w14:textId="77777777" w:rsidTr="00124F03">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6222E04A" w14:textId="489B8587" w:rsidR="001D759B" w:rsidRPr="00124F03" w:rsidRDefault="001D759B">
            <w:pPr>
              <w:jc w:val="center"/>
              <w:rPr>
                <w:sz w:val="20"/>
                <w:lang w:eastAsia="ko-KR"/>
              </w:rPr>
            </w:pPr>
            <w:r w:rsidRPr="00124F03">
              <w:rPr>
                <w:rFonts w:eastAsia="Times New Roman"/>
                <w:b/>
                <w:bCs/>
                <w:color w:val="303030"/>
                <w:sz w:val="20"/>
                <w:lang w:eastAsia="ko-KR"/>
              </w:rPr>
              <w:lastRenderedPageBreak/>
              <w:t>FILINGS</w:t>
            </w:r>
            <w:r w:rsidR="00937910">
              <w:rPr>
                <w:rFonts w:eastAsia="Times New Roman"/>
                <w:b/>
                <w:bCs/>
                <w:color w:val="303030"/>
                <w:sz w:val="20"/>
                <w:lang w:eastAsia="ko-KR"/>
              </w:rPr>
              <w:t xml:space="preserve"> (GROWTH)</w:t>
            </w:r>
          </w:p>
        </w:tc>
        <w:tc>
          <w:tcPr>
            <w:tcW w:w="1781"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6F0363E7" w14:textId="77777777" w:rsidR="001D759B" w:rsidRPr="00124F03" w:rsidRDefault="001D759B">
            <w:pPr>
              <w:jc w:val="center"/>
              <w:rPr>
                <w:rFonts w:eastAsia="Times New Roman"/>
                <w:b/>
                <w:bCs/>
                <w:color w:val="303030"/>
                <w:sz w:val="20"/>
                <w:lang w:eastAsia="ko-KR"/>
              </w:rPr>
            </w:pPr>
            <w:r w:rsidRPr="00124F03">
              <w:rPr>
                <w:rFonts w:eastAsia="Times New Roman"/>
                <w:b/>
                <w:bCs/>
                <w:color w:val="303030"/>
                <w:sz w:val="20"/>
                <w:lang w:eastAsia="ko-KR"/>
              </w:rPr>
              <w:t>RESIDENT</w:t>
            </w:r>
          </w:p>
        </w:tc>
        <w:tc>
          <w:tcPr>
            <w:tcW w:w="179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701C79C5" w14:textId="77777777" w:rsidR="001D759B" w:rsidRPr="00124F03" w:rsidRDefault="001D759B">
            <w:pPr>
              <w:jc w:val="center"/>
              <w:rPr>
                <w:rFonts w:eastAsia="Times New Roman"/>
                <w:b/>
                <w:bCs/>
                <w:color w:val="303030"/>
                <w:sz w:val="20"/>
                <w:lang w:eastAsia="ko-KR"/>
              </w:rPr>
            </w:pPr>
            <w:r w:rsidRPr="00124F03">
              <w:rPr>
                <w:rFonts w:eastAsia="Times New Roman"/>
                <w:b/>
                <w:bCs/>
                <w:color w:val="303030"/>
                <w:sz w:val="20"/>
                <w:lang w:eastAsia="ko-KR"/>
              </w:rPr>
              <w:t>NON-RESIDENT</w:t>
            </w:r>
          </w:p>
        </w:tc>
        <w:tc>
          <w:tcPr>
            <w:tcW w:w="183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0F78674A" w14:textId="77777777" w:rsidR="001D759B" w:rsidRPr="00124F03" w:rsidRDefault="001D759B">
            <w:pPr>
              <w:jc w:val="center"/>
              <w:rPr>
                <w:rFonts w:eastAsia="Times New Roman"/>
                <w:b/>
                <w:bCs/>
                <w:color w:val="303030"/>
                <w:sz w:val="20"/>
                <w:lang w:eastAsia="ko-KR"/>
              </w:rPr>
            </w:pPr>
            <w:r w:rsidRPr="00124F03">
              <w:rPr>
                <w:rFonts w:eastAsia="Times New Roman"/>
                <w:b/>
                <w:bCs/>
                <w:color w:val="303030"/>
                <w:sz w:val="20"/>
                <w:lang w:eastAsia="ko-KR"/>
              </w:rPr>
              <w:t>TOTAL</w:t>
            </w:r>
          </w:p>
        </w:tc>
      </w:tr>
      <w:tr w:rsidR="00095450" w:rsidRPr="002138A3" w14:paraId="292F790F" w14:textId="77777777" w:rsidTr="00124F03">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608AB6D9" w14:textId="77777777" w:rsidR="001D759B" w:rsidRPr="00124F03" w:rsidRDefault="001D759B">
            <w:pPr>
              <w:jc w:val="center"/>
              <w:rPr>
                <w:rFonts w:eastAsia="Times New Roman"/>
                <w:b/>
                <w:bCs/>
                <w:color w:val="303030"/>
                <w:sz w:val="20"/>
                <w:lang w:eastAsia="ko-KR"/>
              </w:rPr>
            </w:pPr>
          </w:p>
        </w:tc>
        <w:tc>
          <w:tcPr>
            <w:tcW w:w="907" w:type="dxa"/>
            <w:tcBorders>
              <w:top w:val="nil"/>
              <w:left w:val="nil"/>
              <w:bottom w:val="single" w:sz="4" w:space="0" w:color="D9D9D9"/>
              <w:right w:val="single" w:sz="4" w:space="0" w:color="D9D9D9"/>
            </w:tcBorders>
            <w:shd w:val="clear" w:color="000000" w:fill="F0F0F0"/>
            <w:noWrap/>
            <w:vAlign w:val="center"/>
            <w:hideMark/>
          </w:tcPr>
          <w:p w14:paraId="44957E9F" w14:textId="77777777" w:rsidR="001D759B" w:rsidRPr="00124F03" w:rsidRDefault="001D759B">
            <w:pPr>
              <w:jc w:val="center"/>
              <w:rPr>
                <w:rFonts w:eastAsia="Times New Roman"/>
                <w:b/>
                <w:bCs/>
                <w:color w:val="303030"/>
                <w:sz w:val="20"/>
                <w:lang w:eastAsia="ko-KR"/>
              </w:rPr>
            </w:pPr>
            <w:r w:rsidRPr="00124F03">
              <w:rPr>
                <w:rFonts w:eastAsia="Times New Roman"/>
                <w:b/>
                <w:bCs/>
                <w:color w:val="303030"/>
                <w:sz w:val="20"/>
                <w:lang w:eastAsia="ko-KR"/>
              </w:rPr>
              <w:t>2023</w:t>
            </w:r>
          </w:p>
        </w:tc>
        <w:tc>
          <w:tcPr>
            <w:tcW w:w="907" w:type="dxa"/>
            <w:gridSpan w:val="2"/>
            <w:tcBorders>
              <w:top w:val="nil"/>
              <w:left w:val="nil"/>
              <w:bottom w:val="single" w:sz="4" w:space="0" w:color="D9D9D9"/>
              <w:right w:val="single" w:sz="4" w:space="0" w:color="D9D9D9"/>
            </w:tcBorders>
            <w:shd w:val="clear" w:color="000000" w:fill="F0F0F0"/>
            <w:noWrap/>
            <w:vAlign w:val="center"/>
            <w:hideMark/>
          </w:tcPr>
          <w:p w14:paraId="362760CB" w14:textId="77777777" w:rsidR="001D759B" w:rsidRPr="00124F03" w:rsidRDefault="001D759B">
            <w:pPr>
              <w:jc w:val="center"/>
              <w:rPr>
                <w:rFonts w:eastAsia="Times New Roman"/>
                <w:b/>
                <w:bCs/>
                <w:color w:val="303030"/>
                <w:sz w:val="20"/>
                <w:lang w:eastAsia="ko-KR"/>
              </w:rPr>
            </w:pPr>
            <w:r w:rsidRPr="00124F03">
              <w:rPr>
                <w:rFonts w:eastAsia="Times New Roman"/>
                <w:b/>
                <w:bCs/>
                <w:color w:val="303030"/>
                <w:sz w:val="20"/>
                <w:lang w:eastAsia="ko-KR"/>
              </w:rPr>
              <w:t>2024</w:t>
            </w:r>
          </w:p>
        </w:tc>
        <w:tc>
          <w:tcPr>
            <w:tcW w:w="893" w:type="dxa"/>
            <w:tcBorders>
              <w:top w:val="nil"/>
              <w:left w:val="nil"/>
              <w:bottom w:val="single" w:sz="4" w:space="0" w:color="D9D9D9"/>
              <w:right w:val="single" w:sz="4" w:space="0" w:color="D9D9D9"/>
            </w:tcBorders>
            <w:shd w:val="clear" w:color="000000" w:fill="F0F0F0"/>
            <w:noWrap/>
            <w:vAlign w:val="center"/>
            <w:hideMark/>
          </w:tcPr>
          <w:p w14:paraId="1FB92D15" w14:textId="77777777" w:rsidR="001D759B" w:rsidRPr="00124F03" w:rsidRDefault="001D759B">
            <w:pPr>
              <w:jc w:val="center"/>
              <w:rPr>
                <w:rFonts w:eastAsia="Times New Roman"/>
                <w:b/>
                <w:bCs/>
                <w:color w:val="303030"/>
                <w:sz w:val="20"/>
                <w:lang w:eastAsia="ko-KR"/>
              </w:rPr>
            </w:pPr>
            <w:r w:rsidRPr="00124F03">
              <w:rPr>
                <w:rFonts w:eastAsia="Times New Roman"/>
                <w:b/>
                <w:bCs/>
                <w:color w:val="303030"/>
                <w:sz w:val="20"/>
                <w:lang w:eastAsia="ko-KR"/>
              </w:rPr>
              <w:t>2023</w:t>
            </w:r>
          </w:p>
        </w:tc>
        <w:tc>
          <w:tcPr>
            <w:tcW w:w="900" w:type="dxa"/>
            <w:gridSpan w:val="2"/>
            <w:tcBorders>
              <w:top w:val="nil"/>
              <w:left w:val="nil"/>
              <w:bottom w:val="single" w:sz="4" w:space="0" w:color="D9D9D9"/>
              <w:right w:val="single" w:sz="4" w:space="0" w:color="D9D9D9"/>
            </w:tcBorders>
            <w:shd w:val="clear" w:color="000000" w:fill="F0F0F0"/>
            <w:noWrap/>
            <w:vAlign w:val="center"/>
            <w:hideMark/>
          </w:tcPr>
          <w:p w14:paraId="1E03303C" w14:textId="77777777" w:rsidR="001D759B" w:rsidRPr="00124F03" w:rsidRDefault="001D759B">
            <w:pPr>
              <w:jc w:val="center"/>
              <w:rPr>
                <w:rFonts w:eastAsia="Times New Roman"/>
                <w:b/>
                <w:bCs/>
                <w:color w:val="303030"/>
                <w:sz w:val="20"/>
                <w:lang w:eastAsia="ko-KR"/>
              </w:rPr>
            </w:pPr>
            <w:r w:rsidRPr="00124F03">
              <w:rPr>
                <w:rFonts w:eastAsia="Times New Roman"/>
                <w:b/>
                <w:bCs/>
                <w:color w:val="303030"/>
                <w:sz w:val="20"/>
                <w:lang w:eastAsia="ko-KR"/>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7B5E2AB6" w14:textId="77777777" w:rsidR="001D759B" w:rsidRPr="00124F03" w:rsidRDefault="001D759B">
            <w:pPr>
              <w:jc w:val="center"/>
              <w:rPr>
                <w:rFonts w:eastAsia="Times New Roman"/>
                <w:b/>
                <w:bCs/>
                <w:color w:val="303030"/>
                <w:sz w:val="20"/>
                <w:lang w:eastAsia="ko-KR"/>
              </w:rPr>
            </w:pPr>
            <w:r w:rsidRPr="00124F03">
              <w:rPr>
                <w:rFonts w:eastAsia="Times New Roman"/>
                <w:b/>
                <w:bCs/>
                <w:color w:val="303030"/>
                <w:sz w:val="20"/>
                <w:lang w:eastAsia="ko-KR"/>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66997BCE" w14:textId="77777777" w:rsidR="001D759B" w:rsidRPr="00124F03" w:rsidRDefault="001D759B">
            <w:pPr>
              <w:jc w:val="center"/>
              <w:rPr>
                <w:rFonts w:eastAsia="Times New Roman"/>
                <w:b/>
                <w:bCs/>
                <w:color w:val="303030"/>
                <w:sz w:val="20"/>
                <w:lang w:eastAsia="ko-KR"/>
              </w:rPr>
            </w:pPr>
            <w:r w:rsidRPr="00124F03">
              <w:rPr>
                <w:rFonts w:eastAsia="Times New Roman"/>
                <w:b/>
                <w:bCs/>
                <w:color w:val="303030"/>
                <w:sz w:val="20"/>
                <w:lang w:eastAsia="ko-KR"/>
              </w:rPr>
              <w:t>2024</w:t>
            </w:r>
          </w:p>
        </w:tc>
      </w:tr>
      <w:tr w:rsidR="00095450" w:rsidRPr="002138A3" w14:paraId="66AA3152" w14:textId="77777777" w:rsidTr="00124F03">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1D440B85"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Patent applications</w:t>
            </w:r>
          </w:p>
        </w:tc>
        <w:tc>
          <w:tcPr>
            <w:tcW w:w="907" w:type="dxa"/>
            <w:tcBorders>
              <w:top w:val="nil"/>
              <w:left w:val="nil"/>
              <w:bottom w:val="single" w:sz="4" w:space="0" w:color="D9D9D9"/>
              <w:right w:val="single" w:sz="4" w:space="0" w:color="D9D9D9"/>
            </w:tcBorders>
            <w:shd w:val="clear" w:color="000000" w:fill="FFFFFF"/>
            <w:noWrap/>
            <w:vAlign w:val="center"/>
            <w:hideMark/>
          </w:tcPr>
          <w:p w14:paraId="567AA357"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27.2%</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39D91906"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-4.1%</w:t>
            </w:r>
          </w:p>
        </w:tc>
        <w:tc>
          <w:tcPr>
            <w:tcW w:w="893" w:type="dxa"/>
            <w:tcBorders>
              <w:top w:val="nil"/>
              <w:left w:val="nil"/>
              <w:bottom w:val="single" w:sz="4" w:space="0" w:color="D9D9D9"/>
              <w:right w:val="single" w:sz="4" w:space="0" w:color="D9D9D9"/>
            </w:tcBorders>
            <w:shd w:val="clear" w:color="000000" w:fill="FFFFFF"/>
            <w:noWrap/>
            <w:vAlign w:val="center"/>
            <w:hideMark/>
          </w:tcPr>
          <w:p w14:paraId="58A1BB8B"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-3.3%</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4FA49E75"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-16.4%</w:t>
            </w:r>
          </w:p>
        </w:tc>
        <w:tc>
          <w:tcPr>
            <w:tcW w:w="900" w:type="dxa"/>
            <w:tcBorders>
              <w:top w:val="nil"/>
              <w:left w:val="nil"/>
              <w:bottom w:val="single" w:sz="4" w:space="0" w:color="D9D9D9"/>
              <w:right w:val="single" w:sz="4" w:space="0" w:color="D9D9D9"/>
            </w:tcBorders>
            <w:shd w:val="clear" w:color="000000" w:fill="FFFFFF"/>
            <w:noWrap/>
            <w:vAlign w:val="center"/>
            <w:hideMark/>
          </w:tcPr>
          <w:p w14:paraId="795FDBF9"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5.5%</w:t>
            </w:r>
          </w:p>
        </w:tc>
        <w:tc>
          <w:tcPr>
            <w:tcW w:w="900" w:type="dxa"/>
            <w:tcBorders>
              <w:top w:val="nil"/>
              <w:left w:val="nil"/>
              <w:bottom w:val="single" w:sz="4" w:space="0" w:color="D9D9D9"/>
              <w:right w:val="single" w:sz="4" w:space="0" w:color="D9D9D9"/>
            </w:tcBorders>
            <w:shd w:val="clear" w:color="000000" w:fill="FFFFFF"/>
            <w:noWrap/>
            <w:vAlign w:val="center"/>
            <w:hideMark/>
          </w:tcPr>
          <w:p w14:paraId="6D86C7C1"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-12.1%</w:t>
            </w:r>
          </w:p>
        </w:tc>
      </w:tr>
      <w:tr w:rsidR="00095450" w:rsidRPr="002138A3" w14:paraId="10384A87" w14:textId="77777777" w:rsidTr="00124F03">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A32FA85"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Utility model applications</w:t>
            </w:r>
          </w:p>
        </w:tc>
        <w:tc>
          <w:tcPr>
            <w:tcW w:w="907" w:type="dxa"/>
            <w:tcBorders>
              <w:top w:val="nil"/>
              <w:left w:val="nil"/>
              <w:bottom w:val="single" w:sz="4" w:space="0" w:color="D9D9D9"/>
              <w:right w:val="single" w:sz="4" w:space="0" w:color="D9D9D9"/>
            </w:tcBorders>
            <w:shd w:val="clear" w:color="000000" w:fill="FFFFFF"/>
            <w:noWrap/>
            <w:vAlign w:val="center"/>
            <w:hideMark/>
          </w:tcPr>
          <w:p w14:paraId="00C19118"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47.7%</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1CE7F1DB"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7.5%</w:t>
            </w:r>
          </w:p>
        </w:tc>
        <w:tc>
          <w:tcPr>
            <w:tcW w:w="893" w:type="dxa"/>
            <w:tcBorders>
              <w:top w:val="nil"/>
              <w:left w:val="nil"/>
              <w:bottom w:val="single" w:sz="4" w:space="0" w:color="D9D9D9"/>
              <w:right w:val="single" w:sz="4" w:space="0" w:color="D9D9D9"/>
            </w:tcBorders>
            <w:shd w:val="clear" w:color="000000" w:fill="FFFFFF"/>
            <w:noWrap/>
            <w:vAlign w:val="center"/>
            <w:hideMark/>
          </w:tcPr>
          <w:p w14:paraId="09361184"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32.8%</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7A4AA158"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-15.6%</w:t>
            </w:r>
          </w:p>
        </w:tc>
        <w:tc>
          <w:tcPr>
            <w:tcW w:w="900" w:type="dxa"/>
            <w:tcBorders>
              <w:top w:val="nil"/>
              <w:left w:val="nil"/>
              <w:bottom w:val="single" w:sz="4" w:space="0" w:color="D9D9D9"/>
              <w:right w:val="single" w:sz="4" w:space="0" w:color="D9D9D9"/>
            </w:tcBorders>
            <w:shd w:val="clear" w:color="000000" w:fill="FFFFFF"/>
            <w:noWrap/>
            <w:vAlign w:val="center"/>
            <w:hideMark/>
          </w:tcPr>
          <w:p w14:paraId="1C1CB1DB"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47.4%</w:t>
            </w:r>
          </w:p>
        </w:tc>
        <w:tc>
          <w:tcPr>
            <w:tcW w:w="900" w:type="dxa"/>
            <w:tcBorders>
              <w:top w:val="nil"/>
              <w:left w:val="nil"/>
              <w:bottom w:val="single" w:sz="4" w:space="0" w:color="D9D9D9"/>
              <w:right w:val="single" w:sz="4" w:space="0" w:color="D9D9D9"/>
            </w:tcBorders>
            <w:shd w:val="clear" w:color="000000" w:fill="FFFFFF"/>
            <w:noWrap/>
            <w:vAlign w:val="center"/>
            <w:hideMark/>
          </w:tcPr>
          <w:p w14:paraId="13DFEA9D"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7.0%</w:t>
            </w:r>
          </w:p>
        </w:tc>
      </w:tr>
      <w:tr w:rsidR="00095450" w:rsidRPr="002138A3" w14:paraId="05521350" w14:textId="77777777" w:rsidTr="00124F03">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5A8FC714" w14:textId="43504AF0"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 xml:space="preserve">Trademark filing </w:t>
            </w:r>
            <w:r w:rsidR="00124F03">
              <w:rPr>
                <w:rFonts w:eastAsia="Times New Roman"/>
                <w:color w:val="303030"/>
                <w:sz w:val="20"/>
                <w:lang w:eastAsia="ko-KR"/>
              </w:rPr>
              <w:br/>
            </w:r>
            <w:r w:rsidRPr="00124F03">
              <w:rPr>
                <w:rFonts w:eastAsia="Times New Roman"/>
                <w:color w:val="303030"/>
                <w:sz w:val="20"/>
                <w:lang w:eastAsia="ko-KR"/>
              </w:rPr>
              <w:t>(application class counts)</w:t>
            </w:r>
          </w:p>
        </w:tc>
        <w:tc>
          <w:tcPr>
            <w:tcW w:w="907" w:type="dxa"/>
            <w:tcBorders>
              <w:top w:val="nil"/>
              <w:left w:val="nil"/>
              <w:bottom w:val="single" w:sz="4" w:space="0" w:color="D9D9D9"/>
              <w:right w:val="single" w:sz="4" w:space="0" w:color="D9D9D9"/>
            </w:tcBorders>
            <w:shd w:val="clear" w:color="000000" w:fill="FFFFFF"/>
            <w:noWrap/>
            <w:vAlign w:val="center"/>
            <w:hideMark/>
          </w:tcPr>
          <w:p w14:paraId="58D52048"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64.3%</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03445815"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-1.2%</w:t>
            </w:r>
          </w:p>
        </w:tc>
        <w:tc>
          <w:tcPr>
            <w:tcW w:w="893" w:type="dxa"/>
            <w:tcBorders>
              <w:top w:val="nil"/>
              <w:left w:val="nil"/>
              <w:bottom w:val="single" w:sz="4" w:space="0" w:color="D9D9D9"/>
              <w:right w:val="single" w:sz="4" w:space="0" w:color="D9D9D9"/>
            </w:tcBorders>
            <w:shd w:val="clear" w:color="000000" w:fill="FFFFFF"/>
            <w:noWrap/>
            <w:vAlign w:val="center"/>
            <w:hideMark/>
          </w:tcPr>
          <w:p w14:paraId="6FF3BCA6"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-12.9%</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74990DC9"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-2.6%</w:t>
            </w:r>
          </w:p>
        </w:tc>
        <w:tc>
          <w:tcPr>
            <w:tcW w:w="900" w:type="dxa"/>
            <w:tcBorders>
              <w:top w:val="nil"/>
              <w:left w:val="nil"/>
              <w:bottom w:val="single" w:sz="4" w:space="0" w:color="D9D9D9"/>
              <w:right w:val="single" w:sz="4" w:space="0" w:color="D9D9D9"/>
            </w:tcBorders>
            <w:shd w:val="clear" w:color="000000" w:fill="FFFFFF"/>
            <w:noWrap/>
            <w:vAlign w:val="center"/>
            <w:hideMark/>
          </w:tcPr>
          <w:p w14:paraId="2EB2D4ED"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29.1%</w:t>
            </w:r>
          </w:p>
        </w:tc>
        <w:tc>
          <w:tcPr>
            <w:tcW w:w="900" w:type="dxa"/>
            <w:tcBorders>
              <w:top w:val="nil"/>
              <w:left w:val="nil"/>
              <w:bottom w:val="single" w:sz="4" w:space="0" w:color="D9D9D9"/>
              <w:right w:val="single" w:sz="4" w:space="0" w:color="D9D9D9"/>
            </w:tcBorders>
            <w:shd w:val="clear" w:color="000000" w:fill="FFFFFF"/>
            <w:noWrap/>
            <w:vAlign w:val="center"/>
            <w:hideMark/>
          </w:tcPr>
          <w:p w14:paraId="1D9F5A26"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-1.6%</w:t>
            </w:r>
          </w:p>
        </w:tc>
      </w:tr>
      <w:tr w:rsidR="00095450" w:rsidRPr="002138A3" w14:paraId="43FB9FB8" w14:textId="77777777" w:rsidTr="00124F03">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38BB9DAF" w14:textId="7A57ACF4"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 xml:space="preserve">Industrial design filing </w:t>
            </w:r>
            <w:r w:rsidR="00124F03">
              <w:rPr>
                <w:rFonts w:eastAsia="Times New Roman"/>
                <w:color w:val="303030"/>
                <w:sz w:val="20"/>
                <w:lang w:eastAsia="ko-KR"/>
              </w:rPr>
              <w:br/>
            </w:r>
            <w:r w:rsidRPr="00124F03">
              <w:rPr>
                <w:rFonts w:eastAsia="Times New Roman"/>
                <w:color w:val="303030"/>
                <w:sz w:val="20"/>
                <w:lang w:eastAsia="ko-KR"/>
              </w:rPr>
              <w:t>(application design counts)</w:t>
            </w:r>
          </w:p>
        </w:tc>
        <w:tc>
          <w:tcPr>
            <w:tcW w:w="907" w:type="dxa"/>
            <w:tcBorders>
              <w:top w:val="nil"/>
              <w:left w:val="nil"/>
              <w:bottom w:val="single" w:sz="4" w:space="0" w:color="D9D9D9"/>
              <w:right w:val="single" w:sz="4" w:space="0" w:color="D9D9D9"/>
            </w:tcBorders>
            <w:shd w:val="clear" w:color="000000" w:fill="FFFFFF"/>
            <w:noWrap/>
            <w:vAlign w:val="center"/>
            <w:hideMark/>
          </w:tcPr>
          <w:p w14:paraId="109D1034"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55.5%</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74835542"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-9.4%</w:t>
            </w:r>
          </w:p>
        </w:tc>
        <w:tc>
          <w:tcPr>
            <w:tcW w:w="893" w:type="dxa"/>
            <w:tcBorders>
              <w:top w:val="nil"/>
              <w:left w:val="nil"/>
              <w:bottom w:val="single" w:sz="4" w:space="0" w:color="D9D9D9"/>
              <w:right w:val="single" w:sz="4" w:space="0" w:color="D9D9D9"/>
            </w:tcBorders>
            <w:shd w:val="clear" w:color="000000" w:fill="FFFFFF"/>
            <w:noWrap/>
            <w:vAlign w:val="center"/>
            <w:hideMark/>
          </w:tcPr>
          <w:p w14:paraId="6D6AB1EB"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-2.0%</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313888C5"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-14.9%</w:t>
            </w:r>
          </w:p>
        </w:tc>
        <w:tc>
          <w:tcPr>
            <w:tcW w:w="900" w:type="dxa"/>
            <w:tcBorders>
              <w:top w:val="nil"/>
              <w:left w:val="nil"/>
              <w:bottom w:val="single" w:sz="4" w:space="0" w:color="D9D9D9"/>
              <w:right w:val="single" w:sz="4" w:space="0" w:color="D9D9D9"/>
            </w:tcBorders>
            <w:shd w:val="clear" w:color="000000" w:fill="FFFFFF"/>
            <w:noWrap/>
            <w:vAlign w:val="center"/>
            <w:hideMark/>
          </w:tcPr>
          <w:p w14:paraId="60E3C5E8"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25.0%</w:t>
            </w:r>
          </w:p>
        </w:tc>
        <w:tc>
          <w:tcPr>
            <w:tcW w:w="900" w:type="dxa"/>
            <w:tcBorders>
              <w:top w:val="nil"/>
              <w:left w:val="nil"/>
              <w:bottom w:val="single" w:sz="4" w:space="0" w:color="D9D9D9"/>
              <w:right w:val="single" w:sz="4" w:space="0" w:color="D9D9D9"/>
            </w:tcBorders>
            <w:shd w:val="clear" w:color="000000" w:fill="FFFFFF"/>
            <w:noWrap/>
            <w:vAlign w:val="center"/>
            <w:hideMark/>
          </w:tcPr>
          <w:p w14:paraId="1D2C350B" w14:textId="77777777" w:rsidR="001D759B" w:rsidRPr="00124F03" w:rsidRDefault="001D759B">
            <w:pPr>
              <w:jc w:val="center"/>
              <w:rPr>
                <w:rFonts w:eastAsia="Times New Roman"/>
                <w:color w:val="303030"/>
                <w:sz w:val="20"/>
                <w:lang w:eastAsia="ko-KR"/>
              </w:rPr>
            </w:pPr>
            <w:r w:rsidRPr="00124F03">
              <w:rPr>
                <w:rFonts w:eastAsia="Times New Roman"/>
                <w:color w:val="303030"/>
                <w:sz w:val="20"/>
                <w:lang w:eastAsia="ko-KR"/>
              </w:rPr>
              <w:t>-11.7%</w:t>
            </w:r>
          </w:p>
        </w:tc>
      </w:tr>
    </w:tbl>
    <w:p w14:paraId="272B1C94" w14:textId="0B8C3ECA" w:rsidR="001D759B" w:rsidRPr="00AC0977" w:rsidRDefault="001D759B" w:rsidP="001D759B">
      <w:pPr>
        <w:pStyle w:val="ONUME"/>
        <w:numPr>
          <w:ilvl w:val="0"/>
          <w:numId w:val="0"/>
        </w:numPr>
        <w:rPr>
          <w:sz w:val="20"/>
          <w:szCs w:val="18"/>
          <w:lang w:eastAsia="en-US"/>
        </w:rPr>
      </w:pPr>
      <w:r w:rsidRPr="00896C03">
        <w:rPr>
          <w:i/>
          <w:iCs/>
          <w:sz w:val="20"/>
          <w:szCs w:val="18"/>
          <w:lang w:eastAsia="en-US"/>
        </w:rPr>
        <w:t>Source: WIPO Statistics</w:t>
      </w:r>
    </w:p>
    <w:p w14:paraId="0A6B02A1" w14:textId="55C851E6" w:rsidR="002A5090" w:rsidRDefault="00376CD0" w:rsidP="00376CD0">
      <w:pPr>
        <w:pStyle w:val="ONUME"/>
        <w:tabs>
          <w:tab w:val="clear" w:pos="1134"/>
          <w:tab w:val="left" w:pos="630"/>
          <w:tab w:val="num" w:pos="720"/>
        </w:tabs>
        <w:rPr>
          <w:lang w:eastAsia="en-US"/>
        </w:rPr>
      </w:pPr>
      <w:r>
        <w:rPr>
          <w:lang w:eastAsia="en-US"/>
        </w:rPr>
        <w:t>U</w:t>
      </w:r>
      <w:r w:rsidR="002A5090" w:rsidRPr="00C646B8">
        <w:rPr>
          <w:lang w:eastAsia="en-US"/>
        </w:rPr>
        <w:t>tility model filings increased for a second consecutive year.</w:t>
      </w:r>
      <w:r w:rsidR="005458B4">
        <w:rPr>
          <w:lang w:eastAsia="en-US"/>
        </w:rPr>
        <w:t xml:space="preserve"> </w:t>
      </w:r>
      <w:r w:rsidR="002A5090" w:rsidRPr="00C646B8">
        <w:rPr>
          <w:lang w:eastAsia="en-US"/>
        </w:rPr>
        <w:t xml:space="preserve"> Following a sharp 47.4</w:t>
      </w:r>
      <w:r w:rsidR="002A5090">
        <w:rPr>
          <w:lang w:eastAsia="en-US"/>
        </w:rPr>
        <w:t xml:space="preserve"> per cent</w:t>
      </w:r>
      <w:r w:rsidR="002A5090" w:rsidRPr="00C646B8">
        <w:rPr>
          <w:lang w:eastAsia="en-US"/>
        </w:rPr>
        <w:t xml:space="preserve"> rise in 2023, filings grew by a further </w:t>
      </w:r>
      <w:r w:rsidR="0070653C">
        <w:rPr>
          <w:lang w:eastAsia="en-US"/>
        </w:rPr>
        <w:t>seven</w:t>
      </w:r>
      <w:r w:rsidR="002A5090">
        <w:rPr>
          <w:lang w:eastAsia="en-US"/>
        </w:rPr>
        <w:t xml:space="preserve"> per cent</w:t>
      </w:r>
      <w:r w:rsidR="002A5090" w:rsidRPr="00C646B8">
        <w:rPr>
          <w:lang w:eastAsia="en-US"/>
        </w:rPr>
        <w:t xml:space="preserve"> in 2024. </w:t>
      </w:r>
      <w:r w:rsidR="005458B4">
        <w:rPr>
          <w:lang w:eastAsia="en-US"/>
        </w:rPr>
        <w:t xml:space="preserve"> </w:t>
      </w:r>
      <w:r w:rsidR="002A5090" w:rsidRPr="00C646B8">
        <w:rPr>
          <w:lang w:eastAsia="en-US"/>
        </w:rPr>
        <w:t>Th</w:t>
      </w:r>
      <w:r>
        <w:rPr>
          <w:lang w:eastAsia="en-US"/>
        </w:rPr>
        <w:t>e</w:t>
      </w:r>
      <w:r w:rsidR="002A5090" w:rsidRPr="00C646B8">
        <w:rPr>
          <w:lang w:eastAsia="en-US"/>
        </w:rPr>
        <w:t xml:space="preserve"> latest increase was driven by resident filings, which </w:t>
      </w:r>
      <w:r w:rsidR="002A5090">
        <w:rPr>
          <w:lang w:eastAsia="en-US"/>
        </w:rPr>
        <w:t>increased</w:t>
      </w:r>
      <w:r w:rsidR="002A5090" w:rsidRPr="00C646B8">
        <w:rPr>
          <w:lang w:eastAsia="en-US"/>
        </w:rPr>
        <w:t xml:space="preserve"> by 7.5</w:t>
      </w:r>
      <w:r w:rsidR="002A5090">
        <w:rPr>
          <w:lang w:eastAsia="en-US"/>
        </w:rPr>
        <w:t xml:space="preserve"> per cent</w:t>
      </w:r>
      <w:r w:rsidR="002A5090" w:rsidRPr="00C646B8">
        <w:rPr>
          <w:lang w:eastAsia="en-US"/>
        </w:rPr>
        <w:t xml:space="preserve">, </w:t>
      </w:r>
      <w:r>
        <w:rPr>
          <w:lang w:eastAsia="en-US"/>
        </w:rPr>
        <w:t xml:space="preserve">while at the same time, </w:t>
      </w:r>
      <w:r w:rsidR="002A5090" w:rsidRPr="00C646B8">
        <w:rPr>
          <w:lang w:eastAsia="en-US"/>
        </w:rPr>
        <w:t xml:space="preserve">non-resident filings </w:t>
      </w:r>
      <w:r w:rsidR="002A5090">
        <w:rPr>
          <w:lang w:eastAsia="en-US"/>
        </w:rPr>
        <w:t>dropped</w:t>
      </w:r>
      <w:r w:rsidR="002A5090" w:rsidRPr="00C646B8">
        <w:rPr>
          <w:lang w:eastAsia="en-US"/>
        </w:rPr>
        <w:t xml:space="preserve"> by 15.6</w:t>
      </w:r>
      <w:r w:rsidR="002A5090">
        <w:rPr>
          <w:lang w:eastAsia="en-US"/>
        </w:rPr>
        <w:t xml:space="preserve"> per cent</w:t>
      </w:r>
      <w:r>
        <w:rPr>
          <w:lang w:eastAsia="en-US"/>
        </w:rPr>
        <w:t>.</w:t>
      </w:r>
    </w:p>
    <w:p w14:paraId="1CF2C099" w14:textId="4BE904A8" w:rsidR="003646C0" w:rsidRDefault="00376CD0" w:rsidP="003646C0">
      <w:pPr>
        <w:pStyle w:val="ONUME"/>
        <w:tabs>
          <w:tab w:val="clear" w:pos="1134"/>
          <w:tab w:val="left" w:pos="630"/>
          <w:tab w:val="num" w:pos="720"/>
        </w:tabs>
        <w:rPr>
          <w:lang w:eastAsia="en-US"/>
        </w:rPr>
      </w:pPr>
      <w:r>
        <w:rPr>
          <w:lang w:eastAsia="en-US"/>
        </w:rPr>
        <w:t>On the other hand, p</w:t>
      </w:r>
      <w:r w:rsidR="008E1F31">
        <w:rPr>
          <w:lang w:eastAsia="en-US"/>
        </w:rPr>
        <w:t xml:space="preserve">atent application filings dropped by 12.1 per </w:t>
      </w:r>
      <w:proofErr w:type="gramStart"/>
      <w:r w:rsidR="008E1F31">
        <w:rPr>
          <w:lang w:eastAsia="en-US"/>
        </w:rPr>
        <w:t>cent</w:t>
      </w:r>
      <w:proofErr w:type="gramEnd"/>
      <w:r w:rsidR="008E1F31">
        <w:rPr>
          <w:lang w:eastAsia="en-US"/>
        </w:rPr>
        <w:t xml:space="preserve"> </w:t>
      </w:r>
      <w:r w:rsidR="008E1F31" w:rsidRPr="0030349E">
        <w:rPr>
          <w:lang w:eastAsia="en-US"/>
        </w:rPr>
        <w:t xml:space="preserve">bringing the total to </w:t>
      </w:r>
      <w:r w:rsidR="008E1F31" w:rsidRPr="00A52BBC">
        <w:rPr>
          <w:lang w:eastAsia="en-US"/>
        </w:rPr>
        <w:t>2,</w:t>
      </w:r>
      <w:r w:rsidR="008E1F31">
        <w:rPr>
          <w:lang w:eastAsia="en-US"/>
        </w:rPr>
        <w:t>559</w:t>
      </w:r>
      <w:r w:rsidR="008E1F31" w:rsidRPr="0030349E">
        <w:rPr>
          <w:lang w:eastAsia="en-US"/>
        </w:rPr>
        <w:t xml:space="preserve"> </w:t>
      </w:r>
      <w:r w:rsidR="008E1F31">
        <w:rPr>
          <w:lang w:eastAsia="en-US"/>
        </w:rPr>
        <w:t xml:space="preserve">patent </w:t>
      </w:r>
      <w:r w:rsidR="008E1F31" w:rsidRPr="0030349E">
        <w:rPr>
          <w:lang w:eastAsia="en-US"/>
        </w:rPr>
        <w:t>applications</w:t>
      </w:r>
      <w:r w:rsidR="008E1F31">
        <w:rPr>
          <w:lang w:eastAsia="en-US"/>
        </w:rPr>
        <w:t xml:space="preserve"> after a growth of 5.5 per cent in 2023</w:t>
      </w:r>
      <w:r w:rsidR="00672135">
        <w:rPr>
          <w:lang w:eastAsia="en-US"/>
        </w:rPr>
        <w:t xml:space="preserve">. </w:t>
      </w:r>
      <w:r w:rsidR="005458B4">
        <w:rPr>
          <w:lang w:eastAsia="en-US"/>
        </w:rPr>
        <w:t xml:space="preserve"> </w:t>
      </w:r>
      <w:r w:rsidR="003646C0" w:rsidRPr="0030349E">
        <w:rPr>
          <w:lang w:eastAsia="en-US"/>
        </w:rPr>
        <w:t xml:space="preserve">The </w:t>
      </w:r>
      <w:r w:rsidR="003646C0">
        <w:rPr>
          <w:lang w:eastAsia="en-US"/>
        </w:rPr>
        <w:t>decrease</w:t>
      </w:r>
      <w:r w:rsidR="003646C0" w:rsidRPr="0030349E">
        <w:rPr>
          <w:lang w:eastAsia="en-US"/>
        </w:rPr>
        <w:t xml:space="preserve"> </w:t>
      </w:r>
      <w:r w:rsidR="00461D99">
        <w:rPr>
          <w:lang w:eastAsia="en-US"/>
        </w:rPr>
        <w:t>in</w:t>
      </w:r>
      <w:r w:rsidR="003646C0" w:rsidRPr="0030349E">
        <w:rPr>
          <w:lang w:eastAsia="en-US"/>
        </w:rPr>
        <w:t xml:space="preserve"> 202</w:t>
      </w:r>
      <w:r w:rsidR="003646C0">
        <w:rPr>
          <w:lang w:eastAsia="en-US"/>
        </w:rPr>
        <w:t>4 largely</w:t>
      </w:r>
      <w:r w:rsidR="003646C0" w:rsidRPr="0030349E">
        <w:rPr>
          <w:lang w:eastAsia="en-US"/>
        </w:rPr>
        <w:t xml:space="preserve"> </w:t>
      </w:r>
      <w:r w:rsidR="003646C0" w:rsidRPr="005741AA">
        <w:rPr>
          <w:lang w:eastAsia="en-US"/>
        </w:rPr>
        <w:t>reflected the</w:t>
      </w:r>
      <w:r w:rsidR="00006236">
        <w:rPr>
          <w:lang w:eastAsia="en-US"/>
        </w:rPr>
        <w:t xml:space="preserve"> </w:t>
      </w:r>
      <w:r w:rsidR="00461D99">
        <w:rPr>
          <w:lang w:eastAsia="en-US"/>
        </w:rPr>
        <w:t>decline of</w:t>
      </w:r>
      <w:r w:rsidR="00006236">
        <w:rPr>
          <w:lang w:eastAsia="en-US"/>
        </w:rPr>
        <w:t xml:space="preserve"> </w:t>
      </w:r>
      <w:r w:rsidR="000C5D17">
        <w:rPr>
          <w:lang w:eastAsia="en-US"/>
        </w:rPr>
        <w:t xml:space="preserve">the filing activity of </w:t>
      </w:r>
      <w:r w:rsidR="005741AA" w:rsidRPr="005741AA">
        <w:rPr>
          <w:lang w:eastAsia="en-US"/>
        </w:rPr>
        <w:t>non-resident</w:t>
      </w:r>
      <w:r w:rsidR="00A94013">
        <w:rPr>
          <w:lang w:eastAsia="en-US"/>
        </w:rPr>
        <w:t xml:space="preserve"> </w:t>
      </w:r>
      <w:r w:rsidR="000C5D17">
        <w:rPr>
          <w:lang w:eastAsia="en-US"/>
        </w:rPr>
        <w:t>applicants</w:t>
      </w:r>
      <w:r w:rsidR="00006236">
        <w:rPr>
          <w:lang w:eastAsia="en-US"/>
        </w:rPr>
        <w:t>,</w:t>
      </w:r>
      <w:r w:rsidR="003646C0" w:rsidRPr="005741AA">
        <w:rPr>
          <w:lang w:eastAsia="en-US"/>
        </w:rPr>
        <w:t xml:space="preserve"> </w:t>
      </w:r>
      <w:r w:rsidR="000C5D17">
        <w:rPr>
          <w:lang w:eastAsia="en-US"/>
        </w:rPr>
        <w:t>with</w:t>
      </w:r>
      <w:r w:rsidR="003646C0" w:rsidRPr="005741AA">
        <w:rPr>
          <w:lang w:eastAsia="en-US"/>
        </w:rPr>
        <w:t xml:space="preserve"> 16.4 per cent</w:t>
      </w:r>
      <w:r w:rsidR="000C5D17">
        <w:rPr>
          <w:lang w:eastAsia="en-US"/>
        </w:rPr>
        <w:t xml:space="preserve"> </w:t>
      </w:r>
      <w:r w:rsidR="00F1572B">
        <w:rPr>
          <w:lang w:eastAsia="en-US"/>
        </w:rPr>
        <w:t>fewer</w:t>
      </w:r>
      <w:r w:rsidR="000C5D17">
        <w:rPr>
          <w:lang w:eastAsia="en-US"/>
        </w:rPr>
        <w:t xml:space="preserve"> patent applications filed</w:t>
      </w:r>
      <w:r w:rsidR="00A94013">
        <w:rPr>
          <w:lang w:eastAsia="en-US"/>
        </w:rPr>
        <w:t xml:space="preserve"> in</w:t>
      </w:r>
      <w:r w:rsidR="003646C0" w:rsidRPr="005741AA">
        <w:rPr>
          <w:lang w:eastAsia="en-US"/>
        </w:rPr>
        <w:t xml:space="preserve"> comparison with</w:t>
      </w:r>
      <w:r w:rsidR="003646C0">
        <w:rPr>
          <w:lang w:eastAsia="en-US"/>
        </w:rPr>
        <w:t xml:space="preserve"> 2023</w:t>
      </w:r>
      <w:r w:rsidR="003646C0" w:rsidRPr="0030349E">
        <w:rPr>
          <w:lang w:eastAsia="en-US"/>
        </w:rPr>
        <w:t>.</w:t>
      </w:r>
      <w:r w:rsidR="003646C0">
        <w:rPr>
          <w:lang w:eastAsia="en-US"/>
        </w:rPr>
        <w:t xml:space="preserve"> </w:t>
      </w:r>
      <w:r w:rsidR="005458B4">
        <w:rPr>
          <w:lang w:eastAsia="en-US"/>
        </w:rPr>
        <w:t xml:space="preserve"> </w:t>
      </w:r>
      <w:r w:rsidR="000C7EC4">
        <w:rPr>
          <w:lang w:eastAsia="en-US"/>
        </w:rPr>
        <w:t>In parallel</w:t>
      </w:r>
      <w:r w:rsidR="003646C0">
        <w:rPr>
          <w:lang w:eastAsia="en-US"/>
        </w:rPr>
        <w:t xml:space="preserve">, </w:t>
      </w:r>
      <w:r w:rsidR="006E03CF">
        <w:rPr>
          <w:lang w:eastAsia="en-US"/>
        </w:rPr>
        <w:t>resident filings</w:t>
      </w:r>
      <w:r w:rsidR="003646C0">
        <w:rPr>
          <w:lang w:eastAsia="en-US"/>
        </w:rPr>
        <w:t xml:space="preserve"> </w:t>
      </w:r>
      <w:r w:rsidR="003646C0" w:rsidRPr="0030349E">
        <w:rPr>
          <w:lang w:eastAsia="en-US"/>
        </w:rPr>
        <w:t xml:space="preserve">decreased by </w:t>
      </w:r>
      <w:r w:rsidR="003646C0">
        <w:rPr>
          <w:lang w:eastAsia="en-US"/>
        </w:rPr>
        <w:t>4</w:t>
      </w:r>
      <w:r w:rsidR="003646C0" w:rsidRPr="0030349E">
        <w:rPr>
          <w:lang w:eastAsia="en-US"/>
        </w:rPr>
        <w:t>.</w:t>
      </w:r>
      <w:r w:rsidR="003646C0">
        <w:rPr>
          <w:lang w:eastAsia="en-US"/>
        </w:rPr>
        <w:t>1 per cent</w:t>
      </w:r>
      <w:r w:rsidR="003646C0" w:rsidRPr="0030349E">
        <w:rPr>
          <w:lang w:eastAsia="en-US"/>
        </w:rPr>
        <w:t xml:space="preserve"> in 202</w:t>
      </w:r>
      <w:r w:rsidR="003646C0">
        <w:rPr>
          <w:lang w:eastAsia="en-US"/>
        </w:rPr>
        <w:t>4 after an increase of 27.2 per cent in 2023.</w:t>
      </w:r>
      <w:r w:rsidR="00672135">
        <w:rPr>
          <w:lang w:eastAsia="en-US"/>
        </w:rPr>
        <w:t xml:space="preserve"> </w:t>
      </w:r>
      <w:r w:rsidR="005458B4">
        <w:rPr>
          <w:lang w:eastAsia="en-US"/>
        </w:rPr>
        <w:t xml:space="preserve"> </w:t>
      </w:r>
      <w:r w:rsidR="00672135">
        <w:rPr>
          <w:lang w:eastAsia="en-US"/>
        </w:rPr>
        <w:t xml:space="preserve">Overall, patent filings </w:t>
      </w:r>
      <w:r w:rsidR="00672135" w:rsidRPr="0030349E">
        <w:rPr>
          <w:lang w:eastAsia="en-US"/>
        </w:rPr>
        <w:t>remain</w:t>
      </w:r>
      <w:r w:rsidR="000C7EC4">
        <w:rPr>
          <w:lang w:eastAsia="en-US"/>
        </w:rPr>
        <w:t>ed</w:t>
      </w:r>
      <w:r w:rsidR="00672135" w:rsidRPr="0030349E">
        <w:rPr>
          <w:lang w:eastAsia="en-US"/>
        </w:rPr>
        <w:t xml:space="preserve"> below the 2021 level</w:t>
      </w:r>
      <w:r w:rsidR="00672135">
        <w:rPr>
          <w:lang w:eastAsia="en-US"/>
        </w:rPr>
        <w:t xml:space="preserve"> by </w:t>
      </w:r>
      <w:r w:rsidR="00672135" w:rsidRPr="0030349E">
        <w:rPr>
          <w:lang w:eastAsia="en-US"/>
        </w:rPr>
        <w:t xml:space="preserve">about </w:t>
      </w:r>
      <w:r w:rsidR="00672135">
        <w:rPr>
          <w:lang w:eastAsia="en-US"/>
        </w:rPr>
        <w:t>834</w:t>
      </w:r>
      <w:r w:rsidR="00672135" w:rsidRPr="0030349E">
        <w:rPr>
          <w:lang w:eastAsia="en-US"/>
        </w:rPr>
        <w:t xml:space="preserve"> applications.</w:t>
      </w:r>
    </w:p>
    <w:p w14:paraId="27D36C60" w14:textId="0E4723AC" w:rsidR="003646C0" w:rsidRDefault="003646C0" w:rsidP="003646C0">
      <w:pPr>
        <w:pStyle w:val="ONUME"/>
        <w:tabs>
          <w:tab w:val="clear" w:pos="1134"/>
        </w:tabs>
        <w:rPr>
          <w:lang w:eastAsia="en-US"/>
        </w:rPr>
      </w:pPr>
      <w:r w:rsidRPr="002D5709">
        <w:rPr>
          <w:lang w:eastAsia="en-US"/>
        </w:rPr>
        <w:t>As previously reported in document A/6</w:t>
      </w:r>
      <w:r w:rsidR="00462129">
        <w:rPr>
          <w:lang w:eastAsia="en-US"/>
        </w:rPr>
        <w:t>6</w:t>
      </w:r>
      <w:r w:rsidRPr="002D5709">
        <w:rPr>
          <w:lang w:eastAsia="en-US"/>
        </w:rPr>
        <w:t>/</w:t>
      </w:r>
      <w:r w:rsidR="00462129">
        <w:rPr>
          <w:lang w:eastAsia="en-US"/>
        </w:rPr>
        <w:t>8</w:t>
      </w:r>
      <w:r w:rsidRPr="002D5709">
        <w:rPr>
          <w:lang w:eastAsia="en-US"/>
        </w:rPr>
        <w:t>,</w:t>
      </w:r>
      <w:r>
        <w:rPr>
          <w:lang w:eastAsia="en-US"/>
        </w:rPr>
        <w:t xml:space="preserve"> </w:t>
      </w:r>
      <w:r w:rsidRPr="0030349E">
        <w:rPr>
          <w:lang w:eastAsia="en-US"/>
        </w:rPr>
        <w:t>UANIPIO experience</w:t>
      </w:r>
      <w:r>
        <w:rPr>
          <w:lang w:eastAsia="en-US"/>
        </w:rPr>
        <w:t>d</w:t>
      </w:r>
      <w:r w:rsidRPr="0030349E">
        <w:rPr>
          <w:lang w:eastAsia="en-US"/>
        </w:rPr>
        <w:t xml:space="preserve"> significant fluctuations in trademark filing</w:t>
      </w:r>
      <w:r>
        <w:rPr>
          <w:lang w:eastAsia="en-US"/>
        </w:rPr>
        <w:t>s</w:t>
      </w:r>
      <w:r w:rsidRPr="0030349E">
        <w:rPr>
          <w:lang w:eastAsia="en-US"/>
        </w:rPr>
        <w:t xml:space="preserve"> over the 2021–2023 period</w:t>
      </w:r>
      <w:r>
        <w:rPr>
          <w:lang w:eastAsia="en-US"/>
        </w:rPr>
        <w:t>.</w:t>
      </w:r>
      <w:r w:rsidR="005458B4">
        <w:rPr>
          <w:lang w:eastAsia="en-US"/>
        </w:rPr>
        <w:t xml:space="preserve"> </w:t>
      </w:r>
      <w:r>
        <w:rPr>
          <w:lang w:eastAsia="en-US"/>
        </w:rPr>
        <w:t xml:space="preserve"> In 2023, the</w:t>
      </w:r>
      <w:r w:rsidRPr="0030349E">
        <w:rPr>
          <w:lang w:eastAsia="en-US"/>
        </w:rPr>
        <w:t xml:space="preserve"> total trademark fillings increas</w:t>
      </w:r>
      <w:r>
        <w:rPr>
          <w:lang w:eastAsia="en-US"/>
        </w:rPr>
        <w:t>ed</w:t>
      </w:r>
      <w:r w:rsidRPr="0030349E">
        <w:rPr>
          <w:lang w:eastAsia="en-US"/>
        </w:rPr>
        <w:t xml:space="preserve"> by 29.</w:t>
      </w:r>
      <w:r>
        <w:rPr>
          <w:lang w:eastAsia="en-US"/>
        </w:rPr>
        <w:t xml:space="preserve">1 per cent, after a </w:t>
      </w:r>
      <w:r w:rsidRPr="0030349E">
        <w:rPr>
          <w:lang w:eastAsia="en-US"/>
        </w:rPr>
        <w:t>39.5</w:t>
      </w:r>
      <w:r>
        <w:rPr>
          <w:lang w:eastAsia="en-US"/>
        </w:rPr>
        <w:t xml:space="preserve"> per cent</w:t>
      </w:r>
      <w:r w:rsidRPr="0030349E">
        <w:rPr>
          <w:lang w:eastAsia="en-US"/>
        </w:rPr>
        <w:t xml:space="preserve"> </w:t>
      </w:r>
      <w:r>
        <w:rPr>
          <w:lang w:eastAsia="en-US"/>
        </w:rPr>
        <w:t>decline in 2022.</w:t>
      </w:r>
      <w:r w:rsidR="005458B4">
        <w:rPr>
          <w:lang w:eastAsia="en-US"/>
        </w:rPr>
        <w:t xml:space="preserve"> </w:t>
      </w:r>
      <w:r>
        <w:rPr>
          <w:lang w:eastAsia="en-US"/>
        </w:rPr>
        <w:t xml:space="preserve"> The filings in 2024 </w:t>
      </w:r>
      <w:r w:rsidR="00445B67">
        <w:rPr>
          <w:lang w:eastAsia="en-US"/>
        </w:rPr>
        <w:t>demonstrated</w:t>
      </w:r>
      <w:r>
        <w:rPr>
          <w:lang w:eastAsia="en-US"/>
        </w:rPr>
        <w:t xml:space="preserve"> a more stable pattern </w:t>
      </w:r>
      <w:r w:rsidR="00180172">
        <w:rPr>
          <w:lang w:eastAsia="en-US"/>
        </w:rPr>
        <w:t>compared to</w:t>
      </w:r>
      <w:r>
        <w:rPr>
          <w:lang w:eastAsia="en-US"/>
        </w:rPr>
        <w:t xml:space="preserve"> 2023</w:t>
      </w:r>
      <w:r w:rsidR="00180172">
        <w:rPr>
          <w:lang w:eastAsia="en-US"/>
        </w:rPr>
        <w:t>,</w:t>
      </w:r>
      <w:r>
        <w:rPr>
          <w:lang w:eastAsia="en-US"/>
        </w:rPr>
        <w:t xml:space="preserve"> with a comparatively small decline of 1.6 per cent </w:t>
      </w:r>
      <w:r w:rsidRPr="0030349E">
        <w:rPr>
          <w:lang w:eastAsia="en-US"/>
        </w:rPr>
        <w:t>reach</w:t>
      </w:r>
      <w:r>
        <w:rPr>
          <w:lang w:eastAsia="en-US"/>
        </w:rPr>
        <w:t>ing</w:t>
      </w:r>
      <w:r w:rsidRPr="0030349E">
        <w:rPr>
          <w:lang w:eastAsia="en-US"/>
        </w:rPr>
        <w:t xml:space="preserve"> an application class count of 5</w:t>
      </w:r>
      <w:r>
        <w:rPr>
          <w:lang w:eastAsia="en-US"/>
        </w:rPr>
        <w:t>4</w:t>
      </w:r>
      <w:r w:rsidRPr="0030349E">
        <w:rPr>
          <w:lang w:eastAsia="en-US"/>
        </w:rPr>
        <w:t>,</w:t>
      </w:r>
      <w:r>
        <w:rPr>
          <w:lang w:eastAsia="en-US"/>
        </w:rPr>
        <w:t xml:space="preserve">742. </w:t>
      </w:r>
      <w:r w:rsidR="00915C5C">
        <w:rPr>
          <w:lang w:eastAsia="en-US"/>
        </w:rPr>
        <w:t xml:space="preserve"> </w:t>
      </w:r>
      <w:r>
        <w:rPr>
          <w:lang w:eastAsia="en-US"/>
        </w:rPr>
        <w:t xml:space="preserve">The decrease </w:t>
      </w:r>
      <w:r w:rsidR="007E3300">
        <w:rPr>
          <w:lang w:eastAsia="en-US"/>
        </w:rPr>
        <w:t>was observed</w:t>
      </w:r>
      <w:r>
        <w:rPr>
          <w:lang w:eastAsia="en-US"/>
        </w:rPr>
        <w:t xml:space="preserve"> in both resident and non-resident filings</w:t>
      </w:r>
      <w:r w:rsidR="00893989">
        <w:rPr>
          <w:lang w:eastAsia="en-US"/>
        </w:rPr>
        <w:t xml:space="preserve">, which declined </w:t>
      </w:r>
      <w:r>
        <w:rPr>
          <w:lang w:eastAsia="en-US"/>
        </w:rPr>
        <w:t xml:space="preserve">by 1.2 per cent and 2.6 per cent respectively. </w:t>
      </w:r>
    </w:p>
    <w:p w14:paraId="6B7EFA8A" w14:textId="64BC0BF9" w:rsidR="00367E54" w:rsidRDefault="003646C0" w:rsidP="00367E54">
      <w:pPr>
        <w:pStyle w:val="ONUME"/>
        <w:tabs>
          <w:tab w:val="clear" w:pos="1134"/>
          <w:tab w:val="num" w:pos="630"/>
        </w:tabs>
        <w:rPr>
          <w:lang w:eastAsia="en-US"/>
        </w:rPr>
      </w:pPr>
      <w:r w:rsidRPr="0030349E">
        <w:rPr>
          <w:lang w:eastAsia="en-US"/>
        </w:rPr>
        <w:t>Industrial design filing</w:t>
      </w:r>
      <w:r>
        <w:rPr>
          <w:lang w:eastAsia="en-US"/>
        </w:rPr>
        <w:t>s</w:t>
      </w:r>
      <w:r w:rsidRPr="0030349E">
        <w:rPr>
          <w:lang w:eastAsia="en-US"/>
        </w:rPr>
        <w:t xml:space="preserve"> in Ukraine </w:t>
      </w:r>
      <w:r>
        <w:rPr>
          <w:lang w:eastAsia="en-US"/>
        </w:rPr>
        <w:t xml:space="preserve">also </w:t>
      </w:r>
      <w:r w:rsidR="00BD0857">
        <w:rPr>
          <w:lang w:eastAsia="en-US"/>
        </w:rPr>
        <w:t>receded</w:t>
      </w:r>
      <w:r>
        <w:rPr>
          <w:lang w:eastAsia="en-US"/>
        </w:rPr>
        <w:t xml:space="preserve"> in 2024 </w:t>
      </w:r>
      <w:r w:rsidR="00C90824">
        <w:rPr>
          <w:lang w:eastAsia="en-US"/>
        </w:rPr>
        <w:t>following</w:t>
      </w:r>
      <w:r w:rsidRPr="0030349E">
        <w:rPr>
          <w:lang w:eastAsia="en-US"/>
        </w:rPr>
        <w:t xml:space="preserve"> robust growth in </w:t>
      </w:r>
      <w:r w:rsidR="00D477A5">
        <w:rPr>
          <w:lang w:eastAsia="en-US"/>
        </w:rPr>
        <w:t>the prior year</w:t>
      </w:r>
      <w:r>
        <w:rPr>
          <w:lang w:eastAsia="en-US"/>
        </w:rPr>
        <w:t xml:space="preserve">. </w:t>
      </w:r>
      <w:r w:rsidR="00915C5C">
        <w:rPr>
          <w:lang w:eastAsia="en-US"/>
        </w:rPr>
        <w:t xml:space="preserve"> </w:t>
      </w:r>
      <w:r>
        <w:rPr>
          <w:lang w:eastAsia="en-US"/>
        </w:rPr>
        <w:t xml:space="preserve">The </w:t>
      </w:r>
      <w:r w:rsidRPr="002D5709">
        <w:rPr>
          <w:lang w:eastAsia="en-US"/>
        </w:rPr>
        <w:t>filings declined by 11.7 per cent</w:t>
      </w:r>
      <w:r w:rsidR="008223B7">
        <w:rPr>
          <w:lang w:eastAsia="en-US"/>
        </w:rPr>
        <w:t>,</w:t>
      </w:r>
      <w:r w:rsidRPr="002D5709">
        <w:rPr>
          <w:lang w:eastAsia="en-US"/>
        </w:rPr>
        <w:t xml:space="preserve"> with 4,222 designs in applications filed in 2024.  This </w:t>
      </w:r>
      <w:proofErr w:type="gramStart"/>
      <w:r w:rsidRPr="002D5709">
        <w:rPr>
          <w:lang w:eastAsia="en-US"/>
        </w:rPr>
        <w:t>decrease</w:t>
      </w:r>
      <w:proofErr w:type="gramEnd"/>
      <w:r w:rsidRPr="002D5709">
        <w:rPr>
          <w:lang w:eastAsia="en-US"/>
        </w:rPr>
        <w:t xml:space="preserve"> </w:t>
      </w:r>
      <w:r w:rsidR="0099441B">
        <w:rPr>
          <w:lang w:eastAsia="en-US"/>
        </w:rPr>
        <w:t>reflected contractions in</w:t>
      </w:r>
      <w:r w:rsidRPr="002D5709">
        <w:rPr>
          <w:lang w:eastAsia="en-US"/>
        </w:rPr>
        <w:t xml:space="preserve"> both</w:t>
      </w:r>
      <w:r w:rsidR="008223B7">
        <w:rPr>
          <w:lang w:eastAsia="en-US"/>
        </w:rPr>
        <w:t xml:space="preserve"> resident</w:t>
      </w:r>
      <w:r w:rsidRPr="0030349E">
        <w:rPr>
          <w:lang w:eastAsia="en-US"/>
        </w:rPr>
        <w:t xml:space="preserve"> </w:t>
      </w:r>
      <w:r>
        <w:rPr>
          <w:lang w:eastAsia="en-US"/>
        </w:rPr>
        <w:t>filings and non-resident filings</w:t>
      </w:r>
      <w:r w:rsidR="008223B7">
        <w:rPr>
          <w:lang w:eastAsia="en-US"/>
        </w:rPr>
        <w:t>,</w:t>
      </w:r>
      <w:r>
        <w:rPr>
          <w:lang w:eastAsia="en-US"/>
        </w:rPr>
        <w:t xml:space="preserve"> with </w:t>
      </w:r>
      <w:proofErr w:type="gramStart"/>
      <w:r>
        <w:rPr>
          <w:lang w:eastAsia="en-US"/>
        </w:rPr>
        <w:t>decline</w:t>
      </w:r>
      <w:proofErr w:type="gramEnd"/>
      <w:r>
        <w:rPr>
          <w:lang w:eastAsia="en-US"/>
        </w:rPr>
        <w:t xml:space="preserve"> by 9.4 per cent and 14.9 per cent respectively.</w:t>
      </w:r>
      <w:r w:rsidRPr="0030349E">
        <w:rPr>
          <w:lang w:eastAsia="en-US"/>
        </w:rPr>
        <w:t xml:space="preserve"> </w:t>
      </w:r>
    </w:p>
    <w:p w14:paraId="236FF7B7" w14:textId="7F83E6DA" w:rsidR="00202152" w:rsidRPr="00A32EE5" w:rsidRDefault="00EA1ABE" w:rsidP="00367E54">
      <w:pPr>
        <w:pStyle w:val="ONUME"/>
        <w:tabs>
          <w:tab w:val="clear" w:pos="1134"/>
          <w:tab w:val="num" w:pos="630"/>
        </w:tabs>
        <w:rPr>
          <w:lang w:eastAsia="en-US"/>
        </w:rPr>
      </w:pPr>
      <w:r w:rsidRPr="00A32EE5">
        <w:t>While filing activity showed an overall decline in 2024</w:t>
      </w:r>
      <w:r w:rsidR="0012459B" w:rsidRPr="00A32EE5">
        <w:t>, the registration figures point to a more positive trend</w:t>
      </w:r>
      <w:r w:rsidR="0012494A" w:rsidRPr="00A32EE5">
        <w:t xml:space="preserve">. </w:t>
      </w:r>
      <w:r w:rsidR="00915C5C">
        <w:t xml:space="preserve"> </w:t>
      </w:r>
      <w:r w:rsidR="0012494A" w:rsidRPr="00A32EE5">
        <w:t>In 2024, registrations increased for all IP rights, except for trademarks.</w:t>
      </w:r>
      <w:r w:rsidR="00827523" w:rsidRPr="00A32EE5">
        <w:t xml:space="preserve"> </w:t>
      </w:r>
      <w:r w:rsidR="00915C5C">
        <w:t xml:space="preserve"> </w:t>
      </w:r>
      <w:r w:rsidR="00827523" w:rsidRPr="00A32EE5">
        <w:t xml:space="preserve">The most prominent growth in registrations was </w:t>
      </w:r>
      <w:r w:rsidR="0069525D">
        <w:t>observed</w:t>
      </w:r>
      <w:r w:rsidR="00827523" w:rsidRPr="00A32EE5">
        <w:t xml:space="preserve"> for utility model grants, with an overall increase of 17 per cent</w:t>
      </w:r>
      <w:r w:rsidR="005C0AFA">
        <w:t xml:space="preserve">. </w:t>
      </w:r>
      <w:r w:rsidR="00915C5C">
        <w:t xml:space="preserve"> </w:t>
      </w:r>
      <w:r w:rsidR="005C0AFA">
        <w:t>The positive trend was</w:t>
      </w:r>
      <w:r w:rsidR="0069525D">
        <w:t xml:space="preserve"> </w:t>
      </w:r>
      <w:r w:rsidR="00827523" w:rsidRPr="00A32EE5">
        <w:t xml:space="preserve">driven by </w:t>
      </w:r>
      <w:r w:rsidR="008048C6">
        <w:t xml:space="preserve">the </w:t>
      </w:r>
      <w:r w:rsidR="004D0B34">
        <w:t>surge of</w:t>
      </w:r>
      <w:r w:rsidR="00E75927">
        <w:t xml:space="preserve"> </w:t>
      </w:r>
      <w:r w:rsidR="009D59F2" w:rsidRPr="00A32EE5">
        <w:t xml:space="preserve">registrations </w:t>
      </w:r>
      <w:r w:rsidR="00E75927">
        <w:t>related to</w:t>
      </w:r>
      <w:r w:rsidR="009D59F2" w:rsidRPr="00A32EE5">
        <w:t xml:space="preserve"> non-resident applications</w:t>
      </w:r>
      <w:r w:rsidR="005C0AFA">
        <w:t>, which increased 102.7 per cent compared to 2023.</w:t>
      </w:r>
      <w:r w:rsidR="00D201A9" w:rsidRPr="00367E54">
        <w:rPr>
          <w:rFonts w:ascii="Segoe UI" w:hAnsi="Segoe UI" w:cs="Segoe UI"/>
          <w:sz w:val="18"/>
          <w:szCs w:val="18"/>
        </w:rPr>
        <w:t xml:space="preserve"> </w:t>
      </w:r>
      <w:r w:rsidR="00915C5C">
        <w:rPr>
          <w:rFonts w:ascii="Segoe UI" w:hAnsi="Segoe UI" w:cs="Segoe UI"/>
          <w:sz w:val="18"/>
          <w:szCs w:val="18"/>
        </w:rPr>
        <w:t xml:space="preserve"> </w:t>
      </w:r>
      <w:r w:rsidR="00D201A9" w:rsidRPr="00D201A9">
        <w:t xml:space="preserve">The table below presents </w:t>
      </w:r>
      <w:r w:rsidR="00BF0F7D">
        <w:t xml:space="preserve">the </w:t>
      </w:r>
      <w:r w:rsidR="00EB0E23" w:rsidRPr="004555AF">
        <w:t xml:space="preserve">trend in annual growth rates </w:t>
      </w:r>
      <w:r w:rsidR="00EB0E23">
        <w:t xml:space="preserve">for IP </w:t>
      </w:r>
      <w:r w:rsidR="00EB0E23" w:rsidRPr="00D201A9">
        <w:t>registration</w:t>
      </w:r>
      <w:r w:rsidR="00EB0E23">
        <w:t>s</w:t>
      </w:r>
      <w:r w:rsidR="00EB0E23" w:rsidRPr="00D201A9">
        <w:t xml:space="preserve"> </w:t>
      </w:r>
      <w:r w:rsidR="00EB0E23">
        <w:t>at the</w:t>
      </w:r>
      <w:r w:rsidR="00D201A9" w:rsidRPr="00D201A9">
        <w:t xml:space="preserve"> UANIPIO</w:t>
      </w:r>
      <w:r w:rsidR="00401414">
        <w:t>,</w:t>
      </w:r>
      <w:r w:rsidR="00134A03">
        <w:rPr>
          <w:lang w:eastAsia="en-US"/>
        </w:rPr>
        <w:t xml:space="preserve"> </w:t>
      </w:r>
      <w:r w:rsidR="00020439">
        <w:rPr>
          <w:lang w:eastAsia="en-US"/>
        </w:rPr>
        <w:t xml:space="preserve">with respect to the four IP rights, </w:t>
      </w:r>
      <w:r w:rsidR="00134A03">
        <w:rPr>
          <w:lang w:eastAsia="en-US"/>
        </w:rPr>
        <w:t xml:space="preserve">in </w:t>
      </w:r>
      <w:r w:rsidR="00134A03" w:rsidRPr="00FD2034">
        <w:rPr>
          <w:lang w:eastAsia="en-US"/>
        </w:rPr>
        <w:t>p</w:t>
      </w:r>
      <w:r w:rsidR="00134A03">
        <w:rPr>
          <w:lang w:eastAsia="en-US"/>
        </w:rPr>
        <w:t>er</w:t>
      </w:r>
      <w:r w:rsidR="00134A03" w:rsidRPr="00FD2034">
        <w:rPr>
          <w:lang w:eastAsia="en-US"/>
        </w:rPr>
        <w:t>cent</w:t>
      </w:r>
      <w:r w:rsidR="00134A03">
        <w:rPr>
          <w:lang w:eastAsia="en-US"/>
        </w:rPr>
        <w:t>age</w:t>
      </w:r>
      <w:r w:rsidR="00F91ED6">
        <w:rPr>
          <w:lang w:eastAsia="en-US"/>
        </w:rPr>
        <w:t>s</w:t>
      </w:r>
      <w:r w:rsidR="000940BD">
        <w:rPr>
          <w:lang w:eastAsia="en-US"/>
        </w:rPr>
        <w:t xml:space="preserve">, wherein the positive </w:t>
      </w:r>
      <w:r w:rsidR="00F91ED6">
        <w:rPr>
          <w:lang w:eastAsia="en-US"/>
        </w:rPr>
        <w:t>values</w:t>
      </w:r>
      <w:r w:rsidR="000940BD">
        <w:rPr>
          <w:lang w:eastAsia="en-US"/>
        </w:rPr>
        <w:t xml:space="preserve"> </w:t>
      </w:r>
      <w:r w:rsidR="00F91ED6">
        <w:rPr>
          <w:lang w:eastAsia="en-US"/>
        </w:rPr>
        <w:t xml:space="preserve">depict </w:t>
      </w:r>
      <w:r w:rsidR="000940BD">
        <w:rPr>
          <w:lang w:eastAsia="en-US"/>
        </w:rPr>
        <w:t xml:space="preserve">growth, and the negative </w:t>
      </w:r>
      <w:r w:rsidR="00F91ED6">
        <w:rPr>
          <w:lang w:eastAsia="en-US"/>
        </w:rPr>
        <w:t>values</w:t>
      </w:r>
      <w:r w:rsidR="000940BD">
        <w:rPr>
          <w:lang w:eastAsia="en-US"/>
        </w:rPr>
        <w:t xml:space="preserve"> depic</w:t>
      </w:r>
      <w:r w:rsidR="00F91ED6">
        <w:rPr>
          <w:lang w:eastAsia="en-US"/>
        </w:rPr>
        <w:t>t</w:t>
      </w:r>
      <w:r w:rsidR="000940BD">
        <w:rPr>
          <w:lang w:eastAsia="en-US"/>
        </w:rPr>
        <w:t xml:space="preserve"> decline in registrations</w:t>
      </w:r>
      <w:r w:rsidR="00134A03">
        <w:rPr>
          <w:lang w:eastAsia="en-US"/>
        </w:rPr>
        <w:t>:</w:t>
      </w:r>
    </w:p>
    <w:tbl>
      <w:tblPr>
        <w:tblW w:w="9355" w:type="dxa"/>
        <w:tblInd w:w="-5" w:type="dxa"/>
        <w:tblLook w:val="04A0" w:firstRow="1" w:lastRow="0" w:firstColumn="1" w:lastColumn="0" w:noHBand="0" w:noVBand="1"/>
      </w:tblPr>
      <w:tblGrid>
        <w:gridCol w:w="3960"/>
        <w:gridCol w:w="900"/>
        <w:gridCol w:w="900"/>
        <w:gridCol w:w="900"/>
        <w:gridCol w:w="900"/>
        <w:gridCol w:w="889"/>
        <w:gridCol w:w="906"/>
      </w:tblGrid>
      <w:tr w:rsidR="00D17DB7" w:rsidRPr="006C7ED4" w14:paraId="2C52D7E8" w14:textId="77777777" w:rsidTr="005F0D2C">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5C77AD4E" w14:textId="349A3F46"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REGISTRATIONS</w:t>
            </w:r>
            <w:r w:rsidR="00462734">
              <w:rPr>
                <w:rFonts w:eastAsia="Times New Roman"/>
                <w:b/>
                <w:bCs/>
                <w:color w:val="303030"/>
                <w:sz w:val="20"/>
                <w:lang w:eastAsia="ko-KR"/>
              </w:rPr>
              <w:t xml:space="preserve"> (GROWTH)</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7640826B" w14:textId="77777777"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RESIDENT</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23D83118" w14:textId="77777777"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 xml:space="preserve">NON-RESIDENT </w:t>
            </w:r>
          </w:p>
        </w:tc>
        <w:tc>
          <w:tcPr>
            <w:tcW w:w="1795"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37E020B0" w14:textId="77777777"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TOTAL</w:t>
            </w:r>
          </w:p>
        </w:tc>
      </w:tr>
      <w:tr w:rsidR="00F5598E" w:rsidRPr="006C7ED4" w14:paraId="1D6F395E" w14:textId="77777777" w:rsidTr="005F0D2C">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01319C34" w14:textId="77777777" w:rsidR="0012494A" w:rsidRPr="00124F03" w:rsidRDefault="0012494A">
            <w:pPr>
              <w:rPr>
                <w:rFonts w:eastAsia="Times New Roman"/>
                <w:b/>
                <w:bCs/>
                <w:color w:val="303030"/>
                <w:sz w:val="20"/>
                <w:lang w:eastAsia="ko-KR"/>
              </w:rPr>
            </w:pPr>
          </w:p>
        </w:tc>
        <w:tc>
          <w:tcPr>
            <w:tcW w:w="900" w:type="dxa"/>
            <w:tcBorders>
              <w:top w:val="nil"/>
              <w:left w:val="nil"/>
              <w:bottom w:val="single" w:sz="4" w:space="0" w:color="D9D9D9"/>
              <w:right w:val="single" w:sz="4" w:space="0" w:color="D9D9D9"/>
            </w:tcBorders>
            <w:shd w:val="clear" w:color="000000" w:fill="F0F0F0"/>
            <w:noWrap/>
            <w:vAlign w:val="center"/>
            <w:hideMark/>
          </w:tcPr>
          <w:p w14:paraId="67421DDA" w14:textId="77777777"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6E801F6B" w14:textId="77777777"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44422E67" w14:textId="77777777"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39FAF9DD" w14:textId="77777777"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2024</w:t>
            </w:r>
          </w:p>
        </w:tc>
        <w:tc>
          <w:tcPr>
            <w:tcW w:w="889" w:type="dxa"/>
            <w:tcBorders>
              <w:top w:val="nil"/>
              <w:left w:val="nil"/>
              <w:bottom w:val="single" w:sz="4" w:space="0" w:color="D9D9D9"/>
              <w:right w:val="single" w:sz="4" w:space="0" w:color="D9D9D9"/>
            </w:tcBorders>
            <w:shd w:val="clear" w:color="000000" w:fill="F0F0F0"/>
            <w:noWrap/>
            <w:vAlign w:val="center"/>
            <w:hideMark/>
          </w:tcPr>
          <w:p w14:paraId="6C5061F5" w14:textId="77777777"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2023</w:t>
            </w:r>
          </w:p>
        </w:tc>
        <w:tc>
          <w:tcPr>
            <w:tcW w:w="906" w:type="dxa"/>
            <w:tcBorders>
              <w:top w:val="nil"/>
              <w:left w:val="nil"/>
              <w:bottom w:val="single" w:sz="4" w:space="0" w:color="D9D9D9"/>
              <w:right w:val="single" w:sz="4" w:space="0" w:color="D9D9D9"/>
            </w:tcBorders>
            <w:shd w:val="clear" w:color="000000" w:fill="F0F0F0"/>
            <w:noWrap/>
            <w:vAlign w:val="center"/>
            <w:hideMark/>
          </w:tcPr>
          <w:p w14:paraId="62CAE991" w14:textId="77777777" w:rsidR="0012494A" w:rsidRPr="00124F03" w:rsidRDefault="0012494A">
            <w:pPr>
              <w:jc w:val="center"/>
              <w:rPr>
                <w:rFonts w:eastAsia="Times New Roman"/>
                <w:b/>
                <w:bCs/>
                <w:color w:val="303030"/>
                <w:sz w:val="20"/>
                <w:lang w:eastAsia="ko-KR"/>
              </w:rPr>
            </w:pPr>
            <w:r w:rsidRPr="00124F03">
              <w:rPr>
                <w:rFonts w:eastAsia="Times New Roman"/>
                <w:b/>
                <w:bCs/>
                <w:color w:val="303030"/>
                <w:sz w:val="20"/>
                <w:lang w:eastAsia="ko-KR"/>
              </w:rPr>
              <w:t>2024</w:t>
            </w:r>
          </w:p>
        </w:tc>
      </w:tr>
      <w:tr w:rsidR="00F5598E" w:rsidRPr="006C7ED4" w14:paraId="13AF84D9" w14:textId="77777777" w:rsidTr="005F0D2C">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4EF88EE2"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Patent grants</w:t>
            </w:r>
          </w:p>
        </w:tc>
        <w:tc>
          <w:tcPr>
            <w:tcW w:w="900" w:type="dxa"/>
            <w:tcBorders>
              <w:top w:val="nil"/>
              <w:left w:val="nil"/>
              <w:bottom w:val="single" w:sz="4" w:space="0" w:color="D9D9D9"/>
              <w:right w:val="single" w:sz="4" w:space="0" w:color="D9D9D9"/>
            </w:tcBorders>
            <w:shd w:val="clear" w:color="000000" w:fill="FFFFFF"/>
            <w:noWrap/>
            <w:vAlign w:val="center"/>
            <w:hideMark/>
          </w:tcPr>
          <w:p w14:paraId="308E55BC"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-31.9%</w:t>
            </w:r>
          </w:p>
        </w:tc>
        <w:tc>
          <w:tcPr>
            <w:tcW w:w="900" w:type="dxa"/>
            <w:tcBorders>
              <w:top w:val="nil"/>
              <w:left w:val="nil"/>
              <w:bottom w:val="single" w:sz="4" w:space="0" w:color="D9D9D9"/>
              <w:right w:val="single" w:sz="4" w:space="0" w:color="D9D9D9"/>
            </w:tcBorders>
            <w:shd w:val="clear" w:color="000000" w:fill="FFFFFF"/>
            <w:noWrap/>
            <w:vAlign w:val="center"/>
            <w:hideMark/>
          </w:tcPr>
          <w:p w14:paraId="5F7BDAC5"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-10.0%</w:t>
            </w:r>
          </w:p>
        </w:tc>
        <w:tc>
          <w:tcPr>
            <w:tcW w:w="900" w:type="dxa"/>
            <w:tcBorders>
              <w:top w:val="nil"/>
              <w:left w:val="nil"/>
              <w:bottom w:val="single" w:sz="4" w:space="0" w:color="D9D9D9"/>
              <w:right w:val="single" w:sz="4" w:space="0" w:color="D9D9D9"/>
            </w:tcBorders>
            <w:shd w:val="clear" w:color="000000" w:fill="FFFFFF"/>
            <w:noWrap/>
            <w:vAlign w:val="center"/>
            <w:hideMark/>
          </w:tcPr>
          <w:p w14:paraId="2D84B0BA"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-22.1%</w:t>
            </w:r>
          </w:p>
        </w:tc>
        <w:tc>
          <w:tcPr>
            <w:tcW w:w="900" w:type="dxa"/>
            <w:tcBorders>
              <w:top w:val="nil"/>
              <w:left w:val="nil"/>
              <w:bottom w:val="single" w:sz="4" w:space="0" w:color="D9D9D9"/>
              <w:right w:val="single" w:sz="4" w:space="0" w:color="D9D9D9"/>
            </w:tcBorders>
            <w:shd w:val="clear" w:color="000000" w:fill="FFFFFF"/>
            <w:noWrap/>
            <w:vAlign w:val="center"/>
            <w:hideMark/>
          </w:tcPr>
          <w:p w14:paraId="567C9E65"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20.2%</w:t>
            </w:r>
          </w:p>
        </w:tc>
        <w:tc>
          <w:tcPr>
            <w:tcW w:w="889" w:type="dxa"/>
            <w:tcBorders>
              <w:top w:val="nil"/>
              <w:left w:val="nil"/>
              <w:bottom w:val="single" w:sz="4" w:space="0" w:color="D9D9D9"/>
              <w:right w:val="single" w:sz="4" w:space="0" w:color="D9D9D9"/>
            </w:tcBorders>
            <w:shd w:val="clear" w:color="000000" w:fill="FFFFFF"/>
            <w:noWrap/>
            <w:vAlign w:val="center"/>
            <w:hideMark/>
          </w:tcPr>
          <w:p w14:paraId="05D565D5"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-26.1%</w:t>
            </w:r>
          </w:p>
        </w:tc>
        <w:tc>
          <w:tcPr>
            <w:tcW w:w="906" w:type="dxa"/>
            <w:tcBorders>
              <w:top w:val="nil"/>
              <w:left w:val="nil"/>
              <w:bottom w:val="single" w:sz="4" w:space="0" w:color="D9D9D9"/>
              <w:right w:val="single" w:sz="4" w:space="0" w:color="D9D9D9"/>
            </w:tcBorders>
            <w:shd w:val="clear" w:color="000000" w:fill="FFFFFF"/>
            <w:noWrap/>
            <w:vAlign w:val="center"/>
            <w:hideMark/>
          </w:tcPr>
          <w:p w14:paraId="66B04763"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9.0%</w:t>
            </w:r>
          </w:p>
        </w:tc>
      </w:tr>
      <w:tr w:rsidR="00F5598E" w:rsidRPr="006C7ED4" w14:paraId="434318E3" w14:textId="77777777" w:rsidTr="005F0D2C">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4F88312D"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Utility model grants</w:t>
            </w:r>
          </w:p>
        </w:tc>
        <w:tc>
          <w:tcPr>
            <w:tcW w:w="900" w:type="dxa"/>
            <w:tcBorders>
              <w:top w:val="nil"/>
              <w:left w:val="nil"/>
              <w:bottom w:val="single" w:sz="4" w:space="0" w:color="D9D9D9"/>
              <w:right w:val="single" w:sz="4" w:space="0" w:color="D9D9D9"/>
            </w:tcBorders>
            <w:shd w:val="clear" w:color="000000" w:fill="FFFFFF"/>
            <w:noWrap/>
            <w:vAlign w:val="center"/>
            <w:hideMark/>
          </w:tcPr>
          <w:p w14:paraId="36D37BF7"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31.7%</w:t>
            </w:r>
          </w:p>
        </w:tc>
        <w:tc>
          <w:tcPr>
            <w:tcW w:w="900" w:type="dxa"/>
            <w:tcBorders>
              <w:top w:val="nil"/>
              <w:left w:val="nil"/>
              <w:bottom w:val="single" w:sz="4" w:space="0" w:color="D9D9D9"/>
              <w:right w:val="single" w:sz="4" w:space="0" w:color="D9D9D9"/>
            </w:tcBorders>
            <w:shd w:val="clear" w:color="000000" w:fill="FFFFFF"/>
            <w:noWrap/>
            <w:vAlign w:val="center"/>
            <w:hideMark/>
          </w:tcPr>
          <w:p w14:paraId="6A478CCB"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15.9%</w:t>
            </w:r>
          </w:p>
        </w:tc>
        <w:tc>
          <w:tcPr>
            <w:tcW w:w="900" w:type="dxa"/>
            <w:tcBorders>
              <w:top w:val="nil"/>
              <w:left w:val="nil"/>
              <w:bottom w:val="single" w:sz="4" w:space="0" w:color="D9D9D9"/>
              <w:right w:val="single" w:sz="4" w:space="0" w:color="D9D9D9"/>
            </w:tcBorders>
            <w:shd w:val="clear" w:color="000000" w:fill="FFFFFF"/>
            <w:noWrap/>
            <w:vAlign w:val="center"/>
            <w:hideMark/>
          </w:tcPr>
          <w:p w14:paraId="55F12E52"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-14.0%</w:t>
            </w:r>
          </w:p>
        </w:tc>
        <w:tc>
          <w:tcPr>
            <w:tcW w:w="900" w:type="dxa"/>
            <w:tcBorders>
              <w:top w:val="nil"/>
              <w:left w:val="nil"/>
              <w:bottom w:val="single" w:sz="4" w:space="0" w:color="D9D9D9"/>
              <w:right w:val="single" w:sz="4" w:space="0" w:color="D9D9D9"/>
            </w:tcBorders>
            <w:shd w:val="clear" w:color="000000" w:fill="FFFFFF"/>
            <w:noWrap/>
            <w:vAlign w:val="center"/>
            <w:hideMark/>
          </w:tcPr>
          <w:p w14:paraId="208AF32E"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102.7%</w:t>
            </w:r>
          </w:p>
        </w:tc>
        <w:tc>
          <w:tcPr>
            <w:tcW w:w="889" w:type="dxa"/>
            <w:tcBorders>
              <w:top w:val="nil"/>
              <w:left w:val="nil"/>
              <w:bottom w:val="single" w:sz="4" w:space="0" w:color="D9D9D9"/>
              <w:right w:val="single" w:sz="4" w:space="0" w:color="D9D9D9"/>
            </w:tcBorders>
            <w:shd w:val="clear" w:color="000000" w:fill="FFFFFF"/>
            <w:noWrap/>
            <w:vAlign w:val="center"/>
            <w:hideMark/>
          </w:tcPr>
          <w:p w14:paraId="0D9FFB10"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30.8%</w:t>
            </w:r>
          </w:p>
        </w:tc>
        <w:tc>
          <w:tcPr>
            <w:tcW w:w="906" w:type="dxa"/>
            <w:tcBorders>
              <w:top w:val="nil"/>
              <w:left w:val="nil"/>
              <w:bottom w:val="single" w:sz="4" w:space="0" w:color="D9D9D9"/>
              <w:right w:val="single" w:sz="4" w:space="0" w:color="D9D9D9"/>
            </w:tcBorders>
            <w:shd w:val="clear" w:color="000000" w:fill="FFFFFF"/>
            <w:noWrap/>
            <w:vAlign w:val="center"/>
            <w:hideMark/>
          </w:tcPr>
          <w:p w14:paraId="4D6F5600"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17.0%</w:t>
            </w:r>
          </w:p>
        </w:tc>
      </w:tr>
      <w:tr w:rsidR="00F5598E" w:rsidRPr="006C7ED4" w14:paraId="6961FCBF" w14:textId="77777777" w:rsidTr="005F0D2C">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001EA2F9" w14:textId="0898AE12"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 xml:space="preserve">Trademark registrations </w:t>
            </w:r>
            <w:r w:rsidR="00124F03">
              <w:rPr>
                <w:rFonts w:eastAsia="Times New Roman"/>
                <w:color w:val="303030"/>
                <w:sz w:val="20"/>
                <w:lang w:eastAsia="ko-KR"/>
              </w:rPr>
              <w:br/>
            </w:r>
            <w:r w:rsidRPr="00124F03">
              <w:rPr>
                <w:rFonts w:eastAsia="Times New Roman"/>
                <w:color w:val="303030"/>
                <w:sz w:val="20"/>
                <w:lang w:eastAsia="ko-KR"/>
              </w:rPr>
              <w:t>(application class counts)</w:t>
            </w:r>
          </w:p>
        </w:tc>
        <w:tc>
          <w:tcPr>
            <w:tcW w:w="900" w:type="dxa"/>
            <w:tcBorders>
              <w:top w:val="nil"/>
              <w:left w:val="nil"/>
              <w:bottom w:val="single" w:sz="4" w:space="0" w:color="D9D9D9"/>
              <w:right w:val="single" w:sz="4" w:space="0" w:color="D9D9D9"/>
            </w:tcBorders>
            <w:shd w:val="clear" w:color="000000" w:fill="FFFFFF"/>
            <w:noWrap/>
            <w:vAlign w:val="center"/>
            <w:hideMark/>
          </w:tcPr>
          <w:p w14:paraId="325ECA27"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-9.1%</w:t>
            </w:r>
          </w:p>
        </w:tc>
        <w:tc>
          <w:tcPr>
            <w:tcW w:w="900" w:type="dxa"/>
            <w:tcBorders>
              <w:top w:val="nil"/>
              <w:left w:val="nil"/>
              <w:bottom w:val="single" w:sz="4" w:space="0" w:color="D9D9D9"/>
              <w:right w:val="single" w:sz="4" w:space="0" w:color="D9D9D9"/>
            </w:tcBorders>
            <w:shd w:val="clear" w:color="000000" w:fill="FFFFFF"/>
            <w:noWrap/>
            <w:vAlign w:val="center"/>
            <w:hideMark/>
          </w:tcPr>
          <w:p w14:paraId="797E0DA3"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4.9%</w:t>
            </w:r>
          </w:p>
        </w:tc>
        <w:tc>
          <w:tcPr>
            <w:tcW w:w="900" w:type="dxa"/>
            <w:tcBorders>
              <w:top w:val="nil"/>
              <w:left w:val="nil"/>
              <w:bottom w:val="single" w:sz="4" w:space="0" w:color="D9D9D9"/>
              <w:right w:val="single" w:sz="4" w:space="0" w:color="D9D9D9"/>
            </w:tcBorders>
            <w:shd w:val="clear" w:color="000000" w:fill="FFFFFF"/>
            <w:noWrap/>
            <w:vAlign w:val="center"/>
            <w:hideMark/>
          </w:tcPr>
          <w:p w14:paraId="73DE1BC6"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-23.9%</w:t>
            </w:r>
          </w:p>
        </w:tc>
        <w:tc>
          <w:tcPr>
            <w:tcW w:w="900" w:type="dxa"/>
            <w:tcBorders>
              <w:top w:val="nil"/>
              <w:left w:val="nil"/>
              <w:bottom w:val="single" w:sz="4" w:space="0" w:color="D9D9D9"/>
              <w:right w:val="single" w:sz="4" w:space="0" w:color="D9D9D9"/>
            </w:tcBorders>
            <w:shd w:val="clear" w:color="000000" w:fill="FFFFFF"/>
            <w:noWrap/>
            <w:vAlign w:val="center"/>
            <w:hideMark/>
          </w:tcPr>
          <w:p w14:paraId="2ADC7AFC"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-9.0%</w:t>
            </w:r>
          </w:p>
        </w:tc>
        <w:tc>
          <w:tcPr>
            <w:tcW w:w="889" w:type="dxa"/>
            <w:tcBorders>
              <w:top w:val="nil"/>
              <w:left w:val="nil"/>
              <w:bottom w:val="single" w:sz="4" w:space="0" w:color="D9D9D9"/>
              <w:right w:val="single" w:sz="4" w:space="0" w:color="D9D9D9"/>
            </w:tcBorders>
            <w:shd w:val="clear" w:color="000000" w:fill="FFFFFF"/>
            <w:noWrap/>
            <w:vAlign w:val="center"/>
            <w:hideMark/>
          </w:tcPr>
          <w:p w14:paraId="6766D95B"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-16.9%</w:t>
            </w:r>
          </w:p>
        </w:tc>
        <w:tc>
          <w:tcPr>
            <w:tcW w:w="906" w:type="dxa"/>
            <w:tcBorders>
              <w:top w:val="nil"/>
              <w:left w:val="nil"/>
              <w:bottom w:val="single" w:sz="4" w:space="0" w:color="D9D9D9"/>
              <w:right w:val="single" w:sz="4" w:space="0" w:color="D9D9D9"/>
            </w:tcBorders>
            <w:shd w:val="clear" w:color="000000" w:fill="FFFFFF"/>
            <w:noWrap/>
            <w:vAlign w:val="center"/>
            <w:hideMark/>
          </w:tcPr>
          <w:p w14:paraId="6FAD60A8"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-1.8%</w:t>
            </w:r>
          </w:p>
        </w:tc>
      </w:tr>
      <w:tr w:rsidR="00F5598E" w:rsidRPr="006C7ED4" w14:paraId="39C26E5F" w14:textId="77777777" w:rsidTr="005F0D2C">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6F2A24FE" w14:textId="0C392DA4"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 xml:space="preserve">Industrial design registrations </w:t>
            </w:r>
            <w:r w:rsidR="00124F03">
              <w:rPr>
                <w:rFonts w:eastAsia="Times New Roman"/>
                <w:color w:val="303030"/>
                <w:sz w:val="20"/>
                <w:lang w:eastAsia="ko-KR"/>
              </w:rPr>
              <w:br/>
            </w:r>
            <w:r w:rsidRPr="00124F03">
              <w:rPr>
                <w:rFonts w:eastAsia="Times New Roman"/>
                <w:color w:val="303030"/>
                <w:sz w:val="20"/>
                <w:lang w:eastAsia="ko-KR"/>
              </w:rPr>
              <w:t>(application design counts)</w:t>
            </w:r>
          </w:p>
        </w:tc>
        <w:tc>
          <w:tcPr>
            <w:tcW w:w="900" w:type="dxa"/>
            <w:tcBorders>
              <w:top w:val="nil"/>
              <w:left w:val="nil"/>
              <w:bottom w:val="single" w:sz="4" w:space="0" w:color="D9D9D9"/>
              <w:right w:val="single" w:sz="4" w:space="0" w:color="D9D9D9"/>
            </w:tcBorders>
            <w:shd w:val="clear" w:color="000000" w:fill="FFFFFF"/>
            <w:noWrap/>
            <w:vAlign w:val="center"/>
            <w:hideMark/>
          </w:tcPr>
          <w:p w14:paraId="3EDA1CE9"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33.7%</w:t>
            </w:r>
          </w:p>
        </w:tc>
        <w:tc>
          <w:tcPr>
            <w:tcW w:w="900" w:type="dxa"/>
            <w:tcBorders>
              <w:top w:val="nil"/>
              <w:left w:val="nil"/>
              <w:bottom w:val="single" w:sz="4" w:space="0" w:color="D9D9D9"/>
              <w:right w:val="single" w:sz="4" w:space="0" w:color="D9D9D9"/>
            </w:tcBorders>
            <w:shd w:val="clear" w:color="000000" w:fill="FFFFFF"/>
            <w:noWrap/>
            <w:vAlign w:val="center"/>
            <w:hideMark/>
          </w:tcPr>
          <w:p w14:paraId="5093DB34"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15.3%</w:t>
            </w:r>
          </w:p>
        </w:tc>
        <w:tc>
          <w:tcPr>
            <w:tcW w:w="900" w:type="dxa"/>
            <w:tcBorders>
              <w:top w:val="nil"/>
              <w:left w:val="nil"/>
              <w:bottom w:val="single" w:sz="4" w:space="0" w:color="D9D9D9"/>
              <w:right w:val="single" w:sz="4" w:space="0" w:color="D9D9D9"/>
            </w:tcBorders>
            <w:shd w:val="clear" w:color="000000" w:fill="FFFFFF"/>
            <w:noWrap/>
            <w:vAlign w:val="center"/>
            <w:hideMark/>
          </w:tcPr>
          <w:p w14:paraId="534D3B72"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-3.4%</w:t>
            </w:r>
          </w:p>
        </w:tc>
        <w:tc>
          <w:tcPr>
            <w:tcW w:w="900" w:type="dxa"/>
            <w:tcBorders>
              <w:top w:val="nil"/>
              <w:left w:val="nil"/>
              <w:bottom w:val="single" w:sz="4" w:space="0" w:color="D9D9D9"/>
              <w:right w:val="single" w:sz="4" w:space="0" w:color="D9D9D9"/>
            </w:tcBorders>
            <w:shd w:val="clear" w:color="000000" w:fill="FFFFFF"/>
            <w:noWrap/>
            <w:vAlign w:val="center"/>
            <w:hideMark/>
          </w:tcPr>
          <w:p w14:paraId="54EE7149"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-12.3%</w:t>
            </w:r>
          </w:p>
        </w:tc>
        <w:tc>
          <w:tcPr>
            <w:tcW w:w="889" w:type="dxa"/>
            <w:tcBorders>
              <w:top w:val="nil"/>
              <w:left w:val="nil"/>
              <w:bottom w:val="single" w:sz="4" w:space="0" w:color="D9D9D9"/>
              <w:right w:val="single" w:sz="4" w:space="0" w:color="D9D9D9"/>
            </w:tcBorders>
            <w:shd w:val="clear" w:color="000000" w:fill="FFFFFF"/>
            <w:noWrap/>
            <w:vAlign w:val="center"/>
            <w:hideMark/>
          </w:tcPr>
          <w:p w14:paraId="5A7CD46F"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12.3%</w:t>
            </w:r>
          </w:p>
        </w:tc>
        <w:tc>
          <w:tcPr>
            <w:tcW w:w="906" w:type="dxa"/>
            <w:tcBorders>
              <w:top w:val="nil"/>
              <w:left w:val="nil"/>
              <w:bottom w:val="single" w:sz="4" w:space="0" w:color="D9D9D9"/>
              <w:right w:val="single" w:sz="4" w:space="0" w:color="D9D9D9"/>
            </w:tcBorders>
            <w:shd w:val="clear" w:color="000000" w:fill="FFFFFF"/>
            <w:noWrap/>
            <w:vAlign w:val="center"/>
            <w:hideMark/>
          </w:tcPr>
          <w:p w14:paraId="01EE9B24" w14:textId="77777777" w:rsidR="0012494A" w:rsidRPr="00124F03" w:rsidRDefault="0012494A">
            <w:pPr>
              <w:jc w:val="center"/>
              <w:rPr>
                <w:rFonts w:eastAsia="Times New Roman"/>
                <w:color w:val="303030"/>
                <w:sz w:val="20"/>
                <w:lang w:eastAsia="ko-KR"/>
              </w:rPr>
            </w:pPr>
            <w:r w:rsidRPr="00124F03">
              <w:rPr>
                <w:rFonts w:eastAsia="Times New Roman"/>
                <w:color w:val="303030"/>
                <w:sz w:val="20"/>
                <w:lang w:eastAsia="ko-KR"/>
              </w:rPr>
              <w:t>1.6%</w:t>
            </w:r>
          </w:p>
        </w:tc>
      </w:tr>
    </w:tbl>
    <w:p w14:paraId="03A4FE33" w14:textId="77E4AAB0" w:rsidR="0012494A" w:rsidRDefault="0012494A" w:rsidP="0012494A">
      <w:pPr>
        <w:pStyle w:val="ONUME"/>
        <w:numPr>
          <w:ilvl w:val="0"/>
          <w:numId w:val="0"/>
        </w:numPr>
        <w:rPr>
          <w:i/>
          <w:iCs/>
          <w:sz w:val="20"/>
          <w:szCs w:val="18"/>
          <w:lang w:eastAsia="en-US"/>
        </w:rPr>
      </w:pPr>
      <w:r>
        <w:rPr>
          <w:i/>
          <w:iCs/>
          <w:sz w:val="20"/>
          <w:szCs w:val="18"/>
          <w:lang w:eastAsia="en-US"/>
        </w:rPr>
        <w:t xml:space="preserve"> </w:t>
      </w:r>
      <w:r w:rsidRPr="00896C03">
        <w:rPr>
          <w:i/>
          <w:iCs/>
          <w:sz w:val="20"/>
          <w:szCs w:val="18"/>
          <w:lang w:eastAsia="en-US"/>
        </w:rPr>
        <w:t>Source: WIPO Statistics</w:t>
      </w:r>
    </w:p>
    <w:p w14:paraId="6EB985AB" w14:textId="3BF95387" w:rsidR="009B2010" w:rsidRDefault="009B2010" w:rsidP="009B2010">
      <w:pPr>
        <w:pStyle w:val="ONUME"/>
        <w:numPr>
          <w:ilvl w:val="0"/>
          <w:numId w:val="13"/>
        </w:numPr>
        <w:tabs>
          <w:tab w:val="clear" w:pos="567"/>
          <w:tab w:val="clear" w:pos="1134"/>
          <w:tab w:val="num" w:pos="630"/>
        </w:tabs>
      </w:pPr>
      <w:r w:rsidRPr="00F04EF1">
        <w:lastRenderedPageBreak/>
        <w:t>In addition, GIs in force in Ukraine reached 3,133 in 2024, following the trend of modest increase since 2018.</w:t>
      </w:r>
      <w:r w:rsidR="00915C5C">
        <w:t xml:space="preserve"> </w:t>
      </w:r>
      <w:r w:rsidRPr="00F04EF1">
        <w:t xml:space="preserve"> While in general, </w:t>
      </w:r>
      <w:proofErr w:type="gramStart"/>
      <w:r w:rsidRPr="00F04EF1">
        <w:t>the vast majority of</w:t>
      </w:r>
      <w:proofErr w:type="gramEnd"/>
      <w:r w:rsidRPr="00F04EF1">
        <w:t xml:space="preserve"> GIs in force in Ukraine are protected through international agreements, since 2019, the observed growth in GI registrations is fully due to increase of the use of sui generis systems. </w:t>
      </w:r>
    </w:p>
    <w:p w14:paraId="5E49E09D" w14:textId="77777777" w:rsidR="009B2010" w:rsidRPr="00115F42" w:rsidRDefault="009B2010" w:rsidP="009B2010">
      <w:pPr>
        <w:pStyle w:val="ONUME"/>
        <w:numPr>
          <w:ilvl w:val="0"/>
          <w:numId w:val="0"/>
        </w:numPr>
        <w:tabs>
          <w:tab w:val="clear" w:pos="1134"/>
        </w:tabs>
        <w:ind w:left="900"/>
        <w:rPr>
          <w:i/>
          <w:iCs/>
          <w:sz w:val="20"/>
          <w:szCs w:val="18"/>
          <w:lang w:eastAsia="en-US"/>
        </w:rPr>
      </w:pPr>
      <w:r>
        <w:rPr>
          <w:noProof/>
          <w14:ligatures w14:val="standardContextual"/>
        </w:rPr>
        <w:drawing>
          <wp:inline distT="0" distB="0" distL="0" distR="0" wp14:anchorId="3AA44CF5" wp14:editId="1EEBCBBC">
            <wp:extent cx="4587240" cy="1855470"/>
            <wp:effectExtent l="0" t="0" r="3810" b="11430"/>
            <wp:docPr id="1484357144" name="Chart 1" descr="Geographical Indications in force in Ukra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br/>
      </w:r>
      <w:r w:rsidRPr="00896C03">
        <w:rPr>
          <w:i/>
          <w:iCs/>
          <w:sz w:val="20"/>
          <w:szCs w:val="18"/>
          <w:lang w:eastAsia="en-US"/>
        </w:rPr>
        <w:t>Source: WIPO Statistics</w:t>
      </w:r>
      <w:r>
        <w:rPr>
          <w:i/>
          <w:iCs/>
          <w:sz w:val="20"/>
          <w:szCs w:val="18"/>
          <w:lang w:eastAsia="en-US"/>
        </w:rPr>
        <w:t xml:space="preserve"> (May 2026)</w:t>
      </w:r>
    </w:p>
    <w:p w14:paraId="533ACBAA" w14:textId="6E4ADCC4" w:rsidR="009B2010" w:rsidRPr="00F04EF1" w:rsidRDefault="009B2010" w:rsidP="009B2010">
      <w:pPr>
        <w:pStyle w:val="ONUME"/>
        <w:numPr>
          <w:ilvl w:val="0"/>
          <w:numId w:val="13"/>
        </w:numPr>
        <w:rPr>
          <w:lang w:eastAsia="en-US"/>
        </w:rPr>
      </w:pPr>
      <w:r w:rsidRPr="00F04EF1">
        <w:rPr>
          <w:lang w:eastAsia="en-US"/>
        </w:rPr>
        <w:t xml:space="preserve">By origin, </w:t>
      </w:r>
      <w:proofErr w:type="gramStart"/>
      <w:r w:rsidRPr="00F04EF1">
        <w:rPr>
          <w:lang w:eastAsia="en-US"/>
        </w:rPr>
        <w:t>the majority of</w:t>
      </w:r>
      <w:proofErr w:type="gramEnd"/>
      <w:r w:rsidRPr="00F04EF1">
        <w:rPr>
          <w:lang w:eastAsia="en-US"/>
        </w:rPr>
        <w:t xml:space="preserve"> the GIs in force in Ukraine in 2024 are foreign GIs.</w:t>
      </w:r>
      <w:r w:rsidR="00915C5C">
        <w:rPr>
          <w:lang w:eastAsia="en-US"/>
        </w:rPr>
        <w:t xml:space="preserve"> </w:t>
      </w:r>
      <w:r w:rsidRPr="00F04EF1">
        <w:rPr>
          <w:lang w:eastAsia="en-US"/>
        </w:rPr>
        <w:t xml:space="preserve"> National GIs have shown steady growth since 2020, increasing from 20 to 29 over the four-year period. </w:t>
      </w:r>
      <w:r w:rsidR="00915C5C">
        <w:rPr>
          <w:lang w:eastAsia="en-US"/>
        </w:rPr>
        <w:t xml:space="preserve"> </w:t>
      </w:r>
      <w:r w:rsidRPr="00F04EF1">
        <w:rPr>
          <w:lang w:eastAsia="en-US"/>
        </w:rPr>
        <w:t>At the same time, foreign GIs have remained largely stable, fluctuating only slightly between 3,101 and 3,104 during this timeframe.</w:t>
      </w:r>
    </w:p>
    <w:tbl>
      <w:tblPr>
        <w:tblW w:w="6597" w:type="dxa"/>
        <w:jc w:val="center"/>
        <w:tblLook w:val="04A0" w:firstRow="1" w:lastRow="0" w:firstColumn="1" w:lastColumn="0" w:noHBand="0" w:noVBand="1"/>
      </w:tblPr>
      <w:tblGrid>
        <w:gridCol w:w="1060"/>
        <w:gridCol w:w="1060"/>
        <w:gridCol w:w="1020"/>
        <w:gridCol w:w="1020"/>
        <w:gridCol w:w="1417"/>
        <w:gridCol w:w="1020"/>
      </w:tblGrid>
      <w:tr w:rsidR="009B2010" w:rsidRPr="00701DE6" w14:paraId="7D5F0AB4" w14:textId="77777777">
        <w:trPr>
          <w:trHeight w:val="525"/>
          <w:jc w:val="center"/>
        </w:trPr>
        <w:tc>
          <w:tcPr>
            <w:tcW w:w="106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1A4106D" w14:textId="77777777" w:rsidR="009B2010" w:rsidRPr="009C69A7" w:rsidRDefault="009B2010">
            <w:pPr>
              <w:jc w:val="center"/>
              <w:rPr>
                <w:rFonts w:eastAsia="Times New Roman"/>
                <w:b/>
                <w:bCs/>
                <w:color w:val="303030"/>
                <w:sz w:val="20"/>
                <w:lang w:eastAsia="ko-KR"/>
              </w:rPr>
            </w:pPr>
          </w:p>
        </w:tc>
        <w:tc>
          <w:tcPr>
            <w:tcW w:w="3100"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5E16ED01" w14:textId="77777777" w:rsidR="009B2010" w:rsidRPr="009C69A7" w:rsidRDefault="009B2010">
            <w:pPr>
              <w:jc w:val="center"/>
              <w:rPr>
                <w:rFonts w:eastAsia="Times New Roman"/>
                <w:b/>
                <w:bCs/>
                <w:color w:val="303030"/>
                <w:sz w:val="20"/>
                <w:lang w:eastAsia="ko-KR"/>
              </w:rPr>
            </w:pPr>
            <w:r w:rsidRPr="009C69A7">
              <w:rPr>
                <w:rFonts w:eastAsia="Times New Roman"/>
                <w:b/>
                <w:bCs/>
                <w:color w:val="303030"/>
                <w:sz w:val="20"/>
                <w:lang w:eastAsia="ko-KR"/>
              </w:rPr>
              <w:t>GIs in force by origin</w:t>
            </w:r>
          </w:p>
        </w:tc>
        <w:tc>
          <w:tcPr>
            <w:tcW w:w="2437"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08F1D2D" w14:textId="77777777" w:rsidR="009B2010" w:rsidRPr="009C69A7" w:rsidRDefault="009B2010">
            <w:pPr>
              <w:jc w:val="center"/>
              <w:rPr>
                <w:rFonts w:eastAsia="Times New Roman"/>
                <w:b/>
                <w:bCs/>
                <w:color w:val="303030"/>
                <w:sz w:val="20"/>
                <w:lang w:eastAsia="ko-KR"/>
              </w:rPr>
            </w:pPr>
            <w:r w:rsidRPr="009C69A7">
              <w:rPr>
                <w:rFonts w:eastAsia="Times New Roman"/>
                <w:b/>
                <w:bCs/>
                <w:color w:val="303030"/>
                <w:sz w:val="20"/>
                <w:lang w:eastAsia="ko-KR"/>
              </w:rPr>
              <w:t>GIs in force by legal means</w:t>
            </w:r>
          </w:p>
        </w:tc>
      </w:tr>
      <w:tr w:rsidR="009B2010" w:rsidRPr="00701DE6" w14:paraId="670237A1" w14:textId="77777777">
        <w:trPr>
          <w:trHeight w:val="765"/>
          <w:jc w:val="center"/>
        </w:trPr>
        <w:tc>
          <w:tcPr>
            <w:tcW w:w="1060"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422AA6E8" w14:textId="77777777" w:rsidR="009B2010" w:rsidRPr="009C69A7" w:rsidRDefault="009B2010">
            <w:pPr>
              <w:jc w:val="center"/>
              <w:rPr>
                <w:rFonts w:eastAsia="Times New Roman"/>
                <w:b/>
                <w:bCs/>
                <w:color w:val="303030"/>
                <w:sz w:val="20"/>
                <w:lang w:eastAsia="ko-KR"/>
              </w:rPr>
            </w:pPr>
          </w:p>
        </w:tc>
        <w:tc>
          <w:tcPr>
            <w:tcW w:w="1060" w:type="dxa"/>
            <w:tcBorders>
              <w:top w:val="nil"/>
              <w:left w:val="nil"/>
              <w:bottom w:val="single" w:sz="4" w:space="0" w:color="auto"/>
              <w:right w:val="single" w:sz="4" w:space="0" w:color="auto"/>
            </w:tcBorders>
            <w:shd w:val="clear" w:color="auto" w:fill="F2F2F2" w:themeFill="background1" w:themeFillShade="F2"/>
            <w:vAlign w:val="center"/>
            <w:hideMark/>
          </w:tcPr>
          <w:p w14:paraId="7951F482" w14:textId="77777777" w:rsidR="009B2010" w:rsidRPr="009C69A7" w:rsidRDefault="009B2010">
            <w:pPr>
              <w:jc w:val="center"/>
              <w:rPr>
                <w:rFonts w:eastAsia="Times New Roman"/>
                <w:b/>
                <w:bCs/>
                <w:color w:val="303030"/>
                <w:sz w:val="20"/>
                <w:lang w:eastAsia="ko-KR"/>
              </w:rPr>
            </w:pPr>
            <w:r w:rsidRPr="009C69A7">
              <w:rPr>
                <w:rFonts w:eastAsia="Times New Roman"/>
                <w:b/>
                <w:bCs/>
                <w:color w:val="303030"/>
                <w:sz w:val="20"/>
                <w:lang w:eastAsia="ko-KR"/>
              </w:rPr>
              <w:t xml:space="preserve">Total GI </w:t>
            </w:r>
            <w:r>
              <w:rPr>
                <w:rFonts w:eastAsia="Times New Roman"/>
                <w:b/>
                <w:bCs/>
                <w:color w:val="303030"/>
                <w:sz w:val="20"/>
                <w:lang w:eastAsia="ko-KR"/>
              </w:rPr>
              <w:t>in force</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581E2473" w14:textId="77777777" w:rsidR="009B2010" w:rsidRPr="009C69A7" w:rsidRDefault="009B2010">
            <w:pPr>
              <w:jc w:val="center"/>
              <w:rPr>
                <w:rFonts w:eastAsia="Times New Roman"/>
                <w:b/>
                <w:bCs/>
                <w:color w:val="303030"/>
                <w:sz w:val="20"/>
                <w:lang w:eastAsia="ko-KR"/>
              </w:rPr>
            </w:pPr>
            <w:r w:rsidRPr="009C69A7">
              <w:rPr>
                <w:rFonts w:eastAsia="Times New Roman"/>
                <w:b/>
                <w:bCs/>
                <w:color w:val="303030"/>
                <w:sz w:val="20"/>
                <w:lang w:eastAsia="ko-KR"/>
              </w:rPr>
              <w:t>National GIs</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1769281F" w14:textId="77777777" w:rsidR="009B2010" w:rsidRPr="009C69A7" w:rsidRDefault="009B2010">
            <w:pPr>
              <w:jc w:val="center"/>
              <w:rPr>
                <w:rFonts w:eastAsia="Times New Roman"/>
                <w:b/>
                <w:bCs/>
                <w:color w:val="303030"/>
                <w:sz w:val="20"/>
                <w:lang w:eastAsia="ko-KR"/>
              </w:rPr>
            </w:pPr>
            <w:r w:rsidRPr="009C69A7">
              <w:rPr>
                <w:rFonts w:eastAsia="Times New Roman"/>
                <w:b/>
                <w:bCs/>
                <w:color w:val="303030"/>
                <w:sz w:val="20"/>
                <w:lang w:eastAsia="ko-KR"/>
              </w:rPr>
              <w:t>Foreign GIs</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3834E6A8" w14:textId="77777777" w:rsidR="009B2010" w:rsidRPr="009C69A7" w:rsidRDefault="009B2010">
            <w:pPr>
              <w:jc w:val="center"/>
              <w:rPr>
                <w:rFonts w:eastAsia="Times New Roman"/>
                <w:b/>
                <w:bCs/>
                <w:color w:val="303030"/>
                <w:sz w:val="20"/>
                <w:lang w:eastAsia="ko-KR"/>
              </w:rPr>
            </w:pPr>
            <w:r w:rsidRPr="009C69A7">
              <w:rPr>
                <w:rFonts w:eastAsia="Times New Roman"/>
                <w:b/>
                <w:bCs/>
                <w:color w:val="303030"/>
                <w:sz w:val="20"/>
                <w:lang w:eastAsia="ko-KR"/>
              </w:rPr>
              <w:t>International Agreements</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60819A1D" w14:textId="77777777" w:rsidR="009B2010" w:rsidRPr="009C69A7" w:rsidRDefault="009B2010">
            <w:pPr>
              <w:jc w:val="center"/>
              <w:rPr>
                <w:rFonts w:eastAsia="Times New Roman"/>
                <w:b/>
                <w:bCs/>
                <w:color w:val="303030"/>
                <w:sz w:val="20"/>
                <w:lang w:eastAsia="ko-KR"/>
              </w:rPr>
            </w:pPr>
            <w:r w:rsidRPr="009C69A7">
              <w:rPr>
                <w:rFonts w:eastAsia="Times New Roman"/>
                <w:b/>
                <w:bCs/>
                <w:color w:val="303030"/>
                <w:sz w:val="20"/>
                <w:lang w:eastAsia="ko-KR"/>
              </w:rPr>
              <w:t>Sui Generis</w:t>
            </w:r>
          </w:p>
        </w:tc>
      </w:tr>
      <w:tr w:rsidR="009B2010" w:rsidRPr="00701DE6" w14:paraId="61164263"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5B1D074F"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2020</w:t>
            </w:r>
          </w:p>
        </w:tc>
        <w:tc>
          <w:tcPr>
            <w:tcW w:w="1060" w:type="dxa"/>
            <w:tcBorders>
              <w:top w:val="nil"/>
              <w:left w:val="nil"/>
              <w:bottom w:val="single" w:sz="4" w:space="0" w:color="auto"/>
              <w:right w:val="single" w:sz="4" w:space="0" w:color="auto"/>
            </w:tcBorders>
            <w:shd w:val="clear" w:color="000000" w:fill="FFFFFF"/>
            <w:noWrap/>
            <w:vAlign w:val="bottom"/>
            <w:hideMark/>
          </w:tcPr>
          <w:p w14:paraId="03AE4A27"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3,121</w:t>
            </w:r>
          </w:p>
        </w:tc>
        <w:tc>
          <w:tcPr>
            <w:tcW w:w="1020" w:type="dxa"/>
            <w:tcBorders>
              <w:top w:val="nil"/>
              <w:left w:val="nil"/>
              <w:bottom w:val="single" w:sz="4" w:space="0" w:color="auto"/>
              <w:right w:val="single" w:sz="4" w:space="0" w:color="auto"/>
            </w:tcBorders>
            <w:shd w:val="clear" w:color="000000" w:fill="FFFFFF"/>
            <w:noWrap/>
            <w:vAlign w:val="bottom"/>
            <w:hideMark/>
          </w:tcPr>
          <w:p w14:paraId="505F7596"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792ED6E7"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3,101</w:t>
            </w:r>
          </w:p>
        </w:tc>
        <w:tc>
          <w:tcPr>
            <w:tcW w:w="1417" w:type="dxa"/>
            <w:tcBorders>
              <w:top w:val="nil"/>
              <w:left w:val="nil"/>
              <w:bottom w:val="single" w:sz="4" w:space="0" w:color="auto"/>
              <w:right w:val="single" w:sz="4" w:space="0" w:color="auto"/>
            </w:tcBorders>
            <w:shd w:val="clear" w:color="000000" w:fill="FFFFFF"/>
            <w:noWrap/>
            <w:vAlign w:val="bottom"/>
            <w:hideMark/>
          </w:tcPr>
          <w:p w14:paraId="14F74CD6"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6E4B7D63"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30</w:t>
            </w:r>
          </w:p>
        </w:tc>
      </w:tr>
      <w:tr w:rsidR="009B2010" w:rsidRPr="00701DE6" w14:paraId="3BD97D24"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DFDC0E2"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2021</w:t>
            </w:r>
          </w:p>
        </w:tc>
        <w:tc>
          <w:tcPr>
            <w:tcW w:w="1060" w:type="dxa"/>
            <w:tcBorders>
              <w:top w:val="nil"/>
              <w:left w:val="nil"/>
              <w:bottom w:val="single" w:sz="4" w:space="0" w:color="auto"/>
              <w:right w:val="single" w:sz="4" w:space="0" w:color="auto"/>
            </w:tcBorders>
            <w:shd w:val="clear" w:color="000000" w:fill="FFFFFF"/>
            <w:noWrap/>
            <w:vAlign w:val="bottom"/>
            <w:hideMark/>
          </w:tcPr>
          <w:p w14:paraId="7ADD6DAC"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3,124</w:t>
            </w:r>
          </w:p>
        </w:tc>
        <w:tc>
          <w:tcPr>
            <w:tcW w:w="1020" w:type="dxa"/>
            <w:tcBorders>
              <w:top w:val="nil"/>
              <w:left w:val="nil"/>
              <w:bottom w:val="single" w:sz="4" w:space="0" w:color="auto"/>
              <w:right w:val="single" w:sz="4" w:space="0" w:color="auto"/>
            </w:tcBorders>
            <w:shd w:val="clear" w:color="000000" w:fill="FFFFFF"/>
            <w:noWrap/>
            <w:vAlign w:val="bottom"/>
            <w:hideMark/>
          </w:tcPr>
          <w:p w14:paraId="1BC55BF1" w14:textId="77777777" w:rsidR="009B2010" w:rsidRPr="00701DE6" w:rsidRDefault="009B2010">
            <w:pPr>
              <w:jc w:val="center"/>
              <w:rPr>
                <w:rFonts w:eastAsia="Times New Roman"/>
                <w:color w:val="000000"/>
                <w:sz w:val="20"/>
                <w:lang w:eastAsia="en-US"/>
              </w:rPr>
            </w:pPr>
            <w:proofErr w:type="spellStart"/>
            <w:r w:rsidRPr="00701DE6">
              <w:rPr>
                <w:rFonts w:eastAsia="Times New Roman"/>
                <w:color w:val="000000"/>
                <w:sz w:val="20"/>
                <w:lang w:eastAsia="en-US"/>
              </w:rPr>
              <w:t>n.a.</w:t>
            </w:r>
            <w:proofErr w:type="spellEnd"/>
          </w:p>
        </w:tc>
        <w:tc>
          <w:tcPr>
            <w:tcW w:w="1020" w:type="dxa"/>
            <w:tcBorders>
              <w:top w:val="nil"/>
              <w:left w:val="nil"/>
              <w:bottom w:val="single" w:sz="4" w:space="0" w:color="auto"/>
              <w:right w:val="single" w:sz="4" w:space="0" w:color="auto"/>
            </w:tcBorders>
            <w:shd w:val="clear" w:color="000000" w:fill="FFFFFF"/>
            <w:noWrap/>
            <w:vAlign w:val="bottom"/>
            <w:hideMark/>
          </w:tcPr>
          <w:p w14:paraId="7D64FB26" w14:textId="77777777" w:rsidR="009B2010" w:rsidRPr="00701DE6" w:rsidRDefault="009B2010">
            <w:pPr>
              <w:jc w:val="center"/>
              <w:rPr>
                <w:rFonts w:eastAsia="Times New Roman"/>
                <w:color w:val="000000"/>
                <w:sz w:val="20"/>
                <w:lang w:eastAsia="en-US"/>
              </w:rPr>
            </w:pPr>
            <w:proofErr w:type="spellStart"/>
            <w:r w:rsidRPr="00701DE6">
              <w:rPr>
                <w:rFonts w:eastAsia="Times New Roman"/>
                <w:color w:val="000000"/>
                <w:sz w:val="20"/>
                <w:lang w:eastAsia="en-US"/>
              </w:rPr>
              <w:t>n.a.</w:t>
            </w:r>
            <w:proofErr w:type="spellEnd"/>
          </w:p>
        </w:tc>
        <w:tc>
          <w:tcPr>
            <w:tcW w:w="1417" w:type="dxa"/>
            <w:tcBorders>
              <w:top w:val="nil"/>
              <w:left w:val="nil"/>
              <w:bottom w:val="single" w:sz="4" w:space="0" w:color="auto"/>
              <w:right w:val="single" w:sz="4" w:space="0" w:color="auto"/>
            </w:tcBorders>
            <w:shd w:val="clear" w:color="000000" w:fill="FFFFFF"/>
            <w:noWrap/>
            <w:vAlign w:val="bottom"/>
            <w:hideMark/>
          </w:tcPr>
          <w:p w14:paraId="2603CF67"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7B3859C9"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33</w:t>
            </w:r>
          </w:p>
        </w:tc>
      </w:tr>
      <w:tr w:rsidR="009B2010" w:rsidRPr="00701DE6" w14:paraId="78E37F70"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1A29124"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2022</w:t>
            </w:r>
          </w:p>
        </w:tc>
        <w:tc>
          <w:tcPr>
            <w:tcW w:w="1060" w:type="dxa"/>
            <w:tcBorders>
              <w:top w:val="nil"/>
              <w:left w:val="nil"/>
              <w:bottom w:val="single" w:sz="4" w:space="0" w:color="auto"/>
              <w:right w:val="single" w:sz="4" w:space="0" w:color="auto"/>
            </w:tcBorders>
            <w:shd w:val="clear" w:color="000000" w:fill="FFFFFF"/>
            <w:noWrap/>
            <w:vAlign w:val="bottom"/>
            <w:hideMark/>
          </w:tcPr>
          <w:p w14:paraId="74A6DB5B"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3,124</w:t>
            </w:r>
          </w:p>
        </w:tc>
        <w:tc>
          <w:tcPr>
            <w:tcW w:w="1020" w:type="dxa"/>
            <w:tcBorders>
              <w:top w:val="nil"/>
              <w:left w:val="nil"/>
              <w:bottom w:val="single" w:sz="4" w:space="0" w:color="auto"/>
              <w:right w:val="single" w:sz="4" w:space="0" w:color="auto"/>
            </w:tcBorders>
            <w:shd w:val="clear" w:color="000000" w:fill="FFFFFF"/>
            <w:noWrap/>
            <w:vAlign w:val="bottom"/>
            <w:hideMark/>
          </w:tcPr>
          <w:p w14:paraId="403A24A0"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119BDDA1"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23921240"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35D2F3E6"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33</w:t>
            </w:r>
          </w:p>
        </w:tc>
      </w:tr>
      <w:tr w:rsidR="009B2010" w:rsidRPr="00701DE6" w14:paraId="439628A3"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4A9CF76E"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2023</w:t>
            </w:r>
          </w:p>
        </w:tc>
        <w:tc>
          <w:tcPr>
            <w:tcW w:w="1060" w:type="dxa"/>
            <w:tcBorders>
              <w:top w:val="nil"/>
              <w:left w:val="nil"/>
              <w:bottom w:val="single" w:sz="4" w:space="0" w:color="auto"/>
              <w:right w:val="single" w:sz="4" w:space="0" w:color="auto"/>
            </w:tcBorders>
            <w:shd w:val="clear" w:color="000000" w:fill="FFFFFF"/>
            <w:noWrap/>
            <w:vAlign w:val="bottom"/>
            <w:hideMark/>
          </w:tcPr>
          <w:p w14:paraId="02CD07AA"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3,128</w:t>
            </w:r>
          </w:p>
        </w:tc>
        <w:tc>
          <w:tcPr>
            <w:tcW w:w="1020" w:type="dxa"/>
            <w:tcBorders>
              <w:top w:val="nil"/>
              <w:left w:val="nil"/>
              <w:bottom w:val="single" w:sz="4" w:space="0" w:color="auto"/>
              <w:right w:val="single" w:sz="4" w:space="0" w:color="auto"/>
            </w:tcBorders>
            <w:shd w:val="clear" w:color="000000" w:fill="FFFFFF"/>
            <w:noWrap/>
            <w:vAlign w:val="bottom"/>
            <w:hideMark/>
          </w:tcPr>
          <w:p w14:paraId="0EABA9ED"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24</w:t>
            </w:r>
          </w:p>
        </w:tc>
        <w:tc>
          <w:tcPr>
            <w:tcW w:w="1020" w:type="dxa"/>
            <w:tcBorders>
              <w:top w:val="nil"/>
              <w:left w:val="nil"/>
              <w:bottom w:val="single" w:sz="4" w:space="0" w:color="auto"/>
              <w:right w:val="single" w:sz="4" w:space="0" w:color="auto"/>
            </w:tcBorders>
            <w:shd w:val="clear" w:color="000000" w:fill="FFFFFF"/>
            <w:noWrap/>
            <w:vAlign w:val="bottom"/>
            <w:hideMark/>
          </w:tcPr>
          <w:p w14:paraId="6AA2A02C"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7BE795DE"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7E6D5656"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37</w:t>
            </w:r>
          </w:p>
        </w:tc>
      </w:tr>
      <w:tr w:rsidR="009B2010" w:rsidRPr="00701DE6" w14:paraId="62CA6144"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72A1D7BE"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2024</w:t>
            </w:r>
          </w:p>
        </w:tc>
        <w:tc>
          <w:tcPr>
            <w:tcW w:w="1060" w:type="dxa"/>
            <w:tcBorders>
              <w:top w:val="nil"/>
              <w:left w:val="nil"/>
              <w:bottom w:val="single" w:sz="4" w:space="0" w:color="auto"/>
              <w:right w:val="single" w:sz="4" w:space="0" w:color="auto"/>
            </w:tcBorders>
            <w:shd w:val="clear" w:color="000000" w:fill="FFFFFF"/>
            <w:noWrap/>
            <w:vAlign w:val="bottom"/>
            <w:hideMark/>
          </w:tcPr>
          <w:p w14:paraId="45DE8EC2"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3,133</w:t>
            </w:r>
          </w:p>
        </w:tc>
        <w:tc>
          <w:tcPr>
            <w:tcW w:w="1020" w:type="dxa"/>
            <w:tcBorders>
              <w:top w:val="nil"/>
              <w:left w:val="nil"/>
              <w:bottom w:val="single" w:sz="4" w:space="0" w:color="auto"/>
              <w:right w:val="single" w:sz="4" w:space="0" w:color="auto"/>
            </w:tcBorders>
            <w:shd w:val="clear" w:color="000000" w:fill="FFFFFF"/>
            <w:noWrap/>
            <w:vAlign w:val="bottom"/>
            <w:hideMark/>
          </w:tcPr>
          <w:p w14:paraId="06177056"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29</w:t>
            </w:r>
          </w:p>
        </w:tc>
        <w:tc>
          <w:tcPr>
            <w:tcW w:w="1020" w:type="dxa"/>
            <w:tcBorders>
              <w:top w:val="nil"/>
              <w:left w:val="nil"/>
              <w:bottom w:val="single" w:sz="4" w:space="0" w:color="auto"/>
              <w:right w:val="single" w:sz="4" w:space="0" w:color="auto"/>
            </w:tcBorders>
            <w:shd w:val="clear" w:color="000000" w:fill="FFFFFF"/>
            <w:noWrap/>
            <w:vAlign w:val="bottom"/>
            <w:hideMark/>
          </w:tcPr>
          <w:p w14:paraId="4C3D4E23"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66EB65B6"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6FA9DE84" w14:textId="77777777" w:rsidR="009B2010" w:rsidRPr="00701DE6" w:rsidRDefault="009B2010">
            <w:pPr>
              <w:jc w:val="center"/>
              <w:rPr>
                <w:rFonts w:eastAsia="Times New Roman"/>
                <w:color w:val="000000"/>
                <w:sz w:val="20"/>
                <w:lang w:eastAsia="en-US"/>
              </w:rPr>
            </w:pPr>
            <w:r w:rsidRPr="00701DE6">
              <w:rPr>
                <w:rFonts w:eastAsia="Times New Roman"/>
                <w:color w:val="000000"/>
                <w:sz w:val="20"/>
                <w:lang w:eastAsia="en-US"/>
              </w:rPr>
              <w:t>42</w:t>
            </w:r>
          </w:p>
        </w:tc>
      </w:tr>
    </w:tbl>
    <w:p w14:paraId="09025C87" w14:textId="77777777" w:rsidR="009B2010" w:rsidRDefault="009B2010" w:rsidP="009B2010">
      <w:pPr>
        <w:pStyle w:val="ONUME"/>
        <w:numPr>
          <w:ilvl w:val="0"/>
          <w:numId w:val="0"/>
        </w:numPr>
        <w:rPr>
          <w:i/>
          <w:iCs/>
          <w:sz w:val="20"/>
          <w:szCs w:val="18"/>
          <w:lang w:eastAsia="en-US"/>
        </w:rPr>
      </w:pPr>
      <w:r>
        <w:rPr>
          <w:i/>
          <w:iCs/>
          <w:sz w:val="20"/>
          <w:szCs w:val="18"/>
          <w:lang w:eastAsia="en-US"/>
        </w:rPr>
        <w:t xml:space="preserve">                        </w:t>
      </w:r>
      <w:r w:rsidRPr="00896C03">
        <w:rPr>
          <w:i/>
          <w:iCs/>
          <w:sz w:val="20"/>
          <w:szCs w:val="18"/>
          <w:lang w:eastAsia="en-US"/>
        </w:rPr>
        <w:t>Source: WIPO Statistics</w:t>
      </w:r>
      <w:r>
        <w:rPr>
          <w:i/>
          <w:iCs/>
          <w:sz w:val="20"/>
          <w:szCs w:val="18"/>
          <w:lang w:eastAsia="en-US"/>
        </w:rPr>
        <w:t xml:space="preserve"> (</w:t>
      </w:r>
      <w:proofErr w:type="spellStart"/>
      <w:r>
        <w:rPr>
          <w:i/>
          <w:iCs/>
          <w:sz w:val="20"/>
          <w:szCs w:val="18"/>
          <w:lang w:eastAsia="en-US"/>
        </w:rPr>
        <w:t>n.a.</w:t>
      </w:r>
      <w:proofErr w:type="spellEnd"/>
      <w:r>
        <w:rPr>
          <w:i/>
          <w:iCs/>
          <w:sz w:val="20"/>
          <w:szCs w:val="18"/>
          <w:lang w:eastAsia="en-US"/>
        </w:rPr>
        <w:t xml:space="preserve"> equals not available)</w:t>
      </w:r>
    </w:p>
    <w:p w14:paraId="3E5C4E6F" w14:textId="1B693566" w:rsidR="00B144D3" w:rsidRPr="00CD0B9B" w:rsidRDefault="003646C0" w:rsidP="00CD0B9B">
      <w:pPr>
        <w:pStyle w:val="Heading3"/>
        <w:spacing w:before="240" w:after="60"/>
        <w:ind w:left="1886" w:hanging="720"/>
        <w:rPr>
          <w:b w:val="0"/>
          <w:bCs/>
          <w:color w:val="000000" w:themeColor="text1"/>
          <w:sz w:val="22"/>
          <w:szCs w:val="22"/>
          <w:u w:val="single"/>
          <w:lang w:eastAsia="en-US"/>
        </w:rPr>
      </w:pPr>
      <w:bookmarkStart w:id="47" w:name="_Toc232436583"/>
      <w:r w:rsidRPr="00670366">
        <w:rPr>
          <w:b w:val="0"/>
          <w:bCs/>
          <w:color w:val="000000" w:themeColor="text1"/>
          <w:sz w:val="22"/>
          <w:szCs w:val="22"/>
          <w:lang w:eastAsia="en-US"/>
        </w:rPr>
        <w:t>2.5.2</w:t>
      </w:r>
      <w:r w:rsidRPr="00670366">
        <w:rPr>
          <w:b w:val="0"/>
          <w:bCs/>
          <w:color w:val="000000" w:themeColor="text1"/>
          <w:sz w:val="22"/>
          <w:szCs w:val="22"/>
          <w:lang w:eastAsia="en-US"/>
        </w:rPr>
        <w:tab/>
      </w:r>
      <w:r w:rsidRPr="00670366">
        <w:rPr>
          <w:b w:val="0"/>
          <w:bCs/>
          <w:color w:val="000000" w:themeColor="text1"/>
          <w:sz w:val="22"/>
          <w:szCs w:val="22"/>
          <w:u w:val="single"/>
          <w:lang w:eastAsia="en-US"/>
        </w:rPr>
        <w:t>International Filings</w:t>
      </w:r>
      <w:bookmarkEnd w:id="47"/>
    </w:p>
    <w:p w14:paraId="2405047C" w14:textId="07778C42" w:rsidR="003646C0" w:rsidRPr="0030349E" w:rsidRDefault="003646C0" w:rsidP="00E96EE1">
      <w:pPr>
        <w:pStyle w:val="Heading3"/>
        <w:spacing w:before="240" w:after="220"/>
        <w:ind w:left="1886" w:hanging="720"/>
        <w:rPr>
          <w:lang w:eastAsia="en-US"/>
        </w:rPr>
      </w:pPr>
      <w:bookmarkStart w:id="48" w:name="_Toc232436584"/>
      <w:r w:rsidRPr="00670366">
        <w:rPr>
          <w:b w:val="0"/>
          <w:bCs/>
          <w:color w:val="000000" w:themeColor="text1"/>
          <w:sz w:val="22"/>
          <w:szCs w:val="22"/>
          <w:lang w:eastAsia="en-US"/>
        </w:rPr>
        <w:t>2.5.2.1</w:t>
      </w:r>
      <w:r w:rsidRPr="00670366">
        <w:rPr>
          <w:b w:val="0"/>
          <w:bCs/>
          <w:color w:val="000000" w:themeColor="text1"/>
          <w:sz w:val="22"/>
          <w:szCs w:val="22"/>
          <w:lang w:eastAsia="en-US"/>
        </w:rPr>
        <w:tab/>
      </w:r>
      <w:r w:rsidRPr="00670366">
        <w:rPr>
          <w:b w:val="0"/>
          <w:bCs/>
          <w:color w:val="000000" w:themeColor="text1"/>
          <w:sz w:val="22"/>
          <w:szCs w:val="22"/>
          <w:u w:val="single"/>
          <w:lang w:eastAsia="en-US"/>
        </w:rPr>
        <w:t>Patent Cooperation Treaty (PCT</w:t>
      </w:r>
      <w:r w:rsidRPr="00670366">
        <w:rPr>
          <w:u w:val="single"/>
          <w:lang w:eastAsia="en-US"/>
        </w:rPr>
        <w:t>)</w:t>
      </w:r>
      <w:bookmarkEnd w:id="48"/>
    </w:p>
    <w:p w14:paraId="7E25784E" w14:textId="2BA2EC90" w:rsidR="00CD6DD4" w:rsidRDefault="007753FF" w:rsidP="00FF329D">
      <w:pPr>
        <w:pStyle w:val="ONUME"/>
        <w:tabs>
          <w:tab w:val="num" w:pos="270"/>
        </w:tabs>
        <w:rPr>
          <w:lang w:eastAsia="en-US"/>
        </w:rPr>
      </w:pPr>
      <w:r w:rsidRPr="0030349E">
        <w:rPr>
          <w:lang w:eastAsia="en-US"/>
        </w:rPr>
        <w:t xml:space="preserve"> </w:t>
      </w:r>
      <w:r w:rsidR="003646C0" w:rsidRPr="0030349E">
        <w:rPr>
          <w:lang w:eastAsia="en-US"/>
        </w:rPr>
        <w:t>In 202</w:t>
      </w:r>
      <w:r w:rsidR="003646C0">
        <w:rPr>
          <w:lang w:eastAsia="en-US"/>
        </w:rPr>
        <w:t>5</w:t>
      </w:r>
      <w:r w:rsidR="003646C0" w:rsidRPr="0030349E">
        <w:rPr>
          <w:lang w:eastAsia="en-US"/>
        </w:rPr>
        <w:t xml:space="preserve">, PCT filings by Ukrainian applicants </w:t>
      </w:r>
      <w:r w:rsidR="000F2BF1" w:rsidRPr="000F2BF1">
        <w:rPr>
          <w:lang w:eastAsia="en-US"/>
        </w:rPr>
        <w:t>remained</w:t>
      </w:r>
      <w:r w:rsidR="00D50565">
        <w:rPr>
          <w:lang w:eastAsia="en-US"/>
        </w:rPr>
        <w:t xml:space="preserve"> almost</w:t>
      </w:r>
      <w:r w:rsidR="000F2BF1" w:rsidRPr="000F2BF1">
        <w:rPr>
          <w:lang w:eastAsia="en-US"/>
        </w:rPr>
        <w:t xml:space="preserve"> consistent </w:t>
      </w:r>
      <w:r w:rsidR="004B09F8">
        <w:rPr>
          <w:lang w:eastAsia="en-US"/>
        </w:rPr>
        <w:t>compared to 2024, with a</w:t>
      </w:r>
      <w:r w:rsidR="00D50565">
        <w:rPr>
          <w:lang w:eastAsia="en-US"/>
        </w:rPr>
        <w:t xml:space="preserve"> slight</w:t>
      </w:r>
      <w:r w:rsidR="004B09F8">
        <w:rPr>
          <w:lang w:eastAsia="en-US"/>
        </w:rPr>
        <w:t xml:space="preserve"> decline</w:t>
      </w:r>
      <w:r w:rsidR="003646C0">
        <w:rPr>
          <w:lang w:eastAsia="en-US"/>
        </w:rPr>
        <w:t xml:space="preserve"> by </w:t>
      </w:r>
      <w:r w:rsidR="00D20FE2">
        <w:rPr>
          <w:lang w:eastAsia="en-US"/>
        </w:rPr>
        <w:t xml:space="preserve">only </w:t>
      </w:r>
      <w:r w:rsidR="00FF5617">
        <w:rPr>
          <w:lang w:eastAsia="en-US"/>
        </w:rPr>
        <w:t>two</w:t>
      </w:r>
      <w:r w:rsidR="00FF5617" w:rsidRPr="0030349E">
        <w:rPr>
          <w:lang w:eastAsia="en-US"/>
        </w:rPr>
        <w:t xml:space="preserve"> </w:t>
      </w:r>
      <w:r w:rsidR="003646C0" w:rsidRPr="0030349E">
        <w:rPr>
          <w:lang w:eastAsia="en-US"/>
        </w:rPr>
        <w:t>applications.</w:t>
      </w:r>
      <w:r w:rsidR="003646C0">
        <w:rPr>
          <w:lang w:eastAsia="en-US"/>
        </w:rPr>
        <w:t xml:space="preserve"> </w:t>
      </w:r>
    </w:p>
    <w:p w14:paraId="661620FD" w14:textId="18B15F65" w:rsidR="00941293" w:rsidRPr="002E34CE" w:rsidRDefault="007A69A9" w:rsidP="002E34CE">
      <w:pPr>
        <w:pStyle w:val="ONUME"/>
        <w:numPr>
          <w:ilvl w:val="0"/>
          <w:numId w:val="0"/>
        </w:numPr>
        <w:tabs>
          <w:tab w:val="num" w:pos="270"/>
        </w:tabs>
        <w:rPr>
          <w:lang w:eastAsia="en-US"/>
        </w:rPr>
      </w:pPr>
      <w:r w:rsidRPr="0092444F">
        <w:rPr>
          <w:noProof/>
          <w:szCs w:val="22"/>
          <w14:ligatures w14:val="standardContextual"/>
        </w:rPr>
        <w:lastRenderedPageBreak/>
        <w:drawing>
          <wp:inline distT="0" distB="0" distL="0" distR="0" wp14:anchorId="27B4C55C" wp14:editId="67C983D8">
            <wp:extent cx="5943600" cy="2090420"/>
            <wp:effectExtent l="0" t="0" r="0" b="5080"/>
            <wp:docPr id="622631251" name="Chart 1" descr="PCT applications originating from Ukraine">
              <a:extLst xmlns:a="http://schemas.openxmlformats.org/drawingml/2006/main">
                <a:ext uri="{FF2B5EF4-FFF2-40B4-BE49-F238E27FC236}">
                  <a16:creationId xmlns:a16="http://schemas.microsoft.com/office/drawing/2014/main" id="{28913BE2-D846-49F2-84B5-5651D32FDC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003646C0" w:rsidRPr="0092444F">
        <w:rPr>
          <w:i/>
          <w:iCs/>
          <w:szCs w:val="22"/>
          <w:lang w:eastAsia="en-US"/>
        </w:rPr>
        <w:t xml:space="preserve">             </w:t>
      </w:r>
      <w:r w:rsidR="003646C0" w:rsidRPr="00CD6DD4">
        <w:rPr>
          <w:i/>
          <w:iCs/>
          <w:lang w:eastAsia="en-US"/>
        </w:rPr>
        <w:br/>
        <w:t xml:space="preserve">       Source: WIPO statistics database (May 2026)</w:t>
      </w:r>
    </w:p>
    <w:p w14:paraId="0C06BD64" w14:textId="27F6CED0" w:rsidR="003646C0" w:rsidRPr="004E1B6D" w:rsidRDefault="00F5598E" w:rsidP="00E96EE1">
      <w:pPr>
        <w:pStyle w:val="Heading3"/>
        <w:spacing w:before="240" w:after="220"/>
        <w:ind w:left="1858"/>
        <w:rPr>
          <w:lang w:eastAsia="en-US"/>
        </w:rPr>
      </w:pPr>
      <w:bookmarkStart w:id="49" w:name="_Toc232436585"/>
      <w:r>
        <w:rPr>
          <w:b w:val="0"/>
          <w:bCs/>
          <w:color w:val="000000"/>
          <w:sz w:val="22"/>
          <w:szCs w:val="22"/>
        </w:rPr>
        <w:t xml:space="preserve">2.5.2.2 </w:t>
      </w:r>
      <w:r>
        <w:rPr>
          <w:b w:val="0"/>
          <w:bCs/>
          <w:color w:val="000000"/>
          <w:sz w:val="22"/>
          <w:szCs w:val="22"/>
          <w:u w:val="single"/>
        </w:rPr>
        <w:t>Madrid System</w:t>
      </w:r>
      <w:bookmarkEnd w:id="49"/>
    </w:p>
    <w:p w14:paraId="7084D2FE" w14:textId="04198079" w:rsidR="004478C4" w:rsidRDefault="002A5896" w:rsidP="004478C4">
      <w:pPr>
        <w:pStyle w:val="ONUME"/>
        <w:tabs>
          <w:tab w:val="clear" w:pos="1134"/>
          <w:tab w:val="num" w:pos="630"/>
        </w:tabs>
        <w:rPr>
          <w:lang w:eastAsia="en-US"/>
        </w:rPr>
      </w:pPr>
      <w:r w:rsidRPr="0030349E">
        <w:rPr>
          <w:lang w:eastAsia="en-US"/>
        </w:rPr>
        <w:t xml:space="preserve">International </w:t>
      </w:r>
      <w:r w:rsidR="002F70FA" w:rsidRPr="002F70FA">
        <w:rPr>
          <w:lang w:eastAsia="en-US"/>
        </w:rPr>
        <w:t xml:space="preserve">trademark applications of Ukrainian origin under WIPO's Madrid System increased by 10 per cent in 2025 compared to 2024, surpassing </w:t>
      </w:r>
      <w:r w:rsidR="00497997" w:rsidRPr="00497997">
        <w:rPr>
          <w:lang w:eastAsia="en-US"/>
        </w:rPr>
        <w:t>the number of applications filed in the pre-war 2021 by the same margin.</w:t>
      </w:r>
    </w:p>
    <w:p w14:paraId="3D7C8AAA" w14:textId="5E7101F1" w:rsidR="004478C4" w:rsidRDefault="00315A61" w:rsidP="004478C4">
      <w:pPr>
        <w:pStyle w:val="ONUME"/>
        <w:numPr>
          <w:ilvl w:val="0"/>
          <w:numId w:val="0"/>
        </w:numPr>
        <w:tabs>
          <w:tab w:val="clear" w:pos="1134"/>
        </w:tabs>
        <w:rPr>
          <w:lang w:eastAsia="en-US"/>
        </w:rPr>
      </w:pPr>
      <w:r>
        <w:rPr>
          <w:noProof/>
          <w14:ligatures w14:val="standardContextual"/>
        </w:rPr>
        <w:drawing>
          <wp:inline distT="0" distB="0" distL="0" distR="0" wp14:anchorId="30646E51" wp14:editId="32E1430F">
            <wp:extent cx="5733288" cy="2249424"/>
            <wp:effectExtent l="0" t="0" r="1270" b="17780"/>
            <wp:docPr id="496731985" name="Chart 1" descr="Madrid applications originating from Ukraine">
              <a:extLst xmlns:a="http://schemas.openxmlformats.org/drawingml/2006/main">
                <a:ext uri="{FF2B5EF4-FFF2-40B4-BE49-F238E27FC236}">
                  <a16:creationId xmlns:a16="http://schemas.microsoft.com/office/drawing/2014/main" id="{F817DC12-26D8-47D4-8B14-72235530E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654BD80" w14:textId="3BF20174" w:rsidR="00CE40CA" w:rsidRDefault="000C02EC" w:rsidP="00CE40CA">
      <w:pPr>
        <w:pStyle w:val="ONUME"/>
        <w:rPr>
          <w:lang w:eastAsia="en-US"/>
        </w:rPr>
      </w:pPr>
      <w:r>
        <w:rPr>
          <w:lang w:eastAsia="en-US"/>
        </w:rPr>
        <w:t>Moreover</w:t>
      </w:r>
      <w:r w:rsidR="00CE40CA">
        <w:rPr>
          <w:lang w:eastAsia="en-US"/>
        </w:rPr>
        <w:t>, t</w:t>
      </w:r>
      <w:r w:rsidR="00CE40CA" w:rsidRPr="0030349E">
        <w:rPr>
          <w:lang w:eastAsia="en-US"/>
        </w:rPr>
        <w:t>he number of designations of Ukraine in international trademark filings received by the International Bureau</w:t>
      </w:r>
      <w:r w:rsidR="00CE40CA">
        <w:rPr>
          <w:lang w:eastAsia="en-US"/>
        </w:rPr>
        <w:t xml:space="preserve"> increased</w:t>
      </w:r>
      <w:r w:rsidR="00CE40CA" w:rsidRPr="0030349E">
        <w:rPr>
          <w:lang w:eastAsia="en-US"/>
        </w:rPr>
        <w:t xml:space="preserve"> by around </w:t>
      </w:r>
      <w:r w:rsidR="00CE40CA">
        <w:rPr>
          <w:lang w:eastAsia="en-US"/>
        </w:rPr>
        <w:t>3.3</w:t>
      </w:r>
      <w:r w:rsidR="00CE40CA" w:rsidRPr="0030349E">
        <w:rPr>
          <w:lang w:eastAsia="en-US"/>
        </w:rPr>
        <w:t xml:space="preserve"> per</w:t>
      </w:r>
      <w:r w:rsidR="00CE40CA">
        <w:rPr>
          <w:lang w:eastAsia="en-US"/>
        </w:rPr>
        <w:t xml:space="preserve"> </w:t>
      </w:r>
      <w:r w:rsidR="00CE40CA" w:rsidRPr="0030349E">
        <w:rPr>
          <w:lang w:eastAsia="en-US"/>
        </w:rPr>
        <w:t>cent, from 5,</w:t>
      </w:r>
      <w:r w:rsidR="00CE40CA">
        <w:rPr>
          <w:lang w:eastAsia="en-US"/>
        </w:rPr>
        <w:t>361</w:t>
      </w:r>
      <w:r w:rsidR="00CE40CA" w:rsidRPr="0030349E">
        <w:rPr>
          <w:lang w:eastAsia="en-US"/>
        </w:rPr>
        <w:t xml:space="preserve"> in 202</w:t>
      </w:r>
      <w:r w:rsidR="00CE40CA">
        <w:rPr>
          <w:lang w:eastAsia="en-US"/>
        </w:rPr>
        <w:t>4</w:t>
      </w:r>
      <w:r w:rsidR="00CE40CA" w:rsidRPr="0030349E">
        <w:rPr>
          <w:lang w:eastAsia="en-US"/>
        </w:rPr>
        <w:t xml:space="preserve"> to </w:t>
      </w:r>
      <w:r w:rsidR="00CE40CA">
        <w:rPr>
          <w:lang w:eastAsia="en-US"/>
        </w:rPr>
        <w:t>5,537</w:t>
      </w:r>
      <w:r w:rsidR="00CE40CA" w:rsidRPr="0030349E">
        <w:rPr>
          <w:lang w:eastAsia="en-US"/>
        </w:rPr>
        <w:t xml:space="preserve"> in 202</w:t>
      </w:r>
      <w:r w:rsidR="00CE40CA">
        <w:rPr>
          <w:lang w:eastAsia="en-US"/>
        </w:rPr>
        <w:t>5.</w:t>
      </w:r>
    </w:p>
    <w:p w14:paraId="2BF6DB60" w14:textId="589ECCD9" w:rsidR="00CE40CA" w:rsidRDefault="00EA0CD1" w:rsidP="00CE40CA">
      <w:pPr>
        <w:pStyle w:val="ONUME"/>
        <w:numPr>
          <w:ilvl w:val="0"/>
          <w:numId w:val="0"/>
        </w:numPr>
        <w:rPr>
          <w:lang w:eastAsia="en-US"/>
        </w:rPr>
      </w:pPr>
      <w:r>
        <w:rPr>
          <w:noProof/>
          <w14:ligatures w14:val="standardContextual"/>
        </w:rPr>
        <w:drawing>
          <wp:inline distT="0" distB="0" distL="0" distR="0" wp14:anchorId="5F2592CC" wp14:editId="6A6DE643">
            <wp:extent cx="5733288" cy="2249424"/>
            <wp:effectExtent l="0" t="0" r="1270" b="17780"/>
            <wp:docPr id="37752991" name="Chart 1" descr="Hague applications originating from Ukraine">
              <a:extLst xmlns:a="http://schemas.openxmlformats.org/drawingml/2006/main">
                <a:ext uri="{FF2B5EF4-FFF2-40B4-BE49-F238E27FC236}">
                  <a16:creationId xmlns:a16="http://schemas.microsoft.com/office/drawing/2014/main" id="{EBDD3519-F177-49D8-9D52-B66064148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672A383" w14:textId="77777777" w:rsidR="00F5598E" w:rsidRDefault="00F5598E" w:rsidP="00F5598E">
      <w:pPr>
        <w:pStyle w:val="Heading3"/>
        <w:spacing w:before="240" w:after="60"/>
        <w:ind w:left="1886"/>
        <w:rPr>
          <w:szCs w:val="24"/>
        </w:rPr>
      </w:pPr>
      <w:bookmarkStart w:id="50" w:name="_Toc232436586"/>
      <w:r>
        <w:rPr>
          <w:b w:val="0"/>
          <w:bCs/>
          <w:color w:val="000000"/>
          <w:sz w:val="22"/>
          <w:szCs w:val="22"/>
        </w:rPr>
        <w:lastRenderedPageBreak/>
        <w:t xml:space="preserve">2.5.2.3 </w:t>
      </w:r>
      <w:r>
        <w:rPr>
          <w:b w:val="0"/>
          <w:bCs/>
          <w:color w:val="000000"/>
          <w:sz w:val="22"/>
          <w:szCs w:val="22"/>
          <w:u w:val="single"/>
        </w:rPr>
        <w:t>Hague System</w:t>
      </w:r>
      <w:bookmarkEnd w:id="50"/>
    </w:p>
    <w:p w14:paraId="62ED4309" w14:textId="0C08659B" w:rsidR="00D15D66" w:rsidRPr="0050616A" w:rsidRDefault="00AD2C6F" w:rsidP="003646C0">
      <w:pPr>
        <w:pStyle w:val="ONUME"/>
        <w:tabs>
          <w:tab w:val="clear" w:pos="1134"/>
          <w:tab w:val="num" w:pos="630"/>
        </w:tabs>
        <w:spacing w:before="360"/>
        <w:rPr>
          <w:lang w:eastAsia="en-US"/>
        </w:rPr>
      </w:pPr>
      <w:r w:rsidRPr="0050616A">
        <w:rPr>
          <w:lang w:eastAsia="en-US"/>
        </w:rPr>
        <w:t>In 2025, the number of Hague applications filed by applicants residing in Ukraine reached its highest level since 2006</w:t>
      </w:r>
      <w:r w:rsidR="00670463">
        <w:rPr>
          <w:lang w:eastAsia="en-US"/>
        </w:rPr>
        <w:t xml:space="preserve">, with a </w:t>
      </w:r>
      <w:r w:rsidR="009C1D86">
        <w:rPr>
          <w:lang w:eastAsia="en-US"/>
        </w:rPr>
        <w:t>notable increase</w:t>
      </w:r>
      <w:r w:rsidR="001517EB">
        <w:rPr>
          <w:lang w:eastAsia="en-US"/>
        </w:rPr>
        <w:t xml:space="preserve"> from </w:t>
      </w:r>
      <w:r w:rsidR="001517EB" w:rsidRPr="0050616A">
        <w:rPr>
          <w:lang w:eastAsia="en-US"/>
        </w:rPr>
        <w:t>33 to 55 applications</w:t>
      </w:r>
      <w:r w:rsidR="00670463">
        <w:rPr>
          <w:lang w:eastAsia="en-US"/>
        </w:rPr>
        <w:t>,</w:t>
      </w:r>
      <w:r w:rsidR="001517EB">
        <w:rPr>
          <w:lang w:eastAsia="en-US"/>
        </w:rPr>
        <w:t xml:space="preserve"> or</w:t>
      </w:r>
      <w:r w:rsidR="0026559D">
        <w:rPr>
          <w:lang w:eastAsia="en-US"/>
        </w:rPr>
        <w:t xml:space="preserve"> </w:t>
      </w:r>
      <w:r w:rsidRPr="0050616A">
        <w:rPr>
          <w:lang w:eastAsia="en-US"/>
        </w:rPr>
        <w:t>67</w:t>
      </w:r>
      <w:r w:rsidR="009C1D86">
        <w:rPr>
          <w:lang w:eastAsia="en-US"/>
        </w:rPr>
        <w:t xml:space="preserve"> per</w:t>
      </w:r>
      <w:r w:rsidR="002B0284">
        <w:rPr>
          <w:lang w:eastAsia="en-US"/>
        </w:rPr>
        <w:t xml:space="preserve"> </w:t>
      </w:r>
      <w:r w:rsidR="009C1D86">
        <w:rPr>
          <w:lang w:eastAsia="en-US"/>
        </w:rPr>
        <w:t>cent</w:t>
      </w:r>
      <w:r w:rsidR="001254F1">
        <w:rPr>
          <w:lang w:eastAsia="en-US"/>
        </w:rPr>
        <w:t xml:space="preserve"> </w:t>
      </w:r>
      <w:r w:rsidR="009C1D86">
        <w:rPr>
          <w:lang w:eastAsia="en-US"/>
        </w:rPr>
        <w:t>compared to the previous year.</w:t>
      </w:r>
    </w:p>
    <w:p w14:paraId="296BB7EB" w14:textId="19B02A12" w:rsidR="00D15D66" w:rsidRDefault="006F44DB" w:rsidP="002127CB">
      <w:pPr>
        <w:pStyle w:val="ONUME"/>
        <w:numPr>
          <w:ilvl w:val="0"/>
          <w:numId w:val="0"/>
        </w:numPr>
        <w:tabs>
          <w:tab w:val="clear" w:pos="1134"/>
        </w:tabs>
        <w:spacing w:before="360"/>
        <w:rPr>
          <w:lang w:eastAsia="en-US"/>
        </w:rPr>
      </w:pPr>
      <w:r>
        <w:rPr>
          <w:noProof/>
          <w14:ligatures w14:val="standardContextual"/>
        </w:rPr>
        <w:drawing>
          <wp:inline distT="0" distB="0" distL="0" distR="0" wp14:anchorId="164ABA26" wp14:editId="277C078E">
            <wp:extent cx="5733288" cy="2249424"/>
            <wp:effectExtent l="0" t="0" r="1270" b="17780"/>
            <wp:docPr id="1791616363" name="Chart 1" descr="Hague applications originating from Ukraine">
              <a:extLst xmlns:a="http://schemas.openxmlformats.org/drawingml/2006/main">
                <a:ext uri="{FF2B5EF4-FFF2-40B4-BE49-F238E27FC236}">
                  <a16:creationId xmlns:a16="http://schemas.microsoft.com/office/drawing/2014/main" id="{C7100EF2-DA4E-4C92-82D1-0F13F3057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395AC14" w14:textId="191289BB" w:rsidR="0023219B" w:rsidRDefault="00474E71" w:rsidP="0023219B">
      <w:pPr>
        <w:pStyle w:val="ONUME"/>
        <w:tabs>
          <w:tab w:val="clear" w:pos="1134"/>
          <w:tab w:val="num" w:pos="630"/>
        </w:tabs>
        <w:spacing w:before="360"/>
        <w:rPr>
          <w:lang w:eastAsia="en-US"/>
        </w:rPr>
      </w:pPr>
      <w:r>
        <w:rPr>
          <w:lang w:eastAsia="en-US"/>
        </w:rPr>
        <w:t>At the same time, i</w:t>
      </w:r>
      <w:r w:rsidR="003646C0" w:rsidRPr="0030349E">
        <w:rPr>
          <w:lang w:eastAsia="en-US"/>
        </w:rPr>
        <w:t>n 202</w:t>
      </w:r>
      <w:r w:rsidR="003646C0">
        <w:rPr>
          <w:lang w:eastAsia="en-US"/>
        </w:rPr>
        <w:t>5</w:t>
      </w:r>
      <w:r w:rsidR="003646C0" w:rsidRPr="0030349E">
        <w:rPr>
          <w:lang w:eastAsia="en-US"/>
        </w:rPr>
        <w:t xml:space="preserve"> the number of designs contained in applications of Ukrainian origin under the Hague System decreased to </w:t>
      </w:r>
      <w:r w:rsidR="003646C0">
        <w:rPr>
          <w:lang w:eastAsia="en-US"/>
        </w:rPr>
        <w:t>94</w:t>
      </w:r>
      <w:r w:rsidR="003646C0" w:rsidRPr="0030349E">
        <w:rPr>
          <w:lang w:eastAsia="en-US"/>
        </w:rPr>
        <w:t xml:space="preserve"> contained in</w:t>
      </w:r>
      <w:r w:rsidR="00CB0E24">
        <w:rPr>
          <w:lang w:eastAsia="en-US"/>
        </w:rPr>
        <w:t xml:space="preserve"> 55 applications,</w:t>
      </w:r>
      <w:r w:rsidR="003646C0" w:rsidRPr="0030349E">
        <w:rPr>
          <w:lang w:eastAsia="en-US"/>
        </w:rPr>
        <w:t xml:space="preserve"> compared to </w:t>
      </w:r>
      <w:r w:rsidR="003646C0">
        <w:rPr>
          <w:lang w:eastAsia="en-US"/>
        </w:rPr>
        <w:t>111</w:t>
      </w:r>
      <w:r w:rsidR="003646C0" w:rsidRPr="0030349E">
        <w:rPr>
          <w:lang w:eastAsia="en-US"/>
        </w:rPr>
        <w:t xml:space="preserve"> designs contained in </w:t>
      </w:r>
      <w:r w:rsidR="003646C0">
        <w:rPr>
          <w:lang w:eastAsia="en-US"/>
        </w:rPr>
        <w:t xml:space="preserve">33 </w:t>
      </w:r>
      <w:r w:rsidR="003646C0" w:rsidRPr="0030349E">
        <w:rPr>
          <w:lang w:eastAsia="en-US"/>
        </w:rPr>
        <w:t>applications in 202</w:t>
      </w:r>
      <w:r w:rsidR="003646C0">
        <w:rPr>
          <w:lang w:eastAsia="en-US"/>
        </w:rPr>
        <w:t>4</w:t>
      </w:r>
      <w:r w:rsidR="003646C0" w:rsidRPr="0030349E">
        <w:rPr>
          <w:lang w:eastAsia="en-US"/>
        </w:rPr>
        <w:t>.</w:t>
      </w:r>
    </w:p>
    <w:p w14:paraId="519F3AEA" w14:textId="2BCB953C" w:rsidR="0023219B" w:rsidRPr="0030349E" w:rsidRDefault="0023219B" w:rsidP="003646C0">
      <w:pPr>
        <w:pStyle w:val="ONUME"/>
        <w:numPr>
          <w:ilvl w:val="0"/>
          <w:numId w:val="0"/>
        </w:numPr>
        <w:tabs>
          <w:tab w:val="clear" w:pos="1134"/>
        </w:tabs>
        <w:spacing w:before="360"/>
        <w:rPr>
          <w:lang w:eastAsia="en-US"/>
        </w:rPr>
      </w:pPr>
      <w:r>
        <w:rPr>
          <w:noProof/>
          <w14:ligatures w14:val="standardContextual"/>
        </w:rPr>
        <w:drawing>
          <wp:inline distT="0" distB="0" distL="0" distR="0" wp14:anchorId="3C28FAA9" wp14:editId="4E4C8D6E">
            <wp:extent cx="5733288" cy="2249424"/>
            <wp:effectExtent l="0" t="0" r="1270" b="17780"/>
            <wp:docPr id="440265782" name="Chart 1" descr="Designs contained in Hague applications originating from Ukraine">
              <a:extLst xmlns:a="http://schemas.openxmlformats.org/drawingml/2006/main">
                <a:ext uri="{FF2B5EF4-FFF2-40B4-BE49-F238E27FC236}">
                  <a16:creationId xmlns:a16="http://schemas.microsoft.com/office/drawing/2014/main" id="{4AE7B0D9-1ADA-45BF-95D3-930097B1D9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D0CFC59" w14:textId="77777777" w:rsidR="003646C0" w:rsidRDefault="003646C0" w:rsidP="003646C0">
      <w:pPr>
        <w:pStyle w:val="ONUME"/>
        <w:tabs>
          <w:tab w:val="clear" w:pos="1134"/>
          <w:tab w:val="num" w:pos="630"/>
        </w:tabs>
        <w:spacing w:before="360"/>
        <w:rPr>
          <w:lang w:eastAsia="en-US"/>
        </w:rPr>
      </w:pPr>
      <w:r w:rsidRPr="0030349E">
        <w:rPr>
          <w:lang w:eastAsia="en-US"/>
        </w:rPr>
        <w:t>The number of designs contained in international applications with the designation of Ukraine also decreased from 1,</w:t>
      </w:r>
      <w:r>
        <w:rPr>
          <w:lang w:eastAsia="en-US"/>
        </w:rPr>
        <w:t>5</w:t>
      </w:r>
      <w:r w:rsidRPr="0030349E">
        <w:rPr>
          <w:lang w:eastAsia="en-US"/>
        </w:rPr>
        <w:t>7</w:t>
      </w:r>
      <w:r>
        <w:rPr>
          <w:lang w:eastAsia="en-US"/>
        </w:rPr>
        <w:t>2</w:t>
      </w:r>
      <w:r w:rsidRPr="0030349E">
        <w:rPr>
          <w:lang w:eastAsia="en-US"/>
        </w:rPr>
        <w:t xml:space="preserve"> designs contained in </w:t>
      </w:r>
      <w:r>
        <w:rPr>
          <w:lang w:eastAsia="en-US"/>
        </w:rPr>
        <w:t>523</w:t>
      </w:r>
      <w:r w:rsidRPr="0030349E">
        <w:rPr>
          <w:lang w:eastAsia="en-US"/>
        </w:rPr>
        <w:t xml:space="preserve"> applications in 202</w:t>
      </w:r>
      <w:r>
        <w:rPr>
          <w:lang w:eastAsia="en-US"/>
        </w:rPr>
        <w:t>4</w:t>
      </w:r>
      <w:r w:rsidRPr="0030349E">
        <w:rPr>
          <w:lang w:eastAsia="en-US"/>
        </w:rPr>
        <w:t xml:space="preserve"> to 1,5</w:t>
      </w:r>
      <w:r>
        <w:rPr>
          <w:lang w:eastAsia="en-US"/>
        </w:rPr>
        <w:t>10</w:t>
      </w:r>
      <w:r w:rsidRPr="0030349E">
        <w:rPr>
          <w:lang w:eastAsia="en-US"/>
        </w:rPr>
        <w:t xml:space="preserve"> designs contained in 5</w:t>
      </w:r>
      <w:r>
        <w:rPr>
          <w:lang w:eastAsia="en-US"/>
        </w:rPr>
        <w:t>16</w:t>
      </w:r>
      <w:r w:rsidRPr="0030349E">
        <w:rPr>
          <w:lang w:eastAsia="en-US"/>
        </w:rPr>
        <w:t xml:space="preserve"> applications in 202</w:t>
      </w:r>
      <w:r>
        <w:rPr>
          <w:lang w:eastAsia="en-US"/>
        </w:rPr>
        <w:t>5</w:t>
      </w:r>
      <w:r w:rsidRPr="0030349E">
        <w:rPr>
          <w:lang w:eastAsia="en-US"/>
        </w:rPr>
        <w:t>.</w:t>
      </w:r>
    </w:p>
    <w:p w14:paraId="0B03704B" w14:textId="5D4D70B9" w:rsidR="002768AE" w:rsidRDefault="002768AE" w:rsidP="00E74F73">
      <w:pPr>
        <w:pStyle w:val="ONUME"/>
        <w:numPr>
          <w:ilvl w:val="0"/>
          <w:numId w:val="0"/>
        </w:numPr>
        <w:tabs>
          <w:tab w:val="clear" w:pos="1134"/>
          <w:tab w:val="num" w:pos="630"/>
        </w:tabs>
        <w:spacing w:before="360"/>
        <w:rPr>
          <w:lang w:eastAsia="en-US"/>
        </w:rPr>
      </w:pPr>
      <w:r>
        <w:rPr>
          <w:noProof/>
          <w14:ligatures w14:val="standardContextual"/>
        </w:rPr>
        <w:lastRenderedPageBreak/>
        <w:drawing>
          <wp:inline distT="0" distB="0" distL="0" distR="0" wp14:anchorId="7EEA5BFE" wp14:editId="00B09FA2">
            <wp:extent cx="5733288" cy="2249424"/>
            <wp:effectExtent l="0" t="0" r="1270" b="17780"/>
            <wp:docPr id="805723103" name="Chart 1" descr="Designation of Ukrine in Hague applications (number of designs)">
              <a:extLst xmlns:a="http://schemas.openxmlformats.org/drawingml/2006/main">
                <a:ext uri="{FF2B5EF4-FFF2-40B4-BE49-F238E27FC236}">
                  <a16:creationId xmlns:a16="http://schemas.microsoft.com/office/drawing/2014/main" id="{78F109E0-444A-966F-AA46-A2A243440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547D786F" w14:textId="78B17D24" w:rsidR="000A7785" w:rsidRPr="00F25538" w:rsidRDefault="003646C0" w:rsidP="00F25538">
      <w:pPr>
        <w:pStyle w:val="Heading1"/>
        <w:spacing w:before="240" w:after="220" w:line="240" w:lineRule="auto"/>
        <w:ind w:left="547" w:hanging="547"/>
        <w:rPr>
          <w:b/>
          <w:bCs/>
          <w:color w:val="auto"/>
          <w:sz w:val="22"/>
          <w:szCs w:val="22"/>
          <w:lang w:eastAsia="en-US"/>
        </w:rPr>
      </w:pPr>
      <w:bookmarkStart w:id="51" w:name="_Toc232436587"/>
      <w:r w:rsidRPr="00F147BB">
        <w:rPr>
          <w:b/>
          <w:bCs/>
          <w:color w:val="auto"/>
          <w:sz w:val="22"/>
          <w:szCs w:val="22"/>
          <w:lang w:eastAsia="en-US"/>
        </w:rPr>
        <w:t>3.</w:t>
      </w:r>
      <w:r w:rsidRPr="00F147BB">
        <w:rPr>
          <w:b/>
          <w:bCs/>
          <w:color w:val="auto"/>
          <w:sz w:val="22"/>
          <w:szCs w:val="22"/>
          <w:lang w:eastAsia="en-US"/>
        </w:rPr>
        <w:tab/>
        <w:t>WIPO’</w:t>
      </w:r>
      <w:r w:rsidR="00F30EB8" w:rsidRPr="00F147BB">
        <w:rPr>
          <w:b/>
          <w:bCs/>
          <w:color w:val="auto"/>
          <w:sz w:val="22"/>
          <w:szCs w:val="22"/>
          <w:lang w:eastAsia="en-US"/>
        </w:rPr>
        <w:t xml:space="preserve">S </w:t>
      </w:r>
      <w:r w:rsidRPr="00F147BB">
        <w:rPr>
          <w:b/>
          <w:bCs/>
          <w:color w:val="auto"/>
          <w:sz w:val="22"/>
          <w:szCs w:val="22"/>
          <w:lang w:eastAsia="en-US"/>
        </w:rPr>
        <w:t>ASSISTANCE AND SUPPORT FOR UKRAINE’S INNOVATION AND CREATIVITY SECTOR AND INTELLECTUAL PROPERTY SYSTEM</w:t>
      </w:r>
      <w:bookmarkEnd w:id="51"/>
      <w:r w:rsidRPr="00F147BB">
        <w:rPr>
          <w:b/>
          <w:bCs/>
          <w:color w:val="auto"/>
          <w:sz w:val="22"/>
          <w:szCs w:val="22"/>
          <w:lang w:eastAsia="en-US"/>
        </w:rPr>
        <w:t xml:space="preserve"> </w:t>
      </w:r>
    </w:p>
    <w:p w14:paraId="7098E316" w14:textId="77777777" w:rsidR="003646C0" w:rsidRPr="00822E70" w:rsidRDefault="003646C0" w:rsidP="003646C0">
      <w:pPr>
        <w:pStyle w:val="ONUME"/>
        <w:rPr>
          <w:lang w:eastAsia="en-US"/>
        </w:rPr>
      </w:pPr>
      <w:r w:rsidRPr="00822E70">
        <w:rPr>
          <w:lang w:eastAsia="en-US"/>
        </w:rPr>
        <w:t>Throughout the reporting period</w:t>
      </w:r>
      <w:r>
        <w:rPr>
          <w:lang w:eastAsia="en-US"/>
        </w:rPr>
        <w:t>,</w:t>
      </w:r>
      <w:r w:rsidRPr="00822E70">
        <w:rPr>
          <w:lang w:eastAsia="en-US"/>
        </w:rPr>
        <w:t xml:space="preserve"> the International Bureau continued its close cooperation with Ukraine and ensured ongoing support and assistance to the creators, innovators, and members of the IP community, focusing on mitigating the adverse effects of the war and rebuilding an innovative and creative ecosystem in Ukraine that benefits all stakeholders and strengthens the country’s economy. </w:t>
      </w:r>
      <w:bookmarkStart w:id="52" w:name="_Hlk199316689"/>
    </w:p>
    <w:p w14:paraId="1D6446A8" w14:textId="69936544" w:rsidR="00AA0819" w:rsidRDefault="008D6910" w:rsidP="00AA0819">
      <w:pPr>
        <w:pStyle w:val="ONUME"/>
        <w:rPr>
          <w:lang w:eastAsia="en-US"/>
        </w:rPr>
      </w:pPr>
      <w:r w:rsidRPr="00E43301">
        <w:rPr>
          <w:lang w:eastAsia="en-US"/>
        </w:rPr>
        <w:t>To ensure regular dialogue</w:t>
      </w:r>
      <w:r w:rsidRPr="00822E70">
        <w:rPr>
          <w:lang w:eastAsia="en-US"/>
        </w:rPr>
        <w:t>, coordination, and responsiveness in the delivery of assistance</w:t>
      </w:r>
      <w:r>
        <w:rPr>
          <w:lang w:eastAsia="en-US"/>
        </w:rPr>
        <w:t>, s</w:t>
      </w:r>
      <w:r w:rsidR="003646C0" w:rsidRPr="00822E70">
        <w:rPr>
          <w:lang w:eastAsia="en-US"/>
        </w:rPr>
        <w:t xml:space="preserve">ince </w:t>
      </w:r>
      <w:r w:rsidR="00ED72E9" w:rsidRPr="00BE62BD">
        <w:rPr>
          <w:lang w:eastAsia="en-US"/>
        </w:rPr>
        <w:t>the last Assemblies</w:t>
      </w:r>
      <w:r w:rsidR="00ED72E9" w:rsidRPr="00822E70">
        <w:rPr>
          <w:lang w:eastAsia="en-US"/>
        </w:rPr>
        <w:t xml:space="preserve"> </w:t>
      </w:r>
      <w:r w:rsidR="003646C0" w:rsidRPr="00822E70">
        <w:rPr>
          <w:lang w:eastAsia="en-US"/>
        </w:rPr>
        <w:t xml:space="preserve">and by </w:t>
      </w:r>
      <w:r w:rsidR="003646C0">
        <w:rPr>
          <w:lang w:eastAsia="en-US"/>
        </w:rPr>
        <w:t xml:space="preserve">the </w:t>
      </w:r>
      <w:r w:rsidR="003646C0" w:rsidRPr="00822E70">
        <w:rPr>
          <w:lang w:eastAsia="en-US"/>
        </w:rPr>
        <w:t>end of May 202</w:t>
      </w:r>
      <w:r>
        <w:rPr>
          <w:lang w:eastAsia="en-US"/>
        </w:rPr>
        <w:t>6</w:t>
      </w:r>
      <w:r w:rsidR="003646C0" w:rsidRPr="00822E70">
        <w:rPr>
          <w:lang w:eastAsia="en-US"/>
        </w:rPr>
        <w:t xml:space="preserve">, more than </w:t>
      </w:r>
      <w:r w:rsidR="009335A6" w:rsidRPr="002A5A28">
        <w:rPr>
          <w:lang w:eastAsia="en-US"/>
        </w:rPr>
        <w:t>30</w:t>
      </w:r>
      <w:r w:rsidR="003646C0" w:rsidRPr="001647FF">
        <w:rPr>
          <w:lang w:eastAsia="en-US"/>
        </w:rPr>
        <w:t xml:space="preserve"> </w:t>
      </w:r>
      <w:r w:rsidR="003646C0" w:rsidRPr="00822E70">
        <w:rPr>
          <w:lang w:eastAsia="en-US"/>
        </w:rPr>
        <w:t>consultation meetings, both virtual and in-person, were held with key national and external stakeholders</w:t>
      </w:r>
      <w:r>
        <w:rPr>
          <w:lang w:eastAsia="en-US"/>
        </w:rPr>
        <w:t xml:space="preserve"> in</w:t>
      </w:r>
      <w:r w:rsidR="003646C0" w:rsidRPr="00822E70">
        <w:rPr>
          <w:lang w:eastAsia="en-US"/>
        </w:rPr>
        <w:t xml:space="preserve"> Ukraine.</w:t>
      </w:r>
    </w:p>
    <w:p w14:paraId="7AB573F7" w14:textId="24ED8F59" w:rsidR="007E52C6" w:rsidRDefault="00AA0819" w:rsidP="00AD5DCD">
      <w:pPr>
        <w:pStyle w:val="ONUME"/>
        <w:rPr>
          <w:rFonts w:ascii="Aptos" w:eastAsia="Times New Roman" w:hAnsi="Aptos" w:cs="Aptos"/>
          <w:sz w:val="24"/>
          <w:szCs w:val="24"/>
        </w:rPr>
      </w:pPr>
      <w:r w:rsidRPr="001F6A3F">
        <w:rPr>
          <w:lang w:eastAsia="en-US"/>
        </w:rPr>
        <w:t xml:space="preserve">In </w:t>
      </w:r>
      <w:r w:rsidR="001F6A3F" w:rsidRPr="001F6A3F">
        <w:rPr>
          <w:lang w:eastAsia="en-US"/>
        </w:rPr>
        <w:t>July 202</w:t>
      </w:r>
      <w:r w:rsidR="004072F7">
        <w:rPr>
          <w:lang w:eastAsia="en-US"/>
        </w:rPr>
        <w:t>5</w:t>
      </w:r>
      <w:r w:rsidR="009E0FCA">
        <w:rPr>
          <w:lang w:eastAsia="en-US"/>
        </w:rPr>
        <w:t xml:space="preserve"> during the WIPO Assemblies, as well as in October on the margins of the</w:t>
      </w:r>
      <w:r w:rsidR="009E0FCA" w:rsidRPr="009E0FCA">
        <w:t xml:space="preserve"> </w:t>
      </w:r>
      <w:r w:rsidR="009E0FCA" w:rsidRPr="009E0FCA">
        <w:rPr>
          <w:lang w:eastAsia="en-US"/>
        </w:rPr>
        <w:t>Tallinn Digital Summit</w:t>
      </w:r>
      <w:r w:rsidR="009E0FCA">
        <w:rPr>
          <w:lang w:eastAsia="en-US"/>
        </w:rPr>
        <w:t xml:space="preserve"> </w:t>
      </w:r>
      <w:r w:rsidRPr="001F6A3F">
        <w:rPr>
          <w:lang w:eastAsia="en-US"/>
        </w:rPr>
        <w:t xml:space="preserve">, the WIPO Director General met with </w:t>
      </w:r>
      <w:r w:rsidR="001F6A3F" w:rsidRPr="006B0A83">
        <w:rPr>
          <w:lang w:eastAsia="en-US"/>
        </w:rPr>
        <w:t xml:space="preserve">Mr. </w:t>
      </w:r>
      <w:r w:rsidR="001F6A3F">
        <w:rPr>
          <w:lang w:eastAsia="en-US"/>
        </w:rPr>
        <w:t xml:space="preserve">Oleksandr Tsybort, </w:t>
      </w:r>
      <w:r w:rsidR="004072F7" w:rsidRPr="004072F7">
        <w:rPr>
          <w:lang w:eastAsia="en-US"/>
        </w:rPr>
        <w:t>Deputy Minister of Economy</w:t>
      </w:r>
      <w:r w:rsidR="0021458C">
        <w:rPr>
          <w:lang w:eastAsia="en-US"/>
        </w:rPr>
        <w:t>, Environment and Agriculture</w:t>
      </w:r>
      <w:r w:rsidR="004072F7" w:rsidRPr="004072F7">
        <w:rPr>
          <w:lang w:eastAsia="en-US"/>
        </w:rPr>
        <w:t xml:space="preserve"> of Ukraine</w:t>
      </w:r>
      <w:r w:rsidR="00307C27">
        <w:rPr>
          <w:lang w:eastAsia="en-US"/>
        </w:rPr>
        <w:t>, responsible</w:t>
      </w:r>
      <w:r w:rsidR="004072F7" w:rsidRPr="004072F7">
        <w:rPr>
          <w:lang w:eastAsia="en-US"/>
        </w:rPr>
        <w:t xml:space="preserve"> for Digital Development, Digital Transformations, and Digitalization</w:t>
      </w:r>
      <w:r w:rsidR="001F6A3F" w:rsidRPr="00E406F5">
        <w:rPr>
          <w:lang w:eastAsia="en-US"/>
        </w:rPr>
        <w:t xml:space="preserve">, to discuss the priorities </w:t>
      </w:r>
      <w:r w:rsidR="009E0FCA">
        <w:rPr>
          <w:lang w:eastAsia="en-US"/>
        </w:rPr>
        <w:t xml:space="preserve">as well as the advancement of the </w:t>
      </w:r>
      <w:r w:rsidR="009E0FCA" w:rsidRPr="009E0FCA">
        <w:rPr>
          <w:rFonts w:ascii="Aptos" w:eastAsia="Times New Roman" w:hAnsi="Aptos" w:cs="Aptos"/>
          <w:sz w:val="24"/>
          <w:szCs w:val="24"/>
        </w:rPr>
        <w:t xml:space="preserve">bilateral cooperation agenda. </w:t>
      </w:r>
    </w:p>
    <w:bookmarkEnd w:id="52"/>
    <w:p w14:paraId="3CADC154" w14:textId="7A88EB9D" w:rsidR="003646C0" w:rsidRPr="005F1144" w:rsidRDefault="003646C0" w:rsidP="003646C0">
      <w:pPr>
        <w:pStyle w:val="ONUME"/>
        <w:rPr>
          <w:lang w:eastAsia="en-US"/>
        </w:rPr>
      </w:pPr>
      <w:r w:rsidRPr="005F1144">
        <w:rPr>
          <w:lang w:eastAsia="en-US"/>
        </w:rPr>
        <w:t xml:space="preserve">The International Bureau </w:t>
      </w:r>
      <w:r w:rsidR="00220127">
        <w:rPr>
          <w:lang w:eastAsia="en-US"/>
        </w:rPr>
        <w:t>continued to</w:t>
      </w:r>
      <w:r w:rsidRPr="005F1144">
        <w:rPr>
          <w:lang w:eastAsia="en-US"/>
        </w:rPr>
        <w:t xml:space="preserve"> ensure adequate financial and human resources within the approved Program of Work and Budget for the implementation of technical and legal assistance, capacity building, and other projects and activities for Ukraine, as appropriate and required, for the restoration and rebuilding of Ukraine’s IP sector and ecosystem. </w:t>
      </w:r>
    </w:p>
    <w:p w14:paraId="70DE8290" w14:textId="71FABCEE" w:rsidR="003646C0" w:rsidRPr="00822E70" w:rsidRDefault="003646C0" w:rsidP="003646C0">
      <w:pPr>
        <w:pStyle w:val="ONUME"/>
        <w:rPr>
          <w:lang w:eastAsia="en-US"/>
        </w:rPr>
      </w:pPr>
      <w:r w:rsidRPr="00822E70">
        <w:rPr>
          <w:lang w:eastAsia="en-US"/>
        </w:rPr>
        <w:t xml:space="preserve">The following sections of the Report provide a comprehensive overview of the </w:t>
      </w:r>
      <w:r>
        <w:rPr>
          <w:lang w:eastAsia="en-US"/>
        </w:rPr>
        <w:t>a</w:t>
      </w:r>
      <w:r w:rsidRPr="00822E70">
        <w:rPr>
          <w:lang w:eastAsia="en-US"/>
        </w:rPr>
        <w:t xml:space="preserve">ssistance and </w:t>
      </w:r>
      <w:r>
        <w:rPr>
          <w:lang w:eastAsia="en-US"/>
        </w:rPr>
        <w:t>s</w:t>
      </w:r>
      <w:r w:rsidRPr="00822E70">
        <w:rPr>
          <w:lang w:eastAsia="en-US"/>
        </w:rPr>
        <w:t xml:space="preserve">upport for Ukraine’s </w:t>
      </w:r>
      <w:r>
        <w:rPr>
          <w:lang w:eastAsia="en-US"/>
        </w:rPr>
        <w:t>i</w:t>
      </w:r>
      <w:r w:rsidRPr="00822E70">
        <w:rPr>
          <w:lang w:eastAsia="en-US"/>
        </w:rPr>
        <w:t xml:space="preserve">nnovation and </w:t>
      </w:r>
      <w:r>
        <w:rPr>
          <w:lang w:eastAsia="en-US"/>
        </w:rPr>
        <w:t>c</w:t>
      </w:r>
      <w:r w:rsidRPr="00822E70">
        <w:rPr>
          <w:lang w:eastAsia="en-US"/>
        </w:rPr>
        <w:t xml:space="preserve">reativity </w:t>
      </w:r>
      <w:r>
        <w:rPr>
          <w:lang w:eastAsia="en-US"/>
        </w:rPr>
        <w:t>s</w:t>
      </w:r>
      <w:r w:rsidRPr="00822E70">
        <w:rPr>
          <w:lang w:eastAsia="en-US"/>
        </w:rPr>
        <w:t xml:space="preserve">ector and IP </w:t>
      </w:r>
      <w:r>
        <w:rPr>
          <w:lang w:eastAsia="en-US"/>
        </w:rPr>
        <w:t>s</w:t>
      </w:r>
      <w:r w:rsidRPr="00822E70">
        <w:rPr>
          <w:lang w:eastAsia="en-US"/>
        </w:rPr>
        <w:t xml:space="preserve">ystem, </w:t>
      </w:r>
      <w:r>
        <w:rPr>
          <w:lang w:eastAsia="en-US"/>
        </w:rPr>
        <w:t>provided</w:t>
      </w:r>
      <w:r w:rsidRPr="00822E70">
        <w:rPr>
          <w:lang w:eastAsia="en-US"/>
        </w:rPr>
        <w:t xml:space="preserve"> by the International Bureau from July 202</w:t>
      </w:r>
      <w:r w:rsidR="00412F33">
        <w:rPr>
          <w:lang w:eastAsia="en-US"/>
        </w:rPr>
        <w:t>5</w:t>
      </w:r>
      <w:r w:rsidRPr="00822E70">
        <w:rPr>
          <w:lang w:eastAsia="en-US"/>
        </w:rPr>
        <w:t xml:space="preserve"> to May 202</w:t>
      </w:r>
      <w:r w:rsidR="00412F33">
        <w:rPr>
          <w:lang w:eastAsia="en-US"/>
        </w:rPr>
        <w:t>6</w:t>
      </w:r>
      <w:r w:rsidRPr="00822E70">
        <w:rPr>
          <w:lang w:eastAsia="en-US"/>
        </w:rPr>
        <w:t xml:space="preserve">. </w:t>
      </w:r>
    </w:p>
    <w:p w14:paraId="2343C05B" w14:textId="1B688A94" w:rsidR="003646C0" w:rsidRPr="008E2219" w:rsidRDefault="00F30EB8" w:rsidP="003010B8">
      <w:pPr>
        <w:pStyle w:val="Heading2"/>
        <w:numPr>
          <w:ilvl w:val="1"/>
          <w:numId w:val="31"/>
        </w:numPr>
        <w:tabs>
          <w:tab w:val="left" w:pos="1170"/>
        </w:tabs>
        <w:spacing w:after="220"/>
        <w:ind w:left="1170" w:hanging="637"/>
        <w:rPr>
          <w:b w:val="0"/>
          <w:bCs/>
          <w:color w:val="000000" w:themeColor="text1"/>
          <w:sz w:val="22"/>
          <w:szCs w:val="22"/>
          <w:lang w:eastAsia="en-US"/>
        </w:rPr>
      </w:pPr>
      <w:bookmarkStart w:id="53" w:name="_Toc232436588"/>
      <w:r w:rsidRPr="008E2219">
        <w:rPr>
          <w:b w:val="0"/>
          <w:bCs/>
          <w:color w:val="000000" w:themeColor="text1"/>
          <w:sz w:val="22"/>
          <w:szCs w:val="22"/>
          <w:lang w:eastAsia="en-US"/>
        </w:rPr>
        <w:t>IMPLEMENTATION OF THE MEMORANDUM OF UNDERSTANDING (MOU) BETWEEN WIPO AND THE MINISTRY OF ECONOMY OF UKRAINE ON COOPERATION IN THE SPHERE OF INTELLECTUAL PROPERTY</w:t>
      </w:r>
      <w:bookmarkEnd w:id="53"/>
      <w:r w:rsidRPr="008E2219">
        <w:rPr>
          <w:b w:val="0"/>
          <w:bCs/>
          <w:color w:val="000000" w:themeColor="text1"/>
          <w:sz w:val="22"/>
          <w:szCs w:val="22"/>
          <w:lang w:eastAsia="en-US"/>
        </w:rPr>
        <w:t xml:space="preserve"> </w:t>
      </w:r>
    </w:p>
    <w:p w14:paraId="79372837" w14:textId="0B52F280" w:rsidR="003646C0" w:rsidRPr="008E2219" w:rsidRDefault="008E2219" w:rsidP="00667F6E">
      <w:pPr>
        <w:pStyle w:val="ONUME"/>
        <w:rPr>
          <w:lang w:eastAsia="en-US"/>
        </w:rPr>
      </w:pPr>
      <w:r>
        <w:rPr>
          <w:lang w:eastAsia="en-US"/>
        </w:rPr>
        <w:t xml:space="preserve">In </w:t>
      </w:r>
      <w:r w:rsidR="00053DE0">
        <w:rPr>
          <w:lang w:eastAsia="en-US"/>
        </w:rPr>
        <w:t xml:space="preserve">July </w:t>
      </w:r>
      <w:r>
        <w:rPr>
          <w:lang w:eastAsia="en-US"/>
        </w:rPr>
        <w:t>2025,</w:t>
      </w:r>
      <w:r w:rsidR="003646C0" w:rsidRPr="008E2219">
        <w:rPr>
          <w:lang w:eastAsia="en-US"/>
        </w:rPr>
        <w:t xml:space="preserve"> WIPO and the Ministry of Economy</w:t>
      </w:r>
      <w:r w:rsidR="006B0401">
        <w:rPr>
          <w:rStyle w:val="FootnoteReference"/>
          <w:lang w:eastAsia="en-US"/>
        </w:rPr>
        <w:footnoteReference w:id="27"/>
      </w:r>
      <w:r w:rsidR="003646C0" w:rsidRPr="008E2219">
        <w:rPr>
          <w:lang w:eastAsia="en-US"/>
        </w:rPr>
        <w:t xml:space="preserve"> of Ukraine</w:t>
      </w:r>
      <w:r w:rsidR="00053DE0">
        <w:rPr>
          <w:lang w:eastAsia="en-US"/>
        </w:rPr>
        <w:t xml:space="preserve"> signed a new MoU</w:t>
      </w:r>
      <w:r w:rsidR="003646C0" w:rsidRPr="008E2219">
        <w:rPr>
          <w:lang w:eastAsia="en-US"/>
        </w:rPr>
        <w:t xml:space="preserve"> on Cooperation in the Sphere of Intellectual Property</w:t>
      </w:r>
      <w:r w:rsidR="00667F6E">
        <w:rPr>
          <w:lang w:eastAsia="en-US"/>
        </w:rPr>
        <w:t xml:space="preserve">, </w:t>
      </w:r>
      <w:r w:rsidR="00823590">
        <w:rPr>
          <w:lang w:eastAsia="en-US"/>
        </w:rPr>
        <w:t>reflecting the new</w:t>
      </w:r>
      <w:r w:rsidR="00797918">
        <w:rPr>
          <w:lang w:eastAsia="en-US"/>
        </w:rPr>
        <w:t xml:space="preserve"> cooperation</w:t>
      </w:r>
      <w:r w:rsidR="00823590">
        <w:rPr>
          <w:lang w:eastAsia="en-US"/>
        </w:rPr>
        <w:t xml:space="preserve"> priorities of Ukraine and driving</w:t>
      </w:r>
      <w:r w:rsidR="000D4C30">
        <w:rPr>
          <w:lang w:eastAsia="en-US"/>
        </w:rPr>
        <w:t xml:space="preserve"> the </w:t>
      </w:r>
      <w:r w:rsidR="003646C0" w:rsidRPr="008E2219">
        <w:rPr>
          <w:lang w:eastAsia="en-US"/>
        </w:rPr>
        <w:t xml:space="preserve">efficient implementation of the support to Ukraine in response to the </w:t>
      </w:r>
      <w:r w:rsidR="003646C0" w:rsidRPr="008E2219">
        <w:rPr>
          <w:lang w:eastAsia="en-US"/>
        </w:rPr>
        <w:lastRenderedPageBreak/>
        <w:t>significant disruptions caused by the war, in line with the decisions adopted by the WIPO Assemblies.</w:t>
      </w:r>
    </w:p>
    <w:p w14:paraId="53D901C9" w14:textId="798B0C28" w:rsidR="003646C0" w:rsidRPr="008E2219" w:rsidRDefault="003646C0" w:rsidP="00186EFD">
      <w:pPr>
        <w:pStyle w:val="ONUME"/>
        <w:rPr>
          <w:lang w:eastAsia="en-US"/>
        </w:rPr>
      </w:pPr>
      <w:r w:rsidRPr="008E2219">
        <w:rPr>
          <w:lang w:eastAsia="en-US"/>
        </w:rPr>
        <w:t xml:space="preserve">Serving as a key framework for collaboration, the MoU guided multiple technical assistance, legal advisory, and capacity-building activities carried out between the International Bureau and Ukrainian institutions over the past </w:t>
      </w:r>
      <w:r w:rsidR="00823590">
        <w:rPr>
          <w:lang w:eastAsia="en-US"/>
        </w:rPr>
        <w:t>year</w:t>
      </w:r>
      <w:r w:rsidRPr="008E2219">
        <w:rPr>
          <w:lang w:eastAsia="en-US"/>
        </w:rPr>
        <w:t xml:space="preserve">.  Notable progress has been achieved under this cooperation, as further detailed below. </w:t>
      </w:r>
    </w:p>
    <w:p w14:paraId="472663DF" w14:textId="50994B1B" w:rsidR="003646C0" w:rsidRPr="00F30EB8" w:rsidRDefault="00F30EB8" w:rsidP="003010B8">
      <w:pPr>
        <w:pStyle w:val="Heading2"/>
        <w:numPr>
          <w:ilvl w:val="1"/>
          <w:numId w:val="30"/>
        </w:numPr>
        <w:tabs>
          <w:tab w:val="left" w:pos="1170"/>
          <w:tab w:val="left" w:pos="1350"/>
        </w:tabs>
        <w:spacing w:after="220"/>
        <w:ind w:left="1170" w:hanging="637"/>
        <w:rPr>
          <w:b w:val="0"/>
          <w:bCs/>
          <w:color w:val="000000" w:themeColor="text1"/>
          <w:sz w:val="22"/>
          <w:szCs w:val="18"/>
          <w:lang w:eastAsia="en-US"/>
        </w:rPr>
      </w:pPr>
      <w:bookmarkStart w:id="54" w:name="_Toc232436589"/>
      <w:r w:rsidRPr="00F30EB8">
        <w:rPr>
          <w:b w:val="0"/>
          <w:bCs/>
          <w:color w:val="000000" w:themeColor="text1"/>
          <w:sz w:val="22"/>
          <w:szCs w:val="18"/>
          <w:lang w:eastAsia="en-US"/>
        </w:rPr>
        <w:t>SUPPORT FOR THE DEVELOPMENT OF THE NATIONAL IP STRATEGY</w:t>
      </w:r>
      <w:bookmarkEnd w:id="54"/>
      <w:r w:rsidRPr="00F30EB8">
        <w:rPr>
          <w:b w:val="0"/>
          <w:bCs/>
          <w:color w:val="000000" w:themeColor="text1"/>
          <w:sz w:val="22"/>
          <w:szCs w:val="18"/>
          <w:lang w:eastAsia="en-US"/>
        </w:rPr>
        <w:t xml:space="preserve"> </w:t>
      </w:r>
    </w:p>
    <w:p w14:paraId="10C513CD" w14:textId="02A086D8" w:rsidR="008F0353" w:rsidRPr="007D0224" w:rsidRDefault="00AD74A0" w:rsidP="008F0353">
      <w:pPr>
        <w:pStyle w:val="ONUME"/>
      </w:pPr>
      <w:r>
        <w:t>During the reporting period</w:t>
      </w:r>
      <w:r w:rsidR="008F0353" w:rsidRPr="007D0224">
        <w:t>, the International Bureau continue</w:t>
      </w:r>
      <w:r w:rsidR="00BF03A4">
        <w:t>d</w:t>
      </w:r>
      <w:r w:rsidR="008F0353" w:rsidRPr="007D0224">
        <w:t xml:space="preserve"> to support the </w:t>
      </w:r>
      <w:r w:rsidR="003757F0">
        <w:t>development</w:t>
      </w:r>
      <w:r w:rsidR="008F0353" w:rsidRPr="007D0224">
        <w:t xml:space="preserve"> of the National Strategy for the Development of the </w:t>
      </w:r>
      <w:r w:rsidR="00595996">
        <w:t xml:space="preserve">IP </w:t>
      </w:r>
      <w:r w:rsidR="008F0353" w:rsidRPr="007D0224">
        <w:t>Sphere of Ukraine</w:t>
      </w:r>
      <w:r w:rsidR="003757F0">
        <w:t xml:space="preserve">, </w:t>
      </w:r>
      <w:r w:rsidR="008F0353" w:rsidRPr="007D0224">
        <w:t xml:space="preserve">coordinated by the </w:t>
      </w:r>
      <w:r w:rsidR="008F0353" w:rsidRPr="00283939">
        <w:t>Ministry of Economy</w:t>
      </w:r>
      <w:r w:rsidR="00AD5DE1" w:rsidRPr="00AD5DE1">
        <w:t>, Environment and Agriculture of Ukraine</w:t>
      </w:r>
      <w:r w:rsidR="008F0353" w:rsidRPr="007D0224">
        <w:t>.</w:t>
      </w:r>
    </w:p>
    <w:p w14:paraId="4C6D5BFD" w14:textId="573CC13F" w:rsidR="00C942A5" w:rsidRDefault="00C942A5" w:rsidP="00E516B2">
      <w:pPr>
        <w:pStyle w:val="ONUME"/>
      </w:pPr>
      <w:r w:rsidRPr="00C942A5">
        <w:t>Following the completion of public consultations in early 2026, the Ministry of Economy</w:t>
      </w:r>
      <w:r w:rsidR="00FD03BB" w:rsidRPr="00AD5DE1">
        <w:t>, Environment and Agriculture of Ukraine</w:t>
      </w:r>
      <w:r w:rsidRPr="00C942A5">
        <w:t xml:space="preserve"> updated and finalized the draft </w:t>
      </w:r>
      <w:r>
        <w:t>NIPS</w:t>
      </w:r>
      <w:r w:rsidRPr="00C942A5">
        <w:t xml:space="preserve"> and the Operational Plan for its implementation in 2026</w:t>
      </w:r>
      <w:r w:rsidR="00FD03BB">
        <w:t>-</w:t>
      </w:r>
      <w:r w:rsidRPr="00C942A5">
        <w:t xml:space="preserve">2028. </w:t>
      </w:r>
    </w:p>
    <w:p w14:paraId="07DC2586" w14:textId="08100FE8" w:rsidR="00C942A5" w:rsidRDefault="00B24998" w:rsidP="00C942A5">
      <w:pPr>
        <w:pStyle w:val="ONUME"/>
      </w:pPr>
      <w:r>
        <w:t>Subsequently, t</w:t>
      </w:r>
      <w:r w:rsidR="00C942A5" w:rsidRPr="00C942A5">
        <w:t>he International Bureau continued consultations with the Ministry of Economy</w:t>
      </w:r>
      <w:r w:rsidR="00FD03BB" w:rsidRPr="00AD5DE1">
        <w:t>, Environment and Agriculture of Ukraine</w:t>
      </w:r>
      <w:r w:rsidR="00424ADF">
        <w:t xml:space="preserve"> </w:t>
      </w:r>
      <w:r w:rsidR="00C942A5" w:rsidRPr="00C942A5">
        <w:t>with a view to reviewing the Operational Plan and identifying areas where WIPO tools, expertise and technical assistance could support its practical implementation upon adoption.</w:t>
      </w:r>
      <w:r w:rsidR="00C942A5">
        <w:t xml:space="preserve"> </w:t>
      </w:r>
      <w:r w:rsidR="00915C5C">
        <w:t xml:space="preserve"> </w:t>
      </w:r>
      <w:r w:rsidR="00712F82" w:rsidRPr="00712F82">
        <w:t xml:space="preserve">In this context, </w:t>
      </w:r>
      <w:r w:rsidR="00EC3D3A">
        <w:t xml:space="preserve">in May 2026 </w:t>
      </w:r>
      <w:r w:rsidR="00712F82" w:rsidRPr="00712F82">
        <w:t>the International Bureau shared with the Ministry an overview of WIPO programs, tools and technical assistance that could be relevant to the implementation of the Strategy and its Operational Plan.</w:t>
      </w:r>
    </w:p>
    <w:p w14:paraId="64ACECFB" w14:textId="5A35DAAB" w:rsidR="002C140D" w:rsidRDefault="002C140D" w:rsidP="00C942A5">
      <w:pPr>
        <w:pStyle w:val="ONUME"/>
      </w:pPr>
      <w:r w:rsidRPr="002C140D">
        <w:t xml:space="preserve">The overview identified possible </w:t>
      </w:r>
      <w:r w:rsidR="00476F78">
        <w:t xml:space="preserve">new </w:t>
      </w:r>
      <w:r w:rsidRPr="002C140D">
        <w:t xml:space="preserve">areas of cooperation, </w:t>
      </w:r>
      <w:r w:rsidR="00476F78">
        <w:t xml:space="preserve">including </w:t>
      </w:r>
      <w:r w:rsidRPr="002C140D">
        <w:t>digital transformation and IP infrastructure, AI and emerging technologies, IP analytics, technology transfer, creative economy measurement, IP valuation and financing</w:t>
      </w:r>
      <w:r w:rsidR="00476F78">
        <w:t xml:space="preserve">. </w:t>
      </w:r>
      <w:r w:rsidRPr="002C140D">
        <w:t xml:space="preserve"> </w:t>
      </w:r>
    </w:p>
    <w:p w14:paraId="6F4A6ED9" w14:textId="5F12B2B4" w:rsidR="003646C0" w:rsidRPr="00A43455" w:rsidRDefault="00F30EB8" w:rsidP="003010B8">
      <w:pPr>
        <w:pStyle w:val="Heading2"/>
        <w:numPr>
          <w:ilvl w:val="1"/>
          <w:numId w:val="6"/>
        </w:numPr>
        <w:tabs>
          <w:tab w:val="left" w:pos="1170"/>
        </w:tabs>
        <w:spacing w:after="220"/>
        <w:ind w:left="1170" w:hanging="630"/>
        <w:rPr>
          <w:b w:val="0"/>
          <w:bCs/>
          <w:color w:val="000000" w:themeColor="text1"/>
          <w:sz w:val="22"/>
          <w:szCs w:val="22"/>
          <w:lang w:eastAsia="en-US"/>
        </w:rPr>
      </w:pPr>
      <w:bookmarkStart w:id="55" w:name="_Toc232436590"/>
      <w:r w:rsidRPr="00A43455">
        <w:rPr>
          <w:b w:val="0"/>
          <w:bCs/>
          <w:color w:val="000000" w:themeColor="text1"/>
          <w:sz w:val="22"/>
          <w:szCs w:val="22"/>
          <w:lang w:eastAsia="en-US"/>
        </w:rPr>
        <w:t>GENEVA ACT OF THE LISBON AGREEMENT</w:t>
      </w:r>
      <w:bookmarkEnd w:id="55"/>
      <w:r w:rsidRPr="00A43455">
        <w:rPr>
          <w:b w:val="0"/>
          <w:bCs/>
          <w:color w:val="000000" w:themeColor="text1"/>
          <w:sz w:val="22"/>
          <w:szCs w:val="22"/>
          <w:lang w:eastAsia="en-US"/>
        </w:rPr>
        <w:t xml:space="preserve">  </w:t>
      </w:r>
    </w:p>
    <w:p w14:paraId="29A7AE2B" w14:textId="39B9CE86" w:rsidR="00780753" w:rsidRDefault="003646C0" w:rsidP="00545FFC">
      <w:pPr>
        <w:pStyle w:val="ONUME"/>
      </w:pPr>
      <w:r w:rsidRPr="00A43455">
        <w:rPr>
          <w:lang w:eastAsia="en-US"/>
        </w:rPr>
        <w:t>Following</w:t>
      </w:r>
      <w:r w:rsidR="00BF34C7" w:rsidRPr="00A43455">
        <w:rPr>
          <w:lang w:eastAsia="en-US"/>
        </w:rPr>
        <w:t xml:space="preserve"> </w:t>
      </w:r>
      <w:r w:rsidRPr="00A43455">
        <w:rPr>
          <w:lang w:eastAsia="en-US"/>
        </w:rPr>
        <w:t xml:space="preserve">interest expressed by Ukraine </w:t>
      </w:r>
      <w:r w:rsidR="00F60D1D" w:rsidRPr="00A43455">
        <w:rPr>
          <w:lang w:eastAsia="en-US"/>
        </w:rPr>
        <w:t>in 2025</w:t>
      </w:r>
      <w:r w:rsidR="00F60D1D">
        <w:rPr>
          <w:lang w:eastAsia="en-US"/>
        </w:rPr>
        <w:t xml:space="preserve"> </w:t>
      </w:r>
      <w:r w:rsidRPr="00A43455">
        <w:rPr>
          <w:lang w:eastAsia="en-US"/>
        </w:rPr>
        <w:t xml:space="preserve">in joining the </w:t>
      </w:r>
      <w:r w:rsidR="00512C25" w:rsidRPr="00A43455">
        <w:rPr>
          <w:lang w:eastAsia="en-US"/>
        </w:rPr>
        <w:t>Geneva Act of the Lisbon Agreement on Appellations of Origin and Geographical Indications</w:t>
      </w:r>
      <w:r w:rsidR="00F26986" w:rsidRPr="00A43455">
        <w:rPr>
          <w:lang w:eastAsia="en-US"/>
        </w:rPr>
        <w:t>,</w:t>
      </w:r>
      <w:r w:rsidR="00BF34C7" w:rsidRPr="00A43455">
        <w:rPr>
          <w:lang w:eastAsia="en-US"/>
        </w:rPr>
        <w:t xml:space="preserve"> </w:t>
      </w:r>
      <w:r w:rsidR="00512C25" w:rsidRPr="00A43455">
        <w:rPr>
          <w:lang w:eastAsia="en-US"/>
        </w:rPr>
        <w:t>in 2026</w:t>
      </w:r>
      <w:r w:rsidR="00C942A5">
        <w:rPr>
          <w:lang w:eastAsia="en-US"/>
        </w:rPr>
        <w:t>,</w:t>
      </w:r>
      <w:r w:rsidR="00512C25" w:rsidRPr="00A43455">
        <w:rPr>
          <w:lang w:eastAsia="en-US"/>
        </w:rPr>
        <w:t xml:space="preserve"> the</w:t>
      </w:r>
      <w:r w:rsidRPr="00A43455">
        <w:rPr>
          <w:lang w:eastAsia="en-US"/>
        </w:rPr>
        <w:t xml:space="preserve"> International Bureau </w:t>
      </w:r>
      <w:r w:rsidR="00843D47" w:rsidRPr="00A43455">
        <w:rPr>
          <w:lang w:eastAsia="en-US"/>
        </w:rPr>
        <w:t>continued consultations on the</w:t>
      </w:r>
      <w:r w:rsidR="000C1978" w:rsidRPr="00A43455">
        <w:rPr>
          <w:lang w:eastAsia="en-US"/>
        </w:rPr>
        <w:t xml:space="preserve"> </w:t>
      </w:r>
      <w:r w:rsidR="00512C25" w:rsidRPr="00A43455">
        <w:rPr>
          <w:lang w:eastAsia="en-US"/>
        </w:rPr>
        <w:t xml:space="preserve">accession process with </w:t>
      </w:r>
      <w:r w:rsidR="00F26986" w:rsidRPr="00A43455">
        <w:rPr>
          <w:lang w:eastAsia="en-US"/>
        </w:rPr>
        <w:t>UANIPIO</w:t>
      </w:r>
      <w:r w:rsidR="00843D47" w:rsidRPr="00A43455">
        <w:rPr>
          <w:lang w:eastAsia="en-US"/>
        </w:rPr>
        <w:t>.</w:t>
      </w:r>
      <w:r w:rsidRPr="00A43455">
        <w:rPr>
          <w:lang w:eastAsia="en-US"/>
        </w:rPr>
        <w:t xml:space="preserve"> </w:t>
      </w:r>
      <w:r w:rsidR="00915C5C">
        <w:rPr>
          <w:lang w:eastAsia="en-US"/>
        </w:rPr>
        <w:t xml:space="preserve"> </w:t>
      </w:r>
      <w:r w:rsidR="00BF189C" w:rsidRPr="00A43455">
        <w:rPr>
          <w:lang w:eastAsia="en-US"/>
        </w:rPr>
        <w:t xml:space="preserve">Further preparation </w:t>
      </w:r>
      <w:r w:rsidR="008B2798">
        <w:rPr>
          <w:lang w:eastAsia="en-US"/>
        </w:rPr>
        <w:t xml:space="preserve">for accession </w:t>
      </w:r>
      <w:r w:rsidR="00BF189C" w:rsidRPr="00A43455">
        <w:rPr>
          <w:lang w:eastAsia="en-US"/>
        </w:rPr>
        <w:t xml:space="preserve">would include </w:t>
      </w:r>
      <w:r w:rsidR="00B10BE8" w:rsidRPr="00A43455">
        <w:rPr>
          <w:lang w:eastAsia="en-US"/>
        </w:rPr>
        <w:t xml:space="preserve">organization of online Workshops for national stakeholders </w:t>
      </w:r>
      <w:r w:rsidR="004814C0">
        <w:rPr>
          <w:lang w:eastAsia="en-US"/>
        </w:rPr>
        <w:t xml:space="preserve">planned for June 2026 </w:t>
      </w:r>
      <w:r w:rsidR="00B10BE8" w:rsidRPr="00A43455">
        <w:rPr>
          <w:lang w:eastAsia="en-US"/>
        </w:rPr>
        <w:t>and review of Ukraine’s legislation to</w:t>
      </w:r>
      <w:r w:rsidR="00B10BE8" w:rsidRPr="00A43455">
        <w:t xml:space="preserve"> s</w:t>
      </w:r>
      <w:r w:rsidR="00F960BE" w:rsidRPr="00A43455">
        <w:t>ecure it</w:t>
      </w:r>
      <w:r w:rsidR="00B10BE8" w:rsidRPr="00A43455">
        <w:t>s</w:t>
      </w:r>
      <w:r w:rsidR="00F960BE" w:rsidRPr="00A43455">
        <w:t xml:space="preserve"> align</w:t>
      </w:r>
      <w:r w:rsidR="00B10BE8" w:rsidRPr="00A43455">
        <w:t>ment</w:t>
      </w:r>
      <w:r w:rsidR="00F960BE" w:rsidRPr="00A43455">
        <w:t xml:space="preserve"> with the Geneva Act.</w:t>
      </w:r>
    </w:p>
    <w:p w14:paraId="0CDC716C" w14:textId="66011461" w:rsidR="00755F19" w:rsidRPr="003010B8" w:rsidRDefault="00755F19" w:rsidP="003010B8">
      <w:pPr>
        <w:pStyle w:val="Heading2"/>
        <w:numPr>
          <w:ilvl w:val="1"/>
          <w:numId w:val="6"/>
        </w:numPr>
        <w:tabs>
          <w:tab w:val="left" w:pos="1170"/>
        </w:tabs>
        <w:spacing w:after="220"/>
        <w:ind w:left="1170" w:hanging="630"/>
        <w:rPr>
          <w:color w:val="000000" w:themeColor="text1"/>
          <w:szCs w:val="22"/>
          <w:lang w:eastAsia="en-US"/>
        </w:rPr>
      </w:pPr>
      <w:bookmarkStart w:id="56" w:name="_Toc232436591"/>
      <w:r>
        <w:rPr>
          <w:b w:val="0"/>
          <w:bCs/>
          <w:color w:val="000000" w:themeColor="text1"/>
          <w:sz w:val="22"/>
          <w:szCs w:val="22"/>
          <w:lang w:eastAsia="en-US"/>
        </w:rPr>
        <w:t>SUPPORT FOR INCREASED IP KNOWLEDGE AND SKILLS</w:t>
      </w:r>
      <w:bookmarkEnd w:id="56"/>
    </w:p>
    <w:p w14:paraId="526C8818" w14:textId="5E02B592" w:rsidR="003646C0" w:rsidRPr="002C7B02" w:rsidRDefault="003646C0" w:rsidP="003010B8">
      <w:pPr>
        <w:pStyle w:val="Heading2"/>
        <w:numPr>
          <w:ilvl w:val="3"/>
          <w:numId w:val="32"/>
        </w:numPr>
        <w:tabs>
          <w:tab w:val="left" w:pos="1170"/>
        </w:tabs>
        <w:spacing w:after="220"/>
        <w:ind w:left="1890"/>
        <w:rPr>
          <w:b w:val="0"/>
          <w:bCs/>
          <w:color w:val="000000" w:themeColor="text1"/>
          <w:sz w:val="22"/>
          <w:szCs w:val="18"/>
          <w:lang w:eastAsia="en-US"/>
        </w:rPr>
      </w:pPr>
      <w:bookmarkStart w:id="57" w:name="_Toc230714783"/>
      <w:bookmarkStart w:id="58" w:name="_Toc230714784"/>
      <w:bookmarkStart w:id="59" w:name="_Toc232436592"/>
      <w:bookmarkStart w:id="60" w:name="_Hlk198228341"/>
      <w:bookmarkEnd w:id="57"/>
      <w:bookmarkEnd w:id="58"/>
      <w:r w:rsidRPr="002C7B02">
        <w:rPr>
          <w:rFonts w:eastAsia="SimSun"/>
          <w:b w:val="0"/>
          <w:color w:val="auto"/>
          <w:sz w:val="22"/>
          <w:szCs w:val="22"/>
          <w:u w:val="single"/>
          <w:lang w:eastAsia="en-US"/>
        </w:rPr>
        <w:t>WIPO</w:t>
      </w:r>
      <w:r w:rsidRPr="002C7B02">
        <w:rPr>
          <w:rFonts w:eastAsia="SimSun"/>
          <w:b w:val="0"/>
          <w:bCs/>
          <w:color w:val="auto"/>
          <w:u w:val="single"/>
          <w:lang w:eastAsia="en-US"/>
        </w:rPr>
        <w:t xml:space="preserve"> </w:t>
      </w:r>
      <w:r w:rsidRPr="00335C16">
        <w:rPr>
          <w:rFonts w:eastAsia="SimSun"/>
          <w:b w:val="0"/>
          <w:bCs/>
          <w:color w:val="auto"/>
          <w:sz w:val="22"/>
          <w:szCs w:val="18"/>
          <w:u w:val="single"/>
          <w:lang w:eastAsia="en-US"/>
        </w:rPr>
        <w:t>Academy –</w:t>
      </w:r>
      <w:r w:rsidR="005A60A4" w:rsidRPr="00335C16">
        <w:rPr>
          <w:rFonts w:eastAsia="SimSun"/>
          <w:b w:val="0"/>
          <w:bCs/>
          <w:color w:val="auto"/>
          <w:sz w:val="22"/>
          <w:szCs w:val="18"/>
          <w:u w:val="single"/>
          <w:lang w:eastAsia="en-US"/>
        </w:rPr>
        <w:t xml:space="preserve"> IP Academy of Ukraine</w:t>
      </w:r>
      <w:bookmarkEnd w:id="59"/>
    </w:p>
    <w:p w14:paraId="461915DC" w14:textId="47543AF5" w:rsidR="00083811" w:rsidRPr="00083811" w:rsidRDefault="00D31261" w:rsidP="00083811">
      <w:pPr>
        <w:pStyle w:val="ONUME"/>
        <w:numPr>
          <w:ilvl w:val="0"/>
          <w:numId w:val="9"/>
        </w:numPr>
      </w:pPr>
      <w:r w:rsidRPr="00545FFC">
        <w:t>Since its establishment</w:t>
      </w:r>
      <w:r w:rsidR="008B7174">
        <w:t>,</w:t>
      </w:r>
      <w:r w:rsidRPr="00545FFC">
        <w:t xml:space="preserve"> </w:t>
      </w:r>
      <w:r w:rsidR="008B7174">
        <w:t>t</w:t>
      </w:r>
      <w:r w:rsidR="00083811" w:rsidRPr="00AC6ECC">
        <w:t xml:space="preserve">he </w:t>
      </w:r>
      <w:r w:rsidR="00083811">
        <w:t>IP Academy of Ukraine (</w:t>
      </w:r>
      <w:r w:rsidR="00083811" w:rsidRPr="00AC6ECC">
        <w:t>IPA</w:t>
      </w:r>
      <w:r w:rsidR="00083811">
        <w:t>)</w:t>
      </w:r>
      <w:r w:rsidR="00083811" w:rsidRPr="00AC6ECC">
        <w:t xml:space="preserve"> delivered 211 activities, reaching more than 24,571 participants, of whom approximately 60.5</w:t>
      </w:r>
      <w:r w:rsidR="00164639" w:rsidRPr="00164639">
        <w:rPr>
          <w:color w:val="000000" w:themeColor="text1"/>
        </w:rPr>
        <w:t xml:space="preserve"> </w:t>
      </w:r>
      <w:r w:rsidR="00164639">
        <w:rPr>
          <w:color w:val="000000" w:themeColor="text1"/>
        </w:rPr>
        <w:t>per</w:t>
      </w:r>
      <w:r w:rsidR="002B0284">
        <w:rPr>
          <w:color w:val="000000" w:themeColor="text1"/>
        </w:rPr>
        <w:t xml:space="preserve"> </w:t>
      </w:r>
      <w:r w:rsidR="00164639">
        <w:rPr>
          <w:color w:val="000000" w:themeColor="text1"/>
        </w:rPr>
        <w:t>cent</w:t>
      </w:r>
      <w:r w:rsidR="00083811" w:rsidRPr="00AC6ECC">
        <w:t xml:space="preserve"> were women and over 59</w:t>
      </w:r>
      <w:r w:rsidR="00164639" w:rsidRPr="00164639">
        <w:rPr>
          <w:color w:val="000000" w:themeColor="text1"/>
        </w:rPr>
        <w:t xml:space="preserve"> </w:t>
      </w:r>
      <w:r w:rsidR="00164639">
        <w:rPr>
          <w:color w:val="000000" w:themeColor="text1"/>
        </w:rPr>
        <w:t>per</w:t>
      </w:r>
      <w:r w:rsidR="002B0284">
        <w:rPr>
          <w:color w:val="000000" w:themeColor="text1"/>
        </w:rPr>
        <w:t xml:space="preserve"> </w:t>
      </w:r>
      <w:r w:rsidR="00164639">
        <w:rPr>
          <w:color w:val="000000" w:themeColor="text1"/>
        </w:rPr>
        <w:t>cent</w:t>
      </w:r>
      <w:r w:rsidR="00083811" w:rsidRPr="00AC6ECC">
        <w:t xml:space="preserve"> were from the private sector. </w:t>
      </w:r>
      <w:r w:rsidR="00915C5C">
        <w:t xml:space="preserve"> </w:t>
      </w:r>
      <w:r w:rsidR="00083811" w:rsidRPr="00AC6ECC">
        <w:t>In 2025 alone, IPA organized 96 events for 3,046 participants, of whom 70</w:t>
      </w:r>
      <w:r w:rsidR="00164639" w:rsidRPr="00164639">
        <w:rPr>
          <w:color w:val="000000" w:themeColor="text1"/>
        </w:rPr>
        <w:t xml:space="preserve"> </w:t>
      </w:r>
      <w:r w:rsidR="00164639">
        <w:rPr>
          <w:color w:val="000000" w:themeColor="text1"/>
        </w:rPr>
        <w:t>per</w:t>
      </w:r>
      <w:r w:rsidR="002B0284">
        <w:rPr>
          <w:color w:val="000000" w:themeColor="text1"/>
        </w:rPr>
        <w:t xml:space="preserve"> </w:t>
      </w:r>
      <w:r w:rsidR="00164639">
        <w:rPr>
          <w:color w:val="000000" w:themeColor="text1"/>
        </w:rPr>
        <w:t>cent</w:t>
      </w:r>
      <w:r w:rsidR="00083811" w:rsidRPr="00AC6ECC">
        <w:t xml:space="preserve"> were women.</w:t>
      </w:r>
    </w:p>
    <w:p w14:paraId="3572882F" w14:textId="54D46FCF" w:rsidR="00121E1F" w:rsidRDefault="00121E1F" w:rsidP="00121E1F">
      <w:pPr>
        <w:pStyle w:val="ONUME"/>
        <w:autoSpaceDE w:val="0"/>
        <w:autoSpaceDN w:val="0"/>
        <w:adjustRightInd w:val="0"/>
        <w:rPr>
          <w:rFonts w:eastAsiaTheme="minorHAnsi"/>
          <w:szCs w:val="22"/>
          <w:lang w:eastAsia="en-US"/>
          <w14:ligatures w14:val="standardContextual"/>
        </w:rPr>
      </w:pPr>
      <w:r w:rsidRPr="00121E1F">
        <w:rPr>
          <w:rFonts w:eastAsiaTheme="minorHAnsi"/>
          <w:szCs w:val="22"/>
          <w:lang w:eastAsia="en-US"/>
          <w14:ligatures w14:val="standardContextual"/>
        </w:rPr>
        <w:t xml:space="preserve">Since </w:t>
      </w:r>
      <w:r w:rsidR="005C5A9E">
        <w:rPr>
          <w:rFonts w:eastAsiaTheme="minorHAnsi"/>
          <w:szCs w:val="22"/>
          <w:lang w:eastAsia="en-US"/>
          <w14:ligatures w14:val="standardContextual"/>
        </w:rPr>
        <w:t xml:space="preserve">July </w:t>
      </w:r>
      <w:r w:rsidRPr="00121E1F">
        <w:rPr>
          <w:rFonts w:eastAsiaTheme="minorHAnsi"/>
          <w:szCs w:val="22"/>
          <w:lang w:eastAsia="en-US"/>
          <w14:ligatures w14:val="standardContextual"/>
        </w:rPr>
        <w:t>202</w:t>
      </w:r>
      <w:r w:rsidR="005C5A9E">
        <w:rPr>
          <w:rFonts w:eastAsiaTheme="minorHAnsi"/>
          <w:szCs w:val="22"/>
          <w:lang w:eastAsia="en-US"/>
          <w14:ligatures w14:val="standardContextual"/>
        </w:rPr>
        <w:t>5</w:t>
      </w:r>
      <w:r w:rsidRPr="00121E1F">
        <w:rPr>
          <w:rFonts w:eastAsiaTheme="minorHAnsi"/>
          <w:szCs w:val="22"/>
          <w:lang w:eastAsia="en-US"/>
          <w14:ligatures w14:val="standardContextual"/>
        </w:rPr>
        <w:t>, as part of the support provided by WIPO Academy to the IPA, the following projects have been carried out:</w:t>
      </w:r>
    </w:p>
    <w:p w14:paraId="475A51BD" w14:textId="7A4AD382" w:rsidR="00140182" w:rsidRDefault="003953A2" w:rsidP="00140182">
      <w:pPr>
        <w:pStyle w:val="ONUME"/>
        <w:numPr>
          <w:ilvl w:val="1"/>
          <w:numId w:val="13"/>
        </w:numPr>
        <w:autoSpaceDE w:val="0"/>
        <w:autoSpaceDN w:val="0"/>
        <w:adjustRightInd w:val="0"/>
        <w:rPr>
          <w:rFonts w:eastAsiaTheme="minorHAnsi"/>
          <w:szCs w:val="22"/>
          <w:lang w:eastAsia="en-US"/>
          <w14:ligatures w14:val="standardContextual"/>
        </w:rPr>
      </w:pPr>
      <w:r>
        <w:rPr>
          <w:rFonts w:eastAsiaTheme="minorHAnsi"/>
          <w:szCs w:val="22"/>
          <w:lang w:eastAsia="en-US"/>
          <w14:ligatures w14:val="standardContextual"/>
        </w:rPr>
        <w:t xml:space="preserve">Digital Presence Project. </w:t>
      </w:r>
      <w:r w:rsidR="00AF78C9" w:rsidRPr="00D605F8">
        <w:t>Th</w:t>
      </w:r>
      <w:r w:rsidR="00AF78C9">
        <w:t>e</w:t>
      </w:r>
      <w:r w:rsidR="00AF78C9" w:rsidRPr="00D605F8">
        <w:t xml:space="preserve"> Project aimed to improve IPA’s online visibility, enhance the presentation of its training offerings and reach a wider audience.</w:t>
      </w:r>
      <w:r w:rsidR="00915C5C">
        <w:t xml:space="preserve"> </w:t>
      </w:r>
      <w:r w:rsidR="00AF78C9" w:rsidRPr="00D605F8">
        <w:t xml:space="preserve"> </w:t>
      </w:r>
      <w:r w:rsidR="00AF78C9" w:rsidRPr="00317FEC">
        <w:t xml:space="preserve">During the reporting period, the </w:t>
      </w:r>
      <w:r w:rsidR="004E3F2C">
        <w:t xml:space="preserve">IPA </w:t>
      </w:r>
      <w:r w:rsidR="00AF78C9" w:rsidRPr="00317FEC">
        <w:t xml:space="preserve">website </w:t>
      </w:r>
      <w:r w:rsidR="005C4189">
        <w:t>was</w:t>
      </w:r>
      <w:r w:rsidR="00AF78C9">
        <w:t xml:space="preserve"> </w:t>
      </w:r>
      <w:r w:rsidR="00E97661">
        <w:t>launched, and</w:t>
      </w:r>
      <w:r w:rsidR="00D654DE">
        <w:t xml:space="preserve"> </w:t>
      </w:r>
      <w:r w:rsidR="005C4189">
        <w:t>a</w:t>
      </w:r>
      <w:r w:rsidR="00AF78C9" w:rsidRPr="00D605F8">
        <w:t xml:space="preserve"> comprehensive digital marketing strategy was developed, including branding, a digital content library of audio-visual materials and a structured implementation plan.</w:t>
      </w:r>
    </w:p>
    <w:p w14:paraId="7A938A82" w14:textId="79B555EE" w:rsidR="00140182" w:rsidRPr="00140182" w:rsidRDefault="00140182" w:rsidP="00140182">
      <w:pPr>
        <w:pStyle w:val="ONUME"/>
        <w:numPr>
          <w:ilvl w:val="1"/>
          <w:numId w:val="13"/>
        </w:numPr>
        <w:autoSpaceDE w:val="0"/>
        <w:autoSpaceDN w:val="0"/>
        <w:adjustRightInd w:val="0"/>
        <w:rPr>
          <w:rFonts w:eastAsiaTheme="minorHAnsi"/>
          <w:szCs w:val="22"/>
          <w:lang w:eastAsia="en-US"/>
          <w14:ligatures w14:val="standardContextual"/>
        </w:rPr>
      </w:pPr>
      <w:r w:rsidRPr="00140182">
        <w:rPr>
          <w:bCs/>
          <w:szCs w:val="18"/>
          <w:lang w:eastAsia="en-US"/>
        </w:rPr>
        <w:lastRenderedPageBreak/>
        <w:t>IP eLearning Customization and Capacity-Building.</w:t>
      </w:r>
      <w:r w:rsidR="00915C5C">
        <w:rPr>
          <w:bCs/>
          <w:szCs w:val="18"/>
          <w:lang w:eastAsia="en-US"/>
        </w:rPr>
        <w:t xml:space="preserve"> </w:t>
      </w:r>
      <w:r w:rsidRPr="00140182">
        <w:rPr>
          <w:bCs/>
          <w:szCs w:val="18"/>
          <w:lang w:eastAsia="en-US"/>
        </w:rPr>
        <w:t xml:space="preserve"> </w:t>
      </w:r>
      <w:r w:rsidRPr="00AC6ECC">
        <w:t>Ukraine continue</w:t>
      </w:r>
      <w:r>
        <w:t>d</w:t>
      </w:r>
      <w:r w:rsidRPr="00AC6ECC">
        <w:t xml:space="preserve"> to make strong progress in expanding national IP education and EdTech capacity-building</w:t>
      </w:r>
      <w:r>
        <w:t>, aiming to reach learners across the country</w:t>
      </w:r>
      <w:r w:rsidRPr="00AC6ECC">
        <w:t xml:space="preserve"> through phased customization of WIPO Academy eLearning courses</w:t>
      </w:r>
      <w:r>
        <w:t xml:space="preserve"> for Ukrainian national IP context, </w:t>
      </w:r>
      <w:r w:rsidRPr="00140182">
        <w:rPr>
          <w:color w:val="000000" w:themeColor="text1"/>
          <w:lang w:eastAsia="en-US"/>
        </w:rPr>
        <w:t xml:space="preserve">delivered as a joint initiative between the WIPO Academy and the IPA, at the request of the IPA. </w:t>
      </w:r>
      <w:r w:rsidR="00915C5C">
        <w:rPr>
          <w:color w:val="000000" w:themeColor="text1"/>
          <w:lang w:eastAsia="en-US"/>
        </w:rPr>
        <w:t xml:space="preserve"> </w:t>
      </w:r>
      <w:r>
        <w:t>The Primer on Intellectual Property (DL-001) has been successfully customized and launched in early 2026.</w:t>
      </w:r>
      <w:r w:rsidRPr="00140182">
        <w:rPr>
          <w:rFonts w:eastAsia="Aptos"/>
          <w:szCs w:val="22"/>
        </w:rPr>
        <w:t xml:space="preserve"> </w:t>
      </w:r>
      <w:r w:rsidR="00915C5C">
        <w:rPr>
          <w:rFonts w:eastAsia="Aptos"/>
          <w:szCs w:val="22"/>
        </w:rPr>
        <w:t xml:space="preserve"> </w:t>
      </w:r>
      <w:r w:rsidRPr="00140182">
        <w:rPr>
          <w:rFonts w:eastAsia="Aptos"/>
          <w:szCs w:val="22"/>
        </w:rPr>
        <w:t>The course recorded strong early uptake, with around 300 participants in the first quarter of 2026</w:t>
      </w:r>
      <w:r w:rsidRPr="00AC6ECC">
        <w:t xml:space="preserve">. </w:t>
      </w:r>
      <w:r w:rsidR="00915C5C">
        <w:t xml:space="preserve"> </w:t>
      </w:r>
      <w:r>
        <w:t xml:space="preserve">Customization of additional courses </w:t>
      </w:r>
      <w:r w:rsidRPr="00140182">
        <w:rPr>
          <w:rFonts w:eastAsia="Aptos"/>
          <w:szCs w:val="22"/>
        </w:rPr>
        <w:t>and Ed Tech capacity-building will proceed with the DL-201 on Copyright and Related Rights, planned to be finalized in 2026.</w:t>
      </w:r>
    </w:p>
    <w:p w14:paraId="7FD96AAF" w14:textId="49A16617" w:rsidR="00140182" w:rsidRDefault="00E15C4A" w:rsidP="00140182">
      <w:pPr>
        <w:pStyle w:val="ONUME"/>
        <w:numPr>
          <w:ilvl w:val="1"/>
          <w:numId w:val="13"/>
        </w:numPr>
        <w:autoSpaceDE w:val="0"/>
        <w:autoSpaceDN w:val="0"/>
        <w:adjustRightInd w:val="0"/>
        <w:rPr>
          <w:color w:val="000000" w:themeColor="text1"/>
          <w:lang w:eastAsia="en-US"/>
        </w:rPr>
      </w:pPr>
      <w:r>
        <w:rPr>
          <w:color w:val="000000" w:themeColor="text1"/>
          <w:lang w:eastAsia="en-US"/>
        </w:rPr>
        <w:t xml:space="preserve">WIPO Academy’s IPTI Program. </w:t>
      </w:r>
      <w:r w:rsidR="00B414AC">
        <w:rPr>
          <w:color w:val="000000" w:themeColor="text1"/>
          <w:lang w:eastAsia="en-US"/>
        </w:rPr>
        <w:t xml:space="preserve"> </w:t>
      </w:r>
      <w:r w:rsidRPr="00AC6ECC">
        <w:t xml:space="preserve">In 2026, </w:t>
      </w:r>
      <w:r w:rsidRPr="008D1968">
        <w:t>the Program will maintain the engagement of the IPTIs Network, with the aim to foster horizontal cooperation with other IPTIs, promote knowledge and experience sharing among members.</w:t>
      </w:r>
    </w:p>
    <w:p w14:paraId="4A280426" w14:textId="5163FF91" w:rsidR="00140182" w:rsidRPr="00140182" w:rsidRDefault="00140182" w:rsidP="00140182">
      <w:pPr>
        <w:pStyle w:val="ONUME"/>
        <w:numPr>
          <w:ilvl w:val="1"/>
          <w:numId w:val="13"/>
        </w:numPr>
        <w:autoSpaceDE w:val="0"/>
        <w:autoSpaceDN w:val="0"/>
        <w:adjustRightInd w:val="0"/>
        <w:rPr>
          <w:color w:val="000000" w:themeColor="text1"/>
          <w:lang w:eastAsia="en-US"/>
        </w:rPr>
      </w:pPr>
      <w:r w:rsidRPr="00140182">
        <w:rPr>
          <w:color w:val="000000" w:themeColor="text1"/>
          <w:lang w:eastAsia="en-US"/>
        </w:rPr>
        <w:t xml:space="preserve">Empowerment of women entrepreneurs. </w:t>
      </w:r>
      <w:r w:rsidRPr="0053027B">
        <w:rPr>
          <w:lang w:eastAsia="ko-KR"/>
        </w:rPr>
        <w:t xml:space="preserve">In </w:t>
      </w:r>
      <w:r>
        <w:rPr>
          <w:lang w:eastAsia="ko-KR"/>
        </w:rPr>
        <w:t>June</w:t>
      </w:r>
      <w:r w:rsidRPr="0053027B">
        <w:rPr>
          <w:lang w:eastAsia="ko-KR"/>
        </w:rPr>
        <w:t xml:space="preserve"> 2025, the WIPO Academy launched the Women Innovation and Startup Empowerment (WISE) </w:t>
      </w:r>
      <w:r>
        <w:rPr>
          <w:lang w:eastAsia="ko-KR"/>
        </w:rPr>
        <w:t>P</w:t>
      </w:r>
      <w:r w:rsidRPr="0053027B">
        <w:rPr>
          <w:lang w:eastAsia="ko-KR"/>
        </w:rPr>
        <w:t>roject under the FIT-Korea IP Education initiative, in collaboration with the IPA</w:t>
      </w:r>
      <w:r>
        <w:rPr>
          <w:lang w:eastAsia="ko-KR"/>
        </w:rPr>
        <w:t xml:space="preserve">. </w:t>
      </w:r>
      <w:r w:rsidR="00B414AC">
        <w:rPr>
          <w:lang w:eastAsia="ko-KR"/>
        </w:rPr>
        <w:t xml:space="preserve"> </w:t>
      </w:r>
      <w:r>
        <w:rPr>
          <w:lang w:eastAsia="ko-KR"/>
        </w:rPr>
        <w:t>Aiming</w:t>
      </w:r>
      <w:r w:rsidRPr="0053027B">
        <w:rPr>
          <w:lang w:eastAsia="ko-KR"/>
        </w:rPr>
        <w:t xml:space="preserve"> to strengthen the capacity of women entrepreneurs and innovators in Ukraine</w:t>
      </w:r>
      <w:r>
        <w:rPr>
          <w:lang w:eastAsia="ko-KR"/>
        </w:rPr>
        <w:t>, t</w:t>
      </w:r>
      <w:r w:rsidRPr="0053027B">
        <w:rPr>
          <w:lang w:eastAsia="ko-KR"/>
        </w:rPr>
        <w:t xml:space="preserve">he initiative successfully delivered a four-week online training course to 385 participants, enhancing their understanding of </w:t>
      </w:r>
      <w:r w:rsidR="00595996">
        <w:rPr>
          <w:lang w:eastAsia="ko-KR"/>
        </w:rPr>
        <w:t>IP</w:t>
      </w:r>
      <w:r w:rsidRPr="0053027B">
        <w:rPr>
          <w:lang w:eastAsia="ko-KR"/>
        </w:rPr>
        <w:t xml:space="preserve"> and its application to business development.</w:t>
      </w:r>
      <w:r w:rsidR="00B414AC">
        <w:rPr>
          <w:lang w:eastAsia="ko-KR"/>
        </w:rPr>
        <w:t xml:space="preserve"> </w:t>
      </w:r>
      <w:r w:rsidRPr="0053027B">
        <w:rPr>
          <w:lang w:eastAsia="ko-KR"/>
        </w:rPr>
        <w:t xml:space="preserve"> In addition, </w:t>
      </w:r>
      <w:r>
        <w:rPr>
          <w:lang w:eastAsia="ko-KR"/>
        </w:rPr>
        <w:t xml:space="preserve">from November 2025 to February 2026, </w:t>
      </w:r>
      <w:r w:rsidRPr="0053027B">
        <w:rPr>
          <w:lang w:eastAsia="ko-KR"/>
        </w:rPr>
        <w:t xml:space="preserve">four women entrepreneurs received tailored mentorship in IP commercialization, branding, and fundraising. </w:t>
      </w:r>
      <w:r w:rsidR="00B414AC">
        <w:rPr>
          <w:lang w:eastAsia="ko-KR"/>
        </w:rPr>
        <w:t xml:space="preserve"> </w:t>
      </w:r>
      <w:r w:rsidRPr="0053027B">
        <w:rPr>
          <w:lang w:eastAsia="ko-KR"/>
        </w:rPr>
        <w:t>The program concluded in March 2026.</w:t>
      </w:r>
      <w:r w:rsidR="002C7B02">
        <w:rPr>
          <w:lang w:eastAsia="ko-KR"/>
        </w:rPr>
        <w:t xml:space="preserve"> </w:t>
      </w:r>
      <w:r w:rsidR="002C7B02">
        <w:rPr>
          <w:lang w:eastAsia="ko-KR"/>
        </w:rPr>
        <w:tab/>
      </w:r>
    </w:p>
    <w:p w14:paraId="72B20324" w14:textId="3B5FEA31" w:rsidR="00821606" w:rsidRPr="00F25538" w:rsidRDefault="00A54687" w:rsidP="00F25538">
      <w:pPr>
        <w:pStyle w:val="Heading3"/>
        <w:numPr>
          <w:ilvl w:val="2"/>
          <w:numId w:val="20"/>
        </w:numPr>
        <w:spacing w:before="240" w:after="220"/>
        <w:ind w:left="1890"/>
        <w:rPr>
          <w:b w:val="0"/>
          <w:bCs/>
          <w:color w:val="000000" w:themeColor="text1"/>
          <w:sz w:val="22"/>
          <w:szCs w:val="22"/>
          <w:u w:val="single"/>
          <w:lang w:eastAsia="en-US"/>
        </w:rPr>
      </w:pPr>
      <w:bookmarkStart w:id="61" w:name="_Toc232436593"/>
      <w:r w:rsidRPr="008D1968">
        <w:rPr>
          <w:b w:val="0"/>
          <w:bCs/>
          <w:color w:val="000000" w:themeColor="text1"/>
          <w:sz w:val="22"/>
          <w:szCs w:val="22"/>
          <w:u w:val="single"/>
          <w:lang w:eastAsia="en-US"/>
        </w:rPr>
        <w:t>Collaboration in other WIPO Academy</w:t>
      </w:r>
      <w:r w:rsidR="00821606" w:rsidRPr="008D1968">
        <w:rPr>
          <w:b w:val="0"/>
          <w:bCs/>
          <w:color w:val="000000" w:themeColor="text1"/>
          <w:sz w:val="22"/>
          <w:szCs w:val="22"/>
          <w:u w:val="single"/>
          <w:lang w:eastAsia="en-US"/>
        </w:rPr>
        <w:t xml:space="preserve"> Program</w:t>
      </w:r>
      <w:r w:rsidRPr="008D1968">
        <w:rPr>
          <w:b w:val="0"/>
          <w:bCs/>
          <w:color w:val="000000" w:themeColor="text1"/>
          <w:sz w:val="22"/>
          <w:szCs w:val="22"/>
          <w:u w:val="single"/>
          <w:lang w:eastAsia="en-US"/>
        </w:rPr>
        <w:t>s</w:t>
      </w:r>
      <w:bookmarkEnd w:id="61"/>
    </w:p>
    <w:p w14:paraId="780511EC" w14:textId="77777777" w:rsidR="00A4269E" w:rsidRDefault="00A4269E" w:rsidP="00A4269E">
      <w:pPr>
        <w:pStyle w:val="ONUME"/>
        <w:rPr>
          <w:lang w:eastAsia="en-US"/>
        </w:rPr>
      </w:pPr>
      <w:r w:rsidRPr="006F6B5A">
        <w:rPr>
          <w:lang w:eastAsia="en-US"/>
        </w:rPr>
        <w:t xml:space="preserve">In 2025, </w:t>
      </w:r>
      <w:r w:rsidRPr="00CE1A5A">
        <w:rPr>
          <w:lang w:eastAsia="en-US"/>
        </w:rPr>
        <w:t>5</w:t>
      </w:r>
      <w:r>
        <w:rPr>
          <w:lang w:eastAsia="en-US"/>
        </w:rPr>
        <w:t>85</w:t>
      </w:r>
      <w:r w:rsidRPr="006F6B5A">
        <w:rPr>
          <w:lang w:eastAsia="en-US"/>
        </w:rPr>
        <w:t xml:space="preserve"> Ukrainian nationals have benefited from the</w:t>
      </w:r>
      <w:r>
        <w:rPr>
          <w:lang w:eastAsia="en-US"/>
        </w:rPr>
        <w:t xml:space="preserve"> hybrid and IP</w:t>
      </w:r>
      <w:r w:rsidRPr="006F6B5A">
        <w:rPr>
          <w:lang w:eastAsia="en-US"/>
        </w:rPr>
        <w:t xml:space="preserve"> </w:t>
      </w:r>
      <w:r>
        <w:rPr>
          <w:lang w:eastAsia="en-US"/>
        </w:rPr>
        <w:t>eL</w:t>
      </w:r>
      <w:r w:rsidRPr="006F6B5A">
        <w:rPr>
          <w:lang w:eastAsia="en-US"/>
        </w:rPr>
        <w:t xml:space="preserve">earning courses offered by the WIPO Academy.  The participants included representatives of academia, the private sector, as well as IP practitioners.  Women accounted for </w:t>
      </w:r>
      <w:r>
        <w:rPr>
          <w:lang w:eastAsia="en-US"/>
        </w:rPr>
        <w:t>around</w:t>
      </w:r>
      <w:r w:rsidRPr="006F6B5A">
        <w:rPr>
          <w:lang w:eastAsia="en-US"/>
        </w:rPr>
        <w:t xml:space="preserve"> </w:t>
      </w:r>
      <w:r>
        <w:rPr>
          <w:lang w:eastAsia="en-US"/>
        </w:rPr>
        <w:t xml:space="preserve">66 </w:t>
      </w:r>
      <w:r w:rsidRPr="006F6B5A">
        <w:rPr>
          <w:lang w:eastAsia="en-US"/>
        </w:rPr>
        <w:t>per cent of the participants</w:t>
      </w:r>
      <w:r>
        <w:rPr>
          <w:lang w:eastAsia="en-US"/>
        </w:rPr>
        <w:t>, and youth for more than 65 per cent</w:t>
      </w:r>
      <w:r w:rsidRPr="006F6B5A">
        <w:rPr>
          <w:lang w:eastAsia="en-US"/>
        </w:rPr>
        <w:t xml:space="preserve">. </w:t>
      </w:r>
    </w:p>
    <w:p w14:paraId="54460576" w14:textId="42567EF6" w:rsidR="003646C0" w:rsidRPr="00453E30" w:rsidRDefault="00693CAC" w:rsidP="003646C0">
      <w:pPr>
        <w:pStyle w:val="ONUME"/>
        <w:rPr>
          <w:lang w:eastAsia="en-US"/>
        </w:rPr>
      </w:pPr>
      <w:r w:rsidRPr="0053027B">
        <w:rPr>
          <w:lang w:eastAsia="en-US"/>
        </w:rPr>
        <w:t>Furthermore,</w:t>
      </w:r>
      <w:r w:rsidR="00AE25C2" w:rsidRPr="0053027B">
        <w:rPr>
          <w:lang w:eastAsia="en-US"/>
        </w:rPr>
        <w:t xml:space="preserve"> two</w:t>
      </w:r>
      <w:r w:rsidR="003646C0" w:rsidRPr="0053027B">
        <w:rPr>
          <w:lang w:eastAsia="en-US"/>
        </w:rPr>
        <w:t xml:space="preserve"> Ukrainian participant</w:t>
      </w:r>
      <w:r w:rsidR="000D509A" w:rsidRPr="0053027B">
        <w:rPr>
          <w:lang w:eastAsia="en-US"/>
        </w:rPr>
        <w:t>s</w:t>
      </w:r>
      <w:r w:rsidR="003646C0" w:rsidRPr="0053027B">
        <w:rPr>
          <w:lang w:eastAsia="en-US"/>
        </w:rPr>
        <w:t xml:space="preserve"> enrolled in </w:t>
      </w:r>
      <w:r w:rsidR="009869B8" w:rsidRPr="0053027B">
        <w:t xml:space="preserve">WIPO Joint Master’s programs </w:t>
      </w:r>
      <w:r w:rsidR="00EE37B2">
        <w:t>in</w:t>
      </w:r>
      <w:r w:rsidR="009869B8" w:rsidRPr="0053027B">
        <w:t xml:space="preserve"> the 2025–2026 academic yea</w:t>
      </w:r>
      <w:r w:rsidR="00E57F74" w:rsidRPr="0053027B">
        <w:t xml:space="preserve">r. </w:t>
      </w:r>
      <w:r w:rsidR="00B414AC">
        <w:t xml:space="preserve"> </w:t>
      </w:r>
      <w:r w:rsidR="00AE25C2" w:rsidRPr="0053027B">
        <w:rPr>
          <w:color w:val="000000" w:themeColor="text1"/>
          <w:lang w:eastAsia="en-US"/>
        </w:rPr>
        <w:t xml:space="preserve">One participant, funded by WIPO, enrolled in the WIPO-UNITO Master of Laws in </w:t>
      </w:r>
      <w:r w:rsidR="00C846FE">
        <w:rPr>
          <w:color w:val="000000" w:themeColor="text1"/>
          <w:lang w:eastAsia="en-US"/>
        </w:rPr>
        <w:t>IP</w:t>
      </w:r>
      <w:r w:rsidR="00AE25C2" w:rsidRPr="0053027B">
        <w:rPr>
          <w:color w:val="000000" w:themeColor="text1"/>
          <w:lang w:eastAsia="en-US"/>
        </w:rPr>
        <w:t>, jointly offered by the University of Turin and WIPO.</w:t>
      </w:r>
      <w:r w:rsidR="00B414AC">
        <w:rPr>
          <w:color w:val="000000" w:themeColor="text1"/>
          <w:lang w:eastAsia="en-US"/>
        </w:rPr>
        <w:t xml:space="preserve"> </w:t>
      </w:r>
      <w:r w:rsidR="00AE25C2">
        <w:rPr>
          <w:color w:val="000000" w:themeColor="text1"/>
          <w:lang w:eastAsia="en-US"/>
        </w:rPr>
        <w:t xml:space="preserve"> </w:t>
      </w:r>
      <w:r w:rsidR="00AE25C2">
        <w:t>The second</w:t>
      </w:r>
      <w:r w:rsidR="00E57F74" w:rsidRPr="00453E30">
        <w:t xml:space="preserve"> participant </w:t>
      </w:r>
      <w:r w:rsidR="009D0A97" w:rsidRPr="00453E30">
        <w:t xml:space="preserve">enrolled in </w:t>
      </w:r>
      <w:r w:rsidR="003646C0" w:rsidRPr="00453E30">
        <w:rPr>
          <w:lang w:eastAsia="en-US"/>
        </w:rPr>
        <w:t xml:space="preserve">the Master’s Degree Program in </w:t>
      </w:r>
      <w:r w:rsidR="00C846FE">
        <w:rPr>
          <w:lang w:eastAsia="en-US"/>
        </w:rPr>
        <w:t>IP</w:t>
      </w:r>
      <w:r w:rsidR="003646C0" w:rsidRPr="00453E30">
        <w:rPr>
          <w:lang w:eastAsia="en-US"/>
        </w:rPr>
        <w:t xml:space="preserve"> and New Technologies, jointly offered by the Jagiellonian University in Krakow, WIPO, and the Patent Office of the Republic of Poland</w:t>
      </w:r>
      <w:bookmarkEnd w:id="60"/>
      <w:r w:rsidR="00AE25C2">
        <w:rPr>
          <w:lang w:eastAsia="en-US"/>
        </w:rPr>
        <w:t>, as self-financed participant.</w:t>
      </w:r>
      <w:r w:rsidR="00B414AC">
        <w:rPr>
          <w:lang w:eastAsia="en-US"/>
        </w:rPr>
        <w:t xml:space="preserve"> </w:t>
      </w:r>
    </w:p>
    <w:p w14:paraId="54AE3749" w14:textId="773156A5" w:rsidR="003646C0" w:rsidRPr="00F25538" w:rsidRDefault="003646C0" w:rsidP="00F25538">
      <w:pPr>
        <w:pStyle w:val="Heading3"/>
        <w:numPr>
          <w:ilvl w:val="2"/>
          <w:numId w:val="33"/>
        </w:numPr>
        <w:spacing w:before="240" w:after="220"/>
        <w:rPr>
          <w:b w:val="0"/>
          <w:bCs/>
          <w:color w:val="000000" w:themeColor="text1"/>
          <w:sz w:val="22"/>
          <w:szCs w:val="22"/>
          <w:lang w:eastAsia="en-US"/>
        </w:rPr>
      </w:pPr>
      <w:bookmarkStart w:id="62" w:name="_Toc232436594"/>
      <w:r w:rsidRPr="00C1270A">
        <w:rPr>
          <w:b w:val="0"/>
          <w:bCs/>
          <w:color w:val="000000" w:themeColor="text1"/>
          <w:sz w:val="22"/>
          <w:szCs w:val="22"/>
          <w:u w:val="single"/>
          <w:lang w:eastAsia="en-US"/>
        </w:rPr>
        <w:t>Support for the Judiciary</w:t>
      </w:r>
      <w:bookmarkStart w:id="63" w:name="_Hlk198329296"/>
      <w:bookmarkEnd w:id="62"/>
    </w:p>
    <w:p w14:paraId="69E06855" w14:textId="67B56D54" w:rsidR="00EE6C21" w:rsidRPr="004C6567" w:rsidRDefault="00687A9D" w:rsidP="00F15196">
      <w:pPr>
        <w:pStyle w:val="ONUME"/>
      </w:pPr>
      <w:bookmarkStart w:id="64" w:name="_Hlk199756422"/>
      <w:r>
        <w:rPr>
          <w:szCs w:val="22"/>
        </w:rPr>
        <w:t>T</w:t>
      </w:r>
      <w:r w:rsidRPr="00F8072E">
        <w:rPr>
          <w:szCs w:val="22"/>
        </w:rPr>
        <w:t>he International Bureau</w:t>
      </w:r>
      <w:r w:rsidR="00F15196" w:rsidRPr="00B20968">
        <w:t xml:space="preserve"> </w:t>
      </w:r>
      <w:r w:rsidR="00796A0F" w:rsidRPr="00B20968">
        <w:t>continu</w:t>
      </w:r>
      <w:r w:rsidR="00796A0F">
        <w:t>ed</w:t>
      </w:r>
      <w:r w:rsidR="00796A0F" w:rsidRPr="00B20968">
        <w:t xml:space="preserve"> </w:t>
      </w:r>
      <w:r w:rsidR="00F15196" w:rsidRPr="00B20968">
        <w:t xml:space="preserve">to provide support to the </w:t>
      </w:r>
      <w:r w:rsidR="00EE6C21" w:rsidRPr="00B20968">
        <w:t>J</w:t>
      </w:r>
      <w:r w:rsidR="00F15196" w:rsidRPr="00B20968">
        <w:t xml:space="preserve">udiciary of Ukraine under the </w:t>
      </w:r>
      <w:r w:rsidR="00F15196" w:rsidRPr="004C6567">
        <w:t>MoU concluded with the Supreme Court of Ukraine in November 2023, w</w:t>
      </w:r>
      <w:r w:rsidR="00D90137">
        <w:t>ith</w:t>
      </w:r>
      <w:r w:rsidR="00F15196" w:rsidRPr="004C6567">
        <w:t xml:space="preserve"> </w:t>
      </w:r>
      <w:r w:rsidR="00784052">
        <w:t xml:space="preserve">the </w:t>
      </w:r>
      <w:r w:rsidR="00F15196" w:rsidRPr="004C6567">
        <w:t xml:space="preserve">aim to develop cooperation and joint activities with a view to strengthening the judicial system and services for IP protection in Ukraine.  </w:t>
      </w:r>
    </w:p>
    <w:p w14:paraId="3F155976" w14:textId="62AD9AFD" w:rsidR="00DB0D62" w:rsidRDefault="00F15196" w:rsidP="00F15196">
      <w:pPr>
        <w:pStyle w:val="ONUME"/>
      </w:pPr>
      <w:r w:rsidRPr="004C6567">
        <w:t xml:space="preserve">The </w:t>
      </w:r>
      <w:r w:rsidR="00784052">
        <w:t>provided support</w:t>
      </w:r>
      <w:r w:rsidRPr="004C6567">
        <w:t xml:space="preserve"> reflects </w:t>
      </w:r>
      <w:r w:rsidR="00687A9D" w:rsidRPr="00F8072E">
        <w:rPr>
          <w:szCs w:val="22"/>
        </w:rPr>
        <w:t>the International Bureau</w:t>
      </w:r>
      <w:r w:rsidRPr="004C6567">
        <w:t xml:space="preserve">'s multi-year approach to continuing </w:t>
      </w:r>
      <w:r w:rsidR="00014AEC" w:rsidRPr="004C6567">
        <w:t>j</w:t>
      </w:r>
      <w:r w:rsidRPr="004C6567">
        <w:t>udicial education</w:t>
      </w:r>
      <w:r w:rsidR="00AB47BB" w:rsidRPr="004C6567">
        <w:t xml:space="preserve"> in Ukraine,</w:t>
      </w:r>
      <w:r w:rsidR="00AB47BB">
        <w:t xml:space="preserve"> </w:t>
      </w:r>
      <w:r w:rsidR="00014AEC">
        <w:t>including</w:t>
      </w:r>
      <w:r w:rsidRPr="00CD1BFE">
        <w:t xml:space="preserve"> a framework of successive and complementary deliverables developed in close cooperation with the national judicial authority and building on its sustained engagement, with a view to durably strengthening the capacity of judges in the adjudication of IP disputes.</w:t>
      </w:r>
    </w:p>
    <w:p w14:paraId="3B6DD02A" w14:textId="2FBD109E" w:rsidR="006C5EDD" w:rsidRPr="00F8072E" w:rsidRDefault="00894BEC" w:rsidP="006C5EDD">
      <w:pPr>
        <w:pStyle w:val="ONUME"/>
      </w:pPr>
      <w:r w:rsidRPr="00894BEC">
        <w:t>During the reporting period, support to the judiciary included facilitating the participation of Ukrainian judges in two international judicial events.</w:t>
      </w:r>
      <w:r w:rsidR="00D52674">
        <w:t xml:space="preserve"> </w:t>
      </w:r>
      <w:r w:rsidR="005E488B">
        <w:t xml:space="preserve"> </w:t>
      </w:r>
      <w:r w:rsidR="009A5EAB">
        <w:t>Nine Ukrainian judges attended</w:t>
      </w:r>
      <w:r w:rsidR="00B31400" w:rsidRPr="00D5762D">
        <w:t xml:space="preserve"> </w:t>
      </w:r>
      <w:r w:rsidR="006C5EDD" w:rsidRPr="00D5762D">
        <w:t>the</w:t>
      </w:r>
      <w:r w:rsidR="006C5EDD" w:rsidRPr="00CD1BFE">
        <w:t xml:space="preserve"> 2025 WIPO IP Judges Forum, held in hybrid format</w:t>
      </w:r>
      <w:r w:rsidR="009A5EAB">
        <w:t xml:space="preserve"> </w:t>
      </w:r>
      <w:r w:rsidR="006C5EDD" w:rsidRPr="00CD1BFE">
        <w:t>and</w:t>
      </w:r>
      <w:r w:rsidR="00DB5BBB">
        <w:t xml:space="preserve"> two </w:t>
      </w:r>
      <w:r w:rsidR="006846AF">
        <w:t>Ukrainian</w:t>
      </w:r>
      <w:r w:rsidR="009A5EAB">
        <w:t xml:space="preserve"> </w:t>
      </w:r>
      <w:r w:rsidR="00DB5BBB">
        <w:t>judges participated in</w:t>
      </w:r>
      <w:r w:rsidR="006C5EDD" w:rsidRPr="00CD1BFE">
        <w:t xml:space="preserve"> the Regional Seminar for Judges on Current Issues in </w:t>
      </w:r>
      <w:r w:rsidR="00C846FE">
        <w:t>IP</w:t>
      </w:r>
      <w:r w:rsidR="006C5EDD" w:rsidRPr="00CD1BFE">
        <w:t xml:space="preserve"> Rights, held in Latvia </w:t>
      </w:r>
      <w:r w:rsidR="00B31400">
        <w:t>in</w:t>
      </w:r>
      <w:r w:rsidR="006C5EDD" w:rsidRPr="00CD1BFE">
        <w:t xml:space="preserve"> September </w:t>
      </w:r>
      <w:r w:rsidR="00B31400">
        <w:t>2025</w:t>
      </w:r>
      <w:r w:rsidR="006C5EDD" w:rsidRPr="00CD1BFE">
        <w:t xml:space="preserve">. Both events provided Ukrainian judges with valuable opportunities to engage with their </w:t>
      </w:r>
      <w:r w:rsidR="006C5EDD" w:rsidRPr="00CD1BFE">
        <w:lastRenderedPageBreak/>
        <w:t xml:space="preserve">international and regional counterparts, exchange experiences and perspectives, and deepen their understanding of current developments in IP law and </w:t>
      </w:r>
      <w:r w:rsidR="006C5EDD" w:rsidRPr="00F8072E">
        <w:t>adjudication.</w:t>
      </w:r>
    </w:p>
    <w:p w14:paraId="1034B21B" w14:textId="50429D67" w:rsidR="000E136A" w:rsidRDefault="00B809F7" w:rsidP="000E136A">
      <w:pPr>
        <w:pStyle w:val="ONUME"/>
      </w:pPr>
      <w:r>
        <w:t xml:space="preserve">Since </w:t>
      </w:r>
      <w:r w:rsidR="00B13380">
        <w:t>July 2025,</w:t>
      </w:r>
      <w:r w:rsidR="00985E97">
        <w:t xml:space="preserve"> </w:t>
      </w:r>
      <w:r w:rsidR="00540254" w:rsidRPr="00F8072E">
        <w:rPr>
          <w:szCs w:val="22"/>
        </w:rPr>
        <w:t>the International Bureau</w:t>
      </w:r>
      <w:r w:rsidR="00985E97">
        <w:t xml:space="preserve"> </w:t>
      </w:r>
      <w:r w:rsidR="00985E97" w:rsidRPr="00CD1BFE">
        <w:t xml:space="preserve">has continued </w:t>
      </w:r>
      <w:r w:rsidR="007C5EA7">
        <w:t>to</w:t>
      </w:r>
      <w:r w:rsidR="007C5EA7" w:rsidRPr="00CD1BFE">
        <w:t xml:space="preserve"> </w:t>
      </w:r>
      <w:r w:rsidR="00985E97" w:rsidRPr="00CD1BFE">
        <w:t xml:space="preserve">support the development of an Intellectual Property </w:t>
      </w:r>
      <w:proofErr w:type="spellStart"/>
      <w:r w:rsidR="00985E97" w:rsidRPr="00CD1BFE">
        <w:t>Benchbook</w:t>
      </w:r>
      <w:proofErr w:type="spellEnd"/>
      <w:r w:rsidR="00985E97" w:rsidRPr="00CD1BFE">
        <w:t xml:space="preserve"> for Ukraine. </w:t>
      </w:r>
      <w:r w:rsidR="005E488B">
        <w:t xml:space="preserve"> </w:t>
      </w:r>
      <w:r w:rsidR="00985E97" w:rsidRPr="00CD1BFE">
        <w:t xml:space="preserve">It was agreed with the Supreme Court of Ukraine that the Ukraine </w:t>
      </w:r>
      <w:proofErr w:type="spellStart"/>
      <w:r w:rsidR="00985E97" w:rsidRPr="00CD1BFE">
        <w:t>Benchbook</w:t>
      </w:r>
      <w:proofErr w:type="spellEnd"/>
      <w:r w:rsidR="00985E97" w:rsidRPr="00CD1BFE">
        <w:t xml:space="preserve"> would take the form of a comprehensive revision of </w:t>
      </w:r>
      <w:r w:rsidR="00985E97" w:rsidRPr="00545FFC">
        <w:rPr>
          <w:i/>
          <w:iCs/>
        </w:rPr>
        <w:t>A Handbook on Intellectual Property for Judges</w:t>
      </w:r>
      <w:r w:rsidR="00985E97" w:rsidRPr="00CD1BFE">
        <w:t>, published in Ukraine in 2018, commencing with the copyright</w:t>
      </w:r>
      <w:r w:rsidR="00401AC7">
        <w:t xml:space="preserve"> </w:t>
      </w:r>
      <w:r w:rsidR="00401AC7" w:rsidRPr="00401AC7">
        <w:t>and related rights</w:t>
      </w:r>
      <w:r w:rsidR="00985E97" w:rsidRPr="00CD1BFE">
        <w:t xml:space="preserve"> chapter.  </w:t>
      </w:r>
    </w:p>
    <w:p w14:paraId="02417A9D" w14:textId="39B56D8F" w:rsidR="006C5EDD" w:rsidRPr="00CD1BFE" w:rsidRDefault="00985E97" w:rsidP="000E136A">
      <w:pPr>
        <w:pStyle w:val="ONUME"/>
      </w:pPr>
      <w:r w:rsidRPr="00CD1BFE">
        <w:t xml:space="preserve">The </w:t>
      </w:r>
      <w:proofErr w:type="spellStart"/>
      <w:r w:rsidRPr="00CD1BFE">
        <w:t>Benchbook</w:t>
      </w:r>
      <w:proofErr w:type="spellEnd"/>
      <w:r w:rsidRPr="00CD1BFE">
        <w:t xml:space="preserve"> is expected to be released in fall 2026. In advance of its release, a closed online workshop will be organized </w:t>
      </w:r>
      <w:r w:rsidR="00326C8C">
        <w:t>on</w:t>
      </w:r>
      <w:r w:rsidR="00326C8C" w:rsidRPr="00CD1BFE">
        <w:t xml:space="preserve"> </w:t>
      </w:r>
      <w:r w:rsidRPr="00CD1BFE">
        <w:t>June</w:t>
      </w:r>
      <w:r w:rsidR="002B597F">
        <w:t xml:space="preserve"> 10, </w:t>
      </w:r>
      <w:r w:rsidRPr="00CD1BFE">
        <w:t>2026</w:t>
      </w:r>
      <w:r w:rsidR="00E41BCC">
        <w:t>,</w:t>
      </w:r>
      <w:r w:rsidRPr="00CD1BFE">
        <w:t xml:space="preserve"> to </w:t>
      </w:r>
      <w:r w:rsidR="00924CA0">
        <w:t>present</w:t>
      </w:r>
      <w:r w:rsidRPr="00CD1BFE">
        <w:t xml:space="preserve"> the draft copyright chapter </w:t>
      </w:r>
      <w:r w:rsidR="006E0AFA">
        <w:t xml:space="preserve">to </w:t>
      </w:r>
      <w:r w:rsidRPr="00CD1BFE">
        <w:t xml:space="preserve">judges and representatives of the IP Office of Ukraine. </w:t>
      </w:r>
      <w:r w:rsidR="005E488B">
        <w:t xml:space="preserve"> </w:t>
      </w:r>
      <w:r w:rsidRPr="00CD1BFE">
        <w:t xml:space="preserve">The workshop </w:t>
      </w:r>
      <w:r w:rsidR="00D4661A">
        <w:t>would</w:t>
      </w:r>
      <w:r w:rsidR="00D4661A" w:rsidRPr="00CD1BFE">
        <w:t xml:space="preserve"> </w:t>
      </w:r>
      <w:r w:rsidRPr="00CD1BFE">
        <w:t>serve the dual purpose of gathering feedback from participants on the draft content and providing an educational opportunity on the substantive issues addressed therein</w:t>
      </w:r>
      <w:r w:rsidR="007F5C83">
        <w:t>.</w:t>
      </w:r>
    </w:p>
    <w:p w14:paraId="4F9FC0CC" w14:textId="6CEB138F" w:rsidR="00B57CCB" w:rsidRPr="00822E70" w:rsidRDefault="007F5C83" w:rsidP="007F5C83">
      <w:pPr>
        <w:pStyle w:val="ONUME"/>
      </w:pPr>
      <w:r>
        <w:t>U</w:t>
      </w:r>
      <w:r w:rsidR="00F15196" w:rsidRPr="00CD1BFE">
        <w:t xml:space="preserve">kraine </w:t>
      </w:r>
      <w:r w:rsidR="00331FF7">
        <w:t xml:space="preserve">also </w:t>
      </w:r>
      <w:r w:rsidR="00331FF7" w:rsidRPr="00331FF7">
        <w:t>continued to participate in</w:t>
      </w:r>
      <w:r w:rsidR="005D38E6">
        <w:t xml:space="preserve"> </w:t>
      </w:r>
      <w:r w:rsidR="00F15196" w:rsidRPr="00CD1BFE">
        <w:t xml:space="preserve">WIPO Lex-Judgments since 2024, enabling the dissemination of leading IP judgments among stakeholders in Ukraine </w:t>
      </w:r>
      <w:r w:rsidR="0020300F">
        <w:t>and</w:t>
      </w:r>
      <w:r w:rsidR="00F15196" w:rsidRPr="00CD1BFE">
        <w:t xml:space="preserve"> to the broader international community, thereby contributing to greater transparency and accessibility of Ukrainian IP jurisprudence.  </w:t>
      </w:r>
      <w:bookmarkEnd w:id="63"/>
    </w:p>
    <w:p w14:paraId="4D0F19D0" w14:textId="3156D5D8" w:rsidR="003646C0" w:rsidRPr="00F25538" w:rsidRDefault="003646C0" w:rsidP="00F25538">
      <w:pPr>
        <w:pStyle w:val="Heading3"/>
        <w:numPr>
          <w:ilvl w:val="2"/>
          <w:numId w:val="35"/>
        </w:numPr>
        <w:spacing w:before="240" w:after="220"/>
        <w:rPr>
          <w:b w:val="0"/>
          <w:bCs/>
          <w:color w:val="000000" w:themeColor="text1"/>
          <w:sz w:val="22"/>
          <w:szCs w:val="18"/>
          <w:lang w:eastAsia="en-US"/>
        </w:rPr>
      </w:pPr>
      <w:bookmarkStart w:id="65" w:name="_Toc232436595"/>
      <w:bookmarkEnd w:id="64"/>
      <w:r w:rsidRPr="00C22502">
        <w:rPr>
          <w:b w:val="0"/>
          <w:bCs/>
          <w:color w:val="000000" w:themeColor="text1"/>
          <w:sz w:val="22"/>
          <w:szCs w:val="18"/>
          <w:u w:val="single"/>
          <w:lang w:eastAsia="en-US"/>
        </w:rPr>
        <w:t>Other initiatives</w:t>
      </w:r>
      <w:bookmarkEnd w:id="65"/>
    </w:p>
    <w:p w14:paraId="436C98DE" w14:textId="0A75B0F3" w:rsidR="003646C0" w:rsidRPr="008B0386" w:rsidRDefault="003646C0" w:rsidP="003646C0">
      <w:pPr>
        <w:pStyle w:val="ONUME"/>
        <w:rPr>
          <w:lang w:eastAsia="en-US"/>
        </w:rPr>
      </w:pPr>
      <w:r w:rsidRPr="008B0386">
        <w:rPr>
          <w:lang w:eastAsia="en-US"/>
        </w:rPr>
        <w:t xml:space="preserve">During the reporting period, </w:t>
      </w:r>
      <w:r w:rsidRPr="00E72431">
        <w:rPr>
          <w:lang w:eastAsia="en-US"/>
        </w:rPr>
        <w:t xml:space="preserve">the International Bureau </w:t>
      </w:r>
      <w:r w:rsidR="00AB2423">
        <w:rPr>
          <w:lang w:eastAsia="en-US"/>
        </w:rPr>
        <w:t xml:space="preserve">has </w:t>
      </w:r>
      <w:r w:rsidR="001B018B" w:rsidRPr="001B018B">
        <w:rPr>
          <w:lang w:eastAsia="en-US"/>
        </w:rPr>
        <w:t>also participated in and contributed to national activities</w:t>
      </w:r>
      <w:r w:rsidR="005D38E6">
        <w:rPr>
          <w:lang w:eastAsia="en-US"/>
        </w:rPr>
        <w:t xml:space="preserve"> </w:t>
      </w:r>
      <w:r w:rsidRPr="00E72431">
        <w:rPr>
          <w:lang w:eastAsia="en-US"/>
        </w:rPr>
        <w:t xml:space="preserve">organized by relevant local stakeholders.  </w:t>
      </w:r>
      <w:r w:rsidR="00653CFD" w:rsidRPr="00822E70">
        <w:rPr>
          <w:lang w:eastAsia="en-US"/>
        </w:rPr>
        <w:t>In November 202</w:t>
      </w:r>
      <w:r w:rsidR="00653CFD">
        <w:rPr>
          <w:lang w:eastAsia="en-US"/>
        </w:rPr>
        <w:t>5</w:t>
      </w:r>
      <w:r w:rsidR="00653CFD" w:rsidRPr="00822E70">
        <w:rPr>
          <w:lang w:eastAsia="en-US"/>
        </w:rPr>
        <w:t>, it delivered a Keynote address at the</w:t>
      </w:r>
      <w:r w:rsidR="00EE4F8D">
        <w:rPr>
          <w:lang w:eastAsia="en-US"/>
        </w:rPr>
        <w:t xml:space="preserve"> fourth edition of the</w:t>
      </w:r>
      <w:r w:rsidR="00653CFD" w:rsidRPr="00822E70">
        <w:rPr>
          <w:lang w:eastAsia="en-US"/>
        </w:rPr>
        <w:t xml:space="preserve"> IP LET Forum</w:t>
      </w:r>
      <w:r w:rsidR="00653CFD">
        <w:rPr>
          <w:lang w:eastAsia="en-US"/>
        </w:rPr>
        <w:t xml:space="preserve"> – Intellectual Property</w:t>
      </w:r>
      <w:r w:rsidR="00653CFD" w:rsidRPr="00822E70">
        <w:rPr>
          <w:lang w:eastAsia="en-US"/>
        </w:rPr>
        <w:t>: Law, Economy and Technology</w:t>
      </w:r>
      <w:r w:rsidR="00D04EFD">
        <w:rPr>
          <w:lang w:eastAsia="en-US"/>
        </w:rPr>
        <w:t xml:space="preserve">, </w:t>
      </w:r>
      <w:r w:rsidR="008B0386" w:rsidRPr="008B0386">
        <w:rPr>
          <w:lang w:eastAsia="en-US"/>
        </w:rPr>
        <w:t xml:space="preserve">Ukraine's </w:t>
      </w:r>
      <w:r w:rsidR="00AD0863">
        <w:rPr>
          <w:lang w:eastAsia="en-US"/>
        </w:rPr>
        <w:t>main annual IP event</w:t>
      </w:r>
      <w:r w:rsidR="00187C1D">
        <w:rPr>
          <w:lang w:eastAsia="en-US"/>
        </w:rPr>
        <w:t xml:space="preserve"> </w:t>
      </w:r>
      <w:r w:rsidR="00ED3CCC" w:rsidRPr="00ED3CCC">
        <w:rPr>
          <w:lang w:eastAsia="en-US"/>
        </w:rPr>
        <w:t>which brought together representatives of</w:t>
      </w:r>
      <w:r w:rsidR="00653CFD" w:rsidRPr="008B0386">
        <w:rPr>
          <w:lang w:eastAsia="en-US"/>
        </w:rPr>
        <w:t xml:space="preserve"> government, </w:t>
      </w:r>
      <w:r w:rsidR="00C9216F" w:rsidRPr="00C9216F">
        <w:rPr>
          <w:lang w:eastAsia="en-US"/>
        </w:rPr>
        <w:t>business, academia, civil society, and international partners to explore how IP fosters development, resilience, and competitiveness.</w:t>
      </w:r>
    </w:p>
    <w:p w14:paraId="3831464E" w14:textId="3069863D" w:rsidR="003646C0" w:rsidRPr="008B0386" w:rsidRDefault="003646C0" w:rsidP="003646C0">
      <w:pPr>
        <w:pStyle w:val="Heading2"/>
        <w:tabs>
          <w:tab w:val="left" w:pos="1170"/>
        </w:tabs>
        <w:spacing w:after="220"/>
        <w:ind w:left="1181" w:hanging="634"/>
        <w:rPr>
          <w:b w:val="0"/>
          <w:bCs/>
          <w:color w:val="auto"/>
          <w:lang w:eastAsia="en-US"/>
        </w:rPr>
      </w:pPr>
      <w:bookmarkStart w:id="66" w:name="_Toc232436596"/>
      <w:r w:rsidRPr="008B0386">
        <w:rPr>
          <w:b w:val="0"/>
          <w:bCs/>
          <w:color w:val="auto"/>
          <w:sz w:val="22"/>
          <w:szCs w:val="22"/>
          <w:lang w:eastAsia="en-US"/>
        </w:rPr>
        <w:t>3.</w:t>
      </w:r>
      <w:r w:rsidR="00793D13">
        <w:rPr>
          <w:b w:val="0"/>
          <w:bCs/>
          <w:color w:val="auto"/>
          <w:sz w:val="22"/>
          <w:szCs w:val="22"/>
          <w:lang w:eastAsia="en-US"/>
        </w:rPr>
        <w:t>5</w:t>
      </w:r>
      <w:r w:rsidR="00C97E70" w:rsidRPr="008B0386">
        <w:rPr>
          <w:b w:val="0"/>
          <w:bCs/>
          <w:color w:val="auto"/>
          <w:sz w:val="22"/>
          <w:szCs w:val="22"/>
          <w:lang w:eastAsia="en-US"/>
        </w:rPr>
        <w:tab/>
        <w:t>SUPPORT TO INNOVATORS, CREATORS, SMES, UNIVERSITIES AND RESEARCH</w:t>
      </w:r>
      <w:r w:rsidR="00C97E70" w:rsidRPr="008B0386">
        <w:rPr>
          <w:b w:val="0"/>
          <w:bCs/>
          <w:color w:val="auto"/>
          <w:sz w:val="22"/>
          <w:szCs w:val="18"/>
          <w:lang w:eastAsia="en-US"/>
        </w:rPr>
        <w:t xml:space="preserve"> INSTITUTIONS</w:t>
      </w:r>
      <w:bookmarkEnd w:id="66"/>
      <w:r w:rsidR="00C97E70" w:rsidRPr="008B0386">
        <w:rPr>
          <w:b w:val="0"/>
          <w:bCs/>
          <w:color w:val="auto"/>
          <w:sz w:val="22"/>
          <w:szCs w:val="18"/>
          <w:lang w:eastAsia="en-US"/>
        </w:rPr>
        <w:t xml:space="preserve"> </w:t>
      </w:r>
    </w:p>
    <w:p w14:paraId="4E4565A2" w14:textId="6B567B2F" w:rsidR="003646C0" w:rsidRPr="008B0386" w:rsidRDefault="003646C0" w:rsidP="00F25538">
      <w:pPr>
        <w:pStyle w:val="Heading3"/>
        <w:spacing w:before="240" w:after="220"/>
        <w:ind w:left="1890" w:hanging="720"/>
        <w:rPr>
          <w:b w:val="0"/>
          <w:bCs/>
          <w:color w:val="000000" w:themeColor="text1"/>
          <w:sz w:val="22"/>
          <w:szCs w:val="22"/>
          <w:u w:val="single"/>
          <w:lang w:eastAsia="en-US"/>
        </w:rPr>
      </w:pPr>
      <w:bookmarkStart w:id="67" w:name="_Toc232436597"/>
      <w:r w:rsidRPr="008B0386">
        <w:rPr>
          <w:b w:val="0"/>
          <w:bCs/>
          <w:color w:val="000000" w:themeColor="text1"/>
          <w:sz w:val="22"/>
          <w:szCs w:val="22"/>
          <w:lang w:eastAsia="en-US"/>
        </w:rPr>
        <w:t>3</w:t>
      </w:r>
      <w:r w:rsidR="00CA0FB5">
        <w:rPr>
          <w:b w:val="0"/>
          <w:bCs/>
          <w:color w:val="000000" w:themeColor="text1"/>
          <w:sz w:val="22"/>
          <w:szCs w:val="22"/>
          <w:lang w:eastAsia="en-US"/>
        </w:rPr>
        <w:t>.</w:t>
      </w:r>
      <w:r w:rsidR="00793D13">
        <w:rPr>
          <w:b w:val="0"/>
          <w:bCs/>
          <w:color w:val="000000" w:themeColor="text1"/>
          <w:sz w:val="22"/>
          <w:szCs w:val="22"/>
          <w:lang w:eastAsia="en-US"/>
        </w:rPr>
        <w:t>5</w:t>
      </w:r>
      <w:r w:rsidRPr="008B0386">
        <w:rPr>
          <w:b w:val="0"/>
          <w:bCs/>
          <w:color w:val="000000" w:themeColor="text1"/>
          <w:sz w:val="22"/>
          <w:szCs w:val="22"/>
          <w:lang w:eastAsia="en-US"/>
        </w:rPr>
        <w:t>.1</w:t>
      </w:r>
      <w:r w:rsidRPr="008B0386">
        <w:rPr>
          <w:b w:val="0"/>
          <w:bCs/>
          <w:color w:val="000000" w:themeColor="text1"/>
          <w:sz w:val="22"/>
          <w:szCs w:val="22"/>
          <w:lang w:eastAsia="en-US"/>
        </w:rPr>
        <w:tab/>
      </w:r>
      <w:r w:rsidRPr="008B0386">
        <w:rPr>
          <w:b w:val="0"/>
          <w:bCs/>
          <w:color w:val="000000" w:themeColor="text1"/>
          <w:sz w:val="22"/>
          <w:szCs w:val="22"/>
          <w:u w:val="single"/>
          <w:lang w:eastAsia="en-US"/>
        </w:rPr>
        <w:t>Technology and Innovation Support Centers (TISC) Network</w:t>
      </w:r>
      <w:bookmarkEnd w:id="67"/>
    </w:p>
    <w:p w14:paraId="62B3AC7C" w14:textId="28B77E48" w:rsidR="009D22AC" w:rsidRPr="001B0314" w:rsidRDefault="009D22AC" w:rsidP="009D22AC">
      <w:pPr>
        <w:pStyle w:val="ONUME"/>
        <w:rPr>
          <w:lang w:eastAsia="en-US"/>
        </w:rPr>
      </w:pPr>
      <w:r w:rsidRPr="00A62A35">
        <w:rPr>
          <w:lang w:eastAsia="en-US"/>
        </w:rPr>
        <w:t xml:space="preserve">As reported </w:t>
      </w:r>
      <w:proofErr w:type="gramStart"/>
      <w:r w:rsidRPr="00A62A35">
        <w:rPr>
          <w:lang w:eastAsia="en-US"/>
        </w:rPr>
        <w:t>at</w:t>
      </w:r>
      <w:proofErr w:type="gramEnd"/>
      <w:r w:rsidRPr="00A62A35">
        <w:rPr>
          <w:lang w:eastAsia="en-US"/>
        </w:rPr>
        <w:t xml:space="preserve"> paragraph</w:t>
      </w:r>
      <w:r>
        <w:rPr>
          <w:lang w:eastAsia="en-US"/>
        </w:rPr>
        <w:t>s</w:t>
      </w:r>
      <w:r w:rsidRPr="00A62A35">
        <w:rPr>
          <w:lang w:eastAsia="en-US"/>
        </w:rPr>
        <w:t xml:space="preserve"> </w:t>
      </w:r>
      <w:r w:rsidR="00DC5B59">
        <w:rPr>
          <w:lang w:eastAsia="en-US"/>
        </w:rPr>
        <w:t>68 and 69</w:t>
      </w:r>
      <w:r w:rsidRPr="00A62A35">
        <w:rPr>
          <w:lang w:eastAsia="en-US"/>
        </w:rPr>
        <w:t>, the TISC Network continued its positive development and delivery of a growing range of IP services.</w:t>
      </w:r>
    </w:p>
    <w:p w14:paraId="05BBC121" w14:textId="6EDA9796" w:rsidR="0095331C" w:rsidRDefault="008B0386" w:rsidP="003646C0">
      <w:pPr>
        <w:pStyle w:val="ONUME"/>
        <w:rPr>
          <w:lang w:eastAsia="en-US"/>
        </w:rPr>
      </w:pPr>
      <w:r w:rsidRPr="008B0386">
        <w:t>During the reporting period, t</w:t>
      </w:r>
      <w:r w:rsidR="00827CCA" w:rsidRPr="008B0386">
        <w:t>he International Bureau continued</w:t>
      </w:r>
      <w:r w:rsidR="000F098C" w:rsidRPr="008B0386">
        <w:t xml:space="preserve"> to support </w:t>
      </w:r>
      <w:r w:rsidR="00847D82" w:rsidRPr="008B0386">
        <w:t>the establishment and development of TISCs in Ukraine by contributing to capacity development, providing technical assistance and offering a range of specialized resources</w:t>
      </w:r>
      <w:r w:rsidR="000F098C" w:rsidRPr="008B0386">
        <w:t>,</w:t>
      </w:r>
      <w:r w:rsidR="00847D82" w:rsidRPr="008B0386">
        <w:t xml:space="preserve"> including project management and knowledge sharing platfo</w:t>
      </w:r>
      <w:r w:rsidR="00847D82" w:rsidRPr="001B0314">
        <w:t xml:space="preserve">rms. </w:t>
      </w:r>
    </w:p>
    <w:p w14:paraId="58787992" w14:textId="52F64775" w:rsidR="004E7FBD" w:rsidRDefault="004E7FBD" w:rsidP="004E7FBD">
      <w:pPr>
        <w:pStyle w:val="ONUME"/>
        <w:rPr>
          <w:lang w:eastAsia="en-US"/>
        </w:rPr>
      </w:pPr>
      <w:r>
        <w:rPr>
          <w:lang w:eastAsia="en-US"/>
        </w:rPr>
        <w:t>A structured project framework has been developed and formally adopted for the further development of the national TISC network in Ukraine in 2026, in cooperation with the International Bureau. The framework focuses on</w:t>
      </w:r>
      <w:proofErr w:type="gramStart"/>
      <w:r>
        <w:rPr>
          <w:lang w:eastAsia="en-US"/>
        </w:rPr>
        <w:t xml:space="preserve">: </w:t>
      </w:r>
      <w:r w:rsidR="005E488B">
        <w:rPr>
          <w:lang w:eastAsia="en-US"/>
        </w:rPr>
        <w:t xml:space="preserve"> </w:t>
      </w:r>
      <w:r>
        <w:rPr>
          <w:lang w:eastAsia="en-US"/>
        </w:rPr>
        <w:t>(</w:t>
      </w:r>
      <w:proofErr w:type="spellStart"/>
      <w:proofErr w:type="gramEnd"/>
      <w:r>
        <w:rPr>
          <w:lang w:eastAsia="en-US"/>
        </w:rPr>
        <w:t>i</w:t>
      </w:r>
      <w:proofErr w:type="spellEnd"/>
      <w:r>
        <w:rPr>
          <w:lang w:eastAsia="en-US"/>
        </w:rPr>
        <w:t xml:space="preserve">) increasing the capacity of TISCs to raise awareness and provide </w:t>
      </w:r>
      <w:proofErr w:type="gramStart"/>
      <w:r>
        <w:rPr>
          <w:lang w:eastAsia="en-US"/>
        </w:rPr>
        <w:t>trainings</w:t>
      </w:r>
      <w:proofErr w:type="gramEnd"/>
      <w:r>
        <w:rPr>
          <w:lang w:eastAsia="en-US"/>
        </w:rPr>
        <w:t xml:space="preserve"> on IP for researchers and educators, as well as to support IP protection;</w:t>
      </w:r>
      <w:r w:rsidR="005E488B">
        <w:rPr>
          <w:lang w:eastAsia="en-US"/>
        </w:rPr>
        <w:t xml:space="preserve"> </w:t>
      </w:r>
      <w:r>
        <w:rPr>
          <w:lang w:eastAsia="en-US"/>
        </w:rPr>
        <w:t xml:space="preserve">and (ii) increased use of patent, scientific, and technical literature in research and education in the country. </w:t>
      </w:r>
    </w:p>
    <w:p w14:paraId="20DCC396" w14:textId="77777777" w:rsidR="004E7FBD" w:rsidRDefault="004E7FBD" w:rsidP="004E7FBD">
      <w:pPr>
        <w:pStyle w:val="ONUME"/>
        <w:rPr>
          <w:lang w:eastAsia="en-US"/>
        </w:rPr>
      </w:pPr>
      <w:r>
        <w:rPr>
          <w:lang w:eastAsia="en-US"/>
        </w:rPr>
        <w:t xml:space="preserve">The International Bureau, in coordination with UANIPIO as national TISC focal point, has established the project framework within the TISC Project and Performance Management Platform (TPPM), including structured project design and clearly defined performance indicators to support effective management and monitoring of the TISC project. </w:t>
      </w:r>
    </w:p>
    <w:p w14:paraId="0C1EBCB6" w14:textId="35259812" w:rsidR="003646C0" w:rsidRPr="00F25538" w:rsidRDefault="003646C0" w:rsidP="00F25538">
      <w:pPr>
        <w:pStyle w:val="Heading3"/>
        <w:numPr>
          <w:ilvl w:val="2"/>
          <w:numId w:val="21"/>
        </w:numPr>
        <w:spacing w:before="240" w:after="220"/>
        <w:rPr>
          <w:b w:val="0"/>
          <w:bCs/>
          <w:color w:val="000000" w:themeColor="text1"/>
          <w:sz w:val="22"/>
          <w:szCs w:val="22"/>
          <w:u w:val="single"/>
          <w:lang w:eastAsia="en-US"/>
        </w:rPr>
      </w:pPr>
      <w:bookmarkStart w:id="68" w:name="_Toc232436598"/>
      <w:r w:rsidRPr="00D76DFE">
        <w:rPr>
          <w:b w:val="0"/>
          <w:bCs/>
          <w:color w:val="000000" w:themeColor="text1"/>
          <w:sz w:val="22"/>
          <w:szCs w:val="22"/>
          <w:u w:val="single"/>
          <w:lang w:eastAsia="en-US"/>
        </w:rPr>
        <w:lastRenderedPageBreak/>
        <w:t>Support Tools for SMEs and Startups</w:t>
      </w:r>
      <w:bookmarkEnd w:id="68"/>
    </w:p>
    <w:p w14:paraId="5FDD51C7" w14:textId="647385F2" w:rsidR="003646C0" w:rsidRPr="001C0190" w:rsidRDefault="008232FA" w:rsidP="00084E28">
      <w:pPr>
        <w:pStyle w:val="ONUME"/>
      </w:pPr>
      <w:bookmarkStart w:id="69" w:name="_Hlk198331036"/>
      <w:r w:rsidRPr="00CD1BFE">
        <w:t>Within the framework of the MoU between WIPO and the Ministry of Economy of Ukraine, the translation and adaptation of the WIPO Diagnostic Tool and the</w:t>
      </w:r>
      <w:r w:rsidR="00905F18" w:rsidRPr="00822E70">
        <w:rPr>
          <w:lang w:eastAsia="en-US"/>
        </w:rPr>
        <w:t xml:space="preserve"> guidebook </w:t>
      </w:r>
      <w:r w:rsidR="00905F18" w:rsidRPr="00822E70">
        <w:rPr>
          <w:i/>
          <w:iCs/>
          <w:lang w:eastAsia="en-US"/>
        </w:rPr>
        <w:t>Enterprising Ideas: A Guide to IP for Startups</w:t>
      </w:r>
      <w:r w:rsidR="00905F18" w:rsidRPr="00CD1BFE">
        <w:t xml:space="preserve"> </w:t>
      </w:r>
      <w:r w:rsidR="009A4E03">
        <w:t>were</w:t>
      </w:r>
      <w:r w:rsidRPr="00CD1BFE">
        <w:t xml:space="preserve"> completed</w:t>
      </w:r>
      <w:r w:rsidR="00406370">
        <w:t xml:space="preserve"> </w:t>
      </w:r>
      <w:r w:rsidR="00406370" w:rsidRPr="00D1640E">
        <w:t>in August 2025</w:t>
      </w:r>
      <w:r w:rsidRPr="00D1640E">
        <w:t>.</w:t>
      </w:r>
      <w:r w:rsidR="00084E28" w:rsidRPr="00D1640E">
        <w:t xml:space="preserve"> </w:t>
      </w:r>
      <w:r w:rsidR="0069163B" w:rsidRPr="002A5A28">
        <w:t>UANIPIO validated the tools in May 2026</w:t>
      </w:r>
      <w:r w:rsidR="00836102" w:rsidRPr="002A5A28">
        <w:t>,</w:t>
      </w:r>
      <w:r w:rsidR="0069163B" w:rsidRPr="002A5A28">
        <w:t xml:space="preserve"> with </w:t>
      </w:r>
      <w:r w:rsidR="00836102" w:rsidRPr="002A5A28">
        <w:t>their official l</w:t>
      </w:r>
      <w:r w:rsidR="0069163B" w:rsidRPr="002A5A28">
        <w:t xml:space="preserve">aunch and </w:t>
      </w:r>
      <w:r w:rsidR="00712DB1" w:rsidRPr="002A5A28">
        <w:t xml:space="preserve">online </w:t>
      </w:r>
      <w:r w:rsidRPr="002A5A28">
        <w:t>publication</w:t>
      </w:r>
      <w:r w:rsidR="00391558" w:rsidRPr="002A5A28">
        <w:t xml:space="preserve"> of the tools</w:t>
      </w:r>
      <w:r w:rsidR="006713A4" w:rsidRPr="002A5A28">
        <w:t xml:space="preserve"> </w:t>
      </w:r>
      <w:r w:rsidR="00404012" w:rsidRPr="00404012">
        <w:t xml:space="preserve">planned </w:t>
      </w:r>
      <w:r w:rsidR="0069163B" w:rsidRPr="002A5A28">
        <w:t>for June 2026</w:t>
      </w:r>
      <w:r w:rsidR="00D1640E" w:rsidRPr="002A5A28">
        <w:t>.</w:t>
      </w:r>
      <w:r w:rsidRPr="001C0190">
        <w:t xml:space="preserve"> </w:t>
      </w:r>
      <w:r w:rsidR="003646C0" w:rsidRPr="001C0190">
        <w:rPr>
          <w:lang w:eastAsia="en-US"/>
        </w:rPr>
        <w:t xml:space="preserve"> </w:t>
      </w:r>
    </w:p>
    <w:p w14:paraId="45D44AF7" w14:textId="4D2037FB" w:rsidR="007D4628" w:rsidRPr="00F20D55" w:rsidRDefault="002F7913" w:rsidP="007D4628">
      <w:pPr>
        <w:pStyle w:val="ONUME"/>
        <w:rPr>
          <w:lang w:eastAsia="en-US"/>
        </w:rPr>
      </w:pPr>
      <w:r w:rsidRPr="00563D82">
        <w:rPr>
          <w:szCs w:val="22"/>
        </w:rPr>
        <w:t xml:space="preserve">Between October </w:t>
      </w:r>
      <w:r w:rsidR="009E18F0" w:rsidRPr="00563D82">
        <w:rPr>
          <w:szCs w:val="22"/>
        </w:rPr>
        <w:t>and</w:t>
      </w:r>
      <w:r w:rsidRPr="00563D82">
        <w:rPr>
          <w:szCs w:val="22"/>
        </w:rPr>
        <w:t xml:space="preserve"> December 2025, </w:t>
      </w:r>
      <w:r w:rsidR="005E488B">
        <w:rPr>
          <w:szCs w:val="22"/>
        </w:rPr>
        <w:t>11</w:t>
      </w:r>
      <w:r w:rsidRPr="00563D82">
        <w:rPr>
          <w:szCs w:val="22"/>
        </w:rPr>
        <w:t xml:space="preserve"> Ukrainian ventures and innovators participated </w:t>
      </w:r>
      <w:r w:rsidRPr="00F20D55">
        <w:rPr>
          <w:szCs w:val="22"/>
        </w:rPr>
        <w:t xml:space="preserve">in </w:t>
      </w:r>
      <w:r w:rsidR="004F3A15" w:rsidRPr="00F20D55">
        <w:rPr>
          <w:szCs w:val="22"/>
        </w:rPr>
        <w:t>the</w:t>
      </w:r>
      <w:r w:rsidR="00563D82" w:rsidRPr="00F20D55">
        <w:rPr>
          <w:szCs w:val="22"/>
        </w:rPr>
        <w:t xml:space="preserve"> online</w:t>
      </w:r>
      <w:r w:rsidR="004F3A15" w:rsidRPr="00F20D55">
        <w:rPr>
          <w:szCs w:val="22"/>
        </w:rPr>
        <w:t xml:space="preserve"> WIPO </w:t>
      </w:r>
      <w:r w:rsidRPr="00F20D55">
        <w:rPr>
          <w:szCs w:val="22"/>
        </w:rPr>
        <w:t>Scale Up Your IP</w:t>
      </w:r>
      <w:r w:rsidR="004F3A15" w:rsidRPr="00F20D55">
        <w:rPr>
          <w:szCs w:val="22"/>
        </w:rPr>
        <w:t xml:space="preserve"> Program for Deep-Tech Ventures, designed to</w:t>
      </w:r>
      <w:r w:rsidRPr="00F20D55">
        <w:rPr>
          <w:szCs w:val="22"/>
        </w:rPr>
        <w:t xml:space="preserve"> support </w:t>
      </w:r>
      <w:r w:rsidR="00177EC3" w:rsidRPr="00F20D55">
        <w:rPr>
          <w:szCs w:val="22"/>
        </w:rPr>
        <w:t xml:space="preserve">early-stage innovators, researchers, university spin-offs and deep-tech ventures </w:t>
      </w:r>
      <w:r w:rsidRPr="00F20D55">
        <w:rPr>
          <w:szCs w:val="22"/>
        </w:rPr>
        <w:t>develop their approach to IP commercialization</w:t>
      </w:r>
      <w:r w:rsidR="00177EC3" w:rsidRPr="00F20D55">
        <w:rPr>
          <w:szCs w:val="22"/>
        </w:rPr>
        <w:t xml:space="preserve"> and integrate IP into their commercialization strategies</w:t>
      </w:r>
      <w:r w:rsidRPr="00F20D55">
        <w:rPr>
          <w:szCs w:val="22"/>
        </w:rPr>
        <w:t>.</w:t>
      </w:r>
    </w:p>
    <w:p w14:paraId="5EEF98D4" w14:textId="133A1935" w:rsidR="00F71EA1" w:rsidRPr="00F20D55" w:rsidRDefault="00510E31" w:rsidP="007D4628">
      <w:pPr>
        <w:pStyle w:val="ONUME"/>
        <w:rPr>
          <w:lang w:eastAsia="en-US"/>
        </w:rPr>
      </w:pPr>
      <w:r w:rsidRPr="00F20D55">
        <w:rPr>
          <w:szCs w:val="22"/>
        </w:rPr>
        <w:t>O</w:t>
      </w:r>
      <w:r w:rsidR="00FF214D" w:rsidRPr="00F20D55">
        <w:rPr>
          <w:szCs w:val="22"/>
        </w:rPr>
        <w:t>ne Ukrainian participated in the 2025</w:t>
      </w:r>
      <w:r w:rsidR="003A5814" w:rsidRPr="00F20D55">
        <w:rPr>
          <w:szCs w:val="22"/>
        </w:rPr>
        <w:t xml:space="preserve"> edition of the WIPO</w:t>
      </w:r>
      <w:r w:rsidR="00FF214D" w:rsidRPr="00F20D55">
        <w:rPr>
          <w:szCs w:val="22"/>
        </w:rPr>
        <w:t xml:space="preserve"> International Patent Drafting Training Program, </w:t>
      </w:r>
      <w:r w:rsidR="00253014" w:rsidRPr="00F20D55">
        <w:rPr>
          <w:szCs w:val="22"/>
        </w:rPr>
        <w:t>implemented</w:t>
      </w:r>
      <w:r w:rsidR="003A5814" w:rsidRPr="00F20D55">
        <w:rPr>
          <w:szCs w:val="22"/>
        </w:rPr>
        <w:t xml:space="preserve"> during eight months</w:t>
      </w:r>
      <w:r w:rsidR="00F20D55">
        <w:rPr>
          <w:szCs w:val="22"/>
        </w:rPr>
        <w:t xml:space="preserve"> and </w:t>
      </w:r>
      <w:r w:rsidR="00E443AC" w:rsidRPr="00F20D55">
        <w:rPr>
          <w:szCs w:val="22"/>
        </w:rPr>
        <w:t>through</w:t>
      </w:r>
      <w:r w:rsidR="00253014" w:rsidRPr="00F20D55">
        <w:rPr>
          <w:szCs w:val="22"/>
        </w:rPr>
        <w:t xml:space="preserve"> in three phases</w:t>
      </w:r>
      <w:r w:rsidR="00E443AC" w:rsidRPr="00F20D55">
        <w:rPr>
          <w:szCs w:val="22"/>
        </w:rPr>
        <w:t xml:space="preserve"> including</w:t>
      </w:r>
      <w:r w:rsidR="00253014" w:rsidRPr="00F20D55">
        <w:rPr>
          <w:szCs w:val="22"/>
        </w:rPr>
        <w:t xml:space="preserve"> tutor-led online modules, a week-long workshop held at the WIPO Headquarters in Geneva and </w:t>
      </w:r>
      <w:r w:rsidR="00C10423" w:rsidRPr="00F20D55">
        <w:rPr>
          <w:szCs w:val="22"/>
        </w:rPr>
        <w:t xml:space="preserve">tailored, </w:t>
      </w:r>
      <w:r w:rsidR="00253014" w:rsidRPr="00F20D55">
        <w:rPr>
          <w:szCs w:val="22"/>
        </w:rPr>
        <w:t>online mentoring</w:t>
      </w:r>
      <w:r w:rsidR="00C10423" w:rsidRPr="00F20D55">
        <w:rPr>
          <w:szCs w:val="22"/>
        </w:rPr>
        <w:t>.</w:t>
      </w:r>
    </w:p>
    <w:p w14:paraId="47D1FB34" w14:textId="4E5CE76B" w:rsidR="00FF214D" w:rsidRPr="00FC4B57" w:rsidRDefault="00A230C0" w:rsidP="00FC4B57">
      <w:pPr>
        <w:pStyle w:val="ONUME"/>
        <w:rPr>
          <w:lang w:eastAsia="en-US"/>
        </w:rPr>
      </w:pPr>
      <w:r>
        <w:rPr>
          <w:lang w:eastAsia="en-US"/>
        </w:rPr>
        <w:t>Additionally, i</w:t>
      </w:r>
      <w:r w:rsidR="00795FF9" w:rsidRPr="00F20D55">
        <w:rPr>
          <w:lang w:eastAsia="en-US"/>
        </w:rPr>
        <w:t>n December 2025, WIPO concluded th</w:t>
      </w:r>
      <w:r w:rsidR="00E65ED1" w:rsidRPr="00F20D55">
        <w:rPr>
          <w:lang w:eastAsia="en-US"/>
        </w:rPr>
        <w:t>e</w:t>
      </w:r>
      <w:r w:rsidR="00E65ED1" w:rsidRPr="00F20D55">
        <w:t xml:space="preserve"> Regional Patent Drafting Workshop for Central European and Baltic States and Mediterranean Countries (CEBSMC),</w:t>
      </w:r>
      <w:r w:rsidR="00E65ED1" w:rsidRPr="00F20D55">
        <w:rPr>
          <w:szCs w:val="22"/>
        </w:rPr>
        <w:t xml:space="preserve"> held in Belgrade, Serbia in December 2025.</w:t>
      </w:r>
      <w:r w:rsidR="00E65ED1" w:rsidRPr="00F20D55">
        <w:rPr>
          <w:lang w:eastAsia="en-US"/>
        </w:rPr>
        <w:t xml:space="preserve"> </w:t>
      </w:r>
      <w:r w:rsidR="005E488B">
        <w:rPr>
          <w:lang w:eastAsia="en-US"/>
        </w:rPr>
        <w:t xml:space="preserve"> </w:t>
      </w:r>
      <w:r w:rsidR="00E65ED1" w:rsidRPr="00F20D55">
        <w:rPr>
          <w:lang w:eastAsia="en-US"/>
        </w:rPr>
        <w:t xml:space="preserve">The Program enhanced the capacities of </w:t>
      </w:r>
      <w:r w:rsidR="00FC4B57" w:rsidRPr="00F20D55">
        <w:rPr>
          <w:lang w:eastAsia="en-US"/>
        </w:rPr>
        <w:t>46 participants from 19 CEBSMC countries, including three participants from</w:t>
      </w:r>
      <w:r w:rsidR="00FC4B57" w:rsidRPr="00FC4B57">
        <w:rPr>
          <w:lang w:eastAsia="en-US"/>
        </w:rPr>
        <w:t xml:space="preserve"> Ukraine.</w:t>
      </w:r>
    </w:p>
    <w:p w14:paraId="350F7E27" w14:textId="4F175B1C" w:rsidR="002C5A37" w:rsidRPr="00FF214D" w:rsidRDefault="00B401E9" w:rsidP="007D4628">
      <w:pPr>
        <w:pStyle w:val="ONUME"/>
        <w:rPr>
          <w:lang w:eastAsia="en-US"/>
        </w:rPr>
      </w:pPr>
      <w:r>
        <w:rPr>
          <w:lang w:eastAsia="en-US"/>
        </w:rPr>
        <w:t>One Ukrainian SME successfully completed th</w:t>
      </w:r>
      <w:r w:rsidR="008F76F7">
        <w:rPr>
          <w:lang w:eastAsia="en-US"/>
        </w:rPr>
        <w:t xml:space="preserve">e </w:t>
      </w:r>
      <w:r w:rsidRPr="00B401E9">
        <w:rPr>
          <w:lang w:eastAsia="en-US"/>
        </w:rPr>
        <w:t>EUIPO-WIPO IP Management Clinic for Fashion Entrepreneurs</w:t>
      </w:r>
      <w:r w:rsidR="008F76F7">
        <w:rPr>
          <w:lang w:eastAsia="en-US"/>
        </w:rPr>
        <w:t>, implemented in November 2025</w:t>
      </w:r>
      <w:r w:rsidR="00974F2E">
        <w:rPr>
          <w:lang w:eastAsia="en-US"/>
        </w:rPr>
        <w:t xml:space="preserve"> </w:t>
      </w:r>
      <w:r w:rsidR="00800CC3">
        <w:rPr>
          <w:lang w:eastAsia="en-US"/>
        </w:rPr>
        <w:t xml:space="preserve">in cooperation with the </w:t>
      </w:r>
      <w:r w:rsidR="006E5557" w:rsidRPr="006E5557">
        <w:rPr>
          <w:lang w:eastAsia="en-US"/>
        </w:rPr>
        <w:t xml:space="preserve">EUIPO </w:t>
      </w:r>
      <w:r w:rsidR="006E5557">
        <w:rPr>
          <w:lang w:eastAsia="en-US"/>
        </w:rPr>
        <w:t>and</w:t>
      </w:r>
      <w:r w:rsidR="006E5557" w:rsidRPr="006E5557">
        <w:rPr>
          <w:lang w:eastAsia="en-US"/>
        </w:rPr>
        <w:t xml:space="preserve"> partner</w:t>
      </w:r>
      <w:r w:rsidR="0055652F">
        <w:rPr>
          <w:lang w:eastAsia="en-US"/>
        </w:rPr>
        <w:t xml:space="preserve"> organizations from</w:t>
      </w:r>
      <w:r w:rsidR="006E5557" w:rsidRPr="006E5557">
        <w:rPr>
          <w:lang w:eastAsia="en-US"/>
        </w:rPr>
        <w:t xml:space="preserve"> the fashion sector</w:t>
      </w:r>
      <w:r w:rsidR="0055652F">
        <w:rPr>
          <w:lang w:eastAsia="en-US"/>
        </w:rPr>
        <w:t>.</w:t>
      </w:r>
    </w:p>
    <w:p w14:paraId="401B4A69" w14:textId="12E75450" w:rsidR="003646C0" w:rsidRPr="00F25538" w:rsidRDefault="003646C0" w:rsidP="00F25538">
      <w:pPr>
        <w:pStyle w:val="Heading3"/>
        <w:spacing w:before="240" w:after="220"/>
        <w:ind w:left="1890" w:hanging="720"/>
        <w:rPr>
          <w:b w:val="0"/>
          <w:bCs/>
          <w:color w:val="000000" w:themeColor="text1"/>
          <w:sz w:val="22"/>
          <w:szCs w:val="18"/>
          <w:lang w:eastAsia="en-US"/>
        </w:rPr>
      </w:pPr>
      <w:bookmarkStart w:id="70" w:name="_Toc232436599"/>
      <w:bookmarkEnd w:id="69"/>
      <w:r w:rsidRPr="00D76DFE">
        <w:rPr>
          <w:b w:val="0"/>
          <w:bCs/>
          <w:color w:val="000000" w:themeColor="text1"/>
          <w:sz w:val="22"/>
          <w:szCs w:val="18"/>
          <w:lang w:eastAsia="en-US"/>
        </w:rPr>
        <w:t>3.</w:t>
      </w:r>
      <w:r w:rsidR="00234AE6">
        <w:rPr>
          <w:b w:val="0"/>
          <w:bCs/>
          <w:color w:val="000000" w:themeColor="text1"/>
          <w:sz w:val="22"/>
          <w:szCs w:val="18"/>
          <w:lang w:eastAsia="en-US"/>
        </w:rPr>
        <w:t>5</w:t>
      </w:r>
      <w:r w:rsidRPr="00D76DFE">
        <w:rPr>
          <w:b w:val="0"/>
          <w:bCs/>
          <w:color w:val="000000" w:themeColor="text1"/>
          <w:sz w:val="22"/>
          <w:szCs w:val="18"/>
          <w:lang w:eastAsia="en-US"/>
        </w:rPr>
        <w:t>.3</w:t>
      </w:r>
      <w:r w:rsidRPr="00D76DFE">
        <w:rPr>
          <w:b w:val="0"/>
          <w:bCs/>
          <w:color w:val="000000" w:themeColor="text1"/>
          <w:sz w:val="22"/>
          <w:szCs w:val="18"/>
          <w:lang w:eastAsia="en-US"/>
        </w:rPr>
        <w:tab/>
      </w:r>
      <w:r w:rsidRPr="00D76DFE">
        <w:rPr>
          <w:b w:val="0"/>
          <w:bCs/>
          <w:color w:val="000000" w:themeColor="text1"/>
          <w:sz w:val="22"/>
          <w:szCs w:val="18"/>
          <w:u w:val="single"/>
          <w:lang w:eastAsia="en-US"/>
        </w:rPr>
        <w:t>Provision of Access to Information and Technologies</w:t>
      </w:r>
      <w:bookmarkEnd w:id="70"/>
    </w:p>
    <w:p w14:paraId="53B083DB" w14:textId="25D85F5D" w:rsidR="001F1C3C" w:rsidRDefault="00C43B0F" w:rsidP="003A45C6">
      <w:pPr>
        <w:pStyle w:val="ONUME"/>
      </w:pPr>
      <w:r w:rsidRPr="00C43B0F">
        <w:t xml:space="preserve">The International Bureau continued to facilitate access to patent and non-patent databases and literature for UANIPIO and other Ukrainian institutions through two key public-private programs: </w:t>
      </w:r>
      <w:r w:rsidR="00A01213">
        <w:t xml:space="preserve"> </w:t>
      </w:r>
      <w:r w:rsidRPr="00C43B0F">
        <w:t xml:space="preserve">the Access to Research for Development and Innovation (ARDI) program, which provides access to up to 250,000 scientific and technical books, journals and reference works, and the Access to Specialized Patent Information (ASPI) program, which provides access to advanced commercial patent search and analytics databases. </w:t>
      </w:r>
    </w:p>
    <w:p w14:paraId="7A90F1D2" w14:textId="75019D04" w:rsidR="00A824CA" w:rsidRDefault="00A824CA" w:rsidP="003A45C6">
      <w:pPr>
        <w:pStyle w:val="ONUME"/>
      </w:pPr>
      <w:r w:rsidRPr="00A824CA">
        <w:t>The free access to ASPI, ARDI and other Research4Life programs for eligible national institutions of Ukraine, including the TISCs network, has been extended until the end of 202</w:t>
      </w:r>
      <w:r w:rsidR="00E3769D">
        <w:t>6</w:t>
      </w:r>
      <w:r w:rsidRPr="00A824CA">
        <w:t>. This extension is part of a strategy to ensure that Ukrainian institutions continue to benefit from global knowledge repositories and technology databases amidst ongoing challenges.</w:t>
      </w:r>
    </w:p>
    <w:p w14:paraId="287C4DF8" w14:textId="65013667" w:rsidR="00C43B0F" w:rsidRDefault="00C43B0F" w:rsidP="003A45C6">
      <w:pPr>
        <w:pStyle w:val="ONUME"/>
      </w:pPr>
      <w:r w:rsidRPr="00C43B0F">
        <w:t>As of December 31, 2025, 266 institutions in Ukraine were registered to benefit from ARDI, and over 30 institutions were registered to benefit from one or more patent database services through ASPI.</w:t>
      </w:r>
    </w:p>
    <w:p w14:paraId="52DD3B2F" w14:textId="083F9C19" w:rsidR="004344EE" w:rsidRPr="00F25538" w:rsidRDefault="00ED0C94" w:rsidP="00F25538">
      <w:pPr>
        <w:pStyle w:val="Heading3"/>
        <w:numPr>
          <w:ilvl w:val="2"/>
          <w:numId w:val="43"/>
        </w:numPr>
        <w:spacing w:before="240" w:after="220"/>
        <w:rPr>
          <w:b w:val="0"/>
          <w:bCs/>
          <w:color w:val="auto"/>
          <w:sz w:val="22"/>
          <w:szCs w:val="22"/>
          <w:u w:val="single"/>
        </w:rPr>
      </w:pPr>
      <w:bookmarkStart w:id="71" w:name="_Toc232436600"/>
      <w:r w:rsidRPr="003010B8">
        <w:rPr>
          <w:b w:val="0"/>
          <w:bCs/>
          <w:color w:val="auto"/>
          <w:sz w:val="22"/>
          <w:szCs w:val="22"/>
          <w:u w:val="single"/>
        </w:rPr>
        <w:t xml:space="preserve">IP Management in </w:t>
      </w:r>
      <w:proofErr w:type="spellStart"/>
      <w:r w:rsidRPr="003010B8">
        <w:rPr>
          <w:b w:val="0"/>
          <w:bCs/>
          <w:color w:val="auto"/>
          <w:sz w:val="22"/>
          <w:szCs w:val="22"/>
          <w:u w:val="single"/>
        </w:rPr>
        <w:t>Technoparks</w:t>
      </w:r>
      <w:bookmarkEnd w:id="71"/>
      <w:proofErr w:type="spellEnd"/>
    </w:p>
    <w:p w14:paraId="3EDFA933" w14:textId="0B6A2D7F" w:rsidR="00EB498B" w:rsidDel="00A368FB" w:rsidRDefault="008E3A49" w:rsidP="003A45C6">
      <w:pPr>
        <w:pStyle w:val="ONUME"/>
      </w:pPr>
      <w:r w:rsidRPr="008E3A49">
        <w:t xml:space="preserve">From October to November 2025, the Sikorsky Challenge Science Park of Additive Technologies participated in the WIPO cross-regional project on IP Management in </w:t>
      </w:r>
      <w:proofErr w:type="spellStart"/>
      <w:r w:rsidRPr="008E3A49">
        <w:t>Technoparks</w:t>
      </w:r>
      <w:proofErr w:type="spellEnd"/>
      <w:r w:rsidRPr="008E3A49">
        <w:t xml:space="preserve">. </w:t>
      </w:r>
      <w:r w:rsidR="00A01213">
        <w:t xml:space="preserve"> </w:t>
      </w:r>
      <w:r w:rsidRPr="008E3A49">
        <w:t xml:space="preserve">The project brought together 24 </w:t>
      </w:r>
      <w:proofErr w:type="spellStart"/>
      <w:r w:rsidRPr="008E3A49">
        <w:t>technoparks</w:t>
      </w:r>
      <w:proofErr w:type="spellEnd"/>
      <w:r w:rsidRPr="008E3A49">
        <w:t xml:space="preserve"> from 13 countries and was guided by ISO 56005 standards. </w:t>
      </w:r>
      <w:r w:rsidR="00767B73" w:rsidRPr="00767B73">
        <w:t xml:space="preserve"> With the assistance of the International Bureau, participating </w:t>
      </w:r>
      <w:proofErr w:type="spellStart"/>
      <w:r w:rsidR="00767B73" w:rsidRPr="00767B73">
        <w:t>technoparks</w:t>
      </w:r>
      <w:proofErr w:type="spellEnd"/>
      <w:r w:rsidR="00767B73" w:rsidRPr="00767B73">
        <w:t xml:space="preserve"> assessed their IP management needs and prepared IP Management Roadmaps addressing six core areas: governance, disclosure, risk management, protection, valuation, and technology transfer.</w:t>
      </w:r>
    </w:p>
    <w:p w14:paraId="1F657ADB" w14:textId="323FEE1B" w:rsidR="003646C0" w:rsidRPr="00F25538" w:rsidRDefault="003646C0" w:rsidP="00F25538">
      <w:pPr>
        <w:pStyle w:val="Heading3"/>
        <w:numPr>
          <w:ilvl w:val="2"/>
          <w:numId w:val="38"/>
        </w:numPr>
        <w:spacing w:before="240" w:after="220"/>
        <w:rPr>
          <w:b w:val="0"/>
          <w:bCs/>
          <w:color w:val="000000" w:themeColor="text1"/>
          <w:sz w:val="22"/>
          <w:szCs w:val="22"/>
          <w:lang w:eastAsia="en-US"/>
        </w:rPr>
      </w:pPr>
      <w:bookmarkStart w:id="72" w:name="_Toc232436601"/>
      <w:r w:rsidRPr="003C71B5">
        <w:rPr>
          <w:b w:val="0"/>
          <w:bCs/>
          <w:color w:val="000000" w:themeColor="text1"/>
          <w:sz w:val="22"/>
          <w:szCs w:val="22"/>
          <w:u w:val="single"/>
          <w:lang w:eastAsia="en-US"/>
        </w:rPr>
        <w:lastRenderedPageBreak/>
        <w:t>Copyright Management</w:t>
      </w:r>
      <w:bookmarkEnd w:id="72"/>
      <w:r w:rsidRPr="00D76DFE">
        <w:rPr>
          <w:b w:val="0"/>
          <w:bCs/>
          <w:color w:val="000000" w:themeColor="text1"/>
          <w:sz w:val="22"/>
          <w:szCs w:val="22"/>
          <w:lang w:eastAsia="en-US"/>
        </w:rPr>
        <w:t xml:space="preserve"> </w:t>
      </w:r>
    </w:p>
    <w:p w14:paraId="0C07735A" w14:textId="421A3C53" w:rsidR="003057CB" w:rsidRPr="009B1E61" w:rsidRDefault="003057CB" w:rsidP="003057CB">
      <w:pPr>
        <w:pStyle w:val="ONUME"/>
      </w:pPr>
      <w:r w:rsidRPr="00D1592E">
        <w:t xml:space="preserve">In September 2025, </w:t>
      </w:r>
      <w:r w:rsidR="005A6D6D">
        <w:t>t</w:t>
      </w:r>
      <w:r w:rsidR="005A6D6D" w:rsidRPr="005A6D6D">
        <w:t>he International Bureau</w:t>
      </w:r>
      <w:r w:rsidRPr="00D1592E">
        <w:t xml:space="preserve"> received a request from the Ministry of Economy</w:t>
      </w:r>
      <w:r w:rsidR="008C0351" w:rsidRPr="00AD5DE1">
        <w:t>, Environment and Agriculture of Ukraine</w:t>
      </w:r>
      <w:r w:rsidR="007063B5">
        <w:t xml:space="preserve"> </w:t>
      </w:r>
      <w:r w:rsidRPr="00D1592E">
        <w:t xml:space="preserve">for assistance in improving its collective management </w:t>
      </w:r>
      <w:r w:rsidRPr="009B1E61">
        <w:t>system</w:t>
      </w:r>
      <w:r w:rsidR="0058202F" w:rsidRPr="009B1E61">
        <w:t xml:space="preserve"> and</w:t>
      </w:r>
      <w:r w:rsidR="005954AF" w:rsidRPr="009B1E61">
        <w:t xml:space="preserve"> particularly</w:t>
      </w:r>
      <w:r w:rsidRPr="009B1E61">
        <w:t xml:space="preserve"> implementing the 2018 Law on Effective Management of Property Rights. </w:t>
      </w:r>
    </w:p>
    <w:p w14:paraId="2BB3E880" w14:textId="30E87121" w:rsidR="00E32086" w:rsidRDefault="008F552B" w:rsidP="000C3D83">
      <w:pPr>
        <w:pStyle w:val="ONUME"/>
      </w:pPr>
      <w:r>
        <w:t>I</w:t>
      </w:r>
      <w:r w:rsidR="00391E22" w:rsidRPr="009B1E61">
        <w:t xml:space="preserve">n November 2025, </w:t>
      </w:r>
      <w:r w:rsidR="005A6D6D">
        <w:t>t</w:t>
      </w:r>
      <w:r w:rsidR="005A6D6D" w:rsidRPr="005A6D6D">
        <w:t xml:space="preserve">he International Bureau </w:t>
      </w:r>
      <w:r w:rsidR="003057CB" w:rsidRPr="009B1E61">
        <w:t xml:space="preserve">launched a project to assist the Ministry </w:t>
      </w:r>
      <w:r w:rsidR="007D0B7C" w:rsidRPr="007D0B7C">
        <w:t>of Economy, Environment and Agriculture of Ukraine</w:t>
      </w:r>
      <w:r w:rsidR="003057CB" w:rsidRPr="009B1E61">
        <w:t xml:space="preserve"> to increase the transparency of CMOs through the creation</w:t>
      </w:r>
      <w:r w:rsidR="003057CB" w:rsidRPr="00D1592E">
        <w:t xml:space="preserve"> of an Information System integrating a Unified Registry of CMOs with a publicly accessible Transparency Dashboard of CMO performance reports. </w:t>
      </w:r>
    </w:p>
    <w:p w14:paraId="4611EE4B" w14:textId="5771B22D" w:rsidR="00A039F9" w:rsidRPr="00A77976" w:rsidRDefault="00347189" w:rsidP="003057CB">
      <w:pPr>
        <w:pStyle w:val="ONUME"/>
      </w:pPr>
      <w:r w:rsidRPr="00347189">
        <w:t>In response to the</w:t>
      </w:r>
      <w:r w:rsidR="00E97E33">
        <w:t xml:space="preserve"> additional</w:t>
      </w:r>
      <w:r w:rsidR="000C7B58">
        <w:t xml:space="preserve"> </w:t>
      </w:r>
      <w:r w:rsidR="00C26CB4" w:rsidRPr="00A77976">
        <w:t xml:space="preserve">needs and proposals </w:t>
      </w:r>
      <w:r>
        <w:t xml:space="preserve">expressed </w:t>
      </w:r>
      <w:r w:rsidR="00C26CB4" w:rsidRPr="00A77976">
        <w:t>by t</w:t>
      </w:r>
      <w:r w:rsidR="003057CB" w:rsidRPr="00A77976">
        <w:t>he Ministry</w:t>
      </w:r>
      <w:r w:rsidR="005A6D6D" w:rsidRPr="005A6D6D">
        <w:t xml:space="preserve"> of Economy, Environment and Agriculture of Ukraine</w:t>
      </w:r>
      <w:r w:rsidR="00C26CB4" w:rsidRPr="00A77976">
        <w:t xml:space="preserve">, the project </w:t>
      </w:r>
      <w:r w:rsidR="006E2613">
        <w:t xml:space="preserve">was broadened to </w:t>
      </w:r>
      <w:r w:rsidR="00C26CB4" w:rsidRPr="00A77976">
        <w:t>includ</w:t>
      </w:r>
      <w:r w:rsidR="006E2613">
        <w:t>e the</w:t>
      </w:r>
      <w:r w:rsidR="003057CB" w:rsidRPr="00A77976">
        <w:t xml:space="preserve"> review </w:t>
      </w:r>
      <w:r w:rsidR="00E97E33">
        <w:t xml:space="preserve">of </w:t>
      </w:r>
      <w:r w:rsidR="003057CB" w:rsidRPr="00A77976">
        <w:t xml:space="preserve">the secondary legislation regarding the CMOs’ </w:t>
      </w:r>
      <w:r w:rsidR="00742DA4">
        <w:t xml:space="preserve">reporting </w:t>
      </w:r>
      <w:r w:rsidR="003057CB" w:rsidRPr="00A77976">
        <w:t xml:space="preserve">obligations. </w:t>
      </w:r>
      <w:r w:rsidR="00A01213">
        <w:t xml:space="preserve"> </w:t>
      </w:r>
      <w:r w:rsidR="004B77A7">
        <w:t xml:space="preserve">This </w:t>
      </w:r>
      <w:r w:rsidR="0080140E">
        <w:t>included the</w:t>
      </w:r>
      <w:r w:rsidR="00E423D2">
        <w:t xml:space="preserve"> </w:t>
      </w:r>
      <w:r w:rsidR="00F028FD" w:rsidRPr="00F028FD">
        <w:t>preparation of</w:t>
      </w:r>
      <w:r w:rsidR="003868B9" w:rsidRPr="00A77976">
        <w:t xml:space="preserve"> </w:t>
      </w:r>
      <w:r w:rsidR="003057CB" w:rsidRPr="00A77976">
        <w:t xml:space="preserve">a non-normative Guideline </w:t>
      </w:r>
      <w:r w:rsidR="00F028FD">
        <w:t>to support</w:t>
      </w:r>
      <w:r w:rsidR="00F028FD" w:rsidRPr="00A77976">
        <w:t xml:space="preserve"> </w:t>
      </w:r>
      <w:r w:rsidR="003057CB" w:rsidRPr="00A77976">
        <w:t xml:space="preserve">the Ministry </w:t>
      </w:r>
      <w:r w:rsidR="00F028FD">
        <w:t>in</w:t>
      </w:r>
      <w:r w:rsidR="00F028FD" w:rsidRPr="00A77976">
        <w:t xml:space="preserve"> </w:t>
      </w:r>
      <w:r w:rsidR="003057CB" w:rsidRPr="00A77976">
        <w:t>assess</w:t>
      </w:r>
      <w:r w:rsidR="00F028FD">
        <w:t>ing</w:t>
      </w:r>
      <w:r w:rsidR="003057CB" w:rsidRPr="00A77976">
        <w:t xml:space="preserve"> submitted documents and materials</w:t>
      </w:r>
      <w:r w:rsidR="00A23E19">
        <w:t>.</w:t>
      </w:r>
      <w:r w:rsidR="003057CB" w:rsidRPr="00A77976">
        <w:t xml:space="preserve"> </w:t>
      </w:r>
    </w:p>
    <w:p w14:paraId="29C37122" w14:textId="77777777" w:rsidR="00C17CE7" w:rsidRDefault="003057CB" w:rsidP="00C97818">
      <w:pPr>
        <w:pStyle w:val="ONUME"/>
      </w:pPr>
      <w:r w:rsidRPr="00A77976">
        <w:t>The</w:t>
      </w:r>
      <w:r w:rsidR="00C464C3">
        <w:t xml:space="preserve"> </w:t>
      </w:r>
      <w:r w:rsidR="0080140E">
        <w:t xml:space="preserve">project </w:t>
      </w:r>
      <w:r w:rsidR="00D03086">
        <w:t xml:space="preserve">benefitted from the insights of a national and international expert and </w:t>
      </w:r>
      <w:r w:rsidR="0080140E">
        <w:t>is planned to conclude by the end of June 2026</w:t>
      </w:r>
      <w:r w:rsidR="00C17CE7">
        <w:t xml:space="preserve">. </w:t>
      </w:r>
    </w:p>
    <w:p w14:paraId="3F32D224" w14:textId="77EB05FD" w:rsidR="003646C0" w:rsidRPr="00F25538" w:rsidRDefault="003646C0" w:rsidP="00F25538">
      <w:pPr>
        <w:pStyle w:val="Heading3"/>
        <w:numPr>
          <w:ilvl w:val="2"/>
          <w:numId w:val="39"/>
        </w:numPr>
        <w:spacing w:before="240" w:after="220"/>
        <w:rPr>
          <w:b w:val="0"/>
          <w:bCs/>
          <w:color w:val="auto"/>
          <w:lang w:eastAsia="en-US"/>
        </w:rPr>
      </w:pPr>
      <w:bookmarkStart w:id="73" w:name="_Toc232436602"/>
      <w:r w:rsidRPr="00D76DFE">
        <w:rPr>
          <w:b w:val="0"/>
          <w:bCs/>
          <w:color w:val="auto"/>
          <w:sz w:val="22"/>
          <w:szCs w:val="22"/>
          <w:u w:val="single"/>
          <w:lang w:eastAsia="en-US"/>
        </w:rPr>
        <w:t>Accessible Books Consortium (ABC</w:t>
      </w:r>
      <w:r w:rsidRPr="00EB3715">
        <w:rPr>
          <w:b w:val="0"/>
          <w:bCs/>
          <w:color w:val="auto"/>
          <w:u w:val="single"/>
          <w:lang w:eastAsia="en-US"/>
        </w:rPr>
        <w:t>)</w:t>
      </w:r>
      <w:bookmarkEnd w:id="73"/>
    </w:p>
    <w:p w14:paraId="2A0D4ACE" w14:textId="37FBAC30" w:rsidR="00234AE6" w:rsidRDefault="00AE5768" w:rsidP="00545FFC">
      <w:pPr>
        <w:pStyle w:val="ONUME"/>
      </w:pPr>
      <w:r w:rsidRPr="00AE5768">
        <w:t xml:space="preserve">As noted in document A/66/8, the Central Specialized Library of the Ukrainian Association of the Blind (CLBU), which joined the Accessible Books Consortium (ABC) Global Book Service (GBS) in 2019, has full access to the GBS platform, commonly referred to as the Library Application. </w:t>
      </w:r>
      <w:r w:rsidR="00A01213">
        <w:t xml:space="preserve"> </w:t>
      </w:r>
      <w:r w:rsidRPr="00AE5768">
        <w:t xml:space="preserve">The platform currently hosts over 1.2 million titles in accessible formats, all available for cross-border exchange under the framework of the </w:t>
      </w:r>
      <w:r w:rsidR="007A7C45" w:rsidRPr="007A7C45">
        <w:t>Marrakesh Treaty to Facilitate Access to Published Works for Persons Who Are Blind, Visually Impaired or Otherwise Print Disabled</w:t>
      </w:r>
      <w:r w:rsidRPr="00AE5768">
        <w:t>.</w:t>
      </w:r>
      <w:r w:rsidR="008E2398">
        <w:t xml:space="preserve"> </w:t>
      </w:r>
      <w:r w:rsidR="007A7C45">
        <w:t xml:space="preserve"> </w:t>
      </w:r>
      <w:r w:rsidR="00DD229A" w:rsidRPr="00DD229A">
        <w:t>CLBU joined ABC’s Beneficiary Application in May 2025.</w:t>
      </w:r>
      <w:r w:rsidR="007A7C45">
        <w:t xml:space="preserve"> </w:t>
      </w:r>
      <w:r w:rsidR="00DD229A" w:rsidRPr="00DD229A">
        <w:t xml:space="preserve"> This enable</w:t>
      </w:r>
      <w:r w:rsidR="00E300C8">
        <w:t>d</w:t>
      </w:r>
      <w:r w:rsidR="00DD229A" w:rsidRPr="00DD229A">
        <w:t xml:space="preserve"> CLBU, as an Authorized Entity, to give its patrons access to a catalogue of more than 540,000 accessible books, which they can independently browse and download to their preferred devices.</w:t>
      </w:r>
    </w:p>
    <w:p w14:paraId="1233421F" w14:textId="7B09541D" w:rsidR="003646C0" w:rsidRPr="00F25538" w:rsidRDefault="003646C0" w:rsidP="00F25538">
      <w:pPr>
        <w:pStyle w:val="Heading3"/>
        <w:numPr>
          <w:ilvl w:val="2"/>
          <w:numId w:val="40"/>
        </w:numPr>
        <w:spacing w:before="240" w:after="220"/>
        <w:rPr>
          <w:b w:val="0"/>
          <w:bCs/>
          <w:color w:val="auto"/>
          <w:sz w:val="22"/>
          <w:szCs w:val="22"/>
          <w:u w:val="single"/>
          <w:lang w:eastAsia="en-US"/>
        </w:rPr>
      </w:pPr>
      <w:bookmarkStart w:id="74" w:name="_Toc232436603"/>
      <w:bookmarkStart w:id="75" w:name="_Hlk198587611"/>
      <w:r w:rsidRPr="00CB2466">
        <w:rPr>
          <w:b w:val="0"/>
          <w:bCs/>
          <w:color w:val="auto"/>
          <w:sz w:val="22"/>
          <w:szCs w:val="22"/>
          <w:u w:val="single"/>
          <w:lang w:eastAsia="en-US"/>
        </w:rPr>
        <w:t>CDIP</w:t>
      </w:r>
      <w:r w:rsidRPr="00A629B1">
        <w:rPr>
          <w:b w:val="0"/>
          <w:bCs/>
          <w:color w:val="auto"/>
          <w:sz w:val="22"/>
          <w:szCs w:val="22"/>
          <w:u w:val="single"/>
          <w:lang w:eastAsia="en-US"/>
        </w:rPr>
        <w:t xml:space="preserve"> Project on “Enhancing the Capacities of National Intellectual Property Offices in Times of Crisis”</w:t>
      </w:r>
      <w:bookmarkEnd w:id="74"/>
      <w:r w:rsidRPr="00A629B1">
        <w:rPr>
          <w:b w:val="0"/>
          <w:bCs/>
          <w:color w:val="auto"/>
          <w:sz w:val="22"/>
          <w:szCs w:val="22"/>
          <w:u w:val="single"/>
          <w:lang w:eastAsia="en-US"/>
        </w:rPr>
        <w:t xml:space="preserve"> </w:t>
      </w:r>
    </w:p>
    <w:bookmarkEnd w:id="75"/>
    <w:p w14:paraId="09C5521D" w14:textId="6127DF2A" w:rsidR="00691F05" w:rsidRPr="00691F05" w:rsidRDefault="003646C0" w:rsidP="00691F05">
      <w:pPr>
        <w:pStyle w:val="ONUME"/>
        <w:rPr>
          <w:lang w:eastAsia="en-US"/>
        </w:rPr>
      </w:pPr>
      <w:r>
        <w:rPr>
          <w:lang w:eastAsia="en-US"/>
        </w:rPr>
        <w:t xml:space="preserve"> </w:t>
      </w:r>
      <w:r w:rsidR="00462129" w:rsidRPr="002D5709">
        <w:rPr>
          <w:lang w:eastAsia="en-US"/>
        </w:rPr>
        <w:t>As previously reported in document A/6</w:t>
      </w:r>
      <w:r w:rsidR="00462129">
        <w:rPr>
          <w:lang w:eastAsia="en-US"/>
        </w:rPr>
        <w:t>6</w:t>
      </w:r>
      <w:r w:rsidR="00462129" w:rsidRPr="002D5709">
        <w:rPr>
          <w:lang w:eastAsia="en-US"/>
        </w:rPr>
        <w:t>/</w:t>
      </w:r>
      <w:r w:rsidR="00462129">
        <w:rPr>
          <w:lang w:eastAsia="en-US"/>
        </w:rPr>
        <w:t>8</w:t>
      </w:r>
      <w:r w:rsidR="00462129" w:rsidRPr="002D5709">
        <w:rPr>
          <w:lang w:eastAsia="en-US"/>
        </w:rPr>
        <w:t>,</w:t>
      </w:r>
      <w:r w:rsidR="00462129">
        <w:rPr>
          <w:lang w:eastAsia="en-US"/>
        </w:rPr>
        <w:t xml:space="preserve"> a</w:t>
      </w:r>
      <w:r w:rsidR="00691F05" w:rsidRPr="00691F05">
        <w:rPr>
          <w:lang w:eastAsia="en-US"/>
        </w:rPr>
        <w:t>t its 32</w:t>
      </w:r>
      <w:r w:rsidR="00691F05" w:rsidRPr="003010B8">
        <w:rPr>
          <w:vertAlign w:val="superscript"/>
          <w:lang w:eastAsia="en-US"/>
        </w:rPr>
        <w:t xml:space="preserve">nd </w:t>
      </w:r>
      <w:r w:rsidR="00691F05" w:rsidRPr="00691F05">
        <w:rPr>
          <w:lang w:eastAsia="en-US"/>
        </w:rPr>
        <w:t>session, the Committee on Development and Intellectual Property (CDIP) adopted</w:t>
      </w:r>
      <w:r w:rsidR="004706E2">
        <w:rPr>
          <w:lang w:eastAsia="en-US"/>
        </w:rPr>
        <w:t xml:space="preserve"> the </w:t>
      </w:r>
      <w:r w:rsidR="00691F05" w:rsidRPr="00691F05">
        <w:rPr>
          <w:lang w:eastAsia="en-US"/>
        </w:rPr>
        <w:t>Development Agenda Project proposed by the United Kingdom and the Czech Republic on "Enhancing the Capacities of National Intellectual Property Offices in Times of Crisis"</w:t>
      </w:r>
      <w:r w:rsidR="009C1736">
        <w:rPr>
          <w:lang w:eastAsia="en-US"/>
        </w:rPr>
        <w:t>.</w:t>
      </w:r>
      <w:r w:rsidR="00691F05" w:rsidRPr="00691F05">
        <w:rPr>
          <w:lang w:eastAsia="en-US"/>
        </w:rPr>
        <w:t xml:space="preserve"> </w:t>
      </w:r>
      <w:r w:rsidR="007A7C45">
        <w:rPr>
          <w:lang w:eastAsia="en-US"/>
        </w:rPr>
        <w:t xml:space="preserve"> </w:t>
      </w:r>
      <w:r w:rsidR="00691F05" w:rsidRPr="00691F05">
        <w:rPr>
          <w:lang w:eastAsia="en-US"/>
        </w:rPr>
        <w:t>Ukraine has expressed its interest in participating in this project, which would entail elaborating a case study and developing and adopting materials in collaboration with other Member States.</w:t>
      </w:r>
    </w:p>
    <w:p w14:paraId="01135088" w14:textId="7DDDA8D0" w:rsidR="00691F05" w:rsidRPr="00691F05" w:rsidRDefault="00691F05" w:rsidP="00691F05">
      <w:pPr>
        <w:pStyle w:val="ONUME"/>
        <w:rPr>
          <w:lang w:eastAsia="en-US"/>
        </w:rPr>
      </w:pPr>
      <w:r w:rsidRPr="00691F05">
        <w:rPr>
          <w:lang w:eastAsia="en-US"/>
        </w:rPr>
        <w:t xml:space="preserve">As a first step in the implementation of the project, a comprehensive survey was circulated to all 22 participating countries, including Ukraine, with a view to identifying common trends and divergences across IP offices with respect to their national legal frameworks for crisis management, crisis preparedness, emergency response mechanisms, recovery strategies and adherence to recognized international standards. </w:t>
      </w:r>
      <w:r w:rsidR="007A7C45">
        <w:rPr>
          <w:lang w:eastAsia="en-US"/>
        </w:rPr>
        <w:t xml:space="preserve"> </w:t>
      </w:r>
      <w:r w:rsidRPr="00691F05">
        <w:rPr>
          <w:lang w:eastAsia="en-US"/>
        </w:rPr>
        <w:t>Ukraine duly completed and submitted its responses to the questionnaire in November 2025, thereby ensuring its full inclusion in the comparative analysis and positioning itself to actively contribute to the subsequent phases of the project.</w:t>
      </w:r>
    </w:p>
    <w:p w14:paraId="287ECE1F" w14:textId="636F6A4A" w:rsidR="00691F05" w:rsidRPr="00691F05" w:rsidRDefault="00691F05" w:rsidP="00691F05">
      <w:pPr>
        <w:pStyle w:val="ONUME"/>
        <w:rPr>
          <w:lang w:eastAsia="en-US"/>
        </w:rPr>
      </w:pPr>
      <w:r w:rsidRPr="00691F05">
        <w:rPr>
          <w:lang w:eastAsia="en-US"/>
        </w:rPr>
        <w:t>Drawing on the data collected, participating countries, including Ukraine, were categorized into three tiers</w:t>
      </w:r>
      <w:r w:rsidR="00F45712">
        <w:rPr>
          <w:lang w:eastAsia="en-US"/>
        </w:rPr>
        <w:t>:</w:t>
      </w:r>
      <w:r w:rsidR="00035AE1">
        <w:rPr>
          <w:lang w:eastAsia="en-US"/>
        </w:rPr>
        <w:t xml:space="preserve"> </w:t>
      </w:r>
      <w:r w:rsidRPr="00691F05">
        <w:rPr>
          <w:lang w:eastAsia="en-US"/>
        </w:rPr>
        <w:t>advanced, intermediate, and developing</w:t>
      </w:r>
      <w:r w:rsidR="00035AE1">
        <w:rPr>
          <w:lang w:eastAsia="en-US"/>
        </w:rPr>
        <w:t>,</w:t>
      </w:r>
      <w:r w:rsidRPr="00691F05">
        <w:rPr>
          <w:lang w:eastAsia="en-US"/>
        </w:rPr>
        <w:t xml:space="preserve"> reflecting the maturity of their respective crisis management systems, organizational resilience, and overall readiness and preparedness for handling crises. </w:t>
      </w:r>
      <w:r w:rsidR="007A7C45">
        <w:rPr>
          <w:lang w:eastAsia="en-US"/>
        </w:rPr>
        <w:t xml:space="preserve"> </w:t>
      </w:r>
      <w:r w:rsidRPr="00691F05">
        <w:rPr>
          <w:lang w:eastAsia="en-US"/>
        </w:rPr>
        <w:t xml:space="preserve">This classification enabled the identification of each country's </w:t>
      </w:r>
      <w:r w:rsidRPr="00691F05">
        <w:rPr>
          <w:lang w:eastAsia="en-US"/>
        </w:rPr>
        <w:lastRenderedPageBreak/>
        <w:t>areas of expertise, potential contributions to the project, specific capacity-building needs, and targeted areas for improvement.</w:t>
      </w:r>
    </w:p>
    <w:p w14:paraId="7A59FE15" w14:textId="403B4A65" w:rsidR="003646C0" w:rsidRPr="00822E70" w:rsidRDefault="00691F05" w:rsidP="002B42A8">
      <w:pPr>
        <w:pStyle w:val="ONUME"/>
        <w:rPr>
          <w:lang w:eastAsia="en-US"/>
        </w:rPr>
      </w:pPr>
      <w:r w:rsidRPr="00691F05">
        <w:rPr>
          <w:lang w:eastAsia="en-US"/>
        </w:rPr>
        <w:t>Having completed this foundational assessment, the project will enter a new phase, in which the respective roles and contributions of participating countries, as well as the intended beneficiaries, will be further defined.  </w:t>
      </w:r>
    </w:p>
    <w:p w14:paraId="69755C65" w14:textId="45A2F2A8" w:rsidR="003646C0" w:rsidRPr="00112B01" w:rsidRDefault="003646C0" w:rsidP="008A489C">
      <w:pPr>
        <w:pStyle w:val="Heading1"/>
        <w:spacing w:before="240" w:after="220" w:line="240" w:lineRule="auto"/>
        <w:ind w:left="547" w:hanging="547"/>
        <w:rPr>
          <w:b/>
          <w:bCs/>
          <w:color w:val="auto"/>
          <w:sz w:val="22"/>
          <w:szCs w:val="22"/>
          <w:lang w:eastAsia="en-US"/>
        </w:rPr>
      </w:pPr>
      <w:bookmarkStart w:id="76" w:name="_Toc232436604"/>
      <w:r w:rsidRPr="00112B01">
        <w:rPr>
          <w:b/>
          <w:bCs/>
          <w:color w:val="auto"/>
          <w:sz w:val="22"/>
          <w:szCs w:val="22"/>
          <w:lang w:eastAsia="en-US"/>
        </w:rPr>
        <w:t>4.</w:t>
      </w:r>
      <w:r w:rsidRPr="00112B01">
        <w:rPr>
          <w:b/>
          <w:bCs/>
          <w:color w:val="auto"/>
          <w:sz w:val="22"/>
          <w:szCs w:val="22"/>
          <w:lang w:eastAsia="en-US"/>
        </w:rPr>
        <w:tab/>
      </w:r>
      <w:r w:rsidR="00363822" w:rsidRPr="0008798A">
        <w:rPr>
          <w:b/>
          <w:bCs/>
          <w:color w:val="auto"/>
          <w:sz w:val="22"/>
          <w:szCs w:val="22"/>
          <w:lang w:eastAsia="en-US"/>
        </w:rPr>
        <w:t>ACCESS TO WIPO’S IP SERVICES AND STEPS UNDERTAKEN TO ENSURE THAT PUBLICATIONS ON WIPO RESOURCES AND PLATFORMS COMPLY WITH THE PRINCIPLES OF SOVEREIGNTY, INDEPENDENCE, AND TERRITORIAL INTEGRITY OF UKRAINE</w:t>
      </w:r>
      <w:bookmarkEnd w:id="76"/>
      <w:r w:rsidR="00363822" w:rsidRPr="00112B01">
        <w:rPr>
          <w:b/>
          <w:bCs/>
          <w:color w:val="auto"/>
          <w:sz w:val="22"/>
          <w:szCs w:val="22"/>
          <w:lang w:eastAsia="en-US"/>
        </w:rPr>
        <w:t xml:space="preserve"> </w:t>
      </w:r>
    </w:p>
    <w:p w14:paraId="33E72282" w14:textId="2A590CB7" w:rsidR="003646C0" w:rsidRPr="00F25538" w:rsidRDefault="003646C0" w:rsidP="00F25538">
      <w:pPr>
        <w:pStyle w:val="Heading3"/>
        <w:spacing w:before="240" w:after="220"/>
        <w:ind w:left="1886" w:hanging="720"/>
        <w:rPr>
          <w:b w:val="0"/>
          <w:bCs/>
          <w:color w:val="auto"/>
          <w:sz w:val="22"/>
          <w:szCs w:val="18"/>
          <w:u w:val="single"/>
          <w:lang w:eastAsia="en-US"/>
        </w:rPr>
      </w:pPr>
      <w:bookmarkStart w:id="77" w:name="_Toc232436605"/>
      <w:r w:rsidRPr="003C71B5">
        <w:rPr>
          <w:b w:val="0"/>
          <w:bCs/>
          <w:color w:val="auto"/>
          <w:sz w:val="22"/>
          <w:szCs w:val="18"/>
          <w:lang w:eastAsia="en-US"/>
        </w:rPr>
        <w:t>4.1</w:t>
      </w:r>
      <w:r w:rsidRPr="003C71B5">
        <w:rPr>
          <w:b w:val="0"/>
          <w:bCs/>
          <w:color w:val="auto"/>
          <w:sz w:val="22"/>
          <w:szCs w:val="18"/>
          <w:lang w:eastAsia="en-US"/>
        </w:rPr>
        <w:tab/>
      </w:r>
      <w:r w:rsidRPr="00502BEB">
        <w:rPr>
          <w:b w:val="0"/>
          <w:bCs/>
          <w:color w:val="auto"/>
          <w:sz w:val="22"/>
          <w:szCs w:val="18"/>
          <w:u w:val="single"/>
          <w:lang w:eastAsia="en-US"/>
        </w:rPr>
        <w:t>Patent Cooperation Treaty (PCT)</w:t>
      </w:r>
      <w:bookmarkEnd w:id="77"/>
    </w:p>
    <w:p w14:paraId="4156EDB2" w14:textId="670E22FE" w:rsidR="00B42ABD" w:rsidRPr="001B2752" w:rsidRDefault="00D73EE8" w:rsidP="00B42ABD">
      <w:pPr>
        <w:pStyle w:val="ONUME"/>
        <w:rPr>
          <w:lang w:val="en-GB"/>
        </w:rPr>
      </w:pPr>
      <w:r w:rsidRPr="001B2752">
        <w:rPr>
          <w:lang w:eastAsia="en-US"/>
        </w:rPr>
        <w:t>From May 2025 to October 2025</w:t>
      </w:r>
      <w:r w:rsidR="00B101E4" w:rsidRPr="001B2752">
        <w:rPr>
          <w:lang w:eastAsia="en-US"/>
        </w:rPr>
        <w:t>, t</w:t>
      </w:r>
      <w:r w:rsidR="00CE51F9" w:rsidRPr="001B2752">
        <w:rPr>
          <w:lang w:eastAsia="en-US"/>
        </w:rPr>
        <w:t>he International Bureau</w:t>
      </w:r>
      <w:r w:rsidR="0078129A" w:rsidRPr="001B2752">
        <w:rPr>
          <w:lang w:eastAsia="en-US"/>
        </w:rPr>
        <w:t xml:space="preserve"> </w:t>
      </w:r>
      <w:r w:rsidR="00B42ABD" w:rsidRPr="001B2752">
        <w:rPr>
          <w:lang w:val="en-GB"/>
        </w:rPr>
        <w:t>review</w:t>
      </w:r>
      <w:r w:rsidR="008A4E84">
        <w:rPr>
          <w:lang w:val="en-GB"/>
        </w:rPr>
        <w:t>ed</w:t>
      </w:r>
      <w:r w:rsidR="00B42ABD" w:rsidRPr="001B2752">
        <w:rPr>
          <w:lang w:val="en-GB"/>
        </w:rPr>
        <w:t xml:space="preserve"> Ukraine’s Authority File and </w:t>
      </w:r>
      <w:r w:rsidR="008A4E84">
        <w:rPr>
          <w:lang w:val="en-GB"/>
        </w:rPr>
        <w:t xml:space="preserve">offered advice concerning </w:t>
      </w:r>
      <w:r w:rsidR="00B42ABD" w:rsidRPr="001B2752">
        <w:rPr>
          <w:lang w:val="en-GB"/>
        </w:rPr>
        <w:t>arrangements to supply patent documentation in compliance with the new requirements of PCT Rule 3</w:t>
      </w:r>
      <w:r w:rsidR="002F2BC2" w:rsidRPr="001B2752">
        <w:rPr>
          <w:lang w:val="en-GB"/>
        </w:rPr>
        <w:t>6.</w:t>
      </w:r>
      <w:r w:rsidR="00E87FCE" w:rsidRPr="001B2752">
        <w:rPr>
          <w:lang w:val="en-GB"/>
        </w:rPr>
        <w:t xml:space="preserve"> </w:t>
      </w:r>
      <w:r w:rsidR="007A7C45">
        <w:rPr>
          <w:lang w:val="en-GB"/>
        </w:rPr>
        <w:t xml:space="preserve"> </w:t>
      </w:r>
      <w:r w:rsidR="00E87FCE" w:rsidRPr="001B2752">
        <w:t>The milestones were the publication of a notice concerning the UANIP</w:t>
      </w:r>
      <w:r w:rsidR="00B47C2A">
        <w:t>I</w:t>
      </w:r>
      <w:r w:rsidR="00E87FCE" w:rsidRPr="001B2752">
        <w:t xml:space="preserve">O collection in the PCT Gazette </w:t>
      </w:r>
      <w:r w:rsidR="00C14237" w:rsidRPr="001B2752">
        <w:t>on</w:t>
      </w:r>
      <w:r w:rsidR="00E87FCE" w:rsidRPr="001B2752">
        <w:t xml:space="preserve"> October</w:t>
      </w:r>
      <w:r w:rsidR="00F53C96" w:rsidRPr="001B2752">
        <w:t xml:space="preserve"> 23,</w:t>
      </w:r>
      <w:r w:rsidR="00E87FCE" w:rsidRPr="001B2752">
        <w:t xml:space="preserve"> </w:t>
      </w:r>
      <w:proofErr w:type="gramStart"/>
      <w:r w:rsidR="00E87FCE" w:rsidRPr="001B2752">
        <w:t>2025</w:t>
      </w:r>
      <w:proofErr w:type="gramEnd"/>
      <w:r w:rsidR="00E87FCE" w:rsidRPr="001B2752">
        <w:t xml:space="preserve"> and the UANIPIO patent collection becoming part of the PCT minimum documentation with effect from January</w:t>
      </w:r>
      <w:r w:rsidR="00C14237" w:rsidRPr="001B2752">
        <w:t xml:space="preserve"> 1,</w:t>
      </w:r>
      <w:r w:rsidR="00E87FCE" w:rsidRPr="001B2752">
        <w:t xml:space="preserve"> 2026.</w:t>
      </w:r>
    </w:p>
    <w:p w14:paraId="3EE99F5B" w14:textId="27D4AC9C" w:rsidR="00B42ABD" w:rsidRPr="002232AC" w:rsidRDefault="00B101E4" w:rsidP="00420760">
      <w:pPr>
        <w:pStyle w:val="ONUME"/>
      </w:pPr>
      <w:r w:rsidRPr="002232AC">
        <w:rPr>
          <w:lang w:eastAsia="en-US"/>
        </w:rPr>
        <w:t xml:space="preserve">The International Bureau also </w:t>
      </w:r>
      <w:r w:rsidR="008A4E84">
        <w:rPr>
          <w:lang w:eastAsia="en-US"/>
        </w:rPr>
        <w:t xml:space="preserve">offered advice concerning </w:t>
      </w:r>
      <w:r w:rsidR="00B42ABD" w:rsidRPr="002232AC">
        <w:rPr>
          <w:lang w:val="en-GB"/>
        </w:rPr>
        <w:t xml:space="preserve">the </w:t>
      </w:r>
      <w:r w:rsidR="00E1292D" w:rsidRPr="002232AC">
        <w:rPr>
          <w:lang w:val="en-GB"/>
        </w:rPr>
        <w:t xml:space="preserve">preparation </w:t>
      </w:r>
      <w:r w:rsidR="00B42ABD" w:rsidRPr="002232AC">
        <w:rPr>
          <w:lang w:val="en-GB"/>
        </w:rPr>
        <w:t>of UANIP</w:t>
      </w:r>
      <w:r w:rsidR="00B47C2A">
        <w:rPr>
          <w:lang w:val="en-GB"/>
        </w:rPr>
        <w:t>I</w:t>
      </w:r>
      <w:r w:rsidR="00B42ABD" w:rsidRPr="002232AC">
        <w:rPr>
          <w:lang w:val="en-GB"/>
        </w:rPr>
        <w:t>O’s application for extension of appointment as an International Searching and Preliminary Examining Authority under the PCT.</w:t>
      </w:r>
      <w:r w:rsidR="001E5561" w:rsidRPr="002232AC">
        <w:rPr>
          <w:lang w:val="en-GB"/>
        </w:rPr>
        <w:t xml:space="preserve"> </w:t>
      </w:r>
      <w:r w:rsidR="007A7C45">
        <w:rPr>
          <w:lang w:val="en-GB"/>
        </w:rPr>
        <w:t xml:space="preserve"> </w:t>
      </w:r>
      <w:r w:rsidR="00340024" w:rsidRPr="002232AC">
        <w:rPr>
          <w:lang w:val="en-GB"/>
        </w:rPr>
        <w:t xml:space="preserve">The application was submitted </w:t>
      </w:r>
      <w:r w:rsidR="0025530A" w:rsidRPr="002232AC">
        <w:rPr>
          <w:lang w:val="en-GB"/>
        </w:rPr>
        <w:t>and published</w:t>
      </w:r>
      <w:r w:rsidR="00CB7AD8" w:rsidRPr="002232AC">
        <w:t xml:space="preserve"> in document PCT/CTC/33/23 </w:t>
      </w:r>
      <w:r w:rsidR="0025530A" w:rsidRPr="002232AC">
        <w:t>i</w:t>
      </w:r>
      <w:r w:rsidR="00CB7AD8" w:rsidRPr="002232AC">
        <w:t>n December 2025</w:t>
      </w:r>
      <w:r w:rsidR="0025530A" w:rsidRPr="002232AC">
        <w:rPr>
          <w:rStyle w:val="FootnoteReference"/>
          <w:lang w:val="en-GB"/>
        </w:rPr>
        <w:footnoteReference w:id="28"/>
      </w:r>
      <w:r w:rsidR="00CB7AD8" w:rsidRPr="002232AC">
        <w:t>.</w:t>
      </w:r>
    </w:p>
    <w:p w14:paraId="358C4183" w14:textId="12F399BB" w:rsidR="000501E1" w:rsidRPr="00462CAF" w:rsidRDefault="000501E1" w:rsidP="00462CAF">
      <w:pPr>
        <w:pStyle w:val="ONUME"/>
        <w:tabs>
          <w:tab w:val="num" w:pos="630"/>
        </w:tabs>
        <w:rPr>
          <w:lang w:val="en-GB"/>
        </w:rPr>
      </w:pPr>
      <w:r w:rsidRPr="009C69A7">
        <w:t>In February 2026, the PCT Committee for Technical Cooperation recommend</w:t>
      </w:r>
      <w:r w:rsidR="00993637">
        <w:t>ed</w:t>
      </w:r>
      <w:r w:rsidRPr="009C69A7">
        <w:t xml:space="preserve"> to the PCT Union Assembly the extension </w:t>
      </w:r>
      <w:r w:rsidRPr="000501E1">
        <w:t>of appointments of all the 25 national Offices and intergovernmental organizations currently acting as International</w:t>
      </w:r>
      <w:r w:rsidRPr="009C69A7">
        <w:t xml:space="preserve"> Searching and Preliminary Examining Authorities under the PCT, including UANIPIO</w:t>
      </w:r>
      <w:r w:rsidRPr="009C69A7">
        <w:rPr>
          <w:rStyle w:val="FootnoteReference"/>
        </w:rPr>
        <w:footnoteReference w:id="29"/>
      </w:r>
      <w:r w:rsidRPr="009C69A7">
        <w:t xml:space="preserve">. </w:t>
      </w:r>
    </w:p>
    <w:p w14:paraId="45239EE2" w14:textId="1BEFA662" w:rsidR="003646C0" w:rsidRPr="0088444C" w:rsidRDefault="00E81D69" w:rsidP="003646C0">
      <w:pPr>
        <w:pStyle w:val="ONUME"/>
        <w:tabs>
          <w:tab w:val="clear" w:pos="1134"/>
          <w:tab w:val="num" w:pos="630"/>
        </w:tabs>
        <w:rPr>
          <w:lang w:eastAsia="en-US"/>
        </w:rPr>
      </w:pPr>
      <w:r>
        <w:rPr>
          <w:lang w:eastAsia="en-US"/>
        </w:rPr>
        <w:t xml:space="preserve">In parallel, </w:t>
      </w:r>
      <w:r w:rsidR="003646C0" w:rsidRPr="0088444C">
        <w:rPr>
          <w:lang w:eastAsia="en-US"/>
        </w:rPr>
        <w:t xml:space="preserve">Ukrainian applicants have continued to use the PCT System during the reporting period.  If applicants experience delays in meeting time limits, the PCT System </w:t>
      </w:r>
      <w:r w:rsidR="009A390C" w:rsidRPr="0088444C">
        <w:rPr>
          <w:lang w:eastAsia="en-US"/>
        </w:rPr>
        <w:t>provide</w:t>
      </w:r>
      <w:r w:rsidR="00A94894">
        <w:rPr>
          <w:lang w:eastAsia="en-US"/>
        </w:rPr>
        <w:t>s</w:t>
      </w:r>
      <w:r w:rsidR="009A390C" w:rsidRPr="0088444C">
        <w:rPr>
          <w:lang w:eastAsia="en-US"/>
        </w:rPr>
        <w:t xml:space="preserve"> </w:t>
      </w:r>
      <w:r w:rsidR="003646C0" w:rsidRPr="0088444C">
        <w:rPr>
          <w:lang w:eastAsia="en-US"/>
        </w:rPr>
        <w:t>appropriate extensions, exceptions, and other remedies, as set out in paragraph 106 of document A/64/8.</w:t>
      </w:r>
    </w:p>
    <w:p w14:paraId="02930CC9" w14:textId="71E6936D" w:rsidR="003646C0" w:rsidRPr="0088444C" w:rsidRDefault="003646C0" w:rsidP="00DA3D8B">
      <w:pPr>
        <w:pStyle w:val="ONUME"/>
        <w:tabs>
          <w:tab w:val="clear" w:pos="1134"/>
          <w:tab w:val="num" w:pos="630"/>
        </w:tabs>
        <w:rPr>
          <w:lang w:eastAsia="en-US"/>
        </w:rPr>
      </w:pPr>
      <w:r w:rsidRPr="0088444C">
        <w:rPr>
          <w:lang w:eastAsia="en-US"/>
        </w:rPr>
        <w:t xml:space="preserve">Within the period </w:t>
      </w:r>
      <w:r w:rsidRPr="00927956">
        <w:rPr>
          <w:lang w:eastAsia="en-US"/>
        </w:rPr>
        <w:t>from May 202</w:t>
      </w:r>
      <w:r w:rsidR="00BC551D" w:rsidRPr="00927956">
        <w:rPr>
          <w:lang w:eastAsia="en-US"/>
        </w:rPr>
        <w:t>5</w:t>
      </w:r>
      <w:r w:rsidRPr="00927956">
        <w:rPr>
          <w:lang w:eastAsia="en-US"/>
        </w:rPr>
        <w:t xml:space="preserve"> to </w:t>
      </w:r>
      <w:r w:rsidR="00A52BCE">
        <w:rPr>
          <w:lang w:eastAsia="en-US"/>
        </w:rPr>
        <w:t>end of April</w:t>
      </w:r>
      <w:r w:rsidR="00A25237" w:rsidRPr="00927956">
        <w:rPr>
          <w:lang w:eastAsia="en-US"/>
        </w:rPr>
        <w:t xml:space="preserve"> 2026</w:t>
      </w:r>
      <w:r w:rsidRPr="00927956">
        <w:rPr>
          <w:lang w:eastAsia="en-US"/>
        </w:rPr>
        <w:t xml:space="preserve">, UANIPIO has produced </w:t>
      </w:r>
      <w:r w:rsidR="00A25237" w:rsidRPr="00927956">
        <w:rPr>
          <w:lang w:eastAsia="en-US"/>
        </w:rPr>
        <w:t>6</w:t>
      </w:r>
      <w:r w:rsidR="00A52BCE">
        <w:rPr>
          <w:lang w:eastAsia="en-US"/>
        </w:rPr>
        <w:t>7</w:t>
      </w:r>
      <w:r w:rsidRPr="00927956">
        <w:rPr>
          <w:lang w:eastAsia="en-US"/>
        </w:rPr>
        <w:t xml:space="preserve"> international</w:t>
      </w:r>
      <w:r w:rsidRPr="0088444C">
        <w:rPr>
          <w:lang w:eastAsia="en-US"/>
        </w:rPr>
        <w:t xml:space="preserve"> search reports as an International Searching Authority and International Preliminary Examining Authority. </w:t>
      </w:r>
    </w:p>
    <w:p w14:paraId="5F444323" w14:textId="50823C79" w:rsidR="003646C0" w:rsidRPr="00F25538" w:rsidRDefault="003646C0" w:rsidP="00F25538">
      <w:pPr>
        <w:pStyle w:val="Heading3"/>
        <w:spacing w:before="240" w:after="220"/>
        <w:ind w:left="1886" w:hanging="720"/>
        <w:rPr>
          <w:b w:val="0"/>
          <w:bCs/>
          <w:color w:val="auto"/>
          <w:sz w:val="22"/>
          <w:szCs w:val="18"/>
          <w:u w:val="single"/>
          <w:lang w:eastAsia="en-US"/>
        </w:rPr>
      </w:pPr>
      <w:bookmarkStart w:id="78" w:name="_Toc232436606"/>
      <w:r w:rsidRPr="003C71B5">
        <w:rPr>
          <w:b w:val="0"/>
          <w:bCs/>
          <w:color w:val="auto"/>
          <w:sz w:val="22"/>
          <w:szCs w:val="18"/>
          <w:lang w:eastAsia="en-US"/>
        </w:rPr>
        <w:t>4.2</w:t>
      </w:r>
      <w:r w:rsidRPr="003C71B5">
        <w:rPr>
          <w:b w:val="0"/>
          <w:bCs/>
          <w:color w:val="auto"/>
          <w:sz w:val="22"/>
          <w:szCs w:val="18"/>
          <w:lang w:eastAsia="en-US"/>
        </w:rPr>
        <w:tab/>
      </w:r>
      <w:r w:rsidRPr="003C71B5">
        <w:rPr>
          <w:b w:val="0"/>
          <w:bCs/>
          <w:color w:val="auto"/>
          <w:sz w:val="22"/>
          <w:szCs w:val="18"/>
          <w:u w:val="single"/>
          <w:lang w:eastAsia="en-US"/>
        </w:rPr>
        <w:t>Madrid System</w:t>
      </w:r>
      <w:bookmarkEnd w:id="78"/>
    </w:p>
    <w:p w14:paraId="6A34AFCF" w14:textId="3AF23663" w:rsidR="00BC1F2D" w:rsidRPr="00BC1F2D" w:rsidRDefault="00BC1F2D" w:rsidP="00BC1F2D">
      <w:pPr>
        <w:pStyle w:val="ONUME"/>
        <w:tabs>
          <w:tab w:val="num" w:pos="630"/>
        </w:tabs>
        <w:rPr>
          <w:lang w:eastAsia="en-US"/>
        </w:rPr>
      </w:pPr>
      <w:r w:rsidRPr="00BC1F2D">
        <w:rPr>
          <w:lang w:eastAsia="en-US"/>
        </w:rPr>
        <w:t>The International Bureau continued facilitating access to relief measures for missed deadlines due to </w:t>
      </w:r>
      <w:r w:rsidRPr="00BC1F2D">
        <w:rPr>
          <w:i/>
          <w:iCs/>
          <w:lang w:eastAsia="en-US"/>
        </w:rPr>
        <w:t>force majeure</w:t>
      </w:r>
      <w:r w:rsidRPr="00BC1F2D">
        <w:rPr>
          <w:lang w:eastAsia="en-US"/>
        </w:rPr>
        <w:t> under Rule 5 of the Regulations under the Madrid Protocol.</w:t>
      </w:r>
      <w:r w:rsidR="007A7C45">
        <w:rPr>
          <w:lang w:eastAsia="en-US"/>
        </w:rPr>
        <w:t xml:space="preserve"> </w:t>
      </w:r>
      <w:r w:rsidRPr="00BC1F2D">
        <w:rPr>
          <w:lang w:eastAsia="en-US"/>
        </w:rPr>
        <w:t xml:space="preserve"> It waived the evidence requirement and enabled late online payments, upon request, to streamline the process.</w:t>
      </w:r>
    </w:p>
    <w:p w14:paraId="02499A6E" w14:textId="1BF9965C" w:rsidR="00BC1F2D" w:rsidRPr="00BC1F2D" w:rsidRDefault="00BC1F2D" w:rsidP="00BC1F2D">
      <w:pPr>
        <w:pStyle w:val="ONUME"/>
        <w:tabs>
          <w:tab w:val="num" w:pos="630"/>
        </w:tabs>
        <w:rPr>
          <w:lang w:eastAsia="en-US"/>
        </w:rPr>
      </w:pPr>
      <w:r w:rsidRPr="00BC1F2D">
        <w:rPr>
          <w:lang w:eastAsia="en-US"/>
        </w:rPr>
        <w:t xml:space="preserve">Communication and technical cooperation between the </w:t>
      </w:r>
      <w:r w:rsidR="009A3FDA">
        <w:rPr>
          <w:lang w:eastAsia="en-US"/>
        </w:rPr>
        <w:t>UANIPIO</w:t>
      </w:r>
      <w:r w:rsidRPr="00BC1F2D">
        <w:rPr>
          <w:lang w:eastAsia="en-US"/>
        </w:rPr>
        <w:t xml:space="preserve"> and the International Bureau continued to support smooth operations and service delivery under the Madrid System in the country. </w:t>
      </w:r>
      <w:r w:rsidR="007A7C45">
        <w:rPr>
          <w:lang w:eastAsia="en-US"/>
        </w:rPr>
        <w:t xml:space="preserve"> </w:t>
      </w:r>
      <w:r w:rsidRPr="00BC1F2D">
        <w:rPr>
          <w:lang w:eastAsia="en-US"/>
        </w:rPr>
        <w:t xml:space="preserve">In 2025, Ukrainian brand owners obtained 524 international registrations, most </w:t>
      </w:r>
      <w:r w:rsidRPr="00BC1F2D">
        <w:rPr>
          <w:lang w:eastAsia="en-US"/>
        </w:rPr>
        <w:lastRenderedPageBreak/>
        <w:t xml:space="preserve">of which were filed through Madrid e-Filing. </w:t>
      </w:r>
      <w:r w:rsidR="007A7C45">
        <w:rPr>
          <w:lang w:eastAsia="en-US"/>
        </w:rPr>
        <w:t xml:space="preserve"> </w:t>
      </w:r>
      <w:r w:rsidRPr="00BC1F2D">
        <w:rPr>
          <w:lang w:eastAsia="en-US"/>
        </w:rPr>
        <w:t>During the same period, Ukraine received 5,313 designations in international registrations and subsequent designations.</w:t>
      </w:r>
    </w:p>
    <w:p w14:paraId="5CB61599" w14:textId="70876C2B" w:rsidR="00BC1F2D" w:rsidRPr="00BC1F2D" w:rsidRDefault="00BC1F2D" w:rsidP="00BC1F2D">
      <w:pPr>
        <w:pStyle w:val="ONUME"/>
        <w:tabs>
          <w:tab w:val="num" w:pos="630"/>
        </w:tabs>
        <w:rPr>
          <w:lang w:eastAsia="en-US"/>
        </w:rPr>
      </w:pPr>
      <w:r w:rsidRPr="00BC1F2D">
        <w:rPr>
          <w:lang w:eastAsia="en-US"/>
        </w:rPr>
        <w:t>The International Bureau continued its engagement with Ukrainian stakeholders through capacity building and policy discussions.</w:t>
      </w:r>
      <w:r w:rsidR="007A7C45">
        <w:rPr>
          <w:lang w:eastAsia="en-US"/>
        </w:rPr>
        <w:t xml:space="preserve"> </w:t>
      </w:r>
      <w:r w:rsidRPr="00BC1F2D">
        <w:rPr>
          <w:lang w:eastAsia="en-US"/>
        </w:rPr>
        <w:t xml:space="preserve"> In 2025, nine participants from Ukraine took part in Madrid System’s public webinar program, while four Ukrainian representatives participated in the Madrid System Working Group, reflecting continued active engagement in the development and use of the Madrid System.</w:t>
      </w:r>
    </w:p>
    <w:p w14:paraId="69AE0FA8" w14:textId="411A3318" w:rsidR="003646C0" w:rsidRPr="00F25538" w:rsidRDefault="003646C0" w:rsidP="00F25538">
      <w:pPr>
        <w:pStyle w:val="Heading3"/>
        <w:spacing w:before="240" w:after="220"/>
        <w:ind w:left="1886" w:hanging="720"/>
        <w:rPr>
          <w:b w:val="0"/>
          <w:bCs/>
          <w:color w:val="auto"/>
          <w:sz w:val="22"/>
          <w:szCs w:val="18"/>
          <w:u w:val="single"/>
          <w:lang w:eastAsia="en-US"/>
        </w:rPr>
      </w:pPr>
      <w:bookmarkStart w:id="79" w:name="_Toc232436607"/>
      <w:r w:rsidRPr="003C71B5">
        <w:rPr>
          <w:b w:val="0"/>
          <w:bCs/>
          <w:color w:val="auto"/>
          <w:sz w:val="22"/>
          <w:szCs w:val="18"/>
          <w:lang w:eastAsia="en-US"/>
        </w:rPr>
        <w:t>4.3</w:t>
      </w:r>
      <w:r w:rsidRPr="003C71B5">
        <w:rPr>
          <w:b w:val="0"/>
          <w:bCs/>
          <w:color w:val="auto"/>
          <w:sz w:val="22"/>
          <w:szCs w:val="18"/>
          <w:lang w:eastAsia="en-US"/>
        </w:rPr>
        <w:tab/>
      </w:r>
      <w:r w:rsidRPr="003C71B5">
        <w:rPr>
          <w:b w:val="0"/>
          <w:bCs/>
          <w:color w:val="auto"/>
          <w:sz w:val="22"/>
          <w:szCs w:val="18"/>
          <w:u w:val="single"/>
          <w:lang w:eastAsia="en-US"/>
        </w:rPr>
        <w:t>Hague System</w:t>
      </w:r>
      <w:bookmarkEnd w:id="79"/>
    </w:p>
    <w:p w14:paraId="09EAB997" w14:textId="77777777" w:rsidR="003F00CD" w:rsidRPr="003F00CD" w:rsidRDefault="003F00CD" w:rsidP="003646C0">
      <w:pPr>
        <w:pStyle w:val="ONUME"/>
        <w:tabs>
          <w:tab w:val="clear" w:pos="1134"/>
          <w:tab w:val="num" w:pos="630"/>
        </w:tabs>
        <w:rPr>
          <w:lang w:eastAsia="en-US"/>
        </w:rPr>
      </w:pPr>
      <w:r w:rsidRPr="003F00CD">
        <w:rPr>
          <w:lang w:eastAsia="en-US"/>
        </w:rPr>
        <w:t>During the reporting period, there has been no request for application of Rule 5 “</w:t>
      </w:r>
      <w:r w:rsidRPr="003F00CD">
        <w:rPr>
          <w:i/>
          <w:iCs/>
          <w:lang w:eastAsia="en-US"/>
        </w:rPr>
        <w:t>Excuse of Delay in Meeting Time Limits</w:t>
      </w:r>
      <w:r w:rsidRPr="003F00CD">
        <w:rPr>
          <w:lang w:eastAsia="en-US"/>
        </w:rPr>
        <w:t>” of the Regulations Under the Geneva Act (1999) of the Hague Agreement Concerning the International Registration of Industrial Designs.”</w:t>
      </w:r>
    </w:p>
    <w:p w14:paraId="4D259D91" w14:textId="1818C92E" w:rsidR="003646C0" w:rsidRPr="00F25538" w:rsidRDefault="003646C0" w:rsidP="003646C0">
      <w:pPr>
        <w:pStyle w:val="ONUME"/>
        <w:tabs>
          <w:tab w:val="clear" w:pos="1134"/>
          <w:tab w:val="num" w:pos="630"/>
        </w:tabs>
        <w:rPr>
          <w:color w:val="000000" w:themeColor="text1"/>
          <w:lang w:eastAsia="en-US"/>
        </w:rPr>
      </w:pPr>
      <w:r w:rsidRPr="00F25538">
        <w:rPr>
          <w:color w:val="000000" w:themeColor="text1"/>
          <w:lang w:eastAsia="en-US"/>
        </w:rPr>
        <w:t>Several participants from Ukraine took part in the Hague System public webinars during the reporting period.</w:t>
      </w:r>
    </w:p>
    <w:p w14:paraId="371A91E7" w14:textId="77777777" w:rsidR="003646C0" w:rsidRPr="00F25538" w:rsidRDefault="003646C0" w:rsidP="003C71B5">
      <w:pPr>
        <w:pStyle w:val="Heading2"/>
        <w:keepLines w:val="0"/>
        <w:tabs>
          <w:tab w:val="left" w:pos="1350"/>
        </w:tabs>
        <w:spacing w:before="240" w:after="220"/>
        <w:ind w:left="1181" w:hanging="634"/>
        <w:rPr>
          <w:iCs/>
          <w:caps/>
          <w:color w:val="000000" w:themeColor="text1"/>
          <w:sz w:val="22"/>
          <w:szCs w:val="22"/>
          <w:u w:val="single"/>
          <w:lang w:eastAsia="en-US"/>
        </w:rPr>
      </w:pPr>
      <w:r w:rsidRPr="00F25538">
        <w:rPr>
          <w:color w:val="000000" w:themeColor="text1"/>
          <w:szCs w:val="26"/>
          <w:lang w:eastAsia="en-US"/>
        </w:rPr>
        <w:tab/>
      </w:r>
      <w:bookmarkStart w:id="80" w:name="_Toc232436608"/>
      <w:r w:rsidRPr="00F25538">
        <w:rPr>
          <w:rFonts w:eastAsia="SimSun"/>
          <w:b w:val="0"/>
          <w:bCs/>
          <w:color w:val="000000" w:themeColor="text1"/>
          <w:sz w:val="22"/>
          <w:szCs w:val="22"/>
          <w:lang w:eastAsia="en-US"/>
        </w:rPr>
        <w:t>4.4</w:t>
      </w:r>
      <w:r w:rsidRPr="00F25538">
        <w:rPr>
          <w:rFonts w:eastAsia="SimSun"/>
          <w:b w:val="0"/>
          <w:bCs/>
          <w:color w:val="000000" w:themeColor="text1"/>
          <w:sz w:val="22"/>
          <w:szCs w:val="22"/>
          <w:lang w:eastAsia="en-US"/>
        </w:rPr>
        <w:tab/>
      </w:r>
      <w:r w:rsidRPr="00F25538">
        <w:rPr>
          <w:rFonts w:eastAsia="SimSun"/>
          <w:b w:val="0"/>
          <w:bCs/>
          <w:color w:val="000000" w:themeColor="text1"/>
          <w:sz w:val="22"/>
          <w:szCs w:val="22"/>
          <w:u w:val="single"/>
          <w:lang w:eastAsia="en-US"/>
        </w:rPr>
        <w:t>Arbitration and Mediation</w:t>
      </w:r>
      <w:bookmarkEnd w:id="80"/>
    </w:p>
    <w:p w14:paraId="0B543179" w14:textId="2E41C91A" w:rsidR="00FB0AEF" w:rsidRPr="00FB0AEF" w:rsidRDefault="003646C0" w:rsidP="003646C0">
      <w:pPr>
        <w:pStyle w:val="ONUME"/>
        <w:rPr>
          <w:lang w:eastAsia="en-US"/>
        </w:rPr>
      </w:pPr>
      <w:r w:rsidRPr="00F25538">
        <w:rPr>
          <w:color w:val="000000" w:themeColor="text1"/>
          <w:lang w:eastAsia="en-US"/>
        </w:rPr>
        <w:t xml:space="preserve">The WIPO Arbitration and Mediation Center (AMC) continued its cooperation with the </w:t>
      </w:r>
      <w:r w:rsidR="0028041B" w:rsidRPr="00F25538">
        <w:rPr>
          <w:color w:val="000000" w:themeColor="text1"/>
          <w:lang w:eastAsia="en-US"/>
        </w:rPr>
        <w:t xml:space="preserve">Ministry of </w:t>
      </w:r>
      <w:r w:rsidR="00841952" w:rsidRPr="00F25538">
        <w:rPr>
          <w:color w:val="000000" w:themeColor="text1"/>
          <w:lang w:eastAsia="en-US"/>
        </w:rPr>
        <w:t xml:space="preserve">Economy, Environment and </w:t>
      </w:r>
      <w:r w:rsidR="00A653C3" w:rsidRPr="00F25538">
        <w:rPr>
          <w:color w:val="000000" w:themeColor="text1"/>
          <w:lang w:eastAsia="en-US"/>
        </w:rPr>
        <w:t>Agriculture of Ukraine</w:t>
      </w:r>
      <w:r w:rsidR="0028041B" w:rsidRPr="00F25538">
        <w:rPr>
          <w:color w:val="000000" w:themeColor="text1"/>
          <w:lang w:eastAsia="en-US"/>
        </w:rPr>
        <w:t xml:space="preserve"> </w:t>
      </w:r>
      <w:r w:rsidRPr="00F25538">
        <w:rPr>
          <w:color w:val="000000" w:themeColor="text1"/>
          <w:lang w:eastAsia="en-US"/>
        </w:rPr>
        <w:t xml:space="preserve">to develop and promote IP alternative </w:t>
      </w:r>
      <w:r w:rsidRPr="001929CA">
        <w:rPr>
          <w:lang w:eastAsia="en-US"/>
        </w:rPr>
        <w:t xml:space="preserve">dispute resolution (ADR) in Ukraine, including through raising awareness, capacity building, training specialized IP mediators and arbitrators and case administration. </w:t>
      </w:r>
      <w:r w:rsidR="007A7C45">
        <w:rPr>
          <w:lang w:eastAsia="en-US"/>
        </w:rPr>
        <w:t xml:space="preserve"> </w:t>
      </w:r>
      <w:r w:rsidRPr="001929CA">
        <w:rPr>
          <w:lang w:eastAsia="en-US"/>
        </w:rPr>
        <w:t>S</w:t>
      </w:r>
      <w:r w:rsidRPr="00FB0AEF">
        <w:rPr>
          <w:szCs w:val="22"/>
        </w:rPr>
        <w:t xml:space="preserve">takeholders from Ukraine participated in six webinars organized by the AMC on different topics relating to IP ADR. </w:t>
      </w:r>
    </w:p>
    <w:p w14:paraId="14DE9077" w14:textId="6D91FF07" w:rsidR="003646C0" w:rsidRPr="00117C63" w:rsidRDefault="003646C0" w:rsidP="003646C0">
      <w:pPr>
        <w:pStyle w:val="ONUME"/>
        <w:rPr>
          <w:lang w:eastAsia="en-US"/>
        </w:rPr>
      </w:pPr>
      <w:r w:rsidRPr="00117C63">
        <w:rPr>
          <w:lang w:eastAsia="en-US"/>
        </w:rPr>
        <w:t xml:space="preserve">In the area of Internet domain names, the AMC </w:t>
      </w:r>
      <w:r w:rsidR="00A92D80">
        <w:rPr>
          <w:lang w:eastAsia="en-US"/>
        </w:rPr>
        <w:t>continues to be</w:t>
      </w:r>
      <w:r w:rsidRPr="00117C63">
        <w:rPr>
          <w:lang w:eastAsia="en-US"/>
        </w:rPr>
        <w:t xml:space="preserve"> the dispute resolution provider for the national .UA domains, for which it has administered 14 cases </w:t>
      </w:r>
      <w:r w:rsidRPr="00FB0AEF">
        <w:rPr>
          <w:szCs w:val="22"/>
        </w:rPr>
        <w:t>under the .UA Policy</w:t>
      </w:r>
      <w:r w:rsidRPr="00117C63">
        <w:rPr>
          <w:lang w:eastAsia="en-US"/>
        </w:rPr>
        <w:t xml:space="preserve"> since last reported in 2025. </w:t>
      </w:r>
      <w:r w:rsidR="007A7C45">
        <w:rPr>
          <w:lang w:eastAsia="en-US"/>
        </w:rPr>
        <w:t xml:space="preserve"> </w:t>
      </w:r>
      <w:r w:rsidRPr="00FB0AEF">
        <w:rPr>
          <w:szCs w:val="22"/>
        </w:rPr>
        <w:t>Overall, since July 2025, the AMC has administered 117 domain name cases involving parties from Ukraine</w:t>
      </w:r>
      <w:r w:rsidRPr="00117C63">
        <w:rPr>
          <w:lang w:eastAsia="en-US"/>
        </w:rPr>
        <w:t xml:space="preserve"> </w:t>
      </w:r>
    </w:p>
    <w:p w14:paraId="3958DFC0" w14:textId="7B8A196D" w:rsidR="003646C0" w:rsidRPr="00036F59" w:rsidRDefault="00292B85" w:rsidP="003646C0">
      <w:pPr>
        <w:pStyle w:val="ONUME"/>
        <w:rPr>
          <w:lang w:eastAsia="en-US"/>
        </w:rPr>
      </w:pPr>
      <w:r>
        <w:rPr>
          <w:lang w:eastAsia="en-US"/>
        </w:rPr>
        <w:t>Furthermore, the</w:t>
      </w:r>
      <w:r w:rsidR="003646C0" w:rsidRPr="00117C63">
        <w:rPr>
          <w:lang w:eastAsia="en-US"/>
        </w:rPr>
        <w:t xml:space="preserve"> AMC</w:t>
      </w:r>
      <w:r w:rsidR="00E10077">
        <w:rPr>
          <w:lang w:eastAsia="en-US"/>
        </w:rPr>
        <w:t xml:space="preserve"> </w:t>
      </w:r>
      <w:r w:rsidR="00DC46BC">
        <w:rPr>
          <w:lang w:eastAsia="en-US"/>
        </w:rPr>
        <w:t>has been</w:t>
      </w:r>
      <w:r w:rsidR="003646C0" w:rsidRPr="00822E70">
        <w:rPr>
          <w:lang w:eastAsia="en-US"/>
        </w:rPr>
        <w:t xml:space="preserve"> organizing and participating in online events for Ukrainian stakeholders in 202</w:t>
      </w:r>
      <w:r w:rsidR="003646C0">
        <w:rPr>
          <w:lang w:eastAsia="en-US"/>
        </w:rPr>
        <w:t xml:space="preserve">5. </w:t>
      </w:r>
      <w:r w:rsidR="007A7C45">
        <w:rPr>
          <w:lang w:eastAsia="en-US"/>
        </w:rPr>
        <w:t xml:space="preserve"> </w:t>
      </w:r>
      <w:r w:rsidR="003646C0">
        <w:rPr>
          <w:lang w:eastAsia="en-US"/>
        </w:rPr>
        <w:t xml:space="preserve">An AMC webinar </w:t>
      </w:r>
      <w:r w:rsidR="003646C0" w:rsidRPr="00036F59">
        <w:rPr>
          <w:szCs w:val="22"/>
        </w:rPr>
        <w:t>on WIPO Domain Name Dispute Resolution Services covering both the UDRP and .UA Policy</w:t>
      </w:r>
      <w:r w:rsidR="003646C0">
        <w:rPr>
          <w:szCs w:val="22"/>
        </w:rPr>
        <w:t xml:space="preserve"> was held on October 2025</w:t>
      </w:r>
      <w:r w:rsidR="003646C0">
        <w:rPr>
          <w:lang w:eastAsia="en-US"/>
        </w:rPr>
        <w:t xml:space="preserve">, and an </w:t>
      </w:r>
      <w:r w:rsidR="003646C0" w:rsidRPr="00036F59">
        <w:rPr>
          <w:szCs w:val="22"/>
        </w:rPr>
        <w:t>online presentation o</w:t>
      </w:r>
      <w:r w:rsidR="003646C0">
        <w:rPr>
          <w:szCs w:val="22"/>
        </w:rPr>
        <w:t>n</w:t>
      </w:r>
      <w:r w:rsidR="003646C0" w:rsidRPr="00036F59">
        <w:rPr>
          <w:szCs w:val="22"/>
        </w:rPr>
        <w:t xml:space="preserve"> sustainability, innovation, and strategic trends determin</w:t>
      </w:r>
      <w:r w:rsidR="003646C0">
        <w:rPr>
          <w:szCs w:val="22"/>
        </w:rPr>
        <w:t xml:space="preserve">ing </w:t>
      </w:r>
      <w:r w:rsidR="003646C0" w:rsidRPr="00036F59">
        <w:rPr>
          <w:szCs w:val="22"/>
        </w:rPr>
        <w:t>the future of Ukraine's Internet space</w:t>
      </w:r>
      <w:r w:rsidR="003646C0">
        <w:rPr>
          <w:szCs w:val="22"/>
        </w:rPr>
        <w:t xml:space="preserve"> was held in December 2025.</w:t>
      </w:r>
    </w:p>
    <w:p w14:paraId="218C9D45" w14:textId="069013D6" w:rsidR="003646C0" w:rsidRPr="00822E70" w:rsidRDefault="003646C0" w:rsidP="003646C0">
      <w:pPr>
        <w:pStyle w:val="ONUME"/>
        <w:rPr>
          <w:lang w:eastAsia="en-US"/>
        </w:rPr>
      </w:pPr>
      <w:r>
        <w:rPr>
          <w:lang w:eastAsia="en-US"/>
        </w:rPr>
        <w:t>The AMC</w:t>
      </w:r>
      <w:r w:rsidRPr="00822E70">
        <w:rPr>
          <w:lang w:eastAsia="en-US"/>
        </w:rPr>
        <w:t xml:space="preserve"> remains available to provide further support</w:t>
      </w:r>
      <w:r w:rsidR="005104F9">
        <w:rPr>
          <w:lang w:eastAsia="en-US"/>
        </w:rPr>
        <w:t xml:space="preserve"> to MEDT and explore IP ADR collaboration with interested stakeholders in Ukraine</w:t>
      </w:r>
      <w:r w:rsidRPr="00822E70">
        <w:rPr>
          <w:lang w:eastAsia="en-US"/>
        </w:rPr>
        <w:t>.  </w:t>
      </w:r>
    </w:p>
    <w:p w14:paraId="2D6B5232" w14:textId="48141AB7" w:rsidR="003646C0" w:rsidRPr="004D3BE8" w:rsidRDefault="003646C0" w:rsidP="00F25538">
      <w:pPr>
        <w:pStyle w:val="Heading3"/>
        <w:spacing w:after="240"/>
        <w:ind w:left="1890" w:hanging="720"/>
        <w:rPr>
          <w:lang w:eastAsia="en-US"/>
        </w:rPr>
      </w:pPr>
      <w:bookmarkStart w:id="81" w:name="_Toc232436609"/>
      <w:r w:rsidRPr="003010B8">
        <w:rPr>
          <w:b w:val="0"/>
          <w:bCs/>
          <w:color w:val="auto"/>
          <w:lang w:eastAsia="en-US"/>
        </w:rPr>
        <w:t>4.5</w:t>
      </w:r>
      <w:r>
        <w:rPr>
          <w:lang w:eastAsia="en-US"/>
        </w:rPr>
        <w:tab/>
      </w:r>
      <w:r w:rsidRPr="00FB55AB">
        <w:rPr>
          <w:rFonts w:eastAsia="SimSun"/>
          <w:b w:val="0"/>
          <w:bCs/>
          <w:color w:val="auto"/>
          <w:sz w:val="22"/>
          <w:szCs w:val="26"/>
          <w:u w:val="single"/>
          <w:lang w:eastAsia="en-US"/>
        </w:rPr>
        <w:t>Steps Undertaken to</w:t>
      </w:r>
      <w:r w:rsidRPr="005A3820">
        <w:rPr>
          <w:rFonts w:eastAsia="SimSun"/>
          <w:b w:val="0"/>
          <w:bCs/>
          <w:color w:val="auto"/>
          <w:sz w:val="22"/>
          <w:szCs w:val="26"/>
          <w:u w:val="single"/>
          <w:lang w:eastAsia="en-US"/>
        </w:rPr>
        <w:t xml:space="preserve"> Ensure that Publications on WIPO Resources and Platforms comply with the Principles of Sovereignty, Independence, and Territorial Integrity of Ukraine Within its Internationally Recognized Borders</w:t>
      </w:r>
      <w:bookmarkEnd w:id="81"/>
      <w:r w:rsidRPr="004D3BE8">
        <w:rPr>
          <w:lang w:eastAsia="en-US"/>
        </w:rPr>
        <w:t xml:space="preserve"> </w:t>
      </w:r>
    </w:p>
    <w:p w14:paraId="093D2228" w14:textId="6EAA5EF1" w:rsidR="003646C0" w:rsidRPr="001A5C21" w:rsidRDefault="003646C0" w:rsidP="003646C0">
      <w:pPr>
        <w:pStyle w:val="ONUME"/>
      </w:pPr>
      <w:r w:rsidRPr="009B1734">
        <w:t xml:space="preserve">At the 2024 Assemblies of the Member States of WIPO, the International Bureau was requested “to take steps to ensure that publications on WIPO resources and platforms comply with the principles of sovereignty, independence, and territorial integrity of Ukraine within its internationally recognized borders” </w:t>
      </w:r>
      <w:r>
        <w:t xml:space="preserve">(see </w:t>
      </w:r>
      <w:hyperlink r:id="rId38" w:history="1">
        <w:r w:rsidRPr="00DB5482">
          <w:rPr>
            <w:rStyle w:val="Hyperlink"/>
            <w:szCs w:val="22"/>
          </w:rPr>
          <w:t>document A/65/10</w:t>
        </w:r>
      </w:hyperlink>
      <w:r>
        <w:t>, paragraph 50(c))</w:t>
      </w:r>
      <w:r w:rsidRPr="009B1734">
        <w:t>.</w:t>
      </w:r>
    </w:p>
    <w:p w14:paraId="095411C8" w14:textId="4D098BC6" w:rsidR="003646C0" w:rsidRDefault="001619CA" w:rsidP="003646C0">
      <w:pPr>
        <w:pStyle w:val="ONUME"/>
      </w:pPr>
      <w:r>
        <w:t>T</w:t>
      </w:r>
      <w:r w:rsidR="003646C0">
        <w:t xml:space="preserve">he International Bureau </w:t>
      </w:r>
      <w:r>
        <w:t xml:space="preserve">has taken </w:t>
      </w:r>
      <w:proofErr w:type="gramStart"/>
      <w:r>
        <w:t>a number of</w:t>
      </w:r>
      <w:proofErr w:type="gramEnd"/>
      <w:r>
        <w:t xml:space="preserve"> steps </w:t>
      </w:r>
      <w:r w:rsidR="003646C0">
        <w:t xml:space="preserve">to implement their request.  These steps consisted of: </w:t>
      </w:r>
    </w:p>
    <w:p w14:paraId="793AD070" w14:textId="04A90010" w:rsidR="003646C0" w:rsidRDefault="003646C0" w:rsidP="003646C0">
      <w:pPr>
        <w:pStyle w:val="ONUME"/>
        <w:numPr>
          <w:ilvl w:val="0"/>
          <w:numId w:val="0"/>
        </w:numPr>
        <w:ind w:left="567"/>
        <w:rPr>
          <w:lang w:eastAsia="en-US"/>
        </w:rPr>
      </w:pPr>
      <w:r>
        <w:rPr>
          <w:lang w:eastAsia="en-US"/>
        </w:rPr>
        <w:t>(a)</w:t>
      </w:r>
      <w:r>
        <w:rPr>
          <w:lang w:eastAsia="en-US"/>
        </w:rPr>
        <w:tab/>
        <w:t xml:space="preserve">amending existing </w:t>
      </w:r>
      <w:r w:rsidR="00080423">
        <w:rPr>
          <w:lang w:eastAsia="en-US"/>
        </w:rPr>
        <w:t>and/or addi</w:t>
      </w:r>
      <w:r w:rsidR="005F17CF">
        <w:rPr>
          <w:lang w:eastAsia="en-US"/>
        </w:rPr>
        <w:t>ng</w:t>
      </w:r>
      <w:r w:rsidR="00080423">
        <w:rPr>
          <w:lang w:eastAsia="en-US"/>
        </w:rPr>
        <w:t xml:space="preserve"> </w:t>
      </w:r>
      <w:r>
        <w:rPr>
          <w:lang w:eastAsia="en-US"/>
        </w:rPr>
        <w:t xml:space="preserve">disclaimers in </w:t>
      </w:r>
      <w:proofErr w:type="gramStart"/>
      <w:r>
        <w:rPr>
          <w:lang w:eastAsia="en-US"/>
        </w:rPr>
        <w:t>the terms</w:t>
      </w:r>
      <w:proofErr w:type="gramEnd"/>
      <w:r>
        <w:rPr>
          <w:lang w:eastAsia="en-US"/>
        </w:rPr>
        <w:t xml:space="preserve"> of use of the </w:t>
      </w:r>
      <w:r w:rsidRPr="007854AE">
        <w:rPr>
          <w:lang w:eastAsia="en-US"/>
        </w:rPr>
        <w:t>PATENTSCOPE Database, Global Brand Database, and Global Design Database</w:t>
      </w:r>
      <w:r>
        <w:rPr>
          <w:lang w:eastAsia="en-US"/>
        </w:rPr>
        <w:t xml:space="preserve">; </w:t>
      </w:r>
    </w:p>
    <w:p w14:paraId="63A6CEFF" w14:textId="77777777" w:rsidR="00C5287D" w:rsidRDefault="003646C0" w:rsidP="00AD5DCD">
      <w:pPr>
        <w:pStyle w:val="ONUME"/>
        <w:numPr>
          <w:ilvl w:val="0"/>
          <w:numId w:val="0"/>
        </w:numPr>
        <w:ind w:left="567"/>
      </w:pPr>
      <w:r>
        <w:rPr>
          <w:lang w:eastAsia="en-US"/>
        </w:rPr>
        <w:lastRenderedPageBreak/>
        <w:t>(b)</w:t>
      </w:r>
      <w:r>
        <w:rPr>
          <w:lang w:eastAsia="en-US"/>
        </w:rPr>
        <w:tab/>
        <w:t>broadening the scope</w:t>
      </w:r>
      <w:r w:rsidRPr="006360B5">
        <w:rPr>
          <w:lang w:eastAsia="en-US"/>
        </w:rPr>
        <w:t xml:space="preserve"> </w:t>
      </w:r>
      <w:r>
        <w:rPr>
          <w:lang w:eastAsia="en-US"/>
        </w:rPr>
        <w:t>o</w:t>
      </w:r>
      <w:r w:rsidRPr="006360B5">
        <w:rPr>
          <w:lang w:eastAsia="en-US"/>
        </w:rPr>
        <w:t>f existing disclaimers applicable to all international registrations through the Madrid System, and where they did not exist</w:t>
      </w:r>
      <w:r w:rsidRPr="006360B5">
        <w:t xml:space="preserve"> already, introduc</w:t>
      </w:r>
      <w:r>
        <w:t>ing</w:t>
      </w:r>
      <w:r w:rsidRPr="006360B5">
        <w:t xml:space="preserve"> disclaimers for each record (PCT, Hague and Lisbon Systems</w:t>
      </w:r>
      <w:proofErr w:type="gramStart"/>
      <w:r w:rsidRPr="006360B5">
        <w:t>)</w:t>
      </w:r>
      <w:r>
        <w:t xml:space="preserve">; </w:t>
      </w:r>
      <w:r w:rsidR="007A7C45">
        <w:t xml:space="preserve"> </w:t>
      </w:r>
      <w:r>
        <w:t>and</w:t>
      </w:r>
      <w:proofErr w:type="gramEnd"/>
      <w:r>
        <w:t xml:space="preserve"> </w:t>
      </w:r>
    </w:p>
    <w:p w14:paraId="179757AE" w14:textId="1106710E" w:rsidR="00C5287D" w:rsidRDefault="003646C0" w:rsidP="00AD5DCD">
      <w:pPr>
        <w:pStyle w:val="ONUME"/>
        <w:numPr>
          <w:ilvl w:val="0"/>
          <w:numId w:val="0"/>
        </w:numPr>
        <w:ind w:left="567"/>
        <w:rPr>
          <w:lang w:eastAsia="en-US"/>
        </w:rPr>
      </w:pPr>
      <w:r w:rsidRPr="00AD5DCD">
        <w:rPr>
          <w:lang w:eastAsia="en-US"/>
        </w:rPr>
        <w:t>(c)</w:t>
      </w:r>
      <w:r w:rsidRPr="00AD5DCD">
        <w:rPr>
          <w:lang w:eastAsia="en-US"/>
        </w:rPr>
        <w:tab/>
        <w:t xml:space="preserve">inserting similar disclaimers in WIPO publications that report on or draw data from the above-mentioned four IP systems (see </w:t>
      </w:r>
      <w:hyperlink r:id="rId39" w:history="1">
        <w:r w:rsidRPr="00AD5DCD">
          <w:rPr>
            <w:lang w:eastAsia="en-US"/>
          </w:rPr>
          <w:t>document A/66/8</w:t>
        </w:r>
      </w:hyperlink>
      <w:r w:rsidRPr="00AD5DCD">
        <w:rPr>
          <w:lang w:eastAsia="en-US"/>
        </w:rPr>
        <w:t>, paragraphs 189 to 191)</w:t>
      </w:r>
      <w:r w:rsidR="00B134C4">
        <w:rPr>
          <w:lang w:eastAsia="en-US"/>
        </w:rPr>
        <w:t>.</w:t>
      </w:r>
    </w:p>
    <w:p w14:paraId="07A77E70" w14:textId="499FEEC2" w:rsidR="003646C0" w:rsidRPr="00C5287D" w:rsidRDefault="003646C0" w:rsidP="00667E02">
      <w:pPr>
        <w:pStyle w:val="ONUME"/>
        <w:numPr>
          <w:ilvl w:val="0"/>
          <w:numId w:val="0"/>
        </w:numPr>
        <w:ind w:left="567" w:hanging="567"/>
        <w:rPr>
          <w:rFonts w:eastAsiaTheme="majorEastAsia"/>
          <w:b/>
          <w:bCs/>
          <w:szCs w:val="22"/>
          <w:lang w:eastAsia="en-US"/>
        </w:rPr>
      </w:pPr>
      <w:r w:rsidRPr="00667E02">
        <w:rPr>
          <w:rFonts w:eastAsiaTheme="majorEastAsia"/>
          <w:b/>
          <w:bCs/>
          <w:szCs w:val="22"/>
          <w:lang w:eastAsia="en-US"/>
        </w:rPr>
        <w:t>5.</w:t>
      </w:r>
      <w:r w:rsidRPr="00667E02">
        <w:rPr>
          <w:rFonts w:eastAsiaTheme="majorEastAsia"/>
          <w:b/>
          <w:bCs/>
          <w:szCs w:val="22"/>
          <w:lang w:eastAsia="en-US"/>
        </w:rPr>
        <w:tab/>
      </w:r>
      <w:r w:rsidRPr="00C5287D">
        <w:rPr>
          <w:rFonts w:eastAsiaTheme="majorEastAsia"/>
          <w:b/>
          <w:bCs/>
          <w:szCs w:val="22"/>
          <w:lang w:eastAsia="en-US"/>
        </w:rPr>
        <w:t>CONCLUSIONS</w:t>
      </w:r>
    </w:p>
    <w:p w14:paraId="2E6D4A4F" w14:textId="2C783C86" w:rsidR="007C43EF" w:rsidRDefault="007C43EF" w:rsidP="003646C0">
      <w:pPr>
        <w:pStyle w:val="ONUME"/>
        <w:rPr>
          <w:lang w:eastAsia="en-US"/>
        </w:rPr>
      </w:pPr>
      <w:r w:rsidRPr="007C43EF">
        <w:rPr>
          <w:lang w:eastAsia="en-US"/>
        </w:rPr>
        <w:t xml:space="preserve">According to the assessment undertaken by the International Bureau, the ongoing war continues to have severe and increasingly structural impacts on Ukraine's innovation and creativity sector and ecosystem. </w:t>
      </w:r>
      <w:r w:rsidR="007A7C45">
        <w:rPr>
          <w:lang w:eastAsia="en-US"/>
        </w:rPr>
        <w:t xml:space="preserve"> </w:t>
      </w:r>
      <w:r w:rsidRPr="007C43EF">
        <w:rPr>
          <w:lang w:eastAsia="en-US"/>
        </w:rPr>
        <w:t xml:space="preserve">While Ukrainian institutions have demonstrated remarkable resilience in maintaining operations and adapting to extraordinary challenges, and international cooperation frameworks have expanded significantly during the reporting period, fundamental constraints persist in human capital, infrastructure, funding, and market contraction. </w:t>
      </w:r>
      <w:r w:rsidR="007A7C45">
        <w:rPr>
          <w:lang w:eastAsia="en-US"/>
        </w:rPr>
        <w:t xml:space="preserve"> </w:t>
      </w:r>
      <w:r w:rsidRPr="007C43EF">
        <w:rPr>
          <w:lang w:eastAsia="en-US"/>
        </w:rPr>
        <w:t xml:space="preserve">Substantial reconstruction needs have been identified for education and science. </w:t>
      </w:r>
      <w:r w:rsidR="007A7C45">
        <w:rPr>
          <w:lang w:eastAsia="en-US"/>
        </w:rPr>
        <w:t xml:space="preserve"> </w:t>
      </w:r>
      <w:r w:rsidRPr="007C43EF">
        <w:rPr>
          <w:lang w:eastAsia="en-US"/>
        </w:rPr>
        <w:t xml:space="preserve">At the same time, international reporting indicates that Ukraine's innovation ecosystem is gradually transitioning from emergency wartime adaptation toward reconstruction-oriented transformation. </w:t>
      </w:r>
      <w:r w:rsidR="007A7C45">
        <w:rPr>
          <w:lang w:eastAsia="en-US"/>
        </w:rPr>
        <w:t xml:space="preserve"> </w:t>
      </w:r>
      <w:r w:rsidRPr="007C43EF">
        <w:rPr>
          <w:lang w:eastAsia="en-US"/>
        </w:rPr>
        <w:t>The medium- and long-term outlook remains highly uncertain given the evolving security situation and prospects for peace and recovery.</w:t>
      </w:r>
    </w:p>
    <w:p w14:paraId="311C9182" w14:textId="77777777" w:rsidR="003646C0" w:rsidRPr="002A5A28" w:rsidRDefault="003646C0" w:rsidP="003646C0">
      <w:pPr>
        <w:pStyle w:val="ONUME"/>
        <w:rPr>
          <w:lang w:eastAsia="en-US"/>
        </w:rPr>
      </w:pPr>
      <w:bookmarkStart w:id="82" w:name="_Hlk199490417"/>
      <w:r w:rsidRPr="002A5A28">
        <w:rPr>
          <w:lang w:eastAsia="en-US"/>
        </w:rPr>
        <w:t xml:space="preserve">The International Bureau, in close cooperation with Ukraine, continued to ensure a comprehensive framework for support and assistance from across various programs and initiatives to the creators, innovators, and members of the IP community, focusing on mitigating the adverse effects of the war and rebuilding an innovative and creative ecosystem in Ukraine that benefits all stakeholders and strengthens the country’s economy. </w:t>
      </w:r>
      <w:bookmarkEnd w:id="82"/>
      <w:r w:rsidRPr="002A5A28">
        <w:rPr>
          <w:lang w:eastAsia="en-US"/>
        </w:rPr>
        <w:t xml:space="preserve"> The International Bureau reiterates its commitment to continuing its close cooperation with Ukraine and providing its full support and assistance. </w:t>
      </w:r>
    </w:p>
    <w:p w14:paraId="1A5CF3FE" w14:textId="61DBFA07" w:rsidR="008A3958" w:rsidRPr="00E514F4" w:rsidRDefault="003646C0" w:rsidP="00995A28">
      <w:pPr>
        <w:pStyle w:val="ONUME"/>
        <w:rPr>
          <w:b/>
          <w:bCs/>
          <w:lang w:eastAsia="en-US"/>
        </w:rPr>
      </w:pPr>
      <w:r w:rsidRPr="002A5A28">
        <w:rPr>
          <w:lang w:eastAsia="en-US"/>
        </w:rPr>
        <w:t>The International Bureau remains ready to provide any additional information requested by Member States.</w:t>
      </w:r>
    </w:p>
    <w:p w14:paraId="68C348EF" w14:textId="0B2ADB4F" w:rsidR="00E514F4" w:rsidRPr="00E514F4" w:rsidRDefault="00E514F4" w:rsidP="00005871">
      <w:pPr>
        <w:pStyle w:val="ONUME"/>
        <w:numPr>
          <w:ilvl w:val="0"/>
          <w:numId w:val="0"/>
        </w:numPr>
        <w:spacing w:before="720"/>
        <w:ind w:left="6120"/>
      </w:pPr>
      <w:r>
        <w:t>[End of document]</w:t>
      </w:r>
    </w:p>
    <w:sectPr w:rsidR="00E514F4" w:rsidRPr="00E514F4" w:rsidSect="00025744">
      <w:headerReference w:type="default" r:id="rId40"/>
      <w:pgSz w:w="11909" w:h="16834" w:code="9"/>
      <w:pgMar w:top="1440" w:right="1109"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E9DF" w14:textId="77777777" w:rsidR="00C42C15" w:rsidRDefault="00C42C15" w:rsidP="006312A7">
      <w:r>
        <w:separator/>
      </w:r>
    </w:p>
  </w:endnote>
  <w:endnote w:type="continuationSeparator" w:id="0">
    <w:p w14:paraId="307CB321" w14:textId="77777777" w:rsidR="00C42C15" w:rsidRDefault="00C42C15"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AAA9" w14:textId="77777777" w:rsidR="00C42C15" w:rsidRDefault="00C42C15" w:rsidP="006312A7">
      <w:r>
        <w:separator/>
      </w:r>
    </w:p>
  </w:footnote>
  <w:footnote w:type="continuationSeparator" w:id="0">
    <w:p w14:paraId="5981B84F" w14:textId="77777777" w:rsidR="00C42C15" w:rsidRDefault="00C42C15" w:rsidP="006312A7">
      <w:r>
        <w:continuationSeparator/>
      </w:r>
    </w:p>
  </w:footnote>
  <w:footnote w:id="1">
    <w:p w14:paraId="7B40A5AE" w14:textId="13A7740F" w:rsidR="00641C25" w:rsidRPr="003264E2" w:rsidRDefault="00641C25" w:rsidP="003264E2">
      <w:pPr>
        <w:pStyle w:val="FootnoteText"/>
        <w:ind w:left="0"/>
        <w:rPr>
          <w:sz w:val="18"/>
          <w:szCs w:val="18"/>
        </w:rPr>
      </w:pPr>
      <w:r w:rsidRPr="003264E2">
        <w:rPr>
          <w:rStyle w:val="FootnoteReference"/>
          <w:sz w:val="18"/>
          <w:szCs w:val="18"/>
        </w:rPr>
        <w:footnoteRef/>
      </w:r>
      <w:r w:rsidRPr="003264E2">
        <w:rPr>
          <w:sz w:val="18"/>
          <w:szCs w:val="18"/>
        </w:rPr>
        <w:t xml:space="preserve"> </w:t>
      </w:r>
      <w:r w:rsidR="009073C7" w:rsidRPr="003264E2">
        <w:rPr>
          <w:sz w:val="18"/>
          <w:szCs w:val="18"/>
        </w:rPr>
        <w:t xml:space="preserve">The Report presented at the 2025 WIPO Assemblies is contained in </w:t>
      </w:r>
      <w:r w:rsidR="003B2C6F" w:rsidRPr="003264E2">
        <w:rPr>
          <w:sz w:val="18"/>
          <w:szCs w:val="18"/>
        </w:rPr>
        <w:t xml:space="preserve">document </w:t>
      </w:r>
      <w:hyperlink r:id="rId1" w:history="1">
        <w:r w:rsidR="009073C7" w:rsidRPr="003264E2">
          <w:rPr>
            <w:rStyle w:val="Hyperlink"/>
            <w:sz w:val="18"/>
            <w:szCs w:val="18"/>
          </w:rPr>
          <w:t>A/66/8</w:t>
        </w:r>
      </w:hyperlink>
      <w:r w:rsidR="002F61B6">
        <w:t>.</w:t>
      </w:r>
      <w:r w:rsidR="00E93B18">
        <w:t xml:space="preserve"> </w:t>
      </w:r>
    </w:p>
  </w:footnote>
  <w:footnote w:id="2">
    <w:p w14:paraId="310602BD" w14:textId="71133129" w:rsidR="006E624C" w:rsidRDefault="006E624C" w:rsidP="006E624C">
      <w:pPr>
        <w:pStyle w:val="FootnoteText"/>
        <w:ind w:left="0"/>
      </w:pPr>
      <w:r w:rsidRPr="003264E2">
        <w:rPr>
          <w:rStyle w:val="FootnoteReference"/>
          <w:sz w:val="18"/>
          <w:szCs w:val="18"/>
        </w:rPr>
        <w:footnoteRef/>
      </w:r>
      <w:r w:rsidRPr="003264E2">
        <w:rPr>
          <w:sz w:val="18"/>
          <w:szCs w:val="18"/>
        </w:rPr>
        <w:t xml:space="preserve"> </w:t>
      </w:r>
      <w:r w:rsidR="00CC1EEF" w:rsidRPr="003264E2">
        <w:rPr>
          <w:sz w:val="18"/>
          <w:szCs w:val="18"/>
        </w:rPr>
        <w:t>On</w:t>
      </w:r>
      <w:r w:rsidRPr="003264E2">
        <w:rPr>
          <w:sz w:val="18"/>
          <w:szCs w:val="18"/>
        </w:rPr>
        <w:t xml:space="preserve"> July </w:t>
      </w:r>
      <w:r w:rsidR="005F32C6" w:rsidRPr="003264E2">
        <w:rPr>
          <w:sz w:val="18"/>
          <w:szCs w:val="18"/>
        </w:rPr>
        <w:t>2</w:t>
      </w:r>
      <w:r w:rsidR="00CC1EEF" w:rsidRPr="003264E2">
        <w:rPr>
          <w:sz w:val="18"/>
          <w:szCs w:val="18"/>
        </w:rPr>
        <w:t>1</w:t>
      </w:r>
      <w:r w:rsidR="005F32C6" w:rsidRPr="003264E2">
        <w:rPr>
          <w:sz w:val="18"/>
          <w:szCs w:val="18"/>
        </w:rPr>
        <w:t xml:space="preserve">, </w:t>
      </w:r>
      <w:r w:rsidRPr="002F61B6">
        <w:rPr>
          <w:sz w:val="18"/>
          <w:szCs w:val="18"/>
        </w:rPr>
        <w:t>202</w:t>
      </w:r>
      <w:r w:rsidR="008421A4" w:rsidRPr="000A2A33">
        <w:rPr>
          <w:sz w:val="18"/>
          <w:szCs w:val="18"/>
        </w:rPr>
        <w:t>5</w:t>
      </w:r>
      <w:r w:rsidR="009D5540">
        <w:rPr>
          <w:sz w:val="18"/>
          <w:szCs w:val="18"/>
        </w:rPr>
        <w:t xml:space="preserve"> </w:t>
      </w:r>
      <w:r w:rsidRPr="003264E2">
        <w:rPr>
          <w:sz w:val="18"/>
          <w:szCs w:val="18"/>
        </w:rPr>
        <w:t>the</w:t>
      </w:r>
      <w:r w:rsidR="00715996" w:rsidRPr="003264E2">
        <w:rPr>
          <w:sz w:val="18"/>
          <w:szCs w:val="18"/>
        </w:rPr>
        <w:t xml:space="preserve"> Ministry of Economy of Ukraine </w:t>
      </w:r>
      <w:r w:rsidR="00441DF1" w:rsidRPr="003264E2">
        <w:rPr>
          <w:sz w:val="18"/>
          <w:szCs w:val="18"/>
        </w:rPr>
        <w:t xml:space="preserve">consolidated with the </w:t>
      </w:r>
      <w:r w:rsidR="00062EF4" w:rsidRPr="003264E2">
        <w:rPr>
          <w:sz w:val="18"/>
          <w:szCs w:val="18"/>
        </w:rPr>
        <w:t>Ministry of Agrarian Policy and Food and the Ministry of Environmental Protection and Natural Resources</w:t>
      </w:r>
      <w:r w:rsidR="005F296F" w:rsidRPr="003264E2">
        <w:rPr>
          <w:sz w:val="18"/>
          <w:szCs w:val="18"/>
        </w:rPr>
        <w:t xml:space="preserve">, and continued its function as the </w:t>
      </w:r>
      <w:r w:rsidR="005F32C6" w:rsidRPr="003264E2">
        <w:rPr>
          <w:sz w:val="18"/>
          <w:szCs w:val="18"/>
        </w:rPr>
        <w:t>Ministry of Economy, Environment and Agriculture of Ukraine</w:t>
      </w:r>
      <w:r w:rsidR="002F61B6">
        <w:rPr>
          <w:sz w:val="18"/>
          <w:szCs w:val="18"/>
        </w:rPr>
        <w:t>.</w:t>
      </w:r>
      <w:r w:rsidR="00E93B18">
        <w:rPr>
          <w:sz w:val="18"/>
          <w:szCs w:val="18"/>
        </w:rPr>
        <w:t xml:space="preserve"> </w:t>
      </w:r>
    </w:p>
  </w:footnote>
  <w:footnote w:id="3">
    <w:p w14:paraId="61B887A6" w14:textId="466B4872" w:rsidR="00497E56" w:rsidRPr="00E0193C" w:rsidRDefault="00497E56" w:rsidP="00497E56">
      <w:pPr>
        <w:pStyle w:val="FootnoteText"/>
        <w:ind w:left="0"/>
      </w:pPr>
      <w:r w:rsidRPr="003264E2">
        <w:rPr>
          <w:rStyle w:val="FootnoteReference"/>
          <w:sz w:val="18"/>
          <w:szCs w:val="18"/>
        </w:rPr>
        <w:footnoteRef/>
      </w:r>
      <w:r w:rsidRPr="003264E2">
        <w:rPr>
          <w:sz w:val="18"/>
          <w:szCs w:val="18"/>
        </w:rPr>
        <w:t xml:space="preserve"> </w:t>
      </w:r>
      <w:r w:rsidR="00F77DC3">
        <w:rPr>
          <w:sz w:val="18"/>
          <w:szCs w:val="18"/>
        </w:rPr>
        <w:t>World Bank</w:t>
      </w:r>
      <w:r w:rsidRPr="003264E2">
        <w:rPr>
          <w:sz w:val="18"/>
          <w:szCs w:val="18"/>
        </w:rPr>
        <w:t>.</w:t>
      </w:r>
      <w:r w:rsidR="00F77DC3">
        <w:rPr>
          <w:sz w:val="18"/>
          <w:szCs w:val="18"/>
        </w:rPr>
        <w:t xml:space="preserve"> </w:t>
      </w:r>
      <w:r w:rsidRPr="003264E2">
        <w:rPr>
          <w:i/>
          <w:sz w:val="18"/>
          <w:szCs w:val="18"/>
        </w:rPr>
        <w:t>Ukraine - Fifth Rapid Damage and Needs Assessment (RDNA5) : February 2022 - December 2025 (English). </w:t>
      </w:r>
      <w:r w:rsidRPr="003264E2">
        <w:rPr>
          <w:sz w:val="18"/>
          <w:szCs w:val="18"/>
        </w:rPr>
        <w:t>Washington, D.C.: World Bank Group.</w:t>
      </w:r>
      <w:r w:rsidR="00523DC9">
        <w:rPr>
          <w:sz w:val="18"/>
          <w:szCs w:val="18"/>
        </w:rPr>
        <w:t xml:space="preserve"> </w:t>
      </w:r>
      <w:hyperlink r:id="rId2" w:history="1">
        <w:r w:rsidR="00523DC9" w:rsidRPr="00B007E0">
          <w:rPr>
            <w:rStyle w:val="Hyperlink"/>
            <w:sz w:val="18"/>
            <w:szCs w:val="18"/>
          </w:rPr>
          <w:t>https://documents.worldbank.org/en/publication/documents-reports/documentdetail/099022026</w:t>
        </w:r>
        <w:bookmarkStart w:id="15" w:name="_Hlt230707859"/>
        <w:bookmarkStart w:id="16" w:name="_Hlt230707860"/>
        <w:r w:rsidR="00523DC9" w:rsidRPr="00B007E0">
          <w:rPr>
            <w:rStyle w:val="Hyperlink"/>
            <w:sz w:val="18"/>
            <w:szCs w:val="18"/>
          </w:rPr>
          <w:t>0</w:t>
        </w:r>
        <w:bookmarkEnd w:id="15"/>
        <w:bookmarkEnd w:id="16"/>
        <w:r w:rsidR="00523DC9" w:rsidRPr="00B007E0">
          <w:rPr>
            <w:rStyle w:val="Hyperlink"/>
            <w:sz w:val="18"/>
            <w:szCs w:val="18"/>
          </w:rPr>
          <w:t>94036395</w:t>
        </w:r>
      </w:hyperlink>
      <w:r w:rsidRPr="00545FFC">
        <w:rPr>
          <w:sz w:val="18"/>
          <w:szCs w:val="18"/>
        </w:rPr>
        <w:t xml:space="preserve"> </w:t>
      </w:r>
    </w:p>
  </w:footnote>
  <w:footnote w:id="4">
    <w:p w14:paraId="27C741F4" w14:textId="1CD6CA29" w:rsidR="00011A07" w:rsidRPr="008A193C" w:rsidRDefault="00011A07" w:rsidP="00011A07">
      <w:pPr>
        <w:pStyle w:val="FootnoteText"/>
        <w:ind w:left="0"/>
        <w:rPr>
          <w:sz w:val="18"/>
          <w:szCs w:val="18"/>
        </w:rPr>
      </w:pPr>
      <w:r w:rsidRPr="00F774A6">
        <w:rPr>
          <w:rStyle w:val="FootnoteReference"/>
          <w:sz w:val="18"/>
          <w:szCs w:val="18"/>
        </w:rPr>
        <w:footnoteRef/>
      </w:r>
      <w:r w:rsidRPr="008A193C">
        <w:rPr>
          <w:sz w:val="18"/>
          <w:szCs w:val="18"/>
        </w:rPr>
        <w:t xml:space="preserve"> </w:t>
      </w:r>
      <w:r>
        <w:rPr>
          <w:sz w:val="18"/>
          <w:szCs w:val="18"/>
        </w:rPr>
        <w:t xml:space="preserve">World Bank. </w:t>
      </w:r>
      <w:r w:rsidRPr="008A193C">
        <w:rPr>
          <w:i/>
          <w:iCs/>
          <w:sz w:val="18"/>
          <w:szCs w:val="18"/>
        </w:rPr>
        <w:t>Ukraine - Fourth Rapid Damage and Needs Assessment (RDNA4) : February 2022 - December 2024 (English). </w:t>
      </w:r>
      <w:r w:rsidRPr="008A193C">
        <w:rPr>
          <w:sz w:val="18"/>
          <w:szCs w:val="18"/>
        </w:rPr>
        <w:t>Washington, D.C.: World Bank Group. </w:t>
      </w:r>
      <w:hyperlink r:id="rId3" w:history="1">
        <w:r w:rsidRPr="008A193C">
          <w:rPr>
            <w:rStyle w:val="Hyperlink"/>
            <w:sz w:val="18"/>
            <w:szCs w:val="18"/>
          </w:rPr>
          <w:t>http://documents.worldbank.org/curated/en/099022025114040022</w:t>
        </w:r>
      </w:hyperlink>
    </w:p>
  </w:footnote>
  <w:footnote w:id="5">
    <w:p w14:paraId="5E7A412A" w14:textId="2A1AC813" w:rsidR="00E20B37" w:rsidRPr="00F57727" w:rsidRDefault="00E20B37" w:rsidP="00F57727">
      <w:pPr>
        <w:pStyle w:val="FootnoteText"/>
        <w:ind w:left="0"/>
        <w:rPr>
          <w:sz w:val="18"/>
          <w:szCs w:val="18"/>
        </w:rPr>
      </w:pPr>
      <w:r w:rsidRPr="00F57727">
        <w:rPr>
          <w:rStyle w:val="FootnoteReference"/>
          <w:sz w:val="18"/>
          <w:szCs w:val="18"/>
        </w:rPr>
        <w:footnoteRef/>
      </w:r>
      <w:r w:rsidRPr="00F57727">
        <w:rPr>
          <w:sz w:val="18"/>
          <w:szCs w:val="18"/>
        </w:rPr>
        <w:t xml:space="preserve"> </w:t>
      </w:r>
      <w:r w:rsidR="00633870" w:rsidRPr="00F57727">
        <w:rPr>
          <w:sz w:val="18"/>
          <w:szCs w:val="18"/>
        </w:rPr>
        <w:t>UNESCO, “Damaged Cultural Sites in Ukraine Verified by UNESCO</w:t>
      </w:r>
      <w:bookmarkStart w:id="18" w:name="_Hlk199953178"/>
      <w:r w:rsidR="00633870" w:rsidRPr="00F57727">
        <w:rPr>
          <w:sz w:val="18"/>
          <w:szCs w:val="18"/>
        </w:rPr>
        <w:t>”</w:t>
      </w:r>
      <w:bookmarkEnd w:id="18"/>
      <w:r w:rsidR="00633870" w:rsidRPr="00F57727">
        <w:rPr>
          <w:sz w:val="18"/>
          <w:szCs w:val="18"/>
        </w:rPr>
        <w:t xml:space="preserve">, April 2026. </w:t>
      </w:r>
      <w:hyperlink r:id="rId4" w:history="1">
        <w:r w:rsidR="00633870" w:rsidRPr="00F57727">
          <w:rPr>
            <w:rStyle w:val="Hyperlink"/>
            <w:sz w:val="18"/>
            <w:szCs w:val="18"/>
          </w:rPr>
          <w:t>https://www.unesco.org/en/ukraine-war/dam</w:t>
        </w:r>
        <w:bookmarkStart w:id="19" w:name="_Hlt230707922"/>
        <w:bookmarkStart w:id="20" w:name="_Hlt230707923"/>
        <w:r w:rsidR="00633870" w:rsidRPr="00F57727">
          <w:rPr>
            <w:rStyle w:val="Hyperlink"/>
            <w:sz w:val="18"/>
            <w:szCs w:val="18"/>
          </w:rPr>
          <w:t>a</w:t>
        </w:r>
        <w:bookmarkEnd w:id="19"/>
        <w:bookmarkEnd w:id="20"/>
        <w:r w:rsidR="00633870" w:rsidRPr="00F57727">
          <w:rPr>
            <w:rStyle w:val="Hyperlink"/>
            <w:sz w:val="18"/>
            <w:szCs w:val="18"/>
          </w:rPr>
          <w:t>ged-cultural-sites</w:t>
        </w:r>
      </w:hyperlink>
      <w:r w:rsidR="00633870" w:rsidRPr="00F57727">
        <w:rPr>
          <w:sz w:val="18"/>
          <w:szCs w:val="18"/>
        </w:rPr>
        <w:t xml:space="preserve"> </w:t>
      </w:r>
    </w:p>
  </w:footnote>
  <w:footnote w:id="6">
    <w:p w14:paraId="3FF88DBA" w14:textId="7E4E21DC" w:rsidR="00497E56" w:rsidRPr="00F57727" w:rsidRDefault="00497E56" w:rsidP="00497E56">
      <w:pPr>
        <w:pStyle w:val="FootnoteText"/>
        <w:ind w:left="0"/>
        <w:rPr>
          <w:sz w:val="18"/>
          <w:szCs w:val="18"/>
        </w:rPr>
      </w:pPr>
      <w:r w:rsidRPr="00F57727">
        <w:rPr>
          <w:rStyle w:val="FootnoteReference"/>
          <w:sz w:val="18"/>
          <w:szCs w:val="18"/>
        </w:rPr>
        <w:footnoteRef/>
      </w:r>
      <w:r w:rsidRPr="00F57727">
        <w:rPr>
          <w:sz w:val="18"/>
          <w:szCs w:val="18"/>
        </w:rPr>
        <w:t xml:space="preserve"> OHCHR, “Fact sheet - </w:t>
      </w:r>
      <w:hyperlink r:id="rId5" w:history="1">
        <w:r w:rsidR="006E2690">
          <w:rPr>
            <w:rStyle w:val="Hyperlink"/>
            <w:sz w:val="18"/>
            <w:szCs w:val="18"/>
          </w:rPr>
          <w:t xml:space="preserve">Four years since the full-scale invasion of Ukraine: Key facts and findings about the impact on human rights 24 February 2022 to February 2026”, February 2026. </w:t>
        </w:r>
      </w:hyperlink>
      <w:r w:rsidRPr="00F57727">
        <w:rPr>
          <w:sz w:val="18"/>
          <w:szCs w:val="18"/>
        </w:rPr>
        <w:t xml:space="preserve">. </w:t>
      </w:r>
      <w:hyperlink r:id="rId6" w:history="1">
        <w:r w:rsidR="00C82729">
          <w:rPr>
            <w:rStyle w:val="Hyperlink"/>
            <w:sz w:val="18"/>
            <w:szCs w:val="18"/>
          </w:rPr>
          <w:t>https://ukraine.ohchr.org/sites/default/files/2026-02/2026-0216%20HRMMU_Four%20Years%20On_fact%20sheet_2.pdf</w:t>
        </w:r>
      </w:hyperlink>
      <w:r w:rsidRPr="00F57727">
        <w:rPr>
          <w:sz w:val="18"/>
          <w:szCs w:val="18"/>
        </w:rPr>
        <w:t xml:space="preserve"> </w:t>
      </w:r>
    </w:p>
  </w:footnote>
  <w:footnote w:id="7">
    <w:p w14:paraId="3D61E5AC" w14:textId="46F056DF" w:rsidR="00497E56" w:rsidRPr="00B134C4" w:rsidRDefault="00497E56" w:rsidP="00497E56">
      <w:pPr>
        <w:pStyle w:val="FootnoteText"/>
        <w:ind w:left="0"/>
        <w:rPr>
          <w:sz w:val="18"/>
          <w:szCs w:val="18"/>
        </w:rPr>
      </w:pPr>
      <w:r w:rsidRPr="00F57727">
        <w:rPr>
          <w:rStyle w:val="FootnoteReference"/>
          <w:sz w:val="18"/>
          <w:szCs w:val="18"/>
        </w:rPr>
        <w:footnoteRef/>
      </w:r>
      <w:r w:rsidRPr="00B134C4">
        <w:rPr>
          <w:sz w:val="18"/>
          <w:szCs w:val="18"/>
        </w:rPr>
        <w:t xml:space="preserve"> UNHCR, “Ukraine Refugee Situation”.  </w:t>
      </w:r>
      <w:hyperlink r:id="rId7" w:history="1">
        <w:r w:rsidRPr="00B134C4">
          <w:rPr>
            <w:rStyle w:val="Hyperlink"/>
            <w:sz w:val="18"/>
            <w:szCs w:val="18"/>
          </w:rPr>
          <w:t>https://data.unhcr.org/en/situations/ukraine</w:t>
        </w:r>
      </w:hyperlink>
      <w:r w:rsidRPr="00B134C4">
        <w:rPr>
          <w:sz w:val="18"/>
          <w:szCs w:val="18"/>
        </w:rPr>
        <w:t xml:space="preserve"> </w:t>
      </w:r>
    </w:p>
  </w:footnote>
  <w:footnote w:id="8">
    <w:p w14:paraId="6FB4CDCD" w14:textId="24EC9AE1" w:rsidR="00497E56" w:rsidRDefault="00497E56" w:rsidP="00497E56">
      <w:pPr>
        <w:pStyle w:val="FootnoteText"/>
        <w:ind w:left="0"/>
      </w:pPr>
      <w:r w:rsidRPr="00F57727">
        <w:rPr>
          <w:rStyle w:val="FootnoteReference"/>
          <w:sz w:val="18"/>
          <w:szCs w:val="18"/>
        </w:rPr>
        <w:footnoteRef/>
      </w:r>
      <w:r w:rsidRPr="00F57727">
        <w:rPr>
          <w:sz w:val="18"/>
          <w:szCs w:val="18"/>
        </w:rPr>
        <w:t xml:space="preserve"> International Organization for Migration (IOM), “Ukraine Internal Displacement Report”</w:t>
      </w:r>
      <w:r w:rsidR="00000D79">
        <w:rPr>
          <w:sz w:val="18"/>
          <w:szCs w:val="18"/>
        </w:rPr>
        <w:t>,</w:t>
      </w:r>
      <w:r w:rsidRPr="00F57727">
        <w:rPr>
          <w:sz w:val="18"/>
          <w:szCs w:val="18"/>
        </w:rPr>
        <w:t xml:space="preserve"> January 2026.  </w:t>
      </w:r>
      <w:hyperlink r:id="rId8" w:history="1">
        <w:r w:rsidR="00117AA6">
          <w:rPr>
            <w:rStyle w:val="Hyperlink"/>
            <w:sz w:val="18"/>
            <w:szCs w:val="18"/>
          </w:rPr>
          <w:t>Test</w:t>
        </w:r>
      </w:hyperlink>
      <w:r w:rsidRPr="00F57727">
        <w:rPr>
          <w:sz w:val="18"/>
          <w:szCs w:val="18"/>
        </w:rPr>
        <w:t xml:space="preserve"> </w:t>
      </w:r>
    </w:p>
  </w:footnote>
  <w:footnote w:id="9">
    <w:p w14:paraId="43D33AEC" w14:textId="721F6392" w:rsidR="000B2C16" w:rsidRPr="00CE6965" w:rsidRDefault="000B2C16" w:rsidP="00CE6965">
      <w:pPr>
        <w:pStyle w:val="FootnoteText"/>
        <w:ind w:left="0"/>
        <w:rPr>
          <w:sz w:val="18"/>
          <w:szCs w:val="18"/>
        </w:rPr>
      </w:pPr>
      <w:r w:rsidRPr="00CE6965">
        <w:rPr>
          <w:rStyle w:val="FootnoteReference"/>
          <w:sz w:val="18"/>
          <w:szCs w:val="18"/>
        </w:rPr>
        <w:footnoteRef/>
      </w:r>
      <w:r w:rsidRPr="00CE6965">
        <w:rPr>
          <w:sz w:val="18"/>
          <w:szCs w:val="18"/>
        </w:rPr>
        <w:t xml:space="preserve"> UNESCO</w:t>
      </w:r>
      <w:r w:rsidR="001D5724">
        <w:rPr>
          <w:sz w:val="18"/>
          <w:szCs w:val="18"/>
        </w:rPr>
        <w:t>, “Ukraine: International Coalition for Science, Research and Innovation Launched”</w:t>
      </w:r>
      <w:r w:rsidR="00BE607F">
        <w:rPr>
          <w:sz w:val="18"/>
          <w:szCs w:val="18"/>
        </w:rPr>
        <w:t>,</w:t>
      </w:r>
      <w:r w:rsidR="00BE607F" w:rsidRPr="00AD0286">
        <w:rPr>
          <w:sz w:val="18"/>
          <w:szCs w:val="18"/>
        </w:rPr>
        <w:t xml:space="preserve"> </w:t>
      </w:r>
      <w:r w:rsidR="00804690" w:rsidRPr="00CE6965">
        <w:rPr>
          <w:sz w:val="18"/>
          <w:szCs w:val="18"/>
        </w:rPr>
        <w:t>July 2025</w:t>
      </w:r>
      <w:r w:rsidR="00875655">
        <w:rPr>
          <w:sz w:val="18"/>
          <w:szCs w:val="18"/>
        </w:rPr>
        <w:t>.</w:t>
      </w:r>
      <w:r w:rsidRPr="00CE6965">
        <w:rPr>
          <w:sz w:val="18"/>
          <w:szCs w:val="18"/>
        </w:rPr>
        <w:t xml:space="preserve"> </w:t>
      </w:r>
      <w:hyperlink r:id="rId9" w:history="1">
        <w:r w:rsidR="00B862B7" w:rsidRPr="00CE6965">
          <w:rPr>
            <w:rStyle w:val="Hyperlink"/>
            <w:sz w:val="18"/>
            <w:szCs w:val="18"/>
          </w:rPr>
          <w:t>http</w:t>
        </w:r>
        <w:bookmarkStart w:id="23" w:name="_Hlt230689150"/>
        <w:bookmarkStart w:id="24" w:name="_Hlt230689151"/>
        <w:r w:rsidR="00B862B7" w:rsidRPr="00CE6965">
          <w:rPr>
            <w:rStyle w:val="Hyperlink"/>
            <w:sz w:val="18"/>
            <w:szCs w:val="18"/>
          </w:rPr>
          <w:t>s</w:t>
        </w:r>
        <w:bookmarkEnd w:id="23"/>
        <w:bookmarkEnd w:id="24"/>
        <w:r w:rsidR="00B862B7" w:rsidRPr="00CE6965">
          <w:rPr>
            <w:rStyle w:val="Hyperlink"/>
            <w:sz w:val="18"/>
            <w:szCs w:val="18"/>
          </w:rPr>
          <w:t>://www.unesco.org/en/articles/ukraine-international-coalition-science-research-and-innovation-launched</w:t>
        </w:r>
      </w:hyperlink>
      <w:r w:rsidR="00FB5AA0" w:rsidRPr="00E811AF">
        <w:rPr>
          <w:sz w:val="18"/>
          <w:szCs w:val="18"/>
        </w:rPr>
        <w:t xml:space="preserve"> </w:t>
      </w:r>
      <w:r w:rsidR="00B862B7" w:rsidRPr="00CE6965">
        <w:rPr>
          <w:sz w:val="18"/>
          <w:szCs w:val="18"/>
        </w:rPr>
        <w:t xml:space="preserve"> </w:t>
      </w:r>
    </w:p>
  </w:footnote>
  <w:footnote w:id="10">
    <w:p w14:paraId="7E9A7262" w14:textId="44E416BA" w:rsidR="003F7B35" w:rsidRDefault="003F7B35" w:rsidP="00CE6965">
      <w:pPr>
        <w:pStyle w:val="FootnoteText"/>
        <w:ind w:left="0"/>
      </w:pPr>
      <w:r w:rsidRPr="00CE6965">
        <w:rPr>
          <w:rStyle w:val="FootnoteReference"/>
          <w:sz w:val="18"/>
          <w:szCs w:val="18"/>
        </w:rPr>
        <w:footnoteRef/>
      </w:r>
      <w:r w:rsidRPr="00CE6965">
        <w:rPr>
          <w:sz w:val="18"/>
          <w:szCs w:val="18"/>
        </w:rPr>
        <w:t xml:space="preserve"> </w:t>
      </w:r>
      <w:r w:rsidR="00000D79">
        <w:rPr>
          <w:sz w:val="18"/>
          <w:szCs w:val="18"/>
        </w:rPr>
        <w:t>UNESCO, “</w:t>
      </w:r>
      <w:r w:rsidR="00667260">
        <w:rPr>
          <w:sz w:val="18"/>
          <w:szCs w:val="18"/>
        </w:rPr>
        <w:t>Building a Robust Science Ecosystem in Ukraine:</w:t>
      </w:r>
      <w:r>
        <w:rPr>
          <w:sz w:val="18"/>
          <w:szCs w:val="18"/>
        </w:rPr>
        <w:t xml:space="preserve"> </w:t>
      </w:r>
      <w:r w:rsidRPr="00CE6965">
        <w:rPr>
          <w:sz w:val="18"/>
          <w:szCs w:val="18"/>
        </w:rPr>
        <w:t>UNESCO’s Action Plan for Sciences</w:t>
      </w:r>
      <w:r w:rsidR="00000D79">
        <w:rPr>
          <w:sz w:val="18"/>
          <w:szCs w:val="18"/>
        </w:rPr>
        <w:t>”,</w:t>
      </w:r>
      <w:r>
        <w:rPr>
          <w:sz w:val="18"/>
          <w:szCs w:val="18"/>
        </w:rPr>
        <w:t xml:space="preserve"> </w:t>
      </w:r>
      <w:r w:rsidR="00FB5AA0">
        <w:rPr>
          <w:sz w:val="18"/>
          <w:szCs w:val="18"/>
        </w:rPr>
        <w:t>June 2025</w:t>
      </w:r>
      <w:r w:rsidR="00875655">
        <w:rPr>
          <w:sz w:val="18"/>
          <w:szCs w:val="18"/>
        </w:rPr>
        <w:t>.</w:t>
      </w:r>
      <w:r w:rsidRPr="00CE6965">
        <w:rPr>
          <w:sz w:val="18"/>
          <w:szCs w:val="18"/>
        </w:rPr>
        <w:t xml:space="preserve"> </w:t>
      </w:r>
      <w:hyperlink r:id="rId10" w:history="1">
        <w:r w:rsidRPr="00CE6965">
          <w:rPr>
            <w:rStyle w:val="Hyperlink"/>
            <w:sz w:val="18"/>
            <w:szCs w:val="18"/>
          </w:rPr>
          <w:t>https://www.unesco.org/sites/default/files/medias/fichiers/2025/07/UNESCO%E2%80%99s%20Action%20Plan%20For%20Sciences.pdf</w:t>
        </w:r>
      </w:hyperlink>
      <w:r w:rsidRPr="00CE6965">
        <w:rPr>
          <w:sz w:val="18"/>
          <w:szCs w:val="18"/>
        </w:rPr>
        <w:t xml:space="preserve"> </w:t>
      </w:r>
    </w:p>
  </w:footnote>
  <w:footnote w:id="11">
    <w:p w14:paraId="581A787C" w14:textId="67CB3EAC" w:rsidR="00CA3ECC" w:rsidRPr="0099657B" w:rsidRDefault="00CA3ECC" w:rsidP="0099657B">
      <w:pPr>
        <w:pStyle w:val="FootnoteText"/>
        <w:ind w:left="0"/>
        <w:rPr>
          <w:sz w:val="18"/>
          <w:szCs w:val="18"/>
        </w:rPr>
      </w:pPr>
      <w:r w:rsidRPr="0099657B">
        <w:rPr>
          <w:rStyle w:val="FootnoteReference"/>
          <w:sz w:val="18"/>
          <w:szCs w:val="18"/>
        </w:rPr>
        <w:footnoteRef/>
      </w:r>
      <w:r w:rsidRPr="0099657B">
        <w:rPr>
          <w:sz w:val="18"/>
          <w:szCs w:val="18"/>
        </w:rPr>
        <w:t xml:space="preserve"> International Labour Organization (ILO), “EU and ILO launch project to strengthen Ukraine’s labour market governance”, October 2025</w:t>
      </w:r>
      <w:r w:rsidR="00903229">
        <w:rPr>
          <w:sz w:val="18"/>
          <w:szCs w:val="18"/>
        </w:rPr>
        <w:t>.</w:t>
      </w:r>
      <w:r w:rsidRPr="0099657B">
        <w:rPr>
          <w:sz w:val="18"/>
          <w:szCs w:val="18"/>
        </w:rPr>
        <w:t xml:space="preserve"> </w:t>
      </w:r>
      <w:hyperlink r:id="rId11" w:history="1">
        <w:r w:rsidR="007D2252" w:rsidRPr="00343B69">
          <w:rPr>
            <w:rStyle w:val="Hyperlink"/>
            <w:sz w:val="18"/>
            <w:szCs w:val="18"/>
          </w:rPr>
          <w:t>https://www.ilo.org/resource/news/ilo-and-eu-launch-project-strengthen-ukraine%E2%80%99s-labour-market-governance</w:t>
        </w:r>
      </w:hyperlink>
      <w:r w:rsidR="007D2252">
        <w:rPr>
          <w:sz w:val="18"/>
          <w:szCs w:val="18"/>
        </w:rPr>
        <w:t xml:space="preserve"> </w:t>
      </w:r>
    </w:p>
  </w:footnote>
  <w:footnote w:id="12">
    <w:p w14:paraId="458CFE75" w14:textId="020FC642" w:rsidR="00672D68" w:rsidRDefault="00672D68" w:rsidP="0099657B">
      <w:pPr>
        <w:pStyle w:val="FootnoteText"/>
        <w:ind w:left="0"/>
      </w:pPr>
      <w:r w:rsidRPr="0099657B">
        <w:rPr>
          <w:rStyle w:val="FootnoteReference"/>
          <w:sz w:val="18"/>
          <w:szCs w:val="18"/>
        </w:rPr>
        <w:footnoteRef/>
      </w:r>
      <w:r w:rsidRPr="0099657B">
        <w:rPr>
          <w:sz w:val="18"/>
          <w:szCs w:val="18"/>
        </w:rPr>
        <w:t xml:space="preserve"> </w:t>
      </w:r>
      <w:r w:rsidR="003934C6" w:rsidRPr="0099657B">
        <w:rPr>
          <w:sz w:val="18"/>
          <w:szCs w:val="18"/>
        </w:rPr>
        <w:t xml:space="preserve">Made in Ukraine </w:t>
      </w:r>
      <w:hyperlink r:id="rId12" w:anchor="politics" w:history="1">
        <w:r w:rsidR="00903229" w:rsidRPr="0099657B">
          <w:rPr>
            <w:rStyle w:val="Hyperlink"/>
            <w:sz w:val="18"/>
            <w:szCs w:val="18"/>
          </w:rPr>
          <w:t>https://madeinukraine.gov.ua/#politics</w:t>
        </w:r>
      </w:hyperlink>
      <w:r w:rsidR="00903229">
        <w:rPr>
          <w:sz w:val="18"/>
          <w:szCs w:val="18"/>
        </w:rPr>
        <w:t xml:space="preserve"> </w:t>
      </w:r>
      <w:r w:rsidR="00B038A6">
        <w:rPr>
          <w:sz w:val="18"/>
          <w:szCs w:val="18"/>
        </w:rPr>
        <w:t>(in Ukrainian)</w:t>
      </w:r>
      <w:r w:rsidR="0012304C">
        <w:rPr>
          <w:sz w:val="18"/>
          <w:szCs w:val="18"/>
        </w:rPr>
        <w:t>.</w:t>
      </w:r>
    </w:p>
  </w:footnote>
  <w:footnote w:id="13">
    <w:p w14:paraId="6157C3EA" w14:textId="6C4319C5" w:rsidR="006C27A8" w:rsidRPr="00CE6965" w:rsidRDefault="006C27A8" w:rsidP="00CE6965">
      <w:pPr>
        <w:pStyle w:val="FootnoteText"/>
        <w:ind w:left="0"/>
        <w:rPr>
          <w:sz w:val="18"/>
          <w:szCs w:val="18"/>
        </w:rPr>
      </w:pPr>
      <w:r w:rsidRPr="0099657B">
        <w:rPr>
          <w:rStyle w:val="FootnoteReference"/>
          <w:sz w:val="18"/>
          <w:szCs w:val="18"/>
        </w:rPr>
        <w:footnoteRef/>
      </w:r>
      <w:r w:rsidRPr="0099657B">
        <w:rPr>
          <w:sz w:val="18"/>
          <w:szCs w:val="18"/>
        </w:rPr>
        <w:t xml:space="preserve"> </w:t>
      </w:r>
      <w:r w:rsidR="00E87F93">
        <w:rPr>
          <w:sz w:val="18"/>
          <w:szCs w:val="18"/>
        </w:rPr>
        <w:t>Resolution</w:t>
      </w:r>
      <w:r w:rsidR="000055B3" w:rsidRPr="00CE6965">
        <w:rPr>
          <w:sz w:val="18"/>
          <w:szCs w:val="18"/>
        </w:rPr>
        <w:t xml:space="preserve"> of the Cabinet of Ministers of Ukraine</w:t>
      </w:r>
      <w:r w:rsidR="000055B3" w:rsidRPr="00CE6965">
        <w:rPr>
          <w:sz w:val="18"/>
          <w:szCs w:val="18"/>
          <w:vertAlign w:val="superscript"/>
        </w:rPr>
        <w:t xml:space="preserve"> </w:t>
      </w:r>
      <w:r w:rsidR="00E54D9F">
        <w:rPr>
          <w:sz w:val="18"/>
          <w:szCs w:val="18"/>
        </w:rPr>
        <w:t>of May 15, 2026,</w:t>
      </w:r>
      <w:r w:rsidR="00E54D9F" w:rsidRPr="00C73F75">
        <w:rPr>
          <w:sz w:val="18"/>
          <w:szCs w:val="18"/>
        </w:rPr>
        <w:t xml:space="preserve"> </w:t>
      </w:r>
      <w:r w:rsidR="00E54D9F" w:rsidRPr="00C73F75">
        <w:rPr>
          <w:sz w:val="18"/>
          <w:szCs w:val="18"/>
          <w:lang w:eastAsia="en-US"/>
        </w:rPr>
        <w:t xml:space="preserve">No. 616 </w:t>
      </w:r>
      <w:r w:rsidR="000055B3" w:rsidRPr="00CE6965">
        <w:rPr>
          <w:sz w:val="18"/>
          <w:szCs w:val="18"/>
        </w:rPr>
        <w:t xml:space="preserve">on the </w:t>
      </w:r>
      <w:r w:rsidR="00594D7A">
        <w:rPr>
          <w:sz w:val="18"/>
          <w:szCs w:val="18"/>
        </w:rPr>
        <w:t>A</w:t>
      </w:r>
      <w:r w:rsidR="00594D7A" w:rsidRPr="00594D7A">
        <w:rPr>
          <w:sz w:val="18"/>
          <w:szCs w:val="18"/>
        </w:rPr>
        <w:t xml:space="preserve">mendments to the </w:t>
      </w:r>
      <w:r w:rsidR="0063306B">
        <w:rPr>
          <w:sz w:val="18"/>
          <w:szCs w:val="18"/>
        </w:rPr>
        <w:t>R</w:t>
      </w:r>
      <w:r w:rsidR="00594D7A" w:rsidRPr="00594D7A">
        <w:rPr>
          <w:sz w:val="18"/>
          <w:szCs w:val="18"/>
        </w:rPr>
        <w:t xml:space="preserve">esolutions </w:t>
      </w:r>
      <w:r w:rsidR="0077466A">
        <w:rPr>
          <w:sz w:val="18"/>
          <w:szCs w:val="18"/>
        </w:rPr>
        <w:t xml:space="preserve">of </w:t>
      </w:r>
      <w:r w:rsidR="00594D7A" w:rsidRPr="00594D7A">
        <w:rPr>
          <w:sz w:val="18"/>
          <w:szCs w:val="18"/>
        </w:rPr>
        <w:t>June 21, 2022 </w:t>
      </w:r>
      <w:hyperlink r:id="rId13" w:tgtFrame="_blank" w:history="1">
        <w:r w:rsidR="00594D7A" w:rsidRPr="00594D7A">
          <w:rPr>
            <w:rStyle w:val="Hyperlink"/>
            <w:sz w:val="18"/>
            <w:szCs w:val="18"/>
          </w:rPr>
          <w:t>No. 738</w:t>
        </w:r>
      </w:hyperlink>
      <w:r w:rsidR="00594D7A" w:rsidRPr="00594D7A">
        <w:rPr>
          <w:sz w:val="18"/>
          <w:szCs w:val="18"/>
        </w:rPr>
        <w:t xml:space="preserve"> “Some issues of providing business grants” </w:t>
      </w:r>
      <w:r w:rsidR="0077466A">
        <w:rPr>
          <w:sz w:val="18"/>
          <w:szCs w:val="18"/>
        </w:rPr>
        <w:t>and of</w:t>
      </w:r>
      <w:r w:rsidR="00594D7A" w:rsidRPr="00594D7A">
        <w:rPr>
          <w:sz w:val="18"/>
          <w:szCs w:val="18"/>
        </w:rPr>
        <w:t xml:space="preserve"> November 26, 2025 </w:t>
      </w:r>
      <w:hyperlink r:id="rId14" w:tgtFrame="_blank" w:history="1">
        <w:r w:rsidR="00594D7A" w:rsidRPr="00594D7A">
          <w:rPr>
            <w:rStyle w:val="Hyperlink"/>
            <w:sz w:val="18"/>
            <w:szCs w:val="18"/>
          </w:rPr>
          <w:t>No. 1527</w:t>
        </w:r>
      </w:hyperlink>
      <w:r w:rsidR="00594D7A" w:rsidRPr="00594D7A">
        <w:rPr>
          <w:sz w:val="18"/>
          <w:szCs w:val="18"/>
        </w:rPr>
        <w:t> “Some issues of submitting business plans to obtain financial state support” </w:t>
      </w:r>
      <w:hyperlink r:id="rId15" w:history="1">
        <w:r w:rsidR="002D2521" w:rsidRPr="00CE6965">
          <w:rPr>
            <w:rStyle w:val="Hyperlink"/>
            <w:sz w:val="18"/>
            <w:szCs w:val="18"/>
          </w:rPr>
          <w:t>https://zakon.rada.gov.ua/laws/show/616-2026-%D0%BF?lang=en</w:t>
        </w:r>
      </w:hyperlink>
      <w:r w:rsidR="002D2521">
        <w:rPr>
          <w:sz w:val="18"/>
          <w:szCs w:val="18"/>
        </w:rPr>
        <w:t xml:space="preserve"> </w:t>
      </w:r>
      <w:r w:rsidR="0012304C">
        <w:rPr>
          <w:sz w:val="18"/>
          <w:szCs w:val="18"/>
        </w:rPr>
        <w:t xml:space="preserve">(in </w:t>
      </w:r>
      <w:r w:rsidR="00033A6D">
        <w:rPr>
          <w:sz w:val="18"/>
          <w:szCs w:val="18"/>
        </w:rPr>
        <w:t>Ukrainian</w:t>
      </w:r>
      <w:r w:rsidR="0012304C">
        <w:rPr>
          <w:sz w:val="18"/>
          <w:szCs w:val="18"/>
        </w:rPr>
        <w:t>).</w:t>
      </w:r>
      <w:r w:rsidR="002D2521">
        <w:rPr>
          <w:sz w:val="18"/>
          <w:szCs w:val="18"/>
        </w:rPr>
        <w:t xml:space="preserve"> </w:t>
      </w:r>
    </w:p>
  </w:footnote>
  <w:footnote w:id="14">
    <w:p w14:paraId="1B56125C" w14:textId="7A5EAAA8" w:rsidR="009F06FB" w:rsidRPr="009F06FB" w:rsidRDefault="009F06FB" w:rsidP="00CE6965">
      <w:pPr>
        <w:pStyle w:val="FootnoteText"/>
        <w:ind w:left="0"/>
      </w:pPr>
      <w:r w:rsidRPr="00CE6965">
        <w:rPr>
          <w:rStyle w:val="FootnoteReference"/>
          <w:sz w:val="18"/>
          <w:szCs w:val="18"/>
        </w:rPr>
        <w:footnoteRef/>
      </w:r>
      <w:r w:rsidRPr="00CE6965">
        <w:rPr>
          <w:sz w:val="18"/>
          <w:szCs w:val="18"/>
        </w:rPr>
        <w:t xml:space="preserve"> </w:t>
      </w:r>
      <w:r w:rsidR="00033A6D">
        <w:rPr>
          <w:sz w:val="18"/>
          <w:szCs w:val="18"/>
        </w:rPr>
        <w:t>Ministry of Economy, Environment and Agriculture of Ukraine, “Own Business – Updated: More Support for Starting, Developing and Scaling a Business</w:t>
      </w:r>
      <w:r>
        <w:rPr>
          <w:sz w:val="18"/>
          <w:szCs w:val="18"/>
        </w:rPr>
        <w:t xml:space="preserve"> </w:t>
      </w:r>
      <w:hyperlink r:id="rId16" w:history="1">
        <w:r w:rsidR="002D2521" w:rsidRPr="00CE6965">
          <w:rPr>
            <w:rStyle w:val="Hyperlink"/>
            <w:sz w:val="18"/>
            <w:szCs w:val="18"/>
          </w:rPr>
          <w:t>https://me.gov.ua/News/Detail/ec3dcfc0-318d-4c9a-aeec-c817978e7d3b?lang=uk-UA&amp;title=VlasnaSprava</w:t>
        </w:r>
      </w:hyperlink>
      <w:r w:rsidR="002D2521">
        <w:rPr>
          <w:sz w:val="18"/>
          <w:szCs w:val="18"/>
        </w:rPr>
        <w:t xml:space="preserve"> </w:t>
      </w:r>
      <w:r w:rsidR="00EB6900">
        <w:rPr>
          <w:sz w:val="18"/>
          <w:szCs w:val="18"/>
        </w:rPr>
        <w:t>(in Ukrainian).</w:t>
      </w:r>
    </w:p>
  </w:footnote>
  <w:footnote w:id="15">
    <w:p w14:paraId="5D4267CD" w14:textId="7171B75D" w:rsidR="00C844FA" w:rsidRDefault="00C844FA" w:rsidP="00C844FA">
      <w:pPr>
        <w:pStyle w:val="FootnoteText"/>
        <w:ind w:left="0"/>
      </w:pPr>
      <w:r w:rsidRPr="009355A8">
        <w:rPr>
          <w:rStyle w:val="FootnoteReference"/>
          <w:sz w:val="18"/>
          <w:szCs w:val="18"/>
        </w:rPr>
        <w:footnoteRef/>
      </w:r>
      <w:r w:rsidRPr="009355A8">
        <w:rPr>
          <w:sz w:val="18"/>
          <w:szCs w:val="18"/>
        </w:rPr>
        <w:t xml:space="preserve"> </w:t>
      </w:r>
      <w:r w:rsidRPr="0099657B">
        <w:rPr>
          <w:sz w:val="18"/>
          <w:szCs w:val="18"/>
        </w:rPr>
        <w:t>UNDP, “Ukraine Annual Report 2025: Resilient Recovery and Inclusive Development”, April 2026</w:t>
      </w:r>
      <w:r w:rsidR="00153233">
        <w:rPr>
          <w:sz w:val="18"/>
          <w:szCs w:val="18"/>
        </w:rPr>
        <w:t>.</w:t>
      </w:r>
      <w:r w:rsidRPr="0099657B">
        <w:rPr>
          <w:sz w:val="18"/>
          <w:szCs w:val="18"/>
        </w:rPr>
        <w:t xml:space="preserve"> </w:t>
      </w:r>
      <w:hyperlink r:id="rId17" w:history="1">
        <w:r w:rsidRPr="0099657B">
          <w:rPr>
            <w:rStyle w:val="Hyperlink"/>
            <w:sz w:val="18"/>
            <w:szCs w:val="18"/>
          </w:rPr>
          <w:t>https://www.undp.org/ukraine/publications/undp-ukraine-annual-report-2025</w:t>
        </w:r>
        <w:bookmarkStart w:id="35" w:name="_Hlt230690384"/>
        <w:bookmarkStart w:id="36" w:name="_Hlt230690385"/>
        <w:r w:rsidRPr="0099657B">
          <w:rPr>
            <w:rStyle w:val="Hyperlink"/>
            <w:sz w:val="18"/>
            <w:szCs w:val="18"/>
          </w:rPr>
          <w:t>-</w:t>
        </w:r>
        <w:bookmarkEnd w:id="35"/>
        <w:bookmarkEnd w:id="36"/>
        <w:r w:rsidRPr="0099657B">
          <w:rPr>
            <w:rStyle w:val="Hyperlink"/>
            <w:sz w:val="18"/>
            <w:szCs w:val="18"/>
          </w:rPr>
          <w:t>resilient-recovery-and-inclusive-development</w:t>
        </w:r>
      </w:hyperlink>
      <w:r w:rsidRPr="0099657B">
        <w:rPr>
          <w:sz w:val="18"/>
          <w:szCs w:val="18"/>
        </w:rPr>
        <w:t xml:space="preserve">  </w:t>
      </w:r>
    </w:p>
  </w:footnote>
  <w:footnote w:id="16">
    <w:p w14:paraId="50852ED4" w14:textId="37A1BEEF" w:rsidR="004C1F31" w:rsidRPr="0099657B" w:rsidRDefault="004C1F31" w:rsidP="0099657B">
      <w:pPr>
        <w:pStyle w:val="FootnoteText"/>
        <w:ind w:left="0"/>
        <w:rPr>
          <w:sz w:val="18"/>
          <w:szCs w:val="18"/>
        </w:rPr>
      </w:pPr>
      <w:r w:rsidRPr="0099657B">
        <w:rPr>
          <w:rStyle w:val="FootnoteReference"/>
          <w:sz w:val="18"/>
          <w:szCs w:val="18"/>
        </w:rPr>
        <w:footnoteRef/>
      </w:r>
      <w:r w:rsidRPr="0099657B">
        <w:rPr>
          <w:sz w:val="18"/>
          <w:szCs w:val="18"/>
        </w:rPr>
        <w:t xml:space="preserve"> </w:t>
      </w:r>
      <w:r w:rsidR="004036EC">
        <w:rPr>
          <w:sz w:val="18"/>
          <w:szCs w:val="18"/>
        </w:rPr>
        <w:t>OECD</w:t>
      </w:r>
      <w:r w:rsidR="00A76601" w:rsidRPr="00A76601">
        <w:rPr>
          <w:sz w:val="18"/>
          <w:szCs w:val="18"/>
        </w:rPr>
        <w:t xml:space="preserve"> (2025), </w:t>
      </w:r>
      <w:r w:rsidR="004036EC" w:rsidRPr="00A76601">
        <w:rPr>
          <w:i/>
          <w:sz w:val="18"/>
          <w:szCs w:val="18"/>
        </w:rPr>
        <w:t>OECD Economic Surveys: Ukraine 2025</w:t>
      </w:r>
      <w:r w:rsidR="00A76601" w:rsidRPr="00A76601">
        <w:rPr>
          <w:sz w:val="18"/>
          <w:szCs w:val="18"/>
        </w:rPr>
        <w:t>,</w:t>
      </w:r>
      <w:r w:rsidR="00007443">
        <w:rPr>
          <w:sz w:val="18"/>
          <w:szCs w:val="18"/>
        </w:rPr>
        <w:t xml:space="preserve"> </w:t>
      </w:r>
      <w:r w:rsidR="00A16B63">
        <w:rPr>
          <w:sz w:val="18"/>
          <w:szCs w:val="18"/>
        </w:rPr>
        <w:t>OECD Publishing,</w:t>
      </w:r>
      <w:r w:rsidR="008E5486" w:rsidRPr="00A76601">
        <w:rPr>
          <w:sz w:val="18"/>
          <w:szCs w:val="18"/>
        </w:rPr>
        <w:t xml:space="preserve"> </w:t>
      </w:r>
      <w:r w:rsidR="00A76601" w:rsidRPr="00A76601">
        <w:rPr>
          <w:sz w:val="18"/>
          <w:szCs w:val="18"/>
        </w:rPr>
        <w:t>Paris</w:t>
      </w:r>
      <w:r w:rsidR="004036EC" w:rsidRPr="00A76601">
        <w:rPr>
          <w:sz w:val="18"/>
          <w:szCs w:val="18"/>
        </w:rPr>
        <w:t>,</w:t>
      </w:r>
      <w:r w:rsidR="004036EC">
        <w:rPr>
          <w:sz w:val="18"/>
          <w:szCs w:val="18"/>
        </w:rPr>
        <w:t xml:space="preserve"> </w:t>
      </w:r>
      <w:hyperlink r:id="rId18" w:history="1">
        <w:r w:rsidR="008E5486" w:rsidRPr="00B007E0">
          <w:rPr>
            <w:rStyle w:val="Hyperlink"/>
            <w:i/>
            <w:iCs/>
            <w:sz w:val="18"/>
            <w:szCs w:val="18"/>
          </w:rPr>
          <w:t>https://doi.org/10.1787/940cee85-en</w:t>
        </w:r>
      </w:hyperlink>
      <w:r w:rsidR="008E5486">
        <w:rPr>
          <w:i/>
          <w:iCs/>
          <w:sz w:val="18"/>
          <w:szCs w:val="18"/>
        </w:rPr>
        <w:t xml:space="preserve"> </w:t>
      </w:r>
      <w:r w:rsidR="00007443">
        <w:rPr>
          <w:i/>
          <w:iCs/>
          <w:sz w:val="18"/>
          <w:szCs w:val="18"/>
        </w:rPr>
        <w:t xml:space="preserve"> </w:t>
      </w:r>
      <w:r w:rsidR="00054956">
        <w:rPr>
          <w:sz w:val="18"/>
          <w:szCs w:val="18"/>
        </w:rPr>
        <w:t xml:space="preserve">and </w:t>
      </w:r>
      <w:r w:rsidR="00394458">
        <w:rPr>
          <w:sz w:val="18"/>
          <w:szCs w:val="18"/>
        </w:rPr>
        <w:t xml:space="preserve">OECD </w:t>
      </w:r>
      <w:r w:rsidR="00463C20" w:rsidRPr="00463C20">
        <w:rPr>
          <w:sz w:val="18"/>
          <w:szCs w:val="18"/>
        </w:rPr>
        <w:t>(2026),</w:t>
      </w:r>
      <w:r w:rsidR="00A97827">
        <w:rPr>
          <w:sz w:val="18"/>
          <w:szCs w:val="18"/>
        </w:rPr>
        <w:t xml:space="preserve"> </w:t>
      </w:r>
      <w:r w:rsidR="007D61F0">
        <w:rPr>
          <w:sz w:val="18"/>
          <w:szCs w:val="18"/>
        </w:rPr>
        <w:t>“</w:t>
      </w:r>
      <w:r w:rsidR="00CC3A10" w:rsidRPr="00463C20">
        <w:rPr>
          <w:sz w:val="18"/>
          <w:szCs w:val="18"/>
        </w:rPr>
        <w:t>Supporting Ukraine to design and implement more efficient investment incentive policie</w:t>
      </w:r>
      <w:r w:rsidR="00CC3A10">
        <w:rPr>
          <w:sz w:val="18"/>
          <w:szCs w:val="18"/>
        </w:rPr>
        <w:t>s</w:t>
      </w:r>
      <w:r w:rsidR="007D61F0" w:rsidRPr="00463C20">
        <w:rPr>
          <w:sz w:val="18"/>
          <w:szCs w:val="18"/>
        </w:rPr>
        <w:t>”</w:t>
      </w:r>
      <w:r w:rsidR="008E5486" w:rsidRPr="00463C20">
        <w:rPr>
          <w:sz w:val="18"/>
          <w:szCs w:val="18"/>
        </w:rPr>
        <w:t>,</w:t>
      </w:r>
      <w:r w:rsidR="00463C20" w:rsidRPr="00463C20">
        <w:rPr>
          <w:sz w:val="18"/>
          <w:szCs w:val="18"/>
        </w:rPr>
        <w:t> </w:t>
      </w:r>
      <w:r w:rsidR="00463C20" w:rsidRPr="00463C20">
        <w:rPr>
          <w:i/>
          <w:iCs/>
          <w:sz w:val="18"/>
          <w:szCs w:val="18"/>
        </w:rPr>
        <w:t>OECD Business and Finance Policy Papers</w:t>
      </w:r>
      <w:r w:rsidR="00463C20" w:rsidRPr="00463C20">
        <w:rPr>
          <w:sz w:val="18"/>
          <w:szCs w:val="18"/>
        </w:rPr>
        <w:t>, No. 99, OECD Publishing, Paris</w:t>
      </w:r>
      <w:r w:rsidR="00A7763B">
        <w:rPr>
          <w:sz w:val="18"/>
          <w:szCs w:val="18"/>
        </w:rPr>
        <w:t>.</w:t>
      </w:r>
      <w:r w:rsidR="00CC3A10">
        <w:rPr>
          <w:i/>
          <w:iCs/>
          <w:sz w:val="18"/>
          <w:szCs w:val="18"/>
        </w:rPr>
        <w:t xml:space="preserve"> </w:t>
      </w:r>
      <w:hyperlink r:id="rId19" w:history="1">
        <w:r w:rsidR="00394458" w:rsidRPr="00394458">
          <w:rPr>
            <w:rStyle w:val="Hyperlink"/>
            <w:i/>
            <w:iCs/>
            <w:sz w:val="18"/>
            <w:szCs w:val="18"/>
          </w:rPr>
          <w:t>https://doi.org/10.1787/49f00bcb-en</w:t>
        </w:r>
      </w:hyperlink>
      <w:r w:rsidR="00394458" w:rsidRPr="00394458">
        <w:rPr>
          <w:i/>
          <w:iCs/>
          <w:sz w:val="18"/>
          <w:szCs w:val="18"/>
        </w:rPr>
        <w:t>.</w:t>
      </w:r>
    </w:p>
  </w:footnote>
  <w:footnote w:id="17">
    <w:p w14:paraId="34E5956E" w14:textId="0E31BCFC" w:rsidR="00162EF4" w:rsidRDefault="00162EF4" w:rsidP="0099657B">
      <w:pPr>
        <w:pStyle w:val="FootnoteText"/>
        <w:ind w:left="0"/>
      </w:pPr>
      <w:r w:rsidRPr="0099657B">
        <w:rPr>
          <w:rStyle w:val="FootnoteReference"/>
          <w:sz w:val="18"/>
          <w:szCs w:val="18"/>
        </w:rPr>
        <w:footnoteRef/>
      </w:r>
      <w:r w:rsidR="005F72A8" w:rsidRPr="0099657B">
        <w:rPr>
          <w:sz w:val="18"/>
          <w:szCs w:val="18"/>
        </w:rPr>
        <w:t xml:space="preserve"> European Innovation Council and SMEs Executive Agency,</w:t>
      </w:r>
      <w:r w:rsidRPr="0099657B">
        <w:rPr>
          <w:sz w:val="18"/>
          <w:szCs w:val="18"/>
        </w:rPr>
        <w:t xml:space="preserve"> </w:t>
      </w:r>
      <w:r w:rsidR="00540937">
        <w:rPr>
          <w:sz w:val="18"/>
          <w:szCs w:val="18"/>
        </w:rPr>
        <w:t>“</w:t>
      </w:r>
      <w:r w:rsidR="005F72A8" w:rsidRPr="0099657B">
        <w:rPr>
          <w:sz w:val="18"/>
          <w:szCs w:val="18"/>
        </w:rPr>
        <w:t>The European Innovation Council expands support for Ukrainian tech SMEs and start-ups through new funding initiative</w:t>
      </w:r>
      <w:r w:rsidR="00540937">
        <w:rPr>
          <w:sz w:val="18"/>
          <w:szCs w:val="18"/>
        </w:rPr>
        <w:t>”</w:t>
      </w:r>
      <w:r w:rsidR="005F72A8" w:rsidRPr="0099657B">
        <w:rPr>
          <w:sz w:val="18"/>
          <w:szCs w:val="18"/>
        </w:rPr>
        <w:t xml:space="preserve">, </w:t>
      </w:r>
      <w:r w:rsidR="00540937">
        <w:rPr>
          <w:sz w:val="18"/>
          <w:szCs w:val="18"/>
        </w:rPr>
        <w:t xml:space="preserve">July 2025. </w:t>
      </w:r>
      <w:hyperlink r:id="rId20" w:history="1">
        <w:r w:rsidR="00540937" w:rsidRPr="00540937">
          <w:rPr>
            <w:rStyle w:val="Hyperlink"/>
            <w:sz w:val="18"/>
            <w:szCs w:val="18"/>
          </w:rPr>
          <w:t>https://eic.ec.europa.eu/news/european-innovation-council-expands-support-ukrainian-tech-smes-and-start-ups-through-new-funding-2025-07-17_en</w:t>
        </w:r>
      </w:hyperlink>
      <w:r w:rsidR="00540937">
        <w:rPr>
          <w:sz w:val="18"/>
          <w:szCs w:val="18"/>
        </w:rPr>
        <w:t xml:space="preserve"> </w:t>
      </w:r>
    </w:p>
  </w:footnote>
  <w:footnote w:id="18">
    <w:p w14:paraId="3183BEB0" w14:textId="1C7DBC7D" w:rsidR="001C12B4" w:rsidRPr="00C73F75" w:rsidRDefault="001C12B4" w:rsidP="00AA3F62">
      <w:pPr>
        <w:pStyle w:val="FootnoteText"/>
        <w:ind w:left="0"/>
        <w:rPr>
          <w:sz w:val="16"/>
          <w:szCs w:val="16"/>
        </w:rPr>
      </w:pPr>
      <w:r w:rsidRPr="00C73F75">
        <w:rPr>
          <w:rStyle w:val="FootnoteReference"/>
          <w:sz w:val="18"/>
          <w:szCs w:val="18"/>
        </w:rPr>
        <w:footnoteRef/>
      </w:r>
      <w:r w:rsidRPr="00C73F75">
        <w:rPr>
          <w:sz w:val="18"/>
          <w:szCs w:val="18"/>
        </w:rPr>
        <w:t xml:space="preserve"> </w:t>
      </w:r>
      <w:r w:rsidR="007B3430">
        <w:rPr>
          <w:sz w:val="18"/>
          <w:szCs w:val="18"/>
        </w:rPr>
        <w:t>European Innovation Council</w:t>
      </w:r>
      <w:r w:rsidR="00A311D3">
        <w:rPr>
          <w:sz w:val="18"/>
          <w:szCs w:val="18"/>
        </w:rPr>
        <w:t xml:space="preserve"> and SMEs Executive Agency</w:t>
      </w:r>
      <w:r w:rsidR="007B3430">
        <w:rPr>
          <w:sz w:val="18"/>
          <w:szCs w:val="18"/>
        </w:rPr>
        <w:t>,</w:t>
      </w:r>
      <w:r w:rsidR="00A311D3">
        <w:rPr>
          <w:sz w:val="18"/>
          <w:szCs w:val="18"/>
        </w:rPr>
        <w:t xml:space="preserve"> “Commission boosts support to Ukrainian deep tech innovators”,</w:t>
      </w:r>
      <w:r w:rsidR="007B3430">
        <w:rPr>
          <w:sz w:val="18"/>
          <w:szCs w:val="18"/>
        </w:rPr>
        <w:t xml:space="preserve"> </w:t>
      </w:r>
      <w:r w:rsidR="00A311D3">
        <w:rPr>
          <w:sz w:val="18"/>
          <w:szCs w:val="18"/>
        </w:rPr>
        <w:t>April 2026.</w:t>
      </w:r>
      <w:r w:rsidR="00A311D3">
        <w:rPr>
          <w:sz w:val="18"/>
          <w:szCs w:val="18"/>
        </w:rPr>
        <w:br/>
      </w:r>
      <w:hyperlink r:id="rId21" w:history="1">
        <w:r w:rsidR="00A311D3" w:rsidRPr="00B007E0">
          <w:rPr>
            <w:rStyle w:val="Hyperlink"/>
            <w:sz w:val="18"/>
            <w:szCs w:val="18"/>
          </w:rPr>
          <w:t>https://eic.ec.europa.eu/news/commission-boosts-support-ukrainian-deep-tech-innovators-2026-04-01_en</w:t>
        </w:r>
      </w:hyperlink>
      <w:r w:rsidR="00A311D3">
        <w:rPr>
          <w:sz w:val="18"/>
          <w:szCs w:val="18"/>
        </w:rPr>
        <w:t xml:space="preserve"> </w:t>
      </w:r>
      <w:r w:rsidR="007B3430">
        <w:rPr>
          <w:sz w:val="18"/>
          <w:szCs w:val="18"/>
        </w:rPr>
        <w:t xml:space="preserve"> </w:t>
      </w:r>
    </w:p>
  </w:footnote>
  <w:footnote w:id="19">
    <w:p w14:paraId="1367F59E" w14:textId="1AAB3783" w:rsidR="00FB0E39" w:rsidRPr="009355A8" w:rsidRDefault="00FB0E39" w:rsidP="009355A8">
      <w:pPr>
        <w:pStyle w:val="FootnoteText"/>
        <w:ind w:left="0"/>
        <w:rPr>
          <w:sz w:val="18"/>
          <w:szCs w:val="18"/>
        </w:rPr>
      </w:pPr>
      <w:r w:rsidRPr="009355A8">
        <w:rPr>
          <w:rStyle w:val="FootnoteReference"/>
          <w:sz w:val="18"/>
          <w:szCs w:val="18"/>
        </w:rPr>
        <w:footnoteRef/>
      </w:r>
      <w:r w:rsidRPr="009355A8">
        <w:rPr>
          <w:sz w:val="18"/>
          <w:szCs w:val="18"/>
        </w:rPr>
        <w:t xml:space="preserve"> Ministry of Education and Science of Ukraine</w:t>
      </w:r>
      <w:r w:rsidR="00400121" w:rsidRPr="009355A8">
        <w:rPr>
          <w:sz w:val="18"/>
          <w:szCs w:val="18"/>
        </w:rPr>
        <w:t>,</w:t>
      </w:r>
      <w:r w:rsidRPr="009355A8">
        <w:rPr>
          <w:sz w:val="18"/>
          <w:szCs w:val="18"/>
        </w:rPr>
        <w:t xml:space="preserve"> Save</w:t>
      </w:r>
      <w:r w:rsidR="00B1701F" w:rsidRPr="009355A8">
        <w:rPr>
          <w:sz w:val="18"/>
          <w:szCs w:val="18"/>
        </w:rPr>
        <w:t xml:space="preserve"> </w:t>
      </w:r>
      <w:r w:rsidRPr="009355A8">
        <w:rPr>
          <w:sz w:val="18"/>
          <w:szCs w:val="18"/>
        </w:rPr>
        <w:t>Schools</w:t>
      </w:r>
      <w:r w:rsidR="00D55455" w:rsidRPr="009355A8">
        <w:rPr>
          <w:sz w:val="18"/>
          <w:szCs w:val="18"/>
        </w:rPr>
        <w:t>.</w:t>
      </w:r>
      <w:r w:rsidRPr="009355A8">
        <w:rPr>
          <w:sz w:val="18"/>
          <w:szCs w:val="18"/>
        </w:rPr>
        <w:t xml:space="preserve"> </w:t>
      </w:r>
      <w:hyperlink r:id="rId22" w:history="1">
        <w:r w:rsidRPr="009355A8">
          <w:rPr>
            <w:rStyle w:val="Hyperlink"/>
            <w:sz w:val="18"/>
            <w:szCs w:val="18"/>
          </w:rPr>
          <w:t>https://saveschools.in.ua/en/</w:t>
        </w:r>
      </w:hyperlink>
    </w:p>
  </w:footnote>
  <w:footnote w:id="20">
    <w:p w14:paraId="22ADA75D" w14:textId="26E50647" w:rsidR="00945648" w:rsidRPr="009355A8" w:rsidRDefault="00945648" w:rsidP="009355A8">
      <w:pPr>
        <w:pStyle w:val="FootnoteText"/>
        <w:ind w:left="0"/>
        <w:rPr>
          <w:sz w:val="18"/>
          <w:szCs w:val="18"/>
        </w:rPr>
      </w:pPr>
      <w:r w:rsidRPr="009355A8">
        <w:rPr>
          <w:rStyle w:val="FootnoteReference"/>
          <w:sz w:val="18"/>
          <w:szCs w:val="18"/>
        </w:rPr>
        <w:footnoteRef/>
      </w:r>
      <w:r w:rsidRPr="009355A8">
        <w:rPr>
          <w:sz w:val="18"/>
          <w:szCs w:val="18"/>
        </w:rPr>
        <w:t xml:space="preserve"> </w:t>
      </w:r>
      <w:r w:rsidR="006E5071" w:rsidRPr="009355A8">
        <w:rPr>
          <w:sz w:val="18"/>
          <w:szCs w:val="18"/>
        </w:rPr>
        <w:t>UNICEF</w:t>
      </w:r>
      <w:r w:rsidR="00551C99" w:rsidRPr="009355A8">
        <w:rPr>
          <w:sz w:val="18"/>
          <w:szCs w:val="18"/>
        </w:rPr>
        <w:t>, “</w:t>
      </w:r>
      <w:r w:rsidR="006E5071" w:rsidRPr="009355A8">
        <w:rPr>
          <w:sz w:val="18"/>
          <w:szCs w:val="18"/>
        </w:rPr>
        <w:t>More than 340 educational facilities damaged or destroyed in Ukraine this year</w:t>
      </w:r>
      <w:r w:rsidR="00551C99" w:rsidRPr="009355A8">
        <w:rPr>
          <w:sz w:val="18"/>
          <w:szCs w:val="18"/>
        </w:rPr>
        <w:t>”, Press Release, November 2025.</w:t>
      </w:r>
      <w:r w:rsidR="006E5071" w:rsidRPr="009355A8">
        <w:rPr>
          <w:sz w:val="18"/>
          <w:szCs w:val="18"/>
        </w:rPr>
        <w:t xml:space="preserve"> </w:t>
      </w:r>
      <w:hyperlink r:id="rId23" w:history="1">
        <w:r w:rsidR="006E5071" w:rsidRPr="009355A8">
          <w:rPr>
            <w:rStyle w:val="Hyperlink"/>
            <w:sz w:val="18"/>
            <w:szCs w:val="18"/>
          </w:rPr>
          <w:t>https://www.unicef.org/ukraine/en/press-releases/more-340-educational-facilities-damaged-or-destroyed-ukraine-year</w:t>
        </w:r>
      </w:hyperlink>
    </w:p>
  </w:footnote>
  <w:footnote w:id="21">
    <w:p w14:paraId="1FFD9762" w14:textId="0367F1FC" w:rsidR="0094296B" w:rsidRDefault="0094296B" w:rsidP="009355A8">
      <w:pPr>
        <w:pStyle w:val="FootnoteText"/>
        <w:ind w:left="0"/>
      </w:pPr>
      <w:r w:rsidRPr="009355A8">
        <w:rPr>
          <w:rStyle w:val="FootnoteReference"/>
          <w:sz w:val="18"/>
          <w:szCs w:val="18"/>
        </w:rPr>
        <w:footnoteRef/>
      </w:r>
      <w:r w:rsidRPr="009355A8">
        <w:rPr>
          <w:sz w:val="18"/>
          <w:szCs w:val="18"/>
        </w:rPr>
        <w:t xml:space="preserve"> UNESCO, "Resilient Minds: The Unseen Struggles of Scientists in Wartime Ukraine"</w:t>
      </w:r>
      <w:r>
        <w:rPr>
          <w:sz w:val="18"/>
          <w:szCs w:val="18"/>
        </w:rPr>
        <w:t xml:space="preserve">, </w:t>
      </w:r>
      <w:r w:rsidRPr="009355A8">
        <w:rPr>
          <w:sz w:val="18"/>
          <w:szCs w:val="18"/>
        </w:rPr>
        <w:t>July 2025</w:t>
      </w:r>
      <w:r w:rsidR="003257BF">
        <w:rPr>
          <w:sz w:val="18"/>
          <w:szCs w:val="18"/>
        </w:rPr>
        <w:t>.</w:t>
      </w:r>
      <w:r w:rsidR="003257BF" w:rsidRPr="009355A8">
        <w:rPr>
          <w:sz w:val="18"/>
          <w:szCs w:val="18"/>
        </w:rPr>
        <w:t xml:space="preserve"> </w:t>
      </w:r>
      <w:hyperlink r:id="rId24" w:history="1">
        <w:r w:rsidRPr="009355A8">
          <w:rPr>
            <w:rStyle w:val="Hyperlink"/>
            <w:sz w:val="18"/>
            <w:szCs w:val="18"/>
          </w:rPr>
          <w:t>https://www.unesco.org/en/articles/just-published-resilient-minds-unseen-struggles-scientists-wartime-ukraine</w:t>
        </w:r>
      </w:hyperlink>
    </w:p>
  </w:footnote>
  <w:footnote w:id="22">
    <w:p w14:paraId="26837905" w14:textId="2FF58A1D" w:rsidR="00257A31" w:rsidRDefault="00257A31" w:rsidP="009355A8">
      <w:pPr>
        <w:pStyle w:val="FootnoteText"/>
        <w:ind w:left="0"/>
      </w:pPr>
      <w:r w:rsidRPr="009355A8">
        <w:rPr>
          <w:rStyle w:val="FootnoteReference"/>
          <w:sz w:val="18"/>
          <w:szCs w:val="18"/>
        </w:rPr>
        <w:footnoteRef/>
      </w:r>
      <w:r w:rsidRPr="009355A8">
        <w:rPr>
          <w:sz w:val="18"/>
          <w:szCs w:val="18"/>
        </w:rPr>
        <w:t xml:space="preserve"> </w:t>
      </w:r>
      <w:r>
        <w:rPr>
          <w:sz w:val="18"/>
          <w:szCs w:val="18"/>
        </w:rPr>
        <w:t xml:space="preserve">The Rome Declaration of Intent for Science, Research and Innovation in Ukraine, </w:t>
      </w:r>
      <w:r w:rsidR="006B0CF3">
        <w:rPr>
          <w:sz w:val="18"/>
          <w:szCs w:val="18"/>
        </w:rPr>
        <w:t xml:space="preserve">July 2025. </w:t>
      </w:r>
      <w:hyperlink r:id="rId25" w:history="1">
        <w:r w:rsidRPr="000B0F5A">
          <w:rPr>
            <w:rStyle w:val="Hyperlink"/>
            <w:sz w:val="18"/>
            <w:szCs w:val="18"/>
          </w:rPr>
          <w:t>https://www.mur.gov.it/sites/default/files/2025-07/RI%20Coalition%20for%20Ukraine%20-%20Declaration%2010072025_online%20version.pdf</w:t>
        </w:r>
      </w:hyperlink>
      <w:r>
        <w:rPr>
          <w:sz w:val="18"/>
          <w:szCs w:val="18"/>
        </w:rPr>
        <w:t xml:space="preserve"> </w:t>
      </w:r>
    </w:p>
  </w:footnote>
  <w:footnote w:id="23">
    <w:p w14:paraId="386BFA91" w14:textId="6329B045" w:rsidR="008D1EDF" w:rsidRPr="009355A8" w:rsidRDefault="008D1EDF" w:rsidP="009355A8">
      <w:pPr>
        <w:pStyle w:val="FootnoteText"/>
        <w:ind w:left="0"/>
        <w:rPr>
          <w:sz w:val="18"/>
          <w:szCs w:val="18"/>
        </w:rPr>
      </w:pPr>
      <w:r w:rsidRPr="009355A8">
        <w:rPr>
          <w:rStyle w:val="FootnoteReference"/>
          <w:sz w:val="18"/>
          <w:szCs w:val="18"/>
        </w:rPr>
        <w:footnoteRef/>
      </w:r>
      <w:r w:rsidRPr="009355A8">
        <w:rPr>
          <w:sz w:val="18"/>
          <w:szCs w:val="18"/>
        </w:rPr>
        <w:t xml:space="preserve"> </w:t>
      </w:r>
      <w:r w:rsidRPr="00CB012F">
        <w:rPr>
          <w:sz w:val="18"/>
          <w:szCs w:val="18"/>
        </w:rPr>
        <w:t xml:space="preserve">UNESCO, “Building a Robust Science Ecosystem in Ukraine: UNESCO’s Action Plan for Sciences”, June 2025. </w:t>
      </w:r>
      <w:hyperlink r:id="rId26" w:history="1">
        <w:r w:rsidRPr="00CB012F">
          <w:rPr>
            <w:rStyle w:val="Hyperlink"/>
            <w:sz w:val="18"/>
            <w:szCs w:val="18"/>
          </w:rPr>
          <w:t>https://www.unesco.org/sites/default/files/medias/fichiers/2025/07/UNESCO%E2%80%99s%20Action%20Plan%20For%20Sciences.pdf</w:t>
        </w:r>
      </w:hyperlink>
    </w:p>
  </w:footnote>
  <w:footnote w:id="24">
    <w:p w14:paraId="5888B9DD" w14:textId="5713AE31" w:rsidR="00243C22" w:rsidRPr="001E542E" w:rsidRDefault="00243C22" w:rsidP="001E542E">
      <w:pPr>
        <w:pStyle w:val="FootnoteText"/>
        <w:ind w:left="0"/>
        <w:rPr>
          <w:sz w:val="18"/>
          <w:szCs w:val="18"/>
        </w:rPr>
      </w:pPr>
      <w:r w:rsidRPr="00545FFC">
        <w:rPr>
          <w:rStyle w:val="FootnoteReference"/>
          <w:sz w:val="18"/>
          <w:szCs w:val="18"/>
        </w:rPr>
        <w:footnoteRef/>
      </w:r>
      <w:r w:rsidR="00312C2D">
        <w:rPr>
          <w:sz w:val="18"/>
          <w:szCs w:val="18"/>
        </w:rPr>
        <w:t xml:space="preserve"> Ministry of Culture of Ukraine, </w:t>
      </w:r>
      <w:r w:rsidR="00505407">
        <w:rPr>
          <w:sz w:val="18"/>
          <w:szCs w:val="18"/>
        </w:rPr>
        <w:t>Destruction of</w:t>
      </w:r>
      <w:r w:rsidR="00CC66B4" w:rsidRPr="00CC66B4">
        <w:rPr>
          <w:sz w:val="18"/>
          <w:szCs w:val="18"/>
        </w:rPr>
        <w:t xml:space="preserve"> cultural heritage</w:t>
      </w:r>
      <w:r w:rsidR="00312C2D">
        <w:rPr>
          <w:sz w:val="18"/>
          <w:szCs w:val="18"/>
        </w:rPr>
        <w:t>, May 2026.</w:t>
      </w:r>
      <w:r w:rsidRPr="001E542E">
        <w:rPr>
          <w:sz w:val="18"/>
          <w:szCs w:val="18"/>
          <w:lang w:val="uk-UA"/>
        </w:rPr>
        <w:t xml:space="preserve"> </w:t>
      </w:r>
      <w:hyperlink r:id="rId27" w:history="1">
        <w:r w:rsidR="0050099E" w:rsidRPr="001E542E">
          <w:rPr>
            <w:rStyle w:val="Hyperlink"/>
            <w:sz w:val="18"/>
            <w:szCs w:val="18"/>
          </w:rPr>
          <w:t>https</w:t>
        </w:r>
        <w:r w:rsidR="0050099E" w:rsidRPr="001E542E">
          <w:rPr>
            <w:rStyle w:val="Hyperlink"/>
            <w:sz w:val="18"/>
            <w:szCs w:val="18"/>
            <w:lang w:val="uk-UA"/>
          </w:rPr>
          <w:t>://</w:t>
        </w:r>
        <w:proofErr w:type="spellStart"/>
        <w:r w:rsidR="0050099E" w:rsidRPr="001E542E">
          <w:rPr>
            <w:rStyle w:val="Hyperlink"/>
            <w:sz w:val="18"/>
            <w:szCs w:val="18"/>
          </w:rPr>
          <w:t>mincult</w:t>
        </w:r>
        <w:proofErr w:type="spellEnd"/>
        <w:r w:rsidR="0050099E" w:rsidRPr="001E542E">
          <w:rPr>
            <w:rStyle w:val="Hyperlink"/>
            <w:sz w:val="18"/>
            <w:szCs w:val="18"/>
            <w:lang w:val="uk-UA"/>
          </w:rPr>
          <w:t>.</w:t>
        </w:r>
        <w:r w:rsidR="0050099E" w:rsidRPr="001E542E">
          <w:rPr>
            <w:rStyle w:val="Hyperlink"/>
            <w:sz w:val="18"/>
            <w:szCs w:val="18"/>
          </w:rPr>
          <w:t>gov</w:t>
        </w:r>
        <w:r w:rsidR="0050099E" w:rsidRPr="001E542E">
          <w:rPr>
            <w:rStyle w:val="Hyperlink"/>
            <w:sz w:val="18"/>
            <w:szCs w:val="18"/>
            <w:lang w:val="uk-UA"/>
          </w:rPr>
          <w:t>.</w:t>
        </w:r>
        <w:proofErr w:type="spellStart"/>
        <w:r w:rsidR="0050099E" w:rsidRPr="001E542E">
          <w:rPr>
            <w:rStyle w:val="Hyperlink"/>
            <w:sz w:val="18"/>
            <w:szCs w:val="18"/>
          </w:rPr>
          <w:t>ua</w:t>
        </w:r>
        <w:proofErr w:type="spellEnd"/>
        <w:r w:rsidR="0050099E" w:rsidRPr="001E542E">
          <w:rPr>
            <w:rStyle w:val="Hyperlink"/>
            <w:sz w:val="18"/>
            <w:szCs w:val="18"/>
            <w:lang w:val="uk-UA"/>
          </w:rPr>
          <w:t>/</w:t>
        </w:r>
        <w:proofErr w:type="spellStart"/>
        <w:r w:rsidR="0050099E" w:rsidRPr="001E542E">
          <w:rPr>
            <w:rStyle w:val="Hyperlink"/>
            <w:sz w:val="18"/>
            <w:szCs w:val="18"/>
          </w:rPr>
          <w:t>en</w:t>
        </w:r>
        <w:proofErr w:type="spellEnd"/>
        <w:r w:rsidR="0050099E" w:rsidRPr="001E542E">
          <w:rPr>
            <w:rStyle w:val="Hyperlink"/>
            <w:sz w:val="18"/>
            <w:szCs w:val="18"/>
            <w:lang w:val="uk-UA"/>
          </w:rPr>
          <w:t>/</w:t>
        </w:r>
        <w:r w:rsidR="0050099E" w:rsidRPr="001E542E">
          <w:rPr>
            <w:rStyle w:val="Hyperlink"/>
            <w:sz w:val="18"/>
            <w:szCs w:val="18"/>
          </w:rPr>
          <w:t>news</w:t>
        </w:r>
        <w:r w:rsidR="0050099E" w:rsidRPr="001E542E">
          <w:rPr>
            <w:rStyle w:val="Hyperlink"/>
            <w:sz w:val="18"/>
            <w:szCs w:val="18"/>
            <w:lang w:val="uk-UA"/>
          </w:rPr>
          <w:t>/</w:t>
        </w:r>
        <w:proofErr w:type="spellStart"/>
        <w:r w:rsidR="0050099E" w:rsidRPr="001E542E">
          <w:rPr>
            <w:rStyle w:val="Hyperlink"/>
            <w:sz w:val="18"/>
            <w:szCs w:val="18"/>
          </w:rPr>
          <w:t>russians</w:t>
        </w:r>
        <w:proofErr w:type="spellEnd"/>
        <w:r w:rsidR="0050099E" w:rsidRPr="001E542E">
          <w:rPr>
            <w:rStyle w:val="Hyperlink"/>
            <w:sz w:val="18"/>
            <w:szCs w:val="18"/>
            <w:lang w:val="uk-UA"/>
          </w:rPr>
          <w:t>-</w:t>
        </w:r>
        <w:r w:rsidR="0050099E" w:rsidRPr="001E542E">
          <w:rPr>
            <w:rStyle w:val="Hyperlink"/>
            <w:sz w:val="18"/>
            <w:szCs w:val="18"/>
          </w:rPr>
          <w:t>have</w:t>
        </w:r>
        <w:r w:rsidR="0050099E" w:rsidRPr="001E542E">
          <w:rPr>
            <w:rStyle w:val="Hyperlink"/>
            <w:sz w:val="18"/>
            <w:szCs w:val="18"/>
            <w:lang w:val="uk-UA"/>
          </w:rPr>
          <w:t>-</w:t>
        </w:r>
        <w:r w:rsidR="0050099E" w:rsidRPr="001E542E">
          <w:rPr>
            <w:rStyle w:val="Hyperlink"/>
            <w:sz w:val="18"/>
            <w:szCs w:val="18"/>
          </w:rPr>
          <w:t>damaged</w:t>
        </w:r>
        <w:r w:rsidR="0050099E" w:rsidRPr="001E542E">
          <w:rPr>
            <w:rStyle w:val="Hyperlink"/>
            <w:sz w:val="18"/>
            <w:szCs w:val="18"/>
            <w:lang w:val="uk-UA"/>
          </w:rPr>
          <w:t>-1783-</w:t>
        </w:r>
        <w:r w:rsidR="0050099E" w:rsidRPr="001E542E">
          <w:rPr>
            <w:rStyle w:val="Hyperlink"/>
            <w:sz w:val="18"/>
            <w:szCs w:val="18"/>
          </w:rPr>
          <w:t>cultural</w:t>
        </w:r>
        <w:r w:rsidR="0050099E" w:rsidRPr="001E542E">
          <w:rPr>
            <w:rStyle w:val="Hyperlink"/>
            <w:sz w:val="18"/>
            <w:szCs w:val="18"/>
            <w:lang w:val="uk-UA"/>
          </w:rPr>
          <w:t>-</w:t>
        </w:r>
        <w:r w:rsidR="0050099E" w:rsidRPr="001E542E">
          <w:rPr>
            <w:rStyle w:val="Hyperlink"/>
            <w:sz w:val="18"/>
            <w:szCs w:val="18"/>
          </w:rPr>
          <w:t>heritage</w:t>
        </w:r>
        <w:r w:rsidR="0050099E" w:rsidRPr="001E542E">
          <w:rPr>
            <w:rStyle w:val="Hyperlink"/>
            <w:sz w:val="18"/>
            <w:szCs w:val="18"/>
            <w:lang w:val="uk-UA"/>
          </w:rPr>
          <w:t>-</w:t>
        </w:r>
        <w:r w:rsidR="0050099E" w:rsidRPr="001E542E">
          <w:rPr>
            <w:rStyle w:val="Hyperlink"/>
            <w:sz w:val="18"/>
            <w:szCs w:val="18"/>
          </w:rPr>
          <w:t>sites</w:t>
        </w:r>
        <w:r w:rsidR="0050099E" w:rsidRPr="001E542E">
          <w:rPr>
            <w:rStyle w:val="Hyperlink"/>
            <w:sz w:val="18"/>
            <w:szCs w:val="18"/>
            <w:lang w:val="uk-UA"/>
          </w:rPr>
          <w:t>-</w:t>
        </w:r>
        <w:r w:rsidR="0050099E" w:rsidRPr="001E542E">
          <w:rPr>
            <w:rStyle w:val="Hyperlink"/>
            <w:sz w:val="18"/>
            <w:szCs w:val="18"/>
          </w:rPr>
          <w:t>and</w:t>
        </w:r>
        <w:r w:rsidR="0050099E" w:rsidRPr="001E542E">
          <w:rPr>
            <w:rStyle w:val="Hyperlink"/>
            <w:sz w:val="18"/>
            <w:szCs w:val="18"/>
            <w:lang w:val="uk-UA"/>
          </w:rPr>
          <w:t>-2540-</w:t>
        </w:r>
        <w:r w:rsidR="0050099E" w:rsidRPr="001E542E">
          <w:rPr>
            <w:rStyle w:val="Hyperlink"/>
            <w:sz w:val="18"/>
            <w:szCs w:val="18"/>
          </w:rPr>
          <w:t>cultural</w:t>
        </w:r>
        <w:r w:rsidR="0050099E" w:rsidRPr="001E542E">
          <w:rPr>
            <w:rStyle w:val="Hyperlink"/>
            <w:sz w:val="18"/>
            <w:szCs w:val="18"/>
            <w:lang w:val="uk-UA"/>
          </w:rPr>
          <w:t>-</w:t>
        </w:r>
        <w:r w:rsidR="0050099E" w:rsidRPr="001E542E">
          <w:rPr>
            <w:rStyle w:val="Hyperlink"/>
            <w:sz w:val="18"/>
            <w:szCs w:val="18"/>
          </w:rPr>
          <w:t>infrastructure</w:t>
        </w:r>
        <w:r w:rsidR="0050099E" w:rsidRPr="001E542E">
          <w:rPr>
            <w:rStyle w:val="Hyperlink"/>
            <w:sz w:val="18"/>
            <w:szCs w:val="18"/>
            <w:lang w:val="uk-UA"/>
          </w:rPr>
          <w:t>-</w:t>
        </w:r>
        <w:r w:rsidR="0050099E" w:rsidRPr="001E542E">
          <w:rPr>
            <w:rStyle w:val="Hyperlink"/>
            <w:sz w:val="18"/>
            <w:szCs w:val="18"/>
          </w:rPr>
          <w:t>facilities</w:t>
        </w:r>
        <w:r w:rsidR="0050099E" w:rsidRPr="001E542E">
          <w:rPr>
            <w:rStyle w:val="Hyperlink"/>
            <w:sz w:val="18"/>
            <w:szCs w:val="18"/>
            <w:lang w:val="uk-UA"/>
          </w:rPr>
          <w:t>/</w:t>
        </w:r>
      </w:hyperlink>
      <w:r w:rsidR="0050099E">
        <w:rPr>
          <w:sz w:val="18"/>
          <w:szCs w:val="18"/>
        </w:rPr>
        <w:t xml:space="preserve"> </w:t>
      </w:r>
    </w:p>
  </w:footnote>
  <w:footnote w:id="25">
    <w:p w14:paraId="62733FAD" w14:textId="2BC9EC4D" w:rsidR="001647FF" w:rsidRDefault="001647FF" w:rsidP="001647FF">
      <w:pPr>
        <w:pStyle w:val="FootnoteText"/>
        <w:ind w:left="0"/>
      </w:pPr>
      <w:r w:rsidRPr="008022E0">
        <w:rPr>
          <w:rStyle w:val="FootnoteReference"/>
          <w:sz w:val="18"/>
          <w:szCs w:val="18"/>
        </w:rPr>
        <w:footnoteRef/>
      </w:r>
      <w:r w:rsidRPr="00C46924">
        <w:rPr>
          <w:sz w:val="18"/>
          <w:szCs w:val="18"/>
        </w:rPr>
        <w:t xml:space="preserve"> The full GII 2024 briefing on Ukraine is found under </w:t>
      </w:r>
      <w:hyperlink r:id="rId28" w:history="1">
        <w:r w:rsidRPr="00C46924">
          <w:rPr>
            <w:rStyle w:val="Hyperlink"/>
            <w:sz w:val="18"/>
            <w:szCs w:val="18"/>
          </w:rPr>
          <w:t>https://www.wipo.int/edocs/gii-ranking/2025/ua.pdf</w:t>
        </w:r>
      </w:hyperlink>
      <w:r w:rsidR="00616256">
        <w:t>.</w:t>
      </w:r>
      <w:r w:rsidRPr="00C46924">
        <w:rPr>
          <w:sz w:val="18"/>
          <w:szCs w:val="18"/>
        </w:rPr>
        <w:t xml:space="preserve"> </w:t>
      </w:r>
    </w:p>
  </w:footnote>
  <w:footnote w:id="26">
    <w:p w14:paraId="356BBC38" w14:textId="5E54FE4E" w:rsidR="00B87F3F" w:rsidRPr="001E542E" w:rsidRDefault="00B87F3F" w:rsidP="001E542E">
      <w:pPr>
        <w:pStyle w:val="FootnoteText"/>
        <w:ind w:left="0"/>
        <w:rPr>
          <w:sz w:val="18"/>
          <w:szCs w:val="18"/>
        </w:rPr>
      </w:pPr>
      <w:r w:rsidRPr="001E542E">
        <w:rPr>
          <w:rStyle w:val="FootnoteReference"/>
          <w:sz w:val="18"/>
          <w:szCs w:val="18"/>
        </w:rPr>
        <w:footnoteRef/>
      </w:r>
      <w:r w:rsidRPr="001E542E">
        <w:rPr>
          <w:sz w:val="18"/>
          <w:szCs w:val="18"/>
        </w:rPr>
        <w:t xml:space="preserve"> </w:t>
      </w:r>
      <w:r w:rsidR="00130132" w:rsidRPr="00130132">
        <w:rPr>
          <w:sz w:val="18"/>
          <w:szCs w:val="18"/>
        </w:rPr>
        <w:t>As the GII 202</w:t>
      </w:r>
      <w:r w:rsidR="00130132">
        <w:rPr>
          <w:sz w:val="18"/>
          <w:szCs w:val="18"/>
        </w:rPr>
        <w:t>6</w:t>
      </w:r>
      <w:r w:rsidR="00130132" w:rsidRPr="00130132">
        <w:rPr>
          <w:sz w:val="18"/>
          <w:szCs w:val="18"/>
        </w:rPr>
        <w:t xml:space="preserve"> is still under production, the following data sets may not be complete.</w:t>
      </w:r>
    </w:p>
  </w:footnote>
  <w:footnote w:id="27">
    <w:p w14:paraId="082DC815" w14:textId="00984B09" w:rsidR="006B0401" w:rsidRDefault="006B0401" w:rsidP="004264A4">
      <w:pPr>
        <w:pStyle w:val="FootnoteText"/>
        <w:ind w:left="0"/>
      </w:pPr>
      <w:r w:rsidRPr="004264A4">
        <w:rPr>
          <w:rStyle w:val="FootnoteReference"/>
          <w:sz w:val="18"/>
          <w:szCs w:val="18"/>
        </w:rPr>
        <w:footnoteRef/>
      </w:r>
      <w:r w:rsidRPr="004264A4">
        <w:rPr>
          <w:sz w:val="18"/>
          <w:szCs w:val="18"/>
        </w:rPr>
        <w:t xml:space="preserve"> On July 21, </w:t>
      </w:r>
      <w:r w:rsidR="0013112C" w:rsidRPr="004264A4">
        <w:rPr>
          <w:sz w:val="18"/>
          <w:szCs w:val="18"/>
        </w:rPr>
        <w:t>202</w:t>
      </w:r>
      <w:r w:rsidR="0013112C">
        <w:rPr>
          <w:sz w:val="18"/>
          <w:szCs w:val="18"/>
        </w:rPr>
        <w:t>5</w:t>
      </w:r>
      <w:r w:rsidRPr="004264A4">
        <w:rPr>
          <w:sz w:val="18"/>
          <w:szCs w:val="18"/>
        </w:rPr>
        <w:t xml:space="preserve">, the Ministry of Economy of Ukraine consolidated with the Ministry of Agrarian Policy and Food and the Ministry of Environmental Protection and Natural Resources, and continued its function as the Ministry of Economy, Environment and Agriculture of Ukraine </w:t>
      </w:r>
    </w:p>
  </w:footnote>
  <w:footnote w:id="28">
    <w:p w14:paraId="0B547A42" w14:textId="15787A2D" w:rsidR="0025530A" w:rsidRPr="00545FFC" w:rsidRDefault="0025530A" w:rsidP="0025530A">
      <w:pPr>
        <w:pStyle w:val="FootnoteText"/>
        <w:ind w:left="0"/>
        <w:rPr>
          <w:sz w:val="18"/>
          <w:szCs w:val="18"/>
        </w:rPr>
      </w:pPr>
      <w:r w:rsidRPr="00545FFC">
        <w:rPr>
          <w:rStyle w:val="FootnoteReference"/>
          <w:sz w:val="18"/>
          <w:szCs w:val="18"/>
        </w:rPr>
        <w:footnoteRef/>
      </w:r>
      <w:r w:rsidRPr="00545FFC">
        <w:rPr>
          <w:sz w:val="18"/>
          <w:szCs w:val="18"/>
        </w:rPr>
        <w:t xml:space="preserve"> Document PCT/CTC/33/23, 33</w:t>
      </w:r>
      <w:r w:rsidRPr="00545FFC">
        <w:rPr>
          <w:sz w:val="18"/>
          <w:szCs w:val="18"/>
          <w:vertAlign w:val="superscript"/>
        </w:rPr>
        <w:t>rd</w:t>
      </w:r>
      <w:r w:rsidRPr="00545FFC">
        <w:rPr>
          <w:sz w:val="18"/>
          <w:szCs w:val="18"/>
        </w:rPr>
        <w:t xml:space="preserve"> session of the Patent Cooperation Treaty (PCT) Committee for Technical Cooperation, February 2 to 6, 2026</w:t>
      </w:r>
      <w:r w:rsidR="00F93870">
        <w:rPr>
          <w:sz w:val="18"/>
          <w:szCs w:val="18"/>
        </w:rPr>
        <w:t>.</w:t>
      </w:r>
      <w:r w:rsidRPr="00545FFC">
        <w:rPr>
          <w:sz w:val="18"/>
          <w:szCs w:val="18"/>
        </w:rPr>
        <w:t xml:space="preserve"> </w:t>
      </w:r>
      <w:hyperlink r:id="rId29" w:history="1">
        <w:r w:rsidR="00630FAD">
          <w:rPr>
            <w:rStyle w:val="Hyperlink"/>
            <w:sz w:val="18"/>
            <w:szCs w:val="18"/>
          </w:rPr>
          <w:t>https://www.wipo.int/meetings/en/details.jsp?meeting_id=89830</w:t>
        </w:r>
      </w:hyperlink>
      <w:r w:rsidRPr="00545FFC">
        <w:rPr>
          <w:sz w:val="18"/>
          <w:szCs w:val="18"/>
        </w:rPr>
        <w:t xml:space="preserve"> </w:t>
      </w:r>
    </w:p>
  </w:footnote>
  <w:footnote w:id="29">
    <w:p w14:paraId="5DD50ACE" w14:textId="2858BF91" w:rsidR="000501E1" w:rsidRPr="009C69A7" w:rsidRDefault="000501E1" w:rsidP="000501E1">
      <w:pPr>
        <w:pStyle w:val="FootnoteText"/>
        <w:ind w:left="0"/>
        <w:rPr>
          <w:highlight w:val="yellow"/>
        </w:rPr>
      </w:pPr>
      <w:r w:rsidRPr="00545FFC">
        <w:rPr>
          <w:rStyle w:val="FootnoteReference"/>
          <w:sz w:val="18"/>
          <w:szCs w:val="18"/>
        </w:rPr>
        <w:footnoteRef/>
      </w:r>
      <w:r w:rsidRPr="00545FFC">
        <w:rPr>
          <w:sz w:val="18"/>
          <w:szCs w:val="18"/>
        </w:rPr>
        <w:t xml:space="preserve"> Summary by the Chair, 33</w:t>
      </w:r>
      <w:r w:rsidRPr="00545FFC">
        <w:rPr>
          <w:sz w:val="18"/>
          <w:szCs w:val="18"/>
          <w:vertAlign w:val="superscript"/>
        </w:rPr>
        <w:t>rd</w:t>
      </w:r>
      <w:r w:rsidRPr="00545FFC">
        <w:rPr>
          <w:sz w:val="18"/>
          <w:szCs w:val="18"/>
        </w:rPr>
        <w:t xml:space="preserve"> session of the PCT Committee for Technical Cooperation, February 2 to 6, 2026</w:t>
      </w:r>
      <w:r w:rsidR="00F93870">
        <w:rPr>
          <w:sz w:val="18"/>
          <w:szCs w:val="18"/>
        </w:rPr>
        <w:t>.</w:t>
      </w:r>
      <w:r w:rsidRPr="00545FFC">
        <w:rPr>
          <w:sz w:val="18"/>
          <w:szCs w:val="18"/>
        </w:rPr>
        <w:t xml:space="preserve"> </w:t>
      </w:r>
      <w:hyperlink r:id="rId30" w:history="1">
        <w:r w:rsidRPr="00545FFC">
          <w:rPr>
            <w:rStyle w:val="Hyperlink"/>
            <w:sz w:val="18"/>
            <w:szCs w:val="18"/>
          </w:rPr>
          <w:t>https://www.wipo.int/edocs/mdocs/pct/en/pct_ctc_33/pct_ctc_33_29.pdf</w:t>
        </w:r>
      </w:hyperlink>
      <w:r w:rsidRPr="00545FFC">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7BDD" w14:textId="41C24CDF" w:rsidR="00F11A41" w:rsidRDefault="00F11A41">
    <w:pPr>
      <w:pStyle w:val="Header"/>
      <w:jc w:val="right"/>
    </w:pPr>
    <w:r>
      <w:t>A/68/</w:t>
    </w:r>
    <w:r w:rsidR="0017756E" w:rsidRPr="00AD5DCD">
      <w:t>7</w:t>
    </w:r>
  </w:p>
  <w:p w14:paraId="4B3DC200" w14:textId="4CDC11C4" w:rsidR="00025744" w:rsidRDefault="00282C02">
    <w:pPr>
      <w:pStyle w:val="Header"/>
      <w:jc w:val="right"/>
    </w:pPr>
    <w:r>
      <w:t>p</w:t>
    </w:r>
    <w:r w:rsidR="00F11A41">
      <w:t xml:space="preserve">age </w:t>
    </w:r>
    <w:sdt>
      <w:sdtPr>
        <w:id w:val="1335799384"/>
        <w:docPartObj>
          <w:docPartGallery w:val="Page Numbers (Top of Page)"/>
          <w:docPartUnique/>
        </w:docPartObj>
      </w:sdtPr>
      <w:sdtEndPr>
        <w:rPr>
          <w:noProof/>
        </w:rPr>
      </w:sdtEndPr>
      <w:sdtContent>
        <w:r w:rsidR="00025744">
          <w:fldChar w:fldCharType="begin"/>
        </w:r>
        <w:r w:rsidR="00025744">
          <w:instrText xml:space="preserve"> PAGE   \* MERGEFORMAT </w:instrText>
        </w:r>
        <w:r w:rsidR="00025744">
          <w:fldChar w:fldCharType="separate"/>
        </w:r>
        <w:r w:rsidR="00025744">
          <w:rPr>
            <w:noProof/>
          </w:rPr>
          <w:t>2</w:t>
        </w:r>
        <w:r w:rsidR="00025744">
          <w:rPr>
            <w:noProof/>
          </w:rPr>
          <w:fldChar w:fldCharType="end"/>
        </w:r>
      </w:sdtContent>
    </w:sdt>
  </w:p>
  <w:p w14:paraId="44D72B39" w14:textId="257D193B" w:rsidR="00025744" w:rsidRDefault="00025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7DD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08D3CF1"/>
    <w:multiLevelType w:val="multilevel"/>
    <w:tmpl w:val="7040C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2B64C8"/>
    <w:multiLevelType w:val="multilevel"/>
    <w:tmpl w:val="41ACE220"/>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4" w15:restartNumberingAfterBreak="0">
    <w:nsid w:val="04B365E2"/>
    <w:multiLevelType w:val="multilevel"/>
    <w:tmpl w:val="AD9A917E"/>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5"/>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5" w15:restartNumberingAfterBreak="0">
    <w:nsid w:val="05EE2605"/>
    <w:multiLevelType w:val="multilevel"/>
    <w:tmpl w:val="4D5C49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5.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CD29E3"/>
    <w:multiLevelType w:val="multilevel"/>
    <w:tmpl w:val="1160DBA2"/>
    <w:lvl w:ilvl="0">
      <w:start w:val="1"/>
      <w:numFmt w:val="decimal"/>
      <w:lvlRestart w:val="0"/>
      <w:pStyle w:val="ONUME"/>
      <w:lvlText w:val="%1."/>
      <w:lvlJc w:val="left"/>
      <w:pPr>
        <w:tabs>
          <w:tab w:val="num" w:pos="567"/>
        </w:tabs>
        <w:ind w:left="0" w:firstLine="0"/>
      </w:pPr>
      <w:rPr>
        <w:rFonts w:hint="default"/>
        <w:b w:val="0"/>
        <w:bCs w:val="0"/>
      </w:rPr>
    </w:lvl>
    <w:lvl w:ilvl="1">
      <w:start w:val="1"/>
      <w:numFmt w:val="lowerRoman"/>
      <w:lvlText w:val="(%2)"/>
      <w:lvlJc w:val="left"/>
      <w:pPr>
        <w:tabs>
          <w:tab w:val="num" w:pos="709"/>
        </w:tabs>
        <w:ind w:left="142" w:firstLine="0"/>
      </w:pPr>
      <w:rPr>
        <w:rFonts w:hint="default"/>
      </w:rPr>
    </w:lvl>
    <w:lvl w:ilvl="2">
      <w:start w:val="1"/>
      <w:numFmt w:val="upperLetter"/>
      <w:lvlText w:val="(%3)"/>
      <w:lvlJc w:val="left"/>
      <w:pPr>
        <w:tabs>
          <w:tab w:val="num" w:pos="1276"/>
        </w:tabs>
        <w:ind w:left="709" w:firstLine="0"/>
      </w:pPr>
      <w:rPr>
        <w:rFonts w:hint="default"/>
      </w:rPr>
    </w:lvl>
    <w:lvl w:ilvl="3">
      <w:start w:val="1"/>
      <w:numFmt w:val="bullet"/>
      <w:lvlText w:val=""/>
      <w:lvlJc w:val="left"/>
      <w:pPr>
        <w:tabs>
          <w:tab w:val="num" w:pos="1843"/>
        </w:tabs>
        <w:ind w:left="1276" w:firstLine="0"/>
      </w:pPr>
      <w:rPr>
        <w:rFonts w:hint="default"/>
      </w:rPr>
    </w:lvl>
    <w:lvl w:ilvl="4">
      <w:start w:val="1"/>
      <w:numFmt w:val="bullet"/>
      <w:lvlText w:val=""/>
      <w:lvlJc w:val="left"/>
      <w:pPr>
        <w:tabs>
          <w:tab w:val="num" w:pos="2410"/>
        </w:tabs>
        <w:ind w:left="1843" w:firstLine="0"/>
      </w:pPr>
      <w:rPr>
        <w:rFonts w:hint="default"/>
      </w:rPr>
    </w:lvl>
    <w:lvl w:ilvl="5">
      <w:start w:val="1"/>
      <w:numFmt w:val="bullet"/>
      <w:lvlText w:val=""/>
      <w:lvlJc w:val="left"/>
      <w:pPr>
        <w:tabs>
          <w:tab w:val="num" w:pos="2977"/>
        </w:tabs>
        <w:ind w:left="2410" w:firstLine="0"/>
      </w:pPr>
      <w:rPr>
        <w:rFonts w:hint="default"/>
      </w:rPr>
    </w:lvl>
    <w:lvl w:ilvl="6">
      <w:start w:val="1"/>
      <w:numFmt w:val="bullet"/>
      <w:lvlText w:val=""/>
      <w:lvlJc w:val="left"/>
      <w:pPr>
        <w:tabs>
          <w:tab w:val="num" w:pos="3544"/>
        </w:tabs>
        <w:ind w:left="2977" w:firstLine="0"/>
      </w:pPr>
      <w:rPr>
        <w:rFonts w:hint="default"/>
      </w:rPr>
    </w:lvl>
    <w:lvl w:ilvl="7">
      <w:start w:val="1"/>
      <w:numFmt w:val="bullet"/>
      <w:lvlText w:val=""/>
      <w:lvlJc w:val="left"/>
      <w:pPr>
        <w:tabs>
          <w:tab w:val="num" w:pos="4110"/>
        </w:tabs>
        <w:ind w:left="3544" w:firstLine="0"/>
      </w:pPr>
      <w:rPr>
        <w:rFonts w:hint="default"/>
      </w:rPr>
    </w:lvl>
    <w:lvl w:ilvl="8">
      <w:start w:val="1"/>
      <w:numFmt w:val="bullet"/>
      <w:lvlText w:val=""/>
      <w:lvlJc w:val="left"/>
      <w:pPr>
        <w:tabs>
          <w:tab w:val="num" w:pos="4677"/>
        </w:tabs>
        <w:ind w:left="4110" w:firstLine="0"/>
      </w:pPr>
      <w:rPr>
        <w:rFonts w:hint="default"/>
      </w:rPr>
    </w:lvl>
  </w:abstractNum>
  <w:abstractNum w:abstractNumId="7" w15:restartNumberingAfterBreak="0">
    <w:nsid w:val="0BA0253E"/>
    <w:multiLevelType w:val="multilevel"/>
    <w:tmpl w:val="D68442EC"/>
    <w:lvl w:ilvl="0">
      <w:start w:val="3"/>
      <w:numFmt w:val="decimal"/>
      <w:lvlText w:val="%1"/>
      <w:lvlJc w:val="left"/>
      <w:pPr>
        <w:ind w:left="360" w:hanging="360"/>
      </w:pPr>
      <w:rPr>
        <w:rFonts w:hint="default"/>
      </w:rPr>
    </w:lvl>
    <w:lvl w:ilvl="1">
      <w:start w:val="3"/>
      <w:numFmt w:val="none"/>
      <w:lvlText w:val="3.1"/>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8" w15:restartNumberingAfterBreak="0">
    <w:nsid w:val="0F711C41"/>
    <w:multiLevelType w:val="multilevel"/>
    <w:tmpl w:val="2358333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b w:val="0"/>
        <w:bCs/>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9" w15:restartNumberingAfterBreak="0">
    <w:nsid w:val="1AC22AE2"/>
    <w:multiLevelType w:val="multilevel"/>
    <w:tmpl w:val="9E4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DB9"/>
    <w:multiLevelType w:val="multilevel"/>
    <w:tmpl w:val="95F459F0"/>
    <w:lvl w:ilvl="0">
      <w:start w:val="2"/>
      <w:numFmt w:val="decimal"/>
      <w:lvlText w:val="%1"/>
      <w:lvlJc w:val="left"/>
      <w:pPr>
        <w:ind w:left="480" w:hanging="480"/>
      </w:pPr>
      <w:rPr>
        <w:rFonts w:hint="default"/>
      </w:rPr>
    </w:lvl>
    <w:lvl w:ilvl="1">
      <w:start w:val="5"/>
      <w:numFmt w:val="decimal"/>
      <w:lvlText w:val="%1.%2"/>
      <w:lvlJc w:val="left"/>
      <w:pPr>
        <w:ind w:left="1065"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3" w15:restartNumberingAfterBreak="0">
    <w:nsid w:val="2E1E6C24"/>
    <w:multiLevelType w:val="multilevel"/>
    <w:tmpl w:val="E2102708"/>
    <w:lvl w:ilvl="0">
      <w:start w:val="3"/>
      <w:numFmt w:val="decimal"/>
      <w:lvlText w:val="%1"/>
      <w:lvlJc w:val="left"/>
      <w:pPr>
        <w:ind w:left="660" w:hanging="660"/>
      </w:pPr>
      <w:rPr>
        <w:rFonts w:hint="default"/>
        <w:u w:val="none"/>
      </w:rPr>
    </w:lvl>
    <w:lvl w:ilvl="1">
      <w:start w:val="6"/>
      <w:numFmt w:val="decimal"/>
      <w:lvlText w:val="%1.%2"/>
      <w:lvlJc w:val="left"/>
      <w:pPr>
        <w:ind w:left="900" w:hanging="660"/>
      </w:pPr>
      <w:rPr>
        <w:rFonts w:hint="default"/>
        <w:u w:val="none"/>
      </w:rPr>
    </w:lvl>
    <w:lvl w:ilvl="2">
      <w:start w:val="1"/>
      <w:numFmt w:val="decimal"/>
      <w:lvlText w:val="%1.%2.%3"/>
      <w:lvlJc w:val="left"/>
      <w:pPr>
        <w:ind w:left="1200" w:hanging="720"/>
      </w:pPr>
      <w:rPr>
        <w:rFonts w:hint="default"/>
        <w:u w:val="none"/>
      </w:rPr>
    </w:lvl>
    <w:lvl w:ilvl="3">
      <w:start w:val="3"/>
      <w:numFmt w:val="decimal"/>
      <w:lvlText w:val="%1.%2.%3.%4"/>
      <w:lvlJc w:val="left"/>
      <w:pPr>
        <w:ind w:left="1440" w:hanging="720"/>
      </w:pPr>
      <w:rPr>
        <w:rFonts w:hint="default"/>
        <w:u w:val="none"/>
      </w:rPr>
    </w:lvl>
    <w:lvl w:ilvl="4">
      <w:start w:val="1"/>
      <w:numFmt w:val="decimal"/>
      <w:lvlText w:val="%1.%2.%3.%4.%5"/>
      <w:lvlJc w:val="left"/>
      <w:pPr>
        <w:ind w:left="2040" w:hanging="1080"/>
      </w:pPr>
      <w:rPr>
        <w:rFonts w:hint="default"/>
        <w:u w:val="none"/>
      </w:rPr>
    </w:lvl>
    <w:lvl w:ilvl="5">
      <w:start w:val="1"/>
      <w:numFmt w:val="decimal"/>
      <w:lvlText w:val="%1.%2.%3.%4.%5.%6"/>
      <w:lvlJc w:val="left"/>
      <w:pPr>
        <w:ind w:left="2280" w:hanging="1080"/>
      </w:pPr>
      <w:rPr>
        <w:rFonts w:hint="default"/>
        <w:u w:val="none"/>
      </w:rPr>
    </w:lvl>
    <w:lvl w:ilvl="6">
      <w:start w:val="1"/>
      <w:numFmt w:val="decimal"/>
      <w:lvlText w:val="%1.%2.%3.%4.%5.%6.%7"/>
      <w:lvlJc w:val="left"/>
      <w:pPr>
        <w:ind w:left="2880" w:hanging="1440"/>
      </w:pPr>
      <w:rPr>
        <w:rFonts w:hint="default"/>
        <w:u w:val="none"/>
      </w:rPr>
    </w:lvl>
    <w:lvl w:ilvl="7">
      <w:start w:val="1"/>
      <w:numFmt w:val="decimal"/>
      <w:lvlText w:val="%1.%2.%3.%4.%5.%6.%7.%8"/>
      <w:lvlJc w:val="left"/>
      <w:pPr>
        <w:ind w:left="3120" w:hanging="1440"/>
      </w:pPr>
      <w:rPr>
        <w:rFonts w:hint="default"/>
        <w:u w:val="none"/>
      </w:rPr>
    </w:lvl>
    <w:lvl w:ilvl="8">
      <w:start w:val="1"/>
      <w:numFmt w:val="decimal"/>
      <w:lvlText w:val="%1.%2.%3.%4.%5.%6.%7.%8.%9"/>
      <w:lvlJc w:val="left"/>
      <w:pPr>
        <w:ind w:left="3720" w:hanging="1800"/>
      </w:pPr>
      <w:rPr>
        <w:rFonts w:hint="default"/>
        <w:u w:val="none"/>
      </w:rPr>
    </w:lvl>
  </w:abstractNum>
  <w:abstractNum w:abstractNumId="14" w15:restartNumberingAfterBreak="0">
    <w:nsid w:val="2E52312A"/>
    <w:multiLevelType w:val="multilevel"/>
    <w:tmpl w:val="7A9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787E"/>
    <w:multiLevelType w:val="multilevel"/>
    <w:tmpl w:val="7A9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B93DED"/>
    <w:multiLevelType w:val="hybridMultilevel"/>
    <w:tmpl w:val="F24CFC3A"/>
    <w:lvl w:ilvl="0" w:tplc="CABC4604">
      <w:start w:val="1"/>
      <w:numFmt w:val="bullet"/>
      <w:lvlText w:val=""/>
      <w:lvlJc w:val="left"/>
      <w:pPr>
        <w:ind w:left="720" w:hanging="360"/>
      </w:pPr>
      <w:rPr>
        <w:rFonts w:ascii="Symbol" w:hAnsi="Symbol"/>
      </w:rPr>
    </w:lvl>
    <w:lvl w:ilvl="1" w:tplc="634845F4">
      <w:start w:val="1"/>
      <w:numFmt w:val="bullet"/>
      <w:lvlText w:val=""/>
      <w:lvlJc w:val="left"/>
      <w:pPr>
        <w:ind w:left="720" w:hanging="360"/>
      </w:pPr>
      <w:rPr>
        <w:rFonts w:ascii="Symbol" w:hAnsi="Symbol"/>
      </w:rPr>
    </w:lvl>
    <w:lvl w:ilvl="2" w:tplc="1BBAEED8">
      <w:start w:val="1"/>
      <w:numFmt w:val="bullet"/>
      <w:lvlText w:val=""/>
      <w:lvlJc w:val="left"/>
      <w:pPr>
        <w:ind w:left="720" w:hanging="360"/>
      </w:pPr>
      <w:rPr>
        <w:rFonts w:ascii="Symbol" w:hAnsi="Symbol"/>
      </w:rPr>
    </w:lvl>
    <w:lvl w:ilvl="3" w:tplc="75CC7F46">
      <w:start w:val="1"/>
      <w:numFmt w:val="bullet"/>
      <w:lvlText w:val=""/>
      <w:lvlJc w:val="left"/>
      <w:pPr>
        <w:ind w:left="720" w:hanging="360"/>
      </w:pPr>
      <w:rPr>
        <w:rFonts w:ascii="Symbol" w:hAnsi="Symbol"/>
      </w:rPr>
    </w:lvl>
    <w:lvl w:ilvl="4" w:tplc="4886A57A">
      <w:start w:val="1"/>
      <w:numFmt w:val="bullet"/>
      <w:lvlText w:val=""/>
      <w:lvlJc w:val="left"/>
      <w:pPr>
        <w:ind w:left="720" w:hanging="360"/>
      </w:pPr>
      <w:rPr>
        <w:rFonts w:ascii="Symbol" w:hAnsi="Symbol"/>
      </w:rPr>
    </w:lvl>
    <w:lvl w:ilvl="5" w:tplc="EA24F2FC">
      <w:start w:val="1"/>
      <w:numFmt w:val="bullet"/>
      <w:lvlText w:val=""/>
      <w:lvlJc w:val="left"/>
      <w:pPr>
        <w:ind w:left="720" w:hanging="360"/>
      </w:pPr>
      <w:rPr>
        <w:rFonts w:ascii="Symbol" w:hAnsi="Symbol"/>
      </w:rPr>
    </w:lvl>
    <w:lvl w:ilvl="6" w:tplc="602ABDD6">
      <w:start w:val="1"/>
      <w:numFmt w:val="bullet"/>
      <w:lvlText w:val=""/>
      <w:lvlJc w:val="left"/>
      <w:pPr>
        <w:ind w:left="720" w:hanging="360"/>
      </w:pPr>
      <w:rPr>
        <w:rFonts w:ascii="Symbol" w:hAnsi="Symbol"/>
      </w:rPr>
    </w:lvl>
    <w:lvl w:ilvl="7" w:tplc="46B8895E">
      <w:start w:val="1"/>
      <w:numFmt w:val="bullet"/>
      <w:lvlText w:val=""/>
      <w:lvlJc w:val="left"/>
      <w:pPr>
        <w:ind w:left="720" w:hanging="360"/>
      </w:pPr>
      <w:rPr>
        <w:rFonts w:ascii="Symbol" w:hAnsi="Symbol"/>
      </w:rPr>
    </w:lvl>
    <w:lvl w:ilvl="8" w:tplc="709EDDAC">
      <w:start w:val="1"/>
      <w:numFmt w:val="bullet"/>
      <w:lvlText w:val=""/>
      <w:lvlJc w:val="left"/>
      <w:pPr>
        <w:ind w:left="720" w:hanging="360"/>
      </w:pPr>
      <w:rPr>
        <w:rFonts w:ascii="Symbol" w:hAnsi="Symbol"/>
      </w:rPr>
    </w:lvl>
  </w:abstractNum>
  <w:abstractNum w:abstractNumId="17" w15:restartNumberingAfterBreak="0">
    <w:nsid w:val="3DE777CA"/>
    <w:multiLevelType w:val="multilevel"/>
    <w:tmpl w:val="C30C495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none"/>
      <w:lvlText w:val="3.4.4"/>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8" w15:restartNumberingAfterBreak="0">
    <w:nsid w:val="3E254DD2"/>
    <w:multiLevelType w:val="multilevel"/>
    <w:tmpl w:val="53F656F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4B6AD0"/>
    <w:multiLevelType w:val="multilevel"/>
    <w:tmpl w:val="0BB8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B18C7"/>
    <w:multiLevelType w:val="multilevel"/>
    <w:tmpl w:val="913C38FC"/>
    <w:lvl w:ilvl="0">
      <w:start w:val="2"/>
      <w:numFmt w:val="decimal"/>
      <w:lvlText w:val="%1"/>
      <w:lvlJc w:val="left"/>
      <w:pPr>
        <w:ind w:left="525" w:hanging="525"/>
      </w:pPr>
      <w:rPr>
        <w:rFonts w:hint="default"/>
      </w:rPr>
    </w:lvl>
    <w:lvl w:ilvl="1">
      <w:start w:val="3"/>
      <w:numFmt w:val="decimal"/>
      <w:lvlText w:val="%1.%2"/>
      <w:lvlJc w:val="left"/>
      <w:pPr>
        <w:ind w:left="1110" w:hanging="525"/>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1" w15:restartNumberingAfterBreak="0">
    <w:nsid w:val="48A36420"/>
    <w:multiLevelType w:val="multilevel"/>
    <w:tmpl w:val="5D7E0E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1.%24.3"/>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2" w15:restartNumberingAfterBreak="0">
    <w:nsid w:val="48F81E73"/>
    <w:multiLevelType w:val="multilevel"/>
    <w:tmpl w:val="FAEA86F6"/>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1.%24.4"/>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EA53CE"/>
    <w:multiLevelType w:val="multilevel"/>
    <w:tmpl w:val="95D6A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val="0"/>
        <w:bCs/>
        <w:sz w:val="22"/>
        <w:szCs w:val="20"/>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5" w15:restartNumberingAfterBreak="0">
    <w:nsid w:val="4ED2150A"/>
    <w:multiLevelType w:val="multilevel"/>
    <w:tmpl w:val="B80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30F7E"/>
    <w:multiLevelType w:val="multilevel"/>
    <w:tmpl w:val="FB2C8D7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7" w15:restartNumberingAfterBreak="0">
    <w:nsid w:val="55ED26D9"/>
    <w:multiLevelType w:val="multilevel"/>
    <w:tmpl w:val="7A9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134C9F"/>
    <w:multiLevelType w:val="multilevel"/>
    <w:tmpl w:val="2AF2017A"/>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9" w15:restartNumberingAfterBreak="0">
    <w:nsid w:val="5EA659BE"/>
    <w:multiLevelType w:val="multilevel"/>
    <w:tmpl w:val="478AF0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3%1.%24.1"/>
      <w:lvlJc w:val="left"/>
      <w:pPr>
        <w:ind w:left="1814" w:hanging="720"/>
      </w:pPr>
      <w:rPr>
        <w:rFonts w:hint="default"/>
      </w:rPr>
    </w:lvl>
    <w:lvl w:ilvl="3">
      <w:start w:val="1"/>
      <w:numFmt w:val="decimal"/>
      <w:lvlText w:val="%1.4.%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30" w15:restartNumberingAfterBreak="0">
    <w:nsid w:val="6051451E"/>
    <w:multiLevelType w:val="hybridMultilevel"/>
    <w:tmpl w:val="C43E1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F40FB5"/>
    <w:multiLevelType w:val="multilevel"/>
    <w:tmpl w:val="B148C92A"/>
    <w:lvl w:ilvl="0">
      <w:start w:val="3"/>
      <w:numFmt w:val="decimal"/>
      <w:lvlText w:val="%1"/>
      <w:lvlJc w:val="left"/>
      <w:pPr>
        <w:ind w:left="360" w:hanging="360"/>
      </w:pPr>
      <w:rPr>
        <w:rFonts w:hint="default"/>
      </w:rPr>
    </w:lvl>
    <w:lvl w:ilvl="1">
      <w:start w:val="3"/>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32" w15:restartNumberingAfterBreak="0">
    <w:nsid w:val="6FB95114"/>
    <w:multiLevelType w:val="multilevel"/>
    <w:tmpl w:val="CEF04F90"/>
    <w:lvl w:ilvl="0">
      <w:start w:val="3"/>
      <w:numFmt w:val="decimal"/>
      <w:lvlText w:val="%1"/>
      <w:lvlJc w:val="left"/>
      <w:pPr>
        <w:ind w:left="480" w:hanging="480"/>
      </w:pPr>
      <w:rPr>
        <w:rFonts w:hint="default"/>
      </w:rPr>
    </w:lvl>
    <w:lvl w:ilvl="1">
      <w:start w:val="6"/>
      <w:numFmt w:val="decimal"/>
      <w:lvlText w:val="%1.%2"/>
      <w:lvlJc w:val="left"/>
      <w:pPr>
        <w:ind w:left="1065" w:hanging="480"/>
      </w:pPr>
      <w:rPr>
        <w:rFonts w:hint="default"/>
      </w:rPr>
    </w:lvl>
    <w:lvl w:ilvl="2">
      <w:start w:val="2"/>
      <w:numFmt w:val="decimal"/>
      <w:lvlText w:val="%1.5.%3"/>
      <w:lvlJc w:val="left"/>
      <w:pPr>
        <w:ind w:left="2138"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3" w15:restartNumberingAfterBreak="0">
    <w:nsid w:val="709F41BD"/>
    <w:multiLevelType w:val="multilevel"/>
    <w:tmpl w:val="1B5E55DA"/>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6"/>
      <w:lvlJc w:val="left"/>
      <w:pPr>
        <w:ind w:left="1890" w:hanging="720"/>
      </w:pPr>
      <w:rPr>
        <w:rFonts w:hint="default"/>
        <w:sz w:val="22"/>
        <w:szCs w:val="18"/>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4" w15:restartNumberingAfterBreak="0">
    <w:nsid w:val="70BB79E2"/>
    <w:multiLevelType w:val="multilevel"/>
    <w:tmpl w:val="F7007DDC"/>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7"/>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5" w15:restartNumberingAfterBreak="0">
    <w:nsid w:val="75A16E4D"/>
    <w:multiLevelType w:val="multilevel"/>
    <w:tmpl w:val="282C7B66"/>
    <w:lvl w:ilvl="0">
      <w:start w:val="3"/>
      <w:numFmt w:val="decimal"/>
      <w:lvlText w:val="%1"/>
      <w:lvlJc w:val="left"/>
      <w:pPr>
        <w:ind w:left="1245" w:hanging="525"/>
      </w:pPr>
      <w:rPr>
        <w:rFonts w:hint="default"/>
      </w:rPr>
    </w:lvl>
    <w:lvl w:ilvl="1">
      <w:start w:val="7"/>
      <w:numFmt w:val="decimal"/>
      <w:lvlText w:val="%1.%2"/>
      <w:lvlJc w:val="left"/>
      <w:pPr>
        <w:ind w:left="1830" w:hanging="525"/>
      </w:pPr>
      <w:rPr>
        <w:rFonts w:hint="default"/>
      </w:rPr>
    </w:lvl>
    <w:lvl w:ilvl="2">
      <w:start w:val="2"/>
      <w:numFmt w:val="decimal"/>
      <w:lvlText w:val="%1.5.4"/>
      <w:lvlJc w:val="left"/>
      <w:pPr>
        <w:ind w:left="261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255" w:hanging="1440"/>
      </w:pPr>
      <w:rPr>
        <w:rFonts w:hint="default"/>
      </w:rPr>
    </w:lvl>
    <w:lvl w:ilvl="8">
      <w:start w:val="1"/>
      <w:numFmt w:val="decimal"/>
      <w:lvlText w:val="%1.%2.%3.%4.%5.%6.%7.%8.%9"/>
      <w:lvlJc w:val="left"/>
      <w:pPr>
        <w:ind w:left="7200" w:hanging="1800"/>
      </w:pPr>
      <w:rPr>
        <w:rFonts w:hint="default"/>
      </w:rPr>
    </w:lvl>
  </w:abstractNum>
  <w:num w:numId="1" w16cid:durableId="1626697618">
    <w:abstractNumId w:val="1"/>
  </w:num>
  <w:num w:numId="2" w16cid:durableId="1151099335">
    <w:abstractNumId w:val="23"/>
  </w:num>
  <w:num w:numId="3" w16cid:durableId="797770133">
    <w:abstractNumId w:val="6"/>
  </w:num>
  <w:num w:numId="4" w16cid:durableId="878471050">
    <w:abstractNumId w:val="10"/>
  </w:num>
  <w:num w:numId="5" w16cid:durableId="1126696843">
    <w:abstractNumId w:val="3"/>
  </w:num>
  <w:num w:numId="6" w16cid:durableId="650252971">
    <w:abstractNumId w:val="24"/>
  </w:num>
  <w:num w:numId="7" w16cid:durableId="1427339412">
    <w:abstractNumId w:val="13"/>
  </w:num>
  <w:num w:numId="8" w16cid:durableId="1330871199">
    <w:abstractNumId w:val="12"/>
  </w:num>
  <w:num w:numId="9" w16cid:durableId="1502816047">
    <w:abstractNumId w:val="6"/>
  </w:num>
  <w:num w:numId="10" w16cid:durableId="878860039">
    <w:abstractNumId w:val="6"/>
  </w:num>
  <w:num w:numId="11" w16cid:durableId="139034071">
    <w:abstractNumId w:val="6"/>
    <w:lvlOverride w:ilvl="0">
      <w:startOverride w:val="6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9419413">
    <w:abstractNumId w:val="6"/>
  </w:num>
  <w:num w:numId="13" w16cid:durableId="1164659904">
    <w:abstractNumId w:val="6"/>
  </w:num>
  <w:num w:numId="14" w16cid:durableId="1763378282">
    <w:abstractNumId w:val="6"/>
    <w:lvlOverride w:ilvl="0">
      <w:startOverride w:val="65"/>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5051773">
    <w:abstractNumId w:val="6"/>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498608">
    <w:abstractNumId w:val="0"/>
  </w:num>
  <w:num w:numId="17" w16cid:durableId="1894535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076015">
    <w:abstractNumId w:val="16"/>
  </w:num>
  <w:num w:numId="19" w16cid:durableId="1312103186">
    <w:abstractNumId w:val="11"/>
  </w:num>
  <w:num w:numId="20" w16cid:durableId="1486504752">
    <w:abstractNumId w:val="18"/>
  </w:num>
  <w:num w:numId="21" w16cid:durableId="225578866">
    <w:abstractNumId w:val="32"/>
  </w:num>
  <w:num w:numId="22" w16cid:durableId="857740809">
    <w:abstractNumId w:val="20"/>
  </w:num>
  <w:num w:numId="23" w16cid:durableId="980306955">
    <w:abstractNumId w:val="19"/>
  </w:num>
  <w:num w:numId="24" w16cid:durableId="459539428">
    <w:abstractNumId w:val="9"/>
  </w:num>
  <w:num w:numId="25" w16cid:durableId="210046139">
    <w:abstractNumId w:val="25"/>
  </w:num>
  <w:num w:numId="26" w16cid:durableId="66193059">
    <w:abstractNumId w:val="27"/>
  </w:num>
  <w:num w:numId="27" w16cid:durableId="1722903862">
    <w:abstractNumId w:val="14"/>
  </w:num>
  <w:num w:numId="28" w16cid:durableId="1496451532">
    <w:abstractNumId w:val="15"/>
  </w:num>
  <w:num w:numId="29" w16cid:durableId="1531643859">
    <w:abstractNumId w:val="30"/>
  </w:num>
  <w:num w:numId="30" w16cid:durableId="2025595931">
    <w:abstractNumId w:val="31"/>
  </w:num>
  <w:num w:numId="31" w16cid:durableId="1957175000">
    <w:abstractNumId w:val="7"/>
  </w:num>
  <w:num w:numId="32" w16cid:durableId="1929578474">
    <w:abstractNumId w:val="29"/>
  </w:num>
  <w:num w:numId="33" w16cid:durableId="1903908267">
    <w:abstractNumId w:val="21"/>
  </w:num>
  <w:num w:numId="34" w16cid:durableId="145319841">
    <w:abstractNumId w:val="22"/>
  </w:num>
  <w:num w:numId="35" w16cid:durableId="1982691864">
    <w:abstractNumId w:val="17"/>
  </w:num>
  <w:num w:numId="36" w16cid:durableId="1237399311">
    <w:abstractNumId w:val="5"/>
  </w:num>
  <w:num w:numId="37" w16cid:durableId="766190609">
    <w:abstractNumId w:val="26"/>
  </w:num>
  <w:num w:numId="38" w16cid:durableId="1309016840">
    <w:abstractNumId w:val="4"/>
  </w:num>
  <w:num w:numId="39" w16cid:durableId="1393894848">
    <w:abstractNumId w:val="33"/>
  </w:num>
  <w:num w:numId="40" w16cid:durableId="992029694">
    <w:abstractNumId w:val="34"/>
  </w:num>
  <w:num w:numId="41" w16cid:durableId="246232142">
    <w:abstractNumId w:val="28"/>
  </w:num>
  <w:num w:numId="42" w16cid:durableId="1976525903">
    <w:abstractNumId w:val="35"/>
  </w:num>
  <w:num w:numId="43" w16cid:durableId="1237742729">
    <w:abstractNumId w:val="8"/>
  </w:num>
  <w:num w:numId="44" w16cid:durableId="1233468812">
    <w:abstractNumId w:val="6"/>
  </w:num>
  <w:num w:numId="45" w16cid:durableId="167106098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C0"/>
    <w:rsid w:val="00000A67"/>
    <w:rsid w:val="00000D79"/>
    <w:rsid w:val="00002E1C"/>
    <w:rsid w:val="000037C2"/>
    <w:rsid w:val="00003F3E"/>
    <w:rsid w:val="00004282"/>
    <w:rsid w:val="00004746"/>
    <w:rsid w:val="000055B3"/>
    <w:rsid w:val="00005871"/>
    <w:rsid w:val="00006236"/>
    <w:rsid w:val="000066C4"/>
    <w:rsid w:val="00006A32"/>
    <w:rsid w:val="00007443"/>
    <w:rsid w:val="00010348"/>
    <w:rsid w:val="000109E3"/>
    <w:rsid w:val="00011A07"/>
    <w:rsid w:val="00011CC6"/>
    <w:rsid w:val="0001281D"/>
    <w:rsid w:val="000143F2"/>
    <w:rsid w:val="00014596"/>
    <w:rsid w:val="00014869"/>
    <w:rsid w:val="00014AEC"/>
    <w:rsid w:val="00015F4F"/>
    <w:rsid w:val="000164AE"/>
    <w:rsid w:val="00016733"/>
    <w:rsid w:val="000174D3"/>
    <w:rsid w:val="00017DB2"/>
    <w:rsid w:val="00020439"/>
    <w:rsid w:val="000206E0"/>
    <w:rsid w:val="00020E1A"/>
    <w:rsid w:val="00023339"/>
    <w:rsid w:val="000237FB"/>
    <w:rsid w:val="00023F68"/>
    <w:rsid w:val="0002443F"/>
    <w:rsid w:val="00024761"/>
    <w:rsid w:val="00025744"/>
    <w:rsid w:val="000258CF"/>
    <w:rsid w:val="000268C5"/>
    <w:rsid w:val="00026B79"/>
    <w:rsid w:val="000275A7"/>
    <w:rsid w:val="00027654"/>
    <w:rsid w:val="0002785A"/>
    <w:rsid w:val="00027E8D"/>
    <w:rsid w:val="000305F2"/>
    <w:rsid w:val="000316B9"/>
    <w:rsid w:val="0003210D"/>
    <w:rsid w:val="000326D3"/>
    <w:rsid w:val="00032B11"/>
    <w:rsid w:val="00033A6D"/>
    <w:rsid w:val="000352C6"/>
    <w:rsid w:val="00035AE1"/>
    <w:rsid w:val="000379C8"/>
    <w:rsid w:val="00037BB4"/>
    <w:rsid w:val="000403BD"/>
    <w:rsid w:val="00040917"/>
    <w:rsid w:val="000425F5"/>
    <w:rsid w:val="000429C4"/>
    <w:rsid w:val="00042B1B"/>
    <w:rsid w:val="00043270"/>
    <w:rsid w:val="00043ACF"/>
    <w:rsid w:val="0004479B"/>
    <w:rsid w:val="00045C2D"/>
    <w:rsid w:val="00046696"/>
    <w:rsid w:val="000501E1"/>
    <w:rsid w:val="00051074"/>
    <w:rsid w:val="000525C9"/>
    <w:rsid w:val="0005323A"/>
    <w:rsid w:val="00053664"/>
    <w:rsid w:val="00053C9E"/>
    <w:rsid w:val="00053D1D"/>
    <w:rsid w:val="00053DE0"/>
    <w:rsid w:val="00054956"/>
    <w:rsid w:val="00055A44"/>
    <w:rsid w:val="000562BA"/>
    <w:rsid w:val="000564EA"/>
    <w:rsid w:val="000565C5"/>
    <w:rsid w:val="000569E5"/>
    <w:rsid w:val="00057661"/>
    <w:rsid w:val="00057F76"/>
    <w:rsid w:val="000603A6"/>
    <w:rsid w:val="00060721"/>
    <w:rsid w:val="00061076"/>
    <w:rsid w:val="000626E6"/>
    <w:rsid w:val="00062EF4"/>
    <w:rsid w:val="00062FC8"/>
    <w:rsid w:val="00063F6C"/>
    <w:rsid w:val="00064531"/>
    <w:rsid w:val="0006530D"/>
    <w:rsid w:val="000654E5"/>
    <w:rsid w:val="00065B4E"/>
    <w:rsid w:val="00065DA6"/>
    <w:rsid w:val="00065E12"/>
    <w:rsid w:val="0006609B"/>
    <w:rsid w:val="000674B6"/>
    <w:rsid w:val="00067683"/>
    <w:rsid w:val="0006790C"/>
    <w:rsid w:val="00067B37"/>
    <w:rsid w:val="00067BD8"/>
    <w:rsid w:val="00070D8C"/>
    <w:rsid w:val="00070DCA"/>
    <w:rsid w:val="00071409"/>
    <w:rsid w:val="00071DDF"/>
    <w:rsid w:val="000720FE"/>
    <w:rsid w:val="00072245"/>
    <w:rsid w:val="0007289A"/>
    <w:rsid w:val="00072B7B"/>
    <w:rsid w:val="00073305"/>
    <w:rsid w:val="00073AE5"/>
    <w:rsid w:val="00073EB6"/>
    <w:rsid w:val="000740D1"/>
    <w:rsid w:val="00074912"/>
    <w:rsid w:val="00074A6C"/>
    <w:rsid w:val="00074B80"/>
    <w:rsid w:val="00075221"/>
    <w:rsid w:val="0007549E"/>
    <w:rsid w:val="00075854"/>
    <w:rsid w:val="000764C5"/>
    <w:rsid w:val="00076D09"/>
    <w:rsid w:val="000774E3"/>
    <w:rsid w:val="000803CB"/>
    <w:rsid w:val="00080423"/>
    <w:rsid w:val="00080E8B"/>
    <w:rsid w:val="00083099"/>
    <w:rsid w:val="00083612"/>
    <w:rsid w:val="00083811"/>
    <w:rsid w:val="00084E28"/>
    <w:rsid w:val="00085077"/>
    <w:rsid w:val="00086AB0"/>
    <w:rsid w:val="00086B46"/>
    <w:rsid w:val="00086B95"/>
    <w:rsid w:val="000871AC"/>
    <w:rsid w:val="00087687"/>
    <w:rsid w:val="0008782D"/>
    <w:rsid w:val="0008798A"/>
    <w:rsid w:val="00090A1E"/>
    <w:rsid w:val="00090B6A"/>
    <w:rsid w:val="000912B2"/>
    <w:rsid w:val="00092F77"/>
    <w:rsid w:val="0009368A"/>
    <w:rsid w:val="000940BD"/>
    <w:rsid w:val="00094176"/>
    <w:rsid w:val="000946E1"/>
    <w:rsid w:val="00095450"/>
    <w:rsid w:val="00095F06"/>
    <w:rsid w:val="00096C6A"/>
    <w:rsid w:val="0009730B"/>
    <w:rsid w:val="000A021D"/>
    <w:rsid w:val="000A02A3"/>
    <w:rsid w:val="000A04F7"/>
    <w:rsid w:val="000A15F6"/>
    <w:rsid w:val="000A18C1"/>
    <w:rsid w:val="000A2A33"/>
    <w:rsid w:val="000A2C53"/>
    <w:rsid w:val="000A30F5"/>
    <w:rsid w:val="000A50C4"/>
    <w:rsid w:val="000A57C9"/>
    <w:rsid w:val="000A6102"/>
    <w:rsid w:val="000A6762"/>
    <w:rsid w:val="000A6D16"/>
    <w:rsid w:val="000A70C7"/>
    <w:rsid w:val="000A7300"/>
    <w:rsid w:val="000A7785"/>
    <w:rsid w:val="000B06A8"/>
    <w:rsid w:val="000B0F5A"/>
    <w:rsid w:val="000B2C16"/>
    <w:rsid w:val="000B2C57"/>
    <w:rsid w:val="000B3DB7"/>
    <w:rsid w:val="000B4474"/>
    <w:rsid w:val="000B473F"/>
    <w:rsid w:val="000B5692"/>
    <w:rsid w:val="000B5EE6"/>
    <w:rsid w:val="000B605A"/>
    <w:rsid w:val="000B653E"/>
    <w:rsid w:val="000B6730"/>
    <w:rsid w:val="000B7E4C"/>
    <w:rsid w:val="000B7E53"/>
    <w:rsid w:val="000C02E3"/>
    <w:rsid w:val="000C02EC"/>
    <w:rsid w:val="000C0CBE"/>
    <w:rsid w:val="000C0EC7"/>
    <w:rsid w:val="000C1902"/>
    <w:rsid w:val="000C1978"/>
    <w:rsid w:val="000C1A84"/>
    <w:rsid w:val="000C1B31"/>
    <w:rsid w:val="000C232A"/>
    <w:rsid w:val="000C3062"/>
    <w:rsid w:val="000C3D83"/>
    <w:rsid w:val="000C491A"/>
    <w:rsid w:val="000C5786"/>
    <w:rsid w:val="000C5C69"/>
    <w:rsid w:val="000C5D17"/>
    <w:rsid w:val="000C5E24"/>
    <w:rsid w:val="000C604F"/>
    <w:rsid w:val="000C614B"/>
    <w:rsid w:val="000C637F"/>
    <w:rsid w:val="000C71C3"/>
    <w:rsid w:val="000C722C"/>
    <w:rsid w:val="000C7B58"/>
    <w:rsid w:val="000C7EC4"/>
    <w:rsid w:val="000D05A7"/>
    <w:rsid w:val="000D0912"/>
    <w:rsid w:val="000D1002"/>
    <w:rsid w:val="000D1095"/>
    <w:rsid w:val="000D310D"/>
    <w:rsid w:val="000D382C"/>
    <w:rsid w:val="000D3ADC"/>
    <w:rsid w:val="000D3DA6"/>
    <w:rsid w:val="000D3FDC"/>
    <w:rsid w:val="000D4887"/>
    <w:rsid w:val="000D4C30"/>
    <w:rsid w:val="000D509A"/>
    <w:rsid w:val="000D51F0"/>
    <w:rsid w:val="000D5AD3"/>
    <w:rsid w:val="000D5C19"/>
    <w:rsid w:val="000D5CE4"/>
    <w:rsid w:val="000D66C8"/>
    <w:rsid w:val="000D6E2F"/>
    <w:rsid w:val="000D7241"/>
    <w:rsid w:val="000E09B9"/>
    <w:rsid w:val="000E136A"/>
    <w:rsid w:val="000E2846"/>
    <w:rsid w:val="000E3688"/>
    <w:rsid w:val="000E3DEF"/>
    <w:rsid w:val="000E4FF2"/>
    <w:rsid w:val="000E53A3"/>
    <w:rsid w:val="000E559F"/>
    <w:rsid w:val="000E6666"/>
    <w:rsid w:val="000E6A68"/>
    <w:rsid w:val="000E72F5"/>
    <w:rsid w:val="000F0244"/>
    <w:rsid w:val="000F098C"/>
    <w:rsid w:val="000F162E"/>
    <w:rsid w:val="000F24F8"/>
    <w:rsid w:val="000F2BF1"/>
    <w:rsid w:val="000F2D1B"/>
    <w:rsid w:val="000F51E7"/>
    <w:rsid w:val="000F5202"/>
    <w:rsid w:val="000F56A0"/>
    <w:rsid w:val="000F6643"/>
    <w:rsid w:val="000F6A2D"/>
    <w:rsid w:val="000F6D6C"/>
    <w:rsid w:val="000F70E3"/>
    <w:rsid w:val="000F74A9"/>
    <w:rsid w:val="000F7B47"/>
    <w:rsid w:val="000F7E15"/>
    <w:rsid w:val="00101DF3"/>
    <w:rsid w:val="001026D1"/>
    <w:rsid w:val="0010297A"/>
    <w:rsid w:val="00102CC3"/>
    <w:rsid w:val="00104460"/>
    <w:rsid w:val="00104BD4"/>
    <w:rsid w:val="00105437"/>
    <w:rsid w:val="00107B71"/>
    <w:rsid w:val="00107F0B"/>
    <w:rsid w:val="00110A76"/>
    <w:rsid w:val="00110EDB"/>
    <w:rsid w:val="00111085"/>
    <w:rsid w:val="001114F0"/>
    <w:rsid w:val="001120A9"/>
    <w:rsid w:val="00112B01"/>
    <w:rsid w:val="0011339B"/>
    <w:rsid w:val="001147FC"/>
    <w:rsid w:val="00114848"/>
    <w:rsid w:val="00114E14"/>
    <w:rsid w:val="00115289"/>
    <w:rsid w:val="001164F2"/>
    <w:rsid w:val="001166D0"/>
    <w:rsid w:val="0011721F"/>
    <w:rsid w:val="00117AA6"/>
    <w:rsid w:val="00117BB9"/>
    <w:rsid w:val="001204F5"/>
    <w:rsid w:val="0012067E"/>
    <w:rsid w:val="00120B24"/>
    <w:rsid w:val="00120D4E"/>
    <w:rsid w:val="001211FC"/>
    <w:rsid w:val="00121E1F"/>
    <w:rsid w:val="0012304C"/>
    <w:rsid w:val="00123829"/>
    <w:rsid w:val="00123D37"/>
    <w:rsid w:val="00123E4F"/>
    <w:rsid w:val="0012459B"/>
    <w:rsid w:val="0012494A"/>
    <w:rsid w:val="00124F03"/>
    <w:rsid w:val="00125131"/>
    <w:rsid w:val="001254F1"/>
    <w:rsid w:val="001256C4"/>
    <w:rsid w:val="00126C9A"/>
    <w:rsid w:val="00127DAC"/>
    <w:rsid w:val="00130132"/>
    <w:rsid w:val="001302CD"/>
    <w:rsid w:val="001308B8"/>
    <w:rsid w:val="00130E22"/>
    <w:rsid w:val="0013112C"/>
    <w:rsid w:val="001311DD"/>
    <w:rsid w:val="00131337"/>
    <w:rsid w:val="00133D9D"/>
    <w:rsid w:val="00134271"/>
    <w:rsid w:val="00134346"/>
    <w:rsid w:val="001343E4"/>
    <w:rsid w:val="00134A03"/>
    <w:rsid w:val="00134D06"/>
    <w:rsid w:val="00135A41"/>
    <w:rsid w:val="001361EE"/>
    <w:rsid w:val="00136212"/>
    <w:rsid w:val="00136A3F"/>
    <w:rsid w:val="001378AA"/>
    <w:rsid w:val="001400C2"/>
    <w:rsid w:val="001400C6"/>
    <w:rsid w:val="00140182"/>
    <w:rsid w:val="00140E96"/>
    <w:rsid w:val="0014116D"/>
    <w:rsid w:val="0014120E"/>
    <w:rsid w:val="00141AA7"/>
    <w:rsid w:val="00141EB8"/>
    <w:rsid w:val="00142245"/>
    <w:rsid w:val="00143020"/>
    <w:rsid w:val="00143BFB"/>
    <w:rsid w:val="00143D02"/>
    <w:rsid w:val="00143D13"/>
    <w:rsid w:val="00144E56"/>
    <w:rsid w:val="00145D2B"/>
    <w:rsid w:val="00145F9E"/>
    <w:rsid w:val="00146931"/>
    <w:rsid w:val="00146F8A"/>
    <w:rsid w:val="0014774E"/>
    <w:rsid w:val="00150591"/>
    <w:rsid w:val="00151060"/>
    <w:rsid w:val="00151070"/>
    <w:rsid w:val="0015161F"/>
    <w:rsid w:val="001517EB"/>
    <w:rsid w:val="001526FA"/>
    <w:rsid w:val="00152E57"/>
    <w:rsid w:val="00153233"/>
    <w:rsid w:val="00153A6B"/>
    <w:rsid w:val="00153A8D"/>
    <w:rsid w:val="00153E06"/>
    <w:rsid w:val="001544E6"/>
    <w:rsid w:val="00154C5D"/>
    <w:rsid w:val="001551B6"/>
    <w:rsid w:val="00155500"/>
    <w:rsid w:val="00155612"/>
    <w:rsid w:val="00155F1F"/>
    <w:rsid w:val="001568D5"/>
    <w:rsid w:val="0015694F"/>
    <w:rsid w:val="0015725D"/>
    <w:rsid w:val="0016001D"/>
    <w:rsid w:val="001601A8"/>
    <w:rsid w:val="00160275"/>
    <w:rsid w:val="00160522"/>
    <w:rsid w:val="001606E5"/>
    <w:rsid w:val="001606F8"/>
    <w:rsid w:val="00160936"/>
    <w:rsid w:val="00160E85"/>
    <w:rsid w:val="00160F08"/>
    <w:rsid w:val="001619CA"/>
    <w:rsid w:val="001624D8"/>
    <w:rsid w:val="00162A86"/>
    <w:rsid w:val="00162EF4"/>
    <w:rsid w:val="001635C5"/>
    <w:rsid w:val="001638DF"/>
    <w:rsid w:val="001644B8"/>
    <w:rsid w:val="00164639"/>
    <w:rsid w:val="001647FF"/>
    <w:rsid w:val="0016556A"/>
    <w:rsid w:val="00165B6B"/>
    <w:rsid w:val="00165B80"/>
    <w:rsid w:val="00165D98"/>
    <w:rsid w:val="00166EEF"/>
    <w:rsid w:val="0016701A"/>
    <w:rsid w:val="00167180"/>
    <w:rsid w:val="00167A83"/>
    <w:rsid w:val="00170FA2"/>
    <w:rsid w:val="00172DCD"/>
    <w:rsid w:val="00173897"/>
    <w:rsid w:val="00173D93"/>
    <w:rsid w:val="001757FC"/>
    <w:rsid w:val="00175AF5"/>
    <w:rsid w:val="0017650B"/>
    <w:rsid w:val="0017672F"/>
    <w:rsid w:val="00176B58"/>
    <w:rsid w:val="00176E81"/>
    <w:rsid w:val="0017712E"/>
    <w:rsid w:val="0017756E"/>
    <w:rsid w:val="00177EC3"/>
    <w:rsid w:val="00177F23"/>
    <w:rsid w:val="00180172"/>
    <w:rsid w:val="00181792"/>
    <w:rsid w:val="001830E9"/>
    <w:rsid w:val="001832C7"/>
    <w:rsid w:val="0018393E"/>
    <w:rsid w:val="00183DB7"/>
    <w:rsid w:val="001840F5"/>
    <w:rsid w:val="001842E5"/>
    <w:rsid w:val="0018445E"/>
    <w:rsid w:val="00185072"/>
    <w:rsid w:val="00185376"/>
    <w:rsid w:val="001855F1"/>
    <w:rsid w:val="00186EFD"/>
    <w:rsid w:val="00187194"/>
    <w:rsid w:val="001871C5"/>
    <w:rsid w:val="001873F3"/>
    <w:rsid w:val="00187C1D"/>
    <w:rsid w:val="00187C2E"/>
    <w:rsid w:val="00187F86"/>
    <w:rsid w:val="00190122"/>
    <w:rsid w:val="00190C35"/>
    <w:rsid w:val="00190C52"/>
    <w:rsid w:val="00190D09"/>
    <w:rsid w:val="0019119B"/>
    <w:rsid w:val="00191AAA"/>
    <w:rsid w:val="00191BC8"/>
    <w:rsid w:val="00192743"/>
    <w:rsid w:val="00192912"/>
    <w:rsid w:val="001931BC"/>
    <w:rsid w:val="001937CD"/>
    <w:rsid w:val="00193E2E"/>
    <w:rsid w:val="00193EBF"/>
    <w:rsid w:val="00194B54"/>
    <w:rsid w:val="00195D3C"/>
    <w:rsid w:val="0019752C"/>
    <w:rsid w:val="00197737"/>
    <w:rsid w:val="00197B00"/>
    <w:rsid w:val="00197EA8"/>
    <w:rsid w:val="00197FFA"/>
    <w:rsid w:val="001A02D7"/>
    <w:rsid w:val="001A13ED"/>
    <w:rsid w:val="001A1C48"/>
    <w:rsid w:val="001A2EF4"/>
    <w:rsid w:val="001A2F48"/>
    <w:rsid w:val="001A3024"/>
    <w:rsid w:val="001A45C3"/>
    <w:rsid w:val="001A5322"/>
    <w:rsid w:val="001A63BC"/>
    <w:rsid w:val="001A6A5F"/>
    <w:rsid w:val="001A6B2E"/>
    <w:rsid w:val="001A6DA8"/>
    <w:rsid w:val="001A7098"/>
    <w:rsid w:val="001A7684"/>
    <w:rsid w:val="001B018B"/>
    <w:rsid w:val="001B0314"/>
    <w:rsid w:val="001B035C"/>
    <w:rsid w:val="001B1503"/>
    <w:rsid w:val="001B26B5"/>
    <w:rsid w:val="001B2752"/>
    <w:rsid w:val="001B2B87"/>
    <w:rsid w:val="001B32AB"/>
    <w:rsid w:val="001B3641"/>
    <w:rsid w:val="001B37CB"/>
    <w:rsid w:val="001B3F8E"/>
    <w:rsid w:val="001B4224"/>
    <w:rsid w:val="001B431A"/>
    <w:rsid w:val="001B44DF"/>
    <w:rsid w:val="001B5EB6"/>
    <w:rsid w:val="001B7606"/>
    <w:rsid w:val="001C0190"/>
    <w:rsid w:val="001C0692"/>
    <w:rsid w:val="001C0F7B"/>
    <w:rsid w:val="001C12B4"/>
    <w:rsid w:val="001C1687"/>
    <w:rsid w:val="001C31D4"/>
    <w:rsid w:val="001C3874"/>
    <w:rsid w:val="001C4C66"/>
    <w:rsid w:val="001C51C3"/>
    <w:rsid w:val="001C5CD6"/>
    <w:rsid w:val="001D012F"/>
    <w:rsid w:val="001D1C93"/>
    <w:rsid w:val="001D21B2"/>
    <w:rsid w:val="001D25A3"/>
    <w:rsid w:val="001D2EDB"/>
    <w:rsid w:val="001D32DB"/>
    <w:rsid w:val="001D4707"/>
    <w:rsid w:val="001D48F6"/>
    <w:rsid w:val="001D5724"/>
    <w:rsid w:val="001D5C60"/>
    <w:rsid w:val="001D5D12"/>
    <w:rsid w:val="001D61CB"/>
    <w:rsid w:val="001D636C"/>
    <w:rsid w:val="001D63D4"/>
    <w:rsid w:val="001D6613"/>
    <w:rsid w:val="001D67B1"/>
    <w:rsid w:val="001D7497"/>
    <w:rsid w:val="001D759B"/>
    <w:rsid w:val="001D770B"/>
    <w:rsid w:val="001E0070"/>
    <w:rsid w:val="001E0856"/>
    <w:rsid w:val="001E10C8"/>
    <w:rsid w:val="001E2ADF"/>
    <w:rsid w:val="001E3337"/>
    <w:rsid w:val="001E4BB7"/>
    <w:rsid w:val="001E528B"/>
    <w:rsid w:val="001E542E"/>
    <w:rsid w:val="001E5561"/>
    <w:rsid w:val="001E5E8F"/>
    <w:rsid w:val="001E6A07"/>
    <w:rsid w:val="001E701C"/>
    <w:rsid w:val="001E7B85"/>
    <w:rsid w:val="001E7DA6"/>
    <w:rsid w:val="001F01A8"/>
    <w:rsid w:val="001F04A6"/>
    <w:rsid w:val="001F0AFF"/>
    <w:rsid w:val="001F0BAB"/>
    <w:rsid w:val="001F1C3C"/>
    <w:rsid w:val="001F1F62"/>
    <w:rsid w:val="001F2135"/>
    <w:rsid w:val="001F246F"/>
    <w:rsid w:val="001F2F11"/>
    <w:rsid w:val="001F326C"/>
    <w:rsid w:val="001F37D0"/>
    <w:rsid w:val="001F3894"/>
    <w:rsid w:val="001F40B6"/>
    <w:rsid w:val="001F4194"/>
    <w:rsid w:val="001F4C1B"/>
    <w:rsid w:val="001F4C65"/>
    <w:rsid w:val="001F4E93"/>
    <w:rsid w:val="001F5052"/>
    <w:rsid w:val="001F5188"/>
    <w:rsid w:val="001F51A4"/>
    <w:rsid w:val="001F5CDD"/>
    <w:rsid w:val="001F6251"/>
    <w:rsid w:val="001F656B"/>
    <w:rsid w:val="001F6A3F"/>
    <w:rsid w:val="002000F9"/>
    <w:rsid w:val="00202152"/>
    <w:rsid w:val="00202CDF"/>
    <w:rsid w:val="0020300F"/>
    <w:rsid w:val="002030AD"/>
    <w:rsid w:val="00203500"/>
    <w:rsid w:val="00203650"/>
    <w:rsid w:val="00205E46"/>
    <w:rsid w:val="00206B34"/>
    <w:rsid w:val="00207DE8"/>
    <w:rsid w:val="00207FDE"/>
    <w:rsid w:val="00211E88"/>
    <w:rsid w:val="002127CB"/>
    <w:rsid w:val="00213104"/>
    <w:rsid w:val="0021458C"/>
    <w:rsid w:val="002147D5"/>
    <w:rsid w:val="00214856"/>
    <w:rsid w:val="002148CA"/>
    <w:rsid w:val="00214AA6"/>
    <w:rsid w:val="0021730F"/>
    <w:rsid w:val="00217484"/>
    <w:rsid w:val="0021782B"/>
    <w:rsid w:val="00220127"/>
    <w:rsid w:val="00220257"/>
    <w:rsid w:val="002208C0"/>
    <w:rsid w:val="002209D7"/>
    <w:rsid w:val="00221C01"/>
    <w:rsid w:val="00221E98"/>
    <w:rsid w:val="0022240A"/>
    <w:rsid w:val="002225CA"/>
    <w:rsid w:val="002229E8"/>
    <w:rsid w:val="002232AC"/>
    <w:rsid w:val="002236EA"/>
    <w:rsid w:val="00223E88"/>
    <w:rsid w:val="0022411F"/>
    <w:rsid w:val="00224C31"/>
    <w:rsid w:val="00225321"/>
    <w:rsid w:val="002262BA"/>
    <w:rsid w:val="00227625"/>
    <w:rsid w:val="00227CF1"/>
    <w:rsid w:val="00227D5E"/>
    <w:rsid w:val="002300B4"/>
    <w:rsid w:val="00230943"/>
    <w:rsid w:val="00231F66"/>
    <w:rsid w:val="0023219B"/>
    <w:rsid w:val="00233291"/>
    <w:rsid w:val="002335CB"/>
    <w:rsid w:val="002347B9"/>
    <w:rsid w:val="00234802"/>
    <w:rsid w:val="00234AE6"/>
    <w:rsid w:val="00234EFC"/>
    <w:rsid w:val="00234FE4"/>
    <w:rsid w:val="0023619D"/>
    <w:rsid w:val="00236B56"/>
    <w:rsid w:val="00237233"/>
    <w:rsid w:val="002375C4"/>
    <w:rsid w:val="00237660"/>
    <w:rsid w:val="00237BEF"/>
    <w:rsid w:val="00237CE2"/>
    <w:rsid w:val="00240A53"/>
    <w:rsid w:val="00241615"/>
    <w:rsid w:val="0024211A"/>
    <w:rsid w:val="0024236F"/>
    <w:rsid w:val="00243A77"/>
    <w:rsid w:val="00243C22"/>
    <w:rsid w:val="002445BB"/>
    <w:rsid w:val="002460D7"/>
    <w:rsid w:val="00246263"/>
    <w:rsid w:val="0024699F"/>
    <w:rsid w:val="00247960"/>
    <w:rsid w:val="00247E5D"/>
    <w:rsid w:val="0025074E"/>
    <w:rsid w:val="0025083A"/>
    <w:rsid w:val="00250B99"/>
    <w:rsid w:val="00251D56"/>
    <w:rsid w:val="00251FEA"/>
    <w:rsid w:val="002520DF"/>
    <w:rsid w:val="00252F7B"/>
    <w:rsid w:val="00253014"/>
    <w:rsid w:val="00253071"/>
    <w:rsid w:val="00253561"/>
    <w:rsid w:val="002538BD"/>
    <w:rsid w:val="0025428B"/>
    <w:rsid w:val="00254962"/>
    <w:rsid w:val="0025520C"/>
    <w:rsid w:val="0025530A"/>
    <w:rsid w:val="00255F02"/>
    <w:rsid w:val="00255F45"/>
    <w:rsid w:val="00256039"/>
    <w:rsid w:val="00256648"/>
    <w:rsid w:val="00257A31"/>
    <w:rsid w:val="0026090F"/>
    <w:rsid w:val="00260E05"/>
    <w:rsid w:val="00260ED2"/>
    <w:rsid w:val="002627A7"/>
    <w:rsid w:val="00263131"/>
    <w:rsid w:val="00263872"/>
    <w:rsid w:val="00263D02"/>
    <w:rsid w:val="00263EF2"/>
    <w:rsid w:val="00264A37"/>
    <w:rsid w:val="00264CCB"/>
    <w:rsid w:val="0026559D"/>
    <w:rsid w:val="00265E9E"/>
    <w:rsid w:val="0026649D"/>
    <w:rsid w:val="002665E7"/>
    <w:rsid w:val="002669C5"/>
    <w:rsid w:val="00266D9A"/>
    <w:rsid w:val="00267D45"/>
    <w:rsid w:val="002714D2"/>
    <w:rsid w:val="00271BF3"/>
    <w:rsid w:val="0027304B"/>
    <w:rsid w:val="0027311C"/>
    <w:rsid w:val="00273D27"/>
    <w:rsid w:val="0027498F"/>
    <w:rsid w:val="00274C3F"/>
    <w:rsid w:val="00274D2E"/>
    <w:rsid w:val="002768AE"/>
    <w:rsid w:val="00276AE2"/>
    <w:rsid w:val="00277109"/>
    <w:rsid w:val="002772A7"/>
    <w:rsid w:val="00277668"/>
    <w:rsid w:val="0028041B"/>
    <w:rsid w:val="002808EB"/>
    <w:rsid w:val="0028227F"/>
    <w:rsid w:val="00282684"/>
    <w:rsid w:val="00282C02"/>
    <w:rsid w:val="00282E55"/>
    <w:rsid w:val="002837F0"/>
    <w:rsid w:val="00283939"/>
    <w:rsid w:val="00285243"/>
    <w:rsid w:val="0028527C"/>
    <w:rsid w:val="002858D7"/>
    <w:rsid w:val="00285CC8"/>
    <w:rsid w:val="00286B19"/>
    <w:rsid w:val="002874C5"/>
    <w:rsid w:val="00287DFF"/>
    <w:rsid w:val="00291A61"/>
    <w:rsid w:val="00291F16"/>
    <w:rsid w:val="00291F25"/>
    <w:rsid w:val="00292B85"/>
    <w:rsid w:val="00292E89"/>
    <w:rsid w:val="00293C65"/>
    <w:rsid w:val="00293D76"/>
    <w:rsid w:val="00293EB3"/>
    <w:rsid w:val="00293F8D"/>
    <w:rsid w:val="002947A5"/>
    <w:rsid w:val="00295264"/>
    <w:rsid w:val="0029555D"/>
    <w:rsid w:val="002955CF"/>
    <w:rsid w:val="002969DF"/>
    <w:rsid w:val="00296BF7"/>
    <w:rsid w:val="00297140"/>
    <w:rsid w:val="00297928"/>
    <w:rsid w:val="002A02D6"/>
    <w:rsid w:val="002A070E"/>
    <w:rsid w:val="002A0AD3"/>
    <w:rsid w:val="002A0F07"/>
    <w:rsid w:val="002A0FA7"/>
    <w:rsid w:val="002A14AE"/>
    <w:rsid w:val="002A1928"/>
    <w:rsid w:val="002A34D4"/>
    <w:rsid w:val="002A3A14"/>
    <w:rsid w:val="002A404A"/>
    <w:rsid w:val="002A5090"/>
    <w:rsid w:val="002A528D"/>
    <w:rsid w:val="002A53DD"/>
    <w:rsid w:val="002A5896"/>
    <w:rsid w:val="002A5A28"/>
    <w:rsid w:val="002A61D0"/>
    <w:rsid w:val="002A77C5"/>
    <w:rsid w:val="002B0284"/>
    <w:rsid w:val="002B0B8A"/>
    <w:rsid w:val="002B1594"/>
    <w:rsid w:val="002B1622"/>
    <w:rsid w:val="002B2BD9"/>
    <w:rsid w:val="002B2EDC"/>
    <w:rsid w:val="002B3404"/>
    <w:rsid w:val="002B4027"/>
    <w:rsid w:val="002B42A8"/>
    <w:rsid w:val="002B448A"/>
    <w:rsid w:val="002B5202"/>
    <w:rsid w:val="002B5595"/>
    <w:rsid w:val="002B597F"/>
    <w:rsid w:val="002B59E2"/>
    <w:rsid w:val="002B5C29"/>
    <w:rsid w:val="002B62CA"/>
    <w:rsid w:val="002B6C15"/>
    <w:rsid w:val="002B712E"/>
    <w:rsid w:val="002B75C1"/>
    <w:rsid w:val="002B7E6C"/>
    <w:rsid w:val="002B7F06"/>
    <w:rsid w:val="002C06B8"/>
    <w:rsid w:val="002C0E99"/>
    <w:rsid w:val="002C13A2"/>
    <w:rsid w:val="002C140D"/>
    <w:rsid w:val="002C2408"/>
    <w:rsid w:val="002C3439"/>
    <w:rsid w:val="002C39B4"/>
    <w:rsid w:val="002C3A4E"/>
    <w:rsid w:val="002C4C13"/>
    <w:rsid w:val="002C51F6"/>
    <w:rsid w:val="002C5A37"/>
    <w:rsid w:val="002C6C5C"/>
    <w:rsid w:val="002C6FD9"/>
    <w:rsid w:val="002C7B02"/>
    <w:rsid w:val="002D0B48"/>
    <w:rsid w:val="002D13ED"/>
    <w:rsid w:val="002D180F"/>
    <w:rsid w:val="002D1EA0"/>
    <w:rsid w:val="002D2259"/>
    <w:rsid w:val="002D2521"/>
    <w:rsid w:val="002D28FE"/>
    <w:rsid w:val="002D2C67"/>
    <w:rsid w:val="002D32C6"/>
    <w:rsid w:val="002D36D0"/>
    <w:rsid w:val="002D3CBD"/>
    <w:rsid w:val="002D4753"/>
    <w:rsid w:val="002D4B98"/>
    <w:rsid w:val="002D50CD"/>
    <w:rsid w:val="002D5709"/>
    <w:rsid w:val="002D5884"/>
    <w:rsid w:val="002D61A8"/>
    <w:rsid w:val="002D6616"/>
    <w:rsid w:val="002D70CE"/>
    <w:rsid w:val="002D746B"/>
    <w:rsid w:val="002D7508"/>
    <w:rsid w:val="002D7673"/>
    <w:rsid w:val="002D77EE"/>
    <w:rsid w:val="002D78B4"/>
    <w:rsid w:val="002E1A2F"/>
    <w:rsid w:val="002E25F6"/>
    <w:rsid w:val="002E31D5"/>
    <w:rsid w:val="002E34CE"/>
    <w:rsid w:val="002E37CE"/>
    <w:rsid w:val="002E4C9E"/>
    <w:rsid w:val="002E4D8B"/>
    <w:rsid w:val="002E55C8"/>
    <w:rsid w:val="002E58B5"/>
    <w:rsid w:val="002E6952"/>
    <w:rsid w:val="002E6ECF"/>
    <w:rsid w:val="002E72DF"/>
    <w:rsid w:val="002E7B51"/>
    <w:rsid w:val="002E7D40"/>
    <w:rsid w:val="002E7E59"/>
    <w:rsid w:val="002F0646"/>
    <w:rsid w:val="002F29CE"/>
    <w:rsid w:val="002F2BC2"/>
    <w:rsid w:val="002F49E0"/>
    <w:rsid w:val="002F4F64"/>
    <w:rsid w:val="002F5029"/>
    <w:rsid w:val="002F5F7D"/>
    <w:rsid w:val="002F61B6"/>
    <w:rsid w:val="002F61E4"/>
    <w:rsid w:val="002F675F"/>
    <w:rsid w:val="002F70FA"/>
    <w:rsid w:val="002F78EE"/>
    <w:rsid w:val="002F7913"/>
    <w:rsid w:val="002F797D"/>
    <w:rsid w:val="002F7D09"/>
    <w:rsid w:val="00300BFC"/>
    <w:rsid w:val="003010B8"/>
    <w:rsid w:val="003022D3"/>
    <w:rsid w:val="00303324"/>
    <w:rsid w:val="003039A4"/>
    <w:rsid w:val="00303F71"/>
    <w:rsid w:val="00304041"/>
    <w:rsid w:val="00304935"/>
    <w:rsid w:val="0030517A"/>
    <w:rsid w:val="003053C7"/>
    <w:rsid w:val="003055D6"/>
    <w:rsid w:val="003057CB"/>
    <w:rsid w:val="0030586A"/>
    <w:rsid w:val="00305E0C"/>
    <w:rsid w:val="00305F59"/>
    <w:rsid w:val="003066DD"/>
    <w:rsid w:val="00306E53"/>
    <w:rsid w:val="00307C27"/>
    <w:rsid w:val="00310014"/>
    <w:rsid w:val="003103EA"/>
    <w:rsid w:val="0031054C"/>
    <w:rsid w:val="00311747"/>
    <w:rsid w:val="00312189"/>
    <w:rsid w:val="00312AB3"/>
    <w:rsid w:val="00312B74"/>
    <w:rsid w:val="00312C2D"/>
    <w:rsid w:val="00312FDB"/>
    <w:rsid w:val="00312FED"/>
    <w:rsid w:val="00313C07"/>
    <w:rsid w:val="003151D5"/>
    <w:rsid w:val="0031544F"/>
    <w:rsid w:val="003159D9"/>
    <w:rsid w:val="00315A61"/>
    <w:rsid w:val="00315B3A"/>
    <w:rsid w:val="0031614C"/>
    <w:rsid w:val="00317FBD"/>
    <w:rsid w:val="00317FEC"/>
    <w:rsid w:val="003203E2"/>
    <w:rsid w:val="00321022"/>
    <w:rsid w:val="00321B56"/>
    <w:rsid w:val="00324315"/>
    <w:rsid w:val="003257BF"/>
    <w:rsid w:val="00326135"/>
    <w:rsid w:val="003264E2"/>
    <w:rsid w:val="00326C8C"/>
    <w:rsid w:val="003272A7"/>
    <w:rsid w:val="00330291"/>
    <w:rsid w:val="003315BF"/>
    <w:rsid w:val="00331B9D"/>
    <w:rsid w:val="00331FF7"/>
    <w:rsid w:val="00332157"/>
    <w:rsid w:val="00332CD1"/>
    <w:rsid w:val="00332DB5"/>
    <w:rsid w:val="003333C6"/>
    <w:rsid w:val="00333581"/>
    <w:rsid w:val="003342F2"/>
    <w:rsid w:val="00335C16"/>
    <w:rsid w:val="00336E40"/>
    <w:rsid w:val="00337382"/>
    <w:rsid w:val="003376E4"/>
    <w:rsid w:val="00340024"/>
    <w:rsid w:val="00340085"/>
    <w:rsid w:val="00342112"/>
    <w:rsid w:val="00342CC7"/>
    <w:rsid w:val="00343613"/>
    <w:rsid w:val="0034365E"/>
    <w:rsid w:val="00343B69"/>
    <w:rsid w:val="00343C5E"/>
    <w:rsid w:val="003447E9"/>
    <w:rsid w:val="00345172"/>
    <w:rsid w:val="00345615"/>
    <w:rsid w:val="00345D3A"/>
    <w:rsid w:val="00345E29"/>
    <w:rsid w:val="003461C0"/>
    <w:rsid w:val="00346469"/>
    <w:rsid w:val="00346625"/>
    <w:rsid w:val="00346FB6"/>
    <w:rsid w:val="00347176"/>
    <w:rsid w:val="00347189"/>
    <w:rsid w:val="00347210"/>
    <w:rsid w:val="00347504"/>
    <w:rsid w:val="00347DEB"/>
    <w:rsid w:val="00350567"/>
    <w:rsid w:val="00350ABF"/>
    <w:rsid w:val="00350E45"/>
    <w:rsid w:val="00352692"/>
    <w:rsid w:val="00352EA2"/>
    <w:rsid w:val="00353BFB"/>
    <w:rsid w:val="00353C10"/>
    <w:rsid w:val="00353E58"/>
    <w:rsid w:val="0035453D"/>
    <w:rsid w:val="00354709"/>
    <w:rsid w:val="00356DF0"/>
    <w:rsid w:val="00357FAF"/>
    <w:rsid w:val="0036177A"/>
    <w:rsid w:val="00362AA5"/>
    <w:rsid w:val="00363822"/>
    <w:rsid w:val="00363C2A"/>
    <w:rsid w:val="00363FE2"/>
    <w:rsid w:val="003646C0"/>
    <w:rsid w:val="003651A2"/>
    <w:rsid w:val="00365A01"/>
    <w:rsid w:val="003678C0"/>
    <w:rsid w:val="00367E54"/>
    <w:rsid w:val="00367F51"/>
    <w:rsid w:val="00370CCF"/>
    <w:rsid w:val="003710E7"/>
    <w:rsid w:val="003715D6"/>
    <w:rsid w:val="00371705"/>
    <w:rsid w:val="00371B97"/>
    <w:rsid w:val="003723E8"/>
    <w:rsid w:val="003724EB"/>
    <w:rsid w:val="00372A0B"/>
    <w:rsid w:val="00374231"/>
    <w:rsid w:val="003744F8"/>
    <w:rsid w:val="00374D6C"/>
    <w:rsid w:val="00375172"/>
    <w:rsid w:val="0037550B"/>
    <w:rsid w:val="003757BF"/>
    <w:rsid w:val="003757F0"/>
    <w:rsid w:val="00375C84"/>
    <w:rsid w:val="00376200"/>
    <w:rsid w:val="00376CD0"/>
    <w:rsid w:val="003774B9"/>
    <w:rsid w:val="0037798B"/>
    <w:rsid w:val="00377C70"/>
    <w:rsid w:val="00377EA2"/>
    <w:rsid w:val="003812AA"/>
    <w:rsid w:val="003812F9"/>
    <w:rsid w:val="003822D3"/>
    <w:rsid w:val="0038244D"/>
    <w:rsid w:val="00383071"/>
    <w:rsid w:val="003834BF"/>
    <w:rsid w:val="0038448E"/>
    <w:rsid w:val="003852E1"/>
    <w:rsid w:val="0038629C"/>
    <w:rsid w:val="00386672"/>
    <w:rsid w:val="003868B9"/>
    <w:rsid w:val="00390B3C"/>
    <w:rsid w:val="003914C8"/>
    <w:rsid w:val="00391558"/>
    <w:rsid w:val="0039179D"/>
    <w:rsid w:val="00391B26"/>
    <w:rsid w:val="00391C98"/>
    <w:rsid w:val="00391E22"/>
    <w:rsid w:val="00391F05"/>
    <w:rsid w:val="00392F2B"/>
    <w:rsid w:val="003934C6"/>
    <w:rsid w:val="00393744"/>
    <w:rsid w:val="003939CC"/>
    <w:rsid w:val="00394458"/>
    <w:rsid w:val="003944B0"/>
    <w:rsid w:val="00394853"/>
    <w:rsid w:val="00394945"/>
    <w:rsid w:val="0039495D"/>
    <w:rsid w:val="00394C87"/>
    <w:rsid w:val="00394EA9"/>
    <w:rsid w:val="00394F4D"/>
    <w:rsid w:val="003951AC"/>
    <w:rsid w:val="003953A2"/>
    <w:rsid w:val="00395CFA"/>
    <w:rsid w:val="00395DE8"/>
    <w:rsid w:val="00396825"/>
    <w:rsid w:val="003A0AA4"/>
    <w:rsid w:val="003A0E42"/>
    <w:rsid w:val="003A381C"/>
    <w:rsid w:val="003A45C6"/>
    <w:rsid w:val="003A492C"/>
    <w:rsid w:val="003A4B70"/>
    <w:rsid w:val="003A5814"/>
    <w:rsid w:val="003A59E0"/>
    <w:rsid w:val="003A62B1"/>
    <w:rsid w:val="003A63F5"/>
    <w:rsid w:val="003A653E"/>
    <w:rsid w:val="003A78D2"/>
    <w:rsid w:val="003B0C72"/>
    <w:rsid w:val="003B10F0"/>
    <w:rsid w:val="003B1421"/>
    <w:rsid w:val="003B26DF"/>
    <w:rsid w:val="003B2C6F"/>
    <w:rsid w:val="003B2E6B"/>
    <w:rsid w:val="003B3DF3"/>
    <w:rsid w:val="003B401C"/>
    <w:rsid w:val="003B46D0"/>
    <w:rsid w:val="003B56E5"/>
    <w:rsid w:val="003B6438"/>
    <w:rsid w:val="003B7145"/>
    <w:rsid w:val="003B77B1"/>
    <w:rsid w:val="003B79DA"/>
    <w:rsid w:val="003B7B25"/>
    <w:rsid w:val="003B7CA9"/>
    <w:rsid w:val="003C0899"/>
    <w:rsid w:val="003C10BD"/>
    <w:rsid w:val="003C1A61"/>
    <w:rsid w:val="003C1D1F"/>
    <w:rsid w:val="003C208D"/>
    <w:rsid w:val="003C2C8C"/>
    <w:rsid w:val="003C2D19"/>
    <w:rsid w:val="003C3580"/>
    <w:rsid w:val="003C3785"/>
    <w:rsid w:val="003C40FF"/>
    <w:rsid w:val="003C50DC"/>
    <w:rsid w:val="003C6D2C"/>
    <w:rsid w:val="003C6DF0"/>
    <w:rsid w:val="003C71B5"/>
    <w:rsid w:val="003C790E"/>
    <w:rsid w:val="003D0444"/>
    <w:rsid w:val="003D0C0E"/>
    <w:rsid w:val="003D18AD"/>
    <w:rsid w:val="003D1BEE"/>
    <w:rsid w:val="003D236B"/>
    <w:rsid w:val="003D2546"/>
    <w:rsid w:val="003D317D"/>
    <w:rsid w:val="003D35EE"/>
    <w:rsid w:val="003D3F34"/>
    <w:rsid w:val="003D43A0"/>
    <w:rsid w:val="003D4BAE"/>
    <w:rsid w:val="003D53FA"/>
    <w:rsid w:val="003D796C"/>
    <w:rsid w:val="003E2013"/>
    <w:rsid w:val="003E28BE"/>
    <w:rsid w:val="003E2CB3"/>
    <w:rsid w:val="003E39F4"/>
    <w:rsid w:val="003E4909"/>
    <w:rsid w:val="003E50C0"/>
    <w:rsid w:val="003E5776"/>
    <w:rsid w:val="003E587F"/>
    <w:rsid w:val="003E74D8"/>
    <w:rsid w:val="003F00CD"/>
    <w:rsid w:val="003F0C60"/>
    <w:rsid w:val="003F1231"/>
    <w:rsid w:val="003F22F6"/>
    <w:rsid w:val="003F2444"/>
    <w:rsid w:val="003F24B4"/>
    <w:rsid w:val="003F2A24"/>
    <w:rsid w:val="003F314D"/>
    <w:rsid w:val="003F489E"/>
    <w:rsid w:val="003F6102"/>
    <w:rsid w:val="003F61FC"/>
    <w:rsid w:val="003F628F"/>
    <w:rsid w:val="003F746A"/>
    <w:rsid w:val="003F7B35"/>
    <w:rsid w:val="00400121"/>
    <w:rsid w:val="00401055"/>
    <w:rsid w:val="00401414"/>
    <w:rsid w:val="0040169D"/>
    <w:rsid w:val="00401AC7"/>
    <w:rsid w:val="00401B29"/>
    <w:rsid w:val="00403372"/>
    <w:rsid w:val="004036EC"/>
    <w:rsid w:val="00404012"/>
    <w:rsid w:val="00404111"/>
    <w:rsid w:val="0040427E"/>
    <w:rsid w:val="0040428E"/>
    <w:rsid w:val="004047A6"/>
    <w:rsid w:val="00406370"/>
    <w:rsid w:val="0040649F"/>
    <w:rsid w:val="004068D1"/>
    <w:rsid w:val="004072F7"/>
    <w:rsid w:val="00407CBD"/>
    <w:rsid w:val="00410079"/>
    <w:rsid w:val="0041032A"/>
    <w:rsid w:val="00411E7C"/>
    <w:rsid w:val="0041206A"/>
    <w:rsid w:val="004125C8"/>
    <w:rsid w:val="00412F33"/>
    <w:rsid w:val="00412F57"/>
    <w:rsid w:val="004139C2"/>
    <w:rsid w:val="00413A48"/>
    <w:rsid w:val="00414795"/>
    <w:rsid w:val="0041485B"/>
    <w:rsid w:val="00414B50"/>
    <w:rsid w:val="00414EFF"/>
    <w:rsid w:val="00415F66"/>
    <w:rsid w:val="0041643A"/>
    <w:rsid w:val="00416B9C"/>
    <w:rsid w:val="00417098"/>
    <w:rsid w:val="004175AA"/>
    <w:rsid w:val="00417EC5"/>
    <w:rsid w:val="00420707"/>
    <w:rsid w:val="00420760"/>
    <w:rsid w:val="00421364"/>
    <w:rsid w:val="00421DDD"/>
    <w:rsid w:val="00421F07"/>
    <w:rsid w:val="00423231"/>
    <w:rsid w:val="00423D2A"/>
    <w:rsid w:val="00424ADF"/>
    <w:rsid w:val="00425426"/>
    <w:rsid w:val="004264A4"/>
    <w:rsid w:val="004266E5"/>
    <w:rsid w:val="00426782"/>
    <w:rsid w:val="004274C1"/>
    <w:rsid w:val="00427F4E"/>
    <w:rsid w:val="004306F1"/>
    <w:rsid w:val="00430881"/>
    <w:rsid w:val="00430C6E"/>
    <w:rsid w:val="004344EE"/>
    <w:rsid w:val="004345DE"/>
    <w:rsid w:val="0043507A"/>
    <w:rsid w:val="00435E75"/>
    <w:rsid w:val="004361FB"/>
    <w:rsid w:val="00436768"/>
    <w:rsid w:val="00436E25"/>
    <w:rsid w:val="00436E89"/>
    <w:rsid w:val="00436F85"/>
    <w:rsid w:val="00437173"/>
    <w:rsid w:val="00437522"/>
    <w:rsid w:val="00440315"/>
    <w:rsid w:val="00440742"/>
    <w:rsid w:val="00441DF1"/>
    <w:rsid w:val="004425E1"/>
    <w:rsid w:val="00442983"/>
    <w:rsid w:val="00442CAE"/>
    <w:rsid w:val="00444CCD"/>
    <w:rsid w:val="00444D30"/>
    <w:rsid w:val="0044563C"/>
    <w:rsid w:val="00445B67"/>
    <w:rsid w:val="00446031"/>
    <w:rsid w:val="00446526"/>
    <w:rsid w:val="0044707E"/>
    <w:rsid w:val="004478C4"/>
    <w:rsid w:val="00447F81"/>
    <w:rsid w:val="004501D7"/>
    <w:rsid w:val="004513FE"/>
    <w:rsid w:val="00452278"/>
    <w:rsid w:val="00452CD7"/>
    <w:rsid w:val="00452EA3"/>
    <w:rsid w:val="0045349A"/>
    <w:rsid w:val="004536EA"/>
    <w:rsid w:val="00453BD8"/>
    <w:rsid w:val="00453E30"/>
    <w:rsid w:val="00455656"/>
    <w:rsid w:val="00455B0F"/>
    <w:rsid w:val="00455EC4"/>
    <w:rsid w:val="00456520"/>
    <w:rsid w:val="00457296"/>
    <w:rsid w:val="00457FAB"/>
    <w:rsid w:val="0046037C"/>
    <w:rsid w:val="00460C14"/>
    <w:rsid w:val="00460F2D"/>
    <w:rsid w:val="004612B7"/>
    <w:rsid w:val="004615D0"/>
    <w:rsid w:val="00461A86"/>
    <w:rsid w:val="00461D99"/>
    <w:rsid w:val="00462129"/>
    <w:rsid w:val="0046244C"/>
    <w:rsid w:val="0046267D"/>
    <w:rsid w:val="00462734"/>
    <w:rsid w:val="00462CAF"/>
    <w:rsid w:val="00463C20"/>
    <w:rsid w:val="00464B3F"/>
    <w:rsid w:val="0046511E"/>
    <w:rsid w:val="00466408"/>
    <w:rsid w:val="0046696E"/>
    <w:rsid w:val="00466FB0"/>
    <w:rsid w:val="004677A9"/>
    <w:rsid w:val="00467AF1"/>
    <w:rsid w:val="00470280"/>
    <w:rsid w:val="00470457"/>
    <w:rsid w:val="00470502"/>
    <w:rsid w:val="004706E2"/>
    <w:rsid w:val="004715D7"/>
    <w:rsid w:val="00473F1E"/>
    <w:rsid w:val="00474311"/>
    <w:rsid w:val="00474E71"/>
    <w:rsid w:val="00475239"/>
    <w:rsid w:val="00475509"/>
    <w:rsid w:val="00476F78"/>
    <w:rsid w:val="00476FC4"/>
    <w:rsid w:val="00477539"/>
    <w:rsid w:val="00480792"/>
    <w:rsid w:val="004808BB"/>
    <w:rsid w:val="004813D8"/>
    <w:rsid w:val="004814C0"/>
    <w:rsid w:val="004821A1"/>
    <w:rsid w:val="004821FF"/>
    <w:rsid w:val="00482373"/>
    <w:rsid w:val="0048320D"/>
    <w:rsid w:val="00483515"/>
    <w:rsid w:val="0048415B"/>
    <w:rsid w:val="00484EFB"/>
    <w:rsid w:val="004860CE"/>
    <w:rsid w:val="00486927"/>
    <w:rsid w:val="00486AEF"/>
    <w:rsid w:val="00487C1D"/>
    <w:rsid w:val="00490297"/>
    <w:rsid w:val="00490D61"/>
    <w:rsid w:val="00490D8E"/>
    <w:rsid w:val="0049152D"/>
    <w:rsid w:val="00491A94"/>
    <w:rsid w:val="004923B1"/>
    <w:rsid w:val="00492BC1"/>
    <w:rsid w:val="00493804"/>
    <w:rsid w:val="004955F3"/>
    <w:rsid w:val="004956BE"/>
    <w:rsid w:val="00495C5F"/>
    <w:rsid w:val="004961E0"/>
    <w:rsid w:val="00496486"/>
    <w:rsid w:val="00496F72"/>
    <w:rsid w:val="0049758A"/>
    <w:rsid w:val="00497997"/>
    <w:rsid w:val="00497DC3"/>
    <w:rsid w:val="00497E56"/>
    <w:rsid w:val="004A0175"/>
    <w:rsid w:val="004A1D8E"/>
    <w:rsid w:val="004A2201"/>
    <w:rsid w:val="004A2C51"/>
    <w:rsid w:val="004A2E27"/>
    <w:rsid w:val="004A5703"/>
    <w:rsid w:val="004A69D0"/>
    <w:rsid w:val="004B0460"/>
    <w:rsid w:val="004B09F8"/>
    <w:rsid w:val="004B0BDB"/>
    <w:rsid w:val="004B1110"/>
    <w:rsid w:val="004B30D2"/>
    <w:rsid w:val="004B39CB"/>
    <w:rsid w:val="004B3BA4"/>
    <w:rsid w:val="004B4577"/>
    <w:rsid w:val="004B4721"/>
    <w:rsid w:val="004B4E43"/>
    <w:rsid w:val="004B5E5B"/>
    <w:rsid w:val="004B77A7"/>
    <w:rsid w:val="004C03E2"/>
    <w:rsid w:val="004C05E9"/>
    <w:rsid w:val="004C1F31"/>
    <w:rsid w:val="004C36E9"/>
    <w:rsid w:val="004C39E6"/>
    <w:rsid w:val="004C3DCA"/>
    <w:rsid w:val="004C4473"/>
    <w:rsid w:val="004C4AF4"/>
    <w:rsid w:val="004C4C3D"/>
    <w:rsid w:val="004C596C"/>
    <w:rsid w:val="004C6009"/>
    <w:rsid w:val="004C6567"/>
    <w:rsid w:val="004C6698"/>
    <w:rsid w:val="004C6BD0"/>
    <w:rsid w:val="004C7026"/>
    <w:rsid w:val="004C78D7"/>
    <w:rsid w:val="004D0B34"/>
    <w:rsid w:val="004D0E1E"/>
    <w:rsid w:val="004D1150"/>
    <w:rsid w:val="004D1C81"/>
    <w:rsid w:val="004D3616"/>
    <w:rsid w:val="004D38D9"/>
    <w:rsid w:val="004D39F4"/>
    <w:rsid w:val="004D3AE2"/>
    <w:rsid w:val="004D4EC6"/>
    <w:rsid w:val="004D5FD9"/>
    <w:rsid w:val="004D6ED6"/>
    <w:rsid w:val="004D6F31"/>
    <w:rsid w:val="004D75F6"/>
    <w:rsid w:val="004D76BC"/>
    <w:rsid w:val="004D770D"/>
    <w:rsid w:val="004D7914"/>
    <w:rsid w:val="004D7CF4"/>
    <w:rsid w:val="004D7E5C"/>
    <w:rsid w:val="004E0273"/>
    <w:rsid w:val="004E16AD"/>
    <w:rsid w:val="004E20D7"/>
    <w:rsid w:val="004E2596"/>
    <w:rsid w:val="004E3338"/>
    <w:rsid w:val="004E3E0C"/>
    <w:rsid w:val="004E3F2C"/>
    <w:rsid w:val="004E4071"/>
    <w:rsid w:val="004E4073"/>
    <w:rsid w:val="004E4378"/>
    <w:rsid w:val="004E440B"/>
    <w:rsid w:val="004E44AC"/>
    <w:rsid w:val="004E4505"/>
    <w:rsid w:val="004E53AF"/>
    <w:rsid w:val="004E61BB"/>
    <w:rsid w:val="004E6BC5"/>
    <w:rsid w:val="004E6F4D"/>
    <w:rsid w:val="004E70EE"/>
    <w:rsid w:val="004E7E24"/>
    <w:rsid w:val="004E7FBD"/>
    <w:rsid w:val="004F0323"/>
    <w:rsid w:val="004F0DE6"/>
    <w:rsid w:val="004F2228"/>
    <w:rsid w:val="004F2336"/>
    <w:rsid w:val="004F2956"/>
    <w:rsid w:val="004F35D5"/>
    <w:rsid w:val="004F3A15"/>
    <w:rsid w:val="004F563E"/>
    <w:rsid w:val="004F58F5"/>
    <w:rsid w:val="004F67DF"/>
    <w:rsid w:val="0050099E"/>
    <w:rsid w:val="005022F8"/>
    <w:rsid w:val="00502BEB"/>
    <w:rsid w:val="005034E4"/>
    <w:rsid w:val="00503B89"/>
    <w:rsid w:val="00504044"/>
    <w:rsid w:val="00504521"/>
    <w:rsid w:val="00505407"/>
    <w:rsid w:val="00505692"/>
    <w:rsid w:val="005056CF"/>
    <w:rsid w:val="00505F95"/>
    <w:rsid w:val="0050616A"/>
    <w:rsid w:val="0050619B"/>
    <w:rsid w:val="00506260"/>
    <w:rsid w:val="00506932"/>
    <w:rsid w:val="00506F57"/>
    <w:rsid w:val="0050709D"/>
    <w:rsid w:val="00507438"/>
    <w:rsid w:val="00507E7C"/>
    <w:rsid w:val="005104F9"/>
    <w:rsid w:val="00510E31"/>
    <w:rsid w:val="00510E4A"/>
    <w:rsid w:val="00511210"/>
    <w:rsid w:val="00511A4C"/>
    <w:rsid w:val="00511FDE"/>
    <w:rsid w:val="005129EB"/>
    <w:rsid w:val="00512A9C"/>
    <w:rsid w:val="00512C25"/>
    <w:rsid w:val="005133CF"/>
    <w:rsid w:val="0051383E"/>
    <w:rsid w:val="00514266"/>
    <w:rsid w:val="00514739"/>
    <w:rsid w:val="0051498D"/>
    <w:rsid w:val="0051556D"/>
    <w:rsid w:val="005159A4"/>
    <w:rsid w:val="00515D7D"/>
    <w:rsid w:val="00517240"/>
    <w:rsid w:val="005174D5"/>
    <w:rsid w:val="005175A5"/>
    <w:rsid w:val="00517911"/>
    <w:rsid w:val="005206DC"/>
    <w:rsid w:val="00520CD2"/>
    <w:rsid w:val="00521E0D"/>
    <w:rsid w:val="0052355A"/>
    <w:rsid w:val="00523DC9"/>
    <w:rsid w:val="0052462E"/>
    <w:rsid w:val="0052509B"/>
    <w:rsid w:val="00525F3F"/>
    <w:rsid w:val="00526B6A"/>
    <w:rsid w:val="00526C97"/>
    <w:rsid w:val="00527106"/>
    <w:rsid w:val="0053027B"/>
    <w:rsid w:val="005313EB"/>
    <w:rsid w:val="00531B2B"/>
    <w:rsid w:val="00532835"/>
    <w:rsid w:val="005329E5"/>
    <w:rsid w:val="00533C58"/>
    <w:rsid w:val="00533FA2"/>
    <w:rsid w:val="005363CA"/>
    <w:rsid w:val="00536FE9"/>
    <w:rsid w:val="00537462"/>
    <w:rsid w:val="00540087"/>
    <w:rsid w:val="00540254"/>
    <w:rsid w:val="00540937"/>
    <w:rsid w:val="00541061"/>
    <w:rsid w:val="00541AF2"/>
    <w:rsid w:val="005427BD"/>
    <w:rsid w:val="00542ABD"/>
    <w:rsid w:val="00542F5E"/>
    <w:rsid w:val="00543B48"/>
    <w:rsid w:val="00543FC9"/>
    <w:rsid w:val="0054428F"/>
    <w:rsid w:val="00544671"/>
    <w:rsid w:val="0054482D"/>
    <w:rsid w:val="005458B4"/>
    <w:rsid w:val="00545DC5"/>
    <w:rsid w:val="00545FFC"/>
    <w:rsid w:val="005501DA"/>
    <w:rsid w:val="005508E7"/>
    <w:rsid w:val="00551C99"/>
    <w:rsid w:val="00553A99"/>
    <w:rsid w:val="0055535C"/>
    <w:rsid w:val="0055652F"/>
    <w:rsid w:val="00556A5F"/>
    <w:rsid w:val="00556F86"/>
    <w:rsid w:val="005573FF"/>
    <w:rsid w:val="0056092E"/>
    <w:rsid w:val="0056127A"/>
    <w:rsid w:val="00563D82"/>
    <w:rsid w:val="00564C6E"/>
    <w:rsid w:val="00564D4D"/>
    <w:rsid w:val="00564D83"/>
    <w:rsid w:val="00565630"/>
    <w:rsid w:val="00565C09"/>
    <w:rsid w:val="00566510"/>
    <w:rsid w:val="00567210"/>
    <w:rsid w:val="005675B3"/>
    <w:rsid w:val="0056761A"/>
    <w:rsid w:val="00567977"/>
    <w:rsid w:val="00567CC6"/>
    <w:rsid w:val="00570062"/>
    <w:rsid w:val="00570211"/>
    <w:rsid w:val="005706A3"/>
    <w:rsid w:val="00570D72"/>
    <w:rsid w:val="0057170B"/>
    <w:rsid w:val="00572CAA"/>
    <w:rsid w:val="00573A30"/>
    <w:rsid w:val="00573D2D"/>
    <w:rsid w:val="005741AA"/>
    <w:rsid w:val="005741D2"/>
    <w:rsid w:val="00574428"/>
    <w:rsid w:val="00575052"/>
    <w:rsid w:val="005757AC"/>
    <w:rsid w:val="00575E06"/>
    <w:rsid w:val="00576495"/>
    <w:rsid w:val="00576676"/>
    <w:rsid w:val="005768CE"/>
    <w:rsid w:val="005771BC"/>
    <w:rsid w:val="00580010"/>
    <w:rsid w:val="005800BD"/>
    <w:rsid w:val="0058018E"/>
    <w:rsid w:val="005801DB"/>
    <w:rsid w:val="005815BE"/>
    <w:rsid w:val="0058181B"/>
    <w:rsid w:val="0058202F"/>
    <w:rsid w:val="00585160"/>
    <w:rsid w:val="005861A5"/>
    <w:rsid w:val="005861E2"/>
    <w:rsid w:val="00586239"/>
    <w:rsid w:val="00586898"/>
    <w:rsid w:val="00587567"/>
    <w:rsid w:val="00590D31"/>
    <w:rsid w:val="00590EC4"/>
    <w:rsid w:val="00592222"/>
    <w:rsid w:val="00592939"/>
    <w:rsid w:val="00592B0E"/>
    <w:rsid w:val="00592C23"/>
    <w:rsid w:val="00592C92"/>
    <w:rsid w:val="00594D7A"/>
    <w:rsid w:val="00594E13"/>
    <w:rsid w:val="005954AF"/>
    <w:rsid w:val="00595996"/>
    <w:rsid w:val="005959A7"/>
    <w:rsid w:val="00595E4F"/>
    <w:rsid w:val="0059705A"/>
    <w:rsid w:val="00597D80"/>
    <w:rsid w:val="005A0E34"/>
    <w:rsid w:val="005A0FF2"/>
    <w:rsid w:val="005A14DA"/>
    <w:rsid w:val="005A188B"/>
    <w:rsid w:val="005A18EE"/>
    <w:rsid w:val="005A343E"/>
    <w:rsid w:val="005A3820"/>
    <w:rsid w:val="005A3952"/>
    <w:rsid w:val="005A437F"/>
    <w:rsid w:val="005A4D67"/>
    <w:rsid w:val="005A5882"/>
    <w:rsid w:val="005A60A4"/>
    <w:rsid w:val="005A63BD"/>
    <w:rsid w:val="005A6D6D"/>
    <w:rsid w:val="005A71CB"/>
    <w:rsid w:val="005B0B4B"/>
    <w:rsid w:val="005B11A7"/>
    <w:rsid w:val="005B1CED"/>
    <w:rsid w:val="005B203F"/>
    <w:rsid w:val="005B2925"/>
    <w:rsid w:val="005B2F0E"/>
    <w:rsid w:val="005B38C4"/>
    <w:rsid w:val="005B3F89"/>
    <w:rsid w:val="005B424A"/>
    <w:rsid w:val="005B425C"/>
    <w:rsid w:val="005B42B9"/>
    <w:rsid w:val="005B4A67"/>
    <w:rsid w:val="005B4D33"/>
    <w:rsid w:val="005B5102"/>
    <w:rsid w:val="005B5B69"/>
    <w:rsid w:val="005B6052"/>
    <w:rsid w:val="005B6247"/>
    <w:rsid w:val="005B63A2"/>
    <w:rsid w:val="005B77D9"/>
    <w:rsid w:val="005B7DAD"/>
    <w:rsid w:val="005B7EE9"/>
    <w:rsid w:val="005C004E"/>
    <w:rsid w:val="005C01A5"/>
    <w:rsid w:val="005C02A5"/>
    <w:rsid w:val="005C0AFA"/>
    <w:rsid w:val="005C1C16"/>
    <w:rsid w:val="005C22C0"/>
    <w:rsid w:val="005C28B3"/>
    <w:rsid w:val="005C348C"/>
    <w:rsid w:val="005C3874"/>
    <w:rsid w:val="005C39EE"/>
    <w:rsid w:val="005C4189"/>
    <w:rsid w:val="005C4A76"/>
    <w:rsid w:val="005C4F51"/>
    <w:rsid w:val="005C5A9E"/>
    <w:rsid w:val="005C67EA"/>
    <w:rsid w:val="005C6EE7"/>
    <w:rsid w:val="005C796D"/>
    <w:rsid w:val="005C7C45"/>
    <w:rsid w:val="005D08B2"/>
    <w:rsid w:val="005D1502"/>
    <w:rsid w:val="005D182C"/>
    <w:rsid w:val="005D19C8"/>
    <w:rsid w:val="005D1DA7"/>
    <w:rsid w:val="005D1E5B"/>
    <w:rsid w:val="005D38E6"/>
    <w:rsid w:val="005D3B00"/>
    <w:rsid w:val="005D4088"/>
    <w:rsid w:val="005D43AD"/>
    <w:rsid w:val="005D4A0C"/>
    <w:rsid w:val="005D4FAB"/>
    <w:rsid w:val="005D5910"/>
    <w:rsid w:val="005D6086"/>
    <w:rsid w:val="005E0105"/>
    <w:rsid w:val="005E0B01"/>
    <w:rsid w:val="005E0B57"/>
    <w:rsid w:val="005E0D8C"/>
    <w:rsid w:val="005E300C"/>
    <w:rsid w:val="005E3104"/>
    <w:rsid w:val="005E488B"/>
    <w:rsid w:val="005E4CB0"/>
    <w:rsid w:val="005E59B4"/>
    <w:rsid w:val="005E600C"/>
    <w:rsid w:val="005E68CE"/>
    <w:rsid w:val="005E698C"/>
    <w:rsid w:val="005F0D2C"/>
    <w:rsid w:val="005F1144"/>
    <w:rsid w:val="005F171B"/>
    <w:rsid w:val="005F17CF"/>
    <w:rsid w:val="005F1AFC"/>
    <w:rsid w:val="005F1CC7"/>
    <w:rsid w:val="005F1CE6"/>
    <w:rsid w:val="005F296F"/>
    <w:rsid w:val="005F32C6"/>
    <w:rsid w:val="005F3E13"/>
    <w:rsid w:val="005F493A"/>
    <w:rsid w:val="005F4D5C"/>
    <w:rsid w:val="005F4F36"/>
    <w:rsid w:val="005F5506"/>
    <w:rsid w:val="005F5A0C"/>
    <w:rsid w:val="005F680A"/>
    <w:rsid w:val="005F6A7E"/>
    <w:rsid w:val="005F72A8"/>
    <w:rsid w:val="00600DFF"/>
    <w:rsid w:val="006011E8"/>
    <w:rsid w:val="00602705"/>
    <w:rsid w:val="00602D1D"/>
    <w:rsid w:val="006033C4"/>
    <w:rsid w:val="0060397D"/>
    <w:rsid w:val="00603A2F"/>
    <w:rsid w:val="00603C3A"/>
    <w:rsid w:val="00603CBE"/>
    <w:rsid w:val="00603FAB"/>
    <w:rsid w:val="00605217"/>
    <w:rsid w:val="00605F38"/>
    <w:rsid w:val="0060660B"/>
    <w:rsid w:val="00606620"/>
    <w:rsid w:val="0060790D"/>
    <w:rsid w:val="00611157"/>
    <w:rsid w:val="0061131E"/>
    <w:rsid w:val="006119FB"/>
    <w:rsid w:val="00612185"/>
    <w:rsid w:val="00612550"/>
    <w:rsid w:val="006125FF"/>
    <w:rsid w:val="00614D6E"/>
    <w:rsid w:val="0061533E"/>
    <w:rsid w:val="00615C83"/>
    <w:rsid w:val="00615E42"/>
    <w:rsid w:val="00616256"/>
    <w:rsid w:val="00616876"/>
    <w:rsid w:val="006174A3"/>
    <w:rsid w:val="006179FF"/>
    <w:rsid w:val="0062042B"/>
    <w:rsid w:val="00621418"/>
    <w:rsid w:val="006219A7"/>
    <w:rsid w:val="00622265"/>
    <w:rsid w:val="00623389"/>
    <w:rsid w:val="006241E5"/>
    <w:rsid w:val="006243AA"/>
    <w:rsid w:val="0062456F"/>
    <w:rsid w:val="0062474A"/>
    <w:rsid w:val="00624872"/>
    <w:rsid w:val="006249F9"/>
    <w:rsid w:val="00624A3A"/>
    <w:rsid w:val="00624C76"/>
    <w:rsid w:val="006255AB"/>
    <w:rsid w:val="00625E70"/>
    <w:rsid w:val="0062629B"/>
    <w:rsid w:val="00626A63"/>
    <w:rsid w:val="0062796F"/>
    <w:rsid w:val="00630A93"/>
    <w:rsid w:val="00630FAD"/>
    <w:rsid w:val="006312A7"/>
    <w:rsid w:val="0063133D"/>
    <w:rsid w:val="00631610"/>
    <w:rsid w:val="006316C0"/>
    <w:rsid w:val="00631720"/>
    <w:rsid w:val="00631988"/>
    <w:rsid w:val="00631ADA"/>
    <w:rsid w:val="006321C7"/>
    <w:rsid w:val="006325EF"/>
    <w:rsid w:val="00632913"/>
    <w:rsid w:val="0063306B"/>
    <w:rsid w:val="00633870"/>
    <w:rsid w:val="00633976"/>
    <w:rsid w:val="006339AE"/>
    <w:rsid w:val="00634655"/>
    <w:rsid w:val="00635357"/>
    <w:rsid w:val="0063592B"/>
    <w:rsid w:val="0063595B"/>
    <w:rsid w:val="00635C56"/>
    <w:rsid w:val="006367B1"/>
    <w:rsid w:val="00636A5A"/>
    <w:rsid w:val="00636ED0"/>
    <w:rsid w:val="00641A7C"/>
    <w:rsid w:val="00641C25"/>
    <w:rsid w:val="00642061"/>
    <w:rsid w:val="00642C1A"/>
    <w:rsid w:val="00642D3F"/>
    <w:rsid w:val="00642F21"/>
    <w:rsid w:val="00643226"/>
    <w:rsid w:val="00643525"/>
    <w:rsid w:val="0064397D"/>
    <w:rsid w:val="00644530"/>
    <w:rsid w:val="006459F7"/>
    <w:rsid w:val="00646086"/>
    <w:rsid w:val="0064639D"/>
    <w:rsid w:val="00646773"/>
    <w:rsid w:val="00647C06"/>
    <w:rsid w:val="006503E8"/>
    <w:rsid w:val="00650860"/>
    <w:rsid w:val="00651EB3"/>
    <w:rsid w:val="006524E5"/>
    <w:rsid w:val="006527BF"/>
    <w:rsid w:val="00653029"/>
    <w:rsid w:val="006539F1"/>
    <w:rsid w:val="00653CFD"/>
    <w:rsid w:val="00654F95"/>
    <w:rsid w:val="006558E5"/>
    <w:rsid w:val="00655955"/>
    <w:rsid w:val="006571FD"/>
    <w:rsid w:val="00657271"/>
    <w:rsid w:val="0065735C"/>
    <w:rsid w:val="00657CC9"/>
    <w:rsid w:val="00657E88"/>
    <w:rsid w:val="00660869"/>
    <w:rsid w:val="00660D53"/>
    <w:rsid w:val="00661896"/>
    <w:rsid w:val="00661EAE"/>
    <w:rsid w:val="006626D7"/>
    <w:rsid w:val="00663CDC"/>
    <w:rsid w:val="00663CE0"/>
    <w:rsid w:val="00664033"/>
    <w:rsid w:val="0066428C"/>
    <w:rsid w:val="0066610F"/>
    <w:rsid w:val="00666922"/>
    <w:rsid w:val="00666EED"/>
    <w:rsid w:val="00667260"/>
    <w:rsid w:val="00667E02"/>
    <w:rsid w:val="00667F6E"/>
    <w:rsid w:val="00670366"/>
    <w:rsid w:val="00670463"/>
    <w:rsid w:val="00670774"/>
    <w:rsid w:val="00670E9A"/>
    <w:rsid w:val="006713A4"/>
    <w:rsid w:val="00671768"/>
    <w:rsid w:val="00672015"/>
    <w:rsid w:val="00672135"/>
    <w:rsid w:val="006724FE"/>
    <w:rsid w:val="00672AAE"/>
    <w:rsid w:val="00672D68"/>
    <w:rsid w:val="006747FE"/>
    <w:rsid w:val="00675BE7"/>
    <w:rsid w:val="006762D1"/>
    <w:rsid w:val="006774FB"/>
    <w:rsid w:val="0067753F"/>
    <w:rsid w:val="006778BD"/>
    <w:rsid w:val="00677D11"/>
    <w:rsid w:val="006822D4"/>
    <w:rsid w:val="00682A46"/>
    <w:rsid w:val="006837A8"/>
    <w:rsid w:val="00683B5E"/>
    <w:rsid w:val="0068412D"/>
    <w:rsid w:val="0068427D"/>
    <w:rsid w:val="006846AF"/>
    <w:rsid w:val="006851C0"/>
    <w:rsid w:val="0068597E"/>
    <w:rsid w:val="00685982"/>
    <w:rsid w:val="00685E16"/>
    <w:rsid w:val="00686075"/>
    <w:rsid w:val="00686279"/>
    <w:rsid w:val="006869D7"/>
    <w:rsid w:val="006875EE"/>
    <w:rsid w:val="006877A4"/>
    <w:rsid w:val="00687A9D"/>
    <w:rsid w:val="006902F7"/>
    <w:rsid w:val="0069065A"/>
    <w:rsid w:val="0069149C"/>
    <w:rsid w:val="0069163B"/>
    <w:rsid w:val="00691B34"/>
    <w:rsid w:val="00691F05"/>
    <w:rsid w:val="0069293F"/>
    <w:rsid w:val="006932BD"/>
    <w:rsid w:val="00693CAC"/>
    <w:rsid w:val="006945F2"/>
    <w:rsid w:val="006951F5"/>
    <w:rsid w:val="0069525D"/>
    <w:rsid w:val="00696DE9"/>
    <w:rsid w:val="00696E27"/>
    <w:rsid w:val="00697150"/>
    <w:rsid w:val="00697358"/>
    <w:rsid w:val="006A03FB"/>
    <w:rsid w:val="006A165B"/>
    <w:rsid w:val="006A1767"/>
    <w:rsid w:val="006A23FA"/>
    <w:rsid w:val="006A2C1E"/>
    <w:rsid w:val="006A31A4"/>
    <w:rsid w:val="006A324E"/>
    <w:rsid w:val="006A360A"/>
    <w:rsid w:val="006A56C3"/>
    <w:rsid w:val="006A5966"/>
    <w:rsid w:val="006A6508"/>
    <w:rsid w:val="006A6679"/>
    <w:rsid w:val="006B0357"/>
    <w:rsid w:val="006B0401"/>
    <w:rsid w:val="006B0A83"/>
    <w:rsid w:val="006B0CF3"/>
    <w:rsid w:val="006B198E"/>
    <w:rsid w:val="006B2461"/>
    <w:rsid w:val="006B3AEA"/>
    <w:rsid w:val="006B4102"/>
    <w:rsid w:val="006B448E"/>
    <w:rsid w:val="006B5733"/>
    <w:rsid w:val="006B70ED"/>
    <w:rsid w:val="006B7363"/>
    <w:rsid w:val="006B7D10"/>
    <w:rsid w:val="006B7FBB"/>
    <w:rsid w:val="006C1224"/>
    <w:rsid w:val="006C1D1B"/>
    <w:rsid w:val="006C24DB"/>
    <w:rsid w:val="006C27A8"/>
    <w:rsid w:val="006C4538"/>
    <w:rsid w:val="006C49BB"/>
    <w:rsid w:val="006C5601"/>
    <w:rsid w:val="006C5EDD"/>
    <w:rsid w:val="006C62F6"/>
    <w:rsid w:val="006C7AB0"/>
    <w:rsid w:val="006C7CDA"/>
    <w:rsid w:val="006D00A8"/>
    <w:rsid w:val="006D0AC5"/>
    <w:rsid w:val="006D0FDF"/>
    <w:rsid w:val="006D1F9F"/>
    <w:rsid w:val="006D22B8"/>
    <w:rsid w:val="006D23E4"/>
    <w:rsid w:val="006D2815"/>
    <w:rsid w:val="006D2FE4"/>
    <w:rsid w:val="006D354F"/>
    <w:rsid w:val="006D4CAD"/>
    <w:rsid w:val="006D5404"/>
    <w:rsid w:val="006D5911"/>
    <w:rsid w:val="006D5E7A"/>
    <w:rsid w:val="006D5F66"/>
    <w:rsid w:val="006D62A6"/>
    <w:rsid w:val="006D6AFD"/>
    <w:rsid w:val="006D71A2"/>
    <w:rsid w:val="006D71D5"/>
    <w:rsid w:val="006D7A01"/>
    <w:rsid w:val="006D7B43"/>
    <w:rsid w:val="006D7F97"/>
    <w:rsid w:val="006E031D"/>
    <w:rsid w:val="006E03CF"/>
    <w:rsid w:val="006E04E6"/>
    <w:rsid w:val="006E0970"/>
    <w:rsid w:val="006E0AFA"/>
    <w:rsid w:val="006E1212"/>
    <w:rsid w:val="006E1998"/>
    <w:rsid w:val="006E21F9"/>
    <w:rsid w:val="006E2613"/>
    <w:rsid w:val="006E2690"/>
    <w:rsid w:val="006E40AB"/>
    <w:rsid w:val="006E48A6"/>
    <w:rsid w:val="006E4BE2"/>
    <w:rsid w:val="006E5071"/>
    <w:rsid w:val="006E5557"/>
    <w:rsid w:val="006E56BF"/>
    <w:rsid w:val="006E59F5"/>
    <w:rsid w:val="006E5D8F"/>
    <w:rsid w:val="006E624C"/>
    <w:rsid w:val="006E6256"/>
    <w:rsid w:val="006E7090"/>
    <w:rsid w:val="006E772E"/>
    <w:rsid w:val="006F11A9"/>
    <w:rsid w:val="006F135D"/>
    <w:rsid w:val="006F1BD5"/>
    <w:rsid w:val="006F2338"/>
    <w:rsid w:val="006F2D64"/>
    <w:rsid w:val="006F36BD"/>
    <w:rsid w:val="006F3C9B"/>
    <w:rsid w:val="006F3EE7"/>
    <w:rsid w:val="006F4094"/>
    <w:rsid w:val="006F44C4"/>
    <w:rsid w:val="006F44DB"/>
    <w:rsid w:val="006F5530"/>
    <w:rsid w:val="006F56E5"/>
    <w:rsid w:val="006F60E4"/>
    <w:rsid w:val="006F6B5A"/>
    <w:rsid w:val="006F7404"/>
    <w:rsid w:val="006F799B"/>
    <w:rsid w:val="006F7AC4"/>
    <w:rsid w:val="006F7AE5"/>
    <w:rsid w:val="006F7FAA"/>
    <w:rsid w:val="0070055C"/>
    <w:rsid w:val="00700B17"/>
    <w:rsid w:val="00700DB0"/>
    <w:rsid w:val="007010D3"/>
    <w:rsid w:val="0070199E"/>
    <w:rsid w:val="00702464"/>
    <w:rsid w:val="0070299A"/>
    <w:rsid w:val="00703991"/>
    <w:rsid w:val="00703F84"/>
    <w:rsid w:val="0070470A"/>
    <w:rsid w:val="007056B0"/>
    <w:rsid w:val="007059C6"/>
    <w:rsid w:val="007063B5"/>
    <w:rsid w:val="0070653C"/>
    <w:rsid w:val="00707287"/>
    <w:rsid w:val="00707932"/>
    <w:rsid w:val="0071084C"/>
    <w:rsid w:val="00710D28"/>
    <w:rsid w:val="00710D33"/>
    <w:rsid w:val="00710D89"/>
    <w:rsid w:val="00712751"/>
    <w:rsid w:val="007127D2"/>
    <w:rsid w:val="00712DB1"/>
    <w:rsid w:val="00712F82"/>
    <w:rsid w:val="007134C5"/>
    <w:rsid w:val="00713D6B"/>
    <w:rsid w:val="00714676"/>
    <w:rsid w:val="007149FF"/>
    <w:rsid w:val="00714B63"/>
    <w:rsid w:val="00715125"/>
    <w:rsid w:val="00715996"/>
    <w:rsid w:val="007159F7"/>
    <w:rsid w:val="00715AD2"/>
    <w:rsid w:val="00716F34"/>
    <w:rsid w:val="00716FFA"/>
    <w:rsid w:val="0071776F"/>
    <w:rsid w:val="00717A19"/>
    <w:rsid w:val="00717E7B"/>
    <w:rsid w:val="0072035B"/>
    <w:rsid w:val="00720E9D"/>
    <w:rsid w:val="00721140"/>
    <w:rsid w:val="007215D0"/>
    <w:rsid w:val="0072255E"/>
    <w:rsid w:val="00722571"/>
    <w:rsid w:val="0072304E"/>
    <w:rsid w:val="0072464A"/>
    <w:rsid w:val="00724B7F"/>
    <w:rsid w:val="00724BD7"/>
    <w:rsid w:val="00726259"/>
    <w:rsid w:val="007264DE"/>
    <w:rsid w:val="00727838"/>
    <w:rsid w:val="007309AD"/>
    <w:rsid w:val="00730E71"/>
    <w:rsid w:val="00731929"/>
    <w:rsid w:val="00732216"/>
    <w:rsid w:val="0073254B"/>
    <w:rsid w:val="00732AB4"/>
    <w:rsid w:val="00735152"/>
    <w:rsid w:val="00736D1A"/>
    <w:rsid w:val="0073758E"/>
    <w:rsid w:val="0073787A"/>
    <w:rsid w:val="00740484"/>
    <w:rsid w:val="00740ADD"/>
    <w:rsid w:val="0074152A"/>
    <w:rsid w:val="00741796"/>
    <w:rsid w:val="007423F1"/>
    <w:rsid w:val="00742DA4"/>
    <w:rsid w:val="00744859"/>
    <w:rsid w:val="00744B94"/>
    <w:rsid w:val="00745014"/>
    <w:rsid w:val="007452A3"/>
    <w:rsid w:val="00745BD3"/>
    <w:rsid w:val="00746D5F"/>
    <w:rsid w:val="00746DB8"/>
    <w:rsid w:val="007472BF"/>
    <w:rsid w:val="0074779F"/>
    <w:rsid w:val="00747C4F"/>
    <w:rsid w:val="007501BB"/>
    <w:rsid w:val="007505A4"/>
    <w:rsid w:val="00750614"/>
    <w:rsid w:val="00750994"/>
    <w:rsid w:val="00751158"/>
    <w:rsid w:val="007513BF"/>
    <w:rsid w:val="0075196D"/>
    <w:rsid w:val="007519E0"/>
    <w:rsid w:val="00751FA0"/>
    <w:rsid w:val="0075203E"/>
    <w:rsid w:val="007520B8"/>
    <w:rsid w:val="007522AC"/>
    <w:rsid w:val="0075336C"/>
    <w:rsid w:val="0075349D"/>
    <w:rsid w:val="007536F3"/>
    <w:rsid w:val="00753D7F"/>
    <w:rsid w:val="00754F54"/>
    <w:rsid w:val="007555F7"/>
    <w:rsid w:val="0075586A"/>
    <w:rsid w:val="00755BEB"/>
    <w:rsid w:val="00755F19"/>
    <w:rsid w:val="007561D5"/>
    <w:rsid w:val="0075709D"/>
    <w:rsid w:val="00757345"/>
    <w:rsid w:val="007578E9"/>
    <w:rsid w:val="00757A36"/>
    <w:rsid w:val="00757F03"/>
    <w:rsid w:val="00760043"/>
    <w:rsid w:val="00760262"/>
    <w:rsid w:val="007602A5"/>
    <w:rsid w:val="00762C0A"/>
    <w:rsid w:val="00762EE9"/>
    <w:rsid w:val="007644AF"/>
    <w:rsid w:val="00764521"/>
    <w:rsid w:val="0076505F"/>
    <w:rsid w:val="007652B6"/>
    <w:rsid w:val="007652E6"/>
    <w:rsid w:val="00766072"/>
    <w:rsid w:val="007669AA"/>
    <w:rsid w:val="007671B2"/>
    <w:rsid w:val="00767B73"/>
    <w:rsid w:val="00767FE7"/>
    <w:rsid w:val="00770937"/>
    <w:rsid w:val="00770DD6"/>
    <w:rsid w:val="00771055"/>
    <w:rsid w:val="0077216F"/>
    <w:rsid w:val="00772C68"/>
    <w:rsid w:val="00772FCD"/>
    <w:rsid w:val="00773043"/>
    <w:rsid w:val="00773F09"/>
    <w:rsid w:val="00773F23"/>
    <w:rsid w:val="0077466A"/>
    <w:rsid w:val="007753FF"/>
    <w:rsid w:val="00775E9E"/>
    <w:rsid w:val="00775FD4"/>
    <w:rsid w:val="007761E8"/>
    <w:rsid w:val="007766C2"/>
    <w:rsid w:val="00776C7A"/>
    <w:rsid w:val="00777119"/>
    <w:rsid w:val="00777449"/>
    <w:rsid w:val="00777961"/>
    <w:rsid w:val="00777F08"/>
    <w:rsid w:val="00780753"/>
    <w:rsid w:val="0078129A"/>
    <w:rsid w:val="007814D0"/>
    <w:rsid w:val="00781884"/>
    <w:rsid w:val="00782F63"/>
    <w:rsid w:val="00783844"/>
    <w:rsid w:val="00784052"/>
    <w:rsid w:val="007844B7"/>
    <w:rsid w:val="00785B4C"/>
    <w:rsid w:val="00785F94"/>
    <w:rsid w:val="00786826"/>
    <w:rsid w:val="00786857"/>
    <w:rsid w:val="007879A1"/>
    <w:rsid w:val="00787E8A"/>
    <w:rsid w:val="007914ED"/>
    <w:rsid w:val="00792C5B"/>
    <w:rsid w:val="00793D13"/>
    <w:rsid w:val="0079419D"/>
    <w:rsid w:val="0079487C"/>
    <w:rsid w:val="00794F29"/>
    <w:rsid w:val="00795219"/>
    <w:rsid w:val="00795AA2"/>
    <w:rsid w:val="00795B7C"/>
    <w:rsid w:val="00795BE8"/>
    <w:rsid w:val="00795FF9"/>
    <w:rsid w:val="007967C6"/>
    <w:rsid w:val="00796A0F"/>
    <w:rsid w:val="00796B8E"/>
    <w:rsid w:val="00797918"/>
    <w:rsid w:val="00797A6C"/>
    <w:rsid w:val="00797C60"/>
    <w:rsid w:val="007A220D"/>
    <w:rsid w:val="007A2F4E"/>
    <w:rsid w:val="007A4599"/>
    <w:rsid w:val="007A629B"/>
    <w:rsid w:val="007A68F7"/>
    <w:rsid w:val="007A69A9"/>
    <w:rsid w:val="007A7C45"/>
    <w:rsid w:val="007B0C4F"/>
    <w:rsid w:val="007B0DCB"/>
    <w:rsid w:val="007B1366"/>
    <w:rsid w:val="007B1B60"/>
    <w:rsid w:val="007B1E0E"/>
    <w:rsid w:val="007B21AC"/>
    <w:rsid w:val="007B292A"/>
    <w:rsid w:val="007B2F82"/>
    <w:rsid w:val="007B33A1"/>
    <w:rsid w:val="007B3430"/>
    <w:rsid w:val="007B3CF2"/>
    <w:rsid w:val="007B43C5"/>
    <w:rsid w:val="007B44C2"/>
    <w:rsid w:val="007B488A"/>
    <w:rsid w:val="007B4B04"/>
    <w:rsid w:val="007B4BF1"/>
    <w:rsid w:val="007B5EC5"/>
    <w:rsid w:val="007B62D7"/>
    <w:rsid w:val="007B6CAB"/>
    <w:rsid w:val="007B719B"/>
    <w:rsid w:val="007B7360"/>
    <w:rsid w:val="007C15C2"/>
    <w:rsid w:val="007C2265"/>
    <w:rsid w:val="007C2573"/>
    <w:rsid w:val="007C3A15"/>
    <w:rsid w:val="007C43EF"/>
    <w:rsid w:val="007C46D3"/>
    <w:rsid w:val="007C4B3B"/>
    <w:rsid w:val="007C5EA7"/>
    <w:rsid w:val="007C7FA2"/>
    <w:rsid w:val="007D0224"/>
    <w:rsid w:val="007D032A"/>
    <w:rsid w:val="007D0B7C"/>
    <w:rsid w:val="007D0C52"/>
    <w:rsid w:val="007D101E"/>
    <w:rsid w:val="007D19E4"/>
    <w:rsid w:val="007D1ACB"/>
    <w:rsid w:val="007D204A"/>
    <w:rsid w:val="007D2252"/>
    <w:rsid w:val="007D29D6"/>
    <w:rsid w:val="007D2F4B"/>
    <w:rsid w:val="007D3505"/>
    <w:rsid w:val="007D36FF"/>
    <w:rsid w:val="007D4628"/>
    <w:rsid w:val="007D4B0C"/>
    <w:rsid w:val="007D5472"/>
    <w:rsid w:val="007D61F0"/>
    <w:rsid w:val="007D624E"/>
    <w:rsid w:val="007D62B1"/>
    <w:rsid w:val="007D6704"/>
    <w:rsid w:val="007D6AB6"/>
    <w:rsid w:val="007D7200"/>
    <w:rsid w:val="007D7C5B"/>
    <w:rsid w:val="007E020C"/>
    <w:rsid w:val="007E06CF"/>
    <w:rsid w:val="007E09E8"/>
    <w:rsid w:val="007E1E62"/>
    <w:rsid w:val="007E1FCE"/>
    <w:rsid w:val="007E2655"/>
    <w:rsid w:val="007E302C"/>
    <w:rsid w:val="007E30EC"/>
    <w:rsid w:val="007E3300"/>
    <w:rsid w:val="007E39B2"/>
    <w:rsid w:val="007E4858"/>
    <w:rsid w:val="007E4F95"/>
    <w:rsid w:val="007E52C6"/>
    <w:rsid w:val="007E6984"/>
    <w:rsid w:val="007E77B3"/>
    <w:rsid w:val="007E77F9"/>
    <w:rsid w:val="007F0CF8"/>
    <w:rsid w:val="007F160B"/>
    <w:rsid w:val="007F2661"/>
    <w:rsid w:val="007F2B7A"/>
    <w:rsid w:val="007F3538"/>
    <w:rsid w:val="007F3A47"/>
    <w:rsid w:val="007F3F25"/>
    <w:rsid w:val="007F41F1"/>
    <w:rsid w:val="007F4E36"/>
    <w:rsid w:val="007F4EA5"/>
    <w:rsid w:val="007F5C83"/>
    <w:rsid w:val="007F63AE"/>
    <w:rsid w:val="007F68C2"/>
    <w:rsid w:val="007F6960"/>
    <w:rsid w:val="007F69F9"/>
    <w:rsid w:val="007F6EB3"/>
    <w:rsid w:val="007F743B"/>
    <w:rsid w:val="007F743E"/>
    <w:rsid w:val="007F7734"/>
    <w:rsid w:val="007F7FF5"/>
    <w:rsid w:val="00800291"/>
    <w:rsid w:val="008005CD"/>
    <w:rsid w:val="0080077A"/>
    <w:rsid w:val="00800CC3"/>
    <w:rsid w:val="0080140E"/>
    <w:rsid w:val="0080189D"/>
    <w:rsid w:val="00802245"/>
    <w:rsid w:val="00803C3A"/>
    <w:rsid w:val="00804690"/>
    <w:rsid w:val="008048C6"/>
    <w:rsid w:val="008049A2"/>
    <w:rsid w:val="00804DF8"/>
    <w:rsid w:val="008056D2"/>
    <w:rsid w:val="00806193"/>
    <w:rsid w:val="00806B5B"/>
    <w:rsid w:val="00807360"/>
    <w:rsid w:val="00807DFE"/>
    <w:rsid w:val="00811475"/>
    <w:rsid w:val="008135A4"/>
    <w:rsid w:val="00813932"/>
    <w:rsid w:val="0081454B"/>
    <w:rsid w:val="00814DAE"/>
    <w:rsid w:val="0081518D"/>
    <w:rsid w:val="0081586A"/>
    <w:rsid w:val="00815888"/>
    <w:rsid w:val="00815D24"/>
    <w:rsid w:val="00815E2C"/>
    <w:rsid w:val="00816AAC"/>
    <w:rsid w:val="00816C14"/>
    <w:rsid w:val="00816DBD"/>
    <w:rsid w:val="008173A2"/>
    <w:rsid w:val="00817610"/>
    <w:rsid w:val="0081779E"/>
    <w:rsid w:val="008201B9"/>
    <w:rsid w:val="00820364"/>
    <w:rsid w:val="00820597"/>
    <w:rsid w:val="00821299"/>
    <w:rsid w:val="00821414"/>
    <w:rsid w:val="00821606"/>
    <w:rsid w:val="008223B7"/>
    <w:rsid w:val="008224D0"/>
    <w:rsid w:val="008226C5"/>
    <w:rsid w:val="008232FA"/>
    <w:rsid w:val="00823590"/>
    <w:rsid w:val="00824056"/>
    <w:rsid w:val="0082415E"/>
    <w:rsid w:val="00825F21"/>
    <w:rsid w:val="00827523"/>
    <w:rsid w:val="00827CCA"/>
    <w:rsid w:val="00832162"/>
    <w:rsid w:val="00833103"/>
    <w:rsid w:val="008337E1"/>
    <w:rsid w:val="00833A64"/>
    <w:rsid w:val="00834939"/>
    <w:rsid w:val="00835554"/>
    <w:rsid w:val="00836102"/>
    <w:rsid w:val="00836802"/>
    <w:rsid w:val="00836FCD"/>
    <w:rsid w:val="00841952"/>
    <w:rsid w:val="008421A4"/>
    <w:rsid w:val="00842A2F"/>
    <w:rsid w:val="00843185"/>
    <w:rsid w:val="008433A6"/>
    <w:rsid w:val="00843404"/>
    <w:rsid w:val="00843674"/>
    <w:rsid w:val="00843BB1"/>
    <w:rsid w:val="00843D47"/>
    <w:rsid w:val="008447D0"/>
    <w:rsid w:val="00844A37"/>
    <w:rsid w:val="00845444"/>
    <w:rsid w:val="0084557C"/>
    <w:rsid w:val="00845D6B"/>
    <w:rsid w:val="008461A8"/>
    <w:rsid w:val="00846371"/>
    <w:rsid w:val="00846A3E"/>
    <w:rsid w:val="008477AB"/>
    <w:rsid w:val="00847D82"/>
    <w:rsid w:val="00847FBB"/>
    <w:rsid w:val="00850181"/>
    <w:rsid w:val="0085064F"/>
    <w:rsid w:val="008507A6"/>
    <w:rsid w:val="00850DE9"/>
    <w:rsid w:val="008513E6"/>
    <w:rsid w:val="00851BFF"/>
    <w:rsid w:val="00851CFF"/>
    <w:rsid w:val="00852064"/>
    <w:rsid w:val="00852137"/>
    <w:rsid w:val="00852EC0"/>
    <w:rsid w:val="008534AA"/>
    <w:rsid w:val="0085379B"/>
    <w:rsid w:val="008542B0"/>
    <w:rsid w:val="00854549"/>
    <w:rsid w:val="00854C45"/>
    <w:rsid w:val="00856594"/>
    <w:rsid w:val="00857582"/>
    <w:rsid w:val="00857B54"/>
    <w:rsid w:val="00857DDB"/>
    <w:rsid w:val="00860151"/>
    <w:rsid w:val="00860847"/>
    <w:rsid w:val="00860D0C"/>
    <w:rsid w:val="00862C96"/>
    <w:rsid w:val="0086340B"/>
    <w:rsid w:val="0086343F"/>
    <w:rsid w:val="00863499"/>
    <w:rsid w:val="0086360D"/>
    <w:rsid w:val="00863BC5"/>
    <w:rsid w:val="00863F6B"/>
    <w:rsid w:val="00864267"/>
    <w:rsid w:val="00864DA5"/>
    <w:rsid w:val="00865A16"/>
    <w:rsid w:val="00865B2F"/>
    <w:rsid w:val="00865C25"/>
    <w:rsid w:val="008664A0"/>
    <w:rsid w:val="00866DD6"/>
    <w:rsid w:val="00866FC2"/>
    <w:rsid w:val="00867817"/>
    <w:rsid w:val="00870139"/>
    <w:rsid w:val="00872133"/>
    <w:rsid w:val="008729A4"/>
    <w:rsid w:val="008732D0"/>
    <w:rsid w:val="00873E38"/>
    <w:rsid w:val="00873E3A"/>
    <w:rsid w:val="008743D2"/>
    <w:rsid w:val="00874562"/>
    <w:rsid w:val="00874A01"/>
    <w:rsid w:val="008753C2"/>
    <w:rsid w:val="00875655"/>
    <w:rsid w:val="00875846"/>
    <w:rsid w:val="0087678C"/>
    <w:rsid w:val="008769CA"/>
    <w:rsid w:val="00877889"/>
    <w:rsid w:val="00880756"/>
    <w:rsid w:val="0088117C"/>
    <w:rsid w:val="008818C1"/>
    <w:rsid w:val="008837E3"/>
    <w:rsid w:val="0088444C"/>
    <w:rsid w:val="00884713"/>
    <w:rsid w:val="00884F64"/>
    <w:rsid w:val="0088520A"/>
    <w:rsid w:val="008854CD"/>
    <w:rsid w:val="0088576F"/>
    <w:rsid w:val="00885C4C"/>
    <w:rsid w:val="00885DCA"/>
    <w:rsid w:val="0088601E"/>
    <w:rsid w:val="00886770"/>
    <w:rsid w:val="00886F5C"/>
    <w:rsid w:val="00887242"/>
    <w:rsid w:val="0088771F"/>
    <w:rsid w:val="0089037A"/>
    <w:rsid w:val="0089075C"/>
    <w:rsid w:val="008907D2"/>
    <w:rsid w:val="008907F7"/>
    <w:rsid w:val="0089132F"/>
    <w:rsid w:val="008913EF"/>
    <w:rsid w:val="008914F8"/>
    <w:rsid w:val="00891D8A"/>
    <w:rsid w:val="008935F4"/>
    <w:rsid w:val="00893610"/>
    <w:rsid w:val="00893989"/>
    <w:rsid w:val="00894BEC"/>
    <w:rsid w:val="00896726"/>
    <w:rsid w:val="0089744D"/>
    <w:rsid w:val="00897C20"/>
    <w:rsid w:val="008A016C"/>
    <w:rsid w:val="008A03B1"/>
    <w:rsid w:val="008A086B"/>
    <w:rsid w:val="008A0B43"/>
    <w:rsid w:val="008A16D3"/>
    <w:rsid w:val="008A1D77"/>
    <w:rsid w:val="008A29A0"/>
    <w:rsid w:val="008A3426"/>
    <w:rsid w:val="008A3958"/>
    <w:rsid w:val="008A489C"/>
    <w:rsid w:val="008A4D7C"/>
    <w:rsid w:val="008A4E84"/>
    <w:rsid w:val="008A4FD6"/>
    <w:rsid w:val="008A5966"/>
    <w:rsid w:val="008A5C2D"/>
    <w:rsid w:val="008A61CA"/>
    <w:rsid w:val="008A62E3"/>
    <w:rsid w:val="008A63EB"/>
    <w:rsid w:val="008A6F30"/>
    <w:rsid w:val="008A76C7"/>
    <w:rsid w:val="008A7B5E"/>
    <w:rsid w:val="008B0296"/>
    <w:rsid w:val="008B02B7"/>
    <w:rsid w:val="008B0386"/>
    <w:rsid w:val="008B2397"/>
    <w:rsid w:val="008B2798"/>
    <w:rsid w:val="008B363D"/>
    <w:rsid w:val="008B56CF"/>
    <w:rsid w:val="008B59D7"/>
    <w:rsid w:val="008B5DC0"/>
    <w:rsid w:val="008B633A"/>
    <w:rsid w:val="008B68DF"/>
    <w:rsid w:val="008B6A04"/>
    <w:rsid w:val="008B7174"/>
    <w:rsid w:val="008B79CE"/>
    <w:rsid w:val="008B7ACE"/>
    <w:rsid w:val="008C0351"/>
    <w:rsid w:val="008C0538"/>
    <w:rsid w:val="008C0EDD"/>
    <w:rsid w:val="008C39C6"/>
    <w:rsid w:val="008C40AA"/>
    <w:rsid w:val="008C4956"/>
    <w:rsid w:val="008C4FA8"/>
    <w:rsid w:val="008C53C5"/>
    <w:rsid w:val="008C556D"/>
    <w:rsid w:val="008C5B9F"/>
    <w:rsid w:val="008C6224"/>
    <w:rsid w:val="008C6586"/>
    <w:rsid w:val="008C6B1D"/>
    <w:rsid w:val="008C6F39"/>
    <w:rsid w:val="008C74F6"/>
    <w:rsid w:val="008D073C"/>
    <w:rsid w:val="008D0F4F"/>
    <w:rsid w:val="008D1968"/>
    <w:rsid w:val="008D1EDF"/>
    <w:rsid w:val="008D1F85"/>
    <w:rsid w:val="008D35AC"/>
    <w:rsid w:val="008D5EE0"/>
    <w:rsid w:val="008D6910"/>
    <w:rsid w:val="008D7FE5"/>
    <w:rsid w:val="008E1998"/>
    <w:rsid w:val="008E1F31"/>
    <w:rsid w:val="008E2027"/>
    <w:rsid w:val="008E219A"/>
    <w:rsid w:val="008E2219"/>
    <w:rsid w:val="008E2398"/>
    <w:rsid w:val="008E3A49"/>
    <w:rsid w:val="008E443E"/>
    <w:rsid w:val="008E45E9"/>
    <w:rsid w:val="008E506F"/>
    <w:rsid w:val="008E5486"/>
    <w:rsid w:val="008E5F96"/>
    <w:rsid w:val="008E6150"/>
    <w:rsid w:val="008E659F"/>
    <w:rsid w:val="008E698A"/>
    <w:rsid w:val="008E724E"/>
    <w:rsid w:val="008E7CCA"/>
    <w:rsid w:val="008F0353"/>
    <w:rsid w:val="008F0DB9"/>
    <w:rsid w:val="008F0E9D"/>
    <w:rsid w:val="008F1996"/>
    <w:rsid w:val="008F19B9"/>
    <w:rsid w:val="008F289A"/>
    <w:rsid w:val="008F2E85"/>
    <w:rsid w:val="008F2F91"/>
    <w:rsid w:val="008F34AC"/>
    <w:rsid w:val="008F3B52"/>
    <w:rsid w:val="008F3FEA"/>
    <w:rsid w:val="008F491C"/>
    <w:rsid w:val="008F4A9C"/>
    <w:rsid w:val="008F4FD7"/>
    <w:rsid w:val="008F5149"/>
    <w:rsid w:val="008F552B"/>
    <w:rsid w:val="008F5716"/>
    <w:rsid w:val="008F70D4"/>
    <w:rsid w:val="008F764F"/>
    <w:rsid w:val="008F76F7"/>
    <w:rsid w:val="008F7966"/>
    <w:rsid w:val="008F7A1F"/>
    <w:rsid w:val="008F7C2D"/>
    <w:rsid w:val="00900E01"/>
    <w:rsid w:val="00901393"/>
    <w:rsid w:val="0090191A"/>
    <w:rsid w:val="00901CD8"/>
    <w:rsid w:val="00901E83"/>
    <w:rsid w:val="00901ED5"/>
    <w:rsid w:val="00901EEE"/>
    <w:rsid w:val="00903229"/>
    <w:rsid w:val="009033AC"/>
    <w:rsid w:val="009036E5"/>
    <w:rsid w:val="009038CF"/>
    <w:rsid w:val="009038D1"/>
    <w:rsid w:val="009040D3"/>
    <w:rsid w:val="0090456F"/>
    <w:rsid w:val="00905279"/>
    <w:rsid w:val="00905738"/>
    <w:rsid w:val="00905B6F"/>
    <w:rsid w:val="00905F18"/>
    <w:rsid w:val="00905F60"/>
    <w:rsid w:val="0090714F"/>
    <w:rsid w:val="009073C7"/>
    <w:rsid w:val="00910563"/>
    <w:rsid w:val="009106EE"/>
    <w:rsid w:val="00911166"/>
    <w:rsid w:val="009117F0"/>
    <w:rsid w:val="00911CF2"/>
    <w:rsid w:val="0091247F"/>
    <w:rsid w:val="009132C8"/>
    <w:rsid w:val="0091340F"/>
    <w:rsid w:val="00913CB8"/>
    <w:rsid w:val="00914F3C"/>
    <w:rsid w:val="00915C5C"/>
    <w:rsid w:val="0091647B"/>
    <w:rsid w:val="00916666"/>
    <w:rsid w:val="00917A6C"/>
    <w:rsid w:val="0092085C"/>
    <w:rsid w:val="00920F31"/>
    <w:rsid w:val="009219BF"/>
    <w:rsid w:val="00921E91"/>
    <w:rsid w:val="00922408"/>
    <w:rsid w:val="00922BB4"/>
    <w:rsid w:val="00922F1B"/>
    <w:rsid w:val="0092321E"/>
    <w:rsid w:val="009242FE"/>
    <w:rsid w:val="0092444F"/>
    <w:rsid w:val="00924CA0"/>
    <w:rsid w:val="0092533A"/>
    <w:rsid w:val="009258BD"/>
    <w:rsid w:val="0092660D"/>
    <w:rsid w:val="009268D1"/>
    <w:rsid w:val="00926F29"/>
    <w:rsid w:val="00927956"/>
    <w:rsid w:val="009301D5"/>
    <w:rsid w:val="009301EB"/>
    <w:rsid w:val="00930D07"/>
    <w:rsid w:val="00931633"/>
    <w:rsid w:val="00932034"/>
    <w:rsid w:val="00932189"/>
    <w:rsid w:val="009335A6"/>
    <w:rsid w:val="0093369F"/>
    <w:rsid w:val="00933A72"/>
    <w:rsid w:val="00934823"/>
    <w:rsid w:val="00934972"/>
    <w:rsid w:val="009350B4"/>
    <w:rsid w:val="009355A8"/>
    <w:rsid w:val="009363A8"/>
    <w:rsid w:val="00936CF0"/>
    <w:rsid w:val="009371A7"/>
    <w:rsid w:val="009371C6"/>
    <w:rsid w:val="00937910"/>
    <w:rsid w:val="00937B80"/>
    <w:rsid w:val="00937D9A"/>
    <w:rsid w:val="00940D5A"/>
    <w:rsid w:val="00940EFE"/>
    <w:rsid w:val="00941293"/>
    <w:rsid w:val="00941470"/>
    <w:rsid w:val="0094172D"/>
    <w:rsid w:val="00941845"/>
    <w:rsid w:val="009418EF"/>
    <w:rsid w:val="00941A36"/>
    <w:rsid w:val="00941CA8"/>
    <w:rsid w:val="00942175"/>
    <w:rsid w:val="0094296B"/>
    <w:rsid w:val="00942DC6"/>
    <w:rsid w:val="00942F34"/>
    <w:rsid w:val="00943DB2"/>
    <w:rsid w:val="009447A2"/>
    <w:rsid w:val="00944F9E"/>
    <w:rsid w:val="00945623"/>
    <w:rsid w:val="00945648"/>
    <w:rsid w:val="00945861"/>
    <w:rsid w:val="00945A12"/>
    <w:rsid w:val="009464A3"/>
    <w:rsid w:val="009474FD"/>
    <w:rsid w:val="00947B31"/>
    <w:rsid w:val="00950922"/>
    <w:rsid w:val="00951361"/>
    <w:rsid w:val="00951E09"/>
    <w:rsid w:val="009528C3"/>
    <w:rsid w:val="009529DF"/>
    <w:rsid w:val="00952C49"/>
    <w:rsid w:val="0095331C"/>
    <w:rsid w:val="00953B5A"/>
    <w:rsid w:val="00953FC7"/>
    <w:rsid w:val="00954C77"/>
    <w:rsid w:val="00955401"/>
    <w:rsid w:val="00956615"/>
    <w:rsid w:val="00956842"/>
    <w:rsid w:val="00956D6A"/>
    <w:rsid w:val="00957C4A"/>
    <w:rsid w:val="00960152"/>
    <w:rsid w:val="00961845"/>
    <w:rsid w:val="009619D2"/>
    <w:rsid w:val="00961B55"/>
    <w:rsid w:val="00961DCF"/>
    <w:rsid w:val="00962084"/>
    <w:rsid w:val="0096266B"/>
    <w:rsid w:val="00962E00"/>
    <w:rsid w:val="00963722"/>
    <w:rsid w:val="0096373A"/>
    <w:rsid w:val="00963831"/>
    <w:rsid w:val="00963931"/>
    <w:rsid w:val="00964043"/>
    <w:rsid w:val="00964332"/>
    <w:rsid w:val="00965321"/>
    <w:rsid w:val="00965D73"/>
    <w:rsid w:val="00965EC1"/>
    <w:rsid w:val="0096602F"/>
    <w:rsid w:val="00966A03"/>
    <w:rsid w:val="00967059"/>
    <w:rsid w:val="009705EB"/>
    <w:rsid w:val="00971796"/>
    <w:rsid w:val="00973623"/>
    <w:rsid w:val="00973716"/>
    <w:rsid w:val="00974186"/>
    <w:rsid w:val="00974778"/>
    <w:rsid w:val="00974969"/>
    <w:rsid w:val="00974F2E"/>
    <w:rsid w:val="009756C8"/>
    <w:rsid w:val="00975BCA"/>
    <w:rsid w:val="00975C6B"/>
    <w:rsid w:val="0097691C"/>
    <w:rsid w:val="00976AAD"/>
    <w:rsid w:val="00976F5B"/>
    <w:rsid w:val="00980761"/>
    <w:rsid w:val="00981DBB"/>
    <w:rsid w:val="00981F40"/>
    <w:rsid w:val="0098205F"/>
    <w:rsid w:val="009822F6"/>
    <w:rsid w:val="009839D5"/>
    <w:rsid w:val="00983D02"/>
    <w:rsid w:val="00984C95"/>
    <w:rsid w:val="009859BD"/>
    <w:rsid w:val="00985C23"/>
    <w:rsid w:val="00985E97"/>
    <w:rsid w:val="009869B8"/>
    <w:rsid w:val="00986D8E"/>
    <w:rsid w:val="009872CA"/>
    <w:rsid w:val="0099089E"/>
    <w:rsid w:val="009908EA"/>
    <w:rsid w:val="00991103"/>
    <w:rsid w:val="009934C4"/>
    <w:rsid w:val="00993637"/>
    <w:rsid w:val="00993703"/>
    <w:rsid w:val="00993715"/>
    <w:rsid w:val="0099441B"/>
    <w:rsid w:val="00995579"/>
    <w:rsid w:val="0099586C"/>
    <w:rsid w:val="00995A28"/>
    <w:rsid w:val="0099657B"/>
    <w:rsid w:val="00996C14"/>
    <w:rsid w:val="00997AD2"/>
    <w:rsid w:val="009A0467"/>
    <w:rsid w:val="009A0812"/>
    <w:rsid w:val="009A0A32"/>
    <w:rsid w:val="009A0CE5"/>
    <w:rsid w:val="009A0D04"/>
    <w:rsid w:val="009A11F0"/>
    <w:rsid w:val="009A1B81"/>
    <w:rsid w:val="009A2296"/>
    <w:rsid w:val="009A32F5"/>
    <w:rsid w:val="009A331A"/>
    <w:rsid w:val="009A390C"/>
    <w:rsid w:val="009A3FDA"/>
    <w:rsid w:val="009A4AAE"/>
    <w:rsid w:val="009A4E03"/>
    <w:rsid w:val="009A5C39"/>
    <w:rsid w:val="009A5EAB"/>
    <w:rsid w:val="009A5FEC"/>
    <w:rsid w:val="009A60D9"/>
    <w:rsid w:val="009A61DB"/>
    <w:rsid w:val="009A7E66"/>
    <w:rsid w:val="009B01A3"/>
    <w:rsid w:val="009B0B85"/>
    <w:rsid w:val="009B1641"/>
    <w:rsid w:val="009B1E61"/>
    <w:rsid w:val="009B1F03"/>
    <w:rsid w:val="009B2010"/>
    <w:rsid w:val="009B288C"/>
    <w:rsid w:val="009B2A50"/>
    <w:rsid w:val="009B2C35"/>
    <w:rsid w:val="009B51FD"/>
    <w:rsid w:val="009B5238"/>
    <w:rsid w:val="009B6795"/>
    <w:rsid w:val="009B6B22"/>
    <w:rsid w:val="009B781C"/>
    <w:rsid w:val="009C0379"/>
    <w:rsid w:val="009C06C7"/>
    <w:rsid w:val="009C164E"/>
    <w:rsid w:val="009C1736"/>
    <w:rsid w:val="009C1B7C"/>
    <w:rsid w:val="009C1D86"/>
    <w:rsid w:val="009C4A06"/>
    <w:rsid w:val="009C4C6E"/>
    <w:rsid w:val="009C5219"/>
    <w:rsid w:val="009C5274"/>
    <w:rsid w:val="009C62D1"/>
    <w:rsid w:val="009C633D"/>
    <w:rsid w:val="009C64D1"/>
    <w:rsid w:val="009C68B7"/>
    <w:rsid w:val="009C68F8"/>
    <w:rsid w:val="009C6B87"/>
    <w:rsid w:val="009C6FDF"/>
    <w:rsid w:val="009D040F"/>
    <w:rsid w:val="009D0A02"/>
    <w:rsid w:val="009D0A97"/>
    <w:rsid w:val="009D0B12"/>
    <w:rsid w:val="009D22AC"/>
    <w:rsid w:val="009D2596"/>
    <w:rsid w:val="009D283A"/>
    <w:rsid w:val="009D2EFF"/>
    <w:rsid w:val="009D3EF2"/>
    <w:rsid w:val="009D4BD8"/>
    <w:rsid w:val="009D4CDB"/>
    <w:rsid w:val="009D5540"/>
    <w:rsid w:val="009D59F2"/>
    <w:rsid w:val="009D5A18"/>
    <w:rsid w:val="009D60A3"/>
    <w:rsid w:val="009D6AC3"/>
    <w:rsid w:val="009D762E"/>
    <w:rsid w:val="009D7B13"/>
    <w:rsid w:val="009E03D6"/>
    <w:rsid w:val="009E0FCA"/>
    <w:rsid w:val="009E18F0"/>
    <w:rsid w:val="009E1C89"/>
    <w:rsid w:val="009E1F4C"/>
    <w:rsid w:val="009E2771"/>
    <w:rsid w:val="009E33BB"/>
    <w:rsid w:val="009E3761"/>
    <w:rsid w:val="009E3CE5"/>
    <w:rsid w:val="009E5FF4"/>
    <w:rsid w:val="009E67C4"/>
    <w:rsid w:val="009E7CC4"/>
    <w:rsid w:val="009F06FB"/>
    <w:rsid w:val="009F0B1F"/>
    <w:rsid w:val="009F0C4A"/>
    <w:rsid w:val="009F0E78"/>
    <w:rsid w:val="009F11D4"/>
    <w:rsid w:val="009F140C"/>
    <w:rsid w:val="009F1B5C"/>
    <w:rsid w:val="009F22BD"/>
    <w:rsid w:val="009F3614"/>
    <w:rsid w:val="009F3BD3"/>
    <w:rsid w:val="009F47D7"/>
    <w:rsid w:val="009F4A74"/>
    <w:rsid w:val="009F4D1F"/>
    <w:rsid w:val="009F511B"/>
    <w:rsid w:val="009F5174"/>
    <w:rsid w:val="009F56C2"/>
    <w:rsid w:val="009F6123"/>
    <w:rsid w:val="009F6903"/>
    <w:rsid w:val="009F6A70"/>
    <w:rsid w:val="009F6ED9"/>
    <w:rsid w:val="009F764A"/>
    <w:rsid w:val="009F7E9F"/>
    <w:rsid w:val="009F7FA6"/>
    <w:rsid w:val="00A01213"/>
    <w:rsid w:val="00A012FE"/>
    <w:rsid w:val="00A02224"/>
    <w:rsid w:val="00A02747"/>
    <w:rsid w:val="00A027F1"/>
    <w:rsid w:val="00A02ACB"/>
    <w:rsid w:val="00A02B17"/>
    <w:rsid w:val="00A0364A"/>
    <w:rsid w:val="00A039F9"/>
    <w:rsid w:val="00A04352"/>
    <w:rsid w:val="00A054C3"/>
    <w:rsid w:val="00A05DB8"/>
    <w:rsid w:val="00A06C75"/>
    <w:rsid w:val="00A06F6D"/>
    <w:rsid w:val="00A07573"/>
    <w:rsid w:val="00A10A19"/>
    <w:rsid w:val="00A116CD"/>
    <w:rsid w:val="00A1243C"/>
    <w:rsid w:val="00A125AF"/>
    <w:rsid w:val="00A1330C"/>
    <w:rsid w:val="00A135B4"/>
    <w:rsid w:val="00A13885"/>
    <w:rsid w:val="00A1392D"/>
    <w:rsid w:val="00A14342"/>
    <w:rsid w:val="00A1437C"/>
    <w:rsid w:val="00A147ED"/>
    <w:rsid w:val="00A14DE4"/>
    <w:rsid w:val="00A15283"/>
    <w:rsid w:val="00A15F8C"/>
    <w:rsid w:val="00A16B63"/>
    <w:rsid w:val="00A1737D"/>
    <w:rsid w:val="00A20CCC"/>
    <w:rsid w:val="00A20F75"/>
    <w:rsid w:val="00A21392"/>
    <w:rsid w:val="00A2176F"/>
    <w:rsid w:val="00A22154"/>
    <w:rsid w:val="00A223E7"/>
    <w:rsid w:val="00A22647"/>
    <w:rsid w:val="00A230C0"/>
    <w:rsid w:val="00A231AC"/>
    <w:rsid w:val="00A23856"/>
    <w:rsid w:val="00A23AF1"/>
    <w:rsid w:val="00A23E19"/>
    <w:rsid w:val="00A2486B"/>
    <w:rsid w:val="00A24DDA"/>
    <w:rsid w:val="00A25237"/>
    <w:rsid w:val="00A254EE"/>
    <w:rsid w:val="00A255F3"/>
    <w:rsid w:val="00A2565D"/>
    <w:rsid w:val="00A25FBA"/>
    <w:rsid w:val="00A26505"/>
    <w:rsid w:val="00A273C0"/>
    <w:rsid w:val="00A27EE7"/>
    <w:rsid w:val="00A311D3"/>
    <w:rsid w:val="00A316FA"/>
    <w:rsid w:val="00A31DA6"/>
    <w:rsid w:val="00A325E5"/>
    <w:rsid w:val="00A32888"/>
    <w:rsid w:val="00A32EE5"/>
    <w:rsid w:val="00A337D4"/>
    <w:rsid w:val="00A359CD"/>
    <w:rsid w:val="00A366A5"/>
    <w:rsid w:val="00A368FB"/>
    <w:rsid w:val="00A4008D"/>
    <w:rsid w:val="00A422C7"/>
    <w:rsid w:val="00A4269E"/>
    <w:rsid w:val="00A427F8"/>
    <w:rsid w:val="00A43455"/>
    <w:rsid w:val="00A43EEC"/>
    <w:rsid w:val="00A45983"/>
    <w:rsid w:val="00A4619A"/>
    <w:rsid w:val="00A46542"/>
    <w:rsid w:val="00A468CD"/>
    <w:rsid w:val="00A47138"/>
    <w:rsid w:val="00A471D4"/>
    <w:rsid w:val="00A474F1"/>
    <w:rsid w:val="00A47C4A"/>
    <w:rsid w:val="00A47C89"/>
    <w:rsid w:val="00A50941"/>
    <w:rsid w:val="00A50B9B"/>
    <w:rsid w:val="00A511C0"/>
    <w:rsid w:val="00A51694"/>
    <w:rsid w:val="00A51BDB"/>
    <w:rsid w:val="00A51FD7"/>
    <w:rsid w:val="00A523F0"/>
    <w:rsid w:val="00A52BCE"/>
    <w:rsid w:val="00A53354"/>
    <w:rsid w:val="00A5386F"/>
    <w:rsid w:val="00A54687"/>
    <w:rsid w:val="00A54B36"/>
    <w:rsid w:val="00A56291"/>
    <w:rsid w:val="00A56D1E"/>
    <w:rsid w:val="00A57237"/>
    <w:rsid w:val="00A60489"/>
    <w:rsid w:val="00A60556"/>
    <w:rsid w:val="00A60561"/>
    <w:rsid w:val="00A60A22"/>
    <w:rsid w:val="00A60E8E"/>
    <w:rsid w:val="00A6152C"/>
    <w:rsid w:val="00A629B1"/>
    <w:rsid w:val="00A62A35"/>
    <w:rsid w:val="00A63C73"/>
    <w:rsid w:val="00A63F68"/>
    <w:rsid w:val="00A64113"/>
    <w:rsid w:val="00A643E8"/>
    <w:rsid w:val="00A6470C"/>
    <w:rsid w:val="00A65365"/>
    <w:rsid w:val="00A653C3"/>
    <w:rsid w:val="00A656F7"/>
    <w:rsid w:val="00A6584A"/>
    <w:rsid w:val="00A65AD1"/>
    <w:rsid w:val="00A6669D"/>
    <w:rsid w:val="00A6675C"/>
    <w:rsid w:val="00A66C25"/>
    <w:rsid w:val="00A66C75"/>
    <w:rsid w:val="00A679DA"/>
    <w:rsid w:val="00A700B5"/>
    <w:rsid w:val="00A70126"/>
    <w:rsid w:val="00A70224"/>
    <w:rsid w:val="00A709F2"/>
    <w:rsid w:val="00A70FDF"/>
    <w:rsid w:val="00A71414"/>
    <w:rsid w:val="00A71CCB"/>
    <w:rsid w:val="00A71F96"/>
    <w:rsid w:val="00A7288E"/>
    <w:rsid w:val="00A72CAD"/>
    <w:rsid w:val="00A7369D"/>
    <w:rsid w:val="00A74C4A"/>
    <w:rsid w:val="00A756E4"/>
    <w:rsid w:val="00A76229"/>
    <w:rsid w:val="00A763C3"/>
    <w:rsid w:val="00A76601"/>
    <w:rsid w:val="00A76BDA"/>
    <w:rsid w:val="00A77149"/>
    <w:rsid w:val="00A7749B"/>
    <w:rsid w:val="00A7763B"/>
    <w:rsid w:val="00A77976"/>
    <w:rsid w:val="00A77C63"/>
    <w:rsid w:val="00A820FE"/>
    <w:rsid w:val="00A82251"/>
    <w:rsid w:val="00A824CA"/>
    <w:rsid w:val="00A83D8B"/>
    <w:rsid w:val="00A83F0D"/>
    <w:rsid w:val="00A8431B"/>
    <w:rsid w:val="00A843A4"/>
    <w:rsid w:val="00A8444B"/>
    <w:rsid w:val="00A84707"/>
    <w:rsid w:val="00A847B9"/>
    <w:rsid w:val="00A85267"/>
    <w:rsid w:val="00A8540E"/>
    <w:rsid w:val="00A85AE0"/>
    <w:rsid w:val="00A85E63"/>
    <w:rsid w:val="00A863A2"/>
    <w:rsid w:val="00A865AB"/>
    <w:rsid w:val="00A86B14"/>
    <w:rsid w:val="00A909AC"/>
    <w:rsid w:val="00A9107A"/>
    <w:rsid w:val="00A921CE"/>
    <w:rsid w:val="00A92D80"/>
    <w:rsid w:val="00A92D86"/>
    <w:rsid w:val="00A94013"/>
    <w:rsid w:val="00A94894"/>
    <w:rsid w:val="00A94D6A"/>
    <w:rsid w:val="00A950F7"/>
    <w:rsid w:val="00A9523F"/>
    <w:rsid w:val="00A966C0"/>
    <w:rsid w:val="00A96AF3"/>
    <w:rsid w:val="00A96B3B"/>
    <w:rsid w:val="00A97827"/>
    <w:rsid w:val="00A97D61"/>
    <w:rsid w:val="00AA026D"/>
    <w:rsid w:val="00AA0335"/>
    <w:rsid w:val="00AA05FB"/>
    <w:rsid w:val="00AA0819"/>
    <w:rsid w:val="00AA0988"/>
    <w:rsid w:val="00AA1A1C"/>
    <w:rsid w:val="00AA1A5A"/>
    <w:rsid w:val="00AA2F09"/>
    <w:rsid w:val="00AA35C6"/>
    <w:rsid w:val="00AA39A2"/>
    <w:rsid w:val="00AA3D67"/>
    <w:rsid w:val="00AA3E1D"/>
    <w:rsid w:val="00AA3F62"/>
    <w:rsid w:val="00AA45F3"/>
    <w:rsid w:val="00AA5687"/>
    <w:rsid w:val="00AA5C94"/>
    <w:rsid w:val="00AA5CA6"/>
    <w:rsid w:val="00AA7C76"/>
    <w:rsid w:val="00AA7F58"/>
    <w:rsid w:val="00AB07D9"/>
    <w:rsid w:val="00AB0912"/>
    <w:rsid w:val="00AB14AD"/>
    <w:rsid w:val="00AB2423"/>
    <w:rsid w:val="00AB3B8F"/>
    <w:rsid w:val="00AB47BB"/>
    <w:rsid w:val="00AB4CF4"/>
    <w:rsid w:val="00AB5550"/>
    <w:rsid w:val="00AB58FF"/>
    <w:rsid w:val="00AB68AE"/>
    <w:rsid w:val="00AB6BFC"/>
    <w:rsid w:val="00AB7553"/>
    <w:rsid w:val="00AC0016"/>
    <w:rsid w:val="00AC0977"/>
    <w:rsid w:val="00AC1BEA"/>
    <w:rsid w:val="00AC21A2"/>
    <w:rsid w:val="00AC223E"/>
    <w:rsid w:val="00AC288C"/>
    <w:rsid w:val="00AC2D2E"/>
    <w:rsid w:val="00AC34C0"/>
    <w:rsid w:val="00AC34C5"/>
    <w:rsid w:val="00AC5312"/>
    <w:rsid w:val="00AC5BBE"/>
    <w:rsid w:val="00AC5E19"/>
    <w:rsid w:val="00AC78AF"/>
    <w:rsid w:val="00AD0285"/>
    <w:rsid w:val="00AD0286"/>
    <w:rsid w:val="00AD0863"/>
    <w:rsid w:val="00AD0CB5"/>
    <w:rsid w:val="00AD238F"/>
    <w:rsid w:val="00AD2C6F"/>
    <w:rsid w:val="00AD349D"/>
    <w:rsid w:val="00AD3E8C"/>
    <w:rsid w:val="00AD413B"/>
    <w:rsid w:val="00AD41C5"/>
    <w:rsid w:val="00AD5196"/>
    <w:rsid w:val="00AD553E"/>
    <w:rsid w:val="00AD5CE9"/>
    <w:rsid w:val="00AD5DCD"/>
    <w:rsid w:val="00AD5DE1"/>
    <w:rsid w:val="00AD628F"/>
    <w:rsid w:val="00AD63F6"/>
    <w:rsid w:val="00AD698E"/>
    <w:rsid w:val="00AD6C5D"/>
    <w:rsid w:val="00AD74A0"/>
    <w:rsid w:val="00AD7C1D"/>
    <w:rsid w:val="00AE1699"/>
    <w:rsid w:val="00AE180D"/>
    <w:rsid w:val="00AE1CFB"/>
    <w:rsid w:val="00AE1EAE"/>
    <w:rsid w:val="00AE25C2"/>
    <w:rsid w:val="00AE331E"/>
    <w:rsid w:val="00AE3427"/>
    <w:rsid w:val="00AE4102"/>
    <w:rsid w:val="00AE46FD"/>
    <w:rsid w:val="00AE4B36"/>
    <w:rsid w:val="00AE4C21"/>
    <w:rsid w:val="00AE52D7"/>
    <w:rsid w:val="00AE5761"/>
    <w:rsid w:val="00AE5768"/>
    <w:rsid w:val="00AE58BD"/>
    <w:rsid w:val="00AE592D"/>
    <w:rsid w:val="00AE69CB"/>
    <w:rsid w:val="00AE7C76"/>
    <w:rsid w:val="00AF04FC"/>
    <w:rsid w:val="00AF066B"/>
    <w:rsid w:val="00AF0F26"/>
    <w:rsid w:val="00AF15B9"/>
    <w:rsid w:val="00AF1C4E"/>
    <w:rsid w:val="00AF3029"/>
    <w:rsid w:val="00AF3822"/>
    <w:rsid w:val="00AF3B9C"/>
    <w:rsid w:val="00AF3FE4"/>
    <w:rsid w:val="00AF56EE"/>
    <w:rsid w:val="00AF623B"/>
    <w:rsid w:val="00AF64E9"/>
    <w:rsid w:val="00AF78C9"/>
    <w:rsid w:val="00AF7F47"/>
    <w:rsid w:val="00AF7FE9"/>
    <w:rsid w:val="00B00227"/>
    <w:rsid w:val="00B00B75"/>
    <w:rsid w:val="00B00FBA"/>
    <w:rsid w:val="00B01050"/>
    <w:rsid w:val="00B010A2"/>
    <w:rsid w:val="00B01396"/>
    <w:rsid w:val="00B0154B"/>
    <w:rsid w:val="00B01656"/>
    <w:rsid w:val="00B02419"/>
    <w:rsid w:val="00B02A5B"/>
    <w:rsid w:val="00B02E1E"/>
    <w:rsid w:val="00B038A6"/>
    <w:rsid w:val="00B038C5"/>
    <w:rsid w:val="00B03DBE"/>
    <w:rsid w:val="00B03DCA"/>
    <w:rsid w:val="00B04341"/>
    <w:rsid w:val="00B04500"/>
    <w:rsid w:val="00B0507A"/>
    <w:rsid w:val="00B0553C"/>
    <w:rsid w:val="00B0580F"/>
    <w:rsid w:val="00B05FE7"/>
    <w:rsid w:val="00B06000"/>
    <w:rsid w:val="00B06E69"/>
    <w:rsid w:val="00B075DD"/>
    <w:rsid w:val="00B101E4"/>
    <w:rsid w:val="00B10AAB"/>
    <w:rsid w:val="00B10BE8"/>
    <w:rsid w:val="00B12186"/>
    <w:rsid w:val="00B12C14"/>
    <w:rsid w:val="00B12EC6"/>
    <w:rsid w:val="00B132D0"/>
    <w:rsid w:val="00B13380"/>
    <w:rsid w:val="00B134C4"/>
    <w:rsid w:val="00B1354B"/>
    <w:rsid w:val="00B13759"/>
    <w:rsid w:val="00B139BD"/>
    <w:rsid w:val="00B13E02"/>
    <w:rsid w:val="00B144D3"/>
    <w:rsid w:val="00B146D4"/>
    <w:rsid w:val="00B14E50"/>
    <w:rsid w:val="00B1562E"/>
    <w:rsid w:val="00B15FCD"/>
    <w:rsid w:val="00B166D1"/>
    <w:rsid w:val="00B1676B"/>
    <w:rsid w:val="00B1701F"/>
    <w:rsid w:val="00B17169"/>
    <w:rsid w:val="00B17EB9"/>
    <w:rsid w:val="00B20968"/>
    <w:rsid w:val="00B2130C"/>
    <w:rsid w:val="00B2174D"/>
    <w:rsid w:val="00B2200E"/>
    <w:rsid w:val="00B2332B"/>
    <w:rsid w:val="00B23DFC"/>
    <w:rsid w:val="00B23FBF"/>
    <w:rsid w:val="00B24998"/>
    <w:rsid w:val="00B24D4B"/>
    <w:rsid w:val="00B2503B"/>
    <w:rsid w:val="00B25234"/>
    <w:rsid w:val="00B254A1"/>
    <w:rsid w:val="00B26A85"/>
    <w:rsid w:val="00B30B0A"/>
    <w:rsid w:val="00B3122F"/>
    <w:rsid w:val="00B31400"/>
    <w:rsid w:val="00B3287B"/>
    <w:rsid w:val="00B3364A"/>
    <w:rsid w:val="00B33767"/>
    <w:rsid w:val="00B33D9E"/>
    <w:rsid w:val="00B346A5"/>
    <w:rsid w:val="00B34D53"/>
    <w:rsid w:val="00B361E9"/>
    <w:rsid w:val="00B36963"/>
    <w:rsid w:val="00B37BEB"/>
    <w:rsid w:val="00B37FB6"/>
    <w:rsid w:val="00B401E9"/>
    <w:rsid w:val="00B40F3A"/>
    <w:rsid w:val="00B414AC"/>
    <w:rsid w:val="00B4253D"/>
    <w:rsid w:val="00B426A5"/>
    <w:rsid w:val="00B42ABD"/>
    <w:rsid w:val="00B42AEF"/>
    <w:rsid w:val="00B42C28"/>
    <w:rsid w:val="00B42E55"/>
    <w:rsid w:val="00B4399B"/>
    <w:rsid w:val="00B43F4D"/>
    <w:rsid w:val="00B44539"/>
    <w:rsid w:val="00B44C79"/>
    <w:rsid w:val="00B44E9B"/>
    <w:rsid w:val="00B45770"/>
    <w:rsid w:val="00B4580E"/>
    <w:rsid w:val="00B45C90"/>
    <w:rsid w:val="00B47419"/>
    <w:rsid w:val="00B47C2A"/>
    <w:rsid w:val="00B47CE8"/>
    <w:rsid w:val="00B47FCB"/>
    <w:rsid w:val="00B500BE"/>
    <w:rsid w:val="00B50936"/>
    <w:rsid w:val="00B50EDE"/>
    <w:rsid w:val="00B51667"/>
    <w:rsid w:val="00B52B48"/>
    <w:rsid w:val="00B52D9D"/>
    <w:rsid w:val="00B53231"/>
    <w:rsid w:val="00B53894"/>
    <w:rsid w:val="00B55307"/>
    <w:rsid w:val="00B568C9"/>
    <w:rsid w:val="00B56BAC"/>
    <w:rsid w:val="00B57CCB"/>
    <w:rsid w:val="00B6002A"/>
    <w:rsid w:val="00B60782"/>
    <w:rsid w:val="00B61AE7"/>
    <w:rsid w:val="00B62114"/>
    <w:rsid w:val="00B62A20"/>
    <w:rsid w:val="00B62D89"/>
    <w:rsid w:val="00B635F0"/>
    <w:rsid w:val="00B636C6"/>
    <w:rsid w:val="00B66607"/>
    <w:rsid w:val="00B667A6"/>
    <w:rsid w:val="00B66F3D"/>
    <w:rsid w:val="00B6732A"/>
    <w:rsid w:val="00B70319"/>
    <w:rsid w:val="00B70CAD"/>
    <w:rsid w:val="00B73D48"/>
    <w:rsid w:val="00B73EE5"/>
    <w:rsid w:val="00B73F69"/>
    <w:rsid w:val="00B749C8"/>
    <w:rsid w:val="00B75E20"/>
    <w:rsid w:val="00B760E4"/>
    <w:rsid w:val="00B7677F"/>
    <w:rsid w:val="00B767D8"/>
    <w:rsid w:val="00B77496"/>
    <w:rsid w:val="00B77C0D"/>
    <w:rsid w:val="00B809F7"/>
    <w:rsid w:val="00B8110A"/>
    <w:rsid w:val="00B8210F"/>
    <w:rsid w:val="00B8239E"/>
    <w:rsid w:val="00B82A04"/>
    <w:rsid w:val="00B83237"/>
    <w:rsid w:val="00B83502"/>
    <w:rsid w:val="00B837B2"/>
    <w:rsid w:val="00B83AEA"/>
    <w:rsid w:val="00B83EDF"/>
    <w:rsid w:val="00B8449B"/>
    <w:rsid w:val="00B84EFF"/>
    <w:rsid w:val="00B8507E"/>
    <w:rsid w:val="00B85154"/>
    <w:rsid w:val="00B85962"/>
    <w:rsid w:val="00B86064"/>
    <w:rsid w:val="00B862B7"/>
    <w:rsid w:val="00B86B55"/>
    <w:rsid w:val="00B87F3F"/>
    <w:rsid w:val="00B901FD"/>
    <w:rsid w:val="00B90C71"/>
    <w:rsid w:val="00B90E5F"/>
    <w:rsid w:val="00B913DE"/>
    <w:rsid w:val="00B91F88"/>
    <w:rsid w:val="00B936D2"/>
    <w:rsid w:val="00B94194"/>
    <w:rsid w:val="00B9560F"/>
    <w:rsid w:val="00B95881"/>
    <w:rsid w:val="00B95ABC"/>
    <w:rsid w:val="00B95E02"/>
    <w:rsid w:val="00B965E6"/>
    <w:rsid w:val="00B97071"/>
    <w:rsid w:val="00B9712E"/>
    <w:rsid w:val="00B97236"/>
    <w:rsid w:val="00B974DC"/>
    <w:rsid w:val="00BA01F4"/>
    <w:rsid w:val="00BA059B"/>
    <w:rsid w:val="00BA0C06"/>
    <w:rsid w:val="00BA0C1B"/>
    <w:rsid w:val="00BA10B4"/>
    <w:rsid w:val="00BA3928"/>
    <w:rsid w:val="00BA3AA0"/>
    <w:rsid w:val="00BA68FE"/>
    <w:rsid w:val="00BA7BEE"/>
    <w:rsid w:val="00BB02B7"/>
    <w:rsid w:val="00BB1067"/>
    <w:rsid w:val="00BB18F4"/>
    <w:rsid w:val="00BB250B"/>
    <w:rsid w:val="00BB2A02"/>
    <w:rsid w:val="00BB2F0A"/>
    <w:rsid w:val="00BB33D6"/>
    <w:rsid w:val="00BB3CE0"/>
    <w:rsid w:val="00BB41F8"/>
    <w:rsid w:val="00BB4386"/>
    <w:rsid w:val="00BB455E"/>
    <w:rsid w:val="00BB4C5B"/>
    <w:rsid w:val="00BB519F"/>
    <w:rsid w:val="00BB5885"/>
    <w:rsid w:val="00BB59AD"/>
    <w:rsid w:val="00BB5DCE"/>
    <w:rsid w:val="00BB6D43"/>
    <w:rsid w:val="00BB6DDF"/>
    <w:rsid w:val="00BB7159"/>
    <w:rsid w:val="00BB7407"/>
    <w:rsid w:val="00BB76A1"/>
    <w:rsid w:val="00BB76C6"/>
    <w:rsid w:val="00BC01F1"/>
    <w:rsid w:val="00BC0588"/>
    <w:rsid w:val="00BC146C"/>
    <w:rsid w:val="00BC1F2D"/>
    <w:rsid w:val="00BC257D"/>
    <w:rsid w:val="00BC2EAB"/>
    <w:rsid w:val="00BC3364"/>
    <w:rsid w:val="00BC3387"/>
    <w:rsid w:val="00BC38D2"/>
    <w:rsid w:val="00BC3BA4"/>
    <w:rsid w:val="00BC3F22"/>
    <w:rsid w:val="00BC3FCF"/>
    <w:rsid w:val="00BC41CF"/>
    <w:rsid w:val="00BC4F5F"/>
    <w:rsid w:val="00BC551D"/>
    <w:rsid w:val="00BC5BB7"/>
    <w:rsid w:val="00BC5C46"/>
    <w:rsid w:val="00BC5DE9"/>
    <w:rsid w:val="00BC6841"/>
    <w:rsid w:val="00BC6A76"/>
    <w:rsid w:val="00BC6B7A"/>
    <w:rsid w:val="00BC7B72"/>
    <w:rsid w:val="00BD0052"/>
    <w:rsid w:val="00BD0137"/>
    <w:rsid w:val="00BD0452"/>
    <w:rsid w:val="00BD0857"/>
    <w:rsid w:val="00BD0E48"/>
    <w:rsid w:val="00BD1047"/>
    <w:rsid w:val="00BD14A3"/>
    <w:rsid w:val="00BD14BD"/>
    <w:rsid w:val="00BD154B"/>
    <w:rsid w:val="00BD1A4E"/>
    <w:rsid w:val="00BD1F1A"/>
    <w:rsid w:val="00BD25BE"/>
    <w:rsid w:val="00BD26A2"/>
    <w:rsid w:val="00BD5E1E"/>
    <w:rsid w:val="00BD5F8A"/>
    <w:rsid w:val="00BD68F7"/>
    <w:rsid w:val="00BD715B"/>
    <w:rsid w:val="00BD7D93"/>
    <w:rsid w:val="00BE0158"/>
    <w:rsid w:val="00BE0D4B"/>
    <w:rsid w:val="00BE1771"/>
    <w:rsid w:val="00BE1A5D"/>
    <w:rsid w:val="00BE1B3E"/>
    <w:rsid w:val="00BE1FF1"/>
    <w:rsid w:val="00BE3787"/>
    <w:rsid w:val="00BE3C4A"/>
    <w:rsid w:val="00BE3DA3"/>
    <w:rsid w:val="00BE3E4B"/>
    <w:rsid w:val="00BE5830"/>
    <w:rsid w:val="00BE5C9C"/>
    <w:rsid w:val="00BE607F"/>
    <w:rsid w:val="00BE7411"/>
    <w:rsid w:val="00BE7C57"/>
    <w:rsid w:val="00BF03A4"/>
    <w:rsid w:val="00BF0F7D"/>
    <w:rsid w:val="00BF175D"/>
    <w:rsid w:val="00BF189C"/>
    <w:rsid w:val="00BF19B5"/>
    <w:rsid w:val="00BF1A3D"/>
    <w:rsid w:val="00BF1C1F"/>
    <w:rsid w:val="00BF2141"/>
    <w:rsid w:val="00BF344B"/>
    <w:rsid w:val="00BF34C7"/>
    <w:rsid w:val="00BF3A50"/>
    <w:rsid w:val="00BF3B32"/>
    <w:rsid w:val="00BF3E61"/>
    <w:rsid w:val="00BF455A"/>
    <w:rsid w:val="00BF4CC4"/>
    <w:rsid w:val="00BF59E7"/>
    <w:rsid w:val="00BF6A50"/>
    <w:rsid w:val="00BF6FA5"/>
    <w:rsid w:val="00BF77B2"/>
    <w:rsid w:val="00C01609"/>
    <w:rsid w:val="00C02B84"/>
    <w:rsid w:val="00C0334E"/>
    <w:rsid w:val="00C040F3"/>
    <w:rsid w:val="00C041F7"/>
    <w:rsid w:val="00C04331"/>
    <w:rsid w:val="00C046DD"/>
    <w:rsid w:val="00C05C82"/>
    <w:rsid w:val="00C0638F"/>
    <w:rsid w:val="00C06FAA"/>
    <w:rsid w:val="00C075B4"/>
    <w:rsid w:val="00C07AC5"/>
    <w:rsid w:val="00C10198"/>
    <w:rsid w:val="00C10423"/>
    <w:rsid w:val="00C108CB"/>
    <w:rsid w:val="00C10AF9"/>
    <w:rsid w:val="00C10F4D"/>
    <w:rsid w:val="00C11B6B"/>
    <w:rsid w:val="00C12612"/>
    <w:rsid w:val="00C1262D"/>
    <w:rsid w:val="00C1270A"/>
    <w:rsid w:val="00C13D38"/>
    <w:rsid w:val="00C14024"/>
    <w:rsid w:val="00C14237"/>
    <w:rsid w:val="00C144D4"/>
    <w:rsid w:val="00C14AAB"/>
    <w:rsid w:val="00C14D40"/>
    <w:rsid w:val="00C150C5"/>
    <w:rsid w:val="00C157A0"/>
    <w:rsid w:val="00C15852"/>
    <w:rsid w:val="00C1627B"/>
    <w:rsid w:val="00C167C9"/>
    <w:rsid w:val="00C16F34"/>
    <w:rsid w:val="00C17A0A"/>
    <w:rsid w:val="00C17B1F"/>
    <w:rsid w:val="00C17CE7"/>
    <w:rsid w:val="00C17CEA"/>
    <w:rsid w:val="00C22502"/>
    <w:rsid w:val="00C2276F"/>
    <w:rsid w:val="00C22AF9"/>
    <w:rsid w:val="00C22B03"/>
    <w:rsid w:val="00C23B73"/>
    <w:rsid w:val="00C23F4B"/>
    <w:rsid w:val="00C24EBB"/>
    <w:rsid w:val="00C253FF"/>
    <w:rsid w:val="00C25C6B"/>
    <w:rsid w:val="00C26CB4"/>
    <w:rsid w:val="00C26F3E"/>
    <w:rsid w:val="00C2725F"/>
    <w:rsid w:val="00C27A70"/>
    <w:rsid w:val="00C27E5D"/>
    <w:rsid w:val="00C31626"/>
    <w:rsid w:val="00C321CB"/>
    <w:rsid w:val="00C3290A"/>
    <w:rsid w:val="00C32A66"/>
    <w:rsid w:val="00C32BF1"/>
    <w:rsid w:val="00C34A9E"/>
    <w:rsid w:val="00C35AC9"/>
    <w:rsid w:val="00C36C8C"/>
    <w:rsid w:val="00C37AFE"/>
    <w:rsid w:val="00C409D5"/>
    <w:rsid w:val="00C40D2D"/>
    <w:rsid w:val="00C411A8"/>
    <w:rsid w:val="00C415CA"/>
    <w:rsid w:val="00C41CC1"/>
    <w:rsid w:val="00C4255E"/>
    <w:rsid w:val="00C42C15"/>
    <w:rsid w:val="00C43040"/>
    <w:rsid w:val="00C43B0F"/>
    <w:rsid w:val="00C4456A"/>
    <w:rsid w:val="00C45B2A"/>
    <w:rsid w:val="00C464C3"/>
    <w:rsid w:val="00C475F6"/>
    <w:rsid w:val="00C47DA6"/>
    <w:rsid w:val="00C509AA"/>
    <w:rsid w:val="00C510D7"/>
    <w:rsid w:val="00C51412"/>
    <w:rsid w:val="00C51C22"/>
    <w:rsid w:val="00C5237F"/>
    <w:rsid w:val="00C52560"/>
    <w:rsid w:val="00C5287D"/>
    <w:rsid w:val="00C5294F"/>
    <w:rsid w:val="00C52F4C"/>
    <w:rsid w:val="00C534B8"/>
    <w:rsid w:val="00C55474"/>
    <w:rsid w:val="00C55E61"/>
    <w:rsid w:val="00C55FDA"/>
    <w:rsid w:val="00C569C2"/>
    <w:rsid w:val="00C56D20"/>
    <w:rsid w:val="00C57D2B"/>
    <w:rsid w:val="00C614B2"/>
    <w:rsid w:val="00C62057"/>
    <w:rsid w:val="00C625BC"/>
    <w:rsid w:val="00C6271F"/>
    <w:rsid w:val="00C62F17"/>
    <w:rsid w:val="00C6333F"/>
    <w:rsid w:val="00C637FD"/>
    <w:rsid w:val="00C64FBD"/>
    <w:rsid w:val="00C6543C"/>
    <w:rsid w:val="00C6617C"/>
    <w:rsid w:val="00C66B8F"/>
    <w:rsid w:val="00C672E2"/>
    <w:rsid w:val="00C676A6"/>
    <w:rsid w:val="00C679D6"/>
    <w:rsid w:val="00C67E2B"/>
    <w:rsid w:val="00C70BB2"/>
    <w:rsid w:val="00C70DF8"/>
    <w:rsid w:val="00C72AA2"/>
    <w:rsid w:val="00C72DB9"/>
    <w:rsid w:val="00C73085"/>
    <w:rsid w:val="00C74543"/>
    <w:rsid w:val="00C7623D"/>
    <w:rsid w:val="00C77529"/>
    <w:rsid w:val="00C8085F"/>
    <w:rsid w:val="00C80A1F"/>
    <w:rsid w:val="00C82729"/>
    <w:rsid w:val="00C82F2A"/>
    <w:rsid w:val="00C82FD5"/>
    <w:rsid w:val="00C83113"/>
    <w:rsid w:val="00C836D7"/>
    <w:rsid w:val="00C84040"/>
    <w:rsid w:val="00C844FA"/>
    <w:rsid w:val="00C84535"/>
    <w:rsid w:val="00C845F3"/>
    <w:rsid w:val="00C846FE"/>
    <w:rsid w:val="00C84CE9"/>
    <w:rsid w:val="00C85086"/>
    <w:rsid w:val="00C854A7"/>
    <w:rsid w:val="00C85EF7"/>
    <w:rsid w:val="00C8601F"/>
    <w:rsid w:val="00C8632E"/>
    <w:rsid w:val="00C8786D"/>
    <w:rsid w:val="00C87D6F"/>
    <w:rsid w:val="00C90824"/>
    <w:rsid w:val="00C90B1B"/>
    <w:rsid w:val="00C9213C"/>
    <w:rsid w:val="00C9216F"/>
    <w:rsid w:val="00C92706"/>
    <w:rsid w:val="00C93A2E"/>
    <w:rsid w:val="00C93C8A"/>
    <w:rsid w:val="00C942A5"/>
    <w:rsid w:val="00C94608"/>
    <w:rsid w:val="00C94EF2"/>
    <w:rsid w:val="00C9534F"/>
    <w:rsid w:val="00C96D61"/>
    <w:rsid w:val="00C97818"/>
    <w:rsid w:val="00C97C4E"/>
    <w:rsid w:val="00C97E70"/>
    <w:rsid w:val="00CA06B0"/>
    <w:rsid w:val="00CA0758"/>
    <w:rsid w:val="00CA0986"/>
    <w:rsid w:val="00CA0FB5"/>
    <w:rsid w:val="00CA110F"/>
    <w:rsid w:val="00CA113F"/>
    <w:rsid w:val="00CA1955"/>
    <w:rsid w:val="00CA1B09"/>
    <w:rsid w:val="00CA2307"/>
    <w:rsid w:val="00CA2E7E"/>
    <w:rsid w:val="00CA3206"/>
    <w:rsid w:val="00CA3215"/>
    <w:rsid w:val="00CA33F5"/>
    <w:rsid w:val="00CA3ECC"/>
    <w:rsid w:val="00CA43FA"/>
    <w:rsid w:val="00CA497E"/>
    <w:rsid w:val="00CA4A28"/>
    <w:rsid w:val="00CA5054"/>
    <w:rsid w:val="00CA564E"/>
    <w:rsid w:val="00CA5DC2"/>
    <w:rsid w:val="00CA6557"/>
    <w:rsid w:val="00CA6958"/>
    <w:rsid w:val="00CB012F"/>
    <w:rsid w:val="00CB0E24"/>
    <w:rsid w:val="00CB1063"/>
    <w:rsid w:val="00CB1442"/>
    <w:rsid w:val="00CB1B89"/>
    <w:rsid w:val="00CB1EBB"/>
    <w:rsid w:val="00CB2466"/>
    <w:rsid w:val="00CB2888"/>
    <w:rsid w:val="00CB37A1"/>
    <w:rsid w:val="00CB3936"/>
    <w:rsid w:val="00CB42C2"/>
    <w:rsid w:val="00CB4320"/>
    <w:rsid w:val="00CB47F8"/>
    <w:rsid w:val="00CB4DDF"/>
    <w:rsid w:val="00CB524A"/>
    <w:rsid w:val="00CB5DC8"/>
    <w:rsid w:val="00CB6083"/>
    <w:rsid w:val="00CB6BDA"/>
    <w:rsid w:val="00CB6CA2"/>
    <w:rsid w:val="00CB7609"/>
    <w:rsid w:val="00CB7A18"/>
    <w:rsid w:val="00CB7AD8"/>
    <w:rsid w:val="00CC07A6"/>
    <w:rsid w:val="00CC0D70"/>
    <w:rsid w:val="00CC10D1"/>
    <w:rsid w:val="00CC1324"/>
    <w:rsid w:val="00CC1E30"/>
    <w:rsid w:val="00CC1EEF"/>
    <w:rsid w:val="00CC2BD2"/>
    <w:rsid w:val="00CC3311"/>
    <w:rsid w:val="00CC3A10"/>
    <w:rsid w:val="00CC3C7A"/>
    <w:rsid w:val="00CC4708"/>
    <w:rsid w:val="00CC540A"/>
    <w:rsid w:val="00CC56AB"/>
    <w:rsid w:val="00CC58C2"/>
    <w:rsid w:val="00CC6206"/>
    <w:rsid w:val="00CC66B4"/>
    <w:rsid w:val="00CC685E"/>
    <w:rsid w:val="00CC7405"/>
    <w:rsid w:val="00CC79D5"/>
    <w:rsid w:val="00CC7F7B"/>
    <w:rsid w:val="00CD0B9B"/>
    <w:rsid w:val="00CD11AD"/>
    <w:rsid w:val="00CD2019"/>
    <w:rsid w:val="00CD211E"/>
    <w:rsid w:val="00CD2AD8"/>
    <w:rsid w:val="00CD30F4"/>
    <w:rsid w:val="00CD3181"/>
    <w:rsid w:val="00CD3EC5"/>
    <w:rsid w:val="00CD4355"/>
    <w:rsid w:val="00CD4EAA"/>
    <w:rsid w:val="00CD514E"/>
    <w:rsid w:val="00CD56D3"/>
    <w:rsid w:val="00CD5EEB"/>
    <w:rsid w:val="00CD5FDD"/>
    <w:rsid w:val="00CD6B66"/>
    <w:rsid w:val="00CD6DD4"/>
    <w:rsid w:val="00CD7D00"/>
    <w:rsid w:val="00CD7D73"/>
    <w:rsid w:val="00CE02D1"/>
    <w:rsid w:val="00CE064C"/>
    <w:rsid w:val="00CE1A5A"/>
    <w:rsid w:val="00CE1BA3"/>
    <w:rsid w:val="00CE26E1"/>
    <w:rsid w:val="00CE2E62"/>
    <w:rsid w:val="00CE40CA"/>
    <w:rsid w:val="00CE453A"/>
    <w:rsid w:val="00CE4796"/>
    <w:rsid w:val="00CE4A7C"/>
    <w:rsid w:val="00CE50B1"/>
    <w:rsid w:val="00CE51F9"/>
    <w:rsid w:val="00CE5429"/>
    <w:rsid w:val="00CE6965"/>
    <w:rsid w:val="00CF0BEF"/>
    <w:rsid w:val="00CF17BF"/>
    <w:rsid w:val="00CF190B"/>
    <w:rsid w:val="00CF2663"/>
    <w:rsid w:val="00CF35AE"/>
    <w:rsid w:val="00CF5518"/>
    <w:rsid w:val="00CF5A76"/>
    <w:rsid w:val="00CF6A6A"/>
    <w:rsid w:val="00CF6C62"/>
    <w:rsid w:val="00CF6E04"/>
    <w:rsid w:val="00CF730E"/>
    <w:rsid w:val="00CF7A97"/>
    <w:rsid w:val="00CF7B09"/>
    <w:rsid w:val="00D01778"/>
    <w:rsid w:val="00D01A4C"/>
    <w:rsid w:val="00D03086"/>
    <w:rsid w:val="00D03331"/>
    <w:rsid w:val="00D03BA3"/>
    <w:rsid w:val="00D03C6A"/>
    <w:rsid w:val="00D03E29"/>
    <w:rsid w:val="00D04EFD"/>
    <w:rsid w:val="00D05927"/>
    <w:rsid w:val="00D07CB3"/>
    <w:rsid w:val="00D10CDA"/>
    <w:rsid w:val="00D10DBE"/>
    <w:rsid w:val="00D126C5"/>
    <w:rsid w:val="00D139C9"/>
    <w:rsid w:val="00D13EFD"/>
    <w:rsid w:val="00D143B8"/>
    <w:rsid w:val="00D14B9B"/>
    <w:rsid w:val="00D15D66"/>
    <w:rsid w:val="00D15F65"/>
    <w:rsid w:val="00D162AD"/>
    <w:rsid w:val="00D1640E"/>
    <w:rsid w:val="00D16DF1"/>
    <w:rsid w:val="00D1765B"/>
    <w:rsid w:val="00D17C3E"/>
    <w:rsid w:val="00D17DB7"/>
    <w:rsid w:val="00D201A9"/>
    <w:rsid w:val="00D207E7"/>
    <w:rsid w:val="00D2083C"/>
    <w:rsid w:val="00D20E72"/>
    <w:rsid w:val="00D20FE2"/>
    <w:rsid w:val="00D22734"/>
    <w:rsid w:val="00D23131"/>
    <w:rsid w:val="00D24408"/>
    <w:rsid w:val="00D24477"/>
    <w:rsid w:val="00D2675A"/>
    <w:rsid w:val="00D272C1"/>
    <w:rsid w:val="00D27A80"/>
    <w:rsid w:val="00D27B0D"/>
    <w:rsid w:val="00D27DF6"/>
    <w:rsid w:val="00D302D5"/>
    <w:rsid w:val="00D30424"/>
    <w:rsid w:val="00D30C1A"/>
    <w:rsid w:val="00D30C59"/>
    <w:rsid w:val="00D31261"/>
    <w:rsid w:val="00D31541"/>
    <w:rsid w:val="00D3159B"/>
    <w:rsid w:val="00D316DE"/>
    <w:rsid w:val="00D327E8"/>
    <w:rsid w:val="00D328BD"/>
    <w:rsid w:val="00D342FC"/>
    <w:rsid w:val="00D34437"/>
    <w:rsid w:val="00D34679"/>
    <w:rsid w:val="00D3484B"/>
    <w:rsid w:val="00D34AE0"/>
    <w:rsid w:val="00D34BAE"/>
    <w:rsid w:val="00D34C3E"/>
    <w:rsid w:val="00D34CC8"/>
    <w:rsid w:val="00D34CCF"/>
    <w:rsid w:val="00D35015"/>
    <w:rsid w:val="00D35065"/>
    <w:rsid w:val="00D359FC"/>
    <w:rsid w:val="00D35BC7"/>
    <w:rsid w:val="00D3610E"/>
    <w:rsid w:val="00D36A57"/>
    <w:rsid w:val="00D36FF3"/>
    <w:rsid w:val="00D37845"/>
    <w:rsid w:val="00D379F7"/>
    <w:rsid w:val="00D40384"/>
    <w:rsid w:val="00D4236D"/>
    <w:rsid w:val="00D425AB"/>
    <w:rsid w:val="00D42848"/>
    <w:rsid w:val="00D42B96"/>
    <w:rsid w:val="00D43C58"/>
    <w:rsid w:val="00D441A4"/>
    <w:rsid w:val="00D4491F"/>
    <w:rsid w:val="00D44FA2"/>
    <w:rsid w:val="00D457D5"/>
    <w:rsid w:val="00D4661A"/>
    <w:rsid w:val="00D46F2D"/>
    <w:rsid w:val="00D477A5"/>
    <w:rsid w:val="00D50565"/>
    <w:rsid w:val="00D51C30"/>
    <w:rsid w:val="00D52674"/>
    <w:rsid w:val="00D52F52"/>
    <w:rsid w:val="00D531BC"/>
    <w:rsid w:val="00D53679"/>
    <w:rsid w:val="00D53719"/>
    <w:rsid w:val="00D538B6"/>
    <w:rsid w:val="00D5456B"/>
    <w:rsid w:val="00D5459B"/>
    <w:rsid w:val="00D54806"/>
    <w:rsid w:val="00D548C1"/>
    <w:rsid w:val="00D54D20"/>
    <w:rsid w:val="00D54FDB"/>
    <w:rsid w:val="00D55095"/>
    <w:rsid w:val="00D55110"/>
    <w:rsid w:val="00D55455"/>
    <w:rsid w:val="00D5547F"/>
    <w:rsid w:val="00D55ED7"/>
    <w:rsid w:val="00D572C3"/>
    <w:rsid w:val="00D572C9"/>
    <w:rsid w:val="00D5762D"/>
    <w:rsid w:val="00D5772C"/>
    <w:rsid w:val="00D6057D"/>
    <w:rsid w:val="00D605F8"/>
    <w:rsid w:val="00D60E37"/>
    <w:rsid w:val="00D612F2"/>
    <w:rsid w:val="00D620AB"/>
    <w:rsid w:val="00D621B8"/>
    <w:rsid w:val="00D62224"/>
    <w:rsid w:val="00D62949"/>
    <w:rsid w:val="00D63328"/>
    <w:rsid w:val="00D646AE"/>
    <w:rsid w:val="00D64E86"/>
    <w:rsid w:val="00D654DE"/>
    <w:rsid w:val="00D65687"/>
    <w:rsid w:val="00D65EFA"/>
    <w:rsid w:val="00D67B25"/>
    <w:rsid w:val="00D703E5"/>
    <w:rsid w:val="00D70820"/>
    <w:rsid w:val="00D70FD6"/>
    <w:rsid w:val="00D7168E"/>
    <w:rsid w:val="00D71EA2"/>
    <w:rsid w:val="00D71FAD"/>
    <w:rsid w:val="00D72269"/>
    <w:rsid w:val="00D73493"/>
    <w:rsid w:val="00D73EE8"/>
    <w:rsid w:val="00D73F36"/>
    <w:rsid w:val="00D74863"/>
    <w:rsid w:val="00D74FA9"/>
    <w:rsid w:val="00D7564B"/>
    <w:rsid w:val="00D75704"/>
    <w:rsid w:val="00D75F10"/>
    <w:rsid w:val="00D76DFE"/>
    <w:rsid w:val="00D76F7E"/>
    <w:rsid w:val="00D7711F"/>
    <w:rsid w:val="00D774B8"/>
    <w:rsid w:val="00D77DE7"/>
    <w:rsid w:val="00D81193"/>
    <w:rsid w:val="00D81658"/>
    <w:rsid w:val="00D82401"/>
    <w:rsid w:val="00D83629"/>
    <w:rsid w:val="00D83B03"/>
    <w:rsid w:val="00D84B5E"/>
    <w:rsid w:val="00D86E3C"/>
    <w:rsid w:val="00D90137"/>
    <w:rsid w:val="00D91479"/>
    <w:rsid w:val="00D91DDD"/>
    <w:rsid w:val="00D937A1"/>
    <w:rsid w:val="00D9381C"/>
    <w:rsid w:val="00D93DAF"/>
    <w:rsid w:val="00D94458"/>
    <w:rsid w:val="00D95223"/>
    <w:rsid w:val="00D95654"/>
    <w:rsid w:val="00D959CD"/>
    <w:rsid w:val="00D96A20"/>
    <w:rsid w:val="00D9735D"/>
    <w:rsid w:val="00D9785B"/>
    <w:rsid w:val="00D97A20"/>
    <w:rsid w:val="00DA03FF"/>
    <w:rsid w:val="00DA0516"/>
    <w:rsid w:val="00DA3523"/>
    <w:rsid w:val="00DA3D8B"/>
    <w:rsid w:val="00DA42D6"/>
    <w:rsid w:val="00DA5775"/>
    <w:rsid w:val="00DA6235"/>
    <w:rsid w:val="00DA6BDC"/>
    <w:rsid w:val="00DA72B4"/>
    <w:rsid w:val="00DB0277"/>
    <w:rsid w:val="00DB0D62"/>
    <w:rsid w:val="00DB19B9"/>
    <w:rsid w:val="00DB218B"/>
    <w:rsid w:val="00DB21D8"/>
    <w:rsid w:val="00DB36D5"/>
    <w:rsid w:val="00DB3BF0"/>
    <w:rsid w:val="00DB4D54"/>
    <w:rsid w:val="00DB5278"/>
    <w:rsid w:val="00DB57BA"/>
    <w:rsid w:val="00DB5BBB"/>
    <w:rsid w:val="00DB6A60"/>
    <w:rsid w:val="00DB70F2"/>
    <w:rsid w:val="00DB732D"/>
    <w:rsid w:val="00DB7650"/>
    <w:rsid w:val="00DB7854"/>
    <w:rsid w:val="00DC0244"/>
    <w:rsid w:val="00DC0868"/>
    <w:rsid w:val="00DC1759"/>
    <w:rsid w:val="00DC2DFA"/>
    <w:rsid w:val="00DC307C"/>
    <w:rsid w:val="00DC3232"/>
    <w:rsid w:val="00DC4063"/>
    <w:rsid w:val="00DC4628"/>
    <w:rsid w:val="00DC46BC"/>
    <w:rsid w:val="00DC4872"/>
    <w:rsid w:val="00DC4955"/>
    <w:rsid w:val="00DC4D3F"/>
    <w:rsid w:val="00DC59BC"/>
    <w:rsid w:val="00DC5B59"/>
    <w:rsid w:val="00DC6200"/>
    <w:rsid w:val="00DC6A88"/>
    <w:rsid w:val="00DC7A5B"/>
    <w:rsid w:val="00DD0CF4"/>
    <w:rsid w:val="00DD163E"/>
    <w:rsid w:val="00DD1E3D"/>
    <w:rsid w:val="00DD229A"/>
    <w:rsid w:val="00DD2E32"/>
    <w:rsid w:val="00DD2E71"/>
    <w:rsid w:val="00DD49B9"/>
    <w:rsid w:val="00DD604B"/>
    <w:rsid w:val="00DD6304"/>
    <w:rsid w:val="00DD647B"/>
    <w:rsid w:val="00DD6807"/>
    <w:rsid w:val="00DE00F5"/>
    <w:rsid w:val="00DE0430"/>
    <w:rsid w:val="00DE0F1B"/>
    <w:rsid w:val="00DE1C09"/>
    <w:rsid w:val="00DE28E9"/>
    <w:rsid w:val="00DE3375"/>
    <w:rsid w:val="00DE5AEF"/>
    <w:rsid w:val="00DE6051"/>
    <w:rsid w:val="00DE66D7"/>
    <w:rsid w:val="00DE71FB"/>
    <w:rsid w:val="00DE7D1C"/>
    <w:rsid w:val="00DF05D6"/>
    <w:rsid w:val="00DF0EC5"/>
    <w:rsid w:val="00DF12ED"/>
    <w:rsid w:val="00DF1678"/>
    <w:rsid w:val="00DF2AE9"/>
    <w:rsid w:val="00DF3CE1"/>
    <w:rsid w:val="00DF3E25"/>
    <w:rsid w:val="00DF480A"/>
    <w:rsid w:val="00DF7459"/>
    <w:rsid w:val="00DF7FA5"/>
    <w:rsid w:val="00E001F0"/>
    <w:rsid w:val="00E00B4A"/>
    <w:rsid w:val="00E017F4"/>
    <w:rsid w:val="00E0270A"/>
    <w:rsid w:val="00E03A19"/>
    <w:rsid w:val="00E04CC8"/>
    <w:rsid w:val="00E05AC0"/>
    <w:rsid w:val="00E06C8F"/>
    <w:rsid w:val="00E06E84"/>
    <w:rsid w:val="00E078A5"/>
    <w:rsid w:val="00E07F74"/>
    <w:rsid w:val="00E10029"/>
    <w:rsid w:val="00E10077"/>
    <w:rsid w:val="00E101A7"/>
    <w:rsid w:val="00E1052E"/>
    <w:rsid w:val="00E1053E"/>
    <w:rsid w:val="00E10CDA"/>
    <w:rsid w:val="00E11729"/>
    <w:rsid w:val="00E121E9"/>
    <w:rsid w:val="00E12784"/>
    <w:rsid w:val="00E1292D"/>
    <w:rsid w:val="00E129C8"/>
    <w:rsid w:val="00E131CC"/>
    <w:rsid w:val="00E13396"/>
    <w:rsid w:val="00E14220"/>
    <w:rsid w:val="00E143C3"/>
    <w:rsid w:val="00E1483A"/>
    <w:rsid w:val="00E1541B"/>
    <w:rsid w:val="00E15C4A"/>
    <w:rsid w:val="00E16812"/>
    <w:rsid w:val="00E16B83"/>
    <w:rsid w:val="00E16FE7"/>
    <w:rsid w:val="00E20575"/>
    <w:rsid w:val="00E20926"/>
    <w:rsid w:val="00E20B37"/>
    <w:rsid w:val="00E20FAE"/>
    <w:rsid w:val="00E2139A"/>
    <w:rsid w:val="00E21F13"/>
    <w:rsid w:val="00E22234"/>
    <w:rsid w:val="00E227BE"/>
    <w:rsid w:val="00E2332F"/>
    <w:rsid w:val="00E24599"/>
    <w:rsid w:val="00E25139"/>
    <w:rsid w:val="00E2625F"/>
    <w:rsid w:val="00E265BB"/>
    <w:rsid w:val="00E2673F"/>
    <w:rsid w:val="00E26ABA"/>
    <w:rsid w:val="00E26B0B"/>
    <w:rsid w:val="00E278B2"/>
    <w:rsid w:val="00E300C8"/>
    <w:rsid w:val="00E310AE"/>
    <w:rsid w:val="00E32086"/>
    <w:rsid w:val="00E325C5"/>
    <w:rsid w:val="00E33086"/>
    <w:rsid w:val="00E33AC7"/>
    <w:rsid w:val="00E346AD"/>
    <w:rsid w:val="00E347D5"/>
    <w:rsid w:val="00E34ECB"/>
    <w:rsid w:val="00E353E7"/>
    <w:rsid w:val="00E36686"/>
    <w:rsid w:val="00E36D93"/>
    <w:rsid w:val="00E3769D"/>
    <w:rsid w:val="00E40161"/>
    <w:rsid w:val="00E401BC"/>
    <w:rsid w:val="00E406F5"/>
    <w:rsid w:val="00E41BCC"/>
    <w:rsid w:val="00E423D2"/>
    <w:rsid w:val="00E43301"/>
    <w:rsid w:val="00E443AC"/>
    <w:rsid w:val="00E44C65"/>
    <w:rsid w:val="00E45254"/>
    <w:rsid w:val="00E465F4"/>
    <w:rsid w:val="00E46E86"/>
    <w:rsid w:val="00E47549"/>
    <w:rsid w:val="00E47A5D"/>
    <w:rsid w:val="00E47D51"/>
    <w:rsid w:val="00E500DF"/>
    <w:rsid w:val="00E514F4"/>
    <w:rsid w:val="00E516B2"/>
    <w:rsid w:val="00E518D7"/>
    <w:rsid w:val="00E51B9F"/>
    <w:rsid w:val="00E521AE"/>
    <w:rsid w:val="00E52821"/>
    <w:rsid w:val="00E52953"/>
    <w:rsid w:val="00E52ADF"/>
    <w:rsid w:val="00E5410E"/>
    <w:rsid w:val="00E54B53"/>
    <w:rsid w:val="00E54D9F"/>
    <w:rsid w:val="00E5547B"/>
    <w:rsid w:val="00E5551C"/>
    <w:rsid w:val="00E55D9C"/>
    <w:rsid w:val="00E55E71"/>
    <w:rsid w:val="00E563B1"/>
    <w:rsid w:val="00E56860"/>
    <w:rsid w:val="00E57F74"/>
    <w:rsid w:val="00E61902"/>
    <w:rsid w:val="00E620AA"/>
    <w:rsid w:val="00E62DE3"/>
    <w:rsid w:val="00E649FF"/>
    <w:rsid w:val="00E65E31"/>
    <w:rsid w:val="00E65ED1"/>
    <w:rsid w:val="00E66094"/>
    <w:rsid w:val="00E67EB0"/>
    <w:rsid w:val="00E70FBE"/>
    <w:rsid w:val="00E71685"/>
    <w:rsid w:val="00E71697"/>
    <w:rsid w:val="00E71AA6"/>
    <w:rsid w:val="00E722E3"/>
    <w:rsid w:val="00E72431"/>
    <w:rsid w:val="00E72B06"/>
    <w:rsid w:val="00E73B33"/>
    <w:rsid w:val="00E73ECB"/>
    <w:rsid w:val="00E73FFE"/>
    <w:rsid w:val="00E74F73"/>
    <w:rsid w:val="00E75927"/>
    <w:rsid w:val="00E75CD1"/>
    <w:rsid w:val="00E76092"/>
    <w:rsid w:val="00E7683D"/>
    <w:rsid w:val="00E76882"/>
    <w:rsid w:val="00E7705A"/>
    <w:rsid w:val="00E770AC"/>
    <w:rsid w:val="00E80A32"/>
    <w:rsid w:val="00E80B16"/>
    <w:rsid w:val="00E811AF"/>
    <w:rsid w:val="00E81985"/>
    <w:rsid w:val="00E81D69"/>
    <w:rsid w:val="00E8218B"/>
    <w:rsid w:val="00E8247D"/>
    <w:rsid w:val="00E83123"/>
    <w:rsid w:val="00E8398D"/>
    <w:rsid w:val="00E842A1"/>
    <w:rsid w:val="00E844A6"/>
    <w:rsid w:val="00E85527"/>
    <w:rsid w:val="00E85B73"/>
    <w:rsid w:val="00E86700"/>
    <w:rsid w:val="00E87F93"/>
    <w:rsid w:val="00E87FCE"/>
    <w:rsid w:val="00E901AE"/>
    <w:rsid w:val="00E904E5"/>
    <w:rsid w:val="00E9103A"/>
    <w:rsid w:val="00E91682"/>
    <w:rsid w:val="00E91976"/>
    <w:rsid w:val="00E91C07"/>
    <w:rsid w:val="00E91FE8"/>
    <w:rsid w:val="00E92A8B"/>
    <w:rsid w:val="00E93B18"/>
    <w:rsid w:val="00E94090"/>
    <w:rsid w:val="00E95A1E"/>
    <w:rsid w:val="00E96084"/>
    <w:rsid w:val="00E96776"/>
    <w:rsid w:val="00E96EE1"/>
    <w:rsid w:val="00E970B5"/>
    <w:rsid w:val="00E97661"/>
    <w:rsid w:val="00E97E2C"/>
    <w:rsid w:val="00E97E33"/>
    <w:rsid w:val="00EA05B4"/>
    <w:rsid w:val="00EA09E6"/>
    <w:rsid w:val="00EA0CD1"/>
    <w:rsid w:val="00EA1ABE"/>
    <w:rsid w:val="00EA1B1F"/>
    <w:rsid w:val="00EA1B6F"/>
    <w:rsid w:val="00EA21F3"/>
    <w:rsid w:val="00EA2DD1"/>
    <w:rsid w:val="00EA30D6"/>
    <w:rsid w:val="00EA3BBD"/>
    <w:rsid w:val="00EA52AF"/>
    <w:rsid w:val="00EA5838"/>
    <w:rsid w:val="00EA741A"/>
    <w:rsid w:val="00EA7641"/>
    <w:rsid w:val="00EB0E23"/>
    <w:rsid w:val="00EB1199"/>
    <w:rsid w:val="00EB1823"/>
    <w:rsid w:val="00EB1C30"/>
    <w:rsid w:val="00EB1C91"/>
    <w:rsid w:val="00EB1D41"/>
    <w:rsid w:val="00EB2342"/>
    <w:rsid w:val="00EB24F4"/>
    <w:rsid w:val="00EB308F"/>
    <w:rsid w:val="00EB3715"/>
    <w:rsid w:val="00EB37AA"/>
    <w:rsid w:val="00EB3B89"/>
    <w:rsid w:val="00EB498B"/>
    <w:rsid w:val="00EB4A41"/>
    <w:rsid w:val="00EB4A73"/>
    <w:rsid w:val="00EB574F"/>
    <w:rsid w:val="00EB5D34"/>
    <w:rsid w:val="00EB5E43"/>
    <w:rsid w:val="00EB5FB8"/>
    <w:rsid w:val="00EB6400"/>
    <w:rsid w:val="00EB64F7"/>
    <w:rsid w:val="00EB6900"/>
    <w:rsid w:val="00EB6BAA"/>
    <w:rsid w:val="00EB6DA5"/>
    <w:rsid w:val="00EB7763"/>
    <w:rsid w:val="00EB7B36"/>
    <w:rsid w:val="00EC0023"/>
    <w:rsid w:val="00EC0899"/>
    <w:rsid w:val="00EC1661"/>
    <w:rsid w:val="00EC26BF"/>
    <w:rsid w:val="00EC2960"/>
    <w:rsid w:val="00EC2C12"/>
    <w:rsid w:val="00EC3867"/>
    <w:rsid w:val="00EC3D3A"/>
    <w:rsid w:val="00EC4C6D"/>
    <w:rsid w:val="00EC4DE5"/>
    <w:rsid w:val="00EC4E9E"/>
    <w:rsid w:val="00EC5689"/>
    <w:rsid w:val="00EC56FB"/>
    <w:rsid w:val="00EC580B"/>
    <w:rsid w:val="00EC5C76"/>
    <w:rsid w:val="00EC61EC"/>
    <w:rsid w:val="00EC783A"/>
    <w:rsid w:val="00EC7EEC"/>
    <w:rsid w:val="00ED07A1"/>
    <w:rsid w:val="00ED0C94"/>
    <w:rsid w:val="00ED167D"/>
    <w:rsid w:val="00ED2F1D"/>
    <w:rsid w:val="00ED3087"/>
    <w:rsid w:val="00ED3A9E"/>
    <w:rsid w:val="00ED3CCC"/>
    <w:rsid w:val="00ED3FE8"/>
    <w:rsid w:val="00ED426D"/>
    <w:rsid w:val="00ED48AC"/>
    <w:rsid w:val="00ED4C7B"/>
    <w:rsid w:val="00ED4D77"/>
    <w:rsid w:val="00ED6257"/>
    <w:rsid w:val="00ED6D19"/>
    <w:rsid w:val="00ED72E9"/>
    <w:rsid w:val="00ED7608"/>
    <w:rsid w:val="00ED7E8E"/>
    <w:rsid w:val="00EE3215"/>
    <w:rsid w:val="00EE376F"/>
    <w:rsid w:val="00EE37B2"/>
    <w:rsid w:val="00EE4E5E"/>
    <w:rsid w:val="00EE4F7B"/>
    <w:rsid w:val="00EE4F8D"/>
    <w:rsid w:val="00EE5DFC"/>
    <w:rsid w:val="00EE5FA0"/>
    <w:rsid w:val="00EE63CD"/>
    <w:rsid w:val="00EE6795"/>
    <w:rsid w:val="00EE6C21"/>
    <w:rsid w:val="00EE7B96"/>
    <w:rsid w:val="00EF0610"/>
    <w:rsid w:val="00EF3E02"/>
    <w:rsid w:val="00EF4569"/>
    <w:rsid w:val="00EF480F"/>
    <w:rsid w:val="00EF536A"/>
    <w:rsid w:val="00EF72A6"/>
    <w:rsid w:val="00EF7BAE"/>
    <w:rsid w:val="00F00C92"/>
    <w:rsid w:val="00F02027"/>
    <w:rsid w:val="00F0288F"/>
    <w:rsid w:val="00F028FD"/>
    <w:rsid w:val="00F03468"/>
    <w:rsid w:val="00F03E98"/>
    <w:rsid w:val="00F047DA"/>
    <w:rsid w:val="00F04BAD"/>
    <w:rsid w:val="00F05703"/>
    <w:rsid w:val="00F05EDA"/>
    <w:rsid w:val="00F06783"/>
    <w:rsid w:val="00F0735E"/>
    <w:rsid w:val="00F10A2A"/>
    <w:rsid w:val="00F11A41"/>
    <w:rsid w:val="00F1329E"/>
    <w:rsid w:val="00F14308"/>
    <w:rsid w:val="00F147BB"/>
    <w:rsid w:val="00F147FB"/>
    <w:rsid w:val="00F14CAA"/>
    <w:rsid w:val="00F15196"/>
    <w:rsid w:val="00F15531"/>
    <w:rsid w:val="00F1572B"/>
    <w:rsid w:val="00F1591C"/>
    <w:rsid w:val="00F15DFE"/>
    <w:rsid w:val="00F161E3"/>
    <w:rsid w:val="00F165D5"/>
    <w:rsid w:val="00F170E0"/>
    <w:rsid w:val="00F176AE"/>
    <w:rsid w:val="00F17F09"/>
    <w:rsid w:val="00F20742"/>
    <w:rsid w:val="00F20D55"/>
    <w:rsid w:val="00F211E2"/>
    <w:rsid w:val="00F2189D"/>
    <w:rsid w:val="00F21D04"/>
    <w:rsid w:val="00F21DD9"/>
    <w:rsid w:val="00F22664"/>
    <w:rsid w:val="00F226AF"/>
    <w:rsid w:val="00F23D1E"/>
    <w:rsid w:val="00F24091"/>
    <w:rsid w:val="00F24729"/>
    <w:rsid w:val="00F2474A"/>
    <w:rsid w:val="00F24B58"/>
    <w:rsid w:val="00F25107"/>
    <w:rsid w:val="00F25538"/>
    <w:rsid w:val="00F25B07"/>
    <w:rsid w:val="00F26157"/>
    <w:rsid w:val="00F2624C"/>
    <w:rsid w:val="00F26986"/>
    <w:rsid w:val="00F27ABA"/>
    <w:rsid w:val="00F27BC0"/>
    <w:rsid w:val="00F303D5"/>
    <w:rsid w:val="00F303EC"/>
    <w:rsid w:val="00F30A87"/>
    <w:rsid w:val="00F30EB8"/>
    <w:rsid w:val="00F315BD"/>
    <w:rsid w:val="00F316DA"/>
    <w:rsid w:val="00F31D83"/>
    <w:rsid w:val="00F32527"/>
    <w:rsid w:val="00F32A9F"/>
    <w:rsid w:val="00F32E79"/>
    <w:rsid w:val="00F33AFF"/>
    <w:rsid w:val="00F34179"/>
    <w:rsid w:val="00F34571"/>
    <w:rsid w:val="00F348AD"/>
    <w:rsid w:val="00F361DB"/>
    <w:rsid w:val="00F3767D"/>
    <w:rsid w:val="00F37D2D"/>
    <w:rsid w:val="00F40479"/>
    <w:rsid w:val="00F40CC4"/>
    <w:rsid w:val="00F41A7F"/>
    <w:rsid w:val="00F4287E"/>
    <w:rsid w:val="00F42E78"/>
    <w:rsid w:val="00F438B1"/>
    <w:rsid w:val="00F43A73"/>
    <w:rsid w:val="00F45366"/>
    <w:rsid w:val="00F45406"/>
    <w:rsid w:val="00F45712"/>
    <w:rsid w:val="00F45C35"/>
    <w:rsid w:val="00F45DDB"/>
    <w:rsid w:val="00F469F8"/>
    <w:rsid w:val="00F46B84"/>
    <w:rsid w:val="00F47307"/>
    <w:rsid w:val="00F4789A"/>
    <w:rsid w:val="00F50049"/>
    <w:rsid w:val="00F5054A"/>
    <w:rsid w:val="00F50E03"/>
    <w:rsid w:val="00F51669"/>
    <w:rsid w:val="00F52954"/>
    <w:rsid w:val="00F52DF1"/>
    <w:rsid w:val="00F535C6"/>
    <w:rsid w:val="00F53C96"/>
    <w:rsid w:val="00F541F6"/>
    <w:rsid w:val="00F545FB"/>
    <w:rsid w:val="00F5598E"/>
    <w:rsid w:val="00F55C7C"/>
    <w:rsid w:val="00F55D2E"/>
    <w:rsid w:val="00F5692C"/>
    <w:rsid w:val="00F570AA"/>
    <w:rsid w:val="00F57727"/>
    <w:rsid w:val="00F57788"/>
    <w:rsid w:val="00F60D1D"/>
    <w:rsid w:val="00F611BD"/>
    <w:rsid w:val="00F61419"/>
    <w:rsid w:val="00F6168A"/>
    <w:rsid w:val="00F61C35"/>
    <w:rsid w:val="00F62FC1"/>
    <w:rsid w:val="00F63AB9"/>
    <w:rsid w:val="00F64A9A"/>
    <w:rsid w:val="00F657E4"/>
    <w:rsid w:val="00F67567"/>
    <w:rsid w:val="00F677D9"/>
    <w:rsid w:val="00F67CAD"/>
    <w:rsid w:val="00F70957"/>
    <w:rsid w:val="00F70FCE"/>
    <w:rsid w:val="00F712F1"/>
    <w:rsid w:val="00F71D7E"/>
    <w:rsid w:val="00F71EA1"/>
    <w:rsid w:val="00F72E7A"/>
    <w:rsid w:val="00F7344C"/>
    <w:rsid w:val="00F737CF"/>
    <w:rsid w:val="00F73C9E"/>
    <w:rsid w:val="00F74684"/>
    <w:rsid w:val="00F74906"/>
    <w:rsid w:val="00F7546A"/>
    <w:rsid w:val="00F76FE4"/>
    <w:rsid w:val="00F771B8"/>
    <w:rsid w:val="00F774A6"/>
    <w:rsid w:val="00F77769"/>
    <w:rsid w:val="00F77DC3"/>
    <w:rsid w:val="00F8072E"/>
    <w:rsid w:val="00F80C89"/>
    <w:rsid w:val="00F81C06"/>
    <w:rsid w:val="00F81E72"/>
    <w:rsid w:val="00F82600"/>
    <w:rsid w:val="00F82B0E"/>
    <w:rsid w:val="00F82C96"/>
    <w:rsid w:val="00F8306F"/>
    <w:rsid w:val="00F83521"/>
    <w:rsid w:val="00F838E6"/>
    <w:rsid w:val="00F83E2E"/>
    <w:rsid w:val="00F844E6"/>
    <w:rsid w:val="00F8496E"/>
    <w:rsid w:val="00F85556"/>
    <w:rsid w:val="00F855F6"/>
    <w:rsid w:val="00F861EC"/>
    <w:rsid w:val="00F86C6C"/>
    <w:rsid w:val="00F8742C"/>
    <w:rsid w:val="00F91229"/>
    <w:rsid w:val="00F91A6E"/>
    <w:rsid w:val="00F91C79"/>
    <w:rsid w:val="00F91ED6"/>
    <w:rsid w:val="00F921F5"/>
    <w:rsid w:val="00F925AE"/>
    <w:rsid w:val="00F93870"/>
    <w:rsid w:val="00F9406D"/>
    <w:rsid w:val="00F947BF"/>
    <w:rsid w:val="00F94E16"/>
    <w:rsid w:val="00F9576F"/>
    <w:rsid w:val="00F95C51"/>
    <w:rsid w:val="00F95FC8"/>
    <w:rsid w:val="00F960BE"/>
    <w:rsid w:val="00F962E2"/>
    <w:rsid w:val="00F96553"/>
    <w:rsid w:val="00F96A3D"/>
    <w:rsid w:val="00FA039F"/>
    <w:rsid w:val="00FA07EE"/>
    <w:rsid w:val="00FA0ED3"/>
    <w:rsid w:val="00FA107A"/>
    <w:rsid w:val="00FA1C4F"/>
    <w:rsid w:val="00FA204E"/>
    <w:rsid w:val="00FA2272"/>
    <w:rsid w:val="00FA2447"/>
    <w:rsid w:val="00FA2536"/>
    <w:rsid w:val="00FA427F"/>
    <w:rsid w:val="00FA432E"/>
    <w:rsid w:val="00FA447A"/>
    <w:rsid w:val="00FA48C6"/>
    <w:rsid w:val="00FA4CCA"/>
    <w:rsid w:val="00FA532F"/>
    <w:rsid w:val="00FA5BC1"/>
    <w:rsid w:val="00FA5F07"/>
    <w:rsid w:val="00FA70AD"/>
    <w:rsid w:val="00FA77B9"/>
    <w:rsid w:val="00FA7FE7"/>
    <w:rsid w:val="00FB00CC"/>
    <w:rsid w:val="00FB0727"/>
    <w:rsid w:val="00FB0AEF"/>
    <w:rsid w:val="00FB0E39"/>
    <w:rsid w:val="00FB1C96"/>
    <w:rsid w:val="00FB1FC9"/>
    <w:rsid w:val="00FB28DF"/>
    <w:rsid w:val="00FB365F"/>
    <w:rsid w:val="00FB3D1C"/>
    <w:rsid w:val="00FB3DE0"/>
    <w:rsid w:val="00FB41CD"/>
    <w:rsid w:val="00FB420D"/>
    <w:rsid w:val="00FB4297"/>
    <w:rsid w:val="00FB4A35"/>
    <w:rsid w:val="00FB51B8"/>
    <w:rsid w:val="00FB55AB"/>
    <w:rsid w:val="00FB56D0"/>
    <w:rsid w:val="00FB5AA0"/>
    <w:rsid w:val="00FB5D01"/>
    <w:rsid w:val="00FB6AC8"/>
    <w:rsid w:val="00FB6F4F"/>
    <w:rsid w:val="00FB7331"/>
    <w:rsid w:val="00FC014A"/>
    <w:rsid w:val="00FC071B"/>
    <w:rsid w:val="00FC0FC1"/>
    <w:rsid w:val="00FC11BE"/>
    <w:rsid w:val="00FC136B"/>
    <w:rsid w:val="00FC148F"/>
    <w:rsid w:val="00FC1761"/>
    <w:rsid w:val="00FC1E67"/>
    <w:rsid w:val="00FC22D7"/>
    <w:rsid w:val="00FC27F1"/>
    <w:rsid w:val="00FC2D45"/>
    <w:rsid w:val="00FC351B"/>
    <w:rsid w:val="00FC4B57"/>
    <w:rsid w:val="00FC5398"/>
    <w:rsid w:val="00FC5F54"/>
    <w:rsid w:val="00FC61CE"/>
    <w:rsid w:val="00FC64BB"/>
    <w:rsid w:val="00FC6E66"/>
    <w:rsid w:val="00FC6F63"/>
    <w:rsid w:val="00FC7590"/>
    <w:rsid w:val="00FC7E49"/>
    <w:rsid w:val="00FC7F91"/>
    <w:rsid w:val="00FD03BB"/>
    <w:rsid w:val="00FD067C"/>
    <w:rsid w:val="00FD2034"/>
    <w:rsid w:val="00FD244B"/>
    <w:rsid w:val="00FD28AA"/>
    <w:rsid w:val="00FD2E5F"/>
    <w:rsid w:val="00FD374B"/>
    <w:rsid w:val="00FD44FD"/>
    <w:rsid w:val="00FD5B56"/>
    <w:rsid w:val="00FD6BE3"/>
    <w:rsid w:val="00FD71F6"/>
    <w:rsid w:val="00FD7A5C"/>
    <w:rsid w:val="00FE0477"/>
    <w:rsid w:val="00FE0973"/>
    <w:rsid w:val="00FE1310"/>
    <w:rsid w:val="00FE17F0"/>
    <w:rsid w:val="00FE1A02"/>
    <w:rsid w:val="00FE1B54"/>
    <w:rsid w:val="00FE25D7"/>
    <w:rsid w:val="00FE2780"/>
    <w:rsid w:val="00FE32B2"/>
    <w:rsid w:val="00FE36DB"/>
    <w:rsid w:val="00FE37EE"/>
    <w:rsid w:val="00FE392C"/>
    <w:rsid w:val="00FE43A0"/>
    <w:rsid w:val="00FE4963"/>
    <w:rsid w:val="00FE6044"/>
    <w:rsid w:val="00FE6A12"/>
    <w:rsid w:val="00FE755B"/>
    <w:rsid w:val="00FF03C1"/>
    <w:rsid w:val="00FF0BD1"/>
    <w:rsid w:val="00FF154B"/>
    <w:rsid w:val="00FF214D"/>
    <w:rsid w:val="00FF315F"/>
    <w:rsid w:val="00FF329D"/>
    <w:rsid w:val="00FF4514"/>
    <w:rsid w:val="00FF4595"/>
    <w:rsid w:val="00FF4ADE"/>
    <w:rsid w:val="00FF552A"/>
    <w:rsid w:val="00FF5617"/>
    <w:rsid w:val="00FF589A"/>
    <w:rsid w:val="00FF5CB8"/>
    <w:rsid w:val="00FF612E"/>
    <w:rsid w:val="00FF751B"/>
    <w:rsid w:val="05E4B237"/>
    <w:rsid w:val="0D42CF6D"/>
    <w:rsid w:val="1ACA189A"/>
    <w:rsid w:val="1CB7A61A"/>
    <w:rsid w:val="219C5D11"/>
    <w:rsid w:val="32A3B316"/>
    <w:rsid w:val="38BBF87F"/>
    <w:rsid w:val="3A1B0209"/>
    <w:rsid w:val="3DB84C55"/>
    <w:rsid w:val="4AA53EFB"/>
    <w:rsid w:val="76E121D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27215"/>
  <w15:chartTrackingRefBased/>
  <w15:docId w15:val="{334E9B75-BDE0-4854-8A27-B65ABCD6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en-US"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6C0"/>
    <w:pPr>
      <w:spacing w:before="0" w:after="0"/>
    </w:pPr>
    <w:rPr>
      <w:rFonts w:ascii="Arial" w:eastAsia="SimSun" w:hAnsi="Arial" w:cs="Arial"/>
      <w:kern w:val="0"/>
      <w:szCs w:val="20"/>
      <w:lang w:eastAsia="zh-CN"/>
      <w14:ligatures w14:val="none"/>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646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46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46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nhideWhenUsed/>
    <w:rsid w:val="006312A7"/>
    <w:pPr>
      <w:tabs>
        <w:tab w:val="center" w:pos="4680"/>
        <w:tab w:val="right" w:pos="9360"/>
      </w:tabs>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contextualSpacing/>
    </w:pPr>
  </w:style>
  <w:style w:type="paragraph" w:customStyle="1" w:styleId="ColorIndent">
    <w:name w:val="ColorIndent"/>
    <w:basedOn w:val="Normal"/>
    <w:next w:val="Normal"/>
    <w:uiPriority w:val="13"/>
    <w:qFormat/>
    <w:rsid w:val="008A3958"/>
    <w:pPr>
      <w:ind w:left="1440"/>
    </w:pPr>
    <w:rPr>
      <w:color w:val="00B0F0"/>
      <w:szCs w:val="18"/>
      <w:lang w:val="fr-CH"/>
    </w:rPr>
  </w:style>
  <w:style w:type="paragraph" w:styleId="FootnoteText">
    <w:name w:val="footnote text"/>
    <w:basedOn w:val="Normal"/>
    <w:link w:val="FootnoteTextChar"/>
    <w:uiPriority w:val="99"/>
    <w:unhideWhenUsed/>
    <w:rsid w:val="008A3958"/>
    <w:pPr>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line="120" w:lineRule="exact"/>
      <w:ind w:left="6480"/>
    </w:pPr>
    <w:rPr>
      <w:sz w:val="14"/>
    </w:rPr>
  </w:style>
  <w:style w:type="paragraph" w:styleId="Title">
    <w:name w:val="Title"/>
    <w:basedOn w:val="Normal"/>
    <w:next w:val="Normal"/>
    <w:link w:val="TitleChar"/>
    <w:uiPriority w:val="11"/>
    <w:qFormat/>
    <w:rsid w:val="002332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lang w:val="fr-CH"/>
    </w:rPr>
  </w:style>
  <w:style w:type="character" w:customStyle="1" w:styleId="Heading7Char">
    <w:name w:val="Heading 7 Char"/>
    <w:basedOn w:val="DefaultParagraphFont"/>
    <w:link w:val="Heading7"/>
    <w:uiPriority w:val="9"/>
    <w:semiHidden/>
    <w:rsid w:val="003646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46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46C0"/>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3646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3646C0"/>
    <w:rPr>
      <w:rFonts w:asciiTheme="minorHAnsi" w:eastAsiaTheme="majorEastAsia" w:hAnsiTheme="minorHAnsi" w:cstheme="majorBidi"/>
      <w:color w:val="595959" w:themeColor="text1" w:themeTint="A6"/>
      <w:spacing w:val="15"/>
      <w:sz w:val="28"/>
      <w:szCs w:val="28"/>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3646C0"/>
    <w:pPr>
      <w:ind w:left="720"/>
      <w:contextualSpacing/>
    </w:pPr>
  </w:style>
  <w:style w:type="character" w:styleId="IntenseEmphasis">
    <w:name w:val="Intense Emphasis"/>
    <w:basedOn w:val="DefaultParagraphFont"/>
    <w:uiPriority w:val="21"/>
    <w:qFormat/>
    <w:rsid w:val="003646C0"/>
    <w:rPr>
      <w:i/>
      <w:iCs/>
      <w:color w:val="0F4761" w:themeColor="accent1" w:themeShade="BF"/>
    </w:rPr>
  </w:style>
  <w:style w:type="paragraph" w:styleId="IntenseQuote">
    <w:name w:val="Intense Quote"/>
    <w:basedOn w:val="Normal"/>
    <w:next w:val="Normal"/>
    <w:link w:val="IntenseQuoteChar"/>
    <w:uiPriority w:val="30"/>
    <w:qFormat/>
    <w:rsid w:val="00364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6C0"/>
    <w:rPr>
      <w:rFonts w:ascii="Arial" w:hAnsi="Arial" w:cs="Noto Sans Display"/>
      <w:i/>
      <w:iCs/>
      <w:color w:val="0F4761" w:themeColor="accent1" w:themeShade="BF"/>
    </w:rPr>
  </w:style>
  <w:style w:type="character" w:styleId="IntenseReference">
    <w:name w:val="Intense Reference"/>
    <w:basedOn w:val="DefaultParagraphFont"/>
    <w:uiPriority w:val="32"/>
    <w:qFormat/>
    <w:rsid w:val="003646C0"/>
    <w:rPr>
      <w:b/>
      <w:bCs/>
      <w:smallCaps/>
      <w:color w:val="0F4761" w:themeColor="accent1" w:themeShade="BF"/>
      <w:spacing w:val="5"/>
    </w:rPr>
  </w:style>
  <w:style w:type="paragraph" w:customStyle="1" w:styleId="Endofdocument-Annex">
    <w:name w:val="[End of document - Annex]"/>
    <w:basedOn w:val="Normal"/>
    <w:rsid w:val="003646C0"/>
    <w:pPr>
      <w:ind w:left="5534"/>
    </w:pPr>
  </w:style>
  <w:style w:type="paragraph" w:styleId="BodyText">
    <w:name w:val="Body Text"/>
    <w:basedOn w:val="Normal"/>
    <w:link w:val="BodyTextChar"/>
    <w:rsid w:val="003646C0"/>
    <w:pPr>
      <w:spacing w:after="220"/>
    </w:pPr>
  </w:style>
  <w:style w:type="character" w:customStyle="1" w:styleId="BodyTextChar">
    <w:name w:val="Body Text Char"/>
    <w:basedOn w:val="DefaultParagraphFont"/>
    <w:link w:val="BodyText"/>
    <w:rsid w:val="003646C0"/>
    <w:rPr>
      <w:rFonts w:ascii="Arial" w:eastAsia="SimSun" w:hAnsi="Arial" w:cs="Arial"/>
      <w:kern w:val="0"/>
      <w:szCs w:val="20"/>
      <w:lang w:eastAsia="zh-CN"/>
      <w14:ligatures w14:val="none"/>
    </w:rPr>
  </w:style>
  <w:style w:type="paragraph" w:styleId="Caption">
    <w:name w:val="caption"/>
    <w:basedOn w:val="Normal"/>
    <w:next w:val="Normal"/>
    <w:qFormat/>
    <w:rsid w:val="003646C0"/>
    <w:rPr>
      <w:b/>
      <w:bCs/>
      <w:sz w:val="18"/>
    </w:rPr>
  </w:style>
  <w:style w:type="paragraph" w:styleId="CommentText">
    <w:name w:val="annotation text"/>
    <w:basedOn w:val="Normal"/>
    <w:link w:val="CommentTextChar"/>
    <w:uiPriority w:val="99"/>
    <w:rsid w:val="003646C0"/>
    <w:rPr>
      <w:sz w:val="18"/>
    </w:rPr>
  </w:style>
  <w:style w:type="character" w:customStyle="1" w:styleId="CommentTextChar">
    <w:name w:val="Comment Text Char"/>
    <w:basedOn w:val="DefaultParagraphFont"/>
    <w:link w:val="CommentText"/>
    <w:uiPriority w:val="99"/>
    <w:rsid w:val="003646C0"/>
    <w:rPr>
      <w:rFonts w:ascii="Arial" w:eastAsia="SimSun" w:hAnsi="Arial" w:cs="Arial"/>
      <w:kern w:val="0"/>
      <w:sz w:val="18"/>
      <w:szCs w:val="20"/>
      <w:lang w:eastAsia="zh-CN"/>
      <w14:ligatures w14:val="none"/>
    </w:rPr>
  </w:style>
  <w:style w:type="paragraph" w:styleId="EndnoteText">
    <w:name w:val="endnote text"/>
    <w:basedOn w:val="Normal"/>
    <w:link w:val="EndnoteTextChar"/>
    <w:semiHidden/>
    <w:rsid w:val="003646C0"/>
    <w:rPr>
      <w:sz w:val="18"/>
    </w:rPr>
  </w:style>
  <w:style w:type="character" w:customStyle="1" w:styleId="EndnoteTextChar">
    <w:name w:val="Endnote Text Char"/>
    <w:basedOn w:val="DefaultParagraphFont"/>
    <w:link w:val="EndnoteText"/>
    <w:semiHidden/>
    <w:rsid w:val="003646C0"/>
    <w:rPr>
      <w:rFonts w:ascii="Arial" w:eastAsia="SimSun" w:hAnsi="Arial" w:cs="Arial"/>
      <w:kern w:val="0"/>
      <w:sz w:val="18"/>
      <w:szCs w:val="20"/>
      <w:lang w:eastAsia="zh-CN"/>
      <w14:ligatures w14:val="none"/>
    </w:rPr>
  </w:style>
  <w:style w:type="paragraph" w:styleId="ListNumber">
    <w:name w:val="List Number"/>
    <w:basedOn w:val="Normal"/>
    <w:semiHidden/>
    <w:rsid w:val="003646C0"/>
    <w:pPr>
      <w:numPr>
        <w:numId w:val="2"/>
      </w:numPr>
      <w:tabs>
        <w:tab w:val="clear" w:pos="567"/>
      </w:tabs>
    </w:pPr>
  </w:style>
  <w:style w:type="paragraph" w:customStyle="1" w:styleId="ONUME">
    <w:name w:val="ONUM E"/>
    <w:basedOn w:val="BodyText"/>
    <w:rsid w:val="003646C0"/>
    <w:pPr>
      <w:numPr>
        <w:numId w:val="3"/>
      </w:numPr>
      <w:tabs>
        <w:tab w:val="num" w:pos="1134"/>
      </w:tabs>
    </w:pPr>
  </w:style>
  <w:style w:type="paragraph" w:customStyle="1" w:styleId="ONUMFS">
    <w:name w:val="ONUM FS"/>
    <w:basedOn w:val="BodyText"/>
    <w:rsid w:val="003646C0"/>
    <w:pPr>
      <w:numPr>
        <w:numId w:val="4"/>
      </w:numPr>
      <w:tabs>
        <w:tab w:val="clear" w:pos="567"/>
      </w:tabs>
    </w:pPr>
  </w:style>
  <w:style w:type="paragraph" w:styleId="Salutation">
    <w:name w:val="Salutation"/>
    <w:basedOn w:val="Normal"/>
    <w:next w:val="Normal"/>
    <w:link w:val="SalutationChar"/>
    <w:semiHidden/>
    <w:rsid w:val="003646C0"/>
  </w:style>
  <w:style w:type="character" w:customStyle="1" w:styleId="SalutationChar">
    <w:name w:val="Salutation Char"/>
    <w:basedOn w:val="DefaultParagraphFont"/>
    <w:link w:val="Salutation"/>
    <w:semiHidden/>
    <w:rsid w:val="003646C0"/>
    <w:rPr>
      <w:rFonts w:ascii="Arial" w:eastAsia="SimSun" w:hAnsi="Arial" w:cs="Arial"/>
      <w:kern w:val="0"/>
      <w:szCs w:val="20"/>
      <w:lang w:eastAsia="zh-CN"/>
      <w14:ligatures w14:val="none"/>
    </w:rPr>
  </w:style>
  <w:style w:type="paragraph" w:styleId="Signature">
    <w:name w:val="Signature"/>
    <w:basedOn w:val="Normal"/>
    <w:link w:val="SignatureChar"/>
    <w:semiHidden/>
    <w:rsid w:val="003646C0"/>
    <w:pPr>
      <w:ind w:left="5250"/>
    </w:pPr>
  </w:style>
  <w:style w:type="character" w:customStyle="1" w:styleId="SignatureChar">
    <w:name w:val="Signature Char"/>
    <w:basedOn w:val="DefaultParagraphFont"/>
    <w:link w:val="Signature"/>
    <w:semiHidden/>
    <w:rsid w:val="003646C0"/>
    <w:rPr>
      <w:rFonts w:ascii="Arial" w:eastAsia="SimSun" w:hAnsi="Arial" w:cs="Arial"/>
      <w:kern w:val="0"/>
      <w:szCs w:val="20"/>
      <w:lang w:eastAsia="zh-CN"/>
      <w14:ligatures w14:val="none"/>
    </w:rPr>
  </w:style>
  <w:style w:type="character" w:styleId="Hyperlink">
    <w:name w:val="Hyperlink"/>
    <w:basedOn w:val="DefaultParagraphFont"/>
    <w:uiPriority w:val="99"/>
    <w:unhideWhenUsed/>
    <w:rsid w:val="003646C0"/>
    <w:rPr>
      <w:color w:val="467886" w:themeColor="hyperlink"/>
      <w:u w:val="single"/>
    </w:rPr>
  </w:style>
  <w:style w:type="character" w:styleId="UnresolvedMention">
    <w:name w:val="Unresolved Mention"/>
    <w:basedOn w:val="DefaultParagraphFont"/>
    <w:uiPriority w:val="99"/>
    <w:semiHidden/>
    <w:unhideWhenUsed/>
    <w:rsid w:val="003646C0"/>
    <w:rPr>
      <w:color w:val="605E5C"/>
      <w:shd w:val="clear" w:color="auto" w:fill="E1DFDD"/>
    </w:rPr>
  </w:style>
  <w:style w:type="character" w:styleId="FootnoteReference">
    <w:name w:val="footnote reference"/>
    <w:basedOn w:val="DefaultParagraphFont"/>
    <w:uiPriority w:val="99"/>
    <w:unhideWhenUsed/>
    <w:qFormat/>
    <w:rsid w:val="003646C0"/>
    <w:rPr>
      <w:vertAlign w:val="superscript"/>
    </w:rPr>
  </w:style>
  <w:style w:type="character" w:customStyle="1" w:styleId="Hyperlink1">
    <w:name w:val="Hyperlink1"/>
    <w:basedOn w:val="DefaultParagraphFont"/>
    <w:unhideWhenUsed/>
    <w:rsid w:val="003646C0"/>
    <w:rPr>
      <w:color w:val="0000FF"/>
      <w:u w:val="single"/>
    </w:rPr>
  </w:style>
  <w:style w:type="paragraph" w:styleId="NoSpacing">
    <w:name w:val="No Spacing"/>
    <w:uiPriority w:val="1"/>
    <w:qFormat/>
    <w:rsid w:val="003646C0"/>
    <w:pPr>
      <w:spacing w:before="0" w:after="0"/>
    </w:pPr>
    <w:rPr>
      <w:rFonts w:ascii="Arial" w:eastAsia="SimSun" w:hAnsi="Arial" w:cs="Arial"/>
      <w:kern w:val="0"/>
      <w:szCs w:val="20"/>
      <w:lang w:eastAsia="zh-CN"/>
      <w14:ligatures w14:val="none"/>
    </w:rPr>
  </w:style>
  <w:style w:type="paragraph" w:styleId="TOCHeading">
    <w:name w:val="TOC Heading"/>
    <w:basedOn w:val="Heading1"/>
    <w:next w:val="Normal"/>
    <w:uiPriority w:val="39"/>
    <w:unhideWhenUsed/>
    <w:qFormat/>
    <w:rsid w:val="003646C0"/>
    <w:pPr>
      <w:spacing w:before="240" w:after="0" w:line="259" w:lineRule="auto"/>
      <w:outlineLvl w:val="9"/>
    </w:pPr>
    <w:rPr>
      <w:rFonts w:asciiTheme="majorHAnsi" w:hAnsiTheme="majorHAnsi" w:cstheme="majorBidi"/>
      <w:color w:val="0F4761" w:themeColor="accent1" w:themeShade="BF"/>
      <w:sz w:val="32"/>
      <w:szCs w:val="32"/>
    </w:rPr>
  </w:style>
  <w:style w:type="paragraph" w:styleId="TOC1">
    <w:name w:val="toc 1"/>
    <w:basedOn w:val="Normal"/>
    <w:next w:val="Normal"/>
    <w:autoRedefine/>
    <w:uiPriority w:val="39"/>
    <w:unhideWhenUsed/>
    <w:rsid w:val="00D34C3E"/>
    <w:pPr>
      <w:tabs>
        <w:tab w:val="left" w:pos="426"/>
        <w:tab w:val="right" w:leader="dot" w:pos="9350"/>
      </w:tabs>
      <w:spacing w:after="100"/>
    </w:pPr>
  </w:style>
  <w:style w:type="paragraph" w:styleId="TOC2">
    <w:name w:val="toc 2"/>
    <w:basedOn w:val="Normal"/>
    <w:next w:val="Normal"/>
    <w:autoRedefine/>
    <w:uiPriority w:val="39"/>
    <w:unhideWhenUsed/>
    <w:rsid w:val="00053C9E"/>
    <w:pPr>
      <w:tabs>
        <w:tab w:val="left" w:pos="1276"/>
        <w:tab w:val="left" w:pos="1418"/>
        <w:tab w:val="right" w:leader="dot" w:pos="9350"/>
      </w:tabs>
      <w:spacing w:after="100"/>
      <w:ind w:left="450"/>
    </w:pPr>
  </w:style>
  <w:style w:type="paragraph" w:styleId="TOC3">
    <w:name w:val="toc 3"/>
    <w:basedOn w:val="Normal"/>
    <w:next w:val="Normal"/>
    <w:autoRedefine/>
    <w:uiPriority w:val="39"/>
    <w:unhideWhenUsed/>
    <w:rsid w:val="00053C9E"/>
    <w:pPr>
      <w:tabs>
        <w:tab w:val="left" w:pos="1276"/>
        <w:tab w:val="left" w:pos="1418"/>
        <w:tab w:val="right" w:leader="dot" w:pos="9350"/>
      </w:tabs>
      <w:spacing w:after="100"/>
      <w:ind w:left="440"/>
    </w:pPr>
  </w:style>
  <w:style w:type="character" w:styleId="FollowedHyperlink">
    <w:name w:val="FollowedHyperlink"/>
    <w:basedOn w:val="DefaultParagraphFont"/>
    <w:semiHidden/>
    <w:unhideWhenUsed/>
    <w:rsid w:val="003646C0"/>
    <w:rPr>
      <w:color w:val="96607D" w:themeColor="followedHyperlink"/>
      <w:u w:val="single"/>
    </w:rPr>
  </w:style>
  <w:style w:type="paragraph" w:styleId="NormalWeb">
    <w:name w:val="Normal (Web)"/>
    <w:basedOn w:val="Normal"/>
    <w:semiHidden/>
    <w:unhideWhenUsed/>
    <w:rsid w:val="003646C0"/>
    <w:rPr>
      <w:rFonts w:ascii="Times New Roman" w:hAnsi="Times New Roman" w:cs="Times New Roman"/>
      <w:sz w:val="24"/>
      <w:szCs w:val="24"/>
    </w:rPr>
  </w:style>
  <w:style w:type="paragraph" w:styleId="Revision">
    <w:name w:val="Revision"/>
    <w:hidden/>
    <w:uiPriority w:val="99"/>
    <w:semiHidden/>
    <w:rsid w:val="003646C0"/>
    <w:pPr>
      <w:spacing w:before="0" w:after="0"/>
    </w:pPr>
    <w:rPr>
      <w:rFonts w:ascii="Arial" w:eastAsia="SimSun" w:hAnsi="Arial" w:cs="Arial"/>
      <w:kern w:val="0"/>
      <w:szCs w:val="20"/>
      <w:lang w:eastAsia="zh-CN"/>
      <w14:ligatures w14:val="none"/>
    </w:rPr>
  </w:style>
  <w:style w:type="character" w:styleId="CommentReference">
    <w:name w:val="annotation reference"/>
    <w:basedOn w:val="DefaultParagraphFont"/>
    <w:uiPriority w:val="99"/>
    <w:semiHidden/>
    <w:unhideWhenUsed/>
    <w:rsid w:val="003646C0"/>
    <w:rPr>
      <w:sz w:val="16"/>
      <w:szCs w:val="16"/>
    </w:rPr>
  </w:style>
  <w:style w:type="paragraph" w:styleId="CommentSubject">
    <w:name w:val="annotation subject"/>
    <w:basedOn w:val="CommentText"/>
    <w:next w:val="CommentText"/>
    <w:link w:val="CommentSubjectChar"/>
    <w:semiHidden/>
    <w:unhideWhenUsed/>
    <w:rsid w:val="003646C0"/>
    <w:rPr>
      <w:b/>
      <w:bCs/>
      <w:sz w:val="20"/>
    </w:rPr>
  </w:style>
  <w:style w:type="character" w:customStyle="1" w:styleId="CommentSubjectChar">
    <w:name w:val="Comment Subject Char"/>
    <w:basedOn w:val="CommentTextChar"/>
    <w:link w:val="CommentSubject"/>
    <w:semiHidden/>
    <w:rsid w:val="003646C0"/>
    <w:rPr>
      <w:rFonts w:ascii="Arial" w:eastAsia="SimSun" w:hAnsi="Arial" w:cs="Arial"/>
      <w:b/>
      <w:bCs/>
      <w:kern w:val="0"/>
      <w:sz w:val="20"/>
      <w:szCs w:val="20"/>
      <w:lang w:eastAsia="zh-CN"/>
      <w14:ligatures w14:val="none"/>
    </w:rPr>
  </w:style>
  <w:style w:type="table" w:styleId="TableGrid">
    <w:name w:val="Table Grid"/>
    <w:basedOn w:val="TableNormal"/>
    <w:uiPriority w:val="39"/>
    <w:rsid w:val="00F960B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15B"/>
    <w:pPr>
      <w:autoSpaceDE w:val="0"/>
      <w:autoSpaceDN w:val="0"/>
      <w:adjustRightInd w:val="0"/>
      <w:spacing w:before="0" w:after="0"/>
    </w:pPr>
    <w:rPr>
      <w:rFonts w:ascii="Arial" w:hAnsi="Arial" w:cs="Arial"/>
      <w:color w:val="000000"/>
      <w:kern w:val="0"/>
      <w:sz w:val="24"/>
      <w:szCs w:val="24"/>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B42ABD"/>
    <w:rPr>
      <w:rFonts w:ascii="Arial" w:eastAsia="SimSun" w:hAnsi="Arial" w:cs="Arial"/>
      <w:kern w:val="0"/>
      <w:szCs w:val="20"/>
      <w:lang w:eastAsia="zh-CN"/>
      <w14:ligatures w14:val="none"/>
    </w:rPr>
  </w:style>
  <w:style w:type="character" w:styleId="Strong">
    <w:name w:val="Strong"/>
    <w:basedOn w:val="DefaultParagraphFont"/>
    <w:uiPriority w:val="22"/>
    <w:qFormat/>
    <w:rsid w:val="00FD2034"/>
    <w:rPr>
      <w:b/>
      <w:bCs/>
    </w:rPr>
  </w:style>
  <w:style w:type="paragraph" w:customStyle="1" w:styleId="mb-2">
    <w:name w:val="mb-2"/>
    <w:basedOn w:val="Normal"/>
    <w:rsid w:val="001E3337"/>
    <w:pPr>
      <w:spacing w:before="100" w:beforeAutospacing="1" w:after="100" w:afterAutospacing="1"/>
    </w:pPr>
    <w:rPr>
      <w:rFonts w:ascii="Times New Roman" w:eastAsia="Times New Roman" w:hAnsi="Times New Roman" w:cs="Times New Roman"/>
      <w:sz w:val="24"/>
      <w:szCs w:val="24"/>
    </w:rPr>
  </w:style>
  <w:style w:type="paragraph" w:customStyle="1" w:styleId="onume0">
    <w:name w:val="onume"/>
    <w:basedOn w:val="Normal"/>
    <w:rsid w:val="00D359FC"/>
    <w:pPr>
      <w:spacing w:before="100" w:beforeAutospacing="1" w:after="100" w:afterAutospacing="1"/>
    </w:pPr>
    <w:rPr>
      <w:rFonts w:ascii="Times New Roman" w:eastAsiaTheme="minorEastAsia" w:hAnsi="Times New Roman" w:cs="Times New Roman"/>
      <w:sz w:val="24"/>
      <w:szCs w:val="24"/>
    </w:rPr>
  </w:style>
  <w:style w:type="character" w:customStyle="1" w:styleId="msodel0">
    <w:name w:val="msodel"/>
    <w:basedOn w:val="DefaultParagraphFont"/>
    <w:rsid w:val="00D3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wipo.int/about-wipo/en/assemblies/2023/a-64/doc_details.jsp?doc_id=632100" TargetMode="External"/><Relationship Id="rId26" Type="http://schemas.openxmlformats.org/officeDocument/2006/relationships/image" Target="media/image7.png"/><Relationship Id="rId39" Type="http://schemas.openxmlformats.org/officeDocument/2006/relationships/hyperlink" Target="https://www.wipo.int/edocs/mdocs/govbody/en/a_66/a_66_8.pdf" TargetMode="External"/><Relationship Id="rId21" Type="http://schemas.openxmlformats.org/officeDocument/2006/relationships/image" Target="media/image2.png"/><Relationship Id="rId34" Type="http://schemas.openxmlformats.org/officeDocument/2006/relationships/chart" Target="charts/chart4.xm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wipo.int/meetings/en/doc_details.jsp?doc_id=645971" TargetMode="External"/><Relationship Id="rId20" Type="http://schemas.openxmlformats.org/officeDocument/2006/relationships/hyperlink" Target="https://www.wipo.int/edocs/mdocs/govbody/en/a_66/a_66_8.pdf" TargetMode="External"/><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png"/><Relationship Id="rId32" Type="http://schemas.openxmlformats.org/officeDocument/2006/relationships/chart" Target="charts/chart2.xml"/><Relationship Id="rId37" Type="http://schemas.openxmlformats.org/officeDocument/2006/relationships/chart" Target="charts/chart7.xm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wipo.int/about-wipo/en/assemblies/2023/a-64/doc_details.jsp?doc_id=632100"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chart" Target="charts/chart6.xml"/><Relationship Id="rId10" Type="http://schemas.openxmlformats.org/officeDocument/2006/relationships/webSettings" Target="webSettings.xml"/><Relationship Id="rId19" Type="http://schemas.openxmlformats.org/officeDocument/2006/relationships/hyperlink" Target="https://www.wipo.int/meetings/en/doc_details.jsp?doc_id=645971" TargetMode="Externa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about-wipo/en/assemblies/2023/a-64/doc_details.jsp?doc_id=611353"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chart" Target="charts/chart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wipo.int/about-wipo/en/assemblies/2023/a-64/doc_details.jsp?doc_id=611353" TargetMode="External"/><Relationship Id="rId25" Type="http://schemas.openxmlformats.org/officeDocument/2006/relationships/image" Target="media/image6.png"/><Relationship Id="rId33" Type="http://schemas.openxmlformats.org/officeDocument/2006/relationships/chart" Target="charts/chart3.xml"/><Relationship Id="rId38" Type="http://schemas.openxmlformats.org/officeDocument/2006/relationships/hyperlink" Target="https://www.wipo.int/edocs/mdocs/govbody/en/a_65/a_65_10.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tm.iom.int/reports/ukraine-internal-displacement-report-general-population-survey-round-22-january-2026?close=true" TargetMode="External"/><Relationship Id="rId13" Type="http://schemas.openxmlformats.org/officeDocument/2006/relationships/hyperlink" Target="https://zakon.rada.gov.ua/laws/show/en/738-2022-%D0%BF" TargetMode="External"/><Relationship Id="rId18" Type="http://schemas.openxmlformats.org/officeDocument/2006/relationships/hyperlink" Target="https://doi.org/10.1787/940cee85-en" TargetMode="External"/><Relationship Id="rId26" Type="http://schemas.openxmlformats.org/officeDocument/2006/relationships/hyperlink" Target="https://www.unesco.org/sites/default/files/medias/fichiers/2025/07/UNESCO%E2%80%99s%20Action%20Plan%20For%20Sciences.pdf" TargetMode="External"/><Relationship Id="rId3" Type="http://schemas.openxmlformats.org/officeDocument/2006/relationships/hyperlink" Target="http://documents.worldbank.org/curated/en/099022025114040022" TargetMode="External"/><Relationship Id="rId21" Type="http://schemas.openxmlformats.org/officeDocument/2006/relationships/hyperlink" Target="https://eic.ec.europa.eu/news/commission-boosts-support-ukrainian-deep-tech-innovators-2026-04-01_en" TargetMode="External"/><Relationship Id="rId7" Type="http://schemas.openxmlformats.org/officeDocument/2006/relationships/hyperlink" Target="https://data.unhcr.org/en/situations/ukraine" TargetMode="External"/><Relationship Id="rId12" Type="http://schemas.openxmlformats.org/officeDocument/2006/relationships/hyperlink" Target="https://madeinukraine.gov.ua/" TargetMode="External"/><Relationship Id="rId17" Type="http://schemas.openxmlformats.org/officeDocument/2006/relationships/hyperlink" Target="https://www.undp.org/ukraine/publications/undp-ukraine-annual-report-2025-resilient-recovery-and-inclusive-development" TargetMode="External"/><Relationship Id="rId25" Type="http://schemas.openxmlformats.org/officeDocument/2006/relationships/hyperlink" Target="https://www.mur.gov.it/sites/default/files/2025-07/RI%20Coalition%20for%20Ukraine%20-%20Declaration%2010072025_online%20version.pdf" TargetMode="External"/><Relationship Id="rId2" Type="http://schemas.openxmlformats.org/officeDocument/2006/relationships/hyperlink" Target="https://documents.worldbank.org/en/publication/documents-reports/documentdetail/099022026094036395" TargetMode="External"/><Relationship Id="rId16" Type="http://schemas.openxmlformats.org/officeDocument/2006/relationships/hyperlink" Target="https://me.gov.ua/News/Detail/ec3dcfc0-318d-4c9a-aeec-c817978e7d3b?lang=uk-UA&amp;title=VlasnaSprava" TargetMode="External"/><Relationship Id="rId20" Type="http://schemas.openxmlformats.org/officeDocument/2006/relationships/hyperlink" Target="https://eic.ec.europa.eu/news/european-innovation-council-expands-support-ukrainian-tech-smes-and-start-ups-through-new-funding-2025-07-17_en" TargetMode="External"/><Relationship Id="rId29" Type="http://schemas.openxmlformats.org/officeDocument/2006/relationships/hyperlink" Target="https://www.wipo.int/meetings/en/details.jsp?meeting_id=89830" TargetMode="External"/><Relationship Id="rId1" Type="http://schemas.openxmlformats.org/officeDocument/2006/relationships/hyperlink" Target="https://www.wipo.int/meetings/en/doc_details.jsp?doc_id=645971" TargetMode="External"/><Relationship Id="rId6" Type="http://schemas.openxmlformats.org/officeDocument/2006/relationships/hyperlink" Target="https://ukraine.ohchr.org/sites/default/files/2026-02/2026-02-16%20HRMMU_Four%20Years%20On_fact%20sheet_2.pdf" TargetMode="External"/><Relationship Id="rId11" Type="http://schemas.openxmlformats.org/officeDocument/2006/relationships/hyperlink" Target="https://www.ilo.org/resource/news/ilo-and-eu-launch-project-strengthen-ukraine%E2%80%99s-labour-market-governance" TargetMode="External"/><Relationship Id="rId24" Type="http://schemas.openxmlformats.org/officeDocument/2006/relationships/hyperlink" Target="https://www.unesco.org/en/articles/just-published-resilient-minds-unseen-struggles-scientists-wartime-ukraine" TargetMode="External"/><Relationship Id="rId5" Type="http://schemas.openxmlformats.org/officeDocument/2006/relationships/hyperlink" Target="https://ukraine.ohchr.org/sites/default/files/2026-02/2026-0216%20HRMMU_Four%20Years%20On_fact%20sheet_2.pdf" TargetMode="External"/><Relationship Id="rId15" Type="http://schemas.openxmlformats.org/officeDocument/2006/relationships/hyperlink" Target="https://zakon.rada.gov.ua/laws/show/616-2026-%D0%BF?lang=en" TargetMode="External"/><Relationship Id="rId23" Type="http://schemas.openxmlformats.org/officeDocument/2006/relationships/hyperlink" Target="https://www.unicef.org/ukraine/en/press-releases/more-340-educational-facilities-damaged-or-destroyed-ukraine-year" TargetMode="External"/><Relationship Id="rId28" Type="http://schemas.openxmlformats.org/officeDocument/2006/relationships/hyperlink" Target="https://www.wipo.int/edocs/gii-ranking/2025/ua.pdf" TargetMode="External"/><Relationship Id="rId10" Type="http://schemas.openxmlformats.org/officeDocument/2006/relationships/hyperlink" Target="https://www.unesco.org/sites/default/files/medias/fichiers/2025/07/UNESCO%E2%80%99s%20Action%20Plan%20For%20Sciences.pdf" TargetMode="External"/><Relationship Id="rId19" Type="http://schemas.openxmlformats.org/officeDocument/2006/relationships/hyperlink" Target="https://doi.org/10.1787/49f00bcb-en" TargetMode="External"/><Relationship Id="rId4" Type="http://schemas.openxmlformats.org/officeDocument/2006/relationships/hyperlink" Target="https://www.unesco.org/en/ukraine-war/damaged-cultural-sites" TargetMode="External"/><Relationship Id="rId9" Type="http://schemas.openxmlformats.org/officeDocument/2006/relationships/hyperlink" Target="https://www.unesco.org/en/articles/ukraine-international-coalition-science-research-and-innovation-launched" TargetMode="External"/><Relationship Id="rId14" Type="http://schemas.openxmlformats.org/officeDocument/2006/relationships/hyperlink" Target="https://zakon.rada.gov.ua/laws/show/en/1527-2025-%D0%BF" TargetMode="External"/><Relationship Id="rId22" Type="http://schemas.openxmlformats.org/officeDocument/2006/relationships/hyperlink" Target="https://saveschools.in.ua/en/" TargetMode="External"/><Relationship Id="rId27" Type="http://schemas.openxmlformats.org/officeDocument/2006/relationships/hyperlink" Target="https://mincult.gov.ua/en/news/russians-have-damaged-1783-cultural-heritage-sites-and-2540-cultural-infrastructure-facilities/" TargetMode="External"/><Relationship Id="rId30" Type="http://schemas.openxmlformats.org/officeDocument/2006/relationships/hyperlink" Target="https://www.wipo.int/edocs/mdocs/pct/en/pct_ctc_33/pct_ctc_33_29.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GI%20in%20force%20-%20Ukrai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wipoprod-my.sharepoint.com/personal/eva_stefanovska_wipo_int/Documents/Ukraine/2026%20WIPO%20Assemblies/WIPO's%20Assistance%202026%20Inputs/Ukraine_IP%20Filings%20report_2026_new%20version.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Geographical indications in force</a:t>
            </a:r>
            <a:r>
              <a:rPr lang="es-CL" baseline="0"/>
              <a:t> in Ukraine</a:t>
            </a:r>
            <a:endParaRPr lang="es-CL"/>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'GI-Ukraine'!$B$2:$H$2</c:f>
              <c:numCache>
                <c:formatCode>General</c:formatCode>
                <c:ptCount val="7"/>
                <c:pt idx="0">
                  <c:v>2018</c:v>
                </c:pt>
                <c:pt idx="1">
                  <c:v>2019</c:v>
                </c:pt>
                <c:pt idx="2">
                  <c:v>2020</c:v>
                </c:pt>
                <c:pt idx="3">
                  <c:v>2021</c:v>
                </c:pt>
                <c:pt idx="4">
                  <c:v>2022</c:v>
                </c:pt>
                <c:pt idx="5">
                  <c:v>2023</c:v>
                </c:pt>
                <c:pt idx="6">
                  <c:v>2024</c:v>
                </c:pt>
              </c:numCache>
            </c:numRef>
          </c:cat>
          <c:val>
            <c:numRef>
              <c:f>'GI-Ukraine'!$B$9:$H$9</c:f>
              <c:numCache>
                <c:formatCode>#,##0</c:formatCode>
                <c:ptCount val="7"/>
                <c:pt idx="0">
                  <c:v>3115</c:v>
                </c:pt>
                <c:pt idx="1">
                  <c:v>3117</c:v>
                </c:pt>
                <c:pt idx="2">
                  <c:v>3121</c:v>
                </c:pt>
                <c:pt idx="3">
                  <c:v>3124</c:v>
                </c:pt>
                <c:pt idx="4">
                  <c:v>3124</c:v>
                </c:pt>
                <c:pt idx="5">
                  <c:v>3128</c:v>
                </c:pt>
                <c:pt idx="6">
                  <c:v>3133</c:v>
                </c:pt>
              </c:numCache>
            </c:numRef>
          </c:val>
          <c:extLst>
            <c:ext xmlns:c16="http://schemas.microsoft.com/office/drawing/2014/chart" uri="{C3380CC4-5D6E-409C-BE32-E72D297353CC}">
              <c16:uniqueId val="{00000000-8494-4A36-AECD-FEECC9997C13}"/>
            </c:ext>
          </c:extLst>
        </c:ser>
        <c:dLbls>
          <c:showLegendKey val="0"/>
          <c:showVal val="0"/>
          <c:showCatName val="0"/>
          <c:showSerName val="0"/>
          <c:showPercent val="0"/>
          <c:showBubbleSize val="0"/>
        </c:dLbls>
        <c:gapWidth val="219"/>
        <c:overlap val="-27"/>
        <c:axId val="874783407"/>
        <c:axId val="874791567"/>
      </c:barChart>
      <c:catAx>
        <c:axId val="874783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874791567"/>
        <c:crosses val="autoZero"/>
        <c:auto val="1"/>
        <c:lblAlgn val="ctr"/>
        <c:lblOffset val="100"/>
        <c:noMultiLvlLbl val="0"/>
      </c:catAx>
      <c:valAx>
        <c:axId val="874791567"/>
        <c:scaling>
          <c:orientation val="minMax"/>
          <c:max val="4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874783407"/>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150"/>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PCT applications originating from Ukraine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Sheet1!$B$41:$B$61</c:f>
              <c:numCache>
                <c:formatCode>General</c:formatCode>
                <c:ptCount val="21"/>
                <c:pt idx="0">
                  <c:v>60</c:v>
                </c:pt>
                <c:pt idx="1">
                  <c:v>77</c:v>
                </c:pt>
                <c:pt idx="2">
                  <c:v>94</c:v>
                </c:pt>
                <c:pt idx="3">
                  <c:v>98</c:v>
                </c:pt>
                <c:pt idx="4">
                  <c:v>79</c:v>
                </c:pt>
                <c:pt idx="5">
                  <c:v>106</c:v>
                </c:pt>
                <c:pt idx="6">
                  <c:v>139</c:v>
                </c:pt>
                <c:pt idx="7">
                  <c:v>120</c:v>
                </c:pt>
                <c:pt idx="8">
                  <c:v>152</c:v>
                </c:pt>
                <c:pt idx="9">
                  <c:v>147</c:v>
                </c:pt>
                <c:pt idx="10">
                  <c:v>139</c:v>
                </c:pt>
                <c:pt idx="11">
                  <c:v>162</c:v>
                </c:pt>
                <c:pt idx="12">
                  <c:v>141</c:v>
                </c:pt>
                <c:pt idx="13">
                  <c:v>155</c:v>
                </c:pt>
                <c:pt idx="14">
                  <c:v>183</c:v>
                </c:pt>
                <c:pt idx="15">
                  <c:v>126</c:v>
                </c:pt>
                <c:pt idx="16">
                  <c:v>131</c:v>
                </c:pt>
                <c:pt idx="17">
                  <c:v>89</c:v>
                </c:pt>
                <c:pt idx="18">
                  <c:v>90</c:v>
                </c:pt>
                <c:pt idx="19">
                  <c:v>113</c:v>
                </c:pt>
                <c:pt idx="20">
                  <c:v>111</c:v>
                </c:pt>
              </c:numCache>
            </c:numRef>
          </c:val>
          <c:extLst>
            <c:ext xmlns:c16="http://schemas.microsoft.com/office/drawing/2014/chart" uri="{C3380CC4-5D6E-409C-BE32-E72D297353CC}">
              <c16:uniqueId val="{00000000-B783-4556-9D72-32F1F760447E}"/>
            </c:ext>
          </c:extLst>
        </c:ser>
        <c:dLbls>
          <c:showLegendKey val="0"/>
          <c:showVal val="0"/>
          <c:showCatName val="0"/>
          <c:showSerName val="0"/>
          <c:showPercent val="0"/>
          <c:showBubbleSize val="0"/>
        </c:dLbls>
        <c:gapWidth val="14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Madrid applications originating from Ukraine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Sheet1!$D$41:$D$61</c:f>
              <c:numCache>
                <c:formatCode>General</c:formatCode>
                <c:ptCount val="21"/>
                <c:pt idx="0">
                  <c:v>101</c:v>
                </c:pt>
                <c:pt idx="1">
                  <c:v>125</c:v>
                </c:pt>
                <c:pt idx="2">
                  <c:v>216</c:v>
                </c:pt>
                <c:pt idx="3">
                  <c:v>188</c:v>
                </c:pt>
                <c:pt idx="4">
                  <c:v>187</c:v>
                </c:pt>
                <c:pt idx="5">
                  <c:v>262</c:v>
                </c:pt>
                <c:pt idx="6">
                  <c:v>333</c:v>
                </c:pt>
                <c:pt idx="7">
                  <c:v>313</c:v>
                </c:pt>
                <c:pt idx="8">
                  <c:v>517</c:v>
                </c:pt>
                <c:pt idx="9">
                  <c:v>432</c:v>
                </c:pt>
                <c:pt idx="10">
                  <c:v>400</c:v>
                </c:pt>
                <c:pt idx="11">
                  <c:v>408</c:v>
                </c:pt>
                <c:pt idx="12">
                  <c:v>389</c:v>
                </c:pt>
                <c:pt idx="13">
                  <c:v>464</c:v>
                </c:pt>
                <c:pt idx="14">
                  <c:v>492</c:v>
                </c:pt>
                <c:pt idx="15">
                  <c:v>414</c:v>
                </c:pt>
                <c:pt idx="16">
                  <c:v>376</c:v>
                </c:pt>
                <c:pt idx="17">
                  <c:v>304</c:v>
                </c:pt>
                <c:pt idx="18">
                  <c:v>369</c:v>
                </c:pt>
                <c:pt idx="19">
                  <c:v>378</c:v>
                </c:pt>
                <c:pt idx="20">
                  <c:v>414</c:v>
                </c:pt>
              </c:numCache>
            </c:numRef>
          </c:val>
          <c:extLst>
            <c:ext xmlns:c16="http://schemas.microsoft.com/office/drawing/2014/chart" uri="{C3380CC4-5D6E-409C-BE32-E72D297353CC}">
              <c16:uniqueId val="{00000000-824B-4D2F-8912-2505D3195C33}"/>
            </c:ext>
          </c:extLst>
        </c:ser>
        <c:dLbls>
          <c:showLegendKey val="0"/>
          <c:showVal val="0"/>
          <c:showCatName val="0"/>
          <c:showSerName val="0"/>
          <c:showPercent val="0"/>
          <c:showBubbleSize val="0"/>
        </c:dLbls>
        <c:gapWidth val="14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Designation of Ukraine in Madrid applications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Sheet1!$F$49:$F$61</c:f>
              <c:numCache>
                <c:formatCode>_ * #,##0_ ;_ * \-#,##0_ ;_ * "-"??_ ;_ @_ </c:formatCode>
                <c:ptCount val="13"/>
                <c:pt idx="0">
                  <c:v>10375</c:v>
                </c:pt>
                <c:pt idx="1">
                  <c:v>8940</c:v>
                </c:pt>
                <c:pt idx="2">
                  <c:v>7305</c:v>
                </c:pt>
                <c:pt idx="3">
                  <c:v>7178</c:v>
                </c:pt>
                <c:pt idx="4">
                  <c:v>7646</c:v>
                </c:pt>
                <c:pt idx="5">
                  <c:v>7984</c:v>
                </c:pt>
                <c:pt idx="6">
                  <c:v>8288</c:v>
                </c:pt>
                <c:pt idx="7">
                  <c:v>7998</c:v>
                </c:pt>
                <c:pt idx="8">
                  <c:v>8713</c:v>
                </c:pt>
                <c:pt idx="9">
                  <c:v>6512</c:v>
                </c:pt>
                <c:pt idx="10">
                  <c:v>5619</c:v>
                </c:pt>
                <c:pt idx="11">
                  <c:v>5361</c:v>
                </c:pt>
                <c:pt idx="12">
                  <c:v>5537</c:v>
                </c:pt>
              </c:numCache>
            </c:numRef>
          </c:val>
          <c:extLst>
            <c:ext xmlns:c16="http://schemas.microsoft.com/office/drawing/2014/chart" uri="{C3380CC4-5D6E-409C-BE32-E72D297353CC}">
              <c16:uniqueId val="{00000000-115B-4D06-88D4-C08741A5BE1E}"/>
            </c:ext>
          </c:extLst>
        </c:ser>
        <c:dLbls>
          <c:showLegendKey val="0"/>
          <c:showVal val="0"/>
          <c:showCatName val="0"/>
          <c:showSerName val="0"/>
          <c:showPercent val="0"/>
          <c:showBubbleSize val="0"/>
        </c:dLbls>
        <c:gapWidth val="219"/>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Hague applications originating from Ukraine</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Sheet1!$H$41:$H$61</c:f>
              <c:numCache>
                <c:formatCode>General</c:formatCode>
                <c:ptCount val="21"/>
                <c:pt idx="0">
                  <c:v>2</c:v>
                </c:pt>
                <c:pt idx="1">
                  <c:v>2</c:v>
                </c:pt>
                <c:pt idx="2">
                  <c:v>1</c:v>
                </c:pt>
                <c:pt idx="3">
                  <c:v>6</c:v>
                </c:pt>
                <c:pt idx="4">
                  <c:v>3</c:v>
                </c:pt>
                <c:pt idx="5">
                  <c:v>6</c:v>
                </c:pt>
                <c:pt idx="6">
                  <c:v>7</c:v>
                </c:pt>
                <c:pt idx="7">
                  <c:v>4</c:v>
                </c:pt>
                <c:pt idx="8">
                  <c:v>6</c:v>
                </c:pt>
                <c:pt idx="9">
                  <c:v>17</c:v>
                </c:pt>
                <c:pt idx="10">
                  <c:v>16</c:v>
                </c:pt>
                <c:pt idx="11">
                  <c:v>29</c:v>
                </c:pt>
                <c:pt idx="12">
                  <c:v>27</c:v>
                </c:pt>
                <c:pt idx="13">
                  <c:v>41</c:v>
                </c:pt>
                <c:pt idx="14">
                  <c:v>38</c:v>
                </c:pt>
                <c:pt idx="15">
                  <c:v>33</c:v>
                </c:pt>
                <c:pt idx="16">
                  <c:v>53</c:v>
                </c:pt>
                <c:pt idx="17">
                  <c:v>31</c:v>
                </c:pt>
                <c:pt idx="18">
                  <c:v>40</c:v>
                </c:pt>
                <c:pt idx="19">
                  <c:v>33</c:v>
                </c:pt>
                <c:pt idx="20">
                  <c:v>55</c:v>
                </c:pt>
              </c:numCache>
            </c:numRef>
          </c:val>
          <c:extLst>
            <c:ext xmlns:c16="http://schemas.microsoft.com/office/drawing/2014/chart" uri="{C3380CC4-5D6E-409C-BE32-E72D297353CC}">
              <c16:uniqueId val="{00000000-2283-4576-A8B1-78D27F9B5925}"/>
            </c:ext>
          </c:extLst>
        </c:ser>
        <c:dLbls>
          <c:dLblPos val="outEnd"/>
          <c:showLegendKey val="0"/>
          <c:showVal val="1"/>
          <c:showCatName val="0"/>
          <c:showSerName val="0"/>
          <c:showPercent val="0"/>
          <c:showBubbleSize val="0"/>
        </c:dLbls>
        <c:gapWidth val="13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1320" b="0" i="0" u="none" strike="noStrike" kern="1200" spc="0" baseline="0">
                <a:solidFill>
                  <a:schemeClr val="tx1"/>
                </a:solidFill>
                <a:latin typeface="Arial" panose="020B0604020202020204" pitchFamily="34" charset="0"/>
                <a:ea typeface="+mn-ea"/>
                <a:cs typeface="Arial" panose="020B0604020202020204" pitchFamily="34" charset="0"/>
              </a:defRPr>
            </a:pPr>
            <a:r>
              <a:rPr lang="es-CL"/>
              <a:t>Designs contained in Hague applications originating from Ukraine</a:t>
            </a:r>
          </a:p>
        </c:rich>
      </c:tx>
      <c:overlay val="0"/>
      <c:spPr>
        <a:noFill/>
        <a:ln>
          <a:noFill/>
        </a:ln>
        <a:effectLst/>
      </c:spPr>
      <c:txPr>
        <a:bodyPr rot="0" spcFirstLastPara="1" vertOverflow="ellipsis" vert="horz" wrap="square" anchor="ctr" anchorCtr="1"/>
        <a:lstStyle/>
        <a:p>
          <a:pPr algn="ctr" rtl="0">
            <a:defRPr lang="en-US" sz="1320" b="0"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Sheet1!$J$49:$J$61</c:f>
              <c:numCache>
                <c:formatCode>General</c:formatCode>
                <c:ptCount val="13"/>
                <c:pt idx="0">
                  <c:v>26</c:v>
                </c:pt>
                <c:pt idx="1">
                  <c:v>44</c:v>
                </c:pt>
                <c:pt idx="2">
                  <c:v>36</c:v>
                </c:pt>
                <c:pt idx="3">
                  <c:v>100</c:v>
                </c:pt>
                <c:pt idx="4">
                  <c:v>179</c:v>
                </c:pt>
                <c:pt idx="5">
                  <c:v>73</c:v>
                </c:pt>
                <c:pt idx="6">
                  <c:v>128</c:v>
                </c:pt>
                <c:pt idx="7">
                  <c:v>80</c:v>
                </c:pt>
                <c:pt idx="8">
                  <c:v>101</c:v>
                </c:pt>
                <c:pt idx="9">
                  <c:v>39</c:v>
                </c:pt>
                <c:pt idx="10">
                  <c:v>126</c:v>
                </c:pt>
                <c:pt idx="11">
                  <c:v>111</c:v>
                </c:pt>
                <c:pt idx="12">
                  <c:v>94</c:v>
                </c:pt>
              </c:numCache>
            </c:numRef>
          </c:val>
          <c:extLst>
            <c:ext xmlns:c16="http://schemas.microsoft.com/office/drawing/2014/chart" uri="{C3380CC4-5D6E-409C-BE32-E72D297353CC}">
              <c16:uniqueId val="{00000000-5623-48CD-AC27-00E44B560687}"/>
            </c:ext>
          </c:extLst>
        </c:ser>
        <c:dLbls>
          <c:dLblPos val="outEnd"/>
          <c:showLegendKey val="0"/>
          <c:showVal val="1"/>
          <c:showCatName val="0"/>
          <c:showSerName val="0"/>
          <c:showPercent val="0"/>
          <c:showBubbleSize val="0"/>
        </c:dLbls>
        <c:gapWidth val="219"/>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L"/>
              <a:t>Designation of Ukraine in Hague applications (# of designs)</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Sheet1!$J$49:$J$61</c:f>
              <c:numCache>
                <c:formatCode>General</c:formatCode>
                <c:ptCount val="13"/>
                <c:pt idx="0">
                  <c:v>2647</c:v>
                </c:pt>
                <c:pt idx="1">
                  <c:v>2565</c:v>
                </c:pt>
                <c:pt idx="2">
                  <c:v>3007</c:v>
                </c:pt>
                <c:pt idx="3">
                  <c:v>2998</c:v>
                </c:pt>
                <c:pt idx="4">
                  <c:v>2897</c:v>
                </c:pt>
                <c:pt idx="5">
                  <c:v>2272</c:v>
                </c:pt>
                <c:pt idx="6">
                  <c:v>2687</c:v>
                </c:pt>
                <c:pt idx="7">
                  <c:v>1979</c:v>
                </c:pt>
                <c:pt idx="8">
                  <c:v>2339</c:v>
                </c:pt>
                <c:pt idx="9">
                  <c:v>1869</c:v>
                </c:pt>
                <c:pt idx="10">
                  <c:v>1717</c:v>
                </c:pt>
                <c:pt idx="11">
                  <c:v>1572</c:v>
                </c:pt>
                <c:pt idx="12">
                  <c:v>1510</c:v>
                </c:pt>
              </c:numCache>
            </c:numRef>
          </c:val>
          <c:extLst>
            <c:ext xmlns:c16="http://schemas.microsoft.com/office/drawing/2014/chart" uri="{C3380CC4-5D6E-409C-BE32-E72D297353CC}">
              <c16:uniqueId val="{00000000-6861-40DD-95F4-9F80E6FEF2BE}"/>
            </c:ext>
          </c:extLst>
        </c:ser>
        <c:dLbls>
          <c:showLegendKey val="0"/>
          <c:showVal val="0"/>
          <c:showCatName val="0"/>
          <c:showSerName val="0"/>
          <c:showPercent val="0"/>
          <c:showBubbleSize val="0"/>
        </c:dLbls>
        <c:gapWidth val="219"/>
        <c:overlap val="-27"/>
        <c:axId val="1177577007"/>
        <c:axId val="34011728"/>
      </c:barChart>
      <c:catAx>
        <c:axId val="117757700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1"/>
        <c:lblAlgn val="ctr"/>
        <c:lblOffset val="100"/>
        <c:tickLblSkip val="2"/>
        <c:noMultiLvlLbl val="0"/>
      </c:catAx>
      <c:valAx>
        <c:axId val="34011728"/>
        <c:scaling>
          <c:orientation val="minMax"/>
          <c:max val="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DEAADBFP-1499948599-55033</_dlc_DocId>
    <_dlc_DocIdUrl xmlns="afdacc0a-6563-489f-9b51-6fc9acac5c48">
      <Url>https://wipoprod.sharepoint.com/sites/SPS-INT-BFP-DEAAD-AsseAffa/_layouts/15/DocIdRedir.aspx?ID=DEAADBFP-1499948599-55033</Url>
      <Description>DEAADBFP-1499948599-55033</Description>
    </_dlc_DocIdUrl>
    <IP_x0020_System xmlns="56500874-bba0-4b48-9090-b201492e8473" xsi:nil="true"/>
    <gbd88f87496145e58da10973a57b07b8 xmlns="56500874-bba0-4b48-9090-b201492e8473">
      <Terms xmlns="http://schemas.microsoft.com/office/infopath/2007/PartnerControls"/>
    </gbd88f87496145e58da10973a57b07b8>
  </documentManagement>
</p:propertie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40" ma:contentTypeDescription="" ma:contentTypeScope="" ma:versionID="b87bd26ef506a5e49d5c7fcec1760fb6">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9585f1c432bb61e92b164d568ffaa0a4"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_x0020_System" minOccurs="0"/>
                <xsd:element ref="ns2:ECCM_Description" minOccurs="0"/>
                <xsd:element ref="ns3:TaxCatchAll" minOccurs="0"/>
                <xsd:element ref="ns3:TaxCatchAllLabel" minOccurs="0"/>
                <xsd:element ref="ns3:gd7c24c3841c42febad33c823204a123" minOccurs="0"/>
                <xsd:element ref="ns3:oec7080f59824b85bfab9bab42c36e68" minOccurs="0"/>
                <xsd:element ref="ns3:j72d38dd587d4c818476e9c94f452b47"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_x0020_System" ma:index="5" nillable="true" ma:displayName="IP System" ma:default="" ma:internalName="IP_x0020_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9"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20"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4F9F1-1D2C-4FD1-8B7D-17E13E0398DC}">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2.xml><?xml version="1.0" encoding="utf-8"?>
<ds:datastoreItem xmlns:ds="http://schemas.openxmlformats.org/officeDocument/2006/customXml" ds:itemID="{AAD313FC-4E53-45AF-9852-85D6D9D0B1B8}">
  <ds:schemaRefs>
    <ds:schemaRef ds:uri="Microsoft.SharePoint.Taxonomy.ContentTypeSync"/>
  </ds:schemaRefs>
</ds:datastoreItem>
</file>

<file path=customXml/itemProps3.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4.xml><?xml version="1.0" encoding="utf-8"?>
<ds:datastoreItem xmlns:ds="http://schemas.openxmlformats.org/officeDocument/2006/customXml" ds:itemID="{2C7FB94C-93EE-4E67-8F1F-C83BAB88FA5B}">
  <ds:schemaRefs>
    <ds:schemaRef ds:uri="http://schemas.microsoft.com/sharepoint/events"/>
  </ds:schemaRefs>
</ds:datastoreItem>
</file>

<file path=customXml/itemProps5.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6.xml><?xml version="1.0" encoding="utf-8"?>
<ds:datastoreItem xmlns:ds="http://schemas.openxmlformats.org/officeDocument/2006/customXml" ds:itemID="{89CED3DB-2570-4F6C-AF61-99298953E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14680</Words>
  <Characters>83976</Characters>
  <Application>Microsoft Office Word</Application>
  <DocSecurity>4</DocSecurity>
  <Lines>3998</Lines>
  <Paragraphs>3794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94862</CharactersWithSpaces>
  <SharedDoc>false</SharedDoc>
  <HLinks>
    <vt:vector size="504" baseType="variant">
      <vt:variant>
        <vt:i4>3997785</vt:i4>
      </vt:variant>
      <vt:variant>
        <vt:i4>297</vt:i4>
      </vt:variant>
      <vt:variant>
        <vt:i4>0</vt:i4>
      </vt:variant>
      <vt:variant>
        <vt:i4>5</vt:i4>
      </vt:variant>
      <vt:variant>
        <vt:lpwstr>https://www.wipo.int/edocs/mdocs/govbody/en/a_66/a_66_8.pdf</vt:lpwstr>
      </vt:variant>
      <vt:variant>
        <vt:lpwstr/>
      </vt:variant>
      <vt:variant>
        <vt:i4>5374057</vt:i4>
      </vt:variant>
      <vt:variant>
        <vt:i4>294</vt:i4>
      </vt:variant>
      <vt:variant>
        <vt:i4>0</vt:i4>
      </vt:variant>
      <vt:variant>
        <vt:i4>5</vt:i4>
      </vt:variant>
      <vt:variant>
        <vt:lpwstr>https://www.wipo.int/edocs/mdocs/govbody/en/a_65/a_65_10.pdf</vt:lpwstr>
      </vt:variant>
      <vt:variant>
        <vt:lpwstr/>
      </vt:variant>
      <vt:variant>
        <vt:i4>3997785</vt:i4>
      </vt:variant>
      <vt:variant>
        <vt:i4>291</vt:i4>
      </vt:variant>
      <vt:variant>
        <vt:i4>0</vt:i4>
      </vt:variant>
      <vt:variant>
        <vt:i4>5</vt:i4>
      </vt:variant>
      <vt:variant>
        <vt:lpwstr>https://www.wipo.int/edocs/mdocs/govbody/en/a_66/a_66_8.pdf</vt:lpwstr>
      </vt:variant>
      <vt:variant>
        <vt:lpwstr/>
      </vt:variant>
      <vt:variant>
        <vt:i4>7077940</vt:i4>
      </vt:variant>
      <vt:variant>
        <vt:i4>288</vt:i4>
      </vt:variant>
      <vt:variant>
        <vt:i4>0</vt:i4>
      </vt:variant>
      <vt:variant>
        <vt:i4>5</vt:i4>
      </vt:variant>
      <vt:variant>
        <vt:lpwstr>https://www.wipo.int/meetings/en/doc_details.jsp?doc_id=645971</vt:lpwstr>
      </vt:variant>
      <vt:variant>
        <vt:lpwstr/>
      </vt:variant>
      <vt:variant>
        <vt:i4>1507392</vt:i4>
      </vt:variant>
      <vt:variant>
        <vt:i4>285</vt:i4>
      </vt:variant>
      <vt:variant>
        <vt:i4>0</vt:i4>
      </vt:variant>
      <vt:variant>
        <vt:i4>5</vt:i4>
      </vt:variant>
      <vt:variant>
        <vt:lpwstr>https://www.wipo.int/about-wipo/en/assemblies/2023/a-64/doc_details.jsp?doc_id=632100</vt:lpwstr>
      </vt:variant>
      <vt:variant>
        <vt:lpwstr/>
      </vt:variant>
      <vt:variant>
        <vt:i4>1114176</vt:i4>
      </vt:variant>
      <vt:variant>
        <vt:i4>282</vt:i4>
      </vt:variant>
      <vt:variant>
        <vt:i4>0</vt:i4>
      </vt:variant>
      <vt:variant>
        <vt:i4>5</vt:i4>
      </vt:variant>
      <vt:variant>
        <vt:lpwstr>https://www.wipo.int/about-wipo/en/assemblies/2023/a-64/doc_details.jsp?doc_id=611353</vt:lpwstr>
      </vt:variant>
      <vt:variant>
        <vt:lpwstr/>
      </vt:variant>
      <vt:variant>
        <vt:i4>7077940</vt:i4>
      </vt:variant>
      <vt:variant>
        <vt:i4>279</vt:i4>
      </vt:variant>
      <vt:variant>
        <vt:i4>0</vt:i4>
      </vt:variant>
      <vt:variant>
        <vt:i4>5</vt:i4>
      </vt:variant>
      <vt:variant>
        <vt:lpwstr>https://www.wipo.int/meetings/en/doc_details.jsp?doc_id=645971</vt:lpwstr>
      </vt:variant>
      <vt:variant>
        <vt:lpwstr/>
      </vt:variant>
      <vt:variant>
        <vt:i4>1507392</vt:i4>
      </vt:variant>
      <vt:variant>
        <vt:i4>276</vt:i4>
      </vt:variant>
      <vt:variant>
        <vt:i4>0</vt:i4>
      </vt:variant>
      <vt:variant>
        <vt:i4>5</vt:i4>
      </vt:variant>
      <vt:variant>
        <vt:lpwstr>https://www.wipo.int/about-wipo/en/assemblies/2023/a-64/doc_details.jsp?doc_id=632100</vt:lpwstr>
      </vt:variant>
      <vt:variant>
        <vt:lpwstr/>
      </vt:variant>
      <vt:variant>
        <vt:i4>1114176</vt:i4>
      </vt:variant>
      <vt:variant>
        <vt:i4>273</vt:i4>
      </vt:variant>
      <vt:variant>
        <vt:i4>0</vt:i4>
      </vt:variant>
      <vt:variant>
        <vt:i4>5</vt:i4>
      </vt:variant>
      <vt:variant>
        <vt:lpwstr>https://www.wipo.int/about-wipo/en/assemblies/2023/a-64/doc_details.jsp?doc_id=611353</vt:lpwstr>
      </vt:variant>
      <vt:variant>
        <vt:lpwstr/>
      </vt:variant>
      <vt:variant>
        <vt:i4>2031668</vt:i4>
      </vt:variant>
      <vt:variant>
        <vt:i4>266</vt:i4>
      </vt:variant>
      <vt:variant>
        <vt:i4>0</vt:i4>
      </vt:variant>
      <vt:variant>
        <vt:i4>5</vt:i4>
      </vt:variant>
      <vt:variant>
        <vt:lpwstr/>
      </vt:variant>
      <vt:variant>
        <vt:lpwstr>_Toc231900726</vt:lpwstr>
      </vt:variant>
      <vt:variant>
        <vt:i4>2031668</vt:i4>
      </vt:variant>
      <vt:variant>
        <vt:i4>260</vt:i4>
      </vt:variant>
      <vt:variant>
        <vt:i4>0</vt:i4>
      </vt:variant>
      <vt:variant>
        <vt:i4>5</vt:i4>
      </vt:variant>
      <vt:variant>
        <vt:lpwstr/>
      </vt:variant>
      <vt:variant>
        <vt:lpwstr>_Toc231900725</vt:lpwstr>
      </vt:variant>
      <vt:variant>
        <vt:i4>2031668</vt:i4>
      </vt:variant>
      <vt:variant>
        <vt:i4>254</vt:i4>
      </vt:variant>
      <vt:variant>
        <vt:i4>0</vt:i4>
      </vt:variant>
      <vt:variant>
        <vt:i4>5</vt:i4>
      </vt:variant>
      <vt:variant>
        <vt:lpwstr/>
      </vt:variant>
      <vt:variant>
        <vt:lpwstr>_Toc231900724</vt:lpwstr>
      </vt:variant>
      <vt:variant>
        <vt:i4>2031668</vt:i4>
      </vt:variant>
      <vt:variant>
        <vt:i4>248</vt:i4>
      </vt:variant>
      <vt:variant>
        <vt:i4>0</vt:i4>
      </vt:variant>
      <vt:variant>
        <vt:i4>5</vt:i4>
      </vt:variant>
      <vt:variant>
        <vt:lpwstr/>
      </vt:variant>
      <vt:variant>
        <vt:lpwstr>_Toc231900723</vt:lpwstr>
      </vt:variant>
      <vt:variant>
        <vt:i4>2031668</vt:i4>
      </vt:variant>
      <vt:variant>
        <vt:i4>242</vt:i4>
      </vt:variant>
      <vt:variant>
        <vt:i4>0</vt:i4>
      </vt:variant>
      <vt:variant>
        <vt:i4>5</vt:i4>
      </vt:variant>
      <vt:variant>
        <vt:lpwstr/>
      </vt:variant>
      <vt:variant>
        <vt:lpwstr>_Toc231900722</vt:lpwstr>
      </vt:variant>
      <vt:variant>
        <vt:i4>2031668</vt:i4>
      </vt:variant>
      <vt:variant>
        <vt:i4>236</vt:i4>
      </vt:variant>
      <vt:variant>
        <vt:i4>0</vt:i4>
      </vt:variant>
      <vt:variant>
        <vt:i4>5</vt:i4>
      </vt:variant>
      <vt:variant>
        <vt:lpwstr/>
      </vt:variant>
      <vt:variant>
        <vt:lpwstr>_Toc231900721</vt:lpwstr>
      </vt:variant>
      <vt:variant>
        <vt:i4>2031668</vt:i4>
      </vt:variant>
      <vt:variant>
        <vt:i4>230</vt:i4>
      </vt:variant>
      <vt:variant>
        <vt:i4>0</vt:i4>
      </vt:variant>
      <vt:variant>
        <vt:i4>5</vt:i4>
      </vt:variant>
      <vt:variant>
        <vt:lpwstr/>
      </vt:variant>
      <vt:variant>
        <vt:lpwstr>_Toc231900720</vt:lpwstr>
      </vt:variant>
      <vt:variant>
        <vt:i4>1835060</vt:i4>
      </vt:variant>
      <vt:variant>
        <vt:i4>224</vt:i4>
      </vt:variant>
      <vt:variant>
        <vt:i4>0</vt:i4>
      </vt:variant>
      <vt:variant>
        <vt:i4>5</vt:i4>
      </vt:variant>
      <vt:variant>
        <vt:lpwstr/>
      </vt:variant>
      <vt:variant>
        <vt:lpwstr>_Toc231900719</vt:lpwstr>
      </vt:variant>
      <vt:variant>
        <vt:i4>1835060</vt:i4>
      </vt:variant>
      <vt:variant>
        <vt:i4>218</vt:i4>
      </vt:variant>
      <vt:variant>
        <vt:i4>0</vt:i4>
      </vt:variant>
      <vt:variant>
        <vt:i4>5</vt:i4>
      </vt:variant>
      <vt:variant>
        <vt:lpwstr/>
      </vt:variant>
      <vt:variant>
        <vt:lpwstr>_Toc231900718</vt:lpwstr>
      </vt:variant>
      <vt:variant>
        <vt:i4>1835060</vt:i4>
      </vt:variant>
      <vt:variant>
        <vt:i4>212</vt:i4>
      </vt:variant>
      <vt:variant>
        <vt:i4>0</vt:i4>
      </vt:variant>
      <vt:variant>
        <vt:i4>5</vt:i4>
      </vt:variant>
      <vt:variant>
        <vt:lpwstr/>
      </vt:variant>
      <vt:variant>
        <vt:lpwstr>_Toc231900717</vt:lpwstr>
      </vt:variant>
      <vt:variant>
        <vt:i4>1835060</vt:i4>
      </vt:variant>
      <vt:variant>
        <vt:i4>206</vt:i4>
      </vt:variant>
      <vt:variant>
        <vt:i4>0</vt:i4>
      </vt:variant>
      <vt:variant>
        <vt:i4>5</vt:i4>
      </vt:variant>
      <vt:variant>
        <vt:lpwstr/>
      </vt:variant>
      <vt:variant>
        <vt:lpwstr>_Toc231900716</vt:lpwstr>
      </vt:variant>
      <vt:variant>
        <vt:i4>1835060</vt:i4>
      </vt:variant>
      <vt:variant>
        <vt:i4>200</vt:i4>
      </vt:variant>
      <vt:variant>
        <vt:i4>0</vt:i4>
      </vt:variant>
      <vt:variant>
        <vt:i4>5</vt:i4>
      </vt:variant>
      <vt:variant>
        <vt:lpwstr/>
      </vt:variant>
      <vt:variant>
        <vt:lpwstr>_Toc231900715</vt:lpwstr>
      </vt:variant>
      <vt:variant>
        <vt:i4>1835060</vt:i4>
      </vt:variant>
      <vt:variant>
        <vt:i4>194</vt:i4>
      </vt:variant>
      <vt:variant>
        <vt:i4>0</vt:i4>
      </vt:variant>
      <vt:variant>
        <vt:i4>5</vt:i4>
      </vt:variant>
      <vt:variant>
        <vt:lpwstr/>
      </vt:variant>
      <vt:variant>
        <vt:lpwstr>_Toc231900714</vt:lpwstr>
      </vt:variant>
      <vt:variant>
        <vt:i4>1835060</vt:i4>
      </vt:variant>
      <vt:variant>
        <vt:i4>188</vt:i4>
      </vt:variant>
      <vt:variant>
        <vt:i4>0</vt:i4>
      </vt:variant>
      <vt:variant>
        <vt:i4>5</vt:i4>
      </vt:variant>
      <vt:variant>
        <vt:lpwstr/>
      </vt:variant>
      <vt:variant>
        <vt:lpwstr>_Toc231900713</vt:lpwstr>
      </vt:variant>
      <vt:variant>
        <vt:i4>1835060</vt:i4>
      </vt:variant>
      <vt:variant>
        <vt:i4>182</vt:i4>
      </vt:variant>
      <vt:variant>
        <vt:i4>0</vt:i4>
      </vt:variant>
      <vt:variant>
        <vt:i4>5</vt:i4>
      </vt:variant>
      <vt:variant>
        <vt:lpwstr/>
      </vt:variant>
      <vt:variant>
        <vt:lpwstr>_Toc231900712</vt:lpwstr>
      </vt:variant>
      <vt:variant>
        <vt:i4>1835060</vt:i4>
      </vt:variant>
      <vt:variant>
        <vt:i4>176</vt:i4>
      </vt:variant>
      <vt:variant>
        <vt:i4>0</vt:i4>
      </vt:variant>
      <vt:variant>
        <vt:i4>5</vt:i4>
      </vt:variant>
      <vt:variant>
        <vt:lpwstr/>
      </vt:variant>
      <vt:variant>
        <vt:lpwstr>_Toc231900711</vt:lpwstr>
      </vt:variant>
      <vt:variant>
        <vt:i4>1835060</vt:i4>
      </vt:variant>
      <vt:variant>
        <vt:i4>170</vt:i4>
      </vt:variant>
      <vt:variant>
        <vt:i4>0</vt:i4>
      </vt:variant>
      <vt:variant>
        <vt:i4>5</vt:i4>
      </vt:variant>
      <vt:variant>
        <vt:lpwstr/>
      </vt:variant>
      <vt:variant>
        <vt:lpwstr>_Toc231900710</vt:lpwstr>
      </vt:variant>
      <vt:variant>
        <vt:i4>1900596</vt:i4>
      </vt:variant>
      <vt:variant>
        <vt:i4>164</vt:i4>
      </vt:variant>
      <vt:variant>
        <vt:i4>0</vt:i4>
      </vt:variant>
      <vt:variant>
        <vt:i4>5</vt:i4>
      </vt:variant>
      <vt:variant>
        <vt:lpwstr/>
      </vt:variant>
      <vt:variant>
        <vt:lpwstr>_Toc231900709</vt:lpwstr>
      </vt:variant>
      <vt:variant>
        <vt:i4>1900596</vt:i4>
      </vt:variant>
      <vt:variant>
        <vt:i4>158</vt:i4>
      </vt:variant>
      <vt:variant>
        <vt:i4>0</vt:i4>
      </vt:variant>
      <vt:variant>
        <vt:i4>5</vt:i4>
      </vt:variant>
      <vt:variant>
        <vt:lpwstr/>
      </vt:variant>
      <vt:variant>
        <vt:lpwstr>_Toc231900708</vt:lpwstr>
      </vt:variant>
      <vt:variant>
        <vt:i4>1900596</vt:i4>
      </vt:variant>
      <vt:variant>
        <vt:i4>152</vt:i4>
      </vt:variant>
      <vt:variant>
        <vt:i4>0</vt:i4>
      </vt:variant>
      <vt:variant>
        <vt:i4>5</vt:i4>
      </vt:variant>
      <vt:variant>
        <vt:lpwstr/>
      </vt:variant>
      <vt:variant>
        <vt:lpwstr>_Toc231900707</vt:lpwstr>
      </vt:variant>
      <vt:variant>
        <vt:i4>1900596</vt:i4>
      </vt:variant>
      <vt:variant>
        <vt:i4>146</vt:i4>
      </vt:variant>
      <vt:variant>
        <vt:i4>0</vt:i4>
      </vt:variant>
      <vt:variant>
        <vt:i4>5</vt:i4>
      </vt:variant>
      <vt:variant>
        <vt:lpwstr/>
      </vt:variant>
      <vt:variant>
        <vt:lpwstr>_Toc231900706</vt:lpwstr>
      </vt:variant>
      <vt:variant>
        <vt:i4>1900596</vt:i4>
      </vt:variant>
      <vt:variant>
        <vt:i4>140</vt:i4>
      </vt:variant>
      <vt:variant>
        <vt:i4>0</vt:i4>
      </vt:variant>
      <vt:variant>
        <vt:i4>5</vt:i4>
      </vt:variant>
      <vt:variant>
        <vt:lpwstr/>
      </vt:variant>
      <vt:variant>
        <vt:lpwstr>_Toc231900705</vt:lpwstr>
      </vt:variant>
      <vt:variant>
        <vt:i4>1900596</vt:i4>
      </vt:variant>
      <vt:variant>
        <vt:i4>134</vt:i4>
      </vt:variant>
      <vt:variant>
        <vt:i4>0</vt:i4>
      </vt:variant>
      <vt:variant>
        <vt:i4>5</vt:i4>
      </vt:variant>
      <vt:variant>
        <vt:lpwstr/>
      </vt:variant>
      <vt:variant>
        <vt:lpwstr>_Toc231900704</vt:lpwstr>
      </vt:variant>
      <vt:variant>
        <vt:i4>1900596</vt:i4>
      </vt:variant>
      <vt:variant>
        <vt:i4>128</vt:i4>
      </vt:variant>
      <vt:variant>
        <vt:i4>0</vt:i4>
      </vt:variant>
      <vt:variant>
        <vt:i4>5</vt:i4>
      </vt:variant>
      <vt:variant>
        <vt:lpwstr/>
      </vt:variant>
      <vt:variant>
        <vt:lpwstr>_Toc231900703</vt:lpwstr>
      </vt:variant>
      <vt:variant>
        <vt:i4>1900596</vt:i4>
      </vt:variant>
      <vt:variant>
        <vt:i4>122</vt:i4>
      </vt:variant>
      <vt:variant>
        <vt:i4>0</vt:i4>
      </vt:variant>
      <vt:variant>
        <vt:i4>5</vt:i4>
      </vt:variant>
      <vt:variant>
        <vt:lpwstr/>
      </vt:variant>
      <vt:variant>
        <vt:lpwstr>_Toc231900702</vt:lpwstr>
      </vt:variant>
      <vt:variant>
        <vt:i4>1900596</vt:i4>
      </vt:variant>
      <vt:variant>
        <vt:i4>116</vt:i4>
      </vt:variant>
      <vt:variant>
        <vt:i4>0</vt:i4>
      </vt:variant>
      <vt:variant>
        <vt:i4>5</vt:i4>
      </vt:variant>
      <vt:variant>
        <vt:lpwstr/>
      </vt:variant>
      <vt:variant>
        <vt:lpwstr>_Toc231900701</vt:lpwstr>
      </vt:variant>
      <vt:variant>
        <vt:i4>1900596</vt:i4>
      </vt:variant>
      <vt:variant>
        <vt:i4>110</vt:i4>
      </vt:variant>
      <vt:variant>
        <vt:i4>0</vt:i4>
      </vt:variant>
      <vt:variant>
        <vt:i4>5</vt:i4>
      </vt:variant>
      <vt:variant>
        <vt:lpwstr/>
      </vt:variant>
      <vt:variant>
        <vt:lpwstr>_Toc231900700</vt:lpwstr>
      </vt:variant>
      <vt:variant>
        <vt:i4>1310773</vt:i4>
      </vt:variant>
      <vt:variant>
        <vt:i4>104</vt:i4>
      </vt:variant>
      <vt:variant>
        <vt:i4>0</vt:i4>
      </vt:variant>
      <vt:variant>
        <vt:i4>5</vt:i4>
      </vt:variant>
      <vt:variant>
        <vt:lpwstr/>
      </vt:variant>
      <vt:variant>
        <vt:lpwstr>_Toc231900699</vt:lpwstr>
      </vt:variant>
      <vt:variant>
        <vt:i4>1310773</vt:i4>
      </vt:variant>
      <vt:variant>
        <vt:i4>98</vt:i4>
      </vt:variant>
      <vt:variant>
        <vt:i4>0</vt:i4>
      </vt:variant>
      <vt:variant>
        <vt:i4>5</vt:i4>
      </vt:variant>
      <vt:variant>
        <vt:lpwstr/>
      </vt:variant>
      <vt:variant>
        <vt:lpwstr>_Toc231900698</vt:lpwstr>
      </vt:variant>
      <vt:variant>
        <vt:i4>1310773</vt:i4>
      </vt:variant>
      <vt:variant>
        <vt:i4>92</vt:i4>
      </vt:variant>
      <vt:variant>
        <vt:i4>0</vt:i4>
      </vt:variant>
      <vt:variant>
        <vt:i4>5</vt:i4>
      </vt:variant>
      <vt:variant>
        <vt:lpwstr/>
      </vt:variant>
      <vt:variant>
        <vt:lpwstr>_Toc231900697</vt:lpwstr>
      </vt:variant>
      <vt:variant>
        <vt:i4>1310773</vt:i4>
      </vt:variant>
      <vt:variant>
        <vt:i4>86</vt:i4>
      </vt:variant>
      <vt:variant>
        <vt:i4>0</vt:i4>
      </vt:variant>
      <vt:variant>
        <vt:i4>5</vt:i4>
      </vt:variant>
      <vt:variant>
        <vt:lpwstr/>
      </vt:variant>
      <vt:variant>
        <vt:lpwstr>_Toc231900696</vt:lpwstr>
      </vt:variant>
      <vt:variant>
        <vt:i4>1310773</vt:i4>
      </vt:variant>
      <vt:variant>
        <vt:i4>80</vt:i4>
      </vt:variant>
      <vt:variant>
        <vt:i4>0</vt:i4>
      </vt:variant>
      <vt:variant>
        <vt:i4>5</vt:i4>
      </vt:variant>
      <vt:variant>
        <vt:lpwstr/>
      </vt:variant>
      <vt:variant>
        <vt:lpwstr>_Toc231900695</vt:lpwstr>
      </vt:variant>
      <vt:variant>
        <vt:i4>1310773</vt:i4>
      </vt:variant>
      <vt:variant>
        <vt:i4>74</vt:i4>
      </vt:variant>
      <vt:variant>
        <vt:i4>0</vt:i4>
      </vt:variant>
      <vt:variant>
        <vt:i4>5</vt:i4>
      </vt:variant>
      <vt:variant>
        <vt:lpwstr/>
      </vt:variant>
      <vt:variant>
        <vt:lpwstr>_Toc231900694</vt:lpwstr>
      </vt:variant>
      <vt:variant>
        <vt:i4>1310773</vt:i4>
      </vt:variant>
      <vt:variant>
        <vt:i4>68</vt:i4>
      </vt:variant>
      <vt:variant>
        <vt:i4>0</vt:i4>
      </vt:variant>
      <vt:variant>
        <vt:i4>5</vt:i4>
      </vt:variant>
      <vt:variant>
        <vt:lpwstr/>
      </vt:variant>
      <vt:variant>
        <vt:lpwstr>_Toc231900693</vt:lpwstr>
      </vt:variant>
      <vt:variant>
        <vt:i4>1310773</vt:i4>
      </vt:variant>
      <vt:variant>
        <vt:i4>62</vt:i4>
      </vt:variant>
      <vt:variant>
        <vt:i4>0</vt:i4>
      </vt:variant>
      <vt:variant>
        <vt:i4>5</vt:i4>
      </vt:variant>
      <vt:variant>
        <vt:lpwstr/>
      </vt:variant>
      <vt:variant>
        <vt:lpwstr>_Toc231900692</vt:lpwstr>
      </vt:variant>
      <vt:variant>
        <vt:i4>1310773</vt:i4>
      </vt:variant>
      <vt:variant>
        <vt:i4>56</vt:i4>
      </vt:variant>
      <vt:variant>
        <vt:i4>0</vt:i4>
      </vt:variant>
      <vt:variant>
        <vt:i4>5</vt:i4>
      </vt:variant>
      <vt:variant>
        <vt:lpwstr/>
      </vt:variant>
      <vt:variant>
        <vt:lpwstr>_Toc231900691</vt:lpwstr>
      </vt:variant>
      <vt:variant>
        <vt:i4>1310773</vt:i4>
      </vt:variant>
      <vt:variant>
        <vt:i4>50</vt:i4>
      </vt:variant>
      <vt:variant>
        <vt:i4>0</vt:i4>
      </vt:variant>
      <vt:variant>
        <vt:i4>5</vt:i4>
      </vt:variant>
      <vt:variant>
        <vt:lpwstr/>
      </vt:variant>
      <vt:variant>
        <vt:lpwstr>_Toc231900690</vt:lpwstr>
      </vt:variant>
      <vt:variant>
        <vt:i4>1376309</vt:i4>
      </vt:variant>
      <vt:variant>
        <vt:i4>44</vt:i4>
      </vt:variant>
      <vt:variant>
        <vt:i4>0</vt:i4>
      </vt:variant>
      <vt:variant>
        <vt:i4>5</vt:i4>
      </vt:variant>
      <vt:variant>
        <vt:lpwstr/>
      </vt:variant>
      <vt:variant>
        <vt:lpwstr>_Toc231900689</vt:lpwstr>
      </vt:variant>
      <vt:variant>
        <vt:i4>1376309</vt:i4>
      </vt:variant>
      <vt:variant>
        <vt:i4>38</vt:i4>
      </vt:variant>
      <vt:variant>
        <vt:i4>0</vt:i4>
      </vt:variant>
      <vt:variant>
        <vt:i4>5</vt:i4>
      </vt:variant>
      <vt:variant>
        <vt:lpwstr/>
      </vt:variant>
      <vt:variant>
        <vt:lpwstr>_Toc231900688</vt:lpwstr>
      </vt:variant>
      <vt:variant>
        <vt:i4>1376309</vt:i4>
      </vt:variant>
      <vt:variant>
        <vt:i4>32</vt:i4>
      </vt:variant>
      <vt:variant>
        <vt:i4>0</vt:i4>
      </vt:variant>
      <vt:variant>
        <vt:i4>5</vt:i4>
      </vt:variant>
      <vt:variant>
        <vt:lpwstr/>
      </vt:variant>
      <vt:variant>
        <vt:lpwstr>_Toc231900687</vt:lpwstr>
      </vt:variant>
      <vt:variant>
        <vt:i4>1376309</vt:i4>
      </vt:variant>
      <vt:variant>
        <vt:i4>26</vt:i4>
      </vt:variant>
      <vt:variant>
        <vt:i4>0</vt:i4>
      </vt:variant>
      <vt:variant>
        <vt:i4>5</vt:i4>
      </vt:variant>
      <vt:variant>
        <vt:lpwstr/>
      </vt:variant>
      <vt:variant>
        <vt:lpwstr>_Toc231900686</vt:lpwstr>
      </vt:variant>
      <vt:variant>
        <vt:i4>1376309</vt:i4>
      </vt:variant>
      <vt:variant>
        <vt:i4>20</vt:i4>
      </vt:variant>
      <vt:variant>
        <vt:i4>0</vt:i4>
      </vt:variant>
      <vt:variant>
        <vt:i4>5</vt:i4>
      </vt:variant>
      <vt:variant>
        <vt:lpwstr/>
      </vt:variant>
      <vt:variant>
        <vt:lpwstr>_Toc231900685</vt:lpwstr>
      </vt:variant>
      <vt:variant>
        <vt:i4>1376309</vt:i4>
      </vt:variant>
      <vt:variant>
        <vt:i4>14</vt:i4>
      </vt:variant>
      <vt:variant>
        <vt:i4>0</vt:i4>
      </vt:variant>
      <vt:variant>
        <vt:i4>5</vt:i4>
      </vt:variant>
      <vt:variant>
        <vt:lpwstr/>
      </vt:variant>
      <vt:variant>
        <vt:lpwstr>_Toc231900684</vt:lpwstr>
      </vt:variant>
      <vt:variant>
        <vt:i4>1376309</vt:i4>
      </vt:variant>
      <vt:variant>
        <vt:i4>8</vt:i4>
      </vt:variant>
      <vt:variant>
        <vt:i4>0</vt:i4>
      </vt:variant>
      <vt:variant>
        <vt:i4>5</vt:i4>
      </vt:variant>
      <vt:variant>
        <vt:lpwstr/>
      </vt:variant>
      <vt:variant>
        <vt:lpwstr>_Toc231900683</vt:lpwstr>
      </vt:variant>
      <vt:variant>
        <vt:i4>1376309</vt:i4>
      </vt:variant>
      <vt:variant>
        <vt:i4>2</vt:i4>
      </vt:variant>
      <vt:variant>
        <vt:i4>0</vt:i4>
      </vt:variant>
      <vt:variant>
        <vt:i4>5</vt:i4>
      </vt:variant>
      <vt:variant>
        <vt:lpwstr/>
      </vt:variant>
      <vt:variant>
        <vt:lpwstr>_Toc231900682</vt:lpwstr>
      </vt:variant>
      <vt:variant>
        <vt:i4>7929931</vt:i4>
      </vt:variant>
      <vt:variant>
        <vt:i4>87</vt:i4>
      </vt:variant>
      <vt:variant>
        <vt:i4>0</vt:i4>
      </vt:variant>
      <vt:variant>
        <vt:i4>5</vt:i4>
      </vt:variant>
      <vt:variant>
        <vt:lpwstr>https://www.wipo.int/en/web/patentscope/data/terms_patentscope</vt:lpwstr>
      </vt:variant>
      <vt:variant>
        <vt:lpwstr/>
      </vt:variant>
      <vt:variant>
        <vt:i4>7733326</vt:i4>
      </vt:variant>
      <vt:variant>
        <vt:i4>84</vt:i4>
      </vt:variant>
      <vt:variant>
        <vt:i4>0</vt:i4>
      </vt:variant>
      <vt:variant>
        <vt:i4>5</vt:i4>
      </vt:variant>
      <vt:variant>
        <vt:lpwstr>https://www.wipo.int/edocs/mdocs/pct/en/pct_ctc_33/pct_ctc_33_29.pdf</vt:lpwstr>
      </vt:variant>
      <vt:variant>
        <vt:lpwstr/>
      </vt:variant>
      <vt:variant>
        <vt:i4>6029344</vt:i4>
      </vt:variant>
      <vt:variant>
        <vt:i4>81</vt:i4>
      </vt:variant>
      <vt:variant>
        <vt:i4>0</vt:i4>
      </vt:variant>
      <vt:variant>
        <vt:i4>5</vt:i4>
      </vt:variant>
      <vt:variant>
        <vt:lpwstr>https://www.wipo.int/meetings/en/details.jsp?meeting_id=89830</vt:lpwstr>
      </vt:variant>
      <vt:variant>
        <vt:lpwstr/>
      </vt:variant>
      <vt:variant>
        <vt:i4>7209013</vt:i4>
      </vt:variant>
      <vt:variant>
        <vt:i4>78</vt:i4>
      </vt:variant>
      <vt:variant>
        <vt:i4>0</vt:i4>
      </vt:variant>
      <vt:variant>
        <vt:i4>5</vt:i4>
      </vt:variant>
      <vt:variant>
        <vt:lpwstr>https://www.wipo.int/edocs/gii-ranking/2025/ua.pdf</vt:lpwstr>
      </vt:variant>
      <vt:variant>
        <vt:lpwstr/>
      </vt:variant>
      <vt:variant>
        <vt:i4>7798910</vt:i4>
      </vt:variant>
      <vt:variant>
        <vt:i4>75</vt:i4>
      </vt:variant>
      <vt:variant>
        <vt:i4>0</vt:i4>
      </vt:variant>
      <vt:variant>
        <vt:i4>5</vt:i4>
      </vt:variant>
      <vt:variant>
        <vt:lpwstr>https://mincult.gov.ua/en/news/russians-have-damaged-1783-cultural-heritage-sites-and-2540-cultural-infrastructure-facilities/</vt:lpwstr>
      </vt:variant>
      <vt:variant>
        <vt:lpwstr/>
      </vt:variant>
      <vt:variant>
        <vt:i4>917516</vt:i4>
      </vt:variant>
      <vt:variant>
        <vt:i4>72</vt:i4>
      </vt:variant>
      <vt:variant>
        <vt:i4>0</vt:i4>
      </vt:variant>
      <vt:variant>
        <vt:i4>5</vt:i4>
      </vt:variant>
      <vt:variant>
        <vt:lpwstr>https://www.unesco.org/sites/default/files/medias/fichiers/2025/07/UNESCO%E2%80%99s Action Plan For Sciences.pdf</vt:lpwstr>
      </vt:variant>
      <vt:variant>
        <vt:lpwstr/>
      </vt:variant>
      <vt:variant>
        <vt:i4>5177389</vt:i4>
      </vt:variant>
      <vt:variant>
        <vt:i4>69</vt:i4>
      </vt:variant>
      <vt:variant>
        <vt:i4>0</vt:i4>
      </vt:variant>
      <vt:variant>
        <vt:i4>5</vt:i4>
      </vt:variant>
      <vt:variant>
        <vt:lpwstr>https://www.mur.gov.it/sites/default/files/2025-07/RI Coalition for Ukraine - Declaration 10072025_online version.pdf</vt:lpwstr>
      </vt:variant>
      <vt:variant>
        <vt:lpwstr/>
      </vt:variant>
      <vt:variant>
        <vt:i4>327709</vt:i4>
      </vt:variant>
      <vt:variant>
        <vt:i4>66</vt:i4>
      </vt:variant>
      <vt:variant>
        <vt:i4>0</vt:i4>
      </vt:variant>
      <vt:variant>
        <vt:i4>5</vt:i4>
      </vt:variant>
      <vt:variant>
        <vt:lpwstr>https://www.unesco.org/en/articles/just-published-resilient-minds-unseen-struggles-scientists-wartime-ukraine</vt:lpwstr>
      </vt:variant>
      <vt:variant>
        <vt:lpwstr/>
      </vt:variant>
      <vt:variant>
        <vt:i4>6684715</vt:i4>
      </vt:variant>
      <vt:variant>
        <vt:i4>63</vt:i4>
      </vt:variant>
      <vt:variant>
        <vt:i4>0</vt:i4>
      </vt:variant>
      <vt:variant>
        <vt:i4>5</vt:i4>
      </vt:variant>
      <vt:variant>
        <vt:lpwstr>https://www.unicef.org/ukraine/en/press-releases/more-340-educational-facilities-damaged-or-destroyed-ukraine-year</vt:lpwstr>
      </vt:variant>
      <vt:variant>
        <vt:lpwstr/>
      </vt:variant>
      <vt:variant>
        <vt:i4>65537</vt:i4>
      </vt:variant>
      <vt:variant>
        <vt:i4>60</vt:i4>
      </vt:variant>
      <vt:variant>
        <vt:i4>0</vt:i4>
      </vt:variant>
      <vt:variant>
        <vt:i4>5</vt:i4>
      </vt:variant>
      <vt:variant>
        <vt:lpwstr>https://saveschools.in.ua/en/</vt:lpwstr>
      </vt:variant>
      <vt:variant>
        <vt:lpwstr/>
      </vt:variant>
      <vt:variant>
        <vt:i4>2359382</vt:i4>
      </vt:variant>
      <vt:variant>
        <vt:i4>57</vt:i4>
      </vt:variant>
      <vt:variant>
        <vt:i4>0</vt:i4>
      </vt:variant>
      <vt:variant>
        <vt:i4>5</vt:i4>
      </vt:variant>
      <vt:variant>
        <vt:lpwstr>https://eic.ec.europa.eu/news/commission-boosts-support-ukrainian-deep-tech-innovators-2026-04-01_en</vt:lpwstr>
      </vt:variant>
      <vt:variant>
        <vt:lpwstr/>
      </vt:variant>
      <vt:variant>
        <vt:i4>1048631</vt:i4>
      </vt:variant>
      <vt:variant>
        <vt:i4>54</vt:i4>
      </vt:variant>
      <vt:variant>
        <vt:i4>0</vt:i4>
      </vt:variant>
      <vt:variant>
        <vt:i4>5</vt:i4>
      </vt:variant>
      <vt:variant>
        <vt:lpwstr>https://eic.ec.europa.eu/news/european-innovation-council-expands-support-ukrainian-tech-smes-and-start-ups-through-new-funding-2025-07-17_en</vt:lpwstr>
      </vt:variant>
      <vt:variant>
        <vt:lpwstr/>
      </vt:variant>
      <vt:variant>
        <vt:i4>7798902</vt:i4>
      </vt:variant>
      <vt:variant>
        <vt:i4>51</vt:i4>
      </vt:variant>
      <vt:variant>
        <vt:i4>0</vt:i4>
      </vt:variant>
      <vt:variant>
        <vt:i4>5</vt:i4>
      </vt:variant>
      <vt:variant>
        <vt:lpwstr>https://doi.org/10.1787/49f00bcb-en</vt:lpwstr>
      </vt:variant>
      <vt:variant>
        <vt:lpwstr/>
      </vt:variant>
      <vt:variant>
        <vt:i4>7929891</vt:i4>
      </vt:variant>
      <vt:variant>
        <vt:i4>48</vt:i4>
      </vt:variant>
      <vt:variant>
        <vt:i4>0</vt:i4>
      </vt:variant>
      <vt:variant>
        <vt:i4>5</vt:i4>
      </vt:variant>
      <vt:variant>
        <vt:lpwstr>https://doi.org/10.1787/940cee85-en</vt:lpwstr>
      </vt:variant>
      <vt:variant>
        <vt:lpwstr/>
      </vt:variant>
      <vt:variant>
        <vt:i4>3866720</vt:i4>
      </vt:variant>
      <vt:variant>
        <vt:i4>45</vt:i4>
      </vt:variant>
      <vt:variant>
        <vt:i4>0</vt:i4>
      </vt:variant>
      <vt:variant>
        <vt:i4>5</vt:i4>
      </vt:variant>
      <vt:variant>
        <vt:lpwstr>https://www.undp.org/ukraine/publications/undp-ukraine-annual-report-2025-resilient-recovery-and-inclusive-development</vt:lpwstr>
      </vt:variant>
      <vt:variant>
        <vt:lpwstr/>
      </vt:variant>
      <vt:variant>
        <vt:i4>4784201</vt:i4>
      </vt:variant>
      <vt:variant>
        <vt:i4>42</vt:i4>
      </vt:variant>
      <vt:variant>
        <vt:i4>0</vt:i4>
      </vt:variant>
      <vt:variant>
        <vt:i4>5</vt:i4>
      </vt:variant>
      <vt:variant>
        <vt:lpwstr>https://me.gov.ua/News/Detail/ec3dcfc0-318d-4c9a-aeec-c817978e7d3b?lang=uk-UA&amp;title=VlasnaSprava</vt:lpwstr>
      </vt:variant>
      <vt:variant>
        <vt:lpwstr/>
      </vt:variant>
      <vt:variant>
        <vt:i4>6946873</vt:i4>
      </vt:variant>
      <vt:variant>
        <vt:i4>39</vt:i4>
      </vt:variant>
      <vt:variant>
        <vt:i4>0</vt:i4>
      </vt:variant>
      <vt:variant>
        <vt:i4>5</vt:i4>
      </vt:variant>
      <vt:variant>
        <vt:lpwstr>https://zakon.rada.gov.ua/laws/show/616-2026-%D0%BF?lang=en</vt:lpwstr>
      </vt:variant>
      <vt:variant>
        <vt:lpwstr/>
      </vt:variant>
      <vt:variant>
        <vt:i4>6881320</vt:i4>
      </vt:variant>
      <vt:variant>
        <vt:i4>36</vt:i4>
      </vt:variant>
      <vt:variant>
        <vt:i4>0</vt:i4>
      </vt:variant>
      <vt:variant>
        <vt:i4>5</vt:i4>
      </vt:variant>
      <vt:variant>
        <vt:lpwstr>https://zakon.rada.gov.ua/laws/show/en/1527-2025-%D0%BF</vt:lpwstr>
      </vt:variant>
      <vt:variant>
        <vt:lpwstr/>
      </vt:variant>
      <vt:variant>
        <vt:i4>3145773</vt:i4>
      </vt:variant>
      <vt:variant>
        <vt:i4>33</vt:i4>
      </vt:variant>
      <vt:variant>
        <vt:i4>0</vt:i4>
      </vt:variant>
      <vt:variant>
        <vt:i4>5</vt:i4>
      </vt:variant>
      <vt:variant>
        <vt:lpwstr>https://zakon.rada.gov.ua/laws/show/en/738-2022-%D0%BF</vt:lpwstr>
      </vt:variant>
      <vt:variant>
        <vt:lpwstr/>
      </vt:variant>
      <vt:variant>
        <vt:i4>852036</vt:i4>
      </vt:variant>
      <vt:variant>
        <vt:i4>30</vt:i4>
      </vt:variant>
      <vt:variant>
        <vt:i4>0</vt:i4>
      </vt:variant>
      <vt:variant>
        <vt:i4>5</vt:i4>
      </vt:variant>
      <vt:variant>
        <vt:lpwstr>https://madeinukraine.gov.ua/</vt:lpwstr>
      </vt:variant>
      <vt:variant>
        <vt:lpwstr>politics</vt:lpwstr>
      </vt:variant>
      <vt:variant>
        <vt:i4>131146</vt:i4>
      </vt:variant>
      <vt:variant>
        <vt:i4>27</vt:i4>
      </vt:variant>
      <vt:variant>
        <vt:i4>0</vt:i4>
      </vt:variant>
      <vt:variant>
        <vt:i4>5</vt:i4>
      </vt:variant>
      <vt:variant>
        <vt:lpwstr>https://www.ilo.org/resource/news/ilo-and-eu-launch-project-strengthen-ukraine%E2%80%99s-labour-market-governance</vt:lpwstr>
      </vt:variant>
      <vt:variant>
        <vt:lpwstr/>
      </vt:variant>
      <vt:variant>
        <vt:i4>917516</vt:i4>
      </vt:variant>
      <vt:variant>
        <vt:i4>24</vt:i4>
      </vt:variant>
      <vt:variant>
        <vt:i4>0</vt:i4>
      </vt:variant>
      <vt:variant>
        <vt:i4>5</vt:i4>
      </vt:variant>
      <vt:variant>
        <vt:lpwstr>https://www.unesco.org/sites/default/files/medias/fichiers/2025/07/UNESCO%E2%80%99s Action Plan For Sciences.pdf</vt:lpwstr>
      </vt:variant>
      <vt:variant>
        <vt:lpwstr/>
      </vt:variant>
      <vt:variant>
        <vt:i4>7995435</vt:i4>
      </vt:variant>
      <vt:variant>
        <vt:i4>21</vt:i4>
      </vt:variant>
      <vt:variant>
        <vt:i4>0</vt:i4>
      </vt:variant>
      <vt:variant>
        <vt:i4>5</vt:i4>
      </vt:variant>
      <vt:variant>
        <vt:lpwstr>https://www.unesco.org/en/articles/ukraine-international-coalition-science-research-and-innovation-launched</vt:lpwstr>
      </vt:variant>
      <vt:variant>
        <vt:lpwstr/>
      </vt:variant>
      <vt:variant>
        <vt:i4>8126526</vt:i4>
      </vt:variant>
      <vt:variant>
        <vt:i4>18</vt:i4>
      </vt:variant>
      <vt:variant>
        <vt:i4>0</vt:i4>
      </vt:variant>
      <vt:variant>
        <vt:i4>5</vt:i4>
      </vt:variant>
      <vt:variant>
        <vt:lpwstr>https://dtm.iom.int/reports/ukraine-internal-displacement-report-general-population-survey-round-22-january-2026?close=true</vt:lpwstr>
      </vt:variant>
      <vt:variant>
        <vt:lpwstr/>
      </vt:variant>
      <vt:variant>
        <vt:i4>4390980</vt:i4>
      </vt:variant>
      <vt:variant>
        <vt:i4>15</vt:i4>
      </vt:variant>
      <vt:variant>
        <vt:i4>0</vt:i4>
      </vt:variant>
      <vt:variant>
        <vt:i4>5</vt:i4>
      </vt:variant>
      <vt:variant>
        <vt:lpwstr>https://data.unhcr.org/en/situations/ukraine</vt:lpwstr>
      </vt:variant>
      <vt:variant>
        <vt:lpwstr/>
      </vt:variant>
      <vt:variant>
        <vt:i4>8126481</vt:i4>
      </vt:variant>
      <vt:variant>
        <vt:i4>12</vt:i4>
      </vt:variant>
      <vt:variant>
        <vt:i4>0</vt:i4>
      </vt:variant>
      <vt:variant>
        <vt:i4>5</vt:i4>
      </vt:variant>
      <vt:variant>
        <vt:lpwstr>https://ukraine.ohchr.org/sites/default/files/2026-02/2026-02-16 HRMMU_Four Years On_fact sheet_2.pdf</vt:lpwstr>
      </vt:variant>
      <vt:variant>
        <vt:lpwstr/>
      </vt:variant>
      <vt:variant>
        <vt:i4>6029328</vt:i4>
      </vt:variant>
      <vt:variant>
        <vt:i4>9</vt:i4>
      </vt:variant>
      <vt:variant>
        <vt:i4>0</vt:i4>
      </vt:variant>
      <vt:variant>
        <vt:i4>5</vt:i4>
      </vt:variant>
      <vt:variant>
        <vt:lpwstr>https://www.unesco.org/en/ukraine-war/damaged-cultural-sites</vt:lpwstr>
      </vt:variant>
      <vt:variant>
        <vt:lpwstr/>
      </vt:variant>
      <vt:variant>
        <vt:i4>5111901</vt:i4>
      </vt:variant>
      <vt:variant>
        <vt:i4>6</vt:i4>
      </vt:variant>
      <vt:variant>
        <vt:i4>0</vt:i4>
      </vt:variant>
      <vt:variant>
        <vt:i4>5</vt:i4>
      </vt:variant>
      <vt:variant>
        <vt:lpwstr>http://documents.worldbank.org/curated/en/099022025114040022</vt:lpwstr>
      </vt:variant>
      <vt:variant>
        <vt:lpwstr/>
      </vt:variant>
      <vt:variant>
        <vt:i4>2424959</vt:i4>
      </vt:variant>
      <vt:variant>
        <vt:i4>3</vt:i4>
      </vt:variant>
      <vt:variant>
        <vt:i4>0</vt:i4>
      </vt:variant>
      <vt:variant>
        <vt:i4>5</vt:i4>
      </vt:variant>
      <vt:variant>
        <vt:lpwstr>https://documents.worldbank.org/en/publication/documents-reports/documentdetail/099022026094036395</vt:lpwstr>
      </vt:variant>
      <vt:variant>
        <vt:lpwstr/>
      </vt:variant>
      <vt:variant>
        <vt:i4>7077940</vt:i4>
      </vt:variant>
      <vt:variant>
        <vt:i4>0</vt:i4>
      </vt:variant>
      <vt:variant>
        <vt:i4>0</vt:i4>
      </vt:variant>
      <vt:variant>
        <vt:i4>5</vt:i4>
      </vt:variant>
      <vt:variant>
        <vt:lpwstr>https://www.wipo.int/meetings/en/doc_details.jsp?doc_id=645971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A/68/7</dc:title>
  <dc:subject/>
  <dc:creator>WIPO</dc:creator>
  <cp:keywords/>
  <dc:description/>
  <cp:lastModifiedBy>RUBAN Annaig</cp:lastModifiedBy>
  <cp:revision>2</cp:revision>
  <cp:lastPrinted>2026-06-15T15:38:00Z</cp:lastPrinted>
  <dcterms:created xsi:type="dcterms:W3CDTF">2026-06-15T15:50:00Z</dcterms:created>
  <dcterms:modified xsi:type="dcterms:W3CDTF">2026-06-15T15:50:00Z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0x01010043A0F979BE30A3469F998CB749C11FBD0F007FA3E1EBB780B94A848853097E393549</vt:lpwstr>
  </property>
  <property fmtid="{D5CDD505-2E9C-101B-9397-08002B2CF9AE}" pid="3" name="MSIP_Label_20773ee6-353b-4fb9-a59d-0b94c8c67bea_Enabled">
    <vt:lpwstr>true</vt:lpwstr>
  </property>
  <property fmtid="{D5CDD505-2E9C-101B-9397-08002B2CF9AE}" pid="4" name="MSIP_Label_20773ee6-353b-4fb9-a59d-0b94c8c67bea_SetDate">
    <vt:lpwstr>2026-06-02T12:31:56Z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2f0077f1-d853-4344-963f-04b88d83ba69</vt:lpwstr>
  </property>
  <property fmtid="{D5CDD505-2E9C-101B-9397-08002B2CF9AE}" pid="9" name="MSIP_Label_20773ee6-353b-4fb9-a59d-0b94c8c67bea_ContentBits">
    <vt:lpwstr>0</vt:lpwstr>
  </property>
  <property fmtid="{D5CDD505-2E9C-101B-9397-08002B2CF9AE}" pid="10" name="MSIP_Label_20773ee6-353b-4fb9-a59d-0b94c8c67bea_Tag">
    <vt:lpwstr>10, 0, 1, 1</vt:lpwstr>
  </property>
  <property fmtid="{D5CDD505-2E9C-101B-9397-08002B2CF9AE}" pid="11" name="MediaServiceImageTags">
    <vt:lpwstr/>
  </property>
  <property fmtid="{D5CDD505-2E9C-101B-9397-08002B2CF9AE}" pid="12" name="Body1">
    <vt:lpwstr/>
  </property>
  <property fmtid="{D5CDD505-2E9C-101B-9397-08002B2CF9AE}" pid="13" name="Languages">
    <vt:lpwstr>1;#English|950e6fa2-2df0-4983-a604-54e57c7a6d93</vt:lpwstr>
  </property>
  <property fmtid="{D5CDD505-2E9C-101B-9397-08002B2CF9AE}" pid="14" name="lcf76f155ced4ddcb4097134ff3c332f">
    <vt:lpwstr/>
  </property>
  <property fmtid="{D5CDD505-2E9C-101B-9397-08002B2CF9AE}" pid="15" name="Country">
    <vt:lpwstr>31;#Ukraine|d1d15817-869e-41bb-89cd-689ea1ef8eec</vt:lpwstr>
  </property>
  <property fmtid="{D5CDD505-2E9C-101B-9397-08002B2CF9AE}" pid="16" name="BusinessUnit">
    <vt:lpwstr>3;#Diplomatic Engagement and Assemblies Affairs Division|c4a5cf71-800f-4e10-aab9-36d8b83eadc2</vt:lpwstr>
  </property>
  <property fmtid="{D5CDD505-2E9C-101B-9397-08002B2CF9AE}" pid="17" name="RMClassification">
    <vt:lpwstr>7;#09 Official Meeting Documents|1c3d7eba-ea38-434e-9ba8-de39eb589212</vt:lpwstr>
  </property>
  <property fmtid="{D5CDD505-2E9C-101B-9397-08002B2CF9AE}" pid="18" name="_dlc_DocIdItemGuid">
    <vt:lpwstr>82749f59-2774-42e6-8031-a964495a7577</vt:lpwstr>
  </property>
</Properties>
</file>